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73AA0" w14:textId="4BB3083E" w:rsidR="00540659" w:rsidRDefault="0008448C" w:rsidP="003815E7">
      <w:pPr>
        <w:rPr>
          <w:rFonts w:ascii="Cambria" w:hAnsi="Cambria"/>
        </w:rPr>
      </w:pPr>
      <w:bookmarkStart w:id="0" w:name="_Toc485781365"/>
      <w:r w:rsidRPr="00DC1F68">
        <w:rPr>
          <w:noProof/>
          <w:lang w:val="en-AU" w:eastAsia="en-AU"/>
        </w:rPr>
        <mc:AlternateContent>
          <mc:Choice Requires="wps">
            <w:drawing>
              <wp:inline distT="0" distB="0" distL="0" distR="0" wp14:anchorId="7F54BC2C" wp14:editId="70C3F066">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92E65" w14:textId="77777777" w:rsidR="00296242" w:rsidRPr="00BE2A26" w:rsidRDefault="00296242" w:rsidP="0008448C">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F54BC2C"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77592E65" w14:textId="77777777" w:rsidR="00296242" w:rsidRPr="00BE2A26" w:rsidRDefault="00296242" w:rsidP="0008448C">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DC1F68">
        <w:rPr>
          <w:rFonts w:ascii="Cambria" w:hAnsi="Cambria"/>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BB1CB7">
          <w:rPr>
            <w:rStyle w:val="Hyperlink"/>
            <w:rFonts w:ascii="Cambria" w:hAnsi="Cambria"/>
            <w:color w:val="1F4E79" w:themeColor="accent5" w:themeShade="80"/>
          </w:rPr>
          <w:t>www.tga.gov.au/reporting-problems</w:t>
        </w:r>
      </w:hyperlink>
      <w:r w:rsidRPr="00BB1CB7">
        <w:rPr>
          <w:rFonts w:ascii="Cambria" w:hAnsi="Cambria"/>
          <w:color w:val="1F4E79" w:themeColor="accent5" w:themeShade="80"/>
        </w:rPr>
        <w:t>.</w:t>
      </w:r>
    </w:p>
    <w:p w14:paraId="2E501CD9" w14:textId="77777777" w:rsidR="00EE317D" w:rsidRPr="00DC1F68" w:rsidRDefault="00EE317D" w:rsidP="003815E7">
      <w:pPr>
        <w:rPr>
          <w:rFonts w:ascii="Cambria" w:hAnsi="Cambria"/>
        </w:rPr>
      </w:pPr>
    </w:p>
    <w:p w14:paraId="0797EBB9" w14:textId="1AB4EAD8" w:rsidR="00720789" w:rsidRDefault="00EE317D" w:rsidP="003815E7">
      <w:pPr>
        <w:rPr>
          <w:rStyle w:val="eop"/>
          <w:rFonts w:ascii="Cambria" w:eastAsiaTheme="majorEastAsia" w:hAnsi="Cambria"/>
          <w:color w:val="000000"/>
          <w:sz w:val="23"/>
          <w:szCs w:val="23"/>
          <w:shd w:val="clear" w:color="auto" w:fill="FFFFFF"/>
        </w:rPr>
      </w:pPr>
      <w:r>
        <w:rPr>
          <w:rStyle w:val="normaltextrun"/>
          <w:rFonts w:ascii="Cambria" w:eastAsiaTheme="majorEastAsia" w:hAnsi="Cambria"/>
          <w:color w:val="000000"/>
          <w:sz w:val="23"/>
          <w:szCs w:val="23"/>
          <w:shd w:val="clear" w:color="auto" w:fill="FFFFFF"/>
          <w:lang w:val="en-AU"/>
        </w:rPr>
        <w:t>For further information on the scheme, see the </w:t>
      </w:r>
      <w:hyperlink r:id="rId12" w:tgtFrame="_blank" w:history="1">
        <w:r w:rsidRPr="00BB1CB7">
          <w:rPr>
            <w:rStyle w:val="normaltextrun"/>
            <w:rFonts w:ascii="Cambria" w:eastAsiaTheme="majorEastAsia" w:hAnsi="Cambria" w:cs="Segoe UI"/>
            <w:color w:val="1F4E79" w:themeColor="accent5" w:themeShade="80"/>
            <w:sz w:val="23"/>
            <w:szCs w:val="23"/>
            <w:u w:val="single"/>
            <w:shd w:val="clear" w:color="auto" w:fill="FFFFFF"/>
            <w:lang w:val="en-AU"/>
          </w:rPr>
          <w:t>Information for sponsors</w:t>
        </w:r>
      </w:hyperlink>
      <w:r>
        <w:rPr>
          <w:rStyle w:val="normaltextrun"/>
          <w:rFonts w:ascii="Cambria" w:eastAsiaTheme="majorEastAsia" w:hAnsi="Cambria"/>
          <w:color w:val="000000"/>
          <w:sz w:val="23"/>
          <w:szCs w:val="23"/>
          <w:shd w:val="clear" w:color="auto" w:fill="FFFFFF"/>
          <w:lang w:val="en-AU"/>
        </w:rPr>
        <w:t> on the TGA website.</w:t>
      </w:r>
      <w:r>
        <w:rPr>
          <w:rStyle w:val="eop"/>
          <w:rFonts w:ascii="Cambria" w:eastAsiaTheme="majorEastAsia" w:hAnsi="Cambria"/>
          <w:color w:val="000000"/>
          <w:sz w:val="23"/>
          <w:szCs w:val="23"/>
          <w:shd w:val="clear" w:color="auto" w:fill="FFFFFF"/>
        </w:rPr>
        <w:t> </w:t>
      </w:r>
    </w:p>
    <w:p w14:paraId="29A20E07" w14:textId="77777777" w:rsidR="00EE317D" w:rsidRPr="00DC1F68" w:rsidRDefault="00EE317D" w:rsidP="003815E7">
      <w:pPr>
        <w:rPr>
          <w:rFonts w:ascii="Cambria" w:hAnsi="Cambria"/>
        </w:rPr>
      </w:pPr>
    </w:p>
    <w:p w14:paraId="6E80DAB4" w14:textId="1FF66C61" w:rsidR="00595144" w:rsidRDefault="00A13D45" w:rsidP="00EF3F95">
      <w:pPr>
        <w:pStyle w:val="Heading1"/>
        <w:numPr>
          <w:ilvl w:val="0"/>
          <w:numId w:val="0"/>
        </w:numPr>
        <w:rPr>
          <w:rFonts w:ascii="Cambria" w:hAnsi="Cambria"/>
          <w:sz w:val="28"/>
          <w:szCs w:val="28"/>
        </w:rPr>
      </w:pPr>
      <w:r w:rsidRPr="00DC1F68">
        <w:rPr>
          <w:rFonts w:ascii="Cambria" w:hAnsi="Cambria"/>
          <w:sz w:val="28"/>
          <w:szCs w:val="28"/>
        </w:rPr>
        <w:t xml:space="preserve"> AUSTRALIAN </w:t>
      </w:r>
      <w:r w:rsidR="00624D26" w:rsidRPr="00DC1F68">
        <w:rPr>
          <w:rFonts w:ascii="Cambria" w:hAnsi="Cambria"/>
          <w:sz w:val="28"/>
          <w:szCs w:val="28"/>
        </w:rPr>
        <w:t xml:space="preserve">PRODUCT INFORMATION </w:t>
      </w:r>
      <w:r w:rsidR="00AC1AD7" w:rsidRPr="00DC1F68">
        <w:rPr>
          <w:rFonts w:ascii="Cambria" w:hAnsi="Cambria"/>
          <w:sz w:val="28"/>
          <w:szCs w:val="28"/>
        </w:rPr>
        <w:t>–</w:t>
      </w:r>
      <w:r w:rsidR="000E6601" w:rsidRPr="00DC1F68">
        <w:rPr>
          <w:rFonts w:ascii="Cambria" w:hAnsi="Cambria"/>
          <w:sz w:val="28"/>
          <w:szCs w:val="28"/>
        </w:rPr>
        <w:t>TRIKAFTA</w:t>
      </w:r>
      <w:r w:rsidR="00595144" w:rsidRPr="003368DF">
        <w:rPr>
          <w:rFonts w:ascii="Cambria" w:hAnsi="Cambria"/>
          <w:sz w:val="28"/>
          <w:szCs w:val="28"/>
          <w:vertAlign w:val="superscript"/>
        </w:rPr>
        <w:t>®</w:t>
      </w:r>
      <w:r w:rsidR="000E6601" w:rsidRPr="003368DF">
        <w:rPr>
          <w:vertAlign w:val="superscript"/>
        </w:rPr>
        <w:t xml:space="preserve"> </w:t>
      </w:r>
      <w:r w:rsidR="00624D26" w:rsidRPr="00DC1F68">
        <w:rPr>
          <w:rFonts w:ascii="Cambria" w:hAnsi="Cambria"/>
          <w:sz w:val="28"/>
          <w:szCs w:val="28"/>
        </w:rPr>
        <w:t>(</w:t>
      </w:r>
      <w:r w:rsidR="000E6601" w:rsidRPr="00DC1F68">
        <w:rPr>
          <w:rFonts w:ascii="Cambria" w:hAnsi="Cambria"/>
          <w:sz w:val="28"/>
          <w:szCs w:val="28"/>
        </w:rPr>
        <w:t>ELEXACAFTOR/TEZACAFTOR/IVACAFTOR</w:t>
      </w:r>
      <w:r w:rsidR="005A4232">
        <w:rPr>
          <w:rFonts w:ascii="Cambria" w:hAnsi="Cambria"/>
          <w:sz w:val="28"/>
          <w:szCs w:val="28"/>
        </w:rPr>
        <w:t>, IVACAFTOR</w:t>
      </w:r>
      <w:r w:rsidR="000E6601" w:rsidRPr="00DC1F68">
        <w:rPr>
          <w:rFonts w:ascii="Cambria" w:hAnsi="Cambria"/>
          <w:sz w:val="28"/>
          <w:szCs w:val="28"/>
        </w:rPr>
        <w:t>)</w:t>
      </w:r>
      <w:r w:rsidR="00624D26" w:rsidRPr="00DC1F68">
        <w:rPr>
          <w:rFonts w:ascii="Cambria" w:hAnsi="Cambria"/>
          <w:sz w:val="28"/>
          <w:szCs w:val="28"/>
        </w:rPr>
        <w:t xml:space="preserve"> </w:t>
      </w:r>
    </w:p>
    <w:p w14:paraId="22A9E3E8" w14:textId="4CEBFE22" w:rsidR="00A13D45" w:rsidRPr="00DC1F68" w:rsidRDefault="00624D26" w:rsidP="00EF3F95">
      <w:pPr>
        <w:pStyle w:val="Heading1"/>
        <w:numPr>
          <w:ilvl w:val="0"/>
          <w:numId w:val="0"/>
        </w:numPr>
        <w:rPr>
          <w:rFonts w:ascii="Cambria" w:hAnsi="Cambria"/>
          <w:sz w:val="28"/>
          <w:szCs w:val="28"/>
        </w:rPr>
      </w:pPr>
      <w:r w:rsidRPr="00DC1F68">
        <w:rPr>
          <w:rFonts w:ascii="Cambria" w:hAnsi="Cambria"/>
          <w:sz w:val="28"/>
          <w:szCs w:val="28"/>
        </w:rPr>
        <w:t xml:space="preserve">FILM–COATED TABLETS </w:t>
      </w:r>
    </w:p>
    <w:p w14:paraId="1354C8F1" w14:textId="77777777" w:rsidR="00A13D45" w:rsidRPr="00DC1F68" w:rsidRDefault="00A13D45" w:rsidP="00A13D45"/>
    <w:p w14:paraId="779846BC" w14:textId="79929242" w:rsidR="00DE08E0" w:rsidRPr="00DC1F68" w:rsidRDefault="00DE08E0" w:rsidP="00DE08E0">
      <w:pPr>
        <w:pStyle w:val="Heading1"/>
        <w:rPr>
          <w:rFonts w:ascii="Cambria" w:hAnsi="Cambria"/>
          <w:sz w:val="28"/>
          <w:szCs w:val="28"/>
        </w:rPr>
      </w:pPr>
      <w:r w:rsidRPr="00DC1F68">
        <w:rPr>
          <w:rFonts w:ascii="Cambria" w:hAnsi="Cambria"/>
          <w:sz w:val="28"/>
          <w:szCs w:val="28"/>
        </w:rPr>
        <w:t xml:space="preserve">NAME OF THE </w:t>
      </w:r>
      <w:bookmarkEnd w:id="0"/>
      <w:r w:rsidRPr="00DC1F68">
        <w:rPr>
          <w:rFonts w:ascii="Cambria" w:hAnsi="Cambria"/>
          <w:sz w:val="28"/>
          <w:szCs w:val="28"/>
        </w:rPr>
        <w:t>MEDICIN</w:t>
      </w:r>
      <w:r w:rsidR="000514F5" w:rsidRPr="00DC1F68">
        <w:rPr>
          <w:rFonts w:ascii="Cambria" w:hAnsi="Cambria"/>
          <w:sz w:val="28"/>
          <w:szCs w:val="28"/>
        </w:rPr>
        <w:t>E</w:t>
      </w:r>
    </w:p>
    <w:p w14:paraId="27DE95B5" w14:textId="77777777" w:rsidR="00DE08E0" w:rsidRPr="00A608E3" w:rsidRDefault="00DE08E0" w:rsidP="00DE08E0">
      <w:pPr>
        <w:rPr>
          <w:rFonts w:ascii="Cambria" w:hAnsi="Cambria"/>
        </w:rPr>
      </w:pPr>
    </w:p>
    <w:p w14:paraId="35CE57C5" w14:textId="612C767A" w:rsidR="00DE08E0" w:rsidRPr="00A608E3" w:rsidRDefault="000E6601" w:rsidP="00DE08E0">
      <w:pPr>
        <w:rPr>
          <w:rFonts w:ascii="Cambria" w:hAnsi="Cambria"/>
        </w:rPr>
      </w:pPr>
      <w:r w:rsidRPr="00814262">
        <w:rPr>
          <w:rFonts w:ascii="Cambria" w:hAnsi="Cambria"/>
        </w:rPr>
        <w:t>Elexacaftor, t</w:t>
      </w:r>
      <w:r w:rsidR="000514F5" w:rsidRPr="00814262">
        <w:rPr>
          <w:rFonts w:ascii="Cambria" w:hAnsi="Cambria"/>
        </w:rPr>
        <w:t>ezacaftor and ivacaftor</w:t>
      </w:r>
      <w:r w:rsidR="000077B8" w:rsidRPr="00814262">
        <w:rPr>
          <w:rFonts w:ascii="Cambria" w:hAnsi="Cambria"/>
        </w:rPr>
        <w:t xml:space="preserve"> in combination</w:t>
      </w:r>
      <w:r w:rsidR="00832716" w:rsidRPr="00814262">
        <w:rPr>
          <w:rFonts w:ascii="Cambria" w:hAnsi="Cambria"/>
        </w:rPr>
        <w:t xml:space="preserve">, and </w:t>
      </w:r>
      <w:r w:rsidR="00580FB5" w:rsidRPr="00814262">
        <w:rPr>
          <w:rFonts w:ascii="Cambria" w:hAnsi="Cambria"/>
        </w:rPr>
        <w:t>I</w:t>
      </w:r>
      <w:r w:rsidR="00832716" w:rsidRPr="00814262">
        <w:rPr>
          <w:rFonts w:ascii="Cambria" w:hAnsi="Cambria"/>
        </w:rPr>
        <w:t>vacaftor</w:t>
      </w:r>
    </w:p>
    <w:p w14:paraId="4809DEFB" w14:textId="77777777" w:rsidR="00DE08E0" w:rsidRPr="00A66CE7" w:rsidRDefault="00DE08E0" w:rsidP="00DE08E0">
      <w:pPr>
        <w:rPr>
          <w:rFonts w:ascii="Cambria" w:hAnsi="Cambria"/>
          <w:highlight w:val="green"/>
        </w:rPr>
      </w:pPr>
    </w:p>
    <w:p w14:paraId="3DBC28C9" w14:textId="77777777" w:rsidR="00DE08E0" w:rsidRPr="00DC1F68" w:rsidRDefault="00DE08E0" w:rsidP="00DE08E0">
      <w:pPr>
        <w:pStyle w:val="Heading1"/>
        <w:rPr>
          <w:rStyle w:val="Heading1Char"/>
          <w:rFonts w:ascii="Cambria" w:hAnsi="Cambria"/>
          <w:b/>
          <w:sz w:val="28"/>
          <w:szCs w:val="28"/>
        </w:rPr>
      </w:pPr>
      <w:bookmarkStart w:id="1" w:name="_Toc485781366"/>
      <w:r w:rsidRPr="00DC1F68">
        <w:rPr>
          <w:rFonts w:ascii="Cambria" w:hAnsi="Cambria"/>
          <w:sz w:val="28"/>
          <w:szCs w:val="28"/>
        </w:rPr>
        <w:t>Q</w:t>
      </w:r>
      <w:r w:rsidRPr="00DC1F68">
        <w:rPr>
          <w:rStyle w:val="Heading1Char"/>
          <w:rFonts w:ascii="Cambria" w:hAnsi="Cambria"/>
          <w:b/>
          <w:sz w:val="28"/>
          <w:szCs w:val="28"/>
        </w:rPr>
        <w:t>UALITATIVE AND QUANTITATIVE COMPOSITION</w:t>
      </w:r>
      <w:bookmarkEnd w:id="1"/>
    </w:p>
    <w:p w14:paraId="76758C8B" w14:textId="77777777" w:rsidR="00DE08E0" w:rsidRPr="00DC1F68" w:rsidRDefault="00DE08E0" w:rsidP="00DE08E0">
      <w:pPr>
        <w:rPr>
          <w:rFonts w:ascii="Cambria" w:eastAsiaTheme="majorEastAsia" w:hAnsi="Cambria"/>
        </w:rPr>
      </w:pPr>
    </w:p>
    <w:p w14:paraId="169DB56C" w14:textId="77699584" w:rsidR="00DE08E0" w:rsidRPr="00DC1F68" w:rsidRDefault="00DE08E0" w:rsidP="00DE08E0">
      <w:pPr>
        <w:rPr>
          <w:rFonts w:ascii="Cambria" w:hAnsi="Cambria"/>
          <w:b/>
        </w:rPr>
      </w:pPr>
      <w:r w:rsidRPr="00DC1F68">
        <w:rPr>
          <w:rFonts w:ascii="Cambria" w:hAnsi="Cambria"/>
          <w:b/>
        </w:rPr>
        <w:t>Morning dose</w:t>
      </w:r>
    </w:p>
    <w:p w14:paraId="7AFF3F44" w14:textId="3127B1D8" w:rsidR="00DE08E0" w:rsidRPr="00DC1F68" w:rsidRDefault="000E6601" w:rsidP="00DE08E0">
      <w:pPr>
        <w:rPr>
          <w:rFonts w:ascii="Cambria" w:hAnsi="Cambria"/>
        </w:rPr>
      </w:pPr>
      <w:r w:rsidRPr="00DC1F68">
        <w:rPr>
          <w:rFonts w:ascii="Cambria" w:hAnsi="Cambria"/>
        </w:rPr>
        <w:t>Each film</w:t>
      </w:r>
      <w:r w:rsidRPr="00DC1F68">
        <w:rPr>
          <w:rFonts w:ascii="Cambria" w:hAnsi="Cambria"/>
        </w:rPr>
        <w:noBreakHyphen/>
        <w:t>coated tablet contains 100 mg of elexacaftor, 50 mg of tezacaftor and 75 mg of ivacaftor as a fixed</w:t>
      </w:r>
      <w:r w:rsidRPr="00DC1F68">
        <w:rPr>
          <w:rFonts w:ascii="Cambria" w:hAnsi="Cambria"/>
        </w:rPr>
        <w:noBreakHyphen/>
        <w:t>dose combination tablet.</w:t>
      </w:r>
    </w:p>
    <w:p w14:paraId="5ADE7AE4" w14:textId="77777777" w:rsidR="000E6601" w:rsidRPr="00DC1F68" w:rsidRDefault="000E6601" w:rsidP="00DE08E0">
      <w:pPr>
        <w:rPr>
          <w:rFonts w:ascii="Cambria" w:hAnsi="Cambria"/>
        </w:rPr>
      </w:pPr>
    </w:p>
    <w:p w14:paraId="2D2B17A7" w14:textId="48643270" w:rsidR="00DE08E0" w:rsidRPr="00DC1F68" w:rsidRDefault="00DE08E0" w:rsidP="00DE08E0">
      <w:pPr>
        <w:rPr>
          <w:rFonts w:ascii="Cambria" w:hAnsi="Cambria"/>
          <w:b/>
        </w:rPr>
      </w:pPr>
      <w:r w:rsidRPr="00DC1F68">
        <w:rPr>
          <w:rFonts w:ascii="Cambria" w:hAnsi="Cambria"/>
          <w:b/>
        </w:rPr>
        <w:t>Evening dose</w:t>
      </w:r>
    </w:p>
    <w:p w14:paraId="6937368F" w14:textId="7DC70315" w:rsidR="00DE08E0" w:rsidRPr="00DC1F68" w:rsidRDefault="00DE08E0" w:rsidP="00DE08E0">
      <w:pPr>
        <w:rPr>
          <w:rFonts w:ascii="Cambria" w:hAnsi="Cambria"/>
        </w:rPr>
      </w:pPr>
      <w:r w:rsidRPr="00DC1F68">
        <w:rPr>
          <w:rFonts w:ascii="Cambria" w:hAnsi="Cambria"/>
        </w:rPr>
        <w:t>Each film</w:t>
      </w:r>
      <w:r w:rsidRPr="00DC1F68">
        <w:rPr>
          <w:rFonts w:ascii="Cambria" w:hAnsi="Cambria"/>
        </w:rPr>
        <w:noBreakHyphen/>
        <w:t>coated tablet contains 150</w:t>
      </w:r>
      <w:r w:rsidR="00D32466" w:rsidRPr="00DC1F68">
        <w:rPr>
          <w:rFonts w:ascii="Cambria" w:hAnsi="Cambria"/>
        </w:rPr>
        <w:t> mg</w:t>
      </w:r>
      <w:r w:rsidRPr="00DC1F68">
        <w:rPr>
          <w:rFonts w:ascii="Cambria" w:hAnsi="Cambria"/>
        </w:rPr>
        <w:t xml:space="preserve"> of ivacaftor.</w:t>
      </w:r>
    </w:p>
    <w:p w14:paraId="06350470" w14:textId="77777777" w:rsidR="00DE08E0" w:rsidRPr="00A66CE7" w:rsidRDefault="00DE08E0" w:rsidP="00DE08E0">
      <w:pPr>
        <w:rPr>
          <w:rFonts w:ascii="Cambria" w:hAnsi="Cambria"/>
          <w:highlight w:val="green"/>
        </w:rPr>
      </w:pPr>
    </w:p>
    <w:p w14:paraId="3D603D57" w14:textId="77777777" w:rsidR="00BC59D6" w:rsidRPr="006E09B4" w:rsidRDefault="00624D26" w:rsidP="00DE08E0">
      <w:pPr>
        <w:rPr>
          <w:rFonts w:ascii="Cambria" w:hAnsi="Cambria"/>
        </w:rPr>
      </w:pPr>
      <w:r w:rsidRPr="006E09B4">
        <w:rPr>
          <w:rFonts w:ascii="Cambria" w:hAnsi="Cambria"/>
        </w:rPr>
        <w:t xml:space="preserve">Excipients with known effect: </w:t>
      </w:r>
    </w:p>
    <w:p w14:paraId="6B25AB79" w14:textId="301DF7C4" w:rsidR="00DE08E0" w:rsidRPr="006E09B4" w:rsidRDefault="00624D26" w:rsidP="00DE08E0">
      <w:pPr>
        <w:rPr>
          <w:rFonts w:ascii="Cambria" w:hAnsi="Cambria"/>
        </w:rPr>
      </w:pPr>
      <w:r w:rsidRPr="006E09B4">
        <w:rPr>
          <w:rFonts w:ascii="Cambria" w:hAnsi="Cambria"/>
        </w:rPr>
        <w:t>lactose monohydrate</w:t>
      </w:r>
    </w:p>
    <w:p w14:paraId="41BADAC6" w14:textId="77777777" w:rsidR="00624D26" w:rsidRPr="00A66CE7" w:rsidRDefault="00624D26" w:rsidP="00DE08E0">
      <w:pPr>
        <w:rPr>
          <w:rFonts w:ascii="Cambria" w:hAnsi="Cambria"/>
          <w:highlight w:val="green"/>
        </w:rPr>
      </w:pPr>
    </w:p>
    <w:p w14:paraId="7F74A18D" w14:textId="394AEF56" w:rsidR="00624D26" w:rsidRDefault="00624D26" w:rsidP="00DE08E0">
      <w:pPr>
        <w:rPr>
          <w:rFonts w:ascii="Cambria" w:hAnsi="Cambria"/>
        </w:rPr>
      </w:pPr>
      <w:r w:rsidRPr="00DC1F68">
        <w:rPr>
          <w:rFonts w:ascii="Cambria" w:hAnsi="Cambria"/>
        </w:rPr>
        <w:t>For the full list of excipients, see Section 6.1 L</w:t>
      </w:r>
      <w:r w:rsidR="000609ED">
        <w:rPr>
          <w:rFonts w:ascii="Cambria" w:hAnsi="Cambria"/>
        </w:rPr>
        <w:t>IST OF EXCIPIENTS</w:t>
      </w:r>
      <w:r w:rsidR="006F58AB" w:rsidRPr="00DC1F68">
        <w:rPr>
          <w:rFonts w:ascii="Cambria" w:hAnsi="Cambria"/>
        </w:rPr>
        <w:t>.</w:t>
      </w:r>
    </w:p>
    <w:p w14:paraId="0ACC775C" w14:textId="77777777" w:rsidR="0082615A" w:rsidRPr="00DC1F68" w:rsidRDefault="0082615A" w:rsidP="00DE08E0">
      <w:pPr>
        <w:rPr>
          <w:rFonts w:ascii="Cambria" w:hAnsi="Cambria"/>
        </w:rPr>
      </w:pPr>
    </w:p>
    <w:p w14:paraId="1F304489" w14:textId="77777777" w:rsidR="00DE08E0" w:rsidRPr="00DC1F68" w:rsidRDefault="00DE08E0" w:rsidP="00DE08E0">
      <w:pPr>
        <w:pStyle w:val="Heading1"/>
        <w:rPr>
          <w:rFonts w:ascii="Cambria" w:hAnsi="Cambria"/>
          <w:sz w:val="28"/>
          <w:szCs w:val="28"/>
        </w:rPr>
      </w:pPr>
      <w:bookmarkStart w:id="2" w:name="_Toc485781367"/>
      <w:r w:rsidRPr="00DC1F68">
        <w:rPr>
          <w:rFonts w:ascii="Cambria" w:hAnsi="Cambria"/>
          <w:sz w:val="28"/>
          <w:szCs w:val="28"/>
        </w:rPr>
        <w:t>PHARMACEUTICAL FORM</w:t>
      </w:r>
      <w:bookmarkEnd w:id="2"/>
    </w:p>
    <w:p w14:paraId="19C1EDC0" w14:textId="77777777" w:rsidR="00DE08E0" w:rsidRPr="00DC1F68" w:rsidRDefault="00DE08E0" w:rsidP="00DE08E0">
      <w:pPr>
        <w:rPr>
          <w:rFonts w:ascii="Cambria" w:hAnsi="Cambria"/>
        </w:rPr>
      </w:pPr>
    </w:p>
    <w:p w14:paraId="7895CFBB" w14:textId="165FFE6F" w:rsidR="00624D26" w:rsidRPr="00DC1F68" w:rsidRDefault="00624D26" w:rsidP="00DE08E0">
      <w:pPr>
        <w:rPr>
          <w:rFonts w:ascii="Cambria" w:hAnsi="Cambria"/>
          <w:b/>
        </w:rPr>
      </w:pPr>
      <w:r w:rsidRPr="00DC1F68">
        <w:rPr>
          <w:rFonts w:ascii="Cambria" w:hAnsi="Cambria"/>
          <w:b/>
        </w:rPr>
        <w:t>Composite pack</w:t>
      </w:r>
    </w:p>
    <w:p w14:paraId="3FCA9825" w14:textId="431644F8" w:rsidR="00DE08E0" w:rsidRPr="00DC1F68" w:rsidRDefault="00DE08E0" w:rsidP="00DE08E0">
      <w:pPr>
        <w:rPr>
          <w:rFonts w:ascii="Cambria" w:hAnsi="Cambria"/>
          <w:b/>
        </w:rPr>
      </w:pPr>
      <w:r w:rsidRPr="00DC1F68">
        <w:rPr>
          <w:rFonts w:ascii="Cambria" w:hAnsi="Cambria"/>
          <w:b/>
        </w:rPr>
        <w:t>Morning dose</w:t>
      </w:r>
    </w:p>
    <w:p w14:paraId="5A3BA286" w14:textId="77777777" w:rsidR="00DE08E0" w:rsidRPr="00DC1F68" w:rsidRDefault="00DE08E0" w:rsidP="00DE08E0">
      <w:pPr>
        <w:rPr>
          <w:rFonts w:ascii="Cambria" w:hAnsi="Cambria"/>
          <w:i/>
        </w:rPr>
      </w:pPr>
      <w:r w:rsidRPr="00DC1F68">
        <w:rPr>
          <w:rFonts w:ascii="Cambria" w:hAnsi="Cambria"/>
          <w:i/>
        </w:rPr>
        <w:t>Film</w:t>
      </w:r>
      <w:r w:rsidRPr="00DC1F68">
        <w:rPr>
          <w:rFonts w:ascii="Cambria" w:hAnsi="Cambria"/>
          <w:i/>
        </w:rPr>
        <w:noBreakHyphen/>
        <w:t>coated tablet</w:t>
      </w:r>
    </w:p>
    <w:p w14:paraId="19BA26C1" w14:textId="0EEF73B2" w:rsidR="00DE08E0" w:rsidRPr="00DC1F68" w:rsidRDefault="000E6601" w:rsidP="00DE08E0">
      <w:pPr>
        <w:rPr>
          <w:rFonts w:ascii="Cambria" w:hAnsi="Cambria"/>
        </w:rPr>
      </w:pPr>
      <w:r w:rsidRPr="00DC1F68">
        <w:rPr>
          <w:rFonts w:ascii="Cambria" w:hAnsi="Cambria"/>
        </w:rPr>
        <w:t>Orange, capsule</w:t>
      </w:r>
      <w:r w:rsidRPr="00DC1F68">
        <w:rPr>
          <w:rFonts w:ascii="Cambria" w:hAnsi="Cambria"/>
        </w:rPr>
        <w:noBreakHyphen/>
        <w:t>shaped tablet debossed with “T100” on one side and plain on the other (7.85 mm x 15.47 mm).</w:t>
      </w:r>
    </w:p>
    <w:p w14:paraId="1336395A" w14:textId="77777777" w:rsidR="000E6601" w:rsidRPr="00DC1F68" w:rsidRDefault="000E6601" w:rsidP="00DE08E0">
      <w:pPr>
        <w:rPr>
          <w:rFonts w:ascii="Cambria" w:hAnsi="Cambria"/>
        </w:rPr>
      </w:pPr>
    </w:p>
    <w:p w14:paraId="156D7C34" w14:textId="42D04E3C" w:rsidR="00DE08E0" w:rsidRPr="00DC1F68" w:rsidRDefault="00DE08E0" w:rsidP="00DE08E0">
      <w:pPr>
        <w:rPr>
          <w:rFonts w:ascii="Cambria" w:hAnsi="Cambria"/>
          <w:b/>
        </w:rPr>
      </w:pPr>
      <w:r w:rsidRPr="00DC1F68">
        <w:rPr>
          <w:rFonts w:ascii="Cambria" w:hAnsi="Cambria"/>
          <w:b/>
        </w:rPr>
        <w:t>Evening dose</w:t>
      </w:r>
    </w:p>
    <w:p w14:paraId="24429250" w14:textId="77777777" w:rsidR="00DE08E0" w:rsidRPr="00DC1F68" w:rsidRDefault="00DE08E0" w:rsidP="00DE08E0">
      <w:pPr>
        <w:rPr>
          <w:rFonts w:ascii="Cambria" w:hAnsi="Cambria"/>
          <w:i/>
        </w:rPr>
      </w:pPr>
      <w:r w:rsidRPr="00DC1F68">
        <w:rPr>
          <w:rFonts w:ascii="Cambria" w:hAnsi="Cambria"/>
          <w:i/>
        </w:rPr>
        <w:t>Film</w:t>
      </w:r>
      <w:r w:rsidRPr="00DC1F68">
        <w:rPr>
          <w:rFonts w:ascii="Cambria" w:hAnsi="Cambria"/>
          <w:i/>
        </w:rPr>
        <w:noBreakHyphen/>
        <w:t>coated tablet</w:t>
      </w:r>
    </w:p>
    <w:p w14:paraId="58A694EE" w14:textId="2F0A1E78" w:rsidR="00DE08E0" w:rsidRPr="00DC1F68" w:rsidRDefault="000E6601" w:rsidP="00DE08E0">
      <w:pPr>
        <w:rPr>
          <w:rFonts w:ascii="Cambria" w:hAnsi="Cambria"/>
        </w:rPr>
      </w:pPr>
      <w:r w:rsidRPr="00DC1F68">
        <w:rPr>
          <w:rFonts w:ascii="Cambria" w:hAnsi="Cambria"/>
        </w:rPr>
        <w:t>Light blue, capsule</w:t>
      </w:r>
      <w:r w:rsidR="005F0F28">
        <w:rPr>
          <w:rFonts w:ascii="Cambria" w:hAnsi="Cambria"/>
        </w:rPr>
        <w:t>-</w:t>
      </w:r>
      <w:r w:rsidRPr="00DC1F68">
        <w:rPr>
          <w:rFonts w:ascii="Cambria" w:hAnsi="Cambria"/>
        </w:rPr>
        <w:t>shaped tablet printed with “V 150” in black ink on one side and plain on the other (16.5 mm x 8.4 mm).</w:t>
      </w:r>
    </w:p>
    <w:p w14:paraId="4A6B20D4" w14:textId="77777777" w:rsidR="005C6BC6" w:rsidRPr="00DC1F68" w:rsidRDefault="005C6BC6" w:rsidP="00DE08E0">
      <w:pPr>
        <w:rPr>
          <w:rFonts w:ascii="Cambria" w:hAnsi="Cambria"/>
        </w:rPr>
      </w:pPr>
    </w:p>
    <w:p w14:paraId="09AC448F" w14:textId="77777777" w:rsidR="00DE08E0" w:rsidRPr="00DC1F68" w:rsidRDefault="00DE08E0" w:rsidP="00F120AA">
      <w:pPr>
        <w:pStyle w:val="Heading1"/>
        <w:pageBreakBefore/>
        <w:ind w:left="431" w:hanging="431"/>
        <w:rPr>
          <w:rFonts w:ascii="Cambria" w:hAnsi="Cambria"/>
          <w:sz w:val="28"/>
          <w:szCs w:val="28"/>
        </w:rPr>
      </w:pPr>
      <w:bookmarkStart w:id="3" w:name="_Toc485781368"/>
      <w:r w:rsidRPr="00DC1F68">
        <w:rPr>
          <w:rFonts w:ascii="Cambria" w:hAnsi="Cambria"/>
          <w:sz w:val="28"/>
          <w:szCs w:val="28"/>
        </w:rPr>
        <w:lastRenderedPageBreak/>
        <w:t>CLINICAL PARTICULARS</w:t>
      </w:r>
      <w:bookmarkEnd w:id="3"/>
    </w:p>
    <w:p w14:paraId="30CECA1D" w14:textId="77777777" w:rsidR="00DE08E0" w:rsidRPr="00DC1F68" w:rsidRDefault="00DE08E0" w:rsidP="00DE08E0">
      <w:pPr>
        <w:rPr>
          <w:rFonts w:ascii="Cambria" w:hAnsi="Cambria"/>
        </w:rPr>
      </w:pPr>
    </w:p>
    <w:p w14:paraId="082C7BCD" w14:textId="12A75659" w:rsidR="00DE08E0" w:rsidRPr="00DC1F68" w:rsidRDefault="00A34605" w:rsidP="00DE08E0">
      <w:pPr>
        <w:pStyle w:val="Heading2"/>
        <w:rPr>
          <w:rFonts w:ascii="Cambria" w:hAnsi="Cambria"/>
          <w:sz w:val="24"/>
          <w:szCs w:val="24"/>
        </w:rPr>
      </w:pPr>
      <w:bookmarkStart w:id="4" w:name="_Toc485781369"/>
      <w:r w:rsidRPr="00DC1F68">
        <w:rPr>
          <w:rFonts w:ascii="Cambria" w:hAnsi="Cambria"/>
          <w:sz w:val="24"/>
          <w:szCs w:val="24"/>
        </w:rPr>
        <w:t>THERAPEUTIC INDICATIONS</w:t>
      </w:r>
      <w:bookmarkEnd w:id="4"/>
    </w:p>
    <w:p w14:paraId="38A856CB" w14:textId="77777777" w:rsidR="000E6601" w:rsidRPr="00DC1F68" w:rsidRDefault="000E6601" w:rsidP="000E6601"/>
    <w:p w14:paraId="3EB427F3" w14:textId="0FE4905C" w:rsidR="000E6601" w:rsidRPr="00DC1F68" w:rsidRDefault="000E6601" w:rsidP="00AF1812">
      <w:pPr>
        <w:pStyle w:val="Heading1"/>
        <w:numPr>
          <w:ilvl w:val="0"/>
          <w:numId w:val="0"/>
        </w:numPr>
        <w:tabs>
          <w:tab w:val="clear" w:pos="567"/>
          <w:tab w:val="left" w:pos="0"/>
        </w:tabs>
        <w:rPr>
          <w:rFonts w:ascii="Cambria" w:hAnsi="Cambria"/>
          <w:b w:val="0"/>
        </w:rPr>
      </w:pPr>
      <w:r w:rsidRPr="00DC1F68">
        <w:rPr>
          <w:rFonts w:ascii="Cambria" w:hAnsi="Cambria"/>
          <w:b w:val="0"/>
        </w:rPr>
        <w:t>T</w:t>
      </w:r>
      <w:r w:rsidR="002A3388">
        <w:rPr>
          <w:rFonts w:ascii="Cambria" w:hAnsi="Cambria"/>
          <w:b w:val="0"/>
        </w:rPr>
        <w:t>RIKAFTA</w:t>
      </w:r>
      <w:r w:rsidRPr="00DC1F68">
        <w:rPr>
          <w:rFonts w:ascii="Cambria" w:hAnsi="Cambria"/>
          <w:b w:val="0"/>
        </w:rPr>
        <w:t xml:space="preserve"> is indicated for the treatment of cystic fibrosis (CF) in patients aged 12 years and older who have at least one </w:t>
      </w:r>
      <w:r w:rsidRPr="00DC1F68">
        <w:rPr>
          <w:rFonts w:ascii="Cambria" w:hAnsi="Cambria"/>
          <w:b w:val="0"/>
          <w:i/>
          <w:iCs/>
        </w:rPr>
        <w:t>F508del</w:t>
      </w:r>
      <w:r w:rsidRPr="00DC1F68">
        <w:rPr>
          <w:rFonts w:ascii="Cambria" w:hAnsi="Cambria"/>
          <w:b w:val="0"/>
        </w:rPr>
        <w:t xml:space="preserve"> mutation in the cystic fibrosis</w:t>
      </w:r>
      <w:r w:rsidR="00D0415D">
        <w:rPr>
          <w:rFonts w:ascii="Cambria" w:hAnsi="Cambria"/>
          <w:b w:val="0"/>
        </w:rPr>
        <w:t xml:space="preserve"> </w:t>
      </w:r>
      <w:r w:rsidRPr="00DC1F68">
        <w:rPr>
          <w:rFonts w:ascii="Cambria" w:hAnsi="Cambria"/>
          <w:b w:val="0"/>
        </w:rPr>
        <w:t>transmembrane conductance regulator</w:t>
      </w:r>
      <w:r w:rsidRPr="00DC1F68">
        <w:rPr>
          <w:rFonts w:ascii="Cambria" w:hAnsi="Cambria"/>
          <w:b w:val="0"/>
          <w:i/>
          <w:iCs/>
        </w:rPr>
        <w:t xml:space="preserve"> (CFTR)</w:t>
      </w:r>
      <w:r w:rsidRPr="00DC1F68">
        <w:rPr>
          <w:rFonts w:ascii="Cambria" w:hAnsi="Cambria"/>
          <w:b w:val="0"/>
        </w:rPr>
        <w:t xml:space="preserve"> gene.</w:t>
      </w:r>
    </w:p>
    <w:p w14:paraId="64505EF7" w14:textId="424A6D18" w:rsidR="00DE08E0" w:rsidRDefault="00DE08E0" w:rsidP="00AF1812">
      <w:pPr>
        <w:tabs>
          <w:tab w:val="clear" w:pos="567"/>
          <w:tab w:val="left" w:pos="0"/>
        </w:tabs>
        <w:rPr>
          <w:rFonts w:ascii="Cambria" w:hAnsi="Cambria"/>
        </w:rPr>
      </w:pPr>
    </w:p>
    <w:p w14:paraId="3C481333" w14:textId="28932B58" w:rsidR="00595144" w:rsidRPr="00DC1F68" w:rsidRDefault="00595144" w:rsidP="00AF1812">
      <w:pPr>
        <w:tabs>
          <w:tab w:val="clear" w:pos="567"/>
          <w:tab w:val="left" w:pos="0"/>
        </w:tabs>
        <w:rPr>
          <w:rFonts w:ascii="Cambria" w:hAnsi="Cambria"/>
        </w:rPr>
      </w:pPr>
    </w:p>
    <w:p w14:paraId="7A58200A" w14:textId="7B3B4799" w:rsidR="00DE08E0" w:rsidRPr="00DC1F68" w:rsidRDefault="00A34605" w:rsidP="00DE08E0">
      <w:pPr>
        <w:pStyle w:val="Heading2"/>
        <w:rPr>
          <w:rFonts w:ascii="Cambria" w:hAnsi="Cambria"/>
          <w:sz w:val="24"/>
          <w:szCs w:val="24"/>
        </w:rPr>
      </w:pPr>
      <w:bookmarkStart w:id="5" w:name="_Toc485781370"/>
      <w:bookmarkStart w:id="6" w:name="_Hlk50447603"/>
      <w:r w:rsidRPr="00DC1F68">
        <w:rPr>
          <w:rFonts w:ascii="Cambria" w:hAnsi="Cambria"/>
          <w:sz w:val="24"/>
          <w:szCs w:val="24"/>
        </w:rPr>
        <w:t>DOSE AND METHOD OF ADMINISTRATION</w:t>
      </w:r>
      <w:bookmarkEnd w:id="5"/>
    </w:p>
    <w:bookmarkEnd w:id="6"/>
    <w:p w14:paraId="0E36E525" w14:textId="58F46048" w:rsidR="002643EF" w:rsidRPr="00DC1F68" w:rsidRDefault="006A79A8" w:rsidP="006A79A8">
      <w:pPr>
        <w:tabs>
          <w:tab w:val="clear" w:pos="567"/>
          <w:tab w:val="left" w:pos="3810"/>
        </w:tabs>
        <w:rPr>
          <w:rFonts w:ascii="Cambria" w:hAnsi="Cambria"/>
          <w:szCs w:val="22"/>
        </w:rPr>
      </w:pPr>
      <w:r>
        <w:rPr>
          <w:rFonts w:ascii="Cambria" w:hAnsi="Cambria"/>
          <w:szCs w:val="22"/>
        </w:rPr>
        <w:tab/>
      </w:r>
    </w:p>
    <w:p w14:paraId="04EB0BB3" w14:textId="4E82D7D6" w:rsidR="000E6601" w:rsidRPr="00DC1F68" w:rsidRDefault="00F27774" w:rsidP="000E6601">
      <w:pPr>
        <w:rPr>
          <w:rFonts w:ascii="Cambria" w:eastAsia="Calibri" w:hAnsi="Cambria"/>
          <w:bCs/>
          <w:szCs w:val="22"/>
        </w:rPr>
      </w:pPr>
      <w:r>
        <w:rPr>
          <w:rFonts w:ascii="Cambria" w:eastAsiaTheme="minorHAnsi" w:hAnsi="Cambria" w:cs="Cambria"/>
          <w:szCs w:val="22"/>
        </w:rPr>
        <w:t>T</w:t>
      </w:r>
      <w:r w:rsidR="002A3388" w:rsidRPr="002A3388">
        <w:rPr>
          <w:rFonts w:ascii="Cambria" w:hAnsi="Cambria"/>
          <w:bCs/>
        </w:rPr>
        <w:t>RIKAFTA</w:t>
      </w:r>
      <w:r>
        <w:rPr>
          <w:rFonts w:ascii="Cambria" w:eastAsiaTheme="minorHAnsi" w:hAnsi="Cambria" w:cs="Cambria"/>
          <w:szCs w:val="22"/>
        </w:rPr>
        <w:t xml:space="preserve"> should only be prescribed by physicians with experience in the treatment of CF. </w:t>
      </w:r>
      <w:r w:rsidR="000E6601" w:rsidRPr="00DC1F68">
        <w:rPr>
          <w:rFonts w:ascii="Cambria" w:eastAsia="Calibri" w:hAnsi="Cambria"/>
          <w:bCs/>
          <w:szCs w:val="22"/>
        </w:rPr>
        <w:t xml:space="preserve">If the patient’s genotype is unknown, confirm the presence of at least one </w:t>
      </w:r>
      <w:r w:rsidR="000E6601" w:rsidRPr="00DC1F68">
        <w:rPr>
          <w:rFonts w:ascii="Cambria" w:eastAsia="Calibri" w:hAnsi="Cambria"/>
          <w:bCs/>
          <w:i/>
          <w:szCs w:val="22"/>
        </w:rPr>
        <w:t>F508del</w:t>
      </w:r>
      <w:r w:rsidR="000E6601" w:rsidRPr="00DC1F68">
        <w:rPr>
          <w:rFonts w:ascii="Cambria" w:eastAsia="Calibri" w:hAnsi="Cambria"/>
          <w:bCs/>
          <w:szCs w:val="22"/>
        </w:rPr>
        <w:t xml:space="preserve"> mutation using a genotyping assay.</w:t>
      </w:r>
    </w:p>
    <w:p w14:paraId="482C90D1" w14:textId="77777777" w:rsidR="000E6601" w:rsidRPr="00DC1F68" w:rsidRDefault="000E6601" w:rsidP="000E6601">
      <w:pPr>
        <w:rPr>
          <w:rFonts w:ascii="Cambria" w:hAnsi="Cambria"/>
          <w:szCs w:val="22"/>
        </w:rPr>
      </w:pPr>
    </w:p>
    <w:p w14:paraId="70BC8401" w14:textId="09AE9E4F" w:rsidR="000E6601" w:rsidRPr="0005026B" w:rsidRDefault="00A61D40" w:rsidP="000E6601">
      <w:pPr>
        <w:tabs>
          <w:tab w:val="left" w:pos="2320"/>
        </w:tabs>
        <w:rPr>
          <w:rFonts w:ascii="Cambria" w:hAnsi="Cambria"/>
          <w:b/>
          <w:szCs w:val="22"/>
          <w:u w:val="single"/>
        </w:rPr>
      </w:pPr>
      <w:r w:rsidRPr="0005026B">
        <w:rPr>
          <w:rFonts w:ascii="Cambria" w:hAnsi="Cambria"/>
          <w:b/>
          <w:szCs w:val="22"/>
          <w:u w:val="single"/>
        </w:rPr>
        <w:t xml:space="preserve">Dosage </w:t>
      </w:r>
    </w:p>
    <w:p w14:paraId="0B2111A7" w14:textId="77777777" w:rsidR="000E6601" w:rsidRPr="00DC1F68" w:rsidRDefault="000E6601" w:rsidP="000E6601">
      <w:pPr>
        <w:rPr>
          <w:rFonts w:ascii="Cambria" w:hAnsi="Cambria"/>
          <w:i/>
          <w:szCs w:val="22"/>
        </w:rPr>
      </w:pPr>
      <w:r w:rsidRPr="00DC1F68">
        <w:rPr>
          <w:rFonts w:ascii="Cambria" w:hAnsi="Cambria"/>
          <w:i/>
          <w:szCs w:val="22"/>
        </w:rPr>
        <w:t>Adults, adolescents, and children aged 12 years and older</w:t>
      </w:r>
    </w:p>
    <w:p w14:paraId="2234096E" w14:textId="77777777" w:rsidR="005F0F28" w:rsidRDefault="000E6601" w:rsidP="000E6601">
      <w:pPr>
        <w:rPr>
          <w:rFonts w:ascii="Cambria" w:hAnsi="Cambria"/>
          <w:szCs w:val="22"/>
        </w:rPr>
      </w:pPr>
      <w:r w:rsidRPr="00DC1F68">
        <w:rPr>
          <w:rFonts w:ascii="Cambria" w:hAnsi="Cambria"/>
          <w:szCs w:val="22"/>
        </w:rPr>
        <w:t xml:space="preserve">The recommended dose is two tablets (each containing elexacaftor 100 mg/tezacaftor </w:t>
      </w:r>
    </w:p>
    <w:p w14:paraId="0EAEEDBE" w14:textId="415A90D6" w:rsidR="000E6601" w:rsidRPr="00DC1F68" w:rsidRDefault="000E6601" w:rsidP="000E6601">
      <w:pPr>
        <w:rPr>
          <w:rFonts w:ascii="Cambria" w:hAnsi="Cambria"/>
          <w:szCs w:val="22"/>
        </w:rPr>
      </w:pPr>
      <w:r w:rsidRPr="00DC1F68">
        <w:rPr>
          <w:rFonts w:ascii="Cambria" w:hAnsi="Cambria"/>
          <w:szCs w:val="22"/>
        </w:rPr>
        <w:t>50 mg/ivacaftor 75 mg) taken in the morning and one tablet (containing ivacaftor 150 mg) taken in the evening, approximately 12 hours apart.</w:t>
      </w:r>
    </w:p>
    <w:p w14:paraId="67E33CBB" w14:textId="77777777" w:rsidR="000E6601" w:rsidRPr="00DC1F68" w:rsidRDefault="000E6601" w:rsidP="000E6601">
      <w:pPr>
        <w:rPr>
          <w:rFonts w:ascii="Cambria" w:hAnsi="Cambria"/>
          <w:szCs w:val="22"/>
        </w:rPr>
      </w:pPr>
    </w:p>
    <w:p w14:paraId="139DC04E" w14:textId="77777777" w:rsidR="000E6601" w:rsidRPr="00DC1F68" w:rsidRDefault="000E6601" w:rsidP="000E6601">
      <w:pPr>
        <w:keepNext/>
        <w:rPr>
          <w:rFonts w:ascii="Cambria" w:hAnsi="Cambria"/>
          <w:bCs/>
          <w:i/>
          <w:szCs w:val="22"/>
        </w:rPr>
      </w:pPr>
      <w:r w:rsidRPr="00DC1F68">
        <w:rPr>
          <w:rFonts w:ascii="Cambria" w:hAnsi="Cambria"/>
          <w:bCs/>
          <w:i/>
          <w:szCs w:val="22"/>
        </w:rPr>
        <w:t xml:space="preserve">Missed dose </w:t>
      </w:r>
    </w:p>
    <w:p w14:paraId="25E7392B" w14:textId="77777777" w:rsidR="000E6601" w:rsidRPr="00DC1F68" w:rsidRDefault="000E6601" w:rsidP="000E6601">
      <w:pPr>
        <w:keepNext/>
        <w:rPr>
          <w:rFonts w:ascii="Cambria" w:hAnsi="Cambria"/>
          <w:bCs/>
          <w:szCs w:val="22"/>
        </w:rPr>
      </w:pPr>
      <w:r w:rsidRPr="00DC1F68">
        <w:rPr>
          <w:rFonts w:ascii="Cambria" w:hAnsi="Cambria"/>
          <w:bCs/>
          <w:szCs w:val="22"/>
        </w:rPr>
        <w:t xml:space="preserve">If 6 hours or less have passed since the missed morning or evening dose, the patient should take the missed dose as soon as possible and continue on the original schedule. </w:t>
      </w:r>
    </w:p>
    <w:p w14:paraId="3288EF61" w14:textId="77777777" w:rsidR="000E6601" w:rsidRPr="00DC1F68" w:rsidRDefault="000E6601" w:rsidP="000E6601">
      <w:pPr>
        <w:rPr>
          <w:rFonts w:ascii="Cambria" w:hAnsi="Cambria"/>
          <w:bCs/>
          <w:szCs w:val="22"/>
        </w:rPr>
      </w:pPr>
      <w:r w:rsidRPr="00DC1F68">
        <w:rPr>
          <w:rFonts w:ascii="Cambria" w:hAnsi="Cambria"/>
          <w:bCs/>
          <w:szCs w:val="22"/>
        </w:rPr>
        <w:t>If more than 6 hours have passed since:</w:t>
      </w:r>
    </w:p>
    <w:p w14:paraId="4A541E06" w14:textId="77777777" w:rsidR="000E6601" w:rsidRPr="0005026B" w:rsidRDefault="000E6601" w:rsidP="000E6601">
      <w:pPr>
        <w:numPr>
          <w:ilvl w:val="0"/>
          <w:numId w:val="36"/>
        </w:numPr>
        <w:rPr>
          <w:rFonts w:ascii="Cambria" w:hAnsi="Cambria"/>
          <w:bCs/>
          <w:szCs w:val="22"/>
        </w:rPr>
      </w:pPr>
      <w:r w:rsidRPr="00DC1F68">
        <w:rPr>
          <w:rFonts w:ascii="Cambria" w:hAnsi="Cambria"/>
          <w:bCs/>
          <w:szCs w:val="22"/>
        </w:rPr>
        <w:t>the missed</w:t>
      </w:r>
      <w:r w:rsidRPr="0005026B">
        <w:rPr>
          <w:rFonts w:ascii="Cambria" w:hAnsi="Cambria"/>
          <w:b/>
          <w:bCs/>
          <w:szCs w:val="22"/>
        </w:rPr>
        <w:t xml:space="preserve"> </w:t>
      </w:r>
      <w:r w:rsidRPr="0005026B">
        <w:rPr>
          <w:rFonts w:ascii="Cambria" w:hAnsi="Cambria"/>
          <w:bCs/>
          <w:szCs w:val="22"/>
        </w:rPr>
        <w:t>morning dose</w:t>
      </w:r>
      <w:r w:rsidRPr="00DC1F68">
        <w:rPr>
          <w:rFonts w:ascii="Cambria" w:hAnsi="Cambria"/>
          <w:bCs/>
          <w:szCs w:val="22"/>
        </w:rPr>
        <w:t xml:space="preserve">, the patient should take the missed dose as soon as possible and </w:t>
      </w:r>
      <w:r w:rsidRPr="0005026B">
        <w:rPr>
          <w:rFonts w:ascii="Cambria" w:hAnsi="Cambria"/>
          <w:bCs/>
          <w:szCs w:val="22"/>
        </w:rPr>
        <w:t>should not take</w:t>
      </w:r>
      <w:r w:rsidRPr="00DC1F68">
        <w:rPr>
          <w:rFonts w:ascii="Cambria" w:hAnsi="Cambria"/>
          <w:bCs/>
          <w:szCs w:val="22"/>
        </w:rPr>
        <w:t xml:space="preserve"> the evening dose. The next scheduled morning dose should be taken at the usual time</w:t>
      </w:r>
      <w:r w:rsidRPr="0005026B">
        <w:rPr>
          <w:rFonts w:ascii="Cambria" w:hAnsi="Cambria"/>
          <w:bCs/>
          <w:szCs w:val="22"/>
        </w:rPr>
        <w:t>.</w:t>
      </w:r>
    </w:p>
    <w:p w14:paraId="1810B874" w14:textId="77777777" w:rsidR="000E6601" w:rsidRPr="00DC1F68" w:rsidRDefault="000E6601" w:rsidP="000E6601">
      <w:pPr>
        <w:numPr>
          <w:ilvl w:val="0"/>
          <w:numId w:val="36"/>
        </w:numPr>
        <w:rPr>
          <w:rFonts w:ascii="Cambria" w:hAnsi="Cambria"/>
          <w:bCs/>
          <w:szCs w:val="22"/>
        </w:rPr>
      </w:pPr>
      <w:r w:rsidRPr="0005026B">
        <w:rPr>
          <w:rFonts w:ascii="Cambria" w:hAnsi="Cambria"/>
          <w:bCs/>
          <w:szCs w:val="22"/>
        </w:rPr>
        <w:t xml:space="preserve">the missed </w:t>
      </w:r>
      <w:r w:rsidRPr="00D74967">
        <w:rPr>
          <w:rFonts w:ascii="Cambria" w:hAnsi="Cambria"/>
          <w:bCs/>
          <w:szCs w:val="22"/>
        </w:rPr>
        <w:t>evening</w:t>
      </w:r>
      <w:r w:rsidRPr="0005026B">
        <w:rPr>
          <w:rFonts w:ascii="Cambria" w:hAnsi="Cambria"/>
          <w:bCs/>
          <w:szCs w:val="22"/>
        </w:rPr>
        <w:t xml:space="preserve"> dose, the patient should </w:t>
      </w:r>
      <w:r w:rsidRPr="00D74967">
        <w:rPr>
          <w:rFonts w:ascii="Cambria" w:hAnsi="Cambria"/>
          <w:bCs/>
          <w:szCs w:val="22"/>
        </w:rPr>
        <w:t>not</w:t>
      </w:r>
      <w:r w:rsidRPr="0005026B">
        <w:rPr>
          <w:rFonts w:ascii="Cambria" w:hAnsi="Cambria"/>
          <w:bCs/>
          <w:szCs w:val="22"/>
        </w:rPr>
        <w:t xml:space="preserve"> take the missed</w:t>
      </w:r>
      <w:r w:rsidRPr="00DC1F68">
        <w:rPr>
          <w:rFonts w:ascii="Cambria" w:hAnsi="Cambria"/>
          <w:bCs/>
          <w:szCs w:val="22"/>
        </w:rPr>
        <w:t xml:space="preserve"> dose. The next scheduled morning dose should be taken at the usual time. </w:t>
      </w:r>
    </w:p>
    <w:p w14:paraId="5480FFAC" w14:textId="77777777" w:rsidR="000E6601" w:rsidRPr="00DC1F68" w:rsidRDefault="000E6601" w:rsidP="000E6601">
      <w:pPr>
        <w:rPr>
          <w:rFonts w:ascii="Cambria" w:hAnsi="Cambria"/>
          <w:bCs/>
          <w:szCs w:val="22"/>
        </w:rPr>
      </w:pPr>
      <w:r w:rsidRPr="00DC1F68">
        <w:rPr>
          <w:rFonts w:ascii="Cambria" w:hAnsi="Cambria"/>
          <w:bCs/>
          <w:szCs w:val="22"/>
        </w:rPr>
        <w:t>Morning and evening doses should not be taken at the same time.</w:t>
      </w:r>
    </w:p>
    <w:p w14:paraId="4E578551" w14:textId="5A2D5B62" w:rsidR="00DE08E0" w:rsidRPr="00DC1F68" w:rsidRDefault="00DE08E0" w:rsidP="00DE08E0">
      <w:pPr>
        <w:rPr>
          <w:rFonts w:ascii="Cambria" w:hAnsi="Cambria"/>
        </w:rPr>
      </w:pPr>
    </w:p>
    <w:p w14:paraId="0EA24906" w14:textId="77777777" w:rsidR="00DE08E0" w:rsidRPr="00DC1F68" w:rsidRDefault="00DE08E0" w:rsidP="00DE08E0">
      <w:pPr>
        <w:rPr>
          <w:rFonts w:ascii="Cambria" w:hAnsi="Cambria"/>
          <w:b/>
        </w:rPr>
      </w:pPr>
      <w:r w:rsidRPr="00DC1F68">
        <w:rPr>
          <w:rFonts w:ascii="Cambria" w:hAnsi="Cambria"/>
          <w:b/>
        </w:rPr>
        <w:t>Method of administration</w:t>
      </w:r>
    </w:p>
    <w:p w14:paraId="09F7287E" w14:textId="77777777" w:rsidR="00B165DA" w:rsidRPr="00DC1F68" w:rsidRDefault="00B165DA" w:rsidP="00B165DA">
      <w:pPr>
        <w:rPr>
          <w:rFonts w:ascii="Cambria" w:hAnsi="Cambria"/>
          <w:szCs w:val="22"/>
        </w:rPr>
      </w:pPr>
      <w:r w:rsidRPr="00DC1F68">
        <w:rPr>
          <w:rFonts w:ascii="Cambria" w:hAnsi="Cambria"/>
          <w:szCs w:val="22"/>
        </w:rPr>
        <w:t>For oral use. Patients should be instructed to swallow the tablets whole.</w:t>
      </w:r>
    </w:p>
    <w:p w14:paraId="1D5C5817" w14:textId="77777777" w:rsidR="00B165DA" w:rsidRPr="00DC1F68" w:rsidRDefault="00B165DA" w:rsidP="00B165DA">
      <w:pPr>
        <w:rPr>
          <w:rFonts w:ascii="Cambria" w:hAnsi="Cambria"/>
          <w:szCs w:val="22"/>
        </w:rPr>
      </w:pPr>
    </w:p>
    <w:p w14:paraId="77D84425" w14:textId="17BEEF31" w:rsidR="00B165DA" w:rsidRPr="00DC1F68" w:rsidRDefault="008649F5" w:rsidP="00B165DA">
      <w:pPr>
        <w:rPr>
          <w:rFonts w:ascii="Cambria" w:hAnsi="Cambria"/>
          <w:szCs w:val="22"/>
        </w:rPr>
      </w:pPr>
      <w:r>
        <w:rPr>
          <w:rFonts w:ascii="Cambria" w:hAnsi="Cambria"/>
          <w:szCs w:val="22"/>
        </w:rPr>
        <w:t xml:space="preserve">A fat-containing meal or snack should be consumed just before or just after dosing of </w:t>
      </w:r>
      <w:r w:rsidR="00B165DA" w:rsidRPr="00DC1F68">
        <w:rPr>
          <w:rFonts w:ascii="Cambria" w:hAnsi="Cambria"/>
          <w:szCs w:val="22"/>
        </w:rPr>
        <w:t>T</w:t>
      </w:r>
      <w:r w:rsidR="002A3388">
        <w:rPr>
          <w:rFonts w:ascii="Cambria" w:hAnsi="Cambria"/>
          <w:szCs w:val="22"/>
        </w:rPr>
        <w:t>RIKAFTA</w:t>
      </w:r>
      <w:r w:rsidR="00B165DA" w:rsidRPr="00DC1F68">
        <w:rPr>
          <w:rFonts w:ascii="Cambria" w:hAnsi="Cambria"/>
          <w:szCs w:val="22"/>
        </w:rPr>
        <w:t xml:space="preserve">. </w:t>
      </w:r>
      <w:r w:rsidRPr="008649F5">
        <w:rPr>
          <w:rFonts w:ascii="Cambria" w:hAnsi="Cambria"/>
          <w:szCs w:val="22"/>
        </w:rPr>
        <w:t xml:space="preserve"> </w:t>
      </w:r>
      <w:r w:rsidRPr="00256FFA">
        <w:rPr>
          <w:rFonts w:ascii="Cambria" w:hAnsi="Cambria"/>
          <w:szCs w:val="22"/>
        </w:rPr>
        <w:t xml:space="preserve">Meals and snacks recommended in CF guidelines or meals recommended in standard nutritional guidelines contain adequate amounts of fat. A serving size of foods appropriate for age from a typical CF diet should be given. </w:t>
      </w:r>
      <w:r w:rsidR="00B165DA" w:rsidRPr="00DC1F68">
        <w:rPr>
          <w:rFonts w:ascii="Cambria" w:hAnsi="Cambria"/>
          <w:szCs w:val="22"/>
        </w:rPr>
        <w:t xml:space="preserve">Examples of meals or snacks that contain fat are those prepared with butter or oils or those containing eggs, cheeses, nuts, </w:t>
      </w:r>
      <w:r>
        <w:rPr>
          <w:rFonts w:ascii="Cambria" w:hAnsi="Cambria"/>
          <w:szCs w:val="22"/>
        </w:rPr>
        <w:t xml:space="preserve">chocolate, </w:t>
      </w:r>
      <w:r w:rsidR="00B165DA" w:rsidRPr="00DC1F68">
        <w:rPr>
          <w:rFonts w:ascii="Cambria" w:hAnsi="Cambria"/>
          <w:szCs w:val="22"/>
        </w:rPr>
        <w:t xml:space="preserve">whole milk, </w:t>
      </w:r>
      <w:r>
        <w:rPr>
          <w:rFonts w:ascii="Cambria" w:hAnsi="Cambria"/>
          <w:szCs w:val="22"/>
        </w:rPr>
        <w:t>whole-milk dairy products,</w:t>
      </w:r>
      <w:r w:rsidR="00B165DA" w:rsidRPr="00DC1F68">
        <w:rPr>
          <w:rFonts w:ascii="Cambria" w:hAnsi="Cambria"/>
          <w:szCs w:val="22"/>
        </w:rPr>
        <w:t xml:space="preserve"> meats</w:t>
      </w:r>
      <w:r>
        <w:rPr>
          <w:rFonts w:ascii="Cambria" w:hAnsi="Cambria"/>
          <w:szCs w:val="22"/>
        </w:rPr>
        <w:t xml:space="preserve">, avocado, </w:t>
      </w:r>
      <w:r w:rsidR="00D50F1C">
        <w:rPr>
          <w:rFonts w:ascii="Cambria" w:hAnsi="Cambria"/>
          <w:szCs w:val="22"/>
        </w:rPr>
        <w:t xml:space="preserve">hummus, </w:t>
      </w:r>
      <w:r>
        <w:rPr>
          <w:rFonts w:ascii="Cambria" w:hAnsi="Cambria"/>
          <w:szCs w:val="22"/>
        </w:rPr>
        <w:t>oily fish, and soy-based products (tofu)</w:t>
      </w:r>
      <w:r w:rsidR="00B165DA" w:rsidRPr="00DC1F68">
        <w:rPr>
          <w:rFonts w:ascii="Cambria" w:hAnsi="Cambria"/>
          <w:szCs w:val="22"/>
        </w:rPr>
        <w:t xml:space="preserve"> (see section 5.2</w:t>
      </w:r>
      <w:r w:rsidR="00B165DA" w:rsidRPr="00DC1F68">
        <w:rPr>
          <w:rFonts w:ascii="Cambria" w:hAnsi="Cambria"/>
        </w:rPr>
        <w:t xml:space="preserve"> PHARMACOKINETIC PROPERTIES</w:t>
      </w:r>
      <w:r w:rsidR="00B165DA" w:rsidRPr="00DC1F68">
        <w:rPr>
          <w:rFonts w:ascii="Cambria" w:hAnsi="Cambria"/>
          <w:szCs w:val="22"/>
        </w:rPr>
        <w:t>).</w:t>
      </w:r>
    </w:p>
    <w:p w14:paraId="1EB5007F" w14:textId="1069F3CB" w:rsidR="006D028B" w:rsidRPr="00DC1F68" w:rsidRDefault="006D028B" w:rsidP="00DE08E0">
      <w:pPr>
        <w:rPr>
          <w:rFonts w:ascii="Cambria" w:hAnsi="Cambria"/>
        </w:rPr>
      </w:pPr>
    </w:p>
    <w:p w14:paraId="48CC86CE" w14:textId="4D8F9F7F" w:rsidR="00DE08E0" w:rsidRPr="00DC1F68" w:rsidRDefault="00B165DA" w:rsidP="00DE08E0">
      <w:pPr>
        <w:rPr>
          <w:rFonts w:ascii="Cambria" w:hAnsi="Cambria"/>
          <w:szCs w:val="22"/>
        </w:rPr>
      </w:pPr>
      <w:r w:rsidRPr="00DC1F68">
        <w:rPr>
          <w:rFonts w:ascii="Cambria" w:hAnsi="Cambria"/>
          <w:szCs w:val="22"/>
        </w:rPr>
        <w:t>Food or drink containing grapefruit should be avoided during treatment with T</w:t>
      </w:r>
      <w:r w:rsidR="002A3388">
        <w:rPr>
          <w:rFonts w:ascii="Cambria" w:hAnsi="Cambria"/>
          <w:szCs w:val="22"/>
        </w:rPr>
        <w:t>RIKAFTA</w:t>
      </w:r>
      <w:r w:rsidRPr="00DC1F68">
        <w:rPr>
          <w:rFonts w:ascii="Cambria" w:hAnsi="Cambria"/>
          <w:szCs w:val="22"/>
        </w:rPr>
        <w:t xml:space="preserve"> (see section 4.5</w:t>
      </w:r>
      <w:r w:rsidRPr="00DC1F68">
        <w:rPr>
          <w:rFonts w:ascii="Cambria" w:hAnsi="Cambria"/>
        </w:rPr>
        <w:t xml:space="preserve"> INTERACTIONS WITH OTHER MEDICINES AND OTHER FORMS OF INTERACTIONS</w:t>
      </w:r>
      <w:r w:rsidRPr="00DC1F68">
        <w:rPr>
          <w:rFonts w:ascii="Cambria" w:hAnsi="Cambria"/>
          <w:szCs w:val="22"/>
        </w:rPr>
        <w:t>).</w:t>
      </w:r>
    </w:p>
    <w:p w14:paraId="695C5E81" w14:textId="77777777" w:rsidR="00DE08E0" w:rsidRPr="00AF1812" w:rsidRDefault="00DE08E0" w:rsidP="00DE08E0">
      <w:pPr>
        <w:rPr>
          <w:rFonts w:ascii="Cambria" w:hAnsi="Cambria"/>
        </w:rPr>
      </w:pPr>
    </w:p>
    <w:p w14:paraId="22CEDB04" w14:textId="2BDBBC60" w:rsidR="00390958" w:rsidRPr="00B20D39" w:rsidRDefault="006F58AB" w:rsidP="00DE08E0">
      <w:pPr>
        <w:rPr>
          <w:rFonts w:ascii="Cambria" w:hAnsi="Cambria"/>
          <w:b/>
        </w:rPr>
      </w:pPr>
      <w:r w:rsidRPr="00B20D39">
        <w:rPr>
          <w:rFonts w:ascii="Cambria" w:hAnsi="Cambria"/>
          <w:b/>
        </w:rPr>
        <w:t>Dosage adjustment</w:t>
      </w:r>
    </w:p>
    <w:p w14:paraId="4F46CD9F" w14:textId="77777777" w:rsidR="00DE08E0" w:rsidRPr="002B49CC" w:rsidRDefault="00DE08E0" w:rsidP="00DE08E0">
      <w:pPr>
        <w:rPr>
          <w:rFonts w:ascii="Cambria" w:hAnsi="Cambria"/>
          <w:i/>
        </w:rPr>
      </w:pPr>
      <w:r w:rsidRPr="002B49CC">
        <w:rPr>
          <w:rFonts w:ascii="Cambria" w:hAnsi="Cambria"/>
          <w:i/>
        </w:rPr>
        <w:t>Hepatic impairment</w:t>
      </w:r>
    </w:p>
    <w:p w14:paraId="0D8819F3" w14:textId="5846694E" w:rsidR="00B20D39" w:rsidRPr="00B20D39" w:rsidRDefault="00B165DA" w:rsidP="00B20D39">
      <w:pPr>
        <w:pStyle w:val="labeltext"/>
        <w:rPr>
          <w:rFonts w:ascii="Cambria" w:hAnsi="Cambria"/>
          <w:sz w:val="22"/>
          <w:szCs w:val="22"/>
        </w:rPr>
      </w:pPr>
      <w:r w:rsidRPr="00B20D39">
        <w:rPr>
          <w:rFonts w:ascii="Cambria" w:hAnsi="Cambria"/>
          <w:sz w:val="22"/>
          <w:szCs w:val="22"/>
        </w:rPr>
        <w:t xml:space="preserve">Treatment of patients with </w:t>
      </w:r>
      <w:r w:rsidR="00A608E3" w:rsidRPr="00B20D39">
        <w:rPr>
          <w:rFonts w:ascii="Cambria" w:hAnsi="Cambria"/>
          <w:sz w:val="22"/>
          <w:szCs w:val="22"/>
        </w:rPr>
        <w:t xml:space="preserve">moderate </w:t>
      </w:r>
      <w:r w:rsidRPr="00B20D39">
        <w:rPr>
          <w:rFonts w:ascii="Cambria" w:hAnsi="Cambria"/>
          <w:sz w:val="22"/>
          <w:szCs w:val="22"/>
        </w:rPr>
        <w:t>hepatic impairment</w:t>
      </w:r>
      <w:r w:rsidR="00D86570">
        <w:rPr>
          <w:rFonts w:ascii="Cambria" w:hAnsi="Cambria"/>
          <w:sz w:val="22"/>
          <w:szCs w:val="22"/>
        </w:rPr>
        <w:t xml:space="preserve"> (Child-Pugh Class B)</w:t>
      </w:r>
      <w:r w:rsidRPr="00D86570">
        <w:rPr>
          <w:rFonts w:ascii="Cambria" w:hAnsi="Cambria"/>
          <w:sz w:val="22"/>
          <w:szCs w:val="22"/>
        </w:rPr>
        <w:t xml:space="preserve"> is not recommended. </w:t>
      </w:r>
      <w:r w:rsidR="00B20D39" w:rsidRPr="00B20D39">
        <w:rPr>
          <w:rFonts w:ascii="Cambria" w:hAnsi="Cambria"/>
          <w:sz w:val="22"/>
          <w:szCs w:val="22"/>
        </w:rPr>
        <w:t xml:space="preserve">Treatment of patients with moderate hepatic impairment should only be </w:t>
      </w:r>
      <w:r w:rsidR="00B20D39" w:rsidRPr="00B20D39">
        <w:rPr>
          <w:rFonts w:ascii="Cambria" w:hAnsi="Cambria"/>
          <w:sz w:val="22"/>
          <w:szCs w:val="22"/>
        </w:rPr>
        <w:lastRenderedPageBreak/>
        <w:t>considered when there is a clear medical need and the benefits are expected to outweigh the risks. If used, T</w:t>
      </w:r>
      <w:r w:rsidR="002A3388">
        <w:rPr>
          <w:rFonts w:ascii="Cambria" w:hAnsi="Cambria"/>
          <w:sz w:val="22"/>
          <w:szCs w:val="22"/>
        </w:rPr>
        <w:t>RIKAFTA</w:t>
      </w:r>
      <w:r w:rsidR="00B20D39" w:rsidRPr="00B20D39">
        <w:rPr>
          <w:rFonts w:ascii="Cambria" w:hAnsi="Cambria"/>
          <w:sz w:val="22"/>
          <w:szCs w:val="22"/>
        </w:rPr>
        <w:t xml:space="preserve"> should be used with caution at a reduced dose (see Table 1).</w:t>
      </w:r>
    </w:p>
    <w:p w14:paraId="39582FC2" w14:textId="77777777" w:rsidR="00B20D39" w:rsidRPr="00B20D39" w:rsidRDefault="00B20D39" w:rsidP="00B20D39">
      <w:pPr>
        <w:pStyle w:val="labeltext"/>
        <w:rPr>
          <w:rFonts w:ascii="Cambria" w:hAnsi="Cambria"/>
          <w:sz w:val="22"/>
          <w:szCs w:val="22"/>
        </w:rPr>
      </w:pPr>
    </w:p>
    <w:p w14:paraId="072CECF6" w14:textId="39EA17D5" w:rsidR="00B20D39" w:rsidRPr="00B20D39" w:rsidRDefault="00B20D39" w:rsidP="00B20D39">
      <w:pPr>
        <w:pStyle w:val="labeltext"/>
        <w:rPr>
          <w:rFonts w:ascii="Cambria" w:hAnsi="Cambria"/>
          <w:sz w:val="22"/>
          <w:szCs w:val="22"/>
        </w:rPr>
      </w:pPr>
      <w:bookmarkStart w:id="7" w:name="_Hlk40441557"/>
      <w:r w:rsidRPr="00B20D39">
        <w:rPr>
          <w:rFonts w:ascii="Cambria" w:hAnsi="Cambria"/>
          <w:sz w:val="22"/>
          <w:szCs w:val="22"/>
        </w:rPr>
        <w:t>Studies have not been conducted in patients with severe hepatic impairment</w:t>
      </w:r>
      <w:r w:rsidR="00D86570">
        <w:rPr>
          <w:rFonts w:ascii="Cambria" w:hAnsi="Cambria"/>
          <w:sz w:val="22"/>
          <w:szCs w:val="22"/>
        </w:rPr>
        <w:t xml:space="preserve"> (Child-Pugh Class C)</w:t>
      </w:r>
      <w:r w:rsidRPr="00B20D39">
        <w:rPr>
          <w:rFonts w:ascii="Cambria" w:hAnsi="Cambria"/>
          <w:sz w:val="22"/>
          <w:szCs w:val="22"/>
        </w:rPr>
        <w:t xml:space="preserve">, but the exposure is expected to be higher than in patients with moderate hepatic impairment. </w:t>
      </w:r>
      <w:bookmarkStart w:id="8" w:name="_Hlk40443032"/>
      <w:r w:rsidR="00D86570">
        <w:rPr>
          <w:rFonts w:ascii="Cambria" w:hAnsi="Cambria"/>
          <w:sz w:val="22"/>
          <w:szCs w:val="22"/>
        </w:rPr>
        <w:t>P</w:t>
      </w:r>
      <w:r w:rsidRPr="00B20D39">
        <w:rPr>
          <w:rFonts w:ascii="Cambria" w:hAnsi="Cambria"/>
          <w:sz w:val="22"/>
          <w:szCs w:val="22"/>
        </w:rPr>
        <w:t>atients with severe hepatic impairment</w:t>
      </w:r>
      <w:r w:rsidR="00D86570">
        <w:rPr>
          <w:rFonts w:ascii="Cambria" w:hAnsi="Cambria"/>
          <w:sz w:val="22"/>
          <w:szCs w:val="22"/>
        </w:rPr>
        <w:t xml:space="preserve"> should not be treated with T</w:t>
      </w:r>
      <w:r w:rsidR="002A3388">
        <w:rPr>
          <w:rFonts w:ascii="Cambria" w:hAnsi="Cambria"/>
          <w:sz w:val="22"/>
          <w:szCs w:val="22"/>
        </w:rPr>
        <w:t>RIKAFTA</w:t>
      </w:r>
      <w:r w:rsidRPr="00B20D39">
        <w:rPr>
          <w:rFonts w:ascii="Cambria" w:hAnsi="Cambria"/>
          <w:sz w:val="22"/>
          <w:szCs w:val="22"/>
        </w:rPr>
        <w:t>.</w:t>
      </w:r>
      <w:bookmarkEnd w:id="8"/>
    </w:p>
    <w:bookmarkEnd w:id="7"/>
    <w:p w14:paraId="40A29717" w14:textId="77777777" w:rsidR="00B20D39" w:rsidRPr="00B20D39" w:rsidRDefault="00B20D39" w:rsidP="00B165DA">
      <w:pPr>
        <w:pStyle w:val="labeltext"/>
        <w:rPr>
          <w:rFonts w:ascii="Cambria" w:hAnsi="Cambria"/>
          <w:sz w:val="22"/>
          <w:szCs w:val="22"/>
        </w:rPr>
      </w:pPr>
    </w:p>
    <w:p w14:paraId="27CC9498" w14:textId="47614ABA" w:rsidR="00B20D39" w:rsidRPr="00B20D39" w:rsidRDefault="00B165DA" w:rsidP="00B165DA">
      <w:pPr>
        <w:pStyle w:val="labeltext"/>
        <w:rPr>
          <w:rFonts w:ascii="Cambria" w:hAnsi="Cambria"/>
          <w:sz w:val="22"/>
          <w:szCs w:val="22"/>
        </w:rPr>
      </w:pPr>
      <w:r w:rsidRPr="00B20D39">
        <w:rPr>
          <w:rFonts w:ascii="Cambria" w:hAnsi="Cambria"/>
          <w:sz w:val="22"/>
          <w:szCs w:val="22"/>
        </w:rPr>
        <w:t>No dose adjustment is recommended for patients with mild hepatic impairment</w:t>
      </w:r>
      <w:r w:rsidR="00B20D39" w:rsidRPr="00B20D39">
        <w:rPr>
          <w:rFonts w:ascii="Cambria" w:hAnsi="Cambria"/>
          <w:sz w:val="22"/>
          <w:szCs w:val="22"/>
        </w:rPr>
        <w:t xml:space="preserve"> (Child-Pugh Class A)</w:t>
      </w:r>
      <w:r w:rsidRPr="00B20D39">
        <w:rPr>
          <w:rFonts w:ascii="Cambria" w:hAnsi="Cambria"/>
          <w:sz w:val="22"/>
          <w:szCs w:val="22"/>
        </w:rPr>
        <w:t xml:space="preserve"> (see section 5.2</w:t>
      </w:r>
      <w:r w:rsidR="000609ED" w:rsidRPr="00B20D39">
        <w:rPr>
          <w:rFonts w:ascii="Cambria" w:hAnsi="Cambria"/>
        </w:rPr>
        <w:t xml:space="preserve"> </w:t>
      </w:r>
      <w:r w:rsidR="000609ED" w:rsidRPr="00B20D39">
        <w:rPr>
          <w:rFonts w:ascii="Cambria" w:hAnsi="Cambria"/>
          <w:sz w:val="22"/>
        </w:rPr>
        <w:t>PHARMACOKINETIC PROPERTIES</w:t>
      </w:r>
      <w:r w:rsidRPr="00B20D39">
        <w:rPr>
          <w:rFonts w:ascii="Cambria" w:hAnsi="Cambria"/>
          <w:sz w:val="22"/>
          <w:szCs w:val="22"/>
        </w:rPr>
        <w:t>).</w:t>
      </w:r>
    </w:p>
    <w:p w14:paraId="3DA270D7" w14:textId="77777777" w:rsidR="003D3D60" w:rsidRPr="00B20D39" w:rsidRDefault="003D3D60" w:rsidP="00B165DA">
      <w:pPr>
        <w:pStyle w:val="labeltext"/>
        <w:rPr>
          <w:rFonts w:ascii="Cambria" w:hAnsi="Cambria"/>
          <w:sz w:val="22"/>
          <w:szCs w:val="22"/>
        </w:rPr>
      </w:pPr>
    </w:p>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3057"/>
      </w:tblGrid>
      <w:tr w:rsidR="00D713AD" w:rsidRPr="00DC1F68" w14:paraId="4CCAA7BB" w14:textId="77777777" w:rsidTr="00E13ED4">
        <w:tc>
          <w:tcPr>
            <w:tcW w:w="7906" w:type="dxa"/>
            <w:gridSpan w:val="3"/>
            <w:shd w:val="clear" w:color="auto" w:fill="auto"/>
          </w:tcPr>
          <w:p w14:paraId="095F976A" w14:textId="0E165E28" w:rsidR="00D713AD" w:rsidRPr="008D556A" w:rsidRDefault="00D713AD" w:rsidP="00DC1F68">
            <w:pPr>
              <w:rPr>
                <w:rFonts w:ascii="Cambria" w:eastAsia="SimSun" w:hAnsi="Cambria"/>
                <w:b/>
                <w:szCs w:val="22"/>
              </w:rPr>
            </w:pPr>
            <w:r w:rsidRPr="00B20D39">
              <w:rPr>
                <w:rFonts w:ascii="Cambria" w:hAnsi="Cambria"/>
                <w:b/>
                <w:bCs/>
                <w:szCs w:val="22"/>
              </w:rPr>
              <w:t xml:space="preserve">Table 1: </w:t>
            </w:r>
            <w:r w:rsidR="00B20D39" w:rsidRPr="00B20D39">
              <w:rPr>
                <w:rFonts w:ascii="Cambria" w:hAnsi="Cambria"/>
                <w:b/>
                <w:bCs/>
                <w:szCs w:val="22"/>
              </w:rPr>
              <w:t xml:space="preserve">Recommendation for </w:t>
            </w:r>
            <w:r w:rsidR="00D86570">
              <w:rPr>
                <w:rFonts w:ascii="Cambria" w:hAnsi="Cambria"/>
                <w:b/>
                <w:bCs/>
                <w:szCs w:val="22"/>
              </w:rPr>
              <w:t>U</w:t>
            </w:r>
            <w:r w:rsidR="00B20D39" w:rsidRPr="00D86570">
              <w:rPr>
                <w:rFonts w:ascii="Cambria" w:hAnsi="Cambria"/>
                <w:b/>
                <w:bCs/>
                <w:szCs w:val="22"/>
              </w:rPr>
              <w:t xml:space="preserve">se </w:t>
            </w:r>
            <w:r w:rsidRPr="002B49CC">
              <w:rPr>
                <w:rFonts w:ascii="Cambria" w:hAnsi="Cambria"/>
                <w:b/>
                <w:bCs/>
                <w:szCs w:val="22"/>
              </w:rPr>
              <w:t>in Patients with Hepatic Impairment</w:t>
            </w:r>
          </w:p>
        </w:tc>
      </w:tr>
      <w:tr w:rsidR="00D713AD" w:rsidRPr="00DC1F68" w14:paraId="503FC7B8" w14:textId="77777777" w:rsidTr="00AB75F1">
        <w:tc>
          <w:tcPr>
            <w:tcW w:w="1588" w:type="dxa"/>
            <w:shd w:val="clear" w:color="auto" w:fill="auto"/>
          </w:tcPr>
          <w:p w14:paraId="283B435B" w14:textId="77777777" w:rsidR="00D713AD" w:rsidRPr="00DC1F68" w:rsidRDefault="00D713AD" w:rsidP="00DC1F68">
            <w:pPr>
              <w:rPr>
                <w:rFonts w:ascii="Cambria" w:eastAsia="SimSun" w:hAnsi="Cambria"/>
                <w:szCs w:val="22"/>
              </w:rPr>
            </w:pPr>
          </w:p>
        </w:tc>
        <w:tc>
          <w:tcPr>
            <w:tcW w:w="3261" w:type="dxa"/>
            <w:shd w:val="clear" w:color="auto" w:fill="auto"/>
          </w:tcPr>
          <w:p w14:paraId="0493B987" w14:textId="208D325C" w:rsidR="00D713AD" w:rsidRPr="00B20D39" w:rsidRDefault="00D713AD" w:rsidP="00DC1F68">
            <w:pPr>
              <w:rPr>
                <w:rFonts w:ascii="Cambria" w:eastAsia="SimSun" w:hAnsi="Cambria"/>
                <w:szCs w:val="22"/>
              </w:rPr>
            </w:pPr>
            <w:r w:rsidRPr="00B20D39">
              <w:rPr>
                <w:rFonts w:ascii="Cambria" w:eastAsia="SimSun" w:hAnsi="Cambria"/>
                <w:b/>
                <w:szCs w:val="22"/>
              </w:rPr>
              <w:t>Morning</w:t>
            </w:r>
          </w:p>
        </w:tc>
        <w:tc>
          <w:tcPr>
            <w:tcW w:w="3057" w:type="dxa"/>
            <w:shd w:val="clear" w:color="auto" w:fill="auto"/>
          </w:tcPr>
          <w:p w14:paraId="32411DC0" w14:textId="655A7445" w:rsidR="00D713AD" w:rsidRPr="00DC1F68" w:rsidRDefault="00D713AD" w:rsidP="00DC1F68">
            <w:pPr>
              <w:rPr>
                <w:rFonts w:ascii="Cambria" w:eastAsia="SimSun" w:hAnsi="Cambria"/>
                <w:szCs w:val="22"/>
              </w:rPr>
            </w:pPr>
            <w:r w:rsidRPr="00DC1F68">
              <w:rPr>
                <w:rFonts w:ascii="Cambria" w:eastAsia="SimSun" w:hAnsi="Cambria"/>
                <w:b/>
                <w:szCs w:val="22"/>
              </w:rPr>
              <w:t>Evening</w:t>
            </w:r>
          </w:p>
        </w:tc>
      </w:tr>
      <w:tr w:rsidR="00D713AD" w:rsidRPr="00DC1F68" w14:paraId="0F071F3E" w14:textId="77777777" w:rsidTr="00AB75F1">
        <w:tc>
          <w:tcPr>
            <w:tcW w:w="1588" w:type="dxa"/>
            <w:shd w:val="clear" w:color="auto" w:fill="auto"/>
          </w:tcPr>
          <w:p w14:paraId="39DDB596" w14:textId="5A9AB508" w:rsidR="00D713AD" w:rsidRPr="00DC1F68" w:rsidRDefault="00D713AD" w:rsidP="00DC1F68">
            <w:pPr>
              <w:rPr>
                <w:rFonts w:ascii="Cambria" w:eastAsia="SimSun" w:hAnsi="Cambria"/>
                <w:b/>
                <w:szCs w:val="22"/>
              </w:rPr>
            </w:pPr>
            <w:r w:rsidRPr="00DC1F68">
              <w:rPr>
                <w:rFonts w:ascii="Cambria" w:eastAsia="SimSun" w:hAnsi="Cambria"/>
                <w:b/>
                <w:szCs w:val="22"/>
              </w:rPr>
              <w:t>Mild (Child</w:t>
            </w:r>
            <w:r w:rsidRPr="00DC1F68">
              <w:rPr>
                <w:rFonts w:ascii="Cambria" w:eastAsia="SimSun" w:hAnsi="Cambria"/>
                <w:b/>
                <w:szCs w:val="22"/>
              </w:rPr>
              <w:noBreakHyphen/>
              <w:t>Pugh Class A)</w:t>
            </w:r>
          </w:p>
        </w:tc>
        <w:tc>
          <w:tcPr>
            <w:tcW w:w="3261" w:type="dxa"/>
            <w:shd w:val="clear" w:color="auto" w:fill="auto"/>
          </w:tcPr>
          <w:p w14:paraId="098C09DF" w14:textId="41B65043" w:rsidR="00D713AD" w:rsidRPr="00B20D39" w:rsidRDefault="00D713AD" w:rsidP="00DC1F68">
            <w:pPr>
              <w:rPr>
                <w:rFonts w:ascii="Cambria" w:eastAsia="SimSun" w:hAnsi="Cambria"/>
                <w:szCs w:val="22"/>
              </w:rPr>
            </w:pPr>
            <w:r w:rsidRPr="00B20D39">
              <w:rPr>
                <w:rFonts w:ascii="Cambria" w:eastAsia="SimSun" w:hAnsi="Cambria"/>
                <w:szCs w:val="22"/>
              </w:rPr>
              <w:t xml:space="preserve">No dose adjustment </w:t>
            </w:r>
            <w:r w:rsidR="00B20D39" w:rsidRPr="00B20D39">
              <w:rPr>
                <w:rFonts w:ascii="Cambria" w:eastAsia="SimSun" w:hAnsi="Cambria"/>
                <w:szCs w:val="22"/>
              </w:rPr>
              <w:t>(Two elexacaftor/tezacaftor/ivacaftor tablets)</w:t>
            </w:r>
          </w:p>
        </w:tc>
        <w:tc>
          <w:tcPr>
            <w:tcW w:w="3057" w:type="dxa"/>
            <w:shd w:val="clear" w:color="auto" w:fill="auto"/>
          </w:tcPr>
          <w:p w14:paraId="5C636356" w14:textId="4C07A8E0" w:rsidR="00D713AD" w:rsidRPr="00DC1F68" w:rsidRDefault="00D713AD" w:rsidP="00DC1F68">
            <w:pPr>
              <w:rPr>
                <w:rFonts w:ascii="Cambria" w:eastAsia="SimSun" w:hAnsi="Cambria"/>
                <w:szCs w:val="22"/>
              </w:rPr>
            </w:pPr>
            <w:r w:rsidRPr="00DC1F68">
              <w:rPr>
                <w:rFonts w:ascii="Cambria" w:eastAsia="SimSun" w:hAnsi="Cambria"/>
                <w:szCs w:val="22"/>
              </w:rPr>
              <w:t xml:space="preserve">No dose adjustment </w:t>
            </w:r>
            <w:r w:rsidR="00B20D39" w:rsidRPr="004A11C1">
              <w:rPr>
                <w:rFonts w:eastAsia="SimSun"/>
                <w:szCs w:val="22"/>
              </w:rPr>
              <w:t>(One ivacaftor tablet)</w:t>
            </w:r>
          </w:p>
        </w:tc>
      </w:tr>
      <w:tr w:rsidR="00D713AD" w:rsidRPr="00DC1F68" w14:paraId="4DCC672F" w14:textId="77777777" w:rsidTr="00AB75F1">
        <w:tc>
          <w:tcPr>
            <w:tcW w:w="1588" w:type="dxa"/>
            <w:shd w:val="clear" w:color="auto" w:fill="auto"/>
          </w:tcPr>
          <w:p w14:paraId="1F4634B7" w14:textId="069D3557" w:rsidR="00D713AD" w:rsidRPr="00DC1F68" w:rsidRDefault="00D713AD" w:rsidP="00DC1F68">
            <w:pPr>
              <w:rPr>
                <w:rFonts w:ascii="Cambria" w:eastAsia="SimSun" w:hAnsi="Cambria"/>
                <w:b/>
                <w:szCs w:val="22"/>
              </w:rPr>
            </w:pPr>
            <w:r w:rsidRPr="00DC1F68">
              <w:rPr>
                <w:rFonts w:ascii="Cambria" w:eastAsia="SimSun" w:hAnsi="Cambria"/>
                <w:b/>
                <w:szCs w:val="22"/>
              </w:rPr>
              <w:t>Moderate (Child</w:t>
            </w:r>
            <w:r w:rsidRPr="00DC1F68">
              <w:rPr>
                <w:rFonts w:ascii="Cambria" w:eastAsia="SimSun" w:hAnsi="Cambria"/>
                <w:b/>
                <w:szCs w:val="22"/>
              </w:rPr>
              <w:noBreakHyphen/>
              <w:t>Pugh Class B)</w:t>
            </w:r>
            <w:r w:rsidR="00B20D39">
              <w:rPr>
                <w:rFonts w:ascii="Cambria" w:eastAsia="SimSun" w:hAnsi="Cambria"/>
                <w:b/>
                <w:szCs w:val="22"/>
              </w:rPr>
              <w:t>*</w:t>
            </w:r>
          </w:p>
        </w:tc>
        <w:tc>
          <w:tcPr>
            <w:tcW w:w="3261" w:type="dxa"/>
            <w:shd w:val="clear" w:color="auto" w:fill="auto"/>
          </w:tcPr>
          <w:p w14:paraId="636103E1" w14:textId="438D2D11" w:rsidR="00D713AD" w:rsidRPr="00D86570" w:rsidRDefault="00B20D39" w:rsidP="00DC1F68">
            <w:pPr>
              <w:rPr>
                <w:rFonts w:ascii="Cambria" w:eastAsia="SimSun" w:hAnsi="Cambria"/>
                <w:szCs w:val="22"/>
              </w:rPr>
            </w:pPr>
            <w:r w:rsidRPr="008D556A">
              <w:rPr>
                <w:rFonts w:ascii="Cambria" w:eastAsia="SimSun" w:hAnsi="Cambria"/>
                <w:szCs w:val="22"/>
              </w:rPr>
              <w:t>Use not recommended</w:t>
            </w:r>
            <w:r w:rsidR="00D86570">
              <w:rPr>
                <w:rFonts w:ascii="Cambria" w:eastAsia="SimSun" w:hAnsi="Cambria"/>
                <w:szCs w:val="22"/>
              </w:rPr>
              <w:t>*</w:t>
            </w:r>
          </w:p>
        </w:tc>
        <w:tc>
          <w:tcPr>
            <w:tcW w:w="3057" w:type="dxa"/>
            <w:shd w:val="clear" w:color="auto" w:fill="auto"/>
          </w:tcPr>
          <w:p w14:paraId="1BDEBFCF" w14:textId="45C71988" w:rsidR="00B20D39" w:rsidRPr="00DC1F68" w:rsidRDefault="00B20D39" w:rsidP="00DC1F68">
            <w:pPr>
              <w:rPr>
                <w:rFonts w:ascii="Cambria" w:eastAsia="SimSun" w:hAnsi="Cambria"/>
                <w:szCs w:val="22"/>
              </w:rPr>
            </w:pPr>
            <w:r w:rsidRPr="00DC1F68">
              <w:rPr>
                <w:rFonts w:ascii="Cambria" w:eastAsia="SimSun" w:hAnsi="Cambria"/>
                <w:szCs w:val="22"/>
              </w:rPr>
              <w:t>Use not recommended</w:t>
            </w:r>
            <w:r w:rsidR="00D86570">
              <w:rPr>
                <w:rFonts w:ascii="Cambria" w:eastAsia="SimSun" w:hAnsi="Cambria"/>
                <w:szCs w:val="22"/>
              </w:rPr>
              <w:t>*</w:t>
            </w:r>
          </w:p>
        </w:tc>
      </w:tr>
      <w:tr w:rsidR="00D713AD" w:rsidRPr="00DC1F68" w14:paraId="1512A69A" w14:textId="77777777" w:rsidTr="00AB75F1">
        <w:tc>
          <w:tcPr>
            <w:tcW w:w="1588" w:type="dxa"/>
            <w:shd w:val="clear" w:color="auto" w:fill="auto"/>
          </w:tcPr>
          <w:p w14:paraId="0E2F66B1" w14:textId="01647E57" w:rsidR="00D713AD" w:rsidRPr="00DC1F68" w:rsidRDefault="00D713AD" w:rsidP="00D713AD">
            <w:pPr>
              <w:rPr>
                <w:rFonts w:ascii="Cambria" w:eastAsia="SimSun" w:hAnsi="Cambria"/>
                <w:b/>
                <w:szCs w:val="22"/>
              </w:rPr>
            </w:pPr>
            <w:r w:rsidRPr="00DC1F68">
              <w:rPr>
                <w:rFonts w:ascii="Cambria" w:eastAsia="SimSun" w:hAnsi="Cambria"/>
                <w:b/>
                <w:szCs w:val="22"/>
              </w:rPr>
              <w:t>Severe (Child</w:t>
            </w:r>
            <w:r w:rsidRPr="00DC1F68">
              <w:rPr>
                <w:rFonts w:ascii="Cambria" w:eastAsia="SimSun" w:hAnsi="Cambria"/>
                <w:b/>
                <w:szCs w:val="22"/>
              </w:rPr>
              <w:noBreakHyphen/>
              <w:t>Pugh Class C)</w:t>
            </w:r>
          </w:p>
        </w:tc>
        <w:tc>
          <w:tcPr>
            <w:tcW w:w="3261" w:type="dxa"/>
            <w:shd w:val="clear" w:color="auto" w:fill="auto"/>
          </w:tcPr>
          <w:p w14:paraId="4B833A84" w14:textId="5E2A6485" w:rsidR="00D713AD" w:rsidRPr="00B20D39" w:rsidRDefault="00D86570" w:rsidP="00D713AD">
            <w:pPr>
              <w:rPr>
                <w:rFonts w:ascii="Cambria" w:eastAsia="SimSun" w:hAnsi="Cambria"/>
                <w:szCs w:val="22"/>
              </w:rPr>
            </w:pPr>
            <w:r>
              <w:rPr>
                <w:rFonts w:ascii="Cambria" w:eastAsia="SimSun" w:hAnsi="Cambria"/>
                <w:szCs w:val="22"/>
              </w:rPr>
              <w:t>Should not be used</w:t>
            </w:r>
          </w:p>
        </w:tc>
        <w:tc>
          <w:tcPr>
            <w:tcW w:w="3057" w:type="dxa"/>
            <w:shd w:val="clear" w:color="auto" w:fill="auto"/>
          </w:tcPr>
          <w:p w14:paraId="0468A5DC" w14:textId="2A3842AC" w:rsidR="00D713AD" w:rsidRPr="00DC1F68" w:rsidRDefault="00D86570" w:rsidP="00D713AD">
            <w:pPr>
              <w:rPr>
                <w:rFonts w:ascii="Cambria" w:eastAsia="SimSun" w:hAnsi="Cambria"/>
                <w:szCs w:val="22"/>
              </w:rPr>
            </w:pPr>
            <w:r>
              <w:rPr>
                <w:rFonts w:ascii="Cambria" w:eastAsia="SimSun" w:hAnsi="Cambria"/>
                <w:szCs w:val="22"/>
              </w:rPr>
              <w:t>Should not be used</w:t>
            </w:r>
          </w:p>
        </w:tc>
      </w:tr>
      <w:tr w:rsidR="00B20D39" w:rsidRPr="00DC1F68" w14:paraId="082335B3" w14:textId="77777777" w:rsidTr="0058523E">
        <w:tc>
          <w:tcPr>
            <w:tcW w:w="7906" w:type="dxa"/>
            <w:gridSpan w:val="3"/>
            <w:shd w:val="clear" w:color="auto" w:fill="auto"/>
          </w:tcPr>
          <w:p w14:paraId="2B1CBA48" w14:textId="385BA639" w:rsidR="00B20D39" w:rsidRPr="00B20D39" w:rsidRDefault="00B20D39" w:rsidP="00D713AD">
            <w:pPr>
              <w:rPr>
                <w:rFonts w:ascii="Cambria" w:eastAsia="SimSun" w:hAnsi="Cambria"/>
                <w:szCs w:val="22"/>
              </w:rPr>
            </w:pPr>
            <w:r w:rsidRPr="00B20D39">
              <w:rPr>
                <w:rFonts w:ascii="Cambria" w:eastAsia="SimSun" w:hAnsi="Cambria"/>
                <w:szCs w:val="22"/>
              </w:rPr>
              <w:t>* Treatment of patients with moderate hepatic impairment should only be considered when there is a clear medical need and the benefits are expected to outweigh the risks. If used, T</w:t>
            </w:r>
            <w:r w:rsidR="002A3388">
              <w:rPr>
                <w:rFonts w:ascii="Cambria" w:eastAsia="SimSun" w:hAnsi="Cambria"/>
                <w:szCs w:val="22"/>
              </w:rPr>
              <w:t>RIKAFTA</w:t>
            </w:r>
            <w:r w:rsidRPr="00B20D39">
              <w:rPr>
                <w:rFonts w:ascii="Cambria" w:eastAsia="SimSun" w:hAnsi="Cambria"/>
                <w:szCs w:val="22"/>
              </w:rPr>
              <w:t xml:space="preserve"> should be used with caution at a reduced dose, as follows: two elexacaftor/tezacaftor/ivacaftor tablets alternating with one elexacaftor/tezacaftor/ivacaftor tablet taken in the morning, on alternate days. The evening dose of the ivacaftor tablet should not be taken.</w:t>
            </w:r>
          </w:p>
        </w:tc>
      </w:tr>
    </w:tbl>
    <w:p w14:paraId="7A487CE6" w14:textId="77777777" w:rsidR="003B26BD" w:rsidRDefault="003B26BD" w:rsidP="00A62595">
      <w:pPr>
        <w:tabs>
          <w:tab w:val="clear" w:pos="567"/>
        </w:tabs>
        <w:rPr>
          <w:rFonts w:ascii="Cambria" w:hAnsi="Cambria"/>
          <w:bCs/>
          <w:i/>
          <w:szCs w:val="22"/>
          <w:lang w:eastAsia="es-ES"/>
        </w:rPr>
      </w:pPr>
    </w:p>
    <w:p w14:paraId="5D5D30A9" w14:textId="3FD21A51" w:rsidR="00A62595" w:rsidRPr="003B26BD" w:rsidRDefault="00A62595" w:rsidP="00A62595">
      <w:pPr>
        <w:tabs>
          <w:tab w:val="clear" w:pos="567"/>
        </w:tabs>
        <w:rPr>
          <w:rFonts w:ascii="Cambria" w:hAnsi="Cambria"/>
          <w:bCs/>
          <w:i/>
          <w:szCs w:val="22"/>
          <w:lang w:eastAsia="es-ES"/>
        </w:rPr>
      </w:pPr>
      <w:r w:rsidRPr="003B26BD">
        <w:rPr>
          <w:rFonts w:ascii="Cambria" w:hAnsi="Cambria"/>
          <w:bCs/>
          <w:i/>
          <w:szCs w:val="22"/>
          <w:lang w:eastAsia="es-ES"/>
        </w:rPr>
        <w:t>Renal impairment</w:t>
      </w:r>
    </w:p>
    <w:p w14:paraId="5B20A181" w14:textId="77777777" w:rsidR="00A62595" w:rsidRPr="00DC1F68" w:rsidRDefault="00A62595" w:rsidP="00A62595">
      <w:pPr>
        <w:rPr>
          <w:rFonts w:ascii="Cambria" w:eastAsia="SimSun" w:hAnsi="Cambria"/>
          <w:szCs w:val="22"/>
        </w:rPr>
      </w:pPr>
      <w:r w:rsidRPr="00DC1F68">
        <w:rPr>
          <w:rFonts w:ascii="Cambria" w:eastAsia="SimSun" w:hAnsi="Cambria"/>
          <w:szCs w:val="22"/>
        </w:rPr>
        <w:t>No dose adjustment is recommended for patients with mild and moderate renal impairment. Caution is recommended for patients with severe renal impairment or end</w:t>
      </w:r>
      <w:r w:rsidRPr="00DC1F68">
        <w:rPr>
          <w:rFonts w:ascii="Cambria" w:eastAsia="SimSun" w:hAnsi="Cambria"/>
          <w:szCs w:val="22"/>
        </w:rPr>
        <w:noBreakHyphen/>
        <w:t xml:space="preserve">stage renal disease (see section 5.2 </w:t>
      </w:r>
      <w:r w:rsidRPr="00DC1F68">
        <w:rPr>
          <w:rFonts w:ascii="Cambria" w:hAnsi="Cambria"/>
          <w:szCs w:val="22"/>
        </w:rPr>
        <w:t>PHARMACOKINETIC PROPERTIES</w:t>
      </w:r>
      <w:r w:rsidRPr="00DC1F68">
        <w:rPr>
          <w:rFonts w:ascii="Cambria" w:eastAsia="SimSun" w:hAnsi="Cambria"/>
          <w:szCs w:val="22"/>
        </w:rPr>
        <w:t>).</w:t>
      </w:r>
    </w:p>
    <w:p w14:paraId="74E3C6AD" w14:textId="77777777" w:rsidR="00DE08E0" w:rsidRPr="00DC1F68" w:rsidRDefault="00DE08E0" w:rsidP="00DE08E0">
      <w:pPr>
        <w:rPr>
          <w:rFonts w:ascii="Cambria" w:hAnsi="Cambria"/>
        </w:rPr>
      </w:pPr>
    </w:p>
    <w:p w14:paraId="6149CAA4" w14:textId="77777777" w:rsidR="00DE08E0" w:rsidRPr="00DC1F68" w:rsidRDefault="00DE08E0" w:rsidP="00DE08E0">
      <w:pPr>
        <w:keepNext/>
        <w:rPr>
          <w:rFonts w:ascii="Cambria" w:hAnsi="Cambria"/>
          <w:i/>
          <w:szCs w:val="22"/>
        </w:rPr>
      </w:pPr>
      <w:r w:rsidRPr="00DC1F68">
        <w:rPr>
          <w:rFonts w:ascii="Cambria" w:hAnsi="Cambria"/>
          <w:i/>
          <w:szCs w:val="22"/>
        </w:rPr>
        <w:t>Concomitant use of CYP3A inhibitors</w:t>
      </w:r>
    </w:p>
    <w:p w14:paraId="107A526B" w14:textId="4410CAA8" w:rsidR="00B165DA" w:rsidRPr="00DC1F68" w:rsidRDefault="00B165DA" w:rsidP="00B165DA">
      <w:pPr>
        <w:rPr>
          <w:rFonts w:ascii="Cambria" w:hAnsi="Cambria"/>
        </w:rPr>
      </w:pPr>
      <w:r w:rsidRPr="00DC1F68">
        <w:rPr>
          <w:rFonts w:ascii="Cambria" w:hAnsi="Cambria"/>
        </w:rPr>
        <w:t>When co</w:t>
      </w:r>
      <w:r w:rsidRPr="00DC1F68">
        <w:rPr>
          <w:rFonts w:ascii="Cambria" w:hAnsi="Cambria"/>
        </w:rPr>
        <w:noBreakHyphen/>
        <w:t>administered with moderate CYP3A inhibitors (e.g., fluconazole, erythromycin</w:t>
      </w:r>
      <w:r w:rsidR="006E4FE3">
        <w:rPr>
          <w:rFonts w:ascii="Cambria" w:hAnsi="Cambria"/>
        </w:rPr>
        <w:t>, verapamil</w:t>
      </w:r>
      <w:r w:rsidRPr="00DC1F68">
        <w:rPr>
          <w:rFonts w:ascii="Cambria" w:hAnsi="Cambria"/>
        </w:rPr>
        <w:t xml:space="preserve">) or strong CYP3A inhibitors (e.g., ketoconazole, itraconazole, posaconazole, voriconazole, telithromycin, and clarithromycin), the dose should be reduced as in Table 2 (see sections 4.4 </w:t>
      </w:r>
      <w:r w:rsidR="000609ED" w:rsidRPr="000609ED">
        <w:rPr>
          <w:rFonts w:ascii="Cambria" w:hAnsi="Cambria"/>
        </w:rPr>
        <w:t>SPECIAL WARNINGS AND PRECAUTIONS FOR USE</w:t>
      </w:r>
      <w:r w:rsidR="000609ED">
        <w:rPr>
          <w:rFonts w:ascii="Cambria" w:hAnsi="Cambria"/>
        </w:rPr>
        <w:t xml:space="preserve"> </w:t>
      </w:r>
      <w:r w:rsidRPr="00DC1F68">
        <w:rPr>
          <w:rFonts w:ascii="Cambria" w:hAnsi="Cambria"/>
        </w:rPr>
        <w:t>and 4.5</w:t>
      </w:r>
      <w:r w:rsidR="000609ED" w:rsidRPr="000609ED">
        <w:t xml:space="preserve"> </w:t>
      </w:r>
      <w:r w:rsidR="000609ED" w:rsidRPr="000609ED">
        <w:rPr>
          <w:rFonts w:ascii="Cambria" w:hAnsi="Cambria"/>
        </w:rPr>
        <w:t>INTERACTIONS WITH OTHER MEDICINES AND OTHER FORMS OF INTERACTIONS</w:t>
      </w:r>
      <w:r w:rsidRPr="00DC1F68">
        <w:rPr>
          <w:rFonts w:ascii="Cambria" w:hAnsi="Cambria"/>
        </w:rPr>
        <w:t>).</w:t>
      </w:r>
    </w:p>
    <w:p w14:paraId="47CB503A" w14:textId="77777777" w:rsidR="005403FB" w:rsidRDefault="005403FB" w:rsidP="00F120AA">
      <w:pPr>
        <w:pageBreakBefore/>
        <w:tabs>
          <w:tab w:val="clear" w:pos="567"/>
        </w:tabs>
        <w:autoSpaceDE w:val="0"/>
        <w:autoSpaceDN w:val="0"/>
        <w:adjustRightInd w:val="0"/>
        <w:rPr>
          <w:rFonts w:ascii="Cambria" w:hAnsi="Cambria"/>
          <w:szCs w:val="22"/>
          <w:highlight w:val="yellow"/>
        </w:rPr>
      </w:pPr>
    </w:p>
    <w:tbl>
      <w:tblPr>
        <w:tblStyle w:val="TableGrid"/>
        <w:tblW w:w="5000" w:type="pct"/>
        <w:tblLook w:val="04A0" w:firstRow="1" w:lastRow="0" w:firstColumn="1" w:lastColumn="0" w:noHBand="0" w:noVBand="1"/>
      </w:tblPr>
      <w:tblGrid>
        <w:gridCol w:w="4231"/>
        <w:gridCol w:w="1036"/>
        <w:gridCol w:w="1292"/>
        <w:gridCol w:w="1292"/>
        <w:gridCol w:w="1159"/>
      </w:tblGrid>
      <w:tr w:rsidR="005403FB" w:rsidRPr="00081F9E" w14:paraId="4E6A0038" w14:textId="77777777" w:rsidTr="00411C9E">
        <w:trPr>
          <w:cantSplit/>
          <w:trHeight w:val="234"/>
        </w:trPr>
        <w:tc>
          <w:tcPr>
            <w:tcW w:w="5000" w:type="pct"/>
            <w:gridSpan w:val="5"/>
          </w:tcPr>
          <w:p w14:paraId="5DD1A313" w14:textId="323FABC6" w:rsidR="005403FB" w:rsidRPr="00190E02" w:rsidRDefault="005403FB" w:rsidP="00411C9E">
            <w:pPr>
              <w:tabs>
                <w:tab w:val="clear" w:pos="567"/>
              </w:tabs>
              <w:autoSpaceDE w:val="0"/>
              <w:autoSpaceDN w:val="0"/>
              <w:adjustRightInd w:val="0"/>
              <w:ind w:left="900" w:hanging="900"/>
              <w:rPr>
                <w:rFonts w:ascii="Cambria" w:hAnsi="Cambria"/>
                <w:b/>
                <w:szCs w:val="22"/>
              </w:rPr>
            </w:pPr>
            <w:r w:rsidRPr="00DC1F68">
              <w:rPr>
                <w:rFonts w:ascii="Cambria" w:eastAsia="Malgun Gothic" w:hAnsi="Cambria"/>
                <w:b/>
                <w:szCs w:val="22"/>
              </w:rPr>
              <w:t>Table 2: Dosing Schedule for Concomitant Use of T</w:t>
            </w:r>
            <w:r w:rsidR="002A3388">
              <w:rPr>
                <w:rFonts w:ascii="Cambria" w:eastAsia="Malgun Gothic" w:hAnsi="Cambria"/>
                <w:b/>
                <w:szCs w:val="22"/>
              </w:rPr>
              <w:t>RIKAFTA</w:t>
            </w:r>
            <w:r w:rsidRPr="00DC1F68">
              <w:rPr>
                <w:rFonts w:ascii="Cambria" w:eastAsia="Malgun Gothic" w:hAnsi="Cambria"/>
                <w:b/>
                <w:szCs w:val="22"/>
              </w:rPr>
              <w:t xml:space="preserve"> with Moderate and Strong CYP3A Inhibitors</w:t>
            </w:r>
          </w:p>
        </w:tc>
      </w:tr>
      <w:tr w:rsidR="005403FB" w:rsidRPr="00081F9E" w14:paraId="6DD47040" w14:textId="77777777" w:rsidTr="00411C9E">
        <w:trPr>
          <w:cantSplit/>
          <w:trHeight w:val="272"/>
        </w:trPr>
        <w:tc>
          <w:tcPr>
            <w:tcW w:w="5000" w:type="pct"/>
            <w:gridSpan w:val="5"/>
          </w:tcPr>
          <w:p w14:paraId="539748E6"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Moderate CYP3A Inhibitors</w:t>
            </w:r>
          </w:p>
        </w:tc>
      </w:tr>
      <w:tr w:rsidR="005403FB" w:rsidRPr="00081F9E" w14:paraId="4A573432" w14:textId="77777777" w:rsidTr="00411C9E">
        <w:trPr>
          <w:cantSplit/>
          <w:trHeight w:val="234"/>
        </w:trPr>
        <w:tc>
          <w:tcPr>
            <w:tcW w:w="2348" w:type="pct"/>
          </w:tcPr>
          <w:p w14:paraId="09E33925" w14:textId="77777777" w:rsidR="005403FB" w:rsidRPr="00190E02" w:rsidRDefault="005403FB" w:rsidP="00411C9E">
            <w:pPr>
              <w:tabs>
                <w:tab w:val="clear" w:pos="567"/>
              </w:tabs>
              <w:autoSpaceDE w:val="0"/>
              <w:autoSpaceDN w:val="0"/>
              <w:adjustRightInd w:val="0"/>
              <w:jc w:val="center"/>
              <w:rPr>
                <w:rFonts w:ascii="Cambria" w:hAnsi="Cambria"/>
                <w:szCs w:val="22"/>
              </w:rPr>
            </w:pPr>
          </w:p>
        </w:tc>
        <w:tc>
          <w:tcPr>
            <w:tcW w:w="575" w:type="pct"/>
          </w:tcPr>
          <w:p w14:paraId="6D13F783"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1</w:t>
            </w:r>
          </w:p>
        </w:tc>
        <w:tc>
          <w:tcPr>
            <w:tcW w:w="717" w:type="pct"/>
          </w:tcPr>
          <w:p w14:paraId="320B49D6"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2</w:t>
            </w:r>
          </w:p>
        </w:tc>
        <w:tc>
          <w:tcPr>
            <w:tcW w:w="717" w:type="pct"/>
          </w:tcPr>
          <w:p w14:paraId="761C6A49"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3</w:t>
            </w:r>
          </w:p>
        </w:tc>
        <w:tc>
          <w:tcPr>
            <w:tcW w:w="643" w:type="pct"/>
          </w:tcPr>
          <w:p w14:paraId="3B2660AA"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4*</w:t>
            </w:r>
          </w:p>
        </w:tc>
      </w:tr>
      <w:tr w:rsidR="005403FB" w:rsidRPr="00081F9E" w14:paraId="03BE5422" w14:textId="77777777" w:rsidTr="00411C9E">
        <w:trPr>
          <w:cantSplit/>
          <w:trHeight w:val="234"/>
        </w:trPr>
        <w:tc>
          <w:tcPr>
            <w:tcW w:w="5000" w:type="pct"/>
            <w:gridSpan w:val="5"/>
          </w:tcPr>
          <w:p w14:paraId="0E7A4539" w14:textId="77777777" w:rsidR="005403FB" w:rsidRPr="00190E02" w:rsidRDefault="005403FB" w:rsidP="00411C9E">
            <w:pPr>
              <w:tabs>
                <w:tab w:val="clear" w:pos="567"/>
              </w:tabs>
              <w:autoSpaceDE w:val="0"/>
              <w:autoSpaceDN w:val="0"/>
              <w:adjustRightInd w:val="0"/>
              <w:rPr>
                <w:rFonts w:ascii="Cambria" w:hAnsi="Cambria"/>
                <w:b/>
                <w:szCs w:val="22"/>
              </w:rPr>
            </w:pPr>
            <w:r w:rsidRPr="00190E02">
              <w:rPr>
                <w:rFonts w:ascii="Cambria" w:hAnsi="Cambria"/>
                <w:b/>
                <w:szCs w:val="22"/>
              </w:rPr>
              <w:t>Morning Dose</w:t>
            </w:r>
          </w:p>
        </w:tc>
      </w:tr>
      <w:tr w:rsidR="005403FB" w:rsidRPr="00081F9E" w14:paraId="7C837E07" w14:textId="77777777" w:rsidTr="00411C9E">
        <w:trPr>
          <w:cantSplit/>
          <w:trHeight w:val="234"/>
        </w:trPr>
        <w:tc>
          <w:tcPr>
            <w:tcW w:w="2348" w:type="pct"/>
          </w:tcPr>
          <w:p w14:paraId="37AE4736" w14:textId="529436E0" w:rsidR="005403FB" w:rsidRPr="00190E02" w:rsidRDefault="005403FB" w:rsidP="00411C9E">
            <w:pPr>
              <w:tabs>
                <w:tab w:val="clear" w:pos="567"/>
              </w:tabs>
              <w:autoSpaceDE w:val="0"/>
              <w:autoSpaceDN w:val="0"/>
              <w:adjustRightInd w:val="0"/>
              <w:jc w:val="right"/>
              <w:rPr>
                <w:rFonts w:ascii="Cambria" w:hAnsi="Cambria"/>
                <w:szCs w:val="22"/>
              </w:rPr>
            </w:pPr>
            <w:r w:rsidRPr="00DC1F68">
              <w:rPr>
                <w:rFonts w:ascii="Cambria" w:hAnsi="Cambria"/>
                <w:szCs w:val="22"/>
              </w:rPr>
              <w:t>Two elexacaftor/tezacaftor/ivacaftor tablets</w:t>
            </w:r>
          </w:p>
        </w:tc>
        <w:tc>
          <w:tcPr>
            <w:tcW w:w="575" w:type="pct"/>
          </w:tcPr>
          <w:p w14:paraId="33EEB890"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c>
          <w:tcPr>
            <w:tcW w:w="717" w:type="pct"/>
          </w:tcPr>
          <w:p w14:paraId="682B2CE6"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717" w:type="pct"/>
          </w:tcPr>
          <w:p w14:paraId="5B66636C"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c>
          <w:tcPr>
            <w:tcW w:w="643" w:type="pct"/>
          </w:tcPr>
          <w:p w14:paraId="02010758"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t>-</w:t>
            </w:r>
          </w:p>
        </w:tc>
      </w:tr>
      <w:tr w:rsidR="005403FB" w:rsidRPr="00081F9E" w14:paraId="51FEAF4E" w14:textId="77777777" w:rsidTr="00411C9E">
        <w:trPr>
          <w:cantSplit/>
          <w:trHeight w:val="234"/>
        </w:trPr>
        <w:tc>
          <w:tcPr>
            <w:tcW w:w="2348" w:type="pct"/>
          </w:tcPr>
          <w:p w14:paraId="5B86C230" w14:textId="77777777" w:rsidR="005403FB" w:rsidRPr="00190E02" w:rsidRDefault="005403FB" w:rsidP="00411C9E">
            <w:pPr>
              <w:tabs>
                <w:tab w:val="clear" w:pos="567"/>
              </w:tabs>
              <w:autoSpaceDE w:val="0"/>
              <w:autoSpaceDN w:val="0"/>
              <w:adjustRightInd w:val="0"/>
              <w:jc w:val="right"/>
              <w:rPr>
                <w:rFonts w:ascii="Cambria" w:eastAsia="TimesNewRoman" w:hAnsi="Cambria"/>
                <w:szCs w:val="22"/>
              </w:rPr>
            </w:pPr>
            <w:bookmarkStart w:id="9" w:name="_Hlk26876291"/>
            <w:r>
              <w:rPr>
                <w:rFonts w:ascii="Cambria" w:eastAsia="TimesNewRoman" w:hAnsi="Cambria"/>
                <w:szCs w:val="22"/>
              </w:rPr>
              <w:t xml:space="preserve"> One i</w:t>
            </w:r>
            <w:r w:rsidRPr="00190E02">
              <w:rPr>
                <w:rFonts w:ascii="Cambria" w:eastAsia="TimesNewRoman" w:hAnsi="Cambria"/>
                <w:szCs w:val="22"/>
              </w:rPr>
              <w:t>vacaftor 150</w:t>
            </w:r>
            <w:r>
              <w:rPr>
                <w:rFonts w:ascii="Cambria" w:eastAsia="TimesNewRoman" w:hAnsi="Cambria"/>
                <w:szCs w:val="22"/>
              </w:rPr>
              <w:t> mg</w:t>
            </w:r>
            <w:r w:rsidRPr="00190E02">
              <w:rPr>
                <w:rFonts w:ascii="Cambria" w:eastAsia="TimesNewRoman" w:hAnsi="Cambria"/>
                <w:szCs w:val="22"/>
              </w:rPr>
              <w:t xml:space="preserve"> tablet</w:t>
            </w:r>
          </w:p>
        </w:tc>
        <w:tc>
          <w:tcPr>
            <w:tcW w:w="575" w:type="pct"/>
          </w:tcPr>
          <w:p w14:paraId="5BD48EB7"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717" w:type="pct"/>
          </w:tcPr>
          <w:p w14:paraId="0473F62C"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sym w:font="Wingdings" w:char="F0FC"/>
            </w:r>
          </w:p>
        </w:tc>
        <w:tc>
          <w:tcPr>
            <w:tcW w:w="717" w:type="pct"/>
          </w:tcPr>
          <w:p w14:paraId="6FB7BAD7"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t>-</w:t>
            </w:r>
          </w:p>
        </w:tc>
        <w:tc>
          <w:tcPr>
            <w:tcW w:w="643" w:type="pct"/>
          </w:tcPr>
          <w:p w14:paraId="7687C788"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sym w:font="Wingdings" w:char="F0FC"/>
            </w:r>
          </w:p>
        </w:tc>
      </w:tr>
      <w:bookmarkEnd w:id="9"/>
      <w:tr w:rsidR="005403FB" w:rsidRPr="00081F9E" w14:paraId="1287034C" w14:textId="77777777" w:rsidTr="00411C9E">
        <w:trPr>
          <w:cantSplit/>
          <w:trHeight w:val="234"/>
        </w:trPr>
        <w:tc>
          <w:tcPr>
            <w:tcW w:w="5000" w:type="pct"/>
            <w:gridSpan w:val="5"/>
          </w:tcPr>
          <w:p w14:paraId="329829C4" w14:textId="77777777" w:rsidR="005403FB" w:rsidRPr="00190E02" w:rsidRDefault="005403FB" w:rsidP="00411C9E">
            <w:pPr>
              <w:tabs>
                <w:tab w:val="clear" w:pos="567"/>
              </w:tabs>
              <w:autoSpaceDE w:val="0"/>
              <w:autoSpaceDN w:val="0"/>
              <w:adjustRightInd w:val="0"/>
              <w:rPr>
                <w:rFonts w:ascii="Cambria" w:hAnsi="Cambria"/>
                <w:b/>
                <w:szCs w:val="22"/>
              </w:rPr>
            </w:pPr>
            <w:r w:rsidRPr="00190E02">
              <w:rPr>
                <w:rFonts w:ascii="Cambria" w:hAnsi="Cambria"/>
                <w:b/>
                <w:szCs w:val="22"/>
              </w:rPr>
              <w:t>Evening Dose</w:t>
            </w:r>
            <w:r w:rsidRPr="00DC1F68">
              <w:rPr>
                <w:rFonts w:ascii="Cambria" w:eastAsia="MS Mincho" w:hAnsi="Cambria"/>
                <w:b/>
                <w:szCs w:val="22"/>
                <w:lang w:eastAsia="ja-JP"/>
              </w:rPr>
              <w:t>^</w:t>
            </w:r>
          </w:p>
        </w:tc>
      </w:tr>
      <w:tr w:rsidR="005403FB" w:rsidRPr="00190E02" w14:paraId="6D7E39F0" w14:textId="77777777" w:rsidTr="00411C9E">
        <w:trPr>
          <w:cantSplit/>
          <w:trHeight w:val="234"/>
        </w:trPr>
        <w:tc>
          <w:tcPr>
            <w:tcW w:w="2348" w:type="pct"/>
          </w:tcPr>
          <w:p w14:paraId="60962BD6" w14:textId="77777777" w:rsidR="005403FB" w:rsidRPr="00190E02" w:rsidRDefault="005403FB" w:rsidP="00411C9E">
            <w:pPr>
              <w:tabs>
                <w:tab w:val="clear" w:pos="567"/>
              </w:tabs>
              <w:autoSpaceDE w:val="0"/>
              <w:autoSpaceDN w:val="0"/>
              <w:adjustRightInd w:val="0"/>
              <w:jc w:val="right"/>
              <w:rPr>
                <w:rFonts w:ascii="Cambria" w:eastAsia="TimesNewRoman" w:hAnsi="Cambria"/>
                <w:szCs w:val="22"/>
              </w:rPr>
            </w:pPr>
            <w:bookmarkStart w:id="10" w:name="_Hlk26876471"/>
            <w:r>
              <w:rPr>
                <w:rFonts w:ascii="Cambria" w:eastAsia="TimesNewRoman" w:hAnsi="Cambria"/>
                <w:szCs w:val="22"/>
              </w:rPr>
              <w:t>One i</w:t>
            </w:r>
            <w:r w:rsidRPr="00190E02">
              <w:rPr>
                <w:rFonts w:ascii="Cambria" w:eastAsia="TimesNewRoman" w:hAnsi="Cambria"/>
                <w:szCs w:val="22"/>
              </w:rPr>
              <w:t>vacaftor 150</w:t>
            </w:r>
            <w:r>
              <w:rPr>
                <w:rFonts w:ascii="Cambria" w:eastAsia="TimesNewRoman" w:hAnsi="Cambria"/>
                <w:szCs w:val="22"/>
              </w:rPr>
              <w:t> mg</w:t>
            </w:r>
            <w:r w:rsidRPr="00190E02">
              <w:rPr>
                <w:rFonts w:ascii="Cambria" w:eastAsia="TimesNewRoman" w:hAnsi="Cambria"/>
                <w:szCs w:val="22"/>
              </w:rPr>
              <w:t xml:space="preserve"> tablet</w:t>
            </w:r>
          </w:p>
        </w:tc>
        <w:tc>
          <w:tcPr>
            <w:tcW w:w="575" w:type="pct"/>
          </w:tcPr>
          <w:p w14:paraId="7C1C978A"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717" w:type="pct"/>
          </w:tcPr>
          <w:p w14:paraId="6FEE916D"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Pr>
                <w:rFonts w:ascii="Cambria" w:hAnsi="Cambria"/>
                <w:szCs w:val="22"/>
              </w:rPr>
              <w:t>-</w:t>
            </w:r>
          </w:p>
        </w:tc>
        <w:tc>
          <w:tcPr>
            <w:tcW w:w="717" w:type="pct"/>
          </w:tcPr>
          <w:p w14:paraId="2E4DEC06"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t>-</w:t>
            </w:r>
          </w:p>
        </w:tc>
        <w:tc>
          <w:tcPr>
            <w:tcW w:w="643" w:type="pct"/>
          </w:tcPr>
          <w:p w14:paraId="7E646B88"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Pr>
                <w:rFonts w:ascii="Cambria" w:eastAsia="TimesNewRoman" w:hAnsi="Cambria"/>
                <w:szCs w:val="22"/>
              </w:rPr>
              <w:t>-</w:t>
            </w:r>
          </w:p>
        </w:tc>
      </w:tr>
      <w:bookmarkEnd w:id="10"/>
      <w:tr w:rsidR="005403FB" w:rsidRPr="00081F9E" w14:paraId="63BA3040" w14:textId="77777777" w:rsidTr="00411C9E">
        <w:trPr>
          <w:cantSplit/>
          <w:trHeight w:val="223"/>
        </w:trPr>
        <w:tc>
          <w:tcPr>
            <w:tcW w:w="5000" w:type="pct"/>
            <w:gridSpan w:val="5"/>
          </w:tcPr>
          <w:p w14:paraId="1E819E02" w14:textId="77777777" w:rsidR="005403FB" w:rsidRPr="00DC1F68" w:rsidRDefault="005403FB" w:rsidP="003368DF">
            <w:pPr>
              <w:keepNext/>
              <w:ind w:left="164" w:hanging="164"/>
              <w:rPr>
                <w:rFonts w:ascii="Cambria" w:hAnsi="Cambria"/>
                <w:szCs w:val="22"/>
              </w:rPr>
            </w:pPr>
            <w:r w:rsidRPr="00DC1F68">
              <w:rPr>
                <w:rFonts w:ascii="Cambria" w:hAnsi="Cambria"/>
                <w:szCs w:val="22"/>
              </w:rPr>
              <w:t>* Continue dosing with two elexacaftor/tezacaftor/ivacaftor tablets and one ivacaftor tablet on alternate days.</w:t>
            </w:r>
          </w:p>
          <w:p w14:paraId="6D9762E7" w14:textId="77777777" w:rsidR="005403FB" w:rsidRPr="00190E02" w:rsidRDefault="005403FB" w:rsidP="00411C9E">
            <w:pPr>
              <w:tabs>
                <w:tab w:val="clear" w:pos="567"/>
              </w:tabs>
              <w:autoSpaceDE w:val="0"/>
              <w:autoSpaceDN w:val="0"/>
              <w:adjustRightInd w:val="0"/>
              <w:rPr>
                <w:rFonts w:ascii="Cambria" w:hAnsi="Cambria"/>
                <w:b/>
                <w:szCs w:val="22"/>
              </w:rPr>
            </w:pPr>
            <w:r w:rsidRPr="00DC1F68">
              <w:rPr>
                <w:rFonts w:ascii="Cambria" w:eastAsia="MS Mincho" w:hAnsi="Cambria"/>
                <w:szCs w:val="22"/>
                <w:lang w:eastAsia="ja-JP"/>
              </w:rPr>
              <w:t>^ The evening dose of ivacaftor should not be taken.</w:t>
            </w:r>
          </w:p>
        </w:tc>
      </w:tr>
      <w:tr w:rsidR="005403FB" w:rsidRPr="00081F9E" w14:paraId="5DBED16F" w14:textId="77777777" w:rsidTr="00411C9E">
        <w:trPr>
          <w:cantSplit/>
          <w:trHeight w:val="234"/>
        </w:trPr>
        <w:tc>
          <w:tcPr>
            <w:tcW w:w="5000" w:type="pct"/>
            <w:gridSpan w:val="5"/>
          </w:tcPr>
          <w:p w14:paraId="78D9FCA9" w14:textId="77777777" w:rsidR="005403FB" w:rsidRPr="00190E02" w:rsidRDefault="005403FB" w:rsidP="00411C9E">
            <w:pPr>
              <w:tabs>
                <w:tab w:val="clear" w:pos="567"/>
              </w:tabs>
              <w:autoSpaceDE w:val="0"/>
              <w:autoSpaceDN w:val="0"/>
              <w:adjustRightInd w:val="0"/>
              <w:rPr>
                <w:rFonts w:ascii="Cambria" w:hAnsi="Cambria"/>
                <w:szCs w:val="22"/>
              </w:rPr>
            </w:pPr>
          </w:p>
        </w:tc>
      </w:tr>
      <w:tr w:rsidR="005403FB" w:rsidRPr="00081F9E" w14:paraId="41F6A369" w14:textId="77777777" w:rsidTr="00411C9E">
        <w:trPr>
          <w:cantSplit/>
          <w:trHeight w:val="234"/>
        </w:trPr>
        <w:tc>
          <w:tcPr>
            <w:tcW w:w="5000" w:type="pct"/>
            <w:gridSpan w:val="5"/>
          </w:tcPr>
          <w:p w14:paraId="7C757AD8"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b/>
                <w:szCs w:val="22"/>
              </w:rPr>
              <w:t>Strong CYP3A Inhibitors</w:t>
            </w:r>
          </w:p>
        </w:tc>
      </w:tr>
      <w:tr w:rsidR="005403FB" w:rsidRPr="00081F9E" w14:paraId="57F14089" w14:textId="77777777" w:rsidTr="00411C9E">
        <w:trPr>
          <w:cantSplit/>
          <w:trHeight w:val="234"/>
        </w:trPr>
        <w:tc>
          <w:tcPr>
            <w:tcW w:w="2348" w:type="pct"/>
          </w:tcPr>
          <w:p w14:paraId="2DE7BF33" w14:textId="77777777" w:rsidR="005403FB" w:rsidRPr="00190E02" w:rsidRDefault="005403FB" w:rsidP="00411C9E">
            <w:pPr>
              <w:tabs>
                <w:tab w:val="clear" w:pos="567"/>
              </w:tabs>
              <w:autoSpaceDE w:val="0"/>
              <w:autoSpaceDN w:val="0"/>
              <w:adjustRightInd w:val="0"/>
              <w:jc w:val="center"/>
              <w:rPr>
                <w:rFonts w:ascii="Cambria" w:hAnsi="Cambria"/>
                <w:szCs w:val="22"/>
              </w:rPr>
            </w:pPr>
          </w:p>
        </w:tc>
        <w:tc>
          <w:tcPr>
            <w:tcW w:w="575" w:type="pct"/>
          </w:tcPr>
          <w:p w14:paraId="2E9EC904"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1</w:t>
            </w:r>
          </w:p>
        </w:tc>
        <w:tc>
          <w:tcPr>
            <w:tcW w:w="1434" w:type="pct"/>
            <w:gridSpan w:val="2"/>
          </w:tcPr>
          <w:p w14:paraId="1C926EDB"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2 and Day 3</w:t>
            </w:r>
          </w:p>
        </w:tc>
        <w:tc>
          <w:tcPr>
            <w:tcW w:w="643" w:type="pct"/>
          </w:tcPr>
          <w:p w14:paraId="38B37737" w14:textId="77777777" w:rsidR="005403FB" w:rsidRPr="00190E02" w:rsidRDefault="005403FB" w:rsidP="00411C9E">
            <w:pPr>
              <w:tabs>
                <w:tab w:val="clear" w:pos="567"/>
              </w:tabs>
              <w:autoSpaceDE w:val="0"/>
              <w:autoSpaceDN w:val="0"/>
              <w:adjustRightInd w:val="0"/>
              <w:jc w:val="center"/>
              <w:rPr>
                <w:rFonts w:ascii="Cambria" w:hAnsi="Cambria"/>
                <w:b/>
                <w:szCs w:val="22"/>
              </w:rPr>
            </w:pPr>
            <w:r w:rsidRPr="00190E02">
              <w:rPr>
                <w:rFonts w:ascii="Cambria" w:hAnsi="Cambria"/>
                <w:b/>
                <w:szCs w:val="22"/>
              </w:rPr>
              <w:t>Day 4</w:t>
            </w:r>
            <w:r w:rsidRPr="00190E02">
              <w:rPr>
                <w:rFonts w:ascii="Cambria" w:hAnsi="Cambria"/>
                <w:b/>
                <w:szCs w:val="22"/>
                <w:vertAlign w:val="superscript"/>
              </w:rPr>
              <w:t>#</w:t>
            </w:r>
          </w:p>
        </w:tc>
      </w:tr>
      <w:tr w:rsidR="005403FB" w:rsidRPr="00081F9E" w14:paraId="5604B06F" w14:textId="77777777" w:rsidTr="00411C9E">
        <w:trPr>
          <w:cantSplit/>
          <w:trHeight w:val="234"/>
        </w:trPr>
        <w:tc>
          <w:tcPr>
            <w:tcW w:w="5000" w:type="pct"/>
            <w:gridSpan w:val="5"/>
          </w:tcPr>
          <w:p w14:paraId="5D45B384" w14:textId="77777777" w:rsidR="005403FB" w:rsidRPr="00190E02" w:rsidRDefault="005403FB" w:rsidP="00411C9E">
            <w:pPr>
              <w:tabs>
                <w:tab w:val="clear" w:pos="567"/>
              </w:tabs>
              <w:autoSpaceDE w:val="0"/>
              <w:autoSpaceDN w:val="0"/>
              <w:adjustRightInd w:val="0"/>
              <w:rPr>
                <w:rFonts w:ascii="Cambria" w:hAnsi="Cambria"/>
                <w:b/>
                <w:szCs w:val="22"/>
              </w:rPr>
            </w:pPr>
            <w:r w:rsidRPr="00190E02">
              <w:rPr>
                <w:rFonts w:ascii="Cambria" w:hAnsi="Cambria"/>
                <w:b/>
                <w:szCs w:val="22"/>
              </w:rPr>
              <w:t>Morning Dose</w:t>
            </w:r>
          </w:p>
        </w:tc>
      </w:tr>
      <w:tr w:rsidR="005403FB" w:rsidRPr="00081F9E" w14:paraId="0959F566" w14:textId="77777777" w:rsidTr="00411C9E">
        <w:trPr>
          <w:cantSplit/>
          <w:trHeight w:val="234"/>
        </w:trPr>
        <w:tc>
          <w:tcPr>
            <w:tcW w:w="2348" w:type="pct"/>
          </w:tcPr>
          <w:p w14:paraId="0CF1783B" w14:textId="77777777" w:rsidR="005403FB" w:rsidRPr="00190E02" w:rsidRDefault="005403FB" w:rsidP="00411C9E">
            <w:pPr>
              <w:tabs>
                <w:tab w:val="clear" w:pos="567"/>
              </w:tabs>
              <w:autoSpaceDE w:val="0"/>
              <w:autoSpaceDN w:val="0"/>
              <w:adjustRightInd w:val="0"/>
              <w:jc w:val="right"/>
              <w:rPr>
                <w:rFonts w:ascii="Cambria" w:hAnsi="Cambria"/>
                <w:szCs w:val="22"/>
              </w:rPr>
            </w:pPr>
            <w:r w:rsidRPr="00DC1F68">
              <w:rPr>
                <w:rFonts w:ascii="Cambria" w:hAnsi="Cambria"/>
                <w:szCs w:val="22"/>
              </w:rPr>
              <w:t>Two elexacaftor/ tezacaftor/ ivacaftor tablets</w:t>
            </w:r>
          </w:p>
        </w:tc>
        <w:tc>
          <w:tcPr>
            <w:tcW w:w="575" w:type="pct"/>
          </w:tcPr>
          <w:p w14:paraId="269E241C"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c>
          <w:tcPr>
            <w:tcW w:w="1434" w:type="pct"/>
            <w:gridSpan w:val="2"/>
          </w:tcPr>
          <w:p w14:paraId="1BDC1440" w14:textId="77777777" w:rsidR="005403FB" w:rsidRPr="00C5210F" w:rsidRDefault="005403FB" w:rsidP="00411C9E">
            <w:pPr>
              <w:tabs>
                <w:tab w:val="clear" w:pos="567"/>
              </w:tabs>
              <w:autoSpaceDE w:val="0"/>
              <w:autoSpaceDN w:val="0"/>
              <w:adjustRightInd w:val="0"/>
              <w:jc w:val="center"/>
              <w:rPr>
                <w:rFonts w:ascii="Cambria" w:hAnsi="Cambria"/>
                <w:b/>
                <w:szCs w:val="22"/>
              </w:rPr>
            </w:pPr>
            <w:r>
              <w:rPr>
                <w:rFonts w:ascii="Cambria" w:hAnsi="Cambria"/>
                <w:szCs w:val="22"/>
              </w:rPr>
              <w:t>-</w:t>
            </w:r>
          </w:p>
        </w:tc>
        <w:tc>
          <w:tcPr>
            <w:tcW w:w="643" w:type="pct"/>
          </w:tcPr>
          <w:p w14:paraId="65019910"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r>
      <w:tr w:rsidR="005403FB" w:rsidRPr="00081F9E" w14:paraId="29279137" w14:textId="77777777" w:rsidTr="00411C9E">
        <w:trPr>
          <w:cantSplit/>
          <w:trHeight w:val="234"/>
        </w:trPr>
        <w:tc>
          <w:tcPr>
            <w:tcW w:w="5000" w:type="pct"/>
            <w:gridSpan w:val="5"/>
          </w:tcPr>
          <w:p w14:paraId="5B2803D3" w14:textId="77777777" w:rsidR="005403FB" w:rsidRPr="00190E02" w:rsidRDefault="005403FB" w:rsidP="00411C9E">
            <w:pPr>
              <w:tabs>
                <w:tab w:val="clear" w:pos="567"/>
              </w:tabs>
              <w:autoSpaceDE w:val="0"/>
              <w:autoSpaceDN w:val="0"/>
              <w:adjustRightInd w:val="0"/>
              <w:rPr>
                <w:rFonts w:ascii="Cambria" w:hAnsi="Cambria"/>
                <w:b/>
                <w:szCs w:val="22"/>
              </w:rPr>
            </w:pPr>
            <w:r w:rsidRPr="00190E02">
              <w:rPr>
                <w:rFonts w:ascii="Cambria" w:hAnsi="Cambria"/>
                <w:b/>
                <w:szCs w:val="22"/>
              </w:rPr>
              <w:t>Evening Dose^</w:t>
            </w:r>
          </w:p>
        </w:tc>
      </w:tr>
      <w:tr w:rsidR="005403FB" w:rsidRPr="00190E02" w14:paraId="5899AF1A" w14:textId="77777777" w:rsidTr="00411C9E">
        <w:trPr>
          <w:cantSplit/>
          <w:trHeight w:val="234"/>
        </w:trPr>
        <w:tc>
          <w:tcPr>
            <w:tcW w:w="2348" w:type="pct"/>
          </w:tcPr>
          <w:p w14:paraId="6DFAC378" w14:textId="77777777" w:rsidR="005403FB" w:rsidRPr="00190E02" w:rsidRDefault="005403FB" w:rsidP="00411C9E">
            <w:pPr>
              <w:tabs>
                <w:tab w:val="clear" w:pos="567"/>
              </w:tabs>
              <w:autoSpaceDE w:val="0"/>
              <w:autoSpaceDN w:val="0"/>
              <w:adjustRightInd w:val="0"/>
              <w:jc w:val="right"/>
              <w:rPr>
                <w:rFonts w:ascii="Cambria" w:eastAsia="TimesNewRoman" w:hAnsi="Cambria"/>
                <w:szCs w:val="22"/>
              </w:rPr>
            </w:pPr>
            <w:r>
              <w:rPr>
                <w:rFonts w:ascii="Cambria" w:eastAsia="TimesNewRoman" w:hAnsi="Cambria"/>
                <w:szCs w:val="22"/>
              </w:rPr>
              <w:t>One i</w:t>
            </w:r>
            <w:r w:rsidRPr="00190E02">
              <w:rPr>
                <w:rFonts w:ascii="Cambria" w:eastAsia="TimesNewRoman" w:hAnsi="Cambria"/>
                <w:szCs w:val="22"/>
              </w:rPr>
              <w:t>vacaftor 150</w:t>
            </w:r>
            <w:r>
              <w:rPr>
                <w:rFonts w:ascii="Cambria" w:eastAsia="TimesNewRoman" w:hAnsi="Cambria"/>
                <w:szCs w:val="22"/>
              </w:rPr>
              <w:t> mg</w:t>
            </w:r>
            <w:r w:rsidRPr="00190E02">
              <w:rPr>
                <w:rFonts w:ascii="Cambria" w:eastAsia="TimesNewRoman" w:hAnsi="Cambria"/>
                <w:szCs w:val="22"/>
              </w:rPr>
              <w:t xml:space="preserve"> tablet</w:t>
            </w:r>
          </w:p>
        </w:tc>
        <w:tc>
          <w:tcPr>
            <w:tcW w:w="575" w:type="pct"/>
          </w:tcPr>
          <w:p w14:paraId="4829C04A" w14:textId="77777777" w:rsidR="005403FB" w:rsidRPr="00190E02" w:rsidRDefault="005403FB" w:rsidP="00411C9E">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717" w:type="pct"/>
          </w:tcPr>
          <w:p w14:paraId="04C2ADBB"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Pr>
                <w:rFonts w:ascii="Cambria" w:hAnsi="Cambria"/>
                <w:szCs w:val="22"/>
              </w:rPr>
              <w:t>-</w:t>
            </w:r>
          </w:p>
        </w:tc>
        <w:tc>
          <w:tcPr>
            <w:tcW w:w="717" w:type="pct"/>
          </w:tcPr>
          <w:p w14:paraId="3B8F800D"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t>-</w:t>
            </w:r>
          </w:p>
        </w:tc>
        <w:tc>
          <w:tcPr>
            <w:tcW w:w="643" w:type="pct"/>
          </w:tcPr>
          <w:p w14:paraId="0B305781" w14:textId="77777777" w:rsidR="005403FB" w:rsidRPr="00190E02" w:rsidRDefault="005403FB" w:rsidP="00411C9E">
            <w:pPr>
              <w:tabs>
                <w:tab w:val="clear" w:pos="567"/>
              </w:tabs>
              <w:autoSpaceDE w:val="0"/>
              <w:autoSpaceDN w:val="0"/>
              <w:adjustRightInd w:val="0"/>
              <w:jc w:val="center"/>
              <w:rPr>
                <w:rFonts w:ascii="Cambria" w:eastAsia="TimesNewRoman" w:hAnsi="Cambria"/>
                <w:szCs w:val="22"/>
              </w:rPr>
            </w:pPr>
            <w:r>
              <w:rPr>
                <w:rFonts w:ascii="Cambria" w:eastAsia="TimesNewRoman" w:hAnsi="Cambria"/>
                <w:szCs w:val="22"/>
              </w:rPr>
              <w:t>-</w:t>
            </w:r>
          </w:p>
        </w:tc>
      </w:tr>
      <w:tr w:rsidR="005403FB" w:rsidRPr="00081F9E" w14:paraId="534B9422" w14:textId="77777777" w:rsidTr="00411C9E">
        <w:trPr>
          <w:cantSplit/>
          <w:trHeight w:val="223"/>
        </w:trPr>
        <w:tc>
          <w:tcPr>
            <w:tcW w:w="5000" w:type="pct"/>
            <w:gridSpan w:val="5"/>
          </w:tcPr>
          <w:p w14:paraId="1ADF5DFA" w14:textId="77777777" w:rsidR="005403FB" w:rsidRPr="00DC1F68" w:rsidRDefault="005403FB" w:rsidP="003368DF">
            <w:pPr>
              <w:keepNext/>
              <w:ind w:left="164" w:hanging="164"/>
              <w:rPr>
                <w:rFonts w:ascii="Cambria" w:hAnsi="Cambria"/>
                <w:szCs w:val="22"/>
              </w:rPr>
            </w:pPr>
            <w:r w:rsidRPr="00DC1F68">
              <w:rPr>
                <w:rFonts w:ascii="Cambria" w:hAnsi="Cambria"/>
                <w:szCs w:val="22"/>
                <w:vertAlign w:val="superscript"/>
              </w:rPr>
              <w:t xml:space="preserve"># </w:t>
            </w:r>
            <w:r w:rsidRPr="00DC1F68">
              <w:rPr>
                <w:rFonts w:ascii="Cambria" w:hAnsi="Cambria"/>
                <w:szCs w:val="22"/>
              </w:rPr>
              <w:t>Continue</w:t>
            </w:r>
            <w:r w:rsidRPr="00DC1F68">
              <w:rPr>
                <w:rFonts w:ascii="Cambria" w:hAnsi="Cambria"/>
                <w:szCs w:val="22"/>
                <w:vertAlign w:val="superscript"/>
              </w:rPr>
              <w:t xml:space="preserve"> </w:t>
            </w:r>
            <w:r w:rsidRPr="00DC1F68">
              <w:rPr>
                <w:rFonts w:ascii="Cambria" w:hAnsi="Cambria"/>
                <w:szCs w:val="22"/>
              </w:rPr>
              <w:t xml:space="preserve">dosing with two elexacaftor/tezacaftor/ivacaftor tablets twice a week, approximately 3 to 4 days apart. </w:t>
            </w:r>
          </w:p>
          <w:p w14:paraId="0624F805" w14:textId="77777777" w:rsidR="005403FB" w:rsidRPr="00190E02" w:rsidRDefault="005403FB" w:rsidP="00411C9E">
            <w:pPr>
              <w:tabs>
                <w:tab w:val="clear" w:pos="567"/>
              </w:tabs>
              <w:autoSpaceDE w:val="0"/>
              <w:autoSpaceDN w:val="0"/>
              <w:adjustRightInd w:val="0"/>
              <w:rPr>
                <w:rFonts w:ascii="Cambria" w:hAnsi="Cambria"/>
                <w:b/>
                <w:szCs w:val="22"/>
              </w:rPr>
            </w:pPr>
            <w:r w:rsidRPr="00DC1F68">
              <w:rPr>
                <w:rFonts w:ascii="Cambria" w:hAnsi="Cambria"/>
                <w:szCs w:val="22"/>
              </w:rPr>
              <w:t>^ The evening dose of ivacaftor tablet should not be taken.</w:t>
            </w:r>
          </w:p>
        </w:tc>
      </w:tr>
    </w:tbl>
    <w:p w14:paraId="1E641CD4" w14:textId="77777777" w:rsidR="00B165DA" w:rsidRPr="00DC1F68" w:rsidRDefault="00B165DA" w:rsidP="004E6AD5">
      <w:pPr>
        <w:rPr>
          <w:rFonts w:ascii="Cambria" w:hAnsi="Cambria"/>
          <w:sz w:val="24"/>
        </w:rPr>
      </w:pPr>
    </w:p>
    <w:p w14:paraId="6331117C" w14:textId="5EE0CD53" w:rsidR="00DE08E0" w:rsidRPr="00DC1F68" w:rsidRDefault="00DE08E0" w:rsidP="00DE08E0">
      <w:pPr>
        <w:pStyle w:val="Heading2"/>
        <w:rPr>
          <w:rFonts w:ascii="Cambria" w:hAnsi="Cambria"/>
          <w:sz w:val="24"/>
          <w:szCs w:val="24"/>
        </w:rPr>
      </w:pPr>
      <w:bookmarkStart w:id="11" w:name="_Toc485781371"/>
      <w:r w:rsidRPr="00DC1F68">
        <w:rPr>
          <w:rFonts w:ascii="Cambria" w:hAnsi="Cambria"/>
          <w:sz w:val="24"/>
          <w:szCs w:val="24"/>
        </w:rPr>
        <w:t>C</w:t>
      </w:r>
      <w:r w:rsidR="00A34605" w:rsidRPr="00DC1F68">
        <w:rPr>
          <w:rFonts w:ascii="Cambria" w:hAnsi="Cambria"/>
          <w:sz w:val="24"/>
          <w:szCs w:val="24"/>
        </w:rPr>
        <w:t>ONTRAINDICATIONS</w:t>
      </w:r>
      <w:bookmarkEnd w:id="11"/>
    </w:p>
    <w:p w14:paraId="3A11BD49" w14:textId="77777777" w:rsidR="00B62E66" w:rsidRDefault="00B62E66" w:rsidP="00DE08E0">
      <w:pPr>
        <w:rPr>
          <w:rFonts w:ascii="Cambria" w:hAnsi="Cambria"/>
        </w:rPr>
      </w:pPr>
    </w:p>
    <w:p w14:paraId="35BBF065" w14:textId="70E270E4" w:rsidR="00AF1812" w:rsidRDefault="00965B1B" w:rsidP="00DE08E0">
      <w:pPr>
        <w:rPr>
          <w:rFonts w:ascii="Cambria" w:hAnsi="Cambria"/>
        </w:rPr>
      </w:pPr>
      <w:r w:rsidRPr="00DC1F68">
        <w:rPr>
          <w:rFonts w:ascii="Cambria" w:hAnsi="Cambria"/>
        </w:rPr>
        <w:t>In cases of hypersensitivity to the active substance or to any component of this medication, patients should not be treated with this medicine.</w:t>
      </w:r>
    </w:p>
    <w:p w14:paraId="697FED40" w14:textId="77777777" w:rsidR="00AF1812" w:rsidRPr="00DC1F68" w:rsidRDefault="00AF1812" w:rsidP="00DE08E0">
      <w:pPr>
        <w:rPr>
          <w:rFonts w:ascii="Cambria" w:hAnsi="Cambria"/>
        </w:rPr>
      </w:pPr>
    </w:p>
    <w:p w14:paraId="47D1FEA1" w14:textId="564516EE" w:rsidR="00DE08E0" w:rsidRPr="00DC1F68" w:rsidRDefault="00DE08E0" w:rsidP="00DE08E0">
      <w:pPr>
        <w:pStyle w:val="Heading2"/>
        <w:rPr>
          <w:rFonts w:ascii="Cambria" w:hAnsi="Cambria"/>
          <w:sz w:val="24"/>
          <w:szCs w:val="24"/>
        </w:rPr>
      </w:pPr>
      <w:bookmarkStart w:id="12" w:name="_Toc485781372"/>
      <w:bookmarkStart w:id="13" w:name="_Hlk24707282"/>
      <w:r w:rsidRPr="00DC1F68">
        <w:rPr>
          <w:rFonts w:ascii="Cambria" w:hAnsi="Cambria"/>
          <w:sz w:val="24"/>
          <w:szCs w:val="24"/>
        </w:rPr>
        <w:t>S</w:t>
      </w:r>
      <w:r w:rsidR="00A34605" w:rsidRPr="00DC1F68">
        <w:rPr>
          <w:rFonts w:ascii="Cambria" w:hAnsi="Cambria"/>
          <w:sz w:val="24"/>
          <w:szCs w:val="24"/>
        </w:rPr>
        <w:t>PECIAL WARNINGS AND PRECAUTIONS FOR USE</w:t>
      </w:r>
      <w:bookmarkEnd w:id="12"/>
    </w:p>
    <w:bookmarkEnd w:id="13"/>
    <w:p w14:paraId="430A2568" w14:textId="7749F1A0" w:rsidR="000A61A5" w:rsidRPr="00DC1F68" w:rsidRDefault="000A61A5" w:rsidP="00DE08E0">
      <w:pPr>
        <w:rPr>
          <w:rFonts w:ascii="Cambria" w:hAnsi="Cambria"/>
          <w:szCs w:val="22"/>
        </w:rPr>
      </w:pPr>
    </w:p>
    <w:p w14:paraId="7890F02A" w14:textId="5E4B87EC" w:rsidR="009C5E90" w:rsidRDefault="009C5E90" w:rsidP="000A61A5">
      <w:pPr>
        <w:tabs>
          <w:tab w:val="clear" w:pos="567"/>
        </w:tabs>
        <w:rPr>
          <w:rFonts w:ascii="Cambria" w:hAnsi="Cambria"/>
          <w:b/>
          <w:bCs/>
          <w:szCs w:val="22"/>
          <w:lang w:eastAsia="es-ES"/>
        </w:rPr>
      </w:pPr>
      <w:r>
        <w:rPr>
          <w:rFonts w:ascii="Cambria" w:hAnsi="Cambria"/>
          <w:b/>
          <w:bCs/>
          <w:szCs w:val="22"/>
          <w:lang w:eastAsia="es-ES"/>
        </w:rPr>
        <w:t xml:space="preserve">Use in hepatic impairment </w:t>
      </w:r>
    </w:p>
    <w:p w14:paraId="7CC75DE3" w14:textId="6C50955D" w:rsidR="00633184" w:rsidRDefault="00253BFF" w:rsidP="00633184">
      <w:pPr>
        <w:pStyle w:val="labeltext"/>
        <w:rPr>
          <w:rFonts w:ascii="Cambria" w:hAnsi="Cambria"/>
          <w:sz w:val="22"/>
          <w:szCs w:val="22"/>
        </w:rPr>
      </w:pPr>
      <w:r>
        <w:rPr>
          <w:rFonts w:ascii="Cambria" w:hAnsi="Cambria"/>
          <w:sz w:val="22"/>
          <w:szCs w:val="22"/>
        </w:rPr>
        <w:t>P</w:t>
      </w:r>
      <w:r w:rsidR="00633184" w:rsidRPr="00DC1F68">
        <w:rPr>
          <w:rFonts w:ascii="Cambria" w:hAnsi="Cambria"/>
          <w:sz w:val="22"/>
          <w:szCs w:val="22"/>
        </w:rPr>
        <w:t>atients with severe hepatic impairment</w:t>
      </w:r>
      <w:r w:rsidR="002E3A15">
        <w:rPr>
          <w:rFonts w:ascii="Cambria" w:hAnsi="Cambria"/>
          <w:sz w:val="22"/>
          <w:szCs w:val="22"/>
        </w:rPr>
        <w:t xml:space="preserve"> (Child-Pugh Class C) should not be treated with T</w:t>
      </w:r>
      <w:r w:rsidR="002A3388">
        <w:rPr>
          <w:rFonts w:ascii="Cambria" w:hAnsi="Cambria"/>
          <w:sz w:val="22"/>
          <w:szCs w:val="22"/>
        </w:rPr>
        <w:t>RIKAFTA</w:t>
      </w:r>
      <w:r w:rsidR="00633184" w:rsidRPr="00DC1F68">
        <w:rPr>
          <w:rFonts w:ascii="Cambria" w:hAnsi="Cambria"/>
          <w:sz w:val="22"/>
          <w:szCs w:val="22"/>
        </w:rPr>
        <w:t xml:space="preserve">. </w:t>
      </w:r>
      <w:r w:rsidR="002E3A15">
        <w:rPr>
          <w:rFonts w:ascii="Cambria" w:hAnsi="Cambria"/>
          <w:sz w:val="22"/>
          <w:szCs w:val="22"/>
        </w:rPr>
        <w:t xml:space="preserve">Treatment of patients with moderate hepatic impairment (Child-Pugh Class B) is not recommended. For patients with moderate hepatic impairment, </w:t>
      </w:r>
      <w:r w:rsidR="00633184" w:rsidRPr="00DC1F68">
        <w:rPr>
          <w:rFonts w:ascii="Cambria" w:hAnsi="Cambria"/>
          <w:sz w:val="22"/>
          <w:szCs w:val="22"/>
        </w:rPr>
        <w:t>T</w:t>
      </w:r>
      <w:r w:rsidR="002A3388">
        <w:rPr>
          <w:rFonts w:ascii="Cambria" w:hAnsi="Cambria"/>
          <w:sz w:val="22"/>
          <w:szCs w:val="22"/>
        </w:rPr>
        <w:t>RIKAFTA</w:t>
      </w:r>
      <w:r w:rsidR="00633184" w:rsidRPr="00DC1F68">
        <w:rPr>
          <w:rFonts w:ascii="Cambria" w:hAnsi="Cambria"/>
          <w:sz w:val="22"/>
          <w:szCs w:val="22"/>
        </w:rPr>
        <w:t xml:space="preserve"> should </w:t>
      </w:r>
      <w:r w:rsidR="002E3A15">
        <w:rPr>
          <w:rFonts w:ascii="Cambria" w:hAnsi="Cambria"/>
          <w:sz w:val="22"/>
          <w:szCs w:val="22"/>
        </w:rPr>
        <w:t xml:space="preserve">only </w:t>
      </w:r>
      <w:r w:rsidR="00633184" w:rsidRPr="00DC1F68">
        <w:rPr>
          <w:rFonts w:ascii="Cambria" w:hAnsi="Cambria"/>
          <w:sz w:val="22"/>
          <w:szCs w:val="22"/>
        </w:rPr>
        <w:t xml:space="preserve">be used </w:t>
      </w:r>
      <w:r w:rsidR="002E3A15">
        <w:rPr>
          <w:rFonts w:ascii="Cambria" w:hAnsi="Cambria"/>
          <w:sz w:val="22"/>
          <w:szCs w:val="22"/>
        </w:rPr>
        <w:t xml:space="preserve">if there is a clear medical need and </w:t>
      </w:r>
      <w:r w:rsidR="00633184" w:rsidRPr="00DC1F68">
        <w:rPr>
          <w:rFonts w:ascii="Cambria" w:hAnsi="Cambria"/>
          <w:sz w:val="22"/>
          <w:szCs w:val="22"/>
        </w:rPr>
        <w:t xml:space="preserve">the benefits </w:t>
      </w:r>
      <w:r w:rsidR="002E3A15">
        <w:rPr>
          <w:rFonts w:ascii="Cambria" w:hAnsi="Cambria"/>
          <w:sz w:val="22"/>
          <w:szCs w:val="22"/>
        </w:rPr>
        <w:t>are expected to outweigh the</w:t>
      </w:r>
      <w:r w:rsidR="00633184" w:rsidRPr="00DC1F68">
        <w:rPr>
          <w:rFonts w:ascii="Cambria" w:hAnsi="Cambria"/>
          <w:sz w:val="22"/>
          <w:szCs w:val="22"/>
        </w:rPr>
        <w:t xml:space="preserve"> risks. No dose adjustment is recommended for patients with mild hepatic impairment</w:t>
      </w:r>
      <w:r w:rsidR="002E3A15">
        <w:rPr>
          <w:rFonts w:ascii="Cambria" w:hAnsi="Cambria"/>
          <w:sz w:val="22"/>
          <w:szCs w:val="22"/>
        </w:rPr>
        <w:t xml:space="preserve"> (Child-Pugh Class A)</w:t>
      </w:r>
      <w:r w:rsidR="00633184" w:rsidRPr="00DC1F68">
        <w:rPr>
          <w:rFonts w:ascii="Cambria" w:hAnsi="Cambria"/>
          <w:sz w:val="22"/>
          <w:szCs w:val="22"/>
        </w:rPr>
        <w:t xml:space="preserve"> (</w:t>
      </w:r>
      <w:r w:rsidR="00633184" w:rsidRPr="005F6AD7">
        <w:rPr>
          <w:rFonts w:ascii="Cambria" w:hAnsi="Cambria"/>
          <w:sz w:val="22"/>
        </w:rPr>
        <w:t xml:space="preserve">see </w:t>
      </w:r>
      <w:r w:rsidR="005F6AD7">
        <w:rPr>
          <w:rFonts w:ascii="Cambria" w:hAnsi="Cambria"/>
          <w:sz w:val="22"/>
        </w:rPr>
        <w:t>s</w:t>
      </w:r>
      <w:r w:rsidR="008075C9" w:rsidRPr="00D70CB9">
        <w:rPr>
          <w:rFonts w:ascii="Cambria" w:hAnsi="Cambria"/>
          <w:sz w:val="22"/>
        </w:rPr>
        <w:t>ection 4.2 DOSE AND METHOD OF ADMINISTRATION</w:t>
      </w:r>
      <w:r w:rsidR="008075C9" w:rsidRPr="001F3E1C">
        <w:rPr>
          <w:color w:val="000000"/>
        </w:rPr>
        <w:t xml:space="preserve"> </w:t>
      </w:r>
      <w:r w:rsidR="008075C9" w:rsidRPr="00464B6E">
        <w:rPr>
          <w:rFonts w:ascii="Cambria" w:hAnsi="Cambria"/>
          <w:color w:val="000000"/>
          <w:sz w:val="22"/>
          <w:szCs w:val="22"/>
        </w:rPr>
        <w:t xml:space="preserve">and </w:t>
      </w:r>
      <w:r w:rsidR="00633184" w:rsidRPr="00DC1F68">
        <w:rPr>
          <w:rFonts w:ascii="Cambria" w:hAnsi="Cambria"/>
          <w:sz w:val="22"/>
          <w:szCs w:val="22"/>
        </w:rPr>
        <w:t>section 5.2</w:t>
      </w:r>
      <w:r w:rsidR="00633184" w:rsidRPr="000609ED">
        <w:rPr>
          <w:rFonts w:ascii="Cambria" w:hAnsi="Cambria"/>
        </w:rPr>
        <w:t xml:space="preserve"> </w:t>
      </w:r>
      <w:r w:rsidR="00633184" w:rsidRPr="000609ED">
        <w:rPr>
          <w:rFonts w:ascii="Cambria" w:hAnsi="Cambria"/>
          <w:sz w:val="22"/>
        </w:rPr>
        <w:t>PHARMACOKINETIC PROPERTIES</w:t>
      </w:r>
      <w:r w:rsidR="005F6AD7">
        <w:rPr>
          <w:rFonts w:ascii="Cambria" w:hAnsi="Cambria"/>
          <w:sz w:val="22"/>
        </w:rPr>
        <w:t>)</w:t>
      </w:r>
      <w:r w:rsidR="00633184" w:rsidRPr="00DC1F68">
        <w:rPr>
          <w:rFonts w:ascii="Cambria" w:hAnsi="Cambria"/>
          <w:sz w:val="22"/>
          <w:szCs w:val="22"/>
        </w:rPr>
        <w:t>.</w:t>
      </w:r>
    </w:p>
    <w:p w14:paraId="720A22C0" w14:textId="77777777" w:rsidR="006A03A4" w:rsidRPr="004C7E31" w:rsidRDefault="006A03A4" w:rsidP="004C7E31">
      <w:pPr>
        <w:pStyle w:val="labeltext"/>
        <w:rPr>
          <w:rFonts w:ascii="Cambria" w:hAnsi="Cambria"/>
        </w:rPr>
      </w:pPr>
    </w:p>
    <w:p w14:paraId="6DFE7F13" w14:textId="77777777" w:rsidR="000A61A5" w:rsidRPr="00DC1F68" w:rsidRDefault="000A61A5" w:rsidP="000A61A5">
      <w:pPr>
        <w:keepNext/>
        <w:tabs>
          <w:tab w:val="clear" w:pos="567"/>
        </w:tabs>
        <w:autoSpaceDE w:val="0"/>
        <w:autoSpaceDN w:val="0"/>
        <w:adjustRightInd w:val="0"/>
        <w:rPr>
          <w:rFonts w:ascii="Cambria" w:eastAsia="TimesNewRoman" w:hAnsi="Cambria"/>
          <w:b/>
          <w:szCs w:val="22"/>
        </w:rPr>
      </w:pPr>
      <w:r w:rsidRPr="00DC1F68">
        <w:rPr>
          <w:rFonts w:ascii="Cambria" w:eastAsia="TimesNewRoman" w:hAnsi="Cambria"/>
          <w:b/>
          <w:szCs w:val="22"/>
        </w:rPr>
        <w:t>Interactions with medicinal products</w:t>
      </w:r>
    </w:p>
    <w:p w14:paraId="575DF4E9" w14:textId="77777777" w:rsidR="000A61A5" w:rsidRPr="00CA12F8" w:rsidRDefault="000A61A5" w:rsidP="000A61A5">
      <w:pPr>
        <w:keepNext/>
        <w:tabs>
          <w:tab w:val="clear" w:pos="567"/>
        </w:tabs>
        <w:autoSpaceDE w:val="0"/>
        <w:autoSpaceDN w:val="0"/>
        <w:adjustRightInd w:val="0"/>
        <w:rPr>
          <w:rFonts w:ascii="Cambria" w:eastAsia="TimesNewRoman" w:hAnsi="Cambria"/>
          <w:i/>
          <w:szCs w:val="22"/>
          <w:lang w:val="en-GB"/>
        </w:rPr>
      </w:pPr>
      <w:r w:rsidRPr="00CA12F8">
        <w:rPr>
          <w:rFonts w:ascii="Cambria" w:eastAsia="TimesNewRoman" w:hAnsi="Cambria"/>
          <w:i/>
          <w:szCs w:val="22"/>
          <w:lang w:val="en-GB"/>
        </w:rPr>
        <w:t>CYP3A inducers</w:t>
      </w:r>
    </w:p>
    <w:p w14:paraId="4A8975F8" w14:textId="093566CB" w:rsidR="000A61A5" w:rsidRPr="00DC1F68" w:rsidRDefault="000A61A5" w:rsidP="000A61A5">
      <w:pPr>
        <w:tabs>
          <w:tab w:val="clear" w:pos="567"/>
        </w:tabs>
        <w:autoSpaceDE w:val="0"/>
        <w:autoSpaceDN w:val="0"/>
        <w:adjustRightInd w:val="0"/>
        <w:rPr>
          <w:rFonts w:ascii="Cambria" w:hAnsi="Cambria"/>
          <w:szCs w:val="22"/>
          <w:bdr w:val="none" w:sz="0" w:space="0" w:color="auto" w:frame="1"/>
        </w:rPr>
      </w:pPr>
      <w:r w:rsidRPr="00DC1F68">
        <w:rPr>
          <w:rFonts w:ascii="Cambria" w:hAnsi="Cambria"/>
          <w:szCs w:val="22"/>
          <w:bdr w:val="none" w:sz="0" w:space="0" w:color="auto" w:frame="1"/>
        </w:rPr>
        <w:t>Exposure to ivacaftor is significantly decreased and exposures to elexacaftor and tezacaftor are expected to decrease by the concomitant use of CYP3A inducers, potentially resulting in the reduction of T</w:t>
      </w:r>
      <w:r w:rsidR="002A3388">
        <w:rPr>
          <w:rFonts w:ascii="Cambria" w:hAnsi="Cambria"/>
          <w:szCs w:val="22"/>
          <w:bdr w:val="none" w:sz="0" w:space="0" w:color="auto" w:frame="1"/>
        </w:rPr>
        <w:t>RIKAFTA</w:t>
      </w:r>
      <w:r w:rsidRPr="00DC1F68">
        <w:rPr>
          <w:rFonts w:ascii="Cambria" w:hAnsi="Cambria"/>
          <w:szCs w:val="22"/>
          <w:bdr w:val="none" w:sz="0" w:space="0" w:color="auto" w:frame="1"/>
        </w:rPr>
        <w:t xml:space="preserve"> efficacy; therefore, co</w:t>
      </w:r>
      <w:r w:rsidRPr="00DC1F68">
        <w:rPr>
          <w:rFonts w:ascii="Cambria" w:hAnsi="Cambria"/>
          <w:szCs w:val="22"/>
          <w:bdr w:val="none" w:sz="0" w:space="0" w:color="auto" w:frame="1"/>
        </w:rPr>
        <w:noBreakHyphen/>
        <w:t>administration with strong CYP3A inducers is not recommended (see section 4.5</w:t>
      </w:r>
      <w:r w:rsidRPr="00DC1F68">
        <w:rPr>
          <w:rFonts w:ascii="Cambria" w:eastAsia="TimesNewRoman" w:hAnsi="Cambria"/>
          <w:szCs w:val="22"/>
        </w:rPr>
        <w:t xml:space="preserve"> INTERACTIONS WITH OTHER MEDICINES AND OTHER FORMS OF INTERACTIONS</w:t>
      </w:r>
      <w:r w:rsidRPr="00DC1F68">
        <w:rPr>
          <w:rFonts w:ascii="Cambria" w:hAnsi="Cambria"/>
          <w:szCs w:val="22"/>
          <w:bdr w:val="none" w:sz="0" w:space="0" w:color="auto" w:frame="1"/>
        </w:rPr>
        <w:t>).</w:t>
      </w:r>
    </w:p>
    <w:p w14:paraId="167F9771" w14:textId="77777777" w:rsidR="000A61A5" w:rsidRPr="00DC1F68" w:rsidRDefault="000A61A5" w:rsidP="000A61A5">
      <w:pPr>
        <w:tabs>
          <w:tab w:val="clear" w:pos="567"/>
        </w:tabs>
        <w:autoSpaceDE w:val="0"/>
        <w:autoSpaceDN w:val="0"/>
        <w:adjustRightInd w:val="0"/>
        <w:rPr>
          <w:rFonts w:ascii="Cambria" w:eastAsia="TimesNewRoman" w:hAnsi="Cambria"/>
          <w:szCs w:val="22"/>
        </w:rPr>
      </w:pPr>
    </w:p>
    <w:p w14:paraId="37E1968E" w14:textId="77777777" w:rsidR="000A61A5" w:rsidRPr="00CA12F8" w:rsidRDefault="000A61A5" w:rsidP="000A61A5">
      <w:pPr>
        <w:keepNext/>
        <w:tabs>
          <w:tab w:val="clear" w:pos="567"/>
        </w:tabs>
        <w:autoSpaceDE w:val="0"/>
        <w:autoSpaceDN w:val="0"/>
        <w:adjustRightInd w:val="0"/>
        <w:rPr>
          <w:rFonts w:ascii="Cambria" w:eastAsia="TimesNewRoman" w:hAnsi="Cambria"/>
          <w:szCs w:val="22"/>
        </w:rPr>
      </w:pPr>
      <w:r w:rsidRPr="00CA12F8">
        <w:rPr>
          <w:rFonts w:ascii="Cambria" w:eastAsia="TimesNewRoman" w:hAnsi="Cambria"/>
          <w:i/>
          <w:szCs w:val="22"/>
        </w:rPr>
        <w:t>CYP3A inhibitors</w:t>
      </w:r>
    </w:p>
    <w:p w14:paraId="64598A85" w14:textId="60B51C70" w:rsidR="000A61A5" w:rsidRPr="00DC1F68" w:rsidRDefault="000A61A5" w:rsidP="000A61A5">
      <w:pPr>
        <w:autoSpaceDE w:val="0"/>
        <w:autoSpaceDN w:val="0"/>
        <w:adjustRightInd w:val="0"/>
        <w:rPr>
          <w:rFonts w:ascii="Cambria" w:eastAsia="TimesNewRoman" w:hAnsi="Cambria"/>
        </w:rPr>
      </w:pPr>
      <w:r w:rsidRPr="00DC1F68">
        <w:rPr>
          <w:rFonts w:ascii="Cambria" w:hAnsi="Cambria"/>
        </w:rPr>
        <w:t>Exposure to elexacaftor, tezacaftor and ivacaftor are increased when co</w:t>
      </w:r>
      <w:r w:rsidRPr="00DC1F68">
        <w:rPr>
          <w:rFonts w:ascii="Cambria" w:hAnsi="Cambria"/>
        </w:rPr>
        <w:noBreakHyphen/>
        <w:t>administered with strong or moderate CYP3A inhibitors. Therefore the dose of T</w:t>
      </w:r>
      <w:r w:rsidR="002A3388">
        <w:rPr>
          <w:rFonts w:ascii="Cambria" w:hAnsi="Cambria"/>
        </w:rPr>
        <w:t>RIKAFTA</w:t>
      </w:r>
      <w:r w:rsidRPr="00DC1F68">
        <w:rPr>
          <w:rFonts w:ascii="Cambria" w:hAnsi="Cambria"/>
        </w:rPr>
        <w:t xml:space="preserve"> should be reduced when used concomitantly with moderate or strong CYP3A inhibitors (see section 4.5 </w:t>
      </w:r>
      <w:r w:rsidRPr="00DC1F68">
        <w:rPr>
          <w:rFonts w:ascii="Cambria" w:eastAsia="TimesNewRoman" w:hAnsi="Cambria"/>
          <w:szCs w:val="22"/>
        </w:rPr>
        <w:t>INTERACTIONS WITH OTHER MEDICINES AND OTHER FORMS OF INTERACTIONS</w:t>
      </w:r>
      <w:r w:rsidRPr="00DC1F68">
        <w:rPr>
          <w:rFonts w:ascii="Cambria" w:hAnsi="Cambria"/>
        </w:rPr>
        <w:t xml:space="preserve"> and Table 2 in section 4.2</w:t>
      </w:r>
      <w:r w:rsidRPr="00DC1F68">
        <w:rPr>
          <w:rFonts w:ascii="Cambria" w:eastAsia="TimesNewRoman" w:hAnsi="Cambria"/>
          <w:szCs w:val="22"/>
        </w:rPr>
        <w:t xml:space="preserve"> DOSE AND METHOD OF ADMINISTRATION</w:t>
      </w:r>
      <w:r w:rsidRPr="00DC1F68">
        <w:rPr>
          <w:rFonts w:ascii="Cambria" w:hAnsi="Cambria"/>
        </w:rPr>
        <w:t>).</w:t>
      </w:r>
    </w:p>
    <w:p w14:paraId="5A23EE5A" w14:textId="77777777" w:rsidR="000A61A5" w:rsidRPr="00DC1F68" w:rsidRDefault="000A61A5" w:rsidP="000A61A5">
      <w:pPr>
        <w:rPr>
          <w:rFonts w:ascii="Cambria" w:hAnsi="Cambria"/>
          <w:szCs w:val="22"/>
          <w:u w:val="single"/>
        </w:rPr>
      </w:pPr>
    </w:p>
    <w:p w14:paraId="2F7BCAF6" w14:textId="77777777" w:rsidR="000A61A5" w:rsidRPr="00402645" w:rsidRDefault="000A61A5" w:rsidP="000A61A5">
      <w:pPr>
        <w:keepNext/>
        <w:rPr>
          <w:rFonts w:ascii="Cambria" w:hAnsi="Cambria"/>
          <w:b/>
          <w:szCs w:val="22"/>
        </w:rPr>
      </w:pPr>
      <w:r w:rsidRPr="00402645">
        <w:rPr>
          <w:rFonts w:ascii="Cambria" w:hAnsi="Cambria"/>
          <w:b/>
          <w:szCs w:val="22"/>
        </w:rPr>
        <w:t>Cataracts</w:t>
      </w:r>
    </w:p>
    <w:p w14:paraId="31C951F9" w14:textId="31CBC7EF" w:rsidR="00867E0D" w:rsidRPr="00867E0D" w:rsidRDefault="000A61A5" w:rsidP="007B275B">
      <w:pPr>
        <w:rPr>
          <w:rFonts w:ascii="Cambria" w:hAnsi="Cambria"/>
          <w:bCs/>
          <w:szCs w:val="22"/>
        </w:rPr>
      </w:pPr>
      <w:r w:rsidRPr="00DC1F68">
        <w:rPr>
          <w:rFonts w:ascii="Cambria" w:hAnsi="Cambria"/>
          <w:szCs w:val="22"/>
        </w:rPr>
        <w:t>Cases of non</w:t>
      </w:r>
      <w:r w:rsidRPr="00DC1F68">
        <w:rPr>
          <w:rFonts w:ascii="Cambria" w:hAnsi="Cambria"/>
          <w:szCs w:val="22"/>
        </w:rPr>
        <w:noBreakHyphen/>
        <w:t>congenital lens opacities without impact on vision have been reported in p</w:t>
      </w:r>
      <w:r w:rsidR="003D224D">
        <w:rPr>
          <w:rFonts w:ascii="Cambria" w:hAnsi="Cambria"/>
          <w:szCs w:val="22"/>
        </w:rPr>
        <w:t>a</w:t>
      </w:r>
      <w:r w:rsidRPr="00DC1F68">
        <w:rPr>
          <w:rFonts w:ascii="Cambria" w:hAnsi="Cambria"/>
          <w:szCs w:val="22"/>
        </w:rPr>
        <w:t>ediatric patients treated with ivacaftor</w:t>
      </w:r>
      <w:r w:rsidRPr="00DC1F68">
        <w:rPr>
          <w:rFonts w:ascii="Cambria" w:hAnsi="Cambria"/>
          <w:szCs w:val="22"/>
        </w:rPr>
        <w:noBreakHyphen/>
        <w:t>containing regimens. Although other risk factors were present in some cases (such as corticosteroid use, exposure to radiation) a possible risk attributable to treatment with ivacaftor cannot be excluded. Baseline and follow</w:t>
      </w:r>
      <w:r w:rsidRPr="00DC1F68">
        <w:rPr>
          <w:rFonts w:ascii="Cambria" w:hAnsi="Cambria"/>
          <w:szCs w:val="22"/>
        </w:rPr>
        <w:noBreakHyphen/>
        <w:t>up ophthalmological examinations are recommended in p</w:t>
      </w:r>
      <w:r w:rsidR="003D224D">
        <w:rPr>
          <w:rFonts w:ascii="Cambria" w:hAnsi="Cambria"/>
          <w:szCs w:val="22"/>
        </w:rPr>
        <w:t>a</w:t>
      </w:r>
      <w:r w:rsidRPr="00DC1F68">
        <w:rPr>
          <w:rFonts w:ascii="Cambria" w:hAnsi="Cambria"/>
          <w:szCs w:val="22"/>
        </w:rPr>
        <w:t>ediatric patients initiating treatment with T</w:t>
      </w:r>
      <w:r w:rsidR="002A3388">
        <w:rPr>
          <w:rFonts w:ascii="Cambria" w:hAnsi="Cambria"/>
          <w:szCs w:val="22"/>
        </w:rPr>
        <w:t>RIKAFTA</w:t>
      </w:r>
      <w:r w:rsidRPr="00DC1F68">
        <w:rPr>
          <w:rFonts w:ascii="Cambria" w:hAnsi="Cambria"/>
          <w:szCs w:val="22"/>
        </w:rPr>
        <w:t>.</w:t>
      </w:r>
      <w:r w:rsidR="006104E8">
        <w:rPr>
          <w:rFonts w:ascii="Cambria" w:hAnsi="Cambria"/>
          <w:szCs w:val="22"/>
        </w:rPr>
        <w:t xml:space="preserve"> Cataracts were seen in juvenile rats treated with ivacaftor from postnatal Day 7 through 35 at oral dose levels of 10 mg/kg/day</w:t>
      </w:r>
      <w:r w:rsidR="007B572D">
        <w:rPr>
          <w:rFonts w:ascii="Cambria" w:hAnsi="Cambria"/>
          <w:szCs w:val="22"/>
        </w:rPr>
        <w:t xml:space="preserve"> and higher </w:t>
      </w:r>
      <w:r w:rsidR="005F0F28">
        <w:rPr>
          <w:rFonts w:ascii="Cambria" w:hAnsi="Cambria"/>
          <w:szCs w:val="22"/>
        </w:rPr>
        <w:t>(</w:t>
      </w:r>
      <w:r w:rsidR="005F0F28">
        <w:rPr>
          <w:rFonts w:ascii="Cambria" w:hAnsi="Cambria"/>
        </w:rPr>
        <w:t xml:space="preserve">yielding systemic exposure in animals </w:t>
      </w:r>
      <w:r w:rsidR="009C6752">
        <w:rPr>
          <w:rFonts w:ascii="Cambria" w:hAnsi="Cambria"/>
        </w:rPr>
        <w:t>approximately 5 times lower</w:t>
      </w:r>
      <w:r w:rsidR="005F0F28">
        <w:rPr>
          <w:rFonts w:ascii="Cambria" w:hAnsi="Cambria"/>
        </w:rPr>
        <w:t xml:space="preserve"> than that in patients at the maximum recommended human dose [MRHD] based on summed AUCs of the ivacaftor component of T</w:t>
      </w:r>
      <w:r w:rsidR="002A3388">
        <w:rPr>
          <w:rFonts w:ascii="Cambria" w:hAnsi="Cambria"/>
        </w:rPr>
        <w:t>RIKAFTA</w:t>
      </w:r>
      <w:r w:rsidR="005F0F28">
        <w:rPr>
          <w:rFonts w:ascii="Cambria" w:hAnsi="Cambria"/>
        </w:rPr>
        <w:t xml:space="preserve"> and its</w:t>
      </w:r>
      <w:r w:rsidR="00B35138">
        <w:rPr>
          <w:rFonts w:ascii="Cambria" w:hAnsi="Cambria"/>
        </w:rPr>
        <w:t xml:space="preserve"> major</w:t>
      </w:r>
      <w:r w:rsidR="005F0F28">
        <w:rPr>
          <w:rFonts w:ascii="Cambria" w:hAnsi="Cambria"/>
        </w:rPr>
        <w:t xml:space="preserve"> metabolites).</w:t>
      </w:r>
      <w:r w:rsidR="007B572D">
        <w:rPr>
          <w:rFonts w:ascii="Cambria" w:hAnsi="Cambria"/>
          <w:szCs w:val="22"/>
        </w:rPr>
        <w:t xml:space="preserve"> This finding has not been observed in older animals. The potential relevance of these findings in humans is unknown.</w:t>
      </w:r>
    </w:p>
    <w:p w14:paraId="18E67DFD" w14:textId="77777777" w:rsidR="00B62A81" w:rsidRDefault="00B62A81" w:rsidP="004C7E31">
      <w:pPr>
        <w:tabs>
          <w:tab w:val="clear" w:pos="567"/>
        </w:tabs>
        <w:rPr>
          <w:rFonts w:ascii="Cambria" w:hAnsi="Cambria"/>
          <w:bCs/>
          <w:szCs w:val="22"/>
        </w:rPr>
      </w:pPr>
    </w:p>
    <w:p w14:paraId="478631E8" w14:textId="77777777" w:rsidR="007F4B64" w:rsidRPr="006A0979" w:rsidRDefault="007F4B64" w:rsidP="007F4B64">
      <w:pPr>
        <w:tabs>
          <w:tab w:val="clear" w:pos="567"/>
        </w:tabs>
        <w:autoSpaceDE w:val="0"/>
        <w:autoSpaceDN w:val="0"/>
        <w:adjustRightInd w:val="0"/>
        <w:rPr>
          <w:rFonts w:ascii="Cambria" w:eastAsiaTheme="minorHAnsi" w:hAnsi="Cambria" w:cs="Cambria"/>
          <w:color w:val="000000"/>
          <w:szCs w:val="22"/>
        </w:rPr>
      </w:pPr>
      <w:r w:rsidRPr="006A0979">
        <w:rPr>
          <w:rFonts w:ascii="Cambria" w:eastAsiaTheme="minorHAnsi" w:hAnsi="Cambria" w:cs="Cambria"/>
          <w:b/>
          <w:bCs/>
          <w:color w:val="000000"/>
          <w:szCs w:val="22"/>
        </w:rPr>
        <w:t xml:space="preserve">Effects on laboratory tests </w:t>
      </w:r>
    </w:p>
    <w:p w14:paraId="55B1BD90" w14:textId="77777777" w:rsidR="006A03A4" w:rsidRPr="004C7E31" w:rsidRDefault="007F4B64" w:rsidP="004C7E31">
      <w:pPr>
        <w:keepNext/>
        <w:tabs>
          <w:tab w:val="clear" w:pos="567"/>
        </w:tabs>
        <w:rPr>
          <w:rFonts w:ascii="Cambria" w:hAnsi="Cambria"/>
        </w:rPr>
      </w:pPr>
      <w:r>
        <w:rPr>
          <w:rFonts w:ascii="Cambria" w:hAnsi="Cambria"/>
          <w:b/>
          <w:bCs/>
          <w:szCs w:val="22"/>
          <w:lang w:eastAsia="es-ES"/>
        </w:rPr>
        <w:t>L</w:t>
      </w:r>
      <w:r w:rsidRPr="00DC1F68">
        <w:rPr>
          <w:rFonts w:ascii="Cambria" w:hAnsi="Cambria"/>
          <w:b/>
          <w:bCs/>
          <w:szCs w:val="22"/>
          <w:lang w:eastAsia="es-ES"/>
        </w:rPr>
        <w:t>iver function tests</w:t>
      </w:r>
      <w:r>
        <w:rPr>
          <w:rFonts w:ascii="Cambria" w:hAnsi="Cambria"/>
          <w:b/>
          <w:bCs/>
          <w:szCs w:val="22"/>
          <w:lang w:eastAsia="es-ES"/>
        </w:rPr>
        <w:t xml:space="preserve"> </w:t>
      </w:r>
    </w:p>
    <w:p w14:paraId="18DF2640" w14:textId="423D1127" w:rsidR="007F4B64" w:rsidRDefault="006A03A4" w:rsidP="007F4B64">
      <w:pPr>
        <w:tabs>
          <w:tab w:val="clear" w:pos="567"/>
        </w:tabs>
        <w:rPr>
          <w:rFonts w:ascii="Cambria" w:hAnsi="Cambria"/>
          <w:bCs/>
          <w:szCs w:val="22"/>
        </w:rPr>
      </w:pPr>
      <w:r w:rsidRPr="00DC1F68">
        <w:rPr>
          <w:rFonts w:ascii="Cambria" w:hAnsi="Cambria"/>
          <w:bCs/>
          <w:szCs w:val="22"/>
        </w:rPr>
        <w:t>Elevated transaminases are common in patients with CF</w:t>
      </w:r>
      <w:r w:rsidR="007F4B64" w:rsidRPr="00DC1F68">
        <w:rPr>
          <w:rFonts w:ascii="Cambria" w:hAnsi="Cambria"/>
          <w:bCs/>
          <w:szCs w:val="22"/>
        </w:rPr>
        <w:t xml:space="preserve"> and have been observed in some patients treated with T</w:t>
      </w:r>
      <w:r w:rsidR="002A3388">
        <w:rPr>
          <w:rFonts w:ascii="Cambria" w:hAnsi="Cambria"/>
          <w:bCs/>
          <w:szCs w:val="22"/>
        </w:rPr>
        <w:t>RIKAFTA</w:t>
      </w:r>
      <w:r w:rsidR="007F4B64" w:rsidRPr="00DC1F68">
        <w:rPr>
          <w:rFonts w:ascii="Cambria" w:hAnsi="Cambria"/>
          <w:bCs/>
          <w:szCs w:val="22"/>
        </w:rPr>
        <w:t>. Assessments of transaminases (ALT and AST) are recommended for all patients prior to initiating T</w:t>
      </w:r>
      <w:r w:rsidR="002A3388">
        <w:rPr>
          <w:rFonts w:ascii="Cambria" w:hAnsi="Cambria"/>
          <w:bCs/>
          <w:szCs w:val="22"/>
        </w:rPr>
        <w:t>RIKAFTA</w:t>
      </w:r>
      <w:r w:rsidR="007F4B64" w:rsidRPr="00DC1F68">
        <w:rPr>
          <w:rFonts w:ascii="Cambria" w:hAnsi="Cambria"/>
          <w:bCs/>
          <w:szCs w:val="22"/>
        </w:rPr>
        <w:t>, every 3 months during the first year of treatment, and annually thereafter. For patients with a history of transaminase elevations, more frequent monitoring should be considered. In the event of ALT or AST &gt;5 x the upper limit of normal (ULN), or ALT or AST &gt;3 x ULN with bilirubin &gt;2 x ULN, dosing should be interrupted</w:t>
      </w:r>
      <w:r w:rsidR="003D3D60">
        <w:rPr>
          <w:rFonts w:ascii="Cambria" w:hAnsi="Cambria"/>
          <w:bCs/>
          <w:szCs w:val="22"/>
        </w:rPr>
        <w:t>,</w:t>
      </w:r>
      <w:r w:rsidR="007F4B64" w:rsidRPr="00DC1F68">
        <w:rPr>
          <w:rFonts w:ascii="Cambria" w:hAnsi="Cambria"/>
          <w:bCs/>
          <w:szCs w:val="22"/>
        </w:rPr>
        <w:t xml:space="preserve"> and laboratory tests closely followed until the abnormalities resolve. Following the resolution of transaminase elevations, consider the benefits and risks of resuming treatment </w:t>
      </w:r>
      <w:r w:rsidR="002E3A15">
        <w:rPr>
          <w:rFonts w:ascii="Cambria" w:hAnsi="Cambria"/>
          <w:bCs/>
          <w:szCs w:val="22"/>
        </w:rPr>
        <w:t>[</w:t>
      </w:r>
      <w:r w:rsidR="007F4B64" w:rsidRPr="00DC1F68">
        <w:rPr>
          <w:rFonts w:ascii="Cambria" w:hAnsi="Cambria"/>
          <w:bCs/>
          <w:szCs w:val="22"/>
        </w:rPr>
        <w:t>see section 4.8 ADVERSE EFFECTS (UNDESIRABLE EFFECTS)</w:t>
      </w:r>
      <w:r w:rsidR="002E3A15">
        <w:rPr>
          <w:rFonts w:ascii="Cambria" w:hAnsi="Cambria"/>
          <w:bCs/>
          <w:szCs w:val="22"/>
        </w:rPr>
        <w:t>]</w:t>
      </w:r>
      <w:r w:rsidR="007F4B64" w:rsidRPr="00DC1F68">
        <w:rPr>
          <w:rFonts w:ascii="Cambria" w:hAnsi="Cambria"/>
          <w:bCs/>
          <w:szCs w:val="22"/>
        </w:rPr>
        <w:t>.</w:t>
      </w:r>
    </w:p>
    <w:p w14:paraId="43CB1188" w14:textId="77777777" w:rsidR="00B62A81" w:rsidRDefault="00B62A81" w:rsidP="007F4B64">
      <w:pPr>
        <w:tabs>
          <w:tab w:val="clear" w:pos="567"/>
        </w:tabs>
        <w:rPr>
          <w:rFonts w:ascii="Cambria" w:hAnsi="Cambria"/>
          <w:bCs/>
          <w:szCs w:val="22"/>
        </w:rPr>
      </w:pPr>
    </w:p>
    <w:p w14:paraId="23F73029" w14:textId="606C75A8" w:rsidR="00B62A81" w:rsidRPr="000255FA" w:rsidRDefault="00B62A81" w:rsidP="00B62A81">
      <w:pPr>
        <w:rPr>
          <w:rFonts w:ascii="Cambria" w:hAnsi="Cambria"/>
          <w:b/>
        </w:rPr>
      </w:pPr>
      <w:r w:rsidRPr="000255FA">
        <w:rPr>
          <w:rFonts w:ascii="Cambria" w:hAnsi="Cambria"/>
          <w:b/>
        </w:rPr>
        <w:t>Patients after organ transplantation</w:t>
      </w:r>
    </w:p>
    <w:p w14:paraId="5FF5896C" w14:textId="4B4DFF22" w:rsidR="00151098" w:rsidRPr="00DC1F68" w:rsidRDefault="00B62A81" w:rsidP="00B62A81">
      <w:pPr>
        <w:rPr>
          <w:rFonts w:ascii="Cambria" w:hAnsi="Cambria"/>
          <w:bCs/>
          <w:szCs w:val="22"/>
        </w:rPr>
      </w:pPr>
      <w:r>
        <w:rPr>
          <w:rFonts w:ascii="Cambria" w:hAnsi="Cambria"/>
          <w:bCs/>
          <w:szCs w:val="22"/>
        </w:rPr>
        <w:t>T</w:t>
      </w:r>
      <w:r w:rsidR="002A3388">
        <w:rPr>
          <w:rFonts w:ascii="Cambria" w:hAnsi="Cambria"/>
          <w:bCs/>
          <w:szCs w:val="22"/>
        </w:rPr>
        <w:t>RIKAFTA</w:t>
      </w:r>
      <w:r>
        <w:rPr>
          <w:rFonts w:ascii="Cambria" w:hAnsi="Cambria"/>
          <w:bCs/>
          <w:szCs w:val="22"/>
        </w:rPr>
        <w:t xml:space="preserve"> </w:t>
      </w:r>
      <w:r w:rsidRPr="003228C8">
        <w:rPr>
          <w:rFonts w:ascii="Cambria" w:hAnsi="Cambria"/>
          <w:bCs/>
          <w:szCs w:val="22"/>
        </w:rPr>
        <w:t>has not been studied in patients with CF who have undergone organ transplantation. Therefore, use in transplanted patients is not recommended</w:t>
      </w:r>
      <w:r>
        <w:rPr>
          <w:rFonts w:ascii="Cambria" w:hAnsi="Cambria"/>
          <w:bCs/>
          <w:szCs w:val="22"/>
        </w:rPr>
        <w:t xml:space="preserve"> (see S</w:t>
      </w:r>
      <w:r w:rsidRPr="003228C8">
        <w:rPr>
          <w:rFonts w:ascii="Cambria" w:hAnsi="Cambria"/>
          <w:bCs/>
          <w:szCs w:val="22"/>
        </w:rPr>
        <w:t>ection</w:t>
      </w:r>
      <w:r>
        <w:rPr>
          <w:rFonts w:ascii="Cambria" w:hAnsi="Cambria"/>
          <w:bCs/>
          <w:szCs w:val="22"/>
        </w:rPr>
        <w:t>s</w:t>
      </w:r>
      <w:r w:rsidRPr="003228C8">
        <w:rPr>
          <w:rFonts w:ascii="Cambria" w:hAnsi="Cambria"/>
          <w:bCs/>
          <w:szCs w:val="22"/>
        </w:rPr>
        <w:t xml:space="preserve"> 4.5</w:t>
      </w:r>
      <w:r>
        <w:rPr>
          <w:rFonts w:ascii="Cambria" w:hAnsi="Cambria"/>
          <w:bCs/>
          <w:szCs w:val="22"/>
        </w:rPr>
        <w:t xml:space="preserve"> </w:t>
      </w:r>
      <w:r w:rsidRPr="00224A5A">
        <w:rPr>
          <w:rFonts w:ascii="Cambria" w:eastAsia="TimesNewRoman" w:hAnsi="Cambria"/>
          <w:szCs w:val="22"/>
        </w:rPr>
        <w:t>INTERACTIONS WITH OTHER MEDICINES AND OTHER FORMS OF INTERACTIONS</w:t>
      </w:r>
      <w:r>
        <w:rPr>
          <w:rFonts w:ascii="Cambria" w:eastAsia="TimesNewRoman" w:hAnsi="Cambria"/>
          <w:szCs w:val="22"/>
        </w:rPr>
        <w:t xml:space="preserve"> </w:t>
      </w:r>
      <w:r w:rsidRPr="003228C8">
        <w:rPr>
          <w:rFonts w:ascii="Cambria" w:hAnsi="Cambria"/>
          <w:bCs/>
          <w:szCs w:val="22"/>
        </w:rPr>
        <w:t>for interactions with c</w:t>
      </w:r>
      <w:r>
        <w:rPr>
          <w:rFonts w:ascii="Cambria" w:hAnsi="Cambria"/>
          <w:bCs/>
          <w:szCs w:val="22"/>
        </w:rPr>
        <w:t>i</w:t>
      </w:r>
      <w:r w:rsidRPr="003228C8">
        <w:rPr>
          <w:rFonts w:ascii="Cambria" w:hAnsi="Cambria"/>
          <w:bCs/>
          <w:szCs w:val="22"/>
        </w:rPr>
        <w:t>closporin</w:t>
      </w:r>
      <w:r>
        <w:rPr>
          <w:rFonts w:ascii="Cambria" w:hAnsi="Cambria"/>
          <w:bCs/>
          <w:szCs w:val="22"/>
        </w:rPr>
        <w:t>, everolimus, sirolimus</w:t>
      </w:r>
      <w:r w:rsidRPr="003228C8">
        <w:rPr>
          <w:rFonts w:ascii="Cambria" w:hAnsi="Cambria"/>
          <w:bCs/>
          <w:szCs w:val="22"/>
        </w:rPr>
        <w:t xml:space="preserve"> or tacrolimus</w:t>
      </w:r>
      <w:r>
        <w:rPr>
          <w:rFonts w:ascii="Cambria" w:hAnsi="Cambria"/>
          <w:bCs/>
          <w:szCs w:val="22"/>
        </w:rPr>
        <w:t>)</w:t>
      </w:r>
      <w:r w:rsidRPr="003228C8">
        <w:rPr>
          <w:rFonts w:ascii="Cambria" w:hAnsi="Cambria"/>
          <w:bCs/>
          <w:szCs w:val="22"/>
        </w:rPr>
        <w:t>.</w:t>
      </w:r>
    </w:p>
    <w:p w14:paraId="31F0DD2F" w14:textId="77777777" w:rsidR="007F4B64" w:rsidRPr="00DC1F68" w:rsidRDefault="007F4B64" w:rsidP="007F4B64">
      <w:pPr>
        <w:tabs>
          <w:tab w:val="clear" w:pos="567"/>
        </w:tabs>
        <w:rPr>
          <w:rFonts w:ascii="Cambria" w:hAnsi="Cambria"/>
          <w:bCs/>
          <w:szCs w:val="22"/>
        </w:rPr>
      </w:pPr>
    </w:p>
    <w:p w14:paraId="3706EB08" w14:textId="77777777" w:rsidR="00D85A93" w:rsidRPr="00D85A93" w:rsidRDefault="00D85A93" w:rsidP="00D85A93">
      <w:pPr>
        <w:tabs>
          <w:tab w:val="clear" w:pos="567"/>
        </w:tabs>
        <w:autoSpaceDE w:val="0"/>
        <w:autoSpaceDN w:val="0"/>
        <w:adjustRightInd w:val="0"/>
        <w:rPr>
          <w:rFonts w:ascii="Cambria" w:eastAsiaTheme="minorHAnsi" w:hAnsi="Cambria" w:cs="Cambria"/>
          <w:color w:val="000000"/>
          <w:szCs w:val="22"/>
        </w:rPr>
      </w:pPr>
      <w:r w:rsidRPr="00D85A93">
        <w:rPr>
          <w:rFonts w:ascii="Cambria" w:eastAsiaTheme="minorHAnsi" w:hAnsi="Cambria" w:cs="Cambria"/>
          <w:b/>
          <w:bCs/>
          <w:color w:val="000000"/>
          <w:szCs w:val="22"/>
        </w:rPr>
        <w:t xml:space="preserve">Use in the elderly </w:t>
      </w:r>
    </w:p>
    <w:p w14:paraId="6C340032" w14:textId="51271E5F" w:rsidR="00B75EFC" w:rsidRPr="00DC1F68" w:rsidRDefault="00B75EFC" w:rsidP="00B75EFC">
      <w:pPr>
        <w:rPr>
          <w:rFonts w:ascii="Cambria" w:hAnsi="Cambria"/>
          <w:szCs w:val="22"/>
        </w:rPr>
      </w:pPr>
      <w:r w:rsidRPr="00DC1F68">
        <w:rPr>
          <w:rFonts w:ascii="Cambria" w:hAnsi="Cambria"/>
          <w:szCs w:val="22"/>
        </w:rPr>
        <w:t xml:space="preserve">Clinical </w:t>
      </w:r>
      <w:r>
        <w:rPr>
          <w:rFonts w:ascii="Cambria" w:hAnsi="Cambria"/>
          <w:szCs w:val="22"/>
        </w:rPr>
        <w:t>trials</w:t>
      </w:r>
      <w:r w:rsidRPr="00DC1F68">
        <w:rPr>
          <w:rFonts w:ascii="Cambria" w:hAnsi="Cambria"/>
          <w:szCs w:val="22"/>
        </w:rPr>
        <w:t xml:space="preserve"> of T</w:t>
      </w:r>
      <w:r w:rsidR="002A3388">
        <w:rPr>
          <w:rFonts w:ascii="Cambria" w:hAnsi="Cambria"/>
          <w:szCs w:val="22"/>
        </w:rPr>
        <w:t>RIKAFTA</w:t>
      </w:r>
      <w:r w:rsidRPr="00DC1F68">
        <w:rPr>
          <w:rFonts w:ascii="Cambria" w:hAnsi="Cambria"/>
          <w:szCs w:val="22"/>
        </w:rPr>
        <w:t xml:space="preserve"> did not include </w:t>
      </w:r>
      <w:r w:rsidR="00DB1D5B">
        <w:rPr>
          <w:rFonts w:ascii="Cambria" w:hAnsi="Cambria"/>
          <w:szCs w:val="22"/>
        </w:rPr>
        <w:t xml:space="preserve">any </w:t>
      </w:r>
      <w:r w:rsidR="00C12366">
        <w:rPr>
          <w:rFonts w:ascii="Cambria" w:hAnsi="Cambria"/>
          <w:szCs w:val="22"/>
        </w:rPr>
        <w:t xml:space="preserve">patients </w:t>
      </w:r>
      <w:r w:rsidRPr="00DC1F68">
        <w:rPr>
          <w:rFonts w:ascii="Cambria" w:hAnsi="Cambria"/>
          <w:szCs w:val="22"/>
        </w:rPr>
        <w:t>aged 65 years and older</w:t>
      </w:r>
      <w:r w:rsidR="00DB1D5B">
        <w:rPr>
          <w:rFonts w:ascii="Cambria" w:hAnsi="Cambria"/>
          <w:szCs w:val="22"/>
        </w:rPr>
        <w:t>.</w:t>
      </w:r>
      <w:r w:rsidR="00A03DD4">
        <w:rPr>
          <w:rFonts w:ascii="Cambria" w:hAnsi="Cambria"/>
          <w:szCs w:val="22"/>
        </w:rPr>
        <w:t xml:space="preserve"> </w:t>
      </w:r>
    </w:p>
    <w:p w14:paraId="39D81ABD" w14:textId="77777777" w:rsidR="00F672D0" w:rsidRDefault="00F672D0" w:rsidP="006A0979">
      <w:pPr>
        <w:rPr>
          <w:rFonts w:ascii="Cambria" w:hAnsi="Cambria"/>
          <w:b/>
          <w:szCs w:val="22"/>
        </w:rPr>
      </w:pPr>
    </w:p>
    <w:p w14:paraId="47C02074" w14:textId="5D3AF50F" w:rsidR="00C85A23" w:rsidRDefault="006A0979" w:rsidP="006A0979">
      <w:pPr>
        <w:rPr>
          <w:rFonts w:ascii="Cambria" w:hAnsi="Cambria"/>
        </w:rPr>
      </w:pPr>
      <w:r w:rsidRPr="0058335E">
        <w:rPr>
          <w:rFonts w:ascii="Cambria" w:hAnsi="Cambria"/>
          <w:b/>
          <w:szCs w:val="22"/>
        </w:rPr>
        <w:t>Paediatric use</w:t>
      </w:r>
    </w:p>
    <w:p w14:paraId="51092942" w14:textId="6FE308D2" w:rsidR="002408DE" w:rsidRPr="00DC1F68" w:rsidRDefault="00C85A23" w:rsidP="002408DE">
      <w:pPr>
        <w:pStyle w:val="Heading2"/>
        <w:numPr>
          <w:ilvl w:val="0"/>
          <w:numId w:val="0"/>
        </w:numPr>
        <w:tabs>
          <w:tab w:val="clear" w:pos="567"/>
        </w:tabs>
        <w:rPr>
          <w:rFonts w:ascii="Cambria" w:hAnsi="Cambria"/>
          <w:b w:val="0"/>
        </w:rPr>
      </w:pPr>
      <w:r w:rsidRPr="002408DE">
        <w:rPr>
          <w:rFonts w:ascii="Cambria" w:hAnsi="Cambria"/>
          <w:b w:val="0"/>
        </w:rPr>
        <w:t>The safety and efficacy of T</w:t>
      </w:r>
      <w:r w:rsidR="002A3388">
        <w:rPr>
          <w:rFonts w:ascii="Cambria" w:hAnsi="Cambria"/>
          <w:b w:val="0"/>
        </w:rPr>
        <w:t>RIKAFTA</w:t>
      </w:r>
      <w:r w:rsidRPr="002408DE">
        <w:rPr>
          <w:rFonts w:ascii="Cambria" w:hAnsi="Cambria"/>
          <w:b w:val="0"/>
        </w:rPr>
        <w:t xml:space="preserve"> in children aged less than 12 years have not been established</w:t>
      </w:r>
      <w:r w:rsidR="002408DE">
        <w:rPr>
          <w:rFonts w:ascii="Cambria" w:hAnsi="Cambria"/>
        </w:rPr>
        <w:t xml:space="preserve"> </w:t>
      </w:r>
      <w:r w:rsidR="002408DE" w:rsidRPr="00DC1F68">
        <w:rPr>
          <w:rFonts w:ascii="Cambria" w:hAnsi="Cambria"/>
          <w:b w:val="0"/>
        </w:rPr>
        <w:t>(see sections 4.8 ADVERSE EFFECTS (UNDESIRABLE EFFECTS) and 5.1 PHARMACODYNAMIC PROPERTIES).</w:t>
      </w:r>
    </w:p>
    <w:p w14:paraId="43F98739" w14:textId="77777777" w:rsidR="006A0979" w:rsidRDefault="006A0979" w:rsidP="006A0979">
      <w:pPr>
        <w:rPr>
          <w:rFonts w:ascii="Cambria" w:hAnsi="Cambria"/>
          <w:szCs w:val="22"/>
        </w:rPr>
      </w:pPr>
    </w:p>
    <w:p w14:paraId="02FAF68C" w14:textId="57A42BF2" w:rsidR="00DE08E0" w:rsidRPr="00DC1F68" w:rsidRDefault="00DE08E0" w:rsidP="00DE08E0">
      <w:pPr>
        <w:pStyle w:val="Heading2"/>
        <w:rPr>
          <w:rFonts w:ascii="Cambria" w:hAnsi="Cambria"/>
          <w:sz w:val="24"/>
          <w:szCs w:val="24"/>
        </w:rPr>
      </w:pPr>
      <w:bookmarkStart w:id="14" w:name="_Toc485781373"/>
      <w:bookmarkStart w:id="15" w:name="_Hlk25848492"/>
      <w:r w:rsidRPr="00DC1F68">
        <w:rPr>
          <w:rFonts w:ascii="Cambria" w:hAnsi="Cambria"/>
          <w:sz w:val="24"/>
          <w:szCs w:val="24"/>
        </w:rPr>
        <w:t>I</w:t>
      </w:r>
      <w:r w:rsidR="00A34605" w:rsidRPr="00DC1F68">
        <w:rPr>
          <w:rFonts w:ascii="Cambria" w:hAnsi="Cambria"/>
          <w:sz w:val="24"/>
          <w:szCs w:val="24"/>
        </w:rPr>
        <w:t>NTERACTIONS WITH OTHER MEDICINES AND OTHER FORMS OF INTERACTIONS</w:t>
      </w:r>
      <w:bookmarkEnd w:id="14"/>
    </w:p>
    <w:bookmarkEnd w:id="15"/>
    <w:p w14:paraId="70D0FA5A" w14:textId="77777777" w:rsidR="00DE08E0" w:rsidRPr="00DC1F68" w:rsidRDefault="00DE08E0" w:rsidP="00DE08E0">
      <w:pPr>
        <w:tabs>
          <w:tab w:val="clear" w:pos="567"/>
        </w:tabs>
        <w:autoSpaceDE w:val="0"/>
        <w:autoSpaceDN w:val="0"/>
        <w:adjustRightInd w:val="0"/>
        <w:rPr>
          <w:rFonts w:ascii="Cambria" w:eastAsia="TimesNewRoman" w:hAnsi="Cambria"/>
          <w:szCs w:val="22"/>
          <w:u w:val="single"/>
        </w:rPr>
      </w:pPr>
    </w:p>
    <w:p w14:paraId="74ED042E" w14:textId="73D66270" w:rsidR="00A66CE7" w:rsidRPr="00DC1F68" w:rsidRDefault="00DE08E0" w:rsidP="00DE08E0">
      <w:pPr>
        <w:tabs>
          <w:tab w:val="clear" w:pos="567"/>
        </w:tabs>
        <w:autoSpaceDE w:val="0"/>
        <w:autoSpaceDN w:val="0"/>
        <w:adjustRightInd w:val="0"/>
        <w:rPr>
          <w:rFonts w:ascii="Cambria" w:eastAsia="TimesNewRoman" w:hAnsi="Cambria"/>
          <w:b/>
          <w:szCs w:val="22"/>
        </w:rPr>
      </w:pPr>
      <w:r w:rsidRPr="00DC1F68">
        <w:rPr>
          <w:rFonts w:ascii="Cambria" w:eastAsia="TimesNewRoman" w:hAnsi="Cambria"/>
          <w:b/>
          <w:szCs w:val="22"/>
        </w:rPr>
        <w:t xml:space="preserve">Medicinal products affecting the pharmacokinetics of </w:t>
      </w:r>
      <w:r w:rsidR="00A66CE7" w:rsidRPr="00DC1F68">
        <w:rPr>
          <w:rFonts w:ascii="Cambria" w:eastAsia="TimesNewRoman" w:hAnsi="Cambria"/>
          <w:b/>
          <w:szCs w:val="22"/>
        </w:rPr>
        <w:t>T</w:t>
      </w:r>
      <w:r w:rsidR="002A3388">
        <w:rPr>
          <w:rFonts w:ascii="Cambria" w:eastAsia="TimesNewRoman" w:hAnsi="Cambria"/>
          <w:b/>
          <w:szCs w:val="22"/>
        </w:rPr>
        <w:t>RIKAFTA</w:t>
      </w:r>
    </w:p>
    <w:p w14:paraId="56240C5D" w14:textId="77777777" w:rsidR="00CA12F8" w:rsidRDefault="00CA12F8" w:rsidP="00A66CE7">
      <w:pPr>
        <w:tabs>
          <w:tab w:val="clear" w:pos="567"/>
        </w:tabs>
        <w:autoSpaceDE w:val="0"/>
        <w:autoSpaceDN w:val="0"/>
        <w:adjustRightInd w:val="0"/>
        <w:rPr>
          <w:rFonts w:ascii="Cambria" w:eastAsia="TimesNewRoman" w:hAnsi="Cambria"/>
          <w:i/>
          <w:szCs w:val="22"/>
        </w:rPr>
      </w:pPr>
    </w:p>
    <w:p w14:paraId="3A495DBB" w14:textId="552DB921" w:rsidR="00A66CE7" w:rsidRPr="00CA12F8" w:rsidRDefault="00A66CE7" w:rsidP="00A66CE7">
      <w:pPr>
        <w:tabs>
          <w:tab w:val="clear" w:pos="567"/>
        </w:tabs>
        <w:autoSpaceDE w:val="0"/>
        <w:autoSpaceDN w:val="0"/>
        <w:adjustRightInd w:val="0"/>
        <w:rPr>
          <w:rFonts w:ascii="Cambria" w:eastAsia="TimesNewRoman" w:hAnsi="Cambria"/>
          <w:i/>
          <w:szCs w:val="22"/>
        </w:rPr>
      </w:pPr>
      <w:r w:rsidRPr="00CA12F8">
        <w:rPr>
          <w:rFonts w:ascii="Cambria" w:eastAsia="TimesNewRoman" w:hAnsi="Cambria"/>
          <w:i/>
          <w:szCs w:val="22"/>
        </w:rPr>
        <w:t>CYP3A inducers</w:t>
      </w:r>
    </w:p>
    <w:p w14:paraId="2B9DAE05" w14:textId="358EF6E8" w:rsidR="00A66CE7" w:rsidRPr="00DC1F68" w:rsidRDefault="00A66CE7" w:rsidP="009D745B">
      <w:pPr>
        <w:pStyle w:val="Heading2"/>
        <w:numPr>
          <w:ilvl w:val="0"/>
          <w:numId w:val="0"/>
        </w:numPr>
        <w:tabs>
          <w:tab w:val="clear" w:pos="567"/>
          <w:tab w:val="left" w:pos="0"/>
        </w:tabs>
        <w:rPr>
          <w:rFonts w:ascii="Cambria" w:hAnsi="Cambria"/>
          <w:b w:val="0"/>
          <w:sz w:val="24"/>
          <w:szCs w:val="24"/>
        </w:rPr>
      </w:pPr>
      <w:r w:rsidRPr="00DC1F68">
        <w:rPr>
          <w:rFonts w:ascii="Cambria" w:eastAsia="TimesNewRoman" w:hAnsi="Cambria"/>
          <w:b w:val="0"/>
        </w:rPr>
        <w:t>Elexacaftor, tezacaftor and ivacaftor are substrates of CYP3A (ivacaftor is a sensitive substrate of CYP3A). Concomitant use of CYP3A inducers may result in reduced</w:t>
      </w:r>
      <w:r w:rsidR="00AB75F1">
        <w:rPr>
          <w:rFonts w:ascii="Cambria" w:eastAsia="TimesNewRoman" w:hAnsi="Cambria"/>
          <w:b w:val="0"/>
        </w:rPr>
        <w:t xml:space="preserve"> </w:t>
      </w:r>
      <w:r w:rsidRPr="00DC1F68">
        <w:rPr>
          <w:rFonts w:ascii="Cambria" w:eastAsia="TimesNewRoman" w:hAnsi="Cambria"/>
          <w:b w:val="0"/>
        </w:rPr>
        <w:t>exposures and thus reduced T</w:t>
      </w:r>
      <w:r w:rsidR="002A3388">
        <w:rPr>
          <w:rFonts w:ascii="Cambria" w:eastAsia="TimesNewRoman" w:hAnsi="Cambria"/>
          <w:b w:val="0"/>
        </w:rPr>
        <w:t>RIKAFTA</w:t>
      </w:r>
      <w:r w:rsidRPr="00DC1F68">
        <w:rPr>
          <w:rFonts w:ascii="Cambria" w:eastAsia="TimesNewRoman" w:hAnsi="Cambria"/>
          <w:b w:val="0"/>
        </w:rPr>
        <w:t xml:space="preserve"> efficacy. Co</w:t>
      </w:r>
      <w:r w:rsidRPr="00DC1F68">
        <w:rPr>
          <w:rFonts w:ascii="Cambria" w:eastAsia="TimesNewRoman" w:hAnsi="Cambria"/>
          <w:b w:val="0"/>
        </w:rPr>
        <w:noBreakHyphen/>
        <w:t>administration of ivacaftor with rifampi</w:t>
      </w:r>
      <w:r w:rsidR="00402645">
        <w:rPr>
          <w:rFonts w:ascii="Cambria" w:eastAsia="TimesNewRoman" w:hAnsi="Cambria"/>
          <w:b w:val="0"/>
        </w:rPr>
        <w:t>ci</w:t>
      </w:r>
      <w:r w:rsidRPr="00DC1F68">
        <w:rPr>
          <w:rFonts w:ascii="Cambria" w:eastAsia="TimesNewRoman" w:hAnsi="Cambria"/>
          <w:b w:val="0"/>
        </w:rPr>
        <w:t>n, a strong CYP3A inducer, significantly decreased ivacaftor area under the curve (AUC) by 89%. Elexacaftor and tezacaftor exposures are expected to decrease during co</w:t>
      </w:r>
      <w:r w:rsidRPr="00DC1F68">
        <w:rPr>
          <w:rFonts w:ascii="Cambria" w:eastAsia="TimesNewRoman" w:hAnsi="Cambria"/>
          <w:b w:val="0"/>
        </w:rPr>
        <w:noBreakHyphen/>
        <w:t>administration with strong CYP3A inducers; therefore, co</w:t>
      </w:r>
      <w:r w:rsidRPr="00DC1F68">
        <w:rPr>
          <w:rFonts w:ascii="Cambria" w:eastAsia="TimesNewRoman" w:hAnsi="Cambria"/>
          <w:b w:val="0"/>
        </w:rPr>
        <w:noBreakHyphen/>
        <w:t>administration of T</w:t>
      </w:r>
      <w:r w:rsidR="002A3388">
        <w:rPr>
          <w:rFonts w:ascii="Cambria" w:eastAsia="TimesNewRoman" w:hAnsi="Cambria"/>
          <w:b w:val="0"/>
        </w:rPr>
        <w:t>RIKAFTA</w:t>
      </w:r>
      <w:r w:rsidRPr="00DC1F68">
        <w:rPr>
          <w:rFonts w:ascii="Cambria" w:eastAsia="TimesNewRoman" w:hAnsi="Cambria"/>
          <w:b w:val="0"/>
        </w:rPr>
        <w:t xml:space="preserve"> with strong CYP3A inducers is not recommended (see section 4.4 </w:t>
      </w:r>
      <w:r w:rsidRPr="004C7E31">
        <w:rPr>
          <w:rFonts w:ascii="Cambria" w:hAnsi="Cambria"/>
          <w:b w:val="0"/>
        </w:rPr>
        <w:t>SPECIAL WARNINGS AND PRECAUTIONS FOR USE</w:t>
      </w:r>
      <w:r w:rsidRPr="00DC1F68">
        <w:rPr>
          <w:rFonts w:ascii="Cambria" w:eastAsia="TimesNewRoman" w:hAnsi="Cambria"/>
          <w:b w:val="0"/>
        </w:rPr>
        <w:t>).</w:t>
      </w:r>
    </w:p>
    <w:p w14:paraId="5B29BC8C"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6B3332AE" w14:textId="77777777" w:rsidR="00A66CE7" w:rsidRPr="00DC1F68" w:rsidRDefault="00A66CE7" w:rsidP="00A66CE7">
      <w:pPr>
        <w:tabs>
          <w:tab w:val="clear" w:pos="567"/>
        </w:tabs>
        <w:autoSpaceDE w:val="0"/>
        <w:autoSpaceDN w:val="0"/>
        <w:adjustRightInd w:val="0"/>
        <w:rPr>
          <w:rFonts w:ascii="Cambria" w:eastAsia="TimesNewRoman" w:hAnsi="Cambria"/>
          <w:szCs w:val="22"/>
        </w:rPr>
      </w:pPr>
      <w:r w:rsidRPr="00DC1F68">
        <w:rPr>
          <w:rFonts w:ascii="Cambria" w:eastAsia="TimesNewRoman" w:hAnsi="Cambria"/>
          <w:szCs w:val="22"/>
        </w:rPr>
        <w:t>Examples of strong CYP3A inducers include:</w:t>
      </w:r>
    </w:p>
    <w:p w14:paraId="262C25AA" w14:textId="6954A548" w:rsidR="00A66CE7" w:rsidRPr="00DC1F68" w:rsidRDefault="00A66CE7" w:rsidP="00A66CE7">
      <w:pPr>
        <w:numPr>
          <w:ilvl w:val="0"/>
          <w:numId w:val="37"/>
        </w:numPr>
        <w:tabs>
          <w:tab w:val="clear" w:pos="567"/>
        </w:tabs>
        <w:autoSpaceDE w:val="0"/>
        <w:autoSpaceDN w:val="0"/>
        <w:adjustRightInd w:val="0"/>
        <w:rPr>
          <w:rFonts w:ascii="Cambria" w:eastAsia="TimesNewRoman" w:hAnsi="Cambria"/>
          <w:szCs w:val="22"/>
        </w:rPr>
      </w:pPr>
      <w:r w:rsidRPr="00DC1F68">
        <w:rPr>
          <w:rFonts w:ascii="Cambria" w:eastAsia="TimesNewRoman" w:hAnsi="Cambria"/>
          <w:szCs w:val="22"/>
        </w:rPr>
        <w:t>rifampi</w:t>
      </w:r>
      <w:r w:rsidR="00402645">
        <w:rPr>
          <w:rFonts w:ascii="Cambria" w:eastAsia="TimesNewRoman" w:hAnsi="Cambria"/>
          <w:szCs w:val="22"/>
        </w:rPr>
        <w:t>ci</w:t>
      </w:r>
      <w:r w:rsidRPr="00DC1F68">
        <w:rPr>
          <w:rFonts w:ascii="Cambria" w:eastAsia="TimesNewRoman" w:hAnsi="Cambria"/>
          <w:szCs w:val="22"/>
        </w:rPr>
        <w:t>n, rifabutin, phenobarbital, carbamazepine, phenytoin, and St. John’s wort (</w:t>
      </w:r>
      <w:r w:rsidRPr="00DC1F68">
        <w:rPr>
          <w:rFonts w:ascii="Cambria" w:eastAsia="TimesNewRoman" w:hAnsi="Cambria"/>
          <w:i/>
          <w:szCs w:val="22"/>
        </w:rPr>
        <w:t>Hypericum perforatum</w:t>
      </w:r>
      <w:r w:rsidRPr="00DC1F68">
        <w:rPr>
          <w:rFonts w:ascii="Cambria" w:eastAsia="TimesNewRoman" w:hAnsi="Cambria"/>
          <w:szCs w:val="22"/>
        </w:rPr>
        <w:t>)</w:t>
      </w:r>
    </w:p>
    <w:p w14:paraId="06ADA654"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4ED2A780" w14:textId="77777777" w:rsidR="00A66CE7" w:rsidRPr="00CA12F8" w:rsidRDefault="00A66CE7" w:rsidP="00A66CE7">
      <w:pPr>
        <w:tabs>
          <w:tab w:val="clear" w:pos="567"/>
          <w:tab w:val="right" w:pos="9360"/>
        </w:tabs>
        <w:autoSpaceDE w:val="0"/>
        <w:autoSpaceDN w:val="0"/>
        <w:adjustRightInd w:val="0"/>
        <w:rPr>
          <w:rFonts w:ascii="Cambria" w:eastAsia="TimesNewRoman" w:hAnsi="Cambria"/>
          <w:i/>
          <w:iCs/>
          <w:szCs w:val="22"/>
        </w:rPr>
      </w:pPr>
      <w:r w:rsidRPr="00CA12F8">
        <w:rPr>
          <w:rFonts w:ascii="Cambria" w:eastAsia="TimesNewRoman" w:hAnsi="Cambria"/>
          <w:i/>
          <w:iCs/>
          <w:szCs w:val="22"/>
        </w:rPr>
        <w:t>CYP3A inhibitors</w:t>
      </w:r>
    </w:p>
    <w:p w14:paraId="0270C22E" w14:textId="48A2FD19" w:rsidR="00A66CE7" w:rsidRPr="00DC1F68" w:rsidRDefault="00A66CE7" w:rsidP="00A66CE7">
      <w:pPr>
        <w:tabs>
          <w:tab w:val="clear" w:pos="567"/>
          <w:tab w:val="right" w:pos="9360"/>
        </w:tabs>
        <w:autoSpaceDE w:val="0"/>
        <w:autoSpaceDN w:val="0"/>
        <w:adjustRightInd w:val="0"/>
        <w:rPr>
          <w:rFonts w:ascii="Cambria" w:eastAsia="TimesNewRoman" w:hAnsi="Cambria"/>
        </w:rPr>
      </w:pPr>
      <w:r w:rsidRPr="00DC1F68">
        <w:rPr>
          <w:rFonts w:ascii="Cambria" w:eastAsiaTheme="minorHAnsi" w:hAnsi="Cambria"/>
        </w:rPr>
        <w:t>Co-administration with itraconazole, a strong CYP3A inhibitor, increased elexacaftor</w:t>
      </w:r>
      <w:r w:rsidRPr="00DC1F68">
        <w:rPr>
          <w:rFonts w:ascii="Cambria" w:eastAsiaTheme="minorHAnsi" w:hAnsi="Cambria"/>
          <w:color w:val="FF0000"/>
        </w:rPr>
        <w:t xml:space="preserve"> </w:t>
      </w:r>
      <w:r w:rsidRPr="00DC1F68">
        <w:rPr>
          <w:rFonts w:ascii="Cambria" w:eastAsiaTheme="minorHAnsi" w:hAnsi="Cambria"/>
        </w:rPr>
        <w:t>AUC by 2.8</w:t>
      </w:r>
      <w:r w:rsidR="003368DF">
        <w:rPr>
          <w:rFonts w:ascii="Cambria" w:eastAsiaTheme="minorHAnsi" w:hAnsi="Cambria"/>
        </w:rPr>
        <w:t>-</w:t>
      </w:r>
      <w:r w:rsidRPr="00DC1F68">
        <w:rPr>
          <w:rFonts w:ascii="Cambria" w:eastAsiaTheme="minorHAnsi" w:hAnsi="Cambria"/>
        </w:rPr>
        <w:t xml:space="preserve"> fold and tezacaftor AUC by 4.0</w:t>
      </w:r>
      <w:r w:rsidRPr="00DC1F68">
        <w:rPr>
          <w:rFonts w:ascii="Cambria" w:eastAsiaTheme="minorHAnsi" w:hAnsi="Cambria"/>
        </w:rPr>
        <w:noBreakHyphen/>
        <w:t xml:space="preserve"> to 4.5</w:t>
      </w:r>
      <w:r w:rsidRPr="00DC1F68">
        <w:rPr>
          <w:rFonts w:ascii="Cambria" w:eastAsiaTheme="minorHAnsi" w:hAnsi="Cambria"/>
        </w:rPr>
        <w:noBreakHyphen/>
        <w:t>fold. When co-administered with itraconazole and ketoconazole, ivacaftor AUC increased by 15.6-fold and 8.5-fold, respectively. The dose of T</w:t>
      </w:r>
      <w:r w:rsidR="002A3388">
        <w:rPr>
          <w:rFonts w:ascii="Cambria" w:eastAsiaTheme="minorHAnsi" w:hAnsi="Cambria"/>
        </w:rPr>
        <w:t>RIKAFTA</w:t>
      </w:r>
      <w:r w:rsidRPr="00DC1F68">
        <w:rPr>
          <w:rFonts w:ascii="Cambria" w:eastAsiaTheme="minorHAnsi" w:hAnsi="Cambria"/>
        </w:rPr>
        <w:t xml:space="preserve"> should be reduced when co-administered with strong CYP3A inhibitors (</w:t>
      </w:r>
      <w:r w:rsidRPr="0082615A">
        <w:rPr>
          <w:rFonts w:ascii="Cambria" w:eastAsiaTheme="minorHAnsi" w:hAnsi="Cambria"/>
          <w:szCs w:val="22"/>
        </w:rPr>
        <w:t xml:space="preserve">see section 4.4 </w:t>
      </w:r>
      <w:r w:rsidRPr="0082615A">
        <w:rPr>
          <w:rFonts w:ascii="Cambria" w:hAnsi="Cambria"/>
          <w:szCs w:val="22"/>
        </w:rPr>
        <w:t>SPECIAL WARNINGS AND PRECAUTIONS FOR USE</w:t>
      </w:r>
      <w:r w:rsidRPr="00DC1F68">
        <w:rPr>
          <w:rFonts w:ascii="Cambria" w:eastAsia="TimesNewRoman" w:hAnsi="Cambria"/>
          <w:szCs w:val="22"/>
        </w:rPr>
        <w:t>)</w:t>
      </w:r>
      <w:r w:rsidRPr="00DC1F68">
        <w:rPr>
          <w:rFonts w:ascii="Cambria" w:eastAsia="TimesNewRoman" w:hAnsi="Cambria"/>
          <w:b/>
          <w:szCs w:val="22"/>
        </w:rPr>
        <w:t xml:space="preserve"> </w:t>
      </w:r>
      <w:r w:rsidRPr="00DC1F68">
        <w:rPr>
          <w:rFonts w:ascii="Cambria" w:eastAsiaTheme="minorHAnsi" w:hAnsi="Cambria"/>
        </w:rPr>
        <w:t xml:space="preserve">and Table 2 in section 4.2 </w:t>
      </w:r>
      <w:bookmarkStart w:id="16" w:name="_Hlk24707455"/>
      <w:r w:rsidRPr="00DC1F68">
        <w:rPr>
          <w:rFonts w:ascii="Cambria" w:eastAsiaTheme="minorHAnsi" w:hAnsi="Cambria"/>
        </w:rPr>
        <w:t>DOSE AND METHOD OF ADMINISTRATION</w:t>
      </w:r>
      <w:bookmarkEnd w:id="16"/>
      <w:r w:rsidRPr="00DC1F68">
        <w:rPr>
          <w:rFonts w:ascii="Cambria" w:eastAsiaTheme="minorHAnsi" w:hAnsi="Cambria"/>
        </w:rPr>
        <w:t>).</w:t>
      </w:r>
    </w:p>
    <w:p w14:paraId="3AD608AC" w14:textId="77777777" w:rsidR="00A66CE7" w:rsidRPr="00DC1F68" w:rsidRDefault="00A66CE7" w:rsidP="00A66CE7">
      <w:pPr>
        <w:tabs>
          <w:tab w:val="clear" w:pos="567"/>
        </w:tabs>
        <w:autoSpaceDE w:val="0"/>
        <w:autoSpaceDN w:val="0"/>
        <w:adjustRightInd w:val="0"/>
        <w:rPr>
          <w:rFonts w:ascii="Cambria" w:eastAsia="TimesNewRoman" w:hAnsi="Cambria"/>
        </w:rPr>
      </w:pPr>
    </w:p>
    <w:p w14:paraId="40177D89" w14:textId="77777777" w:rsidR="00A66CE7" w:rsidRPr="00DC1F68" w:rsidRDefault="00A66CE7" w:rsidP="00A66CE7">
      <w:pPr>
        <w:tabs>
          <w:tab w:val="clear" w:pos="567"/>
        </w:tabs>
        <w:autoSpaceDE w:val="0"/>
        <w:autoSpaceDN w:val="0"/>
        <w:adjustRightInd w:val="0"/>
        <w:rPr>
          <w:rFonts w:ascii="Cambria" w:eastAsia="TimesNewRoman" w:hAnsi="Cambria"/>
        </w:rPr>
      </w:pPr>
      <w:r w:rsidRPr="00DC1F68">
        <w:rPr>
          <w:rFonts w:ascii="Cambria" w:eastAsia="TimesNewRoman" w:hAnsi="Cambria"/>
        </w:rPr>
        <w:t>Examples of strong CYP3A inhibitors include:</w:t>
      </w:r>
    </w:p>
    <w:p w14:paraId="6037D373" w14:textId="77777777" w:rsidR="00A66CE7" w:rsidRPr="00DC1F68" w:rsidRDefault="00A66CE7" w:rsidP="00A66CE7">
      <w:pPr>
        <w:numPr>
          <w:ilvl w:val="0"/>
          <w:numId w:val="11"/>
        </w:numPr>
        <w:tabs>
          <w:tab w:val="clear" w:pos="567"/>
        </w:tabs>
        <w:autoSpaceDE w:val="0"/>
        <w:autoSpaceDN w:val="0"/>
        <w:adjustRightInd w:val="0"/>
        <w:rPr>
          <w:rFonts w:ascii="Cambria" w:eastAsia="TimesNewRoman" w:hAnsi="Cambria"/>
        </w:rPr>
      </w:pPr>
      <w:r w:rsidRPr="00DC1F68">
        <w:rPr>
          <w:rFonts w:ascii="Cambria" w:eastAsia="TimesNewRoman" w:hAnsi="Cambria"/>
        </w:rPr>
        <w:t>ketoconazole, itraconazole, posaconazole, and voriconazole</w:t>
      </w:r>
    </w:p>
    <w:p w14:paraId="58B7C515" w14:textId="77777777" w:rsidR="00A66CE7" w:rsidRPr="00DC1F68" w:rsidRDefault="00A66CE7" w:rsidP="00A66CE7">
      <w:pPr>
        <w:numPr>
          <w:ilvl w:val="0"/>
          <w:numId w:val="11"/>
        </w:numPr>
        <w:tabs>
          <w:tab w:val="clear" w:pos="567"/>
        </w:tabs>
        <w:autoSpaceDE w:val="0"/>
        <w:autoSpaceDN w:val="0"/>
        <w:adjustRightInd w:val="0"/>
        <w:rPr>
          <w:rFonts w:ascii="Cambria" w:eastAsia="TimesNewRoman" w:hAnsi="Cambria"/>
        </w:rPr>
      </w:pPr>
      <w:r w:rsidRPr="00DC1F68">
        <w:rPr>
          <w:rFonts w:ascii="Cambria" w:eastAsia="TimesNewRoman" w:hAnsi="Cambria"/>
        </w:rPr>
        <w:t>telithromycin and clarithromycin</w:t>
      </w:r>
    </w:p>
    <w:p w14:paraId="1D109C75"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214F0893" w14:textId="2FD47842" w:rsidR="00A66CE7" w:rsidRPr="00DC1F68" w:rsidRDefault="00A66CE7" w:rsidP="00A66CE7">
      <w:pPr>
        <w:tabs>
          <w:tab w:val="clear" w:pos="567"/>
        </w:tabs>
        <w:autoSpaceDE w:val="0"/>
        <w:autoSpaceDN w:val="0"/>
        <w:adjustRightInd w:val="0"/>
        <w:rPr>
          <w:rFonts w:ascii="Cambria" w:hAnsi="Cambria"/>
          <w:bCs/>
          <w:szCs w:val="22"/>
        </w:rPr>
      </w:pPr>
      <w:r w:rsidRPr="00DC1F68">
        <w:rPr>
          <w:rFonts w:ascii="Cambria" w:hAnsi="Cambria"/>
          <w:bCs/>
          <w:szCs w:val="22"/>
        </w:rPr>
        <w:t>Simulations indicated that co-administration with moderate CYP3A inhibitors may increase elexacaftor and tezacaftor AUC by approximately 1.9 to 2.3</w:t>
      </w:r>
      <w:r w:rsidRPr="00DC1F68">
        <w:rPr>
          <w:rFonts w:ascii="Cambria" w:hAnsi="Cambria"/>
          <w:bCs/>
          <w:szCs w:val="22"/>
        </w:rPr>
        <w:noBreakHyphen/>
        <w:t>fold. Co</w:t>
      </w:r>
      <w:r w:rsidRPr="00DC1F68">
        <w:rPr>
          <w:rFonts w:ascii="Cambria" w:hAnsi="Cambria"/>
          <w:bCs/>
          <w:szCs w:val="22"/>
        </w:rPr>
        <w:noBreakHyphen/>
        <w:t>administration of fluconazole increased ivacaftor AUC by 2.9</w:t>
      </w:r>
      <w:r w:rsidRPr="00DC1F68">
        <w:rPr>
          <w:rFonts w:ascii="Cambria" w:hAnsi="Cambria"/>
          <w:bCs/>
          <w:szCs w:val="22"/>
        </w:rPr>
        <w:noBreakHyphen/>
        <w:t>fold. The dose of T</w:t>
      </w:r>
      <w:r w:rsidR="002A3388">
        <w:rPr>
          <w:rFonts w:ascii="Cambria" w:hAnsi="Cambria"/>
          <w:bCs/>
          <w:szCs w:val="22"/>
        </w:rPr>
        <w:t>RIKAFTA</w:t>
      </w:r>
      <w:r w:rsidRPr="00DC1F68">
        <w:rPr>
          <w:rFonts w:ascii="Cambria" w:hAnsi="Cambria"/>
          <w:bCs/>
          <w:szCs w:val="22"/>
        </w:rPr>
        <w:t xml:space="preserve"> should be reduced when co</w:t>
      </w:r>
      <w:r w:rsidRPr="00DC1F68">
        <w:rPr>
          <w:rFonts w:ascii="Cambria" w:hAnsi="Cambria"/>
          <w:bCs/>
          <w:szCs w:val="22"/>
        </w:rPr>
        <w:noBreakHyphen/>
        <w:t xml:space="preserve">administered with moderate CYP3A inhibitors (see section 4.4 </w:t>
      </w:r>
      <w:r w:rsidRPr="004C7E31">
        <w:rPr>
          <w:rFonts w:ascii="Cambria" w:hAnsi="Cambria"/>
        </w:rPr>
        <w:t>SPECIAL WARNINGS AND PRECAUTIONS FOR USE</w:t>
      </w:r>
      <w:r w:rsidRPr="00DC1F68">
        <w:rPr>
          <w:rFonts w:ascii="Cambria" w:hAnsi="Cambria"/>
          <w:bCs/>
          <w:szCs w:val="22"/>
        </w:rPr>
        <w:t xml:space="preserve"> and Table 2 in section 4.2</w:t>
      </w:r>
      <w:r w:rsidRPr="00DC1F68">
        <w:rPr>
          <w:rFonts w:ascii="Cambria" w:eastAsiaTheme="minorHAnsi" w:hAnsi="Cambria"/>
        </w:rPr>
        <w:t xml:space="preserve"> DOSE AND METHOD OF ADMINISTRATION</w:t>
      </w:r>
      <w:r w:rsidRPr="00DC1F68">
        <w:rPr>
          <w:rFonts w:ascii="Cambria" w:hAnsi="Cambria"/>
          <w:bCs/>
          <w:szCs w:val="22"/>
        </w:rPr>
        <w:t xml:space="preserve">). </w:t>
      </w:r>
    </w:p>
    <w:p w14:paraId="7008C199" w14:textId="77777777" w:rsidR="00A66CE7" w:rsidRPr="00DC1F68" w:rsidRDefault="00A66CE7" w:rsidP="00A66CE7">
      <w:pPr>
        <w:tabs>
          <w:tab w:val="clear" w:pos="567"/>
        </w:tabs>
        <w:autoSpaceDE w:val="0"/>
        <w:autoSpaceDN w:val="0"/>
        <w:adjustRightInd w:val="0"/>
        <w:rPr>
          <w:rFonts w:ascii="Cambria" w:hAnsi="Cambria"/>
          <w:bCs/>
          <w:szCs w:val="22"/>
        </w:rPr>
      </w:pPr>
    </w:p>
    <w:p w14:paraId="1AF7EE64" w14:textId="77777777" w:rsidR="00A66CE7" w:rsidRPr="00DC1F68" w:rsidRDefault="00A66CE7" w:rsidP="00A66CE7">
      <w:pPr>
        <w:tabs>
          <w:tab w:val="clear" w:pos="567"/>
        </w:tabs>
        <w:autoSpaceDE w:val="0"/>
        <w:autoSpaceDN w:val="0"/>
        <w:adjustRightInd w:val="0"/>
        <w:rPr>
          <w:rFonts w:ascii="Cambria" w:hAnsi="Cambria"/>
          <w:bCs/>
          <w:szCs w:val="22"/>
        </w:rPr>
      </w:pPr>
      <w:r w:rsidRPr="00DC1F68">
        <w:rPr>
          <w:rFonts w:ascii="Cambria" w:hAnsi="Cambria"/>
          <w:bCs/>
          <w:szCs w:val="22"/>
        </w:rPr>
        <w:t>Examples of moderate CYP3A inhibitors include:</w:t>
      </w:r>
    </w:p>
    <w:p w14:paraId="348123B5" w14:textId="77777777" w:rsidR="00A66CE7" w:rsidRPr="00DC1F68" w:rsidRDefault="00A66CE7" w:rsidP="00A66CE7">
      <w:pPr>
        <w:numPr>
          <w:ilvl w:val="0"/>
          <w:numId w:val="10"/>
        </w:numPr>
        <w:tabs>
          <w:tab w:val="clear" w:pos="567"/>
        </w:tabs>
        <w:autoSpaceDE w:val="0"/>
        <w:autoSpaceDN w:val="0"/>
        <w:adjustRightInd w:val="0"/>
        <w:rPr>
          <w:rFonts w:ascii="Cambria" w:hAnsi="Cambria"/>
          <w:bCs/>
          <w:szCs w:val="22"/>
        </w:rPr>
      </w:pPr>
      <w:r w:rsidRPr="00DC1F68">
        <w:rPr>
          <w:rFonts w:ascii="Cambria" w:hAnsi="Cambria"/>
          <w:bCs/>
          <w:szCs w:val="22"/>
        </w:rPr>
        <w:t>fluconazole</w:t>
      </w:r>
    </w:p>
    <w:p w14:paraId="5943A521" w14:textId="6291F893" w:rsidR="00A66CE7" w:rsidRDefault="00A66CE7" w:rsidP="00A66CE7">
      <w:pPr>
        <w:numPr>
          <w:ilvl w:val="0"/>
          <w:numId w:val="10"/>
        </w:numPr>
        <w:tabs>
          <w:tab w:val="clear" w:pos="567"/>
        </w:tabs>
        <w:autoSpaceDE w:val="0"/>
        <w:autoSpaceDN w:val="0"/>
        <w:adjustRightInd w:val="0"/>
        <w:rPr>
          <w:rFonts w:ascii="Cambria" w:hAnsi="Cambria"/>
          <w:bCs/>
          <w:szCs w:val="22"/>
        </w:rPr>
      </w:pPr>
      <w:r w:rsidRPr="00DC1F68">
        <w:rPr>
          <w:rFonts w:ascii="Cambria" w:hAnsi="Cambria"/>
          <w:bCs/>
          <w:szCs w:val="22"/>
        </w:rPr>
        <w:t>erythromycin</w:t>
      </w:r>
    </w:p>
    <w:p w14:paraId="14FA0F20" w14:textId="37A1B32D" w:rsidR="00A413C5" w:rsidRPr="00DC1F68" w:rsidRDefault="00A413C5" w:rsidP="00A66CE7">
      <w:pPr>
        <w:numPr>
          <w:ilvl w:val="0"/>
          <w:numId w:val="10"/>
        </w:numPr>
        <w:tabs>
          <w:tab w:val="clear" w:pos="567"/>
        </w:tabs>
        <w:autoSpaceDE w:val="0"/>
        <w:autoSpaceDN w:val="0"/>
        <w:adjustRightInd w:val="0"/>
        <w:rPr>
          <w:rFonts w:ascii="Cambria" w:hAnsi="Cambria"/>
          <w:bCs/>
          <w:szCs w:val="22"/>
        </w:rPr>
      </w:pPr>
      <w:r>
        <w:rPr>
          <w:rFonts w:ascii="Cambria" w:hAnsi="Cambria"/>
          <w:bCs/>
          <w:szCs w:val="22"/>
        </w:rPr>
        <w:t>verapamil</w:t>
      </w:r>
    </w:p>
    <w:p w14:paraId="1322BCAE"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36AD22F2" w14:textId="41326F47" w:rsidR="00A66CE7" w:rsidRDefault="00A66CE7" w:rsidP="00A66CE7">
      <w:pPr>
        <w:tabs>
          <w:tab w:val="clear" w:pos="567"/>
        </w:tabs>
        <w:autoSpaceDE w:val="0"/>
        <w:autoSpaceDN w:val="0"/>
        <w:adjustRightInd w:val="0"/>
        <w:rPr>
          <w:rFonts w:ascii="Cambria" w:eastAsia="TimesNewRoman" w:hAnsi="Cambria"/>
          <w:szCs w:val="22"/>
        </w:rPr>
      </w:pPr>
      <w:r w:rsidRPr="00DC1F68">
        <w:rPr>
          <w:rFonts w:ascii="Cambria" w:eastAsia="TimesNewRoman" w:hAnsi="Cambria"/>
          <w:szCs w:val="22"/>
        </w:rPr>
        <w:t>Co</w:t>
      </w:r>
      <w:r w:rsidRPr="00DC1F68">
        <w:rPr>
          <w:rFonts w:ascii="Cambria" w:eastAsia="TimesNewRoman" w:hAnsi="Cambria"/>
          <w:szCs w:val="22"/>
        </w:rPr>
        <w:noBreakHyphen/>
        <w:t>administration of</w:t>
      </w:r>
      <w:r w:rsidR="00D4199E" w:rsidRPr="00DC1F68">
        <w:rPr>
          <w:rFonts w:ascii="Cambria" w:eastAsia="TimesNewRoman" w:hAnsi="Cambria"/>
          <w:bCs/>
          <w:szCs w:val="22"/>
        </w:rPr>
        <w:t xml:space="preserve"> T</w:t>
      </w:r>
      <w:r w:rsidR="002A3388">
        <w:rPr>
          <w:rFonts w:ascii="Cambria" w:eastAsia="TimesNewRoman" w:hAnsi="Cambria"/>
          <w:bCs/>
          <w:szCs w:val="22"/>
        </w:rPr>
        <w:t>RIKAFTA</w:t>
      </w:r>
      <w:r w:rsidRPr="00DC1F68">
        <w:rPr>
          <w:rFonts w:ascii="Cambria" w:eastAsia="TimesNewRoman" w:hAnsi="Cambria"/>
          <w:szCs w:val="22"/>
        </w:rPr>
        <w:t xml:space="preserve"> with grapefruit juice, which contains one or more components that moderately inhibit CYP3A, may increase exposure of elexacaftor, tezacaftor and ivacaftor. Food or drink containing grapefruit should be avoided during treatment with </w:t>
      </w:r>
      <w:r w:rsidR="00D4199E" w:rsidRPr="00DC1F68">
        <w:rPr>
          <w:rFonts w:ascii="Cambria" w:eastAsia="TimesNewRoman" w:hAnsi="Cambria"/>
          <w:bCs/>
          <w:szCs w:val="22"/>
        </w:rPr>
        <w:t>T</w:t>
      </w:r>
      <w:r w:rsidR="002A3388">
        <w:rPr>
          <w:rFonts w:ascii="Cambria" w:eastAsia="TimesNewRoman" w:hAnsi="Cambria"/>
          <w:bCs/>
          <w:szCs w:val="22"/>
        </w:rPr>
        <w:t>RIKAFTA</w:t>
      </w:r>
      <w:r w:rsidR="00D4199E" w:rsidRPr="00DC1F68">
        <w:rPr>
          <w:rFonts w:ascii="Cambria" w:eastAsia="TimesNewRoman" w:hAnsi="Cambria"/>
          <w:szCs w:val="22"/>
        </w:rPr>
        <w:t xml:space="preserve"> </w:t>
      </w:r>
      <w:r w:rsidRPr="00DC1F68">
        <w:rPr>
          <w:rFonts w:ascii="Cambria" w:eastAsia="TimesNewRoman" w:hAnsi="Cambria"/>
          <w:szCs w:val="22"/>
        </w:rPr>
        <w:t>(see section 4.2</w:t>
      </w:r>
      <w:r w:rsidR="00D4199E" w:rsidRPr="00DC1F68">
        <w:rPr>
          <w:rFonts w:ascii="Cambria" w:eastAsia="TimesNewRoman" w:hAnsi="Cambria"/>
          <w:szCs w:val="22"/>
        </w:rPr>
        <w:t xml:space="preserve"> DOSE AND METHOD OF ADMINISTRATION</w:t>
      </w:r>
      <w:r w:rsidRPr="00DC1F68">
        <w:rPr>
          <w:rFonts w:ascii="Cambria" w:eastAsia="TimesNewRoman" w:hAnsi="Cambria"/>
          <w:szCs w:val="22"/>
        </w:rPr>
        <w:t>).</w:t>
      </w:r>
    </w:p>
    <w:p w14:paraId="68330A48" w14:textId="091E483F" w:rsidR="00E14A27" w:rsidRDefault="00E14A27" w:rsidP="00A66CE7">
      <w:pPr>
        <w:tabs>
          <w:tab w:val="clear" w:pos="567"/>
        </w:tabs>
        <w:autoSpaceDE w:val="0"/>
        <w:autoSpaceDN w:val="0"/>
        <w:adjustRightInd w:val="0"/>
        <w:rPr>
          <w:rFonts w:ascii="Cambria" w:eastAsia="TimesNewRoman" w:hAnsi="Cambria"/>
          <w:szCs w:val="22"/>
        </w:rPr>
      </w:pPr>
    </w:p>
    <w:p w14:paraId="25E00236" w14:textId="6027E1B4" w:rsidR="00E14A27" w:rsidRPr="00210B8A" w:rsidRDefault="00E14A27" w:rsidP="00E14A27">
      <w:pPr>
        <w:autoSpaceDE w:val="0"/>
        <w:autoSpaceDN w:val="0"/>
        <w:adjustRightInd w:val="0"/>
        <w:rPr>
          <w:rFonts w:ascii="Cambria" w:hAnsi="Cambria"/>
          <w:szCs w:val="22"/>
        </w:rPr>
      </w:pPr>
      <w:r w:rsidRPr="00210B8A">
        <w:rPr>
          <w:rFonts w:ascii="Cambria" w:hAnsi="Cambria"/>
          <w:color w:val="000000"/>
          <w:szCs w:val="22"/>
        </w:rPr>
        <w:t>The effects of co</w:t>
      </w:r>
      <w:r w:rsidRPr="00210B8A">
        <w:rPr>
          <w:rFonts w:ascii="Cambria" w:hAnsi="Cambria"/>
          <w:color w:val="000000"/>
          <w:szCs w:val="22"/>
        </w:rPr>
        <w:noBreakHyphen/>
        <w:t xml:space="preserve">administered drugs on the exposure of </w:t>
      </w:r>
      <w:r w:rsidRPr="00210B8A">
        <w:rPr>
          <w:rFonts w:ascii="Cambria" w:hAnsi="Cambria"/>
          <w:szCs w:val="22"/>
        </w:rPr>
        <w:t xml:space="preserve">elexacaftor, </w:t>
      </w:r>
      <w:r w:rsidRPr="00210B8A">
        <w:rPr>
          <w:rFonts w:ascii="Cambria" w:hAnsi="Cambria"/>
          <w:color w:val="000000"/>
          <w:szCs w:val="22"/>
        </w:rPr>
        <w:t xml:space="preserve">tezacaftor and/or ivacaftor are shown in </w:t>
      </w:r>
      <w:r w:rsidRPr="00210B8A">
        <w:rPr>
          <w:rFonts w:ascii="Cambria" w:hAnsi="Cambria"/>
          <w:szCs w:val="22"/>
        </w:rPr>
        <w:t>Table </w:t>
      </w:r>
      <w:r w:rsidR="0082615A">
        <w:rPr>
          <w:rFonts w:ascii="Cambria" w:hAnsi="Cambria"/>
          <w:szCs w:val="22"/>
        </w:rPr>
        <w:t>3</w:t>
      </w:r>
      <w:r w:rsidRPr="00210B8A">
        <w:rPr>
          <w:rFonts w:ascii="Cambria" w:hAnsi="Cambria"/>
          <w:szCs w:val="22"/>
        </w:rPr>
        <w:t xml:space="preserve"> </w:t>
      </w:r>
      <w:r>
        <w:rPr>
          <w:rFonts w:ascii="Cambria" w:hAnsi="Cambria"/>
          <w:szCs w:val="22"/>
        </w:rPr>
        <w:t>(</w:t>
      </w:r>
      <w:r w:rsidRPr="00174D80">
        <w:rPr>
          <w:rFonts w:ascii="Cambria" w:hAnsi="Cambria"/>
          <w:szCs w:val="22"/>
        </w:rPr>
        <w:t>see section 4.2</w:t>
      </w:r>
      <w:r w:rsidR="0024000E">
        <w:rPr>
          <w:rFonts w:ascii="Cambria" w:hAnsi="Cambria"/>
          <w:szCs w:val="22"/>
        </w:rPr>
        <w:t xml:space="preserve"> </w:t>
      </w:r>
      <w:r w:rsidRPr="00174D80">
        <w:rPr>
          <w:rFonts w:ascii="Cambria" w:hAnsi="Cambria"/>
          <w:szCs w:val="22"/>
        </w:rPr>
        <w:t>DOSE AND METHOD OF ADMINISTRATION</w:t>
      </w:r>
      <w:r w:rsidRPr="00DC1F68">
        <w:rPr>
          <w:rFonts w:ascii="Cambria" w:hAnsi="Cambria"/>
          <w:szCs w:val="22"/>
          <w:bdr w:val="none" w:sz="0" w:space="0" w:color="auto" w:frame="1"/>
        </w:rPr>
        <w:t>)</w:t>
      </w:r>
      <w:r w:rsidRPr="00210B8A">
        <w:rPr>
          <w:rFonts w:ascii="Cambria" w:hAnsi="Cambria"/>
          <w:szCs w:val="22"/>
        </w:rPr>
        <w:t>.</w:t>
      </w:r>
    </w:p>
    <w:p w14:paraId="1DC1A145" w14:textId="77777777" w:rsidR="00E14A27" w:rsidRPr="00210B8A" w:rsidRDefault="00E14A27" w:rsidP="00E14A27">
      <w:pPr>
        <w:autoSpaceDE w:val="0"/>
        <w:autoSpaceDN w:val="0"/>
        <w:adjustRightInd w:val="0"/>
        <w:rPr>
          <w:rFonts w:ascii="Cambria" w:hAnsi="Cambria"/>
          <w:color w:val="000000"/>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1972"/>
        <w:gridCol w:w="1404"/>
        <w:gridCol w:w="1516"/>
        <w:gridCol w:w="1541"/>
      </w:tblGrid>
      <w:tr w:rsidR="00E14A27" w:rsidRPr="00210B8A" w14:paraId="4E5C4B9B" w14:textId="77777777" w:rsidTr="0082615A">
        <w:trPr>
          <w:trHeight w:val="179"/>
          <w:tblHeader/>
          <w:jc w:val="center"/>
        </w:trPr>
        <w:tc>
          <w:tcPr>
            <w:tcW w:w="9634" w:type="dxa"/>
            <w:gridSpan w:val="5"/>
            <w:shd w:val="clear" w:color="auto" w:fill="auto"/>
            <w:vAlign w:val="center"/>
          </w:tcPr>
          <w:p w14:paraId="28548AC4" w14:textId="6B6028EF" w:rsidR="00E14A27" w:rsidRPr="00210B8A" w:rsidRDefault="00E14A27" w:rsidP="0082615A">
            <w:pPr>
              <w:pStyle w:val="Default"/>
              <w:rPr>
                <w:rFonts w:ascii="Cambria" w:hAnsi="Cambria" w:cs="Times New Roman"/>
                <w:sz w:val="22"/>
                <w:szCs w:val="22"/>
              </w:rPr>
            </w:pPr>
            <w:r w:rsidRPr="00210B8A">
              <w:rPr>
                <w:rFonts w:ascii="Cambria" w:hAnsi="Cambria" w:cs="Times New Roman"/>
                <w:b/>
                <w:color w:val="auto"/>
                <w:sz w:val="22"/>
                <w:szCs w:val="22"/>
              </w:rPr>
              <w:t>Table </w:t>
            </w:r>
            <w:r w:rsidR="0082615A">
              <w:rPr>
                <w:rFonts w:ascii="Cambria" w:hAnsi="Cambria" w:cs="Times New Roman"/>
                <w:b/>
                <w:color w:val="auto"/>
                <w:sz w:val="22"/>
                <w:szCs w:val="22"/>
              </w:rPr>
              <w:t>3</w:t>
            </w:r>
            <w:r w:rsidRPr="00210B8A">
              <w:rPr>
                <w:rFonts w:ascii="Cambria" w:hAnsi="Cambria" w:cs="Times New Roman"/>
                <w:b/>
                <w:color w:val="auto"/>
                <w:sz w:val="22"/>
                <w:szCs w:val="22"/>
              </w:rPr>
              <w:t xml:space="preserve">: Impact </w:t>
            </w:r>
            <w:r w:rsidRPr="00210B8A">
              <w:rPr>
                <w:rFonts w:ascii="Cambria" w:hAnsi="Cambria" w:cs="Times New Roman"/>
                <w:b/>
                <w:sz w:val="22"/>
                <w:szCs w:val="22"/>
              </w:rPr>
              <w:t>of Other Drug</w:t>
            </w:r>
            <w:r w:rsidRPr="00210B8A">
              <w:rPr>
                <w:rFonts w:ascii="Cambria" w:hAnsi="Cambria" w:cs="Times New Roman"/>
                <w:b/>
                <w:color w:val="auto"/>
                <w:sz w:val="22"/>
                <w:szCs w:val="22"/>
              </w:rPr>
              <w:t>s on Elexacaftor, Tezacaftor and Ivacaftor</w:t>
            </w:r>
          </w:p>
        </w:tc>
      </w:tr>
      <w:tr w:rsidR="00E14A27" w:rsidRPr="00210B8A" w14:paraId="3F64F027" w14:textId="77777777" w:rsidTr="0082615A">
        <w:trPr>
          <w:trHeight w:val="422"/>
          <w:tblHeader/>
          <w:jc w:val="center"/>
        </w:trPr>
        <w:tc>
          <w:tcPr>
            <w:tcW w:w="5133" w:type="dxa"/>
            <w:gridSpan w:val="2"/>
            <w:vMerge w:val="restart"/>
            <w:vAlign w:val="center"/>
          </w:tcPr>
          <w:p w14:paraId="45CD614F"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b/>
                <w:sz w:val="22"/>
                <w:szCs w:val="22"/>
              </w:rPr>
              <w:t>Dose and Schedule</w:t>
            </w:r>
          </w:p>
          <w:p w14:paraId="731AF208" w14:textId="77777777" w:rsidR="00E14A27" w:rsidRPr="00210B8A" w:rsidRDefault="00E14A27" w:rsidP="0082615A">
            <w:pPr>
              <w:pStyle w:val="Default"/>
              <w:jc w:val="center"/>
              <w:rPr>
                <w:rFonts w:ascii="Cambria" w:hAnsi="Cambria" w:cs="Times New Roman"/>
                <w:sz w:val="22"/>
                <w:szCs w:val="22"/>
              </w:rPr>
            </w:pPr>
          </w:p>
        </w:tc>
        <w:tc>
          <w:tcPr>
            <w:tcW w:w="1408" w:type="dxa"/>
            <w:vMerge w:val="restart"/>
            <w:vAlign w:val="center"/>
          </w:tcPr>
          <w:p w14:paraId="6BC4110B"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b/>
                <w:color w:val="auto"/>
                <w:sz w:val="22"/>
                <w:szCs w:val="22"/>
              </w:rPr>
              <w:t>Effect on ELX, TEZ and/or IVA PK</w:t>
            </w:r>
          </w:p>
        </w:tc>
        <w:tc>
          <w:tcPr>
            <w:tcW w:w="3093" w:type="dxa"/>
            <w:gridSpan w:val="2"/>
            <w:shd w:val="clear" w:color="auto" w:fill="auto"/>
            <w:vAlign w:val="center"/>
          </w:tcPr>
          <w:p w14:paraId="5BCEC1D0" w14:textId="77777777" w:rsidR="00E14A27" w:rsidRPr="00210B8A" w:rsidRDefault="00E14A27" w:rsidP="0082615A">
            <w:pPr>
              <w:autoSpaceDE w:val="0"/>
              <w:autoSpaceDN w:val="0"/>
              <w:adjustRightInd w:val="0"/>
              <w:jc w:val="center"/>
              <w:rPr>
                <w:rFonts w:ascii="Cambria" w:hAnsi="Cambria"/>
                <w:b/>
                <w:bCs/>
                <w:color w:val="000000"/>
                <w:szCs w:val="22"/>
              </w:rPr>
            </w:pPr>
            <w:r w:rsidRPr="00210B8A">
              <w:rPr>
                <w:rFonts w:ascii="Cambria" w:hAnsi="Cambria"/>
                <w:b/>
                <w:bCs/>
                <w:color w:val="000000"/>
                <w:szCs w:val="22"/>
              </w:rPr>
              <w:t>Geometric Mean Ratio (90% CI) of Elexacaftor, Tezacaftor and Ivacaftor</w:t>
            </w:r>
          </w:p>
          <w:p w14:paraId="25EE3B48"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b/>
                <w:bCs/>
                <w:sz w:val="22"/>
                <w:szCs w:val="22"/>
              </w:rPr>
              <w:t>No Effect = 1.0</w:t>
            </w:r>
          </w:p>
        </w:tc>
      </w:tr>
      <w:tr w:rsidR="00E14A27" w:rsidRPr="00210B8A" w14:paraId="6E744795" w14:textId="77777777" w:rsidTr="0082615A">
        <w:trPr>
          <w:trHeight w:val="224"/>
          <w:tblHeader/>
          <w:jc w:val="center"/>
        </w:trPr>
        <w:tc>
          <w:tcPr>
            <w:tcW w:w="5133" w:type="dxa"/>
            <w:gridSpan w:val="2"/>
            <w:vMerge/>
            <w:vAlign w:val="center"/>
          </w:tcPr>
          <w:p w14:paraId="1E5DEE73" w14:textId="77777777" w:rsidR="00E14A27" w:rsidRPr="00925AAD" w:rsidRDefault="00E14A27" w:rsidP="0082615A">
            <w:pPr>
              <w:pStyle w:val="Default"/>
              <w:jc w:val="center"/>
              <w:rPr>
                <w:rFonts w:ascii="Cambria" w:hAnsi="Cambria" w:cs="Times New Roman"/>
                <w:b/>
                <w:color w:val="auto"/>
                <w:sz w:val="22"/>
                <w:szCs w:val="22"/>
              </w:rPr>
            </w:pPr>
          </w:p>
        </w:tc>
        <w:tc>
          <w:tcPr>
            <w:tcW w:w="1408" w:type="dxa"/>
            <w:vMerge/>
            <w:vAlign w:val="center"/>
          </w:tcPr>
          <w:p w14:paraId="149162EF" w14:textId="77777777" w:rsidR="00E14A27" w:rsidRPr="00925AAD" w:rsidRDefault="00E14A27" w:rsidP="0082615A">
            <w:pPr>
              <w:pStyle w:val="Default"/>
              <w:jc w:val="center"/>
              <w:rPr>
                <w:rFonts w:ascii="Cambria" w:hAnsi="Cambria" w:cs="Times New Roman"/>
                <w:b/>
                <w:color w:val="auto"/>
                <w:sz w:val="22"/>
                <w:szCs w:val="22"/>
              </w:rPr>
            </w:pPr>
          </w:p>
        </w:tc>
        <w:tc>
          <w:tcPr>
            <w:tcW w:w="1534" w:type="dxa"/>
            <w:vAlign w:val="center"/>
          </w:tcPr>
          <w:p w14:paraId="288D244C" w14:textId="77777777" w:rsidR="00E14A27" w:rsidRPr="00925AAD" w:rsidRDefault="00E14A27" w:rsidP="0082615A">
            <w:pPr>
              <w:pStyle w:val="Default"/>
              <w:jc w:val="center"/>
              <w:rPr>
                <w:rFonts w:ascii="Cambria" w:hAnsi="Cambria" w:cs="Times New Roman"/>
                <w:b/>
                <w:sz w:val="22"/>
                <w:szCs w:val="22"/>
              </w:rPr>
            </w:pPr>
            <w:r w:rsidRPr="00925AAD">
              <w:rPr>
                <w:rFonts w:ascii="Cambria" w:hAnsi="Cambria" w:cs="Times New Roman"/>
                <w:b/>
                <w:sz w:val="22"/>
                <w:szCs w:val="22"/>
              </w:rPr>
              <w:t>AUC</w:t>
            </w:r>
          </w:p>
        </w:tc>
        <w:tc>
          <w:tcPr>
            <w:tcW w:w="1559" w:type="dxa"/>
            <w:vAlign w:val="center"/>
          </w:tcPr>
          <w:p w14:paraId="49B6374C" w14:textId="77777777" w:rsidR="00E14A27" w:rsidRPr="00925AAD" w:rsidRDefault="00E14A27" w:rsidP="0082615A">
            <w:pPr>
              <w:pStyle w:val="Default"/>
              <w:jc w:val="center"/>
              <w:rPr>
                <w:rFonts w:ascii="Cambria" w:hAnsi="Cambria" w:cs="Times New Roman"/>
                <w:b/>
                <w:sz w:val="22"/>
                <w:szCs w:val="22"/>
              </w:rPr>
            </w:pPr>
            <w:r w:rsidRPr="00925AAD">
              <w:rPr>
                <w:rFonts w:ascii="Cambria" w:hAnsi="Cambria" w:cs="Times New Roman"/>
                <w:b/>
                <w:sz w:val="22"/>
                <w:szCs w:val="22"/>
              </w:rPr>
              <w:t>C</w:t>
            </w:r>
            <w:r w:rsidRPr="00925AAD">
              <w:rPr>
                <w:rFonts w:ascii="Cambria" w:hAnsi="Cambria" w:cs="Times New Roman"/>
                <w:b/>
                <w:sz w:val="22"/>
                <w:szCs w:val="22"/>
                <w:vertAlign w:val="subscript"/>
              </w:rPr>
              <w:t>max</w:t>
            </w:r>
          </w:p>
        </w:tc>
      </w:tr>
      <w:tr w:rsidR="00E14A27" w:rsidRPr="00210B8A" w14:paraId="2C6395AD" w14:textId="77777777" w:rsidTr="0082615A">
        <w:trPr>
          <w:trHeight w:val="304"/>
          <w:jc w:val="center"/>
        </w:trPr>
        <w:tc>
          <w:tcPr>
            <w:tcW w:w="3248" w:type="dxa"/>
            <w:vMerge w:val="restart"/>
            <w:shd w:val="clear" w:color="auto" w:fill="auto"/>
            <w:vAlign w:val="center"/>
          </w:tcPr>
          <w:p w14:paraId="7DEB0B52"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Itraconazole</w:t>
            </w:r>
          </w:p>
          <w:p w14:paraId="3D1E5415"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200 mg q12h on Day 1, followed by 200 mg qd</w:t>
            </w:r>
          </w:p>
        </w:tc>
        <w:tc>
          <w:tcPr>
            <w:tcW w:w="1885" w:type="dxa"/>
            <w:vMerge w:val="restart"/>
            <w:vAlign w:val="center"/>
          </w:tcPr>
          <w:p w14:paraId="4F8C76E1" w14:textId="77777777" w:rsidR="00E14A27" w:rsidRPr="00210B8A" w:rsidRDefault="00E14A27" w:rsidP="0082615A">
            <w:pPr>
              <w:autoSpaceDE w:val="0"/>
              <w:autoSpaceDN w:val="0"/>
              <w:adjustRightInd w:val="0"/>
              <w:jc w:val="center"/>
              <w:rPr>
                <w:rFonts w:ascii="Cambria" w:hAnsi="Cambria"/>
                <w:szCs w:val="22"/>
              </w:rPr>
            </w:pPr>
            <w:r>
              <w:rPr>
                <w:rFonts w:ascii="Cambria" w:hAnsi="Cambria"/>
                <w:bCs/>
                <w:szCs w:val="22"/>
              </w:rPr>
              <w:t>tezacaftor</w:t>
            </w:r>
            <w:r w:rsidRPr="00210B8A">
              <w:rPr>
                <w:rFonts w:ascii="Cambria" w:hAnsi="Cambria"/>
                <w:bCs/>
                <w:szCs w:val="22"/>
              </w:rPr>
              <w:t xml:space="preserve"> 25 mg qd + </w:t>
            </w:r>
            <w:r>
              <w:rPr>
                <w:rFonts w:ascii="Cambria" w:hAnsi="Cambria"/>
                <w:bCs/>
                <w:szCs w:val="22"/>
              </w:rPr>
              <w:t>ivacaftor</w:t>
            </w:r>
            <w:r w:rsidRPr="00210B8A">
              <w:rPr>
                <w:rFonts w:ascii="Cambria" w:hAnsi="Cambria"/>
                <w:bCs/>
                <w:szCs w:val="22"/>
              </w:rPr>
              <w:t> 50 mg qd</w:t>
            </w:r>
          </w:p>
        </w:tc>
        <w:tc>
          <w:tcPr>
            <w:tcW w:w="1408" w:type="dxa"/>
            <w:vAlign w:val="center"/>
          </w:tcPr>
          <w:p w14:paraId="5AB979FE" w14:textId="77777777" w:rsidR="00E14A27" w:rsidRPr="00210B8A" w:rsidRDefault="00E14A27" w:rsidP="0082615A">
            <w:pPr>
              <w:autoSpaceDE w:val="0"/>
              <w:autoSpaceDN w:val="0"/>
              <w:adjustRightInd w:val="0"/>
              <w:jc w:val="center"/>
              <w:rPr>
                <w:rFonts w:ascii="Cambria" w:hAnsi="Cambria"/>
                <w:szCs w:val="22"/>
              </w:rPr>
            </w:pPr>
            <w:r w:rsidRPr="00210B8A">
              <w:rPr>
                <w:rFonts w:ascii="Cambria" w:hAnsi="Cambria"/>
                <w:szCs w:val="22"/>
              </w:rPr>
              <w:t>↑ Tezacaftor</w:t>
            </w:r>
          </w:p>
        </w:tc>
        <w:tc>
          <w:tcPr>
            <w:tcW w:w="1534" w:type="dxa"/>
            <w:vAlign w:val="center"/>
          </w:tcPr>
          <w:p w14:paraId="1889E077"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4.02</w:t>
            </w:r>
            <w:r w:rsidRPr="00210B8A">
              <w:rPr>
                <w:rFonts w:ascii="Cambria" w:hAnsi="Cambria" w:cs="Times New Roman"/>
                <w:sz w:val="22"/>
                <w:szCs w:val="22"/>
              </w:rPr>
              <w:br/>
              <w:t>(3.71, 4.63)</w:t>
            </w:r>
          </w:p>
        </w:tc>
        <w:tc>
          <w:tcPr>
            <w:tcW w:w="1559" w:type="dxa"/>
            <w:vAlign w:val="center"/>
          </w:tcPr>
          <w:p w14:paraId="7C74EAE0"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2.83</w:t>
            </w:r>
            <w:r w:rsidRPr="00210B8A">
              <w:rPr>
                <w:rFonts w:ascii="Cambria" w:hAnsi="Cambria" w:cs="Times New Roman"/>
                <w:sz w:val="22"/>
                <w:szCs w:val="22"/>
              </w:rPr>
              <w:br/>
              <w:t>(2.62, 3.07)</w:t>
            </w:r>
          </w:p>
        </w:tc>
      </w:tr>
      <w:tr w:rsidR="00E14A27" w:rsidRPr="00210B8A" w14:paraId="4403F8EE" w14:textId="77777777" w:rsidTr="0082615A">
        <w:trPr>
          <w:trHeight w:val="304"/>
          <w:jc w:val="center"/>
        </w:trPr>
        <w:tc>
          <w:tcPr>
            <w:tcW w:w="3248" w:type="dxa"/>
            <w:vMerge/>
            <w:shd w:val="clear" w:color="auto" w:fill="auto"/>
            <w:vAlign w:val="center"/>
          </w:tcPr>
          <w:p w14:paraId="0371E2E5" w14:textId="77777777" w:rsidR="00E14A27" w:rsidRPr="00925AAD" w:rsidRDefault="00E14A27" w:rsidP="0082615A">
            <w:pPr>
              <w:pStyle w:val="Default"/>
              <w:jc w:val="center"/>
              <w:rPr>
                <w:rFonts w:ascii="Cambria" w:hAnsi="Cambria" w:cs="Times New Roman"/>
                <w:sz w:val="22"/>
                <w:szCs w:val="22"/>
              </w:rPr>
            </w:pPr>
          </w:p>
        </w:tc>
        <w:tc>
          <w:tcPr>
            <w:tcW w:w="1885" w:type="dxa"/>
            <w:vMerge/>
            <w:vAlign w:val="center"/>
          </w:tcPr>
          <w:p w14:paraId="431A24E3" w14:textId="77777777" w:rsidR="00E14A27" w:rsidRPr="00925AAD" w:rsidRDefault="00E14A27" w:rsidP="0082615A">
            <w:pPr>
              <w:autoSpaceDE w:val="0"/>
              <w:autoSpaceDN w:val="0"/>
              <w:adjustRightInd w:val="0"/>
              <w:jc w:val="center"/>
              <w:rPr>
                <w:rFonts w:ascii="Cambria" w:hAnsi="Cambria"/>
                <w:szCs w:val="22"/>
              </w:rPr>
            </w:pPr>
          </w:p>
        </w:tc>
        <w:tc>
          <w:tcPr>
            <w:tcW w:w="1408" w:type="dxa"/>
            <w:vAlign w:val="center"/>
          </w:tcPr>
          <w:p w14:paraId="5D05ED0F" w14:textId="77777777" w:rsidR="00E14A27" w:rsidRPr="00925AAD" w:rsidRDefault="00E14A27" w:rsidP="0082615A">
            <w:pPr>
              <w:autoSpaceDE w:val="0"/>
              <w:autoSpaceDN w:val="0"/>
              <w:adjustRightInd w:val="0"/>
              <w:jc w:val="center"/>
              <w:rPr>
                <w:rFonts w:ascii="Cambria" w:hAnsi="Cambria"/>
                <w:szCs w:val="22"/>
              </w:rPr>
            </w:pPr>
            <w:r w:rsidRPr="00925AAD">
              <w:rPr>
                <w:rFonts w:ascii="Cambria" w:hAnsi="Cambria"/>
                <w:szCs w:val="22"/>
              </w:rPr>
              <w:t>↑ Ivacaftor</w:t>
            </w:r>
          </w:p>
        </w:tc>
        <w:tc>
          <w:tcPr>
            <w:tcW w:w="1534" w:type="dxa"/>
            <w:vAlign w:val="center"/>
          </w:tcPr>
          <w:p w14:paraId="4764350F" w14:textId="77777777" w:rsidR="00E14A27" w:rsidRPr="00925AAD" w:rsidRDefault="00E14A27" w:rsidP="0082615A">
            <w:pPr>
              <w:pStyle w:val="Default"/>
              <w:jc w:val="center"/>
              <w:rPr>
                <w:rFonts w:ascii="Cambria" w:hAnsi="Cambria" w:cs="Times New Roman"/>
                <w:sz w:val="22"/>
                <w:szCs w:val="22"/>
              </w:rPr>
            </w:pPr>
            <w:r w:rsidRPr="00925AAD">
              <w:rPr>
                <w:rFonts w:ascii="Cambria" w:hAnsi="Cambria" w:cs="Times New Roman"/>
                <w:sz w:val="22"/>
                <w:szCs w:val="22"/>
              </w:rPr>
              <w:t>15.6</w:t>
            </w:r>
            <w:r w:rsidRPr="00925AAD">
              <w:rPr>
                <w:rFonts w:ascii="Cambria" w:hAnsi="Cambria" w:cs="Times New Roman"/>
                <w:sz w:val="22"/>
                <w:szCs w:val="22"/>
              </w:rPr>
              <w:br/>
              <w:t>(13.4, 18.1)</w:t>
            </w:r>
          </w:p>
        </w:tc>
        <w:tc>
          <w:tcPr>
            <w:tcW w:w="1559" w:type="dxa"/>
            <w:vAlign w:val="center"/>
          </w:tcPr>
          <w:p w14:paraId="6A546DC4" w14:textId="77777777" w:rsidR="00E14A27" w:rsidRPr="00925AAD" w:rsidRDefault="00E14A27" w:rsidP="0082615A">
            <w:pPr>
              <w:pStyle w:val="Default"/>
              <w:jc w:val="center"/>
              <w:rPr>
                <w:rFonts w:ascii="Cambria" w:hAnsi="Cambria" w:cs="Times New Roman"/>
                <w:sz w:val="22"/>
                <w:szCs w:val="22"/>
              </w:rPr>
            </w:pPr>
            <w:r w:rsidRPr="00925AAD">
              <w:rPr>
                <w:rFonts w:ascii="Cambria" w:hAnsi="Cambria" w:cs="Times New Roman"/>
                <w:sz w:val="22"/>
                <w:szCs w:val="22"/>
              </w:rPr>
              <w:t>8.60</w:t>
            </w:r>
            <w:r w:rsidRPr="00925AAD">
              <w:rPr>
                <w:rFonts w:ascii="Cambria" w:hAnsi="Cambria" w:cs="Times New Roman"/>
                <w:sz w:val="22"/>
                <w:szCs w:val="22"/>
              </w:rPr>
              <w:br/>
              <w:t>(7.41, 9.98)</w:t>
            </w:r>
          </w:p>
        </w:tc>
      </w:tr>
      <w:tr w:rsidR="00E14A27" w:rsidRPr="00210B8A" w14:paraId="21B5F096" w14:textId="77777777" w:rsidTr="0082615A">
        <w:trPr>
          <w:trHeight w:val="100"/>
          <w:jc w:val="center"/>
        </w:trPr>
        <w:tc>
          <w:tcPr>
            <w:tcW w:w="3248" w:type="dxa"/>
            <w:vMerge w:val="restart"/>
            <w:shd w:val="clear" w:color="auto" w:fill="auto"/>
            <w:vAlign w:val="center"/>
          </w:tcPr>
          <w:p w14:paraId="67719E8C"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Itraconazole</w:t>
            </w:r>
          </w:p>
          <w:p w14:paraId="0CDC43C5"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200 mg qd</w:t>
            </w:r>
          </w:p>
        </w:tc>
        <w:tc>
          <w:tcPr>
            <w:tcW w:w="1885" w:type="dxa"/>
            <w:vMerge w:val="restart"/>
            <w:vAlign w:val="center"/>
          </w:tcPr>
          <w:p w14:paraId="7920870C" w14:textId="77777777" w:rsidR="00E14A27" w:rsidRPr="00210B8A" w:rsidRDefault="00E14A27" w:rsidP="0082615A">
            <w:pPr>
              <w:pStyle w:val="Default"/>
              <w:jc w:val="center"/>
              <w:rPr>
                <w:rFonts w:ascii="Cambria" w:hAnsi="Cambria" w:cs="Times New Roman"/>
                <w:color w:val="auto"/>
                <w:sz w:val="22"/>
                <w:szCs w:val="22"/>
              </w:rPr>
            </w:pPr>
            <w:r>
              <w:rPr>
                <w:rFonts w:ascii="Cambria" w:hAnsi="Cambria" w:cs="Times New Roman"/>
                <w:color w:val="auto"/>
                <w:sz w:val="22"/>
                <w:szCs w:val="22"/>
              </w:rPr>
              <w:t>elexacaftor</w:t>
            </w:r>
            <w:r w:rsidRPr="00210B8A">
              <w:rPr>
                <w:rFonts w:ascii="Cambria" w:hAnsi="Cambria" w:cs="Times New Roman"/>
                <w:color w:val="auto"/>
                <w:sz w:val="22"/>
                <w:szCs w:val="22"/>
              </w:rPr>
              <w:t xml:space="preserve"> 20 mg +</w:t>
            </w:r>
            <w:r>
              <w:rPr>
                <w:rFonts w:ascii="Cambria" w:hAnsi="Cambria" w:cs="Times New Roman"/>
                <w:color w:val="auto"/>
                <w:sz w:val="22"/>
                <w:szCs w:val="22"/>
              </w:rPr>
              <w:t xml:space="preserve"> tezacaftor</w:t>
            </w:r>
            <w:r w:rsidRPr="00210B8A">
              <w:rPr>
                <w:rFonts w:ascii="Cambria" w:hAnsi="Cambria" w:cs="Times New Roman"/>
                <w:color w:val="auto"/>
                <w:sz w:val="22"/>
                <w:szCs w:val="22"/>
              </w:rPr>
              <w:t xml:space="preserve"> 50 mg single dose</w:t>
            </w:r>
          </w:p>
        </w:tc>
        <w:tc>
          <w:tcPr>
            <w:tcW w:w="1408" w:type="dxa"/>
            <w:vAlign w:val="center"/>
          </w:tcPr>
          <w:p w14:paraId="6FE9D72F"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 Elexacaftor</w:t>
            </w:r>
          </w:p>
        </w:tc>
        <w:tc>
          <w:tcPr>
            <w:tcW w:w="1534" w:type="dxa"/>
            <w:vAlign w:val="center"/>
          </w:tcPr>
          <w:p w14:paraId="78F121C7"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sz w:val="22"/>
                <w:szCs w:val="22"/>
              </w:rPr>
              <w:t>2.83</w:t>
            </w:r>
          </w:p>
          <w:p w14:paraId="55A9CB4C"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sz w:val="22"/>
                <w:szCs w:val="22"/>
              </w:rPr>
              <w:t>(2.59, 3.10)</w:t>
            </w:r>
          </w:p>
        </w:tc>
        <w:tc>
          <w:tcPr>
            <w:tcW w:w="1559" w:type="dxa"/>
            <w:vAlign w:val="center"/>
          </w:tcPr>
          <w:p w14:paraId="6DE91420"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sz w:val="22"/>
                <w:szCs w:val="22"/>
              </w:rPr>
              <w:t>1.05</w:t>
            </w:r>
            <w:r w:rsidRPr="00210B8A">
              <w:rPr>
                <w:rFonts w:ascii="Cambria" w:hAnsi="Cambria" w:cs="Times New Roman"/>
                <w:sz w:val="22"/>
                <w:szCs w:val="22"/>
              </w:rPr>
              <w:br/>
              <w:t>(0.977, 1.13)</w:t>
            </w:r>
          </w:p>
        </w:tc>
      </w:tr>
      <w:tr w:rsidR="00E14A27" w:rsidRPr="00210B8A" w14:paraId="526C60A5" w14:textId="77777777" w:rsidTr="0082615A">
        <w:trPr>
          <w:trHeight w:val="377"/>
          <w:jc w:val="center"/>
        </w:trPr>
        <w:tc>
          <w:tcPr>
            <w:tcW w:w="3248" w:type="dxa"/>
            <w:vMerge/>
            <w:shd w:val="clear" w:color="auto" w:fill="auto"/>
            <w:vAlign w:val="center"/>
          </w:tcPr>
          <w:p w14:paraId="5BDB5FC4" w14:textId="77777777" w:rsidR="00E14A27" w:rsidRPr="00925AAD" w:rsidRDefault="00E14A27" w:rsidP="0082615A">
            <w:pPr>
              <w:pStyle w:val="Default"/>
              <w:jc w:val="center"/>
              <w:rPr>
                <w:rFonts w:ascii="Cambria" w:hAnsi="Cambria" w:cs="Times New Roman"/>
                <w:sz w:val="22"/>
                <w:szCs w:val="22"/>
              </w:rPr>
            </w:pPr>
          </w:p>
        </w:tc>
        <w:tc>
          <w:tcPr>
            <w:tcW w:w="1885" w:type="dxa"/>
            <w:vMerge/>
            <w:vAlign w:val="center"/>
          </w:tcPr>
          <w:p w14:paraId="09F5C1AA" w14:textId="77777777" w:rsidR="00E14A27" w:rsidRPr="00925AAD" w:rsidRDefault="00E14A27" w:rsidP="0082615A">
            <w:pPr>
              <w:pStyle w:val="Default"/>
              <w:jc w:val="center"/>
              <w:rPr>
                <w:rFonts w:ascii="Cambria" w:hAnsi="Cambria" w:cs="Times New Roman"/>
                <w:color w:val="auto"/>
                <w:sz w:val="22"/>
                <w:szCs w:val="22"/>
              </w:rPr>
            </w:pPr>
          </w:p>
        </w:tc>
        <w:tc>
          <w:tcPr>
            <w:tcW w:w="1408" w:type="dxa"/>
            <w:vAlign w:val="center"/>
          </w:tcPr>
          <w:p w14:paraId="341359F8" w14:textId="77777777" w:rsidR="00E14A27" w:rsidRPr="00925AAD" w:rsidRDefault="00E14A27" w:rsidP="0082615A">
            <w:pPr>
              <w:pStyle w:val="Default"/>
              <w:jc w:val="center"/>
              <w:rPr>
                <w:rFonts w:ascii="Cambria" w:hAnsi="Cambria" w:cs="Times New Roman"/>
                <w:color w:val="auto"/>
                <w:sz w:val="22"/>
                <w:szCs w:val="22"/>
              </w:rPr>
            </w:pPr>
            <w:r w:rsidRPr="00925AAD">
              <w:rPr>
                <w:rFonts w:ascii="Cambria" w:hAnsi="Cambria" w:cs="Times New Roman" w:hint="eastAsia"/>
                <w:color w:val="auto"/>
                <w:sz w:val="22"/>
                <w:szCs w:val="22"/>
              </w:rPr>
              <w:t>↑</w:t>
            </w:r>
            <w:r w:rsidRPr="00925AAD">
              <w:rPr>
                <w:rFonts w:ascii="Cambria" w:hAnsi="Cambria" w:cs="Times New Roman"/>
                <w:color w:val="auto"/>
                <w:sz w:val="22"/>
                <w:szCs w:val="22"/>
              </w:rPr>
              <w:t xml:space="preserve"> Tezacaftor</w:t>
            </w:r>
          </w:p>
        </w:tc>
        <w:tc>
          <w:tcPr>
            <w:tcW w:w="1534" w:type="dxa"/>
            <w:vAlign w:val="center"/>
          </w:tcPr>
          <w:p w14:paraId="656F564F" w14:textId="77777777" w:rsidR="00E14A27" w:rsidRPr="00925AAD" w:rsidRDefault="00E14A27" w:rsidP="0082615A">
            <w:pPr>
              <w:pStyle w:val="Default"/>
              <w:jc w:val="center"/>
              <w:rPr>
                <w:rFonts w:ascii="Cambria" w:hAnsi="Cambria" w:cs="Times New Roman"/>
                <w:sz w:val="22"/>
                <w:szCs w:val="22"/>
              </w:rPr>
            </w:pPr>
            <w:r w:rsidRPr="00925AAD">
              <w:rPr>
                <w:rFonts w:ascii="Cambria" w:hAnsi="Cambria" w:cs="Times New Roman"/>
                <w:sz w:val="22"/>
                <w:szCs w:val="22"/>
              </w:rPr>
              <w:t>4.51</w:t>
            </w:r>
          </w:p>
          <w:p w14:paraId="7B4EFF05" w14:textId="77777777" w:rsidR="00E14A27" w:rsidRPr="00925AAD" w:rsidRDefault="00E14A27" w:rsidP="0082615A">
            <w:pPr>
              <w:pStyle w:val="Default"/>
              <w:jc w:val="center"/>
              <w:rPr>
                <w:rFonts w:ascii="Cambria" w:hAnsi="Cambria" w:cs="Times New Roman"/>
                <w:sz w:val="22"/>
                <w:szCs w:val="22"/>
              </w:rPr>
            </w:pPr>
            <w:r w:rsidRPr="00925AAD">
              <w:rPr>
                <w:rFonts w:ascii="Cambria" w:hAnsi="Cambria" w:cs="Times New Roman"/>
                <w:sz w:val="22"/>
                <w:szCs w:val="22"/>
              </w:rPr>
              <w:t>(3.85, 5.29)</w:t>
            </w:r>
          </w:p>
        </w:tc>
        <w:tc>
          <w:tcPr>
            <w:tcW w:w="1559" w:type="dxa"/>
            <w:vAlign w:val="center"/>
          </w:tcPr>
          <w:p w14:paraId="209A595B" w14:textId="77777777" w:rsidR="00E14A27" w:rsidRPr="00925AAD" w:rsidRDefault="00E14A27" w:rsidP="0082615A">
            <w:pPr>
              <w:pStyle w:val="Default"/>
              <w:jc w:val="center"/>
              <w:rPr>
                <w:rFonts w:ascii="Cambria" w:hAnsi="Cambria" w:cs="Times New Roman"/>
                <w:sz w:val="22"/>
                <w:szCs w:val="22"/>
              </w:rPr>
            </w:pPr>
            <w:r w:rsidRPr="00925AAD">
              <w:rPr>
                <w:rFonts w:ascii="Cambria" w:hAnsi="Cambria" w:cs="Times New Roman"/>
                <w:sz w:val="22"/>
                <w:szCs w:val="22"/>
              </w:rPr>
              <w:t>1.48</w:t>
            </w:r>
          </w:p>
          <w:p w14:paraId="5C62B952" w14:textId="77777777" w:rsidR="00E14A27" w:rsidRPr="00925AAD" w:rsidRDefault="00E14A27" w:rsidP="0082615A">
            <w:pPr>
              <w:pStyle w:val="Default"/>
              <w:jc w:val="center"/>
              <w:rPr>
                <w:rFonts w:ascii="Cambria" w:hAnsi="Cambria" w:cs="Times New Roman"/>
                <w:bCs/>
                <w:sz w:val="22"/>
                <w:szCs w:val="22"/>
              </w:rPr>
            </w:pPr>
            <w:r w:rsidRPr="00925AAD">
              <w:rPr>
                <w:rFonts w:ascii="Cambria" w:hAnsi="Cambria" w:cs="Times New Roman"/>
                <w:sz w:val="22"/>
                <w:szCs w:val="22"/>
              </w:rPr>
              <w:t>(1.33, 1.65)</w:t>
            </w:r>
          </w:p>
        </w:tc>
      </w:tr>
      <w:tr w:rsidR="00E14A27" w:rsidRPr="00210B8A" w14:paraId="5F2EAA28" w14:textId="77777777" w:rsidTr="0082615A">
        <w:trPr>
          <w:trHeight w:val="295"/>
          <w:jc w:val="center"/>
        </w:trPr>
        <w:tc>
          <w:tcPr>
            <w:tcW w:w="3248" w:type="dxa"/>
            <w:shd w:val="clear" w:color="auto" w:fill="auto"/>
            <w:vAlign w:val="center"/>
          </w:tcPr>
          <w:p w14:paraId="22C47C53"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Ketoconazole</w:t>
            </w:r>
          </w:p>
          <w:p w14:paraId="66E24295"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400 mg qd</w:t>
            </w:r>
          </w:p>
        </w:tc>
        <w:tc>
          <w:tcPr>
            <w:tcW w:w="1885" w:type="dxa"/>
            <w:vAlign w:val="center"/>
          </w:tcPr>
          <w:p w14:paraId="11214472" w14:textId="77777777" w:rsidR="00E14A27" w:rsidRPr="00210B8A" w:rsidRDefault="00E14A27" w:rsidP="0082615A">
            <w:pPr>
              <w:pStyle w:val="Default"/>
              <w:jc w:val="center"/>
              <w:rPr>
                <w:rFonts w:ascii="Cambria" w:hAnsi="Cambria" w:cs="Times New Roman"/>
                <w:bCs/>
                <w:sz w:val="22"/>
                <w:szCs w:val="22"/>
              </w:rPr>
            </w:pPr>
            <w:r>
              <w:rPr>
                <w:rFonts w:ascii="Cambria" w:hAnsi="Cambria" w:cs="Times New Roman"/>
                <w:color w:val="auto"/>
                <w:sz w:val="22"/>
                <w:szCs w:val="22"/>
              </w:rPr>
              <w:t>ivacaftor</w:t>
            </w:r>
            <w:r w:rsidRPr="00210B8A">
              <w:rPr>
                <w:rFonts w:ascii="Cambria" w:hAnsi="Cambria" w:cs="Times New Roman"/>
                <w:color w:val="auto"/>
                <w:sz w:val="22"/>
                <w:szCs w:val="22"/>
              </w:rPr>
              <w:t xml:space="preserve"> 150 mg single dose</w:t>
            </w:r>
          </w:p>
        </w:tc>
        <w:tc>
          <w:tcPr>
            <w:tcW w:w="1408" w:type="dxa"/>
            <w:vAlign w:val="center"/>
          </w:tcPr>
          <w:p w14:paraId="444B759F"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 Ivacaftor</w:t>
            </w:r>
          </w:p>
        </w:tc>
        <w:tc>
          <w:tcPr>
            <w:tcW w:w="1534" w:type="dxa"/>
            <w:vAlign w:val="center"/>
          </w:tcPr>
          <w:p w14:paraId="1DEC350C"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bCs/>
                <w:sz w:val="22"/>
                <w:szCs w:val="22"/>
              </w:rPr>
              <w:t>8.45</w:t>
            </w:r>
          </w:p>
          <w:p w14:paraId="09BBD080"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bCs/>
                <w:sz w:val="22"/>
                <w:szCs w:val="22"/>
              </w:rPr>
              <w:t>(7.14, 10.0)</w:t>
            </w:r>
          </w:p>
        </w:tc>
        <w:tc>
          <w:tcPr>
            <w:tcW w:w="1559" w:type="dxa"/>
            <w:vAlign w:val="center"/>
          </w:tcPr>
          <w:p w14:paraId="053A6864"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bCs/>
                <w:sz w:val="22"/>
                <w:szCs w:val="22"/>
              </w:rPr>
              <w:t>2.65</w:t>
            </w:r>
          </w:p>
          <w:p w14:paraId="2CC3660C" w14:textId="77777777" w:rsidR="00E14A27" w:rsidRPr="00210B8A" w:rsidRDefault="00E14A27" w:rsidP="0082615A">
            <w:pPr>
              <w:pStyle w:val="Default"/>
              <w:jc w:val="center"/>
              <w:rPr>
                <w:rFonts w:ascii="Cambria" w:hAnsi="Cambria" w:cs="Times New Roman"/>
                <w:bCs/>
                <w:sz w:val="22"/>
                <w:szCs w:val="22"/>
              </w:rPr>
            </w:pPr>
            <w:r w:rsidRPr="00210B8A">
              <w:rPr>
                <w:rFonts w:ascii="Cambria" w:hAnsi="Cambria" w:cs="Times New Roman"/>
                <w:bCs/>
                <w:sz w:val="22"/>
                <w:szCs w:val="22"/>
              </w:rPr>
              <w:t>(2.21, 3.18)</w:t>
            </w:r>
          </w:p>
        </w:tc>
      </w:tr>
      <w:tr w:rsidR="00E14A27" w:rsidRPr="00210B8A" w14:paraId="0CAC2EE6" w14:textId="77777777" w:rsidTr="0082615A">
        <w:trPr>
          <w:trHeight w:val="295"/>
          <w:jc w:val="center"/>
        </w:trPr>
        <w:tc>
          <w:tcPr>
            <w:tcW w:w="3248" w:type="dxa"/>
            <w:vMerge w:val="restart"/>
            <w:shd w:val="clear" w:color="auto" w:fill="auto"/>
            <w:vAlign w:val="center"/>
          </w:tcPr>
          <w:p w14:paraId="1C42AB88"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Ciprofloxacin</w:t>
            </w:r>
          </w:p>
          <w:p w14:paraId="44BB4291"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750 mg q12h</w:t>
            </w:r>
          </w:p>
        </w:tc>
        <w:tc>
          <w:tcPr>
            <w:tcW w:w="1885" w:type="dxa"/>
            <w:vMerge w:val="restart"/>
            <w:vAlign w:val="center"/>
          </w:tcPr>
          <w:p w14:paraId="5EF59D6D" w14:textId="77777777" w:rsidR="00E14A27" w:rsidRPr="00210B8A" w:rsidRDefault="00E14A27" w:rsidP="0082615A">
            <w:pPr>
              <w:pStyle w:val="Default"/>
              <w:jc w:val="center"/>
              <w:rPr>
                <w:rFonts w:ascii="Cambria" w:hAnsi="Cambria" w:cs="Times New Roman"/>
                <w:color w:val="auto"/>
                <w:sz w:val="22"/>
                <w:szCs w:val="22"/>
              </w:rPr>
            </w:pPr>
            <w:r>
              <w:rPr>
                <w:rFonts w:ascii="Cambria" w:hAnsi="Cambria" w:cs="Times New Roman"/>
                <w:bCs/>
                <w:color w:val="auto"/>
                <w:sz w:val="22"/>
                <w:szCs w:val="22"/>
              </w:rPr>
              <w:t>tezacaftor</w:t>
            </w:r>
            <w:r w:rsidRPr="00210B8A">
              <w:rPr>
                <w:rFonts w:ascii="Cambria" w:hAnsi="Cambria" w:cs="Times New Roman"/>
                <w:bCs/>
                <w:color w:val="auto"/>
                <w:sz w:val="22"/>
                <w:szCs w:val="22"/>
              </w:rPr>
              <w:t xml:space="preserve"> 50 mg q12h + </w:t>
            </w:r>
            <w:r>
              <w:rPr>
                <w:rFonts w:ascii="Cambria" w:hAnsi="Cambria" w:cs="Times New Roman"/>
                <w:bCs/>
                <w:color w:val="auto"/>
                <w:sz w:val="22"/>
                <w:szCs w:val="22"/>
              </w:rPr>
              <w:t>ivacaftor</w:t>
            </w:r>
            <w:r w:rsidRPr="00210B8A">
              <w:rPr>
                <w:rFonts w:ascii="Cambria" w:hAnsi="Cambria" w:cs="Times New Roman"/>
                <w:bCs/>
                <w:color w:val="auto"/>
                <w:sz w:val="22"/>
                <w:szCs w:val="22"/>
              </w:rPr>
              <w:t> 150 mg q12h</w:t>
            </w:r>
          </w:p>
        </w:tc>
        <w:tc>
          <w:tcPr>
            <w:tcW w:w="1408" w:type="dxa"/>
            <w:vAlign w:val="center"/>
          </w:tcPr>
          <w:p w14:paraId="0FA535E4"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 Tezacaftor</w:t>
            </w:r>
          </w:p>
        </w:tc>
        <w:tc>
          <w:tcPr>
            <w:tcW w:w="1534" w:type="dxa"/>
            <w:vAlign w:val="center"/>
          </w:tcPr>
          <w:p w14:paraId="501136C1"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bCs/>
                <w:color w:val="auto"/>
                <w:sz w:val="22"/>
                <w:szCs w:val="22"/>
              </w:rPr>
              <w:t>1.08</w:t>
            </w:r>
            <w:r w:rsidRPr="00210B8A">
              <w:rPr>
                <w:rFonts w:ascii="Cambria" w:hAnsi="Cambria" w:cs="Times New Roman"/>
                <w:color w:val="auto"/>
                <w:sz w:val="22"/>
                <w:szCs w:val="22"/>
              </w:rPr>
              <w:br/>
            </w:r>
            <w:r w:rsidRPr="00210B8A">
              <w:rPr>
                <w:rFonts w:ascii="Cambria" w:hAnsi="Cambria" w:cs="Times New Roman"/>
                <w:bCs/>
                <w:color w:val="auto"/>
                <w:sz w:val="22"/>
                <w:szCs w:val="22"/>
              </w:rPr>
              <w:t>(1.03, 1.13)</w:t>
            </w:r>
          </w:p>
        </w:tc>
        <w:tc>
          <w:tcPr>
            <w:tcW w:w="1559" w:type="dxa"/>
            <w:vAlign w:val="center"/>
          </w:tcPr>
          <w:p w14:paraId="3F6E7C87"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bCs/>
                <w:color w:val="auto"/>
                <w:sz w:val="22"/>
                <w:szCs w:val="22"/>
              </w:rPr>
              <w:t>1.05</w:t>
            </w:r>
            <w:r w:rsidRPr="00210B8A">
              <w:rPr>
                <w:rFonts w:ascii="Cambria" w:hAnsi="Cambria" w:cs="Times New Roman"/>
                <w:color w:val="auto"/>
                <w:sz w:val="22"/>
                <w:szCs w:val="22"/>
              </w:rPr>
              <w:br/>
            </w:r>
            <w:r w:rsidRPr="00210B8A">
              <w:rPr>
                <w:rFonts w:ascii="Cambria" w:hAnsi="Cambria" w:cs="Times New Roman"/>
                <w:bCs/>
                <w:color w:val="auto"/>
                <w:sz w:val="22"/>
                <w:szCs w:val="22"/>
              </w:rPr>
              <w:t>(0.99, 1.11)</w:t>
            </w:r>
          </w:p>
        </w:tc>
      </w:tr>
      <w:tr w:rsidR="00E14A27" w:rsidRPr="00210B8A" w14:paraId="58EC3B33" w14:textId="77777777" w:rsidTr="0082615A">
        <w:trPr>
          <w:trHeight w:val="295"/>
          <w:jc w:val="center"/>
        </w:trPr>
        <w:tc>
          <w:tcPr>
            <w:tcW w:w="3248" w:type="dxa"/>
            <w:vMerge/>
            <w:shd w:val="clear" w:color="auto" w:fill="auto"/>
            <w:vAlign w:val="center"/>
          </w:tcPr>
          <w:p w14:paraId="448FD797" w14:textId="77777777" w:rsidR="00E14A27" w:rsidRPr="00925AAD" w:rsidRDefault="00E14A27" w:rsidP="0082615A">
            <w:pPr>
              <w:pStyle w:val="Default"/>
              <w:jc w:val="center"/>
              <w:rPr>
                <w:rFonts w:ascii="Cambria" w:hAnsi="Cambria" w:cs="Times New Roman"/>
                <w:color w:val="auto"/>
                <w:sz w:val="22"/>
                <w:szCs w:val="22"/>
              </w:rPr>
            </w:pPr>
          </w:p>
        </w:tc>
        <w:tc>
          <w:tcPr>
            <w:tcW w:w="1885" w:type="dxa"/>
            <w:vMerge/>
            <w:vAlign w:val="center"/>
          </w:tcPr>
          <w:p w14:paraId="5D4E91DF" w14:textId="77777777" w:rsidR="00E14A27" w:rsidRPr="00925AAD" w:rsidRDefault="00E14A27" w:rsidP="0082615A">
            <w:pPr>
              <w:pStyle w:val="Default"/>
              <w:jc w:val="center"/>
              <w:rPr>
                <w:rFonts w:ascii="Cambria" w:hAnsi="Cambria" w:cs="Times New Roman"/>
                <w:color w:val="auto"/>
                <w:sz w:val="22"/>
                <w:szCs w:val="22"/>
              </w:rPr>
            </w:pPr>
          </w:p>
        </w:tc>
        <w:tc>
          <w:tcPr>
            <w:tcW w:w="1408" w:type="dxa"/>
            <w:vAlign w:val="center"/>
          </w:tcPr>
          <w:p w14:paraId="2A3F05EF" w14:textId="77777777" w:rsidR="00E14A27" w:rsidRPr="00925AAD" w:rsidRDefault="00E14A27" w:rsidP="0082615A">
            <w:pPr>
              <w:pStyle w:val="Default"/>
              <w:jc w:val="center"/>
              <w:rPr>
                <w:rFonts w:ascii="Cambria" w:hAnsi="Cambria" w:cs="Times New Roman"/>
                <w:color w:val="auto"/>
                <w:sz w:val="22"/>
                <w:szCs w:val="22"/>
              </w:rPr>
            </w:pPr>
            <w:r w:rsidRPr="00925AAD">
              <w:rPr>
                <w:rFonts w:ascii="Cambria" w:hAnsi="Cambria" w:cs="Times New Roman" w:hint="eastAsia"/>
                <w:color w:val="auto"/>
                <w:sz w:val="22"/>
                <w:szCs w:val="22"/>
              </w:rPr>
              <w:t>↑</w:t>
            </w:r>
            <w:r w:rsidRPr="00925AAD">
              <w:rPr>
                <w:rFonts w:ascii="Cambria" w:hAnsi="Cambria" w:cs="Times New Roman"/>
                <w:color w:val="auto"/>
                <w:sz w:val="22"/>
                <w:szCs w:val="22"/>
              </w:rPr>
              <w:t xml:space="preserve"> Ivacaftor*</w:t>
            </w:r>
          </w:p>
        </w:tc>
        <w:tc>
          <w:tcPr>
            <w:tcW w:w="1534" w:type="dxa"/>
            <w:vAlign w:val="center"/>
          </w:tcPr>
          <w:p w14:paraId="4ED36735" w14:textId="77777777" w:rsidR="00E14A27" w:rsidRPr="00925AAD" w:rsidRDefault="00E14A27" w:rsidP="0082615A">
            <w:pPr>
              <w:pStyle w:val="Default"/>
              <w:jc w:val="center"/>
              <w:rPr>
                <w:rFonts w:ascii="Cambria" w:hAnsi="Cambria" w:cs="Times New Roman"/>
                <w:color w:val="auto"/>
                <w:sz w:val="22"/>
                <w:szCs w:val="22"/>
              </w:rPr>
            </w:pPr>
            <w:r w:rsidRPr="00925AAD">
              <w:rPr>
                <w:rFonts w:ascii="Cambria" w:hAnsi="Cambria" w:cs="Times New Roman"/>
                <w:color w:val="auto"/>
                <w:sz w:val="22"/>
                <w:szCs w:val="22"/>
              </w:rPr>
              <w:t>1.17</w:t>
            </w:r>
            <w:r w:rsidRPr="00925AAD">
              <w:rPr>
                <w:rFonts w:ascii="Cambria" w:hAnsi="Cambria" w:cs="Times New Roman"/>
                <w:color w:val="auto"/>
                <w:sz w:val="22"/>
                <w:szCs w:val="22"/>
              </w:rPr>
              <w:br/>
              <w:t>(1.06, 1.30)</w:t>
            </w:r>
          </w:p>
        </w:tc>
        <w:tc>
          <w:tcPr>
            <w:tcW w:w="1559" w:type="dxa"/>
            <w:vAlign w:val="center"/>
          </w:tcPr>
          <w:p w14:paraId="1F2B3DBD" w14:textId="77777777" w:rsidR="00E14A27" w:rsidRPr="00925AAD" w:rsidRDefault="00E14A27" w:rsidP="0082615A">
            <w:pPr>
              <w:pStyle w:val="Default"/>
              <w:jc w:val="center"/>
              <w:rPr>
                <w:rFonts w:ascii="Cambria" w:hAnsi="Cambria" w:cs="Times New Roman"/>
                <w:color w:val="auto"/>
                <w:sz w:val="22"/>
                <w:szCs w:val="22"/>
              </w:rPr>
            </w:pPr>
            <w:r w:rsidRPr="00925AAD">
              <w:rPr>
                <w:rFonts w:ascii="Cambria" w:hAnsi="Cambria" w:cs="Times New Roman"/>
                <w:color w:val="auto"/>
                <w:sz w:val="22"/>
                <w:szCs w:val="22"/>
              </w:rPr>
              <w:t>1.18</w:t>
            </w:r>
            <w:r w:rsidRPr="00925AAD">
              <w:rPr>
                <w:rFonts w:ascii="Cambria" w:hAnsi="Cambria" w:cs="Times New Roman"/>
                <w:color w:val="auto"/>
                <w:sz w:val="22"/>
                <w:szCs w:val="22"/>
              </w:rPr>
              <w:br/>
              <w:t>(1.06, 1.31)</w:t>
            </w:r>
          </w:p>
        </w:tc>
      </w:tr>
      <w:tr w:rsidR="00E14A27" w:rsidRPr="00210B8A" w14:paraId="767947A2" w14:textId="77777777" w:rsidTr="0082615A">
        <w:trPr>
          <w:trHeight w:val="350"/>
          <w:jc w:val="center"/>
        </w:trPr>
        <w:tc>
          <w:tcPr>
            <w:tcW w:w="3248" w:type="dxa"/>
            <w:vAlign w:val="center"/>
          </w:tcPr>
          <w:p w14:paraId="79A7EE90" w14:textId="3BA463D6"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Rifampi</w:t>
            </w:r>
            <w:r>
              <w:rPr>
                <w:rFonts w:ascii="Cambria" w:hAnsi="Cambria" w:cs="Times New Roman"/>
                <w:color w:val="auto"/>
                <w:sz w:val="22"/>
                <w:szCs w:val="22"/>
              </w:rPr>
              <w:t>ci</w:t>
            </w:r>
            <w:r w:rsidRPr="00210B8A">
              <w:rPr>
                <w:rFonts w:ascii="Cambria" w:hAnsi="Cambria" w:cs="Times New Roman"/>
                <w:color w:val="auto"/>
                <w:sz w:val="22"/>
                <w:szCs w:val="22"/>
              </w:rPr>
              <w:t>n</w:t>
            </w:r>
          </w:p>
          <w:p w14:paraId="3A77FEC0"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600 mg qd</w:t>
            </w:r>
          </w:p>
        </w:tc>
        <w:tc>
          <w:tcPr>
            <w:tcW w:w="1885" w:type="dxa"/>
            <w:vAlign w:val="center"/>
          </w:tcPr>
          <w:p w14:paraId="2874F015" w14:textId="77777777" w:rsidR="00E14A27" w:rsidRPr="00210B8A" w:rsidRDefault="00E14A27" w:rsidP="0082615A">
            <w:pPr>
              <w:pStyle w:val="Default"/>
              <w:jc w:val="center"/>
              <w:rPr>
                <w:rFonts w:ascii="Cambria" w:hAnsi="Cambria" w:cs="Times New Roman"/>
                <w:color w:val="auto"/>
                <w:sz w:val="22"/>
                <w:szCs w:val="22"/>
              </w:rPr>
            </w:pPr>
            <w:r>
              <w:rPr>
                <w:rFonts w:ascii="Cambria" w:hAnsi="Cambria" w:cs="Times New Roman"/>
                <w:color w:val="auto"/>
                <w:sz w:val="22"/>
                <w:szCs w:val="22"/>
              </w:rPr>
              <w:t>ivacaftor</w:t>
            </w:r>
            <w:r w:rsidRPr="00210B8A">
              <w:rPr>
                <w:rFonts w:ascii="Cambria" w:hAnsi="Cambria" w:cs="Times New Roman"/>
                <w:color w:val="auto"/>
                <w:sz w:val="22"/>
                <w:szCs w:val="22"/>
              </w:rPr>
              <w:t xml:space="preserve"> 150 mg single dose</w:t>
            </w:r>
          </w:p>
        </w:tc>
        <w:tc>
          <w:tcPr>
            <w:tcW w:w="1408" w:type="dxa"/>
            <w:vAlign w:val="center"/>
          </w:tcPr>
          <w:p w14:paraId="292B116C"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 Ivacaftor</w:t>
            </w:r>
          </w:p>
        </w:tc>
        <w:tc>
          <w:tcPr>
            <w:tcW w:w="1534" w:type="dxa"/>
            <w:vAlign w:val="center"/>
          </w:tcPr>
          <w:p w14:paraId="7448341F"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0.114</w:t>
            </w:r>
            <w:r w:rsidRPr="00210B8A">
              <w:rPr>
                <w:rFonts w:ascii="Cambria" w:hAnsi="Cambria" w:cs="Times New Roman"/>
                <w:color w:val="auto"/>
                <w:sz w:val="22"/>
                <w:szCs w:val="22"/>
              </w:rPr>
              <w:br/>
              <w:t>(0.097, 0.136)</w:t>
            </w:r>
          </w:p>
        </w:tc>
        <w:tc>
          <w:tcPr>
            <w:tcW w:w="1559" w:type="dxa"/>
            <w:vAlign w:val="center"/>
          </w:tcPr>
          <w:p w14:paraId="11048BF1" w14:textId="77777777" w:rsidR="00E14A27" w:rsidRPr="00210B8A" w:rsidRDefault="00E14A27" w:rsidP="0082615A">
            <w:pPr>
              <w:pStyle w:val="Default"/>
              <w:jc w:val="center"/>
              <w:rPr>
                <w:rFonts w:ascii="Cambria" w:hAnsi="Cambria" w:cs="Times New Roman"/>
                <w:color w:val="auto"/>
                <w:sz w:val="22"/>
                <w:szCs w:val="22"/>
              </w:rPr>
            </w:pPr>
            <w:r w:rsidRPr="00210B8A">
              <w:rPr>
                <w:rFonts w:ascii="Cambria" w:hAnsi="Cambria" w:cs="Times New Roman"/>
                <w:color w:val="auto"/>
                <w:sz w:val="22"/>
                <w:szCs w:val="22"/>
              </w:rPr>
              <w:t>0.200</w:t>
            </w:r>
            <w:r w:rsidRPr="00210B8A">
              <w:rPr>
                <w:rFonts w:ascii="Cambria" w:hAnsi="Cambria" w:cs="Times New Roman"/>
                <w:color w:val="auto"/>
                <w:sz w:val="22"/>
                <w:szCs w:val="22"/>
              </w:rPr>
              <w:br/>
              <w:t>(0.168, 0.239)</w:t>
            </w:r>
          </w:p>
        </w:tc>
      </w:tr>
      <w:tr w:rsidR="00E14A27" w:rsidRPr="00210B8A" w14:paraId="5E06C567" w14:textId="77777777" w:rsidTr="0082615A">
        <w:trPr>
          <w:trHeight w:val="467"/>
          <w:jc w:val="center"/>
        </w:trPr>
        <w:tc>
          <w:tcPr>
            <w:tcW w:w="3248" w:type="dxa"/>
            <w:vAlign w:val="center"/>
          </w:tcPr>
          <w:p w14:paraId="25BDFCB4"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Fluconazole</w:t>
            </w:r>
          </w:p>
          <w:p w14:paraId="049439C5"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400 mg single dose on Day 1, followed by 200 mg qd</w:t>
            </w:r>
          </w:p>
        </w:tc>
        <w:tc>
          <w:tcPr>
            <w:tcW w:w="1885" w:type="dxa"/>
            <w:vAlign w:val="center"/>
          </w:tcPr>
          <w:p w14:paraId="4578ECC5" w14:textId="77777777" w:rsidR="00E14A27" w:rsidRPr="00210B8A" w:rsidRDefault="00E14A27" w:rsidP="0082615A">
            <w:pPr>
              <w:pStyle w:val="Default"/>
              <w:jc w:val="center"/>
              <w:rPr>
                <w:rFonts w:ascii="Cambria" w:hAnsi="Cambria" w:cs="Times New Roman"/>
                <w:sz w:val="22"/>
                <w:szCs w:val="22"/>
              </w:rPr>
            </w:pPr>
            <w:r>
              <w:rPr>
                <w:rFonts w:ascii="Cambria" w:hAnsi="Cambria" w:cs="Times New Roman"/>
                <w:bCs/>
                <w:sz w:val="22"/>
                <w:szCs w:val="22"/>
              </w:rPr>
              <w:t>ivacaftor</w:t>
            </w:r>
            <w:r w:rsidRPr="00210B8A">
              <w:rPr>
                <w:rFonts w:ascii="Cambria" w:hAnsi="Cambria" w:cs="Times New Roman"/>
                <w:bCs/>
                <w:sz w:val="22"/>
                <w:szCs w:val="22"/>
              </w:rPr>
              <w:t xml:space="preserve"> 150 mg q12h</w:t>
            </w:r>
          </w:p>
        </w:tc>
        <w:tc>
          <w:tcPr>
            <w:tcW w:w="1408" w:type="dxa"/>
            <w:vAlign w:val="center"/>
          </w:tcPr>
          <w:p w14:paraId="4B200FDE"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 Ivacaftor</w:t>
            </w:r>
          </w:p>
        </w:tc>
        <w:tc>
          <w:tcPr>
            <w:tcW w:w="1534" w:type="dxa"/>
            <w:vAlign w:val="center"/>
          </w:tcPr>
          <w:p w14:paraId="280D8A5F"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2.95</w:t>
            </w:r>
            <w:r w:rsidRPr="00210B8A">
              <w:rPr>
                <w:rFonts w:ascii="Cambria" w:hAnsi="Cambria" w:cs="Times New Roman"/>
                <w:sz w:val="22"/>
                <w:szCs w:val="22"/>
              </w:rPr>
              <w:br/>
              <w:t>(2.27, 3.82)</w:t>
            </w:r>
          </w:p>
        </w:tc>
        <w:tc>
          <w:tcPr>
            <w:tcW w:w="1559" w:type="dxa"/>
            <w:vAlign w:val="center"/>
          </w:tcPr>
          <w:p w14:paraId="2A82265F" w14:textId="77777777" w:rsidR="00E14A27" w:rsidRPr="00210B8A" w:rsidRDefault="00E14A27" w:rsidP="0082615A">
            <w:pPr>
              <w:pStyle w:val="Default"/>
              <w:jc w:val="center"/>
              <w:rPr>
                <w:rFonts w:ascii="Cambria" w:hAnsi="Cambria" w:cs="Times New Roman"/>
                <w:sz w:val="22"/>
                <w:szCs w:val="22"/>
              </w:rPr>
            </w:pPr>
            <w:r w:rsidRPr="00210B8A">
              <w:rPr>
                <w:rFonts w:ascii="Cambria" w:hAnsi="Cambria" w:cs="Times New Roman"/>
                <w:sz w:val="22"/>
                <w:szCs w:val="22"/>
              </w:rPr>
              <w:t>2.47</w:t>
            </w:r>
            <w:r w:rsidRPr="00210B8A">
              <w:rPr>
                <w:rFonts w:ascii="Cambria" w:hAnsi="Cambria" w:cs="Times New Roman"/>
                <w:sz w:val="22"/>
                <w:szCs w:val="22"/>
              </w:rPr>
              <w:br/>
              <w:t>(1.93, 3.17)</w:t>
            </w:r>
          </w:p>
        </w:tc>
      </w:tr>
      <w:tr w:rsidR="00E14A27" w:rsidRPr="00210B8A" w14:paraId="2AC69D9E" w14:textId="77777777" w:rsidTr="0082615A">
        <w:trPr>
          <w:trHeight w:val="248"/>
          <w:jc w:val="center"/>
        </w:trPr>
        <w:tc>
          <w:tcPr>
            <w:tcW w:w="9634" w:type="dxa"/>
            <w:gridSpan w:val="5"/>
          </w:tcPr>
          <w:p w14:paraId="44CFF7C7" w14:textId="77777777" w:rsidR="00E14A27" w:rsidRPr="00210B8A" w:rsidRDefault="00E14A27" w:rsidP="0082615A">
            <w:pPr>
              <w:pStyle w:val="Default"/>
              <w:rPr>
                <w:rFonts w:ascii="Cambria" w:hAnsi="Cambria" w:cs="Times New Roman"/>
                <w:sz w:val="22"/>
                <w:szCs w:val="22"/>
              </w:rPr>
            </w:pPr>
            <w:r w:rsidRPr="00210B8A">
              <w:rPr>
                <w:rFonts w:ascii="Cambria" w:hAnsi="Cambria" w:cs="Times New Roman"/>
                <w:color w:val="auto"/>
                <w:sz w:val="22"/>
                <w:szCs w:val="22"/>
                <w:lang w:bidi="hi-IN"/>
              </w:rPr>
              <w:t xml:space="preserve">↑ = increase, ↓ = decrease, ↔ = no change. CI = Confidence interval; ELX= elexacaftor; </w:t>
            </w:r>
            <w:r w:rsidRPr="00210B8A">
              <w:rPr>
                <w:rFonts w:ascii="Cambria" w:hAnsi="Cambria" w:cs="Times New Roman"/>
                <w:color w:val="auto"/>
                <w:sz w:val="22"/>
                <w:szCs w:val="22"/>
              </w:rPr>
              <w:t xml:space="preserve">TEZ = tezacaftor; IVA = ivacaftor; </w:t>
            </w:r>
            <w:r w:rsidRPr="00210B8A">
              <w:rPr>
                <w:rFonts w:ascii="Cambria" w:hAnsi="Cambria" w:cs="Times New Roman"/>
                <w:color w:val="auto"/>
                <w:sz w:val="22"/>
                <w:szCs w:val="22"/>
                <w:lang w:bidi="hi-IN"/>
              </w:rPr>
              <w:t>PK = Pharmacokinetics</w:t>
            </w:r>
          </w:p>
          <w:p w14:paraId="796174B1" w14:textId="77777777" w:rsidR="00E14A27" w:rsidRPr="00210B8A" w:rsidRDefault="00E14A27" w:rsidP="0082615A">
            <w:pPr>
              <w:pStyle w:val="Default"/>
              <w:rPr>
                <w:rFonts w:ascii="Cambria" w:hAnsi="Cambria" w:cs="Times New Roman"/>
                <w:sz w:val="22"/>
                <w:szCs w:val="22"/>
              </w:rPr>
            </w:pPr>
            <w:r w:rsidRPr="00210B8A">
              <w:rPr>
                <w:rFonts w:ascii="Cambria" w:hAnsi="Cambria" w:cs="Times New Roman"/>
                <w:sz w:val="22"/>
                <w:szCs w:val="22"/>
              </w:rPr>
              <w:t>* Effect is not clinically significant.</w:t>
            </w:r>
          </w:p>
        </w:tc>
      </w:tr>
    </w:tbl>
    <w:p w14:paraId="2B227F8C"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6583EB55" w14:textId="46E3BB0D" w:rsidR="00A66CE7" w:rsidRPr="00DC1F68" w:rsidRDefault="00A66CE7" w:rsidP="00A66CE7">
      <w:pPr>
        <w:keepNext/>
        <w:tabs>
          <w:tab w:val="clear" w:pos="567"/>
        </w:tabs>
        <w:autoSpaceDE w:val="0"/>
        <w:autoSpaceDN w:val="0"/>
        <w:adjustRightInd w:val="0"/>
        <w:rPr>
          <w:rFonts w:ascii="Cambria" w:eastAsia="TimesNewRoman" w:hAnsi="Cambria"/>
          <w:b/>
          <w:szCs w:val="22"/>
        </w:rPr>
      </w:pPr>
      <w:r w:rsidRPr="00DC1F68">
        <w:rPr>
          <w:rFonts w:ascii="Cambria" w:eastAsia="TimesNewRoman" w:hAnsi="Cambria"/>
          <w:b/>
          <w:szCs w:val="22"/>
        </w:rPr>
        <w:t>Medicinal products affected by T</w:t>
      </w:r>
      <w:r w:rsidR="002A3388">
        <w:rPr>
          <w:rFonts w:ascii="Cambria" w:eastAsia="TimesNewRoman" w:hAnsi="Cambria"/>
          <w:b/>
          <w:szCs w:val="22"/>
        </w:rPr>
        <w:t>RIKAFTA</w:t>
      </w:r>
    </w:p>
    <w:p w14:paraId="253D6A7E" w14:textId="77777777" w:rsidR="00CA12F8" w:rsidRDefault="00CA12F8" w:rsidP="00A66CE7">
      <w:pPr>
        <w:keepNext/>
        <w:tabs>
          <w:tab w:val="clear" w:pos="567"/>
        </w:tabs>
        <w:autoSpaceDE w:val="0"/>
        <w:autoSpaceDN w:val="0"/>
        <w:adjustRightInd w:val="0"/>
        <w:rPr>
          <w:rFonts w:ascii="Cambria" w:eastAsia="TimesNewRoman" w:hAnsi="Cambria"/>
          <w:i/>
          <w:szCs w:val="22"/>
        </w:rPr>
      </w:pPr>
    </w:p>
    <w:p w14:paraId="10E8150B" w14:textId="3FFB42C6" w:rsidR="00A66CE7" w:rsidRPr="00DC1F68" w:rsidRDefault="00A66CE7" w:rsidP="00A66CE7">
      <w:pPr>
        <w:keepNext/>
        <w:tabs>
          <w:tab w:val="clear" w:pos="567"/>
        </w:tabs>
        <w:autoSpaceDE w:val="0"/>
        <w:autoSpaceDN w:val="0"/>
        <w:adjustRightInd w:val="0"/>
        <w:rPr>
          <w:rFonts w:ascii="Cambria" w:eastAsia="TimesNewRoman" w:hAnsi="Cambria"/>
          <w:i/>
          <w:szCs w:val="22"/>
        </w:rPr>
      </w:pPr>
      <w:r w:rsidRPr="00DC1F68">
        <w:rPr>
          <w:rFonts w:ascii="Cambria" w:eastAsia="TimesNewRoman" w:hAnsi="Cambria"/>
          <w:i/>
          <w:szCs w:val="22"/>
        </w:rPr>
        <w:t>CYP2C9 substrates</w:t>
      </w:r>
    </w:p>
    <w:p w14:paraId="327BEF75" w14:textId="7361D58E" w:rsidR="00A66CE7" w:rsidRPr="00DC1F68" w:rsidRDefault="00A66CE7" w:rsidP="00A66CE7">
      <w:pPr>
        <w:tabs>
          <w:tab w:val="clear" w:pos="567"/>
        </w:tabs>
        <w:autoSpaceDE w:val="0"/>
        <w:autoSpaceDN w:val="0"/>
        <w:adjustRightInd w:val="0"/>
        <w:rPr>
          <w:rFonts w:ascii="Cambria" w:eastAsia="TimesNewRoman" w:hAnsi="Cambria"/>
          <w:bCs/>
          <w:i/>
          <w:szCs w:val="22"/>
        </w:rPr>
      </w:pPr>
      <w:r w:rsidRPr="00DC1F68">
        <w:rPr>
          <w:rFonts w:ascii="Cambria" w:eastAsia="TimesNewRoman" w:hAnsi="Cambria"/>
          <w:bCs/>
          <w:szCs w:val="22"/>
        </w:rPr>
        <w:t>Ivacaftor may inhibit CYP2C9; therefore, monitoring of the international normalized ratio (INR) during co</w:t>
      </w:r>
      <w:r w:rsidRPr="00DC1F68">
        <w:rPr>
          <w:rFonts w:ascii="Cambria" w:eastAsia="TimesNewRoman" w:hAnsi="Cambria"/>
          <w:bCs/>
          <w:szCs w:val="22"/>
        </w:rPr>
        <w:noBreakHyphen/>
        <w:t xml:space="preserve">administration of </w:t>
      </w:r>
      <w:bookmarkStart w:id="17" w:name="_Hlk24707579"/>
      <w:r w:rsidR="00D4199E" w:rsidRPr="00DC1F68">
        <w:rPr>
          <w:rFonts w:ascii="Cambria" w:eastAsia="TimesNewRoman" w:hAnsi="Cambria"/>
          <w:bCs/>
          <w:szCs w:val="22"/>
        </w:rPr>
        <w:t>T</w:t>
      </w:r>
      <w:r w:rsidR="002A3388">
        <w:rPr>
          <w:rFonts w:ascii="Cambria" w:eastAsia="TimesNewRoman" w:hAnsi="Cambria"/>
          <w:bCs/>
          <w:szCs w:val="22"/>
        </w:rPr>
        <w:t>RIKAFTA</w:t>
      </w:r>
      <w:bookmarkEnd w:id="17"/>
      <w:r w:rsidRPr="00DC1F68">
        <w:rPr>
          <w:rFonts w:ascii="Cambria" w:eastAsia="TimesNewRoman" w:hAnsi="Cambria"/>
          <w:bCs/>
          <w:szCs w:val="22"/>
        </w:rPr>
        <w:t xml:space="preserve"> with warfarin is recommended. Other medicinal products for which exposure may be increased by </w:t>
      </w:r>
      <w:r w:rsidR="00D4199E" w:rsidRPr="00DC1F68">
        <w:rPr>
          <w:rFonts w:ascii="Cambria" w:eastAsia="TimesNewRoman" w:hAnsi="Cambria"/>
          <w:bCs/>
          <w:szCs w:val="22"/>
        </w:rPr>
        <w:t>T</w:t>
      </w:r>
      <w:r w:rsidR="002A3388">
        <w:rPr>
          <w:rFonts w:ascii="Cambria" w:eastAsia="TimesNewRoman" w:hAnsi="Cambria"/>
          <w:bCs/>
          <w:szCs w:val="22"/>
        </w:rPr>
        <w:t>RIKAFTA</w:t>
      </w:r>
      <w:r w:rsidR="00D4199E" w:rsidRPr="00DC1F68">
        <w:rPr>
          <w:rFonts w:ascii="Cambria" w:eastAsia="TimesNewRoman" w:hAnsi="Cambria"/>
          <w:bCs/>
          <w:szCs w:val="22"/>
        </w:rPr>
        <w:t xml:space="preserve"> </w:t>
      </w:r>
      <w:r w:rsidRPr="00DC1F68">
        <w:rPr>
          <w:rFonts w:ascii="Cambria" w:eastAsia="TimesNewRoman" w:hAnsi="Cambria"/>
          <w:bCs/>
          <w:szCs w:val="22"/>
        </w:rPr>
        <w:t>include glimepiride and glipizide; these medicinal products should be used with caution.</w:t>
      </w:r>
    </w:p>
    <w:p w14:paraId="579E38A3"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6BEFBCF3" w14:textId="77777777" w:rsidR="00A66CE7" w:rsidRPr="00DC1F68" w:rsidRDefault="00A66CE7" w:rsidP="00A66CE7">
      <w:pPr>
        <w:tabs>
          <w:tab w:val="clear" w:pos="567"/>
        </w:tabs>
        <w:autoSpaceDE w:val="0"/>
        <w:autoSpaceDN w:val="0"/>
        <w:adjustRightInd w:val="0"/>
        <w:rPr>
          <w:rFonts w:ascii="Cambria" w:hAnsi="Cambria"/>
          <w:bCs/>
          <w:i/>
          <w:szCs w:val="22"/>
        </w:rPr>
      </w:pPr>
      <w:r w:rsidRPr="00DC1F68">
        <w:rPr>
          <w:rFonts w:ascii="Cambria" w:hAnsi="Cambria"/>
          <w:bCs/>
          <w:i/>
          <w:szCs w:val="22"/>
        </w:rPr>
        <w:t>Potential for interaction with transporters</w:t>
      </w:r>
    </w:p>
    <w:p w14:paraId="67309A28" w14:textId="499086AF" w:rsidR="00A66CE7" w:rsidRPr="00DC1F68" w:rsidRDefault="00A66CE7" w:rsidP="00A66CE7">
      <w:pPr>
        <w:tabs>
          <w:tab w:val="clear" w:pos="567"/>
        </w:tabs>
        <w:autoSpaceDE w:val="0"/>
        <w:autoSpaceDN w:val="0"/>
        <w:adjustRightInd w:val="0"/>
        <w:rPr>
          <w:rFonts w:ascii="Cambria" w:hAnsi="Cambria"/>
          <w:bCs/>
          <w:szCs w:val="22"/>
        </w:rPr>
      </w:pPr>
      <w:r w:rsidRPr="00DC1F68">
        <w:rPr>
          <w:rFonts w:ascii="Cambria" w:hAnsi="Cambria"/>
          <w:bCs/>
          <w:szCs w:val="22"/>
        </w:rPr>
        <w:t>Co</w:t>
      </w:r>
      <w:r w:rsidRPr="00DC1F68">
        <w:rPr>
          <w:rFonts w:ascii="Cambria" w:hAnsi="Cambria"/>
          <w:bCs/>
          <w:szCs w:val="22"/>
        </w:rPr>
        <w:noBreakHyphen/>
        <w:t>administration of ivacaftor or tezacaftor/ivacaftor with digoxin, a sensitive P</w:t>
      </w:r>
      <w:r w:rsidRPr="00DC1F68">
        <w:rPr>
          <w:rFonts w:ascii="Cambria" w:hAnsi="Cambria"/>
          <w:bCs/>
          <w:szCs w:val="22"/>
        </w:rPr>
        <w:noBreakHyphen/>
        <w:t>glycoprotein (P</w:t>
      </w:r>
      <w:r w:rsidRPr="00DC1F68">
        <w:rPr>
          <w:rFonts w:ascii="Cambria" w:hAnsi="Cambria"/>
          <w:bCs/>
          <w:szCs w:val="22"/>
        </w:rPr>
        <w:noBreakHyphen/>
        <w:t>gp) substrate, increased digoxin AUC by 1.3</w:t>
      </w:r>
      <w:r w:rsidRPr="00DC1F68">
        <w:rPr>
          <w:rFonts w:ascii="Cambria" w:hAnsi="Cambria"/>
          <w:bCs/>
          <w:szCs w:val="22"/>
        </w:rPr>
        <w:noBreakHyphen/>
        <w:t>fold, consistent with weak inhibition of P</w:t>
      </w:r>
      <w:r w:rsidRPr="00DC1F68">
        <w:rPr>
          <w:rFonts w:ascii="Cambria" w:hAnsi="Cambria"/>
          <w:bCs/>
          <w:szCs w:val="22"/>
        </w:rPr>
        <w:noBreakHyphen/>
        <w:t xml:space="preserve">gp by ivacaftor. Administration of </w:t>
      </w:r>
      <w:r w:rsidR="00D4199E" w:rsidRPr="00DC1F68">
        <w:rPr>
          <w:rFonts w:ascii="Cambria" w:eastAsia="TimesNewRoman" w:hAnsi="Cambria"/>
          <w:bCs/>
          <w:szCs w:val="22"/>
        </w:rPr>
        <w:t>T</w:t>
      </w:r>
      <w:r w:rsidR="002A3388">
        <w:rPr>
          <w:rFonts w:ascii="Cambria" w:eastAsia="TimesNewRoman" w:hAnsi="Cambria"/>
          <w:bCs/>
          <w:szCs w:val="22"/>
        </w:rPr>
        <w:t>RIKAFTA</w:t>
      </w:r>
      <w:r w:rsidRPr="00DC1F68">
        <w:rPr>
          <w:rFonts w:ascii="Cambria" w:hAnsi="Cambria"/>
          <w:bCs/>
          <w:szCs w:val="22"/>
        </w:rPr>
        <w:t xml:space="preserve"> may increase systemic exposure of medicinal products that are sensitive substrates of P</w:t>
      </w:r>
      <w:r w:rsidRPr="00DC1F68">
        <w:rPr>
          <w:rFonts w:ascii="Cambria" w:hAnsi="Cambria"/>
          <w:bCs/>
          <w:szCs w:val="22"/>
        </w:rPr>
        <w:noBreakHyphen/>
        <w:t>gp, which may increase or prolong their therapeutic effect and adverse reactions. When used concomitantly with digoxin or other substrates of P</w:t>
      </w:r>
      <w:r w:rsidRPr="00DC1F68">
        <w:rPr>
          <w:rFonts w:ascii="Cambria" w:hAnsi="Cambria"/>
          <w:bCs/>
          <w:szCs w:val="22"/>
        </w:rPr>
        <w:noBreakHyphen/>
        <w:t>gp with a narrow therapeutic index such as c</w:t>
      </w:r>
      <w:r w:rsidR="00B62A81">
        <w:rPr>
          <w:rFonts w:ascii="Cambria" w:hAnsi="Cambria"/>
          <w:bCs/>
          <w:szCs w:val="22"/>
        </w:rPr>
        <w:t>i</w:t>
      </w:r>
      <w:r w:rsidRPr="00DC1F68">
        <w:rPr>
          <w:rFonts w:ascii="Cambria" w:hAnsi="Cambria"/>
          <w:bCs/>
          <w:szCs w:val="22"/>
        </w:rPr>
        <w:t>closporin, everolimus, sirolimus, and tacrolimus, caution and appropriate monitoring should be used.</w:t>
      </w:r>
    </w:p>
    <w:p w14:paraId="4E96CF51" w14:textId="77777777" w:rsidR="00A66CE7" w:rsidRPr="00DC1F68" w:rsidRDefault="00A66CE7" w:rsidP="00A66CE7">
      <w:pPr>
        <w:tabs>
          <w:tab w:val="clear" w:pos="567"/>
        </w:tabs>
        <w:autoSpaceDE w:val="0"/>
        <w:autoSpaceDN w:val="0"/>
        <w:adjustRightInd w:val="0"/>
        <w:rPr>
          <w:rFonts w:ascii="Cambria" w:hAnsi="Cambria"/>
          <w:bCs/>
          <w:szCs w:val="22"/>
        </w:rPr>
      </w:pPr>
    </w:p>
    <w:p w14:paraId="0A9C27A7" w14:textId="488BCDED" w:rsidR="00A66CE7" w:rsidRPr="00DC1F68" w:rsidRDefault="00A66CE7" w:rsidP="00A66CE7">
      <w:pPr>
        <w:tabs>
          <w:tab w:val="clear" w:pos="567"/>
        </w:tabs>
        <w:autoSpaceDE w:val="0"/>
        <w:autoSpaceDN w:val="0"/>
        <w:adjustRightInd w:val="0"/>
        <w:rPr>
          <w:rFonts w:ascii="Cambria" w:eastAsiaTheme="minorHAnsi" w:hAnsi="Cambria"/>
          <w:szCs w:val="22"/>
        </w:rPr>
      </w:pPr>
      <w:r w:rsidRPr="00DC1F68">
        <w:rPr>
          <w:rFonts w:ascii="Cambria" w:eastAsiaTheme="minorHAnsi" w:hAnsi="Cambria"/>
          <w:szCs w:val="22"/>
        </w:rPr>
        <w:t xml:space="preserve">Elexacaftor and </w:t>
      </w:r>
      <w:bookmarkStart w:id="18" w:name="_Hlk25747941"/>
      <w:r w:rsidRPr="00DC1F68">
        <w:rPr>
          <w:rFonts w:ascii="Cambria" w:eastAsiaTheme="minorHAnsi" w:hAnsi="Cambria"/>
          <w:szCs w:val="22"/>
        </w:rPr>
        <w:t>M23</w:t>
      </w:r>
      <w:r w:rsidRPr="00DC1F68">
        <w:rPr>
          <w:rFonts w:ascii="Cambria" w:eastAsiaTheme="minorHAnsi" w:hAnsi="Cambria"/>
          <w:szCs w:val="22"/>
        </w:rPr>
        <w:noBreakHyphen/>
        <w:t xml:space="preserve">ELX </w:t>
      </w:r>
      <w:bookmarkEnd w:id="18"/>
      <w:r w:rsidR="00EB1AF3">
        <w:rPr>
          <w:rFonts w:ascii="Cambria" w:eastAsiaTheme="minorHAnsi" w:hAnsi="Cambria"/>
          <w:szCs w:val="22"/>
        </w:rPr>
        <w:t xml:space="preserve">(active metabolite) </w:t>
      </w:r>
      <w:r w:rsidRPr="00DC1F68">
        <w:rPr>
          <w:rFonts w:ascii="Cambria" w:eastAsiaTheme="minorHAnsi" w:hAnsi="Cambria"/>
          <w:szCs w:val="22"/>
        </w:rPr>
        <w:t xml:space="preserve">inhibit uptake by OATP1B1 and OATP1B3 </w:t>
      </w:r>
      <w:r w:rsidRPr="00DC1F68">
        <w:rPr>
          <w:rFonts w:ascii="Cambria" w:eastAsiaTheme="minorHAnsi" w:hAnsi="Cambria"/>
          <w:i/>
          <w:szCs w:val="22"/>
        </w:rPr>
        <w:t>in vitro</w:t>
      </w:r>
      <w:r w:rsidRPr="00DC1F68">
        <w:rPr>
          <w:rFonts w:ascii="Cambria" w:eastAsiaTheme="minorHAnsi" w:hAnsi="Cambria"/>
          <w:szCs w:val="22"/>
        </w:rPr>
        <w:t>.</w:t>
      </w:r>
      <w:r w:rsidR="00C60B54">
        <w:rPr>
          <w:rFonts w:ascii="Cambria" w:eastAsiaTheme="minorHAnsi" w:hAnsi="Cambria"/>
          <w:szCs w:val="22"/>
        </w:rPr>
        <w:t xml:space="preserve"> </w:t>
      </w:r>
      <w:r w:rsidRPr="00DC1F68">
        <w:rPr>
          <w:rFonts w:ascii="Cambria" w:eastAsiaTheme="minorHAnsi" w:hAnsi="Cambria"/>
          <w:szCs w:val="22"/>
        </w:rPr>
        <w:t xml:space="preserve">Tezacaftor/ivacaftor increased the AUC of pitavastatin, an OATP1B1 substrate, by 1.2-fold. Co-administration of </w:t>
      </w:r>
      <w:r w:rsidR="00D4199E" w:rsidRPr="00DC1F68">
        <w:rPr>
          <w:rFonts w:ascii="Cambria" w:eastAsia="TimesNewRoman" w:hAnsi="Cambria"/>
          <w:bCs/>
          <w:szCs w:val="22"/>
        </w:rPr>
        <w:t>T</w:t>
      </w:r>
      <w:r w:rsidR="002A3388">
        <w:rPr>
          <w:rFonts w:ascii="Cambria" w:eastAsia="TimesNewRoman" w:hAnsi="Cambria"/>
          <w:bCs/>
          <w:szCs w:val="22"/>
        </w:rPr>
        <w:t>RIKAFTA</w:t>
      </w:r>
      <w:r w:rsidR="00D4199E" w:rsidRPr="00DC1F68">
        <w:rPr>
          <w:rFonts w:ascii="Cambria" w:eastAsiaTheme="minorHAnsi" w:hAnsi="Cambria"/>
          <w:szCs w:val="22"/>
        </w:rPr>
        <w:t xml:space="preserve"> </w:t>
      </w:r>
      <w:r w:rsidRPr="00DC1F68">
        <w:rPr>
          <w:rFonts w:ascii="Cambria" w:eastAsiaTheme="minorHAnsi" w:hAnsi="Cambria"/>
          <w:szCs w:val="22"/>
        </w:rPr>
        <w:t xml:space="preserve">may increase exposures of medicinal products that are substrates of these transporters, such as statins, glyburide, nateglinide and repaglinide. When used concomitantly with substrates of OATP1B1 or OATP1B3, caution and appropriate monitoring should be used. Bilirubin is an OATP1B1 and OATP1B3 substrate. </w:t>
      </w:r>
      <w:r w:rsidRPr="00DC1F68">
        <w:rPr>
          <w:rFonts w:ascii="Cambria" w:eastAsiaTheme="minorHAnsi" w:hAnsi="Cambria"/>
          <w:bCs/>
          <w:szCs w:val="22"/>
          <w:lang w:val="en-CA"/>
        </w:rPr>
        <w:t>In Study 445</w:t>
      </w:r>
      <w:r w:rsidRPr="00DC1F68">
        <w:rPr>
          <w:rFonts w:ascii="Cambria" w:eastAsiaTheme="minorHAnsi" w:hAnsi="Cambria"/>
          <w:bCs/>
          <w:szCs w:val="22"/>
          <w:lang w:val="en-CA"/>
        </w:rPr>
        <w:noBreakHyphen/>
        <w:t xml:space="preserve">102, mild increases in mean total bilirubin were observed (up to 4.0 µmol/L change from baseline). This finding is consistent with the </w:t>
      </w:r>
      <w:r w:rsidRPr="00DC1F68">
        <w:rPr>
          <w:rFonts w:ascii="Cambria" w:eastAsiaTheme="minorHAnsi" w:hAnsi="Cambria"/>
          <w:bCs/>
          <w:i/>
          <w:szCs w:val="22"/>
          <w:lang w:val="en-CA"/>
        </w:rPr>
        <w:t>in vitro</w:t>
      </w:r>
      <w:r w:rsidRPr="00DC1F68">
        <w:rPr>
          <w:rFonts w:ascii="Cambria" w:eastAsiaTheme="minorHAnsi" w:hAnsi="Cambria"/>
          <w:bCs/>
          <w:szCs w:val="22"/>
          <w:lang w:val="en-CA"/>
        </w:rPr>
        <w:t xml:space="preserve"> inhibition of bilirubin transporters OATP1B1 and OATP1B3 by elexacaftor and M23</w:t>
      </w:r>
      <w:r w:rsidRPr="00DC1F68">
        <w:rPr>
          <w:rFonts w:ascii="Cambria" w:eastAsiaTheme="minorHAnsi" w:hAnsi="Cambria"/>
          <w:bCs/>
          <w:szCs w:val="22"/>
          <w:lang w:val="en-CA"/>
        </w:rPr>
        <w:noBreakHyphen/>
        <w:t>ELX.</w:t>
      </w:r>
      <w:r w:rsidRPr="00DC1F68">
        <w:rPr>
          <w:rFonts w:ascii="Cambria" w:eastAsiaTheme="minorHAnsi" w:hAnsi="Cambria"/>
          <w:szCs w:val="22"/>
          <w:lang w:val="en-CA"/>
        </w:rPr>
        <w:t xml:space="preserve"> </w:t>
      </w:r>
    </w:p>
    <w:p w14:paraId="23A9E140" w14:textId="77777777" w:rsidR="00A66CE7" w:rsidRPr="00DC1F68" w:rsidRDefault="00A66CE7" w:rsidP="00A66CE7">
      <w:pPr>
        <w:tabs>
          <w:tab w:val="clear" w:pos="567"/>
        </w:tabs>
        <w:autoSpaceDE w:val="0"/>
        <w:autoSpaceDN w:val="0"/>
        <w:adjustRightInd w:val="0"/>
        <w:rPr>
          <w:rFonts w:ascii="Cambria" w:eastAsia="TimesNewRoman" w:hAnsi="Cambria"/>
          <w:szCs w:val="22"/>
        </w:rPr>
      </w:pPr>
    </w:p>
    <w:p w14:paraId="473314D7" w14:textId="77777777" w:rsidR="00A66CE7" w:rsidRPr="00DC1F68" w:rsidRDefault="00A66CE7" w:rsidP="00A66CE7">
      <w:pPr>
        <w:tabs>
          <w:tab w:val="clear" w:pos="567"/>
        </w:tabs>
        <w:autoSpaceDE w:val="0"/>
        <w:autoSpaceDN w:val="0"/>
        <w:adjustRightInd w:val="0"/>
        <w:rPr>
          <w:rFonts w:ascii="Cambria" w:eastAsia="TimesNewRoman" w:hAnsi="Cambria"/>
          <w:i/>
          <w:szCs w:val="22"/>
        </w:rPr>
      </w:pPr>
      <w:r w:rsidRPr="00DC1F68">
        <w:rPr>
          <w:rFonts w:ascii="Cambria" w:eastAsia="TimesNewRoman" w:hAnsi="Cambria"/>
          <w:i/>
          <w:szCs w:val="22"/>
        </w:rPr>
        <w:t>Hormonal contraceptives</w:t>
      </w:r>
    </w:p>
    <w:p w14:paraId="318252C8" w14:textId="7EE03C11" w:rsidR="00A66CE7" w:rsidRDefault="00D4199E" w:rsidP="00A66CE7">
      <w:pPr>
        <w:rPr>
          <w:rFonts w:ascii="Cambria" w:eastAsia="TimesNewRoman" w:hAnsi="Cambria"/>
          <w:bCs/>
          <w:szCs w:val="22"/>
        </w:rPr>
      </w:pPr>
      <w:r w:rsidRPr="00DC1F68">
        <w:rPr>
          <w:rFonts w:ascii="Cambria" w:eastAsia="TimesNewRoman" w:hAnsi="Cambria"/>
          <w:bCs/>
          <w:szCs w:val="22"/>
        </w:rPr>
        <w:t>T</w:t>
      </w:r>
      <w:r w:rsidR="002A3388">
        <w:rPr>
          <w:rFonts w:ascii="Cambria" w:eastAsia="TimesNewRoman" w:hAnsi="Cambria"/>
          <w:bCs/>
          <w:szCs w:val="22"/>
        </w:rPr>
        <w:t>RIKAFTA</w:t>
      </w:r>
      <w:r w:rsidRPr="00DC1F68">
        <w:rPr>
          <w:rFonts w:ascii="Cambria" w:eastAsia="TimesNewRoman" w:hAnsi="Cambria"/>
          <w:bCs/>
          <w:szCs w:val="22"/>
        </w:rPr>
        <w:t xml:space="preserve"> </w:t>
      </w:r>
      <w:r w:rsidR="00A66CE7" w:rsidRPr="00DC1F68">
        <w:rPr>
          <w:rFonts w:ascii="Cambria" w:eastAsia="TimesNewRoman" w:hAnsi="Cambria"/>
          <w:bCs/>
          <w:szCs w:val="22"/>
        </w:rPr>
        <w:t>has been studied with ethinyl</w:t>
      </w:r>
      <w:r w:rsidR="00E270BE">
        <w:rPr>
          <w:rFonts w:ascii="Cambria" w:eastAsia="TimesNewRoman" w:hAnsi="Cambria"/>
          <w:bCs/>
          <w:szCs w:val="22"/>
        </w:rPr>
        <w:t xml:space="preserve"> </w:t>
      </w:r>
      <w:r w:rsidR="00FE1978">
        <w:rPr>
          <w:rFonts w:ascii="Cambria" w:eastAsia="TimesNewRoman" w:hAnsi="Cambria"/>
          <w:bCs/>
          <w:szCs w:val="22"/>
        </w:rPr>
        <w:t>o</w:t>
      </w:r>
      <w:r w:rsidR="00A66CE7" w:rsidRPr="00DC1F68">
        <w:rPr>
          <w:rFonts w:ascii="Cambria" w:eastAsia="TimesNewRoman" w:hAnsi="Cambria"/>
          <w:bCs/>
          <w:szCs w:val="22"/>
        </w:rPr>
        <w:t xml:space="preserve">estradiol/levonorgestrel and was found to have no clinically relevant effect on the exposures of the oral contraceptive. </w:t>
      </w:r>
      <w:r w:rsidRPr="00DC1F68">
        <w:rPr>
          <w:rFonts w:ascii="Cambria" w:eastAsia="TimesNewRoman" w:hAnsi="Cambria"/>
          <w:bCs/>
          <w:szCs w:val="22"/>
        </w:rPr>
        <w:t>T</w:t>
      </w:r>
      <w:r w:rsidR="002A3388">
        <w:rPr>
          <w:rFonts w:ascii="Cambria" w:eastAsia="TimesNewRoman" w:hAnsi="Cambria"/>
          <w:bCs/>
          <w:szCs w:val="22"/>
        </w:rPr>
        <w:t>RIKAFTA</w:t>
      </w:r>
      <w:r w:rsidRPr="00DC1F68">
        <w:rPr>
          <w:rFonts w:ascii="Cambria" w:eastAsia="TimesNewRoman" w:hAnsi="Cambria"/>
          <w:bCs/>
          <w:szCs w:val="22"/>
        </w:rPr>
        <w:t xml:space="preserve"> </w:t>
      </w:r>
      <w:r w:rsidR="00A66CE7" w:rsidRPr="00DC1F68">
        <w:rPr>
          <w:rFonts w:ascii="Cambria" w:eastAsia="TimesNewRoman" w:hAnsi="Cambria"/>
          <w:bCs/>
          <w:szCs w:val="22"/>
        </w:rPr>
        <w:t>is not expected to have an impact on the efficacy of oral contraceptives.</w:t>
      </w:r>
    </w:p>
    <w:p w14:paraId="7A792137" w14:textId="77777777" w:rsidR="00E14A27" w:rsidRPr="00DC1F68" w:rsidRDefault="00E14A27" w:rsidP="00E14A27">
      <w:pPr>
        <w:tabs>
          <w:tab w:val="clear" w:pos="567"/>
        </w:tabs>
        <w:autoSpaceDE w:val="0"/>
        <w:autoSpaceDN w:val="0"/>
        <w:adjustRightInd w:val="0"/>
        <w:rPr>
          <w:rFonts w:ascii="Cambria" w:eastAsia="TimesNewRoman" w:hAnsi="Cambria"/>
          <w:szCs w:val="22"/>
        </w:rPr>
      </w:pPr>
    </w:p>
    <w:p w14:paraId="13FC2A41" w14:textId="5D398BE4" w:rsidR="00E14A27" w:rsidRPr="00210B8A" w:rsidRDefault="00E14A27" w:rsidP="00E14A27">
      <w:pPr>
        <w:autoSpaceDE w:val="0"/>
        <w:autoSpaceDN w:val="0"/>
        <w:adjustRightInd w:val="0"/>
        <w:rPr>
          <w:rFonts w:ascii="Cambria" w:hAnsi="Cambria"/>
          <w:color w:val="000000"/>
          <w:szCs w:val="22"/>
        </w:rPr>
      </w:pPr>
      <w:r w:rsidRPr="00210B8A">
        <w:rPr>
          <w:rFonts w:ascii="Cambria" w:hAnsi="Cambria"/>
          <w:color w:val="000000"/>
          <w:szCs w:val="22"/>
        </w:rPr>
        <w:t xml:space="preserve">The effects of </w:t>
      </w:r>
      <w:r w:rsidRPr="00210B8A">
        <w:rPr>
          <w:rFonts w:ascii="Cambria" w:hAnsi="Cambria"/>
          <w:szCs w:val="22"/>
        </w:rPr>
        <w:t>elexacaftor, tezacaftor</w:t>
      </w:r>
      <w:r w:rsidRPr="00210B8A">
        <w:rPr>
          <w:rFonts w:ascii="Cambria" w:hAnsi="Cambria"/>
          <w:color w:val="000000"/>
          <w:szCs w:val="22"/>
        </w:rPr>
        <w:t xml:space="preserve"> and/or ivacaftor on the exposure of co</w:t>
      </w:r>
      <w:r w:rsidRPr="00210B8A">
        <w:rPr>
          <w:rFonts w:ascii="Cambria" w:hAnsi="Cambria"/>
          <w:color w:val="000000"/>
          <w:szCs w:val="22"/>
        </w:rPr>
        <w:noBreakHyphen/>
        <w:t>administered drugs are shown in Table </w:t>
      </w:r>
      <w:r w:rsidR="0082615A">
        <w:rPr>
          <w:rFonts w:ascii="Cambria" w:hAnsi="Cambria"/>
          <w:color w:val="000000"/>
          <w:szCs w:val="22"/>
        </w:rPr>
        <w:t>4</w:t>
      </w:r>
      <w:r>
        <w:rPr>
          <w:rFonts w:ascii="Cambria" w:hAnsi="Cambria"/>
          <w:szCs w:val="22"/>
          <w:bdr w:val="none" w:sz="0" w:space="0" w:color="auto" w:frame="1"/>
        </w:rPr>
        <w:t>.</w:t>
      </w:r>
      <w:r w:rsidRPr="00210B8A">
        <w:rPr>
          <w:rFonts w:ascii="Cambria" w:hAnsi="Cambria"/>
          <w:szCs w:val="22"/>
        </w:rPr>
        <w:t xml:space="preserve"> </w:t>
      </w:r>
    </w:p>
    <w:p w14:paraId="1440FE7C" w14:textId="77777777" w:rsidR="007B275B" w:rsidRPr="00210B8A" w:rsidRDefault="007B275B" w:rsidP="00E14A27">
      <w:pPr>
        <w:autoSpaceDE w:val="0"/>
        <w:autoSpaceDN w:val="0"/>
        <w:adjustRightInd w:val="0"/>
        <w:rPr>
          <w:rFonts w:ascii="Cambria" w:hAnsi="Cambria"/>
          <w:color w:val="000000"/>
          <w:szCs w:val="22"/>
        </w:rPr>
      </w:pPr>
    </w:p>
    <w:tbl>
      <w:tblPr>
        <w:tblpPr w:leftFromText="180" w:rightFromText="180"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2301"/>
        <w:gridCol w:w="1737"/>
        <w:gridCol w:w="1545"/>
        <w:gridCol w:w="1843"/>
      </w:tblGrid>
      <w:tr w:rsidR="00E14A27" w:rsidRPr="00210B8A" w14:paraId="48FBB795" w14:textId="77777777" w:rsidTr="0082615A">
        <w:trPr>
          <w:trHeight w:val="269"/>
          <w:tblHeader/>
        </w:trPr>
        <w:tc>
          <w:tcPr>
            <w:tcW w:w="10060" w:type="dxa"/>
            <w:gridSpan w:val="5"/>
            <w:shd w:val="clear" w:color="auto" w:fill="auto"/>
            <w:vAlign w:val="center"/>
          </w:tcPr>
          <w:p w14:paraId="777B1C5B" w14:textId="0CCFE05A" w:rsidR="00E14A27" w:rsidRPr="00210B8A" w:rsidRDefault="00E14A27" w:rsidP="0082615A">
            <w:pPr>
              <w:pStyle w:val="Default"/>
              <w:keepNext/>
              <w:rPr>
                <w:rFonts w:ascii="Cambria" w:hAnsi="Cambria" w:cs="Times New Roman"/>
                <w:color w:val="auto"/>
                <w:sz w:val="22"/>
                <w:szCs w:val="22"/>
              </w:rPr>
            </w:pPr>
            <w:r w:rsidRPr="00210B8A">
              <w:rPr>
                <w:rFonts w:ascii="Cambria" w:hAnsi="Cambria" w:cs="Times New Roman"/>
                <w:b/>
                <w:bCs/>
                <w:color w:val="auto"/>
                <w:sz w:val="22"/>
                <w:szCs w:val="22"/>
                <w:lang w:bidi="hi-IN"/>
              </w:rPr>
              <w:t>Table</w:t>
            </w:r>
            <w:r w:rsidRPr="00210B8A">
              <w:rPr>
                <w:rFonts w:ascii="Cambria" w:hAnsi="Cambria" w:cs="Times New Roman"/>
                <w:b/>
                <w:bCs/>
                <w:color w:val="auto"/>
                <w:sz w:val="22"/>
                <w:szCs w:val="22"/>
              </w:rPr>
              <w:t> </w:t>
            </w:r>
            <w:r w:rsidR="0082615A">
              <w:rPr>
                <w:rFonts w:ascii="Cambria" w:hAnsi="Cambria" w:cs="Times New Roman"/>
                <w:b/>
                <w:bCs/>
                <w:color w:val="auto"/>
                <w:sz w:val="22"/>
                <w:szCs w:val="22"/>
              </w:rPr>
              <w:t>4</w:t>
            </w:r>
            <w:r w:rsidRPr="00210B8A">
              <w:rPr>
                <w:rFonts w:ascii="Cambria" w:hAnsi="Cambria" w:cs="Times New Roman"/>
                <w:b/>
                <w:bCs/>
                <w:color w:val="auto"/>
                <w:sz w:val="22"/>
                <w:szCs w:val="22"/>
                <w:lang w:bidi="hi-IN"/>
              </w:rPr>
              <w:t>: Impact of Elexacaftor, Tezacaftor and Ivacaftor</w:t>
            </w:r>
            <w:r w:rsidRPr="00210B8A">
              <w:rPr>
                <w:rFonts w:ascii="Cambria" w:hAnsi="Cambria" w:cs="Times New Roman"/>
                <w:b/>
                <w:bCs/>
                <w:color w:val="auto"/>
                <w:sz w:val="22"/>
                <w:szCs w:val="22"/>
              </w:rPr>
              <w:t xml:space="preserve"> on Other Drugs</w:t>
            </w:r>
          </w:p>
        </w:tc>
      </w:tr>
      <w:tr w:rsidR="00E14A27" w:rsidRPr="00210B8A" w14:paraId="5801684A" w14:textId="77777777" w:rsidTr="0082615A">
        <w:trPr>
          <w:trHeight w:val="296"/>
        </w:trPr>
        <w:tc>
          <w:tcPr>
            <w:tcW w:w="4935" w:type="dxa"/>
            <w:gridSpan w:val="2"/>
            <w:vMerge w:val="restart"/>
            <w:vAlign w:val="center"/>
          </w:tcPr>
          <w:p w14:paraId="7BBEB7F3"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
                <w:color w:val="auto"/>
                <w:sz w:val="22"/>
                <w:szCs w:val="22"/>
              </w:rPr>
              <w:t>Dose and Schedule</w:t>
            </w:r>
          </w:p>
          <w:p w14:paraId="5EA3E9E6" w14:textId="77777777" w:rsidR="00E14A27" w:rsidRPr="00210B8A" w:rsidRDefault="00E14A27" w:rsidP="0082615A">
            <w:pPr>
              <w:pStyle w:val="Default"/>
              <w:keepNext/>
              <w:jc w:val="center"/>
              <w:rPr>
                <w:rFonts w:ascii="Cambria" w:hAnsi="Cambria" w:cs="Times New Roman"/>
                <w:color w:val="auto"/>
                <w:sz w:val="22"/>
                <w:szCs w:val="22"/>
              </w:rPr>
            </w:pPr>
          </w:p>
        </w:tc>
        <w:tc>
          <w:tcPr>
            <w:tcW w:w="1737" w:type="dxa"/>
            <w:vMerge w:val="restart"/>
            <w:vAlign w:val="center"/>
          </w:tcPr>
          <w:p w14:paraId="515109E0"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
                <w:color w:val="auto"/>
                <w:sz w:val="22"/>
                <w:szCs w:val="22"/>
              </w:rPr>
              <w:t>Effect on Other Drug PK</w:t>
            </w:r>
          </w:p>
        </w:tc>
        <w:tc>
          <w:tcPr>
            <w:tcW w:w="3388" w:type="dxa"/>
            <w:gridSpan w:val="2"/>
            <w:shd w:val="clear" w:color="auto" w:fill="auto"/>
            <w:vAlign w:val="center"/>
          </w:tcPr>
          <w:p w14:paraId="2CF4B0BD" w14:textId="77777777" w:rsidR="00E14A27" w:rsidRPr="00210B8A" w:rsidRDefault="00E14A27" w:rsidP="0082615A">
            <w:pPr>
              <w:keepNext/>
              <w:autoSpaceDE w:val="0"/>
              <w:autoSpaceDN w:val="0"/>
              <w:adjustRightInd w:val="0"/>
              <w:jc w:val="center"/>
              <w:rPr>
                <w:rFonts w:ascii="Cambria" w:hAnsi="Cambria"/>
                <w:b/>
                <w:bCs/>
                <w:szCs w:val="22"/>
                <w:lang w:bidi="hi-IN"/>
              </w:rPr>
            </w:pPr>
            <w:r w:rsidRPr="00210B8A">
              <w:rPr>
                <w:rFonts w:ascii="Cambria" w:hAnsi="Cambria"/>
                <w:b/>
                <w:bCs/>
                <w:szCs w:val="22"/>
              </w:rPr>
              <w:t>Geometric Mean Ratio (90% CI) of Other Drug</w:t>
            </w:r>
          </w:p>
          <w:p w14:paraId="422D1EBF"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
                <w:bCs/>
                <w:color w:val="auto"/>
                <w:sz w:val="22"/>
                <w:szCs w:val="22"/>
                <w:lang w:bidi="hi-IN"/>
              </w:rPr>
              <w:t>No Effect=1.0</w:t>
            </w:r>
          </w:p>
        </w:tc>
      </w:tr>
      <w:tr w:rsidR="00E14A27" w:rsidRPr="00210B8A" w14:paraId="04515562" w14:textId="77777777" w:rsidTr="0082615A">
        <w:trPr>
          <w:trHeight w:val="170"/>
        </w:trPr>
        <w:tc>
          <w:tcPr>
            <w:tcW w:w="4935" w:type="dxa"/>
            <w:gridSpan w:val="2"/>
            <w:vMerge/>
            <w:vAlign w:val="center"/>
          </w:tcPr>
          <w:p w14:paraId="490AD618" w14:textId="77777777" w:rsidR="00E14A27" w:rsidRPr="00925AAD" w:rsidRDefault="00E14A27" w:rsidP="0082615A">
            <w:pPr>
              <w:pStyle w:val="Default"/>
              <w:keepNext/>
              <w:jc w:val="center"/>
              <w:rPr>
                <w:rFonts w:ascii="Cambria" w:hAnsi="Cambria" w:cs="Times New Roman"/>
                <w:b/>
                <w:color w:val="auto"/>
                <w:sz w:val="22"/>
                <w:szCs w:val="22"/>
              </w:rPr>
            </w:pPr>
          </w:p>
        </w:tc>
        <w:tc>
          <w:tcPr>
            <w:tcW w:w="1737" w:type="dxa"/>
            <w:vMerge/>
            <w:vAlign w:val="center"/>
          </w:tcPr>
          <w:p w14:paraId="3FC4302F" w14:textId="77777777" w:rsidR="00E14A27" w:rsidRPr="00925AAD" w:rsidRDefault="00E14A27" w:rsidP="0082615A">
            <w:pPr>
              <w:pStyle w:val="Default"/>
              <w:keepNext/>
              <w:jc w:val="center"/>
              <w:rPr>
                <w:rFonts w:ascii="Cambria" w:hAnsi="Cambria" w:cs="Times New Roman"/>
                <w:b/>
                <w:color w:val="auto"/>
                <w:sz w:val="22"/>
                <w:szCs w:val="22"/>
              </w:rPr>
            </w:pPr>
          </w:p>
        </w:tc>
        <w:tc>
          <w:tcPr>
            <w:tcW w:w="1545" w:type="dxa"/>
          </w:tcPr>
          <w:p w14:paraId="64795044" w14:textId="77777777" w:rsidR="00E14A27" w:rsidRPr="00925AAD" w:rsidRDefault="00E14A27" w:rsidP="0082615A">
            <w:pPr>
              <w:pStyle w:val="Default"/>
              <w:keepNext/>
              <w:jc w:val="center"/>
              <w:rPr>
                <w:rFonts w:ascii="Cambria" w:hAnsi="Cambria" w:cs="Times New Roman"/>
                <w:b/>
                <w:color w:val="auto"/>
                <w:sz w:val="22"/>
                <w:szCs w:val="22"/>
              </w:rPr>
            </w:pPr>
            <w:r w:rsidRPr="00925AAD">
              <w:rPr>
                <w:rFonts w:ascii="Cambria" w:hAnsi="Cambria" w:cs="Times New Roman"/>
                <w:b/>
                <w:color w:val="auto"/>
                <w:sz w:val="22"/>
                <w:szCs w:val="22"/>
              </w:rPr>
              <w:t>AUC</w:t>
            </w:r>
          </w:p>
        </w:tc>
        <w:tc>
          <w:tcPr>
            <w:tcW w:w="1843" w:type="dxa"/>
          </w:tcPr>
          <w:p w14:paraId="1D092EB3" w14:textId="77777777" w:rsidR="00E14A27" w:rsidRPr="00925AAD" w:rsidRDefault="00E14A27" w:rsidP="0082615A">
            <w:pPr>
              <w:pStyle w:val="Default"/>
              <w:keepNext/>
              <w:jc w:val="center"/>
              <w:rPr>
                <w:rFonts w:ascii="Cambria" w:hAnsi="Cambria" w:cs="Times New Roman"/>
                <w:b/>
                <w:color w:val="auto"/>
                <w:sz w:val="22"/>
                <w:szCs w:val="22"/>
              </w:rPr>
            </w:pPr>
            <w:r w:rsidRPr="00925AAD">
              <w:rPr>
                <w:rFonts w:ascii="Cambria" w:hAnsi="Cambria" w:cs="Times New Roman"/>
                <w:b/>
                <w:color w:val="auto"/>
                <w:sz w:val="22"/>
                <w:szCs w:val="22"/>
              </w:rPr>
              <w:t>C</w:t>
            </w:r>
            <w:r w:rsidRPr="00925AAD">
              <w:rPr>
                <w:rFonts w:ascii="Cambria" w:hAnsi="Cambria" w:cs="Times New Roman"/>
                <w:b/>
                <w:color w:val="auto"/>
                <w:sz w:val="22"/>
                <w:szCs w:val="22"/>
                <w:vertAlign w:val="subscript"/>
              </w:rPr>
              <w:t>max</w:t>
            </w:r>
          </w:p>
        </w:tc>
      </w:tr>
      <w:tr w:rsidR="00E14A27" w:rsidRPr="00210B8A" w14:paraId="081A3576" w14:textId="77777777" w:rsidTr="0082615A">
        <w:trPr>
          <w:trHeight w:val="368"/>
        </w:trPr>
        <w:tc>
          <w:tcPr>
            <w:tcW w:w="2634" w:type="dxa"/>
            <w:shd w:val="clear" w:color="auto" w:fill="auto"/>
          </w:tcPr>
          <w:p w14:paraId="3F454799" w14:textId="77777777" w:rsidR="00E14A27" w:rsidRPr="00210B8A" w:rsidRDefault="00E14A27" w:rsidP="0082615A">
            <w:pPr>
              <w:pStyle w:val="Default"/>
              <w:keepNext/>
              <w:jc w:val="center"/>
              <w:rPr>
                <w:rFonts w:ascii="Cambria" w:hAnsi="Cambria" w:cs="Times New Roman"/>
                <w:color w:val="auto"/>
                <w:sz w:val="22"/>
                <w:szCs w:val="22"/>
                <w:lang w:bidi="hi-IN"/>
              </w:rPr>
            </w:pPr>
            <w:r w:rsidRPr="00210B8A">
              <w:rPr>
                <w:rFonts w:ascii="Cambria" w:hAnsi="Cambria" w:cs="Times New Roman"/>
                <w:color w:val="auto"/>
                <w:sz w:val="22"/>
                <w:szCs w:val="22"/>
                <w:lang w:bidi="hi-IN"/>
              </w:rPr>
              <w:t>Midazolam</w:t>
            </w:r>
          </w:p>
          <w:p w14:paraId="5FD89EDC"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2 </w:t>
            </w:r>
            <w:r w:rsidRPr="00210B8A">
              <w:rPr>
                <w:rFonts w:ascii="Cambria" w:hAnsi="Cambria" w:cs="Times New Roman"/>
                <w:color w:val="auto"/>
                <w:sz w:val="22"/>
                <w:szCs w:val="22"/>
                <w:lang w:bidi="hi-IN"/>
              </w:rPr>
              <w:t>mg single oral dose</w:t>
            </w:r>
          </w:p>
        </w:tc>
        <w:tc>
          <w:tcPr>
            <w:tcW w:w="2301" w:type="dxa"/>
          </w:tcPr>
          <w:p w14:paraId="14533571" w14:textId="77777777" w:rsidR="00E14A27" w:rsidRPr="00210B8A" w:rsidRDefault="00E14A27" w:rsidP="0082615A">
            <w:pPr>
              <w:keepNext/>
              <w:autoSpaceDE w:val="0"/>
              <w:autoSpaceDN w:val="0"/>
              <w:adjustRightInd w:val="0"/>
              <w:jc w:val="center"/>
              <w:rPr>
                <w:rFonts w:ascii="Cambria" w:hAnsi="Cambria"/>
                <w:szCs w:val="22"/>
                <w:lang w:bidi="hi-IN"/>
              </w:rPr>
            </w:pPr>
            <w:r w:rsidRPr="00210B8A">
              <w:rPr>
                <w:rFonts w:ascii="Cambria" w:hAnsi="Cambria"/>
                <w:bCs/>
                <w:szCs w:val="22"/>
              </w:rPr>
              <w:t>TEZ 100</w:t>
            </w:r>
            <w:r w:rsidRPr="00210B8A">
              <w:rPr>
                <w:rFonts w:ascii="Cambria" w:hAnsi="Cambria"/>
                <w:szCs w:val="22"/>
              </w:rPr>
              <w:t> </w:t>
            </w:r>
            <w:r w:rsidRPr="00210B8A">
              <w:rPr>
                <w:rFonts w:ascii="Cambria" w:hAnsi="Cambria"/>
                <w:bCs/>
                <w:szCs w:val="22"/>
              </w:rPr>
              <w:t>mg qd/IVA 150 mg q12h</w:t>
            </w:r>
          </w:p>
        </w:tc>
        <w:tc>
          <w:tcPr>
            <w:tcW w:w="1737" w:type="dxa"/>
            <w:vAlign w:val="center"/>
          </w:tcPr>
          <w:p w14:paraId="5735E985" w14:textId="77777777" w:rsidR="00E14A27" w:rsidRPr="00210B8A" w:rsidRDefault="00E14A27" w:rsidP="0082615A">
            <w:pPr>
              <w:keepNext/>
              <w:autoSpaceDE w:val="0"/>
              <w:autoSpaceDN w:val="0"/>
              <w:adjustRightInd w:val="0"/>
              <w:jc w:val="center"/>
              <w:rPr>
                <w:rFonts w:ascii="Cambria" w:hAnsi="Cambria"/>
                <w:szCs w:val="22"/>
                <w:lang w:bidi="hi-IN"/>
              </w:rPr>
            </w:pPr>
            <w:r w:rsidRPr="00210B8A">
              <w:rPr>
                <w:rFonts w:ascii="Cambria" w:hAnsi="Cambria"/>
                <w:szCs w:val="22"/>
                <w:lang w:bidi="hi-IN"/>
              </w:rPr>
              <w:t>↔ Midazolam</w:t>
            </w:r>
          </w:p>
        </w:tc>
        <w:tc>
          <w:tcPr>
            <w:tcW w:w="1545" w:type="dxa"/>
          </w:tcPr>
          <w:p w14:paraId="4A4C795E"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1.12</w:t>
            </w:r>
            <w:r w:rsidRPr="00210B8A">
              <w:rPr>
                <w:rFonts w:ascii="Cambria" w:hAnsi="Cambria" w:cs="Times New Roman"/>
                <w:bCs/>
                <w:color w:val="auto"/>
                <w:sz w:val="22"/>
                <w:szCs w:val="22"/>
              </w:rPr>
              <w:br/>
              <w:t>(1.01, 1.25)</w:t>
            </w:r>
          </w:p>
        </w:tc>
        <w:tc>
          <w:tcPr>
            <w:tcW w:w="1843" w:type="dxa"/>
          </w:tcPr>
          <w:p w14:paraId="72D8F41F"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1.13</w:t>
            </w:r>
            <w:r w:rsidRPr="00210B8A">
              <w:rPr>
                <w:rFonts w:ascii="Cambria" w:hAnsi="Cambria" w:cs="Times New Roman"/>
                <w:bCs/>
                <w:color w:val="auto"/>
                <w:sz w:val="22"/>
                <w:szCs w:val="22"/>
              </w:rPr>
              <w:br/>
              <w:t>(1.01, 1.25)</w:t>
            </w:r>
          </w:p>
        </w:tc>
      </w:tr>
      <w:tr w:rsidR="00E14A27" w:rsidRPr="00210B8A" w14:paraId="2F2F214F" w14:textId="77777777" w:rsidTr="0082615A">
        <w:trPr>
          <w:trHeight w:val="359"/>
        </w:trPr>
        <w:tc>
          <w:tcPr>
            <w:tcW w:w="2634" w:type="dxa"/>
            <w:shd w:val="clear" w:color="auto" w:fill="auto"/>
            <w:vAlign w:val="center"/>
          </w:tcPr>
          <w:p w14:paraId="7081AE6E" w14:textId="77777777" w:rsidR="00E14A27" w:rsidRPr="00210B8A" w:rsidRDefault="00E14A27" w:rsidP="0082615A">
            <w:pPr>
              <w:pStyle w:val="Default"/>
              <w:keepNext/>
              <w:jc w:val="center"/>
              <w:rPr>
                <w:rFonts w:ascii="Cambria" w:hAnsi="Cambria" w:cs="Times New Roman"/>
                <w:color w:val="auto"/>
                <w:sz w:val="22"/>
                <w:szCs w:val="22"/>
                <w:lang w:bidi="hi-IN"/>
              </w:rPr>
            </w:pPr>
            <w:r w:rsidRPr="00210B8A">
              <w:rPr>
                <w:rFonts w:ascii="Cambria" w:hAnsi="Cambria" w:cs="Times New Roman"/>
                <w:color w:val="auto"/>
                <w:sz w:val="22"/>
                <w:szCs w:val="22"/>
                <w:lang w:bidi="hi-IN"/>
              </w:rPr>
              <w:t>Digoxin</w:t>
            </w:r>
          </w:p>
          <w:p w14:paraId="3A0DA580"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0.5 mg single dose</w:t>
            </w:r>
          </w:p>
        </w:tc>
        <w:tc>
          <w:tcPr>
            <w:tcW w:w="2301" w:type="dxa"/>
            <w:vAlign w:val="center"/>
          </w:tcPr>
          <w:p w14:paraId="3892FCF0"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TEZ 100</w:t>
            </w:r>
            <w:r w:rsidRPr="00210B8A">
              <w:rPr>
                <w:rFonts w:ascii="Cambria" w:hAnsi="Cambria" w:cs="Times New Roman"/>
                <w:color w:val="auto"/>
                <w:sz w:val="22"/>
                <w:szCs w:val="22"/>
              </w:rPr>
              <w:t> </w:t>
            </w:r>
            <w:r w:rsidRPr="00210B8A">
              <w:rPr>
                <w:rFonts w:ascii="Cambria" w:hAnsi="Cambria" w:cs="Times New Roman"/>
                <w:bCs/>
                <w:color w:val="auto"/>
                <w:sz w:val="22"/>
                <w:szCs w:val="22"/>
              </w:rPr>
              <w:t>mg qd/IVA 150 mg q12h</w:t>
            </w:r>
          </w:p>
        </w:tc>
        <w:tc>
          <w:tcPr>
            <w:tcW w:w="1737" w:type="dxa"/>
            <w:vAlign w:val="center"/>
          </w:tcPr>
          <w:p w14:paraId="79FE4A11"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w:t>
            </w:r>
            <w:r w:rsidRPr="00210B8A">
              <w:rPr>
                <w:rFonts w:ascii="Cambria" w:eastAsia="Times New Roman" w:hAnsi="Cambria" w:cs="Times New Roman"/>
                <w:color w:val="auto"/>
                <w:sz w:val="22"/>
                <w:szCs w:val="22"/>
                <w:lang w:eastAsia="en-US" w:bidi="hi-IN"/>
              </w:rPr>
              <w:t xml:space="preserve"> Digoxin</w:t>
            </w:r>
          </w:p>
        </w:tc>
        <w:tc>
          <w:tcPr>
            <w:tcW w:w="1545" w:type="dxa"/>
            <w:vAlign w:val="center"/>
          </w:tcPr>
          <w:p w14:paraId="2B6C67F0"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1.30</w:t>
            </w:r>
            <w:r w:rsidRPr="00210B8A">
              <w:rPr>
                <w:rFonts w:ascii="Cambria" w:hAnsi="Cambria" w:cs="Times New Roman"/>
                <w:bCs/>
                <w:color w:val="auto"/>
                <w:sz w:val="22"/>
                <w:szCs w:val="22"/>
              </w:rPr>
              <w:br/>
              <w:t>(1.17, 1.45)</w:t>
            </w:r>
          </w:p>
        </w:tc>
        <w:tc>
          <w:tcPr>
            <w:tcW w:w="1843" w:type="dxa"/>
            <w:vAlign w:val="center"/>
          </w:tcPr>
          <w:p w14:paraId="78DC1C1B"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1.32</w:t>
            </w:r>
            <w:r w:rsidRPr="00210B8A">
              <w:rPr>
                <w:rFonts w:ascii="Cambria" w:hAnsi="Cambria" w:cs="Times New Roman"/>
                <w:bCs/>
                <w:color w:val="auto"/>
                <w:sz w:val="22"/>
                <w:szCs w:val="22"/>
              </w:rPr>
              <w:br/>
              <w:t>(1.07, 1.64)</w:t>
            </w:r>
          </w:p>
        </w:tc>
      </w:tr>
      <w:tr w:rsidR="00E14A27" w:rsidRPr="00210B8A" w14:paraId="54B3FFC9" w14:textId="77777777" w:rsidTr="0082615A">
        <w:trPr>
          <w:trHeight w:val="719"/>
        </w:trPr>
        <w:tc>
          <w:tcPr>
            <w:tcW w:w="2634" w:type="dxa"/>
            <w:vAlign w:val="center"/>
          </w:tcPr>
          <w:p w14:paraId="3E1DA3F3" w14:textId="77777777" w:rsidR="00E14A27" w:rsidRPr="00210B8A" w:rsidRDefault="00E14A27" w:rsidP="0082615A">
            <w:pPr>
              <w:pStyle w:val="Default"/>
              <w:keepNext/>
              <w:jc w:val="center"/>
              <w:rPr>
                <w:rFonts w:ascii="Cambria" w:hAnsi="Cambria" w:cs="Times New Roman"/>
                <w:bCs/>
                <w:sz w:val="22"/>
                <w:szCs w:val="22"/>
              </w:rPr>
            </w:pPr>
            <w:r w:rsidRPr="00210B8A">
              <w:rPr>
                <w:rFonts w:ascii="Cambria" w:hAnsi="Cambria" w:cs="Times New Roman"/>
                <w:color w:val="auto"/>
                <w:sz w:val="22"/>
                <w:szCs w:val="22"/>
              </w:rPr>
              <w:t>Oral Contraceptive</w:t>
            </w:r>
            <w:r w:rsidRPr="00210B8A">
              <w:rPr>
                <w:rFonts w:ascii="Cambria" w:hAnsi="Cambria" w:cs="Times New Roman"/>
                <w:bCs/>
                <w:sz w:val="22"/>
                <w:szCs w:val="22"/>
              </w:rPr>
              <w:t xml:space="preserve"> </w:t>
            </w:r>
          </w:p>
          <w:p w14:paraId="1227695D"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sz w:val="22"/>
                <w:szCs w:val="22"/>
              </w:rPr>
              <w:t>Ethinyl estradiol 30 µg/Levonorgestrel 150 µg qd</w:t>
            </w:r>
          </w:p>
        </w:tc>
        <w:tc>
          <w:tcPr>
            <w:tcW w:w="2301" w:type="dxa"/>
            <w:vAlign w:val="center"/>
          </w:tcPr>
          <w:p w14:paraId="0D01BE39"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ELX 200 mg qd/TEZ 100</w:t>
            </w:r>
            <w:r w:rsidRPr="00210B8A">
              <w:rPr>
                <w:rFonts w:ascii="Cambria" w:hAnsi="Cambria" w:cs="Times New Roman"/>
                <w:color w:val="auto"/>
                <w:sz w:val="22"/>
                <w:szCs w:val="22"/>
              </w:rPr>
              <w:t> </w:t>
            </w:r>
            <w:r w:rsidRPr="00210B8A">
              <w:rPr>
                <w:rFonts w:ascii="Cambria" w:hAnsi="Cambria" w:cs="Times New Roman"/>
                <w:bCs/>
                <w:color w:val="auto"/>
                <w:sz w:val="22"/>
                <w:szCs w:val="22"/>
              </w:rPr>
              <w:t>mg qd/IVA 150 mg q12h</w:t>
            </w:r>
          </w:p>
        </w:tc>
        <w:tc>
          <w:tcPr>
            <w:tcW w:w="1737" w:type="dxa"/>
          </w:tcPr>
          <w:p w14:paraId="16EB5558" w14:textId="77777777" w:rsidR="00E14A27" w:rsidRPr="00210B8A" w:rsidRDefault="00E14A27" w:rsidP="0082615A">
            <w:pPr>
              <w:pStyle w:val="Default"/>
              <w:keepNext/>
              <w:jc w:val="center"/>
              <w:rPr>
                <w:rFonts w:ascii="Cambria" w:eastAsia="Times New Roman" w:hAnsi="Cambria" w:cs="Times New Roman"/>
                <w:color w:val="auto"/>
                <w:sz w:val="22"/>
                <w:szCs w:val="22"/>
                <w:lang w:eastAsia="en-US" w:bidi="hi-IN"/>
              </w:rPr>
            </w:pPr>
            <w:r w:rsidRPr="00210B8A">
              <w:rPr>
                <w:rFonts w:ascii="Cambria" w:hAnsi="Cambria" w:cs="Times New Roman"/>
                <w:color w:val="auto"/>
                <w:sz w:val="22"/>
                <w:szCs w:val="22"/>
              </w:rPr>
              <w:t>↑</w:t>
            </w:r>
            <w:r w:rsidRPr="00210B8A">
              <w:rPr>
                <w:rFonts w:ascii="Cambria" w:eastAsia="Times New Roman" w:hAnsi="Cambria" w:cs="Times New Roman"/>
                <w:color w:val="auto"/>
                <w:sz w:val="22"/>
                <w:szCs w:val="22"/>
                <w:lang w:eastAsia="en-US" w:bidi="hi-IN"/>
              </w:rPr>
              <w:t xml:space="preserve"> Ethinyl estradiol*</w:t>
            </w:r>
          </w:p>
          <w:p w14:paraId="5D35D321" w14:textId="77777777" w:rsidR="00E14A27" w:rsidRPr="00210B8A" w:rsidRDefault="00E14A27" w:rsidP="0082615A">
            <w:pPr>
              <w:pStyle w:val="Default"/>
              <w:keepNext/>
              <w:jc w:val="center"/>
              <w:rPr>
                <w:rFonts w:ascii="Cambria" w:eastAsia="Times New Roman" w:hAnsi="Cambria" w:cs="Times New Roman"/>
                <w:color w:val="auto"/>
                <w:sz w:val="22"/>
                <w:szCs w:val="22"/>
                <w:lang w:eastAsia="en-US" w:bidi="hi-IN"/>
              </w:rPr>
            </w:pPr>
          </w:p>
          <w:p w14:paraId="74F181BC"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 Levonorgestrel*</w:t>
            </w:r>
          </w:p>
        </w:tc>
        <w:tc>
          <w:tcPr>
            <w:tcW w:w="1545" w:type="dxa"/>
            <w:vAlign w:val="center"/>
          </w:tcPr>
          <w:p w14:paraId="700B06F3" w14:textId="77777777" w:rsidR="00E14A27" w:rsidRPr="00210B8A" w:rsidRDefault="00E14A27" w:rsidP="0082615A">
            <w:pPr>
              <w:pStyle w:val="Default"/>
              <w:keepNext/>
              <w:jc w:val="center"/>
              <w:rPr>
                <w:rFonts w:ascii="Cambria" w:hAnsi="Cambria" w:cs="Times New Roman"/>
                <w:bCs/>
                <w:sz w:val="22"/>
                <w:szCs w:val="22"/>
              </w:rPr>
            </w:pPr>
            <w:r w:rsidRPr="00210B8A">
              <w:rPr>
                <w:rFonts w:ascii="Cambria" w:hAnsi="Cambria" w:cs="Times New Roman"/>
                <w:bCs/>
                <w:sz w:val="22"/>
                <w:szCs w:val="22"/>
              </w:rPr>
              <w:t xml:space="preserve">1.33 </w:t>
            </w:r>
          </w:p>
          <w:p w14:paraId="721689A4" w14:textId="77777777" w:rsidR="00E14A27" w:rsidRPr="00210B8A" w:rsidRDefault="00E14A27" w:rsidP="0082615A">
            <w:pPr>
              <w:pStyle w:val="Default"/>
              <w:keepNext/>
              <w:jc w:val="center"/>
              <w:rPr>
                <w:rFonts w:ascii="Cambria" w:hAnsi="Cambria" w:cs="Times New Roman"/>
                <w:bCs/>
                <w:sz w:val="22"/>
                <w:szCs w:val="22"/>
              </w:rPr>
            </w:pPr>
            <w:r w:rsidRPr="00210B8A">
              <w:rPr>
                <w:rFonts w:ascii="Cambria" w:hAnsi="Cambria" w:cs="Times New Roman"/>
                <w:bCs/>
                <w:sz w:val="22"/>
                <w:szCs w:val="22"/>
              </w:rPr>
              <w:t>(1.20, 1.49)</w:t>
            </w:r>
          </w:p>
          <w:p w14:paraId="65AB5209" w14:textId="77777777" w:rsidR="00E14A27" w:rsidRPr="00210B8A" w:rsidRDefault="00E14A27" w:rsidP="0082615A">
            <w:pPr>
              <w:pStyle w:val="Default"/>
              <w:keepNext/>
              <w:jc w:val="center"/>
              <w:rPr>
                <w:rFonts w:ascii="Cambria" w:hAnsi="Cambria" w:cs="Times New Roman"/>
                <w:bCs/>
                <w:sz w:val="22"/>
                <w:szCs w:val="22"/>
              </w:rPr>
            </w:pPr>
            <w:r w:rsidRPr="00210B8A">
              <w:rPr>
                <w:rFonts w:ascii="Cambria" w:hAnsi="Cambria" w:cs="Times New Roman"/>
                <w:bCs/>
                <w:sz w:val="22"/>
                <w:szCs w:val="22"/>
              </w:rPr>
              <w:t xml:space="preserve">1.23 </w:t>
            </w:r>
          </w:p>
          <w:p w14:paraId="78770E0A"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sz w:val="22"/>
                <w:szCs w:val="22"/>
              </w:rPr>
              <w:t>(1.10, 1.37)</w:t>
            </w:r>
          </w:p>
        </w:tc>
        <w:tc>
          <w:tcPr>
            <w:tcW w:w="1843" w:type="dxa"/>
            <w:vAlign w:val="center"/>
          </w:tcPr>
          <w:p w14:paraId="0A628F9F" w14:textId="77777777" w:rsidR="00E14A27" w:rsidRPr="00210B8A" w:rsidRDefault="00E14A27" w:rsidP="0082615A">
            <w:pPr>
              <w:pStyle w:val="Default"/>
              <w:keepNext/>
              <w:jc w:val="center"/>
              <w:rPr>
                <w:rFonts w:ascii="Cambria" w:hAnsi="Cambria" w:cs="Times New Roman"/>
                <w:sz w:val="22"/>
                <w:szCs w:val="22"/>
              </w:rPr>
            </w:pPr>
            <w:r w:rsidRPr="00210B8A">
              <w:rPr>
                <w:rFonts w:ascii="Cambria" w:hAnsi="Cambria" w:cs="Times New Roman"/>
                <w:sz w:val="22"/>
                <w:szCs w:val="22"/>
              </w:rPr>
              <w:t xml:space="preserve">1.26 </w:t>
            </w:r>
          </w:p>
          <w:p w14:paraId="022C6F27" w14:textId="77777777" w:rsidR="00E14A27" w:rsidRPr="00210B8A" w:rsidRDefault="00E14A27" w:rsidP="0082615A">
            <w:pPr>
              <w:pStyle w:val="Default"/>
              <w:keepNext/>
              <w:jc w:val="center"/>
              <w:rPr>
                <w:rFonts w:ascii="Cambria" w:hAnsi="Cambria" w:cs="Times New Roman"/>
                <w:sz w:val="22"/>
                <w:szCs w:val="22"/>
              </w:rPr>
            </w:pPr>
            <w:r w:rsidRPr="00210B8A">
              <w:rPr>
                <w:rFonts w:ascii="Cambria" w:hAnsi="Cambria" w:cs="Times New Roman"/>
                <w:sz w:val="22"/>
                <w:szCs w:val="22"/>
              </w:rPr>
              <w:t>(1.14, 1.39)</w:t>
            </w:r>
          </w:p>
          <w:p w14:paraId="7DB0DAF8" w14:textId="77777777" w:rsidR="00E14A27" w:rsidRPr="00210B8A" w:rsidRDefault="00E14A27" w:rsidP="0082615A">
            <w:pPr>
              <w:pStyle w:val="Default"/>
              <w:keepNext/>
              <w:jc w:val="center"/>
              <w:rPr>
                <w:rFonts w:ascii="Cambria" w:hAnsi="Cambria" w:cs="Times New Roman"/>
                <w:sz w:val="22"/>
                <w:szCs w:val="22"/>
              </w:rPr>
            </w:pPr>
            <w:r w:rsidRPr="00210B8A">
              <w:rPr>
                <w:rFonts w:ascii="Cambria" w:hAnsi="Cambria" w:cs="Times New Roman"/>
                <w:sz w:val="22"/>
                <w:szCs w:val="22"/>
              </w:rPr>
              <w:t>1.10</w:t>
            </w:r>
          </w:p>
          <w:p w14:paraId="04CD57F5"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sz w:val="22"/>
                <w:szCs w:val="22"/>
              </w:rPr>
              <w:t xml:space="preserve">(0.985, 1.23) </w:t>
            </w:r>
          </w:p>
        </w:tc>
      </w:tr>
      <w:tr w:rsidR="00E14A27" w:rsidRPr="00210B8A" w14:paraId="5693F155" w14:textId="77777777" w:rsidTr="0082615A">
        <w:trPr>
          <w:trHeight w:val="251"/>
        </w:trPr>
        <w:tc>
          <w:tcPr>
            <w:tcW w:w="2634" w:type="dxa"/>
            <w:vAlign w:val="center"/>
          </w:tcPr>
          <w:p w14:paraId="18689B30"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Rosiglitazone</w:t>
            </w:r>
          </w:p>
          <w:p w14:paraId="001639C3"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4 mg single oral dose</w:t>
            </w:r>
          </w:p>
        </w:tc>
        <w:tc>
          <w:tcPr>
            <w:tcW w:w="2301" w:type="dxa"/>
            <w:vAlign w:val="center"/>
          </w:tcPr>
          <w:p w14:paraId="6FB29F97"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IVA 150 mg q12h</w:t>
            </w:r>
          </w:p>
        </w:tc>
        <w:tc>
          <w:tcPr>
            <w:tcW w:w="1737" w:type="dxa"/>
            <w:vAlign w:val="center"/>
          </w:tcPr>
          <w:p w14:paraId="32A15513" w14:textId="77777777" w:rsidR="00E14A27" w:rsidRPr="00210B8A" w:rsidRDefault="00E14A27" w:rsidP="0082615A">
            <w:pPr>
              <w:pStyle w:val="Default"/>
              <w:keepNext/>
              <w:jc w:val="center"/>
              <w:rPr>
                <w:rFonts w:ascii="Cambria" w:hAnsi="Cambria" w:cs="Times New Roman"/>
                <w:color w:val="auto"/>
                <w:sz w:val="22"/>
                <w:szCs w:val="22"/>
                <w:lang w:bidi="hi-IN"/>
              </w:rPr>
            </w:pPr>
            <w:r w:rsidRPr="00210B8A">
              <w:rPr>
                <w:rFonts w:ascii="Cambria" w:hAnsi="Cambria" w:cs="Times New Roman"/>
                <w:color w:val="auto"/>
                <w:sz w:val="22"/>
                <w:szCs w:val="22"/>
                <w:lang w:bidi="hi-IN"/>
              </w:rPr>
              <w:t>↔</w:t>
            </w:r>
            <w:r w:rsidRPr="00210B8A">
              <w:rPr>
                <w:rFonts w:ascii="Cambria" w:hAnsi="Cambria" w:cs="Times New Roman"/>
                <w:color w:val="auto"/>
                <w:sz w:val="22"/>
                <w:szCs w:val="22"/>
              </w:rPr>
              <w:t xml:space="preserve"> Rosiglitazone</w:t>
            </w:r>
          </w:p>
        </w:tc>
        <w:tc>
          <w:tcPr>
            <w:tcW w:w="1545" w:type="dxa"/>
          </w:tcPr>
          <w:p w14:paraId="72498CB2"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0.975</w:t>
            </w:r>
            <w:r w:rsidRPr="00210B8A">
              <w:rPr>
                <w:rFonts w:ascii="Cambria" w:hAnsi="Cambria" w:cs="Times New Roman"/>
                <w:color w:val="auto"/>
                <w:sz w:val="22"/>
                <w:szCs w:val="22"/>
              </w:rPr>
              <w:br/>
              <w:t>(0.897, 1.06)</w:t>
            </w:r>
          </w:p>
        </w:tc>
        <w:tc>
          <w:tcPr>
            <w:tcW w:w="1843" w:type="dxa"/>
          </w:tcPr>
          <w:p w14:paraId="0AA77DDB"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0.928</w:t>
            </w:r>
            <w:r w:rsidRPr="00210B8A">
              <w:rPr>
                <w:rFonts w:ascii="Cambria" w:hAnsi="Cambria" w:cs="Times New Roman"/>
                <w:color w:val="auto"/>
                <w:sz w:val="22"/>
                <w:szCs w:val="22"/>
              </w:rPr>
              <w:br/>
              <w:t>(0.858, 1.00)</w:t>
            </w:r>
          </w:p>
        </w:tc>
      </w:tr>
      <w:tr w:rsidR="00E14A27" w:rsidRPr="00210B8A" w14:paraId="76B933C2" w14:textId="77777777" w:rsidTr="0082615A">
        <w:trPr>
          <w:trHeight w:val="314"/>
        </w:trPr>
        <w:tc>
          <w:tcPr>
            <w:tcW w:w="2634" w:type="dxa"/>
          </w:tcPr>
          <w:p w14:paraId="049E1B41"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Desipramine</w:t>
            </w:r>
          </w:p>
          <w:p w14:paraId="40884A21"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50 mg single dose</w:t>
            </w:r>
          </w:p>
        </w:tc>
        <w:tc>
          <w:tcPr>
            <w:tcW w:w="2301" w:type="dxa"/>
            <w:vAlign w:val="center"/>
          </w:tcPr>
          <w:p w14:paraId="4790B2B3"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bCs/>
                <w:color w:val="auto"/>
                <w:sz w:val="22"/>
                <w:szCs w:val="22"/>
              </w:rPr>
              <w:t>IVA 150 mg q12h</w:t>
            </w:r>
          </w:p>
        </w:tc>
        <w:tc>
          <w:tcPr>
            <w:tcW w:w="1737" w:type="dxa"/>
            <w:vAlign w:val="center"/>
          </w:tcPr>
          <w:p w14:paraId="15244749" w14:textId="77777777" w:rsidR="00E14A27" w:rsidRPr="00210B8A" w:rsidRDefault="00E14A27" w:rsidP="0082615A">
            <w:pPr>
              <w:pStyle w:val="Default"/>
              <w:keepNext/>
              <w:jc w:val="center"/>
              <w:rPr>
                <w:rFonts w:ascii="Cambria" w:hAnsi="Cambria" w:cs="Times New Roman"/>
                <w:color w:val="auto"/>
                <w:sz w:val="22"/>
                <w:szCs w:val="22"/>
                <w:lang w:bidi="hi-IN"/>
              </w:rPr>
            </w:pPr>
            <w:r w:rsidRPr="00210B8A">
              <w:rPr>
                <w:rFonts w:ascii="Cambria" w:hAnsi="Cambria" w:cs="Times New Roman"/>
                <w:color w:val="auto"/>
                <w:sz w:val="22"/>
                <w:szCs w:val="22"/>
                <w:lang w:bidi="hi-IN"/>
              </w:rPr>
              <w:t>↔</w:t>
            </w:r>
            <w:r w:rsidRPr="00210B8A">
              <w:rPr>
                <w:rFonts w:ascii="Cambria" w:hAnsi="Cambria" w:cs="Times New Roman"/>
                <w:color w:val="auto"/>
                <w:sz w:val="22"/>
                <w:szCs w:val="22"/>
              </w:rPr>
              <w:t xml:space="preserve"> Desipramine</w:t>
            </w:r>
          </w:p>
        </w:tc>
        <w:tc>
          <w:tcPr>
            <w:tcW w:w="1545" w:type="dxa"/>
          </w:tcPr>
          <w:p w14:paraId="2BCF6F39"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1.04</w:t>
            </w:r>
            <w:r w:rsidRPr="00210B8A">
              <w:rPr>
                <w:rFonts w:ascii="Cambria" w:hAnsi="Cambria" w:cs="Times New Roman"/>
                <w:color w:val="auto"/>
                <w:sz w:val="22"/>
                <w:szCs w:val="22"/>
              </w:rPr>
              <w:br/>
              <w:t>(0.985, 1.10)</w:t>
            </w:r>
          </w:p>
        </w:tc>
        <w:tc>
          <w:tcPr>
            <w:tcW w:w="1843" w:type="dxa"/>
          </w:tcPr>
          <w:p w14:paraId="4FEA9DEC" w14:textId="77777777" w:rsidR="00E14A27" w:rsidRPr="00210B8A" w:rsidRDefault="00E14A27" w:rsidP="0082615A">
            <w:pPr>
              <w:pStyle w:val="Default"/>
              <w:keepNext/>
              <w:jc w:val="center"/>
              <w:rPr>
                <w:rFonts w:ascii="Cambria" w:hAnsi="Cambria" w:cs="Times New Roman"/>
                <w:color w:val="auto"/>
                <w:sz w:val="22"/>
                <w:szCs w:val="22"/>
              </w:rPr>
            </w:pPr>
            <w:r w:rsidRPr="00210B8A">
              <w:rPr>
                <w:rFonts w:ascii="Cambria" w:hAnsi="Cambria" w:cs="Times New Roman"/>
                <w:color w:val="auto"/>
                <w:sz w:val="22"/>
                <w:szCs w:val="22"/>
              </w:rPr>
              <w:t>1.00</w:t>
            </w:r>
            <w:r w:rsidRPr="00210B8A">
              <w:rPr>
                <w:rFonts w:ascii="Cambria" w:hAnsi="Cambria" w:cs="Times New Roman"/>
                <w:color w:val="auto"/>
                <w:sz w:val="22"/>
                <w:szCs w:val="22"/>
              </w:rPr>
              <w:br/>
              <w:t>(0.939; 1.07)</w:t>
            </w:r>
          </w:p>
        </w:tc>
      </w:tr>
      <w:tr w:rsidR="00E14A27" w:rsidRPr="00210B8A" w14:paraId="4B70A3AB" w14:textId="77777777" w:rsidTr="0082615A">
        <w:trPr>
          <w:trHeight w:val="241"/>
        </w:trPr>
        <w:tc>
          <w:tcPr>
            <w:tcW w:w="10060" w:type="dxa"/>
            <w:gridSpan w:val="5"/>
            <w:vAlign w:val="center"/>
          </w:tcPr>
          <w:p w14:paraId="3A038F31" w14:textId="77777777" w:rsidR="00E14A27" w:rsidRPr="00210B8A" w:rsidRDefault="00E14A27" w:rsidP="0082615A">
            <w:pPr>
              <w:pStyle w:val="Default"/>
              <w:keepNext/>
              <w:rPr>
                <w:rFonts w:ascii="Cambria" w:hAnsi="Cambria" w:cs="Times New Roman"/>
                <w:color w:val="auto"/>
                <w:sz w:val="22"/>
                <w:szCs w:val="22"/>
                <w:lang w:bidi="hi-IN"/>
              </w:rPr>
            </w:pPr>
            <w:r w:rsidRPr="00210B8A">
              <w:rPr>
                <w:rFonts w:ascii="Cambria" w:hAnsi="Cambria" w:cs="Times New Roman"/>
                <w:color w:val="auto"/>
                <w:sz w:val="22"/>
                <w:szCs w:val="22"/>
                <w:lang w:bidi="hi-IN"/>
              </w:rPr>
              <w:t xml:space="preserve">↑ = increase, ↓ = decrease, ↔ = no change. CI = Confidence interval; ELX= elexacaftor; </w:t>
            </w:r>
            <w:r w:rsidRPr="00210B8A">
              <w:rPr>
                <w:rFonts w:ascii="Cambria" w:hAnsi="Cambria" w:cs="Times New Roman"/>
                <w:color w:val="auto"/>
                <w:sz w:val="22"/>
                <w:szCs w:val="22"/>
              </w:rPr>
              <w:t xml:space="preserve">TEZ = tezacaftor; IVA = ivacaftor; </w:t>
            </w:r>
            <w:r w:rsidRPr="00210B8A">
              <w:rPr>
                <w:rFonts w:ascii="Cambria" w:hAnsi="Cambria" w:cs="Times New Roman"/>
                <w:color w:val="auto"/>
                <w:sz w:val="22"/>
                <w:szCs w:val="22"/>
                <w:lang w:bidi="hi-IN"/>
              </w:rPr>
              <w:t>PK = Pharmacokinetics</w:t>
            </w:r>
          </w:p>
          <w:p w14:paraId="35990C10" w14:textId="77777777" w:rsidR="00E14A27" w:rsidRPr="00210B8A" w:rsidRDefault="00E14A27" w:rsidP="0082615A">
            <w:pPr>
              <w:pStyle w:val="Default"/>
              <w:keepNext/>
              <w:rPr>
                <w:rFonts w:ascii="Cambria" w:hAnsi="Cambria" w:cs="Times New Roman"/>
                <w:color w:val="auto"/>
                <w:sz w:val="22"/>
                <w:szCs w:val="22"/>
              </w:rPr>
            </w:pPr>
            <w:r w:rsidRPr="00210B8A">
              <w:rPr>
                <w:rFonts w:ascii="Cambria" w:hAnsi="Cambria" w:cs="Times New Roman"/>
                <w:color w:val="auto"/>
                <w:sz w:val="22"/>
                <w:szCs w:val="22"/>
                <w:lang w:bidi="hi-IN"/>
              </w:rPr>
              <w:t xml:space="preserve">* Effect not clinically significant </w:t>
            </w:r>
            <w:r w:rsidRPr="00E36BF4">
              <w:rPr>
                <w:rFonts w:ascii="Cambria" w:hAnsi="Cambria"/>
                <w:sz w:val="22"/>
                <w:szCs w:val="20"/>
                <w:bdr w:val="none" w:sz="0" w:space="0" w:color="auto" w:frame="1"/>
              </w:rPr>
              <w:t>(see section 4.5</w:t>
            </w:r>
            <w:r w:rsidRPr="00E36BF4">
              <w:rPr>
                <w:rFonts w:ascii="Cambria" w:eastAsia="TimesNewRoman" w:hAnsi="Cambria"/>
                <w:sz w:val="22"/>
                <w:szCs w:val="20"/>
              </w:rPr>
              <w:t xml:space="preserve"> INTERACTIONS WITH OTHER MEDICINES AND OTHER FORMS OF INTERACTIONS</w:t>
            </w:r>
            <w:r w:rsidRPr="00E36BF4">
              <w:rPr>
                <w:rFonts w:ascii="Cambria" w:hAnsi="Cambria"/>
                <w:sz w:val="22"/>
                <w:szCs w:val="20"/>
                <w:bdr w:val="none" w:sz="0" w:space="0" w:color="auto" w:frame="1"/>
              </w:rPr>
              <w:t>)</w:t>
            </w:r>
            <w:r>
              <w:rPr>
                <w:rFonts w:ascii="Cambria" w:hAnsi="Cambria" w:cs="Times New Roman"/>
                <w:color w:val="auto"/>
                <w:sz w:val="20"/>
                <w:szCs w:val="20"/>
              </w:rPr>
              <w:t>.</w:t>
            </w:r>
          </w:p>
        </w:tc>
      </w:tr>
    </w:tbl>
    <w:p w14:paraId="00E2F4D5" w14:textId="097BD852" w:rsidR="00DE08E0" w:rsidRPr="00DE08E0" w:rsidRDefault="00DE08E0" w:rsidP="00EC4693">
      <w:pPr>
        <w:tabs>
          <w:tab w:val="clear" w:pos="567"/>
        </w:tabs>
        <w:rPr>
          <w:rFonts w:ascii="Cambria" w:hAnsi="Cambria"/>
        </w:rPr>
      </w:pPr>
    </w:p>
    <w:p w14:paraId="1DD7485C" w14:textId="75B4B79A" w:rsidR="00DE08E0" w:rsidRPr="00DC1F68" w:rsidRDefault="00DE08E0" w:rsidP="00DE08E0">
      <w:pPr>
        <w:pStyle w:val="Heading2"/>
        <w:rPr>
          <w:rFonts w:ascii="Cambria" w:hAnsi="Cambria"/>
          <w:sz w:val="24"/>
          <w:szCs w:val="24"/>
        </w:rPr>
      </w:pPr>
      <w:bookmarkStart w:id="19" w:name="_Toc485781374"/>
      <w:r w:rsidRPr="00DC1F68">
        <w:rPr>
          <w:rFonts w:ascii="Cambria" w:hAnsi="Cambria"/>
          <w:sz w:val="24"/>
          <w:szCs w:val="24"/>
        </w:rPr>
        <w:t>F</w:t>
      </w:r>
      <w:r w:rsidR="00A34605" w:rsidRPr="00DC1F68">
        <w:rPr>
          <w:rFonts w:ascii="Cambria" w:hAnsi="Cambria"/>
          <w:sz w:val="24"/>
          <w:szCs w:val="24"/>
        </w:rPr>
        <w:t>ERTILITY, PREGNANCY AND LACTATION</w:t>
      </w:r>
      <w:bookmarkEnd w:id="19"/>
    </w:p>
    <w:p w14:paraId="66FFB5BB" w14:textId="77777777" w:rsidR="00DE08E0" w:rsidRPr="00DC1F68" w:rsidRDefault="00DE08E0" w:rsidP="00DE08E0">
      <w:pPr>
        <w:rPr>
          <w:rFonts w:ascii="Cambria" w:hAnsi="Cambria"/>
        </w:rPr>
      </w:pPr>
    </w:p>
    <w:p w14:paraId="7AEBC5AC" w14:textId="30F49452" w:rsidR="00DE08E0" w:rsidRPr="00DC1F68" w:rsidRDefault="001C78B8" w:rsidP="00DE08E0">
      <w:pPr>
        <w:rPr>
          <w:rFonts w:ascii="Cambria" w:hAnsi="Cambria"/>
          <w:b/>
        </w:rPr>
      </w:pPr>
      <w:r w:rsidRPr="00DC1F68">
        <w:rPr>
          <w:rFonts w:ascii="Cambria" w:hAnsi="Cambria"/>
          <w:b/>
        </w:rPr>
        <w:t>Effects on f</w:t>
      </w:r>
      <w:r w:rsidR="00DE08E0" w:rsidRPr="00DC1F68">
        <w:rPr>
          <w:rFonts w:ascii="Cambria" w:hAnsi="Cambria"/>
          <w:b/>
        </w:rPr>
        <w:t>ertility</w:t>
      </w:r>
    </w:p>
    <w:p w14:paraId="358F1F70" w14:textId="1B5759AA" w:rsidR="006B6162" w:rsidRDefault="001F1F76" w:rsidP="00DE08E0">
      <w:pPr>
        <w:rPr>
          <w:rFonts w:ascii="Cambria" w:hAnsi="Cambria"/>
          <w:szCs w:val="22"/>
        </w:rPr>
      </w:pPr>
      <w:r w:rsidRPr="00DC1F68">
        <w:rPr>
          <w:rFonts w:ascii="Cambria" w:hAnsi="Cambria"/>
          <w:szCs w:val="22"/>
        </w:rPr>
        <w:t xml:space="preserve">There are no data available on the effect of elexacaftor, tezacaftor, and ivacaftor on fertility in humans. </w:t>
      </w:r>
    </w:p>
    <w:p w14:paraId="01178EAD" w14:textId="77777777" w:rsidR="00814262" w:rsidRDefault="00814262" w:rsidP="00DE08E0">
      <w:pPr>
        <w:rPr>
          <w:rFonts w:ascii="Cambria" w:hAnsi="Cambria"/>
        </w:rPr>
      </w:pPr>
    </w:p>
    <w:p w14:paraId="2B779A37" w14:textId="4B446EB1" w:rsidR="004F34FF" w:rsidRDefault="004F34FF" w:rsidP="004F34FF">
      <w:pPr>
        <w:rPr>
          <w:rFonts w:ascii="Cambria" w:hAnsi="Cambria"/>
        </w:rPr>
      </w:pPr>
      <w:r>
        <w:rPr>
          <w:rFonts w:ascii="Cambria" w:hAnsi="Cambria"/>
        </w:rPr>
        <w:t>Elexacaftor impaired male and female fertility in rats at oral doses of 75 mg/kg/day and 35 mg/kg/day in the respective sexes (</w:t>
      </w:r>
      <w:bookmarkStart w:id="20" w:name="_Hlk50625023"/>
      <w:r>
        <w:rPr>
          <w:rFonts w:ascii="Cambria" w:hAnsi="Cambria"/>
        </w:rPr>
        <w:t xml:space="preserve">yielding systemic exposure in animals approximately 6 and 7 times greater, </w:t>
      </w:r>
      <w:bookmarkStart w:id="21" w:name="_Hlk50627508"/>
      <w:r>
        <w:rPr>
          <w:rFonts w:ascii="Cambria" w:hAnsi="Cambria"/>
        </w:rPr>
        <w:t>respectively, than that in patients at the MRHD based on summed AUCs of the  elexacaftor component of T</w:t>
      </w:r>
      <w:r w:rsidR="002A3388">
        <w:rPr>
          <w:rFonts w:ascii="Cambria" w:hAnsi="Cambria"/>
        </w:rPr>
        <w:t>RIKAFTA</w:t>
      </w:r>
      <w:r>
        <w:rPr>
          <w:rFonts w:ascii="Cambria" w:hAnsi="Cambria"/>
        </w:rPr>
        <w:t xml:space="preserve"> </w:t>
      </w:r>
      <w:bookmarkEnd w:id="21"/>
      <w:r>
        <w:rPr>
          <w:rFonts w:ascii="Cambria" w:hAnsi="Cambria"/>
        </w:rPr>
        <w:t>and its major active metabolite, M23-ELX</w:t>
      </w:r>
      <w:bookmarkEnd w:id="20"/>
      <w:r>
        <w:rPr>
          <w:rFonts w:ascii="Cambria" w:hAnsi="Cambria"/>
        </w:rPr>
        <w:t>).</w:t>
      </w:r>
    </w:p>
    <w:p w14:paraId="2663F285" w14:textId="77777777" w:rsidR="004F34FF" w:rsidRDefault="004F34FF" w:rsidP="004F34FF">
      <w:pPr>
        <w:rPr>
          <w:rFonts w:ascii="Cambria" w:hAnsi="Cambria"/>
        </w:rPr>
      </w:pPr>
    </w:p>
    <w:p w14:paraId="635B972E" w14:textId="64DCC3D5" w:rsidR="004F34FF" w:rsidRDefault="004F34FF" w:rsidP="004F34FF">
      <w:pPr>
        <w:rPr>
          <w:rFonts w:ascii="Cambria" w:hAnsi="Cambria"/>
        </w:rPr>
      </w:pPr>
      <w:r>
        <w:rPr>
          <w:rFonts w:ascii="Cambria" w:hAnsi="Cambria"/>
        </w:rPr>
        <w:t>Tezacaftor did not affect fertility or reproductive performance indices in male and female rats at oral doses up to 100 mg/kg/day (</w:t>
      </w:r>
      <w:bookmarkStart w:id="22" w:name="_Hlk50628019"/>
      <w:r>
        <w:rPr>
          <w:rFonts w:ascii="Cambria" w:hAnsi="Cambria"/>
        </w:rPr>
        <w:t>yielding systemic exposure in animals approximately 3 times greater than that in patients at the MRHD based on summed AUCs of the tezacaftor component of T</w:t>
      </w:r>
      <w:r w:rsidR="002A3388">
        <w:rPr>
          <w:rFonts w:ascii="Cambria" w:hAnsi="Cambria"/>
        </w:rPr>
        <w:t>RIKAFTA</w:t>
      </w:r>
      <w:r>
        <w:rPr>
          <w:rFonts w:ascii="Cambria" w:hAnsi="Cambria"/>
        </w:rPr>
        <w:t xml:space="preserve"> and its pharmacologically active metabolite, M1-TEZ)</w:t>
      </w:r>
      <w:bookmarkEnd w:id="22"/>
      <w:r>
        <w:rPr>
          <w:rFonts w:ascii="Cambria" w:hAnsi="Cambria"/>
        </w:rPr>
        <w:t>.</w:t>
      </w:r>
    </w:p>
    <w:p w14:paraId="4BC3A8C3" w14:textId="77777777" w:rsidR="004F34FF" w:rsidRDefault="004F34FF" w:rsidP="004F34FF">
      <w:pPr>
        <w:rPr>
          <w:rFonts w:ascii="Cambria" w:hAnsi="Cambria"/>
        </w:rPr>
      </w:pPr>
    </w:p>
    <w:p w14:paraId="5384DF4E" w14:textId="1FDCF90A" w:rsidR="004F34FF" w:rsidRDefault="004F34FF" w:rsidP="004F34FF">
      <w:pPr>
        <w:rPr>
          <w:rFonts w:ascii="Cambria" w:hAnsi="Cambria"/>
        </w:rPr>
      </w:pPr>
      <w:r>
        <w:rPr>
          <w:rFonts w:ascii="Cambria" w:hAnsi="Cambria"/>
        </w:rPr>
        <w:t xml:space="preserve">Ivacaftor impaired fertility and reproductive performance indices in male and female rats at an oral dose of 200 mg/kg/day (yielding systemic exposure in animals approximately </w:t>
      </w:r>
      <w:r w:rsidR="00FC4441">
        <w:rPr>
          <w:rFonts w:ascii="Cambria" w:hAnsi="Cambria"/>
        </w:rPr>
        <w:t>10</w:t>
      </w:r>
      <w:r>
        <w:rPr>
          <w:rFonts w:ascii="Cambria" w:hAnsi="Cambria"/>
        </w:rPr>
        <w:t xml:space="preserve"> and 5 times greater, respectively, than that in patients at the MRHD based on summed AUCs </w:t>
      </w:r>
      <w:r w:rsidRPr="00432ED2">
        <w:rPr>
          <w:rFonts w:ascii="Cambria" w:hAnsi="Cambria"/>
        </w:rPr>
        <w:t>of the ivacaftor component of T</w:t>
      </w:r>
      <w:r w:rsidR="002A3388">
        <w:rPr>
          <w:rFonts w:ascii="Cambria" w:hAnsi="Cambria"/>
        </w:rPr>
        <w:t>RIKAFTA</w:t>
      </w:r>
      <w:r w:rsidRPr="00432ED2">
        <w:rPr>
          <w:rFonts w:ascii="Cambria" w:hAnsi="Cambria"/>
        </w:rPr>
        <w:t xml:space="preserve"> and its </w:t>
      </w:r>
      <w:r w:rsidR="00C427C5">
        <w:rPr>
          <w:rFonts w:ascii="Cambria" w:hAnsi="Cambria"/>
        </w:rPr>
        <w:t xml:space="preserve">major </w:t>
      </w:r>
      <w:r w:rsidRPr="00432ED2">
        <w:rPr>
          <w:rFonts w:ascii="Cambria" w:hAnsi="Cambria"/>
        </w:rPr>
        <w:t>metabolites</w:t>
      </w:r>
      <w:r>
        <w:rPr>
          <w:rFonts w:ascii="Cambria" w:hAnsi="Cambria"/>
        </w:rPr>
        <w:t xml:space="preserve">) when dams were dosed prior to and during early pregnancy. The pregnancy rate was decreased, oestrus cycling was disrupted, and pre-implantation loss was increased. These effects occurred in the presence of significant maternal toxicity. No effects on male or female fertility and reproductive performance indices were observed at ≤100 mg/kg/day (yielding systemic exposure in animals approximately 5 and </w:t>
      </w:r>
      <w:r w:rsidR="00694258">
        <w:rPr>
          <w:rFonts w:ascii="Cambria" w:hAnsi="Cambria"/>
        </w:rPr>
        <w:t>3</w:t>
      </w:r>
      <w:r>
        <w:rPr>
          <w:rFonts w:ascii="Cambria" w:hAnsi="Cambria"/>
        </w:rPr>
        <w:t xml:space="preserve"> times greater, respectively, </w:t>
      </w:r>
      <w:r w:rsidRPr="00432ED2">
        <w:rPr>
          <w:rFonts w:ascii="Cambria" w:hAnsi="Cambria"/>
        </w:rPr>
        <w:t xml:space="preserve">than that in patients at the </w:t>
      </w:r>
      <w:r>
        <w:rPr>
          <w:rFonts w:ascii="Cambria" w:hAnsi="Cambria"/>
        </w:rPr>
        <w:t xml:space="preserve">MRHD based on the summed AUCs </w:t>
      </w:r>
      <w:bookmarkStart w:id="23" w:name="_Hlk50626637"/>
      <w:r>
        <w:rPr>
          <w:rFonts w:ascii="Cambria" w:hAnsi="Cambria"/>
        </w:rPr>
        <w:t>of the ivacaftor component of T</w:t>
      </w:r>
      <w:r w:rsidR="002A3388">
        <w:rPr>
          <w:rFonts w:ascii="Cambria" w:hAnsi="Cambria"/>
        </w:rPr>
        <w:t>RIKAFTA</w:t>
      </w:r>
      <w:r>
        <w:rPr>
          <w:rFonts w:ascii="Cambria" w:hAnsi="Cambria"/>
        </w:rPr>
        <w:t xml:space="preserve"> and its</w:t>
      </w:r>
      <w:r w:rsidR="00706591">
        <w:rPr>
          <w:rFonts w:ascii="Cambria" w:hAnsi="Cambria"/>
        </w:rPr>
        <w:t xml:space="preserve"> major</w:t>
      </w:r>
      <w:r>
        <w:rPr>
          <w:rFonts w:ascii="Cambria" w:hAnsi="Cambria"/>
        </w:rPr>
        <w:t xml:space="preserve"> metabolites</w:t>
      </w:r>
      <w:bookmarkEnd w:id="23"/>
      <w:r>
        <w:rPr>
          <w:rFonts w:ascii="Cambria" w:hAnsi="Cambria"/>
        </w:rPr>
        <w:t>).</w:t>
      </w:r>
    </w:p>
    <w:p w14:paraId="6D83826F" w14:textId="77777777" w:rsidR="007B275B" w:rsidRPr="00DC1F68" w:rsidRDefault="007B275B" w:rsidP="00DE08E0">
      <w:pPr>
        <w:rPr>
          <w:rFonts w:ascii="Cambria" w:hAnsi="Cambria"/>
        </w:rPr>
      </w:pPr>
    </w:p>
    <w:p w14:paraId="60DDAD6F" w14:textId="4118DBB8" w:rsidR="00996368" w:rsidRDefault="001C78B8" w:rsidP="001E679B">
      <w:pPr>
        <w:rPr>
          <w:rFonts w:ascii="Cambria" w:hAnsi="Cambria"/>
          <w:b/>
        </w:rPr>
      </w:pPr>
      <w:r w:rsidRPr="00DC1F68">
        <w:rPr>
          <w:rFonts w:ascii="Cambria" w:hAnsi="Cambria"/>
          <w:b/>
        </w:rPr>
        <w:t xml:space="preserve">Use in </w:t>
      </w:r>
      <w:r w:rsidR="001F1F76" w:rsidRPr="00DC1F68">
        <w:rPr>
          <w:rFonts w:ascii="Cambria" w:hAnsi="Cambria"/>
          <w:b/>
        </w:rPr>
        <w:t>p</w:t>
      </w:r>
      <w:r w:rsidR="00DE08E0" w:rsidRPr="00DC1F68">
        <w:rPr>
          <w:rFonts w:ascii="Cambria" w:hAnsi="Cambria"/>
          <w:b/>
        </w:rPr>
        <w:t>regnancy</w:t>
      </w:r>
    </w:p>
    <w:p w14:paraId="71B1FD2E" w14:textId="7D754BBB" w:rsidR="009275D5" w:rsidRDefault="009275D5" w:rsidP="001E679B">
      <w:pPr>
        <w:rPr>
          <w:rFonts w:ascii="Cambria" w:hAnsi="Cambria"/>
          <w:b/>
        </w:rPr>
      </w:pPr>
      <w:r>
        <w:rPr>
          <w:rFonts w:ascii="Cambria" w:hAnsi="Cambria"/>
          <w:b/>
        </w:rPr>
        <w:t>Category B3</w:t>
      </w:r>
    </w:p>
    <w:p w14:paraId="17E737F4" w14:textId="7207E675" w:rsidR="00E80EB2" w:rsidRDefault="00E80EB2" w:rsidP="00404B44">
      <w:pPr>
        <w:tabs>
          <w:tab w:val="clear" w:pos="567"/>
        </w:tabs>
        <w:autoSpaceDE w:val="0"/>
        <w:autoSpaceDN w:val="0"/>
        <w:adjustRightInd w:val="0"/>
        <w:rPr>
          <w:rFonts w:ascii="Cambria" w:eastAsiaTheme="minorHAnsi" w:hAnsi="Cambria" w:cs="Cambria"/>
          <w:szCs w:val="22"/>
        </w:rPr>
      </w:pPr>
      <w:r>
        <w:rPr>
          <w:rFonts w:ascii="Cambria" w:eastAsiaTheme="minorHAnsi" w:hAnsi="Cambria" w:cs="Cambria"/>
          <w:szCs w:val="22"/>
        </w:rPr>
        <w:t>Category B3 drugs have been taken by only a limited number of pregnant women and women of</w:t>
      </w:r>
      <w:r w:rsidR="003853C5">
        <w:rPr>
          <w:rFonts w:ascii="Cambria" w:eastAsiaTheme="minorHAnsi" w:hAnsi="Cambria" w:cs="Cambria"/>
          <w:szCs w:val="22"/>
        </w:rPr>
        <w:t xml:space="preserve"> </w:t>
      </w:r>
      <w:r>
        <w:rPr>
          <w:rFonts w:ascii="Cambria" w:eastAsiaTheme="minorHAnsi" w:hAnsi="Cambria" w:cs="Cambria"/>
          <w:szCs w:val="22"/>
        </w:rPr>
        <w:t>childbearing age, without an increase in the frequency of malformation or other direct or</w:t>
      </w:r>
      <w:r w:rsidR="00404B44">
        <w:rPr>
          <w:rFonts w:ascii="Cambria" w:eastAsiaTheme="minorHAnsi" w:hAnsi="Cambria" w:cs="Cambria"/>
          <w:szCs w:val="22"/>
        </w:rPr>
        <w:t xml:space="preserve"> </w:t>
      </w:r>
      <w:r>
        <w:rPr>
          <w:rFonts w:ascii="Cambria" w:eastAsiaTheme="minorHAnsi" w:hAnsi="Cambria" w:cs="Cambria"/>
          <w:szCs w:val="22"/>
        </w:rPr>
        <w:t>indirect harmful effects on the human fetus having been observed.</w:t>
      </w:r>
    </w:p>
    <w:p w14:paraId="3B2E2227" w14:textId="77777777" w:rsidR="002679C0" w:rsidRDefault="002679C0" w:rsidP="002679C0">
      <w:pPr>
        <w:tabs>
          <w:tab w:val="clear" w:pos="567"/>
        </w:tabs>
        <w:autoSpaceDE w:val="0"/>
        <w:autoSpaceDN w:val="0"/>
        <w:adjustRightInd w:val="0"/>
        <w:rPr>
          <w:rFonts w:ascii="Cambria" w:eastAsiaTheme="minorHAnsi" w:hAnsi="Cambria" w:cs="Cambria"/>
          <w:szCs w:val="22"/>
        </w:rPr>
      </w:pPr>
    </w:p>
    <w:p w14:paraId="221CBA52" w14:textId="10F2EF82" w:rsidR="002679C0" w:rsidRDefault="002679C0" w:rsidP="00404B44">
      <w:pPr>
        <w:tabs>
          <w:tab w:val="clear" w:pos="567"/>
        </w:tabs>
        <w:autoSpaceDE w:val="0"/>
        <w:autoSpaceDN w:val="0"/>
        <w:adjustRightInd w:val="0"/>
        <w:rPr>
          <w:rFonts w:ascii="Cambria" w:eastAsiaTheme="minorHAnsi" w:hAnsi="Cambria" w:cs="Cambria"/>
          <w:szCs w:val="22"/>
        </w:rPr>
      </w:pPr>
      <w:r>
        <w:rPr>
          <w:rFonts w:ascii="Cambria" w:eastAsiaTheme="minorHAnsi" w:hAnsi="Cambria" w:cs="Cambria"/>
          <w:szCs w:val="22"/>
        </w:rPr>
        <w:t>Studies in animals have shown evidence of an increased occurrence of fetal damage, the</w:t>
      </w:r>
      <w:r w:rsidR="00404B44">
        <w:rPr>
          <w:rFonts w:ascii="Cambria" w:eastAsiaTheme="minorHAnsi" w:hAnsi="Cambria" w:cs="Cambria"/>
          <w:szCs w:val="22"/>
        </w:rPr>
        <w:t xml:space="preserve"> </w:t>
      </w:r>
      <w:r>
        <w:rPr>
          <w:rFonts w:ascii="Cambria" w:eastAsiaTheme="minorHAnsi" w:hAnsi="Cambria" w:cs="Cambria"/>
          <w:szCs w:val="22"/>
        </w:rPr>
        <w:t>significance of which is considered uncertain in humans.</w:t>
      </w:r>
    </w:p>
    <w:p w14:paraId="0A2E5A51" w14:textId="2FD502BD" w:rsidR="00E80EB2" w:rsidRDefault="00E80EB2" w:rsidP="00E80EB2">
      <w:pPr>
        <w:rPr>
          <w:rFonts w:ascii="Cambria" w:hAnsi="Cambria"/>
          <w:b/>
        </w:rPr>
      </w:pPr>
    </w:p>
    <w:p w14:paraId="19D6DB43" w14:textId="39492941" w:rsidR="00AF49A0" w:rsidRDefault="00AF49A0" w:rsidP="00E80EB2">
      <w:pPr>
        <w:rPr>
          <w:rFonts w:ascii="Cambria" w:hAnsi="Cambria"/>
          <w:bCs/>
        </w:rPr>
      </w:pPr>
      <w:r w:rsidRPr="00AF49A0">
        <w:rPr>
          <w:rFonts w:ascii="Cambria" w:hAnsi="Cambria"/>
          <w:bCs/>
        </w:rPr>
        <w:t xml:space="preserve">Elexacaftor, tezacaftor, ivacaftor and/or their metabolites were shown to cross the placenta in laboratory animal </w:t>
      </w:r>
      <w:r w:rsidR="00B86ECE">
        <w:rPr>
          <w:rFonts w:ascii="Cambria" w:hAnsi="Cambria"/>
          <w:bCs/>
        </w:rPr>
        <w:t>species</w:t>
      </w:r>
      <w:r w:rsidR="00B86ECE" w:rsidRPr="00AF49A0">
        <w:rPr>
          <w:rFonts w:ascii="Cambria" w:hAnsi="Cambria"/>
          <w:bCs/>
        </w:rPr>
        <w:t xml:space="preserve"> </w:t>
      </w:r>
      <w:r w:rsidRPr="00AF49A0">
        <w:rPr>
          <w:rFonts w:ascii="Cambria" w:hAnsi="Cambria"/>
          <w:bCs/>
        </w:rPr>
        <w:t>(rats and/or rabbits).</w:t>
      </w:r>
    </w:p>
    <w:p w14:paraId="54081EF2" w14:textId="77777777" w:rsidR="002A3388" w:rsidRDefault="002A3388" w:rsidP="00E80EB2">
      <w:pPr>
        <w:rPr>
          <w:rFonts w:ascii="Cambria" w:hAnsi="Cambria"/>
          <w:bCs/>
        </w:rPr>
      </w:pPr>
    </w:p>
    <w:p w14:paraId="55852187" w14:textId="3A2314EE" w:rsidR="00AF49A0" w:rsidRPr="003E456A" w:rsidRDefault="003E456A" w:rsidP="00E80EB2">
      <w:pPr>
        <w:rPr>
          <w:rFonts w:ascii="Cambria" w:hAnsi="Cambria"/>
          <w:b/>
          <w:i/>
          <w:iCs/>
        </w:rPr>
      </w:pPr>
      <w:r w:rsidRPr="003E456A">
        <w:rPr>
          <w:rFonts w:ascii="Cambria" w:hAnsi="Cambria"/>
          <w:b/>
          <w:i/>
          <w:iCs/>
        </w:rPr>
        <w:t>Elexacaftor</w:t>
      </w:r>
    </w:p>
    <w:p w14:paraId="6F14457E" w14:textId="77BAE5C9" w:rsidR="00AF49A0" w:rsidRDefault="00AF49A0" w:rsidP="00E80EB2">
      <w:pPr>
        <w:rPr>
          <w:rFonts w:ascii="Cambria" w:hAnsi="Cambria"/>
          <w:bCs/>
        </w:rPr>
      </w:pPr>
    </w:p>
    <w:p w14:paraId="6087708E" w14:textId="1A135B69" w:rsidR="00AF49A0" w:rsidRDefault="004F34FF" w:rsidP="00E80EB2">
      <w:pPr>
        <w:rPr>
          <w:rFonts w:ascii="Cambria" w:hAnsi="Cambria"/>
          <w:bCs/>
        </w:rPr>
      </w:pPr>
      <w:r>
        <w:rPr>
          <w:rFonts w:ascii="Cambria" w:hAnsi="Cambria"/>
          <w:bCs/>
        </w:rPr>
        <w:t>Elexacaftor was not teratogenic in rats at oral doses up to 40 mg/kg/day or up to 125 mg/kg/day in rabbits (</w:t>
      </w:r>
      <w:bookmarkStart w:id="24" w:name="_Hlk50628707"/>
      <w:r>
        <w:rPr>
          <w:rFonts w:ascii="Cambria" w:hAnsi="Cambria"/>
          <w:bCs/>
        </w:rPr>
        <w:t xml:space="preserve">yielding systemic exposure in animals approximately 9 and 4 times greater, respectively, </w:t>
      </w:r>
      <w:r w:rsidRPr="00F45FF2">
        <w:rPr>
          <w:rFonts w:ascii="Cambria" w:hAnsi="Cambria"/>
          <w:bCs/>
        </w:rPr>
        <w:t>than that in patients at the MRHD based on summed AUCs of the  elexacaftor component of T</w:t>
      </w:r>
      <w:r w:rsidR="002A3388">
        <w:rPr>
          <w:rFonts w:ascii="Cambria" w:hAnsi="Cambria"/>
          <w:bCs/>
        </w:rPr>
        <w:t>RIKAFTA</w:t>
      </w:r>
      <w:r w:rsidRPr="00F45FF2">
        <w:rPr>
          <w:rFonts w:ascii="Cambria" w:hAnsi="Cambria"/>
          <w:bCs/>
        </w:rPr>
        <w:t xml:space="preserve"> </w:t>
      </w:r>
      <w:r>
        <w:rPr>
          <w:rFonts w:ascii="Cambria" w:hAnsi="Cambria"/>
          <w:bCs/>
        </w:rPr>
        <w:t>and M23-ELX [for rat], or AUC of the elexacaftor component of T</w:t>
      </w:r>
      <w:r w:rsidR="002A3388">
        <w:rPr>
          <w:rFonts w:ascii="Cambria" w:hAnsi="Cambria"/>
          <w:bCs/>
        </w:rPr>
        <w:t>RIKAFTA</w:t>
      </w:r>
      <w:r>
        <w:rPr>
          <w:rFonts w:ascii="Cambria" w:hAnsi="Cambria"/>
          <w:bCs/>
        </w:rPr>
        <w:t xml:space="preserve"> [for rabbit])</w:t>
      </w:r>
      <w:bookmarkEnd w:id="24"/>
      <w:r>
        <w:rPr>
          <w:rFonts w:ascii="Cambria" w:hAnsi="Cambria"/>
          <w:bCs/>
        </w:rPr>
        <w:t>. Effects on embryofetal development were limited to lower mean fetal body weight (at ≥ 25 mg/kg/kg/day). Pup birth and postnatal body weights were reduced in rats with maternal treatment at 10 mg/kg/day during gestation and lactation.</w:t>
      </w:r>
    </w:p>
    <w:p w14:paraId="30DDB9E5" w14:textId="77777777" w:rsidR="000A0504" w:rsidRDefault="000A0504" w:rsidP="00EC35DB">
      <w:pPr>
        <w:rPr>
          <w:rFonts w:ascii="Cambria" w:hAnsi="Cambria"/>
          <w:b/>
          <w:i/>
          <w:iCs/>
        </w:rPr>
      </w:pPr>
    </w:p>
    <w:p w14:paraId="2C76760A" w14:textId="621DEB6E" w:rsidR="00EC35DB" w:rsidRPr="003E456A" w:rsidRDefault="00EC35DB" w:rsidP="00EC35DB">
      <w:pPr>
        <w:rPr>
          <w:rFonts w:ascii="Cambria" w:hAnsi="Cambria"/>
          <w:b/>
          <w:i/>
          <w:iCs/>
        </w:rPr>
      </w:pPr>
      <w:r>
        <w:rPr>
          <w:rFonts w:ascii="Cambria" w:hAnsi="Cambria"/>
          <w:b/>
          <w:i/>
          <w:iCs/>
        </w:rPr>
        <w:t>Tez</w:t>
      </w:r>
      <w:r w:rsidRPr="003E456A">
        <w:rPr>
          <w:rFonts w:ascii="Cambria" w:hAnsi="Cambria"/>
          <w:b/>
          <w:i/>
          <w:iCs/>
        </w:rPr>
        <w:t>acaftor</w:t>
      </w:r>
    </w:p>
    <w:p w14:paraId="6369A67C" w14:textId="13AF88F6" w:rsidR="00AF49A0" w:rsidRDefault="00AF49A0" w:rsidP="00E80EB2">
      <w:pPr>
        <w:rPr>
          <w:rFonts w:ascii="Cambria" w:hAnsi="Cambria"/>
          <w:bCs/>
        </w:rPr>
      </w:pPr>
    </w:p>
    <w:p w14:paraId="522E154E" w14:textId="0E22FEA4" w:rsidR="004F34FF" w:rsidRDefault="004F34FF" w:rsidP="004F34FF">
      <w:pPr>
        <w:rPr>
          <w:rFonts w:ascii="Cambria" w:hAnsi="Cambria"/>
        </w:rPr>
      </w:pPr>
      <w:r w:rsidRPr="76091594">
        <w:rPr>
          <w:rFonts w:ascii="Cambria" w:hAnsi="Cambria"/>
        </w:rPr>
        <w:t>No evidence of harm to the fetus was observed with tezacaftor in developmental toxicity study in rats at oral doses up to 100 mg</w:t>
      </w:r>
      <w:r w:rsidR="00B27847">
        <w:rPr>
          <w:rFonts w:ascii="Cambria" w:hAnsi="Cambria"/>
        </w:rPr>
        <w:t>/</w:t>
      </w:r>
      <w:r w:rsidRPr="76091594">
        <w:rPr>
          <w:rFonts w:ascii="Cambria" w:hAnsi="Cambria"/>
        </w:rPr>
        <w:t>kg/day (yielding systemic exposure in animals approximately 3 times greater than that in patients at the MRHD based on summed AUCs of the tezacaftor component of T</w:t>
      </w:r>
      <w:r w:rsidR="002A3388">
        <w:rPr>
          <w:rFonts w:ascii="Cambria" w:hAnsi="Cambria"/>
        </w:rPr>
        <w:t>RIKAFTA</w:t>
      </w:r>
      <w:r w:rsidRPr="76091594">
        <w:rPr>
          <w:rFonts w:ascii="Cambria" w:hAnsi="Cambria"/>
        </w:rPr>
        <w:t xml:space="preserve"> and its pharmacologically active M1 metabolite, M1-TEZ). In the rabbit, lower fetal body weights were noted at an oral dose of 50 mg/kg/day (the highest dose tested; yielding exposure around the same as at the MRHD), which occurred in conjunction with significant matern</w:t>
      </w:r>
      <w:r>
        <w:rPr>
          <w:rFonts w:ascii="Cambria" w:hAnsi="Cambria"/>
        </w:rPr>
        <w:t xml:space="preserve">al </w:t>
      </w:r>
      <w:r w:rsidRPr="76091594">
        <w:rPr>
          <w:rFonts w:ascii="Cambria" w:hAnsi="Cambria"/>
        </w:rPr>
        <w:t>toxicity. However, no effects on embryo</w:t>
      </w:r>
      <w:r>
        <w:rPr>
          <w:rFonts w:ascii="Cambria" w:hAnsi="Cambria"/>
        </w:rPr>
        <w:t xml:space="preserve"> </w:t>
      </w:r>
      <w:r w:rsidRPr="76091594">
        <w:rPr>
          <w:rFonts w:ascii="Cambria" w:hAnsi="Cambria"/>
        </w:rPr>
        <w:t>fetal survival and no malformations were observed with tezacaftor in the species. Fetal body weight was unaffected in rabbits at 25 mg/kg/day (yielding exposure 4 times lower than that at the MRHD based on summed AUCs of tezacaftor and its M1 metabolite).</w:t>
      </w:r>
    </w:p>
    <w:p w14:paraId="6A10CDA0" w14:textId="77777777" w:rsidR="006A7E86" w:rsidRDefault="006A7E86" w:rsidP="005A7217">
      <w:pPr>
        <w:rPr>
          <w:rFonts w:ascii="Cambria" w:hAnsi="Cambria"/>
          <w:b/>
          <w:i/>
          <w:iCs/>
        </w:rPr>
      </w:pPr>
    </w:p>
    <w:p w14:paraId="44CB0FBD" w14:textId="38CB4B34" w:rsidR="005A7217" w:rsidRDefault="005A7217" w:rsidP="005A7217">
      <w:pPr>
        <w:rPr>
          <w:rFonts w:ascii="Cambria" w:hAnsi="Cambria"/>
          <w:b/>
          <w:i/>
          <w:iCs/>
        </w:rPr>
      </w:pPr>
      <w:r>
        <w:rPr>
          <w:rFonts w:ascii="Cambria" w:hAnsi="Cambria"/>
          <w:b/>
          <w:i/>
          <w:iCs/>
        </w:rPr>
        <w:t>Iv</w:t>
      </w:r>
      <w:r w:rsidRPr="003E456A">
        <w:rPr>
          <w:rFonts w:ascii="Cambria" w:hAnsi="Cambria"/>
          <w:b/>
          <w:i/>
          <w:iCs/>
        </w:rPr>
        <w:t>acaftor</w:t>
      </w:r>
    </w:p>
    <w:p w14:paraId="1AFA5490" w14:textId="108AE365" w:rsidR="005A7217" w:rsidRPr="00ED6709" w:rsidRDefault="005A7217" w:rsidP="005A7217">
      <w:pPr>
        <w:rPr>
          <w:rFonts w:ascii="Cambria" w:hAnsi="Cambria"/>
          <w:b/>
          <w:i/>
          <w:iCs/>
        </w:rPr>
      </w:pPr>
    </w:p>
    <w:p w14:paraId="3909709B" w14:textId="10AAE873" w:rsidR="004F34FF" w:rsidRPr="00ED6709" w:rsidRDefault="004F34FF" w:rsidP="004F34FF">
      <w:pPr>
        <w:rPr>
          <w:rFonts w:ascii="Cambria" w:hAnsi="Cambria"/>
          <w:bCs/>
        </w:rPr>
      </w:pPr>
      <w:r w:rsidRPr="006F63E9">
        <w:rPr>
          <w:rFonts w:ascii="Cambria" w:hAnsi="Cambria"/>
          <w:bCs/>
        </w:rPr>
        <w:t xml:space="preserve">Developmental toxicity studies with ivacaftor revealed no teratogenicity in rats at oral doses up to 200 mg/kg/day or rabbits at oral </w:t>
      </w:r>
      <w:r w:rsidRPr="00EC0C47">
        <w:rPr>
          <w:rFonts w:ascii="Cambria" w:hAnsi="Cambria"/>
          <w:bCs/>
        </w:rPr>
        <w:t xml:space="preserve">doses up to 100 mg/kg/day (yielding systemic exposure in </w:t>
      </w:r>
      <w:r w:rsidR="002A1AF8" w:rsidRPr="00ED6709">
        <w:rPr>
          <w:rFonts w:ascii="Cambria" w:hAnsi="Cambria"/>
          <w:bCs/>
        </w:rPr>
        <w:t xml:space="preserve">the respective animal species </w:t>
      </w:r>
      <w:r w:rsidRPr="00ED6709">
        <w:rPr>
          <w:rFonts w:ascii="Cambria" w:hAnsi="Cambria"/>
          <w:bCs/>
        </w:rPr>
        <w:t>approximately 5 and</w:t>
      </w:r>
      <w:r w:rsidRPr="00B852CE">
        <w:rPr>
          <w:rFonts w:ascii="Cambria" w:hAnsi="Cambria"/>
          <w:bCs/>
        </w:rPr>
        <w:t xml:space="preserve"> </w:t>
      </w:r>
      <w:r w:rsidR="00F06F93" w:rsidRPr="00B852CE">
        <w:rPr>
          <w:rFonts w:ascii="Cambria" w:eastAsiaTheme="minorHAnsi" w:hAnsi="Cambria"/>
          <w:color w:val="000000"/>
        </w:rPr>
        <w:t>≥3</w:t>
      </w:r>
      <w:r w:rsidRPr="00B852CE">
        <w:rPr>
          <w:rFonts w:ascii="Cambria" w:hAnsi="Cambria"/>
          <w:bCs/>
        </w:rPr>
        <w:t xml:space="preserve"> </w:t>
      </w:r>
      <w:r w:rsidRPr="00ED6709">
        <w:rPr>
          <w:rFonts w:ascii="Cambria" w:hAnsi="Cambria"/>
          <w:bCs/>
        </w:rPr>
        <w:t xml:space="preserve">times greater, </w:t>
      </w:r>
      <w:r w:rsidRPr="00082ECA">
        <w:rPr>
          <w:rFonts w:ascii="Cambria" w:hAnsi="Cambria"/>
          <w:bCs/>
        </w:rPr>
        <w:t xml:space="preserve">than that in patients at the MRHD based on summed AUCs of the </w:t>
      </w:r>
      <w:r w:rsidRPr="00854243">
        <w:rPr>
          <w:rFonts w:ascii="Cambria" w:hAnsi="Cambria"/>
          <w:bCs/>
        </w:rPr>
        <w:t>ivacaftor component of T</w:t>
      </w:r>
      <w:r w:rsidR="002A3388" w:rsidRPr="006F63E9">
        <w:rPr>
          <w:rFonts w:ascii="Cambria" w:hAnsi="Cambria"/>
          <w:bCs/>
        </w:rPr>
        <w:t>RIKAFTA</w:t>
      </w:r>
      <w:r w:rsidRPr="006F63E9">
        <w:rPr>
          <w:rFonts w:ascii="Cambria" w:hAnsi="Cambria"/>
          <w:bCs/>
        </w:rPr>
        <w:t xml:space="preserve"> </w:t>
      </w:r>
      <w:r w:rsidRPr="00EC0C47">
        <w:rPr>
          <w:rFonts w:ascii="Cambria" w:hAnsi="Cambria"/>
          <w:bCs/>
        </w:rPr>
        <w:t>and its</w:t>
      </w:r>
      <w:r w:rsidR="008B08B8" w:rsidRPr="00EC0C47">
        <w:rPr>
          <w:rFonts w:ascii="Cambria" w:hAnsi="Cambria"/>
          <w:bCs/>
        </w:rPr>
        <w:t xml:space="preserve"> major</w:t>
      </w:r>
      <w:r w:rsidRPr="00EC0C47">
        <w:rPr>
          <w:rFonts w:ascii="Cambria" w:hAnsi="Cambria"/>
          <w:bCs/>
        </w:rPr>
        <w:t xml:space="preserve"> metabolites</w:t>
      </w:r>
      <w:r w:rsidRPr="00ED6709">
        <w:rPr>
          <w:rFonts w:ascii="Cambria" w:hAnsi="Cambria"/>
          <w:bCs/>
        </w:rPr>
        <w:t>. Fetal weight was decreased and the incidence of minor fetal skeletal abnormalities was increased in rats treated at 200 mg/kg/day; these effects were observed in conjunction with maternal toxicity.</w:t>
      </w:r>
    </w:p>
    <w:p w14:paraId="4E849C28" w14:textId="77777777" w:rsidR="00AF49A0" w:rsidRPr="00DC1F68" w:rsidRDefault="00AF49A0" w:rsidP="00E80EB2">
      <w:pPr>
        <w:rPr>
          <w:rFonts w:ascii="Cambria" w:hAnsi="Cambria"/>
          <w:b/>
        </w:rPr>
      </w:pPr>
    </w:p>
    <w:p w14:paraId="5A17CD3D" w14:textId="5EC234B6" w:rsidR="00847235" w:rsidRDefault="001F1F76" w:rsidP="00DE08E0">
      <w:pPr>
        <w:rPr>
          <w:rFonts w:ascii="Cambria" w:hAnsi="Cambria"/>
          <w:szCs w:val="22"/>
        </w:rPr>
      </w:pPr>
      <w:r w:rsidRPr="00DC1F68">
        <w:rPr>
          <w:rFonts w:ascii="Cambria" w:hAnsi="Cambria"/>
          <w:szCs w:val="22"/>
        </w:rPr>
        <w:t>No adequate and well</w:t>
      </w:r>
      <w:r w:rsidRPr="00DC1F68">
        <w:rPr>
          <w:rFonts w:ascii="Cambria" w:hAnsi="Cambria"/>
          <w:szCs w:val="22"/>
        </w:rPr>
        <w:noBreakHyphen/>
        <w:t>controlled studies of T</w:t>
      </w:r>
      <w:r w:rsidR="002A3388">
        <w:rPr>
          <w:rFonts w:ascii="Cambria" w:hAnsi="Cambria"/>
          <w:szCs w:val="22"/>
        </w:rPr>
        <w:t>RIKAFTA</w:t>
      </w:r>
      <w:r w:rsidRPr="00DC1F68">
        <w:rPr>
          <w:rFonts w:ascii="Cambria" w:hAnsi="Cambria"/>
          <w:szCs w:val="22"/>
        </w:rPr>
        <w:t xml:space="preserve"> in pregnant women have been conducted. Because animal reproduction studies are not always predictive of human response, T</w:t>
      </w:r>
      <w:r w:rsidR="002A3388">
        <w:rPr>
          <w:rFonts w:ascii="Cambria" w:hAnsi="Cambria"/>
          <w:szCs w:val="22"/>
        </w:rPr>
        <w:t>RIKAFTA</w:t>
      </w:r>
      <w:r w:rsidRPr="00DC1F68">
        <w:rPr>
          <w:rFonts w:ascii="Cambria" w:hAnsi="Cambria"/>
          <w:szCs w:val="22"/>
        </w:rPr>
        <w:t xml:space="preserve"> should be used during pregnancy only if the potential benefits outweigh the potential risks.</w:t>
      </w:r>
    </w:p>
    <w:p w14:paraId="36CDA988" w14:textId="77777777" w:rsidR="002A3388" w:rsidRDefault="002A3388" w:rsidP="00DE08E0">
      <w:pPr>
        <w:rPr>
          <w:rFonts w:ascii="Cambria" w:hAnsi="Cambria"/>
          <w:b/>
        </w:rPr>
      </w:pPr>
    </w:p>
    <w:p w14:paraId="6AA19EF9" w14:textId="5BC61B72" w:rsidR="00DE08E0" w:rsidRPr="00DC1F68" w:rsidRDefault="001C78B8" w:rsidP="00DE08E0">
      <w:pPr>
        <w:rPr>
          <w:rFonts w:ascii="Cambria" w:hAnsi="Cambria"/>
          <w:b/>
        </w:rPr>
      </w:pPr>
      <w:r w:rsidRPr="00DC1F68">
        <w:rPr>
          <w:rFonts w:ascii="Cambria" w:hAnsi="Cambria"/>
          <w:b/>
        </w:rPr>
        <w:t>Use in l</w:t>
      </w:r>
      <w:r w:rsidR="00DE08E0" w:rsidRPr="00DC1F68">
        <w:rPr>
          <w:rFonts w:ascii="Cambria" w:hAnsi="Cambria"/>
          <w:b/>
        </w:rPr>
        <w:t>actation</w:t>
      </w:r>
    </w:p>
    <w:p w14:paraId="7ACDD704" w14:textId="00771D18" w:rsidR="001F1F76" w:rsidRPr="00DC1F68" w:rsidRDefault="001F1F76" w:rsidP="001F1F76">
      <w:pPr>
        <w:rPr>
          <w:rFonts w:ascii="Cambria" w:hAnsi="Cambria"/>
          <w:szCs w:val="22"/>
        </w:rPr>
      </w:pPr>
      <w:r w:rsidRPr="00DC1F68">
        <w:rPr>
          <w:rFonts w:ascii="Cambria" w:hAnsi="Cambria"/>
          <w:szCs w:val="22"/>
        </w:rPr>
        <w:t xml:space="preserve">Elexacaftor, tezacaftor and ivacaftor are excreted into the milk of lactating female rats. Exposure of </w:t>
      </w:r>
      <w:r w:rsidRPr="00DC1F68">
        <w:rPr>
          <w:rFonts w:ascii="Cambria" w:hAnsi="Cambria"/>
          <w:szCs w:val="22"/>
          <w:vertAlign w:val="superscript"/>
        </w:rPr>
        <w:t>14</w:t>
      </w:r>
      <w:r w:rsidRPr="00DC1F68">
        <w:rPr>
          <w:rFonts w:ascii="Cambria" w:hAnsi="Cambria"/>
          <w:szCs w:val="22"/>
        </w:rPr>
        <w:t>C</w:t>
      </w:r>
      <w:r w:rsidRPr="00DC1F68">
        <w:rPr>
          <w:rFonts w:ascii="Cambria" w:hAnsi="Cambria"/>
          <w:szCs w:val="22"/>
        </w:rPr>
        <w:noBreakHyphen/>
        <w:t xml:space="preserve">elexacaftor, </w:t>
      </w:r>
      <w:r w:rsidRPr="00DC1F68">
        <w:rPr>
          <w:rFonts w:ascii="Cambria" w:hAnsi="Cambria"/>
          <w:szCs w:val="22"/>
          <w:vertAlign w:val="superscript"/>
        </w:rPr>
        <w:t>14</w:t>
      </w:r>
      <w:r w:rsidRPr="00DC1F68">
        <w:rPr>
          <w:rFonts w:ascii="Cambria" w:hAnsi="Cambria"/>
          <w:szCs w:val="22"/>
        </w:rPr>
        <w:t>C</w:t>
      </w:r>
      <w:r w:rsidRPr="00DC1F68">
        <w:rPr>
          <w:rFonts w:ascii="Cambria" w:hAnsi="Cambria"/>
          <w:szCs w:val="22"/>
        </w:rPr>
        <w:noBreakHyphen/>
        <w:t xml:space="preserve">tezacaftor and </w:t>
      </w:r>
      <w:r w:rsidRPr="00DC1F68">
        <w:rPr>
          <w:rFonts w:ascii="Cambria" w:hAnsi="Cambria"/>
          <w:szCs w:val="22"/>
          <w:vertAlign w:val="superscript"/>
        </w:rPr>
        <w:t>14</w:t>
      </w:r>
      <w:r w:rsidRPr="00DC1F68">
        <w:rPr>
          <w:rFonts w:ascii="Cambria" w:hAnsi="Cambria"/>
          <w:szCs w:val="22"/>
        </w:rPr>
        <w:t xml:space="preserve">C-ivacaftor in milk was approximately 0.4, </w:t>
      </w:r>
      <w:r w:rsidR="00FE4068">
        <w:rPr>
          <w:rFonts w:ascii="Cambria" w:hAnsi="Cambria"/>
          <w:szCs w:val="22"/>
        </w:rPr>
        <w:t>2</w:t>
      </w:r>
      <w:r w:rsidRPr="00DC1F68">
        <w:rPr>
          <w:rFonts w:ascii="Cambria" w:hAnsi="Cambria"/>
          <w:szCs w:val="22"/>
        </w:rPr>
        <w:t>, and 1.5</w:t>
      </w:r>
      <w:r w:rsidR="003368DF">
        <w:rPr>
          <w:rFonts w:ascii="Cambria" w:hAnsi="Cambria"/>
          <w:szCs w:val="22"/>
        </w:rPr>
        <w:t> </w:t>
      </w:r>
      <w:r w:rsidRPr="00DC1F68">
        <w:rPr>
          <w:rFonts w:ascii="Cambria" w:hAnsi="Cambria"/>
          <w:szCs w:val="22"/>
        </w:rPr>
        <w:t xml:space="preserve">times, respectively, the value observed in plasma (based </w:t>
      </w:r>
      <w:r w:rsidRPr="00814262">
        <w:rPr>
          <w:rFonts w:ascii="Cambria" w:hAnsi="Cambria"/>
          <w:szCs w:val="22"/>
        </w:rPr>
        <w:t>on AUC</w:t>
      </w:r>
      <w:r w:rsidR="00B93789" w:rsidRPr="00814262">
        <w:rPr>
          <w:vertAlign w:val="subscript"/>
        </w:rPr>
        <w:t>0-24h</w:t>
      </w:r>
      <w:r w:rsidRPr="00814262">
        <w:rPr>
          <w:rFonts w:ascii="Cambria" w:hAnsi="Cambria"/>
          <w:szCs w:val="22"/>
        </w:rPr>
        <w:t>). Because</w:t>
      </w:r>
      <w:r w:rsidRPr="00DC1F68">
        <w:rPr>
          <w:rFonts w:ascii="Cambria" w:hAnsi="Cambria"/>
          <w:szCs w:val="22"/>
        </w:rPr>
        <w:t xml:space="preserve"> it is not known if elexacaftor, tezacaftor, ivacaftor, or their metabolites are excreted in human milk, T</w:t>
      </w:r>
      <w:r w:rsidR="002A3388">
        <w:rPr>
          <w:rFonts w:ascii="Cambria" w:hAnsi="Cambria"/>
          <w:szCs w:val="22"/>
        </w:rPr>
        <w:t>RIKAFTA</w:t>
      </w:r>
      <w:r w:rsidRPr="00DC1F68">
        <w:rPr>
          <w:rFonts w:ascii="Cambria" w:hAnsi="Cambria"/>
          <w:szCs w:val="22"/>
        </w:rPr>
        <w:t xml:space="preserve"> should be used during breastfeeding only if the potential benefit outweighs the potential risks to the infant.</w:t>
      </w:r>
    </w:p>
    <w:p w14:paraId="5CEFF012" w14:textId="77777777" w:rsidR="00DE08E0" w:rsidRPr="00DC1F68" w:rsidRDefault="00DE08E0" w:rsidP="00DE08E0">
      <w:pPr>
        <w:rPr>
          <w:rFonts w:ascii="Cambria" w:hAnsi="Cambria"/>
        </w:rPr>
      </w:pPr>
    </w:p>
    <w:p w14:paraId="7BD9CA9C" w14:textId="5BCC8FD6" w:rsidR="00DE08E0" w:rsidRPr="00DC1F68" w:rsidRDefault="00DE08E0" w:rsidP="00DE08E0">
      <w:pPr>
        <w:pStyle w:val="Heading2"/>
        <w:rPr>
          <w:rFonts w:ascii="Cambria" w:hAnsi="Cambria"/>
          <w:sz w:val="24"/>
          <w:szCs w:val="24"/>
        </w:rPr>
      </w:pPr>
      <w:bookmarkStart w:id="25" w:name="_Toc485781375"/>
      <w:bookmarkStart w:id="26" w:name="_Hlk25673967"/>
      <w:r w:rsidRPr="00DC1F68">
        <w:rPr>
          <w:rFonts w:ascii="Cambria" w:hAnsi="Cambria"/>
          <w:sz w:val="24"/>
          <w:szCs w:val="24"/>
        </w:rPr>
        <w:t>E</w:t>
      </w:r>
      <w:r w:rsidR="00A34605" w:rsidRPr="00DC1F68">
        <w:rPr>
          <w:rFonts w:ascii="Cambria" w:hAnsi="Cambria"/>
          <w:sz w:val="24"/>
          <w:szCs w:val="24"/>
        </w:rPr>
        <w:t>FFECTS ON ABILITY TO DRIVE AND USE MACHINES</w:t>
      </w:r>
      <w:bookmarkEnd w:id="25"/>
    </w:p>
    <w:p w14:paraId="6D3ECE56" w14:textId="77777777" w:rsidR="00DE08E0" w:rsidRPr="001F1F76" w:rsidRDefault="00DE08E0" w:rsidP="00DE08E0">
      <w:pPr>
        <w:rPr>
          <w:rFonts w:ascii="Cambria" w:hAnsi="Cambria"/>
        </w:rPr>
      </w:pPr>
    </w:p>
    <w:p w14:paraId="1D7EA943" w14:textId="74A3CF0C" w:rsidR="00DE08E0" w:rsidRPr="001F1F76" w:rsidRDefault="001F1F76" w:rsidP="001F1F76">
      <w:pPr>
        <w:keepNext/>
        <w:rPr>
          <w:rFonts w:ascii="Cambria" w:hAnsi="Cambria"/>
          <w:szCs w:val="22"/>
        </w:rPr>
      </w:pPr>
      <w:r w:rsidRPr="001F1F76">
        <w:rPr>
          <w:rFonts w:ascii="Cambria" w:hAnsi="Cambria"/>
          <w:szCs w:val="22"/>
        </w:rPr>
        <w:t>T</w:t>
      </w:r>
      <w:r w:rsidR="002A3388">
        <w:rPr>
          <w:rFonts w:ascii="Cambria" w:hAnsi="Cambria"/>
          <w:szCs w:val="22"/>
        </w:rPr>
        <w:t>RIKAFTA</w:t>
      </w:r>
      <w:r w:rsidRPr="001F1F76">
        <w:rPr>
          <w:rFonts w:ascii="Cambria" w:hAnsi="Cambria"/>
          <w:szCs w:val="22"/>
        </w:rPr>
        <w:t xml:space="preserve"> is not expected to have an impact on the ability to drive and use machines.</w:t>
      </w:r>
    </w:p>
    <w:p w14:paraId="1F303819" w14:textId="77777777" w:rsidR="00DE08E0" w:rsidRPr="00DE08E0" w:rsidRDefault="00DE08E0" w:rsidP="00DE08E0">
      <w:pPr>
        <w:rPr>
          <w:rFonts w:ascii="Cambria" w:hAnsi="Cambria"/>
        </w:rPr>
      </w:pPr>
    </w:p>
    <w:p w14:paraId="17E4D8DF" w14:textId="02B61B96" w:rsidR="00DE08E0" w:rsidRPr="00DC1F68" w:rsidRDefault="00A34605" w:rsidP="00DE08E0">
      <w:pPr>
        <w:pStyle w:val="Heading2"/>
        <w:rPr>
          <w:rFonts w:ascii="Cambria" w:hAnsi="Cambria"/>
          <w:sz w:val="24"/>
          <w:szCs w:val="24"/>
        </w:rPr>
      </w:pPr>
      <w:bookmarkStart w:id="27" w:name="_Toc485781376"/>
      <w:bookmarkStart w:id="28" w:name="_Hlk25848647"/>
      <w:bookmarkEnd w:id="26"/>
      <w:r w:rsidRPr="00DC1F68">
        <w:rPr>
          <w:rFonts w:ascii="Cambria" w:hAnsi="Cambria"/>
          <w:sz w:val="24"/>
          <w:szCs w:val="24"/>
        </w:rPr>
        <w:t>ADVERSE EFFECTS (</w:t>
      </w:r>
      <w:r w:rsidR="00DE08E0" w:rsidRPr="00DC1F68">
        <w:rPr>
          <w:rFonts w:ascii="Cambria" w:hAnsi="Cambria"/>
          <w:sz w:val="24"/>
          <w:szCs w:val="24"/>
        </w:rPr>
        <w:t>U</w:t>
      </w:r>
      <w:r w:rsidRPr="00DC1F68">
        <w:rPr>
          <w:rFonts w:ascii="Cambria" w:hAnsi="Cambria"/>
          <w:sz w:val="24"/>
          <w:szCs w:val="24"/>
        </w:rPr>
        <w:t>NDESIRABLE EFFECTS)</w:t>
      </w:r>
      <w:bookmarkEnd w:id="27"/>
    </w:p>
    <w:bookmarkEnd w:id="28"/>
    <w:p w14:paraId="4160A8EC" w14:textId="77777777" w:rsidR="00DE08E0" w:rsidRPr="00DC1F68" w:rsidRDefault="00DE08E0" w:rsidP="00DE08E0">
      <w:pPr>
        <w:rPr>
          <w:rFonts w:ascii="Cambria" w:hAnsi="Cambria"/>
        </w:rPr>
      </w:pPr>
    </w:p>
    <w:p w14:paraId="343D2B45" w14:textId="77777777" w:rsidR="00DE08E0" w:rsidRPr="00DC1F68" w:rsidRDefault="00DE08E0" w:rsidP="00DE08E0">
      <w:pPr>
        <w:pStyle w:val="labeltext"/>
        <w:contextualSpacing/>
        <w:rPr>
          <w:rFonts w:ascii="Cambria" w:hAnsi="Cambria"/>
          <w:b/>
          <w:sz w:val="22"/>
          <w:szCs w:val="22"/>
        </w:rPr>
      </w:pPr>
      <w:r w:rsidRPr="00DC1F68">
        <w:rPr>
          <w:rFonts w:ascii="Cambria" w:hAnsi="Cambria"/>
          <w:b/>
          <w:sz w:val="22"/>
          <w:szCs w:val="22"/>
        </w:rPr>
        <w:t>Summary of the safety profile</w:t>
      </w:r>
    </w:p>
    <w:p w14:paraId="6376BA20" w14:textId="169CFBA4" w:rsidR="001F1F76" w:rsidRPr="00BC1193" w:rsidRDefault="001F1F76" w:rsidP="001F1F76">
      <w:pPr>
        <w:tabs>
          <w:tab w:val="clear" w:pos="567"/>
        </w:tabs>
        <w:contextualSpacing/>
        <w:rPr>
          <w:rFonts w:ascii="Cambria" w:eastAsia="SimSun" w:hAnsi="Cambria"/>
          <w:szCs w:val="22"/>
        </w:rPr>
      </w:pPr>
      <w:r w:rsidRPr="00BC1193">
        <w:rPr>
          <w:rFonts w:ascii="Cambria" w:eastAsia="SimSun" w:hAnsi="Cambria"/>
          <w:szCs w:val="22"/>
        </w:rPr>
        <w:t>The safety profile of T</w:t>
      </w:r>
      <w:r w:rsidR="002A3388">
        <w:rPr>
          <w:rFonts w:ascii="Cambria" w:eastAsia="SimSun" w:hAnsi="Cambria"/>
          <w:szCs w:val="22"/>
        </w:rPr>
        <w:t>RIKAFTA</w:t>
      </w:r>
      <w:r w:rsidRPr="00BC1193">
        <w:rPr>
          <w:rFonts w:ascii="Cambria" w:eastAsia="SimSun" w:hAnsi="Cambria"/>
          <w:szCs w:val="22"/>
        </w:rPr>
        <w:t xml:space="preserve"> is based on data from 510 patients in two double-blind, controlled, phase 3 studies of 24 weeks and 4 weeks treatment duration (Studies 445</w:t>
      </w:r>
      <w:r w:rsidRPr="00BC1193">
        <w:rPr>
          <w:rFonts w:ascii="Cambria" w:eastAsia="SimSun" w:hAnsi="Cambria"/>
          <w:szCs w:val="22"/>
        </w:rPr>
        <w:noBreakHyphen/>
        <w:t>102 and 445</w:t>
      </w:r>
      <w:r w:rsidRPr="00BC1193">
        <w:rPr>
          <w:rFonts w:ascii="Cambria" w:eastAsia="SimSun" w:hAnsi="Cambria"/>
          <w:szCs w:val="22"/>
        </w:rPr>
        <w:noBreakHyphen/>
        <w:t>103). In the two controlled phase 3 studies, a total of 257 patients aged 12 years and older received at least one dose of T</w:t>
      </w:r>
      <w:r w:rsidR="002A3388">
        <w:rPr>
          <w:rFonts w:ascii="Cambria" w:eastAsia="SimSun" w:hAnsi="Cambria"/>
          <w:szCs w:val="22"/>
        </w:rPr>
        <w:t>RIKAFTA</w:t>
      </w:r>
      <w:r w:rsidRPr="00BC1193">
        <w:rPr>
          <w:rFonts w:ascii="Cambria" w:eastAsia="SimSun" w:hAnsi="Cambria"/>
          <w:szCs w:val="22"/>
        </w:rPr>
        <w:t>.</w:t>
      </w:r>
    </w:p>
    <w:p w14:paraId="5CCF4639" w14:textId="77777777" w:rsidR="001F1F76" w:rsidRPr="00BC1193" w:rsidRDefault="001F1F76" w:rsidP="001F1F76">
      <w:pPr>
        <w:tabs>
          <w:tab w:val="clear" w:pos="567"/>
        </w:tabs>
        <w:contextualSpacing/>
        <w:rPr>
          <w:rFonts w:ascii="Cambria" w:eastAsia="SimSun" w:hAnsi="Cambria"/>
          <w:szCs w:val="22"/>
        </w:rPr>
      </w:pPr>
    </w:p>
    <w:p w14:paraId="16C5E86E" w14:textId="1F6E7109" w:rsidR="001F1F76" w:rsidRPr="00BC1193" w:rsidRDefault="001F1F76" w:rsidP="001F1F76">
      <w:pPr>
        <w:tabs>
          <w:tab w:val="clear" w:pos="567"/>
        </w:tabs>
        <w:contextualSpacing/>
        <w:rPr>
          <w:rFonts w:ascii="Cambria" w:eastAsia="SimSun" w:hAnsi="Cambria"/>
          <w:szCs w:val="22"/>
        </w:rPr>
      </w:pPr>
      <w:r w:rsidRPr="00BC1193">
        <w:rPr>
          <w:rFonts w:ascii="Cambria" w:eastAsia="SimSun" w:hAnsi="Cambria"/>
          <w:szCs w:val="22"/>
        </w:rPr>
        <w:t xml:space="preserve">In Study </w:t>
      </w:r>
      <w:r w:rsidRPr="00BC1193">
        <w:rPr>
          <w:rFonts w:ascii="Cambria" w:eastAsia="SimSun" w:hAnsi="Cambria"/>
          <w:bCs/>
          <w:szCs w:val="22"/>
        </w:rPr>
        <w:t>445</w:t>
      </w:r>
      <w:r w:rsidRPr="00BC1193">
        <w:rPr>
          <w:rFonts w:ascii="Cambria" w:eastAsia="SimSun" w:hAnsi="Cambria"/>
          <w:bCs/>
          <w:szCs w:val="22"/>
        </w:rPr>
        <w:noBreakHyphen/>
        <w:t>102</w:t>
      </w:r>
      <w:r w:rsidRPr="00BC1193">
        <w:rPr>
          <w:rFonts w:ascii="Cambria" w:eastAsia="SimSun" w:hAnsi="Cambria"/>
          <w:szCs w:val="22"/>
        </w:rPr>
        <w:t xml:space="preserve">, the proportion of patients who discontinued study drug prematurely due to adverse events was </w:t>
      </w:r>
      <w:r w:rsidRPr="00BC1193">
        <w:rPr>
          <w:rFonts w:ascii="Cambria" w:eastAsia="SimSun" w:hAnsi="Cambria"/>
          <w:bCs/>
          <w:szCs w:val="22"/>
        </w:rPr>
        <w:t>1</w:t>
      </w:r>
      <w:r w:rsidRPr="00BC1193">
        <w:rPr>
          <w:rFonts w:ascii="Cambria" w:eastAsia="SimSun" w:hAnsi="Cambria"/>
          <w:szCs w:val="22"/>
        </w:rPr>
        <w:t>% for T</w:t>
      </w:r>
      <w:r w:rsidR="002A3388">
        <w:rPr>
          <w:rFonts w:ascii="Cambria" w:eastAsia="SimSun" w:hAnsi="Cambria"/>
          <w:szCs w:val="22"/>
        </w:rPr>
        <w:t>RIKAFTA</w:t>
      </w:r>
      <w:r w:rsidRPr="00BC1193">
        <w:rPr>
          <w:rFonts w:ascii="Cambria" w:eastAsia="SimSun" w:hAnsi="Cambria"/>
          <w:szCs w:val="22"/>
        </w:rPr>
        <w:noBreakHyphen/>
        <w:t xml:space="preserve">treated patients and </w:t>
      </w:r>
      <w:r w:rsidRPr="00BC1193">
        <w:rPr>
          <w:rFonts w:ascii="Cambria" w:eastAsia="SimSun" w:hAnsi="Cambria"/>
          <w:bCs/>
          <w:szCs w:val="22"/>
        </w:rPr>
        <w:t>0</w:t>
      </w:r>
      <w:r w:rsidRPr="00BC1193">
        <w:rPr>
          <w:rFonts w:ascii="Cambria" w:eastAsia="SimSun" w:hAnsi="Cambria"/>
          <w:szCs w:val="22"/>
        </w:rPr>
        <w:t>% for placebo</w:t>
      </w:r>
      <w:r w:rsidRPr="00BC1193">
        <w:rPr>
          <w:rFonts w:ascii="Cambria" w:eastAsia="SimSun" w:hAnsi="Cambria"/>
          <w:szCs w:val="22"/>
        </w:rPr>
        <w:noBreakHyphen/>
        <w:t xml:space="preserve">treated patients. </w:t>
      </w:r>
    </w:p>
    <w:p w14:paraId="417270C5" w14:textId="77777777" w:rsidR="001F1F76" w:rsidRPr="00BC1193" w:rsidRDefault="001F1F76" w:rsidP="001F1F76">
      <w:pPr>
        <w:tabs>
          <w:tab w:val="clear" w:pos="567"/>
        </w:tabs>
        <w:contextualSpacing/>
        <w:rPr>
          <w:rFonts w:ascii="Cambria" w:eastAsia="SimSun" w:hAnsi="Cambria"/>
          <w:szCs w:val="22"/>
        </w:rPr>
      </w:pPr>
    </w:p>
    <w:p w14:paraId="5E5D00DE" w14:textId="58217C70" w:rsidR="001F1F76" w:rsidRPr="00BC1193" w:rsidRDefault="001F1F76" w:rsidP="001F1F76">
      <w:pPr>
        <w:tabs>
          <w:tab w:val="clear" w:pos="567"/>
        </w:tabs>
        <w:contextualSpacing/>
        <w:rPr>
          <w:rFonts w:ascii="Cambria" w:eastAsia="SimSun" w:hAnsi="Cambria"/>
          <w:szCs w:val="22"/>
        </w:rPr>
      </w:pPr>
      <w:r w:rsidRPr="00BC1193">
        <w:rPr>
          <w:rFonts w:ascii="Cambria" w:eastAsia="SimSun" w:hAnsi="Cambria"/>
          <w:szCs w:val="22"/>
        </w:rPr>
        <w:t>Serious adverse drug reactions that occurred more frequently in T</w:t>
      </w:r>
      <w:r w:rsidR="002A3388">
        <w:rPr>
          <w:rFonts w:ascii="Cambria" w:eastAsia="SimSun" w:hAnsi="Cambria"/>
          <w:szCs w:val="22"/>
        </w:rPr>
        <w:t>RIKAFTA</w:t>
      </w:r>
      <w:r w:rsidRPr="00BC1193">
        <w:rPr>
          <w:rFonts w:ascii="Cambria" w:eastAsia="SimSun" w:hAnsi="Cambria"/>
          <w:szCs w:val="22"/>
        </w:rPr>
        <w:noBreakHyphen/>
        <w:t>treated patients compared to placebo were rash events in 3 (1.5%) T</w:t>
      </w:r>
      <w:r w:rsidR="002A3388">
        <w:rPr>
          <w:rFonts w:ascii="Cambria" w:eastAsia="SimSun" w:hAnsi="Cambria"/>
          <w:szCs w:val="22"/>
        </w:rPr>
        <w:t>RIKAFTA</w:t>
      </w:r>
      <w:r w:rsidRPr="00BC1193">
        <w:rPr>
          <w:rFonts w:ascii="Cambria" w:eastAsia="SimSun" w:hAnsi="Cambria"/>
          <w:szCs w:val="22"/>
        </w:rPr>
        <w:noBreakHyphen/>
        <w:t>treated patients vs.1 (0.5%) placebo. The most common (≥</w:t>
      </w:r>
      <w:r w:rsidRPr="00BC1193">
        <w:rPr>
          <w:rFonts w:ascii="Cambria" w:eastAsia="SimSun" w:hAnsi="Cambria"/>
          <w:bCs/>
          <w:szCs w:val="22"/>
        </w:rPr>
        <w:t>10%)</w:t>
      </w:r>
      <w:r w:rsidRPr="00BC1193">
        <w:rPr>
          <w:rFonts w:ascii="Cambria" w:eastAsia="SimSun" w:hAnsi="Cambria"/>
          <w:szCs w:val="22"/>
        </w:rPr>
        <w:t xml:space="preserve"> adverse drug reactions in patients treated with T</w:t>
      </w:r>
      <w:r w:rsidR="002A3388">
        <w:rPr>
          <w:rFonts w:ascii="Cambria" w:eastAsia="SimSun" w:hAnsi="Cambria"/>
          <w:szCs w:val="22"/>
        </w:rPr>
        <w:t>RIKAFTA</w:t>
      </w:r>
      <w:r w:rsidRPr="00BC1193">
        <w:rPr>
          <w:rFonts w:ascii="Cambria" w:eastAsia="SimSun" w:hAnsi="Cambria"/>
          <w:szCs w:val="22"/>
        </w:rPr>
        <w:t xml:space="preserve"> were headache, diarrh</w:t>
      </w:r>
      <w:r w:rsidR="00D74967" w:rsidRPr="00BC1193">
        <w:rPr>
          <w:rFonts w:ascii="Cambria" w:eastAsia="SimSun" w:hAnsi="Cambria"/>
          <w:szCs w:val="22"/>
        </w:rPr>
        <w:t>o</w:t>
      </w:r>
      <w:r w:rsidRPr="00BC1193">
        <w:rPr>
          <w:rFonts w:ascii="Cambria" w:eastAsia="SimSun" w:hAnsi="Cambria"/>
          <w:szCs w:val="22"/>
        </w:rPr>
        <w:t>ea and upper respiratory tract infection.</w:t>
      </w:r>
    </w:p>
    <w:p w14:paraId="30F7338B" w14:textId="77777777" w:rsidR="001F1F76" w:rsidRPr="00BC1193" w:rsidRDefault="001F1F76" w:rsidP="001F1F76">
      <w:pPr>
        <w:pStyle w:val="labeltext"/>
        <w:contextualSpacing/>
        <w:rPr>
          <w:rFonts w:ascii="Cambria" w:hAnsi="Cambria"/>
          <w:bCs/>
          <w:sz w:val="22"/>
          <w:szCs w:val="22"/>
        </w:rPr>
      </w:pPr>
    </w:p>
    <w:p w14:paraId="16812EBF" w14:textId="17AFB426" w:rsidR="001F1F76" w:rsidRPr="00BC1193" w:rsidRDefault="001F1F76" w:rsidP="001F1F76">
      <w:pPr>
        <w:pStyle w:val="labeltext"/>
        <w:contextualSpacing/>
        <w:rPr>
          <w:rFonts w:ascii="Cambria" w:hAnsi="Cambria"/>
          <w:bCs/>
          <w:sz w:val="22"/>
          <w:szCs w:val="22"/>
        </w:rPr>
      </w:pPr>
      <w:r w:rsidRPr="00BC1193">
        <w:rPr>
          <w:rFonts w:ascii="Cambria" w:hAnsi="Cambria"/>
          <w:bCs/>
          <w:sz w:val="22"/>
          <w:szCs w:val="22"/>
        </w:rPr>
        <w:t>The safety profile of T</w:t>
      </w:r>
      <w:r w:rsidR="002A3388">
        <w:rPr>
          <w:rFonts w:ascii="Cambria" w:hAnsi="Cambria"/>
          <w:bCs/>
          <w:sz w:val="22"/>
          <w:szCs w:val="22"/>
        </w:rPr>
        <w:t>RIKAFTA</w:t>
      </w:r>
      <w:r w:rsidRPr="00BC1193">
        <w:rPr>
          <w:rFonts w:ascii="Cambria" w:hAnsi="Cambria"/>
          <w:bCs/>
          <w:sz w:val="22"/>
          <w:szCs w:val="22"/>
        </w:rPr>
        <w:t xml:space="preserve"> was generally similar across all subgroups of patients, including analysis by age, sex, baseline percent predicted FEV</w:t>
      </w:r>
      <w:r w:rsidRPr="00BC1193">
        <w:rPr>
          <w:rFonts w:ascii="Cambria" w:hAnsi="Cambria"/>
          <w:bCs/>
          <w:sz w:val="22"/>
          <w:szCs w:val="22"/>
          <w:vertAlign w:val="subscript"/>
        </w:rPr>
        <w:t xml:space="preserve">1 </w:t>
      </w:r>
      <w:r w:rsidRPr="00BC1193">
        <w:rPr>
          <w:rFonts w:ascii="Cambria" w:hAnsi="Cambria"/>
          <w:bCs/>
          <w:sz w:val="22"/>
          <w:szCs w:val="22"/>
        </w:rPr>
        <w:t>(ppFEV</w:t>
      </w:r>
      <w:r w:rsidRPr="00BC1193">
        <w:rPr>
          <w:rFonts w:ascii="Cambria" w:hAnsi="Cambria"/>
          <w:bCs/>
          <w:sz w:val="22"/>
          <w:szCs w:val="22"/>
          <w:vertAlign w:val="subscript"/>
        </w:rPr>
        <w:t>1</w:t>
      </w:r>
      <w:r w:rsidRPr="00BC1193">
        <w:rPr>
          <w:rFonts w:ascii="Cambria" w:hAnsi="Cambria"/>
          <w:bCs/>
          <w:sz w:val="22"/>
          <w:szCs w:val="22"/>
        </w:rPr>
        <w:t>), and geographic regions.</w:t>
      </w:r>
    </w:p>
    <w:p w14:paraId="49F2B2C7" w14:textId="77777777" w:rsidR="00411C9E" w:rsidRPr="00BC1193" w:rsidRDefault="00411C9E" w:rsidP="00411C9E">
      <w:pPr>
        <w:rPr>
          <w:rFonts w:ascii="Cambria" w:hAnsi="Cambria"/>
        </w:rPr>
      </w:pPr>
    </w:p>
    <w:p w14:paraId="22C0CE96" w14:textId="4A9ED904" w:rsidR="00411C9E" w:rsidRPr="00BC1193" w:rsidRDefault="00411C9E" w:rsidP="00BC1193">
      <w:pPr>
        <w:rPr>
          <w:rFonts w:ascii="Cambria" w:hAnsi="Cambria"/>
        </w:rPr>
      </w:pPr>
      <w:r w:rsidRPr="00BC1193">
        <w:rPr>
          <w:rFonts w:ascii="Cambria" w:hAnsi="Cambria"/>
        </w:rPr>
        <w:t xml:space="preserve">Table </w:t>
      </w:r>
      <w:r w:rsidR="002A3388">
        <w:rPr>
          <w:rFonts w:ascii="Cambria" w:hAnsi="Cambria"/>
        </w:rPr>
        <w:t>5</w:t>
      </w:r>
      <w:r w:rsidRPr="00BC1193">
        <w:rPr>
          <w:rFonts w:ascii="Cambria" w:hAnsi="Cambria"/>
        </w:rPr>
        <w:t xml:space="preserve"> shows adverse events with an incidence of at least 10% </w:t>
      </w:r>
      <w:r w:rsidR="00BC1193" w:rsidRPr="00BC1193">
        <w:rPr>
          <w:rFonts w:ascii="Cambria" w:hAnsi="Cambria"/>
        </w:rPr>
        <w:t xml:space="preserve">in any treatment group </w:t>
      </w:r>
      <w:r w:rsidRPr="00BC1193">
        <w:rPr>
          <w:rFonts w:ascii="Cambria" w:hAnsi="Cambria"/>
        </w:rPr>
        <w:t>from the double-blind, placebo-controlled, Phase 3 clinical Study 445-102 (24 weeks duration).</w:t>
      </w:r>
    </w:p>
    <w:p w14:paraId="014F16DC" w14:textId="77777777" w:rsidR="00BC1193" w:rsidRPr="00BC1193" w:rsidRDefault="00BC1193" w:rsidP="00BC1193">
      <w:pPr>
        <w:tabs>
          <w:tab w:val="clear" w:pos="567"/>
        </w:tabs>
        <w:autoSpaceDE w:val="0"/>
        <w:autoSpaceDN w:val="0"/>
        <w:adjustRightInd w:val="0"/>
        <w:rPr>
          <w:rFonts w:ascii="Cambria" w:eastAsia="TimesNewRoman" w:hAnsi="Cambria"/>
          <w:sz w:val="24"/>
          <w:szCs w:val="24"/>
        </w:rPr>
      </w:pPr>
    </w:p>
    <w:tbl>
      <w:tblPr>
        <w:tblStyle w:val="TableGrid"/>
        <w:tblW w:w="3742" w:type="pct"/>
        <w:tblLook w:val="04A0" w:firstRow="1" w:lastRow="0" w:firstColumn="1" w:lastColumn="0" w:noHBand="0" w:noVBand="1"/>
      </w:tblPr>
      <w:tblGrid>
        <w:gridCol w:w="4208"/>
        <w:gridCol w:w="1278"/>
        <w:gridCol w:w="1257"/>
      </w:tblGrid>
      <w:tr w:rsidR="00BC1193" w:rsidRPr="00D32466" w14:paraId="132CC51B" w14:textId="77777777" w:rsidTr="00153BFF">
        <w:trPr>
          <w:trHeight w:val="872"/>
        </w:trPr>
        <w:tc>
          <w:tcPr>
            <w:tcW w:w="5000" w:type="pct"/>
            <w:gridSpan w:val="3"/>
          </w:tcPr>
          <w:p w14:paraId="522C93BE" w14:textId="4228DFA5" w:rsidR="00BC1193" w:rsidRPr="00774F5C" w:rsidRDefault="00BC1193" w:rsidP="00153BFF">
            <w:pPr>
              <w:tabs>
                <w:tab w:val="clear" w:pos="567"/>
              </w:tabs>
              <w:ind w:left="900" w:hanging="900"/>
              <w:rPr>
                <w:rFonts w:ascii="Cambria" w:hAnsi="Cambria"/>
                <w:b/>
                <w:bCs/>
                <w:szCs w:val="22"/>
              </w:rPr>
            </w:pPr>
            <w:r w:rsidRPr="00774F5C">
              <w:rPr>
                <w:rFonts w:ascii="Cambria" w:hAnsi="Cambria"/>
                <w:b/>
                <w:bCs/>
                <w:szCs w:val="22"/>
              </w:rPr>
              <w:t xml:space="preserve">Table </w:t>
            </w:r>
            <w:r w:rsidR="002A3388">
              <w:rPr>
                <w:rFonts w:ascii="Cambria" w:hAnsi="Cambria"/>
                <w:b/>
                <w:bCs/>
                <w:szCs w:val="22"/>
              </w:rPr>
              <w:t>5</w:t>
            </w:r>
            <w:r w:rsidR="003368DF">
              <w:rPr>
                <w:rFonts w:ascii="Cambria" w:hAnsi="Cambria"/>
                <w:b/>
                <w:bCs/>
                <w:szCs w:val="22"/>
              </w:rPr>
              <w:t>:</w:t>
            </w:r>
            <w:r w:rsidRPr="00774F5C">
              <w:rPr>
                <w:rFonts w:ascii="Cambria" w:hAnsi="Cambria"/>
                <w:b/>
                <w:bCs/>
                <w:szCs w:val="22"/>
              </w:rPr>
              <w:t xml:space="preserve"> Adverse Events </w:t>
            </w:r>
            <w:r w:rsidR="00430B9B" w:rsidRPr="00774F5C">
              <w:rPr>
                <w:rFonts w:ascii="Cambria" w:hAnsi="Cambria"/>
                <w:b/>
                <w:bCs/>
                <w:szCs w:val="22"/>
              </w:rPr>
              <w:t>with</w:t>
            </w:r>
            <w:r w:rsidRPr="00774F5C">
              <w:rPr>
                <w:rFonts w:ascii="Cambria" w:hAnsi="Cambria"/>
                <w:b/>
                <w:bCs/>
                <w:szCs w:val="22"/>
              </w:rPr>
              <w:t xml:space="preserve"> an Incidence of at Least 10% </w:t>
            </w:r>
            <w:r>
              <w:rPr>
                <w:rFonts w:ascii="Cambria" w:hAnsi="Cambria"/>
                <w:b/>
                <w:bCs/>
                <w:szCs w:val="22"/>
              </w:rPr>
              <w:t>in Any Treatment Group of</w:t>
            </w:r>
            <w:r w:rsidRPr="00774F5C">
              <w:rPr>
                <w:rFonts w:ascii="Cambria" w:hAnsi="Cambria"/>
                <w:b/>
                <w:bCs/>
                <w:szCs w:val="22"/>
              </w:rPr>
              <w:t xml:space="preserve"> Patients Aged 12 Years and Older </w:t>
            </w:r>
            <w:r>
              <w:rPr>
                <w:rFonts w:ascii="Cambria" w:hAnsi="Cambria"/>
                <w:b/>
                <w:bCs/>
                <w:szCs w:val="22"/>
              </w:rPr>
              <w:t>w</w:t>
            </w:r>
            <w:r w:rsidRPr="00774F5C">
              <w:rPr>
                <w:rFonts w:ascii="Cambria" w:hAnsi="Cambria"/>
                <w:b/>
                <w:bCs/>
                <w:szCs w:val="22"/>
              </w:rPr>
              <w:t xml:space="preserve">ho </w:t>
            </w:r>
            <w:r>
              <w:rPr>
                <w:rFonts w:ascii="Cambria" w:hAnsi="Cambria"/>
                <w:b/>
                <w:bCs/>
                <w:szCs w:val="22"/>
              </w:rPr>
              <w:t>were Hetero</w:t>
            </w:r>
            <w:r w:rsidR="00E270BE">
              <w:rPr>
                <w:rFonts w:ascii="Cambria" w:hAnsi="Cambria"/>
                <w:b/>
                <w:bCs/>
                <w:szCs w:val="22"/>
              </w:rPr>
              <w:t>zygous</w:t>
            </w:r>
            <w:r>
              <w:rPr>
                <w:rFonts w:ascii="Cambria" w:hAnsi="Cambria"/>
                <w:b/>
                <w:bCs/>
                <w:szCs w:val="22"/>
              </w:rPr>
              <w:t xml:space="preserve"> for the</w:t>
            </w:r>
            <w:r w:rsidRPr="00774F5C">
              <w:rPr>
                <w:rFonts w:ascii="Cambria" w:hAnsi="Cambria"/>
                <w:b/>
                <w:bCs/>
                <w:szCs w:val="22"/>
              </w:rPr>
              <w:t xml:space="preserve"> </w:t>
            </w:r>
            <w:r w:rsidRPr="007A11E5">
              <w:rPr>
                <w:rFonts w:ascii="Cambria" w:hAnsi="Cambria"/>
                <w:b/>
                <w:bCs/>
                <w:i/>
                <w:szCs w:val="22"/>
              </w:rPr>
              <w:t>F508del</w:t>
            </w:r>
            <w:r>
              <w:rPr>
                <w:rFonts w:ascii="Cambria" w:hAnsi="Cambria"/>
                <w:b/>
                <w:bCs/>
                <w:i/>
                <w:szCs w:val="22"/>
              </w:rPr>
              <w:t xml:space="preserve"> </w:t>
            </w:r>
            <w:r w:rsidRPr="00774F5C">
              <w:rPr>
                <w:rFonts w:ascii="Cambria" w:hAnsi="Cambria"/>
                <w:b/>
                <w:bCs/>
                <w:szCs w:val="22"/>
              </w:rPr>
              <w:t>Mutation in the CFTR Gene</w:t>
            </w:r>
          </w:p>
        </w:tc>
      </w:tr>
      <w:tr w:rsidR="00BC1193" w:rsidRPr="00746250" w14:paraId="3DA01F66" w14:textId="77777777" w:rsidTr="00153BFF">
        <w:trPr>
          <w:trHeight w:val="840"/>
        </w:trPr>
        <w:tc>
          <w:tcPr>
            <w:tcW w:w="3139" w:type="pct"/>
            <w:vAlign w:val="bottom"/>
          </w:tcPr>
          <w:p w14:paraId="37925D06" w14:textId="77777777" w:rsidR="00BC1193" w:rsidRPr="0047158F" w:rsidRDefault="00BC1193" w:rsidP="00153BFF">
            <w:pPr>
              <w:rPr>
                <w:rFonts w:ascii="Cambria" w:hAnsi="Cambria"/>
                <w:b/>
                <w:bCs/>
                <w:szCs w:val="22"/>
              </w:rPr>
            </w:pPr>
            <w:r w:rsidRPr="0047158F">
              <w:rPr>
                <w:rFonts w:ascii="Cambria" w:hAnsi="Cambria"/>
                <w:b/>
                <w:bCs/>
                <w:szCs w:val="22"/>
              </w:rPr>
              <w:t>Preferred Term</w:t>
            </w:r>
          </w:p>
        </w:tc>
        <w:tc>
          <w:tcPr>
            <w:tcW w:w="911" w:type="pct"/>
          </w:tcPr>
          <w:p w14:paraId="05077C36" w14:textId="31959B72" w:rsidR="00BC1193" w:rsidRPr="00C11BDD" w:rsidRDefault="00BC1193" w:rsidP="00153BFF">
            <w:pPr>
              <w:tabs>
                <w:tab w:val="clear" w:pos="567"/>
              </w:tabs>
              <w:jc w:val="center"/>
              <w:rPr>
                <w:rFonts w:ascii="Cambria" w:hAnsi="Cambria"/>
                <w:b/>
                <w:bCs/>
                <w:szCs w:val="22"/>
              </w:rPr>
            </w:pPr>
            <w:r w:rsidRPr="00C11BDD">
              <w:rPr>
                <w:rFonts w:ascii="Cambria" w:hAnsi="Cambria"/>
                <w:b/>
                <w:bCs/>
                <w:szCs w:val="22"/>
              </w:rPr>
              <w:t>T</w:t>
            </w:r>
            <w:r w:rsidR="002A3388">
              <w:rPr>
                <w:rFonts w:ascii="Cambria" w:hAnsi="Cambria"/>
                <w:b/>
                <w:bCs/>
                <w:szCs w:val="22"/>
              </w:rPr>
              <w:t>RIKAFTA</w:t>
            </w:r>
          </w:p>
          <w:p w14:paraId="0B34CC9B" w14:textId="77777777" w:rsidR="00BC1193" w:rsidRPr="00746250" w:rsidRDefault="00BC1193" w:rsidP="00153BFF">
            <w:pPr>
              <w:tabs>
                <w:tab w:val="clear" w:pos="567"/>
              </w:tabs>
              <w:jc w:val="center"/>
              <w:rPr>
                <w:rFonts w:ascii="Cambria" w:hAnsi="Cambria"/>
                <w:b/>
                <w:bCs/>
                <w:szCs w:val="22"/>
              </w:rPr>
            </w:pPr>
            <w:r w:rsidRPr="00746250">
              <w:rPr>
                <w:rFonts w:ascii="Cambria" w:hAnsi="Cambria"/>
                <w:b/>
                <w:bCs/>
                <w:szCs w:val="22"/>
              </w:rPr>
              <w:t>N=202</w:t>
            </w:r>
          </w:p>
          <w:p w14:paraId="039A1780" w14:textId="77777777" w:rsidR="00BC1193" w:rsidRPr="00746250" w:rsidRDefault="00BC1193" w:rsidP="00153BFF">
            <w:pPr>
              <w:jc w:val="center"/>
              <w:rPr>
                <w:rFonts w:ascii="Cambria" w:hAnsi="Cambria"/>
                <w:b/>
                <w:bCs/>
                <w:szCs w:val="22"/>
              </w:rPr>
            </w:pPr>
            <w:r w:rsidRPr="00746250">
              <w:rPr>
                <w:rFonts w:ascii="Cambria" w:hAnsi="Cambria"/>
                <w:b/>
                <w:bCs/>
                <w:szCs w:val="22"/>
              </w:rPr>
              <w:t>n (%)</w:t>
            </w:r>
          </w:p>
        </w:tc>
        <w:tc>
          <w:tcPr>
            <w:tcW w:w="950" w:type="pct"/>
          </w:tcPr>
          <w:p w14:paraId="49843E06" w14:textId="77777777" w:rsidR="00BC1193" w:rsidRPr="00746250" w:rsidRDefault="00BC1193" w:rsidP="00153BFF">
            <w:pPr>
              <w:tabs>
                <w:tab w:val="clear" w:pos="567"/>
              </w:tabs>
              <w:jc w:val="center"/>
              <w:rPr>
                <w:rFonts w:ascii="Cambria" w:hAnsi="Cambria"/>
                <w:b/>
                <w:bCs/>
                <w:szCs w:val="22"/>
              </w:rPr>
            </w:pPr>
            <w:r w:rsidRPr="00746250">
              <w:rPr>
                <w:rFonts w:ascii="Cambria" w:hAnsi="Cambria"/>
                <w:b/>
                <w:bCs/>
                <w:szCs w:val="22"/>
              </w:rPr>
              <w:t>Placebo</w:t>
            </w:r>
          </w:p>
          <w:p w14:paraId="714C52AE" w14:textId="77777777" w:rsidR="00BC1193" w:rsidRPr="00746250" w:rsidRDefault="00BC1193" w:rsidP="00153BFF">
            <w:pPr>
              <w:tabs>
                <w:tab w:val="clear" w:pos="567"/>
              </w:tabs>
              <w:jc w:val="center"/>
              <w:rPr>
                <w:rFonts w:ascii="Cambria" w:hAnsi="Cambria"/>
                <w:b/>
                <w:bCs/>
                <w:szCs w:val="22"/>
              </w:rPr>
            </w:pPr>
            <w:r w:rsidRPr="00746250">
              <w:rPr>
                <w:rFonts w:ascii="Cambria" w:hAnsi="Cambria"/>
                <w:b/>
                <w:bCs/>
                <w:szCs w:val="22"/>
              </w:rPr>
              <w:t>N=201</w:t>
            </w:r>
          </w:p>
          <w:p w14:paraId="180CC9A3" w14:textId="77777777" w:rsidR="00BC1193" w:rsidRPr="00746250" w:rsidRDefault="00BC1193" w:rsidP="00153BFF">
            <w:pPr>
              <w:jc w:val="center"/>
              <w:rPr>
                <w:rFonts w:ascii="Cambria" w:hAnsi="Cambria"/>
                <w:b/>
                <w:bCs/>
                <w:szCs w:val="22"/>
              </w:rPr>
            </w:pPr>
            <w:r w:rsidRPr="00746250">
              <w:rPr>
                <w:rFonts w:ascii="Cambria" w:hAnsi="Cambria"/>
                <w:b/>
                <w:bCs/>
                <w:szCs w:val="22"/>
              </w:rPr>
              <w:t>n (%)</w:t>
            </w:r>
          </w:p>
        </w:tc>
      </w:tr>
      <w:tr w:rsidR="00BC1193" w:rsidRPr="00746250" w14:paraId="5916A034" w14:textId="77777777" w:rsidTr="00153BFF">
        <w:trPr>
          <w:trHeight w:val="291"/>
        </w:trPr>
        <w:tc>
          <w:tcPr>
            <w:tcW w:w="3139" w:type="pct"/>
          </w:tcPr>
          <w:p w14:paraId="42E153D6" w14:textId="77777777" w:rsidR="00BC1193" w:rsidRPr="0047158F" w:rsidRDefault="00BC1193" w:rsidP="00153BFF">
            <w:pPr>
              <w:rPr>
                <w:rFonts w:ascii="Cambria" w:hAnsi="Cambria"/>
                <w:szCs w:val="22"/>
              </w:rPr>
            </w:pPr>
            <w:r w:rsidRPr="00746250">
              <w:rPr>
                <w:rFonts w:ascii="Cambria" w:hAnsi="Cambria" w:cs="Courier New"/>
                <w:color w:val="000000"/>
                <w:szCs w:val="22"/>
              </w:rPr>
              <w:t>Infective pulmonary exacerbation of cystic fibrosis</w:t>
            </w:r>
          </w:p>
        </w:tc>
        <w:tc>
          <w:tcPr>
            <w:tcW w:w="911" w:type="pct"/>
          </w:tcPr>
          <w:p w14:paraId="595A1308" w14:textId="77777777" w:rsidR="00BC1193" w:rsidRPr="00C11BDD" w:rsidRDefault="00BC1193" w:rsidP="00153BFF">
            <w:pPr>
              <w:jc w:val="center"/>
              <w:rPr>
                <w:rFonts w:ascii="Cambria" w:hAnsi="Cambria"/>
                <w:szCs w:val="22"/>
              </w:rPr>
            </w:pPr>
            <w:r w:rsidRPr="00C11BDD">
              <w:rPr>
                <w:rFonts w:ascii="Cambria" w:hAnsi="Cambria"/>
                <w:szCs w:val="22"/>
              </w:rPr>
              <w:t>44 (21.8)</w:t>
            </w:r>
          </w:p>
        </w:tc>
        <w:tc>
          <w:tcPr>
            <w:tcW w:w="950" w:type="pct"/>
          </w:tcPr>
          <w:p w14:paraId="6F98EF06" w14:textId="77777777" w:rsidR="00BC1193" w:rsidRPr="00746250" w:rsidRDefault="00BC1193" w:rsidP="00153BFF">
            <w:pPr>
              <w:jc w:val="center"/>
              <w:rPr>
                <w:rFonts w:ascii="Cambria" w:hAnsi="Cambria"/>
                <w:szCs w:val="22"/>
              </w:rPr>
            </w:pPr>
            <w:r w:rsidRPr="00746250">
              <w:rPr>
                <w:rFonts w:ascii="Cambria" w:hAnsi="Cambria"/>
                <w:szCs w:val="22"/>
              </w:rPr>
              <w:t>95 (47.3)</w:t>
            </w:r>
          </w:p>
        </w:tc>
      </w:tr>
      <w:tr w:rsidR="00BC1193" w:rsidRPr="00746250" w14:paraId="5DE9B9ED" w14:textId="77777777" w:rsidTr="00153BFF">
        <w:trPr>
          <w:trHeight w:val="291"/>
        </w:trPr>
        <w:tc>
          <w:tcPr>
            <w:tcW w:w="3139" w:type="pct"/>
          </w:tcPr>
          <w:p w14:paraId="540CE1CD" w14:textId="77777777" w:rsidR="00BC1193" w:rsidRPr="0047158F" w:rsidRDefault="00BC1193" w:rsidP="00153BFF">
            <w:pPr>
              <w:rPr>
                <w:rFonts w:ascii="Cambria" w:hAnsi="Cambria"/>
                <w:szCs w:val="22"/>
              </w:rPr>
            </w:pPr>
            <w:r w:rsidRPr="0047158F">
              <w:rPr>
                <w:rFonts w:ascii="Cambria" w:hAnsi="Cambria"/>
                <w:szCs w:val="22"/>
              </w:rPr>
              <w:t>Sputum increased</w:t>
            </w:r>
          </w:p>
        </w:tc>
        <w:tc>
          <w:tcPr>
            <w:tcW w:w="911" w:type="pct"/>
          </w:tcPr>
          <w:p w14:paraId="0D3F596E" w14:textId="77777777" w:rsidR="00BC1193" w:rsidRPr="0047158F" w:rsidRDefault="00BC1193" w:rsidP="00153BFF">
            <w:pPr>
              <w:jc w:val="center"/>
              <w:rPr>
                <w:rFonts w:ascii="Cambria" w:hAnsi="Cambria"/>
                <w:szCs w:val="22"/>
              </w:rPr>
            </w:pPr>
            <w:r w:rsidRPr="00746250">
              <w:rPr>
                <w:rFonts w:ascii="Cambria" w:hAnsi="Cambria" w:cs="Courier New"/>
                <w:color w:val="000000"/>
                <w:szCs w:val="22"/>
              </w:rPr>
              <w:t>40 (19.8)</w:t>
            </w:r>
          </w:p>
        </w:tc>
        <w:tc>
          <w:tcPr>
            <w:tcW w:w="950" w:type="pct"/>
          </w:tcPr>
          <w:p w14:paraId="52569046" w14:textId="77777777" w:rsidR="00BC1193" w:rsidRPr="0047158F" w:rsidRDefault="00BC1193" w:rsidP="00153BFF">
            <w:pPr>
              <w:jc w:val="center"/>
              <w:rPr>
                <w:rFonts w:ascii="Cambria" w:hAnsi="Cambria"/>
                <w:szCs w:val="22"/>
              </w:rPr>
            </w:pPr>
            <w:r w:rsidRPr="00746250">
              <w:rPr>
                <w:rFonts w:ascii="Cambria" w:hAnsi="Cambria" w:cs="Courier New"/>
                <w:color w:val="000000"/>
                <w:szCs w:val="22"/>
              </w:rPr>
              <w:t>39 (19.4)</w:t>
            </w:r>
          </w:p>
        </w:tc>
      </w:tr>
      <w:tr w:rsidR="00BC1193" w:rsidRPr="00746250" w14:paraId="43F41BFC" w14:textId="77777777" w:rsidTr="00153BFF">
        <w:trPr>
          <w:trHeight w:val="222"/>
        </w:trPr>
        <w:tc>
          <w:tcPr>
            <w:tcW w:w="3139" w:type="pct"/>
          </w:tcPr>
          <w:p w14:paraId="6A8E9389" w14:textId="77777777" w:rsidR="00BC1193" w:rsidRPr="0047158F" w:rsidRDefault="00BC1193" w:rsidP="00153BFF">
            <w:pPr>
              <w:rPr>
                <w:rFonts w:ascii="Cambria" w:hAnsi="Cambria"/>
                <w:szCs w:val="22"/>
              </w:rPr>
            </w:pPr>
            <w:r w:rsidRPr="0047158F">
              <w:rPr>
                <w:rFonts w:ascii="Cambria" w:hAnsi="Cambria"/>
                <w:szCs w:val="22"/>
              </w:rPr>
              <w:t>Headache</w:t>
            </w:r>
          </w:p>
        </w:tc>
        <w:tc>
          <w:tcPr>
            <w:tcW w:w="911" w:type="pct"/>
          </w:tcPr>
          <w:p w14:paraId="7ABED1D2" w14:textId="77777777" w:rsidR="00BC1193" w:rsidRPr="00C11BDD" w:rsidRDefault="00BC1193" w:rsidP="00153BFF">
            <w:pPr>
              <w:jc w:val="center"/>
              <w:rPr>
                <w:rFonts w:ascii="Cambria" w:hAnsi="Cambria"/>
                <w:szCs w:val="22"/>
              </w:rPr>
            </w:pPr>
            <w:r w:rsidRPr="00C11BDD">
              <w:rPr>
                <w:rFonts w:ascii="Cambria" w:hAnsi="Cambria"/>
                <w:szCs w:val="22"/>
              </w:rPr>
              <w:t>35 (17.3)</w:t>
            </w:r>
          </w:p>
        </w:tc>
        <w:tc>
          <w:tcPr>
            <w:tcW w:w="950" w:type="pct"/>
          </w:tcPr>
          <w:p w14:paraId="05846A71" w14:textId="77777777" w:rsidR="00BC1193" w:rsidRPr="00746250" w:rsidRDefault="00BC1193" w:rsidP="00153BFF">
            <w:pPr>
              <w:jc w:val="center"/>
              <w:rPr>
                <w:rFonts w:ascii="Cambria" w:hAnsi="Cambria"/>
                <w:szCs w:val="22"/>
              </w:rPr>
            </w:pPr>
            <w:r w:rsidRPr="00746250">
              <w:rPr>
                <w:rFonts w:ascii="Cambria" w:hAnsi="Cambria"/>
                <w:szCs w:val="22"/>
              </w:rPr>
              <w:t>30 (14.9)</w:t>
            </w:r>
          </w:p>
        </w:tc>
      </w:tr>
      <w:tr w:rsidR="00BC1193" w:rsidRPr="00746250" w14:paraId="5E1889D8" w14:textId="77777777" w:rsidTr="00153BFF">
        <w:trPr>
          <w:trHeight w:val="222"/>
        </w:trPr>
        <w:tc>
          <w:tcPr>
            <w:tcW w:w="3139" w:type="pct"/>
          </w:tcPr>
          <w:p w14:paraId="06E26F76" w14:textId="77777777" w:rsidR="00BC1193" w:rsidRPr="0047158F" w:rsidRDefault="00BC1193" w:rsidP="00153BFF">
            <w:pPr>
              <w:rPr>
                <w:rFonts w:ascii="Cambria" w:hAnsi="Cambria"/>
                <w:szCs w:val="22"/>
              </w:rPr>
            </w:pPr>
            <w:r w:rsidRPr="0047158F">
              <w:rPr>
                <w:rFonts w:ascii="Cambria" w:hAnsi="Cambria"/>
                <w:szCs w:val="22"/>
              </w:rPr>
              <w:t>Cough</w:t>
            </w:r>
          </w:p>
        </w:tc>
        <w:tc>
          <w:tcPr>
            <w:tcW w:w="911" w:type="pct"/>
          </w:tcPr>
          <w:p w14:paraId="37DABE56" w14:textId="77777777" w:rsidR="00BC1193" w:rsidRPr="0047158F" w:rsidRDefault="00BC1193" w:rsidP="00153BFF">
            <w:pPr>
              <w:jc w:val="center"/>
              <w:rPr>
                <w:rFonts w:ascii="Cambria" w:hAnsi="Cambria"/>
                <w:szCs w:val="22"/>
              </w:rPr>
            </w:pPr>
            <w:r w:rsidRPr="00746250">
              <w:rPr>
                <w:rFonts w:ascii="Cambria" w:hAnsi="Cambria" w:cs="Courier New"/>
                <w:color w:val="000000"/>
                <w:szCs w:val="22"/>
              </w:rPr>
              <w:t>34 (16.8)</w:t>
            </w:r>
          </w:p>
        </w:tc>
        <w:tc>
          <w:tcPr>
            <w:tcW w:w="950" w:type="pct"/>
          </w:tcPr>
          <w:p w14:paraId="5DC4B31F" w14:textId="77777777" w:rsidR="00BC1193" w:rsidRPr="0047158F" w:rsidRDefault="00BC1193" w:rsidP="00153BFF">
            <w:pPr>
              <w:jc w:val="center"/>
              <w:rPr>
                <w:rFonts w:ascii="Cambria" w:hAnsi="Cambria"/>
                <w:szCs w:val="22"/>
              </w:rPr>
            </w:pPr>
            <w:r w:rsidRPr="00746250">
              <w:rPr>
                <w:rFonts w:ascii="Cambria" w:hAnsi="Cambria" w:cs="Courier New"/>
                <w:color w:val="000000"/>
                <w:szCs w:val="22"/>
              </w:rPr>
              <w:t>77 (38.3)</w:t>
            </w:r>
          </w:p>
        </w:tc>
      </w:tr>
      <w:tr w:rsidR="00BC1193" w:rsidRPr="00746250" w14:paraId="5BFB3052" w14:textId="77777777" w:rsidTr="00153BFF">
        <w:trPr>
          <w:trHeight w:val="291"/>
        </w:trPr>
        <w:tc>
          <w:tcPr>
            <w:tcW w:w="3139" w:type="pct"/>
          </w:tcPr>
          <w:p w14:paraId="6E6D1EA6" w14:textId="77777777" w:rsidR="00BC1193" w:rsidRPr="0047158F" w:rsidRDefault="00BC1193" w:rsidP="00153BFF">
            <w:pPr>
              <w:rPr>
                <w:rFonts w:ascii="Cambria" w:hAnsi="Cambria"/>
                <w:szCs w:val="22"/>
              </w:rPr>
            </w:pPr>
            <w:r w:rsidRPr="0047158F">
              <w:rPr>
                <w:rFonts w:ascii="Cambria" w:hAnsi="Cambria"/>
                <w:szCs w:val="22"/>
              </w:rPr>
              <w:t>Diarrhoea</w:t>
            </w:r>
          </w:p>
        </w:tc>
        <w:tc>
          <w:tcPr>
            <w:tcW w:w="911" w:type="pct"/>
          </w:tcPr>
          <w:p w14:paraId="6B3DB7D2" w14:textId="77777777" w:rsidR="00BC1193" w:rsidRPr="00C11BDD" w:rsidRDefault="00BC1193" w:rsidP="00153BFF">
            <w:pPr>
              <w:jc w:val="center"/>
              <w:rPr>
                <w:rFonts w:ascii="Cambria" w:hAnsi="Cambria"/>
                <w:szCs w:val="22"/>
              </w:rPr>
            </w:pPr>
            <w:r w:rsidRPr="00C11BDD">
              <w:rPr>
                <w:rFonts w:ascii="Cambria" w:hAnsi="Cambria"/>
                <w:szCs w:val="22"/>
              </w:rPr>
              <w:t>26 (12.9)</w:t>
            </w:r>
          </w:p>
        </w:tc>
        <w:tc>
          <w:tcPr>
            <w:tcW w:w="950" w:type="pct"/>
          </w:tcPr>
          <w:p w14:paraId="39C1D452" w14:textId="77777777" w:rsidR="00BC1193" w:rsidRPr="00746250" w:rsidRDefault="00BC1193" w:rsidP="00153BFF">
            <w:pPr>
              <w:jc w:val="center"/>
              <w:rPr>
                <w:rFonts w:ascii="Cambria" w:hAnsi="Cambria"/>
                <w:szCs w:val="22"/>
              </w:rPr>
            </w:pPr>
            <w:r w:rsidRPr="00746250">
              <w:rPr>
                <w:rFonts w:ascii="Cambria" w:hAnsi="Cambria"/>
                <w:szCs w:val="22"/>
              </w:rPr>
              <w:t>14 (7.0)</w:t>
            </w:r>
          </w:p>
        </w:tc>
      </w:tr>
      <w:tr w:rsidR="00BC1193" w:rsidRPr="00746250" w14:paraId="22D306F2" w14:textId="77777777" w:rsidTr="00153BFF">
        <w:trPr>
          <w:trHeight w:val="222"/>
        </w:trPr>
        <w:tc>
          <w:tcPr>
            <w:tcW w:w="3139" w:type="pct"/>
          </w:tcPr>
          <w:p w14:paraId="4E798E28" w14:textId="77777777" w:rsidR="00BC1193" w:rsidRPr="00C11BDD" w:rsidRDefault="00BC1193" w:rsidP="00153BFF">
            <w:pPr>
              <w:rPr>
                <w:rFonts w:ascii="Cambria" w:hAnsi="Cambria"/>
                <w:szCs w:val="22"/>
              </w:rPr>
            </w:pPr>
            <w:r w:rsidRPr="0047158F">
              <w:rPr>
                <w:rFonts w:ascii="Cambria" w:hAnsi="Cambria"/>
                <w:szCs w:val="22"/>
              </w:rPr>
              <w:t>Upper respiratory tract infection</w:t>
            </w:r>
          </w:p>
        </w:tc>
        <w:tc>
          <w:tcPr>
            <w:tcW w:w="911" w:type="pct"/>
          </w:tcPr>
          <w:p w14:paraId="284F829A" w14:textId="77777777" w:rsidR="00BC1193" w:rsidRPr="00746250" w:rsidRDefault="00BC1193" w:rsidP="00153BFF">
            <w:pPr>
              <w:jc w:val="center"/>
              <w:rPr>
                <w:rFonts w:ascii="Cambria" w:hAnsi="Cambria"/>
                <w:szCs w:val="22"/>
              </w:rPr>
            </w:pPr>
            <w:r w:rsidRPr="00746250">
              <w:rPr>
                <w:rFonts w:ascii="Cambria" w:hAnsi="Cambria"/>
                <w:szCs w:val="22"/>
              </w:rPr>
              <w:t>24 (11.9)</w:t>
            </w:r>
          </w:p>
        </w:tc>
        <w:tc>
          <w:tcPr>
            <w:tcW w:w="950" w:type="pct"/>
          </w:tcPr>
          <w:p w14:paraId="0D522145" w14:textId="77777777" w:rsidR="00BC1193" w:rsidRPr="00746250" w:rsidRDefault="00BC1193" w:rsidP="00153BFF">
            <w:pPr>
              <w:jc w:val="center"/>
              <w:rPr>
                <w:rFonts w:ascii="Cambria" w:hAnsi="Cambria"/>
                <w:szCs w:val="22"/>
              </w:rPr>
            </w:pPr>
            <w:r w:rsidRPr="00746250">
              <w:rPr>
                <w:rFonts w:ascii="Cambria" w:hAnsi="Cambria"/>
                <w:szCs w:val="22"/>
              </w:rPr>
              <w:t>22 (10.9)</w:t>
            </w:r>
          </w:p>
        </w:tc>
      </w:tr>
      <w:tr w:rsidR="00BC1193" w:rsidRPr="00746250" w14:paraId="007FA93B" w14:textId="77777777" w:rsidTr="00153BFF">
        <w:trPr>
          <w:trHeight w:val="291"/>
        </w:trPr>
        <w:tc>
          <w:tcPr>
            <w:tcW w:w="3139" w:type="pct"/>
          </w:tcPr>
          <w:p w14:paraId="14BE3235" w14:textId="77777777" w:rsidR="00BC1193" w:rsidRPr="0047158F" w:rsidRDefault="00BC1193" w:rsidP="00153BFF">
            <w:pPr>
              <w:rPr>
                <w:rFonts w:ascii="Cambria" w:hAnsi="Cambria"/>
                <w:szCs w:val="22"/>
              </w:rPr>
            </w:pPr>
            <w:r w:rsidRPr="0047158F">
              <w:rPr>
                <w:rFonts w:ascii="Cambria" w:hAnsi="Cambria"/>
                <w:szCs w:val="22"/>
              </w:rPr>
              <w:t>Nasopharyngitis</w:t>
            </w:r>
          </w:p>
        </w:tc>
        <w:tc>
          <w:tcPr>
            <w:tcW w:w="911" w:type="pct"/>
          </w:tcPr>
          <w:p w14:paraId="5F98C8E2" w14:textId="77777777" w:rsidR="00BC1193" w:rsidRPr="0047158F" w:rsidRDefault="00BC1193" w:rsidP="00153BFF">
            <w:pPr>
              <w:jc w:val="center"/>
              <w:rPr>
                <w:rFonts w:ascii="Cambria" w:hAnsi="Cambria"/>
                <w:szCs w:val="22"/>
              </w:rPr>
            </w:pPr>
            <w:r w:rsidRPr="00746250">
              <w:rPr>
                <w:rFonts w:ascii="Cambria" w:hAnsi="Cambria" w:cs="Courier New"/>
                <w:color w:val="000000"/>
                <w:szCs w:val="22"/>
              </w:rPr>
              <w:t>22 (10.9)</w:t>
            </w:r>
          </w:p>
        </w:tc>
        <w:tc>
          <w:tcPr>
            <w:tcW w:w="950" w:type="pct"/>
          </w:tcPr>
          <w:p w14:paraId="035F77B2" w14:textId="77777777" w:rsidR="00BC1193" w:rsidRPr="0047158F" w:rsidRDefault="00BC1193" w:rsidP="00153BFF">
            <w:pPr>
              <w:jc w:val="center"/>
              <w:rPr>
                <w:rFonts w:ascii="Cambria" w:hAnsi="Cambria"/>
                <w:szCs w:val="22"/>
              </w:rPr>
            </w:pPr>
            <w:r w:rsidRPr="00746250">
              <w:rPr>
                <w:rFonts w:ascii="Cambria" w:hAnsi="Cambria" w:cs="Courier New"/>
                <w:color w:val="000000"/>
                <w:szCs w:val="22"/>
              </w:rPr>
              <w:t>26 (12.9)</w:t>
            </w:r>
          </w:p>
        </w:tc>
      </w:tr>
      <w:tr w:rsidR="001058D5" w:rsidRPr="00746250" w14:paraId="3EFA663F" w14:textId="77777777" w:rsidTr="00153BFF">
        <w:trPr>
          <w:trHeight w:val="291"/>
        </w:trPr>
        <w:tc>
          <w:tcPr>
            <w:tcW w:w="3139" w:type="pct"/>
          </w:tcPr>
          <w:p w14:paraId="08C1BF2F" w14:textId="4EBCFADB" w:rsidR="001058D5" w:rsidRPr="001058D5" w:rsidRDefault="001058D5" w:rsidP="00153BFF">
            <w:pPr>
              <w:rPr>
                <w:rFonts w:ascii="Cambria" w:hAnsi="Cambria"/>
                <w:szCs w:val="22"/>
              </w:rPr>
            </w:pPr>
            <w:r w:rsidRPr="001058D5">
              <w:rPr>
                <w:rFonts w:ascii="Cambria" w:hAnsi="Cambria" w:cs="Courier New"/>
                <w:color w:val="000000"/>
                <w:szCs w:val="18"/>
              </w:rPr>
              <w:t>Oropharyngeal pain</w:t>
            </w:r>
          </w:p>
        </w:tc>
        <w:tc>
          <w:tcPr>
            <w:tcW w:w="911" w:type="pct"/>
          </w:tcPr>
          <w:p w14:paraId="0BD03449" w14:textId="23468B4C" w:rsidR="001058D5" w:rsidRPr="001058D5" w:rsidRDefault="001058D5" w:rsidP="00153BFF">
            <w:pPr>
              <w:jc w:val="center"/>
              <w:rPr>
                <w:rFonts w:ascii="Cambria" w:hAnsi="Cambria" w:cs="Courier New"/>
                <w:color w:val="000000"/>
                <w:szCs w:val="22"/>
              </w:rPr>
            </w:pPr>
            <w:r w:rsidRPr="001058D5">
              <w:rPr>
                <w:rFonts w:ascii="Cambria" w:hAnsi="Cambria" w:cs="Courier New"/>
                <w:color w:val="000000"/>
                <w:szCs w:val="18"/>
              </w:rPr>
              <w:t>20 (9.9)</w:t>
            </w:r>
          </w:p>
        </w:tc>
        <w:tc>
          <w:tcPr>
            <w:tcW w:w="950" w:type="pct"/>
          </w:tcPr>
          <w:p w14:paraId="4D728F90" w14:textId="62FC9B08" w:rsidR="001058D5" w:rsidRPr="001058D5" w:rsidRDefault="001058D5" w:rsidP="00153BFF">
            <w:pPr>
              <w:jc w:val="center"/>
              <w:rPr>
                <w:rFonts w:ascii="Cambria" w:hAnsi="Cambria" w:cs="Courier New"/>
                <w:color w:val="000000"/>
                <w:szCs w:val="22"/>
              </w:rPr>
            </w:pPr>
            <w:r w:rsidRPr="001058D5">
              <w:rPr>
                <w:rFonts w:ascii="Cambria" w:hAnsi="Cambria" w:cs="Courier New"/>
                <w:color w:val="000000"/>
                <w:szCs w:val="18"/>
              </w:rPr>
              <w:t>25 (12.4)</w:t>
            </w:r>
          </w:p>
        </w:tc>
      </w:tr>
      <w:tr w:rsidR="001058D5" w:rsidRPr="00746250" w14:paraId="79686722" w14:textId="77777777" w:rsidTr="00153BFF">
        <w:trPr>
          <w:trHeight w:val="291"/>
        </w:trPr>
        <w:tc>
          <w:tcPr>
            <w:tcW w:w="3139" w:type="pct"/>
          </w:tcPr>
          <w:p w14:paraId="6AED85A1" w14:textId="7B4A87DE" w:rsidR="001058D5" w:rsidRPr="001058D5" w:rsidRDefault="001058D5" w:rsidP="00153BFF">
            <w:pPr>
              <w:rPr>
                <w:rFonts w:ascii="Cambria" w:hAnsi="Cambria"/>
                <w:szCs w:val="22"/>
              </w:rPr>
            </w:pPr>
            <w:r w:rsidRPr="001058D5">
              <w:rPr>
                <w:rFonts w:ascii="Cambria" w:hAnsi="Cambria" w:cs="Courier New"/>
                <w:color w:val="000000"/>
                <w:szCs w:val="18"/>
              </w:rPr>
              <w:t>Haemoptysis</w:t>
            </w:r>
          </w:p>
        </w:tc>
        <w:tc>
          <w:tcPr>
            <w:tcW w:w="911" w:type="pct"/>
          </w:tcPr>
          <w:p w14:paraId="352C4FD3" w14:textId="76D80DA8" w:rsidR="001058D5" w:rsidRPr="001058D5" w:rsidRDefault="001058D5" w:rsidP="00153BFF">
            <w:pPr>
              <w:jc w:val="center"/>
              <w:rPr>
                <w:rFonts w:ascii="Cambria" w:hAnsi="Cambria" w:cs="Courier New"/>
                <w:color w:val="000000"/>
                <w:szCs w:val="22"/>
              </w:rPr>
            </w:pPr>
            <w:r w:rsidRPr="001058D5">
              <w:rPr>
                <w:rFonts w:ascii="Cambria" w:hAnsi="Cambria" w:cs="Courier New"/>
                <w:color w:val="000000"/>
                <w:szCs w:val="18"/>
              </w:rPr>
              <w:t>11 (5.4)</w:t>
            </w:r>
          </w:p>
        </w:tc>
        <w:tc>
          <w:tcPr>
            <w:tcW w:w="950" w:type="pct"/>
          </w:tcPr>
          <w:p w14:paraId="7FFF1F80" w14:textId="32A90571" w:rsidR="001058D5" w:rsidRPr="001058D5" w:rsidRDefault="001058D5" w:rsidP="00153BFF">
            <w:pPr>
              <w:jc w:val="center"/>
              <w:rPr>
                <w:rFonts w:ascii="Cambria" w:hAnsi="Cambria" w:cs="Courier New"/>
                <w:color w:val="000000"/>
                <w:szCs w:val="22"/>
              </w:rPr>
            </w:pPr>
            <w:r w:rsidRPr="001058D5">
              <w:rPr>
                <w:rFonts w:ascii="Cambria" w:hAnsi="Cambria" w:cs="Courier New"/>
                <w:color w:val="000000"/>
                <w:szCs w:val="18"/>
              </w:rPr>
              <w:t>28 (13.9)</w:t>
            </w:r>
          </w:p>
        </w:tc>
      </w:tr>
      <w:tr w:rsidR="001058D5" w:rsidRPr="00746250" w14:paraId="213EB760" w14:textId="77777777" w:rsidTr="00153BFF">
        <w:trPr>
          <w:trHeight w:val="291"/>
        </w:trPr>
        <w:tc>
          <w:tcPr>
            <w:tcW w:w="3139" w:type="pct"/>
          </w:tcPr>
          <w:p w14:paraId="0320F9EC" w14:textId="61579866" w:rsidR="001058D5" w:rsidRPr="001058D5" w:rsidRDefault="001058D5" w:rsidP="00153BFF">
            <w:pPr>
              <w:rPr>
                <w:rFonts w:ascii="Cambria" w:hAnsi="Cambria"/>
              </w:rPr>
            </w:pPr>
            <w:r w:rsidRPr="00566A45">
              <w:rPr>
                <w:rFonts w:ascii="Cambria" w:hAnsi="Cambria" w:cs="Courier New"/>
                <w:color w:val="000000"/>
                <w:szCs w:val="18"/>
              </w:rPr>
              <w:t>Fatigue</w:t>
            </w:r>
          </w:p>
        </w:tc>
        <w:tc>
          <w:tcPr>
            <w:tcW w:w="911" w:type="pct"/>
          </w:tcPr>
          <w:p w14:paraId="23208DC8" w14:textId="6B2409D5" w:rsidR="001058D5" w:rsidRPr="001058D5" w:rsidRDefault="001058D5" w:rsidP="00153BFF">
            <w:pPr>
              <w:jc w:val="center"/>
              <w:rPr>
                <w:rFonts w:ascii="Cambria" w:hAnsi="Cambria" w:cs="Courier New"/>
                <w:color w:val="000000"/>
                <w:szCs w:val="22"/>
              </w:rPr>
            </w:pPr>
            <w:r w:rsidRPr="001058D5">
              <w:rPr>
                <w:rFonts w:ascii="Cambria" w:hAnsi="Cambria" w:cs="Courier New"/>
                <w:color w:val="000000"/>
                <w:szCs w:val="18"/>
              </w:rPr>
              <w:t>9 (4.5)</w:t>
            </w:r>
          </w:p>
        </w:tc>
        <w:tc>
          <w:tcPr>
            <w:tcW w:w="950" w:type="pct"/>
          </w:tcPr>
          <w:p w14:paraId="32EBF5BA" w14:textId="366DB23D" w:rsidR="001058D5" w:rsidRPr="001058D5" w:rsidRDefault="001058D5" w:rsidP="00153BFF">
            <w:pPr>
              <w:jc w:val="center"/>
              <w:rPr>
                <w:rFonts w:ascii="Cambria" w:hAnsi="Cambria" w:cs="Courier New"/>
                <w:color w:val="000000"/>
                <w:szCs w:val="22"/>
              </w:rPr>
            </w:pPr>
            <w:r w:rsidRPr="001058D5">
              <w:rPr>
                <w:rFonts w:ascii="Cambria" w:hAnsi="Cambria" w:cs="Courier New"/>
                <w:color w:val="000000"/>
                <w:szCs w:val="18"/>
              </w:rPr>
              <w:t>20 (10.0)</w:t>
            </w:r>
          </w:p>
        </w:tc>
      </w:tr>
    </w:tbl>
    <w:p w14:paraId="44B46400" w14:textId="77777777" w:rsidR="003368DF" w:rsidRDefault="003368DF" w:rsidP="00DE08E0">
      <w:pPr>
        <w:pStyle w:val="labeltext"/>
        <w:contextualSpacing/>
        <w:rPr>
          <w:rFonts w:ascii="Cambria" w:hAnsi="Cambria"/>
          <w:b/>
          <w:sz w:val="22"/>
          <w:szCs w:val="22"/>
        </w:rPr>
      </w:pPr>
    </w:p>
    <w:p w14:paraId="1968F074" w14:textId="42C94408" w:rsidR="00DE08E0" w:rsidRPr="00DC1F68" w:rsidRDefault="00DE08E0" w:rsidP="00DE08E0">
      <w:pPr>
        <w:pStyle w:val="labeltext"/>
        <w:contextualSpacing/>
        <w:rPr>
          <w:rFonts w:ascii="Cambria" w:hAnsi="Cambria"/>
          <w:b/>
          <w:sz w:val="22"/>
          <w:szCs w:val="22"/>
        </w:rPr>
      </w:pPr>
      <w:r w:rsidRPr="00DC1F68">
        <w:rPr>
          <w:rFonts w:ascii="Cambria" w:hAnsi="Cambria"/>
          <w:b/>
          <w:sz w:val="22"/>
          <w:szCs w:val="22"/>
        </w:rPr>
        <w:t xml:space="preserve">Tabulated list of adverse </w:t>
      </w:r>
      <w:r w:rsidR="008D430C" w:rsidRPr="00DC1F68">
        <w:rPr>
          <w:rFonts w:ascii="Cambria" w:hAnsi="Cambria"/>
          <w:b/>
          <w:sz w:val="22"/>
          <w:szCs w:val="22"/>
        </w:rPr>
        <w:t>reactions</w:t>
      </w:r>
    </w:p>
    <w:p w14:paraId="0658FF22" w14:textId="77777777" w:rsidR="001F1F76" w:rsidRPr="00DC1F68" w:rsidRDefault="001F1F76" w:rsidP="00DE08E0">
      <w:pPr>
        <w:rPr>
          <w:rFonts w:ascii="Cambria" w:hAnsi="Cambria"/>
          <w:b/>
          <w:bCs/>
          <w:szCs w:val="22"/>
        </w:rPr>
      </w:pPr>
    </w:p>
    <w:p w14:paraId="5456AEF6" w14:textId="09000F04" w:rsidR="001F1F76" w:rsidRDefault="001F1F76" w:rsidP="001F1F76">
      <w:pPr>
        <w:rPr>
          <w:rFonts w:ascii="Cambria" w:hAnsi="Cambria"/>
          <w:bCs/>
          <w:szCs w:val="22"/>
        </w:rPr>
      </w:pPr>
      <w:r w:rsidRPr="00DC1F68">
        <w:rPr>
          <w:rFonts w:ascii="Cambria" w:hAnsi="Cambria"/>
          <w:bCs/>
          <w:szCs w:val="22"/>
        </w:rPr>
        <w:t xml:space="preserve">Table </w:t>
      </w:r>
      <w:r w:rsidR="002A3388">
        <w:rPr>
          <w:rFonts w:ascii="Cambria" w:hAnsi="Cambria"/>
          <w:bCs/>
          <w:szCs w:val="22"/>
        </w:rPr>
        <w:t>6</w:t>
      </w:r>
      <w:r w:rsidRPr="00DC1F68">
        <w:rPr>
          <w:rFonts w:ascii="Cambria" w:hAnsi="Cambria"/>
          <w:bCs/>
          <w:szCs w:val="22"/>
        </w:rPr>
        <w:t xml:space="preserve"> shows </w:t>
      </w:r>
      <w:bookmarkStart w:id="29" w:name="_Hlk55994256"/>
      <w:r w:rsidRPr="00DC1F68">
        <w:rPr>
          <w:rFonts w:ascii="Cambria" w:hAnsi="Cambria"/>
          <w:bCs/>
          <w:szCs w:val="22"/>
        </w:rPr>
        <w:t xml:space="preserve">adverse drug </w:t>
      </w:r>
      <w:r w:rsidR="00D601D9">
        <w:rPr>
          <w:rFonts w:ascii="Cambria" w:hAnsi="Cambria"/>
          <w:bCs/>
          <w:szCs w:val="22"/>
        </w:rPr>
        <w:t xml:space="preserve">events </w:t>
      </w:r>
      <w:r w:rsidRPr="00DC1F68">
        <w:rPr>
          <w:rFonts w:ascii="Cambria" w:hAnsi="Cambria"/>
          <w:bCs/>
          <w:szCs w:val="22"/>
        </w:rPr>
        <w:t xml:space="preserve">occurring in ≥8% of </w:t>
      </w:r>
      <w:r w:rsidR="00C71C65" w:rsidRPr="00DC1F68">
        <w:rPr>
          <w:rFonts w:ascii="Cambria" w:hAnsi="Cambria"/>
          <w:bCs/>
          <w:szCs w:val="22"/>
        </w:rPr>
        <w:t>T</w:t>
      </w:r>
      <w:r w:rsidR="002A3388">
        <w:rPr>
          <w:rFonts w:ascii="Cambria" w:hAnsi="Cambria"/>
          <w:bCs/>
          <w:szCs w:val="22"/>
        </w:rPr>
        <w:t>RIKAFTA</w:t>
      </w:r>
      <w:r w:rsidR="005F185E">
        <w:rPr>
          <w:rFonts w:ascii="Cambria" w:hAnsi="Cambria"/>
          <w:bCs/>
          <w:szCs w:val="22"/>
        </w:rPr>
        <w:t>-</w:t>
      </w:r>
      <w:r w:rsidRPr="00DC1F68">
        <w:rPr>
          <w:rFonts w:ascii="Cambria" w:hAnsi="Cambria"/>
          <w:bCs/>
          <w:szCs w:val="22"/>
        </w:rPr>
        <w:t>treated patients and at a frequency higher than placebo by ≥1% in Study 445</w:t>
      </w:r>
      <w:r w:rsidRPr="00DC1F68">
        <w:rPr>
          <w:rFonts w:ascii="Cambria" w:hAnsi="Cambria"/>
          <w:bCs/>
          <w:szCs w:val="22"/>
        </w:rPr>
        <w:noBreakHyphen/>
        <w:t xml:space="preserve">102. </w:t>
      </w:r>
      <w:bookmarkEnd w:id="29"/>
      <w:r w:rsidRPr="00DC1F68">
        <w:rPr>
          <w:rFonts w:ascii="Cambria" w:hAnsi="Cambria"/>
          <w:bCs/>
          <w:szCs w:val="22"/>
        </w:rPr>
        <w:t xml:space="preserve">Adverse drug </w:t>
      </w:r>
      <w:r w:rsidR="00F529A2">
        <w:rPr>
          <w:rFonts w:ascii="Cambria" w:hAnsi="Cambria"/>
          <w:bCs/>
          <w:szCs w:val="22"/>
        </w:rPr>
        <w:t>events</w:t>
      </w:r>
      <w:r w:rsidR="00F529A2" w:rsidRPr="00DC1F68">
        <w:rPr>
          <w:rFonts w:ascii="Cambria" w:hAnsi="Cambria"/>
          <w:bCs/>
          <w:szCs w:val="22"/>
        </w:rPr>
        <w:t xml:space="preserve"> </w:t>
      </w:r>
      <w:r w:rsidRPr="00DC1F68">
        <w:rPr>
          <w:rFonts w:ascii="Cambria" w:hAnsi="Cambria"/>
          <w:bCs/>
          <w:szCs w:val="22"/>
        </w:rPr>
        <w:t xml:space="preserve">for </w:t>
      </w:r>
      <w:r w:rsidR="00C71C65" w:rsidRPr="00DC1F68">
        <w:rPr>
          <w:rFonts w:ascii="Cambria" w:hAnsi="Cambria"/>
          <w:bCs/>
          <w:szCs w:val="22"/>
        </w:rPr>
        <w:t>T</w:t>
      </w:r>
      <w:r w:rsidR="002A3388">
        <w:rPr>
          <w:rFonts w:ascii="Cambria" w:hAnsi="Cambria"/>
          <w:bCs/>
          <w:szCs w:val="22"/>
        </w:rPr>
        <w:t>RIKAFTA</w:t>
      </w:r>
      <w:r w:rsidRPr="00DC1F68">
        <w:rPr>
          <w:rFonts w:ascii="Cambria" w:hAnsi="Cambria"/>
          <w:bCs/>
          <w:szCs w:val="22"/>
        </w:rPr>
        <w:t xml:space="preserve"> are ranked under the MedDRA frequency classification: very common (≥1/10); common (≥1/100 to &lt;1/10); uncommon (≥1/1,000 to &lt;1/100); rare (≥1/10,000 to &lt;1/1,000); very rare (&lt;1/10,000).</w:t>
      </w:r>
    </w:p>
    <w:p w14:paraId="28B1A846" w14:textId="77777777" w:rsidR="00AF1812" w:rsidRPr="00DC1F68" w:rsidRDefault="00AF1812" w:rsidP="001F1F76">
      <w:pPr>
        <w:rPr>
          <w:rFonts w:ascii="Cambria" w:hAnsi="Cambria"/>
          <w:bCs/>
          <w:szCs w:val="22"/>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2455"/>
        <w:gridCol w:w="1440"/>
        <w:gridCol w:w="1506"/>
        <w:gridCol w:w="1678"/>
      </w:tblGrid>
      <w:tr w:rsidR="009D3206" w:rsidRPr="00DC1F68" w14:paraId="3085B8E1" w14:textId="77777777" w:rsidTr="00921FE0">
        <w:trPr>
          <w:cantSplit/>
          <w:trHeight w:val="365"/>
          <w:tblHeader/>
          <w:jc w:val="center"/>
        </w:trPr>
        <w:tc>
          <w:tcPr>
            <w:tcW w:w="5000" w:type="pct"/>
            <w:gridSpan w:val="5"/>
            <w:vAlign w:val="center"/>
          </w:tcPr>
          <w:p w14:paraId="418543C5" w14:textId="624CD0B6" w:rsidR="009D3206" w:rsidRPr="00DC1F68" w:rsidRDefault="009D3206" w:rsidP="006C5236">
            <w:pPr>
              <w:keepNext/>
              <w:rPr>
                <w:rFonts w:ascii="Cambria" w:hAnsi="Cambria"/>
                <w:b/>
                <w:bCs/>
                <w:szCs w:val="22"/>
              </w:rPr>
            </w:pPr>
            <w:r w:rsidRPr="00DC1F68">
              <w:rPr>
                <w:rFonts w:ascii="Cambria" w:hAnsi="Cambria"/>
                <w:b/>
                <w:bCs/>
                <w:szCs w:val="22"/>
              </w:rPr>
              <w:t>Table </w:t>
            </w:r>
            <w:r w:rsidR="002A3388">
              <w:rPr>
                <w:rFonts w:ascii="Cambria" w:hAnsi="Cambria"/>
                <w:b/>
                <w:bCs/>
                <w:szCs w:val="22"/>
              </w:rPr>
              <w:t>6</w:t>
            </w:r>
            <w:r w:rsidRPr="00DC1F68">
              <w:rPr>
                <w:rFonts w:ascii="Cambria" w:hAnsi="Cambria"/>
                <w:b/>
                <w:bCs/>
                <w:szCs w:val="22"/>
              </w:rPr>
              <w:t>: Adverse Drug Reactions by Preferred Term, Incidence and Frequency</w:t>
            </w:r>
          </w:p>
        </w:tc>
      </w:tr>
      <w:tr w:rsidR="009D3206" w:rsidRPr="00DC1F68" w14:paraId="2483D69B" w14:textId="77777777" w:rsidTr="00921FE0">
        <w:trPr>
          <w:cantSplit/>
          <w:trHeight w:val="567"/>
          <w:jc w:val="center"/>
        </w:trPr>
        <w:tc>
          <w:tcPr>
            <w:tcW w:w="1027" w:type="pct"/>
          </w:tcPr>
          <w:p w14:paraId="15126130" w14:textId="77777777" w:rsidR="009D3206" w:rsidRPr="00DC1F68" w:rsidRDefault="009D3206" w:rsidP="006C5236">
            <w:pPr>
              <w:keepNext/>
              <w:jc w:val="center"/>
              <w:rPr>
                <w:rFonts w:ascii="Cambria" w:hAnsi="Cambria"/>
                <w:bCs/>
                <w:szCs w:val="22"/>
              </w:rPr>
            </w:pPr>
            <w:r w:rsidRPr="00DC1F68">
              <w:rPr>
                <w:rFonts w:ascii="Cambria" w:hAnsi="Cambria"/>
                <w:b/>
                <w:bCs/>
                <w:szCs w:val="22"/>
              </w:rPr>
              <w:t>System Organ Class (SOC)</w:t>
            </w:r>
          </w:p>
        </w:tc>
        <w:tc>
          <w:tcPr>
            <w:tcW w:w="1378" w:type="pct"/>
          </w:tcPr>
          <w:p w14:paraId="7D2732EB" w14:textId="77777777" w:rsidR="009D3206" w:rsidRPr="00DC1F68" w:rsidRDefault="009D3206" w:rsidP="006C5236">
            <w:pPr>
              <w:keepNext/>
              <w:jc w:val="center"/>
              <w:rPr>
                <w:rFonts w:ascii="Cambria" w:hAnsi="Cambria"/>
                <w:b/>
                <w:bCs/>
                <w:szCs w:val="22"/>
              </w:rPr>
            </w:pPr>
            <w:r w:rsidRPr="00DC1F68">
              <w:rPr>
                <w:rFonts w:ascii="Cambria" w:hAnsi="Cambria"/>
                <w:b/>
                <w:bCs/>
                <w:szCs w:val="22"/>
              </w:rPr>
              <w:t xml:space="preserve">Adverse Drug Reactions </w:t>
            </w:r>
            <w:r w:rsidRPr="00DC1F68">
              <w:rPr>
                <w:rFonts w:ascii="Cambria" w:hAnsi="Cambria"/>
                <w:szCs w:val="22"/>
              </w:rPr>
              <w:t>(</w:t>
            </w:r>
            <w:r w:rsidRPr="00DC1F68">
              <w:rPr>
                <w:rFonts w:ascii="Cambria" w:hAnsi="Cambria"/>
                <w:b/>
                <w:bCs/>
                <w:szCs w:val="22"/>
              </w:rPr>
              <w:t>Preferred Term)</w:t>
            </w:r>
          </w:p>
        </w:tc>
        <w:tc>
          <w:tcPr>
            <w:tcW w:w="808" w:type="pct"/>
          </w:tcPr>
          <w:p w14:paraId="63D96252" w14:textId="37EFC22A" w:rsidR="009D3206" w:rsidRPr="00DC1F68" w:rsidRDefault="009D3206" w:rsidP="006C5236">
            <w:pPr>
              <w:keepNext/>
              <w:jc w:val="center"/>
              <w:rPr>
                <w:rFonts w:ascii="Cambria" w:hAnsi="Cambria"/>
                <w:b/>
                <w:bCs/>
                <w:szCs w:val="22"/>
              </w:rPr>
            </w:pPr>
            <w:r>
              <w:rPr>
                <w:rFonts w:ascii="Cambria" w:hAnsi="Cambria"/>
                <w:b/>
                <w:bCs/>
                <w:szCs w:val="22"/>
              </w:rPr>
              <w:t>T</w:t>
            </w:r>
            <w:r w:rsidR="002A3388">
              <w:rPr>
                <w:rFonts w:ascii="Cambria" w:hAnsi="Cambria"/>
                <w:b/>
                <w:bCs/>
                <w:szCs w:val="22"/>
              </w:rPr>
              <w:t>RIKAFTA</w:t>
            </w:r>
            <w:r w:rsidRPr="00DC1F68">
              <w:rPr>
                <w:rFonts w:ascii="Cambria" w:hAnsi="Cambria"/>
                <w:b/>
                <w:bCs/>
                <w:szCs w:val="22"/>
              </w:rPr>
              <w:br/>
              <w:t>N=20</w:t>
            </w:r>
            <w:r>
              <w:rPr>
                <w:rFonts w:ascii="Cambria" w:hAnsi="Cambria"/>
                <w:b/>
                <w:bCs/>
                <w:szCs w:val="22"/>
              </w:rPr>
              <w:t>2</w:t>
            </w:r>
            <w:r w:rsidRPr="00DC1F68">
              <w:rPr>
                <w:rFonts w:ascii="Cambria" w:hAnsi="Cambria"/>
                <w:b/>
                <w:bCs/>
                <w:szCs w:val="22"/>
              </w:rPr>
              <w:t xml:space="preserve"> </w:t>
            </w:r>
          </w:p>
          <w:p w14:paraId="259DD4DC" w14:textId="77777777" w:rsidR="009D3206" w:rsidRPr="00DC1F68" w:rsidRDefault="009D3206" w:rsidP="006C5236">
            <w:pPr>
              <w:keepNext/>
              <w:jc w:val="center"/>
              <w:rPr>
                <w:rFonts w:ascii="Cambria" w:hAnsi="Cambria"/>
                <w:b/>
                <w:bCs/>
                <w:szCs w:val="22"/>
              </w:rPr>
            </w:pPr>
            <w:r w:rsidRPr="00DC1F68">
              <w:rPr>
                <w:rFonts w:ascii="Cambria" w:hAnsi="Cambria"/>
                <w:b/>
                <w:bCs/>
                <w:szCs w:val="22"/>
              </w:rPr>
              <w:t>n (%)</w:t>
            </w:r>
          </w:p>
        </w:tc>
        <w:tc>
          <w:tcPr>
            <w:tcW w:w="845" w:type="pct"/>
          </w:tcPr>
          <w:p w14:paraId="32FBB312" w14:textId="77777777" w:rsidR="009D3206" w:rsidRPr="00DC1F68" w:rsidRDefault="009D3206" w:rsidP="006C5236">
            <w:pPr>
              <w:keepNext/>
              <w:jc w:val="center"/>
              <w:rPr>
                <w:rFonts w:ascii="Cambria" w:hAnsi="Cambria"/>
                <w:b/>
                <w:bCs/>
                <w:szCs w:val="22"/>
              </w:rPr>
            </w:pPr>
            <w:r>
              <w:rPr>
                <w:rFonts w:ascii="Cambria" w:hAnsi="Cambria"/>
                <w:b/>
                <w:szCs w:val="22"/>
              </w:rPr>
              <w:t>Placebo</w:t>
            </w:r>
            <w:r w:rsidRPr="00DC1F68">
              <w:rPr>
                <w:rFonts w:ascii="Cambria" w:hAnsi="Cambria"/>
                <w:b/>
                <w:bCs/>
                <w:szCs w:val="22"/>
              </w:rPr>
              <w:br/>
              <w:t>N=20</w:t>
            </w:r>
            <w:r>
              <w:rPr>
                <w:rFonts w:ascii="Cambria" w:hAnsi="Cambria"/>
                <w:b/>
                <w:bCs/>
                <w:szCs w:val="22"/>
              </w:rPr>
              <w:t>1</w:t>
            </w:r>
            <w:r w:rsidRPr="00DC1F68">
              <w:rPr>
                <w:rFonts w:ascii="Cambria" w:hAnsi="Cambria"/>
                <w:b/>
                <w:bCs/>
                <w:szCs w:val="22"/>
              </w:rPr>
              <w:br/>
              <w:t>n (%)</w:t>
            </w:r>
          </w:p>
        </w:tc>
        <w:tc>
          <w:tcPr>
            <w:tcW w:w="942" w:type="pct"/>
          </w:tcPr>
          <w:p w14:paraId="7D118763" w14:textId="738F18AA" w:rsidR="009D3206" w:rsidRPr="00DC1F68" w:rsidRDefault="009D3206" w:rsidP="006C5236">
            <w:pPr>
              <w:keepNext/>
              <w:jc w:val="center"/>
              <w:rPr>
                <w:rFonts w:ascii="Cambria" w:hAnsi="Cambria"/>
                <w:b/>
                <w:bCs/>
                <w:szCs w:val="22"/>
              </w:rPr>
            </w:pPr>
            <w:r w:rsidRPr="00DC1F68">
              <w:rPr>
                <w:rFonts w:ascii="Cambria" w:hAnsi="Cambria"/>
                <w:b/>
                <w:bCs/>
                <w:szCs w:val="22"/>
              </w:rPr>
              <w:t xml:space="preserve">Frequency for </w:t>
            </w:r>
            <w:r w:rsidRPr="00DC1F68">
              <w:rPr>
                <w:rFonts w:ascii="Cambria" w:hAnsi="Cambria"/>
                <w:b/>
                <w:szCs w:val="22"/>
              </w:rPr>
              <w:t>T</w:t>
            </w:r>
            <w:r w:rsidR="002A3388">
              <w:rPr>
                <w:rFonts w:ascii="Cambria" w:hAnsi="Cambria"/>
                <w:b/>
                <w:szCs w:val="22"/>
              </w:rPr>
              <w:t>RIKAFTA</w:t>
            </w:r>
          </w:p>
        </w:tc>
      </w:tr>
      <w:tr w:rsidR="009D3206" w:rsidRPr="00DC1F68" w14:paraId="5E3BAFC6" w14:textId="77777777" w:rsidTr="00921FE0">
        <w:trPr>
          <w:cantSplit/>
          <w:trHeight w:val="476"/>
          <w:jc w:val="center"/>
        </w:trPr>
        <w:tc>
          <w:tcPr>
            <w:tcW w:w="1027" w:type="pct"/>
            <w:vAlign w:val="center"/>
          </w:tcPr>
          <w:p w14:paraId="70CCB2AD" w14:textId="77777777" w:rsidR="009D3206" w:rsidRPr="00DC1F68" w:rsidRDefault="009D3206" w:rsidP="006C5236">
            <w:pPr>
              <w:keepNext/>
              <w:rPr>
                <w:rFonts w:ascii="Cambria" w:hAnsi="Cambria"/>
                <w:bCs/>
                <w:szCs w:val="22"/>
              </w:rPr>
            </w:pPr>
            <w:bookmarkStart w:id="30" w:name="_Hlk25828660"/>
            <w:bookmarkStart w:id="31" w:name="_Hlk25828580"/>
            <w:r w:rsidRPr="00DC1F68">
              <w:rPr>
                <w:rFonts w:ascii="Cambria" w:hAnsi="Cambria"/>
                <w:bCs/>
                <w:szCs w:val="22"/>
              </w:rPr>
              <w:t>Infections and Infestations</w:t>
            </w:r>
          </w:p>
        </w:tc>
        <w:tc>
          <w:tcPr>
            <w:tcW w:w="1378" w:type="pct"/>
          </w:tcPr>
          <w:p w14:paraId="77EF83CA" w14:textId="77777777" w:rsidR="009D3206" w:rsidRPr="00DC1F68" w:rsidRDefault="009D3206" w:rsidP="006C5236">
            <w:pPr>
              <w:keepNext/>
              <w:rPr>
                <w:rFonts w:ascii="Cambria" w:hAnsi="Cambria"/>
                <w:szCs w:val="22"/>
              </w:rPr>
            </w:pPr>
            <w:r w:rsidRPr="00DC1F68">
              <w:rPr>
                <w:rFonts w:ascii="Cambria" w:hAnsi="Cambria"/>
                <w:szCs w:val="22"/>
              </w:rPr>
              <w:t>Upper respiratory tract infection</w:t>
            </w:r>
          </w:p>
        </w:tc>
        <w:tc>
          <w:tcPr>
            <w:tcW w:w="808" w:type="pct"/>
          </w:tcPr>
          <w:p w14:paraId="3A9FE0C8" w14:textId="77777777" w:rsidR="009D3206" w:rsidRPr="00DC1F68" w:rsidRDefault="009D3206" w:rsidP="006C5236">
            <w:pPr>
              <w:keepNext/>
              <w:jc w:val="center"/>
              <w:rPr>
                <w:rFonts w:ascii="Cambria" w:hAnsi="Cambria"/>
                <w:szCs w:val="22"/>
              </w:rPr>
            </w:pPr>
            <w:r w:rsidRPr="00DC1F68">
              <w:rPr>
                <w:rFonts w:ascii="Cambria" w:hAnsi="Cambria"/>
                <w:szCs w:val="22"/>
              </w:rPr>
              <w:t>24 (11.9)</w:t>
            </w:r>
          </w:p>
        </w:tc>
        <w:tc>
          <w:tcPr>
            <w:tcW w:w="845" w:type="pct"/>
          </w:tcPr>
          <w:p w14:paraId="227F3100"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22 (10.9)</w:t>
            </w:r>
          </w:p>
        </w:tc>
        <w:tc>
          <w:tcPr>
            <w:tcW w:w="942" w:type="pct"/>
          </w:tcPr>
          <w:p w14:paraId="04878666" w14:textId="77777777" w:rsidR="009D3206" w:rsidRPr="00DC1F68" w:rsidRDefault="009D3206" w:rsidP="006C5236">
            <w:pPr>
              <w:keepNext/>
              <w:jc w:val="center"/>
              <w:rPr>
                <w:rFonts w:ascii="Cambria" w:hAnsi="Cambria"/>
                <w:szCs w:val="22"/>
              </w:rPr>
            </w:pPr>
            <w:r w:rsidRPr="00DC1F68">
              <w:rPr>
                <w:rFonts w:ascii="Cambria" w:hAnsi="Cambria"/>
                <w:szCs w:val="22"/>
              </w:rPr>
              <w:t>very common</w:t>
            </w:r>
          </w:p>
        </w:tc>
      </w:tr>
      <w:tr w:rsidR="009D3206" w:rsidRPr="00DC1F68" w14:paraId="7A89BA56" w14:textId="77777777" w:rsidTr="00921FE0">
        <w:trPr>
          <w:cantSplit/>
          <w:trHeight w:val="269"/>
          <w:jc w:val="center"/>
        </w:trPr>
        <w:tc>
          <w:tcPr>
            <w:tcW w:w="1027" w:type="pct"/>
            <w:vAlign w:val="center"/>
          </w:tcPr>
          <w:p w14:paraId="32D32C07" w14:textId="77777777" w:rsidR="009D3206" w:rsidRPr="00DC1F68" w:rsidRDefault="009D3206" w:rsidP="006C5236">
            <w:pPr>
              <w:keepNext/>
              <w:rPr>
                <w:rFonts w:ascii="Cambria" w:hAnsi="Cambria"/>
                <w:bCs/>
                <w:szCs w:val="22"/>
              </w:rPr>
            </w:pPr>
            <w:r w:rsidRPr="00DC1F68">
              <w:rPr>
                <w:rFonts w:ascii="Cambria" w:hAnsi="Cambria"/>
                <w:bCs/>
                <w:color w:val="0D0D0D" w:themeColor="text1" w:themeTint="F2"/>
                <w:szCs w:val="22"/>
              </w:rPr>
              <w:t>Nervous System Disorder</w:t>
            </w:r>
          </w:p>
        </w:tc>
        <w:tc>
          <w:tcPr>
            <w:tcW w:w="1378" w:type="pct"/>
          </w:tcPr>
          <w:p w14:paraId="6A4CCE00" w14:textId="77777777" w:rsidR="009D3206" w:rsidRPr="00DC1F68" w:rsidRDefault="009D3206" w:rsidP="006C5236">
            <w:pPr>
              <w:keepNext/>
              <w:rPr>
                <w:rFonts w:ascii="Cambria" w:hAnsi="Cambria"/>
                <w:szCs w:val="22"/>
              </w:rPr>
            </w:pPr>
            <w:r w:rsidRPr="00DC1F68">
              <w:rPr>
                <w:rFonts w:ascii="Cambria" w:hAnsi="Cambria"/>
                <w:szCs w:val="22"/>
              </w:rPr>
              <w:t>Headache</w:t>
            </w:r>
          </w:p>
        </w:tc>
        <w:tc>
          <w:tcPr>
            <w:tcW w:w="808" w:type="pct"/>
          </w:tcPr>
          <w:p w14:paraId="1F87BE74" w14:textId="77777777" w:rsidR="009D3206" w:rsidRPr="00DC1F68" w:rsidRDefault="009D3206" w:rsidP="006C5236">
            <w:pPr>
              <w:keepNext/>
              <w:jc w:val="center"/>
              <w:rPr>
                <w:rFonts w:ascii="Cambria" w:hAnsi="Cambria"/>
                <w:szCs w:val="22"/>
              </w:rPr>
            </w:pPr>
            <w:r w:rsidRPr="00DC1F68">
              <w:rPr>
                <w:rFonts w:ascii="Cambria" w:hAnsi="Cambria"/>
                <w:szCs w:val="22"/>
              </w:rPr>
              <w:t>35 (17.3)</w:t>
            </w:r>
          </w:p>
        </w:tc>
        <w:tc>
          <w:tcPr>
            <w:tcW w:w="845" w:type="pct"/>
          </w:tcPr>
          <w:p w14:paraId="35A2238F"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30 (14.9)</w:t>
            </w:r>
          </w:p>
        </w:tc>
        <w:tc>
          <w:tcPr>
            <w:tcW w:w="942" w:type="pct"/>
          </w:tcPr>
          <w:p w14:paraId="283B005D" w14:textId="77777777" w:rsidR="009D3206" w:rsidRPr="00DC1F68" w:rsidRDefault="009D3206" w:rsidP="006C5236">
            <w:pPr>
              <w:keepNext/>
              <w:jc w:val="center"/>
              <w:rPr>
                <w:rFonts w:ascii="Cambria" w:hAnsi="Cambria"/>
                <w:szCs w:val="22"/>
              </w:rPr>
            </w:pPr>
            <w:r w:rsidRPr="00DC1F68">
              <w:rPr>
                <w:rFonts w:ascii="Cambria" w:hAnsi="Cambria"/>
                <w:szCs w:val="22"/>
              </w:rPr>
              <w:t>very common</w:t>
            </w:r>
          </w:p>
        </w:tc>
      </w:tr>
      <w:bookmarkEnd w:id="30"/>
      <w:tr w:rsidR="009D3206" w:rsidRPr="00DC1F68" w14:paraId="2C81FBC1" w14:textId="77777777" w:rsidTr="00921FE0">
        <w:trPr>
          <w:cantSplit/>
          <w:trHeight w:val="467"/>
          <w:jc w:val="center"/>
        </w:trPr>
        <w:tc>
          <w:tcPr>
            <w:tcW w:w="1027" w:type="pct"/>
            <w:vMerge w:val="restart"/>
            <w:vAlign w:val="center"/>
          </w:tcPr>
          <w:p w14:paraId="10BE6B2F" w14:textId="77777777" w:rsidR="009D3206" w:rsidRPr="00DC1F68" w:rsidRDefault="009D3206" w:rsidP="006C5236">
            <w:pPr>
              <w:keepNext/>
              <w:rPr>
                <w:rFonts w:ascii="Cambria" w:hAnsi="Cambria"/>
                <w:bCs/>
                <w:szCs w:val="22"/>
              </w:rPr>
            </w:pPr>
            <w:r w:rsidRPr="00DC1F68">
              <w:rPr>
                <w:rFonts w:ascii="Cambria" w:hAnsi="Cambria"/>
                <w:bCs/>
                <w:color w:val="0D0D0D" w:themeColor="text1" w:themeTint="F2"/>
                <w:szCs w:val="22"/>
              </w:rPr>
              <w:t>Respiratory, thoracic and mediastinal disorders</w:t>
            </w:r>
          </w:p>
        </w:tc>
        <w:tc>
          <w:tcPr>
            <w:tcW w:w="1378" w:type="pct"/>
          </w:tcPr>
          <w:p w14:paraId="742299F3" w14:textId="77777777" w:rsidR="009D3206" w:rsidRPr="00DC1F68" w:rsidRDefault="009D3206" w:rsidP="006C5236">
            <w:pPr>
              <w:keepNext/>
              <w:rPr>
                <w:rFonts w:ascii="Cambria" w:hAnsi="Cambria"/>
                <w:szCs w:val="22"/>
              </w:rPr>
            </w:pPr>
            <w:r w:rsidRPr="00DC1F68">
              <w:rPr>
                <w:rFonts w:ascii="Cambria" w:hAnsi="Cambria"/>
                <w:szCs w:val="22"/>
              </w:rPr>
              <w:t>Nasal congestion</w:t>
            </w:r>
          </w:p>
        </w:tc>
        <w:tc>
          <w:tcPr>
            <w:tcW w:w="808" w:type="pct"/>
          </w:tcPr>
          <w:p w14:paraId="6E79021A" w14:textId="77777777" w:rsidR="009D3206" w:rsidRPr="00DC1F68" w:rsidRDefault="009D3206" w:rsidP="006C5236">
            <w:pPr>
              <w:keepNext/>
              <w:jc w:val="center"/>
              <w:rPr>
                <w:rFonts w:ascii="Cambria" w:hAnsi="Cambria"/>
                <w:szCs w:val="22"/>
              </w:rPr>
            </w:pPr>
            <w:r w:rsidRPr="00DC1F68">
              <w:rPr>
                <w:rFonts w:ascii="Cambria" w:hAnsi="Cambria"/>
                <w:szCs w:val="22"/>
              </w:rPr>
              <w:t>19 (9.4)</w:t>
            </w:r>
          </w:p>
        </w:tc>
        <w:tc>
          <w:tcPr>
            <w:tcW w:w="845" w:type="pct"/>
          </w:tcPr>
          <w:p w14:paraId="33527EFB"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15 (7.5)</w:t>
            </w:r>
          </w:p>
        </w:tc>
        <w:tc>
          <w:tcPr>
            <w:tcW w:w="942" w:type="pct"/>
          </w:tcPr>
          <w:p w14:paraId="7EDE2D6F"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r w:rsidR="009D3206" w:rsidRPr="00DC1F68" w14:paraId="64100EB4" w14:textId="77777777" w:rsidTr="00921FE0">
        <w:trPr>
          <w:cantSplit/>
          <w:trHeight w:val="251"/>
          <w:jc w:val="center"/>
        </w:trPr>
        <w:tc>
          <w:tcPr>
            <w:tcW w:w="1027" w:type="pct"/>
            <w:vMerge/>
            <w:vAlign w:val="center"/>
          </w:tcPr>
          <w:p w14:paraId="11A3DB7B" w14:textId="77777777" w:rsidR="009D3206" w:rsidRPr="00DC1F68" w:rsidRDefault="009D3206" w:rsidP="006C5236">
            <w:pPr>
              <w:keepNext/>
              <w:rPr>
                <w:rFonts w:ascii="Cambria" w:hAnsi="Cambria"/>
                <w:bCs/>
                <w:szCs w:val="22"/>
              </w:rPr>
            </w:pPr>
          </w:p>
        </w:tc>
        <w:tc>
          <w:tcPr>
            <w:tcW w:w="1378" w:type="pct"/>
          </w:tcPr>
          <w:p w14:paraId="5627B248" w14:textId="77777777" w:rsidR="009D3206" w:rsidRPr="00DC1F68" w:rsidRDefault="009D3206" w:rsidP="006C5236">
            <w:pPr>
              <w:keepNext/>
              <w:rPr>
                <w:rFonts w:ascii="Cambria" w:hAnsi="Cambria"/>
                <w:szCs w:val="22"/>
              </w:rPr>
            </w:pPr>
            <w:r w:rsidRPr="00DC1F68">
              <w:rPr>
                <w:rFonts w:ascii="Cambria" w:hAnsi="Cambria"/>
                <w:szCs w:val="22"/>
              </w:rPr>
              <w:t>Rhinorrhoea</w:t>
            </w:r>
          </w:p>
        </w:tc>
        <w:tc>
          <w:tcPr>
            <w:tcW w:w="808" w:type="pct"/>
          </w:tcPr>
          <w:p w14:paraId="4BEF61A0" w14:textId="77777777" w:rsidR="009D3206" w:rsidRPr="00DC1F68" w:rsidRDefault="009D3206" w:rsidP="006C5236">
            <w:pPr>
              <w:keepNext/>
              <w:jc w:val="center"/>
              <w:rPr>
                <w:rFonts w:ascii="Cambria" w:hAnsi="Cambria"/>
                <w:szCs w:val="22"/>
              </w:rPr>
            </w:pPr>
            <w:r w:rsidRPr="00DC1F68">
              <w:rPr>
                <w:rFonts w:ascii="Cambria" w:hAnsi="Cambria"/>
                <w:szCs w:val="22"/>
              </w:rPr>
              <w:t>17 (8.4)</w:t>
            </w:r>
          </w:p>
        </w:tc>
        <w:tc>
          <w:tcPr>
            <w:tcW w:w="845" w:type="pct"/>
          </w:tcPr>
          <w:p w14:paraId="39811F6D" w14:textId="77777777" w:rsidR="009D3206" w:rsidRPr="00DC1F68" w:rsidRDefault="009D3206" w:rsidP="006C5236">
            <w:pPr>
              <w:keepNext/>
              <w:jc w:val="center"/>
              <w:rPr>
                <w:rFonts w:ascii="Cambria" w:hAnsi="Cambria"/>
                <w:szCs w:val="22"/>
              </w:rPr>
            </w:pPr>
            <w:r w:rsidRPr="00DC1F68">
              <w:rPr>
                <w:rFonts w:ascii="Cambria" w:hAnsi="Cambria"/>
                <w:szCs w:val="22"/>
              </w:rPr>
              <w:t>6 (3.0)</w:t>
            </w:r>
          </w:p>
        </w:tc>
        <w:tc>
          <w:tcPr>
            <w:tcW w:w="942" w:type="pct"/>
          </w:tcPr>
          <w:p w14:paraId="299F6C72"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r w:rsidR="009D3206" w:rsidRPr="00DC1F68" w14:paraId="2B6F16BF" w14:textId="77777777" w:rsidTr="00921FE0">
        <w:trPr>
          <w:cantSplit/>
          <w:trHeight w:val="40"/>
          <w:jc w:val="center"/>
        </w:trPr>
        <w:tc>
          <w:tcPr>
            <w:tcW w:w="1027" w:type="pct"/>
            <w:vMerge w:val="restart"/>
            <w:vAlign w:val="center"/>
          </w:tcPr>
          <w:p w14:paraId="5710FF8F" w14:textId="77777777" w:rsidR="009D3206" w:rsidRPr="00DC1F68" w:rsidRDefault="009D3206" w:rsidP="006C5236">
            <w:pPr>
              <w:keepNext/>
              <w:rPr>
                <w:rFonts w:ascii="Cambria" w:hAnsi="Cambria"/>
                <w:bCs/>
                <w:szCs w:val="22"/>
              </w:rPr>
            </w:pPr>
            <w:r w:rsidRPr="00DC1F68">
              <w:rPr>
                <w:rFonts w:ascii="Cambria" w:hAnsi="Cambria"/>
                <w:bCs/>
                <w:color w:val="0D0D0D" w:themeColor="text1" w:themeTint="F2"/>
                <w:szCs w:val="22"/>
              </w:rPr>
              <w:t>Gastrointestinal disorders</w:t>
            </w:r>
          </w:p>
        </w:tc>
        <w:tc>
          <w:tcPr>
            <w:tcW w:w="1378" w:type="pct"/>
          </w:tcPr>
          <w:p w14:paraId="4228E791" w14:textId="77777777" w:rsidR="009D3206" w:rsidRPr="00DC1F68" w:rsidRDefault="009D3206" w:rsidP="006C5236">
            <w:pPr>
              <w:keepNext/>
              <w:rPr>
                <w:rFonts w:ascii="Cambria" w:hAnsi="Cambria"/>
                <w:szCs w:val="22"/>
              </w:rPr>
            </w:pPr>
            <w:r w:rsidRPr="00DC1F68">
              <w:rPr>
                <w:rFonts w:ascii="Cambria" w:hAnsi="Cambria"/>
                <w:szCs w:val="22"/>
              </w:rPr>
              <w:t>Diarrhoea</w:t>
            </w:r>
          </w:p>
        </w:tc>
        <w:tc>
          <w:tcPr>
            <w:tcW w:w="808" w:type="pct"/>
          </w:tcPr>
          <w:p w14:paraId="36487E9E" w14:textId="77777777" w:rsidR="009D3206" w:rsidRPr="00DC1F68" w:rsidRDefault="009D3206" w:rsidP="006C5236">
            <w:pPr>
              <w:keepNext/>
              <w:jc w:val="center"/>
              <w:rPr>
                <w:rFonts w:ascii="Cambria" w:hAnsi="Cambria"/>
                <w:szCs w:val="22"/>
              </w:rPr>
            </w:pPr>
            <w:r w:rsidRPr="00DC1F68">
              <w:rPr>
                <w:rFonts w:ascii="Cambria" w:hAnsi="Cambria"/>
                <w:szCs w:val="22"/>
              </w:rPr>
              <w:t>26 (12.9)</w:t>
            </w:r>
          </w:p>
        </w:tc>
        <w:tc>
          <w:tcPr>
            <w:tcW w:w="845" w:type="pct"/>
          </w:tcPr>
          <w:p w14:paraId="162E3E2E"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14 (7.0)</w:t>
            </w:r>
          </w:p>
        </w:tc>
        <w:tc>
          <w:tcPr>
            <w:tcW w:w="942" w:type="pct"/>
          </w:tcPr>
          <w:p w14:paraId="071428D5" w14:textId="77777777" w:rsidR="009D3206" w:rsidRPr="00DC1F68" w:rsidRDefault="009D3206" w:rsidP="006C5236">
            <w:pPr>
              <w:keepNext/>
              <w:jc w:val="center"/>
              <w:rPr>
                <w:rFonts w:ascii="Cambria" w:hAnsi="Cambria"/>
                <w:szCs w:val="22"/>
              </w:rPr>
            </w:pPr>
            <w:r w:rsidRPr="00DC1F68">
              <w:rPr>
                <w:rFonts w:ascii="Cambria" w:hAnsi="Cambria"/>
                <w:szCs w:val="22"/>
              </w:rPr>
              <w:t>very common</w:t>
            </w:r>
          </w:p>
        </w:tc>
      </w:tr>
      <w:bookmarkEnd w:id="31"/>
      <w:tr w:rsidR="009D3206" w:rsidRPr="00DC1F68" w14:paraId="0E99626D" w14:textId="77777777" w:rsidTr="00921FE0">
        <w:trPr>
          <w:cantSplit/>
          <w:trHeight w:val="215"/>
          <w:jc w:val="center"/>
        </w:trPr>
        <w:tc>
          <w:tcPr>
            <w:tcW w:w="1027" w:type="pct"/>
            <w:vMerge/>
            <w:vAlign w:val="center"/>
          </w:tcPr>
          <w:p w14:paraId="5FC86D09" w14:textId="77777777" w:rsidR="009D3206" w:rsidRPr="00DC1F68" w:rsidRDefault="009D3206" w:rsidP="006C5236">
            <w:pPr>
              <w:keepNext/>
              <w:rPr>
                <w:rFonts w:ascii="Cambria" w:hAnsi="Cambria"/>
                <w:bCs/>
                <w:szCs w:val="22"/>
              </w:rPr>
            </w:pPr>
          </w:p>
        </w:tc>
        <w:tc>
          <w:tcPr>
            <w:tcW w:w="1378" w:type="pct"/>
          </w:tcPr>
          <w:p w14:paraId="270BCF55" w14:textId="77777777" w:rsidR="009D3206" w:rsidRPr="00DC1F68" w:rsidRDefault="009D3206" w:rsidP="006C5236">
            <w:pPr>
              <w:keepNext/>
              <w:rPr>
                <w:rFonts w:ascii="Cambria" w:hAnsi="Cambria"/>
                <w:szCs w:val="22"/>
              </w:rPr>
            </w:pPr>
            <w:r w:rsidRPr="00DC1F68">
              <w:rPr>
                <w:rFonts w:ascii="Cambria" w:hAnsi="Cambria"/>
                <w:szCs w:val="22"/>
              </w:rPr>
              <w:t>Abdominal pain</w:t>
            </w:r>
          </w:p>
        </w:tc>
        <w:tc>
          <w:tcPr>
            <w:tcW w:w="808" w:type="pct"/>
          </w:tcPr>
          <w:p w14:paraId="0B1DBA49"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20 (9.9)</w:t>
            </w:r>
          </w:p>
        </w:tc>
        <w:tc>
          <w:tcPr>
            <w:tcW w:w="845" w:type="pct"/>
          </w:tcPr>
          <w:p w14:paraId="0E804429" w14:textId="77777777" w:rsidR="009D3206" w:rsidRPr="00DC1F68" w:rsidRDefault="009D3206" w:rsidP="006C5236">
            <w:pPr>
              <w:keepNext/>
              <w:jc w:val="center"/>
              <w:rPr>
                <w:rFonts w:ascii="Cambria" w:hAnsi="Cambria"/>
                <w:szCs w:val="22"/>
              </w:rPr>
            </w:pPr>
            <w:r w:rsidRPr="00DC1F68">
              <w:rPr>
                <w:rFonts w:ascii="Cambria" w:hAnsi="Cambria"/>
                <w:szCs w:val="22"/>
              </w:rPr>
              <w:t>12 (6.0)</w:t>
            </w:r>
          </w:p>
        </w:tc>
        <w:tc>
          <w:tcPr>
            <w:tcW w:w="942" w:type="pct"/>
          </w:tcPr>
          <w:p w14:paraId="69C390DD"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r w:rsidR="009D3206" w:rsidRPr="00DC1F68" w14:paraId="5D788995" w14:textId="77777777" w:rsidTr="00921FE0">
        <w:trPr>
          <w:cantSplit/>
          <w:trHeight w:val="567"/>
          <w:jc w:val="center"/>
        </w:trPr>
        <w:tc>
          <w:tcPr>
            <w:tcW w:w="1027" w:type="pct"/>
            <w:vAlign w:val="center"/>
          </w:tcPr>
          <w:p w14:paraId="2D61B7E8" w14:textId="77777777" w:rsidR="009D3206" w:rsidRPr="00DC1F68" w:rsidRDefault="009D3206" w:rsidP="006C5236">
            <w:pPr>
              <w:keepNext/>
              <w:rPr>
                <w:rFonts w:ascii="Cambria" w:hAnsi="Cambria"/>
                <w:bCs/>
                <w:szCs w:val="22"/>
              </w:rPr>
            </w:pPr>
            <w:r w:rsidRPr="00DC1F68">
              <w:rPr>
                <w:rFonts w:ascii="Cambria" w:hAnsi="Cambria"/>
                <w:bCs/>
                <w:color w:val="0D0D0D" w:themeColor="text1" w:themeTint="F2"/>
                <w:szCs w:val="22"/>
              </w:rPr>
              <w:t>Skin and subcutaneous tissue disorders</w:t>
            </w:r>
          </w:p>
        </w:tc>
        <w:tc>
          <w:tcPr>
            <w:tcW w:w="1378" w:type="pct"/>
          </w:tcPr>
          <w:p w14:paraId="18D8FDA0" w14:textId="77777777" w:rsidR="009D3206" w:rsidRPr="00DC1F68" w:rsidRDefault="009D3206" w:rsidP="006C5236">
            <w:pPr>
              <w:keepNext/>
              <w:rPr>
                <w:rFonts w:ascii="Cambria" w:hAnsi="Cambria"/>
                <w:szCs w:val="22"/>
              </w:rPr>
            </w:pPr>
            <w:r w:rsidRPr="00DC1F68">
              <w:rPr>
                <w:rFonts w:ascii="Cambria" w:hAnsi="Cambria"/>
                <w:szCs w:val="22"/>
              </w:rPr>
              <w:t>Rash</w:t>
            </w:r>
          </w:p>
        </w:tc>
        <w:tc>
          <w:tcPr>
            <w:tcW w:w="808" w:type="pct"/>
          </w:tcPr>
          <w:p w14:paraId="57869B65" w14:textId="77777777" w:rsidR="009D3206" w:rsidRPr="00DC1F68" w:rsidRDefault="009D3206" w:rsidP="006C5236">
            <w:pPr>
              <w:keepNext/>
              <w:jc w:val="center"/>
              <w:rPr>
                <w:rFonts w:ascii="Cambria" w:hAnsi="Cambria"/>
                <w:szCs w:val="22"/>
              </w:rPr>
            </w:pPr>
            <w:r w:rsidRPr="00DC1F68">
              <w:rPr>
                <w:rFonts w:ascii="Cambria" w:hAnsi="Cambria"/>
                <w:szCs w:val="22"/>
              </w:rPr>
              <w:t>18 (8.9)</w:t>
            </w:r>
          </w:p>
        </w:tc>
        <w:tc>
          <w:tcPr>
            <w:tcW w:w="845" w:type="pct"/>
          </w:tcPr>
          <w:p w14:paraId="62045B57"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9 (4.5)</w:t>
            </w:r>
          </w:p>
        </w:tc>
        <w:tc>
          <w:tcPr>
            <w:tcW w:w="942" w:type="pct"/>
          </w:tcPr>
          <w:p w14:paraId="5C30F6CA"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r w:rsidR="009D3206" w:rsidRPr="00DC1F68" w14:paraId="07EB0CB5" w14:textId="77777777" w:rsidTr="00921FE0">
        <w:trPr>
          <w:cantSplit/>
          <w:trHeight w:val="567"/>
          <w:jc w:val="center"/>
        </w:trPr>
        <w:tc>
          <w:tcPr>
            <w:tcW w:w="1027" w:type="pct"/>
            <w:vMerge w:val="restart"/>
            <w:vAlign w:val="center"/>
          </w:tcPr>
          <w:p w14:paraId="7443100A" w14:textId="77777777" w:rsidR="009D3206" w:rsidRPr="00DC1F68" w:rsidRDefault="009D3206" w:rsidP="006C5236">
            <w:pPr>
              <w:keepNext/>
              <w:rPr>
                <w:rFonts w:ascii="Cambria" w:hAnsi="Cambria"/>
                <w:bCs/>
                <w:szCs w:val="22"/>
              </w:rPr>
            </w:pPr>
            <w:r w:rsidRPr="00DC1F68">
              <w:rPr>
                <w:rFonts w:ascii="Cambria" w:hAnsi="Cambria"/>
                <w:color w:val="0D0D0D" w:themeColor="text1" w:themeTint="F2"/>
                <w:szCs w:val="22"/>
              </w:rPr>
              <w:t>Investigations</w:t>
            </w:r>
          </w:p>
        </w:tc>
        <w:tc>
          <w:tcPr>
            <w:tcW w:w="1378" w:type="pct"/>
          </w:tcPr>
          <w:p w14:paraId="4BCB3396" w14:textId="77777777" w:rsidR="009D3206" w:rsidRPr="00DC1F68" w:rsidRDefault="009D3206" w:rsidP="006C5236">
            <w:pPr>
              <w:keepNext/>
              <w:rPr>
                <w:rFonts w:ascii="Cambria" w:hAnsi="Cambria"/>
                <w:szCs w:val="22"/>
              </w:rPr>
            </w:pPr>
            <w:r w:rsidRPr="00DC1F68">
              <w:rPr>
                <w:rFonts w:ascii="Cambria" w:hAnsi="Cambria"/>
                <w:szCs w:val="22"/>
              </w:rPr>
              <w:t>Alanine aminotransferase increased</w:t>
            </w:r>
          </w:p>
        </w:tc>
        <w:tc>
          <w:tcPr>
            <w:tcW w:w="808" w:type="pct"/>
          </w:tcPr>
          <w:p w14:paraId="4D86E752" w14:textId="77777777" w:rsidR="009D3206" w:rsidRPr="00DC1F68" w:rsidRDefault="009D3206" w:rsidP="006C5236">
            <w:pPr>
              <w:keepNext/>
              <w:jc w:val="center"/>
              <w:rPr>
                <w:rFonts w:ascii="Cambria" w:hAnsi="Cambria"/>
                <w:szCs w:val="22"/>
              </w:rPr>
            </w:pPr>
            <w:r w:rsidRPr="00DC1F68">
              <w:rPr>
                <w:rFonts w:ascii="Cambria" w:hAnsi="Cambria"/>
                <w:szCs w:val="22"/>
              </w:rPr>
              <w:t>20 (9.9)</w:t>
            </w:r>
          </w:p>
        </w:tc>
        <w:tc>
          <w:tcPr>
            <w:tcW w:w="845" w:type="pct"/>
          </w:tcPr>
          <w:p w14:paraId="4B6508DC" w14:textId="77777777" w:rsidR="009D3206" w:rsidRPr="00DC1F68" w:rsidRDefault="009D3206" w:rsidP="006C5236">
            <w:pPr>
              <w:keepNext/>
              <w:jc w:val="center"/>
              <w:rPr>
                <w:rFonts w:ascii="Cambria" w:hAnsi="Cambria"/>
                <w:szCs w:val="22"/>
              </w:rPr>
            </w:pPr>
            <w:r w:rsidRPr="00DC1F68">
              <w:rPr>
                <w:rFonts w:ascii="Cambria" w:hAnsi="Cambria"/>
                <w:szCs w:val="22"/>
              </w:rPr>
              <w:t xml:space="preserve"> 7 (3.5)</w:t>
            </w:r>
          </w:p>
        </w:tc>
        <w:tc>
          <w:tcPr>
            <w:tcW w:w="942" w:type="pct"/>
          </w:tcPr>
          <w:p w14:paraId="7E11B21D"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r w:rsidR="009D3206" w:rsidRPr="00DC1F68" w14:paraId="5DF8B13E" w14:textId="77777777" w:rsidTr="00921FE0">
        <w:trPr>
          <w:cantSplit/>
          <w:trHeight w:val="567"/>
          <w:jc w:val="center"/>
        </w:trPr>
        <w:tc>
          <w:tcPr>
            <w:tcW w:w="1027" w:type="pct"/>
            <w:vMerge/>
          </w:tcPr>
          <w:p w14:paraId="5F532D21" w14:textId="77777777" w:rsidR="009D3206" w:rsidRPr="00DC1F68" w:rsidRDefault="009D3206" w:rsidP="006C5236">
            <w:pPr>
              <w:keepNext/>
              <w:rPr>
                <w:rFonts w:ascii="Cambria" w:hAnsi="Cambria"/>
                <w:bCs/>
                <w:szCs w:val="22"/>
              </w:rPr>
            </w:pPr>
          </w:p>
        </w:tc>
        <w:tc>
          <w:tcPr>
            <w:tcW w:w="1378" w:type="pct"/>
          </w:tcPr>
          <w:p w14:paraId="14F73FBB" w14:textId="77777777" w:rsidR="009D3206" w:rsidRPr="00DC1F68" w:rsidRDefault="009D3206" w:rsidP="006C5236">
            <w:pPr>
              <w:keepNext/>
              <w:rPr>
                <w:rFonts w:ascii="Cambria" w:hAnsi="Cambria"/>
                <w:szCs w:val="22"/>
              </w:rPr>
            </w:pPr>
            <w:r w:rsidRPr="00DC1F68">
              <w:rPr>
                <w:rFonts w:ascii="Cambria" w:hAnsi="Cambria"/>
                <w:szCs w:val="22"/>
              </w:rPr>
              <w:t>Aspartate aminotransferase increased</w:t>
            </w:r>
          </w:p>
        </w:tc>
        <w:tc>
          <w:tcPr>
            <w:tcW w:w="808" w:type="pct"/>
          </w:tcPr>
          <w:p w14:paraId="6C549C42" w14:textId="77777777" w:rsidR="009D3206" w:rsidRPr="00DC1F68" w:rsidRDefault="009D3206" w:rsidP="006C5236">
            <w:pPr>
              <w:keepNext/>
              <w:jc w:val="center"/>
              <w:rPr>
                <w:rFonts w:ascii="Cambria" w:hAnsi="Cambria"/>
                <w:szCs w:val="22"/>
              </w:rPr>
            </w:pPr>
            <w:r w:rsidRPr="00DC1F68">
              <w:rPr>
                <w:rFonts w:ascii="Cambria" w:hAnsi="Cambria"/>
                <w:szCs w:val="22"/>
              </w:rPr>
              <w:t>19 (9.4)</w:t>
            </w:r>
          </w:p>
        </w:tc>
        <w:tc>
          <w:tcPr>
            <w:tcW w:w="845" w:type="pct"/>
          </w:tcPr>
          <w:p w14:paraId="04FB7A14" w14:textId="77777777" w:rsidR="009D3206" w:rsidRPr="00DC1F68" w:rsidRDefault="009D3206" w:rsidP="006C5236">
            <w:pPr>
              <w:keepNext/>
              <w:jc w:val="center"/>
              <w:rPr>
                <w:rFonts w:ascii="Cambria" w:hAnsi="Cambria"/>
                <w:szCs w:val="22"/>
              </w:rPr>
            </w:pPr>
            <w:r w:rsidRPr="00DC1F68">
              <w:rPr>
                <w:rFonts w:ascii="Cambria" w:hAnsi="Cambria"/>
                <w:szCs w:val="22"/>
              </w:rPr>
              <w:t>4 (2.0)</w:t>
            </w:r>
          </w:p>
        </w:tc>
        <w:tc>
          <w:tcPr>
            <w:tcW w:w="942" w:type="pct"/>
          </w:tcPr>
          <w:p w14:paraId="3E870C89"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r w:rsidR="009D3206" w:rsidRPr="00DC1F68" w14:paraId="70DE32BC" w14:textId="77777777" w:rsidTr="00921FE0">
        <w:trPr>
          <w:cantSplit/>
          <w:trHeight w:val="567"/>
          <w:jc w:val="center"/>
        </w:trPr>
        <w:tc>
          <w:tcPr>
            <w:tcW w:w="1027" w:type="pct"/>
            <w:vMerge/>
          </w:tcPr>
          <w:p w14:paraId="28B490AF" w14:textId="77777777" w:rsidR="009D3206" w:rsidRPr="00DC1F68" w:rsidRDefault="009D3206" w:rsidP="006C5236">
            <w:pPr>
              <w:keepNext/>
              <w:rPr>
                <w:rFonts w:ascii="Cambria" w:hAnsi="Cambria"/>
                <w:bCs/>
                <w:szCs w:val="22"/>
              </w:rPr>
            </w:pPr>
          </w:p>
        </w:tc>
        <w:tc>
          <w:tcPr>
            <w:tcW w:w="1378" w:type="pct"/>
          </w:tcPr>
          <w:p w14:paraId="321F5866" w14:textId="77777777" w:rsidR="009D3206" w:rsidRPr="00DC1F68" w:rsidRDefault="009D3206" w:rsidP="006C5236">
            <w:pPr>
              <w:keepNext/>
              <w:rPr>
                <w:rFonts w:ascii="Cambria" w:hAnsi="Cambria"/>
                <w:szCs w:val="22"/>
              </w:rPr>
            </w:pPr>
            <w:r w:rsidRPr="00DC1F68">
              <w:rPr>
                <w:rFonts w:ascii="Cambria" w:hAnsi="Cambria"/>
                <w:szCs w:val="22"/>
              </w:rPr>
              <w:t>Blood creatine phosphokinase increased</w:t>
            </w:r>
          </w:p>
        </w:tc>
        <w:tc>
          <w:tcPr>
            <w:tcW w:w="808" w:type="pct"/>
          </w:tcPr>
          <w:p w14:paraId="778F1E30" w14:textId="77777777" w:rsidR="009D3206" w:rsidRPr="00DC1F68" w:rsidRDefault="009D3206" w:rsidP="006C5236">
            <w:pPr>
              <w:keepNext/>
              <w:jc w:val="center"/>
              <w:rPr>
                <w:rFonts w:ascii="Cambria" w:hAnsi="Cambria"/>
                <w:szCs w:val="22"/>
              </w:rPr>
            </w:pPr>
            <w:r w:rsidRPr="00DC1F68">
              <w:rPr>
                <w:rFonts w:ascii="Cambria" w:hAnsi="Cambria"/>
                <w:szCs w:val="22"/>
              </w:rPr>
              <w:t>19 (9.4)</w:t>
            </w:r>
          </w:p>
        </w:tc>
        <w:tc>
          <w:tcPr>
            <w:tcW w:w="845" w:type="pct"/>
          </w:tcPr>
          <w:p w14:paraId="48860F2C" w14:textId="77777777" w:rsidR="009D3206" w:rsidRPr="00DC1F68" w:rsidRDefault="009D3206" w:rsidP="006C5236">
            <w:pPr>
              <w:keepNext/>
              <w:jc w:val="center"/>
              <w:rPr>
                <w:rFonts w:ascii="Cambria" w:hAnsi="Cambria"/>
                <w:szCs w:val="22"/>
              </w:rPr>
            </w:pPr>
            <w:r w:rsidRPr="00DC1F68">
              <w:rPr>
                <w:rFonts w:ascii="Cambria" w:hAnsi="Cambria"/>
                <w:szCs w:val="22"/>
              </w:rPr>
              <w:t>9 (4.5)</w:t>
            </w:r>
          </w:p>
        </w:tc>
        <w:tc>
          <w:tcPr>
            <w:tcW w:w="942" w:type="pct"/>
          </w:tcPr>
          <w:p w14:paraId="5A00EF03" w14:textId="77777777" w:rsidR="009D3206" w:rsidRPr="00DC1F68" w:rsidRDefault="009D3206" w:rsidP="006C5236">
            <w:pPr>
              <w:keepNext/>
              <w:jc w:val="center"/>
              <w:rPr>
                <w:rFonts w:ascii="Cambria" w:hAnsi="Cambria"/>
                <w:szCs w:val="22"/>
              </w:rPr>
            </w:pPr>
            <w:r w:rsidRPr="00DC1F68">
              <w:rPr>
                <w:rFonts w:ascii="Cambria" w:hAnsi="Cambria"/>
                <w:szCs w:val="22"/>
              </w:rPr>
              <w:t>common</w:t>
            </w:r>
          </w:p>
        </w:tc>
      </w:tr>
    </w:tbl>
    <w:p w14:paraId="7F6A5FD0" w14:textId="77777777" w:rsidR="001F1F76" w:rsidRPr="00DC1F68" w:rsidRDefault="001F1F76" w:rsidP="001F1F76">
      <w:pPr>
        <w:rPr>
          <w:rFonts w:ascii="Cambria" w:hAnsi="Cambria"/>
          <w:szCs w:val="22"/>
        </w:rPr>
      </w:pPr>
    </w:p>
    <w:p w14:paraId="2EEAB56F" w14:textId="77777777" w:rsidR="001F1F76" w:rsidRPr="00DC1F68" w:rsidRDefault="001F1F76" w:rsidP="001F1F76">
      <w:pPr>
        <w:rPr>
          <w:rFonts w:ascii="Cambria" w:hAnsi="Cambria"/>
          <w:bCs/>
          <w:szCs w:val="22"/>
        </w:rPr>
      </w:pPr>
      <w:bookmarkStart w:id="32" w:name="_Hlk20995672"/>
      <w:r w:rsidRPr="00DC1F68">
        <w:rPr>
          <w:rFonts w:ascii="Cambria" w:hAnsi="Cambria"/>
          <w:bCs/>
          <w:szCs w:val="22"/>
        </w:rPr>
        <w:t>Safety data from the following studies were consistent with the safety data observed in Study 445</w:t>
      </w:r>
      <w:r w:rsidRPr="00DC1F68">
        <w:rPr>
          <w:rFonts w:ascii="Cambria" w:hAnsi="Cambria"/>
          <w:bCs/>
          <w:szCs w:val="22"/>
        </w:rPr>
        <w:noBreakHyphen/>
        <w:t>102.</w:t>
      </w:r>
    </w:p>
    <w:p w14:paraId="7D3F3B5D" w14:textId="77777777" w:rsidR="001F1F76" w:rsidRPr="00DC1F68" w:rsidRDefault="001F1F76" w:rsidP="001F1F76">
      <w:pPr>
        <w:numPr>
          <w:ilvl w:val="0"/>
          <w:numId w:val="39"/>
        </w:numPr>
        <w:tabs>
          <w:tab w:val="clear" w:pos="567"/>
          <w:tab w:val="left" w:pos="360"/>
        </w:tabs>
        <w:autoSpaceDE w:val="0"/>
        <w:autoSpaceDN w:val="0"/>
        <w:adjustRightInd w:val="0"/>
        <w:ind w:left="360"/>
        <w:jc w:val="both"/>
        <w:rPr>
          <w:rFonts w:ascii="Cambria" w:hAnsi="Cambria"/>
          <w:bCs/>
          <w:szCs w:val="22"/>
        </w:rPr>
      </w:pPr>
      <w:r w:rsidRPr="00DC1F68">
        <w:rPr>
          <w:rFonts w:ascii="Cambria" w:eastAsia="SimSun" w:hAnsi="Cambria"/>
          <w:bCs/>
          <w:szCs w:val="22"/>
        </w:rPr>
        <w:t>A 4-week, randomized, double-blind, active-controlled study in 107 patients</w:t>
      </w:r>
      <w:r w:rsidRPr="00DC1F68">
        <w:rPr>
          <w:rFonts w:ascii="Cambria" w:hAnsi="Cambria"/>
          <w:szCs w:val="22"/>
        </w:rPr>
        <w:t xml:space="preserve"> (Study 445</w:t>
      </w:r>
      <w:r w:rsidRPr="00DC1F68">
        <w:rPr>
          <w:rFonts w:ascii="Cambria" w:hAnsi="Cambria"/>
          <w:szCs w:val="22"/>
        </w:rPr>
        <w:noBreakHyphen/>
        <w:t>103)</w:t>
      </w:r>
      <w:r w:rsidRPr="00DC1F68">
        <w:rPr>
          <w:rFonts w:ascii="Cambria" w:eastAsia="SimSun" w:hAnsi="Cambria"/>
          <w:bCs/>
          <w:szCs w:val="22"/>
        </w:rPr>
        <w:t>.</w:t>
      </w:r>
    </w:p>
    <w:p w14:paraId="6CE815B1" w14:textId="3A57F2EF" w:rsidR="00514AC3" w:rsidRPr="00305A74" w:rsidRDefault="001F1F76" w:rsidP="00DE08E0">
      <w:pPr>
        <w:numPr>
          <w:ilvl w:val="0"/>
          <w:numId w:val="39"/>
        </w:numPr>
        <w:tabs>
          <w:tab w:val="clear" w:pos="567"/>
          <w:tab w:val="left" w:pos="360"/>
        </w:tabs>
        <w:autoSpaceDE w:val="0"/>
        <w:autoSpaceDN w:val="0"/>
        <w:adjustRightInd w:val="0"/>
        <w:ind w:left="360"/>
        <w:jc w:val="both"/>
        <w:rPr>
          <w:rFonts w:ascii="Cambria" w:hAnsi="Cambria"/>
          <w:iCs/>
          <w:szCs w:val="22"/>
        </w:rPr>
      </w:pPr>
      <w:r w:rsidRPr="00DC1F68">
        <w:rPr>
          <w:rFonts w:ascii="Cambria" w:hAnsi="Cambria"/>
          <w:bCs/>
          <w:szCs w:val="22"/>
        </w:rPr>
        <w:t>A 96-week, open</w:t>
      </w:r>
      <w:r w:rsidRPr="00DC1F68">
        <w:rPr>
          <w:rFonts w:ascii="Cambria" w:hAnsi="Cambria"/>
          <w:bCs/>
          <w:szCs w:val="22"/>
        </w:rPr>
        <w:noBreakHyphen/>
        <w:t>label safety and efficacy study (Study 445</w:t>
      </w:r>
      <w:r w:rsidRPr="00DC1F68">
        <w:rPr>
          <w:rFonts w:ascii="Cambria" w:hAnsi="Cambria"/>
          <w:bCs/>
          <w:szCs w:val="22"/>
        </w:rPr>
        <w:noBreakHyphen/>
        <w:t>105) for patients rolled over from Studies 445</w:t>
      </w:r>
      <w:r w:rsidRPr="00DC1F68">
        <w:rPr>
          <w:rFonts w:ascii="Cambria" w:hAnsi="Cambria"/>
          <w:bCs/>
          <w:szCs w:val="22"/>
        </w:rPr>
        <w:noBreakHyphen/>
        <w:t>102 and 445</w:t>
      </w:r>
      <w:r w:rsidRPr="00DC1F68">
        <w:rPr>
          <w:rFonts w:ascii="Cambria" w:hAnsi="Cambria"/>
          <w:bCs/>
          <w:szCs w:val="22"/>
        </w:rPr>
        <w:noBreakHyphen/>
        <w:t>103, with interim analysis performed on 509 patients including 58 patients with ≥48 weeks of cumulative treatment with T</w:t>
      </w:r>
      <w:r w:rsidR="002A3388">
        <w:rPr>
          <w:rFonts w:ascii="Cambria" w:hAnsi="Cambria"/>
          <w:bCs/>
          <w:szCs w:val="22"/>
        </w:rPr>
        <w:t>RIKAFTA</w:t>
      </w:r>
      <w:r w:rsidRPr="00DC1F68">
        <w:rPr>
          <w:rFonts w:ascii="Cambria" w:hAnsi="Cambria"/>
          <w:bCs/>
          <w:szCs w:val="22"/>
        </w:rPr>
        <w:t>.</w:t>
      </w:r>
      <w:bookmarkEnd w:id="32"/>
    </w:p>
    <w:p w14:paraId="5B0F9DA7" w14:textId="2108A2B1" w:rsidR="00305A74" w:rsidRPr="00514AC3" w:rsidRDefault="00305A74" w:rsidP="00DE08E0">
      <w:pPr>
        <w:numPr>
          <w:ilvl w:val="0"/>
          <w:numId w:val="39"/>
        </w:numPr>
        <w:tabs>
          <w:tab w:val="clear" w:pos="567"/>
          <w:tab w:val="left" w:pos="360"/>
        </w:tabs>
        <w:autoSpaceDE w:val="0"/>
        <w:autoSpaceDN w:val="0"/>
        <w:adjustRightInd w:val="0"/>
        <w:ind w:left="360"/>
        <w:jc w:val="both"/>
        <w:rPr>
          <w:rFonts w:ascii="Cambria" w:hAnsi="Cambria"/>
          <w:iCs/>
          <w:szCs w:val="22"/>
        </w:rPr>
      </w:pPr>
      <w:bookmarkStart w:id="33" w:name="_Hlk55992555"/>
      <w:r>
        <w:rPr>
          <w:rFonts w:ascii="Cambria" w:hAnsi="Cambria"/>
          <w:bCs/>
          <w:szCs w:val="22"/>
        </w:rPr>
        <w:t xml:space="preserve">An </w:t>
      </w:r>
      <w:r w:rsidR="007365B9">
        <w:rPr>
          <w:rFonts w:ascii="Cambria" w:hAnsi="Cambria"/>
          <w:bCs/>
          <w:szCs w:val="22"/>
        </w:rPr>
        <w:t>8-week</w:t>
      </w:r>
      <w:r w:rsidR="00237633">
        <w:rPr>
          <w:rFonts w:ascii="Cambria" w:hAnsi="Cambria"/>
          <w:bCs/>
          <w:szCs w:val="22"/>
        </w:rPr>
        <w:t>, randomized</w:t>
      </w:r>
      <w:r w:rsidR="00915D2F">
        <w:rPr>
          <w:rFonts w:ascii="Cambria" w:hAnsi="Cambria"/>
          <w:bCs/>
          <w:szCs w:val="22"/>
        </w:rPr>
        <w:t>, double</w:t>
      </w:r>
      <w:r w:rsidR="003A3606">
        <w:rPr>
          <w:rFonts w:ascii="Cambria" w:hAnsi="Cambria"/>
          <w:bCs/>
          <w:szCs w:val="22"/>
        </w:rPr>
        <w:t>-blind</w:t>
      </w:r>
      <w:r w:rsidR="00506E26">
        <w:rPr>
          <w:rFonts w:ascii="Cambria" w:hAnsi="Cambria"/>
          <w:bCs/>
          <w:szCs w:val="22"/>
        </w:rPr>
        <w:t xml:space="preserve">, </w:t>
      </w:r>
      <w:r w:rsidR="009F6888">
        <w:rPr>
          <w:rFonts w:ascii="Cambria" w:hAnsi="Cambria"/>
          <w:bCs/>
          <w:szCs w:val="22"/>
        </w:rPr>
        <w:t xml:space="preserve">active-controlled study </w:t>
      </w:r>
      <w:r w:rsidR="001A50F8">
        <w:rPr>
          <w:rFonts w:ascii="Cambria" w:hAnsi="Cambria"/>
          <w:bCs/>
          <w:szCs w:val="22"/>
        </w:rPr>
        <w:t>in 258 patients (</w:t>
      </w:r>
      <w:r w:rsidR="00541C1F">
        <w:rPr>
          <w:rFonts w:ascii="Cambria" w:hAnsi="Cambria"/>
          <w:bCs/>
          <w:szCs w:val="22"/>
        </w:rPr>
        <w:t>study 445-</w:t>
      </w:r>
      <w:r w:rsidR="004D0EA5">
        <w:rPr>
          <w:rFonts w:ascii="Cambria" w:hAnsi="Cambria"/>
          <w:bCs/>
          <w:szCs w:val="22"/>
        </w:rPr>
        <w:t>104).</w:t>
      </w:r>
    </w:p>
    <w:bookmarkEnd w:id="33"/>
    <w:p w14:paraId="0B1589DE" w14:textId="77777777" w:rsidR="001F1F76" w:rsidRPr="00DC1F68" w:rsidRDefault="001F1F76" w:rsidP="00DE08E0">
      <w:pPr>
        <w:rPr>
          <w:rFonts w:ascii="Cambria" w:hAnsi="Cambria"/>
          <w:b/>
          <w:bCs/>
          <w:szCs w:val="22"/>
        </w:rPr>
      </w:pPr>
    </w:p>
    <w:p w14:paraId="52C1F2E5" w14:textId="6270590F" w:rsidR="00DE08E0" w:rsidRPr="00DC1F68" w:rsidRDefault="00DE08E0" w:rsidP="00DE08E0">
      <w:pPr>
        <w:rPr>
          <w:rFonts w:ascii="Cambria" w:hAnsi="Cambria"/>
          <w:b/>
          <w:bCs/>
          <w:szCs w:val="22"/>
        </w:rPr>
      </w:pPr>
      <w:r w:rsidRPr="00DC1F68">
        <w:rPr>
          <w:rFonts w:ascii="Cambria" w:hAnsi="Cambria"/>
          <w:b/>
          <w:bCs/>
          <w:szCs w:val="22"/>
        </w:rPr>
        <w:t xml:space="preserve">Detailed description of selected adverse </w:t>
      </w:r>
      <w:r w:rsidR="000E525A" w:rsidRPr="00DC1F68">
        <w:rPr>
          <w:rFonts w:ascii="Cambria" w:hAnsi="Cambria"/>
          <w:b/>
          <w:bCs/>
          <w:szCs w:val="22"/>
        </w:rPr>
        <w:t>e</w:t>
      </w:r>
      <w:r w:rsidR="00390958" w:rsidRPr="00DC1F68">
        <w:rPr>
          <w:rFonts w:ascii="Cambria" w:hAnsi="Cambria"/>
          <w:b/>
          <w:bCs/>
          <w:szCs w:val="22"/>
        </w:rPr>
        <w:t>vents</w:t>
      </w:r>
    </w:p>
    <w:p w14:paraId="75900F09" w14:textId="77777777" w:rsidR="00DE08E0" w:rsidRPr="00DC1F68" w:rsidRDefault="00DE08E0" w:rsidP="00DE08E0">
      <w:pPr>
        <w:rPr>
          <w:rFonts w:ascii="Cambria" w:hAnsi="Cambria"/>
          <w:szCs w:val="22"/>
        </w:rPr>
      </w:pPr>
      <w:r w:rsidRPr="00DC1F68">
        <w:rPr>
          <w:rFonts w:ascii="Cambria" w:hAnsi="Cambria"/>
          <w:bCs/>
          <w:szCs w:val="22"/>
        </w:rPr>
        <w:t>Laboratory Abnormalities</w:t>
      </w:r>
    </w:p>
    <w:p w14:paraId="136AD310" w14:textId="77777777" w:rsidR="00C71C65" w:rsidRPr="00DC1F68" w:rsidRDefault="00C71C65" w:rsidP="00C71C65">
      <w:pPr>
        <w:rPr>
          <w:rFonts w:ascii="Cambria" w:hAnsi="Cambria"/>
          <w:i/>
          <w:szCs w:val="22"/>
        </w:rPr>
      </w:pPr>
      <w:r w:rsidRPr="00DC1F68">
        <w:rPr>
          <w:rFonts w:ascii="Cambria" w:hAnsi="Cambria"/>
          <w:i/>
          <w:szCs w:val="22"/>
        </w:rPr>
        <w:t>Transaminase elevations</w:t>
      </w:r>
    </w:p>
    <w:p w14:paraId="042FC3E4" w14:textId="62996BC3" w:rsidR="00C71C65" w:rsidRPr="00DC1F68" w:rsidRDefault="00C71C65" w:rsidP="00C71C65">
      <w:pPr>
        <w:rPr>
          <w:rFonts w:ascii="Cambria" w:hAnsi="Cambria"/>
          <w:bCs/>
          <w:szCs w:val="22"/>
        </w:rPr>
      </w:pPr>
      <w:r w:rsidRPr="00DC1F68">
        <w:rPr>
          <w:rFonts w:ascii="Cambria" w:hAnsi="Cambria"/>
          <w:bCs/>
          <w:szCs w:val="22"/>
        </w:rPr>
        <w:t>In Study 445</w:t>
      </w:r>
      <w:r w:rsidRPr="00DC1F68">
        <w:rPr>
          <w:rFonts w:ascii="Cambria" w:hAnsi="Cambria"/>
          <w:bCs/>
          <w:szCs w:val="22"/>
        </w:rPr>
        <w:noBreakHyphen/>
        <w:t>102, the incidence of maximum transaminase (ALT or AST) &gt;8, &gt;5, or &gt;3 x the ULN was 1.5%, 2.5%, and 7.9% in T</w:t>
      </w:r>
      <w:r w:rsidR="002A3388">
        <w:rPr>
          <w:rFonts w:ascii="Cambria" w:hAnsi="Cambria"/>
          <w:bCs/>
          <w:szCs w:val="22"/>
        </w:rPr>
        <w:t>RIKAFTA</w:t>
      </w:r>
      <w:r w:rsidRPr="00DC1F68">
        <w:rPr>
          <w:rFonts w:ascii="Cambria" w:hAnsi="Cambria"/>
          <w:bCs/>
          <w:szCs w:val="22"/>
        </w:rPr>
        <w:t>-treated patients and 1.0%, 1.5%, and 5.5% in placebo-treated patients. The incidence of adverse reactions of transaminase elevations was 10.9% in T</w:t>
      </w:r>
      <w:r w:rsidR="002A3388">
        <w:rPr>
          <w:rFonts w:ascii="Cambria" w:hAnsi="Cambria"/>
          <w:bCs/>
          <w:szCs w:val="22"/>
        </w:rPr>
        <w:t>RIKAFTA</w:t>
      </w:r>
      <w:r w:rsidRPr="00DC1F68">
        <w:rPr>
          <w:rFonts w:ascii="Cambria" w:hAnsi="Cambria"/>
          <w:bCs/>
          <w:szCs w:val="22"/>
        </w:rPr>
        <w:noBreakHyphen/>
        <w:t>treated patients and 4.0% in placebo-treated patients. No T</w:t>
      </w:r>
      <w:r w:rsidR="002A3388">
        <w:rPr>
          <w:rFonts w:ascii="Cambria" w:hAnsi="Cambria"/>
          <w:bCs/>
          <w:szCs w:val="22"/>
        </w:rPr>
        <w:t>RIKAFTA</w:t>
      </w:r>
      <w:r w:rsidRPr="00DC1F68">
        <w:rPr>
          <w:rFonts w:ascii="Cambria" w:hAnsi="Cambria"/>
          <w:bCs/>
          <w:szCs w:val="22"/>
        </w:rPr>
        <w:t>-treated patients discontinued treatment for elevated transaminases (see section 4.4 SPECIAL WARNINGS AND PRECAUTIONS FOR USE).</w:t>
      </w:r>
    </w:p>
    <w:p w14:paraId="377AA259" w14:textId="77777777" w:rsidR="00C71C65" w:rsidRPr="00DC1F68" w:rsidRDefault="00C71C65" w:rsidP="00C71C65">
      <w:pPr>
        <w:rPr>
          <w:rFonts w:ascii="Cambria" w:hAnsi="Cambria"/>
          <w:bCs/>
          <w:szCs w:val="22"/>
        </w:rPr>
      </w:pPr>
    </w:p>
    <w:p w14:paraId="76B303B9" w14:textId="77777777" w:rsidR="00C71C65" w:rsidRPr="00DC1F68" w:rsidRDefault="00C71C65" w:rsidP="00C71C65">
      <w:pPr>
        <w:rPr>
          <w:rFonts w:ascii="Cambria" w:hAnsi="Cambria"/>
          <w:bCs/>
          <w:i/>
          <w:szCs w:val="22"/>
        </w:rPr>
      </w:pPr>
      <w:r w:rsidRPr="00DC1F68">
        <w:rPr>
          <w:rFonts w:ascii="Cambria" w:hAnsi="Cambria"/>
          <w:bCs/>
          <w:i/>
          <w:szCs w:val="22"/>
        </w:rPr>
        <w:t>Rash Events</w:t>
      </w:r>
    </w:p>
    <w:p w14:paraId="4CA2D6C7" w14:textId="3B89B224" w:rsidR="00C71C65" w:rsidRPr="00DC1F68" w:rsidRDefault="00C71C65" w:rsidP="00C71C65">
      <w:pPr>
        <w:rPr>
          <w:rFonts w:ascii="Cambria" w:hAnsi="Cambria"/>
          <w:bCs/>
          <w:szCs w:val="22"/>
        </w:rPr>
      </w:pPr>
      <w:r w:rsidRPr="00DC1F68">
        <w:rPr>
          <w:rFonts w:ascii="Cambria" w:hAnsi="Cambria"/>
          <w:bCs/>
          <w:szCs w:val="22"/>
        </w:rPr>
        <w:t>In Study 445</w:t>
      </w:r>
      <w:r w:rsidRPr="00DC1F68">
        <w:rPr>
          <w:rFonts w:ascii="Cambria" w:hAnsi="Cambria"/>
          <w:bCs/>
          <w:szCs w:val="22"/>
        </w:rPr>
        <w:noBreakHyphen/>
        <w:t>102, the incidence of rash events (e.g., rash, rash pruritic) was 10.9% in T</w:t>
      </w:r>
      <w:r w:rsidR="002A3388">
        <w:rPr>
          <w:rFonts w:ascii="Cambria" w:hAnsi="Cambria"/>
          <w:bCs/>
          <w:szCs w:val="22"/>
        </w:rPr>
        <w:t>RIKAFTA</w:t>
      </w:r>
      <w:r w:rsidRPr="00DC1F68">
        <w:rPr>
          <w:rFonts w:ascii="Cambria" w:hAnsi="Cambria"/>
          <w:bCs/>
          <w:szCs w:val="22"/>
        </w:rPr>
        <w:t>-treated patients and 6.5% in placebo</w:t>
      </w:r>
      <w:r w:rsidRPr="00DC1F68">
        <w:rPr>
          <w:rFonts w:ascii="Cambria" w:hAnsi="Cambria"/>
          <w:bCs/>
          <w:szCs w:val="22"/>
        </w:rPr>
        <w:noBreakHyphen/>
        <w:t>treated patients. The rash events were generally mild to moderate in severity. The incidence of rash events by patient sex was 5.8% in males and 16.3% in females in T</w:t>
      </w:r>
      <w:r w:rsidR="002A3388">
        <w:rPr>
          <w:rFonts w:ascii="Cambria" w:hAnsi="Cambria"/>
          <w:bCs/>
          <w:szCs w:val="22"/>
        </w:rPr>
        <w:t>RIKAFTA</w:t>
      </w:r>
      <w:r w:rsidRPr="00DC1F68">
        <w:rPr>
          <w:rFonts w:ascii="Cambria" w:hAnsi="Cambria"/>
          <w:bCs/>
          <w:szCs w:val="22"/>
        </w:rPr>
        <w:t xml:space="preserve">-treated patients and 4.8% in males and 8.3% in females in placebo-treated patients. </w:t>
      </w:r>
    </w:p>
    <w:p w14:paraId="1E1672D3" w14:textId="77777777" w:rsidR="00C71C65" w:rsidRPr="00DC1F68" w:rsidRDefault="00C71C65" w:rsidP="00C71C65">
      <w:pPr>
        <w:rPr>
          <w:bCs/>
          <w:szCs w:val="22"/>
        </w:rPr>
      </w:pPr>
    </w:p>
    <w:p w14:paraId="5E3FDD05" w14:textId="5CB64397" w:rsidR="00C71C65" w:rsidRPr="00DC1F68" w:rsidRDefault="00C71C65" w:rsidP="00C71C65">
      <w:pPr>
        <w:rPr>
          <w:rFonts w:ascii="Cambria" w:hAnsi="Cambria"/>
          <w:bCs/>
          <w:szCs w:val="22"/>
        </w:rPr>
      </w:pPr>
      <w:r w:rsidRPr="00DC1F68">
        <w:rPr>
          <w:rFonts w:ascii="Cambria" w:hAnsi="Cambria"/>
          <w:bCs/>
          <w:szCs w:val="22"/>
        </w:rPr>
        <w:t>A role for hormonal contraceptives in the occurrence of rash cannot be excluded. For patients taking hormonal contraceptives who develop rash, consider interrupting T</w:t>
      </w:r>
      <w:r w:rsidR="002A3388">
        <w:rPr>
          <w:rFonts w:ascii="Cambria" w:hAnsi="Cambria"/>
          <w:bCs/>
          <w:szCs w:val="22"/>
        </w:rPr>
        <w:t>RIKAFTA</w:t>
      </w:r>
      <w:r w:rsidRPr="00DC1F68">
        <w:rPr>
          <w:rFonts w:ascii="Cambria" w:hAnsi="Cambria"/>
          <w:bCs/>
          <w:szCs w:val="22"/>
        </w:rPr>
        <w:t xml:space="preserve"> and hormonal contraceptives. Following the resolution of rash, consider resuming T</w:t>
      </w:r>
      <w:r w:rsidR="002A3388">
        <w:rPr>
          <w:rFonts w:ascii="Cambria" w:hAnsi="Cambria"/>
          <w:bCs/>
          <w:szCs w:val="22"/>
        </w:rPr>
        <w:t>RIKAFTA</w:t>
      </w:r>
      <w:r w:rsidRPr="00DC1F68">
        <w:rPr>
          <w:rFonts w:ascii="Cambria" w:hAnsi="Cambria"/>
          <w:bCs/>
          <w:szCs w:val="22"/>
        </w:rPr>
        <w:t xml:space="preserve"> without the hormonal contraceptives. If rash does not recur, resumption of hormonal contraceptives can be considered.</w:t>
      </w:r>
    </w:p>
    <w:p w14:paraId="530EF6E3" w14:textId="77777777" w:rsidR="00C71C65" w:rsidRPr="00DC1F68" w:rsidRDefault="00C71C65" w:rsidP="00C71C65">
      <w:pPr>
        <w:rPr>
          <w:szCs w:val="22"/>
        </w:rPr>
      </w:pPr>
    </w:p>
    <w:p w14:paraId="002235CA" w14:textId="77777777" w:rsidR="00C71C65" w:rsidRPr="00DC1F68" w:rsidRDefault="00C71C65" w:rsidP="00C71C65">
      <w:pPr>
        <w:rPr>
          <w:rFonts w:ascii="Cambria" w:hAnsi="Cambria"/>
          <w:i/>
          <w:szCs w:val="22"/>
        </w:rPr>
      </w:pPr>
      <w:r w:rsidRPr="00DC1F68">
        <w:rPr>
          <w:rFonts w:ascii="Cambria" w:hAnsi="Cambria"/>
          <w:i/>
          <w:szCs w:val="22"/>
        </w:rPr>
        <w:t xml:space="preserve">Increased Creatine Phosphokinase </w:t>
      </w:r>
    </w:p>
    <w:p w14:paraId="3B763942" w14:textId="1769F548" w:rsidR="00C71C65" w:rsidRPr="00DC1F68" w:rsidRDefault="00C71C65" w:rsidP="00C71C65">
      <w:pPr>
        <w:rPr>
          <w:rFonts w:ascii="Cambria" w:hAnsi="Cambria"/>
          <w:szCs w:val="22"/>
          <w:lang w:val="en-CA"/>
        </w:rPr>
      </w:pPr>
      <w:r w:rsidRPr="00DC1F68">
        <w:rPr>
          <w:rFonts w:ascii="Cambria" w:hAnsi="Cambria"/>
          <w:szCs w:val="22"/>
          <w:lang w:val="en-CA"/>
        </w:rPr>
        <w:t xml:space="preserve">In Study </w:t>
      </w:r>
      <w:r w:rsidRPr="00DC1F68">
        <w:rPr>
          <w:rFonts w:ascii="Cambria" w:hAnsi="Cambria"/>
          <w:bCs/>
          <w:szCs w:val="22"/>
        </w:rPr>
        <w:t>445</w:t>
      </w:r>
      <w:r w:rsidRPr="00DC1F68">
        <w:rPr>
          <w:rFonts w:ascii="Cambria" w:hAnsi="Cambria"/>
          <w:bCs/>
          <w:szCs w:val="22"/>
        </w:rPr>
        <w:noBreakHyphen/>
        <w:t>102</w:t>
      </w:r>
      <w:r w:rsidRPr="00DC1F68">
        <w:rPr>
          <w:rFonts w:ascii="Cambria" w:hAnsi="Cambria"/>
          <w:szCs w:val="22"/>
          <w:lang w:val="en-CA"/>
        </w:rPr>
        <w:t>, the incidence of maximum creatine phosphokinase &gt;5 x the ULN was 10.4% in T</w:t>
      </w:r>
      <w:r w:rsidR="002A3388">
        <w:rPr>
          <w:rFonts w:ascii="Cambria" w:hAnsi="Cambria"/>
          <w:szCs w:val="22"/>
          <w:lang w:val="en-CA"/>
        </w:rPr>
        <w:t>RIKAFTA</w:t>
      </w:r>
      <w:r w:rsidRPr="00DC1F68">
        <w:rPr>
          <w:rFonts w:ascii="Cambria" w:hAnsi="Cambria"/>
          <w:szCs w:val="22"/>
          <w:lang w:val="en-CA"/>
        </w:rPr>
        <w:t>-treated patients and 5.0% in placebo-treated patients. No T</w:t>
      </w:r>
      <w:r w:rsidR="002A3388">
        <w:rPr>
          <w:rFonts w:ascii="Cambria" w:hAnsi="Cambria"/>
          <w:szCs w:val="22"/>
          <w:lang w:val="en-CA"/>
        </w:rPr>
        <w:t>RIKAFTA</w:t>
      </w:r>
      <w:r w:rsidRPr="00DC1F68">
        <w:rPr>
          <w:rFonts w:ascii="Cambria" w:hAnsi="Cambria"/>
          <w:szCs w:val="22"/>
          <w:lang w:val="en-CA"/>
        </w:rPr>
        <w:t>-treated patients discontinued treatment for increased creatine phosphokinase.</w:t>
      </w:r>
    </w:p>
    <w:p w14:paraId="417F7FA1" w14:textId="77777777" w:rsidR="00C71C65" w:rsidRPr="00DC1F68" w:rsidRDefault="00C71C65" w:rsidP="00C71C65">
      <w:pPr>
        <w:rPr>
          <w:rFonts w:ascii="Cambria" w:hAnsi="Cambria"/>
          <w:szCs w:val="22"/>
        </w:rPr>
      </w:pPr>
    </w:p>
    <w:p w14:paraId="535025DE" w14:textId="77777777" w:rsidR="00C71C65" w:rsidRPr="00DC1F68" w:rsidRDefault="00C71C65" w:rsidP="00C71C65">
      <w:pPr>
        <w:rPr>
          <w:rFonts w:ascii="Cambria" w:hAnsi="Cambria"/>
          <w:i/>
          <w:szCs w:val="22"/>
        </w:rPr>
      </w:pPr>
      <w:r w:rsidRPr="00DC1F68">
        <w:rPr>
          <w:rFonts w:ascii="Cambria" w:hAnsi="Cambria"/>
          <w:i/>
          <w:szCs w:val="22"/>
        </w:rPr>
        <w:t>Increased Blood Pressure</w:t>
      </w:r>
    </w:p>
    <w:p w14:paraId="3FE13441" w14:textId="56F381EE" w:rsidR="00F62977" w:rsidRDefault="00C71C65" w:rsidP="00C71C65">
      <w:pPr>
        <w:rPr>
          <w:rFonts w:ascii="Cambria" w:hAnsi="Cambria"/>
          <w:bCs/>
          <w:szCs w:val="22"/>
        </w:rPr>
      </w:pPr>
      <w:r w:rsidRPr="00DC1F68">
        <w:rPr>
          <w:rFonts w:ascii="Cambria" w:hAnsi="Cambria"/>
          <w:bCs/>
          <w:szCs w:val="22"/>
        </w:rPr>
        <w:t>In Study 445</w:t>
      </w:r>
      <w:r w:rsidRPr="00DC1F68">
        <w:rPr>
          <w:rFonts w:ascii="Cambria" w:hAnsi="Cambria"/>
          <w:bCs/>
          <w:szCs w:val="22"/>
        </w:rPr>
        <w:noBreakHyphen/>
        <w:t xml:space="preserve">102, the maximum increase from baseline in mean systolic and diastolic blood pressure was 3.5 mmHg and 1.9 mmHg, respectively for </w:t>
      </w:r>
      <w:r w:rsidR="00A34C4D">
        <w:rPr>
          <w:rFonts w:ascii="Cambria" w:hAnsi="Cambria"/>
          <w:bCs/>
          <w:szCs w:val="22"/>
        </w:rPr>
        <w:t>T</w:t>
      </w:r>
      <w:r w:rsidR="002A3388">
        <w:rPr>
          <w:rFonts w:ascii="Cambria" w:hAnsi="Cambria"/>
          <w:bCs/>
          <w:szCs w:val="22"/>
        </w:rPr>
        <w:t>RIKAFTA</w:t>
      </w:r>
      <w:r w:rsidRPr="00DC1F68">
        <w:rPr>
          <w:rFonts w:ascii="Cambria" w:hAnsi="Cambria"/>
          <w:bCs/>
          <w:szCs w:val="22"/>
        </w:rPr>
        <w:noBreakHyphen/>
        <w:t xml:space="preserve">treated patients (baseline: </w:t>
      </w:r>
    </w:p>
    <w:p w14:paraId="44C9A272" w14:textId="404C0824" w:rsidR="00C71C65" w:rsidRPr="00DC1F68" w:rsidRDefault="00C71C65" w:rsidP="00C71C65">
      <w:pPr>
        <w:rPr>
          <w:rFonts w:ascii="Cambria" w:hAnsi="Cambria"/>
          <w:bCs/>
          <w:szCs w:val="22"/>
        </w:rPr>
      </w:pPr>
      <w:r w:rsidRPr="00DC1F68">
        <w:rPr>
          <w:rFonts w:ascii="Cambria" w:hAnsi="Cambria"/>
          <w:bCs/>
          <w:szCs w:val="22"/>
        </w:rPr>
        <w:t>113</w:t>
      </w:r>
      <w:r w:rsidR="003368DF">
        <w:rPr>
          <w:rFonts w:ascii="Cambria" w:hAnsi="Cambria"/>
          <w:bCs/>
          <w:szCs w:val="22"/>
        </w:rPr>
        <w:t xml:space="preserve"> </w:t>
      </w:r>
      <w:r w:rsidRPr="00DC1F68">
        <w:rPr>
          <w:rFonts w:ascii="Cambria" w:hAnsi="Cambria"/>
          <w:bCs/>
          <w:szCs w:val="22"/>
        </w:rPr>
        <w:t>mmHg systolic and 69 mmHg diastolic) and 0.9 mmHg and 0.5 mmHg, respectively for placebo</w:t>
      </w:r>
      <w:r w:rsidRPr="00DC1F68">
        <w:rPr>
          <w:rFonts w:ascii="Cambria" w:hAnsi="Cambria"/>
          <w:bCs/>
          <w:szCs w:val="22"/>
        </w:rPr>
        <w:noBreakHyphen/>
        <w:t>treated patients (baseline: 114 mmHg systolic and 70 mmHg diastolic).</w:t>
      </w:r>
    </w:p>
    <w:p w14:paraId="0669BF5E" w14:textId="77777777" w:rsidR="00C71C65" w:rsidRPr="00DC1F68" w:rsidRDefault="00C71C65" w:rsidP="00C71C65">
      <w:pPr>
        <w:rPr>
          <w:rFonts w:ascii="Cambria" w:hAnsi="Cambria"/>
          <w:bCs/>
          <w:szCs w:val="22"/>
          <w:lang w:val="en-CA"/>
        </w:rPr>
      </w:pPr>
    </w:p>
    <w:p w14:paraId="21DF255C" w14:textId="56CC58D5" w:rsidR="00C71C65" w:rsidRPr="006623BD" w:rsidRDefault="00C71C65" w:rsidP="00C71C65">
      <w:pPr>
        <w:rPr>
          <w:rFonts w:ascii="Cambria" w:hAnsi="Cambria"/>
          <w:bCs/>
          <w:szCs w:val="22"/>
          <w:lang w:val="en-CA"/>
        </w:rPr>
      </w:pPr>
      <w:r w:rsidRPr="00DC1F68">
        <w:rPr>
          <w:rFonts w:ascii="Cambria" w:hAnsi="Cambria"/>
          <w:bCs/>
          <w:szCs w:val="22"/>
          <w:lang w:val="en-CA"/>
        </w:rPr>
        <w:t xml:space="preserve">The proportion of patients who had systolic blood pressure &gt;140 mmHg or diastolic blood pressure &gt;90 mmHg on at least two occasions was 5.0% and 3.0% in </w:t>
      </w:r>
      <w:r w:rsidR="00A34C4D">
        <w:rPr>
          <w:rFonts w:ascii="Cambria" w:hAnsi="Cambria"/>
          <w:bCs/>
          <w:szCs w:val="22"/>
          <w:lang w:val="en-CA"/>
        </w:rPr>
        <w:t>T</w:t>
      </w:r>
      <w:r w:rsidR="006E4A2B">
        <w:rPr>
          <w:rFonts w:ascii="Cambria" w:hAnsi="Cambria"/>
          <w:bCs/>
          <w:szCs w:val="22"/>
          <w:lang w:val="en-CA"/>
        </w:rPr>
        <w:t>RIKAFTA</w:t>
      </w:r>
      <w:r w:rsidRPr="00DC1F68">
        <w:rPr>
          <w:rFonts w:ascii="Cambria" w:hAnsi="Cambria"/>
          <w:bCs/>
          <w:szCs w:val="22"/>
          <w:lang w:val="en-CA"/>
        </w:rPr>
        <w:t>-treated patients</w:t>
      </w:r>
      <w:r w:rsidRPr="00DC1F68">
        <w:rPr>
          <w:rFonts w:ascii="Cambria" w:hAnsi="Cambria"/>
          <w:bCs/>
          <w:szCs w:val="22"/>
        </w:rPr>
        <w:t xml:space="preserve"> respectively, </w:t>
      </w:r>
      <w:r w:rsidRPr="00DC1F68">
        <w:rPr>
          <w:rFonts w:ascii="Cambria" w:hAnsi="Cambria"/>
          <w:bCs/>
          <w:szCs w:val="22"/>
          <w:lang w:val="en-CA"/>
        </w:rPr>
        <w:t>compared with 3.5% and 3.5% in placebo-treated patients, respectively.</w:t>
      </w:r>
    </w:p>
    <w:p w14:paraId="67F738D8" w14:textId="77777777" w:rsidR="00ED6D4E" w:rsidRPr="004C7E31" w:rsidRDefault="00ED6D4E" w:rsidP="00ED6D4E">
      <w:pPr>
        <w:rPr>
          <w:lang w:val="en-CA"/>
        </w:rPr>
      </w:pPr>
    </w:p>
    <w:p w14:paraId="321323A2" w14:textId="77777777" w:rsidR="005F4B44" w:rsidRPr="00DC1F68" w:rsidRDefault="005F4B44" w:rsidP="005F4B44">
      <w:pPr>
        <w:rPr>
          <w:rFonts w:ascii="Cambria" w:hAnsi="Cambria"/>
          <w:b/>
          <w:bCs/>
          <w:szCs w:val="22"/>
        </w:rPr>
      </w:pPr>
      <w:r w:rsidRPr="0008567C">
        <w:rPr>
          <w:rFonts w:ascii="Cambria" w:hAnsi="Cambria"/>
          <w:b/>
          <w:bCs/>
          <w:szCs w:val="22"/>
        </w:rPr>
        <w:t>Reporting suspected</w:t>
      </w:r>
      <w:r w:rsidRPr="00DC1F68">
        <w:rPr>
          <w:rFonts w:ascii="Cambria" w:hAnsi="Cambria"/>
          <w:b/>
          <w:bCs/>
          <w:szCs w:val="22"/>
        </w:rPr>
        <w:t xml:space="preserve"> adverse effects </w:t>
      </w:r>
    </w:p>
    <w:p w14:paraId="15264433" w14:textId="504DEE7D" w:rsidR="00B63C41" w:rsidRPr="00DC1F68" w:rsidRDefault="00B63C41" w:rsidP="00DE08E0">
      <w:pPr>
        <w:rPr>
          <w:rFonts w:ascii="Cambria" w:hAnsi="Cambria"/>
          <w:bCs/>
          <w:szCs w:val="22"/>
        </w:rPr>
      </w:pPr>
      <w:r w:rsidRPr="00DC1F68">
        <w:rPr>
          <w:rFonts w:ascii="Cambria" w:hAnsi="Cambria"/>
          <w:bCs/>
          <w:szCs w:val="22"/>
        </w:rPr>
        <w:t>Reporting of suspected adverse reactions after registration of the medicinal product is important. It allows continued monitoring of the benefit-risk balance of the medicinal product.</w:t>
      </w:r>
      <w:r w:rsidR="00100493">
        <w:rPr>
          <w:rFonts w:ascii="Cambria" w:hAnsi="Cambria"/>
          <w:bCs/>
          <w:szCs w:val="22"/>
        </w:rPr>
        <w:t xml:space="preserve"> </w:t>
      </w:r>
      <w:r w:rsidRPr="00DC1F68">
        <w:rPr>
          <w:rFonts w:ascii="Cambria" w:hAnsi="Cambria"/>
          <w:bCs/>
          <w:szCs w:val="22"/>
        </w:rPr>
        <w:t xml:space="preserve">Healthcare professionals are asked to report any suspected adverse reactions at </w:t>
      </w:r>
      <w:hyperlink r:id="rId13" w:history="1">
        <w:r w:rsidR="004B37B7" w:rsidRPr="004E15F2">
          <w:rPr>
            <w:rStyle w:val="Hyperlink"/>
            <w:rFonts w:ascii="Cambria" w:hAnsi="Cambria"/>
            <w:bCs/>
            <w:szCs w:val="22"/>
          </w:rPr>
          <w:t>www.tga.gov.au/reporting-problems</w:t>
        </w:r>
      </w:hyperlink>
      <w:r w:rsidRPr="00DC1F68">
        <w:rPr>
          <w:rFonts w:ascii="Cambria" w:hAnsi="Cambria"/>
          <w:bCs/>
          <w:szCs w:val="22"/>
        </w:rPr>
        <w:t>.</w:t>
      </w:r>
    </w:p>
    <w:p w14:paraId="60309446" w14:textId="01801246" w:rsidR="00DE08E0" w:rsidRPr="00DC1F68" w:rsidRDefault="00DE08E0" w:rsidP="00DE08E0">
      <w:pPr>
        <w:rPr>
          <w:rFonts w:ascii="Cambria" w:hAnsi="Cambria"/>
          <w:bCs/>
          <w:szCs w:val="22"/>
        </w:rPr>
      </w:pPr>
    </w:p>
    <w:p w14:paraId="42B5387E" w14:textId="42BB1DB3" w:rsidR="00DE08E0" w:rsidRPr="00DC1F68" w:rsidRDefault="00DE08E0" w:rsidP="00DE08E0">
      <w:pPr>
        <w:pStyle w:val="Heading2"/>
        <w:rPr>
          <w:rFonts w:ascii="Cambria" w:hAnsi="Cambria"/>
          <w:sz w:val="24"/>
          <w:szCs w:val="24"/>
        </w:rPr>
      </w:pPr>
      <w:bookmarkStart w:id="34" w:name="_Toc485781377"/>
      <w:r w:rsidRPr="00DC1F68">
        <w:rPr>
          <w:rFonts w:ascii="Cambria" w:hAnsi="Cambria"/>
          <w:sz w:val="24"/>
          <w:szCs w:val="24"/>
        </w:rPr>
        <w:t>O</w:t>
      </w:r>
      <w:r w:rsidR="00A34605" w:rsidRPr="00DC1F68">
        <w:rPr>
          <w:rFonts w:ascii="Cambria" w:hAnsi="Cambria"/>
          <w:sz w:val="24"/>
          <w:szCs w:val="24"/>
        </w:rPr>
        <w:t>VERDOSE</w:t>
      </w:r>
      <w:bookmarkEnd w:id="34"/>
    </w:p>
    <w:p w14:paraId="3D45054D" w14:textId="77777777" w:rsidR="00DE08E0" w:rsidRPr="00DC1F68" w:rsidRDefault="00DE08E0" w:rsidP="00DE08E0">
      <w:pPr>
        <w:rPr>
          <w:rFonts w:ascii="Cambria" w:hAnsi="Cambria"/>
        </w:rPr>
      </w:pPr>
    </w:p>
    <w:p w14:paraId="4C9141BD" w14:textId="7878C741" w:rsidR="00B63C41" w:rsidRPr="00CA12F8" w:rsidRDefault="00974C18" w:rsidP="00DE08E0">
      <w:pPr>
        <w:rPr>
          <w:szCs w:val="22"/>
        </w:rPr>
      </w:pPr>
      <w:r w:rsidRPr="00DC1F68">
        <w:rPr>
          <w:rFonts w:ascii="Cambria" w:hAnsi="Cambria"/>
          <w:szCs w:val="22"/>
        </w:rPr>
        <w:t>No specific antidote is available for overdose with T</w:t>
      </w:r>
      <w:r w:rsidR="006E4A2B">
        <w:rPr>
          <w:rFonts w:ascii="Cambria" w:hAnsi="Cambria"/>
          <w:szCs w:val="22"/>
        </w:rPr>
        <w:t>RIKAFTA</w:t>
      </w:r>
      <w:r w:rsidRPr="00DC1F68">
        <w:rPr>
          <w:rFonts w:ascii="Cambria" w:hAnsi="Cambria"/>
          <w:szCs w:val="22"/>
        </w:rPr>
        <w:t xml:space="preserve">. Treatment of overdose consists of general supportive measures including monitoring of vital signs and observation of the </w:t>
      </w:r>
      <w:r w:rsidR="00CA12F8" w:rsidRPr="00CA12F8">
        <w:rPr>
          <w:rFonts w:ascii="Cambria" w:hAnsi="Cambria"/>
          <w:szCs w:val="22"/>
        </w:rPr>
        <w:t>c</w:t>
      </w:r>
      <w:r w:rsidRPr="00CA12F8">
        <w:rPr>
          <w:rFonts w:ascii="Cambria" w:hAnsi="Cambria"/>
          <w:szCs w:val="22"/>
        </w:rPr>
        <w:t>linical</w:t>
      </w:r>
      <w:r w:rsidR="00CA12F8" w:rsidRPr="00CA12F8">
        <w:rPr>
          <w:rFonts w:ascii="Cambria" w:hAnsi="Cambria"/>
          <w:szCs w:val="22"/>
        </w:rPr>
        <w:t xml:space="preserve"> status of the patient.</w:t>
      </w:r>
    </w:p>
    <w:p w14:paraId="53DDF637" w14:textId="77777777" w:rsidR="00974C18" w:rsidRPr="00974C18" w:rsidRDefault="00974C18" w:rsidP="00DE08E0">
      <w:pPr>
        <w:rPr>
          <w:rFonts w:ascii="Cambria" w:hAnsi="Cambria"/>
          <w:highlight w:val="green"/>
        </w:rPr>
      </w:pPr>
    </w:p>
    <w:p w14:paraId="6DA9253D" w14:textId="4231708D" w:rsidR="001F5435" w:rsidRDefault="00B63C41" w:rsidP="00DE08E0">
      <w:pPr>
        <w:rPr>
          <w:rFonts w:ascii="Cambria" w:hAnsi="Cambria"/>
        </w:rPr>
      </w:pPr>
      <w:r w:rsidRPr="00F63D27">
        <w:rPr>
          <w:rFonts w:ascii="Cambria" w:hAnsi="Cambria"/>
        </w:rPr>
        <w:t>For information on the management of overdose, contact the Poisons Information Centre on 131126 (Australia).</w:t>
      </w:r>
    </w:p>
    <w:p w14:paraId="56291A79" w14:textId="77777777" w:rsidR="0049487D" w:rsidRPr="00DE08E0" w:rsidRDefault="0049487D" w:rsidP="00092769">
      <w:pPr>
        <w:tabs>
          <w:tab w:val="clear" w:pos="567"/>
        </w:tabs>
        <w:rPr>
          <w:rFonts w:ascii="Cambria" w:hAnsi="Cambria"/>
        </w:rPr>
      </w:pPr>
    </w:p>
    <w:p w14:paraId="78BCCD64" w14:textId="77777777" w:rsidR="00DE08E0" w:rsidRPr="000A0504" w:rsidRDefault="00DE08E0" w:rsidP="00DE08E0">
      <w:pPr>
        <w:pStyle w:val="Heading1"/>
        <w:rPr>
          <w:rFonts w:ascii="Cambria" w:hAnsi="Cambria"/>
          <w:sz w:val="28"/>
          <w:szCs w:val="32"/>
        </w:rPr>
      </w:pPr>
      <w:bookmarkStart w:id="35" w:name="_Toc485781378"/>
      <w:r w:rsidRPr="000A0504">
        <w:rPr>
          <w:rFonts w:ascii="Cambria" w:hAnsi="Cambria"/>
          <w:sz w:val="28"/>
          <w:szCs w:val="32"/>
        </w:rPr>
        <w:t>PHARMACOLOGICAL PROPERTIES</w:t>
      </w:r>
      <w:bookmarkEnd w:id="35"/>
    </w:p>
    <w:p w14:paraId="7E207E38" w14:textId="77777777" w:rsidR="00DE08E0" w:rsidRPr="00DE08E0" w:rsidRDefault="00DE08E0" w:rsidP="00DE08E0">
      <w:pPr>
        <w:rPr>
          <w:rFonts w:ascii="Cambria" w:hAnsi="Cambria"/>
        </w:rPr>
      </w:pPr>
    </w:p>
    <w:p w14:paraId="3F972527" w14:textId="7A5E7E59" w:rsidR="00DE08E0" w:rsidRPr="00DE08E0" w:rsidRDefault="00DE08E0" w:rsidP="00DE08E0">
      <w:pPr>
        <w:pStyle w:val="Heading2"/>
        <w:rPr>
          <w:rFonts w:ascii="Cambria" w:hAnsi="Cambria"/>
          <w:sz w:val="24"/>
          <w:szCs w:val="24"/>
        </w:rPr>
      </w:pPr>
      <w:bookmarkStart w:id="36" w:name="_Toc485781379"/>
      <w:bookmarkStart w:id="37" w:name="_Hlk25849519"/>
      <w:r w:rsidRPr="00DE08E0">
        <w:rPr>
          <w:rFonts w:ascii="Cambria" w:hAnsi="Cambria"/>
          <w:sz w:val="24"/>
          <w:szCs w:val="24"/>
        </w:rPr>
        <w:t>P</w:t>
      </w:r>
      <w:r w:rsidR="00A34605">
        <w:rPr>
          <w:rFonts w:ascii="Cambria" w:hAnsi="Cambria"/>
          <w:sz w:val="24"/>
          <w:szCs w:val="24"/>
        </w:rPr>
        <w:t>HARMACODYNAMIC PROPERTIES</w:t>
      </w:r>
      <w:bookmarkEnd w:id="36"/>
    </w:p>
    <w:bookmarkEnd w:id="37"/>
    <w:p w14:paraId="247917EB" w14:textId="77777777" w:rsidR="00DE08E0" w:rsidRPr="00DE08E0" w:rsidRDefault="00DE08E0" w:rsidP="00DE08E0">
      <w:pPr>
        <w:rPr>
          <w:rFonts w:ascii="Cambria" w:hAnsi="Cambria"/>
        </w:rPr>
      </w:pPr>
    </w:p>
    <w:p w14:paraId="3A6C1CA1" w14:textId="77777777" w:rsidR="00DE08E0" w:rsidRPr="00DA4278" w:rsidRDefault="00DE08E0" w:rsidP="00DE08E0">
      <w:pPr>
        <w:rPr>
          <w:rFonts w:ascii="Cambria" w:hAnsi="Cambria"/>
          <w:b/>
        </w:rPr>
      </w:pPr>
      <w:r w:rsidRPr="00DA4278">
        <w:rPr>
          <w:rFonts w:ascii="Cambria" w:hAnsi="Cambria"/>
          <w:b/>
        </w:rPr>
        <w:t>Mechanism of action</w:t>
      </w:r>
    </w:p>
    <w:p w14:paraId="7E5004AF" w14:textId="04C917AC" w:rsidR="00811313" w:rsidRPr="00811313" w:rsidRDefault="00811313" w:rsidP="00811313">
      <w:pPr>
        <w:keepNext/>
        <w:rPr>
          <w:rFonts w:ascii="Cambria" w:hAnsi="Cambria"/>
          <w:szCs w:val="22"/>
          <w:lang w:val="en-GB"/>
        </w:rPr>
      </w:pPr>
      <w:r w:rsidRPr="00811313">
        <w:rPr>
          <w:rFonts w:ascii="Cambria" w:hAnsi="Cambria"/>
          <w:szCs w:val="22"/>
          <w:lang w:val="en-GB"/>
        </w:rPr>
        <w:t xml:space="preserve">Elexacaftor and tezacaftor are CFTR correctors that bind to different sites on the CFTR protein and have an additive effect in facilitating the cellular processing and trafficking of </w:t>
      </w:r>
      <w:r w:rsidRPr="008F3C15">
        <w:rPr>
          <w:rFonts w:ascii="Cambria" w:hAnsi="Cambria"/>
          <w:i/>
          <w:iCs/>
          <w:szCs w:val="22"/>
          <w:lang w:val="en-GB"/>
        </w:rPr>
        <w:t>F508del</w:t>
      </w:r>
      <w:r w:rsidRPr="008F3C15">
        <w:rPr>
          <w:rFonts w:ascii="Cambria" w:hAnsi="Cambria"/>
          <w:i/>
          <w:iCs/>
          <w:szCs w:val="22"/>
          <w:lang w:val="en-GB"/>
        </w:rPr>
        <w:noBreakHyphen/>
      </w:r>
      <w:r w:rsidRPr="00811313">
        <w:rPr>
          <w:rFonts w:ascii="Cambria" w:hAnsi="Cambria"/>
          <w:szCs w:val="22"/>
          <w:lang w:val="en-GB"/>
        </w:rPr>
        <w:t>CFTR to increase the amount of CFTR protein delivered to the cell surface compared to either molecule alone. Ivacaftor potentiates the channel open probability (or gating) of the CFTR</w:t>
      </w:r>
      <w:r w:rsidR="00F62977">
        <w:rPr>
          <w:rFonts w:ascii="Cambria" w:hAnsi="Cambria"/>
          <w:szCs w:val="22"/>
          <w:lang w:val="en-GB"/>
        </w:rPr>
        <w:t> </w:t>
      </w:r>
      <w:r w:rsidRPr="00811313">
        <w:rPr>
          <w:rFonts w:ascii="Cambria" w:hAnsi="Cambria"/>
          <w:szCs w:val="22"/>
          <w:lang w:val="en-GB"/>
        </w:rPr>
        <w:t xml:space="preserve">protein at the cell surface. </w:t>
      </w:r>
    </w:p>
    <w:p w14:paraId="5ED09B0B" w14:textId="77777777" w:rsidR="00811313" w:rsidRPr="00811313" w:rsidRDefault="00811313" w:rsidP="00811313">
      <w:pPr>
        <w:rPr>
          <w:rFonts w:ascii="Cambria" w:hAnsi="Cambria"/>
          <w:szCs w:val="22"/>
          <w:lang w:val="en-GB"/>
        </w:rPr>
      </w:pPr>
      <w:r w:rsidRPr="00811313">
        <w:rPr>
          <w:rFonts w:ascii="Cambria" w:hAnsi="Cambria"/>
          <w:szCs w:val="22"/>
          <w:lang w:val="en-GB"/>
        </w:rPr>
        <w:tab/>
      </w:r>
    </w:p>
    <w:p w14:paraId="03D8DD60" w14:textId="15C782E1" w:rsidR="00811313" w:rsidRPr="00811313" w:rsidRDefault="00811313" w:rsidP="00811313">
      <w:pPr>
        <w:rPr>
          <w:rFonts w:ascii="Cambria" w:hAnsi="Cambria"/>
          <w:szCs w:val="22"/>
        </w:rPr>
      </w:pPr>
      <w:r w:rsidRPr="00811313">
        <w:rPr>
          <w:rFonts w:ascii="Cambria" w:hAnsi="Cambria"/>
          <w:szCs w:val="22"/>
          <w:lang w:val="en-GB"/>
        </w:rPr>
        <w:t xml:space="preserve">The combined effect of elexacaftor, tezacaftor and ivacaftor is increased quantity and function of </w:t>
      </w:r>
      <w:r w:rsidRPr="008F3C15">
        <w:rPr>
          <w:rFonts w:ascii="Cambria" w:hAnsi="Cambria"/>
          <w:i/>
          <w:iCs/>
          <w:szCs w:val="22"/>
          <w:lang w:val="en-GB"/>
        </w:rPr>
        <w:t>F508del</w:t>
      </w:r>
      <w:r w:rsidRPr="00811313">
        <w:rPr>
          <w:rFonts w:ascii="Cambria" w:hAnsi="Cambria"/>
          <w:szCs w:val="22"/>
          <w:lang w:val="en-GB"/>
        </w:rPr>
        <w:t>-CFTR at the cell surface, resulting in increased CFTR activity as measured by CFTR</w:t>
      </w:r>
      <w:r w:rsidR="00F62977">
        <w:rPr>
          <w:rFonts w:ascii="Cambria" w:hAnsi="Cambria"/>
          <w:szCs w:val="22"/>
          <w:lang w:val="en-GB"/>
        </w:rPr>
        <w:t> </w:t>
      </w:r>
      <w:r w:rsidRPr="00811313">
        <w:rPr>
          <w:rFonts w:ascii="Cambria" w:hAnsi="Cambria"/>
          <w:szCs w:val="22"/>
          <w:lang w:val="en-GB"/>
        </w:rPr>
        <w:t xml:space="preserve">mediated chloride transport. Clinical outcomes were consistent with </w:t>
      </w:r>
      <w:r w:rsidRPr="00811313">
        <w:rPr>
          <w:rFonts w:ascii="Cambria" w:hAnsi="Cambria"/>
          <w:i/>
          <w:szCs w:val="22"/>
          <w:lang w:val="en-GB"/>
        </w:rPr>
        <w:t xml:space="preserve">in vitro </w:t>
      </w:r>
      <w:r w:rsidRPr="00811313">
        <w:rPr>
          <w:rFonts w:ascii="Cambria" w:hAnsi="Cambria"/>
          <w:szCs w:val="22"/>
          <w:lang w:val="en-GB"/>
        </w:rPr>
        <w:t xml:space="preserve">results and indicate that a single </w:t>
      </w:r>
      <w:r w:rsidRPr="00811313">
        <w:rPr>
          <w:rFonts w:ascii="Cambria" w:hAnsi="Cambria"/>
          <w:i/>
          <w:szCs w:val="22"/>
          <w:lang w:val="en-GB"/>
        </w:rPr>
        <w:t>F508del</w:t>
      </w:r>
      <w:r w:rsidRPr="00811313">
        <w:rPr>
          <w:rFonts w:ascii="Cambria" w:hAnsi="Cambria"/>
          <w:szCs w:val="22"/>
          <w:lang w:val="en-GB"/>
        </w:rPr>
        <w:t xml:space="preserve"> mutation is sufficient to result in a significant clinical response (see </w:t>
      </w:r>
      <w:r w:rsidRPr="00811313">
        <w:rPr>
          <w:rFonts w:ascii="Cambria" w:hAnsi="Cambria"/>
          <w:i/>
          <w:szCs w:val="22"/>
          <w:lang w:val="en-GB"/>
        </w:rPr>
        <w:t>Clinical Efficacy</w:t>
      </w:r>
      <w:r w:rsidRPr="00811313">
        <w:rPr>
          <w:rFonts w:ascii="Cambria" w:hAnsi="Cambria"/>
          <w:szCs w:val="22"/>
          <w:lang w:val="en-GB"/>
        </w:rPr>
        <w:t>).</w:t>
      </w:r>
    </w:p>
    <w:p w14:paraId="377440B6" w14:textId="6DD761BB" w:rsidR="003815E7" w:rsidRDefault="003815E7" w:rsidP="00DE08E0">
      <w:pPr>
        <w:rPr>
          <w:rFonts w:ascii="Cambria" w:hAnsi="Cambria"/>
        </w:rPr>
      </w:pPr>
    </w:p>
    <w:p w14:paraId="016BCB65" w14:textId="0771A2DD" w:rsidR="00065733" w:rsidRDefault="00065733" w:rsidP="00081F9E">
      <w:pPr>
        <w:keepNext/>
        <w:keepLines/>
        <w:rPr>
          <w:rFonts w:ascii="Cambria" w:hAnsi="Cambria"/>
          <w:b/>
        </w:rPr>
      </w:pPr>
      <w:r>
        <w:rPr>
          <w:rFonts w:ascii="Cambria" w:hAnsi="Cambria"/>
          <w:b/>
        </w:rPr>
        <w:t>Clinical trials</w:t>
      </w:r>
    </w:p>
    <w:p w14:paraId="1F668B94" w14:textId="77777777" w:rsidR="00065733" w:rsidRDefault="00065733" w:rsidP="00190E02">
      <w:pPr>
        <w:keepNext/>
        <w:rPr>
          <w:rFonts w:ascii="Cambria" w:hAnsi="Cambria"/>
          <w:b/>
        </w:rPr>
      </w:pPr>
    </w:p>
    <w:p w14:paraId="4109BD54" w14:textId="2DB11D67" w:rsidR="00811313" w:rsidRPr="00906E95" w:rsidRDefault="00DE08E0" w:rsidP="00190E02">
      <w:pPr>
        <w:keepNext/>
        <w:rPr>
          <w:rFonts w:ascii="Cambria" w:hAnsi="Cambria"/>
          <w:u w:val="single"/>
        </w:rPr>
      </w:pPr>
      <w:r w:rsidRPr="00906E95">
        <w:rPr>
          <w:rFonts w:ascii="Cambria" w:hAnsi="Cambria"/>
          <w:u w:val="single"/>
        </w:rPr>
        <w:t>Pharmacodynamic effects</w:t>
      </w:r>
    </w:p>
    <w:p w14:paraId="462557B8" w14:textId="77777777" w:rsidR="00811313" w:rsidRPr="00BB021D" w:rsidRDefault="00811313" w:rsidP="00811313">
      <w:pPr>
        <w:tabs>
          <w:tab w:val="clear" w:pos="567"/>
          <w:tab w:val="left" w:pos="0"/>
        </w:tabs>
        <w:rPr>
          <w:rFonts w:ascii="Cambria" w:hAnsi="Cambria"/>
          <w:i/>
          <w:szCs w:val="22"/>
        </w:rPr>
      </w:pPr>
      <w:r w:rsidRPr="00BB021D">
        <w:rPr>
          <w:rFonts w:ascii="Cambria" w:hAnsi="Cambria"/>
          <w:i/>
          <w:szCs w:val="22"/>
        </w:rPr>
        <w:t>Effects on sweat chloride</w:t>
      </w:r>
    </w:p>
    <w:p w14:paraId="21A30F2E" w14:textId="4C810DAF" w:rsidR="00811313" w:rsidRPr="00BB021D" w:rsidRDefault="00811313" w:rsidP="00811313">
      <w:pPr>
        <w:tabs>
          <w:tab w:val="clear" w:pos="567"/>
        </w:tabs>
        <w:rPr>
          <w:rFonts w:ascii="Cambria" w:eastAsiaTheme="minorHAnsi" w:hAnsi="Cambria"/>
        </w:rPr>
      </w:pPr>
      <w:r w:rsidRPr="00BB021D">
        <w:rPr>
          <w:rFonts w:ascii="Cambria" w:eastAsiaTheme="minorHAnsi" w:hAnsi="Cambria"/>
        </w:rPr>
        <w:t>In Study 445-102 (</w:t>
      </w:r>
      <w:r w:rsidRPr="00BB021D">
        <w:rPr>
          <w:rFonts w:ascii="Cambria" w:eastAsiaTheme="minorHAnsi" w:hAnsi="Cambria"/>
          <w:szCs w:val="22"/>
        </w:rPr>
        <w:t xml:space="preserve">patients with an </w:t>
      </w:r>
      <w:r w:rsidRPr="00BB021D">
        <w:rPr>
          <w:rFonts w:ascii="Cambria" w:eastAsiaTheme="minorHAnsi" w:hAnsi="Cambria"/>
          <w:i/>
          <w:szCs w:val="22"/>
        </w:rPr>
        <w:t>F508del</w:t>
      </w:r>
      <w:r w:rsidRPr="00BB021D">
        <w:rPr>
          <w:rFonts w:ascii="Cambria" w:eastAsiaTheme="minorHAnsi" w:hAnsi="Cambria"/>
          <w:szCs w:val="22"/>
        </w:rPr>
        <w:t xml:space="preserve"> mutation on one allele and a mutation on the second allele that results in either no CFTR protein or a CFTR protein that is not responsive to ivacaftor and tezacaftor/ivacaftor)</w:t>
      </w:r>
      <w:r w:rsidRPr="00BB021D">
        <w:rPr>
          <w:rFonts w:ascii="Cambria" w:eastAsiaTheme="minorHAnsi" w:hAnsi="Cambria"/>
        </w:rPr>
        <w:t xml:space="preserve">, a reduction in sweat chloride was observed from baseline at Week 4 and sustained through the 24-week treatment period. The treatment difference between </w:t>
      </w:r>
      <w:r w:rsidR="00D32F42" w:rsidRPr="00BB021D">
        <w:rPr>
          <w:rFonts w:ascii="Cambria" w:eastAsiaTheme="minorHAnsi" w:hAnsi="Cambria"/>
        </w:rPr>
        <w:t>T</w:t>
      </w:r>
      <w:r w:rsidR="006E4A2B">
        <w:rPr>
          <w:rFonts w:ascii="Cambria" w:eastAsiaTheme="minorHAnsi" w:hAnsi="Cambria"/>
        </w:rPr>
        <w:t>RIKAFTA</w:t>
      </w:r>
      <w:r w:rsidRPr="00BB021D">
        <w:rPr>
          <w:rFonts w:ascii="Cambria" w:eastAsiaTheme="minorHAnsi" w:hAnsi="Cambria"/>
        </w:rPr>
        <w:t xml:space="preserve"> and placebo for mean absolute change in sweat chloride from baseline through Week 24 was </w:t>
      </w:r>
      <w:r w:rsidRPr="00BB021D">
        <w:rPr>
          <w:rFonts w:ascii="Cambria" w:eastAsiaTheme="minorHAnsi" w:hAnsi="Cambria"/>
        </w:rPr>
        <w:noBreakHyphen/>
        <w:t xml:space="preserve">41.8 mmol/L (95% CI: -44.4, -39.3; </w:t>
      </w:r>
      <w:r w:rsidRPr="00BB021D">
        <w:rPr>
          <w:rFonts w:ascii="Cambria" w:eastAsiaTheme="minorHAnsi" w:hAnsi="Cambria"/>
          <w:i/>
        </w:rPr>
        <w:t>P</w:t>
      </w:r>
      <w:r w:rsidRPr="00BB021D">
        <w:rPr>
          <w:rFonts w:ascii="Cambria" w:eastAsiaTheme="minorHAnsi" w:hAnsi="Cambria"/>
        </w:rPr>
        <w:t>&lt;0.0001).</w:t>
      </w:r>
    </w:p>
    <w:p w14:paraId="078A0951" w14:textId="77777777" w:rsidR="00811313" w:rsidRPr="00BB021D" w:rsidRDefault="00811313" w:rsidP="00811313">
      <w:pPr>
        <w:tabs>
          <w:tab w:val="clear" w:pos="567"/>
        </w:tabs>
        <w:autoSpaceDE w:val="0"/>
        <w:autoSpaceDN w:val="0"/>
        <w:adjustRightInd w:val="0"/>
        <w:rPr>
          <w:rFonts w:ascii="Cambria" w:hAnsi="Cambria"/>
          <w:szCs w:val="22"/>
        </w:rPr>
      </w:pPr>
    </w:p>
    <w:p w14:paraId="314522C7" w14:textId="18A8CD1F" w:rsidR="00514AC3" w:rsidRDefault="00811313" w:rsidP="00514AC3">
      <w:pPr>
        <w:tabs>
          <w:tab w:val="clear" w:pos="567"/>
        </w:tabs>
        <w:autoSpaceDE w:val="0"/>
        <w:autoSpaceDN w:val="0"/>
        <w:adjustRightInd w:val="0"/>
        <w:rPr>
          <w:rFonts w:ascii="Cambria" w:hAnsi="Cambria"/>
          <w:szCs w:val="22"/>
        </w:rPr>
      </w:pPr>
      <w:r w:rsidRPr="00BB021D">
        <w:rPr>
          <w:rFonts w:ascii="Cambria" w:hAnsi="Cambria"/>
          <w:szCs w:val="22"/>
        </w:rPr>
        <w:t xml:space="preserve">In Study 445-103 (patients homozygous for the </w:t>
      </w:r>
      <w:r w:rsidRPr="00BB021D">
        <w:rPr>
          <w:rFonts w:ascii="Cambria" w:hAnsi="Cambria"/>
          <w:i/>
          <w:szCs w:val="22"/>
        </w:rPr>
        <w:t xml:space="preserve">F508del </w:t>
      </w:r>
      <w:r w:rsidRPr="00BB021D">
        <w:rPr>
          <w:rFonts w:ascii="Cambria" w:hAnsi="Cambria"/>
          <w:szCs w:val="22"/>
        </w:rPr>
        <w:t xml:space="preserve">mutation), the treatment difference between </w:t>
      </w:r>
      <w:r w:rsidR="00D32F42" w:rsidRPr="00BB021D">
        <w:rPr>
          <w:rFonts w:ascii="Cambria" w:hAnsi="Cambria"/>
          <w:szCs w:val="22"/>
        </w:rPr>
        <w:t>T</w:t>
      </w:r>
      <w:r w:rsidR="006E4A2B">
        <w:rPr>
          <w:rFonts w:ascii="Cambria" w:hAnsi="Cambria"/>
          <w:szCs w:val="22"/>
        </w:rPr>
        <w:t>RIKAFTA</w:t>
      </w:r>
      <w:r w:rsidRPr="00BB021D">
        <w:rPr>
          <w:rFonts w:ascii="Cambria" w:hAnsi="Cambria"/>
          <w:szCs w:val="22"/>
        </w:rPr>
        <w:t xml:space="preserve"> and tezacaftor/ivacaftor for mean absolute change in sweat chloride from baseline at Week 4 was </w:t>
      </w:r>
      <w:r w:rsidRPr="00BB021D">
        <w:rPr>
          <w:rFonts w:ascii="Cambria" w:hAnsi="Cambria"/>
          <w:szCs w:val="22"/>
        </w:rPr>
        <w:noBreakHyphen/>
        <w:t xml:space="preserve">45.1 mmol/L (95% CI: -50.1, -40.1, </w:t>
      </w:r>
      <w:r w:rsidRPr="00BB021D">
        <w:rPr>
          <w:rFonts w:ascii="Cambria" w:hAnsi="Cambria"/>
          <w:i/>
          <w:szCs w:val="22"/>
        </w:rPr>
        <w:t>P</w:t>
      </w:r>
      <w:r w:rsidRPr="00BB021D">
        <w:rPr>
          <w:rFonts w:ascii="Cambria" w:hAnsi="Cambria"/>
          <w:szCs w:val="22"/>
        </w:rPr>
        <w:t>&lt;0.0001).</w:t>
      </w:r>
    </w:p>
    <w:p w14:paraId="1ED1DEC7" w14:textId="745C3AD4" w:rsidR="009A51C7" w:rsidRDefault="009A51C7" w:rsidP="00514AC3">
      <w:pPr>
        <w:tabs>
          <w:tab w:val="clear" w:pos="567"/>
        </w:tabs>
        <w:autoSpaceDE w:val="0"/>
        <w:autoSpaceDN w:val="0"/>
        <w:adjustRightInd w:val="0"/>
        <w:rPr>
          <w:rFonts w:ascii="Cambria" w:hAnsi="Cambria"/>
          <w:szCs w:val="22"/>
        </w:rPr>
      </w:pPr>
    </w:p>
    <w:p w14:paraId="59102633" w14:textId="3B2A7BA1" w:rsidR="00D317BA" w:rsidRPr="00ED6709" w:rsidRDefault="00D317BA" w:rsidP="00D317BA">
      <w:pPr>
        <w:autoSpaceDE w:val="0"/>
        <w:autoSpaceDN w:val="0"/>
        <w:adjustRightInd w:val="0"/>
        <w:rPr>
          <w:rFonts w:ascii="Cambria" w:hAnsi="Cambria"/>
          <w:szCs w:val="22"/>
        </w:rPr>
      </w:pPr>
      <w:r w:rsidRPr="00ED6709">
        <w:rPr>
          <w:rFonts w:ascii="Cambria" w:hAnsi="Cambria"/>
          <w:szCs w:val="22"/>
        </w:rPr>
        <w:t xml:space="preserve">In Study 445-104 (patients heterozygous for the </w:t>
      </w:r>
      <w:r w:rsidRPr="00ED6709">
        <w:rPr>
          <w:rFonts w:ascii="Cambria" w:hAnsi="Cambria"/>
          <w:i/>
          <w:iCs/>
          <w:szCs w:val="22"/>
        </w:rPr>
        <w:t>F508del</w:t>
      </w:r>
      <w:r w:rsidRPr="00ED6709">
        <w:rPr>
          <w:rFonts w:ascii="Cambria" w:hAnsi="Cambria"/>
          <w:szCs w:val="22"/>
        </w:rPr>
        <w:t xml:space="preserve"> mutation and a gating or residual function mutation on the second allele), following a 4-week </w:t>
      </w:r>
      <w:r w:rsidR="00EF4C6B" w:rsidRPr="00ED6709">
        <w:rPr>
          <w:rFonts w:ascii="Cambria" w:hAnsi="Cambria"/>
          <w:szCs w:val="22"/>
        </w:rPr>
        <w:t>ivacaftor</w:t>
      </w:r>
      <w:r w:rsidRPr="00ED6709">
        <w:rPr>
          <w:rFonts w:ascii="Cambria" w:hAnsi="Cambria"/>
          <w:szCs w:val="22"/>
        </w:rPr>
        <w:t xml:space="preserve"> or </w:t>
      </w:r>
      <w:r w:rsidR="00EF4C6B" w:rsidRPr="00ED6709">
        <w:rPr>
          <w:rFonts w:ascii="Cambria" w:hAnsi="Cambria"/>
          <w:szCs w:val="22"/>
        </w:rPr>
        <w:t>tezacaftor</w:t>
      </w:r>
      <w:r w:rsidRPr="00ED6709">
        <w:rPr>
          <w:rFonts w:ascii="Cambria" w:hAnsi="Cambria"/>
          <w:szCs w:val="22"/>
        </w:rPr>
        <w:t>/</w:t>
      </w:r>
      <w:r w:rsidR="00EF4C6B" w:rsidRPr="00ED6709">
        <w:rPr>
          <w:rFonts w:ascii="Cambria" w:hAnsi="Cambria"/>
          <w:szCs w:val="22"/>
        </w:rPr>
        <w:t>ivacaftor</w:t>
      </w:r>
      <w:r w:rsidRPr="00ED6709">
        <w:rPr>
          <w:rFonts w:ascii="Cambria" w:hAnsi="Cambria"/>
          <w:szCs w:val="22"/>
        </w:rPr>
        <w:t xml:space="preserve"> run-in period, the mean absolute change in sweat chloride from baseline through Week 8 for the</w:t>
      </w:r>
      <w:r w:rsidR="00EF4C6B" w:rsidRPr="00ED6709">
        <w:rPr>
          <w:rFonts w:ascii="Cambria" w:hAnsi="Cambria"/>
          <w:szCs w:val="22"/>
        </w:rPr>
        <w:t xml:space="preserve"> TRIKAFTA</w:t>
      </w:r>
      <w:r w:rsidRPr="00ED6709">
        <w:rPr>
          <w:rFonts w:ascii="Cambria" w:hAnsi="Cambria"/>
          <w:szCs w:val="22"/>
        </w:rPr>
        <w:t xml:space="preserve"> group was </w:t>
      </w:r>
      <w:r w:rsidRPr="00ED6709">
        <w:rPr>
          <w:rFonts w:ascii="Cambria" w:hAnsi="Cambria"/>
          <w:szCs w:val="22"/>
        </w:rPr>
        <w:noBreakHyphen/>
        <w:t xml:space="preserve">22.3 mmol/L (95% CI: </w:t>
      </w:r>
      <w:r w:rsidRPr="00ED6709">
        <w:rPr>
          <w:rFonts w:ascii="Cambria" w:hAnsi="Cambria"/>
          <w:szCs w:val="22"/>
        </w:rPr>
        <w:noBreakHyphen/>
        <w:t xml:space="preserve">24.5, -20.2; </w:t>
      </w:r>
      <w:r w:rsidRPr="00ED6709">
        <w:rPr>
          <w:rFonts w:ascii="Cambria" w:hAnsi="Cambria"/>
          <w:i/>
          <w:szCs w:val="22"/>
        </w:rPr>
        <w:t>P</w:t>
      </w:r>
      <w:r w:rsidRPr="00ED6709">
        <w:rPr>
          <w:rFonts w:ascii="Cambria" w:hAnsi="Cambria"/>
          <w:szCs w:val="22"/>
        </w:rPr>
        <w:t xml:space="preserve">&lt;0.0001). The treatment difference of </w:t>
      </w:r>
      <w:r w:rsidR="00EF4C6B" w:rsidRPr="00ED6709">
        <w:rPr>
          <w:rFonts w:ascii="Cambria" w:hAnsi="Cambria"/>
          <w:szCs w:val="22"/>
        </w:rPr>
        <w:t>TRIKAFTA</w:t>
      </w:r>
      <w:r w:rsidRPr="00ED6709">
        <w:rPr>
          <w:rFonts w:ascii="Cambria" w:hAnsi="Cambria"/>
          <w:szCs w:val="22"/>
        </w:rPr>
        <w:t xml:space="preserve"> compared to the control group (</w:t>
      </w:r>
      <w:r w:rsidR="009C7AD9" w:rsidRPr="00ED6709">
        <w:rPr>
          <w:rFonts w:ascii="Cambria" w:hAnsi="Cambria"/>
          <w:szCs w:val="22"/>
        </w:rPr>
        <w:t>ivacaftor</w:t>
      </w:r>
      <w:r w:rsidRPr="00ED6709">
        <w:rPr>
          <w:rFonts w:ascii="Cambria" w:hAnsi="Cambria"/>
          <w:szCs w:val="22"/>
        </w:rPr>
        <w:t xml:space="preserve"> or </w:t>
      </w:r>
      <w:r w:rsidR="009C7AD9" w:rsidRPr="00ED6709">
        <w:rPr>
          <w:rFonts w:ascii="Cambria" w:hAnsi="Cambria"/>
          <w:szCs w:val="22"/>
        </w:rPr>
        <w:t>tezacaftor</w:t>
      </w:r>
      <w:r w:rsidRPr="00ED6709">
        <w:rPr>
          <w:rFonts w:ascii="Cambria" w:hAnsi="Cambria"/>
          <w:szCs w:val="22"/>
        </w:rPr>
        <w:t>/</w:t>
      </w:r>
      <w:r w:rsidR="009C7AD9" w:rsidRPr="00ED6709">
        <w:rPr>
          <w:rFonts w:ascii="Cambria" w:hAnsi="Cambria"/>
          <w:szCs w:val="22"/>
        </w:rPr>
        <w:t>ivacaftor</w:t>
      </w:r>
      <w:r w:rsidRPr="00ED6709">
        <w:rPr>
          <w:rFonts w:ascii="Cambria" w:hAnsi="Cambria"/>
          <w:szCs w:val="22"/>
        </w:rPr>
        <w:t xml:space="preserve">) was </w:t>
      </w:r>
      <w:r w:rsidRPr="00ED6709">
        <w:rPr>
          <w:rFonts w:ascii="Cambria" w:hAnsi="Cambria"/>
          <w:szCs w:val="22"/>
        </w:rPr>
        <w:noBreakHyphen/>
        <w:t xml:space="preserve">23.1 mmol/L (95% CI: </w:t>
      </w:r>
      <w:r w:rsidRPr="00ED6709">
        <w:rPr>
          <w:rFonts w:ascii="Cambria" w:hAnsi="Cambria"/>
          <w:szCs w:val="22"/>
        </w:rPr>
        <w:noBreakHyphen/>
        <w:t xml:space="preserve">26.1, </w:t>
      </w:r>
      <w:r w:rsidRPr="00ED6709">
        <w:rPr>
          <w:rFonts w:ascii="Cambria" w:hAnsi="Cambria"/>
          <w:szCs w:val="22"/>
        </w:rPr>
        <w:noBreakHyphen/>
        <w:t xml:space="preserve">20.1; </w:t>
      </w:r>
      <w:r w:rsidRPr="00ED6709">
        <w:rPr>
          <w:rFonts w:ascii="Cambria" w:hAnsi="Cambria"/>
          <w:i/>
          <w:szCs w:val="22"/>
        </w:rPr>
        <w:t>P</w:t>
      </w:r>
      <w:r w:rsidRPr="00ED6709">
        <w:rPr>
          <w:rFonts w:ascii="Cambria" w:hAnsi="Cambria"/>
          <w:szCs w:val="22"/>
        </w:rPr>
        <w:t xml:space="preserve">&lt;0.0001). </w:t>
      </w:r>
    </w:p>
    <w:p w14:paraId="2F696E4C" w14:textId="77777777" w:rsidR="00811313" w:rsidRPr="00BB021D" w:rsidRDefault="00811313" w:rsidP="00811313">
      <w:pPr>
        <w:tabs>
          <w:tab w:val="clear" w:pos="567"/>
        </w:tabs>
        <w:autoSpaceDE w:val="0"/>
        <w:autoSpaceDN w:val="0"/>
        <w:adjustRightInd w:val="0"/>
        <w:rPr>
          <w:rFonts w:ascii="Cambria" w:hAnsi="Cambria"/>
          <w:szCs w:val="22"/>
        </w:rPr>
      </w:pPr>
    </w:p>
    <w:p w14:paraId="7AB91E77" w14:textId="77777777" w:rsidR="00811313" w:rsidRPr="00906E95" w:rsidRDefault="00811313" w:rsidP="00811313">
      <w:pPr>
        <w:keepNext/>
        <w:rPr>
          <w:rFonts w:ascii="Cambria" w:eastAsiaTheme="minorHAnsi" w:hAnsi="Cambria"/>
          <w:bCs/>
          <w:i/>
          <w:iCs/>
          <w:szCs w:val="22"/>
          <w:lang w:bidi="hi-IN"/>
        </w:rPr>
      </w:pPr>
      <w:r w:rsidRPr="00906E95">
        <w:rPr>
          <w:rFonts w:ascii="Cambria" w:eastAsiaTheme="minorHAnsi" w:hAnsi="Cambria"/>
          <w:bCs/>
          <w:i/>
          <w:iCs/>
          <w:szCs w:val="22"/>
          <w:lang w:bidi="hi-IN"/>
        </w:rPr>
        <w:t xml:space="preserve">Cardiovascular Effects </w:t>
      </w:r>
    </w:p>
    <w:p w14:paraId="2AD2B8A9" w14:textId="77777777" w:rsidR="00811313" w:rsidRPr="00906E95" w:rsidRDefault="00811313" w:rsidP="00811313">
      <w:pPr>
        <w:keepNext/>
        <w:rPr>
          <w:rFonts w:ascii="Cambria" w:hAnsi="Cambria"/>
          <w:i/>
          <w:szCs w:val="22"/>
        </w:rPr>
      </w:pPr>
      <w:r w:rsidRPr="00906E95">
        <w:rPr>
          <w:rFonts w:ascii="Cambria" w:hAnsi="Cambria"/>
          <w:i/>
          <w:szCs w:val="22"/>
        </w:rPr>
        <w:t>Effect on QT interval</w:t>
      </w:r>
    </w:p>
    <w:p w14:paraId="710307EE" w14:textId="77777777" w:rsidR="00811313" w:rsidRPr="00BB021D" w:rsidRDefault="00811313" w:rsidP="00811313">
      <w:pPr>
        <w:keepNext/>
        <w:rPr>
          <w:rFonts w:ascii="Cambria" w:hAnsi="Cambria"/>
          <w:szCs w:val="22"/>
        </w:rPr>
      </w:pPr>
      <w:r w:rsidRPr="00BB021D">
        <w:rPr>
          <w:rFonts w:ascii="Cambria" w:hAnsi="Cambria"/>
          <w:szCs w:val="22"/>
        </w:rPr>
        <w:t>At doses up to 2 times the maximum recommended dose of elexacaftor and 3 times the maximum recommended dose of tezacaftor and ivacaftor, the QT/QTc interval in healthy subjects was not prolonged to any clinically relevant extent.</w:t>
      </w:r>
    </w:p>
    <w:p w14:paraId="1C541BD1" w14:textId="77777777" w:rsidR="00811313" w:rsidRPr="00BB021D" w:rsidRDefault="00811313" w:rsidP="00811313">
      <w:pPr>
        <w:rPr>
          <w:rFonts w:ascii="Cambria" w:hAnsi="Cambria"/>
          <w:szCs w:val="22"/>
        </w:rPr>
      </w:pPr>
    </w:p>
    <w:p w14:paraId="61BBD932" w14:textId="77777777" w:rsidR="00811313" w:rsidRPr="00906E95" w:rsidRDefault="00811313" w:rsidP="00811313">
      <w:pPr>
        <w:rPr>
          <w:rFonts w:ascii="Cambria" w:hAnsi="Cambria"/>
          <w:i/>
          <w:szCs w:val="22"/>
        </w:rPr>
      </w:pPr>
      <w:r w:rsidRPr="00906E95">
        <w:rPr>
          <w:rFonts w:ascii="Cambria" w:hAnsi="Cambria"/>
          <w:i/>
          <w:szCs w:val="22"/>
        </w:rPr>
        <w:t>Heart Rate</w:t>
      </w:r>
    </w:p>
    <w:p w14:paraId="7E883CCF" w14:textId="5376A8DD" w:rsidR="00811313" w:rsidRPr="00BB021D" w:rsidRDefault="00811313" w:rsidP="00811313">
      <w:pPr>
        <w:rPr>
          <w:rFonts w:ascii="Cambria" w:hAnsi="Cambria"/>
          <w:szCs w:val="22"/>
        </w:rPr>
      </w:pPr>
      <w:r w:rsidRPr="00BB021D">
        <w:rPr>
          <w:rFonts w:ascii="Cambria" w:hAnsi="Cambria"/>
          <w:szCs w:val="22"/>
        </w:rPr>
        <w:t xml:space="preserve">In Study </w:t>
      </w:r>
      <w:r w:rsidRPr="00BB021D">
        <w:rPr>
          <w:rFonts w:ascii="Cambria" w:hAnsi="Cambria"/>
          <w:bCs/>
          <w:szCs w:val="22"/>
        </w:rPr>
        <w:t>445</w:t>
      </w:r>
      <w:r w:rsidRPr="00BB021D">
        <w:rPr>
          <w:rFonts w:ascii="Cambria" w:hAnsi="Cambria"/>
          <w:bCs/>
          <w:szCs w:val="22"/>
        </w:rPr>
        <w:noBreakHyphen/>
        <w:t>102</w:t>
      </w:r>
      <w:r w:rsidRPr="00BB021D">
        <w:rPr>
          <w:rFonts w:ascii="Cambria" w:hAnsi="Cambria"/>
          <w:szCs w:val="22"/>
        </w:rPr>
        <w:t xml:space="preserve">, mean decreases in heart rate of 3.7 to 5.8 beats per minute (bpm) from baseline </w:t>
      </w:r>
      <w:r w:rsidRPr="00BB021D">
        <w:rPr>
          <w:rFonts w:ascii="Cambria" w:hAnsi="Cambria"/>
          <w:bCs/>
          <w:szCs w:val="22"/>
        </w:rPr>
        <w:t xml:space="preserve">(76 bpm) </w:t>
      </w:r>
      <w:r w:rsidRPr="00BB021D">
        <w:rPr>
          <w:rFonts w:ascii="Cambria" w:hAnsi="Cambria"/>
          <w:szCs w:val="22"/>
        </w:rPr>
        <w:t xml:space="preserve">were observed in </w:t>
      </w:r>
      <w:r w:rsidR="00D32F42" w:rsidRPr="00BB021D">
        <w:rPr>
          <w:rFonts w:ascii="Cambria" w:hAnsi="Cambria"/>
          <w:szCs w:val="22"/>
        </w:rPr>
        <w:t>T</w:t>
      </w:r>
      <w:r w:rsidR="006E4A2B">
        <w:rPr>
          <w:rFonts w:ascii="Cambria" w:hAnsi="Cambria"/>
          <w:szCs w:val="22"/>
        </w:rPr>
        <w:t>RIKAFTA</w:t>
      </w:r>
      <w:r w:rsidRPr="00BB021D">
        <w:rPr>
          <w:rFonts w:ascii="Cambria" w:hAnsi="Cambria"/>
          <w:szCs w:val="22"/>
        </w:rPr>
        <w:t>-treated patients.</w:t>
      </w:r>
    </w:p>
    <w:p w14:paraId="732D9A28" w14:textId="77777777" w:rsidR="00811313" w:rsidRPr="00BB021D" w:rsidRDefault="00811313" w:rsidP="00DE08E0">
      <w:pPr>
        <w:rPr>
          <w:rFonts w:ascii="Cambria" w:hAnsi="Cambria"/>
          <w:szCs w:val="22"/>
        </w:rPr>
      </w:pPr>
    </w:p>
    <w:p w14:paraId="4516E04A" w14:textId="77777777" w:rsidR="00811313" w:rsidRPr="00BB021D" w:rsidRDefault="00811313" w:rsidP="00811313">
      <w:pPr>
        <w:keepNext/>
        <w:rPr>
          <w:rFonts w:ascii="Cambria" w:hAnsi="Cambria"/>
          <w:szCs w:val="22"/>
          <w:u w:val="single"/>
        </w:rPr>
      </w:pPr>
      <w:r w:rsidRPr="00BB021D">
        <w:rPr>
          <w:rFonts w:ascii="Cambria" w:hAnsi="Cambria"/>
          <w:szCs w:val="22"/>
          <w:u w:val="single"/>
        </w:rPr>
        <w:t>Clinical efficacy</w:t>
      </w:r>
    </w:p>
    <w:p w14:paraId="19A74C01" w14:textId="56064632" w:rsidR="00811313" w:rsidRPr="00BC3248" w:rsidRDefault="00811313" w:rsidP="00811313">
      <w:pPr>
        <w:keepNext/>
        <w:tabs>
          <w:tab w:val="left" w:pos="1260"/>
        </w:tabs>
        <w:rPr>
          <w:rFonts w:ascii="Cambria" w:hAnsi="Cambria"/>
          <w:szCs w:val="22"/>
        </w:rPr>
      </w:pPr>
      <w:r w:rsidRPr="00BB021D">
        <w:rPr>
          <w:rFonts w:ascii="Cambria" w:hAnsi="Cambria"/>
          <w:szCs w:val="22"/>
        </w:rPr>
        <w:t xml:space="preserve">The efficacy of </w:t>
      </w:r>
      <w:r w:rsidR="00D32F42" w:rsidRPr="00BB021D">
        <w:rPr>
          <w:rFonts w:ascii="Cambria" w:hAnsi="Cambria"/>
          <w:szCs w:val="22"/>
        </w:rPr>
        <w:t>T</w:t>
      </w:r>
      <w:r w:rsidR="006E4A2B">
        <w:rPr>
          <w:rFonts w:ascii="Cambria" w:hAnsi="Cambria"/>
          <w:szCs w:val="22"/>
        </w:rPr>
        <w:t>RIKAFTA</w:t>
      </w:r>
      <w:r w:rsidRPr="00BB021D">
        <w:rPr>
          <w:rFonts w:ascii="Cambria" w:hAnsi="Cambria"/>
          <w:szCs w:val="22"/>
        </w:rPr>
        <w:t xml:space="preserve"> in patients with CF was demonstrated in </w:t>
      </w:r>
      <w:r w:rsidR="000503B9">
        <w:rPr>
          <w:rFonts w:ascii="Cambria" w:hAnsi="Cambria"/>
          <w:szCs w:val="22"/>
        </w:rPr>
        <w:t xml:space="preserve">three </w:t>
      </w:r>
      <w:r w:rsidRPr="00BB021D">
        <w:rPr>
          <w:rFonts w:ascii="Cambria" w:hAnsi="Cambria"/>
          <w:szCs w:val="22"/>
        </w:rPr>
        <w:t>Phase 3, double</w:t>
      </w:r>
      <w:r w:rsidRPr="00BB021D">
        <w:rPr>
          <w:rFonts w:ascii="Cambria" w:hAnsi="Cambria"/>
          <w:szCs w:val="22"/>
        </w:rPr>
        <w:noBreakHyphen/>
        <w:t>blind, controlled studies (Studies 445</w:t>
      </w:r>
      <w:r w:rsidRPr="00BB021D">
        <w:rPr>
          <w:rFonts w:ascii="Cambria" w:hAnsi="Cambria"/>
          <w:szCs w:val="22"/>
        </w:rPr>
        <w:noBreakHyphen/>
        <w:t>102</w:t>
      </w:r>
      <w:r w:rsidR="000503B9">
        <w:rPr>
          <w:rFonts w:ascii="Cambria" w:hAnsi="Cambria"/>
          <w:szCs w:val="22"/>
        </w:rPr>
        <w:t>,</w:t>
      </w:r>
      <w:r w:rsidR="006A25CF">
        <w:rPr>
          <w:rFonts w:ascii="Cambria" w:hAnsi="Cambria"/>
          <w:szCs w:val="22"/>
        </w:rPr>
        <w:t xml:space="preserve"> </w:t>
      </w:r>
      <w:r w:rsidRPr="00BB021D">
        <w:rPr>
          <w:rFonts w:ascii="Cambria" w:hAnsi="Cambria"/>
          <w:szCs w:val="22"/>
        </w:rPr>
        <w:t>445</w:t>
      </w:r>
      <w:r w:rsidRPr="00BB021D">
        <w:rPr>
          <w:rFonts w:ascii="Cambria" w:hAnsi="Cambria"/>
          <w:szCs w:val="22"/>
        </w:rPr>
        <w:noBreakHyphen/>
        <w:t>103</w:t>
      </w:r>
      <w:r w:rsidR="000503B9">
        <w:rPr>
          <w:rFonts w:ascii="Cambria" w:hAnsi="Cambria"/>
          <w:szCs w:val="22"/>
        </w:rPr>
        <w:t>, and 445-104</w:t>
      </w:r>
      <w:r w:rsidR="00815C9D" w:rsidRPr="00815C9D">
        <w:rPr>
          <w:szCs w:val="22"/>
        </w:rPr>
        <w:t xml:space="preserve"> </w:t>
      </w:r>
      <w:r w:rsidR="00815C9D" w:rsidRPr="00404297">
        <w:rPr>
          <w:rFonts w:ascii="Cambria" w:hAnsi="Cambria"/>
          <w:szCs w:val="22"/>
        </w:rPr>
        <w:t>and a phase 3 open-label extension study (Study 445</w:t>
      </w:r>
      <w:r w:rsidR="00815C9D" w:rsidRPr="00404297">
        <w:rPr>
          <w:rFonts w:ascii="Cambria" w:hAnsi="Cambria"/>
          <w:szCs w:val="22"/>
        </w:rPr>
        <w:noBreakHyphen/>
        <w:t>105)</w:t>
      </w:r>
      <w:r w:rsidRPr="00815C9D">
        <w:rPr>
          <w:rFonts w:ascii="Cambria" w:hAnsi="Cambria"/>
          <w:szCs w:val="22"/>
        </w:rPr>
        <w:t>)</w:t>
      </w:r>
      <w:r w:rsidRPr="00BB021D">
        <w:rPr>
          <w:rFonts w:ascii="Cambria" w:hAnsi="Cambria"/>
          <w:szCs w:val="22"/>
        </w:rPr>
        <w:t xml:space="preserve">. </w:t>
      </w:r>
      <w:r w:rsidR="000503B9" w:rsidRPr="000503B9">
        <w:rPr>
          <w:rFonts w:ascii="Cambria" w:hAnsi="Cambria"/>
          <w:szCs w:val="22"/>
        </w:rPr>
        <w:t xml:space="preserve">These studies enrolled CF patients with at least one </w:t>
      </w:r>
      <w:r w:rsidR="000503B9" w:rsidRPr="00404297">
        <w:rPr>
          <w:rFonts w:ascii="Cambria" w:hAnsi="Cambria"/>
          <w:i/>
          <w:iCs/>
          <w:szCs w:val="22"/>
        </w:rPr>
        <w:t>F508del</w:t>
      </w:r>
      <w:r w:rsidR="000503B9" w:rsidRPr="000503B9">
        <w:rPr>
          <w:rFonts w:ascii="Cambria" w:hAnsi="Cambria"/>
          <w:szCs w:val="22"/>
        </w:rPr>
        <w:t xml:space="preserve"> mutation. Significant clinical benefit was demonstrated in </w:t>
      </w:r>
      <w:r w:rsidR="009A511A">
        <w:rPr>
          <w:rFonts w:ascii="Cambria" w:hAnsi="Cambria"/>
          <w:szCs w:val="22"/>
        </w:rPr>
        <w:t xml:space="preserve">all </w:t>
      </w:r>
      <w:r w:rsidR="000503B9" w:rsidRPr="000503B9">
        <w:rPr>
          <w:rFonts w:ascii="Cambria" w:hAnsi="Cambria"/>
          <w:szCs w:val="22"/>
        </w:rPr>
        <w:t>studies.</w:t>
      </w:r>
    </w:p>
    <w:p w14:paraId="52B79866" w14:textId="77777777" w:rsidR="005F7A76" w:rsidRPr="00BB021D" w:rsidRDefault="005F7A76" w:rsidP="00811313">
      <w:pPr>
        <w:rPr>
          <w:rFonts w:ascii="Cambria" w:hAnsi="Cambria"/>
          <w:bCs/>
          <w:szCs w:val="22"/>
        </w:rPr>
      </w:pPr>
    </w:p>
    <w:p w14:paraId="1B37556E" w14:textId="49BFC3E8" w:rsidR="00811313" w:rsidRPr="00BB021D" w:rsidRDefault="00811313" w:rsidP="00811313">
      <w:pPr>
        <w:rPr>
          <w:rFonts w:ascii="Cambria" w:hAnsi="Cambria"/>
          <w:bCs/>
          <w:szCs w:val="22"/>
        </w:rPr>
      </w:pPr>
      <w:r w:rsidRPr="00BB021D">
        <w:rPr>
          <w:rFonts w:ascii="Cambria" w:hAnsi="Cambria"/>
          <w:bCs/>
          <w:szCs w:val="22"/>
        </w:rPr>
        <w:t>Patients in Studies 445</w:t>
      </w:r>
      <w:r w:rsidRPr="00BB021D">
        <w:rPr>
          <w:rFonts w:ascii="Cambria" w:hAnsi="Cambria"/>
          <w:bCs/>
          <w:szCs w:val="22"/>
        </w:rPr>
        <w:noBreakHyphen/>
        <w:t>102</w:t>
      </w:r>
      <w:r w:rsidR="00F600C7">
        <w:rPr>
          <w:rFonts w:ascii="Cambria" w:hAnsi="Cambria"/>
          <w:bCs/>
          <w:szCs w:val="22"/>
        </w:rPr>
        <w:t>,</w:t>
      </w:r>
      <w:r w:rsidRPr="00BB021D">
        <w:rPr>
          <w:rFonts w:ascii="Cambria" w:hAnsi="Cambria"/>
          <w:bCs/>
          <w:szCs w:val="22"/>
        </w:rPr>
        <w:t xml:space="preserve"> 445</w:t>
      </w:r>
      <w:r w:rsidRPr="00BB021D">
        <w:rPr>
          <w:rFonts w:ascii="Cambria" w:hAnsi="Cambria"/>
          <w:bCs/>
          <w:szCs w:val="22"/>
        </w:rPr>
        <w:noBreakHyphen/>
        <w:t>103</w:t>
      </w:r>
      <w:r w:rsidR="00F600C7">
        <w:rPr>
          <w:rFonts w:ascii="Cambria" w:hAnsi="Cambria"/>
          <w:bCs/>
          <w:szCs w:val="22"/>
        </w:rPr>
        <w:t xml:space="preserve">, and </w:t>
      </w:r>
      <w:r w:rsidR="008A35DE">
        <w:rPr>
          <w:rFonts w:ascii="Cambria" w:hAnsi="Cambria"/>
          <w:bCs/>
          <w:szCs w:val="22"/>
        </w:rPr>
        <w:t>445-104</w:t>
      </w:r>
      <w:r w:rsidRPr="00BB021D">
        <w:rPr>
          <w:rFonts w:ascii="Cambria" w:hAnsi="Cambria"/>
          <w:bCs/>
          <w:szCs w:val="22"/>
        </w:rPr>
        <w:t xml:space="preserve"> continued on their CF therapies (e.g., bronchodilators, inhaled antibiotics, dornase alfa, and hypertonic saline), but discontinued any previous CFTR</w:t>
      </w:r>
      <w:r w:rsidR="00F62977">
        <w:rPr>
          <w:rFonts w:ascii="Cambria" w:hAnsi="Cambria"/>
          <w:bCs/>
          <w:szCs w:val="22"/>
        </w:rPr>
        <w:t> </w:t>
      </w:r>
      <w:r w:rsidRPr="00BB021D">
        <w:rPr>
          <w:rFonts w:ascii="Cambria" w:hAnsi="Cambria"/>
          <w:bCs/>
          <w:szCs w:val="22"/>
        </w:rPr>
        <w:t xml:space="preserve">modulator therapies. Patients had a confirmed diagnosis of CF and at least one </w:t>
      </w:r>
      <w:r w:rsidRPr="00BB021D">
        <w:rPr>
          <w:rFonts w:ascii="Cambria" w:hAnsi="Cambria"/>
          <w:bCs/>
          <w:i/>
          <w:szCs w:val="22"/>
        </w:rPr>
        <w:t>F508del</w:t>
      </w:r>
      <w:r w:rsidR="00F93FE6">
        <w:rPr>
          <w:rFonts w:ascii="Cambria" w:hAnsi="Cambria"/>
          <w:bCs/>
          <w:i/>
          <w:szCs w:val="22"/>
        </w:rPr>
        <w:t> </w:t>
      </w:r>
      <w:r w:rsidRPr="00BB021D">
        <w:rPr>
          <w:rFonts w:ascii="Cambria" w:hAnsi="Cambria"/>
          <w:bCs/>
          <w:szCs w:val="22"/>
        </w:rPr>
        <w:t>mutation.</w:t>
      </w:r>
    </w:p>
    <w:p w14:paraId="34D52A83" w14:textId="77777777" w:rsidR="00811313" w:rsidRPr="00BB021D" w:rsidRDefault="00811313" w:rsidP="00811313">
      <w:pPr>
        <w:rPr>
          <w:rFonts w:ascii="Cambria" w:hAnsi="Cambria"/>
          <w:szCs w:val="22"/>
        </w:rPr>
      </w:pPr>
    </w:p>
    <w:p w14:paraId="70CCBD5A" w14:textId="63CDC58D" w:rsidR="00811313" w:rsidRPr="00015F80" w:rsidRDefault="00811313" w:rsidP="00811313">
      <w:pPr>
        <w:rPr>
          <w:rFonts w:ascii="Cambria" w:hAnsi="Cambria"/>
          <w:bCs/>
          <w:szCs w:val="22"/>
        </w:rPr>
      </w:pPr>
      <w:r w:rsidRPr="00BB021D">
        <w:rPr>
          <w:rFonts w:ascii="Cambria" w:hAnsi="Cambria"/>
          <w:bCs/>
          <w:szCs w:val="22"/>
        </w:rPr>
        <w:t xml:space="preserve">Patients who had lung infection with organisms associated with a more rapid decline in pulmonary status, including but not limited to </w:t>
      </w:r>
      <w:r w:rsidRPr="00BB021D">
        <w:rPr>
          <w:rFonts w:ascii="Cambria" w:hAnsi="Cambria"/>
          <w:bCs/>
          <w:i/>
          <w:szCs w:val="22"/>
        </w:rPr>
        <w:t>Burkholderia cenocepacia</w:t>
      </w:r>
      <w:r w:rsidRPr="00BB021D">
        <w:rPr>
          <w:rFonts w:ascii="Cambria" w:hAnsi="Cambria"/>
          <w:bCs/>
          <w:szCs w:val="22"/>
        </w:rPr>
        <w:t xml:space="preserve">, </w:t>
      </w:r>
      <w:r w:rsidRPr="00BB021D">
        <w:rPr>
          <w:rFonts w:ascii="Cambria" w:hAnsi="Cambria"/>
          <w:bCs/>
          <w:i/>
          <w:szCs w:val="22"/>
        </w:rPr>
        <w:t>Burkholderia dolosa</w:t>
      </w:r>
      <w:r w:rsidRPr="00BB021D">
        <w:rPr>
          <w:rFonts w:ascii="Cambria" w:hAnsi="Cambria"/>
          <w:bCs/>
          <w:szCs w:val="22"/>
        </w:rPr>
        <w:t xml:space="preserve">, or </w:t>
      </w:r>
      <w:r w:rsidRPr="00BB021D">
        <w:rPr>
          <w:rFonts w:ascii="Cambria" w:hAnsi="Cambria"/>
          <w:bCs/>
          <w:i/>
          <w:szCs w:val="22"/>
        </w:rPr>
        <w:t>Mycobacterium abscessus</w:t>
      </w:r>
      <w:r w:rsidRPr="00BB021D">
        <w:rPr>
          <w:rFonts w:ascii="Cambria" w:hAnsi="Cambria"/>
          <w:bCs/>
          <w:szCs w:val="22"/>
        </w:rPr>
        <w:t xml:space="preserve">, or who had an abnormal liver function test at screening (ALT, AST, ALP, or GGT ≥3 x ULN, or total bilirubin ≥2 x ULN), were excluded. Patients in </w:t>
      </w:r>
      <w:r w:rsidR="001F4941">
        <w:rPr>
          <w:rFonts w:ascii="Cambria" w:hAnsi="Cambria"/>
          <w:bCs/>
          <w:szCs w:val="22"/>
        </w:rPr>
        <w:t xml:space="preserve">studies </w:t>
      </w:r>
      <w:r w:rsidRPr="00BB021D">
        <w:rPr>
          <w:rFonts w:ascii="Cambria" w:hAnsi="Cambria"/>
          <w:bCs/>
          <w:szCs w:val="22"/>
        </w:rPr>
        <w:t>445</w:t>
      </w:r>
      <w:r w:rsidRPr="00BB021D">
        <w:rPr>
          <w:rFonts w:ascii="Cambria" w:hAnsi="Cambria"/>
          <w:bCs/>
          <w:szCs w:val="22"/>
        </w:rPr>
        <w:noBreakHyphen/>
        <w:t>102</w:t>
      </w:r>
      <w:r w:rsidR="00966047">
        <w:rPr>
          <w:rFonts w:ascii="Cambria" w:hAnsi="Cambria"/>
          <w:bCs/>
          <w:szCs w:val="22"/>
        </w:rPr>
        <w:t>,</w:t>
      </w:r>
      <w:r w:rsidR="009B6A46">
        <w:rPr>
          <w:rFonts w:ascii="Cambria" w:hAnsi="Cambria"/>
          <w:bCs/>
          <w:szCs w:val="22"/>
        </w:rPr>
        <w:t xml:space="preserve"> </w:t>
      </w:r>
      <w:r w:rsidRPr="00BB021D">
        <w:rPr>
          <w:rFonts w:ascii="Cambria" w:hAnsi="Cambria"/>
          <w:bCs/>
          <w:szCs w:val="22"/>
        </w:rPr>
        <w:t>445</w:t>
      </w:r>
      <w:r w:rsidRPr="00BB021D">
        <w:rPr>
          <w:rFonts w:ascii="Cambria" w:hAnsi="Cambria"/>
          <w:bCs/>
          <w:szCs w:val="22"/>
        </w:rPr>
        <w:noBreakHyphen/>
        <w:t>103</w:t>
      </w:r>
      <w:r w:rsidR="009B6A46">
        <w:rPr>
          <w:rFonts w:ascii="Cambria" w:hAnsi="Cambria"/>
          <w:bCs/>
          <w:szCs w:val="22"/>
        </w:rPr>
        <w:t>, and 445-104</w:t>
      </w:r>
      <w:r w:rsidRPr="00BB021D">
        <w:rPr>
          <w:rFonts w:ascii="Cambria" w:hAnsi="Cambria"/>
          <w:bCs/>
          <w:szCs w:val="22"/>
        </w:rPr>
        <w:t xml:space="preserve"> were eligible to roll over into a 96-week open</w:t>
      </w:r>
      <w:r w:rsidRPr="00BB021D">
        <w:rPr>
          <w:rFonts w:ascii="Cambria" w:hAnsi="Cambria"/>
          <w:bCs/>
          <w:szCs w:val="22"/>
        </w:rPr>
        <w:noBreakHyphen/>
        <w:t>label extension study</w:t>
      </w:r>
      <w:r w:rsidR="00C21EFF">
        <w:rPr>
          <w:rFonts w:ascii="Cambria" w:hAnsi="Cambria"/>
          <w:bCs/>
          <w:szCs w:val="22"/>
        </w:rPr>
        <w:t>.</w:t>
      </w:r>
    </w:p>
    <w:p w14:paraId="798916C2" w14:textId="742B2E90" w:rsidR="00811313" w:rsidRPr="00015F80" w:rsidRDefault="00811313" w:rsidP="00811313">
      <w:pPr>
        <w:rPr>
          <w:rFonts w:ascii="Cambria" w:hAnsi="Cambria"/>
          <w:szCs w:val="22"/>
        </w:rPr>
      </w:pPr>
    </w:p>
    <w:p w14:paraId="1B3B146E" w14:textId="33EB3D63" w:rsidR="00811313" w:rsidRPr="00AF1812" w:rsidRDefault="00811313" w:rsidP="00811313">
      <w:pPr>
        <w:keepNext/>
        <w:rPr>
          <w:rFonts w:ascii="Cambria" w:hAnsi="Cambria"/>
          <w:i/>
          <w:szCs w:val="22"/>
        </w:rPr>
      </w:pPr>
      <w:r w:rsidRPr="00015F80">
        <w:rPr>
          <w:rFonts w:ascii="Cambria" w:hAnsi="Cambria"/>
          <w:b/>
          <w:i/>
          <w:szCs w:val="22"/>
        </w:rPr>
        <w:t>Study 445</w:t>
      </w:r>
      <w:r w:rsidRPr="00015F80">
        <w:rPr>
          <w:rFonts w:ascii="Cambria" w:hAnsi="Cambria"/>
          <w:b/>
          <w:i/>
          <w:szCs w:val="22"/>
        </w:rPr>
        <w:noBreakHyphen/>
        <w:t>102</w:t>
      </w:r>
      <w:r w:rsidR="00EB7353" w:rsidRPr="00AF1812">
        <w:rPr>
          <w:rFonts w:ascii="Cambria" w:hAnsi="Cambria"/>
          <w:i/>
          <w:szCs w:val="22"/>
        </w:rPr>
        <w:t xml:space="preserve">: </w:t>
      </w:r>
      <w:r w:rsidR="007C3393" w:rsidRPr="00FC3BD9">
        <w:rPr>
          <w:rFonts w:ascii="Cambria" w:hAnsi="Cambria"/>
          <w:b/>
          <w:i/>
          <w:szCs w:val="22"/>
        </w:rPr>
        <w:t>S</w:t>
      </w:r>
      <w:r w:rsidR="00EB7353" w:rsidRPr="00AF1812">
        <w:rPr>
          <w:rFonts w:ascii="Cambria" w:eastAsiaTheme="minorHAnsi" w:hAnsi="Cambria"/>
          <w:b/>
          <w:bCs/>
          <w:szCs w:val="22"/>
        </w:rPr>
        <w:t xml:space="preserve">tudy in patients who had an </w:t>
      </w:r>
      <w:r w:rsidR="00EB7353" w:rsidRPr="00AF1812">
        <w:rPr>
          <w:rFonts w:ascii="Cambria" w:eastAsiaTheme="minorHAnsi" w:hAnsi="Cambria"/>
          <w:b/>
          <w:bCs/>
          <w:i/>
          <w:szCs w:val="22"/>
        </w:rPr>
        <w:t>F508del</w:t>
      </w:r>
      <w:r w:rsidR="00EB7353" w:rsidRPr="00AF1812">
        <w:rPr>
          <w:rFonts w:ascii="Cambria" w:eastAsiaTheme="minorHAnsi" w:hAnsi="Cambria"/>
          <w:b/>
          <w:bCs/>
          <w:szCs w:val="22"/>
        </w:rPr>
        <w:t xml:space="preserve"> mutation on one allele and a mutation on the second allele that results in either no CFTR </w:t>
      </w:r>
      <w:r w:rsidR="007C3393" w:rsidRPr="00AF1812">
        <w:rPr>
          <w:rFonts w:ascii="Cambria" w:eastAsiaTheme="minorHAnsi" w:hAnsi="Cambria"/>
          <w:b/>
          <w:bCs/>
          <w:szCs w:val="22"/>
        </w:rPr>
        <w:t>/ non</w:t>
      </w:r>
      <w:r w:rsidR="00D92E05">
        <w:rPr>
          <w:rFonts w:ascii="Cambria" w:eastAsiaTheme="minorHAnsi" w:hAnsi="Cambria"/>
          <w:b/>
          <w:bCs/>
          <w:szCs w:val="22"/>
        </w:rPr>
        <w:t>-</w:t>
      </w:r>
      <w:r w:rsidR="007C3393" w:rsidRPr="00AF1812">
        <w:rPr>
          <w:rFonts w:ascii="Cambria" w:eastAsiaTheme="minorHAnsi" w:hAnsi="Cambria"/>
          <w:b/>
          <w:bCs/>
          <w:szCs w:val="22"/>
        </w:rPr>
        <w:t xml:space="preserve">responsive </w:t>
      </w:r>
      <w:r w:rsidR="00EB7353" w:rsidRPr="00AF1812">
        <w:rPr>
          <w:rFonts w:ascii="Cambria" w:eastAsiaTheme="minorHAnsi" w:hAnsi="Cambria"/>
          <w:b/>
          <w:bCs/>
          <w:szCs w:val="22"/>
        </w:rPr>
        <w:t>CFTR</w:t>
      </w:r>
      <w:r w:rsidR="00F93FE6">
        <w:rPr>
          <w:rFonts w:ascii="Cambria" w:eastAsiaTheme="minorHAnsi" w:hAnsi="Cambria"/>
          <w:b/>
          <w:bCs/>
          <w:szCs w:val="22"/>
        </w:rPr>
        <w:t> </w:t>
      </w:r>
      <w:r w:rsidR="00EB7353" w:rsidRPr="00AF1812">
        <w:rPr>
          <w:rFonts w:ascii="Cambria" w:eastAsiaTheme="minorHAnsi" w:hAnsi="Cambria"/>
          <w:b/>
          <w:bCs/>
          <w:szCs w:val="22"/>
        </w:rPr>
        <w:t>protein</w:t>
      </w:r>
      <w:r w:rsidR="00EB7353" w:rsidRPr="00FC3BD9">
        <w:rPr>
          <w:rFonts w:ascii="Cambria" w:eastAsiaTheme="minorHAnsi" w:hAnsi="Cambria"/>
          <w:bCs/>
          <w:szCs w:val="22"/>
        </w:rPr>
        <w:t xml:space="preserve"> </w:t>
      </w:r>
    </w:p>
    <w:p w14:paraId="7B25C75A" w14:textId="6F5A502C" w:rsidR="000769CF" w:rsidRPr="004C7E31" w:rsidRDefault="00400A55" w:rsidP="00400A55">
      <w:pPr>
        <w:tabs>
          <w:tab w:val="clear" w:pos="567"/>
        </w:tabs>
        <w:rPr>
          <w:rFonts w:ascii="Cambria" w:eastAsiaTheme="minorHAnsi" w:hAnsi="Cambria"/>
        </w:rPr>
      </w:pPr>
      <w:r w:rsidRPr="00BB021D">
        <w:rPr>
          <w:rFonts w:ascii="Cambria" w:eastAsiaTheme="minorHAnsi" w:hAnsi="Cambria"/>
          <w:bCs/>
          <w:szCs w:val="22"/>
        </w:rPr>
        <w:t>Study 445</w:t>
      </w:r>
      <w:r w:rsidRPr="00BB021D">
        <w:rPr>
          <w:rFonts w:ascii="Cambria" w:eastAsiaTheme="minorHAnsi" w:hAnsi="Cambria"/>
          <w:bCs/>
          <w:szCs w:val="22"/>
        </w:rPr>
        <w:noBreakHyphen/>
        <w:t xml:space="preserve">102 was a 24-week, randomized, double-blind, placebo-controlled study in patients who had an </w:t>
      </w:r>
      <w:r w:rsidRPr="00BB021D">
        <w:rPr>
          <w:rFonts w:ascii="Cambria" w:eastAsiaTheme="minorHAnsi" w:hAnsi="Cambria"/>
          <w:bCs/>
          <w:i/>
          <w:szCs w:val="22"/>
        </w:rPr>
        <w:t>F508del</w:t>
      </w:r>
      <w:r w:rsidRPr="00BB021D">
        <w:rPr>
          <w:rFonts w:ascii="Cambria" w:eastAsiaTheme="minorHAnsi" w:hAnsi="Cambria"/>
          <w:bCs/>
          <w:szCs w:val="22"/>
        </w:rPr>
        <w:t xml:space="preserve"> mutation on one allele and a mutation on the second allele that results in either no CFTR protein or </w:t>
      </w:r>
      <w:r w:rsidRPr="00BB021D">
        <w:rPr>
          <w:rFonts w:ascii="Cambria" w:eastAsiaTheme="minorHAnsi" w:hAnsi="Cambria"/>
          <w:szCs w:val="22"/>
        </w:rPr>
        <w:t xml:space="preserve">a </w:t>
      </w:r>
      <w:r w:rsidRPr="00BB021D">
        <w:rPr>
          <w:rFonts w:ascii="Cambria" w:eastAsiaTheme="minorHAnsi" w:hAnsi="Cambria"/>
          <w:bCs/>
          <w:szCs w:val="22"/>
        </w:rPr>
        <w:t xml:space="preserve">CFTR protein that is not </w:t>
      </w:r>
      <w:r w:rsidRPr="00BB021D">
        <w:rPr>
          <w:rFonts w:ascii="Cambria" w:eastAsiaTheme="minorHAnsi" w:hAnsi="Cambria"/>
          <w:szCs w:val="22"/>
        </w:rPr>
        <w:t xml:space="preserve">responsive to ivacaftor </w:t>
      </w:r>
      <w:r w:rsidRPr="00BB021D">
        <w:rPr>
          <w:rFonts w:ascii="Cambria" w:eastAsiaTheme="minorHAnsi" w:hAnsi="Cambria"/>
          <w:bCs/>
          <w:szCs w:val="22"/>
        </w:rPr>
        <w:t xml:space="preserve">and </w:t>
      </w:r>
      <w:r w:rsidRPr="00BB021D">
        <w:rPr>
          <w:rFonts w:ascii="Cambria" w:eastAsiaTheme="minorHAnsi" w:hAnsi="Cambria"/>
          <w:szCs w:val="22"/>
        </w:rPr>
        <w:t>tezacaftor</w:t>
      </w:r>
      <w:r w:rsidRPr="00BB021D">
        <w:rPr>
          <w:rFonts w:ascii="Cambria" w:eastAsiaTheme="minorHAnsi" w:hAnsi="Cambria"/>
          <w:bCs/>
          <w:szCs w:val="22"/>
        </w:rPr>
        <w:t>/ivacaftor.</w:t>
      </w:r>
      <w:r w:rsidR="00BF22D6">
        <w:rPr>
          <w:rFonts w:ascii="Cambria" w:eastAsiaTheme="minorHAnsi" w:hAnsi="Cambria"/>
          <w:bCs/>
          <w:szCs w:val="22"/>
        </w:rPr>
        <w:t>*</w:t>
      </w:r>
      <w:r w:rsidRPr="00BB021D">
        <w:rPr>
          <w:rFonts w:ascii="Cambria" w:eastAsiaTheme="minorHAnsi" w:hAnsi="Cambria"/>
          <w:bCs/>
          <w:szCs w:val="22"/>
        </w:rPr>
        <w:t xml:space="preserve"> A total of 403 patients aged 12 years and older (mean age 26.2 years)</w:t>
      </w:r>
      <w:r w:rsidRPr="00BB021D">
        <w:rPr>
          <w:rFonts w:ascii="Cambria" w:eastAsiaTheme="minorHAnsi" w:hAnsi="Cambria"/>
          <w:bCs/>
        </w:rPr>
        <w:t xml:space="preserve"> were randomized and dosed to receive T</w:t>
      </w:r>
      <w:r w:rsidR="006E4A2B">
        <w:rPr>
          <w:rFonts w:ascii="Cambria" w:eastAsiaTheme="minorHAnsi" w:hAnsi="Cambria"/>
          <w:bCs/>
        </w:rPr>
        <w:t>RIKAFTA</w:t>
      </w:r>
      <w:r w:rsidRPr="00BB021D">
        <w:rPr>
          <w:rFonts w:ascii="Cambria" w:eastAsiaTheme="minorHAnsi" w:hAnsi="Cambria"/>
          <w:bCs/>
        </w:rPr>
        <w:t xml:space="preserve"> or placebo. Patients had a ppFEV</w:t>
      </w:r>
      <w:r w:rsidRPr="00BB021D">
        <w:rPr>
          <w:rFonts w:ascii="Cambria" w:eastAsiaTheme="minorHAnsi" w:hAnsi="Cambria"/>
          <w:bCs/>
          <w:vertAlign w:val="subscript"/>
        </w:rPr>
        <w:t>1</w:t>
      </w:r>
      <w:r w:rsidRPr="00BB021D">
        <w:rPr>
          <w:rFonts w:ascii="Cambria" w:eastAsiaTheme="minorHAnsi" w:hAnsi="Cambria"/>
          <w:bCs/>
        </w:rPr>
        <w:t xml:space="preserve"> at screening between 40-90%. The mean ppFEV</w:t>
      </w:r>
      <w:r w:rsidRPr="00BB021D">
        <w:rPr>
          <w:rFonts w:ascii="Cambria" w:eastAsiaTheme="minorHAnsi" w:hAnsi="Cambria"/>
          <w:bCs/>
          <w:vertAlign w:val="subscript"/>
        </w:rPr>
        <w:t xml:space="preserve">1 </w:t>
      </w:r>
      <w:r w:rsidRPr="00BB021D">
        <w:rPr>
          <w:rFonts w:ascii="Cambria" w:eastAsiaTheme="minorHAnsi" w:hAnsi="Cambria"/>
          <w:bCs/>
        </w:rPr>
        <w:t xml:space="preserve">at baseline was 61.4% (range: 32.3%, 97.1%). </w:t>
      </w:r>
    </w:p>
    <w:p w14:paraId="03BFF1AB" w14:textId="408FFECF" w:rsidR="00400A55" w:rsidRDefault="000769CF" w:rsidP="00811313">
      <w:pPr>
        <w:tabs>
          <w:tab w:val="clear" w:pos="567"/>
          <w:tab w:val="left" w:pos="3779"/>
        </w:tabs>
        <w:rPr>
          <w:rFonts w:ascii="Cambria" w:hAnsi="Cambria"/>
          <w:bCs/>
          <w:szCs w:val="22"/>
        </w:rPr>
      </w:pPr>
      <w:r>
        <w:rPr>
          <w:rFonts w:ascii="Cambria" w:hAnsi="Cambria"/>
          <w:szCs w:val="22"/>
        </w:rPr>
        <w:t>*Contact sponsor (see section 8</w:t>
      </w:r>
      <w:r w:rsidR="002E519B">
        <w:rPr>
          <w:rFonts w:ascii="Cambria" w:hAnsi="Cambria"/>
          <w:szCs w:val="22"/>
        </w:rPr>
        <w:t xml:space="preserve"> SPONSOR</w:t>
      </w:r>
      <w:r>
        <w:rPr>
          <w:rFonts w:ascii="Cambria" w:hAnsi="Cambria"/>
          <w:szCs w:val="22"/>
        </w:rPr>
        <w:t xml:space="preserve">) for </w:t>
      </w:r>
      <w:r w:rsidR="00821EB7">
        <w:rPr>
          <w:rFonts w:ascii="Cambria" w:hAnsi="Cambria"/>
          <w:szCs w:val="22"/>
        </w:rPr>
        <w:t>list of mutations enrolled in study 102</w:t>
      </w:r>
      <w:r>
        <w:rPr>
          <w:rFonts w:ascii="Cambria" w:hAnsi="Cambria"/>
          <w:szCs w:val="22"/>
        </w:rPr>
        <w:t>.</w:t>
      </w:r>
    </w:p>
    <w:p w14:paraId="1B5C0687" w14:textId="77777777" w:rsidR="000769CF" w:rsidRDefault="000769CF" w:rsidP="00811313">
      <w:pPr>
        <w:tabs>
          <w:tab w:val="clear" w:pos="567"/>
          <w:tab w:val="left" w:pos="3779"/>
        </w:tabs>
        <w:rPr>
          <w:rFonts w:ascii="Cambria" w:hAnsi="Cambria"/>
          <w:bCs/>
          <w:szCs w:val="22"/>
        </w:rPr>
      </w:pPr>
    </w:p>
    <w:p w14:paraId="7F6D0654" w14:textId="0FDB731C" w:rsidR="00811313" w:rsidRPr="00015F80" w:rsidRDefault="00811313" w:rsidP="00811313">
      <w:pPr>
        <w:tabs>
          <w:tab w:val="clear" w:pos="567"/>
          <w:tab w:val="left" w:pos="3779"/>
        </w:tabs>
        <w:rPr>
          <w:rFonts w:ascii="Cambria" w:hAnsi="Cambria"/>
          <w:bCs/>
          <w:szCs w:val="22"/>
        </w:rPr>
      </w:pPr>
      <w:r w:rsidRPr="00015F80">
        <w:rPr>
          <w:rFonts w:ascii="Cambria" w:hAnsi="Cambria"/>
          <w:bCs/>
          <w:szCs w:val="22"/>
        </w:rPr>
        <w:t>In Study 445</w:t>
      </w:r>
      <w:r w:rsidRPr="00015F80">
        <w:rPr>
          <w:rFonts w:ascii="Cambria" w:hAnsi="Cambria"/>
          <w:bCs/>
          <w:szCs w:val="22"/>
        </w:rPr>
        <w:noBreakHyphen/>
        <w:t>102 the primary endpoint was mean absolute change in ppFEV</w:t>
      </w:r>
      <w:r w:rsidRPr="00015F80">
        <w:rPr>
          <w:rFonts w:ascii="Cambria" w:hAnsi="Cambria"/>
          <w:bCs/>
          <w:szCs w:val="22"/>
          <w:vertAlign w:val="subscript"/>
        </w:rPr>
        <w:t>1</w:t>
      </w:r>
      <w:r w:rsidRPr="00015F80">
        <w:rPr>
          <w:rFonts w:ascii="Cambria" w:hAnsi="Cambria"/>
          <w:bCs/>
          <w:szCs w:val="22"/>
        </w:rPr>
        <w:t xml:space="preserve"> from baseline through Week 24. Treatment with </w:t>
      </w:r>
      <w:r w:rsidR="00D32F42" w:rsidRPr="00015F80">
        <w:rPr>
          <w:rFonts w:ascii="Cambria" w:hAnsi="Cambria"/>
          <w:bCs/>
          <w:szCs w:val="22"/>
        </w:rPr>
        <w:t>T</w:t>
      </w:r>
      <w:r w:rsidR="006E4A2B">
        <w:rPr>
          <w:rFonts w:ascii="Cambria" w:hAnsi="Cambria"/>
          <w:bCs/>
          <w:szCs w:val="22"/>
        </w:rPr>
        <w:t>RIKAFTA</w:t>
      </w:r>
      <w:r w:rsidRPr="00015F80">
        <w:rPr>
          <w:rFonts w:ascii="Cambria" w:hAnsi="Cambria"/>
          <w:bCs/>
          <w:szCs w:val="22"/>
        </w:rPr>
        <w:t xml:space="preserve"> compared to placebo resulted in statistically significant improvement in ppFEV</w:t>
      </w:r>
      <w:r w:rsidRPr="00015F80">
        <w:rPr>
          <w:rFonts w:ascii="Cambria" w:hAnsi="Cambria"/>
          <w:bCs/>
          <w:szCs w:val="22"/>
          <w:vertAlign w:val="subscript"/>
        </w:rPr>
        <w:t>1</w:t>
      </w:r>
      <w:r w:rsidRPr="00015F80">
        <w:rPr>
          <w:rFonts w:ascii="Cambria" w:hAnsi="Cambria"/>
          <w:bCs/>
          <w:szCs w:val="22"/>
        </w:rPr>
        <w:t xml:space="preserve"> of 14.3 percentage points (95% CI: 12.7, 15.8; </w:t>
      </w:r>
      <w:r w:rsidRPr="00015F80">
        <w:rPr>
          <w:rFonts w:ascii="Cambria" w:hAnsi="Cambria"/>
          <w:bCs/>
          <w:i/>
          <w:szCs w:val="22"/>
        </w:rPr>
        <w:t>P</w:t>
      </w:r>
      <w:r w:rsidRPr="00015F80">
        <w:rPr>
          <w:rFonts w:ascii="Cambria" w:hAnsi="Cambria"/>
          <w:bCs/>
          <w:szCs w:val="22"/>
        </w:rPr>
        <w:t xml:space="preserve">&lt;0.0001) (Table </w:t>
      </w:r>
      <w:r w:rsidR="00772EFA">
        <w:rPr>
          <w:rFonts w:ascii="Cambria" w:hAnsi="Cambria"/>
          <w:bCs/>
          <w:szCs w:val="22"/>
        </w:rPr>
        <w:t>7</w:t>
      </w:r>
      <w:r w:rsidRPr="00015F80">
        <w:rPr>
          <w:rFonts w:ascii="Cambria" w:hAnsi="Cambria"/>
          <w:bCs/>
          <w:szCs w:val="22"/>
        </w:rPr>
        <w:t>). Mean improvement in ppFEV</w:t>
      </w:r>
      <w:r w:rsidRPr="00015F80">
        <w:rPr>
          <w:rFonts w:ascii="Cambria" w:hAnsi="Cambria"/>
          <w:bCs/>
          <w:szCs w:val="22"/>
          <w:vertAlign w:val="subscript"/>
        </w:rPr>
        <w:t>1</w:t>
      </w:r>
      <w:r w:rsidRPr="00015F80">
        <w:rPr>
          <w:rFonts w:ascii="Cambria" w:hAnsi="Cambria"/>
          <w:bCs/>
          <w:szCs w:val="22"/>
        </w:rPr>
        <w:t xml:space="preserve"> was rapid in onset (Day 15) and sustained through the 24</w:t>
      </w:r>
      <w:r w:rsidRPr="00015F80">
        <w:rPr>
          <w:rFonts w:ascii="Cambria" w:hAnsi="Cambria"/>
          <w:bCs/>
          <w:szCs w:val="22"/>
        </w:rPr>
        <w:noBreakHyphen/>
        <w:t xml:space="preserve">week treatment period (Figure </w:t>
      </w:r>
      <w:r w:rsidR="005046D4">
        <w:rPr>
          <w:rFonts w:ascii="Cambria" w:hAnsi="Cambria"/>
          <w:bCs/>
          <w:szCs w:val="22"/>
        </w:rPr>
        <w:t>2</w:t>
      </w:r>
      <w:r w:rsidRPr="00015F80">
        <w:rPr>
          <w:rFonts w:ascii="Cambria" w:hAnsi="Cambria"/>
          <w:bCs/>
          <w:szCs w:val="22"/>
        </w:rPr>
        <w:t>). Improvements in ppFEV</w:t>
      </w:r>
      <w:r w:rsidRPr="00015F80">
        <w:rPr>
          <w:rFonts w:ascii="Cambria" w:hAnsi="Cambria"/>
          <w:bCs/>
          <w:szCs w:val="22"/>
          <w:vertAlign w:val="subscript"/>
        </w:rPr>
        <w:t>1</w:t>
      </w:r>
      <w:r w:rsidRPr="00015F80">
        <w:rPr>
          <w:rFonts w:ascii="Cambria" w:hAnsi="Cambria"/>
          <w:bCs/>
          <w:szCs w:val="22"/>
        </w:rPr>
        <w:t xml:space="preserve"> were observed regardless of age, baseline ppFEV</w:t>
      </w:r>
      <w:r w:rsidRPr="00015F80">
        <w:rPr>
          <w:rFonts w:ascii="Cambria" w:hAnsi="Cambria"/>
          <w:bCs/>
          <w:szCs w:val="22"/>
          <w:vertAlign w:val="subscript"/>
        </w:rPr>
        <w:t>1</w:t>
      </w:r>
      <w:r w:rsidRPr="00015F80">
        <w:rPr>
          <w:rFonts w:ascii="Cambria" w:hAnsi="Cambria"/>
          <w:bCs/>
          <w:szCs w:val="22"/>
        </w:rPr>
        <w:t xml:space="preserve">, sex, and geographic region. A total of 18 patients receiving </w:t>
      </w:r>
      <w:r w:rsidR="00D32F42" w:rsidRPr="00015F80">
        <w:rPr>
          <w:rFonts w:ascii="Cambria" w:hAnsi="Cambria"/>
          <w:bCs/>
          <w:szCs w:val="22"/>
        </w:rPr>
        <w:t>T</w:t>
      </w:r>
      <w:r w:rsidR="006E4A2B">
        <w:rPr>
          <w:rFonts w:ascii="Cambria" w:hAnsi="Cambria"/>
          <w:bCs/>
          <w:szCs w:val="22"/>
        </w:rPr>
        <w:t>RIKAFTA</w:t>
      </w:r>
      <w:r w:rsidR="00D32F42" w:rsidRPr="00015F80">
        <w:rPr>
          <w:rFonts w:ascii="Cambria" w:hAnsi="Cambria"/>
          <w:bCs/>
          <w:szCs w:val="22"/>
        </w:rPr>
        <w:t xml:space="preserve"> </w:t>
      </w:r>
      <w:r w:rsidRPr="00015F80">
        <w:rPr>
          <w:rFonts w:ascii="Cambria" w:hAnsi="Cambria"/>
          <w:bCs/>
          <w:szCs w:val="22"/>
        </w:rPr>
        <w:t>had ppFEV</w:t>
      </w:r>
      <w:r w:rsidRPr="00015F80">
        <w:rPr>
          <w:rFonts w:ascii="Cambria" w:hAnsi="Cambria"/>
          <w:bCs/>
          <w:szCs w:val="22"/>
          <w:vertAlign w:val="subscript"/>
        </w:rPr>
        <w:t>1</w:t>
      </w:r>
      <w:r w:rsidRPr="00015F80">
        <w:rPr>
          <w:rFonts w:ascii="Cambria" w:hAnsi="Cambria"/>
          <w:bCs/>
          <w:szCs w:val="22"/>
        </w:rPr>
        <w:t xml:space="preserve"> &lt;40 at baseline. The safety and efficacy in this subgroup were comparable to those observed in the overall population. See Table </w:t>
      </w:r>
      <w:r w:rsidR="000B443B">
        <w:rPr>
          <w:rFonts w:ascii="Cambria" w:hAnsi="Cambria"/>
          <w:bCs/>
          <w:szCs w:val="22"/>
        </w:rPr>
        <w:t>7</w:t>
      </w:r>
      <w:r w:rsidRPr="00015F80">
        <w:rPr>
          <w:rFonts w:ascii="Cambria" w:hAnsi="Cambria"/>
          <w:bCs/>
          <w:szCs w:val="22"/>
        </w:rPr>
        <w:t xml:space="preserve"> for a summary of primary and key secondary outcomes.</w:t>
      </w:r>
    </w:p>
    <w:p w14:paraId="70E50EED" w14:textId="6E8B6032" w:rsidR="00BF22D6" w:rsidRPr="00015F80" w:rsidRDefault="00BF22D6" w:rsidP="00BF22D6">
      <w:pPr>
        <w:tabs>
          <w:tab w:val="clear" w:pos="567"/>
          <w:tab w:val="left" w:pos="3779"/>
        </w:tabs>
        <w:rPr>
          <w:rFonts w:ascii="Cambria" w:hAnsi="Cambria"/>
          <w:szCs w:val="22"/>
        </w:rPr>
      </w:pPr>
    </w:p>
    <w:p w14:paraId="1498B3A3" w14:textId="77777777" w:rsidR="00811313" w:rsidRPr="00015F80" w:rsidRDefault="00811313" w:rsidP="00811313">
      <w:pPr>
        <w:tabs>
          <w:tab w:val="clear" w:pos="567"/>
          <w:tab w:val="left" w:pos="3779"/>
        </w:tabs>
        <w:rPr>
          <w:rFonts w:ascii="Cambria" w:hAnsi="Cambria"/>
          <w:szCs w:val="22"/>
        </w:rPr>
      </w:pPr>
    </w:p>
    <w:tbl>
      <w:tblPr>
        <w:tblW w:w="4879" w:type="pct"/>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2290"/>
        <w:gridCol w:w="3119"/>
        <w:gridCol w:w="1275"/>
        <w:gridCol w:w="2108"/>
      </w:tblGrid>
      <w:tr w:rsidR="00811313" w:rsidRPr="00015F80" w14:paraId="71976A24" w14:textId="77777777" w:rsidTr="00DC1F68">
        <w:trPr>
          <w:tblHeader/>
        </w:trPr>
        <w:tc>
          <w:tcPr>
            <w:tcW w:w="5000" w:type="pct"/>
            <w:gridSpan w:val="4"/>
            <w:tcBorders>
              <w:top w:val="single" w:sz="4" w:space="0" w:color="auto"/>
              <w:left w:val="single" w:sz="4" w:space="0" w:color="auto"/>
              <w:bottom w:val="single" w:sz="6" w:space="0" w:color="auto"/>
              <w:right w:val="single" w:sz="4" w:space="0" w:color="auto"/>
            </w:tcBorders>
            <w:vAlign w:val="center"/>
            <w:hideMark/>
          </w:tcPr>
          <w:p w14:paraId="41303614" w14:textId="79E100B9" w:rsidR="00811313" w:rsidRPr="00015F80" w:rsidRDefault="00811313" w:rsidP="00AF1812">
            <w:pPr>
              <w:pStyle w:val="Caption"/>
              <w:keepNext w:val="0"/>
              <w:spacing w:before="0" w:after="0"/>
              <w:ind w:left="0" w:firstLine="0"/>
              <w:rPr>
                <w:rFonts w:ascii="Cambria" w:hAnsi="Cambria"/>
                <w:sz w:val="22"/>
                <w:szCs w:val="22"/>
              </w:rPr>
            </w:pPr>
            <w:r w:rsidRPr="00015F80">
              <w:rPr>
                <w:rFonts w:ascii="Cambria" w:hAnsi="Cambria"/>
                <w:sz w:val="22"/>
                <w:szCs w:val="22"/>
              </w:rPr>
              <w:t>Table </w:t>
            </w:r>
            <w:r w:rsidR="00772EFA">
              <w:rPr>
                <w:rFonts w:ascii="Cambria" w:hAnsi="Cambria"/>
                <w:sz w:val="22"/>
                <w:szCs w:val="22"/>
              </w:rPr>
              <w:t>7</w:t>
            </w:r>
            <w:r w:rsidRPr="00015F80">
              <w:rPr>
                <w:rFonts w:ascii="Cambria" w:hAnsi="Cambria"/>
                <w:sz w:val="22"/>
                <w:szCs w:val="22"/>
              </w:rPr>
              <w:t>: Primary and Key Secondary Efficacy Analyses, Full Analysis Set</w:t>
            </w:r>
            <w:r w:rsidR="00AF1812">
              <w:rPr>
                <w:rFonts w:ascii="Cambria" w:hAnsi="Cambria"/>
                <w:sz w:val="22"/>
                <w:szCs w:val="22"/>
              </w:rPr>
              <w:t xml:space="preserve"> </w:t>
            </w:r>
            <w:r w:rsidRPr="00015F80">
              <w:rPr>
                <w:rFonts w:ascii="Cambria" w:hAnsi="Cambria"/>
                <w:sz w:val="22"/>
                <w:szCs w:val="22"/>
              </w:rPr>
              <w:t>(Study 445</w:t>
            </w:r>
            <w:r w:rsidRPr="00015F80">
              <w:rPr>
                <w:rFonts w:ascii="Cambria" w:hAnsi="Cambria"/>
                <w:sz w:val="22"/>
                <w:szCs w:val="22"/>
              </w:rPr>
              <w:noBreakHyphen/>
              <w:t>102)</w:t>
            </w:r>
          </w:p>
        </w:tc>
      </w:tr>
      <w:tr w:rsidR="00811313" w:rsidRPr="00015F80" w14:paraId="13059689" w14:textId="77777777" w:rsidTr="00F93FE6">
        <w:trPr>
          <w:trHeight w:val="390"/>
          <w:tblHeader/>
        </w:trPr>
        <w:tc>
          <w:tcPr>
            <w:tcW w:w="13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14:paraId="58CFCEDA" w14:textId="77777777" w:rsidR="00811313" w:rsidRPr="00015F80" w:rsidRDefault="00811313" w:rsidP="00DC1F68">
            <w:pPr>
              <w:pStyle w:val="tabletextleftjustified"/>
              <w:spacing w:before="0" w:after="0"/>
              <w:jc w:val="center"/>
              <w:rPr>
                <w:rFonts w:ascii="Cambria" w:hAnsi="Cambria"/>
                <w:b/>
                <w:sz w:val="22"/>
                <w:szCs w:val="22"/>
              </w:rPr>
            </w:pPr>
            <w:r w:rsidRPr="00015F80">
              <w:rPr>
                <w:rFonts w:ascii="Cambria" w:hAnsi="Cambria"/>
                <w:b/>
                <w:sz w:val="22"/>
                <w:szCs w:val="22"/>
              </w:rPr>
              <w:t>Analysis</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73F7110" w14:textId="77777777" w:rsidR="00811313" w:rsidRPr="00015F80" w:rsidRDefault="00811313" w:rsidP="00DC1F68">
            <w:pPr>
              <w:pStyle w:val="tabletextleftjustified"/>
              <w:spacing w:before="0" w:after="0"/>
              <w:jc w:val="center"/>
              <w:rPr>
                <w:rFonts w:ascii="Cambria" w:hAnsi="Cambria"/>
                <w:b/>
                <w:sz w:val="22"/>
                <w:szCs w:val="22"/>
              </w:rPr>
            </w:pPr>
            <w:r w:rsidRPr="00015F80">
              <w:rPr>
                <w:rFonts w:ascii="Cambria" w:hAnsi="Cambria"/>
                <w:b/>
                <w:sz w:val="22"/>
                <w:szCs w:val="22"/>
              </w:rPr>
              <w:t>Statistic</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7E153EC" w14:textId="77777777" w:rsidR="00811313" w:rsidRPr="00015F80" w:rsidRDefault="00811313" w:rsidP="00DC1F68">
            <w:pPr>
              <w:pStyle w:val="tabletextcenterjustified"/>
              <w:spacing w:before="0" w:after="0"/>
              <w:rPr>
                <w:rFonts w:ascii="Cambria" w:hAnsi="Cambria"/>
                <w:b/>
                <w:sz w:val="22"/>
                <w:szCs w:val="22"/>
              </w:rPr>
            </w:pPr>
            <w:r w:rsidRPr="00015F80">
              <w:rPr>
                <w:rFonts w:ascii="Cambria" w:hAnsi="Cambria"/>
                <w:b/>
                <w:sz w:val="22"/>
                <w:szCs w:val="22"/>
              </w:rPr>
              <w:t>Placebo</w:t>
            </w:r>
          </w:p>
          <w:p w14:paraId="3A5D47CC" w14:textId="77777777" w:rsidR="00811313" w:rsidRPr="00015F80" w:rsidRDefault="00811313" w:rsidP="00DC1F68">
            <w:pPr>
              <w:pStyle w:val="tabletextcenterjustified"/>
              <w:spacing w:before="0" w:after="0"/>
              <w:rPr>
                <w:rFonts w:ascii="Cambria" w:hAnsi="Cambria"/>
                <w:b/>
                <w:sz w:val="22"/>
                <w:szCs w:val="22"/>
              </w:rPr>
            </w:pPr>
            <w:r w:rsidRPr="00015F80">
              <w:rPr>
                <w:rFonts w:ascii="Cambria" w:hAnsi="Cambria"/>
                <w:b/>
                <w:sz w:val="22"/>
                <w:szCs w:val="22"/>
              </w:rPr>
              <w:t>N=203</w:t>
            </w:r>
          </w:p>
        </w:tc>
        <w:tc>
          <w:tcPr>
            <w:tcW w:w="1199"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hideMark/>
          </w:tcPr>
          <w:p w14:paraId="27982664" w14:textId="47E5A5A1" w:rsidR="00811313" w:rsidRPr="00015F80" w:rsidRDefault="00D32F42" w:rsidP="00DC1F68">
            <w:pPr>
              <w:pStyle w:val="tabletextcenterjustified"/>
              <w:spacing w:before="0" w:after="0"/>
              <w:rPr>
                <w:rFonts w:ascii="Cambria" w:hAnsi="Cambria"/>
                <w:b/>
                <w:sz w:val="22"/>
                <w:szCs w:val="22"/>
              </w:rPr>
            </w:pPr>
            <w:r w:rsidRPr="00015F80">
              <w:rPr>
                <w:rFonts w:ascii="Cambria" w:hAnsi="Cambria"/>
                <w:b/>
                <w:sz w:val="22"/>
                <w:szCs w:val="22"/>
              </w:rPr>
              <w:t>T</w:t>
            </w:r>
            <w:r w:rsidR="006E4A2B">
              <w:rPr>
                <w:rFonts w:ascii="Cambria" w:hAnsi="Cambria"/>
                <w:b/>
                <w:sz w:val="22"/>
                <w:szCs w:val="22"/>
              </w:rPr>
              <w:t>RIKAFTA</w:t>
            </w:r>
            <w:r w:rsidR="00811313" w:rsidRPr="00015F80">
              <w:rPr>
                <w:rFonts w:ascii="Cambria" w:hAnsi="Cambria"/>
                <w:b/>
                <w:sz w:val="22"/>
                <w:szCs w:val="22"/>
              </w:rPr>
              <w:t xml:space="preserve"> N=200</w:t>
            </w:r>
          </w:p>
        </w:tc>
      </w:tr>
      <w:tr w:rsidR="00811313" w:rsidRPr="00015F80" w14:paraId="5C7BE989" w14:textId="77777777" w:rsidTr="00DC1F68">
        <w:trPr>
          <w:trHeight w:val="138"/>
          <w:tblHeader/>
        </w:trPr>
        <w:tc>
          <w:tcPr>
            <w:tcW w:w="5000" w:type="pct"/>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86CAED4" w14:textId="77777777" w:rsidR="00811313" w:rsidRPr="00015F80" w:rsidRDefault="00811313" w:rsidP="00DC1F68">
            <w:pPr>
              <w:pStyle w:val="tabletextcenterjustified"/>
              <w:spacing w:before="0" w:after="0"/>
              <w:jc w:val="left"/>
              <w:rPr>
                <w:rFonts w:ascii="Cambria" w:hAnsi="Cambria"/>
                <w:b/>
                <w:bCs/>
                <w:i/>
                <w:iCs/>
                <w:sz w:val="22"/>
                <w:szCs w:val="22"/>
              </w:rPr>
            </w:pPr>
            <w:r w:rsidRPr="00015F80">
              <w:rPr>
                <w:rFonts w:ascii="Cambria" w:hAnsi="Cambria"/>
                <w:b/>
                <w:sz w:val="22"/>
                <w:szCs w:val="22"/>
              </w:rPr>
              <w:t>Primary</w:t>
            </w:r>
          </w:p>
        </w:tc>
      </w:tr>
      <w:tr w:rsidR="00811313" w:rsidRPr="00015F80" w14:paraId="3205D392" w14:textId="77777777" w:rsidTr="00F93FE6">
        <w:trPr>
          <w:trHeight w:val="768"/>
          <w:tblHeader/>
        </w:trPr>
        <w:tc>
          <w:tcPr>
            <w:tcW w:w="13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14:paraId="18BB038A" w14:textId="77777777" w:rsidR="00811313" w:rsidRPr="00015F80" w:rsidRDefault="00811313" w:rsidP="00DC1F68">
            <w:pPr>
              <w:pStyle w:val="tabletextleftjustified"/>
              <w:spacing w:before="0" w:after="0"/>
              <w:rPr>
                <w:rFonts w:ascii="Cambria" w:hAnsi="Cambria"/>
                <w:bCs/>
                <w:sz w:val="22"/>
                <w:szCs w:val="22"/>
              </w:rPr>
            </w:pPr>
            <w:r w:rsidRPr="00015F80">
              <w:rPr>
                <w:rFonts w:ascii="Cambria" w:hAnsi="Cambria"/>
                <w:bCs/>
                <w:sz w:val="22"/>
                <w:szCs w:val="22"/>
              </w:rPr>
              <w:t>Absolute change in ppFEV</w:t>
            </w:r>
            <w:r w:rsidRPr="00015F80">
              <w:rPr>
                <w:rFonts w:ascii="Cambria" w:hAnsi="Cambria"/>
                <w:bCs/>
                <w:sz w:val="22"/>
                <w:szCs w:val="22"/>
                <w:vertAlign w:val="subscript"/>
              </w:rPr>
              <w:t>1</w:t>
            </w:r>
            <w:r w:rsidRPr="00015F80">
              <w:rPr>
                <w:rFonts w:ascii="Cambria" w:hAnsi="Cambria"/>
                <w:bCs/>
                <w:sz w:val="22"/>
                <w:szCs w:val="22"/>
              </w:rPr>
              <w:t xml:space="preserve"> from baseline through Week 24 </w:t>
            </w:r>
            <w:r w:rsidRPr="00015F80">
              <w:rPr>
                <w:rFonts w:ascii="Cambria" w:hAnsi="Cambria"/>
                <w:sz w:val="22"/>
                <w:szCs w:val="22"/>
              </w:rPr>
              <w:t>(percentage points)</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6E8C2B2" w14:textId="40F8C3ED" w:rsidR="00443A55" w:rsidRDefault="00811313" w:rsidP="00F93FE6">
            <w:pPr>
              <w:pStyle w:val="tabletextleftjustified"/>
              <w:spacing w:before="0" w:after="0"/>
              <w:rPr>
                <w:rFonts w:ascii="Cambria" w:hAnsi="Cambria"/>
                <w:sz w:val="22"/>
                <w:szCs w:val="22"/>
              </w:rPr>
            </w:pPr>
            <w:r w:rsidRPr="00015F80">
              <w:rPr>
                <w:rFonts w:ascii="Cambria" w:hAnsi="Cambria"/>
                <w:sz w:val="22"/>
                <w:szCs w:val="22"/>
              </w:rPr>
              <w:t>Treatment difference</w:t>
            </w:r>
            <w:r w:rsidR="00F93FE6">
              <w:rPr>
                <w:rFonts w:ascii="Cambria" w:hAnsi="Cambria"/>
                <w:sz w:val="22"/>
                <w:szCs w:val="22"/>
              </w:rPr>
              <w:t xml:space="preserve"> </w:t>
            </w:r>
            <w:r w:rsidR="00F93FE6" w:rsidRPr="00015F80">
              <w:rPr>
                <w:rFonts w:ascii="Cambria" w:hAnsi="Cambria"/>
                <w:sz w:val="22"/>
                <w:szCs w:val="22"/>
              </w:rPr>
              <w:t>(95% CI)</w:t>
            </w:r>
          </w:p>
          <w:p w14:paraId="25AAF3D8" w14:textId="4F0FCCEE" w:rsidR="00811313" w:rsidRPr="00015F80" w:rsidRDefault="00811313" w:rsidP="00F93FE6">
            <w:pPr>
              <w:pStyle w:val="tabletextleftjustified"/>
              <w:spacing w:before="0" w:after="0"/>
              <w:jc w:val="right"/>
              <w:rPr>
                <w:rFonts w:ascii="Cambria" w:hAnsi="Cambria"/>
                <w:sz w:val="22"/>
                <w:szCs w:val="22"/>
              </w:rPr>
            </w:pPr>
            <w:r w:rsidRPr="00015F80">
              <w:rPr>
                <w:rFonts w:ascii="Cambria" w:hAnsi="Cambria"/>
                <w:sz w:val="22"/>
                <w:szCs w:val="22"/>
              </w:rPr>
              <w:t xml:space="preserve"> </w:t>
            </w:r>
            <w:r w:rsidRPr="00015F80">
              <w:rPr>
                <w:rFonts w:ascii="Cambria" w:hAnsi="Cambria"/>
                <w:i/>
                <w:sz w:val="22"/>
                <w:szCs w:val="22"/>
              </w:rPr>
              <w:t>P</w:t>
            </w:r>
            <w:r w:rsidRPr="00015F80">
              <w:rPr>
                <w:rFonts w:ascii="Cambria" w:hAnsi="Cambria"/>
                <w:sz w:val="22"/>
                <w:szCs w:val="22"/>
              </w:rPr>
              <w:t xml:space="preserve"> value</w:t>
            </w:r>
          </w:p>
          <w:p w14:paraId="2A596456"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6AF9EE"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1D02EC44"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142EA726"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-0.4 (0.5)</w:t>
            </w:r>
          </w:p>
        </w:tc>
        <w:tc>
          <w:tcPr>
            <w:tcW w:w="1199"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14:paraId="5CCF2A5B"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14.3 (12.7, 15.8)</w:t>
            </w:r>
          </w:p>
          <w:p w14:paraId="1298BED3"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08DD6F5C"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13.9 (0.6)</w:t>
            </w:r>
          </w:p>
        </w:tc>
      </w:tr>
      <w:tr w:rsidR="00811313" w:rsidRPr="00015F80" w14:paraId="1CF5DB1B" w14:textId="77777777" w:rsidTr="00DC1F68">
        <w:trPr>
          <w:trHeight w:val="147"/>
          <w:tblHeader/>
        </w:trPr>
        <w:tc>
          <w:tcPr>
            <w:tcW w:w="5000" w:type="pct"/>
            <w:gridSpan w:val="4"/>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tcPr>
          <w:p w14:paraId="249255E4" w14:textId="77777777" w:rsidR="00811313" w:rsidRPr="00015F80" w:rsidRDefault="00811313" w:rsidP="00DC1F68">
            <w:pPr>
              <w:pStyle w:val="tabletextcenterjustified"/>
              <w:spacing w:before="0" w:after="0"/>
              <w:jc w:val="left"/>
              <w:rPr>
                <w:rFonts w:ascii="Cambria" w:hAnsi="Cambria"/>
                <w:b/>
                <w:sz w:val="22"/>
                <w:szCs w:val="22"/>
              </w:rPr>
            </w:pPr>
            <w:r w:rsidRPr="00015F80">
              <w:rPr>
                <w:rFonts w:ascii="Cambria" w:hAnsi="Cambria"/>
                <w:b/>
                <w:sz w:val="22"/>
                <w:szCs w:val="22"/>
              </w:rPr>
              <w:t>Key Secondary</w:t>
            </w:r>
          </w:p>
        </w:tc>
      </w:tr>
      <w:tr w:rsidR="00811313" w:rsidRPr="00015F80" w14:paraId="76F17BE9" w14:textId="77777777" w:rsidTr="00F93FE6">
        <w:trPr>
          <w:trHeight w:val="894"/>
          <w:tblHeader/>
        </w:trPr>
        <w:tc>
          <w:tcPr>
            <w:tcW w:w="130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E35508"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sz w:val="22"/>
                <w:szCs w:val="22"/>
              </w:rPr>
              <w:t>Absolute change in</w:t>
            </w:r>
          </w:p>
          <w:p w14:paraId="1241CC8E" w14:textId="77777777" w:rsidR="00811313" w:rsidRPr="00015F80" w:rsidRDefault="00811313" w:rsidP="00DC1F68">
            <w:pPr>
              <w:pStyle w:val="tabletextleftjustified"/>
              <w:spacing w:before="0" w:after="0"/>
              <w:rPr>
                <w:rFonts w:ascii="Cambria" w:hAnsi="Cambria"/>
                <w:bCs/>
                <w:sz w:val="22"/>
                <w:szCs w:val="22"/>
              </w:rPr>
            </w:pPr>
            <w:r w:rsidRPr="00015F80">
              <w:rPr>
                <w:rFonts w:ascii="Cambria" w:hAnsi="Cambria"/>
                <w:sz w:val="22"/>
                <w:szCs w:val="22"/>
              </w:rPr>
              <w:t>ppFEV</w:t>
            </w:r>
            <w:r w:rsidRPr="00015F80">
              <w:rPr>
                <w:rFonts w:ascii="Cambria" w:hAnsi="Cambria"/>
                <w:sz w:val="22"/>
                <w:szCs w:val="22"/>
                <w:vertAlign w:val="subscript"/>
              </w:rPr>
              <w:t>1</w:t>
            </w:r>
            <w:r w:rsidRPr="00015F80">
              <w:rPr>
                <w:rFonts w:ascii="Cambria" w:hAnsi="Cambria"/>
                <w:sz w:val="22"/>
                <w:szCs w:val="22"/>
              </w:rPr>
              <w:t xml:space="preserve"> from baseline </w:t>
            </w:r>
            <w:r w:rsidRPr="00015F80">
              <w:rPr>
                <w:rFonts w:ascii="Cambria" w:hAnsi="Cambria"/>
                <w:bCs/>
                <w:sz w:val="22"/>
                <w:szCs w:val="22"/>
              </w:rPr>
              <w:t xml:space="preserve">at Week 4 </w:t>
            </w:r>
            <w:r w:rsidRPr="00015F80">
              <w:rPr>
                <w:rFonts w:ascii="Cambria" w:hAnsi="Cambria"/>
                <w:sz w:val="22"/>
                <w:szCs w:val="22"/>
              </w:rPr>
              <w:t>(percentage points)</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151235B"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20C5FD47"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66924E81"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DA9BAC"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7E92C762"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5FF7F9C1"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-0.2 (0.6)</w:t>
            </w:r>
          </w:p>
        </w:tc>
        <w:tc>
          <w:tcPr>
            <w:tcW w:w="11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7354465"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13.7 (12.0, 15.3)</w:t>
            </w:r>
          </w:p>
          <w:p w14:paraId="618DA404"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11DA18AE"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13.5 (0.6)</w:t>
            </w:r>
          </w:p>
        </w:tc>
      </w:tr>
      <w:tr w:rsidR="00811313" w:rsidRPr="00015F80" w14:paraId="7A6F8F5E" w14:textId="77777777" w:rsidTr="00F93FE6">
        <w:trPr>
          <w:tblHeader/>
        </w:trPr>
        <w:tc>
          <w:tcPr>
            <w:tcW w:w="130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2B9C65" w14:textId="77777777" w:rsidR="00811313" w:rsidRPr="00F93FE6" w:rsidRDefault="00811313" w:rsidP="00DC1F68">
            <w:pPr>
              <w:pStyle w:val="tabletextleftjustified"/>
              <w:spacing w:before="0" w:after="0"/>
              <w:rPr>
                <w:rFonts w:ascii="Cambria" w:hAnsi="Cambria"/>
                <w:bCs/>
                <w:sz w:val="22"/>
                <w:szCs w:val="22"/>
              </w:rPr>
            </w:pPr>
            <w:r w:rsidRPr="00F93FE6">
              <w:rPr>
                <w:rFonts w:ascii="Cambria" w:hAnsi="Cambria"/>
                <w:bCs/>
                <w:sz w:val="22"/>
                <w:szCs w:val="22"/>
              </w:rPr>
              <w:t>Number of pulmonary exacerbations from baseline through Week 24</w:t>
            </w:r>
            <w:r w:rsidRPr="00F93FE6">
              <w:rPr>
                <w:rFonts w:ascii="Cambria" w:hAnsi="Cambria"/>
                <w:bCs/>
                <w:sz w:val="22"/>
                <w:szCs w:val="22"/>
                <w:vertAlign w:val="superscript"/>
              </w:rPr>
              <w:t>‡</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1BA72F" w14:textId="77777777" w:rsidR="00811313" w:rsidRPr="00F93FE6" w:rsidRDefault="00811313" w:rsidP="00DC1F68">
            <w:pPr>
              <w:pStyle w:val="tabletextleftjustified"/>
              <w:spacing w:before="0" w:after="0"/>
              <w:jc w:val="right"/>
              <w:rPr>
                <w:rFonts w:ascii="Cambria" w:hAnsi="Cambria"/>
                <w:sz w:val="22"/>
                <w:szCs w:val="22"/>
              </w:rPr>
            </w:pPr>
            <w:r w:rsidRPr="00F93FE6">
              <w:rPr>
                <w:rFonts w:ascii="Cambria" w:hAnsi="Cambria"/>
                <w:sz w:val="22"/>
                <w:szCs w:val="22"/>
              </w:rPr>
              <w:t>Number of events (event rate per year</w:t>
            </w:r>
            <w:r w:rsidRPr="00F93FE6">
              <w:rPr>
                <w:rFonts w:ascii="Cambria" w:hAnsi="Cambria"/>
                <w:sz w:val="22"/>
                <w:szCs w:val="22"/>
                <w:vertAlign w:val="superscript"/>
              </w:rPr>
              <w:t>††</w:t>
            </w:r>
            <w:r w:rsidRPr="00F93FE6">
              <w:rPr>
                <w:rFonts w:ascii="Cambria" w:hAnsi="Cambria"/>
                <w:sz w:val="22"/>
                <w:szCs w:val="22"/>
              </w:rPr>
              <w:t>)</w:t>
            </w:r>
          </w:p>
          <w:p w14:paraId="04E97D69" w14:textId="77777777" w:rsidR="00811313" w:rsidRPr="00F93FE6" w:rsidRDefault="00811313" w:rsidP="00DC1F68">
            <w:pPr>
              <w:pStyle w:val="tabletextleftjustified"/>
              <w:spacing w:before="0" w:after="0"/>
              <w:jc w:val="right"/>
              <w:rPr>
                <w:rFonts w:ascii="Cambria" w:hAnsi="Cambria"/>
                <w:sz w:val="22"/>
                <w:szCs w:val="22"/>
              </w:rPr>
            </w:pPr>
            <w:r w:rsidRPr="00F93FE6">
              <w:rPr>
                <w:rFonts w:ascii="Cambria" w:hAnsi="Cambria"/>
                <w:sz w:val="22"/>
                <w:szCs w:val="22"/>
              </w:rPr>
              <w:t>Rate ratio (95% CI)</w:t>
            </w:r>
          </w:p>
          <w:p w14:paraId="0C7CD5A0" w14:textId="77777777" w:rsidR="00811313" w:rsidRPr="00F93FE6" w:rsidRDefault="00811313" w:rsidP="00DC1F68">
            <w:pPr>
              <w:pStyle w:val="tabletextleftjustified"/>
              <w:spacing w:before="0" w:after="0"/>
              <w:jc w:val="right"/>
              <w:rPr>
                <w:rFonts w:ascii="Cambria" w:hAnsi="Cambria"/>
                <w:sz w:val="22"/>
                <w:szCs w:val="22"/>
              </w:rPr>
            </w:pPr>
            <w:r w:rsidRPr="00F93FE6">
              <w:rPr>
                <w:rFonts w:ascii="Cambria" w:hAnsi="Cambria"/>
                <w:i/>
                <w:sz w:val="22"/>
                <w:szCs w:val="22"/>
              </w:rPr>
              <w:t>P</w:t>
            </w:r>
            <w:r w:rsidRPr="00F93FE6">
              <w:rPr>
                <w:rFonts w:ascii="Cambria" w:hAnsi="Cambria"/>
                <w:sz w:val="22"/>
                <w:szCs w:val="22"/>
              </w:rPr>
              <w:t xml:space="preserve"> value</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1C229C" w14:textId="77777777" w:rsidR="00811313" w:rsidRPr="00F93FE6" w:rsidRDefault="00811313" w:rsidP="00DC1F68">
            <w:pPr>
              <w:pStyle w:val="tabletextcenterjustified"/>
              <w:spacing w:before="0" w:after="0"/>
              <w:rPr>
                <w:rFonts w:ascii="Cambria" w:hAnsi="Cambria"/>
                <w:sz w:val="22"/>
                <w:szCs w:val="22"/>
              </w:rPr>
            </w:pPr>
            <w:r w:rsidRPr="00F93FE6">
              <w:rPr>
                <w:rFonts w:ascii="Cambria" w:hAnsi="Cambria"/>
                <w:sz w:val="22"/>
                <w:szCs w:val="22"/>
              </w:rPr>
              <w:t>113 (0.98)</w:t>
            </w:r>
          </w:p>
          <w:p w14:paraId="4E687916" w14:textId="77777777" w:rsidR="00811313" w:rsidRPr="00F93FE6" w:rsidRDefault="00811313" w:rsidP="00DC1F68">
            <w:pPr>
              <w:pStyle w:val="tabletextcenterjustified"/>
              <w:spacing w:before="0" w:after="0"/>
              <w:rPr>
                <w:rFonts w:ascii="Cambria" w:hAnsi="Cambria"/>
                <w:sz w:val="22"/>
                <w:szCs w:val="22"/>
              </w:rPr>
            </w:pPr>
          </w:p>
          <w:p w14:paraId="18FA2699" w14:textId="77777777" w:rsidR="00811313" w:rsidRPr="00F93FE6" w:rsidRDefault="00811313" w:rsidP="00DC1F68">
            <w:pPr>
              <w:pStyle w:val="tabletextcenterjustified"/>
              <w:spacing w:before="0" w:after="0"/>
              <w:rPr>
                <w:rFonts w:ascii="Cambria" w:hAnsi="Cambria"/>
                <w:sz w:val="22"/>
                <w:szCs w:val="22"/>
              </w:rPr>
            </w:pPr>
            <w:r w:rsidRPr="00F93FE6">
              <w:rPr>
                <w:rFonts w:ascii="Cambria" w:hAnsi="Cambria"/>
                <w:sz w:val="22"/>
                <w:szCs w:val="22"/>
              </w:rPr>
              <w:t>NA</w:t>
            </w:r>
          </w:p>
          <w:p w14:paraId="4FA77ABF" w14:textId="77777777" w:rsidR="00811313" w:rsidRPr="00F93FE6" w:rsidRDefault="00811313" w:rsidP="00DC1F68">
            <w:pPr>
              <w:pStyle w:val="tabletextcenterjustified"/>
              <w:spacing w:before="0" w:after="0"/>
              <w:rPr>
                <w:rFonts w:ascii="Cambria" w:hAnsi="Cambria"/>
                <w:sz w:val="22"/>
                <w:szCs w:val="22"/>
              </w:rPr>
            </w:pPr>
            <w:r w:rsidRPr="00F93FE6">
              <w:rPr>
                <w:rFonts w:ascii="Cambria" w:hAnsi="Cambria"/>
                <w:sz w:val="22"/>
                <w:szCs w:val="22"/>
              </w:rPr>
              <w:t>NA</w:t>
            </w:r>
          </w:p>
        </w:tc>
        <w:tc>
          <w:tcPr>
            <w:tcW w:w="11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71CCFF2" w14:textId="77777777" w:rsidR="00811313" w:rsidRPr="00F93FE6" w:rsidRDefault="00811313" w:rsidP="00DC1F68">
            <w:pPr>
              <w:pStyle w:val="tabletextcenterjustified"/>
              <w:spacing w:before="0" w:after="0"/>
              <w:rPr>
                <w:rFonts w:ascii="Cambria" w:hAnsi="Cambria"/>
                <w:sz w:val="22"/>
                <w:szCs w:val="22"/>
              </w:rPr>
            </w:pPr>
            <w:r w:rsidRPr="00F93FE6">
              <w:rPr>
                <w:rFonts w:ascii="Cambria" w:hAnsi="Cambria"/>
                <w:sz w:val="22"/>
                <w:szCs w:val="22"/>
              </w:rPr>
              <w:t>41 (0.37)</w:t>
            </w:r>
          </w:p>
          <w:p w14:paraId="57625998" w14:textId="77777777" w:rsidR="00811313" w:rsidRPr="00F93FE6" w:rsidRDefault="00811313" w:rsidP="00DC1F68">
            <w:pPr>
              <w:pStyle w:val="tabletextcenterjustified"/>
              <w:spacing w:before="0" w:after="0"/>
              <w:rPr>
                <w:rFonts w:ascii="Cambria" w:hAnsi="Cambria"/>
                <w:sz w:val="22"/>
                <w:szCs w:val="22"/>
              </w:rPr>
            </w:pPr>
          </w:p>
          <w:p w14:paraId="7313FE86" w14:textId="77777777" w:rsidR="00811313" w:rsidRPr="00F93FE6" w:rsidRDefault="00811313" w:rsidP="00DC1F68">
            <w:pPr>
              <w:pStyle w:val="tabletextcenterjustified"/>
              <w:spacing w:before="0" w:after="0"/>
              <w:rPr>
                <w:rFonts w:ascii="Cambria" w:hAnsi="Cambria"/>
                <w:sz w:val="22"/>
                <w:szCs w:val="22"/>
              </w:rPr>
            </w:pPr>
            <w:r w:rsidRPr="00F93FE6">
              <w:rPr>
                <w:rFonts w:ascii="Cambria" w:hAnsi="Cambria"/>
                <w:sz w:val="22"/>
                <w:szCs w:val="22"/>
              </w:rPr>
              <w:t>0.37 (0.25, 0.55)</w:t>
            </w:r>
          </w:p>
          <w:p w14:paraId="61184081" w14:textId="77777777" w:rsidR="00811313" w:rsidRPr="00F93FE6" w:rsidRDefault="00811313" w:rsidP="00DC1F68">
            <w:pPr>
              <w:pStyle w:val="tabletextcenterjustified"/>
              <w:spacing w:before="0" w:after="0"/>
              <w:rPr>
                <w:rFonts w:ascii="Cambria" w:hAnsi="Cambria"/>
                <w:sz w:val="22"/>
                <w:szCs w:val="22"/>
              </w:rPr>
            </w:pPr>
            <w:r w:rsidRPr="00F93FE6">
              <w:rPr>
                <w:rFonts w:ascii="Cambria" w:hAnsi="Cambria"/>
                <w:i/>
                <w:sz w:val="22"/>
                <w:szCs w:val="22"/>
              </w:rPr>
              <w:t>P</w:t>
            </w:r>
            <w:bookmarkStart w:id="38" w:name="_Hlk26908128"/>
            <w:r w:rsidRPr="00F93FE6">
              <w:rPr>
                <w:rFonts w:ascii="Cambria" w:hAnsi="Cambria"/>
                <w:sz w:val="22"/>
                <w:szCs w:val="22"/>
              </w:rPr>
              <w:t>&lt;0.0001</w:t>
            </w:r>
            <w:bookmarkEnd w:id="38"/>
          </w:p>
        </w:tc>
      </w:tr>
      <w:tr w:rsidR="00811313" w:rsidRPr="00015F80" w14:paraId="221D06A6" w14:textId="77777777" w:rsidTr="00F93FE6">
        <w:trPr>
          <w:tblHeader/>
        </w:trPr>
        <w:tc>
          <w:tcPr>
            <w:tcW w:w="13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14:paraId="24DC08AE" w14:textId="77777777" w:rsidR="00811313" w:rsidRPr="00015F80" w:rsidRDefault="00811313" w:rsidP="00DC1F68">
            <w:pPr>
              <w:pStyle w:val="tabletextleftjustified"/>
              <w:spacing w:before="0" w:after="0"/>
              <w:rPr>
                <w:rFonts w:ascii="Cambria" w:hAnsi="Cambria"/>
                <w:bCs/>
                <w:sz w:val="22"/>
                <w:szCs w:val="22"/>
              </w:rPr>
            </w:pPr>
            <w:r w:rsidRPr="00015F80">
              <w:rPr>
                <w:rFonts w:ascii="Cambria" w:hAnsi="Cambria"/>
                <w:bCs/>
                <w:sz w:val="22"/>
                <w:szCs w:val="22"/>
              </w:rPr>
              <w:t>Absolute change in Sweat Chloride from baseline through Week 24 (mmol/L)</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45B4AF"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15315D44"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21D3BC51"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EC3542"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4AC409E8"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5DBCD675"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0.4 (0.9)</w:t>
            </w:r>
          </w:p>
        </w:tc>
        <w:tc>
          <w:tcPr>
            <w:tcW w:w="1199"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14:paraId="307C23CA"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41.8 (</w:t>
            </w:r>
            <w:r w:rsidRPr="00015F80">
              <w:rPr>
                <w:rFonts w:ascii="Cambria" w:hAnsi="Cambria"/>
                <w:sz w:val="22"/>
                <w:szCs w:val="22"/>
              </w:rPr>
              <w:noBreakHyphen/>
              <w:t xml:space="preserve">44.4, </w:t>
            </w:r>
            <w:r w:rsidRPr="00015F80">
              <w:rPr>
                <w:rFonts w:ascii="Cambria" w:hAnsi="Cambria"/>
                <w:sz w:val="22"/>
                <w:szCs w:val="22"/>
              </w:rPr>
              <w:noBreakHyphen/>
              <w:t>39.3)</w:t>
            </w:r>
          </w:p>
          <w:p w14:paraId="2575DBB2"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3579F0F0"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42.2 (0.9)</w:t>
            </w:r>
          </w:p>
        </w:tc>
      </w:tr>
      <w:tr w:rsidR="00811313" w:rsidRPr="00015F80" w14:paraId="7A76A128" w14:textId="77777777" w:rsidTr="00F93FE6">
        <w:trPr>
          <w:tblHeader/>
        </w:trPr>
        <w:tc>
          <w:tcPr>
            <w:tcW w:w="13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14:paraId="4E94D184" w14:textId="77777777" w:rsidR="00811313" w:rsidRPr="00015F80" w:rsidRDefault="00811313" w:rsidP="00DC1F68">
            <w:pPr>
              <w:pStyle w:val="tabletextleftjustified"/>
              <w:spacing w:before="0" w:after="0"/>
              <w:rPr>
                <w:rFonts w:ascii="Cambria" w:hAnsi="Cambria"/>
                <w:bCs/>
                <w:sz w:val="22"/>
                <w:szCs w:val="22"/>
              </w:rPr>
            </w:pPr>
            <w:r w:rsidRPr="00015F80">
              <w:rPr>
                <w:rFonts w:ascii="Cambria" w:hAnsi="Cambria"/>
                <w:bCs/>
                <w:sz w:val="22"/>
                <w:szCs w:val="22"/>
              </w:rPr>
              <w:t>Absolute change in CF Questionnaire-Revised (CFQ-R) respiratory domain score from baseline through Week 24 (points)</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368C2C"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4DAC37F2"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62EB0F16"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AEA677"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3D351D84"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39BA1537"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2.7 (1.0)</w:t>
            </w:r>
          </w:p>
        </w:tc>
        <w:tc>
          <w:tcPr>
            <w:tcW w:w="1199"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14:paraId="32CCA4AA"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20.2 (17.5, 23.0)</w:t>
            </w:r>
          </w:p>
          <w:p w14:paraId="6FD5E4BF"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7BB56F2A"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17.5 (1.0)</w:t>
            </w:r>
          </w:p>
        </w:tc>
      </w:tr>
      <w:tr w:rsidR="00811313" w:rsidRPr="00015F80" w14:paraId="211FC1AB" w14:textId="77777777" w:rsidTr="00F93FE6">
        <w:trPr>
          <w:tblHeader/>
        </w:trPr>
        <w:tc>
          <w:tcPr>
            <w:tcW w:w="130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41161F6"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sz w:val="22"/>
                <w:szCs w:val="22"/>
              </w:rPr>
              <w:t xml:space="preserve">Absolute change in BMI from baseline at Week 24 </w:t>
            </w:r>
            <w:r w:rsidRPr="00015F80">
              <w:rPr>
                <w:rFonts w:ascii="Cambria" w:hAnsi="Cambria"/>
                <w:bCs/>
                <w:sz w:val="22"/>
                <w:szCs w:val="22"/>
              </w:rPr>
              <w:t>(kg/m</w:t>
            </w:r>
            <w:r w:rsidRPr="00015F80">
              <w:rPr>
                <w:rFonts w:ascii="Cambria" w:hAnsi="Cambria"/>
                <w:bCs/>
                <w:sz w:val="22"/>
                <w:szCs w:val="22"/>
                <w:vertAlign w:val="superscript"/>
              </w:rPr>
              <w:t>2</w:t>
            </w:r>
            <w:r w:rsidRPr="00015F80">
              <w:rPr>
                <w:rFonts w:ascii="Cambria" w:hAnsi="Cambria"/>
                <w:bCs/>
                <w:sz w:val="22"/>
                <w:szCs w:val="22"/>
              </w:rPr>
              <w:t>)</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E7D989"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6E9114F7"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i/>
                <w:sz w:val="22"/>
                <w:szCs w:val="22"/>
              </w:rPr>
              <w:t xml:space="preserve">P </w:t>
            </w:r>
            <w:r w:rsidRPr="00015F80">
              <w:rPr>
                <w:rFonts w:ascii="Cambria" w:hAnsi="Cambria"/>
                <w:sz w:val="22"/>
                <w:szCs w:val="22"/>
              </w:rPr>
              <w:t>value</w:t>
            </w:r>
          </w:p>
          <w:p w14:paraId="4EDE2A69"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C0DE087"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7B6B6179"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61875544"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0.09 (0.07)</w:t>
            </w:r>
          </w:p>
        </w:tc>
        <w:tc>
          <w:tcPr>
            <w:tcW w:w="11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FDF0AB7"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1.04 (0.85, 1.23)</w:t>
            </w:r>
          </w:p>
          <w:p w14:paraId="4AAACF5E"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15E22E88" w14:textId="77777777" w:rsidR="00811313" w:rsidRPr="00015F80" w:rsidRDefault="00811313" w:rsidP="00DC1F68">
            <w:pPr>
              <w:pStyle w:val="tabletextcenterjustified"/>
              <w:spacing w:before="0" w:after="0"/>
              <w:rPr>
                <w:rFonts w:ascii="Cambria" w:hAnsi="Cambria"/>
                <w:b/>
                <w:sz w:val="22"/>
                <w:szCs w:val="22"/>
              </w:rPr>
            </w:pPr>
            <w:r w:rsidRPr="00015F80">
              <w:rPr>
                <w:rFonts w:ascii="Cambria" w:hAnsi="Cambria"/>
                <w:sz w:val="22"/>
                <w:szCs w:val="22"/>
              </w:rPr>
              <w:t>1.13 (0.07)</w:t>
            </w:r>
          </w:p>
        </w:tc>
      </w:tr>
      <w:tr w:rsidR="00811313" w:rsidRPr="00015F80" w14:paraId="2722F9FE" w14:textId="77777777" w:rsidTr="00F93FE6">
        <w:trPr>
          <w:tblHeader/>
        </w:trPr>
        <w:tc>
          <w:tcPr>
            <w:tcW w:w="13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14:paraId="5A5581AE"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bCs/>
                <w:sz w:val="22"/>
                <w:szCs w:val="22"/>
              </w:rPr>
              <w:t>Absolute change in Sweat Chloride from baseline at Week 4 (mmol/L)</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D5CD1C5"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0CE83914"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43E264D2"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tcPr>
          <w:p w14:paraId="5F429ABD"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19372552"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739F7A66"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0.1 (1.0)</w:t>
            </w:r>
          </w:p>
        </w:tc>
        <w:tc>
          <w:tcPr>
            <w:tcW w:w="1199" w:type="pct"/>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tcPr>
          <w:p w14:paraId="4827A36D"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41.2 (</w:t>
            </w:r>
            <w:r w:rsidRPr="00015F80">
              <w:rPr>
                <w:rFonts w:ascii="Cambria" w:hAnsi="Cambria"/>
                <w:sz w:val="22"/>
                <w:szCs w:val="22"/>
              </w:rPr>
              <w:noBreakHyphen/>
              <w:t xml:space="preserve">44.0, </w:t>
            </w:r>
            <w:r w:rsidRPr="00015F80">
              <w:rPr>
                <w:rFonts w:ascii="Cambria" w:hAnsi="Cambria"/>
                <w:sz w:val="22"/>
                <w:szCs w:val="22"/>
              </w:rPr>
              <w:noBreakHyphen/>
              <w:t>38.5)</w:t>
            </w:r>
          </w:p>
          <w:p w14:paraId="33B5568E"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4EC643C7"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41.2 (1.0)</w:t>
            </w:r>
          </w:p>
        </w:tc>
      </w:tr>
      <w:tr w:rsidR="00811313" w:rsidRPr="00015F80" w14:paraId="47B39511" w14:textId="77777777" w:rsidTr="00F93FE6">
        <w:trPr>
          <w:tblHeader/>
        </w:trPr>
        <w:tc>
          <w:tcPr>
            <w:tcW w:w="13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14:paraId="03DD50CE"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sz w:val="22"/>
                <w:szCs w:val="22"/>
              </w:rPr>
              <w:t>Absolute change in CFQ-R respiratory domain score</w:t>
            </w:r>
            <w:r w:rsidRPr="00015F80">
              <w:rPr>
                <w:rFonts w:ascii="Cambria" w:hAnsi="Cambria"/>
                <w:bCs/>
                <w:sz w:val="22"/>
                <w:szCs w:val="22"/>
              </w:rPr>
              <w:t xml:space="preserve"> from baseline at</w:t>
            </w:r>
          </w:p>
          <w:p w14:paraId="5C71A5E8"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sz w:val="22"/>
                <w:szCs w:val="22"/>
              </w:rPr>
              <w:t>Week 4 (points)</w:t>
            </w:r>
          </w:p>
        </w:tc>
        <w:tc>
          <w:tcPr>
            <w:tcW w:w="177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F6A288"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26C5E871"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i/>
                <w:sz w:val="22"/>
                <w:szCs w:val="22"/>
              </w:rPr>
              <w:t xml:space="preserve">P </w:t>
            </w:r>
            <w:r w:rsidRPr="00015F80">
              <w:rPr>
                <w:rFonts w:ascii="Cambria" w:hAnsi="Cambria"/>
                <w:sz w:val="22"/>
                <w:szCs w:val="22"/>
              </w:rPr>
              <w:t>value</w:t>
            </w:r>
          </w:p>
          <w:p w14:paraId="1172F0E6" w14:textId="77777777" w:rsidR="00811313" w:rsidRPr="00015F80" w:rsidRDefault="00811313"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725"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019063BA"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1B4E8494"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NA</w:t>
            </w:r>
          </w:p>
          <w:p w14:paraId="2E40E979"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noBreakHyphen/>
              <w:t>1.9 (1.1)</w:t>
            </w:r>
          </w:p>
        </w:tc>
        <w:tc>
          <w:tcPr>
            <w:tcW w:w="1199"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0B49A5C8"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20.1 (16.9, 23.2)</w:t>
            </w:r>
          </w:p>
          <w:p w14:paraId="2369AB2F"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27D8EAC7" w14:textId="77777777" w:rsidR="00811313" w:rsidRPr="00015F80" w:rsidRDefault="00811313" w:rsidP="00DC1F68">
            <w:pPr>
              <w:pStyle w:val="tabletextcenterjustified"/>
              <w:spacing w:before="0" w:after="0"/>
              <w:rPr>
                <w:rFonts w:ascii="Cambria" w:hAnsi="Cambria"/>
                <w:sz w:val="22"/>
                <w:szCs w:val="22"/>
              </w:rPr>
            </w:pPr>
            <w:r w:rsidRPr="00015F80">
              <w:rPr>
                <w:rFonts w:ascii="Cambria" w:hAnsi="Cambria"/>
                <w:sz w:val="22"/>
                <w:szCs w:val="22"/>
              </w:rPr>
              <w:t>18.1 (1.1)</w:t>
            </w:r>
          </w:p>
        </w:tc>
      </w:tr>
      <w:tr w:rsidR="00811313" w:rsidRPr="00015F80" w14:paraId="1A088895" w14:textId="77777777" w:rsidTr="00DC1F68">
        <w:trPr>
          <w:tblHeader/>
        </w:trPr>
        <w:tc>
          <w:tcPr>
            <w:tcW w:w="5000" w:type="pct"/>
            <w:gridSpan w:val="4"/>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4F6A9B48" w14:textId="77777777" w:rsidR="00811313" w:rsidRPr="00015F80" w:rsidRDefault="00811313" w:rsidP="00DC1F68">
            <w:pPr>
              <w:pStyle w:val="tablefootnote"/>
              <w:tabs>
                <w:tab w:val="clear" w:pos="360"/>
                <w:tab w:val="left" w:pos="0"/>
              </w:tabs>
              <w:ind w:left="0" w:firstLine="0"/>
              <w:rPr>
                <w:rFonts w:ascii="Cambria" w:eastAsia="MS Mincho" w:hAnsi="Cambria"/>
                <w:sz w:val="22"/>
                <w:szCs w:val="22"/>
                <w:lang w:eastAsia="ja-JP"/>
              </w:rPr>
            </w:pPr>
            <w:r w:rsidRPr="00015F80">
              <w:rPr>
                <w:rFonts w:ascii="Cambria" w:eastAsia="MS Mincho" w:hAnsi="Cambria"/>
                <w:sz w:val="22"/>
                <w:szCs w:val="22"/>
                <w:lang w:eastAsia="ja-JP"/>
              </w:rPr>
              <w:t>ppFEV</w:t>
            </w:r>
            <w:r w:rsidRPr="00015F80">
              <w:rPr>
                <w:rFonts w:ascii="Cambria" w:eastAsia="MS Mincho" w:hAnsi="Cambria"/>
                <w:sz w:val="22"/>
                <w:szCs w:val="22"/>
                <w:vertAlign w:val="subscript"/>
                <w:lang w:eastAsia="ja-JP"/>
              </w:rPr>
              <w:t>1</w:t>
            </w:r>
            <w:r w:rsidRPr="00015F80">
              <w:rPr>
                <w:rFonts w:ascii="Cambria" w:eastAsia="MS Mincho" w:hAnsi="Cambria"/>
                <w:sz w:val="22"/>
                <w:szCs w:val="22"/>
                <w:lang w:eastAsia="ja-JP"/>
              </w:rPr>
              <w:t>: percent predicted forced expiratory volume in 1 second; CI: confidence interval; SE: Standard Error; NA: not applicable; CFQ</w:t>
            </w:r>
            <w:r w:rsidRPr="00015F80">
              <w:rPr>
                <w:rFonts w:ascii="Cambria" w:eastAsia="MS Mincho" w:hAnsi="Cambria"/>
                <w:sz w:val="22"/>
                <w:szCs w:val="22"/>
                <w:lang w:eastAsia="ja-JP"/>
              </w:rPr>
              <w:noBreakHyphen/>
              <w:t>R: Cystic Fibrosis Questionnaire</w:t>
            </w:r>
            <w:r w:rsidRPr="00015F80">
              <w:rPr>
                <w:rFonts w:ascii="Cambria" w:eastAsia="MS Mincho" w:hAnsi="Cambria"/>
                <w:sz w:val="22"/>
                <w:szCs w:val="22"/>
                <w:lang w:eastAsia="ja-JP"/>
              </w:rPr>
              <w:noBreakHyphen/>
              <w:t>Revised; BMI: body mass index.</w:t>
            </w:r>
          </w:p>
          <w:p w14:paraId="47D4031B"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bCs/>
                <w:sz w:val="22"/>
                <w:szCs w:val="22"/>
              </w:rPr>
              <w:t>‡</w:t>
            </w:r>
            <w:r w:rsidRPr="00015F80">
              <w:rPr>
                <w:rFonts w:ascii="Cambria" w:hAnsi="Cambria"/>
                <w:b/>
                <w:bCs/>
                <w:sz w:val="22"/>
                <w:szCs w:val="22"/>
              </w:rPr>
              <w:t xml:space="preserve"> </w:t>
            </w:r>
            <w:r w:rsidRPr="00015F80">
              <w:rPr>
                <w:rFonts w:ascii="Cambria" w:hAnsi="Cambria"/>
                <w:sz w:val="22"/>
                <w:szCs w:val="22"/>
              </w:rPr>
              <w:t>A pulmonary exacerbation was defined as a change in antibiotic therapy (IV, inhaled, or oral) as a result of 4 or more of 12 pre-specified sino-pulmonary signs/symptoms.</w:t>
            </w:r>
          </w:p>
          <w:p w14:paraId="2B87F681" w14:textId="77777777" w:rsidR="00811313" w:rsidRPr="00015F80" w:rsidRDefault="00811313" w:rsidP="00DC1F68">
            <w:pPr>
              <w:pStyle w:val="tabletextleftjustified"/>
              <w:spacing w:before="0" w:after="0"/>
              <w:rPr>
                <w:rFonts w:ascii="Cambria" w:hAnsi="Cambria"/>
                <w:sz w:val="22"/>
                <w:szCs w:val="22"/>
              </w:rPr>
            </w:pPr>
            <w:r w:rsidRPr="00015F80">
              <w:rPr>
                <w:rFonts w:ascii="Cambria" w:hAnsi="Cambria"/>
                <w:sz w:val="22"/>
                <w:szCs w:val="22"/>
              </w:rPr>
              <w:t>†† Estimated event rate per year was calculated based on 48 weeks per year.</w:t>
            </w:r>
          </w:p>
        </w:tc>
      </w:tr>
    </w:tbl>
    <w:p w14:paraId="7C1B0D69" w14:textId="77777777" w:rsidR="00F62977" w:rsidRDefault="00F62977" w:rsidP="00ED0EE5">
      <w:pPr>
        <w:pStyle w:val="Body"/>
        <w:ind w:firstLine="0"/>
        <w:jc w:val="left"/>
        <w:rPr>
          <w:rFonts w:ascii="Cambria" w:hAnsi="Cambria"/>
          <w:bCs/>
          <w:sz w:val="22"/>
          <w:szCs w:val="22"/>
        </w:rPr>
      </w:pPr>
    </w:p>
    <w:p w14:paraId="2A56C8E8" w14:textId="0CD2520E" w:rsidR="00ED0EE5" w:rsidRDefault="00ED0EE5" w:rsidP="00ED0EE5">
      <w:pPr>
        <w:pStyle w:val="Body"/>
        <w:ind w:firstLine="0"/>
        <w:jc w:val="left"/>
        <w:rPr>
          <w:rFonts w:ascii="Cambria" w:hAnsi="Cambria"/>
          <w:bCs/>
          <w:sz w:val="22"/>
          <w:szCs w:val="22"/>
        </w:rPr>
      </w:pPr>
      <w:r>
        <w:rPr>
          <w:rFonts w:ascii="Cambria" w:hAnsi="Cambria"/>
          <w:bCs/>
          <w:sz w:val="22"/>
          <w:szCs w:val="22"/>
        </w:rPr>
        <w:t>At Week 24 the proportion of patients who remained free from pulmonary exacerbations was significantly higher for patients treated with T</w:t>
      </w:r>
      <w:r w:rsidR="006E4A2B">
        <w:rPr>
          <w:rFonts w:ascii="Cambria" w:hAnsi="Cambria"/>
          <w:bCs/>
          <w:sz w:val="22"/>
          <w:szCs w:val="22"/>
        </w:rPr>
        <w:t>RIKAFTA</w:t>
      </w:r>
      <w:r>
        <w:rPr>
          <w:rFonts w:ascii="Cambria" w:hAnsi="Cambria"/>
          <w:bCs/>
          <w:sz w:val="22"/>
          <w:szCs w:val="22"/>
        </w:rPr>
        <w:t xml:space="preserve"> compared with placebo. The rate ratio of exacerbations through Week 24 in patients treated with T</w:t>
      </w:r>
      <w:r w:rsidR="006E4A2B">
        <w:rPr>
          <w:rFonts w:ascii="Cambria" w:hAnsi="Cambria"/>
          <w:bCs/>
          <w:sz w:val="22"/>
          <w:szCs w:val="22"/>
        </w:rPr>
        <w:t>RIKAFTA</w:t>
      </w:r>
      <w:r>
        <w:rPr>
          <w:rFonts w:ascii="Cambria" w:hAnsi="Cambria"/>
          <w:bCs/>
          <w:sz w:val="22"/>
          <w:szCs w:val="22"/>
        </w:rPr>
        <w:t xml:space="preserve"> was 0.37 (95% CI: 0.25, 0.55; </w:t>
      </w:r>
      <w:r>
        <w:rPr>
          <w:rFonts w:ascii="Cambria" w:hAnsi="Cambria"/>
          <w:bCs/>
          <w:i/>
          <w:sz w:val="22"/>
          <w:szCs w:val="22"/>
        </w:rPr>
        <w:t>P</w:t>
      </w:r>
      <w:r w:rsidRPr="00015F80">
        <w:rPr>
          <w:rFonts w:ascii="Cambria" w:hAnsi="Cambria"/>
          <w:sz w:val="22"/>
          <w:szCs w:val="22"/>
        </w:rPr>
        <w:t>&lt;0.0001</w:t>
      </w:r>
      <w:r>
        <w:rPr>
          <w:rFonts w:ascii="Cambria" w:hAnsi="Cambria"/>
          <w:bCs/>
          <w:sz w:val="22"/>
          <w:szCs w:val="22"/>
        </w:rPr>
        <w:t xml:space="preserve">), representing a reduction relative to placebo of </w:t>
      </w:r>
      <w:r w:rsidR="005046D4">
        <w:rPr>
          <w:rFonts w:ascii="Cambria" w:hAnsi="Cambria"/>
          <w:bCs/>
          <w:sz w:val="22"/>
          <w:szCs w:val="22"/>
        </w:rPr>
        <w:t>6</w:t>
      </w:r>
      <w:r>
        <w:rPr>
          <w:rFonts w:ascii="Cambria" w:hAnsi="Cambria"/>
          <w:bCs/>
          <w:sz w:val="22"/>
          <w:szCs w:val="22"/>
        </w:rPr>
        <w:t>3% (see Figure 1).</w:t>
      </w:r>
    </w:p>
    <w:p w14:paraId="5E6648BE" w14:textId="08135247" w:rsidR="00ED0EE5" w:rsidRDefault="00ED0EE5" w:rsidP="00ED0EE5">
      <w:pPr>
        <w:pStyle w:val="Body"/>
        <w:ind w:firstLine="0"/>
        <w:jc w:val="left"/>
        <w:rPr>
          <w:rFonts w:ascii="Cambria" w:hAnsi="Cambria"/>
          <w:bCs/>
          <w:sz w:val="22"/>
          <w:szCs w:val="22"/>
        </w:rPr>
      </w:pPr>
    </w:p>
    <w:p w14:paraId="68482862" w14:textId="66ACAB68" w:rsidR="00153BFF" w:rsidRDefault="00153BFF" w:rsidP="00ED0EE5">
      <w:pPr>
        <w:pStyle w:val="Body"/>
        <w:ind w:firstLine="0"/>
        <w:jc w:val="left"/>
        <w:rPr>
          <w:rFonts w:ascii="Cambria" w:hAnsi="Cambria"/>
          <w:bCs/>
          <w:sz w:val="22"/>
          <w:szCs w:val="22"/>
        </w:rPr>
      </w:pPr>
      <w:r w:rsidRPr="00EE2192">
        <w:rPr>
          <w:rFonts w:ascii="Cambria" w:hAnsi="Cambria"/>
          <w:b/>
          <w:bCs/>
          <w:sz w:val="22"/>
          <w:szCs w:val="22"/>
        </w:rPr>
        <w:t xml:space="preserve">Figure 1: Pulmonary Exacerbations </w:t>
      </w:r>
      <w:r w:rsidR="00EE2192" w:rsidRPr="00EE2192">
        <w:rPr>
          <w:rFonts w:ascii="Cambria" w:hAnsi="Cambria"/>
          <w:b/>
          <w:bCs/>
          <w:sz w:val="22"/>
          <w:szCs w:val="22"/>
        </w:rPr>
        <w:t xml:space="preserve">at week 24 in Study </w:t>
      </w:r>
      <w:r w:rsidR="00EE2192" w:rsidRPr="00EE2192">
        <w:rPr>
          <w:rFonts w:ascii="Cambria" w:hAnsi="Cambria"/>
          <w:b/>
          <w:sz w:val="22"/>
          <w:szCs w:val="22"/>
        </w:rPr>
        <w:t>445</w:t>
      </w:r>
      <w:r w:rsidR="00EE2192" w:rsidRPr="00EE2192">
        <w:rPr>
          <w:rFonts w:ascii="Cambria" w:hAnsi="Cambria"/>
          <w:b/>
          <w:sz w:val="22"/>
          <w:szCs w:val="22"/>
        </w:rPr>
        <w:noBreakHyphen/>
        <w:t>102</w:t>
      </w:r>
      <w:r w:rsidR="00EE2192" w:rsidRPr="00EE2192">
        <w:rPr>
          <w:rFonts w:ascii="Cambria" w:hAnsi="Cambria"/>
          <w:bCs/>
          <w:sz w:val="22"/>
          <w:szCs w:val="22"/>
        </w:rPr>
        <w:t xml:space="preserve"> </w:t>
      </w:r>
      <w:r w:rsidRPr="00EE2192">
        <w:rPr>
          <w:rFonts w:ascii="Cambria" w:hAnsi="Cambria"/>
          <w:bCs/>
          <w:sz w:val="22"/>
          <w:szCs w:val="22"/>
        </w:rPr>
        <w:t>- Overall</w:t>
      </w:r>
      <w:r w:rsidRPr="00153BFF">
        <w:rPr>
          <w:rFonts w:ascii="Cambria" w:hAnsi="Cambria"/>
          <w:bCs/>
          <w:sz w:val="22"/>
          <w:szCs w:val="22"/>
        </w:rPr>
        <w:t xml:space="preserve"> estimated annualized rate of pulmonary </w:t>
      </w:r>
      <w:r w:rsidRPr="00770849">
        <w:rPr>
          <w:rFonts w:ascii="Cambria" w:hAnsi="Cambria"/>
          <w:bCs/>
          <w:sz w:val="22"/>
          <w:szCs w:val="22"/>
        </w:rPr>
        <w:t>exacerbations</w:t>
      </w:r>
      <w:r w:rsidR="00770849" w:rsidRPr="00770849">
        <w:rPr>
          <w:rFonts w:ascii="Cambria" w:hAnsi="Cambria"/>
          <w:sz w:val="22"/>
          <w:szCs w:val="22"/>
        </w:rPr>
        <w:t xml:space="preserve"> (key secondary endpoint)</w:t>
      </w:r>
      <w:r w:rsidRPr="00770849">
        <w:rPr>
          <w:rFonts w:ascii="Cambria" w:hAnsi="Cambria"/>
          <w:bCs/>
          <w:sz w:val="22"/>
          <w:szCs w:val="22"/>
        </w:rPr>
        <w:t xml:space="preserve">, </w:t>
      </w:r>
      <w:r w:rsidRPr="00153BFF">
        <w:rPr>
          <w:rFonts w:ascii="Cambria" w:hAnsi="Cambria"/>
          <w:bCs/>
          <w:sz w:val="22"/>
          <w:szCs w:val="22"/>
        </w:rPr>
        <w:t>the estimated annualized rate of pulmonary exacerbations leading to hospitalization, and the estimated annualized rate of pulmonary exacerbations treated with intravenous antibiotics.</w:t>
      </w:r>
      <w:r w:rsidRPr="00153BFF">
        <w:rPr>
          <w:rFonts w:ascii="Cambria" w:eastAsia="OTNEJMScalaSansLF" w:hAnsi="Cambria" w:cstheme="minorHAnsi"/>
          <w:sz w:val="22"/>
          <w:szCs w:val="22"/>
        </w:rPr>
        <w:t xml:space="preserve"> CI denotes confidence interval.</w:t>
      </w:r>
    </w:p>
    <w:p w14:paraId="769F15EB" w14:textId="77777777" w:rsidR="00153BFF" w:rsidRDefault="00153BFF" w:rsidP="00ED0EE5">
      <w:pPr>
        <w:pStyle w:val="Body"/>
        <w:ind w:firstLine="0"/>
        <w:jc w:val="left"/>
        <w:rPr>
          <w:rFonts w:ascii="Cambria" w:hAnsi="Cambria"/>
          <w:bCs/>
          <w:sz w:val="22"/>
          <w:szCs w:val="22"/>
        </w:rPr>
      </w:pPr>
    </w:p>
    <w:p w14:paraId="3FD929C6" w14:textId="39FB092B" w:rsidR="00811313" w:rsidRPr="00015F80" w:rsidRDefault="005046D4" w:rsidP="00DE08E0">
      <w:pPr>
        <w:rPr>
          <w:rFonts w:ascii="Cambria" w:hAnsi="Cambria"/>
          <w:szCs w:val="22"/>
        </w:rPr>
      </w:pPr>
      <w:r>
        <w:rPr>
          <w:rFonts w:ascii="Cambria" w:hAnsi="Cambria"/>
          <w:noProof/>
          <w:szCs w:val="22"/>
          <w:lang w:val="en-AU" w:eastAsia="en-AU"/>
        </w:rPr>
        <w:drawing>
          <wp:inline distT="0" distB="0" distL="0" distR="0" wp14:anchorId="3CB52D93" wp14:editId="090A8564">
            <wp:extent cx="5727700" cy="2647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021744-figure_5-v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7700" cy="2647315"/>
                    </a:xfrm>
                    <a:prstGeom prst="rect">
                      <a:avLst/>
                    </a:prstGeom>
                  </pic:spPr>
                </pic:pic>
              </a:graphicData>
            </a:graphic>
          </wp:inline>
        </w:drawing>
      </w:r>
    </w:p>
    <w:p w14:paraId="3A562202" w14:textId="6E9B7B07" w:rsidR="00015F80" w:rsidRPr="00015F80" w:rsidRDefault="00015F80" w:rsidP="00015F80">
      <w:pPr>
        <w:keepNext/>
        <w:tabs>
          <w:tab w:val="clear" w:pos="567"/>
          <w:tab w:val="left" w:pos="3779"/>
        </w:tabs>
        <w:rPr>
          <w:rFonts w:ascii="Cambria" w:hAnsi="Cambria"/>
          <w:b/>
          <w:szCs w:val="22"/>
        </w:rPr>
      </w:pPr>
      <w:r w:rsidRPr="00015F80">
        <w:rPr>
          <w:rFonts w:ascii="Cambria" w:hAnsi="Cambria"/>
          <w:b/>
          <w:szCs w:val="22"/>
        </w:rPr>
        <w:t xml:space="preserve">Figure </w:t>
      </w:r>
      <w:r w:rsidR="005046D4">
        <w:rPr>
          <w:rFonts w:ascii="Cambria" w:hAnsi="Cambria"/>
          <w:b/>
          <w:szCs w:val="22"/>
        </w:rPr>
        <w:t>2</w:t>
      </w:r>
      <w:r w:rsidRPr="00015F80">
        <w:rPr>
          <w:rFonts w:ascii="Cambria" w:hAnsi="Cambria"/>
          <w:b/>
          <w:szCs w:val="22"/>
        </w:rPr>
        <w:t>: Absolute Change from Baseline in Percent Predicted FEV</w:t>
      </w:r>
      <w:r w:rsidRPr="00015F80">
        <w:rPr>
          <w:rFonts w:ascii="Cambria" w:hAnsi="Cambria"/>
          <w:b/>
          <w:szCs w:val="22"/>
          <w:vertAlign w:val="subscript"/>
        </w:rPr>
        <w:t>1</w:t>
      </w:r>
      <w:r w:rsidRPr="00015F80">
        <w:rPr>
          <w:rFonts w:ascii="Cambria" w:hAnsi="Cambria"/>
          <w:b/>
          <w:szCs w:val="22"/>
        </w:rPr>
        <w:t xml:space="preserve"> at Each Visit in Study 445</w:t>
      </w:r>
      <w:r w:rsidRPr="00015F80">
        <w:rPr>
          <w:rFonts w:ascii="Cambria" w:hAnsi="Cambria"/>
          <w:b/>
          <w:szCs w:val="22"/>
        </w:rPr>
        <w:noBreakHyphen/>
        <w:t>102</w:t>
      </w:r>
    </w:p>
    <w:p w14:paraId="15637B66" w14:textId="77777777" w:rsidR="00015F80" w:rsidRPr="00015F80" w:rsidRDefault="00015F80" w:rsidP="00015F80">
      <w:pPr>
        <w:keepNext/>
        <w:tabs>
          <w:tab w:val="clear" w:pos="567"/>
          <w:tab w:val="left" w:pos="3779"/>
        </w:tabs>
        <w:rPr>
          <w:rFonts w:ascii="Cambria" w:hAnsi="Cambria"/>
          <w:b/>
          <w:szCs w:val="22"/>
        </w:rPr>
      </w:pPr>
    </w:p>
    <w:p w14:paraId="2481B546" w14:textId="6FCBD0E1" w:rsidR="00015F80" w:rsidRPr="00015F80" w:rsidRDefault="007B6E53" w:rsidP="00015F80">
      <w:pPr>
        <w:tabs>
          <w:tab w:val="clear" w:pos="567"/>
          <w:tab w:val="left" w:pos="3779"/>
        </w:tabs>
        <w:rPr>
          <w:rFonts w:ascii="Cambria" w:hAnsi="Cambria"/>
          <w:szCs w:val="22"/>
        </w:rPr>
      </w:pPr>
      <w:r>
        <w:rPr>
          <w:rFonts w:ascii="Cambria" w:hAnsi="Cambria"/>
          <w:noProof/>
          <w:szCs w:val="22"/>
          <w:lang w:val="en-AU" w:eastAsia="en-AU"/>
        </w:rPr>
        <w:drawing>
          <wp:inline distT="0" distB="0" distL="0" distR="0" wp14:anchorId="1D14F253" wp14:editId="16F929F8">
            <wp:extent cx="3731260" cy="2371725"/>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1260" cy="2371725"/>
                    </a:xfrm>
                    <a:prstGeom prst="rect">
                      <a:avLst/>
                    </a:prstGeom>
                    <a:noFill/>
                  </pic:spPr>
                </pic:pic>
              </a:graphicData>
            </a:graphic>
          </wp:inline>
        </w:drawing>
      </w:r>
    </w:p>
    <w:p w14:paraId="1F140145" w14:textId="77777777" w:rsidR="00015F80" w:rsidRPr="00015F80" w:rsidRDefault="00015F80" w:rsidP="00015F80">
      <w:pPr>
        <w:tabs>
          <w:tab w:val="clear" w:pos="567"/>
          <w:tab w:val="left" w:pos="3779"/>
        </w:tabs>
        <w:rPr>
          <w:rFonts w:ascii="Cambria" w:hAnsi="Cambria"/>
          <w:szCs w:val="22"/>
        </w:rPr>
      </w:pPr>
    </w:p>
    <w:p w14:paraId="5D816871" w14:textId="76C2ADE1" w:rsidR="00015F80" w:rsidRPr="007C3393" w:rsidRDefault="00015F80" w:rsidP="00015F80">
      <w:pPr>
        <w:tabs>
          <w:tab w:val="clear" w:pos="567"/>
          <w:tab w:val="left" w:pos="3779"/>
        </w:tabs>
        <w:rPr>
          <w:rFonts w:ascii="Cambria" w:hAnsi="Cambria"/>
          <w:b/>
          <w:i/>
          <w:szCs w:val="22"/>
        </w:rPr>
      </w:pPr>
      <w:r w:rsidRPr="00015F80">
        <w:rPr>
          <w:rFonts w:ascii="Cambria" w:hAnsi="Cambria"/>
          <w:b/>
          <w:i/>
          <w:szCs w:val="22"/>
        </w:rPr>
        <w:t>Study 445</w:t>
      </w:r>
      <w:r w:rsidRPr="00015F80">
        <w:rPr>
          <w:rFonts w:ascii="Cambria" w:hAnsi="Cambria"/>
          <w:b/>
          <w:i/>
          <w:szCs w:val="22"/>
        </w:rPr>
        <w:noBreakHyphen/>
        <w:t>103</w:t>
      </w:r>
      <w:r w:rsidR="007C3393">
        <w:rPr>
          <w:rFonts w:ascii="Cambria" w:hAnsi="Cambria"/>
          <w:b/>
          <w:i/>
          <w:szCs w:val="22"/>
        </w:rPr>
        <w:t>: S</w:t>
      </w:r>
      <w:r w:rsidR="007C3393" w:rsidRPr="008C5157">
        <w:rPr>
          <w:rFonts w:ascii="Cambria" w:hAnsi="Cambria"/>
          <w:b/>
          <w:bCs/>
          <w:szCs w:val="22"/>
        </w:rPr>
        <w:t xml:space="preserve">tudy in patients who are homozygous for the </w:t>
      </w:r>
      <w:r w:rsidR="007C3393" w:rsidRPr="008C5157">
        <w:rPr>
          <w:rFonts w:ascii="Cambria" w:hAnsi="Cambria"/>
          <w:b/>
          <w:bCs/>
          <w:i/>
          <w:szCs w:val="22"/>
        </w:rPr>
        <w:t>F508del</w:t>
      </w:r>
      <w:r w:rsidR="007C3393" w:rsidRPr="008C5157">
        <w:rPr>
          <w:rFonts w:ascii="Cambria" w:hAnsi="Cambria"/>
          <w:b/>
          <w:bCs/>
          <w:szCs w:val="22"/>
        </w:rPr>
        <w:t xml:space="preserve"> mutation </w:t>
      </w:r>
      <w:r w:rsidR="00FC3BD9">
        <w:rPr>
          <w:rFonts w:ascii="Cambria" w:hAnsi="Cambria"/>
          <w:b/>
          <w:bCs/>
          <w:szCs w:val="22"/>
        </w:rPr>
        <w:t xml:space="preserve">and </w:t>
      </w:r>
      <w:r w:rsidR="007C3393" w:rsidRPr="008C5157">
        <w:rPr>
          <w:rFonts w:ascii="Cambria" w:hAnsi="Cambria"/>
          <w:b/>
          <w:bCs/>
          <w:szCs w:val="22"/>
        </w:rPr>
        <w:t>randomized to T</w:t>
      </w:r>
      <w:r w:rsidR="006E4A2B">
        <w:rPr>
          <w:rFonts w:ascii="Cambria" w:hAnsi="Cambria"/>
          <w:b/>
          <w:bCs/>
          <w:szCs w:val="22"/>
        </w:rPr>
        <w:t>RIKAFTA</w:t>
      </w:r>
      <w:r w:rsidR="007C3393" w:rsidRPr="008C5157">
        <w:rPr>
          <w:rFonts w:ascii="Cambria" w:hAnsi="Cambria"/>
          <w:b/>
          <w:bCs/>
          <w:szCs w:val="22"/>
        </w:rPr>
        <w:t xml:space="preserve"> or </w:t>
      </w:r>
      <w:r w:rsidR="000316AD">
        <w:rPr>
          <w:rFonts w:ascii="Cambria" w:hAnsi="Cambria"/>
          <w:b/>
          <w:bCs/>
          <w:szCs w:val="22"/>
        </w:rPr>
        <w:t>SYMDEKO</w:t>
      </w:r>
      <w:r w:rsidR="00781415">
        <w:rPr>
          <w:rFonts w:ascii="Cambria" w:hAnsi="Cambria"/>
          <w:b/>
          <w:bCs/>
          <w:szCs w:val="22"/>
        </w:rPr>
        <w:t xml:space="preserve"> tablets</w:t>
      </w:r>
    </w:p>
    <w:p w14:paraId="6AE8C83A" w14:textId="03E11DB7" w:rsidR="00400A55" w:rsidRPr="00BB021D" w:rsidRDefault="00400A55" w:rsidP="00400A55">
      <w:pPr>
        <w:rPr>
          <w:rFonts w:ascii="Cambria" w:hAnsi="Cambria"/>
          <w:bCs/>
          <w:szCs w:val="22"/>
        </w:rPr>
      </w:pPr>
      <w:r w:rsidRPr="00BB021D">
        <w:rPr>
          <w:rFonts w:ascii="Cambria" w:hAnsi="Cambria"/>
          <w:bCs/>
          <w:szCs w:val="22"/>
        </w:rPr>
        <w:t>Study 445</w:t>
      </w:r>
      <w:r w:rsidRPr="00BB021D">
        <w:rPr>
          <w:rFonts w:ascii="Cambria" w:hAnsi="Cambria"/>
          <w:bCs/>
          <w:szCs w:val="22"/>
        </w:rPr>
        <w:noBreakHyphen/>
        <w:t xml:space="preserve">103 was a 4-week, randomized, double-blind, active-controlled study in patients who are homozygous for the </w:t>
      </w:r>
      <w:r w:rsidRPr="00BB021D">
        <w:rPr>
          <w:rFonts w:ascii="Cambria" w:hAnsi="Cambria"/>
          <w:bCs/>
          <w:i/>
          <w:szCs w:val="22"/>
        </w:rPr>
        <w:t>F508del</w:t>
      </w:r>
      <w:r w:rsidRPr="00BB021D">
        <w:rPr>
          <w:rFonts w:ascii="Cambria" w:hAnsi="Cambria"/>
          <w:bCs/>
          <w:szCs w:val="22"/>
        </w:rPr>
        <w:t xml:space="preserve"> mutation. A total of 107 patients aged 12 years and older (mean age 28.4 years) received</w:t>
      </w:r>
      <w:r w:rsidR="000769CF">
        <w:rPr>
          <w:rFonts w:ascii="Cambria" w:hAnsi="Cambria"/>
          <w:bCs/>
          <w:szCs w:val="22"/>
        </w:rPr>
        <w:t xml:space="preserve"> SYMDEKO</w:t>
      </w:r>
      <w:r w:rsidRPr="00BB021D">
        <w:rPr>
          <w:rFonts w:ascii="Cambria" w:hAnsi="Cambria"/>
          <w:bCs/>
          <w:szCs w:val="22"/>
        </w:rPr>
        <w:t xml:space="preserve"> </w:t>
      </w:r>
      <w:r w:rsidR="000769CF">
        <w:rPr>
          <w:rFonts w:ascii="Cambria" w:hAnsi="Cambria"/>
          <w:bCs/>
          <w:szCs w:val="22"/>
        </w:rPr>
        <w:t>(</w:t>
      </w:r>
      <w:r w:rsidRPr="00BB021D">
        <w:rPr>
          <w:rFonts w:ascii="Cambria" w:hAnsi="Cambria"/>
          <w:bCs/>
          <w:szCs w:val="22"/>
        </w:rPr>
        <w:t>tezacaftor/ivacaftor and ivacaftor regimen</w:t>
      </w:r>
      <w:r w:rsidR="000769CF">
        <w:rPr>
          <w:rFonts w:ascii="Cambria" w:hAnsi="Cambria"/>
          <w:bCs/>
          <w:szCs w:val="22"/>
        </w:rPr>
        <w:t>)</w:t>
      </w:r>
      <w:r w:rsidRPr="00BB021D">
        <w:rPr>
          <w:rFonts w:ascii="Cambria" w:hAnsi="Cambria"/>
          <w:bCs/>
          <w:szCs w:val="22"/>
        </w:rPr>
        <w:t xml:space="preserve"> during a 4-week open-label run-in period and were then randomized and dosed to receive T</w:t>
      </w:r>
      <w:r w:rsidR="006E4A2B">
        <w:rPr>
          <w:rFonts w:ascii="Cambria" w:hAnsi="Cambria"/>
          <w:bCs/>
          <w:szCs w:val="22"/>
        </w:rPr>
        <w:t>RIKAFTA</w:t>
      </w:r>
      <w:r w:rsidRPr="00BB021D">
        <w:rPr>
          <w:rFonts w:ascii="Cambria" w:hAnsi="Cambria"/>
          <w:bCs/>
          <w:szCs w:val="22"/>
        </w:rPr>
        <w:t xml:space="preserve"> or </w:t>
      </w:r>
      <w:r w:rsidR="000316AD">
        <w:rPr>
          <w:rFonts w:ascii="Cambria" w:hAnsi="Cambria"/>
          <w:bCs/>
          <w:szCs w:val="22"/>
        </w:rPr>
        <w:t>SYMDEKO</w:t>
      </w:r>
      <w:r w:rsidRPr="00BB021D">
        <w:rPr>
          <w:rFonts w:ascii="Cambria" w:hAnsi="Cambria"/>
          <w:bCs/>
          <w:szCs w:val="22"/>
        </w:rPr>
        <w:t xml:space="preserve"> during a 4-week double-blind treatment period. Patients had a ppFEV</w:t>
      </w:r>
      <w:r w:rsidRPr="00BB021D">
        <w:rPr>
          <w:rFonts w:ascii="Cambria" w:hAnsi="Cambria"/>
          <w:bCs/>
          <w:szCs w:val="22"/>
          <w:vertAlign w:val="subscript"/>
        </w:rPr>
        <w:t>1</w:t>
      </w:r>
      <w:r w:rsidRPr="00BB021D">
        <w:rPr>
          <w:rFonts w:ascii="Cambria" w:hAnsi="Cambria"/>
          <w:bCs/>
          <w:szCs w:val="22"/>
        </w:rPr>
        <w:t xml:space="preserve"> at screening between 40-90%. The mean ppFEV</w:t>
      </w:r>
      <w:r w:rsidRPr="00BB021D">
        <w:rPr>
          <w:rFonts w:ascii="Cambria" w:hAnsi="Cambria"/>
          <w:bCs/>
          <w:szCs w:val="22"/>
          <w:vertAlign w:val="subscript"/>
        </w:rPr>
        <w:t>1</w:t>
      </w:r>
      <w:r w:rsidRPr="00BB021D">
        <w:rPr>
          <w:rFonts w:ascii="Cambria" w:hAnsi="Cambria"/>
          <w:bCs/>
          <w:szCs w:val="22"/>
        </w:rPr>
        <w:t xml:space="preserve"> at baseline, following the </w:t>
      </w:r>
      <w:r w:rsidR="000316AD">
        <w:rPr>
          <w:rFonts w:ascii="Cambria" w:hAnsi="Cambria"/>
          <w:bCs/>
          <w:szCs w:val="22"/>
        </w:rPr>
        <w:t>SYMDEKO</w:t>
      </w:r>
      <w:r w:rsidRPr="00BB021D">
        <w:rPr>
          <w:rFonts w:ascii="Cambria" w:hAnsi="Cambria"/>
          <w:bCs/>
          <w:szCs w:val="22"/>
        </w:rPr>
        <w:t xml:space="preserve"> run-in period was 60.9% (range: 35.0%, 89.0%).</w:t>
      </w:r>
    </w:p>
    <w:p w14:paraId="0BCE4DC1" w14:textId="77777777" w:rsidR="00400A55" w:rsidRDefault="00400A55" w:rsidP="00015F80">
      <w:pPr>
        <w:rPr>
          <w:rFonts w:ascii="Cambria" w:hAnsi="Cambria"/>
        </w:rPr>
      </w:pPr>
    </w:p>
    <w:p w14:paraId="48908F9E" w14:textId="6E3D982B" w:rsidR="00015F80" w:rsidRPr="00015F80" w:rsidRDefault="00015F80" w:rsidP="00015F80">
      <w:pPr>
        <w:rPr>
          <w:rFonts w:ascii="Cambria" w:hAnsi="Cambria"/>
        </w:rPr>
      </w:pPr>
      <w:r w:rsidRPr="00015F80">
        <w:rPr>
          <w:rFonts w:ascii="Cambria" w:hAnsi="Cambria"/>
        </w:rPr>
        <w:t>In Study 445</w:t>
      </w:r>
      <w:r w:rsidRPr="00015F80">
        <w:rPr>
          <w:rFonts w:ascii="Cambria" w:hAnsi="Cambria"/>
        </w:rPr>
        <w:noBreakHyphen/>
        <w:t>103 the primary endpoint was mean absolute change in ppFEV</w:t>
      </w:r>
      <w:r w:rsidRPr="00015F80">
        <w:rPr>
          <w:rFonts w:ascii="Cambria" w:hAnsi="Cambria"/>
          <w:vertAlign w:val="subscript"/>
        </w:rPr>
        <w:t>1</w:t>
      </w:r>
      <w:r w:rsidRPr="00015F80">
        <w:rPr>
          <w:rFonts w:ascii="Cambria" w:hAnsi="Cambria"/>
        </w:rPr>
        <w:t xml:space="preserve"> from baseline at Week 4 of the double-blind treatment period. Treatment with T</w:t>
      </w:r>
      <w:r w:rsidR="006E4A2B">
        <w:rPr>
          <w:rFonts w:ascii="Cambria" w:hAnsi="Cambria"/>
        </w:rPr>
        <w:t>RIKAFTA</w:t>
      </w:r>
      <w:r w:rsidRPr="00015F80">
        <w:rPr>
          <w:rFonts w:ascii="Cambria" w:hAnsi="Cambria"/>
        </w:rPr>
        <w:t xml:space="preserve"> compared to the </w:t>
      </w:r>
      <w:r w:rsidR="000769CF">
        <w:rPr>
          <w:rFonts w:ascii="Cambria" w:hAnsi="Cambria"/>
        </w:rPr>
        <w:t>SYMDEKO</w:t>
      </w:r>
      <w:r w:rsidR="003037BB">
        <w:rPr>
          <w:rFonts w:ascii="Cambria" w:hAnsi="Cambria"/>
        </w:rPr>
        <w:t xml:space="preserve"> </w:t>
      </w:r>
      <w:r w:rsidRPr="00015F80">
        <w:rPr>
          <w:rFonts w:ascii="Cambria" w:hAnsi="Cambria"/>
        </w:rPr>
        <w:t>resulted in a statistically significant improvement in ppFEV</w:t>
      </w:r>
      <w:r w:rsidRPr="00015F80">
        <w:rPr>
          <w:rFonts w:ascii="Cambria" w:hAnsi="Cambria"/>
          <w:vertAlign w:val="subscript"/>
        </w:rPr>
        <w:t>1</w:t>
      </w:r>
      <w:r w:rsidRPr="00015F80">
        <w:rPr>
          <w:rFonts w:ascii="Cambria" w:hAnsi="Cambria"/>
        </w:rPr>
        <w:t xml:space="preserve"> of 10.0 percentage points (95% CI: 7.4, 12.6; </w:t>
      </w:r>
      <w:r w:rsidRPr="00015F80">
        <w:rPr>
          <w:rFonts w:ascii="Cambria" w:hAnsi="Cambria"/>
          <w:i/>
        </w:rPr>
        <w:t>P</w:t>
      </w:r>
      <w:r w:rsidRPr="00015F80">
        <w:rPr>
          <w:rFonts w:ascii="Cambria" w:hAnsi="Cambria"/>
        </w:rPr>
        <w:t xml:space="preserve">&lt;0.0001) (Table </w:t>
      </w:r>
      <w:r w:rsidR="000B443B">
        <w:rPr>
          <w:rFonts w:ascii="Cambria" w:hAnsi="Cambria"/>
        </w:rPr>
        <w:t>8</w:t>
      </w:r>
      <w:r w:rsidRPr="00015F80">
        <w:rPr>
          <w:rFonts w:ascii="Cambria" w:hAnsi="Cambria"/>
        </w:rPr>
        <w:t>). Improvements in ppFEV</w:t>
      </w:r>
      <w:r w:rsidRPr="00015F80">
        <w:rPr>
          <w:rFonts w:ascii="Cambria" w:hAnsi="Cambria"/>
          <w:vertAlign w:val="subscript"/>
        </w:rPr>
        <w:t>1</w:t>
      </w:r>
      <w:r w:rsidRPr="00015F80">
        <w:rPr>
          <w:rFonts w:ascii="Cambria" w:hAnsi="Cambria"/>
        </w:rPr>
        <w:t xml:space="preserve"> were observed regardless of age, sex, baseline ppFEV</w:t>
      </w:r>
      <w:r w:rsidRPr="00015F80">
        <w:rPr>
          <w:rFonts w:ascii="Cambria" w:hAnsi="Cambria"/>
          <w:vertAlign w:val="subscript"/>
        </w:rPr>
        <w:t>1</w:t>
      </w:r>
      <w:r w:rsidRPr="00015F80">
        <w:rPr>
          <w:rFonts w:ascii="Cambria" w:hAnsi="Cambria"/>
        </w:rPr>
        <w:t>, and geographic region. See Table</w:t>
      </w:r>
      <w:r w:rsidR="008C06A8">
        <w:rPr>
          <w:rFonts w:ascii="Cambria" w:hAnsi="Cambria"/>
        </w:rPr>
        <w:t> </w:t>
      </w:r>
      <w:r w:rsidR="00772EFA">
        <w:rPr>
          <w:rFonts w:ascii="Cambria" w:hAnsi="Cambria"/>
        </w:rPr>
        <w:t>8</w:t>
      </w:r>
      <w:r w:rsidRPr="00015F80">
        <w:rPr>
          <w:rFonts w:ascii="Cambria" w:hAnsi="Cambria"/>
        </w:rPr>
        <w:t xml:space="preserve"> for a summary of primary and key secondary outcomes.</w:t>
      </w:r>
    </w:p>
    <w:p w14:paraId="6CE26EB2" w14:textId="77777777" w:rsidR="00015F80" w:rsidRPr="00015F80" w:rsidRDefault="00015F80" w:rsidP="00015F80">
      <w:pPr>
        <w:rPr>
          <w:rFonts w:ascii="Cambria" w:hAnsi="Cambria"/>
          <w:szCs w:val="22"/>
        </w:rPr>
      </w:pPr>
    </w:p>
    <w:tbl>
      <w:tblPr>
        <w:tblW w:w="4868" w:type="pct"/>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2509"/>
        <w:gridCol w:w="28"/>
        <w:gridCol w:w="2826"/>
        <w:gridCol w:w="1605"/>
        <w:gridCol w:w="1804"/>
      </w:tblGrid>
      <w:tr w:rsidR="00015F80" w:rsidRPr="00015F80" w14:paraId="160CDC9C" w14:textId="77777777" w:rsidTr="00DC1F68">
        <w:trPr>
          <w:tblHeader/>
        </w:trPr>
        <w:tc>
          <w:tcPr>
            <w:tcW w:w="5000" w:type="pct"/>
            <w:gridSpan w:val="5"/>
            <w:tcBorders>
              <w:top w:val="single" w:sz="4" w:space="0" w:color="auto"/>
              <w:left w:val="single" w:sz="4" w:space="0" w:color="auto"/>
              <w:bottom w:val="single" w:sz="6" w:space="0" w:color="auto"/>
              <w:right w:val="single" w:sz="4" w:space="0" w:color="auto"/>
            </w:tcBorders>
            <w:vAlign w:val="center"/>
            <w:hideMark/>
          </w:tcPr>
          <w:p w14:paraId="45BD9BC0" w14:textId="3C6A367A" w:rsidR="00015F80" w:rsidRPr="00015F80" w:rsidRDefault="00015F80" w:rsidP="00DC1F68">
            <w:pPr>
              <w:pStyle w:val="Caption"/>
              <w:keepNext w:val="0"/>
              <w:keepLines/>
              <w:spacing w:before="0" w:after="0"/>
              <w:ind w:left="0" w:firstLine="0"/>
              <w:rPr>
                <w:rFonts w:ascii="Cambria" w:hAnsi="Cambria"/>
                <w:sz w:val="22"/>
                <w:szCs w:val="22"/>
              </w:rPr>
            </w:pPr>
            <w:bookmarkStart w:id="39" w:name="_Ref376514730"/>
            <w:bookmarkStart w:id="40" w:name="_Toc474740461"/>
            <w:r w:rsidRPr="00015F80">
              <w:rPr>
                <w:rFonts w:ascii="Cambria" w:hAnsi="Cambria"/>
                <w:sz w:val="22"/>
                <w:szCs w:val="22"/>
              </w:rPr>
              <w:t>Table </w:t>
            </w:r>
            <w:bookmarkEnd w:id="39"/>
            <w:r w:rsidR="00772EFA">
              <w:rPr>
                <w:rFonts w:ascii="Cambria" w:hAnsi="Cambria"/>
                <w:sz w:val="22"/>
                <w:szCs w:val="22"/>
              </w:rPr>
              <w:t>8</w:t>
            </w:r>
            <w:r w:rsidRPr="00015F80">
              <w:rPr>
                <w:rFonts w:ascii="Cambria" w:hAnsi="Cambria"/>
                <w:sz w:val="22"/>
                <w:szCs w:val="22"/>
              </w:rPr>
              <w:t>: Primary and Key Secondary Efficacy Analyses, Full Analysis Set</w:t>
            </w:r>
            <w:bookmarkEnd w:id="40"/>
            <w:r w:rsidRPr="00015F80">
              <w:rPr>
                <w:rFonts w:ascii="Cambria" w:hAnsi="Cambria"/>
                <w:sz w:val="22"/>
                <w:szCs w:val="22"/>
              </w:rPr>
              <w:t xml:space="preserve"> (Study 445</w:t>
            </w:r>
            <w:r w:rsidRPr="00015F80">
              <w:rPr>
                <w:rFonts w:ascii="Cambria" w:hAnsi="Cambria"/>
                <w:sz w:val="22"/>
                <w:szCs w:val="22"/>
              </w:rPr>
              <w:noBreakHyphen/>
              <w:t>103)</w:t>
            </w:r>
          </w:p>
        </w:tc>
      </w:tr>
      <w:tr w:rsidR="00015F80" w:rsidRPr="00015F80" w14:paraId="45E0B38B" w14:textId="77777777" w:rsidTr="00187618">
        <w:trPr>
          <w:tblHeader/>
        </w:trPr>
        <w:tc>
          <w:tcPr>
            <w:tcW w:w="1430"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14:paraId="06780792" w14:textId="77777777" w:rsidR="00015F80" w:rsidRPr="00015F80" w:rsidRDefault="00015F80" w:rsidP="00DC1F68">
            <w:pPr>
              <w:pStyle w:val="tabletextleftjustified"/>
              <w:keepLines/>
              <w:spacing w:before="0" w:after="0"/>
              <w:jc w:val="center"/>
              <w:rPr>
                <w:rFonts w:ascii="Cambria" w:hAnsi="Cambria"/>
                <w:b/>
                <w:sz w:val="22"/>
                <w:szCs w:val="22"/>
              </w:rPr>
            </w:pPr>
            <w:r w:rsidRPr="00015F80">
              <w:rPr>
                <w:rFonts w:ascii="Cambria" w:hAnsi="Cambria"/>
                <w:b/>
                <w:sz w:val="22"/>
                <w:szCs w:val="22"/>
              </w:rPr>
              <w:t>Analysis*</w:t>
            </w:r>
          </w:p>
        </w:tc>
        <w:tc>
          <w:tcPr>
            <w:tcW w:w="1627"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5C716AC" w14:textId="77777777" w:rsidR="00015F80" w:rsidRPr="00015F80" w:rsidRDefault="00015F80" w:rsidP="00DC1F68">
            <w:pPr>
              <w:pStyle w:val="tabletextleftjustified"/>
              <w:keepLines/>
              <w:spacing w:before="0" w:after="0"/>
              <w:jc w:val="center"/>
              <w:rPr>
                <w:rFonts w:ascii="Cambria" w:hAnsi="Cambria"/>
                <w:b/>
                <w:sz w:val="22"/>
                <w:szCs w:val="22"/>
              </w:rPr>
            </w:pPr>
            <w:r w:rsidRPr="00015F80">
              <w:rPr>
                <w:rFonts w:ascii="Cambria" w:hAnsi="Cambria"/>
                <w:b/>
                <w:sz w:val="22"/>
                <w:szCs w:val="22"/>
              </w:rPr>
              <w:t>Statistic</w:t>
            </w:r>
          </w:p>
        </w:tc>
        <w:tc>
          <w:tcPr>
            <w:tcW w:w="91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1BDABE4" w14:textId="6CD22EBD" w:rsidR="00015F80" w:rsidRPr="00015F80" w:rsidRDefault="003037BB" w:rsidP="00DC1F68">
            <w:pPr>
              <w:pStyle w:val="tabletextcenterjustified"/>
              <w:keepLines/>
              <w:spacing w:before="0" w:after="0"/>
              <w:rPr>
                <w:rFonts w:ascii="Cambria" w:hAnsi="Cambria"/>
                <w:b/>
                <w:sz w:val="22"/>
                <w:szCs w:val="22"/>
                <w:vertAlign w:val="superscript"/>
              </w:rPr>
            </w:pPr>
            <w:r>
              <w:rPr>
                <w:rFonts w:ascii="Cambria" w:hAnsi="Cambria"/>
                <w:b/>
                <w:bCs/>
                <w:sz w:val="22"/>
                <w:szCs w:val="22"/>
              </w:rPr>
              <w:t>SYMDEKO</w:t>
            </w:r>
          </w:p>
          <w:p w14:paraId="6477F06A" w14:textId="77777777" w:rsidR="00015F80" w:rsidRPr="00015F80" w:rsidRDefault="00015F80" w:rsidP="00DC1F68">
            <w:pPr>
              <w:pStyle w:val="tabletextcenterjustified"/>
              <w:keepLines/>
              <w:spacing w:before="0" w:after="0"/>
              <w:rPr>
                <w:rFonts w:ascii="Cambria" w:hAnsi="Cambria"/>
                <w:b/>
                <w:sz w:val="22"/>
                <w:szCs w:val="22"/>
              </w:rPr>
            </w:pPr>
            <w:r w:rsidRPr="00015F80">
              <w:rPr>
                <w:rFonts w:ascii="Cambria" w:hAnsi="Cambria"/>
                <w:b/>
                <w:sz w:val="22"/>
                <w:szCs w:val="22"/>
              </w:rPr>
              <w:t>N=52</w:t>
            </w:r>
          </w:p>
        </w:tc>
        <w:tc>
          <w:tcPr>
            <w:tcW w:w="1028"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hideMark/>
          </w:tcPr>
          <w:p w14:paraId="684F0141" w14:textId="34553D3C" w:rsidR="00015F80" w:rsidRPr="00015F80" w:rsidRDefault="00015F80" w:rsidP="00DC1F68">
            <w:pPr>
              <w:pStyle w:val="tabletextcenterjustified"/>
              <w:keepLines/>
              <w:spacing w:before="0" w:after="0"/>
              <w:rPr>
                <w:rFonts w:ascii="Cambria" w:hAnsi="Cambria"/>
                <w:b/>
                <w:sz w:val="22"/>
                <w:szCs w:val="22"/>
              </w:rPr>
            </w:pPr>
            <w:r w:rsidRPr="00015F80">
              <w:rPr>
                <w:rFonts w:ascii="Cambria" w:hAnsi="Cambria"/>
                <w:b/>
                <w:sz w:val="22"/>
                <w:szCs w:val="22"/>
              </w:rPr>
              <w:t>T</w:t>
            </w:r>
            <w:r w:rsidR="006E4A2B">
              <w:rPr>
                <w:rFonts w:ascii="Cambria" w:hAnsi="Cambria"/>
                <w:b/>
                <w:sz w:val="22"/>
                <w:szCs w:val="22"/>
              </w:rPr>
              <w:t>RIKAFTA</w:t>
            </w:r>
          </w:p>
          <w:p w14:paraId="39EFF6ED" w14:textId="77777777" w:rsidR="00015F80" w:rsidRPr="00015F80" w:rsidRDefault="00015F80" w:rsidP="00DC1F68">
            <w:pPr>
              <w:pStyle w:val="tabletextcenterjustified"/>
              <w:keepLines/>
              <w:spacing w:before="0" w:after="0"/>
              <w:rPr>
                <w:rFonts w:ascii="Cambria" w:hAnsi="Cambria"/>
                <w:b/>
                <w:sz w:val="22"/>
                <w:szCs w:val="22"/>
              </w:rPr>
            </w:pPr>
            <w:r w:rsidRPr="00015F80">
              <w:rPr>
                <w:rFonts w:ascii="Cambria" w:hAnsi="Cambria"/>
                <w:b/>
                <w:sz w:val="22"/>
                <w:szCs w:val="22"/>
              </w:rPr>
              <w:t>N=55</w:t>
            </w:r>
          </w:p>
        </w:tc>
      </w:tr>
      <w:tr w:rsidR="00015F80" w:rsidRPr="00015F80" w14:paraId="4749F88F" w14:textId="77777777" w:rsidTr="00DC1F68">
        <w:trPr>
          <w:tblHeader/>
        </w:trPr>
        <w:tc>
          <w:tcPr>
            <w:tcW w:w="5000" w:type="pct"/>
            <w:gridSpan w:val="5"/>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5854C658" w14:textId="77777777" w:rsidR="00015F80" w:rsidRPr="00015F80" w:rsidRDefault="00015F80" w:rsidP="00DC1F68">
            <w:pPr>
              <w:pStyle w:val="tabletextcenterjustified"/>
              <w:spacing w:before="0" w:after="0"/>
              <w:jc w:val="left"/>
              <w:rPr>
                <w:rFonts w:ascii="Cambria" w:hAnsi="Cambria"/>
                <w:b/>
                <w:sz w:val="22"/>
                <w:szCs w:val="22"/>
              </w:rPr>
            </w:pPr>
            <w:r w:rsidRPr="00015F80">
              <w:rPr>
                <w:rFonts w:ascii="Cambria" w:hAnsi="Cambria"/>
                <w:b/>
                <w:sz w:val="22"/>
                <w:szCs w:val="22"/>
              </w:rPr>
              <w:t>Primary</w:t>
            </w:r>
          </w:p>
        </w:tc>
      </w:tr>
      <w:tr w:rsidR="00015F80" w:rsidRPr="00015F80" w14:paraId="2C05A43E" w14:textId="77777777" w:rsidTr="00187618">
        <w:trPr>
          <w:tblHeader/>
        </w:trPr>
        <w:tc>
          <w:tcPr>
            <w:tcW w:w="1430"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14:paraId="7BD15093" w14:textId="6C7B5458" w:rsidR="00015F80" w:rsidRPr="00015F80" w:rsidRDefault="00015F80" w:rsidP="00DC1F68">
            <w:pPr>
              <w:pStyle w:val="tabletextleftjustified"/>
              <w:spacing w:before="0" w:after="0"/>
              <w:rPr>
                <w:rFonts w:ascii="Cambria" w:hAnsi="Cambria"/>
                <w:sz w:val="22"/>
                <w:szCs w:val="22"/>
              </w:rPr>
            </w:pPr>
            <w:r w:rsidRPr="00015F80">
              <w:rPr>
                <w:rFonts w:ascii="Cambria" w:hAnsi="Cambria"/>
                <w:bCs/>
                <w:sz w:val="22"/>
                <w:szCs w:val="22"/>
              </w:rPr>
              <w:t>Average absolute change in ppFEV</w:t>
            </w:r>
            <w:r w:rsidRPr="00015F80">
              <w:rPr>
                <w:rFonts w:ascii="Cambria" w:hAnsi="Cambria"/>
                <w:bCs/>
                <w:sz w:val="22"/>
                <w:szCs w:val="22"/>
                <w:vertAlign w:val="subscript"/>
              </w:rPr>
              <w:t>1</w:t>
            </w:r>
            <w:r w:rsidRPr="00015F80">
              <w:rPr>
                <w:rFonts w:ascii="Cambria" w:hAnsi="Cambria"/>
                <w:bCs/>
                <w:sz w:val="22"/>
                <w:szCs w:val="22"/>
              </w:rPr>
              <w:t xml:space="preserve"> from baseline at Week 4 (percentage points)</w:t>
            </w:r>
          </w:p>
        </w:tc>
        <w:tc>
          <w:tcPr>
            <w:tcW w:w="1627"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0D144F"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18D0ECC0"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22173142"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91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C96A98"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NA</w:t>
            </w:r>
          </w:p>
          <w:p w14:paraId="400B3D35"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NA</w:t>
            </w:r>
          </w:p>
          <w:p w14:paraId="0A37FAFD"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0.4 (0.9)</w:t>
            </w:r>
          </w:p>
        </w:tc>
        <w:tc>
          <w:tcPr>
            <w:tcW w:w="1028"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14:paraId="20A4827F"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10.0 (7.4, 12.6)</w:t>
            </w:r>
          </w:p>
          <w:p w14:paraId="622EF9A8"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3F2C92B9"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10.4 (0.9)</w:t>
            </w:r>
          </w:p>
        </w:tc>
      </w:tr>
      <w:tr w:rsidR="00015F80" w:rsidRPr="00015F80" w14:paraId="4D8A6CCD" w14:textId="77777777" w:rsidTr="00DC1F68">
        <w:trPr>
          <w:trHeight w:val="111"/>
          <w:tblHeader/>
        </w:trPr>
        <w:tc>
          <w:tcPr>
            <w:tcW w:w="5000" w:type="pct"/>
            <w:gridSpan w:val="5"/>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6F7A9A9D" w14:textId="77777777" w:rsidR="00015F80" w:rsidRPr="00015F80" w:rsidRDefault="00015F80" w:rsidP="00DC1F68">
            <w:pPr>
              <w:pStyle w:val="tabletextcenterjustified"/>
              <w:spacing w:before="0" w:after="0"/>
              <w:jc w:val="left"/>
              <w:rPr>
                <w:rFonts w:ascii="Cambria" w:hAnsi="Cambria"/>
                <w:b/>
                <w:sz w:val="22"/>
                <w:szCs w:val="22"/>
              </w:rPr>
            </w:pPr>
            <w:r w:rsidRPr="00015F80">
              <w:rPr>
                <w:rFonts w:ascii="Cambria" w:hAnsi="Cambria"/>
                <w:b/>
                <w:sz w:val="22"/>
                <w:szCs w:val="22"/>
              </w:rPr>
              <w:t>Key secondary</w:t>
            </w:r>
          </w:p>
        </w:tc>
      </w:tr>
      <w:tr w:rsidR="00015F80" w:rsidRPr="00015F80" w14:paraId="5DDB2E81" w14:textId="77777777" w:rsidTr="00187618">
        <w:trPr>
          <w:tblHeader/>
        </w:trPr>
        <w:tc>
          <w:tcPr>
            <w:tcW w:w="1446" w:type="pct"/>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14:paraId="527CC060" w14:textId="525FB2AC" w:rsidR="00015F80" w:rsidRPr="00015F80" w:rsidRDefault="00015F80" w:rsidP="00DC1F68">
            <w:pPr>
              <w:pStyle w:val="tabletextleftjustified"/>
              <w:spacing w:before="0" w:after="0"/>
              <w:rPr>
                <w:rFonts w:ascii="Cambria" w:hAnsi="Cambria"/>
                <w:sz w:val="22"/>
                <w:szCs w:val="22"/>
              </w:rPr>
            </w:pPr>
            <w:r w:rsidRPr="00015F80">
              <w:rPr>
                <w:rFonts w:ascii="Cambria" w:hAnsi="Cambria"/>
                <w:bCs/>
                <w:sz w:val="22"/>
                <w:szCs w:val="22"/>
              </w:rPr>
              <w:t>Average absolute change in Sweat Chloride from baseline at Week 4 (mmol/L)</w:t>
            </w:r>
          </w:p>
        </w:tc>
        <w:tc>
          <w:tcPr>
            <w:tcW w:w="16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6ECFCCB"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1CAAAA07"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5A497D72"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91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5E7360"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NA</w:t>
            </w:r>
          </w:p>
          <w:p w14:paraId="527D1878"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NA</w:t>
            </w:r>
          </w:p>
          <w:p w14:paraId="24209155"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1.7 (1.8)</w:t>
            </w:r>
          </w:p>
        </w:tc>
        <w:tc>
          <w:tcPr>
            <w:tcW w:w="1028"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14:paraId="10742646"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noBreakHyphen/>
              <w:t>45.1 (</w:t>
            </w:r>
            <w:r w:rsidRPr="00015F80">
              <w:rPr>
                <w:rFonts w:ascii="Cambria" w:hAnsi="Cambria"/>
                <w:sz w:val="22"/>
                <w:szCs w:val="22"/>
              </w:rPr>
              <w:noBreakHyphen/>
              <w:t xml:space="preserve">50.1, </w:t>
            </w:r>
            <w:r w:rsidRPr="00015F80">
              <w:rPr>
                <w:rFonts w:ascii="Cambria" w:hAnsi="Cambria"/>
                <w:sz w:val="22"/>
                <w:szCs w:val="22"/>
              </w:rPr>
              <w:noBreakHyphen/>
              <w:t>40.1)</w:t>
            </w:r>
          </w:p>
          <w:p w14:paraId="52ED0E57"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6B4C014F" w14:textId="77777777" w:rsidR="00015F80" w:rsidRPr="00015F80" w:rsidRDefault="00015F80" w:rsidP="00DC1F68">
            <w:pPr>
              <w:pStyle w:val="tabletextcenterjustified"/>
              <w:spacing w:before="0" w:after="0"/>
              <w:rPr>
                <w:rFonts w:ascii="Cambria" w:hAnsi="Cambria"/>
                <w:b/>
                <w:sz w:val="22"/>
                <w:szCs w:val="22"/>
              </w:rPr>
            </w:pPr>
            <w:r w:rsidRPr="00015F80">
              <w:rPr>
                <w:rFonts w:ascii="Cambria" w:hAnsi="Cambria"/>
                <w:sz w:val="22"/>
                <w:szCs w:val="22"/>
              </w:rPr>
              <w:noBreakHyphen/>
              <w:t>43.4 (1.7)</w:t>
            </w:r>
          </w:p>
        </w:tc>
      </w:tr>
      <w:tr w:rsidR="00015F80" w:rsidRPr="00015F80" w14:paraId="4EB7FB32" w14:textId="77777777" w:rsidTr="00187618">
        <w:trPr>
          <w:tblHeader/>
        </w:trPr>
        <w:tc>
          <w:tcPr>
            <w:tcW w:w="1446" w:type="pct"/>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14:paraId="3C93FFFA" w14:textId="77777777" w:rsidR="00015F80" w:rsidRPr="00015F80" w:rsidRDefault="00015F80" w:rsidP="00DC1F68">
            <w:pPr>
              <w:pStyle w:val="tabletextleftjustified"/>
              <w:spacing w:before="0" w:after="0"/>
              <w:rPr>
                <w:rFonts w:ascii="Cambria" w:hAnsi="Cambria"/>
                <w:sz w:val="22"/>
                <w:szCs w:val="22"/>
              </w:rPr>
            </w:pPr>
            <w:r w:rsidRPr="00015F80">
              <w:rPr>
                <w:rFonts w:ascii="Cambria" w:hAnsi="Cambria"/>
                <w:sz w:val="22"/>
                <w:szCs w:val="22"/>
              </w:rPr>
              <w:t xml:space="preserve">Absolute change in CFQ-R respiratory domain score </w:t>
            </w:r>
            <w:r w:rsidRPr="00015F80">
              <w:rPr>
                <w:rFonts w:ascii="Cambria" w:hAnsi="Cambria"/>
                <w:bCs/>
                <w:sz w:val="22"/>
                <w:szCs w:val="22"/>
              </w:rPr>
              <w:t>from baseline at Week 4 (points)</w:t>
            </w:r>
          </w:p>
        </w:tc>
        <w:tc>
          <w:tcPr>
            <w:tcW w:w="16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4CFEFFE"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sz w:val="22"/>
                <w:szCs w:val="22"/>
              </w:rPr>
              <w:t>Treatment difference (95% CI)</w:t>
            </w:r>
          </w:p>
          <w:p w14:paraId="08369268"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i/>
                <w:sz w:val="22"/>
                <w:szCs w:val="22"/>
              </w:rPr>
              <w:t>P</w:t>
            </w:r>
            <w:r w:rsidRPr="00015F80">
              <w:rPr>
                <w:rFonts w:ascii="Cambria" w:hAnsi="Cambria"/>
                <w:sz w:val="22"/>
                <w:szCs w:val="22"/>
              </w:rPr>
              <w:t xml:space="preserve"> value</w:t>
            </w:r>
          </w:p>
          <w:p w14:paraId="309B5CED" w14:textId="77777777" w:rsidR="00015F80" w:rsidRPr="00015F80" w:rsidRDefault="00015F80" w:rsidP="00DC1F68">
            <w:pPr>
              <w:pStyle w:val="tabletextleftjustified"/>
              <w:spacing w:before="0" w:after="0"/>
              <w:jc w:val="right"/>
              <w:rPr>
                <w:rFonts w:ascii="Cambria" w:hAnsi="Cambria"/>
                <w:sz w:val="22"/>
                <w:szCs w:val="22"/>
              </w:rPr>
            </w:pPr>
            <w:r w:rsidRPr="00015F80">
              <w:rPr>
                <w:rFonts w:ascii="Cambria" w:hAnsi="Cambria"/>
                <w:sz w:val="22"/>
                <w:szCs w:val="22"/>
              </w:rPr>
              <w:t>Within-group change (SE)</w:t>
            </w:r>
          </w:p>
        </w:tc>
        <w:tc>
          <w:tcPr>
            <w:tcW w:w="91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348ABF7"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NA</w:t>
            </w:r>
          </w:p>
          <w:p w14:paraId="25FA0197"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NA</w:t>
            </w:r>
          </w:p>
          <w:p w14:paraId="031BD60D"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noBreakHyphen/>
              <w:t>1.4 (2.0)</w:t>
            </w:r>
          </w:p>
        </w:tc>
        <w:tc>
          <w:tcPr>
            <w:tcW w:w="1028"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14:paraId="5DEF5C2E"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17.4 (11.8, 23.0)</w:t>
            </w:r>
          </w:p>
          <w:p w14:paraId="42B0380A"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i/>
                <w:sz w:val="22"/>
                <w:szCs w:val="22"/>
              </w:rPr>
              <w:t>P</w:t>
            </w:r>
            <w:r w:rsidRPr="00015F80">
              <w:rPr>
                <w:rFonts w:ascii="Cambria" w:hAnsi="Cambria"/>
                <w:sz w:val="22"/>
                <w:szCs w:val="22"/>
              </w:rPr>
              <w:t>&lt;0.0001</w:t>
            </w:r>
          </w:p>
          <w:p w14:paraId="7D62B49E" w14:textId="77777777" w:rsidR="00015F80" w:rsidRPr="00015F80" w:rsidRDefault="00015F80" w:rsidP="00DC1F68">
            <w:pPr>
              <w:pStyle w:val="tabletextcenterjustified"/>
              <w:spacing w:before="0" w:after="0"/>
              <w:rPr>
                <w:rFonts w:ascii="Cambria" w:hAnsi="Cambria"/>
                <w:sz w:val="22"/>
                <w:szCs w:val="22"/>
              </w:rPr>
            </w:pPr>
            <w:r w:rsidRPr="00015F80">
              <w:rPr>
                <w:rFonts w:ascii="Cambria" w:hAnsi="Cambria"/>
                <w:sz w:val="22"/>
                <w:szCs w:val="22"/>
              </w:rPr>
              <w:t>16.0 (2.0)</w:t>
            </w:r>
          </w:p>
        </w:tc>
      </w:tr>
      <w:tr w:rsidR="00015F80" w:rsidRPr="00015F80" w14:paraId="26142F19" w14:textId="77777777" w:rsidTr="00DC1F68">
        <w:trPr>
          <w:tblHeader/>
        </w:trPr>
        <w:tc>
          <w:tcPr>
            <w:tcW w:w="5000" w:type="pct"/>
            <w:gridSpan w:val="5"/>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032C994A" w14:textId="77777777" w:rsidR="00015F80" w:rsidRPr="00015F80" w:rsidRDefault="00015F80" w:rsidP="00DC1F68">
            <w:pPr>
              <w:pStyle w:val="tabletextcenterjustified"/>
              <w:spacing w:before="0" w:after="0"/>
              <w:jc w:val="left"/>
              <w:rPr>
                <w:rFonts w:ascii="Cambria" w:hAnsi="Cambria"/>
                <w:sz w:val="22"/>
                <w:szCs w:val="22"/>
              </w:rPr>
            </w:pPr>
            <w:r w:rsidRPr="00015F80">
              <w:rPr>
                <w:rFonts w:ascii="Cambria" w:hAnsi="Cambria"/>
                <w:sz w:val="22"/>
                <w:szCs w:val="22"/>
              </w:rPr>
              <w:t>ppFEV</w:t>
            </w:r>
            <w:r w:rsidRPr="00015F80">
              <w:rPr>
                <w:rFonts w:ascii="Cambria" w:hAnsi="Cambria"/>
                <w:sz w:val="22"/>
                <w:szCs w:val="22"/>
                <w:vertAlign w:val="subscript"/>
              </w:rPr>
              <w:t>1</w:t>
            </w:r>
            <w:r w:rsidRPr="00015F80">
              <w:rPr>
                <w:rFonts w:ascii="Cambria" w:hAnsi="Cambria"/>
                <w:sz w:val="22"/>
                <w:szCs w:val="22"/>
              </w:rPr>
              <w:t>: percent predicted forced expiratory volume in 1 second; CI: confidence interval; SE: Standard Error; NA: not applicable; CFQ</w:t>
            </w:r>
            <w:r w:rsidRPr="00015F80">
              <w:rPr>
                <w:rFonts w:ascii="Cambria" w:hAnsi="Cambria"/>
                <w:sz w:val="22"/>
                <w:szCs w:val="22"/>
              </w:rPr>
              <w:noBreakHyphen/>
              <w:t>R: Cystic Fibrosis Questionnaire</w:t>
            </w:r>
            <w:r w:rsidRPr="00015F80">
              <w:rPr>
                <w:rFonts w:ascii="Cambria" w:hAnsi="Cambria"/>
                <w:sz w:val="22"/>
                <w:szCs w:val="22"/>
              </w:rPr>
              <w:noBreakHyphen/>
              <w:t>Revised.</w:t>
            </w:r>
          </w:p>
          <w:p w14:paraId="0D5236FD" w14:textId="3F6CAE4D" w:rsidR="00015F80" w:rsidRPr="00015F80" w:rsidRDefault="00015F80" w:rsidP="00DC1F68">
            <w:pPr>
              <w:pStyle w:val="tabletextcenterjustified"/>
              <w:spacing w:before="0" w:after="0"/>
              <w:jc w:val="left"/>
              <w:rPr>
                <w:rFonts w:ascii="Cambria" w:hAnsi="Cambria"/>
                <w:sz w:val="22"/>
                <w:szCs w:val="22"/>
              </w:rPr>
            </w:pPr>
            <w:r w:rsidRPr="00015F80">
              <w:rPr>
                <w:rFonts w:ascii="Cambria" w:hAnsi="Cambria"/>
                <w:sz w:val="22"/>
                <w:szCs w:val="22"/>
              </w:rPr>
              <w:t xml:space="preserve">* Baseline for primary and key secondary endpoints is defined as the end of the 4-week </w:t>
            </w:r>
            <w:r w:rsidR="00DE5D3B">
              <w:rPr>
                <w:rFonts w:ascii="Cambria" w:hAnsi="Cambria"/>
                <w:sz w:val="22"/>
                <w:szCs w:val="22"/>
              </w:rPr>
              <w:t xml:space="preserve">SYMDEKO </w:t>
            </w:r>
            <w:r w:rsidRPr="00015F80">
              <w:rPr>
                <w:rFonts w:ascii="Cambria" w:hAnsi="Cambria"/>
                <w:sz w:val="22"/>
                <w:szCs w:val="22"/>
              </w:rPr>
              <w:t>run-in period.</w:t>
            </w:r>
          </w:p>
        </w:tc>
      </w:tr>
    </w:tbl>
    <w:p w14:paraId="6F5FABD8" w14:textId="77777777" w:rsidR="00015F80" w:rsidRPr="00015F80" w:rsidRDefault="00015F80" w:rsidP="00015F80">
      <w:pPr>
        <w:tabs>
          <w:tab w:val="clear" w:pos="567"/>
          <w:tab w:val="left" w:pos="3779"/>
        </w:tabs>
        <w:rPr>
          <w:rFonts w:ascii="Cambria" w:hAnsi="Cambria"/>
          <w:szCs w:val="22"/>
        </w:rPr>
      </w:pPr>
    </w:p>
    <w:p w14:paraId="44506E89" w14:textId="0FF2A024" w:rsidR="00015F80" w:rsidRDefault="00015F80" w:rsidP="00015F80">
      <w:pPr>
        <w:keepNext/>
        <w:tabs>
          <w:tab w:val="clear" w:pos="567"/>
          <w:tab w:val="left" w:pos="3779"/>
        </w:tabs>
        <w:rPr>
          <w:rFonts w:ascii="Cambria" w:hAnsi="Cambria"/>
          <w:b/>
          <w:szCs w:val="22"/>
        </w:rPr>
      </w:pPr>
      <w:r w:rsidRPr="00015F80">
        <w:rPr>
          <w:rFonts w:ascii="Cambria" w:hAnsi="Cambria"/>
          <w:b/>
          <w:szCs w:val="22"/>
        </w:rPr>
        <w:t xml:space="preserve">Figure </w:t>
      </w:r>
      <w:r w:rsidR="00240796">
        <w:rPr>
          <w:rFonts w:ascii="Cambria" w:hAnsi="Cambria"/>
          <w:b/>
          <w:szCs w:val="22"/>
        </w:rPr>
        <w:t>3</w:t>
      </w:r>
      <w:r w:rsidRPr="00015F80">
        <w:rPr>
          <w:rFonts w:ascii="Cambria" w:hAnsi="Cambria"/>
          <w:b/>
          <w:szCs w:val="22"/>
        </w:rPr>
        <w:t>: Absolute Change from Baseline in Percent Predicted FEV1 at Each Visit in Study 445</w:t>
      </w:r>
      <w:r w:rsidRPr="00015F80">
        <w:rPr>
          <w:rFonts w:ascii="Cambria" w:hAnsi="Cambria"/>
          <w:b/>
          <w:szCs w:val="22"/>
        </w:rPr>
        <w:noBreakHyphen/>
        <w:t>103</w:t>
      </w:r>
    </w:p>
    <w:p w14:paraId="69F64FA1" w14:textId="77777777" w:rsidR="00F120AA" w:rsidRPr="00015F80" w:rsidRDefault="00F120AA" w:rsidP="00015F80">
      <w:pPr>
        <w:keepNext/>
        <w:tabs>
          <w:tab w:val="clear" w:pos="567"/>
          <w:tab w:val="left" w:pos="3779"/>
        </w:tabs>
        <w:rPr>
          <w:rFonts w:ascii="Cambria" w:hAnsi="Cambria"/>
          <w:b/>
          <w:szCs w:val="22"/>
        </w:rPr>
      </w:pPr>
    </w:p>
    <w:p w14:paraId="019686E2" w14:textId="47515300" w:rsidR="00015F80" w:rsidRPr="00015F80" w:rsidRDefault="007B6E53" w:rsidP="00F120AA">
      <w:r>
        <w:rPr>
          <w:noProof/>
          <w:lang w:val="en-AU" w:eastAsia="en-AU"/>
        </w:rPr>
        <w:drawing>
          <wp:inline distT="0" distB="0" distL="0" distR="0" wp14:anchorId="15E9F0A8" wp14:editId="4AC225B6">
            <wp:extent cx="3728720" cy="2519601"/>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63144" cy="2542862"/>
                    </a:xfrm>
                    <a:prstGeom prst="rect">
                      <a:avLst/>
                    </a:prstGeom>
                  </pic:spPr>
                </pic:pic>
              </a:graphicData>
            </a:graphic>
          </wp:inline>
        </w:drawing>
      </w:r>
    </w:p>
    <w:p w14:paraId="06C130E5" w14:textId="77777777" w:rsidR="00015F80" w:rsidRPr="00015F80" w:rsidRDefault="00015F80" w:rsidP="00015F80">
      <w:pPr>
        <w:tabs>
          <w:tab w:val="clear" w:pos="567"/>
          <w:tab w:val="left" w:pos="3779"/>
        </w:tabs>
        <w:rPr>
          <w:rFonts w:ascii="Cambria" w:hAnsi="Cambria"/>
          <w:szCs w:val="22"/>
        </w:rPr>
      </w:pPr>
    </w:p>
    <w:p w14:paraId="6AD6C045" w14:textId="0F32B0BF" w:rsidR="008656C8" w:rsidRDefault="008656C8" w:rsidP="008656C8">
      <w:pPr>
        <w:keepNext/>
        <w:rPr>
          <w:b/>
          <w:i/>
          <w:iCs/>
          <w:szCs w:val="22"/>
        </w:rPr>
      </w:pPr>
      <w:r w:rsidRPr="00FB4F99">
        <w:rPr>
          <w:rFonts w:ascii="Cambria" w:hAnsi="Cambria"/>
          <w:b/>
          <w:i/>
          <w:iCs/>
          <w:szCs w:val="22"/>
        </w:rPr>
        <w:t>Study 445</w:t>
      </w:r>
      <w:r w:rsidRPr="00FB4F99">
        <w:rPr>
          <w:rFonts w:ascii="Cambria" w:hAnsi="Cambria"/>
          <w:b/>
          <w:i/>
          <w:iCs/>
          <w:szCs w:val="22"/>
        </w:rPr>
        <w:noBreakHyphen/>
        <w:t>104</w:t>
      </w:r>
      <w:r w:rsidR="00815C9D" w:rsidRPr="00FB4F99">
        <w:rPr>
          <w:rFonts w:ascii="Cambria" w:hAnsi="Cambria"/>
          <w:b/>
          <w:szCs w:val="22"/>
        </w:rPr>
        <w:t>:</w:t>
      </w:r>
      <w:r w:rsidR="00815C9D">
        <w:rPr>
          <w:b/>
          <w:szCs w:val="22"/>
        </w:rPr>
        <w:t xml:space="preserve"> </w:t>
      </w:r>
      <w:r w:rsidR="00815C9D" w:rsidRPr="00FB4F99">
        <w:rPr>
          <w:rFonts w:ascii="Cambria" w:hAnsi="Cambria"/>
          <w:b/>
          <w:szCs w:val="22"/>
        </w:rPr>
        <w:t xml:space="preserve">Study in patients aged 12 years and older who are heterozygous for the </w:t>
      </w:r>
      <w:r w:rsidR="00F757C1" w:rsidRPr="00FB4F99">
        <w:rPr>
          <w:rFonts w:ascii="Cambria" w:hAnsi="Cambria"/>
          <w:b/>
          <w:i/>
          <w:iCs/>
          <w:szCs w:val="22"/>
        </w:rPr>
        <w:t>F508</w:t>
      </w:r>
      <w:r w:rsidR="00815C9D" w:rsidRPr="00FB4F99">
        <w:rPr>
          <w:rFonts w:ascii="Cambria" w:hAnsi="Cambria"/>
          <w:b/>
          <w:i/>
          <w:iCs/>
          <w:szCs w:val="22"/>
        </w:rPr>
        <w:t>del</w:t>
      </w:r>
      <w:r w:rsidR="00815C9D" w:rsidRPr="00854243">
        <w:rPr>
          <w:rFonts w:ascii="Cambria" w:hAnsi="Cambria"/>
          <w:b/>
          <w:szCs w:val="22"/>
        </w:rPr>
        <w:t xml:space="preserve"> mutation and a gating or residual function mutation</w:t>
      </w:r>
    </w:p>
    <w:p w14:paraId="58EB256A" w14:textId="164FFEB8" w:rsidR="005043CC" w:rsidRPr="00854243" w:rsidRDefault="005043CC" w:rsidP="00854243">
      <w:pPr>
        <w:rPr>
          <w:rFonts w:ascii="Cambria" w:hAnsi="Cambria"/>
          <w:bCs/>
          <w:szCs w:val="22"/>
        </w:rPr>
      </w:pPr>
      <w:r w:rsidRPr="005F7A76">
        <w:rPr>
          <w:rFonts w:ascii="Cambria" w:hAnsi="Cambria"/>
          <w:bCs/>
          <w:szCs w:val="22"/>
        </w:rPr>
        <w:t xml:space="preserve">Study 445-104 was an 8-week, randomized, double-blind, active-controlled study in patients who were heterozygous for the </w:t>
      </w:r>
      <w:r w:rsidRPr="00291584">
        <w:rPr>
          <w:rFonts w:ascii="Cambria" w:hAnsi="Cambria"/>
          <w:bCs/>
          <w:i/>
          <w:iCs/>
          <w:szCs w:val="22"/>
        </w:rPr>
        <w:t>F508del</w:t>
      </w:r>
      <w:r w:rsidRPr="005F7A76">
        <w:rPr>
          <w:rFonts w:ascii="Cambria" w:hAnsi="Cambria"/>
          <w:bCs/>
          <w:szCs w:val="22"/>
        </w:rPr>
        <w:t xml:space="preserve"> mutation and a gating or residual function (RF) mutation on the second allele. Patients aged 12 years and older and with a ppFEV1 between 40-90% at screening received either </w:t>
      </w:r>
      <w:r w:rsidR="000316AD">
        <w:rPr>
          <w:rFonts w:ascii="Cambria" w:hAnsi="Cambria"/>
          <w:bCs/>
          <w:szCs w:val="22"/>
        </w:rPr>
        <w:t>KALYDECO</w:t>
      </w:r>
      <w:r w:rsidR="007F18BC">
        <w:rPr>
          <w:rFonts w:ascii="Cambria" w:hAnsi="Cambria"/>
          <w:bCs/>
          <w:szCs w:val="22"/>
        </w:rPr>
        <w:t xml:space="preserve"> </w:t>
      </w:r>
      <w:r w:rsidRPr="005F7A76">
        <w:rPr>
          <w:rFonts w:ascii="Cambria" w:hAnsi="Cambria"/>
          <w:bCs/>
          <w:szCs w:val="22"/>
        </w:rPr>
        <w:t xml:space="preserve">(for F/G patients) or </w:t>
      </w:r>
      <w:r w:rsidR="000316AD">
        <w:rPr>
          <w:rFonts w:ascii="Cambria" w:hAnsi="Cambria"/>
          <w:bCs/>
          <w:szCs w:val="22"/>
        </w:rPr>
        <w:t>SYMDEKO</w:t>
      </w:r>
      <w:r w:rsidR="007F18BC">
        <w:rPr>
          <w:rFonts w:ascii="Cambria" w:hAnsi="Cambria"/>
          <w:bCs/>
          <w:szCs w:val="22"/>
        </w:rPr>
        <w:t xml:space="preserve"> </w:t>
      </w:r>
      <w:r w:rsidRPr="005F7A76">
        <w:rPr>
          <w:rFonts w:ascii="Cambria" w:hAnsi="Cambria"/>
          <w:bCs/>
          <w:szCs w:val="22"/>
        </w:rPr>
        <w:t xml:space="preserve">(for F/RF patients) during a 4-week open label run in period. Patients with the </w:t>
      </w:r>
      <w:r w:rsidRPr="00291584">
        <w:rPr>
          <w:rFonts w:ascii="Cambria" w:hAnsi="Cambria"/>
          <w:bCs/>
          <w:i/>
          <w:iCs/>
          <w:szCs w:val="22"/>
        </w:rPr>
        <w:t>F/R117H</w:t>
      </w:r>
      <w:r w:rsidRPr="005F7A76">
        <w:rPr>
          <w:rFonts w:ascii="Cambria" w:hAnsi="Cambria"/>
          <w:bCs/>
          <w:szCs w:val="22"/>
        </w:rPr>
        <w:t xml:space="preserve"> genotype received </w:t>
      </w:r>
      <w:r>
        <w:rPr>
          <w:rFonts w:ascii="Cambria" w:hAnsi="Cambria"/>
          <w:bCs/>
          <w:szCs w:val="22"/>
        </w:rPr>
        <w:t>ivacaftor</w:t>
      </w:r>
      <w:r w:rsidRPr="005F7A76">
        <w:rPr>
          <w:rFonts w:ascii="Cambria" w:hAnsi="Cambria"/>
          <w:bCs/>
          <w:szCs w:val="22"/>
        </w:rPr>
        <w:t xml:space="preserve"> during the run-in period. Patients were then randomized to the </w:t>
      </w:r>
      <w:r>
        <w:rPr>
          <w:rFonts w:ascii="Cambria" w:hAnsi="Cambria"/>
          <w:bCs/>
          <w:szCs w:val="22"/>
        </w:rPr>
        <w:t>TRIKAFTA</w:t>
      </w:r>
      <w:r w:rsidRPr="005F7A76">
        <w:rPr>
          <w:rFonts w:ascii="Cambria" w:hAnsi="Cambria"/>
          <w:bCs/>
          <w:szCs w:val="22"/>
        </w:rPr>
        <w:t xml:space="preserve"> group or remained on the </w:t>
      </w:r>
      <w:r w:rsidRPr="00A2543A">
        <w:rPr>
          <w:rFonts w:ascii="Cambria" w:hAnsi="Cambria"/>
          <w:bCs/>
          <w:szCs w:val="22"/>
        </w:rPr>
        <w:t xml:space="preserve">CFTR </w:t>
      </w:r>
      <w:r w:rsidRPr="005F7A76">
        <w:rPr>
          <w:rFonts w:ascii="Cambria" w:hAnsi="Cambria"/>
          <w:bCs/>
          <w:szCs w:val="22"/>
        </w:rPr>
        <w:t>modulator therapy received during the run</w:t>
      </w:r>
      <w:r w:rsidR="00D067C6">
        <w:rPr>
          <w:rFonts w:ascii="Cambria" w:hAnsi="Cambria"/>
          <w:bCs/>
          <w:szCs w:val="22"/>
        </w:rPr>
        <w:t>-</w:t>
      </w:r>
      <w:r w:rsidRPr="005F7A76">
        <w:rPr>
          <w:rFonts w:ascii="Cambria" w:hAnsi="Cambria"/>
          <w:bCs/>
          <w:szCs w:val="22"/>
        </w:rPr>
        <w:t>in period. The mean age at baseline, following the run-in period, was 37.7 years, and the mean ppFEV1 at baseline was 67.6% (range: 29.7%, 113.5%).</w:t>
      </w:r>
    </w:p>
    <w:p w14:paraId="2E4957CC" w14:textId="77777777" w:rsidR="005043CC" w:rsidRPr="002A1F43" w:rsidRDefault="005043CC" w:rsidP="008656C8">
      <w:pPr>
        <w:keepNext/>
        <w:rPr>
          <w:b/>
          <w:i/>
          <w:iCs/>
          <w:szCs w:val="22"/>
        </w:rPr>
      </w:pPr>
    </w:p>
    <w:p w14:paraId="4B9AFADF" w14:textId="09718057" w:rsidR="008656C8" w:rsidRPr="00854243" w:rsidRDefault="008656C8" w:rsidP="008656C8">
      <w:pPr>
        <w:keepNext/>
        <w:rPr>
          <w:rFonts w:ascii="Cambria" w:hAnsi="Cambria"/>
          <w:bCs/>
          <w:szCs w:val="22"/>
        </w:rPr>
      </w:pPr>
      <w:r w:rsidRPr="00854243">
        <w:rPr>
          <w:rFonts w:ascii="Cambria" w:hAnsi="Cambria"/>
          <w:bCs/>
          <w:szCs w:val="22"/>
        </w:rPr>
        <w:t xml:space="preserve">Following a 4-week </w:t>
      </w:r>
      <w:r w:rsidR="000316AD">
        <w:rPr>
          <w:rFonts w:ascii="Cambria" w:hAnsi="Cambria"/>
          <w:bCs/>
          <w:szCs w:val="22"/>
        </w:rPr>
        <w:t>KALYDECO</w:t>
      </w:r>
      <w:r w:rsidR="007B275B">
        <w:rPr>
          <w:rFonts w:ascii="Cambria" w:hAnsi="Cambria"/>
          <w:bCs/>
          <w:szCs w:val="22"/>
        </w:rPr>
        <w:t xml:space="preserve"> </w:t>
      </w:r>
      <w:r w:rsidRPr="00854243">
        <w:rPr>
          <w:rFonts w:ascii="Cambria" w:hAnsi="Cambria"/>
          <w:bCs/>
          <w:szCs w:val="22"/>
        </w:rPr>
        <w:t xml:space="preserve">or </w:t>
      </w:r>
      <w:r w:rsidR="000316AD">
        <w:rPr>
          <w:rFonts w:ascii="Cambria" w:hAnsi="Cambria"/>
          <w:bCs/>
          <w:szCs w:val="22"/>
        </w:rPr>
        <w:t>SYMDEKO</w:t>
      </w:r>
      <w:r w:rsidR="007B275B">
        <w:rPr>
          <w:rFonts w:ascii="Cambria" w:hAnsi="Cambria"/>
          <w:bCs/>
          <w:szCs w:val="22"/>
        </w:rPr>
        <w:t xml:space="preserve"> </w:t>
      </w:r>
      <w:r w:rsidRPr="00854243">
        <w:rPr>
          <w:rFonts w:ascii="Cambria" w:hAnsi="Cambria"/>
          <w:bCs/>
          <w:szCs w:val="22"/>
        </w:rPr>
        <w:t>run-in period, the primary endpoint of within</w:t>
      </w:r>
      <w:r w:rsidRPr="00854243">
        <w:rPr>
          <w:rFonts w:ascii="Cambria" w:hAnsi="Cambria"/>
          <w:bCs/>
          <w:szCs w:val="22"/>
        </w:rPr>
        <w:noBreakHyphen/>
        <w:t>group mean absolute change in ppFEV</w:t>
      </w:r>
      <w:r w:rsidRPr="00854243">
        <w:rPr>
          <w:rFonts w:ascii="Cambria" w:hAnsi="Cambria"/>
          <w:bCs/>
          <w:szCs w:val="22"/>
          <w:vertAlign w:val="subscript"/>
        </w:rPr>
        <w:t>1</w:t>
      </w:r>
      <w:r w:rsidRPr="00854243">
        <w:rPr>
          <w:rFonts w:ascii="Cambria" w:hAnsi="Cambria"/>
          <w:bCs/>
          <w:szCs w:val="22"/>
        </w:rPr>
        <w:t xml:space="preserve"> from baseline through Week</w:t>
      </w:r>
      <w:r w:rsidRPr="00854243">
        <w:rPr>
          <w:rFonts w:ascii="Cambria" w:hAnsi="Cambria"/>
          <w:bCs/>
          <w:iCs/>
          <w:szCs w:val="22"/>
        </w:rPr>
        <w:t> </w:t>
      </w:r>
      <w:r w:rsidRPr="00854243">
        <w:rPr>
          <w:rFonts w:ascii="Cambria" w:hAnsi="Cambria"/>
          <w:bCs/>
          <w:szCs w:val="22"/>
        </w:rPr>
        <w:t xml:space="preserve">8 for the </w:t>
      </w:r>
      <w:r w:rsidR="00BC50EB" w:rsidRPr="00854243">
        <w:rPr>
          <w:rFonts w:ascii="Cambria" w:hAnsi="Cambria"/>
          <w:bCs/>
          <w:szCs w:val="22"/>
        </w:rPr>
        <w:t>TRIKAFTA</w:t>
      </w:r>
      <w:r w:rsidRPr="00854243">
        <w:rPr>
          <w:rFonts w:ascii="Cambria" w:hAnsi="Cambria"/>
          <w:bCs/>
          <w:szCs w:val="22"/>
        </w:rPr>
        <w:t xml:space="preserve"> group resulted in statistically significant improvement in ppFEV</w:t>
      </w:r>
      <w:r w:rsidRPr="00854243">
        <w:rPr>
          <w:rFonts w:ascii="Cambria" w:hAnsi="Cambria"/>
          <w:bCs/>
          <w:szCs w:val="22"/>
          <w:vertAlign w:val="subscript"/>
        </w:rPr>
        <w:t>1</w:t>
      </w:r>
      <w:r w:rsidRPr="00854243">
        <w:rPr>
          <w:rFonts w:ascii="Cambria" w:hAnsi="Cambria"/>
          <w:bCs/>
          <w:szCs w:val="22"/>
        </w:rPr>
        <w:t xml:space="preserve"> of 3.7</w:t>
      </w:r>
      <w:r w:rsidRPr="00854243">
        <w:rPr>
          <w:rFonts w:ascii="Cambria" w:hAnsi="Cambria"/>
          <w:bCs/>
          <w:iCs/>
          <w:szCs w:val="22"/>
        </w:rPr>
        <w:t> </w:t>
      </w:r>
      <w:r w:rsidRPr="00854243">
        <w:rPr>
          <w:rFonts w:ascii="Cambria" w:hAnsi="Cambria"/>
          <w:bCs/>
          <w:szCs w:val="22"/>
        </w:rPr>
        <w:t xml:space="preserve">percentage points (95% CI: 2.8, 4.6; </w:t>
      </w:r>
      <w:r w:rsidRPr="00854243">
        <w:rPr>
          <w:rFonts w:ascii="Cambria" w:hAnsi="Cambria"/>
          <w:bCs/>
          <w:i/>
          <w:szCs w:val="22"/>
        </w:rPr>
        <w:t>P</w:t>
      </w:r>
      <w:r w:rsidRPr="00854243">
        <w:rPr>
          <w:rFonts w:ascii="Cambria" w:hAnsi="Cambria"/>
          <w:bCs/>
          <w:szCs w:val="22"/>
        </w:rPr>
        <w:t xml:space="preserve">&lt;0.0001) (See Table </w:t>
      </w:r>
      <w:r w:rsidR="001B310F">
        <w:rPr>
          <w:rFonts w:ascii="Cambria" w:hAnsi="Cambria"/>
          <w:bCs/>
          <w:szCs w:val="22"/>
        </w:rPr>
        <w:t>9</w:t>
      </w:r>
      <w:r w:rsidRPr="00854243">
        <w:rPr>
          <w:rFonts w:ascii="Cambria" w:hAnsi="Cambria"/>
          <w:bCs/>
          <w:szCs w:val="22"/>
        </w:rPr>
        <w:t>). Mean improvement in ppFEV</w:t>
      </w:r>
      <w:r w:rsidRPr="00854243">
        <w:rPr>
          <w:rFonts w:ascii="Cambria" w:hAnsi="Cambria"/>
          <w:bCs/>
          <w:szCs w:val="22"/>
          <w:vertAlign w:val="subscript"/>
        </w:rPr>
        <w:t>1</w:t>
      </w:r>
      <w:r w:rsidRPr="00854243">
        <w:rPr>
          <w:rFonts w:ascii="Cambria" w:hAnsi="Cambria"/>
          <w:bCs/>
          <w:szCs w:val="22"/>
        </w:rPr>
        <w:t xml:space="preserve"> was observed at the first assessment on Day</w:t>
      </w:r>
      <w:r w:rsidRPr="00854243">
        <w:rPr>
          <w:rFonts w:ascii="Cambria" w:hAnsi="Cambria"/>
          <w:bCs/>
          <w:iCs/>
          <w:szCs w:val="22"/>
        </w:rPr>
        <w:t> </w:t>
      </w:r>
      <w:r w:rsidRPr="00854243">
        <w:rPr>
          <w:rFonts w:ascii="Cambria" w:hAnsi="Cambria"/>
          <w:bCs/>
          <w:szCs w:val="22"/>
        </w:rPr>
        <w:t>15. Overall improvements in ppFEV</w:t>
      </w:r>
      <w:r w:rsidRPr="00854243">
        <w:rPr>
          <w:rFonts w:ascii="Cambria" w:hAnsi="Cambria"/>
          <w:bCs/>
          <w:szCs w:val="22"/>
          <w:vertAlign w:val="subscript"/>
        </w:rPr>
        <w:t>1</w:t>
      </w:r>
      <w:r w:rsidRPr="00854243">
        <w:rPr>
          <w:rFonts w:ascii="Cambria" w:hAnsi="Cambria"/>
          <w:bCs/>
          <w:szCs w:val="22"/>
        </w:rPr>
        <w:t xml:space="preserve"> were observed regardless of age, sex, baseline ppFEV</w:t>
      </w:r>
      <w:r w:rsidRPr="00854243">
        <w:rPr>
          <w:rFonts w:ascii="Cambria" w:hAnsi="Cambria"/>
          <w:bCs/>
          <w:szCs w:val="22"/>
          <w:vertAlign w:val="subscript"/>
        </w:rPr>
        <w:t>1</w:t>
      </w:r>
      <w:r w:rsidRPr="00854243">
        <w:rPr>
          <w:rFonts w:ascii="Cambria" w:hAnsi="Cambria"/>
          <w:bCs/>
          <w:szCs w:val="22"/>
        </w:rPr>
        <w:t xml:space="preserve"> geographic region, and genotype groups (F/G or F/RF).</w:t>
      </w:r>
    </w:p>
    <w:p w14:paraId="139714C1" w14:textId="77777777" w:rsidR="008656C8" w:rsidRPr="00854243" w:rsidRDefault="008656C8" w:rsidP="008656C8">
      <w:pPr>
        <w:rPr>
          <w:rFonts w:ascii="Cambria" w:hAnsi="Cambria"/>
        </w:rPr>
      </w:pPr>
    </w:p>
    <w:p w14:paraId="2603FE7D" w14:textId="75DAF459" w:rsidR="008656C8" w:rsidRPr="00854243" w:rsidRDefault="008656C8" w:rsidP="008656C8">
      <w:pPr>
        <w:rPr>
          <w:rFonts w:ascii="Cambria" w:hAnsi="Cambria"/>
        </w:rPr>
      </w:pPr>
      <w:r w:rsidRPr="00854243">
        <w:rPr>
          <w:rFonts w:ascii="Cambria" w:hAnsi="Cambria"/>
        </w:rPr>
        <w:t>See Table</w:t>
      </w:r>
      <w:r w:rsidRPr="00854243">
        <w:rPr>
          <w:rFonts w:ascii="Cambria" w:hAnsi="Cambria"/>
          <w:bCs/>
          <w:iCs/>
          <w:szCs w:val="22"/>
        </w:rPr>
        <w:t> </w:t>
      </w:r>
      <w:r w:rsidR="0063165B">
        <w:rPr>
          <w:rFonts w:ascii="Cambria" w:hAnsi="Cambria"/>
        </w:rPr>
        <w:t>9</w:t>
      </w:r>
      <w:r w:rsidRPr="00854243">
        <w:rPr>
          <w:rFonts w:ascii="Cambria" w:hAnsi="Cambria"/>
        </w:rPr>
        <w:t xml:space="preserve"> for a summary of primary and secondary outcomes in the overall trial population. </w:t>
      </w:r>
    </w:p>
    <w:p w14:paraId="0246DB1A" w14:textId="77777777" w:rsidR="008656C8" w:rsidRPr="00854243" w:rsidRDefault="008656C8" w:rsidP="008656C8">
      <w:pPr>
        <w:keepNext/>
        <w:rPr>
          <w:rFonts w:ascii="Cambria" w:hAnsi="Cambria"/>
          <w:bCs/>
          <w:szCs w:val="22"/>
        </w:rPr>
      </w:pPr>
    </w:p>
    <w:p w14:paraId="7350382D" w14:textId="78F36F2A" w:rsidR="008656C8" w:rsidRPr="00854243" w:rsidRDefault="008656C8" w:rsidP="008656C8">
      <w:pPr>
        <w:keepNext/>
        <w:rPr>
          <w:rFonts w:ascii="Cambria" w:hAnsi="Cambria"/>
          <w:bCs/>
          <w:szCs w:val="22"/>
        </w:rPr>
      </w:pPr>
      <w:r w:rsidRPr="00854243">
        <w:rPr>
          <w:rFonts w:ascii="Cambria" w:hAnsi="Cambria"/>
          <w:szCs w:val="22"/>
        </w:rPr>
        <w:t>In a subgroup analysis</w:t>
      </w:r>
      <w:bookmarkStart w:id="41" w:name="_Hlk48769844"/>
      <w:r w:rsidRPr="00854243">
        <w:rPr>
          <w:rFonts w:ascii="Cambria" w:hAnsi="Cambria"/>
          <w:szCs w:val="22"/>
        </w:rPr>
        <w:t xml:space="preserve"> of patients with an F/G genotype, </w:t>
      </w:r>
      <w:bookmarkEnd w:id="41"/>
      <w:r w:rsidRPr="00854243">
        <w:rPr>
          <w:rFonts w:ascii="Cambria" w:hAnsi="Cambria"/>
          <w:bCs/>
          <w:szCs w:val="22"/>
        </w:rPr>
        <w:t xml:space="preserve">the treatment difference of </w:t>
      </w:r>
      <w:r w:rsidR="005043CC">
        <w:rPr>
          <w:rFonts w:ascii="Cambria" w:hAnsi="Cambria"/>
          <w:bCs/>
          <w:szCs w:val="22"/>
        </w:rPr>
        <w:t>TRIKAFTA</w:t>
      </w:r>
      <w:r w:rsidRPr="00854243">
        <w:rPr>
          <w:rFonts w:ascii="Cambria" w:hAnsi="Cambria"/>
          <w:bCs/>
          <w:szCs w:val="22"/>
        </w:rPr>
        <w:t xml:space="preserve"> (N=50)</w:t>
      </w:r>
      <w:r w:rsidRPr="00854243">
        <w:rPr>
          <w:rFonts w:ascii="Cambria" w:hAnsi="Cambria"/>
          <w:szCs w:val="22"/>
        </w:rPr>
        <w:t xml:space="preserve"> compared with </w:t>
      </w:r>
      <w:r w:rsidR="000316AD">
        <w:rPr>
          <w:rFonts w:ascii="Cambria" w:hAnsi="Cambria"/>
          <w:szCs w:val="22"/>
        </w:rPr>
        <w:t>KALYDECO</w:t>
      </w:r>
      <w:r w:rsidRPr="00854243">
        <w:rPr>
          <w:rFonts w:ascii="Cambria" w:hAnsi="Cambria"/>
          <w:szCs w:val="22"/>
        </w:rPr>
        <w:t>(N=45) for mean absolute change</w:t>
      </w:r>
      <w:r w:rsidRPr="00854243">
        <w:rPr>
          <w:rFonts w:ascii="Cambria" w:hAnsi="Cambria"/>
          <w:bCs/>
          <w:szCs w:val="22"/>
        </w:rPr>
        <w:t xml:space="preserve"> in ppFEV</w:t>
      </w:r>
      <w:r w:rsidRPr="00854243">
        <w:rPr>
          <w:rFonts w:ascii="Cambria" w:hAnsi="Cambria"/>
          <w:bCs/>
          <w:szCs w:val="22"/>
          <w:vertAlign w:val="subscript"/>
        </w:rPr>
        <w:t>1</w:t>
      </w:r>
      <w:r w:rsidRPr="00854243">
        <w:rPr>
          <w:rFonts w:ascii="Cambria" w:hAnsi="Cambria"/>
          <w:bCs/>
          <w:szCs w:val="22"/>
        </w:rPr>
        <w:t xml:space="preserve"> was 5.8 percentage points (95% CI: 3.5, 8.0). </w:t>
      </w:r>
      <w:r w:rsidRPr="00854243">
        <w:rPr>
          <w:rFonts w:ascii="Cambria" w:hAnsi="Cambria"/>
          <w:szCs w:val="22"/>
        </w:rPr>
        <w:t xml:space="preserve">In a subgroup analysis of patients with an F/RF genotype, the </w:t>
      </w:r>
      <w:r w:rsidRPr="00854243">
        <w:rPr>
          <w:rFonts w:ascii="Cambria" w:hAnsi="Cambria"/>
          <w:bCs/>
          <w:szCs w:val="22"/>
        </w:rPr>
        <w:t xml:space="preserve">treatment difference of </w:t>
      </w:r>
      <w:r w:rsidR="005043CC">
        <w:rPr>
          <w:rFonts w:ascii="Cambria" w:hAnsi="Cambria"/>
          <w:bCs/>
          <w:szCs w:val="22"/>
        </w:rPr>
        <w:t>TRIKAFTA</w:t>
      </w:r>
      <w:r w:rsidRPr="00854243">
        <w:rPr>
          <w:rFonts w:ascii="Cambria" w:hAnsi="Cambria"/>
          <w:bCs/>
          <w:szCs w:val="22"/>
        </w:rPr>
        <w:t xml:space="preserve"> (N=82) compared with </w:t>
      </w:r>
      <w:r w:rsidR="000316AD">
        <w:rPr>
          <w:rFonts w:ascii="Cambria" w:hAnsi="Cambria"/>
          <w:bCs/>
          <w:szCs w:val="22"/>
        </w:rPr>
        <w:t>SYMDEKO</w:t>
      </w:r>
      <w:r w:rsidRPr="00854243">
        <w:rPr>
          <w:rFonts w:ascii="Cambria" w:hAnsi="Cambria"/>
          <w:bCs/>
          <w:szCs w:val="22"/>
        </w:rPr>
        <w:t xml:space="preserve">(N=81) </w:t>
      </w:r>
      <w:r w:rsidRPr="00854243">
        <w:rPr>
          <w:rFonts w:ascii="Cambria" w:hAnsi="Cambria"/>
          <w:szCs w:val="22"/>
        </w:rPr>
        <w:t>for mean absolute change</w:t>
      </w:r>
      <w:r w:rsidRPr="00854243">
        <w:rPr>
          <w:rFonts w:ascii="Cambria" w:hAnsi="Cambria"/>
          <w:bCs/>
          <w:szCs w:val="22"/>
        </w:rPr>
        <w:t xml:space="preserve"> in ppFEV</w:t>
      </w:r>
      <w:r w:rsidRPr="00854243">
        <w:rPr>
          <w:rFonts w:ascii="Cambria" w:hAnsi="Cambria"/>
          <w:bCs/>
          <w:szCs w:val="22"/>
          <w:vertAlign w:val="subscript"/>
        </w:rPr>
        <w:t>1</w:t>
      </w:r>
      <w:r w:rsidRPr="00854243">
        <w:rPr>
          <w:rFonts w:ascii="Cambria" w:hAnsi="Cambria"/>
          <w:bCs/>
          <w:szCs w:val="22"/>
        </w:rPr>
        <w:t xml:space="preserve"> was 2.0 percentage points (95% CI: 0.5, 3.4). The results of the F/G and the F/RF genotype subgroups for improvement in sweat chloride and CFQ-R respiratory domain score were consistent with the overall results.</w:t>
      </w:r>
    </w:p>
    <w:p w14:paraId="67881E58" w14:textId="5BF51906" w:rsidR="008656C8" w:rsidRDefault="008656C8" w:rsidP="008656C8">
      <w:pPr>
        <w:rPr>
          <w:bCs/>
          <w:szCs w:val="22"/>
        </w:rPr>
      </w:pPr>
    </w:p>
    <w:p w14:paraId="64CDEC78" w14:textId="4AF5AA02" w:rsidR="00805D66" w:rsidRPr="00805D66" w:rsidRDefault="00805D66" w:rsidP="00805D66">
      <w:pPr>
        <w:rPr>
          <w:szCs w:val="22"/>
        </w:rPr>
      </w:pPr>
    </w:p>
    <w:p w14:paraId="60D5350D" w14:textId="6E610B03" w:rsidR="00805D66" w:rsidRPr="00805D66" w:rsidRDefault="00805D66" w:rsidP="00805D66">
      <w:pPr>
        <w:tabs>
          <w:tab w:val="clear" w:pos="567"/>
          <w:tab w:val="left" w:pos="2460"/>
        </w:tabs>
        <w:rPr>
          <w:szCs w:val="22"/>
        </w:rPr>
      </w:pPr>
      <w:r>
        <w:rPr>
          <w:szCs w:val="22"/>
        </w:rPr>
        <w:tab/>
      </w:r>
    </w:p>
    <w:tbl>
      <w:tblPr>
        <w:tblW w:w="4850" w:type="pct"/>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3447"/>
        <w:gridCol w:w="2140"/>
        <w:gridCol w:w="1428"/>
        <w:gridCol w:w="1725"/>
      </w:tblGrid>
      <w:tr w:rsidR="008656C8" w14:paraId="7C94D781" w14:textId="77777777" w:rsidTr="00A2543A">
        <w:trPr>
          <w:tblHeader/>
        </w:trPr>
        <w:tc>
          <w:tcPr>
            <w:tcW w:w="5000" w:type="pct"/>
            <w:gridSpan w:val="4"/>
            <w:tcBorders>
              <w:top w:val="single" w:sz="4" w:space="0" w:color="auto"/>
              <w:left w:val="single" w:sz="4" w:space="0" w:color="auto"/>
              <w:bottom w:val="single" w:sz="6" w:space="0" w:color="auto"/>
              <w:right w:val="single" w:sz="4" w:space="0" w:color="auto"/>
            </w:tcBorders>
            <w:vAlign w:val="center"/>
            <w:hideMark/>
          </w:tcPr>
          <w:p w14:paraId="6C00FA72" w14:textId="6BDCFF07" w:rsidR="008656C8" w:rsidRDefault="008656C8" w:rsidP="00A2543A">
            <w:pPr>
              <w:keepNext/>
              <w:rPr>
                <w:b/>
                <w:bCs/>
                <w:szCs w:val="22"/>
              </w:rPr>
            </w:pPr>
            <w:r>
              <w:rPr>
                <w:b/>
                <w:bCs/>
                <w:szCs w:val="22"/>
              </w:rPr>
              <w:t>Table </w:t>
            </w:r>
            <w:r w:rsidR="0063165B">
              <w:rPr>
                <w:b/>
                <w:bCs/>
                <w:szCs w:val="22"/>
              </w:rPr>
              <w:t>9</w:t>
            </w:r>
            <w:r>
              <w:rPr>
                <w:b/>
                <w:bCs/>
                <w:szCs w:val="22"/>
              </w:rPr>
              <w:t>: Primary and secondary efficacy analyses, full analysis set (study 445-104)</w:t>
            </w:r>
          </w:p>
        </w:tc>
      </w:tr>
      <w:tr w:rsidR="008656C8" w14:paraId="677DCF2C" w14:textId="77777777" w:rsidTr="00A2543A">
        <w:trPr>
          <w:tblHeader/>
        </w:trPr>
        <w:tc>
          <w:tcPr>
            <w:tcW w:w="197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14:paraId="751C65DF" w14:textId="77777777" w:rsidR="008656C8" w:rsidRDefault="008656C8" w:rsidP="00A2543A">
            <w:pPr>
              <w:keepNext/>
              <w:jc w:val="center"/>
              <w:rPr>
                <w:b/>
                <w:bCs/>
                <w:szCs w:val="22"/>
              </w:rPr>
            </w:pPr>
            <w:r>
              <w:rPr>
                <w:b/>
                <w:bCs/>
                <w:szCs w:val="22"/>
              </w:rPr>
              <w:t>Analysis*</w:t>
            </w:r>
          </w:p>
        </w:tc>
        <w:tc>
          <w:tcPr>
            <w:tcW w:w="122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5D7D1F82" w14:textId="77777777" w:rsidR="008656C8" w:rsidRDefault="008656C8" w:rsidP="00A2543A">
            <w:pPr>
              <w:keepNext/>
              <w:jc w:val="center"/>
              <w:rPr>
                <w:b/>
                <w:bCs/>
                <w:szCs w:val="22"/>
              </w:rPr>
            </w:pPr>
            <w:r>
              <w:rPr>
                <w:b/>
                <w:bCs/>
                <w:szCs w:val="22"/>
              </w:rPr>
              <w:t>Statistic</w:t>
            </w:r>
          </w:p>
        </w:tc>
        <w:tc>
          <w:tcPr>
            <w:tcW w:w="81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242EB60A" w14:textId="77777777" w:rsidR="008656C8" w:rsidRDefault="008656C8" w:rsidP="00A2543A">
            <w:pPr>
              <w:keepNext/>
              <w:jc w:val="center"/>
              <w:rPr>
                <w:b/>
                <w:bCs/>
                <w:szCs w:val="22"/>
                <w:vertAlign w:val="superscript"/>
              </w:rPr>
            </w:pPr>
            <w:r>
              <w:rPr>
                <w:b/>
                <w:bCs/>
                <w:szCs w:val="22"/>
              </w:rPr>
              <w:t>Control group</w:t>
            </w:r>
            <w:r>
              <w:rPr>
                <w:b/>
                <w:bCs/>
                <w:szCs w:val="22"/>
                <w:vertAlign w:val="superscript"/>
              </w:rPr>
              <w:t>#</w:t>
            </w:r>
          </w:p>
          <w:p w14:paraId="2F0A621E" w14:textId="77777777" w:rsidR="008656C8" w:rsidRDefault="008656C8" w:rsidP="00A2543A">
            <w:pPr>
              <w:keepNext/>
              <w:jc w:val="center"/>
              <w:rPr>
                <w:b/>
                <w:bCs/>
                <w:szCs w:val="22"/>
              </w:rPr>
            </w:pPr>
            <w:r>
              <w:rPr>
                <w:b/>
                <w:bCs/>
                <w:szCs w:val="22"/>
              </w:rPr>
              <w:t>N=126</w:t>
            </w:r>
          </w:p>
        </w:tc>
        <w:tc>
          <w:tcPr>
            <w:tcW w:w="987" w:type="pct"/>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hideMark/>
          </w:tcPr>
          <w:p w14:paraId="3C62F37D" w14:textId="34503E34" w:rsidR="008656C8" w:rsidRDefault="008F3C15" w:rsidP="00A2543A">
            <w:pPr>
              <w:keepNext/>
              <w:jc w:val="center"/>
              <w:rPr>
                <w:b/>
                <w:bCs/>
                <w:szCs w:val="22"/>
              </w:rPr>
            </w:pPr>
            <w:r>
              <w:rPr>
                <w:b/>
                <w:bCs/>
                <w:szCs w:val="22"/>
              </w:rPr>
              <w:t>TRIKAFTA</w:t>
            </w:r>
          </w:p>
          <w:p w14:paraId="3B23CD0A" w14:textId="77777777" w:rsidR="008656C8" w:rsidRDefault="008656C8" w:rsidP="00A2543A">
            <w:pPr>
              <w:keepNext/>
              <w:jc w:val="center"/>
              <w:rPr>
                <w:b/>
                <w:bCs/>
                <w:szCs w:val="22"/>
              </w:rPr>
            </w:pPr>
            <w:r>
              <w:rPr>
                <w:b/>
                <w:bCs/>
                <w:szCs w:val="22"/>
              </w:rPr>
              <w:t>N=132</w:t>
            </w:r>
          </w:p>
        </w:tc>
      </w:tr>
      <w:tr w:rsidR="008656C8" w14:paraId="6D2EEFB0" w14:textId="77777777" w:rsidTr="00A2543A">
        <w:tc>
          <w:tcPr>
            <w:tcW w:w="5000" w:type="pct"/>
            <w:gridSpan w:val="4"/>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hideMark/>
          </w:tcPr>
          <w:p w14:paraId="6081C351" w14:textId="77777777" w:rsidR="008656C8" w:rsidRDefault="008656C8" w:rsidP="00A2543A">
            <w:pPr>
              <w:keepNext/>
              <w:rPr>
                <w:b/>
                <w:bCs/>
                <w:szCs w:val="22"/>
              </w:rPr>
            </w:pPr>
            <w:r>
              <w:rPr>
                <w:b/>
                <w:bCs/>
                <w:szCs w:val="22"/>
              </w:rPr>
              <w:t>Primary</w:t>
            </w:r>
          </w:p>
        </w:tc>
      </w:tr>
      <w:tr w:rsidR="008656C8" w14:paraId="3E47A749" w14:textId="77777777" w:rsidTr="00A2543A">
        <w:tc>
          <w:tcPr>
            <w:tcW w:w="1972" w:type="pct"/>
            <w:tcBorders>
              <w:top w:val="single" w:sz="4" w:space="0" w:color="auto"/>
              <w:left w:val="single" w:sz="4" w:space="0" w:color="auto"/>
              <w:bottom w:val="single" w:sz="6" w:space="0" w:color="auto"/>
              <w:right w:val="single" w:sz="6" w:space="0" w:color="auto"/>
            </w:tcBorders>
            <w:tcMar>
              <w:top w:w="0" w:type="dxa"/>
              <w:left w:w="108" w:type="dxa"/>
              <w:bottom w:w="0" w:type="dxa"/>
              <w:right w:w="108" w:type="dxa"/>
            </w:tcMar>
            <w:hideMark/>
          </w:tcPr>
          <w:p w14:paraId="3CAE170B" w14:textId="77777777" w:rsidR="008656C8" w:rsidRDefault="008656C8" w:rsidP="00A2543A">
            <w:pPr>
              <w:keepNext/>
              <w:rPr>
                <w:bCs/>
                <w:szCs w:val="22"/>
              </w:rPr>
            </w:pPr>
            <w:r>
              <w:rPr>
                <w:bCs/>
                <w:szCs w:val="22"/>
              </w:rPr>
              <w:t>Absolute change in ppFEV</w:t>
            </w:r>
            <w:r>
              <w:rPr>
                <w:bCs/>
                <w:szCs w:val="22"/>
                <w:vertAlign w:val="subscript"/>
              </w:rPr>
              <w:t>1</w:t>
            </w:r>
            <w:r>
              <w:rPr>
                <w:bCs/>
                <w:szCs w:val="22"/>
              </w:rPr>
              <w:t xml:space="preserve"> from baseline through Week 8 (percentage points)</w:t>
            </w:r>
          </w:p>
        </w:tc>
        <w:tc>
          <w:tcPr>
            <w:tcW w:w="1224" w:type="pct"/>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B6CE3E" w14:textId="77777777" w:rsidR="008656C8" w:rsidRDefault="008656C8" w:rsidP="00A2543A">
            <w:pPr>
              <w:keepNext/>
              <w:jc w:val="right"/>
              <w:rPr>
                <w:bCs/>
                <w:i/>
                <w:szCs w:val="22"/>
              </w:rPr>
            </w:pPr>
            <w:r>
              <w:rPr>
                <w:bCs/>
                <w:szCs w:val="22"/>
              </w:rPr>
              <w:t>Within-group change (95% CI)</w:t>
            </w:r>
            <w:r>
              <w:rPr>
                <w:bCs/>
                <w:i/>
                <w:szCs w:val="22"/>
              </w:rPr>
              <w:t xml:space="preserve"> </w:t>
            </w:r>
          </w:p>
          <w:p w14:paraId="69132B23" w14:textId="77777777" w:rsidR="008656C8" w:rsidRDefault="008656C8" w:rsidP="00A2543A">
            <w:pPr>
              <w:keepNext/>
              <w:jc w:val="right"/>
              <w:rPr>
                <w:bCs/>
                <w:szCs w:val="22"/>
              </w:rPr>
            </w:pPr>
            <w:r>
              <w:rPr>
                <w:bCs/>
                <w:i/>
                <w:szCs w:val="22"/>
              </w:rPr>
              <w:t>P</w:t>
            </w:r>
            <w:r>
              <w:rPr>
                <w:bCs/>
                <w:szCs w:val="22"/>
              </w:rPr>
              <w:t xml:space="preserve"> value</w:t>
            </w:r>
          </w:p>
        </w:tc>
        <w:tc>
          <w:tcPr>
            <w:tcW w:w="817" w:type="pct"/>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14:paraId="1F6ADF6B" w14:textId="77777777" w:rsidR="008656C8" w:rsidRDefault="008656C8" w:rsidP="00A2543A">
            <w:pPr>
              <w:keepNext/>
              <w:jc w:val="center"/>
              <w:rPr>
                <w:bCs/>
                <w:szCs w:val="22"/>
              </w:rPr>
            </w:pPr>
            <w:r>
              <w:rPr>
                <w:bCs/>
                <w:szCs w:val="22"/>
              </w:rPr>
              <w:t>0.2 (-0.7, 1.1)</w:t>
            </w:r>
          </w:p>
          <w:p w14:paraId="6209CF74" w14:textId="77777777" w:rsidR="008656C8" w:rsidRDefault="008656C8" w:rsidP="00A2543A">
            <w:pPr>
              <w:keepNext/>
              <w:jc w:val="center"/>
              <w:rPr>
                <w:bCs/>
                <w:szCs w:val="22"/>
              </w:rPr>
            </w:pPr>
          </w:p>
          <w:p w14:paraId="2D688F33" w14:textId="77777777" w:rsidR="008656C8" w:rsidRDefault="008656C8" w:rsidP="00A2543A">
            <w:pPr>
              <w:keepNext/>
              <w:jc w:val="center"/>
              <w:rPr>
                <w:bCs/>
                <w:szCs w:val="22"/>
              </w:rPr>
            </w:pPr>
            <w:r>
              <w:rPr>
                <w:bCs/>
                <w:szCs w:val="22"/>
              </w:rPr>
              <w:t>NA</w:t>
            </w:r>
          </w:p>
        </w:tc>
        <w:tc>
          <w:tcPr>
            <w:tcW w:w="987" w:type="pct"/>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tcPr>
          <w:p w14:paraId="1F4A6D3F" w14:textId="77777777" w:rsidR="008656C8" w:rsidRDefault="008656C8" w:rsidP="00A2543A">
            <w:pPr>
              <w:keepNext/>
              <w:jc w:val="center"/>
              <w:rPr>
                <w:bCs/>
                <w:szCs w:val="22"/>
              </w:rPr>
            </w:pPr>
            <w:r>
              <w:rPr>
                <w:bCs/>
                <w:szCs w:val="22"/>
              </w:rPr>
              <w:t>3.7 (2.8, 4.6)</w:t>
            </w:r>
          </w:p>
          <w:p w14:paraId="054DDBF0" w14:textId="77777777" w:rsidR="008656C8" w:rsidRDefault="008656C8" w:rsidP="00A2543A">
            <w:pPr>
              <w:keepNext/>
              <w:jc w:val="center"/>
              <w:rPr>
                <w:bCs/>
                <w:iCs/>
                <w:szCs w:val="22"/>
              </w:rPr>
            </w:pPr>
          </w:p>
          <w:p w14:paraId="16FB35B2" w14:textId="77777777" w:rsidR="008656C8" w:rsidRDefault="008656C8" w:rsidP="00A2543A">
            <w:pPr>
              <w:keepNext/>
              <w:jc w:val="center"/>
              <w:rPr>
                <w:bCs/>
                <w:szCs w:val="22"/>
              </w:rPr>
            </w:pPr>
            <w:r>
              <w:rPr>
                <w:bCs/>
                <w:i/>
                <w:szCs w:val="22"/>
              </w:rPr>
              <w:t>P</w:t>
            </w:r>
            <w:r>
              <w:rPr>
                <w:bCs/>
                <w:szCs w:val="22"/>
              </w:rPr>
              <w:t>&lt;0.0001</w:t>
            </w:r>
          </w:p>
        </w:tc>
      </w:tr>
      <w:tr w:rsidR="008656C8" w14:paraId="5E73912C" w14:textId="77777777" w:rsidTr="00A2543A">
        <w:trPr>
          <w:trHeight w:val="111"/>
        </w:trPr>
        <w:tc>
          <w:tcPr>
            <w:tcW w:w="5000" w:type="pct"/>
            <w:gridSpan w:val="4"/>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hideMark/>
          </w:tcPr>
          <w:p w14:paraId="5DE96925" w14:textId="77777777" w:rsidR="008656C8" w:rsidRDefault="008656C8" w:rsidP="00A2543A">
            <w:pPr>
              <w:keepNext/>
              <w:rPr>
                <w:b/>
                <w:bCs/>
                <w:szCs w:val="22"/>
              </w:rPr>
            </w:pPr>
            <w:r>
              <w:rPr>
                <w:b/>
                <w:bCs/>
                <w:szCs w:val="22"/>
              </w:rPr>
              <w:t>Key and other secondary</w:t>
            </w:r>
          </w:p>
        </w:tc>
      </w:tr>
      <w:tr w:rsidR="008656C8" w14:paraId="7C1B7BC3" w14:textId="77777777" w:rsidTr="00A2543A">
        <w:tc>
          <w:tcPr>
            <w:tcW w:w="1972" w:type="pct"/>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129531EF" w14:textId="77777777" w:rsidR="008656C8" w:rsidRDefault="008656C8" w:rsidP="00A2543A">
            <w:pPr>
              <w:keepNext/>
              <w:rPr>
                <w:bCs/>
                <w:szCs w:val="22"/>
              </w:rPr>
            </w:pPr>
            <w:r>
              <w:rPr>
                <w:bCs/>
                <w:szCs w:val="22"/>
              </w:rPr>
              <w:t>Absolute change in sweat chloride from baseline through Week 8 (mmol/L)</w:t>
            </w:r>
          </w:p>
        </w:tc>
        <w:tc>
          <w:tcPr>
            <w:tcW w:w="1224"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00A9555A" w14:textId="77777777" w:rsidR="008656C8" w:rsidRDefault="008656C8" w:rsidP="00A2543A">
            <w:pPr>
              <w:keepNext/>
              <w:jc w:val="right"/>
              <w:rPr>
                <w:bCs/>
                <w:i/>
                <w:szCs w:val="22"/>
              </w:rPr>
            </w:pPr>
            <w:r>
              <w:rPr>
                <w:bCs/>
                <w:szCs w:val="22"/>
              </w:rPr>
              <w:t>Within-group change (95% CI)</w:t>
            </w:r>
            <w:r>
              <w:rPr>
                <w:bCs/>
                <w:i/>
                <w:szCs w:val="22"/>
              </w:rPr>
              <w:t xml:space="preserve"> </w:t>
            </w:r>
          </w:p>
          <w:p w14:paraId="7B3C01A8" w14:textId="77777777" w:rsidR="008656C8" w:rsidRDefault="008656C8" w:rsidP="00A2543A">
            <w:pPr>
              <w:keepNext/>
              <w:jc w:val="right"/>
              <w:rPr>
                <w:bCs/>
                <w:szCs w:val="22"/>
              </w:rPr>
            </w:pPr>
            <w:r>
              <w:rPr>
                <w:bCs/>
                <w:i/>
                <w:szCs w:val="22"/>
              </w:rPr>
              <w:t>P</w:t>
            </w:r>
            <w:r>
              <w:rPr>
                <w:bCs/>
                <w:szCs w:val="22"/>
              </w:rPr>
              <w:t xml:space="preserve"> value</w:t>
            </w:r>
          </w:p>
        </w:tc>
        <w:tc>
          <w:tcPr>
            <w:tcW w:w="81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4818916D" w14:textId="77777777" w:rsidR="008656C8" w:rsidRDefault="008656C8" w:rsidP="00A2543A">
            <w:pPr>
              <w:keepNext/>
              <w:jc w:val="center"/>
              <w:rPr>
                <w:bCs/>
                <w:szCs w:val="22"/>
              </w:rPr>
            </w:pPr>
            <w:r>
              <w:rPr>
                <w:bCs/>
                <w:szCs w:val="22"/>
              </w:rPr>
              <w:t>0.7 (-1.4, 2.8)</w:t>
            </w:r>
          </w:p>
          <w:p w14:paraId="718FF0AA" w14:textId="77777777" w:rsidR="008656C8" w:rsidRDefault="008656C8" w:rsidP="00A2543A">
            <w:pPr>
              <w:keepNext/>
              <w:jc w:val="center"/>
              <w:rPr>
                <w:bCs/>
                <w:szCs w:val="22"/>
              </w:rPr>
            </w:pPr>
          </w:p>
          <w:p w14:paraId="3A10A371" w14:textId="77777777" w:rsidR="008656C8" w:rsidRDefault="008656C8" w:rsidP="00A2543A">
            <w:pPr>
              <w:keepNext/>
              <w:jc w:val="center"/>
              <w:rPr>
                <w:bCs/>
                <w:szCs w:val="22"/>
              </w:rPr>
            </w:pPr>
            <w:r>
              <w:rPr>
                <w:bCs/>
                <w:szCs w:val="22"/>
              </w:rPr>
              <w:t>NA</w:t>
            </w:r>
          </w:p>
        </w:tc>
        <w:tc>
          <w:tcPr>
            <w:tcW w:w="987"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2B5AFF4B" w14:textId="77777777" w:rsidR="008656C8" w:rsidRDefault="008656C8" w:rsidP="00A2543A">
            <w:pPr>
              <w:keepNext/>
              <w:jc w:val="center"/>
              <w:rPr>
                <w:bCs/>
                <w:szCs w:val="22"/>
              </w:rPr>
            </w:pPr>
            <w:r>
              <w:rPr>
                <w:bCs/>
                <w:szCs w:val="22"/>
              </w:rPr>
              <w:t>-22.3 (</w:t>
            </w:r>
            <w:r>
              <w:rPr>
                <w:bCs/>
                <w:szCs w:val="22"/>
              </w:rPr>
              <w:noBreakHyphen/>
              <w:t xml:space="preserve">24.5, </w:t>
            </w:r>
            <w:r>
              <w:rPr>
                <w:bCs/>
                <w:szCs w:val="22"/>
              </w:rPr>
              <w:noBreakHyphen/>
              <w:t>20.2)</w:t>
            </w:r>
          </w:p>
          <w:p w14:paraId="5D00A088" w14:textId="77777777" w:rsidR="008656C8" w:rsidRDefault="008656C8" w:rsidP="00A2543A">
            <w:pPr>
              <w:keepNext/>
              <w:jc w:val="center"/>
              <w:rPr>
                <w:bCs/>
                <w:szCs w:val="22"/>
              </w:rPr>
            </w:pPr>
            <w:r>
              <w:rPr>
                <w:bCs/>
                <w:i/>
                <w:szCs w:val="22"/>
              </w:rPr>
              <w:t>P</w:t>
            </w:r>
            <w:r>
              <w:rPr>
                <w:bCs/>
                <w:szCs w:val="22"/>
              </w:rPr>
              <w:t>&lt;0.0001</w:t>
            </w:r>
          </w:p>
        </w:tc>
      </w:tr>
      <w:tr w:rsidR="008656C8" w14:paraId="66F04936" w14:textId="77777777" w:rsidTr="00A2543A">
        <w:tc>
          <w:tcPr>
            <w:tcW w:w="1972" w:type="pct"/>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hideMark/>
          </w:tcPr>
          <w:p w14:paraId="4567D96E" w14:textId="77777777" w:rsidR="008656C8" w:rsidRDefault="008656C8" w:rsidP="00A2543A">
            <w:pPr>
              <w:keepNext/>
              <w:rPr>
                <w:bCs/>
                <w:szCs w:val="22"/>
              </w:rPr>
            </w:pPr>
            <w:r>
              <w:rPr>
                <w:bCs/>
                <w:szCs w:val="22"/>
              </w:rPr>
              <w:t>Absolute change in ppFEV</w:t>
            </w:r>
            <w:r>
              <w:rPr>
                <w:bCs/>
                <w:szCs w:val="22"/>
                <w:vertAlign w:val="subscript"/>
              </w:rPr>
              <w:t>1</w:t>
            </w:r>
            <w:r>
              <w:rPr>
                <w:bCs/>
                <w:szCs w:val="22"/>
              </w:rPr>
              <w:t xml:space="preserve"> from baseline through Week 8 compared to the control group (percentage points)</w:t>
            </w:r>
          </w:p>
        </w:tc>
        <w:tc>
          <w:tcPr>
            <w:tcW w:w="1224"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3C0D38E3" w14:textId="77777777" w:rsidR="008656C8" w:rsidRDefault="008656C8" w:rsidP="00A2543A">
            <w:pPr>
              <w:keepNext/>
              <w:jc w:val="right"/>
              <w:rPr>
                <w:bCs/>
                <w:szCs w:val="22"/>
              </w:rPr>
            </w:pPr>
            <w:r>
              <w:rPr>
                <w:bCs/>
                <w:szCs w:val="22"/>
              </w:rPr>
              <w:t>Treatment difference (95% CI)</w:t>
            </w:r>
          </w:p>
          <w:p w14:paraId="624C33D4" w14:textId="77777777" w:rsidR="008656C8" w:rsidRDefault="008656C8" w:rsidP="00A2543A">
            <w:pPr>
              <w:keepNext/>
              <w:jc w:val="right"/>
              <w:rPr>
                <w:bCs/>
                <w:szCs w:val="22"/>
              </w:rPr>
            </w:pPr>
            <w:r>
              <w:rPr>
                <w:bCs/>
                <w:i/>
                <w:szCs w:val="22"/>
              </w:rPr>
              <w:t>P</w:t>
            </w:r>
            <w:r>
              <w:rPr>
                <w:bCs/>
                <w:szCs w:val="22"/>
              </w:rPr>
              <w:t xml:space="preserve"> value</w:t>
            </w:r>
          </w:p>
        </w:tc>
        <w:tc>
          <w:tcPr>
            <w:tcW w:w="81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206D4447" w14:textId="77777777" w:rsidR="008656C8" w:rsidRDefault="008656C8" w:rsidP="00A2543A">
            <w:pPr>
              <w:keepNext/>
              <w:jc w:val="center"/>
              <w:rPr>
                <w:bCs/>
                <w:szCs w:val="22"/>
              </w:rPr>
            </w:pPr>
            <w:r>
              <w:rPr>
                <w:bCs/>
                <w:szCs w:val="22"/>
              </w:rPr>
              <w:t>NA</w:t>
            </w:r>
          </w:p>
          <w:p w14:paraId="1AE11FBA" w14:textId="77777777" w:rsidR="008656C8" w:rsidRDefault="008656C8" w:rsidP="00A2543A">
            <w:pPr>
              <w:keepNext/>
              <w:jc w:val="center"/>
              <w:rPr>
                <w:bCs/>
                <w:szCs w:val="22"/>
              </w:rPr>
            </w:pPr>
          </w:p>
          <w:p w14:paraId="498AE46F" w14:textId="77777777" w:rsidR="008656C8" w:rsidRDefault="008656C8" w:rsidP="00A2543A">
            <w:pPr>
              <w:keepNext/>
              <w:jc w:val="center"/>
              <w:rPr>
                <w:bCs/>
                <w:szCs w:val="22"/>
              </w:rPr>
            </w:pPr>
            <w:r>
              <w:rPr>
                <w:bCs/>
                <w:szCs w:val="22"/>
              </w:rPr>
              <w:t>NA</w:t>
            </w:r>
          </w:p>
        </w:tc>
        <w:tc>
          <w:tcPr>
            <w:tcW w:w="987"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706A4333" w14:textId="77777777" w:rsidR="008656C8" w:rsidRDefault="008656C8" w:rsidP="00A2543A">
            <w:pPr>
              <w:keepNext/>
              <w:jc w:val="center"/>
              <w:rPr>
                <w:bCs/>
                <w:szCs w:val="22"/>
              </w:rPr>
            </w:pPr>
            <w:r>
              <w:rPr>
                <w:bCs/>
                <w:szCs w:val="22"/>
              </w:rPr>
              <w:t>3.5 (2.2, 4.7)</w:t>
            </w:r>
          </w:p>
          <w:p w14:paraId="37A0E34E" w14:textId="77777777" w:rsidR="008656C8" w:rsidRDefault="008656C8" w:rsidP="00A2543A">
            <w:pPr>
              <w:keepNext/>
              <w:jc w:val="center"/>
              <w:rPr>
                <w:bCs/>
                <w:iCs/>
                <w:szCs w:val="22"/>
              </w:rPr>
            </w:pPr>
          </w:p>
          <w:p w14:paraId="323CF0D7" w14:textId="77777777" w:rsidR="008656C8" w:rsidRDefault="008656C8" w:rsidP="00A2543A">
            <w:pPr>
              <w:keepNext/>
              <w:jc w:val="center"/>
              <w:rPr>
                <w:bCs/>
                <w:szCs w:val="22"/>
              </w:rPr>
            </w:pPr>
            <w:r>
              <w:rPr>
                <w:bCs/>
                <w:i/>
                <w:szCs w:val="22"/>
              </w:rPr>
              <w:t>P</w:t>
            </w:r>
            <w:r>
              <w:rPr>
                <w:bCs/>
                <w:szCs w:val="22"/>
              </w:rPr>
              <w:t>&lt;0.0001</w:t>
            </w:r>
          </w:p>
        </w:tc>
      </w:tr>
      <w:tr w:rsidR="008656C8" w14:paraId="23EBC6B1" w14:textId="77777777" w:rsidTr="00A2543A">
        <w:tc>
          <w:tcPr>
            <w:tcW w:w="1972" w:type="pct"/>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hideMark/>
          </w:tcPr>
          <w:p w14:paraId="2B35860B" w14:textId="77777777" w:rsidR="008656C8" w:rsidRDefault="008656C8" w:rsidP="00A2543A">
            <w:pPr>
              <w:keepNext/>
              <w:rPr>
                <w:bCs/>
                <w:szCs w:val="22"/>
              </w:rPr>
            </w:pPr>
            <w:r>
              <w:rPr>
                <w:bCs/>
                <w:szCs w:val="22"/>
              </w:rPr>
              <w:t>Absolute change in sweat chloride from baseline through Week 8 compared to the control group (mmol/L)</w:t>
            </w:r>
          </w:p>
        </w:tc>
        <w:tc>
          <w:tcPr>
            <w:tcW w:w="1224"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3F641D47" w14:textId="77777777" w:rsidR="008656C8" w:rsidRDefault="008656C8" w:rsidP="00A2543A">
            <w:pPr>
              <w:keepNext/>
              <w:jc w:val="right"/>
              <w:rPr>
                <w:bCs/>
                <w:szCs w:val="22"/>
              </w:rPr>
            </w:pPr>
            <w:r>
              <w:rPr>
                <w:bCs/>
                <w:szCs w:val="22"/>
              </w:rPr>
              <w:t>Treatment difference (95% CI)</w:t>
            </w:r>
          </w:p>
          <w:p w14:paraId="7EC3F8FE" w14:textId="77777777" w:rsidR="008656C8" w:rsidRDefault="008656C8" w:rsidP="00A2543A">
            <w:pPr>
              <w:keepNext/>
              <w:jc w:val="right"/>
              <w:rPr>
                <w:bCs/>
                <w:szCs w:val="22"/>
              </w:rPr>
            </w:pPr>
            <w:r>
              <w:rPr>
                <w:bCs/>
                <w:i/>
                <w:szCs w:val="22"/>
              </w:rPr>
              <w:t>P</w:t>
            </w:r>
            <w:r>
              <w:rPr>
                <w:bCs/>
                <w:szCs w:val="22"/>
              </w:rPr>
              <w:t xml:space="preserve"> value</w:t>
            </w:r>
          </w:p>
        </w:tc>
        <w:tc>
          <w:tcPr>
            <w:tcW w:w="81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3F341E10" w14:textId="77777777" w:rsidR="008656C8" w:rsidRDefault="008656C8" w:rsidP="00A2543A">
            <w:pPr>
              <w:keepNext/>
              <w:jc w:val="center"/>
              <w:rPr>
                <w:bCs/>
                <w:szCs w:val="22"/>
              </w:rPr>
            </w:pPr>
            <w:r>
              <w:rPr>
                <w:bCs/>
                <w:szCs w:val="22"/>
              </w:rPr>
              <w:t>NA</w:t>
            </w:r>
          </w:p>
          <w:p w14:paraId="4D7213F8" w14:textId="77777777" w:rsidR="008656C8" w:rsidRDefault="008656C8" w:rsidP="00A2543A">
            <w:pPr>
              <w:keepNext/>
              <w:jc w:val="center"/>
              <w:rPr>
                <w:bCs/>
                <w:szCs w:val="22"/>
              </w:rPr>
            </w:pPr>
          </w:p>
          <w:p w14:paraId="2C74E7DD" w14:textId="77777777" w:rsidR="008656C8" w:rsidRDefault="008656C8" w:rsidP="00A2543A">
            <w:pPr>
              <w:keepNext/>
              <w:jc w:val="center"/>
              <w:rPr>
                <w:bCs/>
                <w:szCs w:val="22"/>
              </w:rPr>
            </w:pPr>
            <w:r>
              <w:rPr>
                <w:bCs/>
                <w:szCs w:val="22"/>
              </w:rPr>
              <w:t>NA</w:t>
            </w:r>
          </w:p>
          <w:p w14:paraId="1BEFC9CD" w14:textId="77777777" w:rsidR="008656C8" w:rsidRDefault="008656C8" w:rsidP="00A2543A">
            <w:pPr>
              <w:keepNext/>
              <w:jc w:val="center"/>
              <w:rPr>
                <w:bCs/>
                <w:szCs w:val="22"/>
              </w:rPr>
            </w:pPr>
          </w:p>
        </w:tc>
        <w:tc>
          <w:tcPr>
            <w:tcW w:w="987"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591D8002" w14:textId="77777777" w:rsidR="008656C8" w:rsidRDefault="008656C8" w:rsidP="00A2543A">
            <w:pPr>
              <w:keepNext/>
              <w:jc w:val="center"/>
              <w:rPr>
                <w:bCs/>
                <w:szCs w:val="22"/>
                <w:lang w:val="en-GB"/>
              </w:rPr>
            </w:pPr>
            <w:r>
              <w:rPr>
                <w:bCs/>
                <w:szCs w:val="22"/>
              </w:rPr>
              <w:t>-23.1 (</w:t>
            </w:r>
            <w:r>
              <w:rPr>
                <w:bCs/>
                <w:szCs w:val="22"/>
              </w:rPr>
              <w:noBreakHyphen/>
              <w:t xml:space="preserve">26.1, </w:t>
            </w:r>
            <w:r>
              <w:rPr>
                <w:bCs/>
                <w:szCs w:val="22"/>
              </w:rPr>
              <w:noBreakHyphen/>
              <w:t>20.1)</w:t>
            </w:r>
          </w:p>
          <w:p w14:paraId="5BC4B1F4" w14:textId="77777777" w:rsidR="008656C8" w:rsidRDefault="008656C8" w:rsidP="00A2543A">
            <w:pPr>
              <w:keepNext/>
              <w:jc w:val="center"/>
              <w:rPr>
                <w:bCs/>
                <w:szCs w:val="22"/>
              </w:rPr>
            </w:pPr>
            <w:r>
              <w:rPr>
                <w:bCs/>
                <w:i/>
                <w:szCs w:val="22"/>
              </w:rPr>
              <w:t>P</w:t>
            </w:r>
            <w:r>
              <w:rPr>
                <w:bCs/>
                <w:szCs w:val="22"/>
              </w:rPr>
              <w:t>&lt;0.0001</w:t>
            </w:r>
          </w:p>
        </w:tc>
      </w:tr>
      <w:tr w:rsidR="008656C8" w14:paraId="2347429D" w14:textId="77777777" w:rsidTr="00A2543A">
        <w:tc>
          <w:tcPr>
            <w:tcW w:w="1972" w:type="pct"/>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2732411B" w14:textId="77777777" w:rsidR="008656C8" w:rsidRDefault="008656C8" w:rsidP="00A2543A">
            <w:pPr>
              <w:keepNext/>
              <w:rPr>
                <w:bCs/>
                <w:lang w:val="en-GB"/>
              </w:rPr>
            </w:pPr>
            <w:r>
              <w:rPr>
                <w:bCs/>
              </w:rPr>
              <w:t>Absolute change in CFQ</w:t>
            </w:r>
            <w:r>
              <w:rPr>
                <w:bCs/>
              </w:rPr>
              <w:noBreakHyphen/>
              <w:t>R respiratory domain score from baseline through Week</w:t>
            </w:r>
            <w:r>
              <w:rPr>
                <w:bCs/>
                <w:iCs/>
                <w:szCs w:val="22"/>
              </w:rPr>
              <w:t> 8</w:t>
            </w:r>
            <w:r>
              <w:rPr>
                <w:bCs/>
              </w:rPr>
              <w:t xml:space="preserve"> (points)</w:t>
            </w:r>
          </w:p>
        </w:tc>
        <w:tc>
          <w:tcPr>
            <w:tcW w:w="1224"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4DF86341" w14:textId="77777777" w:rsidR="008656C8" w:rsidRDefault="008656C8" w:rsidP="00A2543A">
            <w:pPr>
              <w:pStyle w:val="tabletextleftjustified"/>
              <w:keepNext/>
              <w:spacing w:before="0" w:after="0"/>
              <w:jc w:val="right"/>
              <w:rPr>
                <w:sz w:val="22"/>
                <w:szCs w:val="22"/>
              </w:rPr>
            </w:pPr>
            <w:r>
              <w:rPr>
                <w:sz w:val="22"/>
                <w:szCs w:val="22"/>
              </w:rPr>
              <w:t xml:space="preserve">Within-group change </w:t>
            </w:r>
            <w:r>
              <w:rPr>
                <w:bCs/>
                <w:sz w:val="22"/>
                <w:szCs w:val="22"/>
              </w:rPr>
              <w:t>(95% CI)</w:t>
            </w:r>
          </w:p>
        </w:tc>
        <w:tc>
          <w:tcPr>
            <w:tcW w:w="81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4D04822A" w14:textId="77777777" w:rsidR="008656C8" w:rsidRDefault="008656C8" w:rsidP="00A2543A">
            <w:pPr>
              <w:pStyle w:val="tabletextcenterjustified"/>
              <w:keepNext/>
              <w:spacing w:before="0" w:after="0"/>
              <w:rPr>
                <w:sz w:val="22"/>
                <w:szCs w:val="22"/>
              </w:rPr>
            </w:pPr>
            <w:r>
              <w:rPr>
                <w:sz w:val="22"/>
                <w:szCs w:val="22"/>
              </w:rPr>
              <w:t xml:space="preserve">1.6 </w:t>
            </w:r>
            <w:r>
              <w:rPr>
                <w:sz w:val="22"/>
                <w:szCs w:val="22"/>
                <w:lang w:val="en-GB"/>
              </w:rPr>
              <w:t>(-0.8, 4.1)</w:t>
            </w:r>
          </w:p>
          <w:p w14:paraId="41025F06" w14:textId="77777777" w:rsidR="008656C8" w:rsidRDefault="008656C8" w:rsidP="00A2543A">
            <w:pPr>
              <w:pStyle w:val="tabletextcenterjustified"/>
              <w:keepNext/>
              <w:spacing w:before="0" w:after="0"/>
              <w:rPr>
                <w:sz w:val="22"/>
                <w:szCs w:val="22"/>
              </w:rPr>
            </w:pPr>
          </w:p>
        </w:tc>
        <w:tc>
          <w:tcPr>
            <w:tcW w:w="987"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130433E3" w14:textId="77777777" w:rsidR="008656C8" w:rsidRDefault="008656C8" w:rsidP="00A2543A">
            <w:pPr>
              <w:pStyle w:val="tabletextcenterjustified"/>
              <w:keepNext/>
              <w:spacing w:before="0" w:after="0"/>
              <w:rPr>
                <w:sz w:val="22"/>
                <w:szCs w:val="22"/>
                <w:lang w:val="en-GB"/>
              </w:rPr>
            </w:pPr>
            <w:r>
              <w:rPr>
                <w:sz w:val="22"/>
                <w:szCs w:val="22"/>
                <w:lang w:val="en-GB"/>
              </w:rPr>
              <w:t>10.3 (8.0, 12.7)</w:t>
            </w:r>
          </w:p>
        </w:tc>
      </w:tr>
      <w:tr w:rsidR="008656C8" w14:paraId="148351EE" w14:textId="77777777" w:rsidTr="00A2543A">
        <w:tc>
          <w:tcPr>
            <w:tcW w:w="1972" w:type="pct"/>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7FD34EE2" w14:textId="77777777" w:rsidR="008656C8" w:rsidRDefault="008656C8" w:rsidP="00A2543A">
            <w:pPr>
              <w:keepNext/>
              <w:rPr>
                <w:bCs/>
                <w:szCs w:val="22"/>
              </w:rPr>
            </w:pPr>
            <w:r>
              <w:rPr>
                <w:bCs/>
              </w:rPr>
              <w:t>Absolute change in CFQ</w:t>
            </w:r>
            <w:r>
              <w:rPr>
                <w:bCs/>
              </w:rPr>
              <w:noBreakHyphen/>
              <w:t>R respiratory domain score from baseline through Week</w:t>
            </w:r>
            <w:r>
              <w:rPr>
                <w:bCs/>
                <w:iCs/>
                <w:szCs w:val="22"/>
              </w:rPr>
              <w:t> 8</w:t>
            </w:r>
            <w:r>
              <w:rPr>
                <w:bCs/>
              </w:rPr>
              <w:t xml:space="preserve"> (points)</w:t>
            </w:r>
            <w:r>
              <w:rPr>
                <w:bCs/>
                <w:szCs w:val="22"/>
              </w:rPr>
              <w:t xml:space="preserve"> compared to the control group</w:t>
            </w:r>
          </w:p>
        </w:tc>
        <w:tc>
          <w:tcPr>
            <w:tcW w:w="1224"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688629BD" w14:textId="77777777" w:rsidR="008656C8" w:rsidRDefault="008656C8" w:rsidP="00A2543A">
            <w:pPr>
              <w:pStyle w:val="tabletextleftjustified"/>
              <w:keepNext/>
              <w:spacing w:before="0" w:after="0"/>
              <w:jc w:val="right"/>
              <w:rPr>
                <w:sz w:val="22"/>
                <w:szCs w:val="22"/>
              </w:rPr>
            </w:pPr>
            <w:r>
              <w:rPr>
                <w:sz w:val="22"/>
                <w:szCs w:val="22"/>
              </w:rPr>
              <w:t>Treatment difference (95% CI)</w:t>
            </w:r>
          </w:p>
        </w:tc>
        <w:tc>
          <w:tcPr>
            <w:tcW w:w="81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7DFC1864" w14:textId="77777777" w:rsidR="008656C8" w:rsidRDefault="008656C8" w:rsidP="00A2543A">
            <w:pPr>
              <w:pStyle w:val="tabletextcenterjustified"/>
              <w:keepNext/>
              <w:spacing w:before="0" w:after="0"/>
              <w:rPr>
                <w:sz w:val="22"/>
                <w:szCs w:val="22"/>
              </w:rPr>
            </w:pPr>
            <w:r>
              <w:rPr>
                <w:sz w:val="22"/>
                <w:szCs w:val="22"/>
              </w:rPr>
              <w:t>NA</w:t>
            </w:r>
          </w:p>
          <w:p w14:paraId="4B40A146" w14:textId="77777777" w:rsidR="008656C8" w:rsidRDefault="008656C8" w:rsidP="00A2543A">
            <w:pPr>
              <w:keepNext/>
              <w:jc w:val="center"/>
              <w:rPr>
                <w:bCs/>
                <w:szCs w:val="22"/>
              </w:rPr>
            </w:pPr>
          </w:p>
        </w:tc>
        <w:tc>
          <w:tcPr>
            <w:tcW w:w="987"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55B8257F" w14:textId="214A585E" w:rsidR="008656C8" w:rsidRDefault="008656C8" w:rsidP="00A2543A">
            <w:pPr>
              <w:pStyle w:val="tabletextcenterjustified"/>
              <w:keepNext/>
              <w:rPr>
                <w:sz w:val="22"/>
                <w:szCs w:val="22"/>
                <w:lang w:val="en-GB"/>
              </w:rPr>
            </w:pPr>
            <w:r>
              <w:rPr>
                <w:sz w:val="22"/>
                <w:szCs w:val="22"/>
                <w:lang w:val="en-GB"/>
              </w:rPr>
              <w:t>8.7 (5.3, 12.1)</w:t>
            </w:r>
          </w:p>
        </w:tc>
      </w:tr>
      <w:tr w:rsidR="008656C8" w14:paraId="2561DBA3" w14:textId="77777777" w:rsidTr="00A2543A">
        <w:tc>
          <w:tcPr>
            <w:tcW w:w="5000" w:type="pct"/>
            <w:gridSpan w:val="4"/>
            <w:tcBorders>
              <w:top w:val="single" w:sz="6" w:space="0" w:color="auto"/>
              <w:left w:val="single" w:sz="4" w:space="0" w:color="auto"/>
              <w:bottom w:val="single" w:sz="6" w:space="0" w:color="auto"/>
              <w:right w:val="single" w:sz="4" w:space="0" w:color="auto"/>
            </w:tcBorders>
            <w:tcMar>
              <w:top w:w="0" w:type="dxa"/>
              <w:left w:w="108" w:type="dxa"/>
              <w:bottom w:w="0" w:type="dxa"/>
              <w:right w:w="108" w:type="dxa"/>
            </w:tcMar>
            <w:vAlign w:val="center"/>
            <w:hideMark/>
          </w:tcPr>
          <w:p w14:paraId="0CEAD44E" w14:textId="77777777" w:rsidR="008656C8" w:rsidRPr="00E36E62" w:rsidRDefault="008656C8" w:rsidP="00A2543A">
            <w:pPr>
              <w:pStyle w:val="tabletextcenterjustified"/>
              <w:keepNext/>
              <w:spacing w:before="0" w:after="0"/>
              <w:jc w:val="left"/>
              <w:rPr>
                <w:sz w:val="22"/>
                <w:szCs w:val="22"/>
              </w:rPr>
            </w:pPr>
            <w:r w:rsidRPr="00E36E62">
              <w:rPr>
                <w:bCs/>
                <w:sz w:val="22"/>
                <w:szCs w:val="22"/>
              </w:rPr>
              <w:t>ppFEV</w:t>
            </w:r>
            <w:r w:rsidRPr="00E36E62">
              <w:rPr>
                <w:bCs/>
                <w:sz w:val="22"/>
                <w:szCs w:val="22"/>
                <w:vertAlign w:val="subscript"/>
              </w:rPr>
              <w:t>1</w:t>
            </w:r>
            <w:r w:rsidRPr="00E36E62">
              <w:rPr>
                <w:bCs/>
                <w:sz w:val="22"/>
                <w:szCs w:val="22"/>
              </w:rPr>
              <w:t>: percent predicted forced expiratory volume in 1 second; CI: confidence interval;</w:t>
            </w:r>
            <w:r>
              <w:rPr>
                <w:bCs/>
                <w:sz w:val="22"/>
                <w:szCs w:val="22"/>
              </w:rPr>
              <w:t xml:space="preserve"> </w:t>
            </w:r>
            <w:r w:rsidRPr="00E36E62">
              <w:rPr>
                <w:bCs/>
                <w:sz w:val="22"/>
                <w:szCs w:val="22"/>
              </w:rPr>
              <w:t xml:space="preserve">NA: not applicable; </w:t>
            </w:r>
            <w:r w:rsidRPr="00E36E62">
              <w:rPr>
                <w:sz w:val="22"/>
                <w:szCs w:val="22"/>
              </w:rPr>
              <w:t>CFQ</w:t>
            </w:r>
            <w:r w:rsidRPr="00E36E62">
              <w:rPr>
                <w:sz w:val="22"/>
                <w:szCs w:val="22"/>
              </w:rPr>
              <w:noBreakHyphen/>
              <w:t>R: Cystic Fibrosis Questionnaire</w:t>
            </w:r>
            <w:r w:rsidRPr="00E36E62">
              <w:rPr>
                <w:sz w:val="22"/>
                <w:szCs w:val="22"/>
              </w:rPr>
              <w:noBreakHyphen/>
              <w:t>Revised</w:t>
            </w:r>
            <w:r w:rsidRPr="00E36E62">
              <w:rPr>
                <w:bCs/>
                <w:sz w:val="22"/>
                <w:szCs w:val="22"/>
              </w:rPr>
              <w:t>.</w:t>
            </w:r>
          </w:p>
          <w:p w14:paraId="27DF7AB2" w14:textId="2695321E" w:rsidR="008656C8" w:rsidRPr="00E36E62" w:rsidRDefault="008656C8" w:rsidP="00A2543A">
            <w:pPr>
              <w:keepNext/>
              <w:rPr>
                <w:bCs/>
                <w:szCs w:val="22"/>
              </w:rPr>
            </w:pPr>
            <w:r w:rsidRPr="00E36E62">
              <w:rPr>
                <w:bCs/>
                <w:szCs w:val="22"/>
              </w:rPr>
              <w:t xml:space="preserve">* Baseline for primary and secondary endpoints is defined as the end of the 4-week run-in period of </w:t>
            </w:r>
            <w:r w:rsidR="003037BB">
              <w:rPr>
                <w:bCs/>
                <w:szCs w:val="22"/>
              </w:rPr>
              <w:t>KALYDECO</w:t>
            </w:r>
            <w:r w:rsidRPr="00E36E62">
              <w:rPr>
                <w:bCs/>
                <w:szCs w:val="22"/>
              </w:rPr>
              <w:t xml:space="preserve"> or</w:t>
            </w:r>
            <w:r w:rsidR="003037BB">
              <w:rPr>
                <w:bCs/>
                <w:szCs w:val="22"/>
              </w:rPr>
              <w:t xml:space="preserve"> SYMDEKO</w:t>
            </w:r>
            <w:r w:rsidRPr="00E36E62">
              <w:rPr>
                <w:bCs/>
                <w:szCs w:val="22"/>
              </w:rPr>
              <w:t>.</w:t>
            </w:r>
          </w:p>
          <w:p w14:paraId="4372C7A5" w14:textId="65AF3CA0" w:rsidR="008656C8" w:rsidRDefault="008656C8" w:rsidP="00A2543A">
            <w:pPr>
              <w:keepNext/>
              <w:rPr>
                <w:bCs/>
                <w:szCs w:val="22"/>
              </w:rPr>
            </w:pPr>
            <w:r w:rsidRPr="00E36E62">
              <w:rPr>
                <w:bCs/>
                <w:szCs w:val="22"/>
              </w:rPr>
              <w:t xml:space="preserve"># </w:t>
            </w:r>
            <w:r w:rsidR="003037BB">
              <w:rPr>
                <w:bCs/>
                <w:szCs w:val="22"/>
              </w:rPr>
              <w:t>KALYDECO</w:t>
            </w:r>
            <w:r w:rsidRPr="00E36E62">
              <w:rPr>
                <w:bCs/>
                <w:szCs w:val="22"/>
              </w:rPr>
              <w:t xml:space="preserve"> group</w:t>
            </w:r>
            <w:r w:rsidRPr="0072260B">
              <w:rPr>
                <w:bCs/>
                <w:szCs w:val="22"/>
              </w:rPr>
              <w:t xml:space="preserve"> or </w:t>
            </w:r>
            <w:r w:rsidR="003037BB">
              <w:rPr>
                <w:bCs/>
                <w:szCs w:val="22"/>
              </w:rPr>
              <w:t>SYMDEKO</w:t>
            </w:r>
            <w:r w:rsidRPr="00E36E62">
              <w:rPr>
                <w:bCs/>
                <w:szCs w:val="22"/>
              </w:rPr>
              <w:t xml:space="preserve"> group.</w:t>
            </w:r>
            <w:r>
              <w:rPr>
                <w:bCs/>
                <w:szCs w:val="22"/>
              </w:rPr>
              <w:t xml:space="preserve"> </w:t>
            </w:r>
          </w:p>
        </w:tc>
      </w:tr>
    </w:tbl>
    <w:p w14:paraId="167A3F30" w14:textId="77777777" w:rsidR="008656C8" w:rsidRPr="001451A6" w:rsidRDefault="008656C8" w:rsidP="00015F80">
      <w:pPr>
        <w:keepNext/>
        <w:rPr>
          <w:rFonts w:ascii="Cambria" w:hAnsi="Cambria"/>
          <w:b/>
          <w:bCs/>
          <w:szCs w:val="22"/>
        </w:rPr>
      </w:pPr>
    </w:p>
    <w:p w14:paraId="3C7D7BC9" w14:textId="20AC8BC1" w:rsidR="00015F80" w:rsidRPr="00015F80" w:rsidRDefault="00015F80" w:rsidP="00015F80">
      <w:pPr>
        <w:keepNext/>
        <w:rPr>
          <w:rFonts w:ascii="Cambria" w:hAnsi="Cambria"/>
          <w:b/>
          <w:bCs/>
          <w:iCs/>
          <w:szCs w:val="22"/>
        </w:rPr>
      </w:pPr>
      <w:r w:rsidRPr="00015F80">
        <w:rPr>
          <w:rFonts w:ascii="Cambria" w:hAnsi="Cambria"/>
          <w:b/>
          <w:bCs/>
          <w:i/>
          <w:iCs/>
          <w:szCs w:val="22"/>
        </w:rPr>
        <w:t>Study 445-105</w:t>
      </w:r>
    </w:p>
    <w:p w14:paraId="3502B502" w14:textId="451B04C2" w:rsidR="00015F80" w:rsidRPr="00015F80" w:rsidRDefault="00015F80" w:rsidP="00015F80">
      <w:pPr>
        <w:keepNext/>
        <w:rPr>
          <w:rFonts w:ascii="Cambria" w:hAnsi="Cambria"/>
          <w:bCs/>
          <w:iCs/>
          <w:szCs w:val="22"/>
        </w:rPr>
      </w:pPr>
      <w:r w:rsidRPr="00015F80">
        <w:rPr>
          <w:rFonts w:ascii="Cambria" w:hAnsi="Cambria"/>
          <w:bCs/>
          <w:iCs/>
          <w:szCs w:val="22"/>
        </w:rPr>
        <w:t>An ongoing, 96</w:t>
      </w:r>
      <w:r w:rsidRPr="00015F80">
        <w:rPr>
          <w:rFonts w:ascii="Cambria" w:hAnsi="Cambria"/>
          <w:bCs/>
          <w:iCs/>
          <w:szCs w:val="22"/>
        </w:rPr>
        <w:noBreakHyphen/>
        <w:t>week open</w:t>
      </w:r>
      <w:r w:rsidRPr="00015F80">
        <w:rPr>
          <w:rFonts w:ascii="Cambria" w:hAnsi="Cambria"/>
          <w:bCs/>
          <w:iCs/>
          <w:szCs w:val="22"/>
        </w:rPr>
        <w:noBreakHyphen/>
        <w:t>label extension study to evaluate the safety and efficacy of long</w:t>
      </w:r>
      <w:r w:rsidRPr="00015F80">
        <w:rPr>
          <w:rFonts w:ascii="Cambria" w:hAnsi="Cambria"/>
          <w:bCs/>
          <w:iCs/>
          <w:szCs w:val="22"/>
        </w:rPr>
        <w:noBreakHyphen/>
        <w:t>term treatment with T</w:t>
      </w:r>
      <w:r w:rsidR="006E4A2B">
        <w:rPr>
          <w:rFonts w:ascii="Cambria" w:hAnsi="Cambria"/>
          <w:bCs/>
          <w:iCs/>
          <w:szCs w:val="22"/>
        </w:rPr>
        <w:t>RIKAFTA</w:t>
      </w:r>
      <w:r w:rsidRPr="00015F80">
        <w:rPr>
          <w:rFonts w:ascii="Cambria" w:hAnsi="Cambria"/>
          <w:bCs/>
          <w:iCs/>
          <w:szCs w:val="22"/>
        </w:rPr>
        <w:t xml:space="preserve"> is being conducted in patients who rolled over from Studies 445</w:t>
      </w:r>
      <w:r w:rsidRPr="00015F80">
        <w:rPr>
          <w:rFonts w:ascii="Cambria" w:hAnsi="Cambria"/>
          <w:bCs/>
          <w:iCs/>
          <w:szCs w:val="22"/>
        </w:rPr>
        <w:noBreakHyphen/>
        <w:t xml:space="preserve">102 and 445-103. For patients homozygous for the </w:t>
      </w:r>
      <w:r w:rsidRPr="00015F80">
        <w:rPr>
          <w:rFonts w:ascii="Cambria" w:hAnsi="Cambria"/>
          <w:bCs/>
          <w:i/>
          <w:iCs/>
          <w:szCs w:val="22"/>
        </w:rPr>
        <w:t>F508del</w:t>
      </w:r>
      <w:r w:rsidRPr="00015F80">
        <w:rPr>
          <w:rFonts w:ascii="Cambria" w:hAnsi="Cambria"/>
          <w:bCs/>
          <w:iCs/>
          <w:szCs w:val="22"/>
        </w:rPr>
        <w:t xml:space="preserve"> mutation who rolled over from Study 445</w:t>
      </w:r>
      <w:r w:rsidRPr="00015F80">
        <w:rPr>
          <w:rFonts w:ascii="Cambria" w:hAnsi="Cambria"/>
          <w:bCs/>
          <w:iCs/>
          <w:szCs w:val="22"/>
        </w:rPr>
        <w:noBreakHyphen/>
        <w:t>103 (n=107), an interim efficacy analysis</w:t>
      </w:r>
      <w:r w:rsidRPr="00015F80">
        <w:rPr>
          <w:rFonts w:ascii="Cambria" w:hAnsi="Cambria"/>
          <w:b/>
          <w:bCs/>
          <w:iCs/>
          <w:szCs w:val="22"/>
        </w:rPr>
        <w:t xml:space="preserve"> </w:t>
      </w:r>
      <w:r w:rsidRPr="00015F80">
        <w:rPr>
          <w:rFonts w:ascii="Cambria" w:hAnsi="Cambria"/>
          <w:bCs/>
          <w:iCs/>
          <w:szCs w:val="22"/>
        </w:rPr>
        <w:t>was conducted when they completed Week 24 visit of Study 445</w:t>
      </w:r>
      <w:r w:rsidRPr="00015F80">
        <w:rPr>
          <w:rFonts w:ascii="Cambria" w:hAnsi="Cambria"/>
          <w:bCs/>
          <w:iCs/>
          <w:szCs w:val="22"/>
        </w:rPr>
        <w:noBreakHyphen/>
        <w:t xml:space="preserve">105. </w:t>
      </w:r>
    </w:p>
    <w:p w14:paraId="43E6EDEF" w14:textId="77777777" w:rsidR="00015F80" w:rsidRPr="00015F80" w:rsidRDefault="00015F80" w:rsidP="00015F80">
      <w:pPr>
        <w:rPr>
          <w:rFonts w:ascii="Cambria" w:hAnsi="Cambria"/>
          <w:bCs/>
          <w:iCs/>
          <w:szCs w:val="22"/>
        </w:rPr>
      </w:pPr>
    </w:p>
    <w:p w14:paraId="0D42CC5C" w14:textId="75E1C757" w:rsidR="00015F80" w:rsidRPr="00015F80" w:rsidRDefault="00015F80" w:rsidP="00015F80">
      <w:pPr>
        <w:rPr>
          <w:rFonts w:ascii="Cambria" w:hAnsi="Cambria"/>
        </w:rPr>
      </w:pPr>
      <w:r w:rsidRPr="00015F80">
        <w:rPr>
          <w:rFonts w:ascii="Cambria" w:hAnsi="Cambria"/>
          <w:bCs/>
          <w:iCs/>
          <w:szCs w:val="22"/>
        </w:rPr>
        <w:t>Patients who received T</w:t>
      </w:r>
      <w:r w:rsidR="006E4A2B">
        <w:rPr>
          <w:rFonts w:ascii="Cambria" w:hAnsi="Cambria"/>
          <w:bCs/>
          <w:iCs/>
          <w:szCs w:val="22"/>
        </w:rPr>
        <w:t>RIKAFTA</w:t>
      </w:r>
      <w:r w:rsidRPr="00015F80">
        <w:rPr>
          <w:rFonts w:ascii="Cambria" w:hAnsi="Cambria"/>
          <w:bCs/>
          <w:iCs/>
          <w:szCs w:val="22"/>
        </w:rPr>
        <w:t xml:space="preserve"> in Study 445</w:t>
      </w:r>
      <w:r w:rsidRPr="00015F80">
        <w:rPr>
          <w:rFonts w:ascii="Cambria" w:hAnsi="Cambria"/>
          <w:bCs/>
          <w:iCs/>
          <w:szCs w:val="22"/>
        </w:rPr>
        <w:noBreakHyphen/>
        <w:t>103, and continued on treatment in Study 445</w:t>
      </w:r>
      <w:r w:rsidRPr="00015F80">
        <w:rPr>
          <w:rFonts w:ascii="Cambria" w:hAnsi="Cambria"/>
          <w:bCs/>
          <w:iCs/>
          <w:szCs w:val="22"/>
        </w:rPr>
        <w:noBreakHyphen/>
        <w:t>105, showed sustained improvements in ppFEV</w:t>
      </w:r>
      <w:r w:rsidRPr="00015F80">
        <w:rPr>
          <w:rFonts w:ascii="Cambria" w:hAnsi="Cambria"/>
          <w:bCs/>
          <w:iCs/>
          <w:szCs w:val="22"/>
          <w:vertAlign w:val="subscript"/>
        </w:rPr>
        <w:t>1</w:t>
      </w:r>
      <w:r w:rsidRPr="00015F80">
        <w:rPr>
          <w:rFonts w:ascii="Cambria" w:hAnsi="Cambria"/>
          <w:bCs/>
          <w:iCs/>
          <w:szCs w:val="22"/>
        </w:rPr>
        <w:t xml:space="preserve"> through 28 weeks of cumulative treatment (i.e., through Week 24 in Study 445</w:t>
      </w:r>
      <w:r w:rsidRPr="00015F80">
        <w:rPr>
          <w:rFonts w:ascii="Cambria" w:hAnsi="Cambria"/>
          <w:bCs/>
          <w:iCs/>
          <w:szCs w:val="22"/>
        </w:rPr>
        <w:noBreakHyphen/>
        <w:t xml:space="preserve">105) (see Figure </w:t>
      </w:r>
      <w:r w:rsidR="00240796">
        <w:rPr>
          <w:rFonts w:ascii="Cambria" w:hAnsi="Cambria"/>
          <w:bCs/>
          <w:iCs/>
          <w:szCs w:val="22"/>
        </w:rPr>
        <w:t>4</w:t>
      </w:r>
      <w:r w:rsidRPr="00015F80">
        <w:rPr>
          <w:rFonts w:ascii="Cambria" w:hAnsi="Cambria"/>
          <w:bCs/>
          <w:iCs/>
          <w:szCs w:val="22"/>
        </w:rPr>
        <w:t xml:space="preserve">). </w:t>
      </w:r>
      <w:r w:rsidRPr="00015F80">
        <w:rPr>
          <w:rFonts w:ascii="Cambria" w:hAnsi="Cambria"/>
        </w:rPr>
        <w:t>These patients had an annualized pulmonary exacerbation event rate of 0.30 through Week 24 and a mean absolute change in BMI of 1.27 kg/m</w:t>
      </w:r>
      <w:r w:rsidRPr="00015F80">
        <w:rPr>
          <w:rFonts w:ascii="Cambria" w:hAnsi="Cambria"/>
          <w:vertAlign w:val="superscript"/>
        </w:rPr>
        <w:t xml:space="preserve">2 </w:t>
      </w:r>
      <w:r w:rsidRPr="00015F80">
        <w:rPr>
          <w:rFonts w:ascii="Cambria" w:hAnsi="Cambria"/>
        </w:rPr>
        <w:t>at Week 24 of Study 445</w:t>
      </w:r>
      <w:r w:rsidRPr="00015F80">
        <w:rPr>
          <w:rFonts w:ascii="Cambria" w:hAnsi="Cambria"/>
        </w:rPr>
        <w:noBreakHyphen/>
        <w:t>105. Improvements seen in sweat chloride and CFQ-R respiratory domain score at Week 4 in Study 445-103 were sustained through 24 weeks of treatment in Study 445-105. Substantial improvements in BMI-z score and weight were observed following 24 weeks of T</w:t>
      </w:r>
      <w:r w:rsidR="006E4A2B">
        <w:rPr>
          <w:rFonts w:ascii="Cambria" w:hAnsi="Cambria"/>
        </w:rPr>
        <w:t>RIKAFTA</w:t>
      </w:r>
      <w:r w:rsidRPr="00015F80">
        <w:rPr>
          <w:rFonts w:ascii="Cambria" w:hAnsi="Cambria"/>
        </w:rPr>
        <w:t xml:space="preserve"> treatment in Study 445-105.</w:t>
      </w:r>
      <w:r w:rsidRPr="00015F80" w:rsidDel="00765ACA">
        <w:rPr>
          <w:rFonts w:ascii="Cambria" w:hAnsi="Cambria"/>
        </w:rPr>
        <w:t xml:space="preserve"> </w:t>
      </w:r>
    </w:p>
    <w:p w14:paraId="7668925F" w14:textId="77777777" w:rsidR="00015F80" w:rsidRPr="00015F80" w:rsidRDefault="00015F80" w:rsidP="00015F80">
      <w:pPr>
        <w:rPr>
          <w:rFonts w:ascii="Cambria" w:hAnsi="Cambria"/>
          <w:bCs/>
          <w:iCs/>
          <w:szCs w:val="22"/>
        </w:rPr>
      </w:pPr>
    </w:p>
    <w:p w14:paraId="56A6936D" w14:textId="6C972BB5" w:rsidR="00015F80" w:rsidRPr="00015F80" w:rsidRDefault="00015F80" w:rsidP="00015F80">
      <w:pPr>
        <w:keepNext/>
        <w:rPr>
          <w:rFonts w:ascii="Cambria" w:hAnsi="Cambria"/>
          <w:b/>
          <w:bCs/>
          <w:iCs/>
          <w:szCs w:val="22"/>
        </w:rPr>
      </w:pPr>
      <w:r w:rsidRPr="00015F80">
        <w:rPr>
          <w:rFonts w:ascii="Cambria" w:hAnsi="Cambria"/>
          <w:b/>
          <w:bCs/>
          <w:iCs/>
          <w:szCs w:val="22"/>
        </w:rPr>
        <w:t xml:space="preserve">Figure </w:t>
      </w:r>
      <w:r w:rsidR="00240796">
        <w:rPr>
          <w:rFonts w:ascii="Cambria" w:hAnsi="Cambria"/>
          <w:b/>
          <w:bCs/>
          <w:iCs/>
          <w:szCs w:val="22"/>
        </w:rPr>
        <w:t>4</w:t>
      </w:r>
      <w:r w:rsidRPr="00015F80">
        <w:rPr>
          <w:rFonts w:ascii="Cambria" w:hAnsi="Cambria"/>
          <w:b/>
          <w:bCs/>
          <w:iCs/>
          <w:szCs w:val="22"/>
        </w:rPr>
        <w:t xml:space="preserve">: </w:t>
      </w:r>
      <w:bookmarkStart w:id="42" w:name="_Hlk20995533"/>
      <w:r w:rsidRPr="00015F80">
        <w:rPr>
          <w:rFonts w:ascii="Cambria" w:hAnsi="Cambria"/>
          <w:b/>
          <w:bCs/>
          <w:iCs/>
          <w:szCs w:val="22"/>
        </w:rPr>
        <w:t>Absolute Change in Percent Predicted FEV</w:t>
      </w:r>
      <w:r w:rsidRPr="00015F80">
        <w:rPr>
          <w:rFonts w:ascii="Cambria" w:hAnsi="Cambria"/>
          <w:b/>
          <w:bCs/>
          <w:iCs/>
          <w:szCs w:val="22"/>
          <w:vertAlign w:val="subscript"/>
        </w:rPr>
        <w:t>1</w:t>
      </w:r>
      <w:r w:rsidRPr="00015F80">
        <w:rPr>
          <w:rFonts w:ascii="Cambria" w:hAnsi="Cambria"/>
          <w:b/>
          <w:bCs/>
          <w:iCs/>
          <w:szCs w:val="22"/>
        </w:rPr>
        <w:t xml:space="preserve"> From Baseline at Each Visit in Study 445</w:t>
      </w:r>
      <w:r w:rsidRPr="00015F80">
        <w:rPr>
          <w:rFonts w:ascii="Cambria" w:hAnsi="Cambria"/>
          <w:b/>
          <w:bCs/>
          <w:iCs/>
          <w:szCs w:val="22"/>
        </w:rPr>
        <w:noBreakHyphen/>
        <w:t>103 and in Study 445</w:t>
      </w:r>
      <w:r w:rsidRPr="00015F80">
        <w:rPr>
          <w:rFonts w:ascii="Cambria" w:hAnsi="Cambria"/>
          <w:b/>
          <w:bCs/>
          <w:iCs/>
          <w:szCs w:val="22"/>
        </w:rPr>
        <w:noBreakHyphen/>
        <w:t>105 for Patients that Rolled Over From Study 445</w:t>
      </w:r>
      <w:r w:rsidRPr="00015F80">
        <w:rPr>
          <w:rFonts w:ascii="Cambria" w:hAnsi="Cambria"/>
          <w:b/>
          <w:bCs/>
          <w:iCs/>
          <w:szCs w:val="22"/>
        </w:rPr>
        <w:noBreakHyphen/>
        <w:t>103</w:t>
      </w:r>
      <w:bookmarkEnd w:id="42"/>
    </w:p>
    <w:p w14:paraId="4F72AAAB" w14:textId="77777777" w:rsidR="00015F80" w:rsidRPr="00015F80" w:rsidRDefault="00015F80" w:rsidP="00015F80">
      <w:pPr>
        <w:keepNext/>
        <w:tabs>
          <w:tab w:val="clear" w:pos="567"/>
          <w:tab w:val="left" w:pos="6578"/>
        </w:tabs>
        <w:rPr>
          <w:rFonts w:ascii="Cambria" w:hAnsi="Cambria"/>
          <w:b/>
          <w:bCs/>
          <w:iCs/>
          <w:szCs w:val="22"/>
        </w:rPr>
      </w:pPr>
      <w:r w:rsidRPr="00015F80">
        <w:rPr>
          <w:rFonts w:ascii="Cambria" w:hAnsi="Cambria"/>
          <w:b/>
          <w:bCs/>
          <w:iCs/>
          <w:szCs w:val="22"/>
        </w:rPr>
        <w:tab/>
      </w:r>
    </w:p>
    <w:p w14:paraId="559C73AD" w14:textId="1E207BA7" w:rsidR="00811313" w:rsidRPr="0071594A" w:rsidRDefault="007B6E53" w:rsidP="0071594A">
      <w:pPr>
        <w:tabs>
          <w:tab w:val="clear" w:pos="567"/>
          <w:tab w:val="left" w:pos="3779"/>
        </w:tabs>
        <w:rPr>
          <w:szCs w:val="22"/>
        </w:rPr>
      </w:pPr>
      <w:r w:rsidRPr="00A56AF1">
        <w:rPr>
          <w:noProof/>
          <w:szCs w:val="22"/>
          <w:lang w:val="en-AU" w:eastAsia="en-AU"/>
        </w:rPr>
        <w:drawing>
          <wp:inline distT="0" distB="0" distL="0" distR="0" wp14:anchorId="5F34708F" wp14:editId="3F7D78DA">
            <wp:extent cx="4330598" cy="3249303"/>
            <wp:effectExtent l="57150" t="0" r="51435" b="1225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7934" cy="3247305"/>
                    </a:xfrm>
                    <a:prstGeom prst="rect">
                      <a:avLst/>
                    </a:prstGeom>
                    <a:noFill/>
                    <a:ln>
                      <a:noFill/>
                    </a:ln>
                    <a:effectLst>
                      <a:outerShdw blurRad="50800" dist="50800" dir="5400000" algn="ctr" rotWithShape="0">
                        <a:schemeClr val="bg1"/>
                      </a:outerShdw>
                    </a:effectLst>
                  </pic:spPr>
                </pic:pic>
              </a:graphicData>
            </a:graphic>
          </wp:inline>
        </w:drawing>
      </w:r>
      <w:bookmarkStart w:id="43" w:name="_GoBack"/>
      <w:bookmarkEnd w:id="43"/>
    </w:p>
    <w:p w14:paraId="417DB22B" w14:textId="77777777" w:rsidR="00811313" w:rsidRPr="00015F80" w:rsidRDefault="00811313" w:rsidP="00DE08E0">
      <w:pPr>
        <w:rPr>
          <w:rFonts w:ascii="Cambria" w:hAnsi="Cambria"/>
          <w:szCs w:val="22"/>
        </w:rPr>
      </w:pPr>
    </w:p>
    <w:p w14:paraId="1125EF31" w14:textId="4F378D86" w:rsidR="00DE08E0" w:rsidRPr="0071594A" w:rsidRDefault="00DE08E0" w:rsidP="00DE08E0">
      <w:pPr>
        <w:pStyle w:val="Heading2"/>
        <w:rPr>
          <w:rFonts w:ascii="Cambria" w:hAnsi="Cambria"/>
          <w:sz w:val="24"/>
          <w:szCs w:val="24"/>
        </w:rPr>
      </w:pPr>
      <w:bookmarkStart w:id="44" w:name="_Toc485781380"/>
      <w:bookmarkStart w:id="45" w:name="_Hlk65529444"/>
      <w:r w:rsidRPr="0071594A">
        <w:rPr>
          <w:rFonts w:ascii="Cambria" w:hAnsi="Cambria"/>
          <w:sz w:val="24"/>
          <w:szCs w:val="24"/>
        </w:rPr>
        <w:t>P</w:t>
      </w:r>
      <w:r w:rsidR="00065733" w:rsidRPr="0071594A">
        <w:rPr>
          <w:rFonts w:ascii="Cambria" w:hAnsi="Cambria"/>
          <w:sz w:val="24"/>
          <w:szCs w:val="24"/>
        </w:rPr>
        <w:t>HARMACOKINETIC PROPERTIES</w:t>
      </w:r>
      <w:bookmarkEnd w:id="44"/>
    </w:p>
    <w:bookmarkEnd w:id="45"/>
    <w:p w14:paraId="0358701E" w14:textId="77777777" w:rsidR="000A0504" w:rsidRDefault="000A0504" w:rsidP="00015F80">
      <w:pPr>
        <w:rPr>
          <w:rFonts w:ascii="Cambria" w:hAnsi="Cambria"/>
          <w:szCs w:val="22"/>
        </w:rPr>
      </w:pPr>
    </w:p>
    <w:p w14:paraId="0C26D383" w14:textId="284F4009" w:rsidR="00015F80" w:rsidRPr="0071594A" w:rsidRDefault="00015F80" w:rsidP="00015F80">
      <w:pPr>
        <w:rPr>
          <w:rFonts w:ascii="Cambria" w:hAnsi="Cambria"/>
          <w:szCs w:val="22"/>
        </w:rPr>
      </w:pPr>
      <w:r w:rsidRPr="0071594A">
        <w:rPr>
          <w:rFonts w:ascii="Cambria" w:hAnsi="Cambria"/>
          <w:szCs w:val="22"/>
        </w:rPr>
        <w:t>The pharmacokinetics of elexacaftor, tezacaftor and ivacaftor are similar between healthy adult subjects and patients with CF. Following initiation of once</w:t>
      </w:r>
      <w:r w:rsidRPr="0071594A">
        <w:rPr>
          <w:rFonts w:ascii="Cambria" w:hAnsi="Cambria"/>
          <w:szCs w:val="22"/>
        </w:rPr>
        <w:noBreakHyphen/>
        <w:t>daily dosing of elexacaftor and tezacaftor and twice</w:t>
      </w:r>
      <w:r w:rsidRPr="0071594A">
        <w:rPr>
          <w:rFonts w:ascii="Cambria" w:hAnsi="Cambria"/>
          <w:szCs w:val="22"/>
        </w:rPr>
        <w:noBreakHyphen/>
        <w:t>daily dosing of ivacaftor, plasma concentrations of elexacaftor, tezacaftor and ivacaftor reach steady state within approximately 7 days for elexacaftor, within 8 days for tezacaftor, and within 3-5 days for ivacaftor. Upon dosing elexacaftor/tezacaftor/ivacaftor to steady state, the accumulation ratio is approximately 3.6 for elexacaftor, 2.8 for tezacaftor and 4.7 for ivacaftor. Key pharmacokinetic parameters for elexacaftor, tezacaftor and ivacaftor at steady state in patients with CF aged 12 years and older are shown in Table</w:t>
      </w:r>
      <w:r w:rsidR="00814262">
        <w:rPr>
          <w:rFonts w:ascii="Cambria" w:hAnsi="Cambria"/>
          <w:szCs w:val="22"/>
        </w:rPr>
        <w:t xml:space="preserve"> </w:t>
      </w:r>
      <w:r w:rsidR="008F3C15">
        <w:rPr>
          <w:rFonts w:ascii="Cambria" w:hAnsi="Cambria"/>
          <w:szCs w:val="22"/>
        </w:rPr>
        <w:t>10</w:t>
      </w:r>
      <w:r w:rsidRPr="0071594A">
        <w:rPr>
          <w:rFonts w:ascii="Cambria" w:hAnsi="Cambria"/>
          <w:szCs w:val="22"/>
        </w:rPr>
        <w:t>.</w:t>
      </w:r>
    </w:p>
    <w:p w14:paraId="488D079B" w14:textId="77777777" w:rsidR="00015F80" w:rsidRPr="0071594A" w:rsidRDefault="00015F80" w:rsidP="00015F80">
      <w:pPr>
        <w:rPr>
          <w:rFonts w:ascii="Cambria" w:hAnsi="Cambria"/>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1586"/>
        <w:gridCol w:w="2662"/>
        <w:gridCol w:w="2361"/>
      </w:tblGrid>
      <w:tr w:rsidR="00015F80" w:rsidRPr="00BB021D" w14:paraId="1EA9B663" w14:textId="77777777" w:rsidTr="00DC1F68">
        <w:trPr>
          <w:trHeight w:val="410"/>
        </w:trPr>
        <w:tc>
          <w:tcPr>
            <w:tcW w:w="9121" w:type="dxa"/>
            <w:gridSpan w:val="4"/>
            <w:shd w:val="clear" w:color="auto" w:fill="auto"/>
            <w:vAlign w:val="center"/>
          </w:tcPr>
          <w:p w14:paraId="656995EE" w14:textId="06D70A28" w:rsidR="00015F80" w:rsidRPr="0071594A" w:rsidRDefault="00015F80" w:rsidP="00DC1F68">
            <w:pPr>
              <w:keepNext/>
              <w:ind w:left="-115"/>
              <w:rPr>
                <w:rFonts w:ascii="Cambria" w:hAnsi="Cambria"/>
                <w:szCs w:val="16"/>
              </w:rPr>
            </w:pPr>
            <w:r w:rsidRPr="0071594A">
              <w:rPr>
                <w:rFonts w:ascii="Cambria" w:hAnsi="Cambria"/>
                <w:b/>
                <w:bCs/>
                <w:szCs w:val="16"/>
              </w:rPr>
              <w:t>Table </w:t>
            </w:r>
            <w:r w:rsidR="008F3C15">
              <w:rPr>
                <w:rFonts w:ascii="Cambria" w:hAnsi="Cambria"/>
                <w:b/>
                <w:bCs/>
                <w:szCs w:val="16"/>
              </w:rPr>
              <w:t>10</w:t>
            </w:r>
            <w:r w:rsidRPr="0071594A">
              <w:rPr>
                <w:rFonts w:ascii="Cambria" w:hAnsi="Cambria"/>
                <w:b/>
                <w:bCs/>
                <w:szCs w:val="16"/>
              </w:rPr>
              <w:t>: Mean (SD) Pharmacokinetic Parameters of Elexacaftor, Tezacaftor and Ivacaftor at Steady State in Patients with CF Aged 12 Years and Older</w:t>
            </w:r>
          </w:p>
        </w:tc>
      </w:tr>
      <w:tr w:rsidR="00015F80" w:rsidRPr="00BB021D" w14:paraId="5F7B302F" w14:textId="77777777" w:rsidTr="00DC1F68">
        <w:trPr>
          <w:trHeight w:val="492"/>
        </w:trPr>
        <w:tc>
          <w:tcPr>
            <w:tcW w:w="2512" w:type="dxa"/>
            <w:shd w:val="clear" w:color="auto" w:fill="auto"/>
            <w:vAlign w:val="center"/>
          </w:tcPr>
          <w:p w14:paraId="6FC6AF28" w14:textId="77777777" w:rsidR="00015F80" w:rsidRPr="00A34C4D" w:rsidRDefault="00015F80" w:rsidP="00DC1F68">
            <w:pPr>
              <w:keepNext/>
              <w:rPr>
                <w:rFonts w:ascii="Cambria" w:hAnsi="Cambria"/>
                <w:szCs w:val="16"/>
              </w:rPr>
            </w:pPr>
          </w:p>
        </w:tc>
        <w:tc>
          <w:tcPr>
            <w:tcW w:w="1586" w:type="dxa"/>
            <w:shd w:val="clear" w:color="auto" w:fill="auto"/>
            <w:vAlign w:val="center"/>
          </w:tcPr>
          <w:p w14:paraId="343A7E67" w14:textId="77777777" w:rsidR="00015F80" w:rsidRPr="00A34C4D" w:rsidRDefault="00015F80" w:rsidP="00DC1F68">
            <w:pPr>
              <w:pStyle w:val="Default"/>
              <w:jc w:val="center"/>
              <w:rPr>
                <w:rFonts w:ascii="Cambria" w:hAnsi="Cambria" w:cs="Times New Roman"/>
                <w:sz w:val="22"/>
                <w:szCs w:val="16"/>
              </w:rPr>
            </w:pPr>
            <w:r w:rsidRPr="00A34C4D">
              <w:rPr>
                <w:rFonts w:ascii="Cambria" w:hAnsi="Cambria" w:cs="Times New Roman"/>
                <w:b/>
                <w:bCs/>
                <w:sz w:val="22"/>
                <w:szCs w:val="16"/>
              </w:rPr>
              <w:t>Drug</w:t>
            </w:r>
          </w:p>
        </w:tc>
        <w:tc>
          <w:tcPr>
            <w:tcW w:w="2662" w:type="dxa"/>
            <w:shd w:val="clear" w:color="auto" w:fill="auto"/>
            <w:vAlign w:val="center"/>
          </w:tcPr>
          <w:p w14:paraId="43100C69" w14:textId="77777777" w:rsidR="00015F80" w:rsidRPr="00A34C4D" w:rsidRDefault="00015F80" w:rsidP="00DC1F68">
            <w:pPr>
              <w:pStyle w:val="Default"/>
              <w:jc w:val="center"/>
              <w:rPr>
                <w:rFonts w:ascii="Cambria" w:hAnsi="Cambria" w:cs="Times New Roman"/>
                <w:sz w:val="22"/>
                <w:szCs w:val="16"/>
              </w:rPr>
            </w:pPr>
            <w:r w:rsidRPr="00A34C4D">
              <w:rPr>
                <w:rFonts w:ascii="Cambria" w:hAnsi="Cambria" w:cs="Times New Roman"/>
                <w:b/>
                <w:bCs/>
                <w:sz w:val="22"/>
                <w:szCs w:val="16"/>
              </w:rPr>
              <w:t>C</w:t>
            </w:r>
            <w:r w:rsidRPr="00A34C4D">
              <w:rPr>
                <w:rFonts w:ascii="Cambria" w:hAnsi="Cambria" w:cs="Times New Roman"/>
                <w:b/>
                <w:bCs/>
                <w:sz w:val="22"/>
                <w:szCs w:val="16"/>
                <w:vertAlign w:val="subscript"/>
              </w:rPr>
              <w:t>max</w:t>
            </w:r>
            <w:r w:rsidRPr="00A34C4D">
              <w:rPr>
                <w:rFonts w:ascii="Cambria" w:hAnsi="Cambria" w:cs="Times New Roman"/>
                <w:b/>
                <w:bCs/>
                <w:sz w:val="22"/>
                <w:szCs w:val="16"/>
              </w:rPr>
              <w:t xml:space="preserve"> (mcg/mL)</w:t>
            </w:r>
          </w:p>
        </w:tc>
        <w:tc>
          <w:tcPr>
            <w:tcW w:w="2361" w:type="dxa"/>
            <w:shd w:val="clear" w:color="auto" w:fill="auto"/>
            <w:vAlign w:val="center"/>
          </w:tcPr>
          <w:p w14:paraId="59B8ED90" w14:textId="77777777" w:rsidR="00015F80" w:rsidRPr="00A34C4D" w:rsidRDefault="00015F80" w:rsidP="00DC1F68">
            <w:pPr>
              <w:pStyle w:val="Default"/>
              <w:jc w:val="center"/>
              <w:rPr>
                <w:rFonts w:ascii="Cambria" w:hAnsi="Cambria" w:cs="Times New Roman"/>
                <w:b/>
                <w:bCs/>
                <w:sz w:val="22"/>
                <w:szCs w:val="16"/>
              </w:rPr>
            </w:pPr>
            <w:r w:rsidRPr="00A34C4D">
              <w:rPr>
                <w:rFonts w:ascii="Cambria" w:hAnsi="Cambria" w:cs="Times New Roman"/>
                <w:b/>
                <w:bCs/>
                <w:sz w:val="22"/>
                <w:szCs w:val="16"/>
              </w:rPr>
              <w:t>AUC</w:t>
            </w:r>
            <w:r w:rsidRPr="00A34C4D">
              <w:rPr>
                <w:rFonts w:ascii="Cambria" w:hAnsi="Cambria" w:cs="Times New Roman"/>
                <w:b/>
                <w:bCs/>
                <w:sz w:val="22"/>
                <w:szCs w:val="16"/>
                <w:vertAlign w:val="subscript"/>
              </w:rPr>
              <w:t>0</w:t>
            </w:r>
            <w:r w:rsidRPr="00A34C4D">
              <w:rPr>
                <w:rFonts w:ascii="Cambria" w:hAnsi="Cambria" w:cs="Times New Roman"/>
                <w:b/>
                <w:bCs/>
                <w:sz w:val="22"/>
                <w:szCs w:val="16"/>
                <w:vertAlign w:val="subscript"/>
              </w:rPr>
              <w:noBreakHyphen/>
              <w:t>24h</w:t>
            </w:r>
            <w:r w:rsidRPr="00A34C4D">
              <w:rPr>
                <w:rFonts w:ascii="Cambria" w:hAnsi="Cambria" w:cs="Times New Roman"/>
                <w:b/>
                <w:bCs/>
                <w:sz w:val="22"/>
                <w:szCs w:val="16"/>
              </w:rPr>
              <w:t xml:space="preserve"> or AUC</w:t>
            </w:r>
            <w:r w:rsidRPr="00A34C4D">
              <w:rPr>
                <w:rFonts w:ascii="Cambria" w:hAnsi="Cambria" w:cs="Times New Roman"/>
                <w:b/>
                <w:bCs/>
                <w:sz w:val="22"/>
                <w:szCs w:val="16"/>
                <w:vertAlign w:val="subscript"/>
              </w:rPr>
              <w:t>0</w:t>
            </w:r>
            <w:r w:rsidRPr="00A34C4D">
              <w:rPr>
                <w:rFonts w:ascii="Cambria" w:hAnsi="Cambria" w:cs="Times New Roman"/>
                <w:b/>
                <w:bCs/>
                <w:sz w:val="22"/>
                <w:szCs w:val="16"/>
                <w:vertAlign w:val="subscript"/>
              </w:rPr>
              <w:noBreakHyphen/>
              <w:t>12h</w:t>
            </w:r>
          </w:p>
          <w:p w14:paraId="267E89DA" w14:textId="77777777" w:rsidR="00015F80" w:rsidRPr="00A34C4D" w:rsidRDefault="00015F80" w:rsidP="00DC1F68">
            <w:pPr>
              <w:pStyle w:val="Default"/>
              <w:jc w:val="center"/>
              <w:rPr>
                <w:rFonts w:ascii="Cambria" w:hAnsi="Cambria" w:cs="Times New Roman"/>
                <w:sz w:val="22"/>
                <w:szCs w:val="16"/>
              </w:rPr>
            </w:pPr>
            <w:r w:rsidRPr="00A34C4D">
              <w:rPr>
                <w:rFonts w:ascii="Cambria" w:hAnsi="Cambria" w:cs="Times New Roman"/>
                <w:b/>
                <w:bCs/>
                <w:sz w:val="22"/>
                <w:szCs w:val="16"/>
              </w:rPr>
              <w:t>(mcg∙h/mL)*</w:t>
            </w:r>
          </w:p>
        </w:tc>
      </w:tr>
      <w:tr w:rsidR="00015F80" w:rsidRPr="00BB021D" w14:paraId="562BF09D" w14:textId="77777777" w:rsidTr="00DC1F68">
        <w:trPr>
          <w:trHeight w:val="323"/>
        </w:trPr>
        <w:tc>
          <w:tcPr>
            <w:tcW w:w="2512" w:type="dxa"/>
            <w:vMerge w:val="restart"/>
            <w:shd w:val="clear" w:color="auto" w:fill="auto"/>
            <w:vAlign w:val="center"/>
          </w:tcPr>
          <w:p w14:paraId="13F45990" w14:textId="77777777" w:rsidR="00015F80" w:rsidRPr="00A34C4D" w:rsidRDefault="00015F80" w:rsidP="00DC1F68">
            <w:pPr>
              <w:keepNext/>
              <w:ind w:left="-108"/>
              <w:rPr>
                <w:rFonts w:ascii="Cambria" w:hAnsi="Cambria"/>
                <w:b/>
                <w:bCs/>
                <w:szCs w:val="16"/>
              </w:rPr>
            </w:pPr>
            <w:r w:rsidRPr="00A34C4D">
              <w:rPr>
                <w:rFonts w:ascii="Cambria" w:hAnsi="Cambria"/>
                <w:b/>
                <w:bCs/>
                <w:szCs w:val="16"/>
              </w:rPr>
              <w:t>Elexacaftor 200 mg and tezacaftor 100 mg once daily/ivacaftor 150 mg every 12 hours</w:t>
            </w:r>
          </w:p>
        </w:tc>
        <w:tc>
          <w:tcPr>
            <w:tcW w:w="1586" w:type="dxa"/>
            <w:shd w:val="clear" w:color="auto" w:fill="auto"/>
            <w:vAlign w:val="center"/>
          </w:tcPr>
          <w:p w14:paraId="201C9EAA" w14:textId="77777777" w:rsidR="00015F80" w:rsidRPr="00A34C4D" w:rsidRDefault="00015F80" w:rsidP="00DC1F68">
            <w:pPr>
              <w:jc w:val="center"/>
              <w:rPr>
                <w:rFonts w:ascii="Cambria" w:hAnsi="Cambria"/>
                <w:szCs w:val="16"/>
              </w:rPr>
            </w:pPr>
            <w:r w:rsidRPr="00A34C4D">
              <w:rPr>
                <w:rFonts w:ascii="Cambria" w:hAnsi="Cambria"/>
                <w:bCs/>
                <w:szCs w:val="16"/>
              </w:rPr>
              <w:t>Elexacaftor</w:t>
            </w:r>
          </w:p>
        </w:tc>
        <w:tc>
          <w:tcPr>
            <w:tcW w:w="2662" w:type="dxa"/>
            <w:shd w:val="clear" w:color="auto" w:fill="auto"/>
            <w:vAlign w:val="center"/>
          </w:tcPr>
          <w:p w14:paraId="04FF9FD3" w14:textId="77777777" w:rsidR="00015F80" w:rsidRPr="00A34C4D" w:rsidRDefault="00015F80" w:rsidP="00DC1F68">
            <w:pPr>
              <w:jc w:val="center"/>
              <w:rPr>
                <w:rFonts w:ascii="Cambria" w:hAnsi="Cambria"/>
                <w:szCs w:val="16"/>
              </w:rPr>
            </w:pPr>
            <w:r w:rsidRPr="00A34C4D">
              <w:rPr>
                <w:rFonts w:ascii="Cambria" w:hAnsi="Cambria"/>
                <w:szCs w:val="16"/>
              </w:rPr>
              <w:t>9.15 (2.09)</w:t>
            </w:r>
          </w:p>
        </w:tc>
        <w:tc>
          <w:tcPr>
            <w:tcW w:w="2361" w:type="dxa"/>
            <w:shd w:val="clear" w:color="auto" w:fill="auto"/>
            <w:vAlign w:val="center"/>
          </w:tcPr>
          <w:p w14:paraId="5DA320BE" w14:textId="77777777" w:rsidR="00015F80" w:rsidRPr="00A34C4D" w:rsidRDefault="00015F80" w:rsidP="00DC1F68">
            <w:pPr>
              <w:jc w:val="center"/>
              <w:rPr>
                <w:rFonts w:ascii="Cambria" w:hAnsi="Cambria"/>
                <w:szCs w:val="16"/>
              </w:rPr>
            </w:pPr>
            <w:r w:rsidRPr="00A34C4D">
              <w:rPr>
                <w:rFonts w:ascii="Cambria" w:hAnsi="Cambria"/>
                <w:szCs w:val="16"/>
              </w:rPr>
              <w:t>162 (47.5)</w:t>
            </w:r>
          </w:p>
        </w:tc>
      </w:tr>
      <w:tr w:rsidR="00015F80" w:rsidRPr="00BB021D" w14:paraId="0BE6AA74" w14:textId="77777777" w:rsidTr="00DC1F68">
        <w:trPr>
          <w:trHeight w:val="350"/>
        </w:trPr>
        <w:tc>
          <w:tcPr>
            <w:tcW w:w="2512" w:type="dxa"/>
            <w:vMerge/>
            <w:shd w:val="clear" w:color="auto" w:fill="auto"/>
            <w:vAlign w:val="center"/>
          </w:tcPr>
          <w:p w14:paraId="6EBA9DD6" w14:textId="77777777" w:rsidR="00015F80" w:rsidRPr="00F54010" w:rsidRDefault="00015F80" w:rsidP="00DC1F68">
            <w:pPr>
              <w:keepNext/>
              <w:ind w:left="-108"/>
              <w:rPr>
                <w:rFonts w:ascii="Cambria" w:hAnsi="Cambria"/>
                <w:b/>
                <w:bCs/>
                <w:szCs w:val="16"/>
              </w:rPr>
            </w:pPr>
          </w:p>
        </w:tc>
        <w:tc>
          <w:tcPr>
            <w:tcW w:w="1586" w:type="dxa"/>
            <w:shd w:val="clear" w:color="auto" w:fill="auto"/>
            <w:vAlign w:val="center"/>
          </w:tcPr>
          <w:p w14:paraId="0845FCAD" w14:textId="77777777" w:rsidR="00015F80" w:rsidRPr="00F54010" w:rsidRDefault="00015F80" w:rsidP="00DC1F68">
            <w:pPr>
              <w:jc w:val="center"/>
              <w:rPr>
                <w:rFonts w:ascii="Cambria" w:hAnsi="Cambria"/>
                <w:szCs w:val="16"/>
              </w:rPr>
            </w:pPr>
            <w:r w:rsidRPr="00F54010">
              <w:rPr>
                <w:rFonts w:ascii="Cambria" w:hAnsi="Cambria"/>
                <w:szCs w:val="16"/>
              </w:rPr>
              <w:t>Tezacaftor</w:t>
            </w:r>
          </w:p>
        </w:tc>
        <w:tc>
          <w:tcPr>
            <w:tcW w:w="2662" w:type="dxa"/>
            <w:shd w:val="clear" w:color="auto" w:fill="auto"/>
            <w:vAlign w:val="center"/>
          </w:tcPr>
          <w:p w14:paraId="7FFB3BE8" w14:textId="77777777" w:rsidR="00015F80" w:rsidRPr="00F54010" w:rsidRDefault="00015F80" w:rsidP="00DC1F68">
            <w:pPr>
              <w:jc w:val="center"/>
              <w:rPr>
                <w:rFonts w:ascii="Cambria" w:hAnsi="Cambria"/>
                <w:szCs w:val="16"/>
              </w:rPr>
            </w:pPr>
            <w:r w:rsidRPr="00F54010">
              <w:rPr>
                <w:rFonts w:ascii="Cambria" w:hAnsi="Cambria"/>
                <w:szCs w:val="16"/>
              </w:rPr>
              <w:t>7.67 (1.68)</w:t>
            </w:r>
          </w:p>
        </w:tc>
        <w:tc>
          <w:tcPr>
            <w:tcW w:w="2361" w:type="dxa"/>
            <w:shd w:val="clear" w:color="auto" w:fill="auto"/>
            <w:vAlign w:val="center"/>
          </w:tcPr>
          <w:p w14:paraId="643622EC" w14:textId="77777777" w:rsidR="00015F80" w:rsidRPr="00F54010" w:rsidRDefault="00015F80" w:rsidP="00DC1F68">
            <w:pPr>
              <w:jc w:val="center"/>
              <w:rPr>
                <w:rFonts w:ascii="Cambria" w:hAnsi="Cambria"/>
                <w:szCs w:val="16"/>
              </w:rPr>
            </w:pPr>
            <w:r w:rsidRPr="00F54010">
              <w:rPr>
                <w:rFonts w:ascii="Cambria" w:hAnsi="Cambria"/>
                <w:szCs w:val="16"/>
              </w:rPr>
              <w:t>89.3 (23.2)</w:t>
            </w:r>
          </w:p>
        </w:tc>
      </w:tr>
      <w:tr w:rsidR="00015F80" w:rsidRPr="00BB021D" w14:paraId="5E417308" w14:textId="77777777" w:rsidTr="00DC1F68">
        <w:trPr>
          <w:trHeight w:val="258"/>
        </w:trPr>
        <w:tc>
          <w:tcPr>
            <w:tcW w:w="2512" w:type="dxa"/>
            <w:vMerge/>
            <w:shd w:val="clear" w:color="auto" w:fill="auto"/>
            <w:vAlign w:val="center"/>
          </w:tcPr>
          <w:p w14:paraId="2B25DB24" w14:textId="77777777" w:rsidR="00015F80" w:rsidRPr="00F54010" w:rsidRDefault="00015F80" w:rsidP="00DC1F68">
            <w:pPr>
              <w:rPr>
                <w:rFonts w:ascii="Cambria" w:hAnsi="Cambria"/>
                <w:szCs w:val="16"/>
              </w:rPr>
            </w:pPr>
          </w:p>
        </w:tc>
        <w:tc>
          <w:tcPr>
            <w:tcW w:w="1586" w:type="dxa"/>
            <w:shd w:val="clear" w:color="auto" w:fill="auto"/>
            <w:vAlign w:val="center"/>
          </w:tcPr>
          <w:p w14:paraId="6654B3FD" w14:textId="77777777" w:rsidR="00015F80" w:rsidRPr="00F54010" w:rsidRDefault="00015F80" w:rsidP="00DC1F68">
            <w:pPr>
              <w:jc w:val="center"/>
              <w:rPr>
                <w:rFonts w:ascii="Cambria" w:hAnsi="Cambria"/>
                <w:szCs w:val="16"/>
              </w:rPr>
            </w:pPr>
            <w:r w:rsidRPr="00F54010">
              <w:rPr>
                <w:rFonts w:ascii="Cambria" w:hAnsi="Cambria"/>
                <w:szCs w:val="16"/>
              </w:rPr>
              <w:t>Ivacaftor</w:t>
            </w:r>
          </w:p>
        </w:tc>
        <w:tc>
          <w:tcPr>
            <w:tcW w:w="2662" w:type="dxa"/>
            <w:shd w:val="clear" w:color="auto" w:fill="auto"/>
            <w:vAlign w:val="center"/>
          </w:tcPr>
          <w:p w14:paraId="5A89EECA" w14:textId="77777777" w:rsidR="00015F80" w:rsidRPr="00F54010" w:rsidRDefault="00015F80" w:rsidP="00DC1F68">
            <w:pPr>
              <w:jc w:val="center"/>
              <w:rPr>
                <w:rFonts w:ascii="Cambria" w:hAnsi="Cambria"/>
                <w:szCs w:val="16"/>
              </w:rPr>
            </w:pPr>
            <w:r w:rsidRPr="00F54010">
              <w:rPr>
                <w:rFonts w:ascii="Cambria" w:hAnsi="Cambria"/>
                <w:szCs w:val="16"/>
              </w:rPr>
              <w:t>1.24 (0.34)</w:t>
            </w:r>
          </w:p>
        </w:tc>
        <w:tc>
          <w:tcPr>
            <w:tcW w:w="2361" w:type="dxa"/>
            <w:shd w:val="clear" w:color="auto" w:fill="auto"/>
            <w:vAlign w:val="center"/>
          </w:tcPr>
          <w:p w14:paraId="789A9B37" w14:textId="77777777" w:rsidR="00015F80" w:rsidRPr="00F54010" w:rsidRDefault="00015F80" w:rsidP="00DC1F68">
            <w:pPr>
              <w:pStyle w:val="tabletextcenterjustified"/>
              <w:spacing w:before="0" w:after="0"/>
              <w:ind w:hanging="18"/>
              <w:rPr>
                <w:rFonts w:ascii="Cambria" w:hAnsi="Cambria"/>
                <w:sz w:val="22"/>
                <w:szCs w:val="16"/>
              </w:rPr>
            </w:pPr>
            <w:r w:rsidRPr="00F54010">
              <w:rPr>
                <w:rFonts w:ascii="Cambria" w:hAnsi="Cambria"/>
                <w:sz w:val="22"/>
                <w:szCs w:val="16"/>
              </w:rPr>
              <w:t>11.7 (4.01)</w:t>
            </w:r>
          </w:p>
        </w:tc>
      </w:tr>
      <w:tr w:rsidR="00015F80" w:rsidRPr="00BB021D" w14:paraId="27A07DAE" w14:textId="77777777" w:rsidTr="00DC1F68">
        <w:trPr>
          <w:trHeight w:val="169"/>
        </w:trPr>
        <w:tc>
          <w:tcPr>
            <w:tcW w:w="9121" w:type="dxa"/>
            <w:gridSpan w:val="4"/>
            <w:shd w:val="clear" w:color="auto" w:fill="auto"/>
            <w:vAlign w:val="center"/>
          </w:tcPr>
          <w:p w14:paraId="0FE6E309" w14:textId="77777777" w:rsidR="00015F80" w:rsidRPr="00BB021D" w:rsidRDefault="00015F80" w:rsidP="00DC1F68">
            <w:pPr>
              <w:ind w:left="-115"/>
              <w:rPr>
                <w:rFonts w:ascii="Cambria" w:hAnsi="Cambria"/>
                <w:b/>
                <w:bCs/>
                <w:szCs w:val="16"/>
              </w:rPr>
            </w:pPr>
            <w:r w:rsidRPr="00A34C4D">
              <w:rPr>
                <w:rFonts w:ascii="Cambria" w:hAnsi="Cambria"/>
                <w:szCs w:val="16"/>
              </w:rPr>
              <w:t>*AUC</w:t>
            </w:r>
            <w:r w:rsidRPr="00A34C4D">
              <w:rPr>
                <w:rFonts w:ascii="Cambria" w:hAnsi="Cambria"/>
                <w:szCs w:val="16"/>
                <w:vertAlign w:val="subscript"/>
              </w:rPr>
              <w:t>0</w:t>
            </w:r>
            <w:r w:rsidRPr="00A34C4D">
              <w:rPr>
                <w:rFonts w:ascii="Cambria" w:hAnsi="Cambria"/>
                <w:szCs w:val="16"/>
                <w:vertAlign w:val="subscript"/>
              </w:rPr>
              <w:noBreakHyphen/>
              <w:t>24h</w:t>
            </w:r>
            <w:r w:rsidRPr="00A34C4D">
              <w:rPr>
                <w:rFonts w:ascii="Cambria" w:hAnsi="Cambria"/>
                <w:szCs w:val="16"/>
              </w:rPr>
              <w:t xml:space="preserve"> for elexacaftor</w:t>
            </w:r>
            <w:r w:rsidRPr="00A34C4D">
              <w:rPr>
                <w:rFonts w:ascii="Cambria" w:hAnsi="Cambria"/>
                <w:color w:val="FF0000"/>
                <w:szCs w:val="16"/>
              </w:rPr>
              <w:t xml:space="preserve"> </w:t>
            </w:r>
            <w:r w:rsidRPr="00A34C4D">
              <w:rPr>
                <w:rFonts w:ascii="Cambria" w:hAnsi="Cambria"/>
                <w:szCs w:val="16"/>
              </w:rPr>
              <w:t>and tezacaftor and AUC</w:t>
            </w:r>
            <w:r w:rsidRPr="00A34C4D">
              <w:rPr>
                <w:rFonts w:ascii="Cambria" w:hAnsi="Cambria"/>
                <w:szCs w:val="16"/>
                <w:vertAlign w:val="subscript"/>
              </w:rPr>
              <w:t>0</w:t>
            </w:r>
            <w:r w:rsidRPr="00A34C4D">
              <w:rPr>
                <w:rFonts w:ascii="Cambria" w:hAnsi="Cambria"/>
                <w:szCs w:val="16"/>
                <w:vertAlign w:val="subscript"/>
              </w:rPr>
              <w:noBreakHyphen/>
              <w:t xml:space="preserve">12h </w:t>
            </w:r>
            <w:r w:rsidRPr="00A34C4D">
              <w:rPr>
                <w:rFonts w:ascii="Cambria" w:hAnsi="Cambria"/>
                <w:szCs w:val="16"/>
              </w:rPr>
              <w:t>for ivacaftor</w:t>
            </w:r>
          </w:p>
        </w:tc>
      </w:tr>
    </w:tbl>
    <w:p w14:paraId="529DF97A" w14:textId="77777777" w:rsidR="00DE08E0" w:rsidRPr="00BB021D" w:rsidRDefault="00DE08E0" w:rsidP="00DE08E0">
      <w:pPr>
        <w:tabs>
          <w:tab w:val="clear" w:pos="567"/>
          <w:tab w:val="left" w:pos="8314"/>
        </w:tabs>
        <w:rPr>
          <w:rFonts w:ascii="Cambria" w:hAnsi="Cambria"/>
        </w:rPr>
      </w:pPr>
    </w:p>
    <w:p w14:paraId="117890DE" w14:textId="77777777" w:rsidR="00DE08E0" w:rsidRPr="00A34C4D" w:rsidRDefault="00DE08E0" w:rsidP="00DE08E0">
      <w:pPr>
        <w:keepNext/>
        <w:widowControl w:val="0"/>
        <w:rPr>
          <w:rFonts w:ascii="Cambria" w:hAnsi="Cambria"/>
          <w:b/>
        </w:rPr>
      </w:pPr>
      <w:r w:rsidRPr="00A34C4D">
        <w:rPr>
          <w:rFonts w:ascii="Cambria" w:hAnsi="Cambria"/>
          <w:b/>
        </w:rPr>
        <w:t>Absorption</w:t>
      </w:r>
    </w:p>
    <w:p w14:paraId="51192869" w14:textId="7DACCB3E" w:rsidR="00B1048F" w:rsidRPr="00A34C4D" w:rsidRDefault="00B1048F" w:rsidP="00B1048F">
      <w:pPr>
        <w:rPr>
          <w:rFonts w:ascii="Cambria" w:hAnsi="Cambria"/>
          <w:bCs/>
          <w:szCs w:val="22"/>
        </w:rPr>
      </w:pPr>
      <w:r w:rsidRPr="00A34C4D">
        <w:rPr>
          <w:rFonts w:ascii="Cambria" w:hAnsi="Cambria"/>
          <w:bCs/>
          <w:szCs w:val="22"/>
        </w:rPr>
        <w:t>The absolute bioavailability of elexacaftor when administered orally in the fed state is approximately 80%. Elexacaftor is absorbed with a median (range) time to maximum concentration (t</w:t>
      </w:r>
      <w:r w:rsidRPr="00A34C4D">
        <w:rPr>
          <w:rFonts w:ascii="Cambria" w:hAnsi="Cambria"/>
          <w:bCs/>
          <w:szCs w:val="22"/>
          <w:vertAlign w:val="subscript"/>
        </w:rPr>
        <w:t>max</w:t>
      </w:r>
      <w:r w:rsidRPr="00A34C4D">
        <w:rPr>
          <w:rFonts w:ascii="Cambria" w:hAnsi="Cambria"/>
          <w:bCs/>
          <w:szCs w:val="22"/>
        </w:rPr>
        <w:t>) of approximately 6 hours (4 to 12 hours) while the median (range) t</w:t>
      </w:r>
      <w:r w:rsidRPr="00A34C4D">
        <w:rPr>
          <w:rFonts w:ascii="Cambria" w:hAnsi="Cambria"/>
          <w:bCs/>
          <w:szCs w:val="22"/>
          <w:vertAlign w:val="subscript"/>
        </w:rPr>
        <w:t>max</w:t>
      </w:r>
      <w:r w:rsidRPr="00A34C4D">
        <w:rPr>
          <w:rFonts w:ascii="Cambria" w:hAnsi="Cambria"/>
          <w:bCs/>
          <w:szCs w:val="22"/>
        </w:rPr>
        <w:t xml:space="preserve"> of tezacaftor and ivacaftor is approximately 3 hours (2 to 4 hours) and 4 (3 to 6 hours), respectively.</w:t>
      </w:r>
    </w:p>
    <w:p w14:paraId="3CED7A7A" w14:textId="77777777" w:rsidR="00B1048F" w:rsidRPr="00A34C4D" w:rsidRDefault="00B1048F" w:rsidP="00B1048F">
      <w:pPr>
        <w:rPr>
          <w:rFonts w:ascii="Cambria" w:hAnsi="Cambria"/>
          <w:bCs/>
          <w:szCs w:val="22"/>
        </w:rPr>
      </w:pPr>
    </w:p>
    <w:p w14:paraId="7D806DC9" w14:textId="362B0BBA" w:rsidR="00B1048F" w:rsidRPr="00A34C4D" w:rsidRDefault="00B1048F" w:rsidP="00B1048F">
      <w:pPr>
        <w:rPr>
          <w:rFonts w:ascii="Cambria" w:hAnsi="Cambria"/>
          <w:bCs/>
          <w:szCs w:val="22"/>
        </w:rPr>
      </w:pPr>
      <w:r w:rsidRPr="00A34C4D">
        <w:rPr>
          <w:rFonts w:ascii="Cambria" w:hAnsi="Cambria"/>
          <w:bCs/>
          <w:szCs w:val="22"/>
        </w:rPr>
        <w:t xml:space="preserve">Elexacaftor exposure (AUC) increases approximately 1.9- to 2.5-fold when administered with a </w:t>
      </w:r>
      <w:r w:rsidRPr="000A6C1B">
        <w:rPr>
          <w:rFonts w:ascii="Cambria" w:hAnsi="Cambria"/>
          <w:bCs/>
          <w:szCs w:val="22"/>
        </w:rPr>
        <w:t xml:space="preserve">moderate-fat meal </w:t>
      </w:r>
      <w:r w:rsidRPr="00A34C4D">
        <w:rPr>
          <w:rFonts w:ascii="Cambria" w:hAnsi="Cambria"/>
          <w:bCs/>
          <w:szCs w:val="22"/>
        </w:rPr>
        <w:t>relative to fasted conditions. Ivacaftor exposure increases approximately 2.5-</w:t>
      </w:r>
      <w:r w:rsidR="008C06A8">
        <w:rPr>
          <w:rFonts w:ascii="Cambria" w:hAnsi="Cambria"/>
          <w:bCs/>
          <w:szCs w:val="22"/>
        </w:rPr>
        <w:t> </w:t>
      </w:r>
      <w:r w:rsidRPr="00A34C4D">
        <w:rPr>
          <w:rFonts w:ascii="Cambria" w:hAnsi="Cambria"/>
          <w:bCs/>
          <w:szCs w:val="22"/>
        </w:rPr>
        <w:t>to 4-fold when administered with fat-containing meals relative to fasted conditions, while food has no effect on the exposure of tezacaftor.</w:t>
      </w:r>
    </w:p>
    <w:p w14:paraId="627D03E0" w14:textId="77777777" w:rsidR="0049487D" w:rsidRPr="00A34C4D" w:rsidRDefault="0049487D" w:rsidP="00DE08E0">
      <w:pPr>
        <w:rPr>
          <w:rFonts w:ascii="Cambria" w:hAnsi="Cambria"/>
          <w:b/>
        </w:rPr>
      </w:pPr>
    </w:p>
    <w:p w14:paraId="5160E65E" w14:textId="4FFE1BCA" w:rsidR="00DE08E0" w:rsidRPr="00A34C4D" w:rsidRDefault="00DE08E0" w:rsidP="00190E02">
      <w:pPr>
        <w:keepNext/>
        <w:rPr>
          <w:rFonts w:ascii="Cambria" w:hAnsi="Cambria"/>
          <w:b/>
        </w:rPr>
      </w:pPr>
      <w:r w:rsidRPr="00A34C4D">
        <w:rPr>
          <w:rFonts w:ascii="Cambria" w:hAnsi="Cambria"/>
          <w:b/>
        </w:rPr>
        <w:t>Distribution</w:t>
      </w:r>
    </w:p>
    <w:p w14:paraId="0A0CB574" w14:textId="25D0899F" w:rsidR="00B1048F" w:rsidRPr="00A34C4D" w:rsidRDefault="00B1048F" w:rsidP="00B1048F">
      <w:pPr>
        <w:rPr>
          <w:rFonts w:ascii="Cambria" w:hAnsi="Cambria"/>
          <w:szCs w:val="22"/>
        </w:rPr>
      </w:pPr>
      <w:r w:rsidRPr="00A34C4D">
        <w:rPr>
          <w:rFonts w:ascii="Cambria" w:hAnsi="Cambria"/>
          <w:szCs w:val="22"/>
        </w:rPr>
        <w:t>Elexacaftor is &gt;99% bound to plasma proteins and tezacaftor is approximately 99% bound to plasma proteins, in both cases primarily to albumin. Ivacaftor is approximately 99% bound to plasma proteins, primarily to albumin, and also to alpha 1</w:t>
      </w:r>
      <w:r w:rsidRPr="00A34C4D">
        <w:rPr>
          <w:rFonts w:ascii="Cambria" w:hAnsi="Cambria"/>
          <w:szCs w:val="22"/>
        </w:rPr>
        <w:noBreakHyphen/>
        <w:t>acid glycoprotein and human gamma-globulin. After oral administration of T</w:t>
      </w:r>
      <w:r w:rsidR="006E4A2B">
        <w:rPr>
          <w:rFonts w:ascii="Cambria" w:hAnsi="Cambria"/>
          <w:szCs w:val="22"/>
        </w:rPr>
        <w:t>RIKAFTA</w:t>
      </w:r>
      <w:r w:rsidRPr="00A34C4D">
        <w:rPr>
          <w:rFonts w:ascii="Cambria" w:hAnsi="Cambria"/>
          <w:szCs w:val="22"/>
        </w:rPr>
        <w:t>, the mean (</w:t>
      </w:r>
      <w:r w:rsidRPr="00A34C4D">
        <w:rPr>
          <w:rFonts w:ascii="Cambria" w:hAnsi="Cambria"/>
          <w:bCs/>
          <w:szCs w:val="22"/>
        </w:rPr>
        <w:t>±</w:t>
      </w:r>
      <w:r w:rsidRPr="00A34C4D">
        <w:rPr>
          <w:rFonts w:ascii="Cambria" w:hAnsi="Cambria"/>
          <w:szCs w:val="22"/>
        </w:rPr>
        <w:t xml:space="preserve">SD) apparent volume of distribution of elexacaftor, tezacaftor and ivacaftor was 53.7 L (17.7), 82.0 L (22.3) and </w:t>
      </w:r>
      <w:r w:rsidR="008C06A8">
        <w:rPr>
          <w:rFonts w:ascii="Cambria" w:hAnsi="Cambria"/>
          <w:szCs w:val="22"/>
        </w:rPr>
        <w:t xml:space="preserve">           </w:t>
      </w:r>
      <w:r w:rsidRPr="00A34C4D">
        <w:rPr>
          <w:rFonts w:ascii="Cambria" w:hAnsi="Cambria"/>
          <w:szCs w:val="22"/>
        </w:rPr>
        <w:t>293 L (89.8), respectively. Elexacaftor, tezacaftor and ivacaftor do not partition preferentially into human red blood cells.</w:t>
      </w:r>
    </w:p>
    <w:p w14:paraId="3034E610" w14:textId="77777777" w:rsidR="00DE08E0" w:rsidRPr="00A34C4D" w:rsidRDefault="00DE08E0" w:rsidP="00DE08E0">
      <w:pPr>
        <w:rPr>
          <w:rFonts w:ascii="Cambria" w:hAnsi="Cambria"/>
          <w:bCs/>
          <w:szCs w:val="22"/>
        </w:rPr>
      </w:pPr>
    </w:p>
    <w:p w14:paraId="786ACDA6" w14:textId="77777777" w:rsidR="00DE08E0" w:rsidRPr="00A34C4D" w:rsidRDefault="00DE08E0" w:rsidP="00DE08E0">
      <w:pPr>
        <w:rPr>
          <w:rFonts w:ascii="Cambria" w:hAnsi="Cambria"/>
          <w:b/>
        </w:rPr>
      </w:pPr>
      <w:r w:rsidRPr="00A34C4D">
        <w:rPr>
          <w:rFonts w:ascii="Cambria" w:hAnsi="Cambria"/>
          <w:b/>
          <w:bCs/>
          <w:szCs w:val="22"/>
        </w:rPr>
        <w:t>Metabolism</w:t>
      </w:r>
    </w:p>
    <w:p w14:paraId="0AEFB603" w14:textId="4E09A792" w:rsidR="00B1048F" w:rsidRPr="00A34C4D" w:rsidRDefault="00B1048F" w:rsidP="00B1048F">
      <w:pPr>
        <w:rPr>
          <w:rFonts w:ascii="Cambria" w:hAnsi="Cambria" w:cstheme="minorHAnsi"/>
          <w:i/>
          <w:szCs w:val="22"/>
        </w:rPr>
      </w:pPr>
      <w:r w:rsidRPr="00A34C4D">
        <w:rPr>
          <w:rFonts w:ascii="Cambria" w:hAnsi="Cambria" w:cstheme="minorHAnsi"/>
          <w:szCs w:val="22"/>
        </w:rPr>
        <w:t xml:space="preserve">Elexacaftor is metabolized extensively in humans, mainly by CYP3A4/5. Following oral administration of a single dose of 200 mg </w:t>
      </w:r>
      <w:r w:rsidRPr="00A34C4D">
        <w:rPr>
          <w:rFonts w:ascii="Cambria" w:hAnsi="Cambria" w:cstheme="minorHAnsi"/>
          <w:szCs w:val="22"/>
          <w:vertAlign w:val="superscript"/>
        </w:rPr>
        <w:t>14</w:t>
      </w:r>
      <w:r w:rsidRPr="00A34C4D">
        <w:rPr>
          <w:rFonts w:ascii="Cambria" w:hAnsi="Cambria" w:cstheme="minorHAnsi"/>
          <w:szCs w:val="22"/>
        </w:rPr>
        <w:t>C</w:t>
      </w:r>
      <w:r w:rsidRPr="00A34C4D">
        <w:rPr>
          <w:rFonts w:ascii="Cambria" w:hAnsi="Cambria" w:cstheme="minorHAnsi"/>
          <w:szCs w:val="22"/>
        </w:rPr>
        <w:noBreakHyphen/>
        <w:t>elexacaftor to healthy male subjects, M23</w:t>
      </w:r>
      <w:r w:rsidRPr="00A34C4D">
        <w:rPr>
          <w:rFonts w:ascii="Cambria" w:hAnsi="Cambria" w:cstheme="minorHAnsi"/>
          <w:szCs w:val="22"/>
        </w:rPr>
        <w:noBreakHyphen/>
        <w:t>ELX was the only major circulating metabolite. M23</w:t>
      </w:r>
      <w:r w:rsidRPr="00A34C4D">
        <w:rPr>
          <w:rFonts w:ascii="Cambria" w:hAnsi="Cambria" w:cstheme="minorHAnsi"/>
          <w:szCs w:val="22"/>
        </w:rPr>
        <w:noBreakHyphen/>
        <w:t>ELX is considered pharmacologically active</w:t>
      </w:r>
      <w:r w:rsidR="00814262">
        <w:rPr>
          <w:rFonts w:ascii="Cambria" w:hAnsi="Cambria" w:cstheme="minorHAnsi"/>
          <w:szCs w:val="22"/>
        </w:rPr>
        <w:t>.</w:t>
      </w:r>
    </w:p>
    <w:p w14:paraId="29265A39" w14:textId="77777777" w:rsidR="00B1048F" w:rsidRPr="00A34C4D" w:rsidRDefault="00B1048F" w:rsidP="00B1048F">
      <w:pPr>
        <w:rPr>
          <w:rFonts w:ascii="Cambria" w:hAnsi="Cambria" w:cstheme="minorHAnsi"/>
          <w:szCs w:val="22"/>
        </w:rPr>
      </w:pPr>
    </w:p>
    <w:p w14:paraId="3F5FFAF9" w14:textId="578D8DB8" w:rsidR="00B1048F" w:rsidRPr="00A34C4D" w:rsidRDefault="00B1048F" w:rsidP="00B1048F">
      <w:pPr>
        <w:rPr>
          <w:rFonts w:ascii="Cambria" w:hAnsi="Cambria" w:cstheme="minorHAnsi"/>
          <w:szCs w:val="22"/>
        </w:rPr>
      </w:pPr>
      <w:r w:rsidRPr="00A34C4D">
        <w:rPr>
          <w:rFonts w:ascii="Cambria" w:hAnsi="Cambria" w:cstheme="minorHAnsi"/>
          <w:szCs w:val="22"/>
        </w:rPr>
        <w:t xml:space="preserve">Tezacaftor is metabolized extensively in humans, mainly by CYP3A4/5. Following oral administration of a single dose of 100 mg </w:t>
      </w:r>
      <w:r w:rsidRPr="00A34C4D">
        <w:rPr>
          <w:rFonts w:ascii="Cambria" w:hAnsi="Cambria" w:cstheme="minorHAnsi"/>
          <w:szCs w:val="22"/>
          <w:vertAlign w:val="superscript"/>
        </w:rPr>
        <w:t>14</w:t>
      </w:r>
      <w:r w:rsidRPr="00A34C4D">
        <w:rPr>
          <w:rFonts w:ascii="Cambria" w:hAnsi="Cambria" w:cstheme="minorHAnsi"/>
          <w:szCs w:val="22"/>
        </w:rPr>
        <w:t>C</w:t>
      </w:r>
      <w:r w:rsidRPr="00A34C4D">
        <w:rPr>
          <w:rFonts w:ascii="Cambria" w:hAnsi="Cambria" w:cstheme="minorHAnsi"/>
          <w:szCs w:val="22"/>
        </w:rPr>
        <w:noBreakHyphen/>
        <w:t>tezacaftor to healthy male subjects, M1</w:t>
      </w:r>
      <w:r w:rsidRPr="00A34C4D">
        <w:rPr>
          <w:rFonts w:ascii="Cambria" w:hAnsi="Cambria" w:cstheme="minorHAnsi"/>
          <w:szCs w:val="22"/>
        </w:rPr>
        <w:noBreakHyphen/>
        <w:t>TEZ, M2</w:t>
      </w:r>
      <w:r w:rsidRPr="00A34C4D">
        <w:rPr>
          <w:rFonts w:ascii="Cambria" w:hAnsi="Cambria" w:cstheme="minorHAnsi"/>
          <w:szCs w:val="22"/>
        </w:rPr>
        <w:noBreakHyphen/>
        <w:t>TEZ, and M5</w:t>
      </w:r>
      <w:r w:rsidRPr="00A34C4D">
        <w:rPr>
          <w:rFonts w:ascii="Cambria" w:hAnsi="Cambria" w:cstheme="minorHAnsi"/>
          <w:szCs w:val="22"/>
        </w:rPr>
        <w:noBreakHyphen/>
        <w:t>TEZ were the 3 major circulating metabolites of tezacaftor in humans. M1 has similar</w:t>
      </w:r>
      <w:r w:rsidR="0030683E">
        <w:rPr>
          <w:rFonts w:ascii="Cambria" w:hAnsi="Cambria" w:cstheme="minorHAnsi"/>
          <w:szCs w:val="22"/>
        </w:rPr>
        <w:t xml:space="preserve"> apparent</w:t>
      </w:r>
      <w:r w:rsidRPr="00A34C4D">
        <w:rPr>
          <w:rFonts w:ascii="Cambria" w:hAnsi="Cambria" w:cstheme="minorHAnsi"/>
          <w:szCs w:val="22"/>
        </w:rPr>
        <w:t xml:space="preserve"> potency to that of tezacaftor and is considered pharmacologically active. M2</w:t>
      </w:r>
      <w:r w:rsidRPr="00A34C4D">
        <w:rPr>
          <w:rFonts w:ascii="Cambria" w:hAnsi="Cambria" w:cstheme="minorHAnsi"/>
          <w:szCs w:val="22"/>
        </w:rPr>
        <w:noBreakHyphen/>
        <w:t>TEZ is much less pharmacologically active than tezacaftor or M1</w:t>
      </w:r>
      <w:r w:rsidRPr="00A34C4D">
        <w:rPr>
          <w:rFonts w:ascii="Cambria" w:hAnsi="Cambria" w:cstheme="minorHAnsi"/>
          <w:szCs w:val="22"/>
        </w:rPr>
        <w:noBreakHyphen/>
        <w:t>TEZ, and M5</w:t>
      </w:r>
      <w:r w:rsidRPr="00A34C4D">
        <w:rPr>
          <w:rFonts w:ascii="Cambria" w:hAnsi="Cambria" w:cstheme="minorHAnsi"/>
          <w:szCs w:val="22"/>
        </w:rPr>
        <w:noBreakHyphen/>
        <w:t>TEZ is not considered pharmacologically active. Another minor circulating metabolite, M3</w:t>
      </w:r>
      <w:r w:rsidRPr="00A34C4D">
        <w:rPr>
          <w:rFonts w:ascii="Cambria" w:hAnsi="Cambria" w:cstheme="minorHAnsi"/>
          <w:szCs w:val="22"/>
        </w:rPr>
        <w:noBreakHyphen/>
        <w:t>TEZ, is formed by direct glucuronidation of tezacaftor.</w:t>
      </w:r>
    </w:p>
    <w:p w14:paraId="602BFA1F" w14:textId="77777777" w:rsidR="00B1048F" w:rsidRPr="00A34C4D" w:rsidRDefault="00B1048F" w:rsidP="00B1048F">
      <w:pPr>
        <w:rPr>
          <w:rFonts w:ascii="Cambria" w:hAnsi="Cambria" w:cstheme="minorHAnsi"/>
          <w:szCs w:val="22"/>
        </w:rPr>
      </w:pPr>
    </w:p>
    <w:p w14:paraId="12276509" w14:textId="298EED78" w:rsidR="00B1048F" w:rsidRPr="00A34C4D" w:rsidRDefault="00B1048F" w:rsidP="00B1048F">
      <w:pPr>
        <w:rPr>
          <w:rFonts w:ascii="Cambria" w:hAnsi="Cambria" w:cstheme="minorHAnsi"/>
          <w:szCs w:val="22"/>
        </w:rPr>
      </w:pPr>
      <w:r w:rsidRPr="00A34C4D">
        <w:rPr>
          <w:rFonts w:ascii="Cambria" w:hAnsi="Cambria" w:cstheme="minorHAnsi"/>
          <w:szCs w:val="22"/>
        </w:rPr>
        <w:t xml:space="preserve">Ivacaftor is also metabolized extensively in humans. </w:t>
      </w:r>
      <w:r w:rsidRPr="00A34C4D">
        <w:rPr>
          <w:rFonts w:ascii="Cambria" w:hAnsi="Cambria" w:cstheme="minorHAnsi"/>
          <w:i/>
          <w:szCs w:val="22"/>
        </w:rPr>
        <w:t>In vitro</w:t>
      </w:r>
      <w:r w:rsidRPr="00A34C4D">
        <w:rPr>
          <w:rFonts w:ascii="Cambria" w:hAnsi="Cambria" w:cstheme="minorHAnsi"/>
          <w:szCs w:val="22"/>
        </w:rPr>
        <w:t xml:space="preserve"> and </w:t>
      </w:r>
      <w:r w:rsidRPr="00A34C4D">
        <w:rPr>
          <w:rFonts w:ascii="Cambria" w:hAnsi="Cambria" w:cstheme="minorHAnsi"/>
          <w:i/>
          <w:szCs w:val="22"/>
        </w:rPr>
        <w:t>in vivo</w:t>
      </w:r>
      <w:r w:rsidRPr="00A34C4D">
        <w:rPr>
          <w:rFonts w:ascii="Cambria" w:hAnsi="Cambria" w:cstheme="minorHAnsi"/>
          <w:szCs w:val="22"/>
        </w:rPr>
        <w:t xml:space="preserve"> data indicate that ivacaftor is metabolized primarily by CYP3A4/5. M1</w:t>
      </w:r>
      <w:r w:rsidRPr="00A34C4D">
        <w:rPr>
          <w:rFonts w:ascii="Cambria" w:hAnsi="Cambria" w:cstheme="minorHAnsi"/>
          <w:szCs w:val="22"/>
        </w:rPr>
        <w:noBreakHyphen/>
        <w:t>IVA and M6</w:t>
      </w:r>
      <w:r w:rsidRPr="00A34C4D">
        <w:rPr>
          <w:rFonts w:ascii="Cambria" w:hAnsi="Cambria" w:cstheme="minorHAnsi"/>
          <w:szCs w:val="22"/>
        </w:rPr>
        <w:noBreakHyphen/>
        <w:t>IVA are the two major metabolites of ivacaftor in humans. M1</w:t>
      </w:r>
      <w:r w:rsidRPr="00A34C4D">
        <w:rPr>
          <w:rFonts w:ascii="Cambria" w:hAnsi="Cambria" w:cstheme="minorHAnsi"/>
          <w:szCs w:val="22"/>
        </w:rPr>
        <w:noBreakHyphen/>
        <w:t>IVA has approximately one</w:t>
      </w:r>
      <w:r w:rsidRPr="00A34C4D">
        <w:rPr>
          <w:rFonts w:ascii="Cambria" w:hAnsi="Cambria" w:cstheme="minorHAnsi"/>
          <w:szCs w:val="22"/>
        </w:rPr>
        <w:noBreakHyphen/>
        <w:t>sixth the potency of ivacaftor and is considered pharmacologically active. M6</w:t>
      </w:r>
      <w:r w:rsidRPr="00A34C4D">
        <w:rPr>
          <w:rFonts w:ascii="Cambria" w:hAnsi="Cambria" w:cstheme="minorHAnsi"/>
          <w:szCs w:val="22"/>
        </w:rPr>
        <w:noBreakHyphen/>
        <w:t>IVA is not considered pharmacologically active.</w:t>
      </w:r>
    </w:p>
    <w:p w14:paraId="5C6D3FA1" w14:textId="77777777" w:rsidR="00814262" w:rsidRDefault="00814262" w:rsidP="00DE08E0">
      <w:pPr>
        <w:rPr>
          <w:rFonts w:ascii="Cambria" w:hAnsi="Cambria"/>
          <w:b/>
        </w:rPr>
      </w:pPr>
    </w:p>
    <w:p w14:paraId="7C635CD4" w14:textId="59B41713" w:rsidR="00DE08E0" w:rsidRPr="00A34C4D" w:rsidRDefault="00DE08E0" w:rsidP="00DE08E0">
      <w:pPr>
        <w:rPr>
          <w:rFonts w:ascii="Cambria" w:hAnsi="Cambria"/>
          <w:b/>
        </w:rPr>
      </w:pPr>
      <w:r w:rsidRPr="00A34C4D">
        <w:rPr>
          <w:rFonts w:ascii="Cambria" w:hAnsi="Cambria"/>
          <w:b/>
        </w:rPr>
        <w:t>Excretion</w:t>
      </w:r>
    </w:p>
    <w:p w14:paraId="4F73C84F" w14:textId="77777777" w:rsidR="002838B6" w:rsidRPr="00A34C4D" w:rsidRDefault="002838B6" w:rsidP="002838B6">
      <w:pPr>
        <w:rPr>
          <w:rFonts w:ascii="Cambria" w:hAnsi="Cambria"/>
          <w:szCs w:val="22"/>
        </w:rPr>
      </w:pPr>
      <w:r w:rsidRPr="00A34C4D">
        <w:rPr>
          <w:rFonts w:ascii="Cambria" w:hAnsi="Cambria"/>
          <w:szCs w:val="22"/>
        </w:rPr>
        <w:t>Following multiple dosing in the fed state, the mean (±SD) apparent clearance values of elexacaftor, tezacaftor and ivacaftor at steady state were 1.18 (0.29) L/h, 0.79 (0.10) L/h and 10.2 (3.13) L/h, respectively. The mean (SD) terminal half</w:t>
      </w:r>
      <w:r w:rsidRPr="00A34C4D">
        <w:rPr>
          <w:rFonts w:ascii="Cambria" w:hAnsi="Cambria"/>
          <w:szCs w:val="22"/>
        </w:rPr>
        <w:noBreakHyphen/>
        <w:t>lives of elexacaftor, tezacaftor and ivacaftor following administration of the elexacaftor/tezacaftor/ivacaftor fixed</w:t>
      </w:r>
      <w:r w:rsidRPr="00A34C4D">
        <w:rPr>
          <w:rFonts w:ascii="Cambria" w:hAnsi="Cambria"/>
          <w:szCs w:val="22"/>
        </w:rPr>
        <w:noBreakHyphen/>
        <w:t>dose combination tablets are approximately 24.7 (4.87) hours, 60.3 (15.7) hours and 13.1 (2.98) hours, respectively.</w:t>
      </w:r>
    </w:p>
    <w:p w14:paraId="306AC795" w14:textId="77777777" w:rsidR="002838B6" w:rsidRDefault="002838B6" w:rsidP="00B1048F">
      <w:pPr>
        <w:rPr>
          <w:rFonts w:ascii="Cambria" w:hAnsi="Cambria"/>
          <w:bCs/>
          <w:szCs w:val="22"/>
        </w:rPr>
      </w:pPr>
    </w:p>
    <w:p w14:paraId="79E28117" w14:textId="27D84F66" w:rsidR="00B1048F" w:rsidRPr="00A34C4D" w:rsidRDefault="00B1048F" w:rsidP="00B1048F">
      <w:pPr>
        <w:rPr>
          <w:rFonts w:ascii="Cambria" w:hAnsi="Cambria"/>
          <w:bCs/>
          <w:i/>
          <w:szCs w:val="22"/>
        </w:rPr>
      </w:pPr>
      <w:r w:rsidRPr="00A34C4D">
        <w:rPr>
          <w:rFonts w:ascii="Cambria" w:hAnsi="Cambria"/>
          <w:bCs/>
          <w:szCs w:val="22"/>
        </w:rPr>
        <w:t xml:space="preserve">Following oral administration of </w:t>
      </w:r>
      <w:r w:rsidRPr="00A34C4D">
        <w:rPr>
          <w:rFonts w:ascii="Cambria" w:hAnsi="Cambria"/>
          <w:bCs/>
          <w:szCs w:val="22"/>
          <w:vertAlign w:val="superscript"/>
        </w:rPr>
        <w:t>14</w:t>
      </w:r>
      <w:r w:rsidRPr="00A34C4D">
        <w:rPr>
          <w:rFonts w:ascii="Cambria" w:hAnsi="Cambria"/>
          <w:bCs/>
          <w:szCs w:val="22"/>
        </w:rPr>
        <w:t>C</w:t>
      </w:r>
      <w:r w:rsidRPr="00A34C4D">
        <w:rPr>
          <w:rFonts w:ascii="Cambria" w:hAnsi="Cambria"/>
          <w:bCs/>
          <w:szCs w:val="22"/>
        </w:rPr>
        <w:noBreakHyphen/>
        <w:t>elexacaftor alone, the majority of elexacaftor (87.3%) was eliminated in the faeces, primarily as metabolites.</w:t>
      </w:r>
    </w:p>
    <w:p w14:paraId="017F4A18" w14:textId="77777777" w:rsidR="00B1048F" w:rsidRPr="00A34C4D" w:rsidRDefault="00B1048F" w:rsidP="00B1048F">
      <w:pPr>
        <w:rPr>
          <w:rFonts w:ascii="Cambria" w:hAnsi="Cambria"/>
          <w:bCs/>
          <w:szCs w:val="22"/>
        </w:rPr>
      </w:pPr>
    </w:p>
    <w:p w14:paraId="0B4A1C37" w14:textId="612AFE3A" w:rsidR="00B1048F" w:rsidRPr="00A34C4D" w:rsidRDefault="00B1048F" w:rsidP="00B1048F">
      <w:pPr>
        <w:rPr>
          <w:rFonts w:ascii="Cambria" w:hAnsi="Cambria"/>
          <w:bCs/>
          <w:szCs w:val="22"/>
        </w:rPr>
      </w:pPr>
      <w:r w:rsidRPr="00A34C4D">
        <w:rPr>
          <w:rFonts w:ascii="Cambria" w:hAnsi="Cambria"/>
          <w:bCs/>
          <w:szCs w:val="22"/>
        </w:rPr>
        <w:t xml:space="preserve">Following oral administration of </w:t>
      </w:r>
      <w:r w:rsidRPr="00A34C4D">
        <w:rPr>
          <w:rFonts w:ascii="Cambria" w:hAnsi="Cambria"/>
          <w:bCs/>
          <w:szCs w:val="22"/>
          <w:vertAlign w:val="superscript"/>
        </w:rPr>
        <w:t>14</w:t>
      </w:r>
      <w:r w:rsidRPr="00A34C4D">
        <w:rPr>
          <w:rFonts w:ascii="Cambria" w:hAnsi="Cambria"/>
          <w:bCs/>
          <w:szCs w:val="22"/>
        </w:rPr>
        <w:t>C</w:t>
      </w:r>
      <w:r w:rsidRPr="00A34C4D">
        <w:rPr>
          <w:rFonts w:ascii="Cambria" w:hAnsi="Cambria"/>
          <w:bCs/>
          <w:szCs w:val="22"/>
        </w:rPr>
        <w:noBreakHyphen/>
        <w:t>tezacaftor alone, the majority of the dose (72%) was excreted in the f</w:t>
      </w:r>
      <w:r w:rsidR="008C5157">
        <w:rPr>
          <w:rFonts w:ascii="Cambria" w:hAnsi="Cambria"/>
          <w:bCs/>
          <w:szCs w:val="22"/>
        </w:rPr>
        <w:t>a</w:t>
      </w:r>
      <w:r w:rsidRPr="00A34C4D">
        <w:rPr>
          <w:rFonts w:ascii="Cambria" w:hAnsi="Cambria"/>
          <w:bCs/>
          <w:szCs w:val="22"/>
        </w:rPr>
        <w:t>eces (unchanged or as the M2</w:t>
      </w:r>
      <w:r w:rsidRPr="00A34C4D">
        <w:rPr>
          <w:rFonts w:ascii="Cambria" w:hAnsi="Cambria"/>
          <w:bCs/>
          <w:szCs w:val="22"/>
        </w:rPr>
        <w:noBreakHyphen/>
        <w:t>TEZ) and about 14% was recovered in urine (mostly as M2</w:t>
      </w:r>
      <w:r w:rsidRPr="00A34C4D">
        <w:rPr>
          <w:rFonts w:ascii="Cambria" w:hAnsi="Cambria"/>
          <w:bCs/>
          <w:szCs w:val="22"/>
        </w:rPr>
        <w:noBreakHyphen/>
        <w:t>TEZ), resulting in a mean overall recovery of 86% up to 26 days after the dose.</w:t>
      </w:r>
    </w:p>
    <w:p w14:paraId="352924E0" w14:textId="77777777" w:rsidR="00B1048F" w:rsidRPr="00A34C4D" w:rsidRDefault="00B1048F" w:rsidP="00B1048F">
      <w:pPr>
        <w:rPr>
          <w:rFonts w:ascii="Cambria" w:hAnsi="Cambria"/>
          <w:bCs/>
          <w:szCs w:val="22"/>
        </w:rPr>
      </w:pPr>
    </w:p>
    <w:p w14:paraId="067881E1" w14:textId="192AEFAF" w:rsidR="00B1048F" w:rsidRPr="00A34C4D" w:rsidRDefault="00B1048F" w:rsidP="00B1048F">
      <w:pPr>
        <w:rPr>
          <w:rFonts w:ascii="Cambria" w:hAnsi="Cambria"/>
          <w:bCs/>
          <w:szCs w:val="22"/>
        </w:rPr>
      </w:pPr>
      <w:r w:rsidRPr="00A34C4D">
        <w:rPr>
          <w:rFonts w:ascii="Cambria" w:hAnsi="Cambria"/>
          <w:bCs/>
          <w:szCs w:val="22"/>
        </w:rPr>
        <w:t xml:space="preserve">Following oral administration of </w:t>
      </w:r>
      <w:r w:rsidRPr="00A34C4D">
        <w:rPr>
          <w:rFonts w:ascii="Cambria" w:hAnsi="Cambria"/>
          <w:bCs/>
          <w:szCs w:val="22"/>
          <w:vertAlign w:val="superscript"/>
        </w:rPr>
        <w:t>14</w:t>
      </w:r>
      <w:r w:rsidRPr="00A34C4D">
        <w:rPr>
          <w:rFonts w:ascii="Cambria" w:hAnsi="Cambria"/>
          <w:bCs/>
          <w:szCs w:val="22"/>
        </w:rPr>
        <w:t>C-ivacaftor alone, the majority of ivacaftor (87.8%) was eliminated in the f</w:t>
      </w:r>
      <w:r w:rsidR="008C5157">
        <w:rPr>
          <w:rFonts w:ascii="Cambria" w:hAnsi="Cambria"/>
          <w:bCs/>
          <w:szCs w:val="22"/>
        </w:rPr>
        <w:t>a</w:t>
      </w:r>
      <w:r w:rsidRPr="00A34C4D">
        <w:rPr>
          <w:rFonts w:ascii="Cambria" w:hAnsi="Cambria"/>
          <w:bCs/>
          <w:szCs w:val="22"/>
        </w:rPr>
        <w:t xml:space="preserve">eces after metabolic conversion. </w:t>
      </w:r>
    </w:p>
    <w:p w14:paraId="581B3E0F" w14:textId="77777777" w:rsidR="00B1048F" w:rsidRPr="00A34C4D" w:rsidRDefault="00B1048F" w:rsidP="00B1048F">
      <w:pPr>
        <w:rPr>
          <w:rFonts w:ascii="Cambria" w:hAnsi="Cambria"/>
          <w:bCs/>
          <w:szCs w:val="22"/>
        </w:rPr>
      </w:pPr>
    </w:p>
    <w:p w14:paraId="2828B92E" w14:textId="77777777" w:rsidR="00B1048F" w:rsidRPr="00A34C4D" w:rsidRDefault="00B1048F" w:rsidP="00B1048F">
      <w:pPr>
        <w:rPr>
          <w:rFonts w:ascii="Cambria" w:hAnsi="Cambria"/>
          <w:bCs/>
          <w:szCs w:val="22"/>
        </w:rPr>
      </w:pPr>
      <w:r w:rsidRPr="00A34C4D">
        <w:rPr>
          <w:rFonts w:ascii="Cambria" w:hAnsi="Cambria"/>
          <w:bCs/>
          <w:szCs w:val="22"/>
        </w:rPr>
        <w:t>For elexacaftor, tezacaftor and ivacaftor there was negligible urinary excretion of unchanged drug.</w:t>
      </w:r>
    </w:p>
    <w:p w14:paraId="45EC5857" w14:textId="77777777" w:rsidR="00DE08E0" w:rsidRPr="00A34C4D" w:rsidRDefault="00DE08E0" w:rsidP="00DE08E0">
      <w:pPr>
        <w:rPr>
          <w:rFonts w:ascii="Cambria" w:hAnsi="Cambria"/>
          <w:szCs w:val="22"/>
        </w:rPr>
      </w:pPr>
    </w:p>
    <w:p w14:paraId="1705DFCB" w14:textId="77777777" w:rsidR="00DE08E0" w:rsidRPr="00A34C4D" w:rsidRDefault="00DE08E0" w:rsidP="00DE08E0">
      <w:pPr>
        <w:rPr>
          <w:rFonts w:ascii="Cambria" w:hAnsi="Cambria"/>
          <w:b/>
        </w:rPr>
      </w:pPr>
      <w:r w:rsidRPr="00A34C4D">
        <w:rPr>
          <w:rFonts w:ascii="Cambria" w:hAnsi="Cambria"/>
          <w:b/>
        </w:rPr>
        <w:t>Hepatic impairment</w:t>
      </w:r>
    </w:p>
    <w:p w14:paraId="7BE948BD" w14:textId="5526BED0" w:rsidR="00B1048F" w:rsidRPr="00B20D39" w:rsidRDefault="00B1048F" w:rsidP="00B1048F">
      <w:pPr>
        <w:tabs>
          <w:tab w:val="clear" w:pos="567"/>
        </w:tabs>
        <w:autoSpaceDE w:val="0"/>
        <w:autoSpaceDN w:val="0"/>
        <w:adjustRightInd w:val="0"/>
        <w:rPr>
          <w:rFonts w:ascii="Cambria" w:eastAsiaTheme="minorHAnsi" w:hAnsi="Cambria"/>
        </w:rPr>
      </w:pPr>
      <w:r w:rsidRPr="00B20D39">
        <w:rPr>
          <w:rFonts w:ascii="Cambria" w:eastAsiaTheme="minorHAnsi" w:hAnsi="Cambria"/>
        </w:rPr>
        <w:t xml:space="preserve">Elexacaftor alone or in combination with tezacaftor and ivacaftor has not been studied in subjects with </w:t>
      </w:r>
      <w:r w:rsidR="00B20D39" w:rsidRPr="00B20D39">
        <w:rPr>
          <w:rFonts w:ascii="Cambria" w:eastAsiaTheme="minorHAnsi" w:hAnsi="Cambria"/>
        </w:rPr>
        <w:t xml:space="preserve">severe </w:t>
      </w:r>
      <w:r w:rsidRPr="00B20D39">
        <w:rPr>
          <w:rFonts w:ascii="Cambria" w:eastAsiaTheme="minorHAnsi" w:hAnsi="Cambria"/>
        </w:rPr>
        <w:t>hepatic impairment</w:t>
      </w:r>
      <w:r w:rsidR="00B20D39" w:rsidRPr="00D86570">
        <w:rPr>
          <w:rFonts w:ascii="Cambria" w:eastAsiaTheme="minorHAnsi" w:hAnsi="Cambria"/>
        </w:rPr>
        <w:t xml:space="preserve"> </w:t>
      </w:r>
      <w:bookmarkStart w:id="46" w:name="_Hlk40609328"/>
      <w:r w:rsidR="00B20D39" w:rsidRPr="00B20D39">
        <w:rPr>
          <w:rFonts w:ascii="Cambria" w:eastAsiaTheme="minorHAnsi" w:hAnsi="Cambria"/>
        </w:rPr>
        <w:t>(Child</w:t>
      </w:r>
      <w:r w:rsidR="00B20D39" w:rsidRPr="00B20D39">
        <w:rPr>
          <w:rFonts w:ascii="Cambria" w:eastAsiaTheme="minorHAnsi" w:hAnsi="Cambria"/>
        </w:rPr>
        <w:noBreakHyphen/>
        <w:t>Pugh Class C, score 10</w:t>
      </w:r>
      <w:r w:rsidR="00B20D39" w:rsidRPr="00B20D39">
        <w:rPr>
          <w:rFonts w:ascii="Cambria" w:eastAsiaTheme="minorHAnsi" w:hAnsi="Cambria"/>
        </w:rPr>
        <w:noBreakHyphen/>
        <w:t>15)</w:t>
      </w:r>
      <w:bookmarkEnd w:id="46"/>
      <w:r w:rsidR="00B20D39" w:rsidRPr="00B20D39">
        <w:rPr>
          <w:rFonts w:ascii="Cambria" w:eastAsiaTheme="minorHAnsi" w:hAnsi="Cambria"/>
        </w:rPr>
        <w:t xml:space="preserve">. </w:t>
      </w:r>
      <w:bookmarkStart w:id="47" w:name="_Hlk40606856"/>
      <w:r w:rsidR="00B20D39" w:rsidRPr="00B20D39">
        <w:rPr>
          <w:rFonts w:ascii="Cambria" w:eastAsia="Calibri" w:hAnsi="Cambria"/>
        </w:rPr>
        <w:t xml:space="preserve">Following multiple doses of elexacaftor, tezacaftor and ivacaftor for 10 days, subjects with moderately impaired hepatic function </w:t>
      </w:r>
      <w:bookmarkStart w:id="48" w:name="_Hlk40609343"/>
      <w:r w:rsidR="00B20D39" w:rsidRPr="00B20D39">
        <w:rPr>
          <w:rFonts w:ascii="Cambria" w:eastAsiaTheme="minorHAnsi" w:hAnsi="Cambria"/>
        </w:rPr>
        <w:t>(Child</w:t>
      </w:r>
      <w:r w:rsidR="00B20D39" w:rsidRPr="00B20D39">
        <w:rPr>
          <w:rFonts w:ascii="Cambria" w:eastAsiaTheme="minorHAnsi" w:hAnsi="Cambria"/>
        </w:rPr>
        <w:noBreakHyphen/>
        <w:t xml:space="preserve">Pugh Class B, score 7 to 9) </w:t>
      </w:r>
      <w:bookmarkEnd w:id="48"/>
      <w:r w:rsidR="00B20D39" w:rsidRPr="00B20D39">
        <w:rPr>
          <w:rFonts w:ascii="Cambria" w:eastAsia="Calibri" w:hAnsi="Cambria"/>
        </w:rPr>
        <w:t>had an approximately 25% higher AUC and a 12% higher C</w:t>
      </w:r>
      <w:r w:rsidR="00B20D39" w:rsidRPr="00B20D39">
        <w:rPr>
          <w:rFonts w:ascii="Cambria" w:eastAsia="Calibri" w:hAnsi="Cambria"/>
          <w:vertAlign w:val="subscript"/>
        </w:rPr>
        <w:t>max</w:t>
      </w:r>
      <w:r w:rsidR="00B20D39" w:rsidRPr="00B20D39">
        <w:rPr>
          <w:rFonts w:ascii="Cambria" w:eastAsia="Calibri" w:hAnsi="Cambria"/>
        </w:rPr>
        <w:t xml:space="preserve"> for elexacaftor, 20% higher AUC but similar C</w:t>
      </w:r>
      <w:r w:rsidR="00B20D39" w:rsidRPr="00B20D39">
        <w:rPr>
          <w:rFonts w:ascii="Cambria" w:eastAsia="Calibri" w:hAnsi="Cambria"/>
          <w:vertAlign w:val="subscript"/>
        </w:rPr>
        <w:t>max</w:t>
      </w:r>
      <w:r w:rsidR="00B20D39" w:rsidRPr="00B20D39">
        <w:rPr>
          <w:rFonts w:ascii="Cambria" w:eastAsia="Calibri" w:hAnsi="Cambria"/>
        </w:rPr>
        <w:t xml:space="preserve"> for tezacaftor, and a 1.5</w:t>
      </w:r>
      <w:r w:rsidR="00B20D39" w:rsidRPr="00B20D39">
        <w:rPr>
          <w:rFonts w:ascii="Cambria" w:eastAsia="Calibri" w:hAnsi="Cambria"/>
        </w:rPr>
        <w:noBreakHyphen/>
        <w:t>fold higher AUC and a 10% higher C</w:t>
      </w:r>
      <w:r w:rsidR="00B20D39" w:rsidRPr="00B20D39">
        <w:rPr>
          <w:rFonts w:ascii="Cambria" w:eastAsia="Calibri" w:hAnsi="Cambria"/>
          <w:vertAlign w:val="subscript"/>
        </w:rPr>
        <w:t>max</w:t>
      </w:r>
      <w:r w:rsidR="00B20D39" w:rsidRPr="00B20D39">
        <w:rPr>
          <w:rFonts w:ascii="Cambria" w:eastAsia="Calibri" w:hAnsi="Cambria"/>
        </w:rPr>
        <w:t xml:space="preserve"> for ivacaftor compared with healthy subjects matched for demographics.</w:t>
      </w:r>
      <w:bookmarkEnd w:id="47"/>
      <w:r w:rsidRPr="00B20D39">
        <w:rPr>
          <w:rFonts w:ascii="Cambria" w:eastAsiaTheme="minorHAnsi" w:hAnsi="Cambria"/>
        </w:rPr>
        <w:t xml:space="preserve">. </w:t>
      </w:r>
    </w:p>
    <w:p w14:paraId="3F9873F8" w14:textId="77777777" w:rsidR="00B1048F" w:rsidRPr="00A34C4D" w:rsidRDefault="00B1048F" w:rsidP="00B1048F">
      <w:pPr>
        <w:tabs>
          <w:tab w:val="clear" w:pos="567"/>
        </w:tabs>
        <w:autoSpaceDE w:val="0"/>
        <w:autoSpaceDN w:val="0"/>
        <w:adjustRightInd w:val="0"/>
        <w:rPr>
          <w:rFonts w:ascii="Cambria" w:eastAsiaTheme="minorHAnsi" w:hAnsi="Cambria"/>
        </w:rPr>
      </w:pPr>
    </w:p>
    <w:p w14:paraId="56A5CDEE" w14:textId="77777777" w:rsidR="00B1048F" w:rsidRPr="00A34C4D" w:rsidRDefault="00B1048F" w:rsidP="00B1048F">
      <w:pPr>
        <w:tabs>
          <w:tab w:val="clear" w:pos="567"/>
        </w:tabs>
        <w:autoSpaceDE w:val="0"/>
        <w:autoSpaceDN w:val="0"/>
        <w:adjustRightInd w:val="0"/>
        <w:rPr>
          <w:rFonts w:ascii="Cambria" w:eastAsiaTheme="minorHAnsi" w:hAnsi="Cambria"/>
          <w:i/>
        </w:rPr>
      </w:pPr>
      <w:r w:rsidRPr="00A34C4D">
        <w:rPr>
          <w:rFonts w:ascii="Cambria" w:eastAsiaTheme="minorHAnsi" w:hAnsi="Cambria"/>
          <w:i/>
        </w:rPr>
        <w:t>Tezacaftor and ivacaftor</w:t>
      </w:r>
    </w:p>
    <w:p w14:paraId="31D9FF53" w14:textId="212562E6" w:rsidR="00B1048F" w:rsidRPr="00A34C4D" w:rsidRDefault="00B1048F" w:rsidP="00B1048F">
      <w:pPr>
        <w:tabs>
          <w:tab w:val="clear" w:pos="567"/>
        </w:tabs>
        <w:autoSpaceDE w:val="0"/>
        <w:autoSpaceDN w:val="0"/>
        <w:adjustRightInd w:val="0"/>
        <w:rPr>
          <w:rFonts w:ascii="Cambria" w:eastAsiaTheme="minorHAnsi" w:hAnsi="Cambria"/>
        </w:rPr>
      </w:pPr>
      <w:r w:rsidRPr="00A34C4D">
        <w:rPr>
          <w:rFonts w:ascii="Cambria" w:eastAsiaTheme="minorHAnsi" w:hAnsi="Cambria"/>
        </w:rPr>
        <w:t>Following multiple doses of tezacaftor and ivacaftor for 10 days, subjects with moderately impaired hepatic function had an approximately 36% higher AUC and a 10% higher C</w:t>
      </w:r>
      <w:r w:rsidRPr="00A34C4D">
        <w:rPr>
          <w:rFonts w:ascii="Cambria" w:eastAsiaTheme="minorHAnsi" w:hAnsi="Cambria"/>
          <w:vertAlign w:val="subscript"/>
        </w:rPr>
        <w:t>max</w:t>
      </w:r>
      <w:r w:rsidRPr="00A34C4D">
        <w:rPr>
          <w:rFonts w:ascii="Cambria" w:eastAsiaTheme="minorHAnsi" w:hAnsi="Cambria"/>
        </w:rPr>
        <w:t xml:space="preserve"> for tezacaftor, and a 1.5</w:t>
      </w:r>
      <w:r w:rsidRPr="00A34C4D">
        <w:rPr>
          <w:rFonts w:ascii="Cambria" w:eastAsiaTheme="minorHAnsi" w:hAnsi="Cambria"/>
        </w:rPr>
        <w:noBreakHyphen/>
        <w:t>fold higher AUC but similar C</w:t>
      </w:r>
      <w:r w:rsidRPr="00A34C4D">
        <w:rPr>
          <w:rFonts w:ascii="Cambria" w:eastAsiaTheme="minorHAnsi" w:hAnsi="Cambria"/>
          <w:vertAlign w:val="subscript"/>
        </w:rPr>
        <w:t>max</w:t>
      </w:r>
      <w:r w:rsidRPr="00A34C4D">
        <w:rPr>
          <w:rFonts w:ascii="Cambria" w:eastAsiaTheme="minorHAnsi" w:hAnsi="Cambria"/>
        </w:rPr>
        <w:t xml:space="preserve"> for ivacaftor compared with healthy subjects matched for demographics. </w:t>
      </w:r>
    </w:p>
    <w:p w14:paraId="1324E128" w14:textId="77777777" w:rsidR="00B1048F" w:rsidRPr="00A34C4D" w:rsidRDefault="00B1048F" w:rsidP="00B1048F">
      <w:pPr>
        <w:tabs>
          <w:tab w:val="clear" w:pos="567"/>
        </w:tabs>
        <w:autoSpaceDE w:val="0"/>
        <w:autoSpaceDN w:val="0"/>
        <w:adjustRightInd w:val="0"/>
        <w:rPr>
          <w:rFonts w:ascii="Cambria" w:eastAsiaTheme="minorHAnsi" w:hAnsi="Cambria"/>
        </w:rPr>
      </w:pPr>
    </w:p>
    <w:p w14:paraId="08DE7262" w14:textId="77777777" w:rsidR="00B1048F" w:rsidRPr="00A34C4D" w:rsidRDefault="00B1048F" w:rsidP="00B1048F">
      <w:pPr>
        <w:tabs>
          <w:tab w:val="clear" w:pos="567"/>
        </w:tabs>
        <w:autoSpaceDE w:val="0"/>
        <w:autoSpaceDN w:val="0"/>
        <w:adjustRightInd w:val="0"/>
        <w:rPr>
          <w:rFonts w:ascii="Cambria" w:eastAsiaTheme="minorHAnsi" w:hAnsi="Cambria"/>
        </w:rPr>
      </w:pPr>
      <w:r w:rsidRPr="00A34C4D">
        <w:rPr>
          <w:rFonts w:ascii="Cambria" w:eastAsiaTheme="minorHAnsi" w:hAnsi="Cambria"/>
          <w:i/>
        </w:rPr>
        <w:t>Ivacaftor</w:t>
      </w:r>
    </w:p>
    <w:p w14:paraId="353A28F6" w14:textId="1C23F4A6" w:rsidR="00B1048F" w:rsidRPr="00A34C4D" w:rsidRDefault="00B1048F" w:rsidP="00B1048F">
      <w:pPr>
        <w:tabs>
          <w:tab w:val="clear" w:pos="567"/>
        </w:tabs>
        <w:autoSpaceDE w:val="0"/>
        <w:autoSpaceDN w:val="0"/>
        <w:adjustRightInd w:val="0"/>
        <w:rPr>
          <w:rFonts w:ascii="Cambria" w:eastAsiaTheme="minorHAnsi" w:hAnsi="Cambria"/>
        </w:rPr>
      </w:pPr>
      <w:r w:rsidRPr="00A34C4D">
        <w:rPr>
          <w:rFonts w:ascii="Cambria" w:eastAsiaTheme="minorHAnsi" w:hAnsi="Cambria"/>
        </w:rPr>
        <w:t>In a study with ivacaftor alone, subjects with moderately impaired hepatic function had similar ivacaftor C</w:t>
      </w:r>
      <w:r w:rsidRPr="00A34C4D">
        <w:rPr>
          <w:rFonts w:ascii="Cambria" w:eastAsiaTheme="minorHAnsi" w:hAnsi="Cambria"/>
          <w:vertAlign w:val="subscript"/>
        </w:rPr>
        <w:t>max</w:t>
      </w:r>
      <w:r w:rsidRPr="00A34C4D">
        <w:rPr>
          <w:rFonts w:ascii="Cambria" w:eastAsiaTheme="minorHAnsi" w:hAnsi="Cambria"/>
        </w:rPr>
        <w:t>, but an approximately 2.0</w:t>
      </w:r>
      <w:r w:rsidRPr="00A34C4D">
        <w:rPr>
          <w:rFonts w:ascii="Cambria" w:eastAsiaTheme="minorHAnsi" w:hAnsi="Cambria"/>
        </w:rPr>
        <w:noBreakHyphen/>
        <w:t>fold higher ivacaftor AUC</w:t>
      </w:r>
      <w:r w:rsidRPr="00A34C4D">
        <w:rPr>
          <w:rFonts w:ascii="Cambria" w:eastAsiaTheme="minorHAnsi" w:hAnsi="Cambria"/>
          <w:vertAlign w:val="subscript"/>
        </w:rPr>
        <w:t>0</w:t>
      </w:r>
      <w:r w:rsidRPr="00A34C4D">
        <w:rPr>
          <w:rFonts w:ascii="Cambria" w:eastAsiaTheme="minorHAnsi" w:hAnsi="Cambria"/>
          <w:vertAlign w:val="subscript"/>
        </w:rPr>
        <w:noBreakHyphen/>
        <w:t>∞</w:t>
      </w:r>
      <w:r w:rsidRPr="00A34C4D">
        <w:rPr>
          <w:rFonts w:ascii="Cambria" w:eastAsiaTheme="minorHAnsi" w:hAnsi="Cambria"/>
        </w:rPr>
        <w:t xml:space="preserve"> compared with healthy subjects matched for demographics. </w:t>
      </w:r>
    </w:p>
    <w:p w14:paraId="6C2FAC13" w14:textId="77777777" w:rsidR="00B1048F" w:rsidRPr="00A34C4D" w:rsidRDefault="00B1048F" w:rsidP="003219CB">
      <w:pPr>
        <w:keepNext/>
        <w:keepLines/>
        <w:rPr>
          <w:rFonts w:ascii="Cambria" w:hAnsi="Cambria"/>
          <w:b/>
        </w:rPr>
      </w:pPr>
    </w:p>
    <w:p w14:paraId="08B08960" w14:textId="1342291B" w:rsidR="00DE08E0" w:rsidRPr="00A34C4D" w:rsidRDefault="00DE08E0" w:rsidP="003219CB">
      <w:pPr>
        <w:keepNext/>
        <w:keepLines/>
        <w:rPr>
          <w:rFonts w:ascii="Cambria" w:hAnsi="Cambria"/>
          <w:b/>
        </w:rPr>
      </w:pPr>
      <w:r w:rsidRPr="00A34C4D">
        <w:rPr>
          <w:rFonts w:ascii="Cambria" w:hAnsi="Cambria"/>
          <w:b/>
        </w:rPr>
        <w:t>Renal impairment</w:t>
      </w:r>
    </w:p>
    <w:p w14:paraId="2C57EBD8" w14:textId="79BC6029" w:rsidR="00B1048F" w:rsidRPr="00A34C4D" w:rsidRDefault="00B1048F" w:rsidP="00B1048F">
      <w:pPr>
        <w:tabs>
          <w:tab w:val="clear" w:pos="567"/>
        </w:tabs>
        <w:rPr>
          <w:rFonts w:ascii="Cambria" w:eastAsiaTheme="minorHAnsi" w:hAnsi="Cambria"/>
        </w:rPr>
      </w:pPr>
      <w:r w:rsidRPr="00A34C4D">
        <w:rPr>
          <w:rFonts w:ascii="Cambria" w:eastAsiaTheme="minorHAnsi" w:hAnsi="Cambria"/>
        </w:rPr>
        <w:t>Elexacaftor alone or in combination with tezacaftor and ivacaftor has not been studied in patients, severe renal impairment (eGFR less than 30 mL/min</w:t>
      </w:r>
      <w:r w:rsidR="0096379E">
        <w:rPr>
          <w:rFonts w:ascii="Cambria" w:eastAsiaTheme="minorHAnsi" w:hAnsi="Cambria"/>
        </w:rPr>
        <w:t>/1.73 m</w:t>
      </w:r>
      <w:r w:rsidR="0096379E" w:rsidRPr="0096379E">
        <w:rPr>
          <w:rFonts w:ascii="Cambria" w:eastAsiaTheme="minorHAnsi" w:hAnsi="Cambria"/>
          <w:vertAlign w:val="superscript"/>
        </w:rPr>
        <w:t>2</w:t>
      </w:r>
      <w:r w:rsidRPr="00A34C4D">
        <w:rPr>
          <w:rFonts w:ascii="Cambria" w:eastAsiaTheme="minorHAnsi" w:hAnsi="Cambria"/>
        </w:rPr>
        <w:t xml:space="preserve">) or in patients with end stage renal disease. </w:t>
      </w:r>
    </w:p>
    <w:p w14:paraId="43FF92D0" w14:textId="77777777" w:rsidR="00B1048F" w:rsidRPr="00A34C4D" w:rsidRDefault="00B1048F" w:rsidP="00B1048F">
      <w:pPr>
        <w:tabs>
          <w:tab w:val="clear" w:pos="567"/>
        </w:tabs>
        <w:rPr>
          <w:rFonts w:ascii="Cambria" w:eastAsiaTheme="minorHAnsi" w:hAnsi="Cambria"/>
        </w:rPr>
      </w:pPr>
    </w:p>
    <w:p w14:paraId="3EB00B22" w14:textId="77777777" w:rsidR="00B1048F" w:rsidRPr="00A34C4D" w:rsidRDefault="00B1048F" w:rsidP="00B1048F">
      <w:pPr>
        <w:tabs>
          <w:tab w:val="clear" w:pos="567"/>
        </w:tabs>
        <w:rPr>
          <w:rFonts w:ascii="Cambria" w:eastAsiaTheme="minorHAnsi" w:hAnsi="Cambria"/>
        </w:rPr>
      </w:pPr>
      <w:r w:rsidRPr="00A34C4D">
        <w:rPr>
          <w:rFonts w:ascii="Cambria" w:eastAsiaTheme="minorHAnsi" w:hAnsi="Cambria"/>
        </w:rPr>
        <w:t xml:space="preserve">In human pharmacokinetic studies of elexacaftor, tezacaftor, and ivacaftor, there was minimal elimination of elexacaftor, tezacaftor, and ivacaftor in urine (only 0.23%, 13.7% [0.79% as unchanged drug], and 6.6% of total radioactivity, respectively). </w:t>
      </w:r>
    </w:p>
    <w:p w14:paraId="02A7DB77" w14:textId="77777777" w:rsidR="00B1048F" w:rsidRPr="00A34C4D" w:rsidRDefault="00B1048F" w:rsidP="00B1048F">
      <w:pPr>
        <w:tabs>
          <w:tab w:val="clear" w:pos="567"/>
        </w:tabs>
        <w:rPr>
          <w:rFonts w:ascii="Cambria" w:eastAsiaTheme="minorHAnsi" w:hAnsi="Cambria"/>
        </w:rPr>
      </w:pPr>
    </w:p>
    <w:p w14:paraId="7C9B1BF9" w14:textId="16BC2E0F" w:rsidR="00B1048F" w:rsidRPr="00A34C4D" w:rsidRDefault="00B1048F" w:rsidP="00B1048F">
      <w:pPr>
        <w:rPr>
          <w:rFonts w:ascii="Cambria" w:hAnsi="Cambria"/>
          <w:bCs/>
          <w:szCs w:val="22"/>
        </w:rPr>
      </w:pPr>
      <w:r w:rsidRPr="00A34C4D">
        <w:rPr>
          <w:rFonts w:ascii="Cambria" w:hAnsi="Cambria"/>
          <w:bCs/>
          <w:szCs w:val="22"/>
        </w:rPr>
        <w:t xml:space="preserve">Based on population pharmacokinetic (PK) analysis, exposure of elexacaftor was similar in </w:t>
      </w:r>
      <w:r w:rsidR="00D86570">
        <w:rPr>
          <w:rFonts w:ascii="Cambria" w:hAnsi="Cambria"/>
          <w:bCs/>
          <w:szCs w:val="22"/>
        </w:rPr>
        <w:t xml:space="preserve">those </w:t>
      </w:r>
      <w:r w:rsidRPr="00A34C4D">
        <w:rPr>
          <w:rFonts w:ascii="Cambria" w:hAnsi="Cambria"/>
          <w:bCs/>
          <w:szCs w:val="22"/>
        </w:rPr>
        <w:t xml:space="preserve"> with mild renal impairment (N=</w:t>
      </w:r>
      <w:r w:rsidR="00D86570">
        <w:rPr>
          <w:rFonts w:ascii="Cambria" w:hAnsi="Cambria"/>
          <w:bCs/>
          <w:szCs w:val="22"/>
        </w:rPr>
        <w:t>75</w:t>
      </w:r>
      <w:r w:rsidRPr="00A34C4D">
        <w:rPr>
          <w:rFonts w:ascii="Cambria" w:hAnsi="Cambria"/>
          <w:bCs/>
          <w:szCs w:val="22"/>
        </w:rPr>
        <w:t>, eGFR 60 to less than 90 mL/min/1.73 m</w:t>
      </w:r>
      <w:r w:rsidRPr="00A34C4D">
        <w:rPr>
          <w:rFonts w:ascii="Cambria" w:hAnsi="Cambria"/>
          <w:bCs/>
          <w:szCs w:val="22"/>
          <w:vertAlign w:val="superscript"/>
        </w:rPr>
        <w:t>2</w:t>
      </w:r>
      <w:r w:rsidRPr="00A34C4D">
        <w:rPr>
          <w:rFonts w:ascii="Cambria" w:hAnsi="Cambria"/>
          <w:bCs/>
          <w:szCs w:val="22"/>
        </w:rPr>
        <w:t xml:space="preserve">) relative to </w:t>
      </w:r>
      <w:r w:rsidR="00D86570">
        <w:rPr>
          <w:rFonts w:ascii="Cambria" w:hAnsi="Cambria"/>
          <w:bCs/>
          <w:szCs w:val="22"/>
        </w:rPr>
        <w:t>those</w:t>
      </w:r>
      <w:r w:rsidRPr="00A34C4D">
        <w:rPr>
          <w:rFonts w:ascii="Cambria" w:hAnsi="Cambria"/>
          <w:bCs/>
          <w:szCs w:val="22"/>
        </w:rPr>
        <w:t xml:space="preserve"> with normal renal function (N=</w:t>
      </w:r>
      <w:r w:rsidR="00D86570">
        <w:rPr>
          <w:rFonts w:ascii="Cambria" w:hAnsi="Cambria"/>
          <w:bCs/>
          <w:szCs w:val="22"/>
        </w:rPr>
        <w:t>341</w:t>
      </w:r>
      <w:r w:rsidRPr="00A34C4D">
        <w:rPr>
          <w:rFonts w:ascii="Cambria" w:hAnsi="Cambria"/>
          <w:bCs/>
          <w:szCs w:val="22"/>
        </w:rPr>
        <w:t>, eGFR 90 mL/min/1.73 m</w:t>
      </w:r>
      <w:r w:rsidRPr="00A34C4D">
        <w:rPr>
          <w:rFonts w:ascii="Cambria" w:hAnsi="Cambria"/>
          <w:bCs/>
          <w:szCs w:val="22"/>
          <w:vertAlign w:val="superscript"/>
        </w:rPr>
        <w:t>2</w:t>
      </w:r>
      <w:r w:rsidRPr="00A34C4D">
        <w:rPr>
          <w:rFonts w:ascii="Cambria" w:hAnsi="Cambria"/>
          <w:bCs/>
          <w:szCs w:val="22"/>
        </w:rPr>
        <w:t xml:space="preserve"> or greater).</w:t>
      </w:r>
    </w:p>
    <w:p w14:paraId="658D250E" w14:textId="77777777" w:rsidR="00B1048F" w:rsidRPr="00A34C4D" w:rsidRDefault="00B1048F" w:rsidP="00B1048F">
      <w:pPr>
        <w:rPr>
          <w:rFonts w:ascii="Cambria" w:hAnsi="Cambria"/>
          <w:bCs/>
          <w:szCs w:val="22"/>
        </w:rPr>
      </w:pPr>
    </w:p>
    <w:p w14:paraId="75F753D4" w14:textId="4C3FC4CC" w:rsidR="00B1048F" w:rsidRPr="00A34C4D" w:rsidRDefault="00B1048F" w:rsidP="00B1048F">
      <w:pPr>
        <w:keepNext/>
        <w:rPr>
          <w:rFonts w:ascii="Cambria" w:hAnsi="Cambria"/>
          <w:bCs/>
          <w:szCs w:val="22"/>
        </w:rPr>
      </w:pPr>
      <w:r w:rsidRPr="00A34C4D">
        <w:rPr>
          <w:rFonts w:ascii="Cambria" w:hAnsi="Cambria"/>
          <w:bCs/>
          <w:szCs w:val="22"/>
        </w:rPr>
        <w:t xml:space="preserve">In population PK analysis conducted in </w:t>
      </w:r>
      <w:r w:rsidR="00D86570">
        <w:rPr>
          <w:rFonts w:ascii="Cambria" w:hAnsi="Cambria"/>
          <w:bCs/>
          <w:szCs w:val="22"/>
        </w:rPr>
        <w:t>817</w:t>
      </w:r>
      <w:r w:rsidRPr="00A34C4D">
        <w:rPr>
          <w:rFonts w:ascii="Cambria" w:hAnsi="Cambria"/>
          <w:bCs/>
          <w:szCs w:val="22"/>
        </w:rPr>
        <w:t xml:space="preserve"> patients administered tezacaftor alone or in combination with ivacaftor in Phase 2 or Phase 3 studies indicated that mild renal impairment (N=172; eGFR 60 to less than 90 mL/min/1.73 m</w:t>
      </w:r>
      <w:r w:rsidRPr="00A34C4D">
        <w:rPr>
          <w:rFonts w:ascii="Cambria" w:hAnsi="Cambria"/>
          <w:bCs/>
          <w:szCs w:val="22"/>
          <w:vertAlign w:val="superscript"/>
        </w:rPr>
        <w:t>2</w:t>
      </w:r>
      <w:r w:rsidRPr="00A34C4D">
        <w:rPr>
          <w:rFonts w:ascii="Cambria" w:hAnsi="Cambria"/>
          <w:bCs/>
          <w:szCs w:val="22"/>
        </w:rPr>
        <w:t>) and moderate renal impairment (N=8; eGFR 30 to less than 60 mL/min/1.73 m</w:t>
      </w:r>
      <w:r w:rsidRPr="00A34C4D">
        <w:rPr>
          <w:rFonts w:ascii="Cambria" w:hAnsi="Cambria"/>
          <w:bCs/>
          <w:szCs w:val="22"/>
          <w:vertAlign w:val="superscript"/>
        </w:rPr>
        <w:t>2</w:t>
      </w:r>
      <w:r w:rsidRPr="00A34C4D">
        <w:rPr>
          <w:rFonts w:ascii="Cambria" w:hAnsi="Cambria"/>
          <w:bCs/>
          <w:szCs w:val="22"/>
        </w:rPr>
        <w:t>) did not affect the clearance of tezacaftor significantly.</w:t>
      </w:r>
    </w:p>
    <w:p w14:paraId="5382405A" w14:textId="46EB8C92" w:rsidR="00B1048F" w:rsidRPr="00A34C4D" w:rsidRDefault="00B1048F" w:rsidP="00DE08E0">
      <w:pPr>
        <w:rPr>
          <w:rFonts w:ascii="Cambria" w:hAnsi="Cambria"/>
          <w:szCs w:val="22"/>
        </w:rPr>
      </w:pPr>
    </w:p>
    <w:p w14:paraId="0EB84A7D" w14:textId="77777777" w:rsidR="00484ABF" w:rsidRDefault="00484ABF" w:rsidP="00B1048F">
      <w:pPr>
        <w:rPr>
          <w:rFonts w:ascii="Cambria" w:hAnsi="Cambria"/>
          <w:b/>
          <w:szCs w:val="22"/>
        </w:rPr>
      </w:pPr>
      <w:r>
        <w:rPr>
          <w:rFonts w:ascii="Cambria" w:hAnsi="Cambria"/>
          <w:b/>
          <w:szCs w:val="22"/>
        </w:rPr>
        <w:t xml:space="preserve">Special Population </w:t>
      </w:r>
    </w:p>
    <w:p w14:paraId="4C4B6F78" w14:textId="380EE7F7" w:rsidR="00B1048F" w:rsidRPr="008C5157" w:rsidRDefault="00B1048F" w:rsidP="00B1048F">
      <w:pPr>
        <w:rPr>
          <w:rFonts w:ascii="Cambria" w:hAnsi="Cambria"/>
          <w:i/>
          <w:szCs w:val="22"/>
        </w:rPr>
      </w:pPr>
      <w:r w:rsidRPr="008C5157">
        <w:rPr>
          <w:rFonts w:ascii="Cambria" w:hAnsi="Cambria"/>
          <w:i/>
          <w:szCs w:val="22"/>
        </w:rPr>
        <w:t>P</w:t>
      </w:r>
      <w:r w:rsidR="003D224D" w:rsidRPr="008C5157">
        <w:rPr>
          <w:rFonts w:ascii="Cambria" w:hAnsi="Cambria"/>
          <w:i/>
          <w:szCs w:val="22"/>
        </w:rPr>
        <w:t>a</w:t>
      </w:r>
      <w:r w:rsidRPr="008C5157">
        <w:rPr>
          <w:rFonts w:ascii="Cambria" w:hAnsi="Cambria"/>
          <w:i/>
          <w:szCs w:val="22"/>
        </w:rPr>
        <w:t>ediatric patients 12 to less than 18 years of age</w:t>
      </w:r>
    </w:p>
    <w:p w14:paraId="05002B49" w14:textId="383383DE" w:rsidR="00B1048F" w:rsidRPr="00A34C4D" w:rsidRDefault="00B1048F" w:rsidP="00B1048F">
      <w:pPr>
        <w:rPr>
          <w:rFonts w:ascii="Cambria" w:hAnsi="Cambria"/>
          <w:bCs/>
          <w:szCs w:val="22"/>
        </w:rPr>
      </w:pPr>
      <w:r w:rsidRPr="00A34C4D">
        <w:rPr>
          <w:rFonts w:ascii="Cambria" w:hAnsi="Cambria"/>
          <w:bCs/>
          <w:szCs w:val="22"/>
        </w:rPr>
        <w:t xml:space="preserve">Elexacaftor, tezacaftor and ivacaftor exposures observed in Phase 3 studies as determined using population PK analysis are presented by age group in Table </w:t>
      </w:r>
      <w:r w:rsidR="00772EFA">
        <w:rPr>
          <w:rFonts w:ascii="Cambria" w:hAnsi="Cambria"/>
          <w:bCs/>
          <w:szCs w:val="22"/>
        </w:rPr>
        <w:t>1</w:t>
      </w:r>
      <w:r w:rsidR="008F3C15">
        <w:rPr>
          <w:rFonts w:ascii="Cambria" w:hAnsi="Cambria"/>
          <w:bCs/>
          <w:szCs w:val="22"/>
        </w:rPr>
        <w:t>1</w:t>
      </w:r>
      <w:r w:rsidRPr="00A34C4D">
        <w:rPr>
          <w:rFonts w:ascii="Cambria" w:hAnsi="Cambria"/>
          <w:bCs/>
          <w:szCs w:val="22"/>
        </w:rPr>
        <w:t>. Exposures of elexacaftor, tezacaftor and ivacaftor in patients aged 12 to less than 18 years of age are similar to that of adult patients.</w:t>
      </w:r>
    </w:p>
    <w:p w14:paraId="72893714" w14:textId="77777777" w:rsidR="00B1048F" w:rsidRPr="00A34C4D" w:rsidRDefault="00B1048F" w:rsidP="00B1048F">
      <w:pPr>
        <w:rPr>
          <w:rFonts w:ascii="Cambria" w:hAnsi="Cambria"/>
          <w:szCs w:val="22"/>
        </w:rPr>
      </w:pPr>
    </w:p>
    <w:tbl>
      <w:tblPr>
        <w:tblStyle w:val="TableGrid"/>
        <w:tblW w:w="0" w:type="auto"/>
        <w:tblInd w:w="108" w:type="dxa"/>
        <w:tblLayout w:type="fixed"/>
        <w:tblLook w:val="04A0" w:firstRow="1" w:lastRow="0" w:firstColumn="1" w:lastColumn="0" w:noHBand="0" w:noVBand="1"/>
      </w:tblPr>
      <w:tblGrid>
        <w:gridCol w:w="1980"/>
        <w:gridCol w:w="2610"/>
        <w:gridCol w:w="1530"/>
        <w:gridCol w:w="1530"/>
        <w:gridCol w:w="1526"/>
      </w:tblGrid>
      <w:tr w:rsidR="00B1048F" w:rsidRPr="00BB021D" w14:paraId="1395A58D" w14:textId="77777777" w:rsidTr="00DC1F68">
        <w:trPr>
          <w:trHeight w:val="251"/>
        </w:trPr>
        <w:tc>
          <w:tcPr>
            <w:tcW w:w="9176" w:type="dxa"/>
            <w:gridSpan w:val="5"/>
          </w:tcPr>
          <w:p w14:paraId="1512F6E0" w14:textId="2B56BB09" w:rsidR="00B1048F" w:rsidRPr="00A34C4D" w:rsidRDefault="00B1048F" w:rsidP="00DC1F68">
            <w:pPr>
              <w:pStyle w:val="documenttext"/>
              <w:keepNext/>
              <w:spacing w:after="0"/>
              <w:rPr>
                <w:rFonts w:ascii="Cambria" w:hAnsi="Cambria"/>
                <w:bCs/>
              </w:rPr>
            </w:pPr>
            <w:r w:rsidRPr="00A34C4D">
              <w:rPr>
                <w:rFonts w:ascii="Cambria" w:eastAsia="Calibri" w:hAnsi="Cambria"/>
                <w:b/>
                <w:bCs/>
              </w:rPr>
              <w:t>Table </w:t>
            </w:r>
            <w:r w:rsidR="00772EFA">
              <w:rPr>
                <w:rFonts w:ascii="Cambria" w:eastAsia="Calibri" w:hAnsi="Cambria"/>
                <w:b/>
                <w:bCs/>
              </w:rPr>
              <w:t>1</w:t>
            </w:r>
            <w:r w:rsidR="008F3C15">
              <w:rPr>
                <w:rFonts w:ascii="Cambria" w:eastAsia="Calibri" w:hAnsi="Cambria"/>
                <w:b/>
                <w:bCs/>
              </w:rPr>
              <w:t>1</w:t>
            </w:r>
            <w:r w:rsidRPr="00A34C4D">
              <w:rPr>
                <w:rFonts w:ascii="Cambria" w:eastAsia="Calibri" w:hAnsi="Cambria"/>
                <w:b/>
                <w:bCs/>
              </w:rPr>
              <w:t>. Mean (SD) Elexacaftor, Tezacaftor and Ivacaftor Exposures by Age Group</w:t>
            </w:r>
          </w:p>
        </w:tc>
      </w:tr>
      <w:tr w:rsidR="00B1048F" w:rsidRPr="00BB021D" w14:paraId="12220D4D" w14:textId="77777777" w:rsidTr="00DC1F68">
        <w:trPr>
          <w:trHeight w:val="729"/>
        </w:trPr>
        <w:tc>
          <w:tcPr>
            <w:tcW w:w="1980" w:type="dxa"/>
            <w:vAlign w:val="center"/>
          </w:tcPr>
          <w:p w14:paraId="6EFCD235"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Age group</w:t>
            </w:r>
          </w:p>
        </w:tc>
        <w:tc>
          <w:tcPr>
            <w:tcW w:w="2610" w:type="dxa"/>
            <w:vAlign w:val="center"/>
          </w:tcPr>
          <w:p w14:paraId="74194019"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Dose</w:t>
            </w:r>
          </w:p>
        </w:tc>
        <w:tc>
          <w:tcPr>
            <w:tcW w:w="1530" w:type="dxa"/>
          </w:tcPr>
          <w:p w14:paraId="07BD013C"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 xml:space="preserve">Elexacaftor </w:t>
            </w:r>
          </w:p>
          <w:p w14:paraId="78E521E7"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AUC</w:t>
            </w:r>
            <w:r w:rsidRPr="00BB021D">
              <w:rPr>
                <w:rFonts w:ascii="Cambria" w:eastAsia="Calibri" w:hAnsi="Cambria"/>
                <w:b/>
                <w:bCs/>
                <w:vertAlign w:val="subscript"/>
              </w:rPr>
              <w:t>0-24h</w:t>
            </w:r>
            <w:r w:rsidRPr="00BB021D">
              <w:rPr>
                <w:rFonts w:ascii="Cambria" w:eastAsia="Calibri" w:hAnsi="Cambria"/>
                <w:b/>
                <w:bCs/>
              </w:rPr>
              <w:t>,ss (mcg∙h/mL)</w:t>
            </w:r>
          </w:p>
        </w:tc>
        <w:tc>
          <w:tcPr>
            <w:tcW w:w="1530" w:type="dxa"/>
          </w:tcPr>
          <w:p w14:paraId="09528339"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 xml:space="preserve">Tezacaftor </w:t>
            </w:r>
          </w:p>
          <w:p w14:paraId="3D80CF30"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AUC</w:t>
            </w:r>
            <w:r w:rsidRPr="00BB021D">
              <w:rPr>
                <w:rFonts w:ascii="Cambria" w:eastAsia="Calibri" w:hAnsi="Cambria"/>
                <w:b/>
                <w:bCs/>
                <w:vertAlign w:val="subscript"/>
              </w:rPr>
              <w:t>0-24h</w:t>
            </w:r>
            <w:r w:rsidRPr="00BB021D">
              <w:rPr>
                <w:rFonts w:ascii="Cambria" w:eastAsia="Calibri" w:hAnsi="Cambria"/>
                <w:b/>
                <w:bCs/>
              </w:rPr>
              <w:t>,ss (mcg∙h/mL)</w:t>
            </w:r>
          </w:p>
        </w:tc>
        <w:tc>
          <w:tcPr>
            <w:tcW w:w="1526" w:type="dxa"/>
          </w:tcPr>
          <w:p w14:paraId="11994818"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 xml:space="preserve">Ivacaftor </w:t>
            </w:r>
          </w:p>
          <w:p w14:paraId="406F8A86" w14:textId="77777777" w:rsidR="00B1048F" w:rsidRPr="00BB021D" w:rsidRDefault="00B1048F" w:rsidP="00DC1F68">
            <w:pPr>
              <w:keepNext/>
              <w:jc w:val="center"/>
              <w:rPr>
                <w:rFonts w:ascii="Cambria" w:eastAsia="Calibri" w:hAnsi="Cambria"/>
                <w:b/>
                <w:bCs/>
              </w:rPr>
            </w:pPr>
            <w:r w:rsidRPr="00BB021D">
              <w:rPr>
                <w:rFonts w:ascii="Cambria" w:eastAsia="Calibri" w:hAnsi="Cambria"/>
                <w:b/>
                <w:bCs/>
              </w:rPr>
              <w:t>AUC</w:t>
            </w:r>
            <w:r w:rsidRPr="00BB021D">
              <w:rPr>
                <w:rFonts w:ascii="Cambria" w:eastAsia="Calibri" w:hAnsi="Cambria"/>
                <w:b/>
                <w:bCs/>
                <w:vertAlign w:val="subscript"/>
              </w:rPr>
              <w:t>0-12h</w:t>
            </w:r>
            <w:r w:rsidRPr="00BB021D">
              <w:rPr>
                <w:rFonts w:ascii="Cambria" w:eastAsia="Calibri" w:hAnsi="Cambria"/>
                <w:b/>
                <w:bCs/>
              </w:rPr>
              <w:t>,ss (mcg∙h/mL)</w:t>
            </w:r>
          </w:p>
        </w:tc>
      </w:tr>
      <w:tr w:rsidR="00B1048F" w:rsidRPr="00BB021D" w14:paraId="032F6E99" w14:textId="77777777" w:rsidTr="00DC1F68">
        <w:trPr>
          <w:trHeight w:val="63"/>
        </w:trPr>
        <w:tc>
          <w:tcPr>
            <w:tcW w:w="1980" w:type="dxa"/>
          </w:tcPr>
          <w:p w14:paraId="3F64F58D" w14:textId="69FCA264" w:rsidR="00D86570" w:rsidRPr="00BB021D" w:rsidRDefault="00B1048F" w:rsidP="00DC1F68">
            <w:pPr>
              <w:keepNext/>
              <w:rPr>
                <w:rFonts w:ascii="Cambria" w:eastAsia="Calibri" w:hAnsi="Cambria"/>
              </w:rPr>
            </w:pPr>
            <w:r w:rsidRPr="00BB021D">
              <w:rPr>
                <w:rFonts w:ascii="Cambria" w:eastAsia="Calibri" w:hAnsi="Cambria"/>
              </w:rPr>
              <w:t>Adolescent patients (12 to &lt;18 years)</w:t>
            </w:r>
          </w:p>
        </w:tc>
        <w:tc>
          <w:tcPr>
            <w:tcW w:w="2610" w:type="dxa"/>
            <w:vMerge w:val="restart"/>
            <w:vAlign w:val="center"/>
          </w:tcPr>
          <w:p w14:paraId="1F2CED01" w14:textId="77777777" w:rsidR="00B1048F" w:rsidRPr="00BB021D" w:rsidRDefault="00B1048F" w:rsidP="00DC1F68">
            <w:pPr>
              <w:pStyle w:val="documenttext"/>
              <w:keepNext/>
              <w:spacing w:after="0"/>
              <w:jc w:val="center"/>
              <w:rPr>
                <w:rFonts w:ascii="Cambria" w:hAnsi="Cambria"/>
                <w:bCs/>
              </w:rPr>
            </w:pPr>
            <w:r w:rsidRPr="00BB021D">
              <w:rPr>
                <w:rFonts w:ascii="Cambria" w:eastAsia="Calibri" w:hAnsi="Cambria"/>
              </w:rPr>
              <w:t>elexacaftor 200 mg qd/tezacaftor 100 mg qd/ivacaftor 150 mg q12h</w:t>
            </w:r>
          </w:p>
        </w:tc>
        <w:tc>
          <w:tcPr>
            <w:tcW w:w="1530" w:type="dxa"/>
            <w:vAlign w:val="center"/>
          </w:tcPr>
          <w:p w14:paraId="198CFD7B" w14:textId="77777777" w:rsidR="00B1048F" w:rsidRPr="00BB021D" w:rsidRDefault="00B1048F" w:rsidP="00DC1F68">
            <w:pPr>
              <w:keepNext/>
              <w:jc w:val="center"/>
              <w:rPr>
                <w:rFonts w:ascii="Cambria" w:eastAsia="Calibri" w:hAnsi="Cambria"/>
              </w:rPr>
            </w:pPr>
            <w:r w:rsidRPr="00BB021D">
              <w:rPr>
                <w:rFonts w:ascii="Cambria" w:eastAsia="Calibri" w:hAnsi="Cambria"/>
              </w:rPr>
              <w:t>147 (36.8)</w:t>
            </w:r>
          </w:p>
        </w:tc>
        <w:tc>
          <w:tcPr>
            <w:tcW w:w="1530" w:type="dxa"/>
            <w:vAlign w:val="center"/>
          </w:tcPr>
          <w:p w14:paraId="50E5216A" w14:textId="77777777" w:rsidR="00B1048F" w:rsidRPr="00BB021D" w:rsidRDefault="00B1048F" w:rsidP="00DC1F68">
            <w:pPr>
              <w:pStyle w:val="documenttext"/>
              <w:keepNext/>
              <w:spacing w:after="0"/>
              <w:jc w:val="center"/>
              <w:rPr>
                <w:rFonts w:ascii="Cambria" w:hAnsi="Cambria"/>
                <w:bCs/>
              </w:rPr>
            </w:pPr>
            <w:r w:rsidRPr="00BB021D">
              <w:rPr>
                <w:rFonts w:ascii="Cambria" w:hAnsi="Cambria"/>
                <w:bCs/>
              </w:rPr>
              <w:t>88.8 (21.8)</w:t>
            </w:r>
          </w:p>
        </w:tc>
        <w:tc>
          <w:tcPr>
            <w:tcW w:w="1526" w:type="dxa"/>
            <w:vAlign w:val="center"/>
          </w:tcPr>
          <w:p w14:paraId="013FAF29" w14:textId="77777777" w:rsidR="00B1048F" w:rsidRPr="00BB021D" w:rsidRDefault="00B1048F" w:rsidP="00DC1F68">
            <w:pPr>
              <w:pStyle w:val="documenttext"/>
              <w:keepNext/>
              <w:spacing w:after="0"/>
              <w:jc w:val="center"/>
              <w:rPr>
                <w:rFonts w:ascii="Cambria" w:hAnsi="Cambria"/>
                <w:bCs/>
              </w:rPr>
            </w:pPr>
            <w:r w:rsidRPr="00BB021D">
              <w:rPr>
                <w:rFonts w:ascii="Cambria" w:hAnsi="Cambria"/>
                <w:bCs/>
              </w:rPr>
              <w:t>10.6 (3.35)</w:t>
            </w:r>
          </w:p>
        </w:tc>
      </w:tr>
      <w:tr w:rsidR="00B1048F" w:rsidRPr="00BB021D" w14:paraId="721EF807" w14:textId="77777777" w:rsidTr="00DC1F68">
        <w:trPr>
          <w:trHeight w:val="422"/>
        </w:trPr>
        <w:tc>
          <w:tcPr>
            <w:tcW w:w="1980" w:type="dxa"/>
          </w:tcPr>
          <w:p w14:paraId="4DB287A0" w14:textId="34B190B1" w:rsidR="00D86570" w:rsidRPr="00BB021D" w:rsidRDefault="00B1048F" w:rsidP="00DC1F68">
            <w:pPr>
              <w:keepNext/>
              <w:rPr>
                <w:rFonts w:ascii="Cambria" w:eastAsia="Calibri" w:hAnsi="Cambria"/>
              </w:rPr>
            </w:pPr>
            <w:r w:rsidRPr="00BB021D">
              <w:rPr>
                <w:rFonts w:ascii="Cambria" w:eastAsia="Calibri" w:hAnsi="Cambria"/>
              </w:rPr>
              <w:t>Adult patients (≥18 years)</w:t>
            </w:r>
          </w:p>
        </w:tc>
        <w:tc>
          <w:tcPr>
            <w:tcW w:w="2610" w:type="dxa"/>
            <w:vMerge/>
          </w:tcPr>
          <w:p w14:paraId="5509D243" w14:textId="77777777" w:rsidR="00B1048F" w:rsidRPr="00BB021D" w:rsidRDefault="00B1048F" w:rsidP="00DC1F68">
            <w:pPr>
              <w:pStyle w:val="documenttext"/>
              <w:keepNext/>
              <w:spacing w:after="0"/>
              <w:rPr>
                <w:rFonts w:ascii="Cambria" w:hAnsi="Cambria"/>
                <w:bCs/>
              </w:rPr>
            </w:pPr>
          </w:p>
        </w:tc>
        <w:tc>
          <w:tcPr>
            <w:tcW w:w="1530" w:type="dxa"/>
            <w:vAlign w:val="center"/>
          </w:tcPr>
          <w:p w14:paraId="74D42A5B" w14:textId="77777777" w:rsidR="00B1048F" w:rsidRPr="00BB021D" w:rsidRDefault="00B1048F" w:rsidP="00DC1F68">
            <w:pPr>
              <w:keepNext/>
              <w:jc w:val="center"/>
              <w:rPr>
                <w:rFonts w:ascii="Cambria" w:eastAsia="Calibri" w:hAnsi="Cambria"/>
              </w:rPr>
            </w:pPr>
            <w:r w:rsidRPr="00BB021D">
              <w:rPr>
                <w:rFonts w:ascii="Cambria" w:eastAsia="Calibri" w:hAnsi="Cambria"/>
              </w:rPr>
              <w:t>168 (49.9)</w:t>
            </w:r>
          </w:p>
        </w:tc>
        <w:tc>
          <w:tcPr>
            <w:tcW w:w="1530" w:type="dxa"/>
            <w:vAlign w:val="center"/>
          </w:tcPr>
          <w:p w14:paraId="0A69D2FB" w14:textId="77777777" w:rsidR="00B1048F" w:rsidRPr="00BB021D" w:rsidRDefault="00B1048F" w:rsidP="00DC1F68">
            <w:pPr>
              <w:pStyle w:val="documenttext"/>
              <w:keepNext/>
              <w:spacing w:after="0"/>
              <w:jc w:val="center"/>
              <w:rPr>
                <w:rFonts w:ascii="Cambria" w:hAnsi="Cambria"/>
                <w:bCs/>
              </w:rPr>
            </w:pPr>
            <w:r w:rsidRPr="00BB021D">
              <w:rPr>
                <w:rFonts w:ascii="Cambria" w:hAnsi="Cambria"/>
                <w:bCs/>
              </w:rPr>
              <w:t>89.5 (23.7)</w:t>
            </w:r>
          </w:p>
        </w:tc>
        <w:tc>
          <w:tcPr>
            <w:tcW w:w="1526" w:type="dxa"/>
            <w:vAlign w:val="center"/>
          </w:tcPr>
          <w:p w14:paraId="18CFACA5" w14:textId="77777777" w:rsidR="00B1048F" w:rsidRPr="00BB021D" w:rsidRDefault="00B1048F" w:rsidP="00DC1F68">
            <w:pPr>
              <w:pStyle w:val="documenttext"/>
              <w:keepNext/>
              <w:spacing w:after="0"/>
              <w:jc w:val="center"/>
              <w:rPr>
                <w:rFonts w:ascii="Cambria" w:hAnsi="Cambria"/>
                <w:bCs/>
              </w:rPr>
            </w:pPr>
            <w:r w:rsidRPr="00BB021D">
              <w:rPr>
                <w:rFonts w:ascii="Cambria" w:hAnsi="Cambria"/>
                <w:bCs/>
              </w:rPr>
              <w:t>12.1 (4.17)</w:t>
            </w:r>
          </w:p>
        </w:tc>
      </w:tr>
    </w:tbl>
    <w:p w14:paraId="0EA78950" w14:textId="77777777" w:rsidR="00B1048F" w:rsidRPr="00BB021D" w:rsidRDefault="00B1048F" w:rsidP="00DE08E0">
      <w:pPr>
        <w:rPr>
          <w:rFonts w:ascii="Cambria" w:hAnsi="Cambria"/>
          <w:szCs w:val="22"/>
        </w:rPr>
      </w:pPr>
    </w:p>
    <w:p w14:paraId="30B5EDE0" w14:textId="77777777" w:rsidR="0072394B" w:rsidRPr="00B06C2B" w:rsidRDefault="0072394B" w:rsidP="0072394B">
      <w:pPr>
        <w:rPr>
          <w:rFonts w:ascii="Cambria" w:hAnsi="Cambria"/>
          <w:i/>
        </w:rPr>
      </w:pPr>
      <w:r w:rsidRPr="00B06C2B">
        <w:rPr>
          <w:rFonts w:ascii="Cambria" w:hAnsi="Cambria"/>
          <w:i/>
        </w:rPr>
        <w:t>Gender</w:t>
      </w:r>
    </w:p>
    <w:p w14:paraId="4E736558" w14:textId="77777777" w:rsidR="0072394B" w:rsidRPr="00A34C4D" w:rsidRDefault="0072394B" w:rsidP="0072394B">
      <w:pPr>
        <w:rPr>
          <w:rFonts w:ascii="Cambria" w:hAnsi="Cambria"/>
          <w:szCs w:val="22"/>
        </w:rPr>
      </w:pPr>
      <w:r w:rsidRPr="00A34C4D">
        <w:rPr>
          <w:rFonts w:ascii="Cambria" w:hAnsi="Cambria"/>
          <w:szCs w:val="22"/>
        </w:rPr>
        <w:t xml:space="preserve">Based on population </w:t>
      </w:r>
      <w:r w:rsidRPr="00A34C4D">
        <w:rPr>
          <w:rFonts w:ascii="Cambria" w:hAnsi="Cambria"/>
          <w:bCs/>
          <w:szCs w:val="22"/>
        </w:rPr>
        <w:t xml:space="preserve">PK </w:t>
      </w:r>
      <w:r w:rsidRPr="00A34C4D">
        <w:rPr>
          <w:rFonts w:ascii="Cambria" w:hAnsi="Cambria"/>
          <w:szCs w:val="22"/>
        </w:rPr>
        <w:t>analysis, the exposures of elexacaftor, tezacaftor and ivacaftor are similar in males and females.</w:t>
      </w:r>
    </w:p>
    <w:p w14:paraId="16EDD277" w14:textId="77777777" w:rsidR="0058523E" w:rsidRPr="00BB021D" w:rsidRDefault="0058523E" w:rsidP="00DE08E0">
      <w:pPr>
        <w:rPr>
          <w:rFonts w:ascii="Cambria" w:hAnsi="Cambria"/>
        </w:rPr>
      </w:pPr>
    </w:p>
    <w:p w14:paraId="1B2D216F" w14:textId="598CAA1A" w:rsidR="00DE08E0" w:rsidRPr="00BB021D" w:rsidRDefault="00DE08E0" w:rsidP="00DE08E0">
      <w:pPr>
        <w:pStyle w:val="Heading2"/>
        <w:rPr>
          <w:rFonts w:ascii="Cambria" w:hAnsi="Cambria"/>
          <w:sz w:val="24"/>
          <w:szCs w:val="24"/>
        </w:rPr>
      </w:pPr>
      <w:bookmarkStart w:id="49" w:name="_Toc485781381"/>
      <w:bookmarkStart w:id="50" w:name="_Hlk24707998"/>
      <w:r w:rsidRPr="00BB021D">
        <w:rPr>
          <w:rFonts w:ascii="Cambria" w:hAnsi="Cambria"/>
          <w:sz w:val="24"/>
          <w:szCs w:val="24"/>
        </w:rPr>
        <w:t>P</w:t>
      </w:r>
      <w:r w:rsidR="006E0A9C" w:rsidRPr="00BB021D">
        <w:rPr>
          <w:rFonts w:ascii="Cambria" w:hAnsi="Cambria"/>
          <w:sz w:val="24"/>
          <w:szCs w:val="24"/>
        </w:rPr>
        <w:t>RECLINICAL SAFETY DATA</w:t>
      </w:r>
      <w:bookmarkEnd w:id="49"/>
    </w:p>
    <w:bookmarkEnd w:id="50"/>
    <w:p w14:paraId="17E256B5" w14:textId="77777777" w:rsidR="001D3810" w:rsidRDefault="001D3810" w:rsidP="00D00ED4">
      <w:pPr>
        <w:pStyle w:val="BodyText"/>
        <w:rPr>
          <w:rFonts w:ascii="Cambria" w:hAnsi="Cambria"/>
          <w:b/>
          <w:i/>
          <w:sz w:val="22"/>
          <w:szCs w:val="22"/>
        </w:rPr>
      </w:pPr>
    </w:p>
    <w:p w14:paraId="2E7A237F" w14:textId="135E9609" w:rsidR="00925450" w:rsidRDefault="00925450" w:rsidP="00925450">
      <w:pPr>
        <w:pStyle w:val="BodyText"/>
        <w:rPr>
          <w:rFonts w:ascii="Cambria" w:hAnsi="Cambria"/>
          <w:b/>
          <w:i/>
          <w:sz w:val="22"/>
          <w:szCs w:val="22"/>
        </w:rPr>
      </w:pPr>
      <w:r w:rsidRPr="00B20430">
        <w:rPr>
          <w:rFonts w:ascii="Cambria" w:hAnsi="Cambria"/>
          <w:b/>
          <w:i/>
          <w:sz w:val="22"/>
          <w:szCs w:val="22"/>
        </w:rPr>
        <w:t>Genotoxicity</w:t>
      </w:r>
    </w:p>
    <w:p w14:paraId="2EAE98AF" w14:textId="77777777" w:rsidR="00925450" w:rsidRDefault="00925450" w:rsidP="00925450">
      <w:pPr>
        <w:pStyle w:val="BodyText"/>
        <w:rPr>
          <w:rFonts w:ascii="Cambria" w:hAnsi="Cambria"/>
          <w:b/>
          <w:i/>
          <w:sz w:val="22"/>
          <w:szCs w:val="22"/>
        </w:rPr>
      </w:pPr>
    </w:p>
    <w:p w14:paraId="1EB08679" w14:textId="77777777" w:rsidR="00925450" w:rsidRPr="001D3810" w:rsidRDefault="00925450" w:rsidP="00925450">
      <w:pPr>
        <w:pStyle w:val="BodyText"/>
        <w:rPr>
          <w:rFonts w:ascii="Cambria" w:hAnsi="Cambria"/>
          <w:bCs/>
          <w:iCs/>
          <w:sz w:val="22"/>
          <w:szCs w:val="22"/>
        </w:rPr>
      </w:pPr>
      <w:r w:rsidRPr="001D3810">
        <w:rPr>
          <w:rFonts w:ascii="Cambria" w:hAnsi="Cambria"/>
          <w:bCs/>
          <w:iCs/>
          <w:sz w:val="22"/>
          <w:szCs w:val="22"/>
        </w:rPr>
        <w:t>Elexacaftor, tezacaftor and ivacaftor were all negative for genotoxicity in the following as</w:t>
      </w:r>
      <w:r>
        <w:rPr>
          <w:rFonts w:ascii="Cambria" w:hAnsi="Cambria"/>
          <w:bCs/>
          <w:iCs/>
          <w:sz w:val="22"/>
          <w:szCs w:val="22"/>
        </w:rPr>
        <w:t>s</w:t>
      </w:r>
      <w:r w:rsidRPr="001D3810">
        <w:rPr>
          <w:rFonts w:ascii="Cambria" w:hAnsi="Cambria"/>
          <w:bCs/>
          <w:iCs/>
          <w:sz w:val="22"/>
          <w:szCs w:val="22"/>
        </w:rPr>
        <w:t xml:space="preserve">ays: Ames test for bacterial gene mutation, in </w:t>
      </w:r>
      <w:r>
        <w:rPr>
          <w:rFonts w:ascii="Cambria" w:hAnsi="Cambria"/>
          <w:bCs/>
          <w:iCs/>
          <w:sz w:val="22"/>
          <w:szCs w:val="22"/>
        </w:rPr>
        <w:t xml:space="preserve">vitro chromosomal aberration assay (in TK6 [human lymphoblastoid] cells for elexacaftor, and in Chinese hamster ovary cells for tezacaftor and ivacaftor), and </w:t>
      </w:r>
      <w:r w:rsidRPr="001D3810">
        <w:rPr>
          <w:rFonts w:ascii="Cambria" w:hAnsi="Cambria"/>
          <w:bCs/>
          <w:i/>
          <w:sz w:val="22"/>
          <w:szCs w:val="22"/>
        </w:rPr>
        <w:t>in vivo</w:t>
      </w:r>
      <w:r>
        <w:rPr>
          <w:rFonts w:ascii="Cambria" w:hAnsi="Cambria"/>
          <w:bCs/>
          <w:i/>
          <w:sz w:val="22"/>
          <w:szCs w:val="22"/>
        </w:rPr>
        <w:t xml:space="preserve"> </w:t>
      </w:r>
      <w:r>
        <w:rPr>
          <w:rFonts w:ascii="Cambria" w:hAnsi="Cambria"/>
          <w:bCs/>
          <w:iCs/>
          <w:sz w:val="22"/>
          <w:szCs w:val="22"/>
        </w:rPr>
        <w:t>bone marrow micronucleus test (performed in rats with elexacaftor, and in mice for tezacaftor and ivacaftor).</w:t>
      </w:r>
    </w:p>
    <w:p w14:paraId="7523806F" w14:textId="77777777" w:rsidR="00925450" w:rsidRPr="00B20430" w:rsidRDefault="00925450" w:rsidP="00925450">
      <w:pPr>
        <w:pStyle w:val="BodyText"/>
        <w:rPr>
          <w:rFonts w:ascii="Cambria" w:hAnsi="Cambria"/>
          <w:b/>
          <w:i/>
          <w:sz w:val="22"/>
          <w:szCs w:val="22"/>
        </w:rPr>
      </w:pPr>
    </w:p>
    <w:p w14:paraId="6E03102B" w14:textId="595AA266" w:rsidR="00925450" w:rsidRDefault="00925450" w:rsidP="00925450">
      <w:pPr>
        <w:rPr>
          <w:rFonts w:ascii="Cambria" w:eastAsiaTheme="minorHAnsi" w:hAnsi="Cambria"/>
          <w:b/>
          <w:i/>
        </w:rPr>
      </w:pPr>
      <w:r w:rsidRPr="00B20430">
        <w:rPr>
          <w:rFonts w:ascii="Cambria" w:eastAsiaTheme="minorHAnsi" w:hAnsi="Cambria"/>
          <w:b/>
          <w:i/>
        </w:rPr>
        <w:t>Carcinogenicity</w:t>
      </w:r>
    </w:p>
    <w:p w14:paraId="05150B49" w14:textId="77777777" w:rsidR="00925450" w:rsidRDefault="00925450" w:rsidP="00925450">
      <w:pPr>
        <w:rPr>
          <w:rFonts w:ascii="Cambria" w:eastAsiaTheme="minorHAnsi" w:hAnsi="Cambria"/>
          <w:b/>
          <w:i/>
        </w:rPr>
      </w:pPr>
    </w:p>
    <w:p w14:paraId="6323BC79" w14:textId="0367ADC3" w:rsidR="00925450" w:rsidRDefault="00925450" w:rsidP="00925450">
      <w:pPr>
        <w:rPr>
          <w:rFonts w:ascii="Cambria" w:hAnsi="Cambria"/>
          <w:szCs w:val="22"/>
        </w:rPr>
      </w:pPr>
      <w:r>
        <w:rPr>
          <w:rFonts w:ascii="Cambria" w:hAnsi="Cambria"/>
          <w:szCs w:val="22"/>
        </w:rPr>
        <w:t>Elexacaftor was not carcinogenic in a 6-month study in transgenic (Tg.rasH2) mice, involving oral administration at doses up to 50 mg/kg/day (yielding systemic exposure 8-fold higher than in patients at the MRHD based on summed AUCs for elexacaftor and M23-ELX).</w:t>
      </w:r>
    </w:p>
    <w:p w14:paraId="6D025235" w14:textId="77777777" w:rsidR="00925450" w:rsidRDefault="00925450" w:rsidP="00925450">
      <w:pPr>
        <w:rPr>
          <w:rFonts w:ascii="Cambria" w:hAnsi="Cambria"/>
          <w:szCs w:val="22"/>
        </w:rPr>
      </w:pPr>
    </w:p>
    <w:p w14:paraId="0D18BCCF" w14:textId="545BBCF2" w:rsidR="00925450" w:rsidRDefault="00925450" w:rsidP="00925450">
      <w:pPr>
        <w:rPr>
          <w:rFonts w:ascii="Cambria" w:hAnsi="Cambria"/>
          <w:szCs w:val="22"/>
        </w:rPr>
      </w:pPr>
      <w:r>
        <w:rPr>
          <w:rFonts w:ascii="Cambria" w:hAnsi="Cambria"/>
          <w:szCs w:val="22"/>
        </w:rPr>
        <w:t>No evidence of tumourigenicity by tezacaftor was observed in a 6-month study in transgenic (Tg.rasH2) mice and in a conventional 2-year study in rats, conducted by the oral route. The highest do</w:t>
      </w:r>
      <w:r w:rsidR="003A10DB">
        <w:rPr>
          <w:rFonts w:ascii="Cambria" w:hAnsi="Cambria"/>
          <w:szCs w:val="22"/>
        </w:rPr>
        <w:t>s</w:t>
      </w:r>
      <w:r>
        <w:rPr>
          <w:rFonts w:ascii="Cambria" w:hAnsi="Cambria"/>
          <w:szCs w:val="22"/>
        </w:rPr>
        <w:t>es tested (500 mg/kg/day in mice, 50 mg/kg/day in male rats and 75 mg/kg/day in female rats) yielded exposure to tezacaftor and its M1 and M2 metabolites that was 1.5-fold higher in mice, 1.2-fold higher in male rats, and 2.1-fold higher in female rats than in patients at the MRHD (based on summed AUCs).</w:t>
      </w:r>
    </w:p>
    <w:p w14:paraId="091006ED" w14:textId="77777777" w:rsidR="00925450" w:rsidRDefault="00925450" w:rsidP="00925450">
      <w:pPr>
        <w:rPr>
          <w:rFonts w:ascii="Cambria" w:hAnsi="Cambria"/>
          <w:szCs w:val="22"/>
        </w:rPr>
      </w:pPr>
    </w:p>
    <w:p w14:paraId="7EBCDD25" w14:textId="725B02EE" w:rsidR="001D3810" w:rsidRDefault="00815C9D" w:rsidP="00DE08E0">
      <w:pPr>
        <w:rPr>
          <w:rFonts w:ascii="Cambria" w:hAnsi="Cambria"/>
          <w:szCs w:val="22"/>
        </w:rPr>
      </w:pPr>
      <w:r w:rsidRPr="00EF00E4">
        <w:rPr>
          <w:rFonts w:ascii="Cambria" w:hAnsi="Cambria"/>
          <w:szCs w:val="22"/>
        </w:rPr>
        <w:t>Two-year oral studies in mice and rats demonstrated that ivacaftor was not carcinogenic in either species. Plasma exposures to ivacaftor in mice at the non-carcinogenic dosage (200 mg/kg/day, the highest dosage tested) were approximately 5- to 9-fold higher than the plasma levels measured in humans following TRIKAFTA therapy, and at least 1.1- to 2.3-fold higher with respect to the summed AUC for ivacaftor and its major metabolites. Plasma exposures to ivacaftor in rats at the non-carcinogenic dosage (50 mg/kg/day, the highest dosage tested) were approximately 20- to 36-fold higher than the plasma levels measured in humans following TRIKAFTA therapy, and 6- to 9-fold higher with respect to the summed AUC for ivacaftor and its major metabolites.</w:t>
      </w:r>
    </w:p>
    <w:p w14:paraId="288C4B44" w14:textId="77777777" w:rsidR="00D067C6" w:rsidRPr="00DE08E0" w:rsidRDefault="00D067C6" w:rsidP="00DE08E0">
      <w:pPr>
        <w:rPr>
          <w:rFonts w:ascii="Cambria" w:hAnsi="Cambria"/>
          <w:szCs w:val="22"/>
        </w:rPr>
      </w:pPr>
    </w:p>
    <w:p w14:paraId="263BD6A1" w14:textId="77777777" w:rsidR="00DE08E0" w:rsidRPr="00DE08E0" w:rsidRDefault="00DE08E0" w:rsidP="00081F9E">
      <w:pPr>
        <w:pStyle w:val="Heading1"/>
        <w:rPr>
          <w:rFonts w:ascii="Cambria" w:hAnsi="Cambria"/>
          <w:sz w:val="28"/>
          <w:szCs w:val="28"/>
        </w:rPr>
      </w:pPr>
      <w:bookmarkStart w:id="51" w:name="_Toc485781382"/>
      <w:r w:rsidRPr="00DE08E0">
        <w:rPr>
          <w:rFonts w:ascii="Cambria" w:hAnsi="Cambria"/>
          <w:sz w:val="28"/>
          <w:szCs w:val="28"/>
        </w:rPr>
        <w:t>PHARMACEUTICAL PARTICULARS</w:t>
      </w:r>
      <w:bookmarkEnd w:id="51"/>
    </w:p>
    <w:p w14:paraId="60A5AF7C" w14:textId="77777777" w:rsidR="00DE08E0" w:rsidRPr="00DE08E0" w:rsidRDefault="00DE08E0" w:rsidP="00190E02">
      <w:pPr>
        <w:keepNext/>
        <w:rPr>
          <w:rFonts w:ascii="Cambria" w:hAnsi="Cambria"/>
        </w:rPr>
      </w:pPr>
    </w:p>
    <w:p w14:paraId="4F4A0F73" w14:textId="4A5B982C" w:rsidR="00DE08E0" w:rsidRPr="00DE08E0" w:rsidRDefault="00DE08E0" w:rsidP="00081F9E">
      <w:pPr>
        <w:pStyle w:val="Heading2"/>
        <w:rPr>
          <w:rFonts w:ascii="Cambria" w:hAnsi="Cambria"/>
          <w:sz w:val="24"/>
          <w:szCs w:val="24"/>
        </w:rPr>
      </w:pPr>
      <w:bookmarkStart w:id="52" w:name="_Toc485781383"/>
      <w:r w:rsidRPr="00DE08E0">
        <w:rPr>
          <w:rFonts w:ascii="Cambria" w:hAnsi="Cambria"/>
          <w:sz w:val="24"/>
          <w:szCs w:val="24"/>
        </w:rPr>
        <w:t>L</w:t>
      </w:r>
      <w:r w:rsidR="00CA1E4A">
        <w:rPr>
          <w:rFonts w:ascii="Cambria" w:hAnsi="Cambria"/>
          <w:sz w:val="24"/>
          <w:szCs w:val="24"/>
        </w:rPr>
        <w:t>IST OF EXCIPIENTS</w:t>
      </w:r>
      <w:bookmarkEnd w:id="52"/>
    </w:p>
    <w:p w14:paraId="7D7D5548" w14:textId="77777777" w:rsidR="00E0699A" w:rsidRDefault="00E0699A" w:rsidP="00190E02">
      <w:pPr>
        <w:keepNext/>
        <w:rPr>
          <w:rFonts w:ascii="Cambria" w:hAnsi="Cambria"/>
          <w:b/>
          <w:u w:val="single"/>
        </w:rPr>
      </w:pPr>
    </w:p>
    <w:p w14:paraId="7C945169" w14:textId="77777777" w:rsidR="00AF1812" w:rsidRDefault="00E0699A" w:rsidP="00E0699A">
      <w:pPr>
        <w:rPr>
          <w:rFonts w:ascii="Cambria" w:hAnsi="Cambria"/>
          <w:b/>
          <w:szCs w:val="22"/>
        </w:rPr>
      </w:pPr>
      <w:r w:rsidRPr="00E0699A">
        <w:rPr>
          <w:rFonts w:ascii="Cambria" w:hAnsi="Cambria"/>
          <w:b/>
          <w:szCs w:val="22"/>
        </w:rPr>
        <w:t>Elexacaftor/tezacaftor/ivacaftor tablets</w:t>
      </w:r>
    </w:p>
    <w:p w14:paraId="5CF71751" w14:textId="3F5009CA" w:rsidR="00E0699A" w:rsidRPr="00E0699A" w:rsidRDefault="00E0699A" w:rsidP="00E0699A">
      <w:pPr>
        <w:rPr>
          <w:rFonts w:ascii="Cambria" w:hAnsi="Cambria"/>
        </w:rPr>
      </w:pPr>
      <w:r w:rsidRPr="00E0699A">
        <w:rPr>
          <w:rFonts w:ascii="Cambria" w:hAnsi="Cambria"/>
        </w:rPr>
        <w:t>Hypromellose</w:t>
      </w:r>
    </w:p>
    <w:p w14:paraId="0E465499" w14:textId="470E62A8" w:rsidR="00E0699A" w:rsidRPr="00E0699A" w:rsidRDefault="00E0699A" w:rsidP="00E0699A">
      <w:pPr>
        <w:rPr>
          <w:rFonts w:ascii="Cambria" w:hAnsi="Cambria"/>
        </w:rPr>
      </w:pPr>
      <w:r w:rsidRPr="00E0699A">
        <w:rPr>
          <w:rFonts w:ascii="Cambria" w:hAnsi="Cambria"/>
        </w:rPr>
        <w:t>Hypromellose acetate succinate</w:t>
      </w:r>
    </w:p>
    <w:p w14:paraId="3B2820B6" w14:textId="3EBC43B8" w:rsidR="00E0699A" w:rsidRDefault="00E0699A" w:rsidP="00E0699A">
      <w:pPr>
        <w:rPr>
          <w:rFonts w:ascii="Cambria" w:hAnsi="Cambria"/>
        </w:rPr>
      </w:pPr>
      <w:r w:rsidRPr="00E0699A">
        <w:rPr>
          <w:rFonts w:ascii="Cambria" w:hAnsi="Cambria"/>
        </w:rPr>
        <w:t>Sodium lauryl sulfate</w:t>
      </w:r>
    </w:p>
    <w:p w14:paraId="7E656CA0" w14:textId="5716C16A" w:rsidR="000B426A" w:rsidRDefault="000B426A" w:rsidP="000B426A">
      <w:pPr>
        <w:rPr>
          <w:rFonts w:ascii="Cambria" w:hAnsi="Cambria"/>
        </w:rPr>
      </w:pPr>
      <w:r w:rsidRPr="00E0699A">
        <w:rPr>
          <w:rFonts w:ascii="Cambria" w:hAnsi="Cambria"/>
        </w:rPr>
        <w:t>Croscarmellose sodium</w:t>
      </w:r>
    </w:p>
    <w:p w14:paraId="36D4C62D" w14:textId="77777777" w:rsidR="00C05131" w:rsidRDefault="00C05131" w:rsidP="00C05131">
      <w:pPr>
        <w:rPr>
          <w:rFonts w:ascii="Cambria" w:hAnsi="Cambria"/>
        </w:rPr>
      </w:pPr>
      <w:r w:rsidRPr="00E0699A">
        <w:rPr>
          <w:rFonts w:ascii="Cambria" w:hAnsi="Cambria"/>
        </w:rPr>
        <w:t>Microcrystalline cellulose</w:t>
      </w:r>
    </w:p>
    <w:p w14:paraId="444DDC2A" w14:textId="3D4B322D" w:rsidR="000B426A" w:rsidRDefault="00C05131" w:rsidP="00E0699A">
      <w:pPr>
        <w:rPr>
          <w:rFonts w:ascii="Cambria" w:hAnsi="Cambria"/>
        </w:rPr>
      </w:pPr>
      <w:r>
        <w:rPr>
          <w:rFonts w:ascii="Cambria" w:hAnsi="Cambria"/>
        </w:rPr>
        <w:t>Magnesium stearate</w:t>
      </w:r>
    </w:p>
    <w:p w14:paraId="007BE5DB" w14:textId="46BF42A6" w:rsidR="00EB1AEC" w:rsidRPr="004C7E31" w:rsidRDefault="00E777A1" w:rsidP="00DE08E0">
      <w:pPr>
        <w:rPr>
          <w:rFonts w:ascii="Cambria" w:hAnsi="Cambria"/>
        </w:rPr>
      </w:pPr>
      <w:bookmarkStart w:id="53" w:name="_Hlk29371867"/>
      <w:r w:rsidRPr="00212D40">
        <w:rPr>
          <w:rFonts w:ascii="Cambria" w:hAnsi="Cambria"/>
          <w:i/>
        </w:rPr>
        <w:t>OPADRY Complete Film Coating System 20A130036 ORANGE (PI No. 136412)</w:t>
      </w:r>
      <w:bookmarkEnd w:id="53"/>
    </w:p>
    <w:p w14:paraId="683416D3" w14:textId="77777777" w:rsidR="00134CC5" w:rsidRPr="004C7E31" w:rsidRDefault="00134CC5" w:rsidP="00DE08E0">
      <w:pPr>
        <w:rPr>
          <w:rFonts w:ascii="Cambria" w:hAnsi="Cambria"/>
          <w:b/>
          <w:u w:val="single"/>
        </w:rPr>
      </w:pPr>
    </w:p>
    <w:p w14:paraId="008AD778" w14:textId="000F5052" w:rsidR="00DE08E0" w:rsidRDefault="00DE08E0" w:rsidP="00DE08E0">
      <w:pPr>
        <w:rPr>
          <w:rFonts w:ascii="Cambria" w:hAnsi="Cambria"/>
          <w:b/>
          <w:u w:val="single"/>
        </w:rPr>
      </w:pPr>
      <w:r w:rsidRPr="00065733">
        <w:rPr>
          <w:rFonts w:ascii="Cambria" w:hAnsi="Cambria"/>
          <w:b/>
          <w:u w:val="single"/>
        </w:rPr>
        <w:t>Ivacaftor</w:t>
      </w:r>
      <w:r w:rsidR="00065733" w:rsidRPr="00065733">
        <w:rPr>
          <w:rFonts w:ascii="Cambria" w:hAnsi="Cambria"/>
          <w:b/>
          <w:u w:val="single"/>
        </w:rPr>
        <w:t xml:space="preserve"> Tablets</w:t>
      </w:r>
    </w:p>
    <w:p w14:paraId="5A54618E" w14:textId="2057EB3A" w:rsidR="00DE08E0" w:rsidRPr="00DE08E0" w:rsidRDefault="004A4FE8" w:rsidP="00DE08E0">
      <w:pPr>
        <w:rPr>
          <w:rFonts w:ascii="Cambria" w:eastAsia="MS Mincho" w:hAnsi="Cambria"/>
          <w:lang w:eastAsia="ja-JP"/>
        </w:rPr>
      </w:pPr>
      <w:r>
        <w:rPr>
          <w:rFonts w:ascii="Cambria" w:eastAsia="MS Mincho" w:hAnsi="Cambria"/>
          <w:lang w:eastAsia="ja-JP"/>
        </w:rPr>
        <w:t>S</w:t>
      </w:r>
      <w:r w:rsidR="002258F5">
        <w:rPr>
          <w:rFonts w:ascii="Cambria" w:eastAsia="MS Mincho" w:hAnsi="Cambria"/>
          <w:lang w:eastAsia="ja-JP"/>
        </w:rPr>
        <w:t>ilicon dioxide</w:t>
      </w:r>
    </w:p>
    <w:p w14:paraId="722F6E88"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Croscarmellose sodium</w:t>
      </w:r>
    </w:p>
    <w:p w14:paraId="20B05177"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Hypromellose acetate succinate</w:t>
      </w:r>
    </w:p>
    <w:p w14:paraId="27321806" w14:textId="5AE1ADCF" w:rsidR="00DE08E0" w:rsidRPr="00DE08E0" w:rsidRDefault="00DE08E0" w:rsidP="00DE08E0">
      <w:pPr>
        <w:rPr>
          <w:rFonts w:ascii="Cambria" w:eastAsia="MS Mincho" w:hAnsi="Cambria"/>
          <w:lang w:eastAsia="ja-JP"/>
        </w:rPr>
      </w:pPr>
      <w:r w:rsidRPr="00DE08E0">
        <w:rPr>
          <w:rFonts w:ascii="Cambria" w:eastAsia="MS Mincho" w:hAnsi="Cambria"/>
          <w:lang w:eastAsia="ja-JP"/>
        </w:rPr>
        <w:t>Lactose monohydrate</w:t>
      </w:r>
    </w:p>
    <w:p w14:paraId="47D07732"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Magnesium stearate</w:t>
      </w:r>
    </w:p>
    <w:p w14:paraId="23798AEA"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Microcrystalline cellulose</w:t>
      </w:r>
    </w:p>
    <w:p w14:paraId="08D2ED02" w14:textId="77777777" w:rsidR="00DE08E0" w:rsidRDefault="00DE08E0" w:rsidP="00DE08E0">
      <w:pPr>
        <w:rPr>
          <w:rFonts w:ascii="Cambria" w:eastAsia="MS Mincho" w:hAnsi="Cambria"/>
          <w:lang w:eastAsia="ja-JP"/>
        </w:rPr>
      </w:pPr>
      <w:r w:rsidRPr="00DE08E0">
        <w:rPr>
          <w:rFonts w:ascii="Cambria" w:eastAsia="MS Mincho" w:hAnsi="Cambria"/>
          <w:lang w:eastAsia="ja-JP"/>
        </w:rPr>
        <w:t>Sodium lauryl sulfate</w:t>
      </w:r>
    </w:p>
    <w:p w14:paraId="734EFD7C" w14:textId="26FEA027" w:rsidR="002258F5" w:rsidRPr="00DE08E0" w:rsidRDefault="002258F5" w:rsidP="00DE08E0">
      <w:pPr>
        <w:rPr>
          <w:rFonts w:ascii="Cambria" w:eastAsia="MS Mincho" w:hAnsi="Cambria"/>
          <w:lang w:eastAsia="ja-JP"/>
        </w:rPr>
      </w:pPr>
      <w:r>
        <w:rPr>
          <w:rFonts w:ascii="Cambria" w:eastAsia="MS Mincho" w:hAnsi="Cambria"/>
          <w:lang w:eastAsia="ja-JP"/>
        </w:rPr>
        <w:t>Carnauba wax</w:t>
      </w:r>
    </w:p>
    <w:p w14:paraId="1EDB0978" w14:textId="52C26BDA" w:rsidR="00DE08E0" w:rsidRPr="00DE08E0" w:rsidRDefault="009E5C72" w:rsidP="00DE08E0">
      <w:pPr>
        <w:rPr>
          <w:rFonts w:ascii="Cambria" w:eastAsia="MS Mincho" w:hAnsi="Cambria"/>
          <w:i/>
          <w:iCs/>
          <w:lang w:eastAsia="ja-JP"/>
        </w:rPr>
      </w:pPr>
      <w:bookmarkStart w:id="54" w:name="_Hlk24719875"/>
      <w:r>
        <w:rPr>
          <w:rFonts w:ascii="Cambria" w:eastAsia="MS Mincho" w:hAnsi="Cambria"/>
          <w:i/>
          <w:iCs/>
          <w:lang w:eastAsia="ja-JP"/>
        </w:rPr>
        <w:t>Opadry II complete film coating system 85F90614 Blue (</w:t>
      </w:r>
      <w:r w:rsidR="00C348F7">
        <w:rPr>
          <w:rFonts w:ascii="Cambria" w:eastAsia="MS Mincho" w:hAnsi="Cambria"/>
          <w:i/>
          <w:iCs/>
          <w:lang w:eastAsia="ja-JP"/>
        </w:rPr>
        <w:t>PI N</w:t>
      </w:r>
      <w:r w:rsidR="00065733">
        <w:rPr>
          <w:rFonts w:ascii="Cambria" w:eastAsia="MS Mincho" w:hAnsi="Cambria"/>
          <w:i/>
          <w:iCs/>
          <w:lang w:eastAsia="ja-JP"/>
        </w:rPr>
        <w:t>o.</w:t>
      </w:r>
      <w:r w:rsidR="00C348F7">
        <w:rPr>
          <w:rFonts w:ascii="Cambria" w:eastAsia="MS Mincho" w:hAnsi="Cambria"/>
          <w:i/>
          <w:iCs/>
          <w:lang w:eastAsia="ja-JP"/>
        </w:rPr>
        <w:t>108371)</w:t>
      </w:r>
    </w:p>
    <w:p w14:paraId="14BCD036" w14:textId="189455AC" w:rsidR="001E6BD8" w:rsidRPr="00DE08E0" w:rsidRDefault="00C348F7" w:rsidP="00DE08E0">
      <w:pPr>
        <w:keepNext/>
        <w:rPr>
          <w:rFonts w:ascii="Cambria" w:hAnsi="Cambria"/>
          <w:i/>
          <w:lang w:eastAsia="ja-JP"/>
        </w:rPr>
      </w:pPr>
      <w:bookmarkStart w:id="55" w:name="_Hlk24719902"/>
      <w:bookmarkEnd w:id="54"/>
      <w:r>
        <w:rPr>
          <w:rFonts w:ascii="Cambria" w:eastAsia="MS Mincho" w:hAnsi="Cambria"/>
          <w:i/>
          <w:iCs/>
          <w:lang w:eastAsia="ja-JP"/>
        </w:rPr>
        <w:t>OPACODE monogramming ink S-1-17823 BLACK (</w:t>
      </w:r>
      <w:r>
        <w:rPr>
          <w:rFonts w:ascii="Cambria" w:hAnsi="Cambria"/>
          <w:i/>
          <w:lang w:eastAsia="ja-JP"/>
        </w:rPr>
        <w:t>PI N</w:t>
      </w:r>
      <w:r w:rsidR="00065733">
        <w:rPr>
          <w:rFonts w:ascii="Cambria" w:hAnsi="Cambria"/>
          <w:i/>
          <w:lang w:eastAsia="ja-JP"/>
        </w:rPr>
        <w:t>o.</w:t>
      </w:r>
      <w:r>
        <w:rPr>
          <w:rFonts w:ascii="Cambria" w:hAnsi="Cambria"/>
          <w:i/>
          <w:lang w:eastAsia="ja-JP"/>
        </w:rPr>
        <w:t>12108)</w:t>
      </w:r>
    </w:p>
    <w:bookmarkEnd w:id="55"/>
    <w:p w14:paraId="17973C49" w14:textId="77777777" w:rsidR="00DE08E0" w:rsidRPr="00DE08E0" w:rsidRDefault="00DE08E0" w:rsidP="00DE08E0">
      <w:pPr>
        <w:rPr>
          <w:rFonts w:ascii="Cambria" w:hAnsi="Cambria"/>
        </w:rPr>
      </w:pPr>
    </w:p>
    <w:p w14:paraId="1FF0741E" w14:textId="609648D1" w:rsidR="00DE08E0" w:rsidRPr="00DE08E0" w:rsidRDefault="00DE08E0" w:rsidP="00DE08E0">
      <w:pPr>
        <w:pStyle w:val="Heading2"/>
        <w:rPr>
          <w:rFonts w:ascii="Cambria" w:hAnsi="Cambria"/>
          <w:sz w:val="24"/>
          <w:szCs w:val="24"/>
        </w:rPr>
      </w:pPr>
      <w:bookmarkStart w:id="56" w:name="_Toc485781384"/>
      <w:r w:rsidRPr="00DE08E0">
        <w:rPr>
          <w:rFonts w:ascii="Cambria" w:hAnsi="Cambria"/>
          <w:sz w:val="24"/>
          <w:szCs w:val="24"/>
        </w:rPr>
        <w:t>I</w:t>
      </w:r>
      <w:r w:rsidR="00CA1E4A">
        <w:rPr>
          <w:rFonts w:ascii="Cambria" w:hAnsi="Cambria"/>
          <w:sz w:val="24"/>
          <w:szCs w:val="24"/>
        </w:rPr>
        <w:t>NCOMPATIBILITIES</w:t>
      </w:r>
      <w:bookmarkEnd w:id="56"/>
    </w:p>
    <w:p w14:paraId="66A37432" w14:textId="77777777" w:rsidR="00DE08E0" w:rsidRPr="00DE08E0" w:rsidRDefault="00DE08E0" w:rsidP="00DE08E0">
      <w:pPr>
        <w:rPr>
          <w:rFonts w:ascii="Cambria" w:hAnsi="Cambria"/>
        </w:rPr>
      </w:pPr>
    </w:p>
    <w:p w14:paraId="27AD7F14" w14:textId="4710A15A" w:rsidR="00DE08E0" w:rsidRPr="00DE08E0" w:rsidRDefault="00D54975" w:rsidP="00DE08E0">
      <w:pPr>
        <w:rPr>
          <w:rFonts w:ascii="Cambria" w:hAnsi="Cambria"/>
        </w:rPr>
      </w:pPr>
      <w:r>
        <w:rPr>
          <w:rFonts w:ascii="Cambria" w:hAnsi="Cambria"/>
        </w:rPr>
        <w:t>Incompat</w:t>
      </w:r>
      <w:r w:rsidR="003219CB">
        <w:rPr>
          <w:rFonts w:ascii="Cambria" w:hAnsi="Cambria"/>
        </w:rPr>
        <w:t>i</w:t>
      </w:r>
      <w:r>
        <w:rPr>
          <w:rFonts w:ascii="Cambria" w:hAnsi="Cambria"/>
        </w:rPr>
        <w:t xml:space="preserve">bilities were either not assessed or not identified as part of the registration of this medicine. </w:t>
      </w:r>
    </w:p>
    <w:p w14:paraId="45F0DEBC" w14:textId="77777777" w:rsidR="00DE08E0" w:rsidRPr="00DE08E0" w:rsidRDefault="00DE08E0" w:rsidP="00DE08E0">
      <w:pPr>
        <w:rPr>
          <w:rFonts w:ascii="Cambria" w:hAnsi="Cambria"/>
        </w:rPr>
      </w:pPr>
    </w:p>
    <w:p w14:paraId="449D9C2D" w14:textId="7684BA07" w:rsidR="00DE08E0" w:rsidRPr="00DE08E0" w:rsidRDefault="00CA1E4A" w:rsidP="00DE08E0">
      <w:pPr>
        <w:pStyle w:val="Heading2"/>
        <w:rPr>
          <w:rFonts w:ascii="Cambria" w:hAnsi="Cambria"/>
          <w:sz w:val="24"/>
          <w:szCs w:val="24"/>
        </w:rPr>
      </w:pPr>
      <w:bookmarkStart w:id="57" w:name="_Toc485781385"/>
      <w:r>
        <w:rPr>
          <w:rFonts w:ascii="Cambria" w:hAnsi="Cambria"/>
          <w:sz w:val="24"/>
          <w:szCs w:val="24"/>
        </w:rPr>
        <w:t>SHELF LIFE</w:t>
      </w:r>
      <w:bookmarkEnd w:id="57"/>
    </w:p>
    <w:p w14:paraId="6D7D47EE" w14:textId="77777777" w:rsidR="00DE08E0" w:rsidRPr="00DE08E0" w:rsidRDefault="00DE08E0" w:rsidP="00DE08E0">
      <w:pPr>
        <w:rPr>
          <w:rFonts w:ascii="Cambria" w:hAnsi="Cambria"/>
        </w:rPr>
      </w:pPr>
    </w:p>
    <w:p w14:paraId="78F3DC2B" w14:textId="7777B98C" w:rsidR="00FB7A57" w:rsidRPr="00DE08E0" w:rsidRDefault="00FB7A57" w:rsidP="00DE08E0">
      <w:pPr>
        <w:rPr>
          <w:rFonts w:ascii="Cambria" w:hAnsi="Cambria"/>
        </w:rPr>
      </w:pPr>
      <w:r w:rsidRPr="00673F8B">
        <w:rPr>
          <w:rFonts w:ascii="Cambria" w:hAnsi="Cambria"/>
        </w:rPr>
        <w:t>In Australia, information on the shelf-life can be found on the public summary of the ARTG. The expiry date can be found on the packaging.</w:t>
      </w:r>
    </w:p>
    <w:p w14:paraId="22173519" w14:textId="77777777" w:rsidR="00DE08E0" w:rsidRPr="00DE08E0" w:rsidRDefault="00DE08E0" w:rsidP="00DE08E0">
      <w:pPr>
        <w:rPr>
          <w:rFonts w:ascii="Cambria" w:hAnsi="Cambria"/>
        </w:rPr>
      </w:pPr>
    </w:p>
    <w:p w14:paraId="6F5CBAC0" w14:textId="59C4741A" w:rsidR="00DE08E0" w:rsidRPr="00DE08E0" w:rsidRDefault="00DE08E0" w:rsidP="00DE08E0">
      <w:pPr>
        <w:pStyle w:val="Heading2"/>
        <w:rPr>
          <w:rFonts w:ascii="Cambria" w:hAnsi="Cambria"/>
          <w:sz w:val="24"/>
          <w:szCs w:val="24"/>
        </w:rPr>
      </w:pPr>
      <w:bookmarkStart w:id="58" w:name="_Toc485781386"/>
      <w:bookmarkStart w:id="59" w:name="_Hlk24719474"/>
      <w:r w:rsidRPr="00DE08E0">
        <w:rPr>
          <w:rFonts w:ascii="Cambria" w:hAnsi="Cambria"/>
          <w:sz w:val="24"/>
          <w:szCs w:val="24"/>
        </w:rPr>
        <w:t>S</w:t>
      </w:r>
      <w:r w:rsidR="00CA1E4A">
        <w:rPr>
          <w:rFonts w:ascii="Cambria" w:hAnsi="Cambria"/>
          <w:sz w:val="24"/>
          <w:szCs w:val="24"/>
        </w:rPr>
        <w:t>PECIAL PRECAUTIONS FOR STORAGE</w:t>
      </w:r>
      <w:bookmarkEnd w:id="58"/>
    </w:p>
    <w:p w14:paraId="53753A34" w14:textId="77777777" w:rsidR="00DE08E0" w:rsidRPr="00DE08E0" w:rsidRDefault="00DE08E0" w:rsidP="00DE08E0">
      <w:pPr>
        <w:rPr>
          <w:rFonts w:ascii="Cambria" w:hAnsi="Cambria"/>
        </w:rPr>
      </w:pPr>
    </w:p>
    <w:p w14:paraId="41F15172" w14:textId="70CA8298" w:rsidR="00680FE9" w:rsidRDefault="00680FE9" w:rsidP="00DE08E0">
      <w:pPr>
        <w:rPr>
          <w:rFonts w:ascii="Cambria" w:hAnsi="Cambria"/>
          <w:szCs w:val="22"/>
        </w:rPr>
      </w:pPr>
      <w:r>
        <w:t>Store</w:t>
      </w:r>
      <w:r w:rsidR="00762F3D">
        <w:t xml:space="preserve"> </w:t>
      </w:r>
      <w:r w:rsidR="00762F3D" w:rsidRPr="00883001">
        <w:t>below 30°C</w:t>
      </w:r>
      <w:r w:rsidR="00762F3D" w:rsidRPr="00FB7A57">
        <w:rPr>
          <w:rFonts w:ascii="Cambria" w:hAnsi="Cambria"/>
          <w:szCs w:val="22"/>
        </w:rPr>
        <w:t>.</w:t>
      </w:r>
    </w:p>
    <w:p w14:paraId="4653E8AA" w14:textId="5F9F23BA" w:rsidR="00680FE9" w:rsidRDefault="00680FE9" w:rsidP="00DE08E0">
      <w:pPr>
        <w:rPr>
          <w:rFonts w:ascii="Cambria" w:hAnsi="Cambria"/>
          <w:szCs w:val="22"/>
        </w:rPr>
      </w:pPr>
    </w:p>
    <w:p w14:paraId="0187523C" w14:textId="772A8D2E" w:rsidR="00762F3D" w:rsidRDefault="00680FE9" w:rsidP="00DE08E0">
      <w:pPr>
        <w:rPr>
          <w:rFonts w:ascii="Cambria" w:hAnsi="Cambria"/>
          <w:szCs w:val="22"/>
          <w:highlight w:val="yellow"/>
        </w:rPr>
      </w:pPr>
      <w:r>
        <w:rPr>
          <w:rFonts w:ascii="Cambria" w:hAnsi="Cambria"/>
          <w:szCs w:val="22"/>
        </w:rPr>
        <w:t>Store in original container.</w:t>
      </w:r>
    </w:p>
    <w:bookmarkEnd w:id="59"/>
    <w:p w14:paraId="5EC54899" w14:textId="77777777" w:rsidR="00DE08E0" w:rsidRPr="00DE08E0" w:rsidRDefault="00DE08E0" w:rsidP="00DE08E0">
      <w:pPr>
        <w:rPr>
          <w:rFonts w:ascii="Cambria" w:hAnsi="Cambria"/>
        </w:rPr>
      </w:pPr>
    </w:p>
    <w:p w14:paraId="517F06A6" w14:textId="4A9CB644" w:rsidR="00DE08E0" w:rsidRPr="006A1085" w:rsidRDefault="00DE08E0" w:rsidP="00DE08E0">
      <w:pPr>
        <w:pStyle w:val="Heading2"/>
        <w:rPr>
          <w:rFonts w:ascii="Cambria" w:hAnsi="Cambria"/>
          <w:sz w:val="24"/>
          <w:szCs w:val="24"/>
        </w:rPr>
      </w:pPr>
      <w:bookmarkStart w:id="60" w:name="_Toc485781387"/>
      <w:r w:rsidRPr="006A1085">
        <w:rPr>
          <w:rFonts w:ascii="Cambria" w:hAnsi="Cambria"/>
          <w:sz w:val="24"/>
          <w:szCs w:val="24"/>
        </w:rPr>
        <w:t>N</w:t>
      </w:r>
      <w:r w:rsidR="00CA1E4A" w:rsidRPr="006A1085">
        <w:rPr>
          <w:rFonts w:ascii="Cambria" w:hAnsi="Cambria"/>
          <w:sz w:val="24"/>
          <w:szCs w:val="24"/>
        </w:rPr>
        <w:t>ATURE AND CONTENTS OF THE CONTAINER</w:t>
      </w:r>
      <w:bookmarkEnd w:id="60"/>
    </w:p>
    <w:p w14:paraId="112EEBD2" w14:textId="77777777" w:rsidR="00DE08E0" w:rsidRPr="006A1085" w:rsidRDefault="00DE08E0" w:rsidP="00DE08E0">
      <w:pPr>
        <w:rPr>
          <w:rFonts w:ascii="Cambria" w:hAnsi="Cambria"/>
        </w:rPr>
      </w:pPr>
    </w:p>
    <w:p w14:paraId="50197EC7" w14:textId="77777777" w:rsidR="00DE08E0" w:rsidRPr="006A1085" w:rsidRDefault="00DE08E0" w:rsidP="00DE08E0">
      <w:pPr>
        <w:rPr>
          <w:rFonts w:ascii="Cambria" w:hAnsi="Cambria"/>
        </w:rPr>
      </w:pPr>
      <w:r w:rsidRPr="006A1085">
        <w:rPr>
          <w:rFonts w:ascii="Cambria" w:hAnsi="Cambria"/>
        </w:rPr>
        <w:t>Blister consisting of PCTFE (polychlorotrifluoroethylene)/PVC (polyvinyl chloride) with a paper</w:t>
      </w:r>
      <w:r w:rsidRPr="006A1085">
        <w:rPr>
          <w:rFonts w:ascii="Cambria" w:hAnsi="Cambria"/>
        </w:rPr>
        <w:noBreakHyphen/>
        <w:t>backed aluminum foil lidding.</w:t>
      </w:r>
    </w:p>
    <w:p w14:paraId="7D216790" w14:textId="77777777" w:rsidR="00DE08E0" w:rsidRPr="006A1085" w:rsidRDefault="00DE08E0" w:rsidP="00DE08E0">
      <w:pPr>
        <w:rPr>
          <w:rFonts w:ascii="Cambria" w:hAnsi="Cambria"/>
        </w:rPr>
      </w:pPr>
    </w:p>
    <w:p w14:paraId="5FC03C7B" w14:textId="77777777" w:rsidR="00D40365" w:rsidRPr="006A1085" w:rsidRDefault="00D40365" w:rsidP="00D40365">
      <w:pPr>
        <w:tabs>
          <w:tab w:val="clear" w:pos="567"/>
        </w:tabs>
        <w:rPr>
          <w:rFonts w:ascii="Cambria" w:eastAsiaTheme="minorHAnsi" w:hAnsi="Cambria"/>
          <w:b/>
        </w:rPr>
      </w:pPr>
      <w:r w:rsidRPr="006A1085">
        <w:rPr>
          <w:rFonts w:ascii="Cambria" w:eastAsiaTheme="minorHAnsi" w:hAnsi="Cambria"/>
          <w:b/>
        </w:rPr>
        <w:t xml:space="preserve">Pack sizes </w:t>
      </w:r>
    </w:p>
    <w:p w14:paraId="6CDD2382" w14:textId="730CACBA" w:rsidR="00D40365" w:rsidRPr="006A1085" w:rsidRDefault="004D4841" w:rsidP="00D40365">
      <w:pPr>
        <w:tabs>
          <w:tab w:val="clear" w:pos="567"/>
        </w:tabs>
        <w:rPr>
          <w:rFonts w:ascii="Cambria" w:eastAsiaTheme="minorHAnsi" w:hAnsi="Cambria"/>
          <w:u w:val="single"/>
        </w:rPr>
      </w:pPr>
      <w:r w:rsidRPr="006A1085">
        <w:rPr>
          <w:rFonts w:ascii="Cambria" w:eastAsiaTheme="minorHAnsi" w:hAnsi="Cambria"/>
        </w:rPr>
        <w:t>T</w:t>
      </w:r>
      <w:r w:rsidR="006E4A2B">
        <w:rPr>
          <w:rFonts w:ascii="Cambria" w:eastAsiaTheme="minorHAnsi" w:hAnsi="Cambria"/>
        </w:rPr>
        <w:t>RIKAFTA</w:t>
      </w:r>
      <w:r w:rsidR="00D40365" w:rsidRPr="006A1085">
        <w:rPr>
          <w:rFonts w:ascii="Cambria" w:eastAsiaTheme="minorHAnsi" w:hAnsi="Cambria"/>
        </w:rPr>
        <w:t xml:space="preserve"> [co</w:t>
      </w:r>
      <w:r w:rsidR="00D40365" w:rsidRPr="006A1085">
        <w:rPr>
          <w:rFonts w:ascii="Cambria" w:eastAsiaTheme="minorHAnsi" w:hAnsi="Cambria"/>
        </w:rPr>
        <w:noBreakHyphen/>
        <w:t>pack]: Pack size of 84 tablets (</w:t>
      </w:r>
      <w:r w:rsidR="00A84768">
        <w:rPr>
          <w:rFonts w:ascii="Cambria" w:eastAsiaTheme="minorHAnsi" w:hAnsi="Cambria"/>
        </w:rPr>
        <w:t>56 elexacaftor/tezacaftor/ivacaftor tablets and 28 ivacaftor tablets</w:t>
      </w:r>
      <w:r w:rsidR="00D40365" w:rsidRPr="006A1085">
        <w:rPr>
          <w:rFonts w:ascii="Cambria" w:eastAsiaTheme="minorHAnsi" w:hAnsi="Cambria"/>
        </w:rPr>
        <w:t>)</w:t>
      </w:r>
    </w:p>
    <w:p w14:paraId="422ED2C3" w14:textId="77777777" w:rsidR="00D40365" w:rsidRPr="006A1085" w:rsidRDefault="00D40365" w:rsidP="00DE08E0">
      <w:pPr>
        <w:rPr>
          <w:rFonts w:ascii="Cambria" w:hAnsi="Cambria"/>
        </w:rPr>
      </w:pPr>
    </w:p>
    <w:p w14:paraId="58EB2329" w14:textId="6CA0D0CF" w:rsidR="00CA1E4A" w:rsidRPr="006A1085" w:rsidRDefault="00CA1E4A" w:rsidP="00081F9E">
      <w:pPr>
        <w:pStyle w:val="Heading2"/>
        <w:rPr>
          <w:rFonts w:ascii="Cambria" w:hAnsi="Cambria"/>
          <w:sz w:val="24"/>
          <w:szCs w:val="24"/>
        </w:rPr>
      </w:pPr>
      <w:r w:rsidRPr="006A1085">
        <w:rPr>
          <w:rFonts w:ascii="Cambria" w:hAnsi="Cambria"/>
          <w:sz w:val="24"/>
          <w:szCs w:val="24"/>
        </w:rPr>
        <w:t xml:space="preserve">SPECIAL PRECAUTIONS FOR </w:t>
      </w:r>
      <w:r w:rsidR="008C1A5B" w:rsidRPr="006A1085">
        <w:rPr>
          <w:rFonts w:ascii="Cambria" w:hAnsi="Cambria"/>
          <w:sz w:val="24"/>
          <w:szCs w:val="24"/>
        </w:rPr>
        <w:t>DISPOSAL</w:t>
      </w:r>
    </w:p>
    <w:p w14:paraId="5A86DFBF" w14:textId="77777777" w:rsidR="008C1A5B" w:rsidRPr="006A1085" w:rsidRDefault="008C1A5B" w:rsidP="00190E02">
      <w:pPr>
        <w:keepNext/>
      </w:pPr>
    </w:p>
    <w:p w14:paraId="7CC210BC" w14:textId="704334BA" w:rsidR="001E6BD8" w:rsidRDefault="00D54975" w:rsidP="008C1A5B">
      <w:pPr>
        <w:rPr>
          <w:rFonts w:ascii="Cambria" w:hAnsi="Cambria"/>
        </w:rPr>
      </w:pPr>
      <w:r w:rsidRPr="006A1085">
        <w:rPr>
          <w:rFonts w:ascii="Cambria" w:hAnsi="Cambria"/>
        </w:rPr>
        <w:t>In Australia, any unused medicine or waste material should be disposed of by taking it to your local pharmacy.</w:t>
      </w:r>
    </w:p>
    <w:p w14:paraId="0FCFF57B" w14:textId="77777777" w:rsidR="006A25CF" w:rsidRPr="00FB7A57" w:rsidRDefault="006A25CF" w:rsidP="008C1A5B">
      <w:pPr>
        <w:rPr>
          <w:rFonts w:ascii="Cambria" w:hAnsi="Cambria"/>
        </w:rPr>
      </w:pPr>
    </w:p>
    <w:p w14:paraId="754BDDEE" w14:textId="35614260" w:rsidR="008C1A5B" w:rsidRPr="00787A72" w:rsidRDefault="008C1A5B" w:rsidP="000077B8">
      <w:pPr>
        <w:pStyle w:val="Heading2"/>
        <w:rPr>
          <w:rFonts w:ascii="Cambria" w:hAnsi="Cambria"/>
          <w:sz w:val="24"/>
          <w:szCs w:val="24"/>
        </w:rPr>
      </w:pPr>
      <w:bookmarkStart w:id="61" w:name="_Hlk24719068"/>
      <w:r w:rsidRPr="00787A72">
        <w:rPr>
          <w:rFonts w:ascii="Cambria" w:hAnsi="Cambria"/>
          <w:sz w:val="24"/>
          <w:szCs w:val="24"/>
        </w:rPr>
        <w:t>PHYSICOCHEMICAL PROPERTIES</w:t>
      </w:r>
    </w:p>
    <w:p w14:paraId="0A0F5339" w14:textId="77777777" w:rsidR="008C1A5B" w:rsidRDefault="008C1A5B" w:rsidP="000077B8"/>
    <w:p w14:paraId="08F879F1" w14:textId="4EBFB040" w:rsidR="008C1A5B" w:rsidRPr="00AF1812" w:rsidRDefault="008C1A5B" w:rsidP="000077B8">
      <w:pPr>
        <w:rPr>
          <w:rFonts w:ascii="Cambria" w:hAnsi="Cambria"/>
          <w:b/>
          <w:sz w:val="24"/>
        </w:rPr>
      </w:pPr>
      <w:r w:rsidRPr="00AF1812">
        <w:rPr>
          <w:rFonts w:ascii="Cambria" w:hAnsi="Cambria"/>
          <w:b/>
          <w:sz w:val="24"/>
        </w:rPr>
        <w:t>Chemical Structure</w:t>
      </w:r>
    </w:p>
    <w:p w14:paraId="1AF85AF8" w14:textId="3F67935C" w:rsidR="00B96A2F" w:rsidRDefault="000F1B98" w:rsidP="00D74967">
      <w:pPr>
        <w:jc w:val="center"/>
        <w:rPr>
          <w:b/>
        </w:rPr>
      </w:pPr>
      <w:r>
        <w:rPr>
          <w:noProof/>
          <w:lang w:val="en-AU" w:eastAsia="en-AU"/>
        </w:rPr>
        <w:drawing>
          <wp:inline distT="0" distB="0" distL="0" distR="0" wp14:anchorId="038CF7E8" wp14:editId="0D40CE29">
            <wp:extent cx="2627453" cy="133363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9668" cy="1344907"/>
                    </a:xfrm>
                    <a:prstGeom prst="rect">
                      <a:avLst/>
                    </a:prstGeom>
                  </pic:spPr>
                </pic:pic>
              </a:graphicData>
            </a:graphic>
          </wp:inline>
        </w:drawing>
      </w:r>
    </w:p>
    <w:bookmarkEnd w:id="61"/>
    <w:p w14:paraId="795ACFD0" w14:textId="7AD174A8" w:rsidR="000F1B98" w:rsidRPr="00D74967" w:rsidRDefault="000F1B98" w:rsidP="00D74967">
      <w:pPr>
        <w:pStyle w:val="documenttext"/>
        <w:shd w:val="clear" w:color="auto" w:fill="FFFFFF" w:themeFill="background1"/>
        <w:rPr>
          <w:rFonts w:ascii="Cambria" w:hAnsi="Cambria"/>
        </w:rPr>
      </w:pPr>
      <w:r w:rsidRPr="00D74967">
        <w:rPr>
          <w:rFonts w:ascii="Cambria" w:hAnsi="Cambria"/>
          <w:sz w:val="22"/>
        </w:rPr>
        <w:t>Elexacaftor</w:t>
      </w:r>
      <w:r w:rsidR="00CD36AF" w:rsidRPr="00D74967">
        <w:rPr>
          <w:rFonts w:ascii="Cambria" w:hAnsi="Cambria"/>
          <w:sz w:val="22"/>
        </w:rPr>
        <w:t>: N-(1,3-dimethyl-1H-pyrazole-4-sulfonyl)-6-[3-(3,3,3-trifluoro-2,2-</w:t>
      </w:r>
      <w:r w:rsidR="00676082">
        <w:rPr>
          <w:rFonts w:ascii="Cambria" w:hAnsi="Cambria"/>
          <w:sz w:val="22"/>
        </w:rPr>
        <w:t>d</w:t>
      </w:r>
      <w:r w:rsidR="00CD36AF" w:rsidRPr="00D74967">
        <w:rPr>
          <w:rFonts w:ascii="Cambria" w:hAnsi="Cambria"/>
          <w:sz w:val="22"/>
        </w:rPr>
        <w:t>imethylpropoxy)-1H-pyrazol-1-yl]-2-[(4S)-2,2,4-trimethylpyrrolidin-1-yl]pyridine-3-carboxamide</w:t>
      </w:r>
    </w:p>
    <w:p w14:paraId="630A2135" w14:textId="77777777" w:rsidR="000F1B98" w:rsidRDefault="000F1B98" w:rsidP="000077B8">
      <w:pPr>
        <w:rPr>
          <w:b/>
        </w:rPr>
      </w:pPr>
    </w:p>
    <w:p w14:paraId="3F6AC9EC" w14:textId="190F1E1A" w:rsidR="008C1A5B" w:rsidRDefault="00D54975" w:rsidP="00D54975">
      <w:pPr>
        <w:jc w:val="center"/>
        <w:rPr>
          <w:b/>
        </w:rPr>
      </w:pPr>
      <w:r>
        <w:rPr>
          <w:noProof/>
          <w:lang w:val="en-AU" w:eastAsia="en-AU"/>
        </w:rPr>
        <w:drawing>
          <wp:inline distT="0" distB="0" distL="0" distR="0" wp14:anchorId="74027F4B" wp14:editId="1F9E9282">
            <wp:extent cx="2944091" cy="126255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47651" cy="1264079"/>
                    </a:xfrm>
                    <a:prstGeom prst="rect">
                      <a:avLst/>
                    </a:prstGeom>
                  </pic:spPr>
                </pic:pic>
              </a:graphicData>
            </a:graphic>
          </wp:inline>
        </w:drawing>
      </w:r>
    </w:p>
    <w:p w14:paraId="602A425C" w14:textId="28CE4253" w:rsidR="0010416B" w:rsidRPr="003D3DCC" w:rsidRDefault="0010416B" w:rsidP="00FB7A57">
      <w:pPr>
        <w:pStyle w:val="documenttext"/>
        <w:shd w:val="clear" w:color="auto" w:fill="FFFFFF" w:themeFill="background1"/>
        <w:rPr>
          <w:rFonts w:ascii="Cambria" w:hAnsi="Cambria"/>
          <w:sz w:val="22"/>
        </w:rPr>
      </w:pPr>
      <w:r w:rsidRPr="003D3DCC">
        <w:rPr>
          <w:rFonts w:ascii="Cambria" w:hAnsi="Cambria"/>
          <w:sz w:val="22"/>
        </w:rPr>
        <w:t>Tezacaftor: 1-(2,2-difluoro-2H-1,3-benzodioxol-5-yl)-N-{1-[(2R)-2,3-dihydroxypropyl]-6-fluoro-2-(1-hydroxy-2-methylpropan-2-yl)-1Hindol-5-yl}cyclopropane-1-carboxamide.</w:t>
      </w:r>
    </w:p>
    <w:p w14:paraId="2B8BFC75" w14:textId="3CA10076" w:rsidR="00D54975" w:rsidRDefault="00D54975" w:rsidP="00D54975">
      <w:pPr>
        <w:pStyle w:val="documenttext"/>
        <w:shd w:val="clear" w:color="auto" w:fill="FFFFFF" w:themeFill="background1"/>
        <w:jc w:val="center"/>
        <w:rPr>
          <w:rFonts w:ascii="Cambria" w:hAnsi="Cambria"/>
          <w:sz w:val="22"/>
        </w:rPr>
      </w:pPr>
      <w:r>
        <w:rPr>
          <w:noProof/>
          <w:lang w:val="en-AU" w:eastAsia="en-AU"/>
        </w:rPr>
        <w:drawing>
          <wp:inline distT="0" distB="0" distL="0" distR="0" wp14:anchorId="079B929A" wp14:editId="2E33BDCF">
            <wp:extent cx="2542309" cy="155422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40370" cy="1553043"/>
                    </a:xfrm>
                    <a:prstGeom prst="rect">
                      <a:avLst/>
                    </a:prstGeom>
                  </pic:spPr>
                </pic:pic>
              </a:graphicData>
            </a:graphic>
          </wp:inline>
        </w:drawing>
      </w:r>
    </w:p>
    <w:p w14:paraId="5040B264" w14:textId="44A2F07D" w:rsidR="0010416B" w:rsidRPr="003D3DCC" w:rsidRDefault="0010416B" w:rsidP="00FB7A57">
      <w:pPr>
        <w:pStyle w:val="documenttext"/>
        <w:shd w:val="clear" w:color="auto" w:fill="FFFFFF" w:themeFill="background1"/>
        <w:rPr>
          <w:rFonts w:ascii="Cambria" w:hAnsi="Cambria"/>
          <w:sz w:val="22"/>
        </w:rPr>
      </w:pPr>
      <w:r w:rsidRPr="003D3DCC">
        <w:rPr>
          <w:rFonts w:ascii="Cambria" w:hAnsi="Cambria"/>
          <w:sz w:val="22"/>
        </w:rPr>
        <w:t xml:space="preserve">Ivacaftor: </w:t>
      </w:r>
      <w:bookmarkStart w:id="62" w:name="_Hlk29912747"/>
      <w:r w:rsidRPr="003D3DCC">
        <w:rPr>
          <w:rFonts w:ascii="Cambria" w:hAnsi="Cambria"/>
          <w:sz w:val="22"/>
        </w:rPr>
        <w:t>N</w:t>
      </w:r>
      <w:r w:rsidRPr="003D3DCC">
        <w:rPr>
          <w:rFonts w:ascii="Cambria" w:hAnsi="Cambria"/>
          <w:sz w:val="22"/>
        </w:rPr>
        <w:noBreakHyphen/>
        <w:t>(2,4</w:t>
      </w:r>
      <w:r w:rsidRPr="003D3DCC">
        <w:rPr>
          <w:rFonts w:ascii="Cambria" w:hAnsi="Cambria"/>
          <w:sz w:val="22"/>
        </w:rPr>
        <w:noBreakHyphen/>
        <w:t>di</w:t>
      </w:r>
      <w:r w:rsidRPr="003D3DCC">
        <w:rPr>
          <w:rFonts w:ascii="Cambria" w:hAnsi="Cambria"/>
          <w:sz w:val="22"/>
        </w:rPr>
        <w:noBreakHyphen/>
        <w:t>tert</w:t>
      </w:r>
      <w:r w:rsidRPr="003D3DCC">
        <w:rPr>
          <w:rFonts w:ascii="Cambria" w:hAnsi="Cambria"/>
          <w:sz w:val="22"/>
        </w:rPr>
        <w:noBreakHyphen/>
        <w:t>butyl</w:t>
      </w:r>
      <w:r w:rsidRPr="003D3DCC">
        <w:rPr>
          <w:rFonts w:ascii="Cambria" w:hAnsi="Cambria"/>
          <w:sz w:val="22"/>
        </w:rPr>
        <w:noBreakHyphen/>
        <w:t>5</w:t>
      </w:r>
      <w:r w:rsidRPr="003D3DCC">
        <w:rPr>
          <w:rFonts w:ascii="Cambria" w:hAnsi="Cambria"/>
          <w:sz w:val="22"/>
        </w:rPr>
        <w:noBreakHyphen/>
        <w:t>hydroxyphenyl)</w:t>
      </w:r>
      <w:r w:rsidRPr="003D3DCC">
        <w:rPr>
          <w:rFonts w:ascii="Cambria" w:hAnsi="Cambria"/>
          <w:sz w:val="22"/>
        </w:rPr>
        <w:noBreakHyphen/>
        <w:t>4</w:t>
      </w:r>
      <w:r w:rsidRPr="003D3DCC">
        <w:rPr>
          <w:rFonts w:ascii="Cambria" w:hAnsi="Cambria"/>
          <w:sz w:val="22"/>
        </w:rPr>
        <w:noBreakHyphen/>
        <w:t>oxo</w:t>
      </w:r>
      <w:r w:rsidRPr="003D3DCC">
        <w:rPr>
          <w:rFonts w:ascii="Cambria" w:hAnsi="Cambria"/>
          <w:sz w:val="22"/>
        </w:rPr>
        <w:noBreakHyphen/>
        <w:t>1,4</w:t>
      </w:r>
      <w:r w:rsidRPr="003D3DCC">
        <w:rPr>
          <w:rFonts w:ascii="Cambria" w:hAnsi="Cambria"/>
          <w:sz w:val="22"/>
        </w:rPr>
        <w:noBreakHyphen/>
        <w:t>dihydroquinoline</w:t>
      </w:r>
      <w:r w:rsidRPr="003D3DCC">
        <w:rPr>
          <w:rFonts w:ascii="Cambria" w:hAnsi="Cambria"/>
          <w:sz w:val="22"/>
        </w:rPr>
        <w:noBreakHyphen/>
        <w:t>3</w:t>
      </w:r>
      <w:r w:rsidRPr="003D3DCC">
        <w:rPr>
          <w:rFonts w:ascii="Cambria" w:hAnsi="Cambria"/>
          <w:sz w:val="22"/>
        </w:rPr>
        <w:noBreakHyphen/>
        <w:t>carboxamide</w:t>
      </w:r>
      <w:bookmarkEnd w:id="62"/>
    </w:p>
    <w:p w14:paraId="5400E6F6" w14:textId="77777777" w:rsidR="008C1A5B" w:rsidRDefault="008C1A5B" w:rsidP="000077B8">
      <w:pPr>
        <w:rPr>
          <w:b/>
        </w:rPr>
      </w:pPr>
    </w:p>
    <w:p w14:paraId="41A94AC0" w14:textId="67B9A065" w:rsidR="008C1A5B" w:rsidRPr="00AF1812" w:rsidRDefault="008C1A5B" w:rsidP="000077B8">
      <w:pPr>
        <w:rPr>
          <w:rFonts w:ascii="Cambria" w:hAnsi="Cambria"/>
          <w:b/>
          <w:sz w:val="24"/>
        </w:rPr>
      </w:pPr>
      <w:r w:rsidRPr="00AF1812">
        <w:rPr>
          <w:rFonts w:ascii="Cambria" w:hAnsi="Cambria"/>
          <w:b/>
          <w:sz w:val="24"/>
        </w:rPr>
        <w:t>CAS Number</w:t>
      </w:r>
    </w:p>
    <w:p w14:paraId="31153012" w14:textId="77777777" w:rsidR="00C430CB" w:rsidRDefault="00B879E6" w:rsidP="000077B8">
      <w:pPr>
        <w:rPr>
          <w:rFonts w:ascii="Cambria" w:hAnsi="Cambria"/>
        </w:rPr>
      </w:pPr>
      <w:r w:rsidRPr="00D74967">
        <w:rPr>
          <w:rFonts w:ascii="Cambria" w:hAnsi="Cambria"/>
        </w:rPr>
        <w:t xml:space="preserve">Elexacaftor: </w:t>
      </w:r>
      <w:r w:rsidR="003B7FDF" w:rsidRPr="00594C2B">
        <w:rPr>
          <w:rFonts w:ascii="Cambria" w:hAnsi="Cambria"/>
        </w:rPr>
        <w:t>2216712-66-0</w:t>
      </w:r>
      <w:bookmarkStart w:id="63" w:name="_Hlk24719346"/>
    </w:p>
    <w:p w14:paraId="29329EB8" w14:textId="0A5319E6" w:rsidR="00F062A0" w:rsidRPr="003D3DCC" w:rsidRDefault="00F062A0" w:rsidP="000077B8">
      <w:pPr>
        <w:rPr>
          <w:rFonts w:ascii="Cambria" w:hAnsi="Cambria"/>
        </w:rPr>
      </w:pPr>
      <w:r w:rsidRPr="003D3DCC">
        <w:rPr>
          <w:rFonts w:ascii="Cambria" w:hAnsi="Cambria"/>
        </w:rPr>
        <w:t xml:space="preserve">Tezacaftor: </w:t>
      </w:r>
      <w:r w:rsidR="00EB1AEC" w:rsidRPr="003D3DCC">
        <w:rPr>
          <w:rFonts w:ascii="Cambria" w:hAnsi="Cambria"/>
        </w:rPr>
        <w:t>1152311-62-0</w:t>
      </w:r>
    </w:p>
    <w:bookmarkEnd w:id="63"/>
    <w:p w14:paraId="660E22F1" w14:textId="64C4FC50" w:rsidR="00A027C9" w:rsidRPr="00F05B0A" w:rsidRDefault="00EB1AEC" w:rsidP="000077B8">
      <w:pPr>
        <w:rPr>
          <w:rFonts w:ascii="Cambria" w:hAnsi="Cambria"/>
        </w:rPr>
      </w:pPr>
      <w:r w:rsidRPr="003D3DCC">
        <w:rPr>
          <w:rFonts w:ascii="Cambria" w:hAnsi="Cambria"/>
        </w:rPr>
        <w:t>Ivacaftor: 873054-44-5</w:t>
      </w:r>
    </w:p>
    <w:p w14:paraId="574B2CA4" w14:textId="77777777" w:rsidR="008C1A5B" w:rsidRDefault="008C1A5B" w:rsidP="000077B8">
      <w:pPr>
        <w:rPr>
          <w:b/>
        </w:rPr>
      </w:pPr>
    </w:p>
    <w:p w14:paraId="79FC6345" w14:textId="4A6CB2BC" w:rsidR="008C1A5B" w:rsidRPr="000077B8" w:rsidRDefault="008C1A5B" w:rsidP="00F120AA">
      <w:pPr>
        <w:pStyle w:val="Heading1"/>
        <w:pageBreakBefore/>
        <w:ind w:left="431" w:hanging="431"/>
        <w:rPr>
          <w:rFonts w:ascii="Cambria" w:hAnsi="Cambria"/>
          <w:sz w:val="24"/>
          <w:szCs w:val="24"/>
        </w:rPr>
      </w:pPr>
      <w:r w:rsidRPr="000077B8">
        <w:rPr>
          <w:rFonts w:ascii="Cambria" w:hAnsi="Cambria"/>
          <w:sz w:val="24"/>
          <w:szCs w:val="24"/>
        </w:rPr>
        <w:t>MEDICINE SCHEDULE (POISONS STANDARD)</w:t>
      </w:r>
    </w:p>
    <w:p w14:paraId="112B6FCC" w14:textId="77777777" w:rsidR="008C1A5B" w:rsidRDefault="008C1A5B" w:rsidP="000077B8"/>
    <w:p w14:paraId="03509639" w14:textId="3674F6F5" w:rsidR="008C1A5B" w:rsidRDefault="008C1A5B" w:rsidP="008C1A5B">
      <w:pPr>
        <w:rPr>
          <w:rFonts w:ascii="Cambria" w:hAnsi="Cambria"/>
        </w:rPr>
      </w:pPr>
      <w:r w:rsidRPr="00FB7A57">
        <w:rPr>
          <w:rFonts w:ascii="Cambria" w:hAnsi="Cambria"/>
        </w:rPr>
        <w:t>Schedule 4</w:t>
      </w:r>
    </w:p>
    <w:p w14:paraId="0D472677" w14:textId="77777777" w:rsidR="00DB1D5B" w:rsidRDefault="00DB1D5B" w:rsidP="008C1A5B"/>
    <w:p w14:paraId="4032E7F3" w14:textId="7BF93209" w:rsidR="008C1A5B" w:rsidRDefault="008C1A5B" w:rsidP="000077B8">
      <w:pPr>
        <w:pStyle w:val="Heading1"/>
        <w:rPr>
          <w:rFonts w:ascii="Cambria" w:hAnsi="Cambria"/>
          <w:sz w:val="24"/>
          <w:szCs w:val="24"/>
        </w:rPr>
      </w:pPr>
      <w:r w:rsidRPr="000077B8">
        <w:rPr>
          <w:rFonts w:ascii="Cambria" w:hAnsi="Cambria"/>
          <w:sz w:val="24"/>
          <w:szCs w:val="24"/>
        </w:rPr>
        <w:t>SPONSOR</w:t>
      </w:r>
    </w:p>
    <w:p w14:paraId="4C401179" w14:textId="77777777" w:rsidR="008C1A5B" w:rsidRDefault="008C1A5B" w:rsidP="000077B8"/>
    <w:p w14:paraId="2BF90909" w14:textId="77777777" w:rsidR="001E6BD8" w:rsidRPr="00FB7A57" w:rsidRDefault="001E6BD8" w:rsidP="001E6BD8">
      <w:pPr>
        <w:rPr>
          <w:rFonts w:ascii="Cambria" w:hAnsi="Cambria"/>
        </w:rPr>
      </w:pPr>
      <w:r w:rsidRPr="00FB7A57">
        <w:rPr>
          <w:rFonts w:ascii="Cambria" w:hAnsi="Cambria"/>
        </w:rPr>
        <w:t>Vertex Pharmaceuticals (Australia) Pty Ltd</w:t>
      </w:r>
    </w:p>
    <w:p w14:paraId="0BDC659B" w14:textId="77777777" w:rsidR="001E6BD8" w:rsidRPr="00FB7A57" w:rsidRDefault="001E6BD8" w:rsidP="001E6BD8">
      <w:pPr>
        <w:rPr>
          <w:rFonts w:ascii="Cambria" w:hAnsi="Cambria"/>
        </w:rPr>
      </w:pPr>
      <w:r w:rsidRPr="00FB7A57">
        <w:rPr>
          <w:rFonts w:ascii="Cambria" w:hAnsi="Cambria"/>
        </w:rPr>
        <w:t>Suite 3, Level 3</w:t>
      </w:r>
    </w:p>
    <w:p w14:paraId="21329BCA" w14:textId="77777777" w:rsidR="001E6BD8" w:rsidRPr="00FB7A57" w:rsidRDefault="001E6BD8" w:rsidP="001E6BD8">
      <w:pPr>
        <w:rPr>
          <w:rFonts w:ascii="Cambria" w:hAnsi="Cambria"/>
        </w:rPr>
      </w:pPr>
      <w:r w:rsidRPr="00FB7A57">
        <w:rPr>
          <w:rFonts w:ascii="Cambria" w:hAnsi="Cambria"/>
        </w:rPr>
        <w:t>601 Pacific Highway</w:t>
      </w:r>
    </w:p>
    <w:p w14:paraId="2D8F5BDE" w14:textId="77777777" w:rsidR="001E6BD8" w:rsidRPr="00FB7A57" w:rsidRDefault="001E6BD8" w:rsidP="001E6BD8">
      <w:pPr>
        <w:rPr>
          <w:rFonts w:ascii="Cambria" w:hAnsi="Cambria"/>
        </w:rPr>
      </w:pPr>
      <w:r w:rsidRPr="00FB7A57">
        <w:rPr>
          <w:rFonts w:ascii="Cambria" w:hAnsi="Cambria"/>
        </w:rPr>
        <w:t>St Leonards,</w:t>
      </w:r>
    </w:p>
    <w:p w14:paraId="6FC41210" w14:textId="77777777" w:rsidR="001E6BD8" w:rsidRPr="00FB7A57" w:rsidRDefault="001E6BD8" w:rsidP="001E6BD8">
      <w:pPr>
        <w:rPr>
          <w:rFonts w:ascii="Cambria" w:hAnsi="Cambria"/>
        </w:rPr>
      </w:pPr>
      <w:r w:rsidRPr="00FB7A57">
        <w:rPr>
          <w:rFonts w:ascii="Cambria" w:hAnsi="Cambria"/>
        </w:rPr>
        <w:t>NSW 2065</w:t>
      </w:r>
    </w:p>
    <w:p w14:paraId="291FE20F" w14:textId="4FF5D56A" w:rsidR="001E6BD8" w:rsidRPr="00FB7A57" w:rsidRDefault="001E6BD8" w:rsidP="001E6BD8">
      <w:pPr>
        <w:rPr>
          <w:rFonts w:ascii="Cambria" w:hAnsi="Cambria"/>
        </w:rPr>
      </w:pPr>
      <w:r w:rsidRPr="00FB7A57">
        <w:rPr>
          <w:rFonts w:ascii="Cambria" w:hAnsi="Cambria"/>
        </w:rPr>
        <w:t>Australia</w:t>
      </w:r>
    </w:p>
    <w:p w14:paraId="17770407" w14:textId="48741406" w:rsidR="005F4CF7" w:rsidRDefault="002258F5" w:rsidP="000077B8">
      <w:pPr>
        <w:rPr>
          <w:rFonts w:ascii="Cambria" w:hAnsi="Cambria"/>
        </w:rPr>
      </w:pPr>
      <w:r w:rsidRPr="002258F5">
        <w:rPr>
          <w:rFonts w:ascii="Cambria" w:hAnsi="Cambria"/>
        </w:rPr>
        <w:t>Telephone: 1800 179 987</w:t>
      </w:r>
    </w:p>
    <w:p w14:paraId="4BE2330B" w14:textId="2F3C1903" w:rsidR="005F4CF7" w:rsidRDefault="00770C2B" w:rsidP="000077B8">
      <w:pPr>
        <w:rPr>
          <w:rFonts w:ascii="Cambria" w:hAnsi="Cambria"/>
        </w:rPr>
      </w:pPr>
      <w:r>
        <w:rPr>
          <w:rFonts w:ascii="Cambria" w:hAnsi="Cambria"/>
        </w:rPr>
        <w:t>e-mail:</w:t>
      </w:r>
      <w:r w:rsidRPr="00770C2B">
        <w:t xml:space="preserve"> </w:t>
      </w:r>
      <w:hyperlink r:id="rId21" w:history="1">
        <w:r w:rsidR="00575C04" w:rsidRPr="00575C04">
          <w:rPr>
            <w:rStyle w:val="Hyperlink"/>
            <w:rFonts w:eastAsiaTheme="majorEastAsia"/>
          </w:rPr>
          <w:t>VertexMedicalInfo@vrtx.com</w:t>
        </w:r>
      </w:hyperlink>
    </w:p>
    <w:p w14:paraId="0B92C485" w14:textId="77777777" w:rsidR="00770C2B" w:rsidRPr="00F05B0A" w:rsidRDefault="00770C2B" w:rsidP="000077B8">
      <w:pPr>
        <w:rPr>
          <w:rFonts w:ascii="Cambria" w:hAnsi="Cambria"/>
        </w:rPr>
      </w:pPr>
    </w:p>
    <w:p w14:paraId="5DE5551A" w14:textId="438E2C8F" w:rsidR="000077B8" w:rsidRDefault="000077B8" w:rsidP="000077B8">
      <w:pPr>
        <w:pStyle w:val="Heading1"/>
        <w:rPr>
          <w:rFonts w:ascii="Cambria" w:hAnsi="Cambria"/>
          <w:sz w:val="24"/>
          <w:szCs w:val="24"/>
        </w:rPr>
      </w:pPr>
      <w:r w:rsidRPr="000077B8">
        <w:rPr>
          <w:rFonts w:ascii="Cambria" w:hAnsi="Cambria"/>
          <w:sz w:val="24"/>
          <w:szCs w:val="24"/>
        </w:rPr>
        <w:t>DATE OF FIRST APPROVAL (ARTG ENTRY)</w:t>
      </w:r>
    </w:p>
    <w:p w14:paraId="77B05A89" w14:textId="3FD39003" w:rsidR="000077B8" w:rsidRDefault="000077B8" w:rsidP="000077B8"/>
    <w:p w14:paraId="324899EF" w14:textId="5ED3E054" w:rsidR="00BB1CB7" w:rsidRPr="00173935" w:rsidRDefault="00173935" w:rsidP="000077B8">
      <w:pPr>
        <w:rPr>
          <w:rFonts w:ascii="Cambria" w:hAnsi="Cambria"/>
        </w:rPr>
      </w:pPr>
      <w:r w:rsidRPr="00173935">
        <w:rPr>
          <w:rFonts w:ascii="Cambria" w:hAnsi="Cambria"/>
        </w:rPr>
        <w:t>24 March 2021</w:t>
      </w:r>
    </w:p>
    <w:p w14:paraId="43023E6A" w14:textId="77777777" w:rsidR="00173935" w:rsidRDefault="00173935" w:rsidP="000077B8"/>
    <w:p w14:paraId="40504E47" w14:textId="4CAA2FDF" w:rsidR="000077B8" w:rsidRDefault="003219CB" w:rsidP="000077B8">
      <w:pPr>
        <w:pStyle w:val="Heading1"/>
        <w:rPr>
          <w:rFonts w:ascii="Cambria" w:hAnsi="Cambria"/>
          <w:sz w:val="24"/>
          <w:szCs w:val="24"/>
        </w:rPr>
      </w:pPr>
      <w:r>
        <w:rPr>
          <w:rFonts w:ascii="Cambria" w:hAnsi="Cambria"/>
          <w:sz w:val="24"/>
          <w:szCs w:val="24"/>
        </w:rPr>
        <w:t>DATE OF REVISION</w:t>
      </w:r>
    </w:p>
    <w:p w14:paraId="310C067A" w14:textId="77777777" w:rsidR="008C1A5B" w:rsidRDefault="008C1A5B" w:rsidP="008C1A5B"/>
    <w:p w14:paraId="0A7DF552" w14:textId="71F74D0E" w:rsidR="00DE08E0" w:rsidRPr="00DE08E0" w:rsidRDefault="00DE08E0" w:rsidP="00B20430">
      <w:pPr>
        <w:pStyle w:val="documenttext"/>
        <w:shd w:val="clear" w:color="auto" w:fill="FFFFFF" w:themeFill="background1"/>
        <w:rPr>
          <w:rFonts w:ascii="Cambria" w:hAnsi="Cambria"/>
        </w:rPr>
      </w:pPr>
    </w:p>
    <w:sectPr w:rsidR="00DE08E0" w:rsidRPr="00DE08E0" w:rsidSect="000E7531">
      <w:headerReference w:type="default" r:id="rId22"/>
      <w:footerReference w:type="default" r:id="rId23"/>
      <w:endnotePr>
        <w:numFmt w:val="decimal"/>
      </w:endnotePr>
      <w:pgSz w:w="11900" w:h="16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5A19" w14:textId="77777777" w:rsidR="00296242" w:rsidRDefault="00296242" w:rsidP="00DE08E0">
      <w:r>
        <w:separator/>
      </w:r>
    </w:p>
  </w:endnote>
  <w:endnote w:type="continuationSeparator" w:id="0">
    <w:p w14:paraId="5DE093FE" w14:textId="77777777" w:rsidR="00296242" w:rsidRDefault="00296242" w:rsidP="00DE08E0">
      <w:r>
        <w:continuationSeparator/>
      </w:r>
    </w:p>
  </w:endnote>
  <w:endnote w:type="continuationNotice" w:id="1">
    <w:p w14:paraId="3AEFCE28" w14:textId="77777777" w:rsidR="00296242" w:rsidRDefault="00296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MS Gothic"/>
    <w:charset w:val="00"/>
    <w:family w:val="roman"/>
    <w:pitch w:val="default"/>
    <w:sig w:usb0="00000001" w:usb1="08070000" w:usb2="00000010" w:usb3="00000000" w:csb0="00020000" w:csb1="00000000"/>
  </w:font>
  <w:font w:name="OTNEJMScalaSansLF">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254375"/>
      <w:docPartObj>
        <w:docPartGallery w:val="Page Numbers (Bottom of Page)"/>
        <w:docPartUnique/>
      </w:docPartObj>
    </w:sdtPr>
    <w:sdtEndPr>
      <w:rPr>
        <w:noProof/>
      </w:rPr>
    </w:sdtEndPr>
    <w:sdtContent>
      <w:p w14:paraId="6A70218B" w14:textId="57B3372A" w:rsidR="00296242" w:rsidRDefault="00296242">
        <w:pPr>
          <w:pStyle w:val="Footer"/>
          <w:jc w:val="center"/>
        </w:pPr>
        <w:r>
          <w:fldChar w:fldCharType="begin"/>
        </w:r>
        <w:r>
          <w:instrText xml:space="preserve"> PAGE   \* MERGEFORMAT </w:instrText>
        </w:r>
        <w:r>
          <w:fldChar w:fldCharType="separate"/>
        </w:r>
        <w:r w:rsidR="00087470">
          <w:rPr>
            <w:noProof/>
          </w:rPr>
          <w:t>27</w:t>
        </w:r>
        <w:r>
          <w:rPr>
            <w:noProof/>
          </w:rPr>
          <w:fldChar w:fldCharType="end"/>
        </w:r>
      </w:p>
    </w:sdtContent>
  </w:sdt>
  <w:p w14:paraId="21AF6748" w14:textId="0D85F00D" w:rsidR="00296242" w:rsidRDefault="00296242" w:rsidP="003368DF">
    <w:pPr>
      <w:pStyle w:val="Footer"/>
    </w:pPr>
    <w:r>
      <w:t>210324 TRIKAFTA Product Information</w:t>
    </w:r>
  </w:p>
  <w:p w14:paraId="204B61C6" w14:textId="03C20741" w:rsidR="00296242" w:rsidRDefault="0029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56CC" w14:textId="77777777" w:rsidR="00296242" w:rsidRDefault="00296242" w:rsidP="00DE08E0">
      <w:r>
        <w:separator/>
      </w:r>
    </w:p>
  </w:footnote>
  <w:footnote w:type="continuationSeparator" w:id="0">
    <w:p w14:paraId="00F25F9B" w14:textId="77777777" w:rsidR="00296242" w:rsidRDefault="00296242" w:rsidP="00DE08E0">
      <w:r>
        <w:continuationSeparator/>
      </w:r>
    </w:p>
  </w:footnote>
  <w:footnote w:type="continuationNotice" w:id="1">
    <w:p w14:paraId="58A8254A" w14:textId="77777777" w:rsidR="00296242" w:rsidRDefault="002962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296242" w:rsidRPr="000B2145" w14:paraId="4E3C9DF9" w14:textId="77777777" w:rsidTr="00296242">
      <w:trPr>
        <w:trHeight w:val="1012"/>
      </w:trPr>
      <w:tc>
        <w:tcPr>
          <w:tcW w:w="8897" w:type="dxa"/>
          <w:shd w:val="clear" w:color="auto" w:fill="E4F2E0"/>
        </w:tcPr>
        <w:p w14:paraId="57B1775A" w14:textId="77777777" w:rsidR="00296242" w:rsidRPr="000B2145" w:rsidRDefault="00296242" w:rsidP="00F120AA">
          <w:pPr>
            <w:pStyle w:val="Footer"/>
            <w:rPr>
              <w:b/>
              <w:sz w:val="18"/>
              <w:szCs w:val="18"/>
            </w:rPr>
          </w:pPr>
          <w:r w:rsidRPr="00EA0C3C">
            <w:rPr>
              <w:b/>
              <w:sz w:val="18"/>
              <w:szCs w:val="18"/>
            </w:rPr>
            <w:t>Attachment 1:</w:t>
          </w:r>
          <w:r w:rsidRPr="004138A5">
            <w:rPr>
              <w:b/>
            </w:rPr>
            <w:t xml:space="preserve"> </w:t>
          </w:r>
          <w:r w:rsidRPr="00FC5D06">
            <w:rPr>
              <w:b/>
            </w:rPr>
            <w:t>AusPAR - Trikafta – elexacaftor/tezacaftor/ivacaftor, and ivacaftor - Vertex Pharmaceuticals (Australia) Pty Ltd - PM-2020-00642-1-5</w:t>
          </w:r>
          <w:r>
            <w:rPr>
              <w:b/>
            </w:rPr>
            <w:t xml:space="preserve"> </w:t>
          </w:r>
          <w:r w:rsidRPr="00FC5D06">
            <w:rPr>
              <w:b/>
            </w:rPr>
            <w:t>Final 18 June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259454D" w14:textId="01B0E2B1" w:rsidR="00296242" w:rsidRDefault="00296242" w:rsidP="00A13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463"/>
    <w:multiLevelType w:val="hybridMultilevel"/>
    <w:tmpl w:val="4FEC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1236"/>
    <w:multiLevelType w:val="multilevel"/>
    <w:tmpl w:val="CC5691B6"/>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76323F"/>
    <w:multiLevelType w:val="multilevel"/>
    <w:tmpl w:val="B68474D2"/>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A6866BC"/>
    <w:multiLevelType w:val="hybridMultilevel"/>
    <w:tmpl w:val="FEE642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7327E41"/>
    <w:multiLevelType w:val="hybridMultilevel"/>
    <w:tmpl w:val="B1267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C4F1B"/>
    <w:multiLevelType w:val="hybridMultilevel"/>
    <w:tmpl w:val="EB3E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52E69"/>
    <w:multiLevelType w:val="hybridMultilevel"/>
    <w:tmpl w:val="4DB2FB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191C8D"/>
    <w:multiLevelType w:val="hybridMultilevel"/>
    <w:tmpl w:val="FEE642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B367768"/>
    <w:multiLevelType w:val="hybridMultilevel"/>
    <w:tmpl w:val="64F8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F0237"/>
    <w:multiLevelType w:val="hybridMultilevel"/>
    <w:tmpl w:val="14A21362"/>
    <w:lvl w:ilvl="0" w:tplc="D578D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26547"/>
    <w:multiLevelType w:val="hybridMultilevel"/>
    <w:tmpl w:val="BC74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12942"/>
    <w:multiLevelType w:val="hybridMultilevel"/>
    <w:tmpl w:val="2648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12101"/>
    <w:multiLevelType w:val="hybridMultilevel"/>
    <w:tmpl w:val="AC1088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6274678"/>
    <w:multiLevelType w:val="hybridMultilevel"/>
    <w:tmpl w:val="7802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C5957"/>
    <w:multiLevelType w:val="hybridMultilevel"/>
    <w:tmpl w:val="6F3CE9E6"/>
    <w:lvl w:ilvl="0" w:tplc="C77EBCC6">
      <w:start w:val="1"/>
      <w:numFmt w:val="decimal"/>
      <w:lvlText w:val="%1."/>
      <w:lvlJc w:val="left"/>
      <w:pPr>
        <w:tabs>
          <w:tab w:val="num" w:pos="720"/>
        </w:tabs>
        <w:ind w:left="720" w:hanging="360"/>
      </w:pPr>
    </w:lvl>
    <w:lvl w:ilvl="1" w:tplc="775688F2" w:tentative="1">
      <w:start w:val="1"/>
      <w:numFmt w:val="decimal"/>
      <w:lvlText w:val="%2."/>
      <w:lvlJc w:val="left"/>
      <w:pPr>
        <w:tabs>
          <w:tab w:val="num" w:pos="1440"/>
        </w:tabs>
        <w:ind w:left="1440" w:hanging="360"/>
      </w:pPr>
    </w:lvl>
    <w:lvl w:ilvl="2" w:tplc="1EA878DE" w:tentative="1">
      <w:start w:val="1"/>
      <w:numFmt w:val="decimal"/>
      <w:lvlText w:val="%3."/>
      <w:lvlJc w:val="left"/>
      <w:pPr>
        <w:tabs>
          <w:tab w:val="num" w:pos="2160"/>
        </w:tabs>
        <w:ind w:left="2160" w:hanging="360"/>
      </w:pPr>
    </w:lvl>
    <w:lvl w:ilvl="3" w:tplc="383600EA" w:tentative="1">
      <w:start w:val="1"/>
      <w:numFmt w:val="decimal"/>
      <w:lvlText w:val="%4."/>
      <w:lvlJc w:val="left"/>
      <w:pPr>
        <w:tabs>
          <w:tab w:val="num" w:pos="2880"/>
        </w:tabs>
        <w:ind w:left="2880" w:hanging="360"/>
      </w:pPr>
    </w:lvl>
    <w:lvl w:ilvl="4" w:tplc="5D445B9C" w:tentative="1">
      <w:start w:val="1"/>
      <w:numFmt w:val="decimal"/>
      <w:lvlText w:val="%5."/>
      <w:lvlJc w:val="left"/>
      <w:pPr>
        <w:tabs>
          <w:tab w:val="num" w:pos="3600"/>
        </w:tabs>
        <w:ind w:left="3600" w:hanging="360"/>
      </w:pPr>
    </w:lvl>
    <w:lvl w:ilvl="5" w:tplc="0BC850D6" w:tentative="1">
      <w:start w:val="1"/>
      <w:numFmt w:val="decimal"/>
      <w:lvlText w:val="%6."/>
      <w:lvlJc w:val="left"/>
      <w:pPr>
        <w:tabs>
          <w:tab w:val="num" w:pos="4320"/>
        </w:tabs>
        <w:ind w:left="4320" w:hanging="360"/>
      </w:pPr>
    </w:lvl>
    <w:lvl w:ilvl="6" w:tplc="B328A734" w:tentative="1">
      <w:start w:val="1"/>
      <w:numFmt w:val="decimal"/>
      <w:lvlText w:val="%7."/>
      <w:lvlJc w:val="left"/>
      <w:pPr>
        <w:tabs>
          <w:tab w:val="num" w:pos="5040"/>
        </w:tabs>
        <w:ind w:left="5040" w:hanging="360"/>
      </w:pPr>
    </w:lvl>
    <w:lvl w:ilvl="7" w:tplc="E17A8794" w:tentative="1">
      <w:start w:val="1"/>
      <w:numFmt w:val="decimal"/>
      <w:lvlText w:val="%8."/>
      <w:lvlJc w:val="left"/>
      <w:pPr>
        <w:tabs>
          <w:tab w:val="num" w:pos="5760"/>
        </w:tabs>
        <w:ind w:left="5760" w:hanging="360"/>
      </w:pPr>
    </w:lvl>
    <w:lvl w:ilvl="8" w:tplc="D7403608" w:tentative="1">
      <w:start w:val="1"/>
      <w:numFmt w:val="decimal"/>
      <w:lvlText w:val="%9."/>
      <w:lvlJc w:val="left"/>
      <w:pPr>
        <w:tabs>
          <w:tab w:val="num" w:pos="6480"/>
        </w:tabs>
        <w:ind w:left="6480" w:hanging="360"/>
      </w:pPr>
    </w:lvl>
  </w:abstractNum>
  <w:abstractNum w:abstractNumId="15" w15:restartNumberingAfterBreak="0">
    <w:nsid w:val="4A542D06"/>
    <w:multiLevelType w:val="hybridMultilevel"/>
    <w:tmpl w:val="15801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AF1087"/>
    <w:multiLevelType w:val="hybridMultilevel"/>
    <w:tmpl w:val="8084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11B55"/>
    <w:multiLevelType w:val="hybridMultilevel"/>
    <w:tmpl w:val="4B80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0553"/>
    <w:multiLevelType w:val="hybridMultilevel"/>
    <w:tmpl w:val="38A4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483D"/>
    <w:multiLevelType w:val="hybridMultilevel"/>
    <w:tmpl w:val="377C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6E1B6B"/>
    <w:multiLevelType w:val="hybridMultilevel"/>
    <w:tmpl w:val="25A474AE"/>
    <w:lvl w:ilvl="0" w:tplc="16CE450E">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F1D1E"/>
    <w:multiLevelType w:val="hybridMultilevel"/>
    <w:tmpl w:val="57F6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82CDA"/>
    <w:multiLevelType w:val="hybridMultilevel"/>
    <w:tmpl w:val="8C26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B7F1D"/>
    <w:multiLevelType w:val="hybridMultilevel"/>
    <w:tmpl w:val="A34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DF20D6"/>
    <w:multiLevelType w:val="hybridMultilevel"/>
    <w:tmpl w:val="B7B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613C2"/>
    <w:multiLevelType w:val="hybridMultilevel"/>
    <w:tmpl w:val="13E24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3604A"/>
    <w:multiLevelType w:val="hybridMultilevel"/>
    <w:tmpl w:val="72BA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665CF"/>
    <w:multiLevelType w:val="hybridMultilevel"/>
    <w:tmpl w:val="6E842B4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4B6A03"/>
    <w:multiLevelType w:val="hybridMultilevel"/>
    <w:tmpl w:val="44525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80348"/>
    <w:multiLevelType w:val="hybridMultilevel"/>
    <w:tmpl w:val="088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262B5"/>
    <w:multiLevelType w:val="hybridMultilevel"/>
    <w:tmpl w:val="FAB4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D5130"/>
    <w:multiLevelType w:val="hybridMultilevel"/>
    <w:tmpl w:val="DD18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76ED4"/>
    <w:multiLevelType w:val="hybridMultilevel"/>
    <w:tmpl w:val="1E46E4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D11763"/>
    <w:multiLevelType w:val="hybridMultilevel"/>
    <w:tmpl w:val="E99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65DC2"/>
    <w:multiLevelType w:val="hybridMultilevel"/>
    <w:tmpl w:val="2AF8D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718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24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3361EBE"/>
    <w:multiLevelType w:val="hybridMultilevel"/>
    <w:tmpl w:val="4F909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FC03CB"/>
    <w:multiLevelType w:val="hybridMultilevel"/>
    <w:tmpl w:val="9B80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35D1F"/>
    <w:multiLevelType w:val="hybridMultilevel"/>
    <w:tmpl w:val="5C7A0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1"/>
  </w:num>
  <w:num w:numId="4">
    <w:abstractNumId w:val="25"/>
  </w:num>
  <w:num w:numId="5">
    <w:abstractNumId w:val="16"/>
  </w:num>
  <w:num w:numId="6">
    <w:abstractNumId w:val="9"/>
  </w:num>
  <w:num w:numId="7">
    <w:abstractNumId w:val="13"/>
  </w:num>
  <w:num w:numId="8">
    <w:abstractNumId w:val="15"/>
  </w:num>
  <w:num w:numId="9">
    <w:abstractNumId w:val="22"/>
  </w:num>
  <w:num w:numId="10">
    <w:abstractNumId w:val="0"/>
  </w:num>
  <w:num w:numId="11">
    <w:abstractNumId w:val="29"/>
  </w:num>
  <w:num w:numId="12">
    <w:abstractNumId w:val="32"/>
  </w:num>
  <w:num w:numId="13">
    <w:abstractNumId w:val="10"/>
  </w:num>
  <w:num w:numId="14">
    <w:abstractNumId w:val="6"/>
  </w:num>
  <w:num w:numId="15">
    <w:abstractNumId w:val="24"/>
  </w:num>
  <w:num w:numId="16">
    <w:abstractNumId w:val="31"/>
  </w:num>
  <w:num w:numId="17">
    <w:abstractNumId w:val="34"/>
  </w:num>
  <w:num w:numId="18">
    <w:abstractNumId w:val="4"/>
  </w:num>
  <w:num w:numId="19">
    <w:abstractNumId w:val="37"/>
  </w:num>
  <w:num w:numId="20">
    <w:abstractNumId w:val="11"/>
  </w:num>
  <w:num w:numId="21">
    <w:abstractNumId w:val="28"/>
  </w:num>
  <w:num w:numId="22">
    <w:abstractNumId w:val="30"/>
  </w:num>
  <w:num w:numId="23">
    <w:abstractNumId w:val="18"/>
  </w:num>
  <w:num w:numId="24">
    <w:abstractNumId w:val="35"/>
  </w:num>
  <w:num w:numId="25">
    <w:abstractNumId w:val="20"/>
  </w:num>
  <w:num w:numId="26">
    <w:abstractNumId w:val="19"/>
  </w:num>
  <w:num w:numId="27">
    <w:abstractNumId w:val="36"/>
  </w:num>
  <w:num w:numId="28">
    <w:abstractNumId w:val="26"/>
  </w:num>
  <w:num w:numId="29">
    <w:abstractNumId w:val="23"/>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7"/>
  </w:num>
  <w:num w:numId="34">
    <w:abstractNumId w:val="27"/>
  </w:num>
  <w:num w:numId="35">
    <w:abstractNumId w:val="38"/>
  </w:num>
  <w:num w:numId="36">
    <w:abstractNumId w:val="5"/>
  </w:num>
  <w:num w:numId="37">
    <w:abstractNumId w:val="3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7"/>
  </w:num>
  <w:num w:numId="41">
    <w:abstractNumId w:val="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E0"/>
    <w:rsid w:val="0000211C"/>
    <w:rsid w:val="00002BAF"/>
    <w:rsid w:val="00003273"/>
    <w:rsid w:val="00005079"/>
    <w:rsid w:val="000059C1"/>
    <w:rsid w:val="0000607F"/>
    <w:rsid w:val="000067B2"/>
    <w:rsid w:val="000077B8"/>
    <w:rsid w:val="00015A49"/>
    <w:rsid w:val="00015F80"/>
    <w:rsid w:val="000161DE"/>
    <w:rsid w:val="000231E1"/>
    <w:rsid w:val="000255FA"/>
    <w:rsid w:val="00030520"/>
    <w:rsid w:val="00030750"/>
    <w:rsid w:val="000316AD"/>
    <w:rsid w:val="00035331"/>
    <w:rsid w:val="000415EA"/>
    <w:rsid w:val="00041F28"/>
    <w:rsid w:val="00044536"/>
    <w:rsid w:val="000456A4"/>
    <w:rsid w:val="00050003"/>
    <w:rsid w:val="0005026B"/>
    <w:rsid w:val="000503B9"/>
    <w:rsid w:val="00050C71"/>
    <w:rsid w:val="000514F5"/>
    <w:rsid w:val="00052B10"/>
    <w:rsid w:val="00053C6F"/>
    <w:rsid w:val="000545FA"/>
    <w:rsid w:val="00054F48"/>
    <w:rsid w:val="00055F76"/>
    <w:rsid w:val="000609ED"/>
    <w:rsid w:val="00065733"/>
    <w:rsid w:val="000659AF"/>
    <w:rsid w:val="00072587"/>
    <w:rsid w:val="000727E5"/>
    <w:rsid w:val="0007368A"/>
    <w:rsid w:val="00073B86"/>
    <w:rsid w:val="00073DFB"/>
    <w:rsid w:val="0007431D"/>
    <w:rsid w:val="0007438B"/>
    <w:rsid w:val="00075B42"/>
    <w:rsid w:val="000769CF"/>
    <w:rsid w:val="00077B53"/>
    <w:rsid w:val="00080820"/>
    <w:rsid w:val="00081F9E"/>
    <w:rsid w:val="00082813"/>
    <w:rsid w:val="00082ECA"/>
    <w:rsid w:val="00083424"/>
    <w:rsid w:val="0008448C"/>
    <w:rsid w:val="00084731"/>
    <w:rsid w:val="00084CB3"/>
    <w:rsid w:val="000852F8"/>
    <w:rsid w:val="0008567C"/>
    <w:rsid w:val="00086225"/>
    <w:rsid w:val="00087470"/>
    <w:rsid w:val="0009039B"/>
    <w:rsid w:val="000911D5"/>
    <w:rsid w:val="00092769"/>
    <w:rsid w:val="00092DB4"/>
    <w:rsid w:val="00093EB4"/>
    <w:rsid w:val="00094456"/>
    <w:rsid w:val="00094EC0"/>
    <w:rsid w:val="00097EF0"/>
    <w:rsid w:val="000A0504"/>
    <w:rsid w:val="000A0879"/>
    <w:rsid w:val="000A0A6C"/>
    <w:rsid w:val="000A339A"/>
    <w:rsid w:val="000A4A11"/>
    <w:rsid w:val="000A5C8E"/>
    <w:rsid w:val="000A5FFA"/>
    <w:rsid w:val="000A61A5"/>
    <w:rsid w:val="000A6C1B"/>
    <w:rsid w:val="000A6D85"/>
    <w:rsid w:val="000B29FD"/>
    <w:rsid w:val="000B426A"/>
    <w:rsid w:val="000B443B"/>
    <w:rsid w:val="000B5BC4"/>
    <w:rsid w:val="000B6CDC"/>
    <w:rsid w:val="000C0637"/>
    <w:rsid w:val="000C3144"/>
    <w:rsid w:val="000C3461"/>
    <w:rsid w:val="000D1B9B"/>
    <w:rsid w:val="000D25E6"/>
    <w:rsid w:val="000D2789"/>
    <w:rsid w:val="000D33BD"/>
    <w:rsid w:val="000D3D15"/>
    <w:rsid w:val="000D7442"/>
    <w:rsid w:val="000D7BB6"/>
    <w:rsid w:val="000E0648"/>
    <w:rsid w:val="000E1504"/>
    <w:rsid w:val="000E2DA1"/>
    <w:rsid w:val="000E482E"/>
    <w:rsid w:val="000E525A"/>
    <w:rsid w:val="000E6601"/>
    <w:rsid w:val="000E7531"/>
    <w:rsid w:val="000F1B98"/>
    <w:rsid w:val="000F209F"/>
    <w:rsid w:val="000F2DB9"/>
    <w:rsid w:val="000F303E"/>
    <w:rsid w:val="000F38FD"/>
    <w:rsid w:val="000F7101"/>
    <w:rsid w:val="000F7BD3"/>
    <w:rsid w:val="000F7FD6"/>
    <w:rsid w:val="0010027D"/>
    <w:rsid w:val="00100493"/>
    <w:rsid w:val="00102650"/>
    <w:rsid w:val="00102FA8"/>
    <w:rsid w:val="0010416B"/>
    <w:rsid w:val="00105188"/>
    <w:rsid w:val="001051D7"/>
    <w:rsid w:val="001058D5"/>
    <w:rsid w:val="001127B3"/>
    <w:rsid w:val="00114971"/>
    <w:rsid w:val="001165FA"/>
    <w:rsid w:val="00120B05"/>
    <w:rsid w:val="00121BB7"/>
    <w:rsid w:val="00123E92"/>
    <w:rsid w:val="00124E48"/>
    <w:rsid w:val="00126319"/>
    <w:rsid w:val="001265F8"/>
    <w:rsid w:val="001268D9"/>
    <w:rsid w:val="00130D7B"/>
    <w:rsid w:val="0013264C"/>
    <w:rsid w:val="00134CC5"/>
    <w:rsid w:val="00134F0D"/>
    <w:rsid w:val="0013527A"/>
    <w:rsid w:val="00136ED7"/>
    <w:rsid w:val="001376D1"/>
    <w:rsid w:val="00140C00"/>
    <w:rsid w:val="001424E4"/>
    <w:rsid w:val="0014359E"/>
    <w:rsid w:val="00144EDE"/>
    <w:rsid w:val="001451A6"/>
    <w:rsid w:val="00146B43"/>
    <w:rsid w:val="00151098"/>
    <w:rsid w:val="00152C92"/>
    <w:rsid w:val="001534AB"/>
    <w:rsid w:val="00153BFF"/>
    <w:rsid w:val="00153E38"/>
    <w:rsid w:val="0015672A"/>
    <w:rsid w:val="00157EA9"/>
    <w:rsid w:val="00162BC9"/>
    <w:rsid w:val="00162D78"/>
    <w:rsid w:val="00167F7E"/>
    <w:rsid w:val="00171476"/>
    <w:rsid w:val="00173935"/>
    <w:rsid w:val="00173BAC"/>
    <w:rsid w:val="00174D80"/>
    <w:rsid w:val="0017649E"/>
    <w:rsid w:val="001809EE"/>
    <w:rsid w:val="001834B8"/>
    <w:rsid w:val="00187618"/>
    <w:rsid w:val="00190E02"/>
    <w:rsid w:val="00193144"/>
    <w:rsid w:val="001932EE"/>
    <w:rsid w:val="00196203"/>
    <w:rsid w:val="001A3DC7"/>
    <w:rsid w:val="001A50F8"/>
    <w:rsid w:val="001A54E4"/>
    <w:rsid w:val="001B0989"/>
    <w:rsid w:val="001B1743"/>
    <w:rsid w:val="001B310F"/>
    <w:rsid w:val="001B3237"/>
    <w:rsid w:val="001B3CCB"/>
    <w:rsid w:val="001B511D"/>
    <w:rsid w:val="001B5530"/>
    <w:rsid w:val="001B58CA"/>
    <w:rsid w:val="001C090A"/>
    <w:rsid w:val="001C3521"/>
    <w:rsid w:val="001C5094"/>
    <w:rsid w:val="001C78B8"/>
    <w:rsid w:val="001D0A22"/>
    <w:rsid w:val="001D180F"/>
    <w:rsid w:val="001D3810"/>
    <w:rsid w:val="001D4ABC"/>
    <w:rsid w:val="001D4C97"/>
    <w:rsid w:val="001D4CB2"/>
    <w:rsid w:val="001D6E25"/>
    <w:rsid w:val="001D6E2E"/>
    <w:rsid w:val="001D7248"/>
    <w:rsid w:val="001E5CFB"/>
    <w:rsid w:val="001E679B"/>
    <w:rsid w:val="001E6BD8"/>
    <w:rsid w:val="001E6E8F"/>
    <w:rsid w:val="001F0175"/>
    <w:rsid w:val="001F1F76"/>
    <w:rsid w:val="001F3BB3"/>
    <w:rsid w:val="001F4941"/>
    <w:rsid w:val="001F5229"/>
    <w:rsid w:val="001F5435"/>
    <w:rsid w:val="001F7B54"/>
    <w:rsid w:val="00200C25"/>
    <w:rsid w:val="00200F80"/>
    <w:rsid w:val="00203553"/>
    <w:rsid w:val="00206AC9"/>
    <w:rsid w:val="00210887"/>
    <w:rsid w:val="00210B8A"/>
    <w:rsid w:val="00211519"/>
    <w:rsid w:val="00212848"/>
    <w:rsid w:val="00212D40"/>
    <w:rsid w:val="00213A09"/>
    <w:rsid w:val="00221E10"/>
    <w:rsid w:val="00224A5A"/>
    <w:rsid w:val="002258F5"/>
    <w:rsid w:val="00227723"/>
    <w:rsid w:val="00227F8C"/>
    <w:rsid w:val="002314F1"/>
    <w:rsid w:val="00232AEF"/>
    <w:rsid w:val="00233635"/>
    <w:rsid w:val="00234441"/>
    <w:rsid w:val="002358B0"/>
    <w:rsid w:val="00235F21"/>
    <w:rsid w:val="0023654F"/>
    <w:rsid w:val="0023690A"/>
    <w:rsid w:val="00236FC1"/>
    <w:rsid w:val="00237633"/>
    <w:rsid w:val="0024000E"/>
    <w:rsid w:val="00240056"/>
    <w:rsid w:val="00240796"/>
    <w:rsid w:val="002408DE"/>
    <w:rsid w:val="00242BB6"/>
    <w:rsid w:val="00244F7F"/>
    <w:rsid w:val="002455C1"/>
    <w:rsid w:val="002472CB"/>
    <w:rsid w:val="0024734E"/>
    <w:rsid w:val="00250330"/>
    <w:rsid w:val="00253BFF"/>
    <w:rsid w:val="00254E27"/>
    <w:rsid w:val="00254FF7"/>
    <w:rsid w:val="0026077A"/>
    <w:rsid w:val="002643EF"/>
    <w:rsid w:val="002653EF"/>
    <w:rsid w:val="002679C0"/>
    <w:rsid w:val="00267EE6"/>
    <w:rsid w:val="002715F4"/>
    <w:rsid w:val="002717D2"/>
    <w:rsid w:val="002721BF"/>
    <w:rsid w:val="00273DDB"/>
    <w:rsid w:val="00274F67"/>
    <w:rsid w:val="00276EC5"/>
    <w:rsid w:val="00281D45"/>
    <w:rsid w:val="00281FAD"/>
    <w:rsid w:val="002825AE"/>
    <w:rsid w:val="0028349A"/>
    <w:rsid w:val="002838B6"/>
    <w:rsid w:val="00290F27"/>
    <w:rsid w:val="00291B05"/>
    <w:rsid w:val="00291E0A"/>
    <w:rsid w:val="00291FE8"/>
    <w:rsid w:val="002937C8"/>
    <w:rsid w:val="00294F9B"/>
    <w:rsid w:val="0029543A"/>
    <w:rsid w:val="00296242"/>
    <w:rsid w:val="00296A66"/>
    <w:rsid w:val="00297FDD"/>
    <w:rsid w:val="002A1AF8"/>
    <w:rsid w:val="002A1B98"/>
    <w:rsid w:val="002A2B90"/>
    <w:rsid w:val="002A3388"/>
    <w:rsid w:val="002A42D6"/>
    <w:rsid w:val="002A4CCE"/>
    <w:rsid w:val="002A539B"/>
    <w:rsid w:val="002B0542"/>
    <w:rsid w:val="002B17D4"/>
    <w:rsid w:val="002B348D"/>
    <w:rsid w:val="002B3E91"/>
    <w:rsid w:val="002B4079"/>
    <w:rsid w:val="002B49CC"/>
    <w:rsid w:val="002B6111"/>
    <w:rsid w:val="002B62F6"/>
    <w:rsid w:val="002C065D"/>
    <w:rsid w:val="002C2BE1"/>
    <w:rsid w:val="002C3C82"/>
    <w:rsid w:val="002C4C92"/>
    <w:rsid w:val="002C5850"/>
    <w:rsid w:val="002D0ED9"/>
    <w:rsid w:val="002D1069"/>
    <w:rsid w:val="002D7004"/>
    <w:rsid w:val="002E0B54"/>
    <w:rsid w:val="002E0F15"/>
    <w:rsid w:val="002E3A15"/>
    <w:rsid w:val="002E4B4B"/>
    <w:rsid w:val="002E519B"/>
    <w:rsid w:val="002E6B04"/>
    <w:rsid w:val="002F1B04"/>
    <w:rsid w:val="002F3157"/>
    <w:rsid w:val="002F3B26"/>
    <w:rsid w:val="002F4362"/>
    <w:rsid w:val="002F6183"/>
    <w:rsid w:val="002F7F4E"/>
    <w:rsid w:val="003037BB"/>
    <w:rsid w:val="00303A11"/>
    <w:rsid w:val="00303F46"/>
    <w:rsid w:val="00305A74"/>
    <w:rsid w:val="00306619"/>
    <w:rsid w:val="0030683E"/>
    <w:rsid w:val="00307BF9"/>
    <w:rsid w:val="00311A87"/>
    <w:rsid w:val="00311D48"/>
    <w:rsid w:val="00314263"/>
    <w:rsid w:val="00314566"/>
    <w:rsid w:val="00315A34"/>
    <w:rsid w:val="00320C69"/>
    <w:rsid w:val="003218F4"/>
    <w:rsid w:val="003219CB"/>
    <w:rsid w:val="00321D96"/>
    <w:rsid w:val="003228C8"/>
    <w:rsid w:val="0032381C"/>
    <w:rsid w:val="003273B5"/>
    <w:rsid w:val="00330A6D"/>
    <w:rsid w:val="00331FB5"/>
    <w:rsid w:val="0033490A"/>
    <w:rsid w:val="00335463"/>
    <w:rsid w:val="003368DF"/>
    <w:rsid w:val="00340351"/>
    <w:rsid w:val="00340747"/>
    <w:rsid w:val="003429A6"/>
    <w:rsid w:val="00343875"/>
    <w:rsid w:val="0034613B"/>
    <w:rsid w:val="00346F1B"/>
    <w:rsid w:val="00357F0A"/>
    <w:rsid w:val="00360B78"/>
    <w:rsid w:val="00362F43"/>
    <w:rsid w:val="003647DB"/>
    <w:rsid w:val="003676E1"/>
    <w:rsid w:val="003708DD"/>
    <w:rsid w:val="00371220"/>
    <w:rsid w:val="003715A9"/>
    <w:rsid w:val="0037211C"/>
    <w:rsid w:val="00372165"/>
    <w:rsid w:val="00372969"/>
    <w:rsid w:val="003735A2"/>
    <w:rsid w:val="003815E7"/>
    <w:rsid w:val="00381F71"/>
    <w:rsid w:val="00383EBC"/>
    <w:rsid w:val="00384C27"/>
    <w:rsid w:val="0038515B"/>
    <w:rsid w:val="003853C5"/>
    <w:rsid w:val="00385E83"/>
    <w:rsid w:val="00387C54"/>
    <w:rsid w:val="00390958"/>
    <w:rsid w:val="00390B51"/>
    <w:rsid w:val="00392E1A"/>
    <w:rsid w:val="00393F1C"/>
    <w:rsid w:val="003941A4"/>
    <w:rsid w:val="0039463D"/>
    <w:rsid w:val="00395407"/>
    <w:rsid w:val="00396EB9"/>
    <w:rsid w:val="003A01B3"/>
    <w:rsid w:val="003A08A3"/>
    <w:rsid w:val="003A10DB"/>
    <w:rsid w:val="003A179F"/>
    <w:rsid w:val="003A1CEF"/>
    <w:rsid w:val="003A3606"/>
    <w:rsid w:val="003A7C83"/>
    <w:rsid w:val="003B014A"/>
    <w:rsid w:val="003B22AD"/>
    <w:rsid w:val="003B22C7"/>
    <w:rsid w:val="003B26BD"/>
    <w:rsid w:val="003B48FF"/>
    <w:rsid w:val="003B4A13"/>
    <w:rsid w:val="003B698B"/>
    <w:rsid w:val="003B7FDF"/>
    <w:rsid w:val="003C29B7"/>
    <w:rsid w:val="003D0B94"/>
    <w:rsid w:val="003D0FA1"/>
    <w:rsid w:val="003D174B"/>
    <w:rsid w:val="003D224D"/>
    <w:rsid w:val="003D32B9"/>
    <w:rsid w:val="003D3D60"/>
    <w:rsid w:val="003D3DCC"/>
    <w:rsid w:val="003D4340"/>
    <w:rsid w:val="003D4844"/>
    <w:rsid w:val="003D6B65"/>
    <w:rsid w:val="003D6C5D"/>
    <w:rsid w:val="003D6F12"/>
    <w:rsid w:val="003D7E15"/>
    <w:rsid w:val="003E2AB2"/>
    <w:rsid w:val="003E456A"/>
    <w:rsid w:val="003E577E"/>
    <w:rsid w:val="003E7CD0"/>
    <w:rsid w:val="003F2FC8"/>
    <w:rsid w:val="003F55E5"/>
    <w:rsid w:val="003F5687"/>
    <w:rsid w:val="00400A55"/>
    <w:rsid w:val="00402645"/>
    <w:rsid w:val="00402CB6"/>
    <w:rsid w:val="00403623"/>
    <w:rsid w:val="00404297"/>
    <w:rsid w:val="00404B44"/>
    <w:rsid w:val="0040673F"/>
    <w:rsid w:val="004072AC"/>
    <w:rsid w:val="00407638"/>
    <w:rsid w:val="0040778C"/>
    <w:rsid w:val="004105EC"/>
    <w:rsid w:val="00411845"/>
    <w:rsid w:val="00411C9E"/>
    <w:rsid w:val="00412160"/>
    <w:rsid w:val="004142CC"/>
    <w:rsid w:val="004150CF"/>
    <w:rsid w:val="0041549D"/>
    <w:rsid w:val="00416729"/>
    <w:rsid w:val="004203C5"/>
    <w:rsid w:val="0042067A"/>
    <w:rsid w:val="004232D7"/>
    <w:rsid w:val="00430B9B"/>
    <w:rsid w:val="004436DA"/>
    <w:rsid w:val="0044396D"/>
    <w:rsid w:val="00443A55"/>
    <w:rsid w:val="00446F28"/>
    <w:rsid w:val="00451388"/>
    <w:rsid w:val="00452D32"/>
    <w:rsid w:val="00457533"/>
    <w:rsid w:val="004620DA"/>
    <w:rsid w:val="00464B6E"/>
    <w:rsid w:val="00475985"/>
    <w:rsid w:val="00475E64"/>
    <w:rsid w:val="0047630B"/>
    <w:rsid w:val="00476A41"/>
    <w:rsid w:val="00477684"/>
    <w:rsid w:val="00480386"/>
    <w:rsid w:val="00484ABF"/>
    <w:rsid w:val="00484AFF"/>
    <w:rsid w:val="004865B5"/>
    <w:rsid w:val="00490AC2"/>
    <w:rsid w:val="00490B8B"/>
    <w:rsid w:val="00490DE3"/>
    <w:rsid w:val="00492FFD"/>
    <w:rsid w:val="0049487D"/>
    <w:rsid w:val="004957B3"/>
    <w:rsid w:val="004962A2"/>
    <w:rsid w:val="004A1E16"/>
    <w:rsid w:val="004A4FE8"/>
    <w:rsid w:val="004A5121"/>
    <w:rsid w:val="004B229D"/>
    <w:rsid w:val="004B37B7"/>
    <w:rsid w:val="004B5188"/>
    <w:rsid w:val="004C172B"/>
    <w:rsid w:val="004C3DEA"/>
    <w:rsid w:val="004C55CF"/>
    <w:rsid w:val="004C5761"/>
    <w:rsid w:val="004C7674"/>
    <w:rsid w:val="004C7E31"/>
    <w:rsid w:val="004D00E0"/>
    <w:rsid w:val="004D0719"/>
    <w:rsid w:val="004D0EA5"/>
    <w:rsid w:val="004D1192"/>
    <w:rsid w:val="004D4841"/>
    <w:rsid w:val="004D7695"/>
    <w:rsid w:val="004E4B57"/>
    <w:rsid w:val="004E6700"/>
    <w:rsid w:val="004E6AD5"/>
    <w:rsid w:val="004F34FF"/>
    <w:rsid w:val="004F51DB"/>
    <w:rsid w:val="00500F91"/>
    <w:rsid w:val="00501992"/>
    <w:rsid w:val="005043CC"/>
    <w:rsid w:val="005046D4"/>
    <w:rsid w:val="00506E26"/>
    <w:rsid w:val="00507877"/>
    <w:rsid w:val="00513DD1"/>
    <w:rsid w:val="00514AC3"/>
    <w:rsid w:val="0051625A"/>
    <w:rsid w:val="0051655B"/>
    <w:rsid w:val="00523146"/>
    <w:rsid w:val="00523C9D"/>
    <w:rsid w:val="005250C4"/>
    <w:rsid w:val="00526E90"/>
    <w:rsid w:val="00527238"/>
    <w:rsid w:val="00527578"/>
    <w:rsid w:val="00527754"/>
    <w:rsid w:val="005302F4"/>
    <w:rsid w:val="0053111F"/>
    <w:rsid w:val="00532CC5"/>
    <w:rsid w:val="00533E75"/>
    <w:rsid w:val="0053585F"/>
    <w:rsid w:val="005372BE"/>
    <w:rsid w:val="005378F9"/>
    <w:rsid w:val="0054014A"/>
    <w:rsid w:val="005403FB"/>
    <w:rsid w:val="00540659"/>
    <w:rsid w:val="00541C1F"/>
    <w:rsid w:val="00543656"/>
    <w:rsid w:val="00546745"/>
    <w:rsid w:val="00552036"/>
    <w:rsid w:val="00554771"/>
    <w:rsid w:val="00561115"/>
    <w:rsid w:val="00561F32"/>
    <w:rsid w:val="00562704"/>
    <w:rsid w:val="00563898"/>
    <w:rsid w:val="00564CC5"/>
    <w:rsid w:val="0056524E"/>
    <w:rsid w:val="00565D0B"/>
    <w:rsid w:val="005669E7"/>
    <w:rsid w:val="00566A45"/>
    <w:rsid w:val="00566C8B"/>
    <w:rsid w:val="0057168A"/>
    <w:rsid w:val="00574DE4"/>
    <w:rsid w:val="00575C04"/>
    <w:rsid w:val="00577E68"/>
    <w:rsid w:val="00580FB5"/>
    <w:rsid w:val="00582265"/>
    <w:rsid w:val="0058335E"/>
    <w:rsid w:val="0058515D"/>
    <w:rsid w:val="0058523E"/>
    <w:rsid w:val="00587E9D"/>
    <w:rsid w:val="00595144"/>
    <w:rsid w:val="005962C5"/>
    <w:rsid w:val="0059751B"/>
    <w:rsid w:val="005A17DE"/>
    <w:rsid w:val="005A2CC3"/>
    <w:rsid w:val="005A4232"/>
    <w:rsid w:val="005A527D"/>
    <w:rsid w:val="005A53AA"/>
    <w:rsid w:val="005A67B6"/>
    <w:rsid w:val="005A6D5C"/>
    <w:rsid w:val="005A7093"/>
    <w:rsid w:val="005A7217"/>
    <w:rsid w:val="005B086D"/>
    <w:rsid w:val="005B69A8"/>
    <w:rsid w:val="005C0D40"/>
    <w:rsid w:val="005C10AF"/>
    <w:rsid w:val="005C1794"/>
    <w:rsid w:val="005C1BFF"/>
    <w:rsid w:val="005C44B5"/>
    <w:rsid w:val="005C5A81"/>
    <w:rsid w:val="005C6BC6"/>
    <w:rsid w:val="005D0E67"/>
    <w:rsid w:val="005D1315"/>
    <w:rsid w:val="005D2FC6"/>
    <w:rsid w:val="005D7BEA"/>
    <w:rsid w:val="005E14CF"/>
    <w:rsid w:val="005E2B82"/>
    <w:rsid w:val="005E3AAD"/>
    <w:rsid w:val="005E694C"/>
    <w:rsid w:val="005E7853"/>
    <w:rsid w:val="005F0327"/>
    <w:rsid w:val="005F0F28"/>
    <w:rsid w:val="005F185E"/>
    <w:rsid w:val="005F2F4F"/>
    <w:rsid w:val="005F3048"/>
    <w:rsid w:val="005F35B8"/>
    <w:rsid w:val="005F4B44"/>
    <w:rsid w:val="005F4CF7"/>
    <w:rsid w:val="005F6AD7"/>
    <w:rsid w:val="005F7A76"/>
    <w:rsid w:val="00602CD1"/>
    <w:rsid w:val="00604467"/>
    <w:rsid w:val="00604E5C"/>
    <w:rsid w:val="00605376"/>
    <w:rsid w:val="00607044"/>
    <w:rsid w:val="006104E8"/>
    <w:rsid w:val="00612A53"/>
    <w:rsid w:val="00612DED"/>
    <w:rsid w:val="00612F31"/>
    <w:rsid w:val="006132FB"/>
    <w:rsid w:val="00616C3B"/>
    <w:rsid w:val="0062051B"/>
    <w:rsid w:val="00620607"/>
    <w:rsid w:val="00620AF7"/>
    <w:rsid w:val="006211D5"/>
    <w:rsid w:val="006224EE"/>
    <w:rsid w:val="00622A25"/>
    <w:rsid w:val="00622F64"/>
    <w:rsid w:val="00624D26"/>
    <w:rsid w:val="00626F3C"/>
    <w:rsid w:val="0063165B"/>
    <w:rsid w:val="00632BC9"/>
    <w:rsid w:val="00632E0F"/>
    <w:rsid w:val="00632ED1"/>
    <w:rsid w:val="00633184"/>
    <w:rsid w:val="006333D3"/>
    <w:rsid w:val="0063400F"/>
    <w:rsid w:val="006404AC"/>
    <w:rsid w:val="00644D3C"/>
    <w:rsid w:val="00644DBF"/>
    <w:rsid w:val="006511F7"/>
    <w:rsid w:val="00651340"/>
    <w:rsid w:val="0065247B"/>
    <w:rsid w:val="0065484E"/>
    <w:rsid w:val="0065560C"/>
    <w:rsid w:val="00656FB8"/>
    <w:rsid w:val="006571D6"/>
    <w:rsid w:val="006623BD"/>
    <w:rsid w:val="006635AE"/>
    <w:rsid w:val="00664D35"/>
    <w:rsid w:val="00664F19"/>
    <w:rsid w:val="006654C1"/>
    <w:rsid w:val="00670C1B"/>
    <w:rsid w:val="00670D20"/>
    <w:rsid w:val="00671059"/>
    <w:rsid w:val="00671493"/>
    <w:rsid w:val="006714ED"/>
    <w:rsid w:val="006722ED"/>
    <w:rsid w:val="00673F8B"/>
    <w:rsid w:val="0067410A"/>
    <w:rsid w:val="0067506C"/>
    <w:rsid w:val="00676082"/>
    <w:rsid w:val="00680FE9"/>
    <w:rsid w:val="006879CD"/>
    <w:rsid w:val="00691093"/>
    <w:rsid w:val="00694258"/>
    <w:rsid w:val="006A03A4"/>
    <w:rsid w:val="006A0979"/>
    <w:rsid w:val="006A1085"/>
    <w:rsid w:val="006A25CF"/>
    <w:rsid w:val="006A27D6"/>
    <w:rsid w:val="006A6FAB"/>
    <w:rsid w:val="006A78BC"/>
    <w:rsid w:val="006A79A8"/>
    <w:rsid w:val="006A7E86"/>
    <w:rsid w:val="006B2446"/>
    <w:rsid w:val="006B6162"/>
    <w:rsid w:val="006B695D"/>
    <w:rsid w:val="006B7E2E"/>
    <w:rsid w:val="006C06D2"/>
    <w:rsid w:val="006C136D"/>
    <w:rsid w:val="006C157D"/>
    <w:rsid w:val="006C1FD3"/>
    <w:rsid w:val="006C323A"/>
    <w:rsid w:val="006C5236"/>
    <w:rsid w:val="006D028B"/>
    <w:rsid w:val="006D14CD"/>
    <w:rsid w:val="006D1AFC"/>
    <w:rsid w:val="006D24C1"/>
    <w:rsid w:val="006D47DE"/>
    <w:rsid w:val="006D7925"/>
    <w:rsid w:val="006E09B4"/>
    <w:rsid w:val="006E0A9C"/>
    <w:rsid w:val="006E14FA"/>
    <w:rsid w:val="006E4A2B"/>
    <w:rsid w:val="006E4FE3"/>
    <w:rsid w:val="006E6CD9"/>
    <w:rsid w:val="006E7593"/>
    <w:rsid w:val="006F3699"/>
    <w:rsid w:val="006F4624"/>
    <w:rsid w:val="006F53A4"/>
    <w:rsid w:val="006F58AB"/>
    <w:rsid w:val="006F63E9"/>
    <w:rsid w:val="006F759B"/>
    <w:rsid w:val="00700465"/>
    <w:rsid w:val="0070217A"/>
    <w:rsid w:val="00702C32"/>
    <w:rsid w:val="007036D2"/>
    <w:rsid w:val="00706591"/>
    <w:rsid w:val="00706AE1"/>
    <w:rsid w:val="00707A3E"/>
    <w:rsid w:val="00710202"/>
    <w:rsid w:val="007113CE"/>
    <w:rsid w:val="0071197E"/>
    <w:rsid w:val="00712425"/>
    <w:rsid w:val="0071594A"/>
    <w:rsid w:val="00720789"/>
    <w:rsid w:val="0072394B"/>
    <w:rsid w:val="0072693F"/>
    <w:rsid w:val="00730ABD"/>
    <w:rsid w:val="00734BE7"/>
    <w:rsid w:val="00734EB8"/>
    <w:rsid w:val="00735487"/>
    <w:rsid w:val="007365B9"/>
    <w:rsid w:val="00736900"/>
    <w:rsid w:val="00736D6A"/>
    <w:rsid w:val="00737A8E"/>
    <w:rsid w:val="00742128"/>
    <w:rsid w:val="00745550"/>
    <w:rsid w:val="00746912"/>
    <w:rsid w:val="0075003F"/>
    <w:rsid w:val="00750116"/>
    <w:rsid w:val="00750AF2"/>
    <w:rsid w:val="00751F7E"/>
    <w:rsid w:val="007549AD"/>
    <w:rsid w:val="00756890"/>
    <w:rsid w:val="007568F0"/>
    <w:rsid w:val="007570FE"/>
    <w:rsid w:val="00757201"/>
    <w:rsid w:val="00761394"/>
    <w:rsid w:val="00762F3D"/>
    <w:rsid w:val="00763D22"/>
    <w:rsid w:val="00770849"/>
    <w:rsid w:val="00770C2B"/>
    <w:rsid w:val="00770EEA"/>
    <w:rsid w:val="00771FC5"/>
    <w:rsid w:val="00772EFA"/>
    <w:rsid w:val="00773353"/>
    <w:rsid w:val="0077348B"/>
    <w:rsid w:val="00774F5C"/>
    <w:rsid w:val="007805CE"/>
    <w:rsid w:val="00781415"/>
    <w:rsid w:val="00787A72"/>
    <w:rsid w:val="00792A2C"/>
    <w:rsid w:val="00792BDC"/>
    <w:rsid w:val="007934BF"/>
    <w:rsid w:val="00793E3E"/>
    <w:rsid w:val="0079404D"/>
    <w:rsid w:val="00794728"/>
    <w:rsid w:val="00794875"/>
    <w:rsid w:val="007A11E5"/>
    <w:rsid w:val="007A13BE"/>
    <w:rsid w:val="007A2D9B"/>
    <w:rsid w:val="007A5EEB"/>
    <w:rsid w:val="007A6276"/>
    <w:rsid w:val="007B0B74"/>
    <w:rsid w:val="007B275B"/>
    <w:rsid w:val="007B572D"/>
    <w:rsid w:val="007B6E53"/>
    <w:rsid w:val="007C2DD0"/>
    <w:rsid w:val="007C3393"/>
    <w:rsid w:val="007C60E2"/>
    <w:rsid w:val="007C7011"/>
    <w:rsid w:val="007D2C30"/>
    <w:rsid w:val="007D3650"/>
    <w:rsid w:val="007D4AB0"/>
    <w:rsid w:val="007D4FBF"/>
    <w:rsid w:val="007D6BA3"/>
    <w:rsid w:val="007D7894"/>
    <w:rsid w:val="007E1DE6"/>
    <w:rsid w:val="007E2446"/>
    <w:rsid w:val="007E25F8"/>
    <w:rsid w:val="007E486C"/>
    <w:rsid w:val="007E4D7F"/>
    <w:rsid w:val="007F0DC7"/>
    <w:rsid w:val="007F18BC"/>
    <w:rsid w:val="007F4B64"/>
    <w:rsid w:val="007F4C86"/>
    <w:rsid w:val="007F7E59"/>
    <w:rsid w:val="00800410"/>
    <w:rsid w:val="00801B40"/>
    <w:rsid w:val="0080513D"/>
    <w:rsid w:val="00805D66"/>
    <w:rsid w:val="008075C9"/>
    <w:rsid w:val="00811313"/>
    <w:rsid w:val="00811D2B"/>
    <w:rsid w:val="00811F73"/>
    <w:rsid w:val="00812166"/>
    <w:rsid w:val="00812ED3"/>
    <w:rsid w:val="00814262"/>
    <w:rsid w:val="00815C9D"/>
    <w:rsid w:val="008161BA"/>
    <w:rsid w:val="00817721"/>
    <w:rsid w:val="00817893"/>
    <w:rsid w:val="008200CA"/>
    <w:rsid w:val="00821EB7"/>
    <w:rsid w:val="0082412C"/>
    <w:rsid w:val="0082615A"/>
    <w:rsid w:val="008307A3"/>
    <w:rsid w:val="008313FE"/>
    <w:rsid w:val="00832716"/>
    <w:rsid w:val="00836074"/>
    <w:rsid w:val="0083788A"/>
    <w:rsid w:val="008448D6"/>
    <w:rsid w:val="00847235"/>
    <w:rsid w:val="008513FF"/>
    <w:rsid w:val="00852F30"/>
    <w:rsid w:val="00854243"/>
    <w:rsid w:val="00855831"/>
    <w:rsid w:val="00857AA8"/>
    <w:rsid w:val="00857DFA"/>
    <w:rsid w:val="00860A19"/>
    <w:rsid w:val="00861E00"/>
    <w:rsid w:val="008649F5"/>
    <w:rsid w:val="008656C8"/>
    <w:rsid w:val="00866B9A"/>
    <w:rsid w:val="00867139"/>
    <w:rsid w:val="00867381"/>
    <w:rsid w:val="00867E0D"/>
    <w:rsid w:val="0087056A"/>
    <w:rsid w:val="00876E62"/>
    <w:rsid w:val="00877654"/>
    <w:rsid w:val="008808D1"/>
    <w:rsid w:val="0088455C"/>
    <w:rsid w:val="0088469B"/>
    <w:rsid w:val="00885643"/>
    <w:rsid w:val="00887304"/>
    <w:rsid w:val="0089031C"/>
    <w:rsid w:val="00890642"/>
    <w:rsid w:val="008943D6"/>
    <w:rsid w:val="00894D30"/>
    <w:rsid w:val="0089547A"/>
    <w:rsid w:val="00895B2C"/>
    <w:rsid w:val="008A0E42"/>
    <w:rsid w:val="008A145C"/>
    <w:rsid w:val="008A35DE"/>
    <w:rsid w:val="008A3C46"/>
    <w:rsid w:val="008A6C9B"/>
    <w:rsid w:val="008B027B"/>
    <w:rsid w:val="008B08B8"/>
    <w:rsid w:val="008B0AD1"/>
    <w:rsid w:val="008B268C"/>
    <w:rsid w:val="008B5ACA"/>
    <w:rsid w:val="008B680E"/>
    <w:rsid w:val="008C06A8"/>
    <w:rsid w:val="008C0E82"/>
    <w:rsid w:val="008C1A5B"/>
    <w:rsid w:val="008C1AAD"/>
    <w:rsid w:val="008C2DC9"/>
    <w:rsid w:val="008C5157"/>
    <w:rsid w:val="008C65B8"/>
    <w:rsid w:val="008C755F"/>
    <w:rsid w:val="008D118B"/>
    <w:rsid w:val="008D196F"/>
    <w:rsid w:val="008D42D2"/>
    <w:rsid w:val="008D430C"/>
    <w:rsid w:val="008D470C"/>
    <w:rsid w:val="008D4945"/>
    <w:rsid w:val="008D4F8D"/>
    <w:rsid w:val="008D51AF"/>
    <w:rsid w:val="008D556A"/>
    <w:rsid w:val="008E00EF"/>
    <w:rsid w:val="008E494B"/>
    <w:rsid w:val="008E6772"/>
    <w:rsid w:val="008E7521"/>
    <w:rsid w:val="008F2005"/>
    <w:rsid w:val="008F2AF0"/>
    <w:rsid w:val="008F3C15"/>
    <w:rsid w:val="008F4B85"/>
    <w:rsid w:val="008F6A78"/>
    <w:rsid w:val="008F7271"/>
    <w:rsid w:val="0090198C"/>
    <w:rsid w:val="0090352F"/>
    <w:rsid w:val="0090682C"/>
    <w:rsid w:val="00906E95"/>
    <w:rsid w:val="00914560"/>
    <w:rsid w:val="0091585B"/>
    <w:rsid w:val="00915D2F"/>
    <w:rsid w:val="009168E3"/>
    <w:rsid w:val="00921228"/>
    <w:rsid w:val="00921FE0"/>
    <w:rsid w:val="00922E0C"/>
    <w:rsid w:val="00922F53"/>
    <w:rsid w:val="009248CA"/>
    <w:rsid w:val="00925450"/>
    <w:rsid w:val="00925D5B"/>
    <w:rsid w:val="00926EEF"/>
    <w:rsid w:val="009275D5"/>
    <w:rsid w:val="00932224"/>
    <w:rsid w:val="00934631"/>
    <w:rsid w:val="00935A08"/>
    <w:rsid w:val="0093624C"/>
    <w:rsid w:val="009376B9"/>
    <w:rsid w:val="009416FC"/>
    <w:rsid w:val="00941BAE"/>
    <w:rsid w:val="00943EC1"/>
    <w:rsid w:val="009449F3"/>
    <w:rsid w:val="0094576C"/>
    <w:rsid w:val="00947FF2"/>
    <w:rsid w:val="00955B1B"/>
    <w:rsid w:val="00960B88"/>
    <w:rsid w:val="00961CCA"/>
    <w:rsid w:val="0096379E"/>
    <w:rsid w:val="00965B1B"/>
    <w:rsid w:val="00966047"/>
    <w:rsid w:val="0097134E"/>
    <w:rsid w:val="00973B02"/>
    <w:rsid w:val="00974C18"/>
    <w:rsid w:val="00982D76"/>
    <w:rsid w:val="009852D7"/>
    <w:rsid w:val="00987594"/>
    <w:rsid w:val="009879AC"/>
    <w:rsid w:val="00996368"/>
    <w:rsid w:val="00996C87"/>
    <w:rsid w:val="00996EB5"/>
    <w:rsid w:val="009973AD"/>
    <w:rsid w:val="009A2E53"/>
    <w:rsid w:val="009A42A5"/>
    <w:rsid w:val="009A511A"/>
    <w:rsid w:val="009A51C7"/>
    <w:rsid w:val="009A5E4C"/>
    <w:rsid w:val="009A66DF"/>
    <w:rsid w:val="009A783B"/>
    <w:rsid w:val="009B4EAF"/>
    <w:rsid w:val="009B6A46"/>
    <w:rsid w:val="009C10AB"/>
    <w:rsid w:val="009C1CDA"/>
    <w:rsid w:val="009C4FBE"/>
    <w:rsid w:val="009C5E90"/>
    <w:rsid w:val="009C6752"/>
    <w:rsid w:val="009C7AD9"/>
    <w:rsid w:val="009D0A9D"/>
    <w:rsid w:val="009D1568"/>
    <w:rsid w:val="009D3206"/>
    <w:rsid w:val="009D473A"/>
    <w:rsid w:val="009D690E"/>
    <w:rsid w:val="009D6BAC"/>
    <w:rsid w:val="009D6DA3"/>
    <w:rsid w:val="009D745B"/>
    <w:rsid w:val="009D77D1"/>
    <w:rsid w:val="009E07FD"/>
    <w:rsid w:val="009E3607"/>
    <w:rsid w:val="009E36A2"/>
    <w:rsid w:val="009E5C72"/>
    <w:rsid w:val="009E6661"/>
    <w:rsid w:val="009E683D"/>
    <w:rsid w:val="009F081C"/>
    <w:rsid w:val="009F0DB9"/>
    <w:rsid w:val="009F1C69"/>
    <w:rsid w:val="009F30BB"/>
    <w:rsid w:val="009F373F"/>
    <w:rsid w:val="009F5C34"/>
    <w:rsid w:val="009F6888"/>
    <w:rsid w:val="009F711B"/>
    <w:rsid w:val="009F73EC"/>
    <w:rsid w:val="00A00A3D"/>
    <w:rsid w:val="00A00A5A"/>
    <w:rsid w:val="00A027C9"/>
    <w:rsid w:val="00A032E7"/>
    <w:rsid w:val="00A03DD4"/>
    <w:rsid w:val="00A04B65"/>
    <w:rsid w:val="00A068FF"/>
    <w:rsid w:val="00A07369"/>
    <w:rsid w:val="00A13D45"/>
    <w:rsid w:val="00A14D45"/>
    <w:rsid w:val="00A15400"/>
    <w:rsid w:val="00A15709"/>
    <w:rsid w:val="00A178A9"/>
    <w:rsid w:val="00A2543A"/>
    <w:rsid w:val="00A26085"/>
    <w:rsid w:val="00A30ABE"/>
    <w:rsid w:val="00A32561"/>
    <w:rsid w:val="00A32BA7"/>
    <w:rsid w:val="00A3354F"/>
    <w:rsid w:val="00A34605"/>
    <w:rsid w:val="00A34C4D"/>
    <w:rsid w:val="00A35182"/>
    <w:rsid w:val="00A413C5"/>
    <w:rsid w:val="00A43B73"/>
    <w:rsid w:val="00A44186"/>
    <w:rsid w:val="00A4430E"/>
    <w:rsid w:val="00A457F2"/>
    <w:rsid w:val="00A509F3"/>
    <w:rsid w:val="00A530FF"/>
    <w:rsid w:val="00A57039"/>
    <w:rsid w:val="00A57A30"/>
    <w:rsid w:val="00A57B01"/>
    <w:rsid w:val="00A57DC6"/>
    <w:rsid w:val="00A608E3"/>
    <w:rsid w:val="00A60D6B"/>
    <w:rsid w:val="00A615D8"/>
    <w:rsid w:val="00A61D40"/>
    <w:rsid w:val="00A62595"/>
    <w:rsid w:val="00A66CE7"/>
    <w:rsid w:val="00A6786B"/>
    <w:rsid w:val="00A719D8"/>
    <w:rsid w:val="00A72A45"/>
    <w:rsid w:val="00A73EFA"/>
    <w:rsid w:val="00A74496"/>
    <w:rsid w:val="00A77213"/>
    <w:rsid w:val="00A808A9"/>
    <w:rsid w:val="00A82C56"/>
    <w:rsid w:val="00A84768"/>
    <w:rsid w:val="00A84805"/>
    <w:rsid w:val="00A85F62"/>
    <w:rsid w:val="00A91E08"/>
    <w:rsid w:val="00A925BD"/>
    <w:rsid w:val="00A95F4A"/>
    <w:rsid w:val="00AA238F"/>
    <w:rsid w:val="00AA33A0"/>
    <w:rsid w:val="00AA49C7"/>
    <w:rsid w:val="00AA4AA9"/>
    <w:rsid w:val="00AA5150"/>
    <w:rsid w:val="00AA636E"/>
    <w:rsid w:val="00AB07C5"/>
    <w:rsid w:val="00AB5E34"/>
    <w:rsid w:val="00AB75F1"/>
    <w:rsid w:val="00AC0034"/>
    <w:rsid w:val="00AC1AD7"/>
    <w:rsid w:val="00AC35A9"/>
    <w:rsid w:val="00AC35F7"/>
    <w:rsid w:val="00AC3FB7"/>
    <w:rsid w:val="00AC5D4E"/>
    <w:rsid w:val="00AC6800"/>
    <w:rsid w:val="00AC6E5C"/>
    <w:rsid w:val="00AC6EB5"/>
    <w:rsid w:val="00AC7981"/>
    <w:rsid w:val="00AD01FA"/>
    <w:rsid w:val="00AD2B20"/>
    <w:rsid w:val="00AD3A1A"/>
    <w:rsid w:val="00AD3CEF"/>
    <w:rsid w:val="00AD50E4"/>
    <w:rsid w:val="00AD5C02"/>
    <w:rsid w:val="00AD677E"/>
    <w:rsid w:val="00AE0662"/>
    <w:rsid w:val="00AE0A72"/>
    <w:rsid w:val="00AE0AE9"/>
    <w:rsid w:val="00AE1F52"/>
    <w:rsid w:val="00AE4AA3"/>
    <w:rsid w:val="00AE72B0"/>
    <w:rsid w:val="00AF126B"/>
    <w:rsid w:val="00AF1812"/>
    <w:rsid w:val="00AF1C2A"/>
    <w:rsid w:val="00AF49A0"/>
    <w:rsid w:val="00AF50D1"/>
    <w:rsid w:val="00AF6330"/>
    <w:rsid w:val="00AF7136"/>
    <w:rsid w:val="00AF7DE3"/>
    <w:rsid w:val="00B022A4"/>
    <w:rsid w:val="00B02384"/>
    <w:rsid w:val="00B06C2B"/>
    <w:rsid w:val="00B07EB4"/>
    <w:rsid w:val="00B10311"/>
    <w:rsid w:val="00B1048F"/>
    <w:rsid w:val="00B13147"/>
    <w:rsid w:val="00B13531"/>
    <w:rsid w:val="00B157CE"/>
    <w:rsid w:val="00B164B0"/>
    <w:rsid w:val="00B165DA"/>
    <w:rsid w:val="00B16DBA"/>
    <w:rsid w:val="00B16F67"/>
    <w:rsid w:val="00B20430"/>
    <w:rsid w:val="00B20D39"/>
    <w:rsid w:val="00B22AB9"/>
    <w:rsid w:val="00B27847"/>
    <w:rsid w:val="00B31FFB"/>
    <w:rsid w:val="00B33DC6"/>
    <w:rsid w:val="00B35138"/>
    <w:rsid w:val="00B36524"/>
    <w:rsid w:val="00B37204"/>
    <w:rsid w:val="00B40ABE"/>
    <w:rsid w:val="00B424E3"/>
    <w:rsid w:val="00B44CA2"/>
    <w:rsid w:val="00B47A82"/>
    <w:rsid w:val="00B50F06"/>
    <w:rsid w:val="00B55F9E"/>
    <w:rsid w:val="00B605E9"/>
    <w:rsid w:val="00B62175"/>
    <w:rsid w:val="00B62A81"/>
    <w:rsid w:val="00B62E66"/>
    <w:rsid w:val="00B63499"/>
    <w:rsid w:val="00B63C41"/>
    <w:rsid w:val="00B655D7"/>
    <w:rsid w:val="00B676F9"/>
    <w:rsid w:val="00B72217"/>
    <w:rsid w:val="00B73946"/>
    <w:rsid w:val="00B75EFC"/>
    <w:rsid w:val="00B8102F"/>
    <w:rsid w:val="00B816FC"/>
    <w:rsid w:val="00B81EDE"/>
    <w:rsid w:val="00B82043"/>
    <w:rsid w:val="00B852CE"/>
    <w:rsid w:val="00B86645"/>
    <w:rsid w:val="00B86ECE"/>
    <w:rsid w:val="00B879E6"/>
    <w:rsid w:val="00B916DF"/>
    <w:rsid w:val="00B923BD"/>
    <w:rsid w:val="00B92F96"/>
    <w:rsid w:val="00B93789"/>
    <w:rsid w:val="00B93F9B"/>
    <w:rsid w:val="00B95F19"/>
    <w:rsid w:val="00B96A2F"/>
    <w:rsid w:val="00B97D7A"/>
    <w:rsid w:val="00BA6737"/>
    <w:rsid w:val="00BA6A02"/>
    <w:rsid w:val="00BA74FE"/>
    <w:rsid w:val="00BA7636"/>
    <w:rsid w:val="00BB021D"/>
    <w:rsid w:val="00BB1CB7"/>
    <w:rsid w:val="00BB2B91"/>
    <w:rsid w:val="00BB3A2A"/>
    <w:rsid w:val="00BB4810"/>
    <w:rsid w:val="00BC0F44"/>
    <w:rsid w:val="00BC1193"/>
    <w:rsid w:val="00BC2681"/>
    <w:rsid w:val="00BC3248"/>
    <w:rsid w:val="00BC50EB"/>
    <w:rsid w:val="00BC59D6"/>
    <w:rsid w:val="00BD1D95"/>
    <w:rsid w:val="00BD257C"/>
    <w:rsid w:val="00BD2E24"/>
    <w:rsid w:val="00BD5989"/>
    <w:rsid w:val="00BD701A"/>
    <w:rsid w:val="00BD773C"/>
    <w:rsid w:val="00BD78BE"/>
    <w:rsid w:val="00BE1296"/>
    <w:rsid w:val="00BE153D"/>
    <w:rsid w:val="00BE1F9F"/>
    <w:rsid w:val="00BE23B9"/>
    <w:rsid w:val="00BE27EB"/>
    <w:rsid w:val="00BE3C7A"/>
    <w:rsid w:val="00BE3DCA"/>
    <w:rsid w:val="00BE3F19"/>
    <w:rsid w:val="00BE48B4"/>
    <w:rsid w:val="00BE650B"/>
    <w:rsid w:val="00BF22D6"/>
    <w:rsid w:val="00BF260C"/>
    <w:rsid w:val="00BF2A8C"/>
    <w:rsid w:val="00BF3AAC"/>
    <w:rsid w:val="00BF49F9"/>
    <w:rsid w:val="00BF5B75"/>
    <w:rsid w:val="00BF7911"/>
    <w:rsid w:val="00C02555"/>
    <w:rsid w:val="00C02EC7"/>
    <w:rsid w:val="00C03C56"/>
    <w:rsid w:val="00C05131"/>
    <w:rsid w:val="00C0637D"/>
    <w:rsid w:val="00C07ABE"/>
    <w:rsid w:val="00C104FE"/>
    <w:rsid w:val="00C10B09"/>
    <w:rsid w:val="00C12366"/>
    <w:rsid w:val="00C12F72"/>
    <w:rsid w:val="00C15D3E"/>
    <w:rsid w:val="00C16C5C"/>
    <w:rsid w:val="00C17FB8"/>
    <w:rsid w:val="00C21EFF"/>
    <w:rsid w:val="00C222BE"/>
    <w:rsid w:val="00C22542"/>
    <w:rsid w:val="00C24580"/>
    <w:rsid w:val="00C27125"/>
    <w:rsid w:val="00C3071B"/>
    <w:rsid w:val="00C3074A"/>
    <w:rsid w:val="00C31E53"/>
    <w:rsid w:val="00C31FC6"/>
    <w:rsid w:val="00C348F7"/>
    <w:rsid w:val="00C35AEB"/>
    <w:rsid w:val="00C40FB9"/>
    <w:rsid w:val="00C41FC5"/>
    <w:rsid w:val="00C4276D"/>
    <w:rsid w:val="00C427C5"/>
    <w:rsid w:val="00C430CB"/>
    <w:rsid w:val="00C4540D"/>
    <w:rsid w:val="00C457DD"/>
    <w:rsid w:val="00C46022"/>
    <w:rsid w:val="00C47B63"/>
    <w:rsid w:val="00C5106B"/>
    <w:rsid w:val="00C5210F"/>
    <w:rsid w:val="00C537DA"/>
    <w:rsid w:val="00C5461D"/>
    <w:rsid w:val="00C546AC"/>
    <w:rsid w:val="00C558B9"/>
    <w:rsid w:val="00C56253"/>
    <w:rsid w:val="00C601BA"/>
    <w:rsid w:val="00C60B54"/>
    <w:rsid w:val="00C60FE7"/>
    <w:rsid w:val="00C61FCA"/>
    <w:rsid w:val="00C636D3"/>
    <w:rsid w:val="00C6433D"/>
    <w:rsid w:val="00C701B4"/>
    <w:rsid w:val="00C70344"/>
    <w:rsid w:val="00C71C65"/>
    <w:rsid w:val="00C7237E"/>
    <w:rsid w:val="00C72F68"/>
    <w:rsid w:val="00C738C0"/>
    <w:rsid w:val="00C7472B"/>
    <w:rsid w:val="00C75E8E"/>
    <w:rsid w:val="00C76217"/>
    <w:rsid w:val="00C76504"/>
    <w:rsid w:val="00C8027F"/>
    <w:rsid w:val="00C802A5"/>
    <w:rsid w:val="00C83B2B"/>
    <w:rsid w:val="00C84E7D"/>
    <w:rsid w:val="00C850F8"/>
    <w:rsid w:val="00C85A23"/>
    <w:rsid w:val="00C85AEC"/>
    <w:rsid w:val="00C87435"/>
    <w:rsid w:val="00C87C39"/>
    <w:rsid w:val="00C905DC"/>
    <w:rsid w:val="00C92674"/>
    <w:rsid w:val="00C9290F"/>
    <w:rsid w:val="00C939D7"/>
    <w:rsid w:val="00C95540"/>
    <w:rsid w:val="00CA04A1"/>
    <w:rsid w:val="00CA1075"/>
    <w:rsid w:val="00CA12F8"/>
    <w:rsid w:val="00CA1754"/>
    <w:rsid w:val="00CA1E4A"/>
    <w:rsid w:val="00CA5906"/>
    <w:rsid w:val="00CB1B00"/>
    <w:rsid w:val="00CB4FF0"/>
    <w:rsid w:val="00CB7C61"/>
    <w:rsid w:val="00CC177E"/>
    <w:rsid w:val="00CC5DEE"/>
    <w:rsid w:val="00CC7929"/>
    <w:rsid w:val="00CD070E"/>
    <w:rsid w:val="00CD2C50"/>
    <w:rsid w:val="00CD36AF"/>
    <w:rsid w:val="00CD64DE"/>
    <w:rsid w:val="00CE1DA6"/>
    <w:rsid w:val="00CE2F0F"/>
    <w:rsid w:val="00CE3AA3"/>
    <w:rsid w:val="00CE4AB4"/>
    <w:rsid w:val="00CE4F10"/>
    <w:rsid w:val="00CE7D2A"/>
    <w:rsid w:val="00CF0D73"/>
    <w:rsid w:val="00CF125A"/>
    <w:rsid w:val="00CF2074"/>
    <w:rsid w:val="00CF72E9"/>
    <w:rsid w:val="00CF7E4E"/>
    <w:rsid w:val="00D00ED4"/>
    <w:rsid w:val="00D025D4"/>
    <w:rsid w:val="00D0334F"/>
    <w:rsid w:val="00D0415D"/>
    <w:rsid w:val="00D04A4C"/>
    <w:rsid w:val="00D060D2"/>
    <w:rsid w:val="00D067C6"/>
    <w:rsid w:val="00D06D1C"/>
    <w:rsid w:val="00D102F8"/>
    <w:rsid w:val="00D11F6C"/>
    <w:rsid w:val="00D139C1"/>
    <w:rsid w:val="00D13B51"/>
    <w:rsid w:val="00D142E6"/>
    <w:rsid w:val="00D225BF"/>
    <w:rsid w:val="00D2357D"/>
    <w:rsid w:val="00D26873"/>
    <w:rsid w:val="00D2743B"/>
    <w:rsid w:val="00D317BA"/>
    <w:rsid w:val="00D32466"/>
    <w:rsid w:val="00D3272D"/>
    <w:rsid w:val="00D32F42"/>
    <w:rsid w:val="00D34F67"/>
    <w:rsid w:val="00D357EB"/>
    <w:rsid w:val="00D364C9"/>
    <w:rsid w:val="00D364E6"/>
    <w:rsid w:val="00D37B44"/>
    <w:rsid w:val="00D37BAC"/>
    <w:rsid w:val="00D40365"/>
    <w:rsid w:val="00D4199E"/>
    <w:rsid w:val="00D43649"/>
    <w:rsid w:val="00D47EC4"/>
    <w:rsid w:val="00D50F1C"/>
    <w:rsid w:val="00D51290"/>
    <w:rsid w:val="00D52C3C"/>
    <w:rsid w:val="00D54975"/>
    <w:rsid w:val="00D601D9"/>
    <w:rsid w:val="00D63228"/>
    <w:rsid w:val="00D66BC3"/>
    <w:rsid w:val="00D672AD"/>
    <w:rsid w:val="00D70957"/>
    <w:rsid w:val="00D70CB9"/>
    <w:rsid w:val="00D713AD"/>
    <w:rsid w:val="00D71B3C"/>
    <w:rsid w:val="00D71DBC"/>
    <w:rsid w:val="00D73DED"/>
    <w:rsid w:val="00D7424D"/>
    <w:rsid w:val="00D74967"/>
    <w:rsid w:val="00D74EE3"/>
    <w:rsid w:val="00D7621B"/>
    <w:rsid w:val="00D85A93"/>
    <w:rsid w:val="00D86570"/>
    <w:rsid w:val="00D9155E"/>
    <w:rsid w:val="00D92E05"/>
    <w:rsid w:val="00D961FD"/>
    <w:rsid w:val="00D971DB"/>
    <w:rsid w:val="00DA4278"/>
    <w:rsid w:val="00DA48B7"/>
    <w:rsid w:val="00DA6C18"/>
    <w:rsid w:val="00DA6FF1"/>
    <w:rsid w:val="00DA7B40"/>
    <w:rsid w:val="00DB1D5B"/>
    <w:rsid w:val="00DB3285"/>
    <w:rsid w:val="00DC1F68"/>
    <w:rsid w:val="00DC55AF"/>
    <w:rsid w:val="00DD0C50"/>
    <w:rsid w:val="00DD0E0C"/>
    <w:rsid w:val="00DD25EA"/>
    <w:rsid w:val="00DD2A72"/>
    <w:rsid w:val="00DD6B02"/>
    <w:rsid w:val="00DE08E0"/>
    <w:rsid w:val="00DE1485"/>
    <w:rsid w:val="00DE2D3D"/>
    <w:rsid w:val="00DE5D3B"/>
    <w:rsid w:val="00DE7392"/>
    <w:rsid w:val="00DF0424"/>
    <w:rsid w:val="00DF0669"/>
    <w:rsid w:val="00DF51A8"/>
    <w:rsid w:val="00DF6CB8"/>
    <w:rsid w:val="00DF70FF"/>
    <w:rsid w:val="00DF7AC7"/>
    <w:rsid w:val="00E02409"/>
    <w:rsid w:val="00E0699A"/>
    <w:rsid w:val="00E07366"/>
    <w:rsid w:val="00E07551"/>
    <w:rsid w:val="00E12D08"/>
    <w:rsid w:val="00E13ED4"/>
    <w:rsid w:val="00E14854"/>
    <w:rsid w:val="00E14A27"/>
    <w:rsid w:val="00E15060"/>
    <w:rsid w:val="00E217E5"/>
    <w:rsid w:val="00E23C8F"/>
    <w:rsid w:val="00E24C36"/>
    <w:rsid w:val="00E270BE"/>
    <w:rsid w:val="00E27B22"/>
    <w:rsid w:val="00E31D7E"/>
    <w:rsid w:val="00E34089"/>
    <w:rsid w:val="00E34B4D"/>
    <w:rsid w:val="00E36956"/>
    <w:rsid w:val="00E36BF4"/>
    <w:rsid w:val="00E37DD3"/>
    <w:rsid w:val="00E41D7B"/>
    <w:rsid w:val="00E425B2"/>
    <w:rsid w:val="00E42A1B"/>
    <w:rsid w:val="00E46DD0"/>
    <w:rsid w:val="00E47136"/>
    <w:rsid w:val="00E47343"/>
    <w:rsid w:val="00E51360"/>
    <w:rsid w:val="00E524A1"/>
    <w:rsid w:val="00E5554D"/>
    <w:rsid w:val="00E60B5A"/>
    <w:rsid w:val="00E63DCF"/>
    <w:rsid w:val="00E652ED"/>
    <w:rsid w:val="00E6581D"/>
    <w:rsid w:val="00E724C2"/>
    <w:rsid w:val="00E76397"/>
    <w:rsid w:val="00E777A1"/>
    <w:rsid w:val="00E80EB2"/>
    <w:rsid w:val="00E81D1D"/>
    <w:rsid w:val="00E8266A"/>
    <w:rsid w:val="00E82B0E"/>
    <w:rsid w:val="00E8400B"/>
    <w:rsid w:val="00E8536A"/>
    <w:rsid w:val="00E9166E"/>
    <w:rsid w:val="00E92BAA"/>
    <w:rsid w:val="00E95B00"/>
    <w:rsid w:val="00EA01D5"/>
    <w:rsid w:val="00EA3100"/>
    <w:rsid w:val="00EA63C5"/>
    <w:rsid w:val="00EA6581"/>
    <w:rsid w:val="00EA7231"/>
    <w:rsid w:val="00EA748B"/>
    <w:rsid w:val="00EB0569"/>
    <w:rsid w:val="00EB1AEC"/>
    <w:rsid w:val="00EB1AF3"/>
    <w:rsid w:val="00EB7353"/>
    <w:rsid w:val="00EC0C47"/>
    <w:rsid w:val="00EC1245"/>
    <w:rsid w:val="00EC1BF9"/>
    <w:rsid w:val="00EC2C8B"/>
    <w:rsid w:val="00EC3084"/>
    <w:rsid w:val="00EC35DB"/>
    <w:rsid w:val="00EC3737"/>
    <w:rsid w:val="00EC4693"/>
    <w:rsid w:val="00EC6655"/>
    <w:rsid w:val="00ED0EE5"/>
    <w:rsid w:val="00ED1086"/>
    <w:rsid w:val="00ED1576"/>
    <w:rsid w:val="00ED2011"/>
    <w:rsid w:val="00ED5BCA"/>
    <w:rsid w:val="00ED6709"/>
    <w:rsid w:val="00ED6D4E"/>
    <w:rsid w:val="00ED70D7"/>
    <w:rsid w:val="00ED71BF"/>
    <w:rsid w:val="00EE14DC"/>
    <w:rsid w:val="00EE2192"/>
    <w:rsid w:val="00EE317D"/>
    <w:rsid w:val="00EE45E9"/>
    <w:rsid w:val="00EF00E4"/>
    <w:rsid w:val="00EF0C45"/>
    <w:rsid w:val="00EF1B77"/>
    <w:rsid w:val="00EF3CE6"/>
    <w:rsid w:val="00EF3F95"/>
    <w:rsid w:val="00EF4C6B"/>
    <w:rsid w:val="00EF53FE"/>
    <w:rsid w:val="00EF5CEF"/>
    <w:rsid w:val="00EF771E"/>
    <w:rsid w:val="00F01A58"/>
    <w:rsid w:val="00F01E4A"/>
    <w:rsid w:val="00F05B0A"/>
    <w:rsid w:val="00F05C09"/>
    <w:rsid w:val="00F062A0"/>
    <w:rsid w:val="00F06F93"/>
    <w:rsid w:val="00F11B0F"/>
    <w:rsid w:val="00F120AA"/>
    <w:rsid w:val="00F14873"/>
    <w:rsid w:val="00F15608"/>
    <w:rsid w:val="00F15884"/>
    <w:rsid w:val="00F15DA0"/>
    <w:rsid w:val="00F16636"/>
    <w:rsid w:val="00F21021"/>
    <w:rsid w:val="00F21CEB"/>
    <w:rsid w:val="00F225D3"/>
    <w:rsid w:val="00F22DB3"/>
    <w:rsid w:val="00F23F9F"/>
    <w:rsid w:val="00F27154"/>
    <w:rsid w:val="00F27774"/>
    <w:rsid w:val="00F32B7B"/>
    <w:rsid w:val="00F3606C"/>
    <w:rsid w:val="00F414D0"/>
    <w:rsid w:val="00F41F9B"/>
    <w:rsid w:val="00F42ADB"/>
    <w:rsid w:val="00F44664"/>
    <w:rsid w:val="00F44AF3"/>
    <w:rsid w:val="00F4531C"/>
    <w:rsid w:val="00F51F23"/>
    <w:rsid w:val="00F529A2"/>
    <w:rsid w:val="00F5322A"/>
    <w:rsid w:val="00F53446"/>
    <w:rsid w:val="00F54010"/>
    <w:rsid w:val="00F57ABC"/>
    <w:rsid w:val="00F600C7"/>
    <w:rsid w:val="00F62977"/>
    <w:rsid w:val="00F63A4C"/>
    <w:rsid w:val="00F63D27"/>
    <w:rsid w:val="00F64905"/>
    <w:rsid w:val="00F65B74"/>
    <w:rsid w:val="00F66DC8"/>
    <w:rsid w:val="00F672D0"/>
    <w:rsid w:val="00F7130B"/>
    <w:rsid w:val="00F74684"/>
    <w:rsid w:val="00F755BD"/>
    <w:rsid w:val="00F757C1"/>
    <w:rsid w:val="00F75EDA"/>
    <w:rsid w:val="00F80CDA"/>
    <w:rsid w:val="00F81395"/>
    <w:rsid w:val="00F82A85"/>
    <w:rsid w:val="00F830E9"/>
    <w:rsid w:val="00F83560"/>
    <w:rsid w:val="00F85FCB"/>
    <w:rsid w:val="00F93FE6"/>
    <w:rsid w:val="00F946DB"/>
    <w:rsid w:val="00F94D0A"/>
    <w:rsid w:val="00F95E01"/>
    <w:rsid w:val="00FA08AE"/>
    <w:rsid w:val="00FA7CDF"/>
    <w:rsid w:val="00FA7CEB"/>
    <w:rsid w:val="00FB0DEE"/>
    <w:rsid w:val="00FB1CC5"/>
    <w:rsid w:val="00FB1FA6"/>
    <w:rsid w:val="00FB2551"/>
    <w:rsid w:val="00FB288C"/>
    <w:rsid w:val="00FB41B2"/>
    <w:rsid w:val="00FB497E"/>
    <w:rsid w:val="00FB4F99"/>
    <w:rsid w:val="00FB589C"/>
    <w:rsid w:val="00FB7A57"/>
    <w:rsid w:val="00FC07A2"/>
    <w:rsid w:val="00FC1E55"/>
    <w:rsid w:val="00FC3BD9"/>
    <w:rsid w:val="00FC4441"/>
    <w:rsid w:val="00FC69F1"/>
    <w:rsid w:val="00FC6C83"/>
    <w:rsid w:val="00FC7ABF"/>
    <w:rsid w:val="00FD0037"/>
    <w:rsid w:val="00FD5083"/>
    <w:rsid w:val="00FE1978"/>
    <w:rsid w:val="00FE2164"/>
    <w:rsid w:val="00FE2857"/>
    <w:rsid w:val="00FE3E42"/>
    <w:rsid w:val="00FE4068"/>
    <w:rsid w:val="00FE4951"/>
    <w:rsid w:val="00FE4CB8"/>
    <w:rsid w:val="00FE6D96"/>
    <w:rsid w:val="00FF2F87"/>
    <w:rsid w:val="00FF316D"/>
    <w:rsid w:val="00FF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E6FB2B"/>
  <w15:docId w15:val="{A5A8DE54-7F19-4CE0-89AD-2F3C34D1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E0"/>
    <w:pPr>
      <w:tabs>
        <w:tab w:val="left" w:pos="567"/>
      </w:tabs>
    </w:pPr>
    <w:rPr>
      <w:rFonts w:ascii="Times New Roman" w:eastAsia="Times New Roman" w:hAnsi="Times New Roman" w:cs="Times New Roman"/>
      <w:sz w:val="22"/>
      <w:szCs w:val="20"/>
      <w:lang w:val="en-US"/>
    </w:rPr>
  </w:style>
  <w:style w:type="paragraph" w:styleId="Heading1">
    <w:name w:val="heading 1"/>
    <w:basedOn w:val="Normal"/>
    <w:next w:val="Normal"/>
    <w:link w:val="Heading1Char"/>
    <w:uiPriority w:val="9"/>
    <w:qFormat/>
    <w:rsid w:val="00DE08E0"/>
    <w:pPr>
      <w:keepNext/>
      <w:keepLines/>
      <w:numPr>
        <w:numId w:val="1"/>
      </w:numPr>
      <w:outlineLvl w:val="0"/>
    </w:pPr>
    <w:rPr>
      <w:rFonts w:eastAsiaTheme="majorEastAsia"/>
      <w:b/>
      <w:bCs/>
      <w:szCs w:val="22"/>
    </w:rPr>
  </w:style>
  <w:style w:type="paragraph" w:styleId="Heading2">
    <w:name w:val="heading 2"/>
    <w:basedOn w:val="Normal"/>
    <w:next w:val="Normal"/>
    <w:link w:val="Heading2Char"/>
    <w:uiPriority w:val="9"/>
    <w:unhideWhenUsed/>
    <w:qFormat/>
    <w:rsid w:val="00DE08E0"/>
    <w:pPr>
      <w:keepNext/>
      <w:keepLines/>
      <w:numPr>
        <w:ilvl w:val="1"/>
        <w:numId w:val="1"/>
      </w:numPr>
      <w:ind w:left="576"/>
      <w:outlineLvl w:val="1"/>
    </w:pPr>
    <w:rPr>
      <w:rFonts w:eastAsiaTheme="majorEastAsia"/>
      <w:b/>
      <w:bCs/>
      <w:szCs w:val="22"/>
    </w:rPr>
  </w:style>
  <w:style w:type="paragraph" w:styleId="Heading3">
    <w:name w:val="heading 3"/>
    <w:basedOn w:val="Normal"/>
    <w:next w:val="Normal"/>
    <w:link w:val="Heading3Char"/>
    <w:uiPriority w:val="9"/>
    <w:semiHidden/>
    <w:unhideWhenUsed/>
    <w:qFormat/>
    <w:rsid w:val="00DE08E0"/>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E08E0"/>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E08E0"/>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E08E0"/>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E08E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08E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E08E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E0"/>
    <w:rPr>
      <w:rFonts w:ascii="Times New Roman" w:eastAsiaTheme="majorEastAsia" w:hAnsi="Times New Roman" w:cs="Times New Roman"/>
      <w:b/>
      <w:bCs/>
      <w:sz w:val="22"/>
      <w:szCs w:val="22"/>
      <w:lang w:val="en-US"/>
    </w:rPr>
  </w:style>
  <w:style w:type="character" w:customStyle="1" w:styleId="Heading2Char">
    <w:name w:val="Heading 2 Char"/>
    <w:basedOn w:val="DefaultParagraphFont"/>
    <w:link w:val="Heading2"/>
    <w:uiPriority w:val="9"/>
    <w:rsid w:val="00DE08E0"/>
    <w:rPr>
      <w:rFonts w:ascii="Times New Roman" w:eastAsiaTheme="majorEastAsia" w:hAnsi="Times New Roman" w:cs="Times New Roman"/>
      <w:b/>
      <w:bCs/>
      <w:sz w:val="22"/>
      <w:szCs w:val="22"/>
      <w:lang w:val="en-US"/>
    </w:rPr>
  </w:style>
  <w:style w:type="character" w:customStyle="1" w:styleId="Heading3Char">
    <w:name w:val="Heading 3 Char"/>
    <w:basedOn w:val="DefaultParagraphFont"/>
    <w:link w:val="Heading3"/>
    <w:uiPriority w:val="9"/>
    <w:semiHidden/>
    <w:rsid w:val="00DE08E0"/>
    <w:rPr>
      <w:rFonts w:asciiTheme="majorHAnsi" w:eastAsiaTheme="majorEastAsia" w:hAnsiTheme="majorHAnsi" w:cstheme="majorBidi"/>
      <w:b/>
      <w:bCs/>
      <w:color w:val="4472C4" w:themeColor="accent1"/>
      <w:sz w:val="22"/>
      <w:szCs w:val="20"/>
      <w:lang w:val="en-US"/>
    </w:rPr>
  </w:style>
  <w:style w:type="character" w:customStyle="1" w:styleId="Heading4Char">
    <w:name w:val="Heading 4 Char"/>
    <w:basedOn w:val="DefaultParagraphFont"/>
    <w:link w:val="Heading4"/>
    <w:uiPriority w:val="9"/>
    <w:semiHidden/>
    <w:rsid w:val="00DE08E0"/>
    <w:rPr>
      <w:rFonts w:asciiTheme="majorHAnsi" w:eastAsiaTheme="majorEastAsia" w:hAnsiTheme="majorHAnsi" w:cstheme="majorBidi"/>
      <w:b/>
      <w:bCs/>
      <w:i/>
      <w:iCs/>
      <w:color w:val="4472C4" w:themeColor="accent1"/>
      <w:sz w:val="22"/>
      <w:szCs w:val="20"/>
      <w:lang w:val="en-US"/>
    </w:rPr>
  </w:style>
  <w:style w:type="character" w:customStyle="1" w:styleId="Heading5Char">
    <w:name w:val="Heading 5 Char"/>
    <w:basedOn w:val="DefaultParagraphFont"/>
    <w:link w:val="Heading5"/>
    <w:uiPriority w:val="9"/>
    <w:semiHidden/>
    <w:rsid w:val="00DE08E0"/>
    <w:rPr>
      <w:rFonts w:asciiTheme="majorHAnsi" w:eastAsiaTheme="majorEastAsia" w:hAnsiTheme="majorHAnsi" w:cstheme="majorBidi"/>
      <w:color w:val="1F3763" w:themeColor="accent1" w:themeShade="7F"/>
      <w:sz w:val="22"/>
      <w:szCs w:val="20"/>
      <w:lang w:val="en-US"/>
    </w:rPr>
  </w:style>
  <w:style w:type="character" w:customStyle="1" w:styleId="Heading6Char">
    <w:name w:val="Heading 6 Char"/>
    <w:basedOn w:val="DefaultParagraphFont"/>
    <w:link w:val="Heading6"/>
    <w:uiPriority w:val="9"/>
    <w:semiHidden/>
    <w:rsid w:val="00DE08E0"/>
    <w:rPr>
      <w:rFonts w:asciiTheme="majorHAnsi" w:eastAsiaTheme="majorEastAsia" w:hAnsiTheme="majorHAnsi" w:cstheme="majorBidi"/>
      <w:i/>
      <w:iCs/>
      <w:color w:val="1F3763" w:themeColor="accent1" w:themeShade="7F"/>
      <w:sz w:val="22"/>
      <w:szCs w:val="20"/>
      <w:lang w:val="en-US"/>
    </w:rPr>
  </w:style>
  <w:style w:type="character" w:customStyle="1" w:styleId="Heading7Char">
    <w:name w:val="Heading 7 Char"/>
    <w:basedOn w:val="DefaultParagraphFont"/>
    <w:link w:val="Heading7"/>
    <w:uiPriority w:val="9"/>
    <w:semiHidden/>
    <w:rsid w:val="00DE08E0"/>
    <w:rPr>
      <w:rFonts w:asciiTheme="majorHAnsi" w:eastAsiaTheme="majorEastAsia" w:hAnsiTheme="majorHAnsi" w:cstheme="majorBidi"/>
      <w:i/>
      <w:iCs/>
      <w:color w:val="404040" w:themeColor="text1" w:themeTint="BF"/>
      <w:sz w:val="22"/>
      <w:szCs w:val="20"/>
      <w:lang w:val="en-US"/>
    </w:rPr>
  </w:style>
  <w:style w:type="character" w:customStyle="1" w:styleId="Heading8Char">
    <w:name w:val="Heading 8 Char"/>
    <w:basedOn w:val="DefaultParagraphFont"/>
    <w:link w:val="Heading8"/>
    <w:uiPriority w:val="9"/>
    <w:semiHidden/>
    <w:rsid w:val="00DE08E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DE08E0"/>
    <w:rPr>
      <w:rFonts w:asciiTheme="majorHAnsi" w:eastAsiaTheme="majorEastAsia" w:hAnsiTheme="majorHAnsi" w:cstheme="majorBidi"/>
      <w:i/>
      <w:iCs/>
      <w:color w:val="404040" w:themeColor="text1" w:themeTint="BF"/>
      <w:sz w:val="20"/>
      <w:szCs w:val="20"/>
      <w:lang w:val="en-US"/>
    </w:rPr>
  </w:style>
  <w:style w:type="character" w:styleId="Hyperlink">
    <w:name w:val="Hyperlink"/>
    <w:uiPriority w:val="99"/>
    <w:rsid w:val="00DE08E0"/>
    <w:rPr>
      <w:color w:val="0000FF"/>
      <w:u w:val="single"/>
    </w:rPr>
  </w:style>
  <w:style w:type="paragraph" w:styleId="TOCHeading">
    <w:name w:val="TOC Heading"/>
    <w:basedOn w:val="Heading1"/>
    <w:next w:val="Normal"/>
    <w:uiPriority w:val="39"/>
    <w:unhideWhenUsed/>
    <w:qFormat/>
    <w:rsid w:val="00DE08E0"/>
    <w:pPr>
      <w:tabs>
        <w:tab w:val="clear" w:pos="567"/>
      </w:tabs>
      <w:spacing w:line="276" w:lineRule="auto"/>
      <w:outlineLvl w:val="9"/>
    </w:pPr>
    <w:rPr>
      <w:rFonts w:ascii="Cambria" w:eastAsia="MS Gothic" w:hAnsi="Cambria"/>
      <w:color w:val="365F91"/>
      <w:lang w:eastAsia="ja-JP"/>
    </w:rPr>
  </w:style>
  <w:style w:type="paragraph" w:styleId="TOC1">
    <w:name w:val="toc 1"/>
    <w:basedOn w:val="Normal"/>
    <w:next w:val="Normal"/>
    <w:autoRedefine/>
    <w:uiPriority w:val="39"/>
    <w:rsid w:val="00DE08E0"/>
    <w:pPr>
      <w:tabs>
        <w:tab w:val="clear" w:pos="567"/>
      </w:tabs>
    </w:pPr>
  </w:style>
  <w:style w:type="paragraph" w:styleId="TOC2">
    <w:name w:val="toc 2"/>
    <w:basedOn w:val="Normal"/>
    <w:next w:val="Normal"/>
    <w:autoRedefine/>
    <w:uiPriority w:val="39"/>
    <w:rsid w:val="00DE08E0"/>
    <w:pPr>
      <w:tabs>
        <w:tab w:val="clear" w:pos="567"/>
      </w:tabs>
      <w:ind w:left="220"/>
    </w:pPr>
  </w:style>
  <w:style w:type="paragraph" w:styleId="Header">
    <w:name w:val="header"/>
    <w:basedOn w:val="Normal"/>
    <w:link w:val="HeaderChar"/>
    <w:uiPriority w:val="99"/>
    <w:unhideWhenUsed/>
    <w:rsid w:val="00DE08E0"/>
    <w:pPr>
      <w:tabs>
        <w:tab w:val="clear" w:pos="567"/>
        <w:tab w:val="center" w:pos="4680"/>
        <w:tab w:val="right" w:pos="9360"/>
      </w:tabs>
    </w:pPr>
  </w:style>
  <w:style w:type="character" w:customStyle="1" w:styleId="HeaderChar">
    <w:name w:val="Header Char"/>
    <w:basedOn w:val="DefaultParagraphFont"/>
    <w:link w:val="Header"/>
    <w:uiPriority w:val="99"/>
    <w:rsid w:val="00DE08E0"/>
    <w:rPr>
      <w:rFonts w:ascii="Times New Roman" w:eastAsia="Times New Roman" w:hAnsi="Times New Roman" w:cs="Times New Roman"/>
      <w:sz w:val="22"/>
      <w:szCs w:val="20"/>
      <w:lang w:val="en-US"/>
    </w:rPr>
  </w:style>
  <w:style w:type="paragraph" w:styleId="Footer">
    <w:name w:val="footer"/>
    <w:basedOn w:val="Normal"/>
    <w:link w:val="FooterChar"/>
    <w:unhideWhenUsed/>
    <w:rsid w:val="00DE08E0"/>
    <w:pPr>
      <w:tabs>
        <w:tab w:val="clear" w:pos="567"/>
        <w:tab w:val="center" w:pos="4680"/>
        <w:tab w:val="right" w:pos="9360"/>
      </w:tabs>
    </w:pPr>
  </w:style>
  <w:style w:type="character" w:customStyle="1" w:styleId="FooterChar">
    <w:name w:val="Footer Char"/>
    <w:basedOn w:val="DefaultParagraphFont"/>
    <w:link w:val="Footer"/>
    <w:rsid w:val="00DE08E0"/>
    <w:rPr>
      <w:rFonts w:ascii="Times New Roman" w:eastAsia="Times New Roman" w:hAnsi="Times New Roman" w:cs="Times New Roman"/>
      <w:sz w:val="22"/>
      <w:szCs w:val="20"/>
      <w:lang w:val="en-US"/>
    </w:rPr>
  </w:style>
  <w:style w:type="paragraph" w:styleId="BalloonText">
    <w:name w:val="Balloon Text"/>
    <w:basedOn w:val="Normal"/>
    <w:link w:val="BalloonTextChar"/>
    <w:uiPriority w:val="99"/>
    <w:semiHidden/>
    <w:unhideWhenUsed/>
    <w:rsid w:val="00DE08E0"/>
    <w:rPr>
      <w:rFonts w:ascii="Tahoma" w:hAnsi="Tahoma" w:cs="Tahoma"/>
      <w:sz w:val="16"/>
      <w:szCs w:val="16"/>
    </w:rPr>
  </w:style>
  <w:style w:type="character" w:customStyle="1" w:styleId="BalloonTextChar">
    <w:name w:val="Balloon Text Char"/>
    <w:basedOn w:val="DefaultParagraphFont"/>
    <w:link w:val="BalloonText"/>
    <w:uiPriority w:val="99"/>
    <w:semiHidden/>
    <w:rsid w:val="00DE08E0"/>
    <w:rPr>
      <w:rFonts w:ascii="Tahoma" w:eastAsia="Times New Roman" w:hAnsi="Tahoma" w:cs="Tahoma"/>
      <w:sz w:val="16"/>
      <w:szCs w:val="16"/>
      <w:lang w:val="en-US"/>
    </w:rPr>
  </w:style>
  <w:style w:type="paragraph" w:styleId="BodyText">
    <w:name w:val="Body Text"/>
    <w:link w:val="BodyTextChar"/>
    <w:rsid w:val="00DE08E0"/>
    <w:rPr>
      <w:rFonts w:ascii="Times New Roman" w:eastAsia="Times New Roman" w:hAnsi="Times New Roman" w:cs="Times New Roman"/>
      <w:lang w:val="en-US"/>
    </w:rPr>
  </w:style>
  <w:style w:type="character" w:customStyle="1" w:styleId="BodyTextChar">
    <w:name w:val="Body Text Char"/>
    <w:basedOn w:val="DefaultParagraphFont"/>
    <w:link w:val="BodyText"/>
    <w:rsid w:val="00DE08E0"/>
    <w:rPr>
      <w:rFonts w:ascii="Times New Roman" w:eastAsia="Times New Roman" w:hAnsi="Times New Roman" w:cs="Times New Roman"/>
      <w:lang w:val="en-US"/>
    </w:rPr>
  </w:style>
  <w:style w:type="paragraph" w:styleId="NoSpacing">
    <w:name w:val="No Spacing"/>
    <w:uiPriority w:val="1"/>
    <w:qFormat/>
    <w:rsid w:val="00DE08E0"/>
    <w:rPr>
      <w:rFonts w:ascii="Calibri" w:eastAsia="Calibri" w:hAnsi="Calibri" w:cs="Times New Roman"/>
      <w:sz w:val="22"/>
      <w:szCs w:val="22"/>
      <w:lang w:val="en-US"/>
    </w:rPr>
  </w:style>
  <w:style w:type="character" w:styleId="CommentReference">
    <w:name w:val="annotation reference"/>
    <w:basedOn w:val="DefaultParagraphFont"/>
    <w:uiPriority w:val="99"/>
    <w:unhideWhenUsed/>
    <w:rsid w:val="00DE08E0"/>
    <w:rPr>
      <w:sz w:val="16"/>
      <w:szCs w:val="16"/>
    </w:rPr>
  </w:style>
  <w:style w:type="paragraph" w:styleId="CommentText">
    <w:name w:val="annotation text"/>
    <w:basedOn w:val="Normal"/>
    <w:link w:val="CommentTextChar"/>
    <w:unhideWhenUsed/>
    <w:rsid w:val="00DE08E0"/>
    <w:rPr>
      <w:sz w:val="20"/>
    </w:rPr>
  </w:style>
  <w:style w:type="character" w:customStyle="1" w:styleId="CommentTextChar">
    <w:name w:val="Comment Text Char"/>
    <w:basedOn w:val="DefaultParagraphFont"/>
    <w:link w:val="CommentText"/>
    <w:rsid w:val="00DE08E0"/>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DE08E0"/>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DE08E0"/>
    <w:rPr>
      <w:b/>
      <w:bCs/>
    </w:rPr>
  </w:style>
  <w:style w:type="paragraph" w:customStyle="1" w:styleId="labeltext">
    <w:name w:val="label text"/>
    <w:link w:val="labeltextChar"/>
    <w:uiPriority w:val="99"/>
    <w:rsid w:val="00DE08E0"/>
    <w:rPr>
      <w:rFonts w:ascii="Times New Roman" w:eastAsia="SimSun" w:hAnsi="Times New Roman" w:cs="Times New Roman"/>
      <w:sz w:val="20"/>
      <w:szCs w:val="20"/>
      <w:lang w:val="en-US"/>
    </w:rPr>
  </w:style>
  <w:style w:type="character" w:customStyle="1" w:styleId="labeltextChar">
    <w:name w:val="label text Char"/>
    <w:link w:val="labeltext"/>
    <w:uiPriority w:val="99"/>
    <w:locked/>
    <w:rsid w:val="00DE08E0"/>
    <w:rPr>
      <w:rFonts w:ascii="Times New Roman" w:eastAsia="SimSun" w:hAnsi="Times New Roman" w:cs="Times New Roman"/>
      <w:sz w:val="20"/>
      <w:szCs w:val="20"/>
      <w:lang w:val="en-US"/>
    </w:rPr>
  </w:style>
  <w:style w:type="paragraph" w:styleId="EndnoteText">
    <w:name w:val="endnote text"/>
    <w:basedOn w:val="Normal"/>
    <w:next w:val="Normal"/>
    <w:link w:val="EndnoteTextChar"/>
    <w:rsid w:val="00DE08E0"/>
    <w:pPr>
      <w:tabs>
        <w:tab w:val="clear" w:pos="567"/>
      </w:tabs>
    </w:pPr>
  </w:style>
  <w:style w:type="character" w:customStyle="1" w:styleId="EndnoteTextChar">
    <w:name w:val="Endnote Text Char"/>
    <w:basedOn w:val="DefaultParagraphFont"/>
    <w:link w:val="EndnoteText"/>
    <w:rsid w:val="00DE08E0"/>
    <w:rPr>
      <w:rFonts w:ascii="Times New Roman" w:eastAsia="Times New Roman" w:hAnsi="Times New Roman" w:cs="Times New Roman"/>
      <w:sz w:val="22"/>
      <w:szCs w:val="20"/>
      <w:lang w:val="en-US"/>
    </w:rPr>
  </w:style>
  <w:style w:type="character" w:styleId="EndnoteReference">
    <w:name w:val="endnote reference"/>
    <w:rsid w:val="00DE08E0"/>
    <w:rPr>
      <w:vertAlign w:val="superscript"/>
    </w:rPr>
  </w:style>
  <w:style w:type="paragraph" w:customStyle="1" w:styleId="Body">
    <w:name w:val="Body"/>
    <w:basedOn w:val="Normal"/>
    <w:link w:val="BodyChar1"/>
    <w:rsid w:val="00DE08E0"/>
    <w:pPr>
      <w:tabs>
        <w:tab w:val="clear" w:pos="567"/>
      </w:tabs>
      <w:ind w:firstLine="288"/>
      <w:jc w:val="both"/>
    </w:pPr>
    <w:rPr>
      <w:rFonts w:ascii="Arial" w:hAnsi="Arial"/>
      <w:sz w:val="20"/>
    </w:rPr>
  </w:style>
  <w:style w:type="character" w:customStyle="1" w:styleId="BodyChar1">
    <w:name w:val="Body Char1"/>
    <w:link w:val="Body"/>
    <w:rsid w:val="00DE08E0"/>
    <w:rPr>
      <w:rFonts w:ascii="Arial" w:eastAsia="Times New Roman" w:hAnsi="Arial" w:cs="Times New Roman"/>
      <w:sz w:val="20"/>
      <w:szCs w:val="20"/>
      <w:lang w:val="en-US"/>
    </w:rPr>
  </w:style>
  <w:style w:type="table" w:styleId="TableGrid">
    <w:name w:val="Table Grid"/>
    <w:basedOn w:val="TableNormal"/>
    <w:uiPriority w:val="59"/>
    <w:rsid w:val="00DE08E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8E0"/>
    <w:pPr>
      <w:ind w:left="720"/>
      <w:contextualSpacing/>
    </w:pPr>
  </w:style>
  <w:style w:type="character" w:customStyle="1" w:styleId="s9">
    <w:name w:val="s9"/>
    <w:basedOn w:val="DefaultParagraphFont"/>
    <w:rsid w:val="00DE08E0"/>
  </w:style>
  <w:style w:type="character" w:customStyle="1" w:styleId="s14">
    <w:name w:val="s14"/>
    <w:basedOn w:val="DefaultParagraphFont"/>
    <w:rsid w:val="00DE08E0"/>
  </w:style>
  <w:style w:type="paragraph" w:styleId="Caption">
    <w:name w:val="caption"/>
    <w:aliases w:val="Caption 3,c,appendix,Caption 1,Caption Char1 Char Char,Caption Char Char Char Char, Char Char Char Char Char,Caption Char Char1,Char Char Char Char Char,appendix Cha,! Q,Caption Char1"/>
    <w:next w:val="Normal"/>
    <w:link w:val="CaptionChar"/>
    <w:qFormat/>
    <w:rsid w:val="00DE08E0"/>
    <w:pPr>
      <w:keepNext/>
      <w:widowControl w:val="0"/>
      <w:spacing w:before="120" w:after="60"/>
      <w:ind w:left="1440" w:hanging="1440"/>
    </w:pPr>
    <w:rPr>
      <w:rFonts w:ascii="Times New Roman Bold" w:eastAsia="Times New Roman" w:hAnsi="Times New Roman Bold" w:cs="Times New Roman"/>
      <w:b/>
      <w:bCs/>
      <w:snapToGrid w:val="0"/>
      <w:szCs w:val="20"/>
      <w:lang w:val="en-US"/>
    </w:rPr>
  </w:style>
  <w:style w:type="character" w:customStyle="1" w:styleId="CaptionChar">
    <w:name w:val="Caption Char"/>
    <w:aliases w:val="Caption 3 Char,c Char,appendix Char,Caption 1 Char,Caption Char1 Char Char Char,Caption Char Char Char Char Char, Char Char Char Char Char Char,Caption Char Char1 Char,Char Char Char Char Char Char,appendix Cha Char,! Q Char"/>
    <w:link w:val="Caption"/>
    <w:rsid w:val="00DE08E0"/>
    <w:rPr>
      <w:rFonts w:ascii="Times New Roman Bold" w:eastAsia="Times New Roman" w:hAnsi="Times New Roman Bold" w:cs="Times New Roman"/>
      <w:b/>
      <w:bCs/>
      <w:snapToGrid w:val="0"/>
      <w:szCs w:val="20"/>
      <w:lang w:val="en-US"/>
    </w:rPr>
  </w:style>
  <w:style w:type="paragraph" w:customStyle="1" w:styleId="tabletextleftjustified">
    <w:name w:val="table text left justified"/>
    <w:link w:val="tabletextleftjustifiedChar"/>
    <w:rsid w:val="00DE08E0"/>
    <w:pPr>
      <w:spacing w:before="20" w:after="20"/>
    </w:pPr>
    <w:rPr>
      <w:rFonts w:ascii="Times New Roman" w:eastAsia="Times New Roman" w:hAnsi="Times New Roman" w:cs="Times New Roman"/>
      <w:sz w:val="20"/>
      <w:szCs w:val="20"/>
      <w:lang w:val="en-US"/>
    </w:rPr>
  </w:style>
  <w:style w:type="character" w:customStyle="1" w:styleId="tabletextleftjustifiedChar">
    <w:name w:val="table text left justified Char"/>
    <w:link w:val="tabletextleftjustified"/>
    <w:rsid w:val="00DE08E0"/>
    <w:rPr>
      <w:rFonts w:ascii="Times New Roman" w:eastAsia="Times New Roman" w:hAnsi="Times New Roman" w:cs="Times New Roman"/>
      <w:sz w:val="20"/>
      <w:szCs w:val="20"/>
      <w:lang w:val="en-US"/>
    </w:rPr>
  </w:style>
  <w:style w:type="paragraph" w:customStyle="1" w:styleId="tablefootnote">
    <w:name w:val="table footnote"/>
    <w:link w:val="tablefootnoteChar"/>
    <w:rsid w:val="00DE08E0"/>
    <w:pPr>
      <w:tabs>
        <w:tab w:val="left" w:pos="360"/>
      </w:tabs>
      <w:ind w:left="360" w:hanging="360"/>
    </w:pPr>
    <w:rPr>
      <w:rFonts w:ascii="Times New Roman" w:eastAsia="Times New Roman" w:hAnsi="Times New Roman" w:cs="Times New Roman"/>
      <w:sz w:val="20"/>
      <w:szCs w:val="20"/>
      <w:lang w:val="en-US"/>
    </w:rPr>
  </w:style>
  <w:style w:type="character" w:customStyle="1" w:styleId="tablefootnoteChar">
    <w:name w:val="table footnote Char"/>
    <w:link w:val="tablefootnote"/>
    <w:rsid w:val="00DE08E0"/>
    <w:rPr>
      <w:rFonts w:ascii="Times New Roman" w:eastAsia="Times New Roman" w:hAnsi="Times New Roman" w:cs="Times New Roman"/>
      <w:sz w:val="20"/>
      <w:szCs w:val="20"/>
      <w:lang w:val="en-US"/>
    </w:rPr>
  </w:style>
  <w:style w:type="paragraph" w:customStyle="1" w:styleId="tabletextcenterjustified">
    <w:name w:val="table text center justified"/>
    <w:link w:val="tabletextcenterjustifiedChar"/>
    <w:rsid w:val="00DE08E0"/>
    <w:pPr>
      <w:spacing w:before="20" w:after="20"/>
      <w:jc w:val="center"/>
    </w:pPr>
    <w:rPr>
      <w:rFonts w:ascii="Times New Roman" w:eastAsia="Times New Roman" w:hAnsi="Times New Roman" w:cs="Times New Roman"/>
      <w:sz w:val="20"/>
      <w:szCs w:val="20"/>
      <w:lang w:val="en-US"/>
    </w:rPr>
  </w:style>
  <w:style w:type="character" w:customStyle="1" w:styleId="tabletextcenterjustifiedChar">
    <w:name w:val="table text center justified Char"/>
    <w:link w:val="tabletextcenterjustified"/>
    <w:rsid w:val="00DE08E0"/>
    <w:rPr>
      <w:rFonts w:ascii="Times New Roman" w:eastAsia="Times New Roman" w:hAnsi="Times New Roman" w:cs="Times New Roman"/>
      <w:sz w:val="20"/>
      <w:szCs w:val="20"/>
      <w:lang w:val="en-US"/>
    </w:rPr>
  </w:style>
  <w:style w:type="paragraph" w:customStyle="1" w:styleId="documenttext">
    <w:name w:val="document text"/>
    <w:link w:val="documenttextChar"/>
    <w:qFormat/>
    <w:rsid w:val="00DE08E0"/>
    <w:pPr>
      <w:spacing w:after="120"/>
    </w:pPr>
    <w:rPr>
      <w:rFonts w:ascii="Times New Roman" w:eastAsia="Times New Roman" w:hAnsi="Times New Roman" w:cs="Times New Roman"/>
      <w:szCs w:val="20"/>
      <w:lang w:val="en-US"/>
    </w:rPr>
  </w:style>
  <w:style w:type="character" w:customStyle="1" w:styleId="documenttextChar">
    <w:name w:val="document text Char"/>
    <w:link w:val="documenttext"/>
    <w:rsid w:val="00DE08E0"/>
    <w:rPr>
      <w:rFonts w:ascii="Times New Roman" w:eastAsia="Times New Roman" w:hAnsi="Times New Roman" w:cs="Times New Roman"/>
      <w:szCs w:val="20"/>
      <w:lang w:val="en-US"/>
    </w:rPr>
  </w:style>
  <w:style w:type="character" w:customStyle="1" w:styleId="documenttextChar1">
    <w:name w:val="document text Char1"/>
    <w:uiPriority w:val="99"/>
    <w:rsid w:val="00DE08E0"/>
    <w:rPr>
      <w:sz w:val="24"/>
    </w:rPr>
  </w:style>
  <w:style w:type="paragraph" w:customStyle="1" w:styleId="Default">
    <w:name w:val="Default"/>
    <w:rsid w:val="00DE08E0"/>
    <w:pPr>
      <w:autoSpaceDE w:val="0"/>
      <w:autoSpaceDN w:val="0"/>
      <w:adjustRightInd w:val="0"/>
    </w:pPr>
    <w:rPr>
      <w:rFonts w:ascii="Myriad Pro" w:eastAsia="MS Mincho" w:hAnsi="Myriad Pro" w:cs="Myriad Pro"/>
      <w:color w:val="000000"/>
      <w:lang w:val="en-US" w:eastAsia="ja-JP"/>
    </w:rPr>
  </w:style>
  <w:style w:type="character" w:customStyle="1" w:styleId="DocumentTextChar0">
    <w:name w:val="Document Text Char"/>
    <w:link w:val="DocumentText0"/>
    <w:rsid w:val="00DE08E0"/>
  </w:style>
  <w:style w:type="paragraph" w:customStyle="1" w:styleId="DocumentText0">
    <w:name w:val="Document Text"/>
    <w:link w:val="DocumentTextChar0"/>
    <w:rsid w:val="00DE08E0"/>
    <w:pPr>
      <w:spacing w:after="120"/>
      <w:ind w:left="-1"/>
    </w:pPr>
  </w:style>
  <w:style w:type="character" w:customStyle="1" w:styleId="BodyText2Char">
    <w:name w:val="Body Text 2 Char"/>
    <w:basedOn w:val="DefaultParagraphFont"/>
    <w:link w:val="BodyText2"/>
    <w:uiPriority w:val="99"/>
    <w:semiHidden/>
    <w:rsid w:val="00DE08E0"/>
    <w:rPr>
      <w:rFonts w:ascii="Times New Roman" w:eastAsia="Times New Roman" w:hAnsi="Times New Roman" w:cs="Times New Roman"/>
      <w:sz w:val="22"/>
      <w:szCs w:val="20"/>
      <w:lang w:val="en-US"/>
    </w:rPr>
  </w:style>
  <w:style w:type="paragraph" w:styleId="BodyText2">
    <w:name w:val="Body Text 2"/>
    <w:basedOn w:val="Normal"/>
    <w:link w:val="BodyText2Char"/>
    <w:uiPriority w:val="99"/>
    <w:semiHidden/>
    <w:unhideWhenUsed/>
    <w:rsid w:val="00DE08E0"/>
    <w:pPr>
      <w:spacing w:after="120" w:line="480" w:lineRule="auto"/>
    </w:pPr>
  </w:style>
  <w:style w:type="table" w:styleId="LightGrid">
    <w:name w:val="Light Grid"/>
    <w:basedOn w:val="TableNormal"/>
    <w:uiPriority w:val="62"/>
    <w:rsid w:val="000077B8"/>
    <w:rPr>
      <w:sz w:val="22"/>
      <w:szCs w:val="22"/>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8D42D2"/>
    <w:pPr>
      <w:tabs>
        <w:tab w:val="clear" w:pos="567"/>
      </w:tabs>
      <w:spacing w:before="100" w:beforeAutospacing="1" w:after="100" w:afterAutospacing="1"/>
    </w:pPr>
    <w:rPr>
      <w:rFonts w:eastAsiaTheme="minorHAnsi"/>
      <w:sz w:val="24"/>
      <w:szCs w:val="24"/>
      <w:lang w:val="en-GB" w:eastAsia="en-GB"/>
    </w:rPr>
  </w:style>
  <w:style w:type="paragraph" w:styleId="Revision">
    <w:name w:val="Revision"/>
    <w:hidden/>
    <w:uiPriority w:val="99"/>
    <w:semiHidden/>
    <w:rsid w:val="00EB1AEC"/>
    <w:rPr>
      <w:rFonts w:ascii="Times New Roman" w:eastAsia="Times New Roman" w:hAnsi="Times New Roman" w:cs="Times New Roman"/>
      <w:sz w:val="22"/>
      <w:szCs w:val="20"/>
      <w:lang w:val="en-US"/>
    </w:rPr>
  </w:style>
  <w:style w:type="character" w:styleId="LineNumber">
    <w:name w:val="line number"/>
    <w:basedOn w:val="DefaultParagraphFont"/>
    <w:uiPriority w:val="99"/>
    <w:semiHidden/>
    <w:unhideWhenUsed/>
    <w:rsid w:val="00DB3285"/>
  </w:style>
  <w:style w:type="character" w:customStyle="1" w:styleId="UnresolvedMention">
    <w:name w:val="Unresolved Mention"/>
    <w:basedOn w:val="DefaultParagraphFont"/>
    <w:uiPriority w:val="99"/>
    <w:semiHidden/>
    <w:unhideWhenUsed/>
    <w:rsid w:val="004B37B7"/>
    <w:rPr>
      <w:color w:val="605E5C"/>
      <w:shd w:val="clear" w:color="auto" w:fill="E1DFDD"/>
    </w:rPr>
  </w:style>
  <w:style w:type="character" w:customStyle="1" w:styleId="normaltextrun">
    <w:name w:val="normaltextrun"/>
    <w:basedOn w:val="DefaultParagraphFont"/>
    <w:rsid w:val="00EE317D"/>
  </w:style>
  <w:style w:type="character" w:customStyle="1" w:styleId="eop">
    <w:name w:val="eop"/>
    <w:basedOn w:val="DefaultParagraphFont"/>
    <w:rsid w:val="00EE317D"/>
  </w:style>
  <w:style w:type="character" w:styleId="FollowedHyperlink">
    <w:name w:val="FollowedHyperlink"/>
    <w:basedOn w:val="DefaultParagraphFont"/>
    <w:uiPriority w:val="99"/>
    <w:semiHidden/>
    <w:unhideWhenUsed/>
    <w:rsid w:val="007B2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204">
      <w:bodyDiv w:val="1"/>
      <w:marLeft w:val="0"/>
      <w:marRight w:val="0"/>
      <w:marTop w:val="0"/>
      <w:marBottom w:val="0"/>
      <w:divBdr>
        <w:top w:val="none" w:sz="0" w:space="0" w:color="auto"/>
        <w:left w:val="none" w:sz="0" w:space="0" w:color="auto"/>
        <w:bottom w:val="none" w:sz="0" w:space="0" w:color="auto"/>
        <w:right w:val="none" w:sz="0" w:space="0" w:color="auto"/>
      </w:divBdr>
      <w:divsChild>
        <w:div w:id="320473536">
          <w:marLeft w:val="360"/>
          <w:marRight w:val="0"/>
          <w:marTop w:val="58"/>
          <w:marBottom w:val="0"/>
          <w:divBdr>
            <w:top w:val="none" w:sz="0" w:space="0" w:color="auto"/>
            <w:left w:val="none" w:sz="0" w:space="0" w:color="auto"/>
            <w:bottom w:val="none" w:sz="0" w:space="0" w:color="auto"/>
            <w:right w:val="none" w:sz="0" w:space="0" w:color="auto"/>
          </w:divBdr>
        </w:div>
        <w:div w:id="1338801298">
          <w:marLeft w:val="360"/>
          <w:marRight w:val="0"/>
          <w:marTop w:val="58"/>
          <w:marBottom w:val="0"/>
          <w:divBdr>
            <w:top w:val="none" w:sz="0" w:space="0" w:color="auto"/>
            <w:left w:val="none" w:sz="0" w:space="0" w:color="auto"/>
            <w:bottom w:val="none" w:sz="0" w:space="0" w:color="auto"/>
            <w:right w:val="none" w:sz="0" w:space="0" w:color="auto"/>
          </w:divBdr>
        </w:div>
        <w:div w:id="1959485619">
          <w:marLeft w:val="360"/>
          <w:marRight w:val="0"/>
          <w:marTop w:val="58"/>
          <w:marBottom w:val="0"/>
          <w:divBdr>
            <w:top w:val="none" w:sz="0" w:space="0" w:color="auto"/>
            <w:left w:val="none" w:sz="0" w:space="0" w:color="auto"/>
            <w:bottom w:val="none" w:sz="0" w:space="0" w:color="auto"/>
            <w:right w:val="none" w:sz="0" w:space="0" w:color="auto"/>
          </w:divBdr>
        </w:div>
      </w:divsChild>
    </w:div>
    <w:div w:id="51976188">
      <w:bodyDiv w:val="1"/>
      <w:marLeft w:val="0"/>
      <w:marRight w:val="0"/>
      <w:marTop w:val="0"/>
      <w:marBottom w:val="0"/>
      <w:divBdr>
        <w:top w:val="none" w:sz="0" w:space="0" w:color="auto"/>
        <w:left w:val="none" w:sz="0" w:space="0" w:color="auto"/>
        <w:bottom w:val="none" w:sz="0" w:space="0" w:color="auto"/>
        <w:right w:val="none" w:sz="0" w:space="0" w:color="auto"/>
      </w:divBdr>
    </w:div>
    <w:div w:id="261106703">
      <w:bodyDiv w:val="1"/>
      <w:marLeft w:val="0"/>
      <w:marRight w:val="0"/>
      <w:marTop w:val="0"/>
      <w:marBottom w:val="0"/>
      <w:divBdr>
        <w:top w:val="none" w:sz="0" w:space="0" w:color="auto"/>
        <w:left w:val="none" w:sz="0" w:space="0" w:color="auto"/>
        <w:bottom w:val="none" w:sz="0" w:space="0" w:color="auto"/>
        <w:right w:val="none" w:sz="0" w:space="0" w:color="auto"/>
      </w:divBdr>
    </w:div>
    <w:div w:id="309486661">
      <w:bodyDiv w:val="1"/>
      <w:marLeft w:val="0"/>
      <w:marRight w:val="0"/>
      <w:marTop w:val="0"/>
      <w:marBottom w:val="0"/>
      <w:divBdr>
        <w:top w:val="none" w:sz="0" w:space="0" w:color="auto"/>
        <w:left w:val="none" w:sz="0" w:space="0" w:color="auto"/>
        <w:bottom w:val="none" w:sz="0" w:space="0" w:color="auto"/>
        <w:right w:val="none" w:sz="0" w:space="0" w:color="auto"/>
      </w:divBdr>
    </w:div>
    <w:div w:id="495346689">
      <w:bodyDiv w:val="1"/>
      <w:marLeft w:val="0"/>
      <w:marRight w:val="0"/>
      <w:marTop w:val="0"/>
      <w:marBottom w:val="0"/>
      <w:divBdr>
        <w:top w:val="none" w:sz="0" w:space="0" w:color="auto"/>
        <w:left w:val="none" w:sz="0" w:space="0" w:color="auto"/>
        <w:bottom w:val="none" w:sz="0" w:space="0" w:color="auto"/>
        <w:right w:val="none" w:sz="0" w:space="0" w:color="auto"/>
      </w:divBdr>
    </w:div>
    <w:div w:id="568535499">
      <w:bodyDiv w:val="1"/>
      <w:marLeft w:val="0"/>
      <w:marRight w:val="0"/>
      <w:marTop w:val="0"/>
      <w:marBottom w:val="0"/>
      <w:divBdr>
        <w:top w:val="none" w:sz="0" w:space="0" w:color="auto"/>
        <w:left w:val="none" w:sz="0" w:space="0" w:color="auto"/>
        <w:bottom w:val="none" w:sz="0" w:space="0" w:color="auto"/>
        <w:right w:val="none" w:sz="0" w:space="0" w:color="auto"/>
      </w:divBdr>
    </w:div>
    <w:div w:id="638656793">
      <w:bodyDiv w:val="1"/>
      <w:marLeft w:val="0"/>
      <w:marRight w:val="0"/>
      <w:marTop w:val="0"/>
      <w:marBottom w:val="0"/>
      <w:divBdr>
        <w:top w:val="none" w:sz="0" w:space="0" w:color="auto"/>
        <w:left w:val="none" w:sz="0" w:space="0" w:color="auto"/>
        <w:bottom w:val="none" w:sz="0" w:space="0" w:color="auto"/>
        <w:right w:val="none" w:sz="0" w:space="0" w:color="auto"/>
      </w:divBdr>
    </w:div>
    <w:div w:id="688338517">
      <w:bodyDiv w:val="1"/>
      <w:marLeft w:val="0"/>
      <w:marRight w:val="0"/>
      <w:marTop w:val="0"/>
      <w:marBottom w:val="0"/>
      <w:divBdr>
        <w:top w:val="none" w:sz="0" w:space="0" w:color="auto"/>
        <w:left w:val="none" w:sz="0" w:space="0" w:color="auto"/>
        <w:bottom w:val="none" w:sz="0" w:space="0" w:color="auto"/>
        <w:right w:val="none" w:sz="0" w:space="0" w:color="auto"/>
      </w:divBdr>
    </w:div>
    <w:div w:id="716054006">
      <w:bodyDiv w:val="1"/>
      <w:marLeft w:val="0"/>
      <w:marRight w:val="0"/>
      <w:marTop w:val="0"/>
      <w:marBottom w:val="0"/>
      <w:divBdr>
        <w:top w:val="none" w:sz="0" w:space="0" w:color="auto"/>
        <w:left w:val="none" w:sz="0" w:space="0" w:color="auto"/>
        <w:bottom w:val="none" w:sz="0" w:space="0" w:color="auto"/>
        <w:right w:val="none" w:sz="0" w:space="0" w:color="auto"/>
      </w:divBdr>
      <w:divsChild>
        <w:div w:id="240722841">
          <w:marLeft w:val="547"/>
          <w:marRight w:val="0"/>
          <w:marTop w:val="96"/>
          <w:marBottom w:val="0"/>
          <w:divBdr>
            <w:top w:val="none" w:sz="0" w:space="0" w:color="auto"/>
            <w:left w:val="none" w:sz="0" w:space="0" w:color="auto"/>
            <w:bottom w:val="none" w:sz="0" w:space="0" w:color="auto"/>
            <w:right w:val="none" w:sz="0" w:space="0" w:color="auto"/>
          </w:divBdr>
        </w:div>
        <w:div w:id="725639182">
          <w:marLeft w:val="547"/>
          <w:marRight w:val="0"/>
          <w:marTop w:val="96"/>
          <w:marBottom w:val="0"/>
          <w:divBdr>
            <w:top w:val="none" w:sz="0" w:space="0" w:color="auto"/>
            <w:left w:val="none" w:sz="0" w:space="0" w:color="auto"/>
            <w:bottom w:val="none" w:sz="0" w:space="0" w:color="auto"/>
            <w:right w:val="none" w:sz="0" w:space="0" w:color="auto"/>
          </w:divBdr>
        </w:div>
      </w:divsChild>
    </w:div>
    <w:div w:id="814030994">
      <w:bodyDiv w:val="1"/>
      <w:marLeft w:val="0"/>
      <w:marRight w:val="0"/>
      <w:marTop w:val="0"/>
      <w:marBottom w:val="0"/>
      <w:divBdr>
        <w:top w:val="none" w:sz="0" w:space="0" w:color="auto"/>
        <w:left w:val="none" w:sz="0" w:space="0" w:color="auto"/>
        <w:bottom w:val="none" w:sz="0" w:space="0" w:color="auto"/>
        <w:right w:val="none" w:sz="0" w:space="0" w:color="auto"/>
      </w:divBdr>
    </w:div>
    <w:div w:id="974287585">
      <w:bodyDiv w:val="1"/>
      <w:marLeft w:val="0"/>
      <w:marRight w:val="0"/>
      <w:marTop w:val="0"/>
      <w:marBottom w:val="0"/>
      <w:divBdr>
        <w:top w:val="none" w:sz="0" w:space="0" w:color="auto"/>
        <w:left w:val="none" w:sz="0" w:space="0" w:color="auto"/>
        <w:bottom w:val="none" w:sz="0" w:space="0" w:color="auto"/>
        <w:right w:val="none" w:sz="0" w:space="0" w:color="auto"/>
      </w:divBdr>
    </w:div>
    <w:div w:id="984510987">
      <w:bodyDiv w:val="1"/>
      <w:marLeft w:val="0"/>
      <w:marRight w:val="0"/>
      <w:marTop w:val="0"/>
      <w:marBottom w:val="0"/>
      <w:divBdr>
        <w:top w:val="none" w:sz="0" w:space="0" w:color="auto"/>
        <w:left w:val="none" w:sz="0" w:space="0" w:color="auto"/>
        <w:bottom w:val="none" w:sz="0" w:space="0" w:color="auto"/>
        <w:right w:val="none" w:sz="0" w:space="0" w:color="auto"/>
      </w:divBdr>
    </w:div>
    <w:div w:id="1097287865">
      <w:bodyDiv w:val="1"/>
      <w:marLeft w:val="0"/>
      <w:marRight w:val="0"/>
      <w:marTop w:val="0"/>
      <w:marBottom w:val="0"/>
      <w:divBdr>
        <w:top w:val="none" w:sz="0" w:space="0" w:color="auto"/>
        <w:left w:val="none" w:sz="0" w:space="0" w:color="auto"/>
        <w:bottom w:val="none" w:sz="0" w:space="0" w:color="auto"/>
        <w:right w:val="none" w:sz="0" w:space="0" w:color="auto"/>
      </w:divBdr>
    </w:div>
    <w:div w:id="1097747897">
      <w:bodyDiv w:val="1"/>
      <w:marLeft w:val="0"/>
      <w:marRight w:val="0"/>
      <w:marTop w:val="0"/>
      <w:marBottom w:val="0"/>
      <w:divBdr>
        <w:top w:val="none" w:sz="0" w:space="0" w:color="auto"/>
        <w:left w:val="none" w:sz="0" w:space="0" w:color="auto"/>
        <w:bottom w:val="none" w:sz="0" w:space="0" w:color="auto"/>
        <w:right w:val="none" w:sz="0" w:space="0" w:color="auto"/>
      </w:divBdr>
    </w:div>
    <w:div w:id="1200435764">
      <w:bodyDiv w:val="1"/>
      <w:marLeft w:val="0"/>
      <w:marRight w:val="0"/>
      <w:marTop w:val="0"/>
      <w:marBottom w:val="0"/>
      <w:divBdr>
        <w:top w:val="none" w:sz="0" w:space="0" w:color="auto"/>
        <w:left w:val="none" w:sz="0" w:space="0" w:color="auto"/>
        <w:bottom w:val="none" w:sz="0" w:space="0" w:color="auto"/>
        <w:right w:val="none" w:sz="0" w:space="0" w:color="auto"/>
      </w:divBdr>
    </w:div>
    <w:div w:id="1238783434">
      <w:bodyDiv w:val="1"/>
      <w:marLeft w:val="0"/>
      <w:marRight w:val="0"/>
      <w:marTop w:val="0"/>
      <w:marBottom w:val="0"/>
      <w:divBdr>
        <w:top w:val="none" w:sz="0" w:space="0" w:color="auto"/>
        <w:left w:val="none" w:sz="0" w:space="0" w:color="auto"/>
        <w:bottom w:val="none" w:sz="0" w:space="0" w:color="auto"/>
        <w:right w:val="none" w:sz="0" w:space="0" w:color="auto"/>
      </w:divBdr>
    </w:div>
    <w:div w:id="1316179068">
      <w:bodyDiv w:val="1"/>
      <w:marLeft w:val="0"/>
      <w:marRight w:val="0"/>
      <w:marTop w:val="0"/>
      <w:marBottom w:val="0"/>
      <w:divBdr>
        <w:top w:val="none" w:sz="0" w:space="0" w:color="auto"/>
        <w:left w:val="none" w:sz="0" w:space="0" w:color="auto"/>
        <w:bottom w:val="none" w:sz="0" w:space="0" w:color="auto"/>
        <w:right w:val="none" w:sz="0" w:space="0" w:color="auto"/>
      </w:divBdr>
    </w:div>
    <w:div w:id="1521626395">
      <w:bodyDiv w:val="1"/>
      <w:marLeft w:val="0"/>
      <w:marRight w:val="0"/>
      <w:marTop w:val="0"/>
      <w:marBottom w:val="0"/>
      <w:divBdr>
        <w:top w:val="none" w:sz="0" w:space="0" w:color="auto"/>
        <w:left w:val="none" w:sz="0" w:space="0" w:color="auto"/>
        <w:bottom w:val="none" w:sz="0" w:space="0" w:color="auto"/>
        <w:right w:val="none" w:sz="0" w:space="0" w:color="auto"/>
      </w:divBdr>
    </w:div>
    <w:div w:id="1524900512">
      <w:bodyDiv w:val="1"/>
      <w:marLeft w:val="0"/>
      <w:marRight w:val="0"/>
      <w:marTop w:val="0"/>
      <w:marBottom w:val="0"/>
      <w:divBdr>
        <w:top w:val="none" w:sz="0" w:space="0" w:color="auto"/>
        <w:left w:val="none" w:sz="0" w:space="0" w:color="auto"/>
        <w:bottom w:val="none" w:sz="0" w:space="0" w:color="auto"/>
        <w:right w:val="none" w:sz="0" w:space="0" w:color="auto"/>
      </w:divBdr>
    </w:div>
    <w:div w:id="1624000569">
      <w:bodyDiv w:val="1"/>
      <w:marLeft w:val="0"/>
      <w:marRight w:val="0"/>
      <w:marTop w:val="0"/>
      <w:marBottom w:val="0"/>
      <w:divBdr>
        <w:top w:val="none" w:sz="0" w:space="0" w:color="auto"/>
        <w:left w:val="none" w:sz="0" w:space="0" w:color="auto"/>
        <w:bottom w:val="none" w:sz="0" w:space="0" w:color="auto"/>
        <w:right w:val="none" w:sz="0" w:space="0" w:color="auto"/>
      </w:divBdr>
    </w:div>
    <w:div w:id="1682319141">
      <w:bodyDiv w:val="1"/>
      <w:marLeft w:val="0"/>
      <w:marRight w:val="0"/>
      <w:marTop w:val="0"/>
      <w:marBottom w:val="0"/>
      <w:divBdr>
        <w:top w:val="none" w:sz="0" w:space="0" w:color="auto"/>
        <w:left w:val="none" w:sz="0" w:space="0" w:color="auto"/>
        <w:bottom w:val="none" w:sz="0" w:space="0" w:color="auto"/>
        <w:right w:val="none" w:sz="0" w:space="0" w:color="auto"/>
      </w:divBdr>
    </w:div>
    <w:div w:id="1910455372">
      <w:bodyDiv w:val="1"/>
      <w:marLeft w:val="0"/>
      <w:marRight w:val="0"/>
      <w:marTop w:val="0"/>
      <w:marBottom w:val="0"/>
      <w:divBdr>
        <w:top w:val="none" w:sz="0" w:space="0" w:color="auto"/>
        <w:left w:val="none" w:sz="0" w:space="0" w:color="auto"/>
        <w:bottom w:val="none" w:sz="0" w:space="0" w:color="auto"/>
        <w:right w:val="none" w:sz="0" w:space="0" w:color="auto"/>
      </w:divBdr>
    </w:div>
    <w:div w:id="1913082034">
      <w:bodyDiv w:val="1"/>
      <w:marLeft w:val="0"/>
      <w:marRight w:val="0"/>
      <w:marTop w:val="0"/>
      <w:marBottom w:val="0"/>
      <w:divBdr>
        <w:top w:val="none" w:sz="0" w:space="0" w:color="auto"/>
        <w:left w:val="none" w:sz="0" w:space="0" w:color="auto"/>
        <w:bottom w:val="none" w:sz="0" w:space="0" w:color="auto"/>
        <w:right w:val="none" w:sz="0" w:space="0" w:color="auto"/>
      </w:divBdr>
    </w:div>
    <w:div w:id="1947498891">
      <w:bodyDiv w:val="1"/>
      <w:marLeft w:val="0"/>
      <w:marRight w:val="0"/>
      <w:marTop w:val="0"/>
      <w:marBottom w:val="0"/>
      <w:divBdr>
        <w:top w:val="none" w:sz="0" w:space="0" w:color="auto"/>
        <w:left w:val="none" w:sz="0" w:space="0" w:color="auto"/>
        <w:bottom w:val="none" w:sz="0" w:space="0" w:color="auto"/>
        <w:right w:val="none" w:sz="0" w:space="0" w:color="auto"/>
      </w:divBdr>
    </w:div>
    <w:div w:id="1988631330">
      <w:bodyDiv w:val="1"/>
      <w:marLeft w:val="0"/>
      <w:marRight w:val="0"/>
      <w:marTop w:val="0"/>
      <w:marBottom w:val="0"/>
      <w:divBdr>
        <w:top w:val="none" w:sz="0" w:space="0" w:color="auto"/>
        <w:left w:val="none" w:sz="0" w:space="0" w:color="auto"/>
        <w:bottom w:val="none" w:sz="0" w:space="0" w:color="auto"/>
        <w:right w:val="none" w:sz="0" w:space="0" w:color="auto"/>
      </w:divBdr>
    </w:div>
    <w:div w:id="2001999801">
      <w:bodyDiv w:val="1"/>
      <w:marLeft w:val="0"/>
      <w:marRight w:val="0"/>
      <w:marTop w:val="0"/>
      <w:marBottom w:val="0"/>
      <w:divBdr>
        <w:top w:val="none" w:sz="0" w:space="0" w:color="auto"/>
        <w:left w:val="none" w:sz="0" w:space="0" w:color="auto"/>
        <w:bottom w:val="none" w:sz="0" w:space="0" w:color="auto"/>
        <w:right w:val="none" w:sz="0" w:space="0" w:color="auto"/>
      </w:divBdr>
    </w:div>
    <w:div w:id="2006592375">
      <w:bodyDiv w:val="1"/>
      <w:marLeft w:val="0"/>
      <w:marRight w:val="0"/>
      <w:marTop w:val="0"/>
      <w:marBottom w:val="0"/>
      <w:divBdr>
        <w:top w:val="none" w:sz="0" w:space="0" w:color="auto"/>
        <w:left w:val="none" w:sz="0" w:space="0" w:color="auto"/>
        <w:bottom w:val="none" w:sz="0" w:space="0" w:color="auto"/>
        <w:right w:val="none" w:sz="0" w:space="0" w:color="auto"/>
      </w:divBdr>
    </w:div>
    <w:div w:id="2056729276">
      <w:bodyDiv w:val="1"/>
      <w:marLeft w:val="0"/>
      <w:marRight w:val="0"/>
      <w:marTop w:val="0"/>
      <w:marBottom w:val="0"/>
      <w:divBdr>
        <w:top w:val="none" w:sz="0" w:space="0" w:color="auto"/>
        <w:left w:val="none" w:sz="0" w:space="0" w:color="auto"/>
        <w:bottom w:val="none" w:sz="0" w:space="0" w:color="auto"/>
        <w:right w:val="none" w:sz="0" w:space="0" w:color="auto"/>
      </w:divBdr>
    </w:div>
    <w:div w:id="2108184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VertexMedicalInfo@vrtx.com" TargetMode="External"/><Relationship Id="rId7" Type="http://schemas.openxmlformats.org/officeDocument/2006/relationships/settings" Target="settings.xml"/><Relationship Id="rId12" Type="http://schemas.openxmlformats.org/officeDocument/2006/relationships/hyperlink" Target="https://www.tga.gov.au/black-triangle-scheme-information-sponsors"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B63EF2437B644B6EA9CE4830262C5" ma:contentTypeVersion="11" ma:contentTypeDescription="Create a new document." ma:contentTypeScope="" ma:versionID="fd1f2c29d8f89d576005f776823011b0">
  <xsd:schema xmlns:xsd="http://www.w3.org/2001/XMLSchema" xmlns:xs="http://www.w3.org/2001/XMLSchema" xmlns:p="http://schemas.microsoft.com/office/2006/metadata/properties" xmlns:ns2="35a6c1f0-b7b0-4984-9711-9cde3bcecdee" xmlns:ns3="ebcbfd20-c44e-4e1d-a59f-845ae323fca8" targetNamespace="http://schemas.microsoft.com/office/2006/metadata/properties" ma:root="true" ma:fieldsID="cc71a6a2839b6a390049590e5f0037cc" ns2:_="" ns3:_="">
    <xsd:import namespace="35a6c1f0-b7b0-4984-9711-9cde3bcecdee"/>
    <xsd:import namespace="ebcbfd20-c44e-4e1d-a59f-845ae323fc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c1f0-b7b0-4984-9711-9cde3bcec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bfd20-c44e-4e1d-a59f-845ae323fc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D878-8CFD-4A7E-956C-7A86154106F1}">
  <ds:schemaRefs>
    <ds:schemaRef ds:uri="http://schemas.microsoft.com/office/2006/documentManagement/types"/>
    <ds:schemaRef ds:uri="35a6c1f0-b7b0-4984-9711-9cde3bcecdee"/>
    <ds:schemaRef ds:uri="http://purl.org/dc/elements/1.1/"/>
    <ds:schemaRef ds:uri="ebcbfd20-c44e-4e1d-a59f-845ae323fca8"/>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6E9F54-31D7-4601-B4BA-A7F65FCEFB6F}">
  <ds:schemaRefs>
    <ds:schemaRef ds:uri="http://schemas.microsoft.com/sharepoint/v3/contenttype/forms"/>
  </ds:schemaRefs>
</ds:datastoreItem>
</file>

<file path=customXml/itemProps3.xml><?xml version="1.0" encoding="utf-8"?>
<ds:datastoreItem xmlns:ds="http://schemas.openxmlformats.org/officeDocument/2006/customXml" ds:itemID="{67600E8C-FFFA-41FE-9F9F-9B5554615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c1f0-b7b0-4984-9711-9cde3bcecdee"/>
    <ds:schemaRef ds:uri="ebcbfd20-c44e-4e1d-a59f-845ae323f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FD7ED-7B0D-45BF-B269-81E5E29D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8480</Words>
  <Characters>49613</Characters>
  <Application>Microsoft Office Word</Application>
  <DocSecurity>0</DocSecurity>
  <Lines>1837</Lines>
  <Paragraphs>841</Paragraphs>
  <ScaleCrop>false</ScaleCrop>
  <HeadingPairs>
    <vt:vector size="2" baseType="variant">
      <vt:variant>
        <vt:lpstr>Title</vt:lpstr>
      </vt:variant>
      <vt:variant>
        <vt:i4>1</vt:i4>
      </vt:variant>
    </vt:vector>
  </HeadingPairs>
  <TitlesOfParts>
    <vt:vector size="1" baseType="lpstr">
      <vt:lpstr>Attachment 1: Product Information for Elexacaftor/tezacaftor/ivacaftor and ivacaftor</vt:lpstr>
    </vt:vector>
  </TitlesOfParts>
  <Company>Vertex Pharmaceuticals Incorporated</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Elexacaftor/tezacaftor/ivacaftor and ivacaftor</dc:title>
  <dc:subject>prescription medicines</dc:subject>
  <dc:creator>Vertex Pharmaceuticals Incorporated</dc:creator>
  <cp:keywords/>
  <dc:description/>
  <cp:lastPrinted>2019-11-28T22:38:00Z</cp:lastPrinted>
  <dcterms:created xsi:type="dcterms:W3CDTF">2021-07-08T01:00:00Z</dcterms:created>
  <dcterms:modified xsi:type="dcterms:W3CDTF">2021-07-08T01:51:00Z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0x01010021EB63EF2437B644B6EA9CE4830262C5</vt:lpwstr>
  </property>
</Properties>
</file>