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6E0620" w14:paraId="0A31065A" w14:textId="77777777" w:rsidTr="4591B23B">
        <w:trPr>
          <w:trHeight w:val="1863"/>
        </w:trPr>
        <w:tc>
          <w:tcPr>
            <w:tcW w:w="3652" w:type="dxa"/>
            <w:tcBorders>
              <w:top w:val="nil"/>
              <w:left w:val="nil"/>
              <w:bottom w:val="nil"/>
              <w:right w:val="nil"/>
            </w:tcBorders>
          </w:tcPr>
          <w:p w14:paraId="176B4B36" w14:textId="31452E86" w:rsidR="008E7846" w:rsidRPr="006E0620" w:rsidRDefault="000E18F6" w:rsidP="4591B23B">
            <w:pPr>
              <w:rPr>
                <w:rFonts w:ascii="Arial" w:hAnsi="Arial" w:cs="Arial"/>
                <w:b/>
                <w:color w:val="002C47"/>
                <w:sz w:val="36"/>
                <w:szCs w:val="36"/>
              </w:rPr>
            </w:pPr>
            <w:r>
              <w:rPr>
                <w:rFonts w:ascii="Arial" w:hAnsi="Arial" w:cs="Arial"/>
                <w:b/>
                <w:bCs/>
                <w:color w:val="002C47" w:themeColor="accent1"/>
                <w:sz w:val="36"/>
                <w:szCs w:val="36"/>
              </w:rPr>
              <w:t>August</w:t>
            </w:r>
            <w:r w:rsidR="00033027" w:rsidRPr="4591B23B">
              <w:rPr>
                <w:rFonts w:ascii="Arial" w:hAnsi="Arial" w:cs="Arial"/>
                <w:b/>
                <w:bCs/>
                <w:color w:val="002C47" w:themeColor="accent1"/>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6E0620" w14:paraId="00F08330" w14:textId="77777777" w:rsidTr="0032583B">
        <w:trPr>
          <w:trHeight w:val="868"/>
        </w:trPr>
        <w:tc>
          <w:tcPr>
            <w:tcW w:w="9079" w:type="dxa"/>
          </w:tcPr>
          <w:p w14:paraId="15CD52DC" w14:textId="77777777" w:rsidR="0032583B" w:rsidRPr="006E0620" w:rsidRDefault="0032583B" w:rsidP="00460036">
            <w:pPr>
              <w:pStyle w:val="Title"/>
              <w:rPr>
                <w:color w:val="FFFFFF" w:themeColor="background1"/>
              </w:rPr>
            </w:pPr>
            <w:r w:rsidRPr="006E0620">
              <w:rPr>
                <w:color w:val="FFFFFF" w:themeColor="background1"/>
              </w:rPr>
              <w:t xml:space="preserve">Australian Public Assessment Report for </w:t>
            </w:r>
            <w:proofErr w:type="spellStart"/>
            <w:r w:rsidR="00033027" w:rsidRPr="006E0620">
              <w:rPr>
                <w:color w:val="FFFFFF" w:themeColor="background1"/>
              </w:rPr>
              <w:t>Elasomeran</w:t>
            </w:r>
            <w:proofErr w:type="spellEnd"/>
          </w:p>
        </w:tc>
      </w:tr>
      <w:tr w:rsidR="0032583B" w:rsidRPr="006E0620" w14:paraId="710323D7" w14:textId="77777777" w:rsidTr="0032583B">
        <w:tc>
          <w:tcPr>
            <w:tcW w:w="9079" w:type="dxa"/>
          </w:tcPr>
          <w:p w14:paraId="25E583EF" w14:textId="77777777" w:rsidR="0032583B" w:rsidRPr="006E0620" w:rsidRDefault="0032583B" w:rsidP="00460036">
            <w:pPr>
              <w:pStyle w:val="Subtitle"/>
              <w:rPr>
                <w:color w:val="FFFFFF" w:themeColor="background1"/>
              </w:rPr>
            </w:pPr>
            <w:r w:rsidRPr="006E0620">
              <w:rPr>
                <w:color w:val="FFFFFF" w:themeColor="background1"/>
              </w:rPr>
              <w:t xml:space="preserve">Proprietary Product Name: </w:t>
            </w:r>
            <w:proofErr w:type="spellStart"/>
            <w:r w:rsidR="00033027" w:rsidRPr="006E0620">
              <w:rPr>
                <w:color w:val="FFFFFF" w:themeColor="background1"/>
              </w:rPr>
              <w:t>Spikevax</w:t>
            </w:r>
            <w:proofErr w:type="spellEnd"/>
          </w:p>
        </w:tc>
      </w:tr>
      <w:tr w:rsidR="0032583B" w:rsidRPr="006E0620" w14:paraId="58F4390D" w14:textId="77777777" w:rsidTr="0032583B">
        <w:trPr>
          <w:trHeight w:val="486"/>
        </w:trPr>
        <w:tc>
          <w:tcPr>
            <w:tcW w:w="9079" w:type="dxa"/>
          </w:tcPr>
          <w:p w14:paraId="2082E768" w14:textId="77777777" w:rsidR="0032583B" w:rsidRPr="006E0620" w:rsidRDefault="00460036" w:rsidP="0032583B">
            <w:pPr>
              <w:pStyle w:val="Subtitle"/>
              <w:rPr>
                <w:color w:val="FFFFFF" w:themeColor="background1"/>
              </w:rPr>
            </w:pPr>
            <w:r w:rsidRPr="006E0620">
              <w:rPr>
                <w:color w:val="FFFFFF" w:themeColor="background1"/>
              </w:rPr>
              <w:t xml:space="preserve">Sponsor: </w:t>
            </w:r>
            <w:proofErr w:type="spellStart"/>
            <w:r w:rsidR="00033027" w:rsidRPr="006E0620">
              <w:rPr>
                <w:color w:val="FFFFFF" w:themeColor="background1"/>
              </w:rPr>
              <w:t>Moderna</w:t>
            </w:r>
            <w:proofErr w:type="spellEnd"/>
            <w:r w:rsidR="00033027" w:rsidRPr="006E0620">
              <w:rPr>
                <w:color w:val="FFFFFF" w:themeColor="background1"/>
              </w:rPr>
              <w:t xml:space="preserve"> Australia Pty Ltd</w:t>
            </w:r>
          </w:p>
        </w:tc>
      </w:tr>
    </w:tbl>
    <w:p w14:paraId="2C3D9160" w14:textId="77777777" w:rsidR="008E7846" w:rsidRPr="006E0620" w:rsidRDefault="008E7846" w:rsidP="0085156D">
      <w:r w:rsidRPr="006E0620">
        <w:br w:type="page"/>
      </w:r>
    </w:p>
    <w:p w14:paraId="50FEC7B2" w14:textId="77777777" w:rsidR="008E7846" w:rsidRPr="006E0620" w:rsidRDefault="008E7846" w:rsidP="008E7846">
      <w:pPr>
        <w:pStyle w:val="NonTOCHeading2"/>
      </w:pPr>
      <w:r w:rsidRPr="006E0620">
        <w:lastRenderedPageBreak/>
        <w:t>About the Therapeutic Goods Administration (TGA)</w:t>
      </w:r>
    </w:p>
    <w:p w14:paraId="593FDDDD" w14:textId="77777777" w:rsidR="008E7846" w:rsidRPr="006E0620" w:rsidRDefault="008E7846" w:rsidP="00CD55D9">
      <w:pPr>
        <w:pStyle w:val="ListBullet"/>
      </w:pPr>
      <w:r w:rsidRPr="006E0620">
        <w:t xml:space="preserve">The Therapeutic Goods Administration (TGA) is </w:t>
      </w:r>
      <w:r w:rsidR="00E624A5" w:rsidRPr="006E0620">
        <w:t xml:space="preserve">part </w:t>
      </w:r>
      <w:r w:rsidRPr="006E0620">
        <w:t>of the Australian Government Department of Health and is responsible for regulating medicines and medical devices.</w:t>
      </w:r>
    </w:p>
    <w:p w14:paraId="022F5E33" w14:textId="77777777" w:rsidR="008E7846" w:rsidRPr="006E0620" w:rsidRDefault="00C80137" w:rsidP="005E4463">
      <w:pPr>
        <w:pStyle w:val="ListBullet"/>
        <w:numPr>
          <w:ilvl w:val="0"/>
          <w:numId w:val="1"/>
        </w:numPr>
        <w:ind w:left="357" w:hanging="357"/>
      </w:pPr>
      <w:r w:rsidRPr="006E0620">
        <w:t xml:space="preserve">The </w:t>
      </w:r>
      <w:r w:rsidR="008E7846" w:rsidRPr="006E0620">
        <w:t xml:space="preserve">TGA administers the </w:t>
      </w:r>
      <w:r w:rsidR="008E7846" w:rsidRPr="006E0620">
        <w:rPr>
          <w:i/>
        </w:rPr>
        <w:t>Therapeutic Goods Act 1989</w:t>
      </w:r>
      <w:r w:rsidR="00785717" w:rsidRPr="006E0620">
        <w:rPr>
          <w:i/>
        </w:rPr>
        <w:t xml:space="preserve"> </w:t>
      </w:r>
      <w:r w:rsidR="00785717" w:rsidRPr="006E0620">
        <w:t>(the Act)</w:t>
      </w:r>
      <w:r w:rsidR="008E7846" w:rsidRPr="006E0620">
        <w:t xml:space="preserve">, applying a risk management approach designed to ensure therapeutic goods supplied in Australia meet acceptable standards of quality, </w:t>
      </w:r>
      <w:proofErr w:type="gramStart"/>
      <w:r w:rsidR="008E7846" w:rsidRPr="006E0620">
        <w:t>safety</w:t>
      </w:r>
      <w:proofErr w:type="gramEnd"/>
      <w:r w:rsidR="008E7846" w:rsidRPr="006E0620">
        <w:t xml:space="preserve"> and efficacy (performance) when necessary.</w:t>
      </w:r>
    </w:p>
    <w:p w14:paraId="6E3D881E" w14:textId="77777777" w:rsidR="008E7846" w:rsidRPr="006E0620" w:rsidRDefault="008E7846" w:rsidP="005E4463">
      <w:pPr>
        <w:pStyle w:val="ListBullet"/>
        <w:numPr>
          <w:ilvl w:val="0"/>
          <w:numId w:val="1"/>
        </w:numPr>
        <w:ind w:left="357" w:hanging="357"/>
      </w:pPr>
      <w:r w:rsidRPr="006E0620">
        <w:t>The work of the TGA is based on applying scientific and clinical expertise to decision-making, to ensure that the benefits to consumers outweigh any risks associated with the use of medicines and medical devices.</w:t>
      </w:r>
    </w:p>
    <w:p w14:paraId="499BCC94" w14:textId="77777777" w:rsidR="008E7846" w:rsidRPr="006E0620" w:rsidRDefault="008E7846" w:rsidP="005E4463">
      <w:pPr>
        <w:pStyle w:val="ListBullet"/>
        <w:numPr>
          <w:ilvl w:val="0"/>
          <w:numId w:val="1"/>
        </w:numPr>
        <w:ind w:left="357" w:hanging="357"/>
      </w:pPr>
      <w:r w:rsidRPr="006E0620">
        <w:t>The TGA relies on the public, healthcare professionals and industry to report problems with medicines or medical devices. TGA investigates reports received by it to determine any necessary regulatory action.</w:t>
      </w:r>
    </w:p>
    <w:p w14:paraId="790426E6" w14:textId="2E0A5ADD" w:rsidR="00441C3F" w:rsidRPr="006E0620" w:rsidRDefault="008E7846" w:rsidP="005E4463">
      <w:pPr>
        <w:pStyle w:val="ListBullet"/>
        <w:numPr>
          <w:ilvl w:val="0"/>
          <w:numId w:val="1"/>
        </w:numPr>
        <w:ind w:left="357" w:hanging="357"/>
      </w:pPr>
      <w:r w:rsidRPr="006E0620">
        <w:t xml:space="preserve">To report a problem with a medicine or medical device, please see the information on </w:t>
      </w:r>
      <w:r w:rsidR="00441C3F" w:rsidRPr="006E0620">
        <w:t>the TGA website &lt;</w:t>
      </w:r>
      <w:hyperlink r:id="rId11" w:history="1">
        <w:r w:rsidR="00441C3F" w:rsidRPr="006E0620">
          <w:rPr>
            <w:rStyle w:val="Hyperlink"/>
          </w:rPr>
          <w:t>https://www.tga.gov.au</w:t>
        </w:r>
      </w:hyperlink>
      <w:r w:rsidR="00441C3F" w:rsidRPr="006E0620">
        <w:t>&gt;.</w:t>
      </w:r>
    </w:p>
    <w:p w14:paraId="2F553D4B" w14:textId="77777777" w:rsidR="008E7846" w:rsidRPr="006E0620" w:rsidRDefault="008E7846" w:rsidP="00875A6B">
      <w:pPr>
        <w:pStyle w:val="NonTOCHeading2"/>
      </w:pPr>
      <w:r w:rsidRPr="006E0620">
        <w:t xml:space="preserve">About </w:t>
      </w:r>
      <w:proofErr w:type="spellStart"/>
      <w:r w:rsidRPr="006E0620">
        <w:t>AusPARs</w:t>
      </w:r>
      <w:proofErr w:type="spellEnd"/>
    </w:p>
    <w:p w14:paraId="741D23E9" w14:textId="77777777" w:rsidR="008E7846" w:rsidRPr="006E0620" w:rsidRDefault="008E7846" w:rsidP="005E4463">
      <w:pPr>
        <w:pStyle w:val="ListBullet"/>
        <w:numPr>
          <w:ilvl w:val="0"/>
          <w:numId w:val="1"/>
        </w:numPr>
        <w:ind w:left="357" w:hanging="357"/>
      </w:pPr>
      <w:r w:rsidRPr="006E0620">
        <w:t>An Australian Public Assessment Re</w:t>
      </w:r>
      <w:r w:rsidR="00133A1B" w:rsidRPr="006E0620">
        <w:t>port</w:t>
      </w:r>
      <w:r w:rsidRPr="006E0620">
        <w:t xml:space="preserve"> (</w:t>
      </w:r>
      <w:proofErr w:type="spellStart"/>
      <w:r w:rsidRPr="006E0620">
        <w:t>AusPAR</w:t>
      </w:r>
      <w:proofErr w:type="spellEnd"/>
      <w:r w:rsidRPr="006E0620">
        <w:t>) provides information about the evaluation of a prescription medicine and the considerations that led the TGA to approve or not approve a pr</w:t>
      </w:r>
      <w:r w:rsidR="00441C3F" w:rsidRPr="006E0620">
        <w:t>escription medicine submission.</w:t>
      </w:r>
    </w:p>
    <w:p w14:paraId="1CF78E4B" w14:textId="77777777" w:rsidR="008E7846" w:rsidRPr="006E0620" w:rsidRDefault="008E7846" w:rsidP="005E4463">
      <w:pPr>
        <w:pStyle w:val="ListBullet"/>
        <w:numPr>
          <w:ilvl w:val="0"/>
          <w:numId w:val="1"/>
        </w:numPr>
        <w:ind w:left="357" w:hanging="357"/>
      </w:pPr>
      <w:proofErr w:type="spellStart"/>
      <w:r w:rsidRPr="006E0620">
        <w:t>AusPARs</w:t>
      </w:r>
      <w:proofErr w:type="spellEnd"/>
      <w:r w:rsidRPr="006E0620">
        <w:t xml:space="preserve"> are prepared and published by the TGA.</w:t>
      </w:r>
    </w:p>
    <w:p w14:paraId="601A9568" w14:textId="77777777" w:rsidR="008E7846" w:rsidRPr="006E0620" w:rsidRDefault="008E7846" w:rsidP="005E4463">
      <w:pPr>
        <w:pStyle w:val="ListBullet"/>
        <w:numPr>
          <w:ilvl w:val="0"/>
          <w:numId w:val="1"/>
        </w:numPr>
        <w:ind w:left="357" w:hanging="357"/>
      </w:pPr>
      <w:r w:rsidRPr="006E0620">
        <w:t xml:space="preserve">An </w:t>
      </w:r>
      <w:proofErr w:type="spellStart"/>
      <w:r w:rsidRPr="006E0620">
        <w:t>AusPAR</w:t>
      </w:r>
      <w:proofErr w:type="spellEnd"/>
      <w:r w:rsidRPr="006E0620">
        <w:t xml:space="preserve"> is prepared for submissions that relate to new chemical entities, generic medicines, major </w:t>
      </w:r>
      <w:proofErr w:type="gramStart"/>
      <w:r w:rsidRPr="006E0620">
        <w:t>variations</w:t>
      </w:r>
      <w:proofErr w:type="gramEnd"/>
      <w:r w:rsidRPr="006E0620">
        <w:t xml:space="preserve"> and extensions of indications.</w:t>
      </w:r>
    </w:p>
    <w:p w14:paraId="76E29F87" w14:textId="77777777" w:rsidR="008E7846" w:rsidRPr="006E0620" w:rsidRDefault="008E7846" w:rsidP="005E4463">
      <w:pPr>
        <w:pStyle w:val="ListBullet"/>
        <w:numPr>
          <w:ilvl w:val="0"/>
          <w:numId w:val="1"/>
        </w:numPr>
        <w:ind w:left="357" w:hanging="357"/>
      </w:pPr>
      <w:r w:rsidRPr="006E0620">
        <w:t xml:space="preserve">An </w:t>
      </w:r>
      <w:proofErr w:type="spellStart"/>
      <w:r w:rsidRPr="006E0620">
        <w:t>AusPAR</w:t>
      </w:r>
      <w:proofErr w:type="spellEnd"/>
      <w:r w:rsidRPr="006E0620">
        <w:t xml:space="preserve"> is a static document</w:t>
      </w:r>
      <w:r w:rsidR="00133A1B" w:rsidRPr="006E0620">
        <w:t>;</w:t>
      </w:r>
      <w:r w:rsidRPr="006E0620">
        <w:t xml:space="preserve"> it provide</w:t>
      </w:r>
      <w:r w:rsidR="00133A1B" w:rsidRPr="006E0620">
        <w:t>s</w:t>
      </w:r>
      <w:r w:rsidRPr="006E0620">
        <w:t xml:space="preserve"> information that relates to a submission at a particular point in time.</w:t>
      </w:r>
    </w:p>
    <w:p w14:paraId="6F0EFBB2" w14:textId="77777777" w:rsidR="00B452CE" w:rsidRPr="006E0620" w:rsidRDefault="008E7846" w:rsidP="005E4463">
      <w:pPr>
        <w:pStyle w:val="ListBullet"/>
        <w:numPr>
          <w:ilvl w:val="0"/>
          <w:numId w:val="1"/>
        </w:numPr>
        <w:ind w:left="357" w:hanging="357"/>
      </w:pPr>
      <w:r w:rsidRPr="006E0620">
        <w:t xml:space="preserve">A new </w:t>
      </w:r>
      <w:proofErr w:type="spellStart"/>
      <w:r w:rsidRPr="006E0620">
        <w:t>AusPAR</w:t>
      </w:r>
      <w:proofErr w:type="spellEnd"/>
      <w:r w:rsidRPr="006E0620">
        <w:t xml:space="preserve"> will be developed to reflect changes to indications and/or major variations to a prescription medicine subject to evaluation by the TGA.</w:t>
      </w:r>
    </w:p>
    <w:p w14:paraId="2CDACD08" w14:textId="77777777" w:rsidR="00924482" w:rsidRPr="006E0620" w:rsidRDefault="00924482" w:rsidP="00F54B65">
      <w:pPr>
        <w:pStyle w:val="LegalSubheading"/>
        <w:spacing w:before="3120"/>
      </w:pPr>
      <w:r w:rsidRPr="006E0620">
        <w:t>Copyright</w:t>
      </w:r>
    </w:p>
    <w:p w14:paraId="60F87F00" w14:textId="5E4C8914" w:rsidR="00924482" w:rsidRPr="006E0620" w:rsidRDefault="00924482" w:rsidP="00924482">
      <w:pPr>
        <w:pStyle w:val="LegalCopy"/>
      </w:pPr>
      <w:r w:rsidRPr="006E0620">
        <w:rPr>
          <w:rFonts w:cs="Arial"/>
          <w:lang w:val="en-GB"/>
        </w:rPr>
        <w:t>© Commonwealth of Australia 20</w:t>
      </w:r>
      <w:r w:rsidR="00460036" w:rsidRPr="006E0620">
        <w:rPr>
          <w:rFonts w:cs="Arial"/>
          <w:lang w:val="en-GB"/>
        </w:rPr>
        <w:t>2</w:t>
      </w:r>
      <w:r w:rsidR="00324E45" w:rsidRPr="006E0620">
        <w:rPr>
          <w:rFonts w:cs="Arial"/>
          <w:lang w:val="en-GB"/>
        </w:rPr>
        <w:t>1</w:t>
      </w:r>
      <w:r w:rsidRPr="006E0620">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6E0620">
        <w:rPr>
          <w:rFonts w:cs="Arial"/>
          <w:i/>
          <w:lang w:val="en-GB"/>
        </w:rPr>
        <w:t>Copyright Act 1968</w:t>
      </w:r>
      <w:r w:rsidRPr="006E0620">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6E0620">
        <w:rPr>
          <w:rFonts w:cs="Arial"/>
          <w:lang w:val="en-GB"/>
        </w:rPr>
        <w:t>Woden</w:t>
      </w:r>
      <w:proofErr w:type="spellEnd"/>
      <w:r w:rsidRPr="006E0620">
        <w:rPr>
          <w:rFonts w:cs="Arial"/>
          <w:lang w:val="en-GB"/>
        </w:rPr>
        <w:t xml:space="preserve"> ACT 2606 or emailed to &lt;</w:t>
      </w:r>
      <w:hyperlink r:id="rId12" w:history="1">
        <w:r w:rsidRPr="006E0620">
          <w:rPr>
            <w:rStyle w:val="Hyperlink"/>
            <w:rFonts w:cs="Arial"/>
            <w:lang w:val="en-GB"/>
          </w:rPr>
          <w:t>tga.copyright@tga.gov.au</w:t>
        </w:r>
      </w:hyperlink>
      <w:r w:rsidRPr="006E0620">
        <w:rPr>
          <w:rFonts w:cs="Arial"/>
        </w:rPr>
        <w:t>&gt;.</w:t>
      </w:r>
    </w:p>
    <w:p w14:paraId="382D0DB3" w14:textId="77777777" w:rsidR="00924482" w:rsidRPr="006E0620" w:rsidRDefault="00924482" w:rsidP="00924482">
      <w:pPr>
        <w:pStyle w:val="LegalCopy"/>
        <w:sectPr w:rsidR="00924482" w:rsidRPr="006E0620"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color w:val="2B579A"/>
          <w:sz w:val="22"/>
          <w:shd w:val="clear" w:color="auto" w:fill="E6E6E6"/>
        </w:rPr>
        <w:id w:val="5618007"/>
        <w:docPartObj>
          <w:docPartGallery w:val="Table of Contents"/>
          <w:docPartUnique/>
        </w:docPartObj>
      </w:sdtPr>
      <w:sdtEndPr>
        <w:rPr>
          <w:b/>
          <w:sz w:val="25"/>
        </w:rPr>
      </w:sdtEndPr>
      <w:sdtContent>
        <w:p w14:paraId="337358AE" w14:textId="77777777" w:rsidR="0089635C" w:rsidRPr="006E0620" w:rsidRDefault="0089635C" w:rsidP="0010788A">
          <w:pPr>
            <w:pStyle w:val="Contents"/>
          </w:pPr>
          <w:r w:rsidRPr="006E0620">
            <w:t>Contents</w:t>
          </w:r>
        </w:p>
        <w:p w14:paraId="764122C6" w14:textId="08A1B8A9" w:rsidR="00AC7D6C" w:rsidRDefault="00C525A2">
          <w:pPr>
            <w:pStyle w:val="TOC1"/>
            <w:rPr>
              <w:rFonts w:asciiTheme="minorHAnsi" w:eastAsiaTheme="minorEastAsia" w:hAnsiTheme="minorHAnsi" w:cstheme="minorBidi"/>
              <w:b w:val="0"/>
              <w:noProof/>
              <w:sz w:val="22"/>
              <w:lang w:eastAsia="en-AU"/>
            </w:rPr>
          </w:pPr>
          <w:r w:rsidRPr="006E0620">
            <w:rPr>
              <w:color w:val="2B579A"/>
              <w:shd w:val="clear" w:color="auto" w:fill="E6E6E6"/>
            </w:rPr>
            <w:fldChar w:fldCharType="begin"/>
          </w:r>
          <w:r w:rsidRPr="006E0620">
            <w:instrText xml:space="preserve"> TOC \h \z \t "Heading 2,1,Heading 3,2" </w:instrText>
          </w:r>
          <w:r w:rsidRPr="006E0620">
            <w:rPr>
              <w:color w:val="2B579A"/>
              <w:shd w:val="clear" w:color="auto" w:fill="E6E6E6"/>
            </w:rPr>
            <w:fldChar w:fldCharType="separate"/>
          </w:r>
          <w:hyperlink w:anchor="_Toc79415458" w:history="1">
            <w:r w:rsidR="00AC7D6C" w:rsidRPr="004A3AC6">
              <w:rPr>
                <w:rStyle w:val="Hyperlink"/>
                <w:noProof/>
              </w:rPr>
              <w:t>List of abbreviations</w:t>
            </w:r>
            <w:r w:rsidR="00AC7D6C">
              <w:rPr>
                <w:noProof/>
                <w:webHidden/>
              </w:rPr>
              <w:tab/>
            </w:r>
            <w:r w:rsidR="00AC7D6C">
              <w:rPr>
                <w:noProof/>
                <w:webHidden/>
              </w:rPr>
              <w:fldChar w:fldCharType="begin"/>
            </w:r>
            <w:r w:rsidR="00AC7D6C">
              <w:rPr>
                <w:noProof/>
                <w:webHidden/>
              </w:rPr>
              <w:instrText xml:space="preserve"> PAGEREF _Toc79415458 \h </w:instrText>
            </w:r>
            <w:r w:rsidR="00AC7D6C">
              <w:rPr>
                <w:noProof/>
                <w:webHidden/>
              </w:rPr>
            </w:r>
            <w:r w:rsidR="00AC7D6C">
              <w:rPr>
                <w:noProof/>
                <w:webHidden/>
              </w:rPr>
              <w:fldChar w:fldCharType="separate"/>
            </w:r>
            <w:r w:rsidR="00AC7D6C">
              <w:rPr>
                <w:noProof/>
                <w:webHidden/>
              </w:rPr>
              <w:t>4</w:t>
            </w:r>
            <w:r w:rsidR="00AC7D6C">
              <w:rPr>
                <w:noProof/>
                <w:webHidden/>
              </w:rPr>
              <w:fldChar w:fldCharType="end"/>
            </w:r>
          </w:hyperlink>
        </w:p>
        <w:p w14:paraId="3BDFFDF7" w14:textId="6362A603" w:rsidR="00AC7D6C" w:rsidRDefault="00AC7D6C">
          <w:pPr>
            <w:pStyle w:val="TOC1"/>
            <w:rPr>
              <w:rFonts w:asciiTheme="minorHAnsi" w:eastAsiaTheme="minorEastAsia" w:hAnsiTheme="minorHAnsi" w:cstheme="minorBidi"/>
              <w:b w:val="0"/>
              <w:noProof/>
              <w:sz w:val="22"/>
              <w:lang w:eastAsia="en-AU"/>
            </w:rPr>
          </w:pPr>
          <w:hyperlink w:anchor="_Toc79415459" w:history="1">
            <w:r w:rsidRPr="004A3AC6">
              <w:rPr>
                <w:rStyle w:val="Hyperlink"/>
                <w:noProof/>
              </w:rPr>
              <w:t>I. Introduction to product submission</w:t>
            </w:r>
            <w:r>
              <w:rPr>
                <w:noProof/>
                <w:webHidden/>
              </w:rPr>
              <w:tab/>
            </w:r>
            <w:r>
              <w:rPr>
                <w:noProof/>
                <w:webHidden/>
              </w:rPr>
              <w:fldChar w:fldCharType="begin"/>
            </w:r>
            <w:r>
              <w:rPr>
                <w:noProof/>
                <w:webHidden/>
              </w:rPr>
              <w:instrText xml:space="preserve"> PAGEREF _Toc79415459 \h </w:instrText>
            </w:r>
            <w:r>
              <w:rPr>
                <w:noProof/>
                <w:webHidden/>
              </w:rPr>
            </w:r>
            <w:r>
              <w:rPr>
                <w:noProof/>
                <w:webHidden/>
              </w:rPr>
              <w:fldChar w:fldCharType="separate"/>
            </w:r>
            <w:r>
              <w:rPr>
                <w:noProof/>
                <w:webHidden/>
              </w:rPr>
              <w:t>7</w:t>
            </w:r>
            <w:r>
              <w:rPr>
                <w:noProof/>
                <w:webHidden/>
              </w:rPr>
              <w:fldChar w:fldCharType="end"/>
            </w:r>
          </w:hyperlink>
        </w:p>
        <w:p w14:paraId="1B1EC646" w14:textId="41B06062" w:rsidR="00AC7D6C" w:rsidRDefault="00AC7D6C">
          <w:pPr>
            <w:pStyle w:val="TOC2"/>
            <w:rPr>
              <w:rFonts w:asciiTheme="minorHAnsi" w:eastAsiaTheme="minorEastAsia" w:hAnsiTheme="minorHAnsi" w:cstheme="minorBidi"/>
              <w:b w:val="0"/>
              <w:noProof/>
              <w:sz w:val="22"/>
              <w:lang w:eastAsia="en-AU"/>
            </w:rPr>
          </w:pPr>
          <w:hyperlink w:anchor="_Toc79415460" w:history="1">
            <w:r w:rsidRPr="004A3AC6">
              <w:rPr>
                <w:rStyle w:val="Hyperlink"/>
                <w:noProof/>
                <w:lang w:eastAsia="en-AU"/>
              </w:rPr>
              <w:t>Submission details</w:t>
            </w:r>
            <w:r>
              <w:rPr>
                <w:noProof/>
                <w:webHidden/>
              </w:rPr>
              <w:tab/>
            </w:r>
            <w:r>
              <w:rPr>
                <w:noProof/>
                <w:webHidden/>
              </w:rPr>
              <w:fldChar w:fldCharType="begin"/>
            </w:r>
            <w:r>
              <w:rPr>
                <w:noProof/>
                <w:webHidden/>
              </w:rPr>
              <w:instrText xml:space="preserve"> PAGEREF _Toc79415460 \h </w:instrText>
            </w:r>
            <w:r>
              <w:rPr>
                <w:noProof/>
                <w:webHidden/>
              </w:rPr>
            </w:r>
            <w:r>
              <w:rPr>
                <w:noProof/>
                <w:webHidden/>
              </w:rPr>
              <w:fldChar w:fldCharType="separate"/>
            </w:r>
            <w:r>
              <w:rPr>
                <w:noProof/>
                <w:webHidden/>
              </w:rPr>
              <w:t>7</w:t>
            </w:r>
            <w:r>
              <w:rPr>
                <w:noProof/>
                <w:webHidden/>
              </w:rPr>
              <w:fldChar w:fldCharType="end"/>
            </w:r>
          </w:hyperlink>
        </w:p>
        <w:p w14:paraId="06A9213B" w14:textId="0C384466" w:rsidR="00AC7D6C" w:rsidRDefault="00AC7D6C">
          <w:pPr>
            <w:pStyle w:val="TOC2"/>
            <w:rPr>
              <w:rFonts w:asciiTheme="minorHAnsi" w:eastAsiaTheme="minorEastAsia" w:hAnsiTheme="minorHAnsi" w:cstheme="minorBidi"/>
              <w:b w:val="0"/>
              <w:noProof/>
              <w:sz w:val="22"/>
              <w:lang w:eastAsia="en-AU"/>
            </w:rPr>
          </w:pPr>
          <w:hyperlink w:anchor="_Toc79415461" w:history="1">
            <w:r w:rsidRPr="004A3AC6">
              <w:rPr>
                <w:rStyle w:val="Hyperlink"/>
                <w:noProof/>
              </w:rPr>
              <w:t>Product background</w:t>
            </w:r>
            <w:r>
              <w:rPr>
                <w:noProof/>
                <w:webHidden/>
              </w:rPr>
              <w:tab/>
            </w:r>
            <w:r>
              <w:rPr>
                <w:noProof/>
                <w:webHidden/>
              </w:rPr>
              <w:fldChar w:fldCharType="begin"/>
            </w:r>
            <w:r>
              <w:rPr>
                <w:noProof/>
                <w:webHidden/>
              </w:rPr>
              <w:instrText xml:space="preserve"> PAGEREF _Toc79415461 \h </w:instrText>
            </w:r>
            <w:r>
              <w:rPr>
                <w:noProof/>
                <w:webHidden/>
              </w:rPr>
            </w:r>
            <w:r>
              <w:rPr>
                <w:noProof/>
                <w:webHidden/>
              </w:rPr>
              <w:fldChar w:fldCharType="separate"/>
            </w:r>
            <w:r>
              <w:rPr>
                <w:noProof/>
                <w:webHidden/>
              </w:rPr>
              <w:t>8</w:t>
            </w:r>
            <w:r>
              <w:rPr>
                <w:noProof/>
                <w:webHidden/>
              </w:rPr>
              <w:fldChar w:fldCharType="end"/>
            </w:r>
          </w:hyperlink>
        </w:p>
        <w:p w14:paraId="216C97F2" w14:textId="59BF7386" w:rsidR="00AC7D6C" w:rsidRDefault="00AC7D6C">
          <w:pPr>
            <w:pStyle w:val="TOC2"/>
            <w:rPr>
              <w:rFonts w:asciiTheme="minorHAnsi" w:eastAsiaTheme="minorEastAsia" w:hAnsiTheme="minorHAnsi" w:cstheme="minorBidi"/>
              <w:b w:val="0"/>
              <w:noProof/>
              <w:sz w:val="22"/>
              <w:lang w:eastAsia="en-AU"/>
            </w:rPr>
          </w:pPr>
          <w:hyperlink w:anchor="_Toc79415462" w:history="1">
            <w:r w:rsidRPr="004A3AC6">
              <w:rPr>
                <w:rStyle w:val="Hyperlink"/>
                <w:noProof/>
              </w:rPr>
              <w:t>Regulatory status</w:t>
            </w:r>
            <w:r>
              <w:rPr>
                <w:noProof/>
                <w:webHidden/>
              </w:rPr>
              <w:tab/>
            </w:r>
            <w:r>
              <w:rPr>
                <w:noProof/>
                <w:webHidden/>
              </w:rPr>
              <w:fldChar w:fldCharType="begin"/>
            </w:r>
            <w:r>
              <w:rPr>
                <w:noProof/>
                <w:webHidden/>
              </w:rPr>
              <w:instrText xml:space="preserve"> PAGEREF _Toc79415462 \h </w:instrText>
            </w:r>
            <w:r>
              <w:rPr>
                <w:noProof/>
                <w:webHidden/>
              </w:rPr>
            </w:r>
            <w:r>
              <w:rPr>
                <w:noProof/>
                <w:webHidden/>
              </w:rPr>
              <w:fldChar w:fldCharType="separate"/>
            </w:r>
            <w:r>
              <w:rPr>
                <w:noProof/>
                <w:webHidden/>
              </w:rPr>
              <w:t>10</w:t>
            </w:r>
            <w:r>
              <w:rPr>
                <w:noProof/>
                <w:webHidden/>
              </w:rPr>
              <w:fldChar w:fldCharType="end"/>
            </w:r>
          </w:hyperlink>
        </w:p>
        <w:p w14:paraId="5E0DEBA4" w14:textId="67A608DA" w:rsidR="00AC7D6C" w:rsidRDefault="00AC7D6C">
          <w:pPr>
            <w:pStyle w:val="TOC2"/>
            <w:rPr>
              <w:rFonts w:asciiTheme="minorHAnsi" w:eastAsiaTheme="minorEastAsia" w:hAnsiTheme="minorHAnsi" w:cstheme="minorBidi"/>
              <w:b w:val="0"/>
              <w:noProof/>
              <w:sz w:val="22"/>
              <w:lang w:eastAsia="en-AU"/>
            </w:rPr>
          </w:pPr>
          <w:hyperlink w:anchor="_Toc79415463" w:history="1">
            <w:r w:rsidRPr="004A3AC6">
              <w:rPr>
                <w:rStyle w:val="Hyperlink"/>
                <w:noProof/>
              </w:rPr>
              <w:t>Product Information</w:t>
            </w:r>
            <w:r>
              <w:rPr>
                <w:noProof/>
                <w:webHidden/>
              </w:rPr>
              <w:tab/>
            </w:r>
            <w:r>
              <w:rPr>
                <w:noProof/>
                <w:webHidden/>
              </w:rPr>
              <w:fldChar w:fldCharType="begin"/>
            </w:r>
            <w:r>
              <w:rPr>
                <w:noProof/>
                <w:webHidden/>
              </w:rPr>
              <w:instrText xml:space="preserve"> PAGEREF _Toc79415463 \h </w:instrText>
            </w:r>
            <w:r>
              <w:rPr>
                <w:noProof/>
                <w:webHidden/>
              </w:rPr>
            </w:r>
            <w:r>
              <w:rPr>
                <w:noProof/>
                <w:webHidden/>
              </w:rPr>
              <w:fldChar w:fldCharType="separate"/>
            </w:r>
            <w:r>
              <w:rPr>
                <w:noProof/>
                <w:webHidden/>
              </w:rPr>
              <w:t>11</w:t>
            </w:r>
            <w:r>
              <w:rPr>
                <w:noProof/>
                <w:webHidden/>
              </w:rPr>
              <w:fldChar w:fldCharType="end"/>
            </w:r>
          </w:hyperlink>
        </w:p>
        <w:p w14:paraId="5715CC6B" w14:textId="22449A1E" w:rsidR="00AC7D6C" w:rsidRDefault="00AC7D6C">
          <w:pPr>
            <w:pStyle w:val="TOC1"/>
            <w:rPr>
              <w:rFonts w:asciiTheme="minorHAnsi" w:eastAsiaTheme="minorEastAsia" w:hAnsiTheme="minorHAnsi" w:cstheme="minorBidi"/>
              <w:b w:val="0"/>
              <w:noProof/>
              <w:sz w:val="22"/>
              <w:lang w:eastAsia="en-AU"/>
            </w:rPr>
          </w:pPr>
          <w:hyperlink w:anchor="_Toc79415464" w:history="1">
            <w:r w:rsidRPr="004A3AC6">
              <w:rPr>
                <w:rStyle w:val="Hyperlink"/>
                <w:noProof/>
              </w:rPr>
              <w:t>II. Registration timeline</w:t>
            </w:r>
            <w:r>
              <w:rPr>
                <w:noProof/>
                <w:webHidden/>
              </w:rPr>
              <w:tab/>
            </w:r>
            <w:r>
              <w:rPr>
                <w:noProof/>
                <w:webHidden/>
              </w:rPr>
              <w:fldChar w:fldCharType="begin"/>
            </w:r>
            <w:r>
              <w:rPr>
                <w:noProof/>
                <w:webHidden/>
              </w:rPr>
              <w:instrText xml:space="preserve"> PAGEREF _Toc79415464 \h </w:instrText>
            </w:r>
            <w:r>
              <w:rPr>
                <w:noProof/>
                <w:webHidden/>
              </w:rPr>
            </w:r>
            <w:r>
              <w:rPr>
                <w:noProof/>
                <w:webHidden/>
              </w:rPr>
              <w:fldChar w:fldCharType="separate"/>
            </w:r>
            <w:r>
              <w:rPr>
                <w:noProof/>
                <w:webHidden/>
              </w:rPr>
              <w:t>11</w:t>
            </w:r>
            <w:r>
              <w:rPr>
                <w:noProof/>
                <w:webHidden/>
              </w:rPr>
              <w:fldChar w:fldCharType="end"/>
            </w:r>
          </w:hyperlink>
        </w:p>
        <w:p w14:paraId="7A4FF68A" w14:textId="5F0070FC" w:rsidR="00AC7D6C" w:rsidRDefault="00AC7D6C">
          <w:pPr>
            <w:pStyle w:val="TOC1"/>
            <w:rPr>
              <w:rFonts w:asciiTheme="minorHAnsi" w:eastAsiaTheme="minorEastAsia" w:hAnsiTheme="minorHAnsi" w:cstheme="minorBidi"/>
              <w:b w:val="0"/>
              <w:noProof/>
              <w:sz w:val="22"/>
              <w:lang w:eastAsia="en-AU"/>
            </w:rPr>
          </w:pPr>
          <w:hyperlink w:anchor="_Toc79415465" w:history="1">
            <w:r w:rsidRPr="004A3AC6">
              <w:rPr>
                <w:rStyle w:val="Hyperlink"/>
                <w:noProof/>
              </w:rPr>
              <w:t>III. Submission overview and risk/benefit assessment</w:t>
            </w:r>
            <w:r>
              <w:rPr>
                <w:noProof/>
                <w:webHidden/>
              </w:rPr>
              <w:tab/>
            </w:r>
            <w:r>
              <w:rPr>
                <w:noProof/>
                <w:webHidden/>
              </w:rPr>
              <w:fldChar w:fldCharType="begin"/>
            </w:r>
            <w:r>
              <w:rPr>
                <w:noProof/>
                <w:webHidden/>
              </w:rPr>
              <w:instrText xml:space="preserve"> PAGEREF _Toc79415465 \h </w:instrText>
            </w:r>
            <w:r>
              <w:rPr>
                <w:noProof/>
                <w:webHidden/>
              </w:rPr>
            </w:r>
            <w:r>
              <w:rPr>
                <w:noProof/>
                <w:webHidden/>
              </w:rPr>
              <w:fldChar w:fldCharType="separate"/>
            </w:r>
            <w:r>
              <w:rPr>
                <w:noProof/>
                <w:webHidden/>
              </w:rPr>
              <w:t>12</w:t>
            </w:r>
            <w:r>
              <w:rPr>
                <w:noProof/>
                <w:webHidden/>
              </w:rPr>
              <w:fldChar w:fldCharType="end"/>
            </w:r>
          </w:hyperlink>
        </w:p>
        <w:p w14:paraId="68B20BE2" w14:textId="2A366BB5" w:rsidR="00AC7D6C" w:rsidRDefault="00AC7D6C">
          <w:pPr>
            <w:pStyle w:val="TOC2"/>
            <w:rPr>
              <w:rFonts w:asciiTheme="minorHAnsi" w:eastAsiaTheme="minorEastAsia" w:hAnsiTheme="minorHAnsi" w:cstheme="minorBidi"/>
              <w:b w:val="0"/>
              <w:noProof/>
              <w:sz w:val="22"/>
              <w:lang w:eastAsia="en-AU"/>
            </w:rPr>
          </w:pPr>
          <w:hyperlink w:anchor="_Toc79415466" w:history="1">
            <w:r w:rsidRPr="004A3AC6">
              <w:rPr>
                <w:rStyle w:val="Hyperlink"/>
                <w:noProof/>
              </w:rPr>
              <w:t>Quality</w:t>
            </w:r>
            <w:r>
              <w:rPr>
                <w:noProof/>
                <w:webHidden/>
              </w:rPr>
              <w:tab/>
            </w:r>
            <w:r>
              <w:rPr>
                <w:noProof/>
                <w:webHidden/>
              </w:rPr>
              <w:fldChar w:fldCharType="begin"/>
            </w:r>
            <w:r>
              <w:rPr>
                <w:noProof/>
                <w:webHidden/>
              </w:rPr>
              <w:instrText xml:space="preserve"> PAGEREF _Toc79415466 \h </w:instrText>
            </w:r>
            <w:r>
              <w:rPr>
                <w:noProof/>
                <w:webHidden/>
              </w:rPr>
            </w:r>
            <w:r>
              <w:rPr>
                <w:noProof/>
                <w:webHidden/>
              </w:rPr>
              <w:fldChar w:fldCharType="separate"/>
            </w:r>
            <w:r>
              <w:rPr>
                <w:noProof/>
                <w:webHidden/>
              </w:rPr>
              <w:t>12</w:t>
            </w:r>
            <w:r>
              <w:rPr>
                <w:noProof/>
                <w:webHidden/>
              </w:rPr>
              <w:fldChar w:fldCharType="end"/>
            </w:r>
          </w:hyperlink>
        </w:p>
        <w:p w14:paraId="117ED1C5" w14:textId="34E26338" w:rsidR="00AC7D6C" w:rsidRDefault="00AC7D6C">
          <w:pPr>
            <w:pStyle w:val="TOC2"/>
            <w:rPr>
              <w:rFonts w:asciiTheme="minorHAnsi" w:eastAsiaTheme="minorEastAsia" w:hAnsiTheme="minorHAnsi" w:cstheme="minorBidi"/>
              <w:b w:val="0"/>
              <w:noProof/>
              <w:sz w:val="22"/>
              <w:lang w:eastAsia="en-AU"/>
            </w:rPr>
          </w:pPr>
          <w:hyperlink w:anchor="_Toc79415467" w:history="1">
            <w:r w:rsidRPr="004A3AC6">
              <w:rPr>
                <w:rStyle w:val="Hyperlink"/>
                <w:noProof/>
              </w:rPr>
              <w:t>Nonclinical</w:t>
            </w:r>
            <w:r>
              <w:rPr>
                <w:noProof/>
                <w:webHidden/>
              </w:rPr>
              <w:tab/>
            </w:r>
            <w:r>
              <w:rPr>
                <w:noProof/>
                <w:webHidden/>
              </w:rPr>
              <w:fldChar w:fldCharType="begin"/>
            </w:r>
            <w:r>
              <w:rPr>
                <w:noProof/>
                <w:webHidden/>
              </w:rPr>
              <w:instrText xml:space="preserve"> PAGEREF _Toc79415467 \h </w:instrText>
            </w:r>
            <w:r>
              <w:rPr>
                <w:noProof/>
                <w:webHidden/>
              </w:rPr>
            </w:r>
            <w:r>
              <w:rPr>
                <w:noProof/>
                <w:webHidden/>
              </w:rPr>
              <w:fldChar w:fldCharType="separate"/>
            </w:r>
            <w:r>
              <w:rPr>
                <w:noProof/>
                <w:webHidden/>
              </w:rPr>
              <w:t>14</w:t>
            </w:r>
            <w:r>
              <w:rPr>
                <w:noProof/>
                <w:webHidden/>
              </w:rPr>
              <w:fldChar w:fldCharType="end"/>
            </w:r>
          </w:hyperlink>
        </w:p>
        <w:p w14:paraId="49421EEC" w14:textId="0CD4567E" w:rsidR="00AC7D6C" w:rsidRDefault="00AC7D6C">
          <w:pPr>
            <w:pStyle w:val="TOC2"/>
            <w:rPr>
              <w:rFonts w:asciiTheme="minorHAnsi" w:eastAsiaTheme="minorEastAsia" w:hAnsiTheme="minorHAnsi" w:cstheme="minorBidi"/>
              <w:b w:val="0"/>
              <w:noProof/>
              <w:sz w:val="22"/>
              <w:lang w:eastAsia="en-AU"/>
            </w:rPr>
          </w:pPr>
          <w:hyperlink w:anchor="_Toc79415468" w:history="1">
            <w:r w:rsidRPr="004A3AC6">
              <w:rPr>
                <w:rStyle w:val="Hyperlink"/>
                <w:noProof/>
              </w:rPr>
              <w:t>Clinical</w:t>
            </w:r>
            <w:r>
              <w:rPr>
                <w:noProof/>
                <w:webHidden/>
              </w:rPr>
              <w:tab/>
            </w:r>
            <w:r>
              <w:rPr>
                <w:noProof/>
                <w:webHidden/>
              </w:rPr>
              <w:fldChar w:fldCharType="begin"/>
            </w:r>
            <w:r>
              <w:rPr>
                <w:noProof/>
                <w:webHidden/>
              </w:rPr>
              <w:instrText xml:space="preserve"> PAGEREF _Toc79415468 \h </w:instrText>
            </w:r>
            <w:r>
              <w:rPr>
                <w:noProof/>
                <w:webHidden/>
              </w:rPr>
            </w:r>
            <w:r>
              <w:rPr>
                <w:noProof/>
                <w:webHidden/>
              </w:rPr>
              <w:fldChar w:fldCharType="separate"/>
            </w:r>
            <w:r>
              <w:rPr>
                <w:noProof/>
                <w:webHidden/>
              </w:rPr>
              <w:t>15</w:t>
            </w:r>
            <w:r>
              <w:rPr>
                <w:noProof/>
                <w:webHidden/>
              </w:rPr>
              <w:fldChar w:fldCharType="end"/>
            </w:r>
          </w:hyperlink>
        </w:p>
        <w:p w14:paraId="08A931F5" w14:textId="5091F49D" w:rsidR="00AC7D6C" w:rsidRDefault="00AC7D6C">
          <w:pPr>
            <w:pStyle w:val="TOC2"/>
            <w:rPr>
              <w:rFonts w:asciiTheme="minorHAnsi" w:eastAsiaTheme="minorEastAsia" w:hAnsiTheme="minorHAnsi" w:cstheme="minorBidi"/>
              <w:b w:val="0"/>
              <w:noProof/>
              <w:sz w:val="22"/>
              <w:lang w:eastAsia="en-AU"/>
            </w:rPr>
          </w:pPr>
          <w:hyperlink w:anchor="_Toc79415469" w:history="1">
            <w:r w:rsidRPr="004A3AC6">
              <w:rPr>
                <w:rStyle w:val="Hyperlink"/>
                <w:noProof/>
                <w:lang w:eastAsia="en-AU"/>
              </w:rPr>
              <w:t>Risk management plan</w:t>
            </w:r>
            <w:r>
              <w:rPr>
                <w:noProof/>
                <w:webHidden/>
              </w:rPr>
              <w:tab/>
            </w:r>
            <w:r>
              <w:rPr>
                <w:noProof/>
                <w:webHidden/>
              </w:rPr>
              <w:fldChar w:fldCharType="begin"/>
            </w:r>
            <w:r>
              <w:rPr>
                <w:noProof/>
                <w:webHidden/>
              </w:rPr>
              <w:instrText xml:space="preserve"> PAGEREF _Toc79415469 \h </w:instrText>
            </w:r>
            <w:r>
              <w:rPr>
                <w:noProof/>
                <w:webHidden/>
              </w:rPr>
            </w:r>
            <w:r>
              <w:rPr>
                <w:noProof/>
                <w:webHidden/>
              </w:rPr>
              <w:fldChar w:fldCharType="separate"/>
            </w:r>
            <w:r>
              <w:rPr>
                <w:noProof/>
                <w:webHidden/>
              </w:rPr>
              <w:t>54</w:t>
            </w:r>
            <w:r>
              <w:rPr>
                <w:noProof/>
                <w:webHidden/>
              </w:rPr>
              <w:fldChar w:fldCharType="end"/>
            </w:r>
          </w:hyperlink>
        </w:p>
        <w:p w14:paraId="5DEE3EE5" w14:textId="31477253" w:rsidR="00AC7D6C" w:rsidRDefault="00AC7D6C">
          <w:pPr>
            <w:pStyle w:val="TOC2"/>
            <w:rPr>
              <w:rFonts w:asciiTheme="minorHAnsi" w:eastAsiaTheme="minorEastAsia" w:hAnsiTheme="minorHAnsi" w:cstheme="minorBidi"/>
              <w:b w:val="0"/>
              <w:noProof/>
              <w:sz w:val="22"/>
              <w:lang w:eastAsia="en-AU"/>
            </w:rPr>
          </w:pPr>
          <w:hyperlink w:anchor="_Toc79415470" w:history="1">
            <w:r w:rsidRPr="004A3AC6">
              <w:rPr>
                <w:rStyle w:val="Hyperlink"/>
                <w:noProof/>
              </w:rPr>
              <w:t>Risk-benefit analysis</w:t>
            </w:r>
            <w:r>
              <w:rPr>
                <w:noProof/>
                <w:webHidden/>
              </w:rPr>
              <w:tab/>
            </w:r>
            <w:r>
              <w:rPr>
                <w:noProof/>
                <w:webHidden/>
              </w:rPr>
              <w:fldChar w:fldCharType="begin"/>
            </w:r>
            <w:r>
              <w:rPr>
                <w:noProof/>
                <w:webHidden/>
              </w:rPr>
              <w:instrText xml:space="preserve"> PAGEREF _Toc79415470 \h </w:instrText>
            </w:r>
            <w:r>
              <w:rPr>
                <w:noProof/>
                <w:webHidden/>
              </w:rPr>
            </w:r>
            <w:r>
              <w:rPr>
                <w:noProof/>
                <w:webHidden/>
              </w:rPr>
              <w:fldChar w:fldCharType="separate"/>
            </w:r>
            <w:r>
              <w:rPr>
                <w:noProof/>
                <w:webHidden/>
              </w:rPr>
              <w:t>56</w:t>
            </w:r>
            <w:r>
              <w:rPr>
                <w:noProof/>
                <w:webHidden/>
              </w:rPr>
              <w:fldChar w:fldCharType="end"/>
            </w:r>
          </w:hyperlink>
        </w:p>
        <w:p w14:paraId="17EFCE8E" w14:textId="6811AA6B" w:rsidR="00AC7D6C" w:rsidRDefault="00AC7D6C">
          <w:pPr>
            <w:pStyle w:val="TOC2"/>
            <w:rPr>
              <w:rFonts w:asciiTheme="minorHAnsi" w:eastAsiaTheme="minorEastAsia" w:hAnsiTheme="minorHAnsi" w:cstheme="minorBidi"/>
              <w:b w:val="0"/>
              <w:noProof/>
              <w:sz w:val="22"/>
              <w:lang w:eastAsia="en-AU"/>
            </w:rPr>
          </w:pPr>
          <w:hyperlink w:anchor="_Toc79415471" w:history="1">
            <w:r w:rsidRPr="004A3AC6">
              <w:rPr>
                <w:rStyle w:val="Hyperlink"/>
                <w:noProof/>
              </w:rPr>
              <w:t>Outcome</w:t>
            </w:r>
            <w:r>
              <w:rPr>
                <w:noProof/>
                <w:webHidden/>
              </w:rPr>
              <w:tab/>
            </w:r>
            <w:r>
              <w:rPr>
                <w:noProof/>
                <w:webHidden/>
              </w:rPr>
              <w:fldChar w:fldCharType="begin"/>
            </w:r>
            <w:r>
              <w:rPr>
                <w:noProof/>
                <w:webHidden/>
              </w:rPr>
              <w:instrText xml:space="preserve"> PAGEREF _Toc79415471 \h </w:instrText>
            </w:r>
            <w:r>
              <w:rPr>
                <w:noProof/>
                <w:webHidden/>
              </w:rPr>
            </w:r>
            <w:r>
              <w:rPr>
                <w:noProof/>
                <w:webHidden/>
              </w:rPr>
              <w:fldChar w:fldCharType="separate"/>
            </w:r>
            <w:r>
              <w:rPr>
                <w:noProof/>
                <w:webHidden/>
              </w:rPr>
              <w:t>62</w:t>
            </w:r>
            <w:r>
              <w:rPr>
                <w:noProof/>
                <w:webHidden/>
              </w:rPr>
              <w:fldChar w:fldCharType="end"/>
            </w:r>
          </w:hyperlink>
        </w:p>
        <w:p w14:paraId="65D3DE9F" w14:textId="76C2ED56" w:rsidR="00AC7D6C" w:rsidRDefault="00AC7D6C">
          <w:pPr>
            <w:pStyle w:val="TOC1"/>
            <w:rPr>
              <w:rFonts w:asciiTheme="minorHAnsi" w:eastAsiaTheme="minorEastAsia" w:hAnsiTheme="minorHAnsi" w:cstheme="minorBidi"/>
              <w:b w:val="0"/>
              <w:noProof/>
              <w:sz w:val="22"/>
              <w:lang w:eastAsia="en-AU"/>
            </w:rPr>
          </w:pPr>
          <w:hyperlink w:anchor="_Toc79415472" w:history="1">
            <w:r w:rsidRPr="004A3AC6">
              <w:rPr>
                <w:rStyle w:val="Hyperlink"/>
                <w:noProof/>
              </w:rPr>
              <w:t>Attachment 1. Product Information</w:t>
            </w:r>
            <w:r>
              <w:rPr>
                <w:noProof/>
                <w:webHidden/>
              </w:rPr>
              <w:tab/>
            </w:r>
            <w:r>
              <w:rPr>
                <w:noProof/>
                <w:webHidden/>
              </w:rPr>
              <w:fldChar w:fldCharType="begin"/>
            </w:r>
            <w:r>
              <w:rPr>
                <w:noProof/>
                <w:webHidden/>
              </w:rPr>
              <w:instrText xml:space="preserve"> PAGEREF _Toc79415472 \h </w:instrText>
            </w:r>
            <w:r>
              <w:rPr>
                <w:noProof/>
                <w:webHidden/>
              </w:rPr>
            </w:r>
            <w:r>
              <w:rPr>
                <w:noProof/>
                <w:webHidden/>
              </w:rPr>
              <w:fldChar w:fldCharType="separate"/>
            </w:r>
            <w:r>
              <w:rPr>
                <w:noProof/>
                <w:webHidden/>
              </w:rPr>
              <w:t>65</w:t>
            </w:r>
            <w:r>
              <w:rPr>
                <w:noProof/>
                <w:webHidden/>
              </w:rPr>
              <w:fldChar w:fldCharType="end"/>
            </w:r>
          </w:hyperlink>
        </w:p>
        <w:p w14:paraId="658248BC" w14:textId="0C106D14" w:rsidR="003A7F6C" w:rsidRPr="006E0620" w:rsidRDefault="00C525A2" w:rsidP="00B811C6">
          <w:pPr>
            <w:pStyle w:val="TOC2"/>
          </w:pPr>
          <w:r w:rsidRPr="006E0620">
            <w:rPr>
              <w:color w:val="2B579A"/>
              <w:shd w:val="clear" w:color="auto" w:fill="E6E6E6"/>
            </w:rPr>
            <w:fldChar w:fldCharType="end"/>
          </w:r>
        </w:p>
      </w:sdtContent>
    </w:sdt>
    <w:bookmarkStart w:id="2" w:name="_Toc314842482" w:displacedByCustomXml="prev"/>
    <w:p w14:paraId="522D4344" w14:textId="77777777" w:rsidR="00FD119B" w:rsidRPr="006E0620" w:rsidRDefault="00FD119B">
      <w:pPr>
        <w:spacing w:before="0" w:after="200" w:line="0" w:lineRule="auto"/>
      </w:pPr>
      <w:r w:rsidRPr="006E0620">
        <w:br w:type="page"/>
      </w:r>
    </w:p>
    <w:p w14:paraId="2D7A61EB" w14:textId="77777777" w:rsidR="00FD119B" w:rsidRPr="006E0620" w:rsidRDefault="00324E45" w:rsidP="004F0C4A">
      <w:pPr>
        <w:pStyle w:val="Heading2"/>
      </w:pPr>
      <w:bookmarkStart w:id="3" w:name="_Toc351716269"/>
      <w:bookmarkStart w:id="4" w:name="_Toc351718881"/>
      <w:bookmarkStart w:id="5" w:name="_Toc355338616"/>
      <w:bookmarkStart w:id="6" w:name="_Toc356306144"/>
      <w:bookmarkStart w:id="7" w:name="_Toc79415458"/>
      <w:r w:rsidRPr="006E0620">
        <w:lastRenderedPageBreak/>
        <w:t>List of</w:t>
      </w:r>
      <w:r w:rsidR="00FD119B" w:rsidRPr="006E0620">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6E0620" w14:paraId="4FD44C54" w14:textId="77777777" w:rsidTr="00E57191">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4B0B4285" w14:textId="77777777" w:rsidR="00FD119B" w:rsidRPr="006E0620" w:rsidRDefault="00FD119B" w:rsidP="005A50B4">
            <w:r w:rsidRPr="006E0620">
              <w:t>Abbreviation</w:t>
            </w:r>
          </w:p>
        </w:tc>
        <w:tc>
          <w:tcPr>
            <w:tcW w:w="6604" w:type="dxa"/>
            <w:tcBorders>
              <w:top w:val="single" w:sz="4" w:space="0" w:color="auto"/>
              <w:left w:val="single" w:sz="4" w:space="0" w:color="auto"/>
              <w:bottom w:val="single" w:sz="4" w:space="0" w:color="auto"/>
              <w:right w:val="single" w:sz="4" w:space="0" w:color="auto"/>
            </w:tcBorders>
          </w:tcPr>
          <w:p w14:paraId="0A03D378" w14:textId="77777777" w:rsidR="00FD119B" w:rsidRPr="006E0620" w:rsidRDefault="00FD119B" w:rsidP="005A50B4">
            <w:r w:rsidRPr="006E0620">
              <w:t>Meaning</w:t>
            </w:r>
          </w:p>
        </w:tc>
      </w:tr>
      <w:tr w:rsidR="005A50B4" w:rsidRPr="006E0620" w14:paraId="4C0151F2" w14:textId="77777777" w:rsidTr="00E57191">
        <w:tc>
          <w:tcPr>
            <w:tcW w:w="1890" w:type="dxa"/>
          </w:tcPr>
          <w:p w14:paraId="39F4FAE2" w14:textId="3E130BFC" w:rsidR="005A50B4" w:rsidRPr="006E0620" w:rsidRDefault="005A50B4" w:rsidP="005A50B4">
            <w:r w:rsidRPr="006E0620">
              <w:t>ACV</w:t>
            </w:r>
          </w:p>
        </w:tc>
        <w:tc>
          <w:tcPr>
            <w:tcW w:w="6604" w:type="dxa"/>
          </w:tcPr>
          <w:p w14:paraId="06497B06" w14:textId="00EF1B2D" w:rsidR="005A50B4" w:rsidRPr="006E0620" w:rsidRDefault="005A50B4" w:rsidP="005A50B4">
            <w:r w:rsidRPr="006E0620">
              <w:t>Advisory Committee on Vaccine</w:t>
            </w:r>
            <w:r w:rsidR="00323585">
              <w:t>s</w:t>
            </w:r>
          </w:p>
        </w:tc>
      </w:tr>
      <w:tr w:rsidR="005A50B4" w:rsidRPr="006E0620" w14:paraId="2E65C007" w14:textId="77777777" w:rsidTr="00E57191">
        <w:tc>
          <w:tcPr>
            <w:tcW w:w="1890" w:type="dxa"/>
          </w:tcPr>
          <w:p w14:paraId="69B196AA" w14:textId="005559D9" w:rsidR="005A50B4" w:rsidRPr="006E0620" w:rsidRDefault="005A50B4" w:rsidP="005A50B4">
            <w:r w:rsidRPr="006E0620">
              <w:t>AE</w:t>
            </w:r>
          </w:p>
        </w:tc>
        <w:tc>
          <w:tcPr>
            <w:tcW w:w="6604" w:type="dxa"/>
          </w:tcPr>
          <w:p w14:paraId="5CEDEB39" w14:textId="65649300" w:rsidR="005A50B4" w:rsidRPr="006E0620" w:rsidRDefault="005A50B4" w:rsidP="005A50B4">
            <w:r w:rsidRPr="006E0620">
              <w:t>Adverse event</w:t>
            </w:r>
          </w:p>
        </w:tc>
      </w:tr>
      <w:tr w:rsidR="005A50B4" w:rsidRPr="006E0620" w14:paraId="2582CEF7" w14:textId="77777777" w:rsidTr="00E57191">
        <w:tc>
          <w:tcPr>
            <w:tcW w:w="1890" w:type="dxa"/>
          </w:tcPr>
          <w:p w14:paraId="08766CBA" w14:textId="264A978C" w:rsidR="005A50B4" w:rsidRPr="006E0620" w:rsidRDefault="005A50B4" w:rsidP="005A50B4">
            <w:r w:rsidRPr="006E0620">
              <w:t>AR</w:t>
            </w:r>
          </w:p>
        </w:tc>
        <w:tc>
          <w:tcPr>
            <w:tcW w:w="6604" w:type="dxa"/>
          </w:tcPr>
          <w:p w14:paraId="4235D03F" w14:textId="16A4AA15" w:rsidR="005A50B4" w:rsidRPr="006E0620" w:rsidRDefault="005A50B4" w:rsidP="005A50B4">
            <w:r w:rsidRPr="006E0620">
              <w:t>Adverse reaction</w:t>
            </w:r>
          </w:p>
        </w:tc>
      </w:tr>
      <w:tr w:rsidR="00656BB2" w:rsidRPr="006E0620" w14:paraId="3414C352" w14:textId="77777777" w:rsidTr="00E57191">
        <w:tc>
          <w:tcPr>
            <w:tcW w:w="1890" w:type="dxa"/>
          </w:tcPr>
          <w:p w14:paraId="562DB4CF" w14:textId="2E47DACA" w:rsidR="00656BB2" w:rsidRPr="006E0620" w:rsidRDefault="00656BB2" w:rsidP="005A50B4">
            <w:r w:rsidRPr="00656BB2">
              <w:t>ARGPM</w:t>
            </w:r>
          </w:p>
        </w:tc>
        <w:tc>
          <w:tcPr>
            <w:tcW w:w="6604" w:type="dxa"/>
          </w:tcPr>
          <w:p w14:paraId="327E5878" w14:textId="7444014D" w:rsidR="00656BB2" w:rsidRPr="006E0620" w:rsidRDefault="00656BB2" w:rsidP="005A50B4">
            <w:r w:rsidRPr="00656BB2">
              <w:t>Australian Regulatory Guidelines for Prescription Medicines</w:t>
            </w:r>
          </w:p>
        </w:tc>
      </w:tr>
      <w:tr w:rsidR="005A50B4" w:rsidRPr="006E0620" w14:paraId="6D91579B" w14:textId="77777777" w:rsidTr="00E57191">
        <w:tc>
          <w:tcPr>
            <w:tcW w:w="1890" w:type="dxa"/>
          </w:tcPr>
          <w:p w14:paraId="2DD602E4" w14:textId="7BDABF07" w:rsidR="005A50B4" w:rsidRPr="006E0620" w:rsidRDefault="005A50B4" w:rsidP="005A50B4">
            <w:r w:rsidRPr="006E0620">
              <w:t>ARTG</w:t>
            </w:r>
          </w:p>
        </w:tc>
        <w:tc>
          <w:tcPr>
            <w:tcW w:w="6604" w:type="dxa"/>
          </w:tcPr>
          <w:p w14:paraId="0639AC3D" w14:textId="11DF7B23" w:rsidR="005A50B4" w:rsidRPr="006E0620" w:rsidRDefault="005A50B4" w:rsidP="005A50B4">
            <w:r w:rsidRPr="006E0620">
              <w:t>Australian Register of Therapeutic Goods</w:t>
            </w:r>
          </w:p>
        </w:tc>
      </w:tr>
      <w:tr w:rsidR="005A50B4" w:rsidRPr="006E0620" w14:paraId="75713DF9" w14:textId="77777777" w:rsidTr="00E57191">
        <w:tc>
          <w:tcPr>
            <w:tcW w:w="1890" w:type="dxa"/>
          </w:tcPr>
          <w:p w14:paraId="30DAAB0B" w14:textId="14637C49" w:rsidR="005A50B4" w:rsidRPr="006E0620" w:rsidRDefault="005A50B4" w:rsidP="005A50B4">
            <w:r w:rsidRPr="006E0620">
              <w:t>ASA</w:t>
            </w:r>
          </w:p>
        </w:tc>
        <w:tc>
          <w:tcPr>
            <w:tcW w:w="6604" w:type="dxa"/>
          </w:tcPr>
          <w:p w14:paraId="4FE092EC" w14:textId="47A3B5B1" w:rsidR="005A50B4" w:rsidRPr="006E0620" w:rsidRDefault="005A50B4" w:rsidP="005A50B4">
            <w:r w:rsidRPr="006E0620">
              <w:t>Australian specific annex</w:t>
            </w:r>
          </w:p>
        </w:tc>
      </w:tr>
      <w:tr w:rsidR="005A50B4" w:rsidRPr="006E0620" w14:paraId="301C4EBB" w14:textId="77777777" w:rsidTr="00E57191">
        <w:tc>
          <w:tcPr>
            <w:tcW w:w="1890" w:type="dxa"/>
          </w:tcPr>
          <w:p w14:paraId="1BB3B311" w14:textId="49052DFB" w:rsidR="005A50B4" w:rsidRPr="006E0620" w:rsidRDefault="005A50B4" w:rsidP="005A50B4">
            <w:r w:rsidRPr="006E0620">
              <w:t>CD4</w:t>
            </w:r>
          </w:p>
        </w:tc>
        <w:tc>
          <w:tcPr>
            <w:tcW w:w="6604" w:type="dxa"/>
          </w:tcPr>
          <w:p w14:paraId="57E966DF" w14:textId="66C1CC0D" w:rsidR="005A50B4" w:rsidRPr="006E0620" w:rsidRDefault="005A50B4" w:rsidP="005A50B4">
            <w:r w:rsidRPr="006E0620">
              <w:t>Cluster of differentiation 4</w:t>
            </w:r>
          </w:p>
        </w:tc>
      </w:tr>
      <w:tr w:rsidR="005A50B4" w:rsidRPr="006E0620" w14:paraId="40761885" w14:textId="77777777" w:rsidTr="00E57191">
        <w:tc>
          <w:tcPr>
            <w:tcW w:w="1890" w:type="dxa"/>
          </w:tcPr>
          <w:p w14:paraId="50A060F8" w14:textId="0D9770A6" w:rsidR="005A50B4" w:rsidRPr="006E0620" w:rsidRDefault="005A50B4" w:rsidP="005A50B4">
            <w:r w:rsidRPr="006E0620">
              <w:t>CDC</w:t>
            </w:r>
          </w:p>
        </w:tc>
        <w:tc>
          <w:tcPr>
            <w:tcW w:w="6604" w:type="dxa"/>
          </w:tcPr>
          <w:p w14:paraId="33B4F70A" w14:textId="20215E37" w:rsidR="005A50B4" w:rsidRPr="00C20BAC" w:rsidRDefault="005A50B4" w:rsidP="00C20BAC">
            <w:pPr>
              <w:spacing w:before="0" w:after="0" w:line="240" w:lineRule="auto"/>
              <w:rPr>
                <w:rFonts w:ascii="Times New Roman" w:eastAsiaTheme="minorHAnsi" w:hAnsi="Times New Roman"/>
                <w:sz w:val="24"/>
                <w:szCs w:val="24"/>
              </w:rPr>
            </w:pPr>
            <w:proofErr w:type="spellStart"/>
            <w:r w:rsidRPr="006E0620">
              <w:t>Centers</w:t>
            </w:r>
            <w:proofErr w:type="spellEnd"/>
            <w:r w:rsidRPr="006E0620">
              <w:t xml:space="preserve"> for Disease Control and Prevention (United States</w:t>
            </w:r>
            <w:r w:rsidR="00323585">
              <w:t xml:space="preserve"> of America)</w:t>
            </w:r>
          </w:p>
        </w:tc>
      </w:tr>
      <w:tr w:rsidR="005A50B4" w:rsidRPr="006E0620" w14:paraId="06BFAC2F" w14:textId="77777777" w:rsidTr="00E57191">
        <w:tc>
          <w:tcPr>
            <w:tcW w:w="1890" w:type="dxa"/>
          </w:tcPr>
          <w:p w14:paraId="2A85E1F9" w14:textId="023D35C2" w:rsidR="005A50B4" w:rsidRPr="006E0620" w:rsidRDefault="005A50B4" w:rsidP="005A50B4">
            <w:r w:rsidRPr="006E0620">
              <w:t>CI</w:t>
            </w:r>
          </w:p>
        </w:tc>
        <w:tc>
          <w:tcPr>
            <w:tcW w:w="6604" w:type="dxa"/>
          </w:tcPr>
          <w:p w14:paraId="6D3AE066" w14:textId="01440D2D" w:rsidR="005A50B4" w:rsidRPr="006E0620" w:rsidRDefault="005A50B4" w:rsidP="005A50B4">
            <w:r w:rsidRPr="006E0620">
              <w:t>Confidence interval</w:t>
            </w:r>
          </w:p>
        </w:tc>
      </w:tr>
      <w:tr w:rsidR="005A50B4" w:rsidRPr="006E0620" w14:paraId="2D1AEF5C" w14:textId="77777777" w:rsidTr="00E57191">
        <w:tc>
          <w:tcPr>
            <w:tcW w:w="1890" w:type="dxa"/>
          </w:tcPr>
          <w:p w14:paraId="68B5425B" w14:textId="7D5D6639" w:rsidR="005A50B4" w:rsidRPr="006E0620" w:rsidRDefault="005A50B4" w:rsidP="005A50B4">
            <w:r w:rsidRPr="006E0620">
              <w:t>COVID-19</w:t>
            </w:r>
          </w:p>
        </w:tc>
        <w:tc>
          <w:tcPr>
            <w:tcW w:w="6604" w:type="dxa"/>
          </w:tcPr>
          <w:p w14:paraId="0CBF9745" w14:textId="032795B1" w:rsidR="005A50B4" w:rsidRPr="006E0620" w:rsidRDefault="005A50B4" w:rsidP="005A50B4">
            <w:r w:rsidRPr="006E0620">
              <w:t>Coronavirus disease 2019</w:t>
            </w:r>
          </w:p>
        </w:tc>
      </w:tr>
      <w:tr w:rsidR="00656BB2" w:rsidRPr="006E0620" w14:paraId="112AE4FB" w14:textId="77777777" w:rsidTr="00E57191">
        <w:tc>
          <w:tcPr>
            <w:tcW w:w="1890" w:type="dxa"/>
          </w:tcPr>
          <w:p w14:paraId="32B882D1" w14:textId="052DB159" w:rsidR="00656BB2" w:rsidRPr="006E0620" w:rsidRDefault="00656BB2" w:rsidP="005A50B4">
            <w:r w:rsidRPr="00656BB2">
              <w:t>CPD</w:t>
            </w:r>
          </w:p>
        </w:tc>
        <w:tc>
          <w:tcPr>
            <w:tcW w:w="6604" w:type="dxa"/>
          </w:tcPr>
          <w:p w14:paraId="6B7F63F7" w14:textId="323A621B" w:rsidR="00656BB2" w:rsidRPr="006E0620" w:rsidRDefault="00656BB2" w:rsidP="005A50B4">
            <w:r w:rsidRPr="00656BB2">
              <w:t>Certified Product Detail</w:t>
            </w:r>
            <w:r w:rsidR="00CD4D07">
              <w:t>s</w:t>
            </w:r>
          </w:p>
        </w:tc>
      </w:tr>
      <w:tr w:rsidR="005A50B4" w:rsidRPr="006E0620" w14:paraId="329D7DC5" w14:textId="77777777" w:rsidTr="00E57191">
        <w:tc>
          <w:tcPr>
            <w:tcW w:w="1890" w:type="dxa"/>
          </w:tcPr>
          <w:p w14:paraId="12CF2825" w14:textId="5EEEB812" w:rsidR="005A50B4" w:rsidRPr="006E0620" w:rsidRDefault="005A50B4" w:rsidP="005A50B4">
            <w:r w:rsidRPr="006E0620">
              <w:t>DBP</w:t>
            </w:r>
          </w:p>
        </w:tc>
        <w:tc>
          <w:tcPr>
            <w:tcW w:w="6604" w:type="dxa"/>
          </w:tcPr>
          <w:p w14:paraId="3043C306" w14:textId="07186BA6" w:rsidR="005A50B4" w:rsidRPr="006E0620" w:rsidRDefault="005A50B4" w:rsidP="005A50B4">
            <w:r w:rsidRPr="006E0620">
              <w:t>Diastolic blood pressure</w:t>
            </w:r>
          </w:p>
        </w:tc>
      </w:tr>
      <w:tr w:rsidR="005A50B4" w:rsidRPr="006E0620" w14:paraId="2258589A" w14:textId="77777777" w:rsidTr="00E57191">
        <w:tc>
          <w:tcPr>
            <w:tcW w:w="1890" w:type="dxa"/>
          </w:tcPr>
          <w:p w14:paraId="0FF05D2B" w14:textId="324BDE98" w:rsidR="005A50B4" w:rsidRPr="006E0620" w:rsidRDefault="005A50B4" w:rsidP="005A50B4">
            <w:r w:rsidRPr="006E0620">
              <w:t>DLP</w:t>
            </w:r>
          </w:p>
        </w:tc>
        <w:tc>
          <w:tcPr>
            <w:tcW w:w="6604" w:type="dxa"/>
          </w:tcPr>
          <w:p w14:paraId="1332E3C3" w14:textId="23A72E1C" w:rsidR="005A50B4" w:rsidRPr="006E0620" w:rsidRDefault="005A50B4" w:rsidP="005A50B4">
            <w:r w:rsidRPr="006E0620">
              <w:t>Data lock point</w:t>
            </w:r>
          </w:p>
        </w:tc>
      </w:tr>
      <w:tr w:rsidR="005A50B4" w:rsidRPr="006E0620" w14:paraId="2594BA0C" w14:textId="77777777" w:rsidTr="00E57191">
        <w:tc>
          <w:tcPr>
            <w:tcW w:w="1890" w:type="dxa"/>
          </w:tcPr>
          <w:p w14:paraId="330E035F" w14:textId="55B23546" w:rsidR="005A50B4" w:rsidRPr="006E0620" w:rsidRDefault="005A50B4" w:rsidP="005A50B4">
            <w:r w:rsidRPr="006E0620">
              <w:t>ECMO</w:t>
            </w:r>
          </w:p>
        </w:tc>
        <w:tc>
          <w:tcPr>
            <w:tcW w:w="6604" w:type="dxa"/>
          </w:tcPr>
          <w:p w14:paraId="3BA43512" w14:textId="30B2B33F" w:rsidR="005A50B4" w:rsidRPr="006E0620" w:rsidRDefault="005A50B4" w:rsidP="005A50B4">
            <w:r w:rsidRPr="006E0620">
              <w:t>Extracorporeal membrane oxygenation</w:t>
            </w:r>
          </w:p>
        </w:tc>
      </w:tr>
      <w:tr w:rsidR="005A50B4" w:rsidRPr="006E0620" w14:paraId="6E39AF33" w14:textId="77777777" w:rsidTr="00E57191">
        <w:tc>
          <w:tcPr>
            <w:tcW w:w="1890" w:type="dxa"/>
          </w:tcPr>
          <w:p w14:paraId="30CFE5F2" w14:textId="36032E97" w:rsidR="005A50B4" w:rsidRPr="006E0620" w:rsidRDefault="005A50B4" w:rsidP="005A50B4">
            <w:r w:rsidRPr="006E0620">
              <w:t>ELISA</w:t>
            </w:r>
          </w:p>
        </w:tc>
        <w:tc>
          <w:tcPr>
            <w:tcW w:w="6604" w:type="dxa"/>
          </w:tcPr>
          <w:p w14:paraId="32B53EDF" w14:textId="331F2276" w:rsidR="005A50B4" w:rsidRPr="006E0620" w:rsidRDefault="005A50B4" w:rsidP="005A50B4">
            <w:r w:rsidRPr="006E0620">
              <w:t>Enzyme linked immunosorbent assay</w:t>
            </w:r>
          </w:p>
        </w:tc>
      </w:tr>
      <w:tr w:rsidR="005A50B4" w:rsidRPr="006E0620" w14:paraId="281AD950" w14:textId="77777777" w:rsidTr="00E57191">
        <w:tc>
          <w:tcPr>
            <w:tcW w:w="1890" w:type="dxa"/>
          </w:tcPr>
          <w:p w14:paraId="3BE6B88D" w14:textId="290FA011" w:rsidR="005A50B4" w:rsidRPr="006E0620" w:rsidRDefault="005A50B4" w:rsidP="005A50B4">
            <w:r w:rsidRPr="006E0620">
              <w:t>EMA</w:t>
            </w:r>
          </w:p>
        </w:tc>
        <w:tc>
          <w:tcPr>
            <w:tcW w:w="6604" w:type="dxa"/>
          </w:tcPr>
          <w:p w14:paraId="1D42D610" w14:textId="26851C11" w:rsidR="005A50B4" w:rsidRPr="006E0620" w:rsidRDefault="005A50B4" w:rsidP="005A50B4">
            <w:r w:rsidRPr="006E0620">
              <w:t>European Medicines Agency</w:t>
            </w:r>
            <w:r w:rsidR="00323585">
              <w:t xml:space="preserve"> (European Union)</w:t>
            </w:r>
          </w:p>
        </w:tc>
      </w:tr>
      <w:tr w:rsidR="005A50B4" w:rsidRPr="006E0620" w14:paraId="563AE966" w14:textId="77777777" w:rsidTr="00E57191">
        <w:tc>
          <w:tcPr>
            <w:tcW w:w="1890" w:type="dxa"/>
          </w:tcPr>
          <w:p w14:paraId="7564AAFC" w14:textId="2D18D682" w:rsidR="005A50B4" w:rsidRPr="006E0620" w:rsidRDefault="005A50B4" w:rsidP="005A50B4">
            <w:r w:rsidRPr="006E0620">
              <w:t>EU</w:t>
            </w:r>
          </w:p>
        </w:tc>
        <w:tc>
          <w:tcPr>
            <w:tcW w:w="6604" w:type="dxa"/>
          </w:tcPr>
          <w:p w14:paraId="320072A5" w14:textId="2CE9F4A5" w:rsidR="005A50B4" w:rsidRPr="006E0620" w:rsidRDefault="005A50B4" w:rsidP="005A50B4">
            <w:r w:rsidRPr="006E0620">
              <w:t>European Union</w:t>
            </w:r>
          </w:p>
        </w:tc>
      </w:tr>
      <w:tr w:rsidR="005A50B4" w:rsidRPr="006E0620" w14:paraId="4C6FFBBA" w14:textId="77777777" w:rsidTr="00E57191">
        <w:tc>
          <w:tcPr>
            <w:tcW w:w="1890" w:type="dxa"/>
          </w:tcPr>
          <w:p w14:paraId="5DA0B09C" w14:textId="7F18F631" w:rsidR="005A50B4" w:rsidRPr="006E0620" w:rsidRDefault="005A50B4" w:rsidP="005A50B4">
            <w:r w:rsidRPr="006E0620">
              <w:t>FDA</w:t>
            </w:r>
          </w:p>
        </w:tc>
        <w:tc>
          <w:tcPr>
            <w:tcW w:w="6604" w:type="dxa"/>
          </w:tcPr>
          <w:p w14:paraId="78A426C3" w14:textId="0412DB2C" w:rsidR="005A50B4" w:rsidRPr="006E0620" w:rsidRDefault="005A50B4" w:rsidP="005A50B4">
            <w:r w:rsidRPr="006E0620">
              <w:t>Food and Drug Administration (United States</w:t>
            </w:r>
            <w:r w:rsidR="00323585">
              <w:t xml:space="preserve"> of America</w:t>
            </w:r>
            <w:r w:rsidRPr="006E0620">
              <w:t>)</w:t>
            </w:r>
          </w:p>
        </w:tc>
      </w:tr>
      <w:tr w:rsidR="005A50B4" w:rsidRPr="006E0620" w14:paraId="441C25DC" w14:textId="77777777" w:rsidTr="00E57191">
        <w:tc>
          <w:tcPr>
            <w:tcW w:w="1890" w:type="dxa"/>
          </w:tcPr>
          <w:p w14:paraId="22F6CAF8" w14:textId="06E54C0E" w:rsidR="005A50B4" w:rsidRPr="006E0620" w:rsidRDefault="005A50B4" w:rsidP="005A50B4">
            <w:r w:rsidRPr="006E0620">
              <w:t>FiO</w:t>
            </w:r>
            <w:r w:rsidRPr="006E0620">
              <w:rPr>
                <w:vertAlign w:val="subscript"/>
              </w:rPr>
              <w:t>2</w:t>
            </w:r>
          </w:p>
        </w:tc>
        <w:tc>
          <w:tcPr>
            <w:tcW w:w="6604" w:type="dxa"/>
          </w:tcPr>
          <w:p w14:paraId="70D55B4A" w14:textId="25A3747A" w:rsidR="005A50B4" w:rsidRPr="006E0620" w:rsidRDefault="005A50B4" w:rsidP="005A50B4">
            <w:r w:rsidRPr="006E0620">
              <w:t>Fraction of inspired oxygen</w:t>
            </w:r>
          </w:p>
        </w:tc>
      </w:tr>
      <w:tr w:rsidR="005A50B4" w:rsidRPr="006E0620" w14:paraId="4FD11071" w14:textId="77777777" w:rsidTr="00E57191">
        <w:tc>
          <w:tcPr>
            <w:tcW w:w="1890" w:type="dxa"/>
          </w:tcPr>
          <w:p w14:paraId="372496A7" w14:textId="227096DE" w:rsidR="005A50B4" w:rsidRPr="006E0620" w:rsidRDefault="005A50B4" w:rsidP="005A50B4">
            <w:r w:rsidRPr="006E0620">
              <w:t>GLP</w:t>
            </w:r>
          </w:p>
        </w:tc>
        <w:tc>
          <w:tcPr>
            <w:tcW w:w="6604" w:type="dxa"/>
          </w:tcPr>
          <w:p w14:paraId="11B45FEF" w14:textId="545897FE" w:rsidR="005A50B4" w:rsidRPr="006E0620" w:rsidRDefault="005A50B4" w:rsidP="005A50B4">
            <w:r w:rsidRPr="006E0620">
              <w:t>Good Laboratory Practices</w:t>
            </w:r>
          </w:p>
        </w:tc>
      </w:tr>
      <w:tr w:rsidR="000E643A" w:rsidRPr="006E0620" w14:paraId="7F5A41A0" w14:textId="77777777" w:rsidTr="00E57191">
        <w:tc>
          <w:tcPr>
            <w:tcW w:w="1890" w:type="dxa"/>
          </w:tcPr>
          <w:p w14:paraId="0127B4A3" w14:textId="6E1B54A9" w:rsidR="000E643A" w:rsidRPr="006E0620" w:rsidRDefault="000E643A" w:rsidP="005A50B4">
            <w:r w:rsidRPr="000E643A">
              <w:t>GMP</w:t>
            </w:r>
          </w:p>
        </w:tc>
        <w:tc>
          <w:tcPr>
            <w:tcW w:w="6604" w:type="dxa"/>
          </w:tcPr>
          <w:p w14:paraId="6B498AAF" w14:textId="2C66B3CB" w:rsidR="000E643A" w:rsidRPr="006E0620" w:rsidRDefault="000E643A" w:rsidP="005A50B4">
            <w:r w:rsidRPr="000E643A">
              <w:t>Good Manufacturing Practice</w:t>
            </w:r>
          </w:p>
        </w:tc>
      </w:tr>
      <w:tr w:rsidR="005A50B4" w:rsidRPr="006E0620" w14:paraId="08152C55" w14:textId="77777777" w:rsidTr="00E57191">
        <w:tc>
          <w:tcPr>
            <w:tcW w:w="1890" w:type="dxa"/>
          </w:tcPr>
          <w:p w14:paraId="26B544BD" w14:textId="2F526FA7" w:rsidR="005A50B4" w:rsidRPr="006E0620" w:rsidRDefault="005A50B4" w:rsidP="005A50B4">
            <w:r w:rsidRPr="006E0620">
              <w:t>HIV</w:t>
            </w:r>
          </w:p>
        </w:tc>
        <w:tc>
          <w:tcPr>
            <w:tcW w:w="6604" w:type="dxa"/>
          </w:tcPr>
          <w:p w14:paraId="131AD976" w14:textId="08922B0B" w:rsidR="005A50B4" w:rsidRPr="006E0620" w:rsidRDefault="005A50B4" w:rsidP="005A50B4">
            <w:r w:rsidRPr="006E0620">
              <w:t>Human immunodeficiency virus</w:t>
            </w:r>
          </w:p>
        </w:tc>
      </w:tr>
      <w:tr w:rsidR="005A50B4" w:rsidRPr="006E0620" w14:paraId="39C193EE" w14:textId="77777777" w:rsidTr="00E57191">
        <w:tc>
          <w:tcPr>
            <w:tcW w:w="1890" w:type="dxa"/>
          </w:tcPr>
          <w:p w14:paraId="50BC663A" w14:textId="5254DE7D" w:rsidR="005A50B4" w:rsidRPr="006E0620" w:rsidRDefault="005A50B4" w:rsidP="005A50B4">
            <w:r w:rsidRPr="006E0620">
              <w:t>HR</w:t>
            </w:r>
          </w:p>
        </w:tc>
        <w:tc>
          <w:tcPr>
            <w:tcW w:w="6604" w:type="dxa"/>
          </w:tcPr>
          <w:p w14:paraId="66AA9922" w14:textId="1CE830C3" w:rsidR="005A50B4" w:rsidRPr="006E0620" w:rsidRDefault="005A50B4" w:rsidP="005A50B4">
            <w:r w:rsidRPr="006E0620">
              <w:t>Heart rate</w:t>
            </w:r>
          </w:p>
        </w:tc>
      </w:tr>
      <w:tr w:rsidR="00B74B08" w:rsidRPr="006E0620" w14:paraId="71C54920" w14:textId="77777777" w:rsidTr="00E57191">
        <w:tc>
          <w:tcPr>
            <w:tcW w:w="1890" w:type="dxa"/>
          </w:tcPr>
          <w:p w14:paraId="6B99E811" w14:textId="535D94CD" w:rsidR="00B74B08" w:rsidRPr="006E0620" w:rsidRDefault="00B74B08" w:rsidP="005A50B4">
            <w:r w:rsidRPr="00B74B08">
              <w:t>IBD</w:t>
            </w:r>
          </w:p>
        </w:tc>
        <w:tc>
          <w:tcPr>
            <w:tcW w:w="6604" w:type="dxa"/>
          </w:tcPr>
          <w:p w14:paraId="0A68CE76" w14:textId="0C1CBB31" w:rsidR="00B74B08" w:rsidRPr="006E0620" w:rsidRDefault="00B74B08" w:rsidP="00B74B08">
            <w:r>
              <w:t>International birth date</w:t>
            </w:r>
          </w:p>
        </w:tc>
      </w:tr>
      <w:tr w:rsidR="005A50B4" w:rsidRPr="006E0620" w14:paraId="1971385B" w14:textId="77777777" w:rsidTr="00E57191">
        <w:tc>
          <w:tcPr>
            <w:tcW w:w="1890" w:type="dxa"/>
          </w:tcPr>
          <w:p w14:paraId="5D048776" w14:textId="278BBBE0" w:rsidR="005A50B4" w:rsidRPr="006E0620" w:rsidRDefault="005A50B4" w:rsidP="005A50B4">
            <w:r w:rsidRPr="006E0620">
              <w:t>ICD-10</w:t>
            </w:r>
          </w:p>
        </w:tc>
        <w:tc>
          <w:tcPr>
            <w:tcW w:w="6604" w:type="dxa"/>
          </w:tcPr>
          <w:p w14:paraId="11CDA64B" w14:textId="3C095D50" w:rsidR="005A50B4" w:rsidRPr="006E0620" w:rsidRDefault="005A50B4" w:rsidP="005A50B4">
            <w:r w:rsidRPr="006E0620">
              <w:t>International Classification of Diseases</w:t>
            </w:r>
            <w:r w:rsidR="00323585">
              <w:t xml:space="preserve"> (Tenth revision)</w:t>
            </w:r>
          </w:p>
        </w:tc>
      </w:tr>
      <w:tr w:rsidR="005A50B4" w:rsidRPr="006E0620" w14:paraId="73E0FF1D" w14:textId="77777777" w:rsidTr="00E57191">
        <w:tc>
          <w:tcPr>
            <w:tcW w:w="1890" w:type="dxa"/>
          </w:tcPr>
          <w:p w14:paraId="260CAB3B" w14:textId="19A801F6" w:rsidR="005A50B4" w:rsidRPr="006E0620" w:rsidRDefault="005A50B4" w:rsidP="005A50B4">
            <w:r w:rsidRPr="006E0620">
              <w:lastRenderedPageBreak/>
              <w:t>ICS</w:t>
            </w:r>
          </w:p>
        </w:tc>
        <w:tc>
          <w:tcPr>
            <w:tcW w:w="6604" w:type="dxa"/>
          </w:tcPr>
          <w:p w14:paraId="4F11AB2F" w14:textId="5D5FE8BF" w:rsidR="005A50B4" w:rsidRPr="006E0620" w:rsidRDefault="005A50B4" w:rsidP="005A50B4">
            <w:r w:rsidRPr="006E0620">
              <w:t>Intracellular cytokine staining</w:t>
            </w:r>
          </w:p>
        </w:tc>
      </w:tr>
      <w:tr w:rsidR="005A50B4" w:rsidRPr="006E0620" w14:paraId="077C0057" w14:textId="77777777" w:rsidTr="00E57191">
        <w:tc>
          <w:tcPr>
            <w:tcW w:w="1890" w:type="dxa"/>
          </w:tcPr>
          <w:p w14:paraId="63A05307" w14:textId="3B25B7D6" w:rsidR="005A50B4" w:rsidRPr="006E0620" w:rsidRDefault="005A50B4" w:rsidP="005A50B4">
            <w:r w:rsidRPr="006E0620">
              <w:t>ICU</w:t>
            </w:r>
          </w:p>
        </w:tc>
        <w:tc>
          <w:tcPr>
            <w:tcW w:w="6604" w:type="dxa"/>
          </w:tcPr>
          <w:p w14:paraId="189E2EF4" w14:textId="310A695B" w:rsidR="005A50B4" w:rsidRPr="006E0620" w:rsidRDefault="005A50B4" w:rsidP="005A50B4">
            <w:r w:rsidRPr="006E0620">
              <w:t>Intensive care unit</w:t>
            </w:r>
          </w:p>
        </w:tc>
      </w:tr>
      <w:tr w:rsidR="005A50B4" w:rsidRPr="006E0620" w14:paraId="48ECD86A" w14:textId="77777777" w:rsidTr="00E57191">
        <w:tc>
          <w:tcPr>
            <w:tcW w:w="1890" w:type="dxa"/>
          </w:tcPr>
          <w:p w14:paraId="6E5C3C29" w14:textId="413742A9" w:rsidR="005A50B4" w:rsidRPr="006E0620" w:rsidRDefault="005A50B4" w:rsidP="005A50B4">
            <w:r w:rsidRPr="006E0620">
              <w:t>LNP</w:t>
            </w:r>
          </w:p>
        </w:tc>
        <w:tc>
          <w:tcPr>
            <w:tcW w:w="6604" w:type="dxa"/>
          </w:tcPr>
          <w:p w14:paraId="637CE1BC" w14:textId="0005134F" w:rsidR="005A50B4" w:rsidRPr="006E0620" w:rsidRDefault="005A50B4" w:rsidP="005A50B4">
            <w:r w:rsidRPr="006E0620">
              <w:t>Lipid nanoparticle</w:t>
            </w:r>
          </w:p>
        </w:tc>
      </w:tr>
      <w:tr w:rsidR="00A40C29" w:rsidRPr="006E0620" w14:paraId="38341831" w14:textId="77777777" w:rsidTr="00E57191">
        <w:tc>
          <w:tcPr>
            <w:tcW w:w="1890" w:type="dxa"/>
          </w:tcPr>
          <w:p w14:paraId="1818C26D" w14:textId="45DD2AE7" w:rsidR="00A40C29" w:rsidRPr="006E0620" w:rsidRDefault="00A40C29" w:rsidP="005A50B4">
            <w:r w:rsidRPr="006E0620">
              <w:t>MAH</w:t>
            </w:r>
          </w:p>
        </w:tc>
        <w:tc>
          <w:tcPr>
            <w:tcW w:w="6604" w:type="dxa"/>
          </w:tcPr>
          <w:p w14:paraId="08E79B0E" w14:textId="1C7B557F" w:rsidR="00A40C29" w:rsidRPr="006E0620" w:rsidRDefault="00A40C29" w:rsidP="00A40C29">
            <w:r w:rsidRPr="006E0620">
              <w:t>Marketing Authorisation Holder</w:t>
            </w:r>
          </w:p>
        </w:tc>
      </w:tr>
      <w:tr w:rsidR="005A50B4" w:rsidRPr="006E0620" w14:paraId="085A5837" w14:textId="77777777" w:rsidTr="00E57191">
        <w:tc>
          <w:tcPr>
            <w:tcW w:w="1890" w:type="dxa"/>
          </w:tcPr>
          <w:p w14:paraId="161697B3" w14:textId="0CF6E99C" w:rsidR="005A50B4" w:rsidRPr="006E0620" w:rsidRDefault="005A50B4" w:rsidP="005A50B4">
            <w:proofErr w:type="spellStart"/>
            <w:r w:rsidRPr="006E0620">
              <w:t>mITT</w:t>
            </w:r>
            <w:proofErr w:type="spellEnd"/>
          </w:p>
        </w:tc>
        <w:tc>
          <w:tcPr>
            <w:tcW w:w="6604" w:type="dxa"/>
          </w:tcPr>
          <w:p w14:paraId="7BC67A9A" w14:textId="776CBEEA" w:rsidR="005A50B4" w:rsidRPr="006E0620" w:rsidRDefault="005A50B4" w:rsidP="005A50B4">
            <w:r w:rsidRPr="006E0620">
              <w:t>Modified intent-to-treat</w:t>
            </w:r>
          </w:p>
        </w:tc>
      </w:tr>
      <w:tr w:rsidR="00323585" w:rsidRPr="006E0620" w14:paraId="3E30EE0D" w14:textId="77777777" w:rsidTr="00E57191">
        <w:tc>
          <w:tcPr>
            <w:tcW w:w="1890" w:type="dxa"/>
          </w:tcPr>
          <w:p w14:paraId="636DB3BF" w14:textId="6BB7F008" w:rsidR="00323585" w:rsidRPr="006E0620" w:rsidRDefault="00323585" w:rsidP="005A50B4">
            <w:r>
              <w:t>mmHg</w:t>
            </w:r>
          </w:p>
        </w:tc>
        <w:tc>
          <w:tcPr>
            <w:tcW w:w="6604" w:type="dxa"/>
          </w:tcPr>
          <w:p w14:paraId="02958C38" w14:textId="728B5402" w:rsidR="00323585" w:rsidRPr="006E0620" w:rsidRDefault="00323585" w:rsidP="008C6897">
            <w:r>
              <w:t>M</w:t>
            </w:r>
            <w:r w:rsidRPr="00323585">
              <w:t>illimetres above mercury</w:t>
            </w:r>
          </w:p>
        </w:tc>
      </w:tr>
      <w:tr w:rsidR="005A50B4" w:rsidRPr="006E0620" w14:paraId="0CE37501" w14:textId="77777777" w:rsidTr="00E57191">
        <w:tc>
          <w:tcPr>
            <w:tcW w:w="1890" w:type="dxa"/>
          </w:tcPr>
          <w:p w14:paraId="7C3B88D3" w14:textId="0D0C53E0" w:rsidR="005A50B4" w:rsidRPr="006E0620" w:rsidRDefault="005A50B4" w:rsidP="005A50B4">
            <w:r w:rsidRPr="006E0620">
              <w:t>mRNA</w:t>
            </w:r>
          </w:p>
        </w:tc>
        <w:tc>
          <w:tcPr>
            <w:tcW w:w="6604" w:type="dxa"/>
          </w:tcPr>
          <w:p w14:paraId="12FCF22D" w14:textId="2CFA67CE" w:rsidR="005A50B4" w:rsidRPr="006E0620" w:rsidRDefault="005A50B4" w:rsidP="005A50B4">
            <w:r w:rsidRPr="006E0620">
              <w:t>Messenger ribonucleic acid</w:t>
            </w:r>
          </w:p>
        </w:tc>
      </w:tr>
      <w:tr w:rsidR="00EA546B" w:rsidRPr="006E0620" w14:paraId="09E0CCD3" w14:textId="77777777" w:rsidTr="00E57191">
        <w:tc>
          <w:tcPr>
            <w:tcW w:w="1890" w:type="dxa"/>
          </w:tcPr>
          <w:p w14:paraId="356C824A" w14:textId="3344BF95" w:rsidR="00EA546B" w:rsidRPr="006E0620" w:rsidRDefault="00EA546B" w:rsidP="005A50B4">
            <w:r w:rsidRPr="00EA546B">
              <w:t>mRNA-1273</w:t>
            </w:r>
          </w:p>
        </w:tc>
        <w:tc>
          <w:tcPr>
            <w:tcW w:w="6604" w:type="dxa"/>
          </w:tcPr>
          <w:p w14:paraId="1ECF1838" w14:textId="18A81615" w:rsidR="00EA546B" w:rsidRPr="006E0620" w:rsidRDefault="00EA546B" w:rsidP="005A50B4">
            <w:proofErr w:type="spellStart"/>
            <w:r w:rsidRPr="00EA546B">
              <w:t>Spikevax</w:t>
            </w:r>
            <w:proofErr w:type="spellEnd"/>
            <w:r w:rsidRPr="00EA546B">
              <w:t xml:space="preserve"> </w:t>
            </w:r>
            <w:proofErr w:type="spellStart"/>
            <w:r w:rsidRPr="00EA546B">
              <w:t>elasomeran</w:t>
            </w:r>
            <w:proofErr w:type="spellEnd"/>
            <w:r w:rsidRPr="00EA546B">
              <w:t xml:space="preserve"> COVID-19 vaccine drug development name</w:t>
            </w:r>
          </w:p>
        </w:tc>
      </w:tr>
      <w:tr w:rsidR="00656BB2" w:rsidRPr="006E0620" w14:paraId="03C16A6E" w14:textId="77777777" w:rsidTr="00E57191">
        <w:tc>
          <w:tcPr>
            <w:tcW w:w="1890" w:type="dxa"/>
          </w:tcPr>
          <w:p w14:paraId="714B2A54" w14:textId="7D15A0DF" w:rsidR="00656BB2" w:rsidRPr="00EA546B" w:rsidRDefault="00656BB2" w:rsidP="005A50B4">
            <w:r w:rsidRPr="00656BB2">
              <w:t>OCABR</w:t>
            </w:r>
          </w:p>
        </w:tc>
        <w:tc>
          <w:tcPr>
            <w:tcW w:w="6604" w:type="dxa"/>
          </w:tcPr>
          <w:p w14:paraId="6BA3BE1E" w14:textId="74A8A757" w:rsidR="00656BB2" w:rsidRPr="00EA546B" w:rsidRDefault="00656BB2" w:rsidP="005A50B4">
            <w:r w:rsidRPr="00656BB2">
              <w:t>Official Control Authority Batch Release</w:t>
            </w:r>
          </w:p>
        </w:tc>
      </w:tr>
      <w:tr w:rsidR="005A50B4" w:rsidRPr="006E0620" w14:paraId="4B05889E" w14:textId="77777777" w:rsidTr="00E57191">
        <w:tc>
          <w:tcPr>
            <w:tcW w:w="1890" w:type="dxa"/>
          </w:tcPr>
          <w:p w14:paraId="45E8BBE9" w14:textId="2E56FBFA" w:rsidR="005A50B4" w:rsidRPr="006E0620" w:rsidRDefault="005A50B4" w:rsidP="005A50B4">
            <w:r w:rsidRPr="006E0620">
              <w:t>PaO</w:t>
            </w:r>
            <w:r w:rsidRPr="006E0620">
              <w:rPr>
                <w:vertAlign w:val="subscript"/>
              </w:rPr>
              <w:t>2</w:t>
            </w:r>
          </w:p>
        </w:tc>
        <w:tc>
          <w:tcPr>
            <w:tcW w:w="6604" w:type="dxa"/>
          </w:tcPr>
          <w:p w14:paraId="0C7DA3E7" w14:textId="5A0D72D8" w:rsidR="005A50B4" w:rsidRPr="006E0620" w:rsidRDefault="005A50B4" w:rsidP="005A50B4">
            <w:r w:rsidRPr="006E0620">
              <w:t>Partial pressure of oxygen</w:t>
            </w:r>
          </w:p>
        </w:tc>
      </w:tr>
      <w:tr w:rsidR="005A50B4" w:rsidRPr="006E0620" w14:paraId="772A8F75" w14:textId="77777777" w:rsidTr="00E57191">
        <w:tc>
          <w:tcPr>
            <w:tcW w:w="1890" w:type="dxa"/>
          </w:tcPr>
          <w:p w14:paraId="147E2F3B" w14:textId="36CE7557" w:rsidR="005A50B4" w:rsidRPr="006E0620" w:rsidRDefault="005A50B4" w:rsidP="005A50B4">
            <w:r w:rsidRPr="006E0620">
              <w:t>PBMC</w:t>
            </w:r>
          </w:p>
        </w:tc>
        <w:tc>
          <w:tcPr>
            <w:tcW w:w="6604" w:type="dxa"/>
          </w:tcPr>
          <w:p w14:paraId="47E6AA92" w14:textId="29784B92" w:rsidR="005A50B4" w:rsidRPr="006E0620" w:rsidRDefault="005A50B4" w:rsidP="005A50B4">
            <w:r w:rsidRPr="006E0620">
              <w:t>Peripheral blood mononuclear cell</w:t>
            </w:r>
          </w:p>
        </w:tc>
      </w:tr>
      <w:tr w:rsidR="00B74B08" w:rsidRPr="006E0620" w14:paraId="52102E4E" w14:textId="77777777" w:rsidTr="00E57191">
        <w:tc>
          <w:tcPr>
            <w:tcW w:w="1890" w:type="dxa"/>
          </w:tcPr>
          <w:p w14:paraId="7B64F5D4" w14:textId="29469691" w:rsidR="00B74B08" w:rsidRPr="006E0620" w:rsidRDefault="00B74B08" w:rsidP="005A50B4">
            <w:r w:rsidRPr="00B74B08">
              <w:t>PBRER</w:t>
            </w:r>
          </w:p>
        </w:tc>
        <w:tc>
          <w:tcPr>
            <w:tcW w:w="6604" w:type="dxa"/>
          </w:tcPr>
          <w:p w14:paraId="6B37ADB7" w14:textId="5F6A99CC" w:rsidR="00B74B08" w:rsidRPr="006E0620" w:rsidRDefault="00B74B08" w:rsidP="00B74B08">
            <w:r>
              <w:t>P</w:t>
            </w:r>
            <w:r w:rsidRPr="00B74B08">
              <w:t xml:space="preserve">eriodic </w:t>
            </w:r>
            <w:r>
              <w:t>benefit-risk evaluation report</w:t>
            </w:r>
          </w:p>
        </w:tc>
      </w:tr>
      <w:tr w:rsidR="005A50B4" w:rsidRPr="006E0620" w14:paraId="7E71E59A" w14:textId="77777777" w:rsidTr="00E57191">
        <w:tc>
          <w:tcPr>
            <w:tcW w:w="1890" w:type="dxa"/>
          </w:tcPr>
          <w:p w14:paraId="0EFE3E83" w14:textId="72824419" w:rsidR="005A50B4" w:rsidRPr="006E0620" w:rsidRDefault="005A50B4" w:rsidP="005A50B4">
            <w:r w:rsidRPr="006E0620">
              <w:t>PI</w:t>
            </w:r>
          </w:p>
        </w:tc>
        <w:tc>
          <w:tcPr>
            <w:tcW w:w="6604" w:type="dxa"/>
          </w:tcPr>
          <w:p w14:paraId="4AB0DF43" w14:textId="0A7B565E" w:rsidR="005A50B4" w:rsidRPr="006E0620" w:rsidRDefault="005A50B4" w:rsidP="005A50B4">
            <w:r w:rsidRPr="006E0620">
              <w:t>Product Information</w:t>
            </w:r>
          </w:p>
        </w:tc>
      </w:tr>
      <w:tr w:rsidR="005A50B4" w:rsidRPr="006E0620" w14:paraId="7B5D4111" w14:textId="77777777" w:rsidTr="00E57191">
        <w:tc>
          <w:tcPr>
            <w:tcW w:w="1890" w:type="dxa"/>
          </w:tcPr>
          <w:p w14:paraId="6307FFA6" w14:textId="439621A9" w:rsidR="005A50B4" w:rsidRPr="006E0620" w:rsidRDefault="005A50B4" w:rsidP="005A50B4">
            <w:r w:rsidRPr="006E0620">
              <w:t>PT</w:t>
            </w:r>
          </w:p>
        </w:tc>
        <w:tc>
          <w:tcPr>
            <w:tcW w:w="6604" w:type="dxa"/>
          </w:tcPr>
          <w:p w14:paraId="44E76011" w14:textId="71962D3A" w:rsidR="005A50B4" w:rsidRPr="006E0620" w:rsidRDefault="005A50B4" w:rsidP="005A50B4">
            <w:r w:rsidRPr="006E0620">
              <w:t>Preferred Term</w:t>
            </w:r>
          </w:p>
        </w:tc>
      </w:tr>
      <w:tr w:rsidR="005A50B4" w:rsidRPr="006E0620" w14:paraId="13C03338" w14:textId="77777777" w:rsidTr="00E57191">
        <w:tc>
          <w:tcPr>
            <w:tcW w:w="1890" w:type="dxa"/>
          </w:tcPr>
          <w:p w14:paraId="028136A1" w14:textId="4F79B406" w:rsidR="005A50B4" w:rsidRPr="006E0620" w:rsidRDefault="005A50B4" w:rsidP="005A50B4">
            <w:r w:rsidRPr="006E0620">
              <w:t>PRNT</w:t>
            </w:r>
          </w:p>
        </w:tc>
        <w:tc>
          <w:tcPr>
            <w:tcW w:w="6604" w:type="dxa"/>
          </w:tcPr>
          <w:p w14:paraId="32196839" w14:textId="0AFC2B5E" w:rsidR="005A50B4" w:rsidRPr="006E0620" w:rsidRDefault="005A50B4" w:rsidP="005A50B4">
            <w:r w:rsidRPr="006E0620">
              <w:t>Plaque reduction neutralisation testing</w:t>
            </w:r>
          </w:p>
        </w:tc>
      </w:tr>
      <w:tr w:rsidR="00F40CF9" w:rsidRPr="006E0620" w14:paraId="483B80C8" w14:textId="77777777" w:rsidTr="00E57191">
        <w:tc>
          <w:tcPr>
            <w:tcW w:w="1890" w:type="dxa"/>
          </w:tcPr>
          <w:p w14:paraId="51E7C0A8" w14:textId="184F1E89" w:rsidR="00F40CF9" w:rsidRPr="006E0620" w:rsidRDefault="00F40CF9" w:rsidP="005A50B4">
            <w:r w:rsidRPr="00F40CF9">
              <w:t>PSUR</w:t>
            </w:r>
          </w:p>
        </w:tc>
        <w:tc>
          <w:tcPr>
            <w:tcW w:w="6604" w:type="dxa"/>
          </w:tcPr>
          <w:p w14:paraId="42D6DF26" w14:textId="77995988" w:rsidR="00F40CF9" w:rsidRPr="006E0620" w:rsidRDefault="00F40CF9" w:rsidP="005A50B4">
            <w:r>
              <w:t>P</w:t>
            </w:r>
            <w:r w:rsidRPr="00F40CF9">
              <w:t>eriodic safety update report</w:t>
            </w:r>
          </w:p>
        </w:tc>
      </w:tr>
      <w:tr w:rsidR="00552E30" w:rsidRPr="006E0620" w14:paraId="289CE805" w14:textId="77777777" w:rsidTr="00E57191">
        <w:tc>
          <w:tcPr>
            <w:tcW w:w="1890" w:type="dxa"/>
          </w:tcPr>
          <w:p w14:paraId="40C26DA1" w14:textId="28818BDB" w:rsidR="00552E30" w:rsidRPr="006E0620" w:rsidRDefault="00552E30" w:rsidP="005A50B4">
            <w:proofErr w:type="spellStart"/>
            <w:r w:rsidRPr="006E0620">
              <w:t>PsVNA</w:t>
            </w:r>
            <w:proofErr w:type="spellEnd"/>
          </w:p>
        </w:tc>
        <w:tc>
          <w:tcPr>
            <w:tcW w:w="6604" w:type="dxa"/>
          </w:tcPr>
          <w:p w14:paraId="7DF484F0" w14:textId="184F18FF" w:rsidR="00552E30" w:rsidRPr="006E0620" w:rsidRDefault="00552E30" w:rsidP="00552E30">
            <w:proofErr w:type="spellStart"/>
            <w:r w:rsidRPr="006E0620">
              <w:t>Pseudotyped</w:t>
            </w:r>
            <w:proofErr w:type="spellEnd"/>
            <w:r w:rsidRPr="006E0620">
              <w:t xml:space="preserve"> lentivirus reporter single round of infection neutralisation assay</w:t>
            </w:r>
          </w:p>
        </w:tc>
      </w:tr>
      <w:tr w:rsidR="005A50B4" w:rsidRPr="006E0620" w14:paraId="2AC89677" w14:textId="77777777" w:rsidTr="00E57191">
        <w:tc>
          <w:tcPr>
            <w:tcW w:w="1890" w:type="dxa"/>
          </w:tcPr>
          <w:p w14:paraId="38938B92" w14:textId="6C412BDE" w:rsidR="005A50B4" w:rsidRPr="006E0620" w:rsidRDefault="005A50B4" w:rsidP="005A50B4">
            <w:r w:rsidRPr="006E0620">
              <w:t>RMP</w:t>
            </w:r>
          </w:p>
        </w:tc>
        <w:tc>
          <w:tcPr>
            <w:tcW w:w="6604" w:type="dxa"/>
          </w:tcPr>
          <w:p w14:paraId="0F5E2BF2" w14:textId="1B3CDF48" w:rsidR="005A50B4" w:rsidRPr="006E0620" w:rsidRDefault="005A50B4" w:rsidP="005A50B4">
            <w:r w:rsidRPr="006E0620">
              <w:t>Risk management plan</w:t>
            </w:r>
          </w:p>
        </w:tc>
      </w:tr>
      <w:tr w:rsidR="005A50B4" w:rsidRPr="006E0620" w14:paraId="511EBB45" w14:textId="77777777" w:rsidTr="00E57191">
        <w:tc>
          <w:tcPr>
            <w:tcW w:w="1890" w:type="dxa"/>
          </w:tcPr>
          <w:p w14:paraId="086BB646" w14:textId="230324ED" w:rsidR="005A50B4" w:rsidRPr="006E0620" w:rsidRDefault="005A50B4" w:rsidP="005A50B4">
            <w:r w:rsidRPr="006E0620">
              <w:t>RNA</w:t>
            </w:r>
          </w:p>
        </w:tc>
        <w:tc>
          <w:tcPr>
            <w:tcW w:w="6604" w:type="dxa"/>
          </w:tcPr>
          <w:p w14:paraId="273C5893" w14:textId="4AAC704A" w:rsidR="005A50B4" w:rsidRPr="006E0620" w:rsidRDefault="005A50B4" w:rsidP="005A50B4">
            <w:r w:rsidRPr="006E0620">
              <w:t>Ribonucleic acid</w:t>
            </w:r>
          </w:p>
        </w:tc>
      </w:tr>
      <w:tr w:rsidR="005A50B4" w:rsidRPr="006E0620" w14:paraId="4B09AFFE" w14:textId="77777777" w:rsidTr="00E57191">
        <w:tc>
          <w:tcPr>
            <w:tcW w:w="1890" w:type="dxa"/>
          </w:tcPr>
          <w:p w14:paraId="64D010D3" w14:textId="4DB17911" w:rsidR="005A50B4" w:rsidRPr="006E0620" w:rsidRDefault="005A50B4" w:rsidP="005A50B4">
            <w:r w:rsidRPr="006E0620">
              <w:t>RR</w:t>
            </w:r>
          </w:p>
        </w:tc>
        <w:tc>
          <w:tcPr>
            <w:tcW w:w="6604" w:type="dxa"/>
          </w:tcPr>
          <w:p w14:paraId="1D2261AB" w14:textId="2C7E5A31" w:rsidR="005A50B4" w:rsidRPr="006E0620" w:rsidRDefault="005A50B4" w:rsidP="005A50B4">
            <w:r w:rsidRPr="006E0620">
              <w:t>Respiratory rate</w:t>
            </w:r>
          </w:p>
        </w:tc>
      </w:tr>
      <w:tr w:rsidR="005A50B4" w:rsidRPr="006E0620" w14:paraId="1D8047BD" w14:textId="77777777" w:rsidTr="00E57191">
        <w:tc>
          <w:tcPr>
            <w:tcW w:w="1890" w:type="dxa"/>
          </w:tcPr>
          <w:p w14:paraId="7BC4B072" w14:textId="5D4CE9F0" w:rsidR="005A50B4" w:rsidRPr="006E0620" w:rsidRDefault="005A50B4" w:rsidP="005A50B4">
            <w:r w:rsidRPr="006E0620">
              <w:t>RT-PCR</w:t>
            </w:r>
          </w:p>
        </w:tc>
        <w:tc>
          <w:tcPr>
            <w:tcW w:w="6604" w:type="dxa"/>
          </w:tcPr>
          <w:p w14:paraId="43B1F7E8" w14:textId="540CF0DC" w:rsidR="005A50B4" w:rsidRPr="006E0620" w:rsidRDefault="000E483B" w:rsidP="005A50B4">
            <w:r w:rsidRPr="006E0620">
              <w:t>R</w:t>
            </w:r>
            <w:r w:rsidR="005A50B4" w:rsidRPr="006E0620">
              <w:t>everse transcription polymerase chain reaction</w:t>
            </w:r>
          </w:p>
        </w:tc>
      </w:tr>
      <w:tr w:rsidR="005A50B4" w:rsidRPr="006E0620" w14:paraId="61491787" w14:textId="77777777" w:rsidTr="00E57191">
        <w:tc>
          <w:tcPr>
            <w:tcW w:w="1890" w:type="dxa"/>
          </w:tcPr>
          <w:p w14:paraId="44069869" w14:textId="4C188B9B" w:rsidR="005A50B4" w:rsidRPr="006E0620" w:rsidRDefault="005A50B4" w:rsidP="005A50B4">
            <w:r w:rsidRPr="006E0620">
              <w:t>SAE</w:t>
            </w:r>
          </w:p>
        </w:tc>
        <w:tc>
          <w:tcPr>
            <w:tcW w:w="6604" w:type="dxa"/>
          </w:tcPr>
          <w:p w14:paraId="4C11C897" w14:textId="64B092EC" w:rsidR="005A50B4" w:rsidRPr="006E0620" w:rsidRDefault="005A50B4" w:rsidP="005A50B4">
            <w:r w:rsidRPr="006E0620">
              <w:t>Serious adverse event</w:t>
            </w:r>
          </w:p>
        </w:tc>
      </w:tr>
      <w:tr w:rsidR="005A50B4" w:rsidRPr="006E0620" w14:paraId="11882E57" w14:textId="77777777" w:rsidTr="00E57191">
        <w:tc>
          <w:tcPr>
            <w:tcW w:w="1890" w:type="dxa"/>
          </w:tcPr>
          <w:p w14:paraId="4702DABC" w14:textId="30667063" w:rsidR="005A50B4" w:rsidRPr="006E0620" w:rsidRDefault="005A50B4" w:rsidP="005A50B4">
            <w:r w:rsidRPr="006E0620">
              <w:t>SARS-CoV-2</w:t>
            </w:r>
          </w:p>
        </w:tc>
        <w:tc>
          <w:tcPr>
            <w:tcW w:w="6604" w:type="dxa"/>
          </w:tcPr>
          <w:p w14:paraId="538E34B0" w14:textId="64F242F4" w:rsidR="005A50B4" w:rsidRPr="006E0620" w:rsidRDefault="005A50B4" w:rsidP="005A50B4">
            <w:r w:rsidRPr="006E0620">
              <w:t>Severe acute respiratory syndrome coronavirus 2</w:t>
            </w:r>
          </w:p>
        </w:tc>
      </w:tr>
      <w:tr w:rsidR="005A50B4" w:rsidRPr="006E0620" w14:paraId="5A534FBC" w14:textId="77777777" w:rsidTr="00E57191">
        <w:tc>
          <w:tcPr>
            <w:tcW w:w="1890" w:type="dxa"/>
          </w:tcPr>
          <w:p w14:paraId="52C76C8F" w14:textId="4926C7E6" w:rsidR="005A50B4" w:rsidRPr="006E0620" w:rsidRDefault="005A50B4" w:rsidP="005A50B4">
            <w:r w:rsidRPr="006E0620">
              <w:t>SOC</w:t>
            </w:r>
          </w:p>
        </w:tc>
        <w:tc>
          <w:tcPr>
            <w:tcW w:w="6604" w:type="dxa"/>
          </w:tcPr>
          <w:p w14:paraId="479C82D0" w14:textId="6FCF8BE8" w:rsidR="005A50B4" w:rsidRPr="006E0620" w:rsidRDefault="005A50B4" w:rsidP="005A50B4">
            <w:r w:rsidRPr="006E0620">
              <w:t>System Organ Class</w:t>
            </w:r>
          </w:p>
        </w:tc>
      </w:tr>
      <w:tr w:rsidR="005A50B4" w:rsidRPr="006E0620" w14:paraId="17C70B80" w14:textId="77777777" w:rsidTr="00E57191">
        <w:tc>
          <w:tcPr>
            <w:tcW w:w="1890" w:type="dxa"/>
          </w:tcPr>
          <w:p w14:paraId="051A04B6" w14:textId="4A10EADE" w:rsidR="005A50B4" w:rsidRPr="006E0620" w:rsidRDefault="005A50B4" w:rsidP="005A50B4">
            <w:r w:rsidRPr="006E0620">
              <w:t>SpO</w:t>
            </w:r>
            <w:r w:rsidRPr="006E0620">
              <w:rPr>
                <w:vertAlign w:val="subscript"/>
              </w:rPr>
              <w:t>2</w:t>
            </w:r>
          </w:p>
        </w:tc>
        <w:tc>
          <w:tcPr>
            <w:tcW w:w="6604" w:type="dxa"/>
          </w:tcPr>
          <w:p w14:paraId="52335EC2" w14:textId="060F176D" w:rsidR="005A50B4" w:rsidRPr="006E0620" w:rsidRDefault="005A50B4" w:rsidP="005A50B4">
            <w:r w:rsidRPr="006E0620">
              <w:t>Blood oxygen saturation</w:t>
            </w:r>
          </w:p>
        </w:tc>
      </w:tr>
      <w:tr w:rsidR="005A50B4" w:rsidRPr="006E0620" w14:paraId="2ED9350D" w14:textId="77777777" w:rsidTr="00E57191">
        <w:tc>
          <w:tcPr>
            <w:tcW w:w="1890" w:type="dxa"/>
          </w:tcPr>
          <w:p w14:paraId="59CF9D81" w14:textId="5DD4F1C3" w:rsidR="005A50B4" w:rsidRPr="006E0620" w:rsidRDefault="005A50B4" w:rsidP="005A50B4">
            <w:r w:rsidRPr="006E0620">
              <w:lastRenderedPageBreak/>
              <w:t>S protein</w:t>
            </w:r>
          </w:p>
        </w:tc>
        <w:tc>
          <w:tcPr>
            <w:tcW w:w="6604" w:type="dxa"/>
          </w:tcPr>
          <w:p w14:paraId="0CDA541B" w14:textId="4D4BAEF7" w:rsidR="005A50B4" w:rsidRPr="006E0620" w:rsidRDefault="005A50B4" w:rsidP="005A50B4">
            <w:r w:rsidRPr="006E0620">
              <w:t>Spike glycoprotein</w:t>
            </w:r>
          </w:p>
        </w:tc>
      </w:tr>
      <w:tr w:rsidR="008A6767" w:rsidRPr="006E0620" w14:paraId="03EF9E11" w14:textId="77777777" w:rsidTr="00E57191">
        <w:tc>
          <w:tcPr>
            <w:tcW w:w="1890" w:type="dxa"/>
          </w:tcPr>
          <w:p w14:paraId="489F5DE4" w14:textId="66FAA78E" w:rsidR="008A6767" w:rsidRPr="006E0620" w:rsidRDefault="008A6767" w:rsidP="005A50B4">
            <w:r w:rsidRPr="008A6767">
              <w:t>S-2P</w:t>
            </w:r>
          </w:p>
        </w:tc>
        <w:tc>
          <w:tcPr>
            <w:tcW w:w="6604" w:type="dxa"/>
          </w:tcPr>
          <w:p w14:paraId="24E1C281" w14:textId="38CA2A42" w:rsidR="008A6767" w:rsidRPr="006E0620" w:rsidRDefault="008A6767" w:rsidP="005A50B4">
            <w:r w:rsidRPr="008A6767">
              <w:t xml:space="preserve">SARS-CoV-2 </w:t>
            </w:r>
            <w:r w:rsidR="00D07C7A">
              <w:t>s</w:t>
            </w:r>
            <w:r w:rsidR="00D07C7A" w:rsidRPr="00D07C7A">
              <w:t>pike glycoprotein</w:t>
            </w:r>
          </w:p>
        </w:tc>
      </w:tr>
      <w:tr w:rsidR="005A50B4" w:rsidRPr="006E0620" w14:paraId="4BAA4BE5" w14:textId="77777777" w:rsidTr="00E57191">
        <w:tc>
          <w:tcPr>
            <w:tcW w:w="1890" w:type="dxa"/>
          </w:tcPr>
          <w:p w14:paraId="52A13370" w14:textId="5F2E6FF3" w:rsidR="005A50B4" w:rsidRPr="006E0620" w:rsidRDefault="005A50B4" w:rsidP="005A50B4">
            <w:r w:rsidRPr="006E0620">
              <w:t>TEAE</w:t>
            </w:r>
          </w:p>
        </w:tc>
        <w:tc>
          <w:tcPr>
            <w:tcW w:w="6604" w:type="dxa"/>
          </w:tcPr>
          <w:p w14:paraId="0D3F2CE7" w14:textId="13899C5D" w:rsidR="005A50B4" w:rsidRPr="006E0620" w:rsidRDefault="005A50B4" w:rsidP="005A50B4">
            <w:r w:rsidRPr="006E0620">
              <w:t>Treatment emergent adverse event</w:t>
            </w:r>
          </w:p>
        </w:tc>
      </w:tr>
      <w:tr w:rsidR="005A50B4" w:rsidRPr="006E0620" w14:paraId="1F112F3B" w14:textId="77777777" w:rsidTr="00E57191">
        <w:tc>
          <w:tcPr>
            <w:tcW w:w="1890" w:type="dxa"/>
          </w:tcPr>
          <w:p w14:paraId="12848D62" w14:textId="714DB4FD" w:rsidR="005A50B4" w:rsidRPr="006E0620" w:rsidRDefault="005A50B4" w:rsidP="005A50B4">
            <w:r w:rsidRPr="006E0620">
              <w:t>Th-1</w:t>
            </w:r>
          </w:p>
        </w:tc>
        <w:tc>
          <w:tcPr>
            <w:tcW w:w="6604" w:type="dxa"/>
          </w:tcPr>
          <w:p w14:paraId="0230A406" w14:textId="4D25347D" w:rsidR="005A50B4" w:rsidRPr="006E0620" w:rsidRDefault="005A50B4" w:rsidP="005A50B4">
            <w:r w:rsidRPr="006E0620">
              <w:t>T-helper 1</w:t>
            </w:r>
          </w:p>
        </w:tc>
      </w:tr>
      <w:tr w:rsidR="005A50B4" w:rsidRPr="006E0620" w14:paraId="70FEE716" w14:textId="77777777" w:rsidTr="00E57191">
        <w:tc>
          <w:tcPr>
            <w:tcW w:w="1890" w:type="dxa"/>
          </w:tcPr>
          <w:p w14:paraId="4128AEB6" w14:textId="7DF4310C" w:rsidR="005A50B4" w:rsidRPr="006E0620" w:rsidRDefault="005A50B4" w:rsidP="005A50B4">
            <w:r w:rsidRPr="006E0620">
              <w:t>Th-2</w:t>
            </w:r>
          </w:p>
        </w:tc>
        <w:tc>
          <w:tcPr>
            <w:tcW w:w="6604" w:type="dxa"/>
          </w:tcPr>
          <w:p w14:paraId="50C35774" w14:textId="1C0A9585" w:rsidR="005A50B4" w:rsidRPr="006E0620" w:rsidRDefault="005A50B4" w:rsidP="005A50B4">
            <w:r w:rsidRPr="006E0620">
              <w:t>T-helper 2</w:t>
            </w:r>
          </w:p>
        </w:tc>
      </w:tr>
      <w:tr w:rsidR="005A50B4" w:rsidRPr="006E0620" w14:paraId="4CE099BD" w14:textId="77777777" w:rsidTr="00E57191">
        <w:tc>
          <w:tcPr>
            <w:tcW w:w="1890" w:type="dxa"/>
          </w:tcPr>
          <w:p w14:paraId="38383A5B" w14:textId="5F76C1DF" w:rsidR="005A50B4" w:rsidRPr="006E0620" w:rsidRDefault="005A50B4" w:rsidP="005A50B4">
            <w:r w:rsidRPr="006E0620">
              <w:t>UK</w:t>
            </w:r>
          </w:p>
        </w:tc>
        <w:tc>
          <w:tcPr>
            <w:tcW w:w="6604" w:type="dxa"/>
          </w:tcPr>
          <w:p w14:paraId="60237F89" w14:textId="69F87C86" w:rsidR="005A50B4" w:rsidRPr="006E0620" w:rsidRDefault="005A50B4" w:rsidP="005A50B4">
            <w:r w:rsidRPr="006E0620">
              <w:t>United Kingdom</w:t>
            </w:r>
          </w:p>
        </w:tc>
      </w:tr>
      <w:tr w:rsidR="005A50B4" w:rsidRPr="006E0620" w14:paraId="58D21868" w14:textId="77777777" w:rsidTr="00E57191">
        <w:tc>
          <w:tcPr>
            <w:tcW w:w="1890" w:type="dxa"/>
          </w:tcPr>
          <w:p w14:paraId="6946FD1E" w14:textId="7813A79B" w:rsidR="005A50B4" w:rsidRPr="006E0620" w:rsidRDefault="005A50B4" w:rsidP="005A50B4">
            <w:r w:rsidRPr="006E0620">
              <w:t>US</w:t>
            </w:r>
            <w:r w:rsidR="00323585">
              <w:t>(</w:t>
            </w:r>
            <w:r w:rsidRPr="006E0620">
              <w:t>A</w:t>
            </w:r>
            <w:r w:rsidR="00323585">
              <w:t>)</w:t>
            </w:r>
          </w:p>
        </w:tc>
        <w:tc>
          <w:tcPr>
            <w:tcW w:w="6604" w:type="dxa"/>
          </w:tcPr>
          <w:p w14:paraId="636946E8" w14:textId="3873DD5F" w:rsidR="005A50B4" w:rsidRPr="006E0620" w:rsidRDefault="005A50B4" w:rsidP="005A50B4">
            <w:r w:rsidRPr="006E0620">
              <w:t xml:space="preserve">United States </w:t>
            </w:r>
            <w:r w:rsidR="00323585">
              <w:t>(</w:t>
            </w:r>
            <w:r w:rsidRPr="006E0620">
              <w:t>of America</w:t>
            </w:r>
            <w:r w:rsidR="00323585">
              <w:t>)</w:t>
            </w:r>
          </w:p>
        </w:tc>
      </w:tr>
      <w:tr w:rsidR="005A50B4" w:rsidRPr="006E0620" w14:paraId="11738457" w14:textId="77777777" w:rsidTr="00E57191">
        <w:tc>
          <w:tcPr>
            <w:tcW w:w="1890" w:type="dxa"/>
          </w:tcPr>
          <w:p w14:paraId="564CCE5C" w14:textId="17A8C2C4" w:rsidR="005A50B4" w:rsidRPr="006E0620" w:rsidRDefault="005A50B4" w:rsidP="005A50B4">
            <w:r w:rsidRPr="006E0620">
              <w:t>VAED</w:t>
            </w:r>
          </w:p>
        </w:tc>
        <w:tc>
          <w:tcPr>
            <w:tcW w:w="6604" w:type="dxa"/>
          </w:tcPr>
          <w:p w14:paraId="5B95809A" w14:textId="4044A5C8" w:rsidR="005A50B4" w:rsidRPr="006E0620" w:rsidRDefault="005A50B4" w:rsidP="005A50B4">
            <w:r w:rsidRPr="006E0620">
              <w:t>Vaccine associated enhanced disease</w:t>
            </w:r>
          </w:p>
        </w:tc>
      </w:tr>
      <w:tr w:rsidR="005A50B4" w:rsidRPr="006E0620" w14:paraId="3E3787C0" w14:textId="77777777" w:rsidTr="00E57191">
        <w:tc>
          <w:tcPr>
            <w:tcW w:w="1890" w:type="dxa"/>
          </w:tcPr>
          <w:p w14:paraId="11B2DEEE" w14:textId="735F98FA" w:rsidR="005A50B4" w:rsidRPr="006E0620" w:rsidRDefault="005A50B4" w:rsidP="005A50B4">
            <w:r w:rsidRPr="006E0620">
              <w:t>VAERD</w:t>
            </w:r>
          </w:p>
        </w:tc>
        <w:tc>
          <w:tcPr>
            <w:tcW w:w="6604" w:type="dxa"/>
          </w:tcPr>
          <w:p w14:paraId="161EFF5E" w14:textId="357CB2EB" w:rsidR="005A50B4" w:rsidRPr="006E0620" w:rsidRDefault="005A50B4" w:rsidP="005A50B4">
            <w:r w:rsidRPr="006E0620">
              <w:t>Vaccine enhanced respiratory disease</w:t>
            </w:r>
          </w:p>
        </w:tc>
      </w:tr>
      <w:tr w:rsidR="00C01827" w:rsidRPr="006E0620" w14:paraId="395F7DCF" w14:textId="77777777" w:rsidTr="00E57191">
        <w:tc>
          <w:tcPr>
            <w:tcW w:w="1890" w:type="dxa"/>
          </w:tcPr>
          <w:p w14:paraId="3A2A5C3A" w14:textId="54C18C0F" w:rsidR="00C01827" w:rsidRPr="006E0620" w:rsidRDefault="00C01827" w:rsidP="005A50B4">
            <w:r w:rsidRPr="006E0620">
              <w:t>VAERS</w:t>
            </w:r>
          </w:p>
        </w:tc>
        <w:tc>
          <w:tcPr>
            <w:tcW w:w="6604" w:type="dxa"/>
          </w:tcPr>
          <w:p w14:paraId="0620F4E4" w14:textId="230271D2" w:rsidR="00C01827" w:rsidRPr="006E0620" w:rsidRDefault="00C01827" w:rsidP="00C01827">
            <w:r w:rsidRPr="006E0620">
              <w:t>Vaccine Adverse Event Reporting System</w:t>
            </w:r>
          </w:p>
        </w:tc>
      </w:tr>
      <w:tr w:rsidR="0019059E" w:rsidRPr="006E0620" w14:paraId="2D677FA3" w14:textId="77777777" w:rsidTr="00E57191">
        <w:tc>
          <w:tcPr>
            <w:tcW w:w="1890" w:type="dxa"/>
          </w:tcPr>
          <w:p w14:paraId="722C0AA5" w14:textId="1F823682" w:rsidR="0019059E" w:rsidRPr="006E0620" w:rsidRDefault="0019059E" w:rsidP="005A50B4">
            <w:r w:rsidRPr="006E0620">
              <w:t>VOC</w:t>
            </w:r>
          </w:p>
        </w:tc>
        <w:tc>
          <w:tcPr>
            <w:tcW w:w="6604" w:type="dxa"/>
          </w:tcPr>
          <w:p w14:paraId="1EA14F2F" w14:textId="31A8A4ED" w:rsidR="0019059E" w:rsidRPr="006E0620" w:rsidRDefault="0019059E" w:rsidP="0019059E">
            <w:r w:rsidRPr="006E0620">
              <w:t>Variants of concern</w:t>
            </w:r>
          </w:p>
        </w:tc>
      </w:tr>
      <w:tr w:rsidR="009E413D" w:rsidRPr="006E0620" w14:paraId="3A7D202C" w14:textId="77777777" w:rsidTr="00E57191">
        <w:tc>
          <w:tcPr>
            <w:tcW w:w="1890" w:type="dxa"/>
          </w:tcPr>
          <w:p w14:paraId="34A1F441" w14:textId="45E023A5" w:rsidR="009E413D" w:rsidRPr="006E0620" w:rsidRDefault="009E413D" w:rsidP="005A50B4">
            <w:r w:rsidRPr="006E0620">
              <w:t>WHO</w:t>
            </w:r>
          </w:p>
        </w:tc>
        <w:tc>
          <w:tcPr>
            <w:tcW w:w="6604" w:type="dxa"/>
          </w:tcPr>
          <w:p w14:paraId="44242A72" w14:textId="20C221B2" w:rsidR="009E413D" w:rsidRPr="006E0620" w:rsidRDefault="009E413D" w:rsidP="009E413D">
            <w:r w:rsidRPr="006E0620">
              <w:t>World Health Organization</w:t>
            </w:r>
          </w:p>
        </w:tc>
      </w:tr>
    </w:tbl>
    <w:p w14:paraId="1084899D" w14:textId="77777777" w:rsidR="00FD119B" w:rsidRPr="006E0620" w:rsidRDefault="00FD119B" w:rsidP="00FD119B"/>
    <w:p w14:paraId="47A000EF" w14:textId="77777777" w:rsidR="00FD119B" w:rsidRPr="006E0620" w:rsidRDefault="00FD119B" w:rsidP="00FD119B">
      <w:pPr>
        <w:spacing w:before="0" w:after="200" w:line="0" w:lineRule="auto"/>
        <w:rPr>
          <w:b/>
          <w:i/>
          <w:sz w:val="24"/>
          <w:szCs w:val="24"/>
        </w:rPr>
      </w:pPr>
      <w:r w:rsidRPr="006E0620">
        <w:rPr>
          <w:b/>
          <w:i/>
          <w:sz w:val="24"/>
          <w:szCs w:val="24"/>
        </w:rPr>
        <w:br w:type="page"/>
      </w:r>
    </w:p>
    <w:p w14:paraId="6050B3CE" w14:textId="77777777" w:rsidR="008E7846" w:rsidRPr="006E0620" w:rsidRDefault="00F53C07" w:rsidP="008E7846">
      <w:pPr>
        <w:pStyle w:val="Heading2"/>
      </w:pPr>
      <w:bookmarkStart w:id="8" w:name="_Toc79415459"/>
      <w:r w:rsidRPr="006E0620">
        <w:lastRenderedPageBreak/>
        <w:t>I.</w:t>
      </w:r>
      <w:r w:rsidR="008E7846" w:rsidRPr="006E0620">
        <w:t xml:space="preserve"> Introduction to product submission</w:t>
      </w:r>
      <w:bookmarkEnd w:id="2"/>
      <w:bookmarkEnd w:id="0"/>
      <w:bookmarkEnd w:id="8"/>
    </w:p>
    <w:p w14:paraId="130EBDA8" w14:textId="77777777" w:rsidR="008E7846" w:rsidRPr="006E0620" w:rsidRDefault="008E7846" w:rsidP="008E7846">
      <w:pPr>
        <w:pStyle w:val="Heading3"/>
        <w:rPr>
          <w:lang w:eastAsia="en-AU"/>
        </w:rPr>
      </w:pPr>
      <w:bookmarkStart w:id="9" w:name="_Toc247691502"/>
      <w:bookmarkStart w:id="10" w:name="_Toc314842483"/>
      <w:bookmarkStart w:id="11" w:name="_Toc79415460"/>
      <w:r w:rsidRPr="006E0620">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6E0620" w14:paraId="79C0AC80" w14:textId="77777777" w:rsidTr="003735BC">
        <w:tc>
          <w:tcPr>
            <w:tcW w:w="2907" w:type="dxa"/>
          </w:tcPr>
          <w:p w14:paraId="378E8503" w14:textId="77777777" w:rsidR="008E7846" w:rsidRPr="006E0620" w:rsidRDefault="001B5C90" w:rsidP="001B5C90">
            <w:pPr>
              <w:rPr>
                <w:i/>
              </w:rPr>
            </w:pPr>
            <w:r w:rsidRPr="006E0620">
              <w:rPr>
                <w:i/>
              </w:rPr>
              <w:t>Type of s</w:t>
            </w:r>
            <w:r w:rsidR="008E7846" w:rsidRPr="006E0620">
              <w:rPr>
                <w:i/>
              </w:rPr>
              <w:t>ubmission</w:t>
            </w:r>
            <w:r w:rsidRPr="006E0620">
              <w:rPr>
                <w:i/>
              </w:rPr>
              <w:t>:</w:t>
            </w:r>
          </w:p>
        </w:tc>
        <w:tc>
          <w:tcPr>
            <w:tcW w:w="6307" w:type="dxa"/>
          </w:tcPr>
          <w:p w14:paraId="719199A8" w14:textId="77777777" w:rsidR="008E7846" w:rsidRPr="006E0620" w:rsidRDefault="008E7846" w:rsidP="008B2CE2">
            <w:r w:rsidRPr="006E0620">
              <w:t xml:space="preserve">New </w:t>
            </w:r>
            <w:r w:rsidR="008B2CE2" w:rsidRPr="006E0620">
              <w:t>biological</w:t>
            </w:r>
            <w:r w:rsidRPr="006E0620">
              <w:t xml:space="preserve"> </w:t>
            </w:r>
            <w:r w:rsidR="001B5C90" w:rsidRPr="006E0620">
              <w:t>e</w:t>
            </w:r>
            <w:r w:rsidR="008B2CE2" w:rsidRPr="006E0620">
              <w:t>ntity</w:t>
            </w:r>
          </w:p>
        </w:tc>
      </w:tr>
      <w:tr w:rsidR="00460036" w:rsidRPr="006E0620" w14:paraId="67FA55CE" w14:textId="77777777" w:rsidTr="003735BC">
        <w:tc>
          <w:tcPr>
            <w:tcW w:w="2907" w:type="dxa"/>
          </w:tcPr>
          <w:p w14:paraId="6FA6AF0C" w14:textId="77777777" w:rsidR="00460036" w:rsidRPr="006E0620" w:rsidRDefault="00460036" w:rsidP="008B2CE2">
            <w:pPr>
              <w:rPr>
                <w:i/>
              </w:rPr>
            </w:pPr>
            <w:r w:rsidRPr="006E0620">
              <w:rPr>
                <w:i/>
              </w:rPr>
              <w:t>Product name:</w:t>
            </w:r>
          </w:p>
        </w:tc>
        <w:tc>
          <w:tcPr>
            <w:tcW w:w="6307" w:type="dxa"/>
          </w:tcPr>
          <w:p w14:paraId="689645A2" w14:textId="77777777" w:rsidR="00460036" w:rsidRPr="006E0620" w:rsidRDefault="008B2CE2" w:rsidP="001B5C90">
            <w:proofErr w:type="spellStart"/>
            <w:r w:rsidRPr="006E0620">
              <w:t>Spikevax</w:t>
            </w:r>
            <w:proofErr w:type="spellEnd"/>
          </w:p>
        </w:tc>
      </w:tr>
      <w:tr w:rsidR="00460036" w:rsidRPr="006E0620" w14:paraId="4B747DCA" w14:textId="77777777" w:rsidTr="003735BC">
        <w:tc>
          <w:tcPr>
            <w:tcW w:w="2907" w:type="dxa"/>
          </w:tcPr>
          <w:p w14:paraId="09BAA6A4" w14:textId="77777777" w:rsidR="00460036" w:rsidRPr="006E0620" w:rsidRDefault="00460036" w:rsidP="008B2CE2">
            <w:pPr>
              <w:rPr>
                <w:i/>
              </w:rPr>
            </w:pPr>
            <w:r w:rsidRPr="006E0620">
              <w:rPr>
                <w:i/>
              </w:rPr>
              <w:t>Active ingredient:</w:t>
            </w:r>
          </w:p>
        </w:tc>
        <w:tc>
          <w:tcPr>
            <w:tcW w:w="6307" w:type="dxa"/>
          </w:tcPr>
          <w:p w14:paraId="58979D25" w14:textId="77777777" w:rsidR="00460036" w:rsidRPr="006E0620" w:rsidRDefault="008B2CE2" w:rsidP="001B5C90">
            <w:proofErr w:type="spellStart"/>
            <w:r w:rsidRPr="006E0620">
              <w:t>Elasomeran</w:t>
            </w:r>
            <w:proofErr w:type="spellEnd"/>
          </w:p>
        </w:tc>
      </w:tr>
      <w:tr w:rsidR="008E7846" w:rsidRPr="006E0620" w14:paraId="35A87CFB" w14:textId="77777777" w:rsidTr="003735BC">
        <w:tc>
          <w:tcPr>
            <w:tcW w:w="2907" w:type="dxa"/>
          </w:tcPr>
          <w:p w14:paraId="4F0A970F" w14:textId="77777777" w:rsidR="008E7846" w:rsidRPr="006E0620" w:rsidRDefault="008E7846" w:rsidP="003D1E62">
            <w:r w:rsidRPr="006E0620">
              <w:rPr>
                <w:i/>
              </w:rPr>
              <w:t>Decision</w:t>
            </w:r>
            <w:r w:rsidRPr="006E0620">
              <w:t>:</w:t>
            </w:r>
          </w:p>
        </w:tc>
        <w:tc>
          <w:tcPr>
            <w:tcW w:w="6307" w:type="dxa"/>
          </w:tcPr>
          <w:p w14:paraId="6451EAC5" w14:textId="77777777" w:rsidR="008E7846" w:rsidRPr="006E0620" w:rsidRDefault="00460036" w:rsidP="008B2CE2">
            <w:r w:rsidRPr="006E0620">
              <w:t>Approved for provisional registration</w:t>
            </w:r>
          </w:p>
        </w:tc>
      </w:tr>
      <w:tr w:rsidR="008E7846" w:rsidRPr="006E0620" w14:paraId="54FBAD40" w14:textId="77777777" w:rsidTr="003735BC">
        <w:tc>
          <w:tcPr>
            <w:tcW w:w="2907" w:type="dxa"/>
          </w:tcPr>
          <w:p w14:paraId="1BCF74DD" w14:textId="77777777" w:rsidR="008E7846" w:rsidRPr="006E0620" w:rsidRDefault="008E7846" w:rsidP="001B5C90">
            <w:pPr>
              <w:rPr>
                <w:i/>
              </w:rPr>
            </w:pPr>
            <w:r w:rsidRPr="006E0620">
              <w:rPr>
                <w:i/>
              </w:rPr>
              <w:t xml:space="preserve">Date of </w:t>
            </w:r>
            <w:r w:rsidR="001B5C90" w:rsidRPr="006E0620">
              <w:rPr>
                <w:i/>
              </w:rPr>
              <w:t>d</w:t>
            </w:r>
            <w:r w:rsidRPr="006E0620">
              <w:rPr>
                <w:i/>
              </w:rPr>
              <w:t>ecision:</w:t>
            </w:r>
          </w:p>
        </w:tc>
        <w:tc>
          <w:tcPr>
            <w:tcW w:w="6307" w:type="dxa"/>
          </w:tcPr>
          <w:p w14:paraId="00C3074C" w14:textId="6873E803" w:rsidR="008E7846" w:rsidRPr="00CD4D07" w:rsidRDefault="00D07C7A" w:rsidP="00CD4D07">
            <w:r w:rsidRPr="00CD4D07">
              <w:t>9</w:t>
            </w:r>
            <w:r w:rsidR="002341C1" w:rsidRPr="00CD4D07">
              <w:t xml:space="preserve"> August 2021</w:t>
            </w:r>
          </w:p>
        </w:tc>
      </w:tr>
      <w:tr w:rsidR="00ED2922" w:rsidRPr="006E0620" w14:paraId="22FD1075" w14:textId="77777777" w:rsidTr="003735BC">
        <w:tc>
          <w:tcPr>
            <w:tcW w:w="2907" w:type="dxa"/>
          </w:tcPr>
          <w:p w14:paraId="56324465" w14:textId="77777777" w:rsidR="00ED2922" w:rsidRPr="006E0620" w:rsidRDefault="00ED2922" w:rsidP="001B5C90">
            <w:pPr>
              <w:rPr>
                <w:i/>
              </w:rPr>
            </w:pPr>
            <w:r w:rsidRPr="006E0620">
              <w:rPr>
                <w:i/>
              </w:rPr>
              <w:t>Date of entry onto ARTG</w:t>
            </w:r>
            <w:r w:rsidR="00500337" w:rsidRPr="006E0620">
              <w:rPr>
                <w:i/>
              </w:rPr>
              <w:t>:</w:t>
            </w:r>
          </w:p>
        </w:tc>
        <w:tc>
          <w:tcPr>
            <w:tcW w:w="6307" w:type="dxa"/>
          </w:tcPr>
          <w:p w14:paraId="6176BB52" w14:textId="181975BA" w:rsidR="00ED2922" w:rsidRPr="00CD4D07" w:rsidRDefault="003A0781" w:rsidP="00CD4D07">
            <w:r w:rsidRPr="00CD4D07">
              <w:t>9</w:t>
            </w:r>
            <w:r w:rsidR="00F401BF" w:rsidRPr="00CD4D07">
              <w:t xml:space="preserve"> August 2021</w:t>
            </w:r>
          </w:p>
        </w:tc>
      </w:tr>
      <w:tr w:rsidR="00500337" w:rsidRPr="006E0620" w14:paraId="42BA4ADD" w14:textId="77777777" w:rsidTr="003735BC">
        <w:tc>
          <w:tcPr>
            <w:tcW w:w="2907" w:type="dxa"/>
          </w:tcPr>
          <w:p w14:paraId="616D1FE9" w14:textId="77777777" w:rsidR="00500337" w:rsidRPr="006E0620" w:rsidRDefault="00500337" w:rsidP="008B2CE2">
            <w:pPr>
              <w:rPr>
                <w:i/>
              </w:rPr>
            </w:pPr>
            <w:r w:rsidRPr="006E0620">
              <w:rPr>
                <w:i/>
              </w:rPr>
              <w:t>ARTG number:</w:t>
            </w:r>
          </w:p>
        </w:tc>
        <w:tc>
          <w:tcPr>
            <w:tcW w:w="6307" w:type="dxa"/>
          </w:tcPr>
          <w:p w14:paraId="326E0B75" w14:textId="23C62B20" w:rsidR="00500337" w:rsidRPr="00CD4D07" w:rsidRDefault="00F401BF" w:rsidP="00CD4D07">
            <w:r w:rsidRPr="00CD4D07">
              <w:t>370599</w:t>
            </w:r>
          </w:p>
        </w:tc>
      </w:tr>
      <w:tr w:rsidR="003735BC" w:rsidRPr="006E0620" w14:paraId="6A2EACC9" w14:textId="77777777" w:rsidTr="003735BC">
        <w:tc>
          <w:tcPr>
            <w:tcW w:w="2907" w:type="dxa"/>
          </w:tcPr>
          <w:p w14:paraId="7FD6E56F" w14:textId="77777777" w:rsidR="003735BC" w:rsidRPr="006E0620" w:rsidRDefault="00FA5069" w:rsidP="001B5C90">
            <w:pPr>
              <w:rPr>
                <w:i/>
              </w:rPr>
            </w:pPr>
            <w:r w:rsidRPr="006E0620">
              <w:rPr>
                <w:rFonts w:ascii="Wingdings 3" w:hAnsi="Wingdings 3"/>
                <w:sz w:val="34"/>
                <w:szCs w:val="34"/>
                <w:lang w:eastAsia="en-AU"/>
              </w:rPr>
              <w:t></w:t>
            </w:r>
            <w:r w:rsidR="003735BC" w:rsidRPr="006E0620">
              <w:rPr>
                <w:i/>
              </w:rPr>
              <w:t>Black Triangle Scheme</w:t>
            </w:r>
            <w:r w:rsidR="004C4FBE" w:rsidRPr="006E0620">
              <w:rPr>
                <w:i/>
              </w:rPr>
              <w:t>:</w:t>
            </w:r>
            <w:r w:rsidR="00460036" w:rsidRPr="006E0620">
              <w:rPr>
                <w:rStyle w:val="FootnoteReference"/>
                <w:i/>
              </w:rPr>
              <w:footnoteReference w:id="2"/>
            </w:r>
          </w:p>
        </w:tc>
        <w:tc>
          <w:tcPr>
            <w:tcW w:w="6307" w:type="dxa"/>
          </w:tcPr>
          <w:p w14:paraId="722CDBC4" w14:textId="49CD69CA" w:rsidR="003735BC" w:rsidRPr="006E0620" w:rsidRDefault="008D5058" w:rsidP="003735BC">
            <w:r w:rsidRPr="006E0620">
              <w:t>Yes</w:t>
            </w:r>
          </w:p>
          <w:p w14:paraId="3DF7E590" w14:textId="77777777" w:rsidR="003735BC" w:rsidRPr="006E0620" w:rsidRDefault="003735BC" w:rsidP="003735BC">
            <w:r w:rsidRPr="006E0620">
              <w:t>As a provisionally registered product, this medicine will remain in the Black Triangle Scheme for the duration of its provisional registration</w:t>
            </w:r>
          </w:p>
        </w:tc>
      </w:tr>
      <w:tr w:rsidR="008E7846" w:rsidRPr="006E0620" w14:paraId="739B8114" w14:textId="77777777" w:rsidTr="00BF1190">
        <w:tc>
          <w:tcPr>
            <w:tcW w:w="2907" w:type="dxa"/>
          </w:tcPr>
          <w:p w14:paraId="1BA7954E" w14:textId="77777777" w:rsidR="008E7846" w:rsidRPr="006E0620" w:rsidRDefault="008E7846" w:rsidP="001B5C90">
            <w:pPr>
              <w:rPr>
                <w:i/>
              </w:rPr>
            </w:pPr>
            <w:r w:rsidRPr="006E0620">
              <w:rPr>
                <w:i/>
              </w:rPr>
              <w:t xml:space="preserve">Sponsor’s </w:t>
            </w:r>
            <w:r w:rsidR="001B5C90" w:rsidRPr="006E0620">
              <w:rPr>
                <w:i/>
              </w:rPr>
              <w:t>n</w:t>
            </w:r>
            <w:r w:rsidRPr="006E0620">
              <w:rPr>
                <w:i/>
              </w:rPr>
              <w:t xml:space="preserve">ame and </w:t>
            </w:r>
            <w:r w:rsidR="001B5C90" w:rsidRPr="006E0620">
              <w:rPr>
                <w:i/>
              </w:rPr>
              <w:t>a</w:t>
            </w:r>
            <w:r w:rsidRPr="006E0620">
              <w:rPr>
                <w:i/>
              </w:rPr>
              <w:t>ddress:</w:t>
            </w:r>
          </w:p>
        </w:tc>
        <w:tc>
          <w:tcPr>
            <w:tcW w:w="6307" w:type="dxa"/>
          </w:tcPr>
          <w:p w14:paraId="07179599" w14:textId="77777777" w:rsidR="004868A2" w:rsidRPr="006E0620" w:rsidRDefault="004868A2" w:rsidP="004868A2">
            <w:proofErr w:type="spellStart"/>
            <w:r w:rsidRPr="006E0620">
              <w:t>Moderna</w:t>
            </w:r>
            <w:proofErr w:type="spellEnd"/>
            <w:r w:rsidRPr="006E0620">
              <w:t xml:space="preserve"> Australia Pty Ltd</w:t>
            </w:r>
          </w:p>
          <w:p w14:paraId="2ED2D444" w14:textId="77777777" w:rsidR="004868A2" w:rsidRPr="006E0620" w:rsidRDefault="004868A2" w:rsidP="004868A2">
            <w:r w:rsidRPr="006E0620">
              <w:t>Level 6, 60 Martin Place</w:t>
            </w:r>
          </w:p>
          <w:p w14:paraId="69260BB1" w14:textId="50006292" w:rsidR="008E7846" w:rsidRPr="006E0620" w:rsidRDefault="004868A2" w:rsidP="004868A2">
            <w:r w:rsidRPr="006E0620">
              <w:t>Sydney</w:t>
            </w:r>
            <w:r w:rsidR="00323585">
              <w:t>,</w:t>
            </w:r>
            <w:r w:rsidRPr="006E0620">
              <w:t xml:space="preserve"> NSW, 2000</w:t>
            </w:r>
          </w:p>
        </w:tc>
      </w:tr>
      <w:tr w:rsidR="008E7846" w:rsidRPr="006E0620" w14:paraId="6B430306" w14:textId="77777777" w:rsidTr="00BF1190">
        <w:tc>
          <w:tcPr>
            <w:tcW w:w="2907" w:type="dxa"/>
          </w:tcPr>
          <w:p w14:paraId="2FB3DF2B" w14:textId="77777777" w:rsidR="008E7846" w:rsidRPr="006E0620" w:rsidRDefault="001B5C90" w:rsidP="008B2CE2">
            <w:pPr>
              <w:rPr>
                <w:i/>
              </w:rPr>
            </w:pPr>
            <w:r w:rsidRPr="006E0620">
              <w:rPr>
                <w:i/>
              </w:rPr>
              <w:t>Dose form:</w:t>
            </w:r>
          </w:p>
        </w:tc>
        <w:tc>
          <w:tcPr>
            <w:tcW w:w="6307" w:type="dxa"/>
          </w:tcPr>
          <w:p w14:paraId="228534B0" w14:textId="77777777" w:rsidR="008E7846" w:rsidRPr="006E0620" w:rsidRDefault="008B2CE2" w:rsidP="00E45619">
            <w:r w:rsidRPr="006E0620">
              <w:t>Suspension for injection</w:t>
            </w:r>
          </w:p>
        </w:tc>
      </w:tr>
      <w:tr w:rsidR="008E7846" w:rsidRPr="006E0620" w14:paraId="235C4FF9" w14:textId="77777777" w:rsidTr="00BF1190">
        <w:tc>
          <w:tcPr>
            <w:tcW w:w="2907" w:type="dxa"/>
          </w:tcPr>
          <w:p w14:paraId="04D7FB23" w14:textId="77777777" w:rsidR="008E7846" w:rsidRPr="006E0620" w:rsidRDefault="00324E45" w:rsidP="008B2CE2">
            <w:pPr>
              <w:rPr>
                <w:i/>
              </w:rPr>
            </w:pPr>
            <w:r w:rsidRPr="006E0620">
              <w:rPr>
                <w:i/>
              </w:rPr>
              <w:t>Strength:</w:t>
            </w:r>
          </w:p>
        </w:tc>
        <w:tc>
          <w:tcPr>
            <w:tcW w:w="6307" w:type="dxa"/>
          </w:tcPr>
          <w:p w14:paraId="6CCA2E3A" w14:textId="77777777" w:rsidR="008E7846" w:rsidRPr="006E0620" w:rsidRDefault="008B2CE2" w:rsidP="00E45619">
            <w:r w:rsidRPr="006E0620">
              <w:t>0.2 mg/mL</w:t>
            </w:r>
          </w:p>
        </w:tc>
      </w:tr>
      <w:tr w:rsidR="008E7846" w:rsidRPr="006E0620" w14:paraId="1CA680E9" w14:textId="77777777" w:rsidTr="00BF1190">
        <w:tc>
          <w:tcPr>
            <w:tcW w:w="2907" w:type="dxa"/>
          </w:tcPr>
          <w:p w14:paraId="2774C253" w14:textId="77777777" w:rsidR="008E7846" w:rsidRPr="006E0620" w:rsidRDefault="008E7846" w:rsidP="008B2CE2">
            <w:pPr>
              <w:rPr>
                <w:i/>
              </w:rPr>
            </w:pPr>
            <w:r w:rsidRPr="006E0620">
              <w:rPr>
                <w:i/>
              </w:rPr>
              <w:t>Container:</w:t>
            </w:r>
          </w:p>
        </w:tc>
        <w:tc>
          <w:tcPr>
            <w:tcW w:w="6307" w:type="dxa"/>
          </w:tcPr>
          <w:p w14:paraId="454FACD7" w14:textId="77777777" w:rsidR="008E7846" w:rsidRPr="006E0620" w:rsidRDefault="008B2CE2" w:rsidP="00E45619">
            <w:r w:rsidRPr="006E0620">
              <w:t>Vial</w:t>
            </w:r>
          </w:p>
        </w:tc>
      </w:tr>
      <w:tr w:rsidR="008E7846" w:rsidRPr="006E0620" w14:paraId="1CEA8E0C" w14:textId="77777777" w:rsidTr="00BF1190">
        <w:tc>
          <w:tcPr>
            <w:tcW w:w="2907" w:type="dxa"/>
          </w:tcPr>
          <w:p w14:paraId="3AAC2517" w14:textId="77777777" w:rsidR="008E7846" w:rsidRPr="006E0620" w:rsidRDefault="008E7846" w:rsidP="008B2CE2">
            <w:pPr>
              <w:rPr>
                <w:i/>
              </w:rPr>
            </w:pPr>
            <w:r w:rsidRPr="006E0620">
              <w:rPr>
                <w:i/>
              </w:rPr>
              <w:t>Pack sizes:</w:t>
            </w:r>
          </w:p>
        </w:tc>
        <w:tc>
          <w:tcPr>
            <w:tcW w:w="6307" w:type="dxa"/>
          </w:tcPr>
          <w:p w14:paraId="7917B0E7" w14:textId="2E4BE9E1" w:rsidR="008E7846" w:rsidRPr="006E0620" w:rsidRDefault="008B2CE2" w:rsidP="009939D2">
            <w:r w:rsidRPr="006E0620">
              <w:t xml:space="preserve">10 </w:t>
            </w:r>
          </w:p>
        </w:tc>
      </w:tr>
      <w:tr w:rsidR="008E7846" w:rsidRPr="006E0620" w14:paraId="1697BDF0" w14:textId="77777777" w:rsidTr="00BF1190">
        <w:tc>
          <w:tcPr>
            <w:tcW w:w="2907" w:type="dxa"/>
          </w:tcPr>
          <w:p w14:paraId="6D582D36" w14:textId="77777777" w:rsidR="008E7846" w:rsidRPr="006E0620" w:rsidRDefault="008E7846" w:rsidP="001B5C90">
            <w:pPr>
              <w:rPr>
                <w:i/>
              </w:rPr>
            </w:pPr>
            <w:r w:rsidRPr="006E0620">
              <w:rPr>
                <w:i/>
              </w:rPr>
              <w:t xml:space="preserve">Approved </w:t>
            </w:r>
            <w:r w:rsidR="001B5C90" w:rsidRPr="006E0620">
              <w:rPr>
                <w:i/>
              </w:rPr>
              <w:t>t</w:t>
            </w:r>
            <w:r w:rsidRPr="006E0620">
              <w:rPr>
                <w:i/>
              </w:rPr>
              <w:t>herapeutic use:</w:t>
            </w:r>
          </w:p>
        </w:tc>
        <w:tc>
          <w:tcPr>
            <w:tcW w:w="6307" w:type="dxa"/>
          </w:tcPr>
          <w:p w14:paraId="46FEA7ED" w14:textId="16A3ED71" w:rsidR="00F401BF" w:rsidRPr="00CD4D07" w:rsidRDefault="00F401BF" w:rsidP="00F401BF">
            <w:pPr>
              <w:rPr>
                <w:i/>
                <w:iCs/>
              </w:rPr>
            </w:pPr>
            <w:proofErr w:type="spellStart"/>
            <w:r w:rsidRPr="00CD4D07">
              <w:rPr>
                <w:i/>
                <w:iCs/>
              </w:rPr>
              <w:t>Spikevax</w:t>
            </w:r>
            <w:proofErr w:type="spellEnd"/>
            <w:r w:rsidRPr="00CD4D07">
              <w:rPr>
                <w:i/>
                <w:iCs/>
              </w:rPr>
              <w:t xml:space="preserve"> (</w:t>
            </w:r>
            <w:proofErr w:type="spellStart"/>
            <w:r w:rsidRPr="00CD4D07">
              <w:rPr>
                <w:i/>
                <w:iCs/>
              </w:rPr>
              <w:t>elasomeran</w:t>
            </w:r>
            <w:proofErr w:type="spellEnd"/>
            <w:r w:rsidRPr="00CD4D07">
              <w:rPr>
                <w:i/>
                <w:iCs/>
              </w:rPr>
              <w:t>) COVID-19 vaccine has provisional approval for the indication below:</w:t>
            </w:r>
          </w:p>
          <w:p w14:paraId="7F852B1C" w14:textId="7E8D0E72" w:rsidR="00F401BF" w:rsidRPr="00CD4D07" w:rsidRDefault="00F401BF" w:rsidP="00EE0789">
            <w:pPr>
              <w:rPr>
                <w:i/>
                <w:iCs/>
              </w:rPr>
            </w:pPr>
            <w:r w:rsidRPr="00CD4D07">
              <w:rPr>
                <w:i/>
                <w:iCs/>
              </w:rPr>
              <w:t>Active immunisation to prevent coronavirus disease 2019 (COVID-19) caused by SARS-CoV-2 in individuals 18 years of age and older.</w:t>
            </w:r>
          </w:p>
          <w:p w14:paraId="32D3C982" w14:textId="7945A619" w:rsidR="00F401BF" w:rsidRPr="00CD4D07" w:rsidRDefault="00F401BF" w:rsidP="00B83451">
            <w:pPr>
              <w:rPr>
                <w:i/>
                <w:iCs/>
              </w:rPr>
            </w:pPr>
            <w:r w:rsidRPr="00CD4D07">
              <w:rPr>
                <w:i/>
                <w:iCs/>
              </w:rPr>
              <w:t>The use of this vaccine should be in accordance with official recommendations</w:t>
            </w:r>
            <w:r w:rsidR="00EA1B0E">
              <w:rPr>
                <w:i/>
                <w:iCs/>
              </w:rPr>
              <w:t>.</w:t>
            </w:r>
          </w:p>
          <w:p w14:paraId="6ACB5C10" w14:textId="39A5D34C" w:rsidR="008E7846" w:rsidRPr="006E0620" w:rsidRDefault="00F401BF">
            <w:r w:rsidRPr="00CD4D07">
              <w:rPr>
                <w:i/>
                <w:iCs/>
              </w:rPr>
              <w:t xml:space="preserve">The decision has been made </w:t>
            </w:r>
            <w:proofErr w:type="gramStart"/>
            <w:r w:rsidRPr="00CD4D07">
              <w:rPr>
                <w:i/>
                <w:iCs/>
              </w:rPr>
              <w:t>on the basis of</w:t>
            </w:r>
            <w:proofErr w:type="gramEnd"/>
            <w:r w:rsidRPr="00CD4D07">
              <w:rPr>
                <w:i/>
                <w:iCs/>
              </w:rPr>
              <w:t xml:space="preserve"> short-term efficacy and safety data. Continued approval depends on the evidence of </w:t>
            </w:r>
            <w:proofErr w:type="gramStart"/>
            <w:r w:rsidRPr="00CD4D07">
              <w:rPr>
                <w:i/>
                <w:iCs/>
              </w:rPr>
              <w:t>longer term</w:t>
            </w:r>
            <w:proofErr w:type="gramEnd"/>
            <w:r w:rsidRPr="00CD4D07">
              <w:rPr>
                <w:i/>
                <w:iCs/>
              </w:rPr>
              <w:t xml:space="preserve"> efficacy and safety from ongoing clinical trials</w:t>
            </w:r>
            <w:r w:rsidR="00EA1B0E">
              <w:rPr>
                <w:i/>
                <w:iCs/>
              </w:rPr>
              <w:t xml:space="preserve"> </w:t>
            </w:r>
            <w:r w:rsidRPr="00CD4D07">
              <w:rPr>
                <w:i/>
                <w:iCs/>
              </w:rPr>
              <w:t>and post-market assessment.</w:t>
            </w:r>
          </w:p>
        </w:tc>
      </w:tr>
      <w:tr w:rsidR="008E7846" w:rsidRPr="006E0620" w14:paraId="26E5E93B" w14:textId="77777777" w:rsidTr="00BF1190">
        <w:tc>
          <w:tcPr>
            <w:tcW w:w="2907" w:type="dxa"/>
          </w:tcPr>
          <w:p w14:paraId="565E57DC" w14:textId="77777777" w:rsidR="008E7846" w:rsidRPr="006E0620" w:rsidRDefault="008E7846" w:rsidP="00033027">
            <w:pPr>
              <w:rPr>
                <w:i/>
              </w:rPr>
            </w:pPr>
            <w:r w:rsidRPr="006E0620">
              <w:rPr>
                <w:i/>
              </w:rPr>
              <w:lastRenderedPageBreak/>
              <w:t>Route of administration:</w:t>
            </w:r>
          </w:p>
        </w:tc>
        <w:tc>
          <w:tcPr>
            <w:tcW w:w="6307" w:type="dxa"/>
          </w:tcPr>
          <w:p w14:paraId="7C5D6B2F" w14:textId="77777777" w:rsidR="008E7846" w:rsidRPr="006E0620" w:rsidRDefault="00033027" w:rsidP="00E45619">
            <w:r w:rsidRPr="006E0620">
              <w:t>Intramuscular</w:t>
            </w:r>
          </w:p>
        </w:tc>
      </w:tr>
      <w:tr w:rsidR="008E7846" w:rsidRPr="006E0620" w14:paraId="0C8D2B6B" w14:textId="77777777" w:rsidTr="00BF1190">
        <w:tc>
          <w:tcPr>
            <w:tcW w:w="2907" w:type="dxa"/>
          </w:tcPr>
          <w:p w14:paraId="5D313959" w14:textId="77777777" w:rsidR="008E7846" w:rsidRPr="006E0620" w:rsidRDefault="008E7846" w:rsidP="00E45619">
            <w:pPr>
              <w:rPr>
                <w:i/>
              </w:rPr>
            </w:pPr>
            <w:r w:rsidRPr="006E0620">
              <w:rPr>
                <w:i/>
              </w:rPr>
              <w:t>Dosage:</w:t>
            </w:r>
          </w:p>
        </w:tc>
        <w:tc>
          <w:tcPr>
            <w:tcW w:w="6307" w:type="dxa"/>
          </w:tcPr>
          <w:p w14:paraId="4471FF05" w14:textId="0F120A9F" w:rsidR="00033027" w:rsidRPr="006E0620" w:rsidRDefault="00033027" w:rsidP="00033027">
            <w:proofErr w:type="spellStart"/>
            <w:r w:rsidRPr="006E0620">
              <w:t>Spikevax</w:t>
            </w:r>
            <w:proofErr w:type="spellEnd"/>
            <w:r w:rsidRPr="006E0620">
              <w:t xml:space="preserve"> is </w:t>
            </w:r>
            <w:r w:rsidR="00C93073">
              <w:t xml:space="preserve">a vaccine intended to be </w:t>
            </w:r>
            <w:r w:rsidRPr="006E0620">
              <w:t xml:space="preserve">administered as a course of 2 doses (0.5 mL each). It is recommended to administer the second dose 28 </w:t>
            </w:r>
            <w:r w:rsidR="008D5058" w:rsidRPr="006E0620">
              <w:t>days after the first dose (see S</w:t>
            </w:r>
            <w:r w:rsidRPr="006E0620">
              <w:t xml:space="preserve">ection 4.4 </w:t>
            </w:r>
            <w:r w:rsidR="00CB4E2F">
              <w:t>S</w:t>
            </w:r>
            <w:r w:rsidR="008D5058" w:rsidRPr="006E0620">
              <w:t>pecial warnings and precautions for use and S</w:t>
            </w:r>
            <w:r w:rsidRPr="006E0620">
              <w:t xml:space="preserve">ection 5.1 </w:t>
            </w:r>
            <w:r w:rsidR="00CB4E2F">
              <w:t>P</w:t>
            </w:r>
            <w:r w:rsidR="008D5058" w:rsidRPr="006E0620">
              <w:t xml:space="preserve">harmacodynamic properties </w:t>
            </w:r>
            <w:r w:rsidR="004868A2" w:rsidRPr="006E0620">
              <w:t>in the Product Information</w:t>
            </w:r>
            <w:r w:rsidRPr="006E0620">
              <w:t>).</w:t>
            </w:r>
          </w:p>
          <w:p w14:paraId="64514E09" w14:textId="0B1BFBDC" w:rsidR="00033027" w:rsidRPr="006E0620" w:rsidRDefault="00033027" w:rsidP="00033027">
            <w:r w:rsidRPr="006E0620">
              <w:t xml:space="preserve">There are no data available on the interchangeability of </w:t>
            </w:r>
            <w:r w:rsidR="00C93073">
              <w:t xml:space="preserve">the </w:t>
            </w:r>
            <w:proofErr w:type="spellStart"/>
            <w:r w:rsidRPr="006E0620">
              <w:t>Spikevax</w:t>
            </w:r>
            <w:proofErr w:type="spellEnd"/>
            <w:r w:rsidR="00C93073">
              <w:t xml:space="preserve"> vaccine</w:t>
            </w:r>
            <w:r w:rsidRPr="006E0620">
              <w:t xml:space="preserve"> with other</w:t>
            </w:r>
            <w:r w:rsidR="00BA0092" w:rsidRPr="006E0620">
              <w:t xml:space="preserve"> coronavirus disease 2019 (</w:t>
            </w:r>
            <w:r w:rsidRPr="006E0620">
              <w:t>COVID-19</w:t>
            </w:r>
            <w:r w:rsidR="00BA0092" w:rsidRPr="006E0620">
              <w:t>)</w:t>
            </w:r>
            <w:r w:rsidRPr="006E0620">
              <w:t xml:space="preserve"> vaccines to complete the vaccination course. Individuals who have received the first dose of </w:t>
            </w:r>
            <w:r w:rsidR="00C93073">
              <w:t xml:space="preserve">the </w:t>
            </w:r>
            <w:proofErr w:type="spellStart"/>
            <w:r w:rsidRPr="006E0620">
              <w:t>Spikevax</w:t>
            </w:r>
            <w:proofErr w:type="spellEnd"/>
            <w:r w:rsidRPr="006E0620">
              <w:t xml:space="preserve"> </w:t>
            </w:r>
            <w:r w:rsidR="00C93073">
              <w:t xml:space="preserve">vaccine </w:t>
            </w:r>
            <w:r w:rsidRPr="006E0620">
              <w:t xml:space="preserve">should receive the second dose of </w:t>
            </w:r>
            <w:r w:rsidR="00C93073">
              <w:t xml:space="preserve">the </w:t>
            </w:r>
            <w:proofErr w:type="spellStart"/>
            <w:r w:rsidRPr="006E0620">
              <w:t>Spikevax</w:t>
            </w:r>
            <w:proofErr w:type="spellEnd"/>
            <w:r w:rsidR="00C93073">
              <w:t xml:space="preserve"> vaccine</w:t>
            </w:r>
            <w:r w:rsidRPr="006E0620">
              <w:t xml:space="preserve"> to complete the vaccination course.</w:t>
            </w:r>
          </w:p>
          <w:p w14:paraId="1E2BACB4" w14:textId="77777777" w:rsidR="00460036" w:rsidRPr="006E0620" w:rsidRDefault="00460036" w:rsidP="00033027">
            <w:r w:rsidRPr="006E0620">
              <w:t>For further information regarding dosage, refer to the Product Information.</w:t>
            </w:r>
          </w:p>
        </w:tc>
      </w:tr>
      <w:tr w:rsidR="00460036" w:rsidRPr="006E0620" w14:paraId="6720987C" w14:textId="77777777" w:rsidTr="00BF1190">
        <w:tc>
          <w:tcPr>
            <w:tcW w:w="2907" w:type="dxa"/>
          </w:tcPr>
          <w:p w14:paraId="1EC759ED" w14:textId="77777777" w:rsidR="00460036" w:rsidRPr="006E0620" w:rsidRDefault="00460036" w:rsidP="00E45619">
            <w:pPr>
              <w:rPr>
                <w:i/>
              </w:rPr>
            </w:pPr>
            <w:r w:rsidRPr="006E0620">
              <w:rPr>
                <w:i/>
              </w:rPr>
              <w:t>Pregnancy category:</w:t>
            </w:r>
          </w:p>
        </w:tc>
        <w:tc>
          <w:tcPr>
            <w:tcW w:w="6307" w:type="dxa"/>
          </w:tcPr>
          <w:p w14:paraId="5192F0D2" w14:textId="4695799C" w:rsidR="00AF239D" w:rsidRPr="006E0620" w:rsidRDefault="00AF239D" w:rsidP="00AF239D">
            <w:r w:rsidRPr="006E0620">
              <w:t>B1</w:t>
            </w:r>
          </w:p>
          <w:p w14:paraId="0D2D8487" w14:textId="77777777" w:rsidR="00AF239D" w:rsidRPr="006E0620" w:rsidRDefault="00AF239D" w:rsidP="00AF239D">
            <w:r w:rsidRPr="006E0620">
              <w:t xml:space="preserve">Drugs which have been taken by only a limited number of pregnant women and women of childbearing age, without an increase in the frequency of malformation or other direct or indirect harmful effects on the human </w:t>
            </w:r>
            <w:proofErr w:type="spellStart"/>
            <w:r w:rsidRPr="006E0620">
              <w:t>fetus</w:t>
            </w:r>
            <w:proofErr w:type="spellEnd"/>
            <w:r w:rsidRPr="006E0620">
              <w:t xml:space="preserve"> having been observed.</w:t>
            </w:r>
          </w:p>
          <w:p w14:paraId="384373F9" w14:textId="4C0E5249" w:rsidR="00AF239D" w:rsidRPr="006E0620" w:rsidRDefault="00AF239D" w:rsidP="00AF239D">
            <w:r w:rsidRPr="006E0620">
              <w:t xml:space="preserve">Studies in animals have not shown evidence of an increased occurrence of </w:t>
            </w:r>
            <w:proofErr w:type="spellStart"/>
            <w:r w:rsidRPr="006E0620">
              <w:t>fetal</w:t>
            </w:r>
            <w:proofErr w:type="spellEnd"/>
            <w:r w:rsidRPr="006E0620">
              <w:t xml:space="preserve"> damage.</w:t>
            </w:r>
          </w:p>
          <w:p w14:paraId="63F91ED4" w14:textId="77777777" w:rsidR="00460036" w:rsidRPr="006E0620" w:rsidRDefault="00460036" w:rsidP="00460036">
            <w:r w:rsidRPr="006E0620">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886B558" w14:textId="77777777" w:rsidR="008E7846" w:rsidRPr="006E0620" w:rsidRDefault="008E7846" w:rsidP="008E7846">
      <w:pPr>
        <w:pStyle w:val="Heading3"/>
      </w:pPr>
      <w:bookmarkStart w:id="12" w:name="_Toc247691503"/>
      <w:bookmarkStart w:id="13" w:name="_Toc314842484"/>
      <w:bookmarkStart w:id="14" w:name="_Ref78299808"/>
      <w:bookmarkStart w:id="15" w:name="_Toc79415461"/>
      <w:r w:rsidRPr="006E0620">
        <w:t>Product background</w:t>
      </w:r>
      <w:bookmarkEnd w:id="12"/>
      <w:bookmarkEnd w:id="13"/>
      <w:bookmarkEnd w:id="14"/>
      <w:bookmarkEnd w:id="15"/>
    </w:p>
    <w:p w14:paraId="12E7EB2E" w14:textId="78725F4C" w:rsidR="008E7846" w:rsidRPr="006E0620" w:rsidRDefault="00250271" w:rsidP="00940A89">
      <w:r w:rsidRPr="006E0620">
        <w:t xml:space="preserve">This </w:t>
      </w:r>
      <w:proofErr w:type="spellStart"/>
      <w:r w:rsidRPr="006E0620">
        <w:t>AusPA</w:t>
      </w:r>
      <w:r w:rsidR="004868A2" w:rsidRPr="006E0620">
        <w:t>R</w:t>
      </w:r>
      <w:proofErr w:type="spellEnd"/>
      <w:r w:rsidR="004868A2" w:rsidRPr="006E0620">
        <w:t xml:space="preserve"> describes the application by </w:t>
      </w:r>
      <w:proofErr w:type="spellStart"/>
      <w:r w:rsidR="004868A2" w:rsidRPr="006E0620">
        <w:t>Moderna</w:t>
      </w:r>
      <w:proofErr w:type="spellEnd"/>
      <w:r w:rsidR="004868A2" w:rsidRPr="006E0620">
        <w:t xml:space="preserve"> Australia Pty Ltd</w:t>
      </w:r>
      <w:r w:rsidR="008B2CE2" w:rsidRPr="006E0620">
        <w:t xml:space="preserve"> (the sponsor) to register </w:t>
      </w:r>
      <w:proofErr w:type="spellStart"/>
      <w:r w:rsidR="008B2CE2" w:rsidRPr="006E0620">
        <w:t>Spikevax</w:t>
      </w:r>
      <w:proofErr w:type="spellEnd"/>
      <w:r w:rsidR="008B2CE2" w:rsidRPr="006E0620">
        <w:t xml:space="preserve"> </w:t>
      </w:r>
      <w:r w:rsidRPr="006E0620">
        <w:t>(</w:t>
      </w:r>
      <w:proofErr w:type="spellStart"/>
      <w:r w:rsidR="004868A2" w:rsidRPr="006E0620">
        <w:t>elasomeran</w:t>
      </w:r>
      <w:proofErr w:type="spellEnd"/>
      <w:r w:rsidRPr="006E0620">
        <w:t xml:space="preserve">) </w:t>
      </w:r>
      <w:r w:rsidR="00323585" w:rsidRPr="00323585">
        <w:t xml:space="preserve">COVID-19 vaccine </w:t>
      </w:r>
      <w:r w:rsidR="00323585">
        <w:t>(</w:t>
      </w:r>
      <w:r w:rsidR="0091768C" w:rsidRPr="006E0620">
        <w:t>0.2 </w:t>
      </w:r>
      <w:r w:rsidR="004868A2" w:rsidRPr="006E0620">
        <w:t>mg/mL</w:t>
      </w:r>
      <w:r w:rsidR="00323585">
        <w:t>)</w:t>
      </w:r>
      <w:r w:rsidRPr="006E0620">
        <w:t xml:space="preserve">, </w:t>
      </w:r>
      <w:r w:rsidR="004868A2" w:rsidRPr="006E0620">
        <w:t>suspension for injection</w:t>
      </w:r>
      <w:r w:rsidRPr="006E0620">
        <w:t xml:space="preserve"> for the following proposed indication</w:t>
      </w:r>
      <w:r w:rsidR="00CF5DAD" w:rsidRPr="006E0620">
        <w:t>:</w:t>
      </w:r>
    </w:p>
    <w:p w14:paraId="66360100" w14:textId="5CC033F1" w:rsidR="008B2CE2" w:rsidRPr="006E0620" w:rsidRDefault="008B2CE2" w:rsidP="008B2CE2">
      <w:pPr>
        <w:ind w:left="720"/>
        <w:rPr>
          <w:i/>
        </w:rPr>
      </w:pPr>
      <w:proofErr w:type="spellStart"/>
      <w:r w:rsidRPr="006E0620">
        <w:rPr>
          <w:i/>
        </w:rPr>
        <w:t>Spikevax</w:t>
      </w:r>
      <w:proofErr w:type="spellEnd"/>
      <w:r w:rsidRPr="006E0620">
        <w:rPr>
          <w:i/>
        </w:rPr>
        <w:t xml:space="preserve"> is indicated for active immunisation to </w:t>
      </w:r>
      <w:r w:rsidR="0091768C" w:rsidRPr="006E0620">
        <w:rPr>
          <w:i/>
        </w:rPr>
        <w:t>prevent COVID-19 caused by SARS</w:t>
      </w:r>
      <w:r w:rsidR="0091768C" w:rsidRPr="006E0620">
        <w:rPr>
          <w:i/>
        </w:rPr>
        <w:noBreakHyphen/>
        <w:t>CoV</w:t>
      </w:r>
      <w:r w:rsidR="0091768C" w:rsidRPr="006E0620">
        <w:rPr>
          <w:i/>
        </w:rPr>
        <w:noBreakHyphen/>
      </w:r>
      <w:r w:rsidRPr="006E0620">
        <w:rPr>
          <w:i/>
        </w:rPr>
        <w:t>2, in individ</w:t>
      </w:r>
      <w:r w:rsidR="0091768C" w:rsidRPr="006E0620">
        <w:rPr>
          <w:i/>
        </w:rPr>
        <w:t xml:space="preserve">uals </w:t>
      </w:r>
      <w:r w:rsidR="00A27CBB">
        <w:rPr>
          <w:i/>
        </w:rPr>
        <w:t>18</w:t>
      </w:r>
      <w:r w:rsidR="0091768C" w:rsidRPr="006E0620">
        <w:rPr>
          <w:i/>
        </w:rPr>
        <w:t xml:space="preserve"> years of age and older.</w:t>
      </w:r>
    </w:p>
    <w:p w14:paraId="60CE1F52" w14:textId="704CBD06" w:rsidR="007B36E3" w:rsidRPr="006E0620" w:rsidRDefault="009939D2" w:rsidP="007B36E3">
      <w:r w:rsidRPr="006E0620">
        <w:t>Severe acute respiratory syndrome coronavirus 2 (</w:t>
      </w:r>
      <w:r w:rsidR="007B36E3" w:rsidRPr="006E0620">
        <w:t>SARS-CoV-2</w:t>
      </w:r>
      <w:r w:rsidRPr="006E0620">
        <w:t>)</w:t>
      </w:r>
      <w:r w:rsidR="007B36E3" w:rsidRPr="006E0620">
        <w:t xml:space="preserve"> has spread rapidly and globally since its emergence, causing </w:t>
      </w:r>
      <w:r w:rsidR="0091768C" w:rsidRPr="006E0620">
        <w:t>coronavirus disease 2019 (</w:t>
      </w:r>
      <w:r w:rsidR="007B36E3" w:rsidRPr="006E0620">
        <w:t>COVID-19</w:t>
      </w:r>
      <w:r w:rsidR="0091768C" w:rsidRPr="006E0620">
        <w:t>)</w:t>
      </w:r>
      <w:r w:rsidR="007B36E3" w:rsidRPr="006E0620">
        <w:t xml:space="preserve">. The World Health Organization (WHO) declared that the outbreak constituted a public health emergency of international concern on </w:t>
      </w:r>
      <w:proofErr w:type="gramStart"/>
      <w:r w:rsidR="007B36E3" w:rsidRPr="006E0620">
        <w:t>30 January 2020, and</w:t>
      </w:r>
      <w:proofErr w:type="gramEnd"/>
      <w:r w:rsidR="007B36E3" w:rsidRPr="006E0620">
        <w:t xml:space="preserve"> declared the outbreak to be a pandemic on 11 March 2020. As of </w:t>
      </w:r>
      <w:r w:rsidR="00323585">
        <w:t>3 August</w:t>
      </w:r>
      <w:r w:rsidR="007B36E3" w:rsidRPr="006E0620">
        <w:t xml:space="preserve"> 2021, </w:t>
      </w:r>
      <w:r w:rsidR="00CB4E2F">
        <w:t>more than 19</w:t>
      </w:r>
      <w:r w:rsidR="0028278F">
        <w:t>8</w:t>
      </w:r>
      <w:r w:rsidR="00CB4E2F">
        <w:t>,000,000</w:t>
      </w:r>
      <w:r w:rsidR="007B36E3" w:rsidRPr="006E0620">
        <w:t xml:space="preserve"> cases and </w:t>
      </w:r>
      <w:r w:rsidR="007B36E3" w:rsidRPr="006E0620">
        <w:lastRenderedPageBreak/>
        <w:t>4,</w:t>
      </w:r>
      <w:r w:rsidR="0028278F">
        <w:t>227</w:t>
      </w:r>
      <w:r w:rsidR="00CB4E2F">
        <w:t>,000</w:t>
      </w:r>
      <w:r w:rsidR="007B36E3" w:rsidRPr="006E0620">
        <w:t xml:space="preserve"> deaths from COVID-19 have been reported worldwide.</w:t>
      </w:r>
      <w:r w:rsidR="007B36E3" w:rsidRPr="006E0620">
        <w:rPr>
          <w:vertAlign w:val="superscript"/>
        </w:rPr>
        <w:footnoteReference w:id="3"/>
      </w:r>
      <w:r w:rsidR="007B36E3" w:rsidRPr="006E0620">
        <w:t xml:space="preserve"> Of these, approximately 3</w:t>
      </w:r>
      <w:r w:rsidR="0028278F">
        <w:t>5</w:t>
      </w:r>
      <w:r w:rsidR="007B36E3" w:rsidRPr="006E0620">
        <w:t>,</w:t>
      </w:r>
      <w:r w:rsidR="0028278F">
        <w:t>000</w:t>
      </w:r>
      <w:r w:rsidR="007B36E3" w:rsidRPr="006E0620">
        <w:t xml:space="preserve"> cases and 9</w:t>
      </w:r>
      <w:r w:rsidR="0028278F">
        <w:t>25</w:t>
      </w:r>
      <w:r w:rsidR="007B36E3" w:rsidRPr="006E0620">
        <w:t xml:space="preserve"> deaths have been reported in Australia.</w:t>
      </w:r>
      <w:r w:rsidR="007B36E3" w:rsidRPr="006E0620">
        <w:rPr>
          <w:vertAlign w:val="superscript"/>
        </w:rPr>
        <w:footnoteReference w:id="4"/>
      </w:r>
    </w:p>
    <w:p w14:paraId="08332F41" w14:textId="13A75601" w:rsidR="007B36E3" w:rsidRPr="006E0620" w:rsidRDefault="007B36E3" w:rsidP="007B36E3">
      <w:r w:rsidRPr="006E0620">
        <w:t xml:space="preserve">Respiratory symptoms of COVID-19 typically appear 5 to 6 days following exposure to the </w:t>
      </w:r>
      <w:proofErr w:type="gramStart"/>
      <w:r w:rsidRPr="006E0620">
        <w:t>virus, but</w:t>
      </w:r>
      <w:proofErr w:type="gramEnd"/>
      <w:r w:rsidRPr="006E0620">
        <w:t xml:space="preserve"> may appear from 2 to 14 days following exposure, with the clinical manifestations ranging from mild symptoms to severe illness or death. Based on surveillance data reported by 22 countries, an estimated 22% (country range: 3</w:t>
      </w:r>
      <w:r w:rsidR="0091768C" w:rsidRPr="006E0620">
        <w:t xml:space="preserve"> to </w:t>
      </w:r>
      <w:r w:rsidRPr="006E0620">
        <w:t>60%) of reported COVID-19 cases have been hospitali</w:t>
      </w:r>
      <w:r w:rsidR="0091768C" w:rsidRPr="006E0620">
        <w:t>s</w:t>
      </w:r>
      <w:r w:rsidRPr="006E0620">
        <w:t>ed. Data from 17 countries show that a total of 9% (country range: 0</w:t>
      </w:r>
      <w:r w:rsidR="009939D2" w:rsidRPr="006E0620">
        <w:t xml:space="preserve"> to </w:t>
      </w:r>
      <w:r w:rsidRPr="006E0620">
        <w:t>62%) of hospitali</w:t>
      </w:r>
      <w:r w:rsidR="0091768C" w:rsidRPr="006E0620">
        <w:t>s</w:t>
      </w:r>
      <w:r w:rsidRPr="006E0620">
        <w:t xml:space="preserve">ed patients required intensive care unit (ICU) and/or respiratory support. Viral SARS-CoV-2 </w:t>
      </w:r>
      <w:r w:rsidR="008D5058" w:rsidRPr="006E0620">
        <w:t>ribonucleic acid (</w:t>
      </w:r>
      <w:r w:rsidRPr="006E0620">
        <w:t>RNA</w:t>
      </w:r>
      <w:r w:rsidR="008D5058" w:rsidRPr="006E0620">
        <w:t>)</w:t>
      </w:r>
      <w:r w:rsidRPr="006E0620">
        <w:t xml:space="preserve"> has been detected in upper respiratory samples from asymptomatic or pre-symptomatic individuals, with an increasing number of studies demonstrating that asymptomatic individuals can transmit SARS-CoV-2. Although the extent to which asymptomatic transmission occurs remains unknown, it may significantly contribute to the transmission within the community.</w:t>
      </w:r>
    </w:p>
    <w:p w14:paraId="0FE149D9" w14:textId="3571E9C8" w:rsidR="007B36E3" w:rsidRPr="006E0620" w:rsidRDefault="007B36E3" w:rsidP="007B36E3">
      <w:r w:rsidRPr="006E0620">
        <w:t xml:space="preserve">Australia has three vaccines on the </w:t>
      </w:r>
      <w:r w:rsidR="0091768C" w:rsidRPr="006E0620">
        <w:t>Australian Register of Therapeutic Goods (</w:t>
      </w:r>
      <w:r w:rsidRPr="006E0620">
        <w:t>ARTG</w:t>
      </w:r>
      <w:r w:rsidR="0091768C" w:rsidRPr="006E0620">
        <w:t>)</w:t>
      </w:r>
      <w:r w:rsidRPr="006E0620">
        <w:t xml:space="preserve"> with provisional approval</w:t>
      </w:r>
      <w:r w:rsidR="007C4D8E" w:rsidRPr="006E0620">
        <w:t>;</w:t>
      </w:r>
      <w:bookmarkStart w:id="16" w:name="_Ref79135041"/>
      <w:r w:rsidR="007C4D8E" w:rsidRPr="006E0620">
        <w:rPr>
          <w:rStyle w:val="FootnoteReference"/>
        </w:rPr>
        <w:footnoteReference w:id="5"/>
      </w:r>
      <w:bookmarkEnd w:id="16"/>
      <w:r w:rsidRPr="006E0620">
        <w:t xml:space="preserve"> for the prevention of COVID-19:</w:t>
      </w:r>
    </w:p>
    <w:p w14:paraId="50DAB49E" w14:textId="4A5FDBA4" w:rsidR="007B36E3" w:rsidRPr="00B9370D" w:rsidRDefault="0028278F" w:rsidP="0028278F">
      <w:pPr>
        <w:pStyle w:val="ListBullet"/>
        <w:rPr>
          <w:rFonts w:ascii="Times New Roman" w:eastAsiaTheme="minorHAnsi" w:hAnsi="Times New Roman"/>
          <w:sz w:val="24"/>
          <w:szCs w:val="24"/>
          <w:lang w:eastAsia="en-AU"/>
        </w:rPr>
      </w:pPr>
      <w:r>
        <w:t xml:space="preserve">COVID-19 Vaccine </w:t>
      </w:r>
      <w:proofErr w:type="spellStart"/>
      <w:r w:rsidR="0091768C" w:rsidRPr="006E0620">
        <w:t>Comirnaty</w:t>
      </w:r>
      <w:proofErr w:type="spellEnd"/>
      <w:r w:rsidR="005A09D8" w:rsidRPr="006E0620">
        <w:t>;</w:t>
      </w:r>
      <w:r w:rsidR="005A09D8" w:rsidRPr="006E0620">
        <w:rPr>
          <w:rStyle w:val="FootnoteReference"/>
        </w:rPr>
        <w:footnoteReference w:id="6"/>
      </w:r>
      <w:r w:rsidR="0091768C" w:rsidRPr="006E0620">
        <w:t xml:space="preserve"> </w:t>
      </w:r>
      <w:r w:rsidR="008806CB" w:rsidRPr="006E0620">
        <w:t>(</w:t>
      </w:r>
      <w:r w:rsidR="00CB4E2F">
        <w:t>sponsored by</w:t>
      </w:r>
      <w:r w:rsidR="00CB4E2F" w:rsidRPr="006E0620">
        <w:t xml:space="preserve"> </w:t>
      </w:r>
      <w:r w:rsidR="008806CB" w:rsidRPr="006E0620">
        <w:t>Pfizer Australia Pty Ltd</w:t>
      </w:r>
      <w:r w:rsidR="007B36E3" w:rsidRPr="006E0620">
        <w:t>) was granted provisional registration for individuals over 16 years on 25 January 2021.</w:t>
      </w:r>
      <w:r w:rsidR="00CB4E2F">
        <w:rPr>
          <w:rStyle w:val="FootnoteReference"/>
        </w:rPr>
        <w:footnoteReference w:id="7"/>
      </w:r>
      <w:r w:rsidR="007B36E3" w:rsidRPr="006E0620">
        <w:t xml:space="preserve"> The regimen is 2 doses</w:t>
      </w:r>
      <w:r w:rsidR="00CB4E2F">
        <w:t xml:space="preserve"> administered</w:t>
      </w:r>
      <w:r w:rsidR="007B36E3" w:rsidRPr="006E0620">
        <w:t xml:space="preserve"> 3 weeks apart. </w:t>
      </w:r>
      <w:r w:rsidR="00CB4E2F">
        <w:t>The e</w:t>
      </w:r>
      <w:r w:rsidR="00952630" w:rsidRPr="006E0620">
        <w:t>xtension of indication to the 12</w:t>
      </w:r>
      <w:r w:rsidR="006A7C3F" w:rsidRPr="006E0620">
        <w:t xml:space="preserve"> to </w:t>
      </w:r>
      <w:proofErr w:type="gramStart"/>
      <w:r w:rsidR="00952630" w:rsidRPr="006E0620">
        <w:t>15 year</w:t>
      </w:r>
      <w:r w:rsidR="00CB4E2F">
        <w:t xml:space="preserve"> old</w:t>
      </w:r>
      <w:proofErr w:type="gramEnd"/>
      <w:r w:rsidR="00CB4E2F">
        <w:t xml:space="preserve"> age group</w:t>
      </w:r>
      <w:r w:rsidR="00952630" w:rsidRPr="006E0620">
        <w:t xml:space="preserve"> was approved on 21 July 2021.</w:t>
      </w:r>
      <w:r w:rsidR="00CB4E2F">
        <w:rPr>
          <w:rStyle w:val="FootnoteReference"/>
        </w:rPr>
        <w:footnoteReference w:id="8"/>
      </w:r>
    </w:p>
    <w:p w14:paraId="714FF760" w14:textId="2DFE9113" w:rsidR="007B36E3" w:rsidRPr="006E0620" w:rsidRDefault="0091768C" w:rsidP="008806CB">
      <w:pPr>
        <w:pStyle w:val="ListBullet"/>
      </w:pPr>
      <w:r w:rsidRPr="006E0620">
        <w:t xml:space="preserve">COVID-19 </w:t>
      </w:r>
      <w:r w:rsidR="008806CB" w:rsidRPr="006E0620">
        <w:t>Vaccine AstraZeneca</w:t>
      </w:r>
      <w:r w:rsidR="00B4694F" w:rsidRPr="006E0620">
        <w:t>;</w:t>
      </w:r>
      <w:r w:rsidR="00B4694F" w:rsidRPr="006E0620">
        <w:rPr>
          <w:rStyle w:val="FootnoteReference"/>
        </w:rPr>
        <w:footnoteReference w:id="9"/>
      </w:r>
      <w:r w:rsidR="008806CB" w:rsidRPr="006E0620">
        <w:t xml:space="preserve"> (</w:t>
      </w:r>
      <w:r w:rsidR="0028278F">
        <w:t xml:space="preserve">sponsored by </w:t>
      </w:r>
      <w:r w:rsidR="008806CB" w:rsidRPr="006E0620">
        <w:t>AstraZeneca Pty Ltd)</w:t>
      </w:r>
      <w:r w:rsidR="007B36E3" w:rsidRPr="006E0620">
        <w:t xml:space="preserve"> was granted provisional registration for individuals over 18 years on 15 February 2021.</w:t>
      </w:r>
      <w:r w:rsidR="008B7930">
        <w:rPr>
          <w:rStyle w:val="FootnoteReference"/>
        </w:rPr>
        <w:footnoteReference w:id="10"/>
      </w:r>
      <w:r w:rsidR="007B36E3" w:rsidRPr="006E0620">
        <w:t xml:space="preserve"> The regimen is 2 doses 4</w:t>
      </w:r>
      <w:r w:rsidR="008806CB" w:rsidRPr="006E0620">
        <w:t xml:space="preserve"> to </w:t>
      </w:r>
      <w:r w:rsidR="007B36E3" w:rsidRPr="006E0620">
        <w:t xml:space="preserve">12 weeks apart. This vaccine has been linked to a rare syndrome associated with thrombosis and thrombocytopenia. </w:t>
      </w:r>
      <w:r w:rsidR="008B7930">
        <w:t xml:space="preserve">As of </w:t>
      </w:r>
      <w:r w:rsidR="000C0CDC">
        <w:t>17 June 2021</w:t>
      </w:r>
      <w:r w:rsidR="008B7930">
        <w:t xml:space="preserve"> </w:t>
      </w:r>
      <w:r w:rsidR="008806CB" w:rsidRPr="006E0620">
        <w:t>The Australian Technical Advisory Group on Immunisation (</w:t>
      </w:r>
      <w:r w:rsidR="007B36E3" w:rsidRPr="006E0620">
        <w:t>ATAGI</w:t>
      </w:r>
      <w:r w:rsidR="008806CB" w:rsidRPr="006E0620">
        <w:t>)</w:t>
      </w:r>
      <w:r w:rsidR="007B36E3" w:rsidRPr="006E0620">
        <w:t xml:space="preserve"> has recommended to the Australian Government that the vaccine not be given as the preferred vaccine in people less than 60 years, due to potential risk of clots in the setting of low viral transmission, but that in the context of a COVID-19 outbreak where there is no immediate access to </w:t>
      </w:r>
      <w:proofErr w:type="spellStart"/>
      <w:r w:rsidR="007B36E3" w:rsidRPr="006E0620">
        <w:t>Comirnaty</w:t>
      </w:r>
      <w:proofErr w:type="spellEnd"/>
      <w:r w:rsidR="007B36E3" w:rsidRPr="006E0620">
        <w:t xml:space="preserve">, the benefits </w:t>
      </w:r>
      <w:r w:rsidR="008806CB" w:rsidRPr="006E0620">
        <w:t>v</w:t>
      </w:r>
      <w:r w:rsidR="008C616B" w:rsidRPr="006E0620">
        <w:t>ersu</w:t>
      </w:r>
      <w:r w:rsidR="008806CB" w:rsidRPr="006E0620">
        <w:t>s risks should be reassessed.</w:t>
      </w:r>
      <w:r w:rsidR="00AC2CAA">
        <w:rPr>
          <w:rStyle w:val="FootnoteReference"/>
        </w:rPr>
        <w:footnoteReference w:id="11"/>
      </w:r>
    </w:p>
    <w:p w14:paraId="23D1FFE2" w14:textId="7CA4B14D" w:rsidR="007B36E3" w:rsidRPr="006E0620" w:rsidRDefault="0091768C" w:rsidP="0091768C">
      <w:pPr>
        <w:pStyle w:val="ListBullet"/>
      </w:pPr>
      <w:r w:rsidRPr="006E0620">
        <w:lastRenderedPageBreak/>
        <w:t>COVID-</w:t>
      </w:r>
      <w:r w:rsidR="007B36E3" w:rsidRPr="006E0620">
        <w:t xml:space="preserve">19 </w:t>
      </w:r>
      <w:r w:rsidR="0028278F">
        <w:t>V</w:t>
      </w:r>
      <w:r w:rsidR="007B36E3" w:rsidRPr="006E0620">
        <w:t>accine Janssen</w:t>
      </w:r>
      <w:r w:rsidR="00B4694F" w:rsidRPr="006E0620">
        <w:t>;</w:t>
      </w:r>
      <w:r w:rsidR="00B4694F" w:rsidRPr="006E0620">
        <w:rPr>
          <w:rStyle w:val="FootnoteReference"/>
        </w:rPr>
        <w:footnoteReference w:id="12"/>
      </w:r>
      <w:r w:rsidR="007B36E3" w:rsidRPr="006E0620">
        <w:t xml:space="preserve"> (</w:t>
      </w:r>
      <w:r w:rsidR="0028278F">
        <w:t xml:space="preserve">sponsored by </w:t>
      </w:r>
      <w:r w:rsidRPr="006E0620">
        <w:t>Janssen-</w:t>
      </w:r>
      <w:proofErr w:type="spellStart"/>
      <w:r w:rsidRPr="006E0620">
        <w:t>Cilag</w:t>
      </w:r>
      <w:proofErr w:type="spellEnd"/>
      <w:r w:rsidRPr="006E0620">
        <w:t xml:space="preserve"> Australia Pty Ltd</w:t>
      </w:r>
      <w:r w:rsidR="007B36E3" w:rsidRPr="006E0620">
        <w:t>) was granted provisional approval on 25 June 2021 but there is presently no purchasing agreement in place for its supply.</w:t>
      </w:r>
      <w:r w:rsidR="008B7930">
        <w:rPr>
          <w:rStyle w:val="FootnoteReference"/>
        </w:rPr>
        <w:footnoteReference w:id="13"/>
      </w:r>
    </w:p>
    <w:p w14:paraId="4A524B0E" w14:textId="3382E488" w:rsidR="007B36E3" w:rsidRPr="006E0620" w:rsidRDefault="007B36E3" w:rsidP="007B36E3">
      <w:r w:rsidRPr="006E0620">
        <w:t xml:space="preserve">Both the </w:t>
      </w:r>
      <w:proofErr w:type="spellStart"/>
      <w:r w:rsidR="008806CB" w:rsidRPr="006E0620">
        <w:t>Comirnaty</w:t>
      </w:r>
      <w:proofErr w:type="spellEnd"/>
      <w:r w:rsidR="008806CB" w:rsidRPr="006E0620">
        <w:t xml:space="preserve"> </w:t>
      </w:r>
      <w:r w:rsidR="0028278F">
        <w:t xml:space="preserve">COVID-19 vaccine </w:t>
      </w:r>
      <w:r w:rsidRPr="006E0620">
        <w:t xml:space="preserve">and </w:t>
      </w:r>
      <w:r w:rsidR="008806CB" w:rsidRPr="006E0620">
        <w:t xml:space="preserve">COVID-19 Vaccine AstraZeneca </w:t>
      </w:r>
      <w:r w:rsidRPr="006E0620">
        <w:t>are being rolled out as part of the Australian Government Department of Health COVID-19 vaccination strategy.</w:t>
      </w:r>
    </w:p>
    <w:p w14:paraId="52163CA4" w14:textId="3F0C4548" w:rsidR="007B36E3" w:rsidRPr="006E0620" w:rsidRDefault="00021741" w:rsidP="007B36E3">
      <w:proofErr w:type="spellStart"/>
      <w:r w:rsidRPr="006E0620">
        <w:t>Veklury</w:t>
      </w:r>
      <w:proofErr w:type="spellEnd"/>
      <w:r w:rsidRPr="006E0620">
        <w:t>;</w:t>
      </w:r>
      <w:r w:rsidRPr="006E0620">
        <w:rPr>
          <w:rStyle w:val="FootnoteReference"/>
        </w:rPr>
        <w:footnoteReference w:id="14"/>
      </w:r>
      <w:r w:rsidRPr="006E0620">
        <w:t xml:space="preserve"> (</w:t>
      </w:r>
      <w:proofErr w:type="spellStart"/>
      <w:r w:rsidRPr="006E0620">
        <w:t>remdesivir</w:t>
      </w:r>
      <w:proofErr w:type="spellEnd"/>
      <w:r w:rsidRPr="006E0620">
        <w:t>)</w:t>
      </w:r>
      <w:r w:rsidR="007B36E3" w:rsidRPr="006E0620">
        <w:t xml:space="preserve"> is the only drug provisionally registered on the ARTG (</w:t>
      </w:r>
      <w:r w:rsidR="008B7930">
        <w:t xml:space="preserve">registered on </w:t>
      </w:r>
      <w:r w:rsidR="007B36E3" w:rsidRPr="006E0620">
        <w:t xml:space="preserve">10 July 2020) for </w:t>
      </w:r>
      <w:r w:rsidR="008B7930">
        <w:t xml:space="preserve">the </w:t>
      </w:r>
      <w:r w:rsidR="007B36E3" w:rsidRPr="006E0620">
        <w:t>treatment</w:t>
      </w:r>
      <w:r w:rsidR="008B7930">
        <w:t xml:space="preserve"> of </w:t>
      </w:r>
      <w:r w:rsidR="008B7930" w:rsidRPr="006E0620">
        <w:t>COVID-19</w:t>
      </w:r>
      <w:r w:rsidR="007B36E3" w:rsidRPr="006E0620">
        <w:t>.</w:t>
      </w:r>
      <w:r w:rsidR="004939EF">
        <w:rPr>
          <w:rStyle w:val="FootnoteReference"/>
        </w:rPr>
        <w:footnoteReference w:id="15"/>
      </w:r>
    </w:p>
    <w:p w14:paraId="33FDD082" w14:textId="5E2EF57C" w:rsidR="00537C61" w:rsidRDefault="00537C61" w:rsidP="00537C61">
      <w:proofErr w:type="spellStart"/>
      <w:r w:rsidRPr="006E0620">
        <w:t>Spikevax</w:t>
      </w:r>
      <w:proofErr w:type="spellEnd"/>
      <w:r w:rsidRPr="006E0620">
        <w:t xml:space="preserve"> COVID-19 Vaccine (</w:t>
      </w:r>
      <w:proofErr w:type="spellStart"/>
      <w:r w:rsidRPr="006E0620">
        <w:t>elasomeran</w:t>
      </w:r>
      <w:proofErr w:type="spellEnd"/>
      <w:r w:rsidRPr="006E0620">
        <w:t>), comprises a synthetic messenger ribonucleic acid (mRNA) encoding the pre-fusion stabili</w:t>
      </w:r>
      <w:r w:rsidR="001E34B7" w:rsidRPr="006E0620">
        <w:t>s</w:t>
      </w:r>
      <w:r w:rsidRPr="006E0620">
        <w:t>ed spike glycoprotein</w:t>
      </w:r>
      <w:r w:rsidR="00D73F06" w:rsidRPr="006E0620">
        <w:t xml:space="preserve"> (S protein)</w:t>
      </w:r>
      <w:r w:rsidRPr="006E0620">
        <w:t xml:space="preserve"> of SARS</w:t>
      </w:r>
      <w:r w:rsidR="008B7930">
        <w:noBreakHyphen/>
      </w:r>
      <w:r w:rsidRPr="006E0620">
        <w:t xml:space="preserve">CoV-2. The RNA is encapsulated in lipid nanoparticles, which enables </w:t>
      </w:r>
      <w:r w:rsidR="00D73F06" w:rsidRPr="006E0620">
        <w:t>expression of the S</w:t>
      </w:r>
      <w:r w:rsidRPr="006E0620">
        <w:t xml:space="preserve"> protein, and elicitation of both antibody and cellular immune responses.</w:t>
      </w:r>
    </w:p>
    <w:p w14:paraId="6C4DF5F4" w14:textId="71882548" w:rsidR="00542173" w:rsidRPr="006E0620" w:rsidRDefault="00542173" w:rsidP="00537C61">
      <w:r>
        <w:t xml:space="preserve">The </w:t>
      </w:r>
      <w:proofErr w:type="spellStart"/>
      <w:r>
        <w:t>AusPAR</w:t>
      </w:r>
      <w:proofErr w:type="spellEnd"/>
      <w:r>
        <w:t xml:space="preserve"> describes the application of </w:t>
      </w:r>
      <w:r w:rsidRPr="006E0620">
        <w:t xml:space="preserve">provisional registration of </w:t>
      </w:r>
      <w:proofErr w:type="spellStart"/>
      <w:r w:rsidRPr="006E0620">
        <w:t>Spikevax</w:t>
      </w:r>
      <w:proofErr w:type="spellEnd"/>
      <w:r>
        <w:t xml:space="preserve"> (</w:t>
      </w:r>
      <w:proofErr w:type="spellStart"/>
      <w:r>
        <w:t>elasomeran</w:t>
      </w:r>
      <w:proofErr w:type="spellEnd"/>
      <w:r>
        <w:t>)</w:t>
      </w:r>
      <w:r w:rsidRPr="006E0620">
        <w:t xml:space="preserve"> to prevent COVID-19 disease caused by SARS-CoV-2 virus in individuals 18 years of age and older.</w:t>
      </w:r>
      <w:r w:rsidR="007029A5">
        <w:t xml:space="preserve"> A</w:t>
      </w:r>
      <w:r w:rsidR="007029A5" w:rsidRPr="007029A5">
        <w:t xml:space="preserve">t the time of submission, a concurrent evaluation/submission of </w:t>
      </w:r>
      <w:proofErr w:type="spellStart"/>
      <w:r w:rsidR="007029A5" w:rsidRPr="007029A5">
        <w:t>Spikevax</w:t>
      </w:r>
      <w:proofErr w:type="spellEnd"/>
      <w:r w:rsidR="007029A5" w:rsidRPr="007029A5">
        <w:t xml:space="preserve"> </w:t>
      </w:r>
      <w:proofErr w:type="spellStart"/>
      <w:r w:rsidR="007029A5" w:rsidRPr="007029A5">
        <w:t>elasomeran</w:t>
      </w:r>
      <w:proofErr w:type="spellEnd"/>
      <w:r w:rsidR="007029A5" w:rsidRPr="007029A5">
        <w:t xml:space="preserve"> for indication in adolescents (aged 12 to 17) was underway</w:t>
      </w:r>
      <w:r w:rsidR="007029A5">
        <w:t>.</w:t>
      </w:r>
      <w:r w:rsidR="0070128A">
        <w:rPr>
          <w:rStyle w:val="FootnoteReference"/>
        </w:rPr>
        <w:footnoteReference w:id="16"/>
      </w:r>
    </w:p>
    <w:p w14:paraId="277D802B" w14:textId="77777777" w:rsidR="008E7846" w:rsidRPr="006E0620" w:rsidRDefault="00386150" w:rsidP="008E7846">
      <w:pPr>
        <w:pStyle w:val="Heading3"/>
      </w:pPr>
      <w:bookmarkStart w:id="17" w:name="_Toc314842485"/>
      <w:bookmarkStart w:id="18" w:name="_Toc247691504"/>
      <w:bookmarkStart w:id="19" w:name="_Toc79415462"/>
      <w:r w:rsidRPr="006E0620">
        <w:t>Regulatory s</w:t>
      </w:r>
      <w:r w:rsidR="008E7846" w:rsidRPr="006E0620">
        <w:t>tatus</w:t>
      </w:r>
      <w:bookmarkEnd w:id="17"/>
      <w:bookmarkEnd w:id="18"/>
      <w:bookmarkEnd w:id="19"/>
    </w:p>
    <w:p w14:paraId="14AAC146" w14:textId="77777777" w:rsidR="00940A89" w:rsidRPr="006E0620" w:rsidRDefault="00006FAB" w:rsidP="00940A89">
      <w:bookmarkStart w:id="20" w:name="_Toc247691505"/>
      <w:bookmarkStart w:id="21" w:name="_Toc314842486"/>
      <w:r w:rsidRPr="006E0620">
        <w:t>This product is considered a new biological entity for Australian regulatory purposes.</w:t>
      </w:r>
    </w:p>
    <w:p w14:paraId="645A9716" w14:textId="5B4A6FDC" w:rsidR="004908FF" w:rsidRPr="006E0620" w:rsidRDefault="004908FF" w:rsidP="00006FAB">
      <w:r w:rsidRPr="006E0620">
        <w:t xml:space="preserve">At the time the TGA considered this application, similar applications had been granted </w:t>
      </w:r>
      <w:r w:rsidR="008B7930">
        <w:t xml:space="preserve">various </w:t>
      </w:r>
      <w:r w:rsidRPr="006E0620">
        <w:t>authorisations</w:t>
      </w:r>
      <w:r w:rsidR="008B7930">
        <w:t xml:space="preserve"> internationally</w:t>
      </w:r>
      <w:r w:rsidRPr="006E0620">
        <w:t>, inc</w:t>
      </w:r>
      <w:r w:rsidR="00325EA3" w:rsidRPr="006E0620">
        <w:t>luding an Emergency Use Authoris</w:t>
      </w:r>
      <w:r w:rsidRPr="006E0620">
        <w:t>ation by the United States of America (USA) on 18 December 20</w:t>
      </w:r>
      <w:r w:rsidR="00325EA3" w:rsidRPr="006E0620">
        <w:t>20, an Interim Order of Authoris</w:t>
      </w:r>
      <w:r w:rsidRPr="006E0620">
        <w:t>ation granted by Canada on 23 December 2020, a Conditional Marketing Authorisation granted by the European Union (EU) on 6 January 2021, a Conditional Marketing Authorisation granted by the United Kingdom (UK) on 31 Mar</w:t>
      </w:r>
      <w:r w:rsidR="00325EA3" w:rsidRPr="006E0620">
        <w:t>ch 2021, a Temporary Authoris</w:t>
      </w:r>
      <w:r w:rsidRPr="006E0620">
        <w:t>ation granted by Switzerland on 12 January 2021 and a Pandemic Special Access Route granted by Singapore on 3 February 2021.</w:t>
      </w:r>
    </w:p>
    <w:p w14:paraId="34B5F331" w14:textId="1743D5D0" w:rsidR="004908FF" w:rsidRPr="006E0620" w:rsidRDefault="00E250CA" w:rsidP="00006FAB">
      <w:r w:rsidRPr="006E0620">
        <w:rPr>
          <w:color w:val="2B579A"/>
          <w:shd w:val="clear" w:color="auto" w:fill="E6E6E6"/>
        </w:rPr>
        <w:fldChar w:fldCharType="begin"/>
      </w:r>
      <w:r w:rsidRPr="006E0620">
        <w:instrText xml:space="preserve"> REF _Ref77865751 \h </w:instrText>
      </w:r>
      <w:r w:rsidR="006E0620">
        <w:instrText xml:space="preserve"> \* MERGEFORMAT </w:instrText>
      </w:r>
      <w:r w:rsidRPr="006E0620">
        <w:rPr>
          <w:color w:val="2B579A"/>
          <w:shd w:val="clear" w:color="auto" w:fill="E6E6E6"/>
        </w:rPr>
      </w:r>
      <w:r w:rsidRPr="006E0620">
        <w:rPr>
          <w:color w:val="2B579A"/>
          <w:shd w:val="clear" w:color="auto" w:fill="E6E6E6"/>
        </w:rPr>
        <w:fldChar w:fldCharType="separate"/>
      </w:r>
      <w:r w:rsidR="00B1591C" w:rsidRPr="006E0620">
        <w:t xml:space="preserve">Table </w:t>
      </w:r>
      <w:r w:rsidR="00B1591C">
        <w:rPr>
          <w:noProof/>
        </w:rPr>
        <w:t>1</w:t>
      </w:r>
      <w:r w:rsidRPr="006E0620">
        <w:rPr>
          <w:color w:val="2B579A"/>
          <w:shd w:val="clear" w:color="auto" w:fill="E6E6E6"/>
        </w:rPr>
        <w:fldChar w:fldCharType="end"/>
      </w:r>
      <w:r w:rsidR="004908FF" w:rsidRPr="006E0620">
        <w:t>, shown below, summarises these applications and provides the indications where approved.</w:t>
      </w:r>
    </w:p>
    <w:p w14:paraId="2DC62965" w14:textId="3E105BAC" w:rsidR="00324E45" w:rsidRPr="006E0620" w:rsidRDefault="00324E45" w:rsidP="00324E45">
      <w:pPr>
        <w:pStyle w:val="TableTitle"/>
      </w:pPr>
      <w:bookmarkStart w:id="22" w:name="_Ref77865751"/>
      <w:r w:rsidRPr="006E0620">
        <w:t xml:space="preserve">Table </w:t>
      </w:r>
      <w:r>
        <w:fldChar w:fldCharType="begin"/>
      </w:r>
      <w:r>
        <w:instrText>SEQ Table \* ARABIC</w:instrText>
      </w:r>
      <w:r>
        <w:fldChar w:fldCharType="separate"/>
      </w:r>
      <w:r w:rsidR="00B1591C">
        <w:rPr>
          <w:noProof/>
        </w:rPr>
        <w:t>1</w:t>
      </w:r>
      <w:r>
        <w:fldChar w:fldCharType="end"/>
      </w:r>
      <w:bookmarkEnd w:id="22"/>
      <w:r w:rsidRPr="006E0620">
        <w:t>: International regulatory status</w:t>
      </w:r>
    </w:p>
    <w:tbl>
      <w:tblPr>
        <w:tblStyle w:val="TableTGAblue"/>
        <w:tblW w:w="0" w:type="auto"/>
        <w:tblLook w:val="04A0" w:firstRow="1" w:lastRow="0" w:firstColumn="1" w:lastColumn="0" w:noHBand="0" w:noVBand="1"/>
      </w:tblPr>
      <w:tblGrid>
        <w:gridCol w:w="1512"/>
        <w:gridCol w:w="2311"/>
        <w:gridCol w:w="4635"/>
      </w:tblGrid>
      <w:tr w:rsidR="00FA67AB" w:rsidRPr="006E0620" w14:paraId="080C21C9" w14:textId="77777777" w:rsidTr="00FA67AB">
        <w:trPr>
          <w:cnfStyle w:val="100000000000" w:firstRow="1" w:lastRow="0" w:firstColumn="0" w:lastColumn="0" w:oddVBand="0" w:evenVBand="0" w:oddHBand="0" w:evenHBand="0" w:firstRowFirstColumn="0" w:firstRowLastColumn="0" w:lastRowFirstColumn="0" w:lastRowLastColumn="0"/>
        </w:trPr>
        <w:tc>
          <w:tcPr>
            <w:tcW w:w="1512" w:type="dxa"/>
            <w:tcBorders>
              <w:top w:val="single" w:sz="4" w:space="0" w:color="auto"/>
              <w:left w:val="single" w:sz="4" w:space="0" w:color="auto"/>
              <w:bottom w:val="single" w:sz="4" w:space="0" w:color="auto"/>
              <w:right w:val="single" w:sz="4" w:space="0" w:color="auto"/>
            </w:tcBorders>
          </w:tcPr>
          <w:p w14:paraId="262EC968" w14:textId="77777777" w:rsidR="00FA67AB" w:rsidRPr="006E0620" w:rsidRDefault="00FA67AB" w:rsidP="00006FAB">
            <w:pPr>
              <w:ind w:left="0" w:right="0"/>
            </w:pPr>
            <w:r w:rsidRPr="006E0620">
              <w:t>Region</w:t>
            </w:r>
          </w:p>
        </w:tc>
        <w:tc>
          <w:tcPr>
            <w:tcW w:w="2311" w:type="dxa"/>
            <w:tcBorders>
              <w:top w:val="single" w:sz="4" w:space="0" w:color="auto"/>
              <w:left w:val="single" w:sz="4" w:space="0" w:color="auto"/>
              <w:bottom w:val="single" w:sz="4" w:space="0" w:color="auto"/>
              <w:right w:val="single" w:sz="4" w:space="0" w:color="auto"/>
            </w:tcBorders>
          </w:tcPr>
          <w:p w14:paraId="250BD7DD" w14:textId="77777777" w:rsidR="00FA67AB" w:rsidRPr="006E0620" w:rsidRDefault="00FA67AB" w:rsidP="00006FAB">
            <w:pPr>
              <w:ind w:left="0" w:right="0"/>
            </w:pPr>
            <w:r w:rsidRPr="006E0620">
              <w:t>Status</w:t>
            </w:r>
          </w:p>
        </w:tc>
        <w:tc>
          <w:tcPr>
            <w:tcW w:w="4635" w:type="dxa"/>
            <w:tcBorders>
              <w:top w:val="single" w:sz="4" w:space="0" w:color="auto"/>
              <w:left w:val="single" w:sz="4" w:space="0" w:color="auto"/>
              <w:bottom w:val="single" w:sz="4" w:space="0" w:color="auto"/>
              <w:right w:val="single" w:sz="4" w:space="0" w:color="auto"/>
            </w:tcBorders>
          </w:tcPr>
          <w:p w14:paraId="5265020A" w14:textId="77777777" w:rsidR="00FA67AB" w:rsidRPr="006E0620" w:rsidRDefault="00FA67AB" w:rsidP="00006FAB">
            <w:pPr>
              <w:ind w:left="0" w:right="0"/>
            </w:pPr>
            <w:r w:rsidRPr="006E0620">
              <w:t>Approved indications</w:t>
            </w:r>
          </w:p>
        </w:tc>
      </w:tr>
      <w:tr w:rsidR="00FA67AB" w:rsidRPr="006E0620" w14:paraId="2860C328" w14:textId="77777777" w:rsidTr="00FA67AB">
        <w:tc>
          <w:tcPr>
            <w:tcW w:w="1512" w:type="dxa"/>
            <w:tcBorders>
              <w:top w:val="single" w:sz="4" w:space="0" w:color="auto"/>
            </w:tcBorders>
          </w:tcPr>
          <w:p w14:paraId="5478E1ED" w14:textId="39EBAC60" w:rsidR="00FA67AB" w:rsidRPr="006E0620" w:rsidRDefault="00FA67AB" w:rsidP="007D3E15">
            <w:pPr>
              <w:ind w:left="0"/>
            </w:pPr>
            <w:r w:rsidRPr="006E0620">
              <w:t>United States of America</w:t>
            </w:r>
          </w:p>
        </w:tc>
        <w:tc>
          <w:tcPr>
            <w:tcW w:w="2311" w:type="dxa"/>
            <w:tcBorders>
              <w:top w:val="single" w:sz="4" w:space="0" w:color="auto"/>
            </w:tcBorders>
          </w:tcPr>
          <w:p w14:paraId="1C4AFBB2" w14:textId="363FA27A" w:rsidR="00FA67AB" w:rsidRPr="006E0620" w:rsidRDefault="00FA67AB" w:rsidP="00443C3D">
            <w:pPr>
              <w:ind w:left="0"/>
            </w:pPr>
            <w:r w:rsidRPr="006E0620">
              <w:t>Emergency Use Authorisation granted on 18</w:t>
            </w:r>
            <w:r>
              <w:t> </w:t>
            </w:r>
            <w:r w:rsidRPr="006E0620">
              <w:t xml:space="preserve">December 2020 </w:t>
            </w:r>
          </w:p>
        </w:tc>
        <w:tc>
          <w:tcPr>
            <w:tcW w:w="4635" w:type="dxa"/>
            <w:tcBorders>
              <w:top w:val="single" w:sz="4" w:space="0" w:color="auto"/>
            </w:tcBorders>
          </w:tcPr>
          <w:p w14:paraId="03A692F7" w14:textId="236D8EC2" w:rsidR="00FA67AB" w:rsidRPr="00F86ECB" w:rsidRDefault="00FA67AB" w:rsidP="00F86ECB">
            <w:pPr>
              <w:ind w:left="0"/>
              <w:rPr>
                <w:i/>
                <w:iCs/>
                <w:lang w:val="en-US"/>
              </w:rPr>
            </w:pPr>
            <w:proofErr w:type="spellStart"/>
            <w:r w:rsidRPr="00F86ECB">
              <w:rPr>
                <w:i/>
                <w:iCs/>
                <w:lang w:val="en-US"/>
              </w:rPr>
              <w:t>Moderna</w:t>
            </w:r>
            <w:proofErr w:type="spellEnd"/>
            <w:r w:rsidRPr="00F86ECB">
              <w:rPr>
                <w:i/>
                <w:iCs/>
                <w:lang w:val="en-US"/>
              </w:rPr>
              <w:t xml:space="preserve"> COVID-19 Vaccine is authorized for use under an Emergency Use Authorization (EUA) for active immunization to prevent coronavirus disease 2019 (COVID-19) caused by severe acute respiratory syndrome </w:t>
            </w:r>
            <w:r w:rsidRPr="00F86ECB">
              <w:rPr>
                <w:i/>
                <w:iCs/>
                <w:lang w:val="en-US"/>
              </w:rPr>
              <w:lastRenderedPageBreak/>
              <w:t>coronavirus 2 (SARS-CoV-2) in individuals 18 years of age and older.</w:t>
            </w:r>
          </w:p>
        </w:tc>
      </w:tr>
      <w:tr w:rsidR="00FA67AB" w:rsidRPr="006E0620" w14:paraId="6E3A8AA3" w14:textId="77777777" w:rsidTr="00FA67AB">
        <w:tc>
          <w:tcPr>
            <w:tcW w:w="1512" w:type="dxa"/>
          </w:tcPr>
          <w:p w14:paraId="232B9C91" w14:textId="200677B5" w:rsidR="00FA67AB" w:rsidRPr="006E0620" w:rsidRDefault="00FA67AB" w:rsidP="007D3E15">
            <w:pPr>
              <w:ind w:left="0"/>
            </w:pPr>
            <w:r w:rsidRPr="006E0620">
              <w:lastRenderedPageBreak/>
              <w:t>Canada</w:t>
            </w:r>
          </w:p>
        </w:tc>
        <w:tc>
          <w:tcPr>
            <w:tcW w:w="2311" w:type="dxa"/>
          </w:tcPr>
          <w:p w14:paraId="47718EE8" w14:textId="42490573" w:rsidR="00FA67AB" w:rsidRPr="006E0620" w:rsidRDefault="00FA67AB" w:rsidP="00443C3D">
            <w:pPr>
              <w:ind w:left="0"/>
            </w:pPr>
            <w:r w:rsidRPr="006E0620">
              <w:t>Interim Order of Authorisation granted on 23</w:t>
            </w:r>
            <w:r>
              <w:t> </w:t>
            </w:r>
            <w:r w:rsidRPr="006E0620">
              <w:t>December 2020</w:t>
            </w:r>
          </w:p>
        </w:tc>
        <w:tc>
          <w:tcPr>
            <w:tcW w:w="4635" w:type="dxa"/>
          </w:tcPr>
          <w:p w14:paraId="6A843D8F" w14:textId="5A7A04F5" w:rsidR="00FA67AB" w:rsidRPr="00F86ECB" w:rsidRDefault="00FA67AB" w:rsidP="00F86ECB">
            <w:pPr>
              <w:ind w:left="0"/>
              <w:rPr>
                <w:i/>
                <w:iCs/>
                <w:lang w:val="en-CA"/>
              </w:rPr>
            </w:pPr>
            <w:r w:rsidRPr="00F86ECB">
              <w:rPr>
                <w:i/>
                <w:iCs/>
                <w:lang w:val="en-CA"/>
              </w:rPr>
              <w:t xml:space="preserve">COVID-19 Vaccine </w:t>
            </w:r>
            <w:proofErr w:type="spellStart"/>
            <w:r w:rsidRPr="00F86ECB">
              <w:rPr>
                <w:i/>
                <w:iCs/>
                <w:lang w:val="en-CA"/>
              </w:rPr>
              <w:t>Moderna</w:t>
            </w:r>
            <w:proofErr w:type="spellEnd"/>
            <w:r w:rsidRPr="00F86ECB">
              <w:rPr>
                <w:i/>
                <w:iCs/>
                <w:lang w:val="en-CA"/>
              </w:rPr>
              <w:t xml:space="preserve"> (mRNA-1273 SARS-CoV-2 vaccine) is indicated for active immunization against coronavirus disease 2019 (COVID-19) caused by the severe acute respiratory syndrome coronavirus 2 (SARS</w:t>
            </w:r>
            <w:r w:rsidR="00734D94">
              <w:rPr>
                <w:i/>
                <w:iCs/>
                <w:lang w:val="en-CA"/>
              </w:rPr>
              <w:noBreakHyphen/>
            </w:r>
            <w:r w:rsidRPr="00F86ECB">
              <w:rPr>
                <w:i/>
                <w:iCs/>
                <w:lang w:val="en-CA"/>
              </w:rPr>
              <w:t>CoV-2) virus in individuals 18 years of age and older.</w:t>
            </w:r>
          </w:p>
        </w:tc>
      </w:tr>
      <w:tr w:rsidR="00FA67AB" w:rsidRPr="006E0620" w14:paraId="28937841" w14:textId="77777777" w:rsidTr="00FA67AB">
        <w:tc>
          <w:tcPr>
            <w:tcW w:w="1512" w:type="dxa"/>
          </w:tcPr>
          <w:p w14:paraId="54B02F0D" w14:textId="520C5956" w:rsidR="00FA67AB" w:rsidRPr="006E0620" w:rsidRDefault="00FA67AB" w:rsidP="007D3E15">
            <w:pPr>
              <w:ind w:left="0"/>
            </w:pPr>
            <w:r w:rsidRPr="006E0620">
              <w:t>European Union</w:t>
            </w:r>
          </w:p>
        </w:tc>
        <w:tc>
          <w:tcPr>
            <w:tcW w:w="2311" w:type="dxa"/>
          </w:tcPr>
          <w:p w14:paraId="466A6B1C" w14:textId="0662F289" w:rsidR="00FA67AB" w:rsidRPr="006E0620" w:rsidRDefault="00FA67AB" w:rsidP="00443C3D">
            <w:pPr>
              <w:ind w:left="0"/>
            </w:pPr>
            <w:r w:rsidRPr="006E0620">
              <w:t>Conditional Marketing Authorisation granted on 6</w:t>
            </w:r>
            <w:r>
              <w:t> </w:t>
            </w:r>
            <w:r w:rsidRPr="006E0620">
              <w:t>January 2021</w:t>
            </w:r>
          </w:p>
        </w:tc>
        <w:tc>
          <w:tcPr>
            <w:tcW w:w="4635" w:type="dxa"/>
          </w:tcPr>
          <w:p w14:paraId="35496895" w14:textId="080DE9D4" w:rsidR="00FA67AB" w:rsidRPr="003F6530" w:rsidRDefault="00FA67AB" w:rsidP="003F6530">
            <w:pPr>
              <w:ind w:left="0"/>
              <w:rPr>
                <w:i/>
              </w:rPr>
            </w:pPr>
            <w:proofErr w:type="spellStart"/>
            <w:r w:rsidRPr="003F6530">
              <w:rPr>
                <w:i/>
              </w:rPr>
              <w:t>Spikevax</w:t>
            </w:r>
            <w:proofErr w:type="spellEnd"/>
            <w:r w:rsidRPr="003F6530">
              <w:rPr>
                <w:i/>
              </w:rPr>
              <w:t xml:space="preserve"> is indicated for active immunisation to prevent COVID-19 caused by SARS-CoV-2 in individuals 12 years of age and older.</w:t>
            </w:r>
          </w:p>
          <w:p w14:paraId="7B9BF1AD" w14:textId="5C3DED6D" w:rsidR="00FA67AB" w:rsidRPr="006E0620" w:rsidRDefault="00FA67AB" w:rsidP="003F6530">
            <w:pPr>
              <w:ind w:left="0"/>
            </w:pPr>
            <w:r w:rsidRPr="003F6530">
              <w:rPr>
                <w:i/>
              </w:rPr>
              <w:t>The use of this vaccine should be in accordance with official recommendations.</w:t>
            </w:r>
          </w:p>
        </w:tc>
      </w:tr>
      <w:tr w:rsidR="00FA67AB" w:rsidRPr="006E0620" w14:paraId="1A3532BC" w14:textId="77777777" w:rsidTr="00FA67AB">
        <w:tc>
          <w:tcPr>
            <w:tcW w:w="1512" w:type="dxa"/>
          </w:tcPr>
          <w:p w14:paraId="0C606128" w14:textId="428C5A6F" w:rsidR="00FA67AB" w:rsidRPr="006E0620" w:rsidRDefault="00FA67AB" w:rsidP="007D3E15">
            <w:pPr>
              <w:ind w:left="0"/>
            </w:pPr>
            <w:r w:rsidRPr="006E0620">
              <w:t>United Kingdom</w:t>
            </w:r>
          </w:p>
        </w:tc>
        <w:tc>
          <w:tcPr>
            <w:tcW w:w="2311" w:type="dxa"/>
          </w:tcPr>
          <w:p w14:paraId="78DFCB1D" w14:textId="1CFF1883" w:rsidR="00FA67AB" w:rsidRPr="006E0620" w:rsidRDefault="00FA67AB" w:rsidP="00443C3D">
            <w:pPr>
              <w:ind w:left="0"/>
            </w:pPr>
            <w:r w:rsidRPr="006E0620">
              <w:t>Conditional Marketing Authorisation granted on 31</w:t>
            </w:r>
            <w:r>
              <w:t> </w:t>
            </w:r>
            <w:r w:rsidRPr="006E0620">
              <w:t xml:space="preserve">March 2021 </w:t>
            </w:r>
          </w:p>
        </w:tc>
        <w:tc>
          <w:tcPr>
            <w:tcW w:w="4635" w:type="dxa"/>
          </w:tcPr>
          <w:p w14:paraId="27A32449" w14:textId="2EDBF90D" w:rsidR="00FA67AB" w:rsidRPr="00F86ECB" w:rsidRDefault="00FA67AB" w:rsidP="00F86ECB">
            <w:pPr>
              <w:ind w:left="0"/>
              <w:rPr>
                <w:i/>
                <w:iCs/>
                <w:lang w:val="en-GB"/>
              </w:rPr>
            </w:pPr>
            <w:bookmarkStart w:id="23" w:name="_Hlk60132316"/>
            <w:r w:rsidRPr="00F86ECB">
              <w:rPr>
                <w:i/>
                <w:iCs/>
                <w:lang w:val="en-GB"/>
              </w:rPr>
              <w:t xml:space="preserve">COVID-19 Vaccine </w:t>
            </w:r>
            <w:proofErr w:type="spellStart"/>
            <w:r w:rsidRPr="00F86ECB">
              <w:rPr>
                <w:i/>
                <w:iCs/>
                <w:lang w:val="en-GB"/>
              </w:rPr>
              <w:t>Moderna</w:t>
            </w:r>
            <w:proofErr w:type="spellEnd"/>
            <w:r w:rsidRPr="00F86ECB">
              <w:rPr>
                <w:i/>
                <w:iCs/>
                <w:lang w:val="en-GB"/>
              </w:rPr>
              <w:t xml:space="preserve"> </w:t>
            </w:r>
            <w:bookmarkEnd w:id="23"/>
            <w:r w:rsidRPr="00F86ECB">
              <w:rPr>
                <w:i/>
                <w:iCs/>
                <w:lang w:val="en-GB"/>
              </w:rPr>
              <w:t>is indicated for active immunisation to prevent COVID-19 caused by SARS-CoV-2 in individuals 18 years of age and older.</w:t>
            </w:r>
          </w:p>
          <w:p w14:paraId="3C801F15" w14:textId="2013023A" w:rsidR="00FA67AB" w:rsidRPr="00D601F9" w:rsidRDefault="00FA67AB" w:rsidP="00F86ECB">
            <w:pPr>
              <w:ind w:left="0"/>
              <w:rPr>
                <w:lang w:val="en-GB"/>
              </w:rPr>
            </w:pPr>
            <w:r w:rsidRPr="00F86ECB">
              <w:rPr>
                <w:i/>
                <w:iCs/>
                <w:lang w:val="en-GB"/>
              </w:rPr>
              <w:t>The use of this vaccine should be in accordance with official recommendations.</w:t>
            </w:r>
          </w:p>
        </w:tc>
      </w:tr>
      <w:tr w:rsidR="00FA67AB" w:rsidRPr="006E0620" w14:paraId="1497C45B" w14:textId="77777777" w:rsidTr="00FA67AB">
        <w:tc>
          <w:tcPr>
            <w:tcW w:w="1512" w:type="dxa"/>
          </w:tcPr>
          <w:p w14:paraId="325F67C9" w14:textId="644AE17A" w:rsidR="00FA67AB" w:rsidRPr="006E0620" w:rsidRDefault="00FA67AB" w:rsidP="007D3E15">
            <w:pPr>
              <w:ind w:left="0"/>
            </w:pPr>
            <w:r w:rsidRPr="006E0620">
              <w:t>Switzerland</w:t>
            </w:r>
          </w:p>
        </w:tc>
        <w:tc>
          <w:tcPr>
            <w:tcW w:w="2311" w:type="dxa"/>
          </w:tcPr>
          <w:p w14:paraId="2EF74752" w14:textId="015C098C" w:rsidR="00FA67AB" w:rsidRPr="006E0620" w:rsidRDefault="00FA67AB" w:rsidP="00443C3D">
            <w:pPr>
              <w:ind w:left="0"/>
            </w:pPr>
            <w:r w:rsidRPr="006E0620">
              <w:t>Temporary Marketing Approval granted on 12</w:t>
            </w:r>
            <w:r>
              <w:t> </w:t>
            </w:r>
            <w:r w:rsidRPr="006E0620">
              <w:t xml:space="preserve">January 2021 </w:t>
            </w:r>
          </w:p>
        </w:tc>
        <w:tc>
          <w:tcPr>
            <w:tcW w:w="4635" w:type="dxa"/>
          </w:tcPr>
          <w:p w14:paraId="67D090C5" w14:textId="12DD1664" w:rsidR="00FA67AB" w:rsidRPr="00F86ECB" w:rsidRDefault="00FA67AB" w:rsidP="00F86ECB">
            <w:pPr>
              <w:ind w:left="0"/>
              <w:rPr>
                <w:i/>
                <w:iCs/>
                <w:lang w:val="en-GB"/>
              </w:rPr>
            </w:pPr>
            <w:proofErr w:type="spellStart"/>
            <w:r w:rsidRPr="00F86ECB">
              <w:rPr>
                <w:i/>
                <w:iCs/>
                <w:lang w:val="en-GB"/>
              </w:rPr>
              <w:t>Spikevax</w:t>
            </w:r>
            <w:proofErr w:type="spellEnd"/>
            <w:r w:rsidRPr="00F86ECB">
              <w:rPr>
                <w:i/>
                <w:iCs/>
                <w:lang w:val="en-GB"/>
              </w:rPr>
              <w:t xml:space="preserve"> is indicated for active immunisation to prevent COVID-19 caused by SARS-CoV-2 in individuals 18 years of age and older.</w:t>
            </w:r>
          </w:p>
          <w:p w14:paraId="5F77DE4B" w14:textId="474EB3FA" w:rsidR="00FA67AB" w:rsidRPr="006E0620" w:rsidRDefault="00FA67AB" w:rsidP="00F86ECB">
            <w:pPr>
              <w:ind w:left="0"/>
            </w:pPr>
            <w:r w:rsidRPr="00F86ECB">
              <w:rPr>
                <w:i/>
                <w:iCs/>
                <w:lang w:val="en-GB"/>
              </w:rPr>
              <w:t>The use of this vaccine should be in accordance with official recommendations</w:t>
            </w:r>
            <w:r w:rsidRPr="00D601F9">
              <w:rPr>
                <w:lang w:val="en-GB"/>
              </w:rPr>
              <w:t>.</w:t>
            </w:r>
          </w:p>
        </w:tc>
      </w:tr>
      <w:tr w:rsidR="00FA67AB" w:rsidRPr="006E0620" w14:paraId="389F3C57" w14:textId="77777777" w:rsidTr="00FA67AB">
        <w:tc>
          <w:tcPr>
            <w:tcW w:w="1512" w:type="dxa"/>
          </w:tcPr>
          <w:p w14:paraId="793E47A6" w14:textId="692D515F" w:rsidR="00FA67AB" w:rsidRPr="006E0620" w:rsidRDefault="00FA67AB" w:rsidP="007D3E15">
            <w:pPr>
              <w:ind w:left="0"/>
            </w:pPr>
            <w:r w:rsidRPr="006E0620">
              <w:t>Singapore</w:t>
            </w:r>
          </w:p>
        </w:tc>
        <w:tc>
          <w:tcPr>
            <w:tcW w:w="2311" w:type="dxa"/>
          </w:tcPr>
          <w:p w14:paraId="39A4CC4E" w14:textId="42E6FCED" w:rsidR="00FA67AB" w:rsidRPr="006E0620" w:rsidRDefault="00FA67AB" w:rsidP="007D3E15">
            <w:pPr>
              <w:ind w:left="0"/>
            </w:pPr>
            <w:r w:rsidRPr="006E0620">
              <w:t>Pandemic Special Access Route granted on 3</w:t>
            </w:r>
            <w:r>
              <w:t> </w:t>
            </w:r>
            <w:r w:rsidRPr="006E0620">
              <w:t>February 2021</w:t>
            </w:r>
          </w:p>
        </w:tc>
        <w:tc>
          <w:tcPr>
            <w:tcW w:w="4635" w:type="dxa"/>
          </w:tcPr>
          <w:p w14:paraId="0CFC8116" w14:textId="77777777" w:rsidR="00FA67AB" w:rsidRPr="00F86ECB" w:rsidRDefault="00FA67AB" w:rsidP="00F86ECB">
            <w:pPr>
              <w:ind w:left="0"/>
              <w:rPr>
                <w:i/>
                <w:iCs/>
              </w:rPr>
            </w:pPr>
            <w:r w:rsidRPr="00F86ECB">
              <w:rPr>
                <w:i/>
                <w:iCs/>
              </w:rPr>
              <w:t xml:space="preserve">COVID-19 Vaccine </w:t>
            </w:r>
            <w:proofErr w:type="spellStart"/>
            <w:r w:rsidRPr="00F86ECB">
              <w:rPr>
                <w:i/>
                <w:iCs/>
              </w:rPr>
              <w:t>Moderna</w:t>
            </w:r>
            <w:proofErr w:type="spellEnd"/>
            <w:r w:rsidRPr="00F86ECB">
              <w:rPr>
                <w:i/>
                <w:iCs/>
              </w:rPr>
              <w:t xml:space="preserve"> is indicated for active immunisation to prevent COVID-19 disease caused by SARS-CoV-2 in individuals 18 years of age and older. </w:t>
            </w:r>
          </w:p>
          <w:p w14:paraId="023EA727" w14:textId="51282ABD" w:rsidR="00FA67AB" w:rsidRPr="006E0620" w:rsidRDefault="00FA67AB" w:rsidP="00F86ECB">
            <w:pPr>
              <w:ind w:left="0"/>
            </w:pPr>
            <w:r w:rsidRPr="00F86ECB">
              <w:rPr>
                <w:i/>
                <w:iCs/>
              </w:rPr>
              <w:t>The use of this vaccine should be in accordance with official recommendations.</w:t>
            </w:r>
          </w:p>
        </w:tc>
      </w:tr>
    </w:tbl>
    <w:p w14:paraId="56E57A70" w14:textId="77777777" w:rsidR="008E7846" w:rsidRPr="006E0620" w:rsidRDefault="008E7846" w:rsidP="00940A89">
      <w:pPr>
        <w:pStyle w:val="Heading3"/>
      </w:pPr>
      <w:bookmarkStart w:id="24" w:name="_Toc79415463"/>
      <w:r w:rsidRPr="006E0620">
        <w:t>Product Information</w:t>
      </w:r>
      <w:bookmarkEnd w:id="20"/>
      <w:bookmarkEnd w:id="21"/>
      <w:bookmarkEnd w:id="24"/>
    </w:p>
    <w:p w14:paraId="3C96F1D4" w14:textId="39667400" w:rsidR="00940A89" w:rsidRPr="006E0620" w:rsidRDefault="006136D7" w:rsidP="00940A89">
      <w:bookmarkStart w:id="25" w:name="_Toc247691506"/>
      <w:bookmarkStart w:id="26" w:name="_Toc314842487"/>
      <w:r w:rsidRPr="006E0620">
        <w:t xml:space="preserve">The Product Information (PI) approved with the submission which is described in this </w:t>
      </w:r>
      <w:proofErr w:type="spellStart"/>
      <w:r w:rsidRPr="006E0620">
        <w:t>AusPAR</w:t>
      </w:r>
      <w:proofErr w:type="spellEnd"/>
      <w:r w:rsidRPr="006E0620">
        <w:t xml:space="preserve"> can be found as Attachment 1. For the most recent PI, please refer to the TGA website at </w:t>
      </w:r>
      <w:r w:rsidR="00441C3F" w:rsidRPr="006E0620">
        <w:t>&lt;</w:t>
      </w:r>
      <w:hyperlink r:id="rId16" w:history="1">
        <w:r w:rsidR="00441C3F" w:rsidRPr="006E0620">
          <w:rPr>
            <w:rStyle w:val="Hyperlink"/>
          </w:rPr>
          <w:t>https://www.tga.gov.au/product-information-pi</w:t>
        </w:r>
      </w:hyperlink>
      <w:r w:rsidR="00441C3F" w:rsidRPr="006E0620">
        <w:t>&gt;</w:t>
      </w:r>
      <w:r w:rsidR="00940A89" w:rsidRPr="006E0620">
        <w:t>.</w:t>
      </w:r>
    </w:p>
    <w:p w14:paraId="05C83560" w14:textId="77777777" w:rsidR="00500337" w:rsidRPr="006E0620" w:rsidRDefault="00500337" w:rsidP="00500337">
      <w:pPr>
        <w:pStyle w:val="Heading2"/>
      </w:pPr>
      <w:bookmarkStart w:id="27" w:name="_Toc504480011"/>
      <w:bookmarkStart w:id="28" w:name="_Toc79415464"/>
      <w:r w:rsidRPr="006E0620">
        <w:t>II. Registration timeline</w:t>
      </w:r>
      <w:bookmarkEnd w:id="27"/>
      <w:bookmarkEnd w:id="28"/>
    </w:p>
    <w:p w14:paraId="6CB451CE" w14:textId="56B711C9" w:rsidR="00500337" w:rsidRDefault="00500337" w:rsidP="00500337">
      <w:r w:rsidRPr="006E0620">
        <w:t xml:space="preserve">The following table captures the key steps and dates for this </w:t>
      </w:r>
      <w:proofErr w:type="gramStart"/>
      <w:r w:rsidRPr="006E0620">
        <w:t>application</w:t>
      </w:r>
      <w:proofErr w:type="gramEnd"/>
      <w:r w:rsidRPr="006E0620">
        <w:t xml:space="preserve"> and which are detailed and discussed in this </w:t>
      </w:r>
      <w:proofErr w:type="spellStart"/>
      <w:r w:rsidRPr="006E0620">
        <w:t>AusPAR</w:t>
      </w:r>
      <w:proofErr w:type="spellEnd"/>
      <w:r w:rsidRPr="006E0620">
        <w:t>.</w:t>
      </w:r>
    </w:p>
    <w:p w14:paraId="1FC2D123" w14:textId="1C957C70" w:rsidR="00B2443B" w:rsidRPr="006E0620" w:rsidRDefault="00B2443B" w:rsidP="00500337">
      <w:r w:rsidRPr="00B2443B">
        <w:lastRenderedPageBreak/>
        <w:t>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5CB332F0" w14:textId="7A1C2662" w:rsidR="006A58A8" w:rsidRPr="006E0620" w:rsidRDefault="00B567CB" w:rsidP="00B567CB">
      <w:pPr>
        <w:pStyle w:val="TableTitle"/>
      </w:pPr>
      <w:r w:rsidRPr="006E0620">
        <w:t xml:space="preserve">Table </w:t>
      </w:r>
      <w:r>
        <w:fldChar w:fldCharType="begin"/>
      </w:r>
      <w:r>
        <w:instrText>SEQ Table \* ARABIC</w:instrText>
      </w:r>
      <w:r>
        <w:fldChar w:fldCharType="separate"/>
      </w:r>
      <w:r w:rsidR="00B1591C">
        <w:rPr>
          <w:noProof/>
        </w:rPr>
        <w:t>2</w:t>
      </w:r>
      <w:r>
        <w:fldChar w:fldCharType="end"/>
      </w:r>
      <w:r w:rsidR="00006FAB" w:rsidRPr="006E0620">
        <w:t>:</w:t>
      </w:r>
      <w:r w:rsidR="006A58A8" w:rsidRPr="006E0620">
        <w:t xml:space="preserve"> Timeline for Submission </w:t>
      </w:r>
      <w:r w:rsidR="008B2CE2" w:rsidRPr="006E0620">
        <w:t>PM-2021-02994-1-2</w:t>
      </w:r>
    </w:p>
    <w:tbl>
      <w:tblPr>
        <w:tblStyle w:val="TableTGAblue"/>
        <w:tblW w:w="0" w:type="auto"/>
        <w:tblLook w:val="04A0" w:firstRow="1" w:lastRow="0" w:firstColumn="1" w:lastColumn="0" w:noHBand="0" w:noVBand="1"/>
      </w:tblPr>
      <w:tblGrid>
        <w:gridCol w:w="4263"/>
        <w:gridCol w:w="4231"/>
      </w:tblGrid>
      <w:tr w:rsidR="00500337" w:rsidRPr="006E0620" w14:paraId="7481D88B" w14:textId="77777777" w:rsidTr="007B36E3">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18073AB9" w14:textId="77777777" w:rsidR="00500337" w:rsidRPr="006E0620" w:rsidRDefault="00500337" w:rsidP="00500337">
            <w:pPr>
              <w:ind w:left="0" w:right="0"/>
            </w:pPr>
            <w:r w:rsidRPr="006E0620">
              <w:t>Description</w:t>
            </w:r>
          </w:p>
        </w:tc>
        <w:tc>
          <w:tcPr>
            <w:tcW w:w="4231" w:type="dxa"/>
            <w:tcBorders>
              <w:top w:val="single" w:sz="4" w:space="0" w:color="auto"/>
              <w:left w:val="single" w:sz="4" w:space="0" w:color="auto"/>
              <w:bottom w:val="single" w:sz="4" w:space="0" w:color="auto"/>
              <w:right w:val="single" w:sz="4" w:space="0" w:color="auto"/>
            </w:tcBorders>
          </w:tcPr>
          <w:p w14:paraId="68648CFE" w14:textId="77777777" w:rsidR="00500337" w:rsidRPr="006E0620" w:rsidRDefault="00500337" w:rsidP="00500337">
            <w:pPr>
              <w:ind w:left="0" w:right="0"/>
            </w:pPr>
            <w:r w:rsidRPr="006E0620">
              <w:t>Date</w:t>
            </w:r>
          </w:p>
        </w:tc>
      </w:tr>
      <w:tr w:rsidR="00500337" w:rsidRPr="006E0620" w14:paraId="50B8D40C" w14:textId="77777777" w:rsidTr="007B36E3">
        <w:tc>
          <w:tcPr>
            <w:tcW w:w="4263" w:type="dxa"/>
            <w:tcBorders>
              <w:top w:val="single" w:sz="4" w:space="0" w:color="auto"/>
            </w:tcBorders>
          </w:tcPr>
          <w:p w14:paraId="345D3865" w14:textId="0F653BBA" w:rsidR="00500337" w:rsidRPr="006E0620" w:rsidRDefault="00500337" w:rsidP="00E250CA">
            <w:pPr>
              <w:ind w:left="0" w:right="0"/>
            </w:pPr>
            <w:r w:rsidRPr="006E0620">
              <w:t>Designation (Provisional</w:t>
            </w:r>
            <w:r w:rsidR="00FA34DF">
              <w:t>;</w:t>
            </w:r>
            <w:r w:rsidR="00FA34DF" w:rsidRPr="00FA34DF">
              <w:rPr>
                <w:vertAlign w:val="superscript"/>
              </w:rPr>
              <w:fldChar w:fldCharType="begin"/>
            </w:r>
            <w:r w:rsidR="00FA34DF" w:rsidRPr="00FA34DF">
              <w:rPr>
                <w:vertAlign w:val="superscript"/>
              </w:rPr>
              <w:instrText xml:space="preserve"> NOTEREF _Ref79135041 \h </w:instrText>
            </w:r>
            <w:r w:rsidR="00FA34DF">
              <w:rPr>
                <w:vertAlign w:val="superscript"/>
              </w:rPr>
              <w:instrText xml:space="preserve"> \* MERGEFORMAT </w:instrText>
            </w:r>
            <w:r w:rsidR="00FA34DF" w:rsidRPr="00FA34DF">
              <w:rPr>
                <w:vertAlign w:val="superscript"/>
              </w:rPr>
            </w:r>
            <w:r w:rsidR="00FA34DF" w:rsidRPr="00FA34DF">
              <w:rPr>
                <w:vertAlign w:val="superscript"/>
              </w:rPr>
              <w:fldChar w:fldCharType="separate"/>
            </w:r>
            <w:r w:rsidR="00B1591C">
              <w:rPr>
                <w:vertAlign w:val="superscript"/>
              </w:rPr>
              <w:t>4</w:t>
            </w:r>
            <w:r w:rsidR="00FA34DF" w:rsidRPr="00FA34DF">
              <w:rPr>
                <w:vertAlign w:val="superscript"/>
              </w:rPr>
              <w:fldChar w:fldCharType="end"/>
            </w:r>
            <w:r w:rsidRPr="006E0620">
              <w:t>)</w:t>
            </w:r>
          </w:p>
        </w:tc>
        <w:tc>
          <w:tcPr>
            <w:tcW w:w="4231" w:type="dxa"/>
            <w:tcBorders>
              <w:top w:val="single" w:sz="4" w:space="0" w:color="auto"/>
            </w:tcBorders>
          </w:tcPr>
          <w:p w14:paraId="774943BE" w14:textId="07FED832" w:rsidR="00500337" w:rsidRPr="00356C24" w:rsidRDefault="004908FF" w:rsidP="00356C24">
            <w:pPr>
              <w:ind w:left="0"/>
            </w:pPr>
            <w:r w:rsidRPr="00356C24">
              <w:t>24 June 2021</w:t>
            </w:r>
          </w:p>
        </w:tc>
      </w:tr>
      <w:tr w:rsidR="00500337" w:rsidRPr="006E0620" w14:paraId="29056ADB" w14:textId="77777777" w:rsidTr="007B36E3">
        <w:tc>
          <w:tcPr>
            <w:tcW w:w="4263" w:type="dxa"/>
          </w:tcPr>
          <w:p w14:paraId="5DABAC4B" w14:textId="719DCB2F" w:rsidR="00500337" w:rsidRPr="006E0620" w:rsidRDefault="00E250CA" w:rsidP="00E250CA">
            <w:pPr>
              <w:ind w:left="0" w:right="0"/>
            </w:pPr>
            <w:r w:rsidRPr="006E0620">
              <w:t>Submission dossier accepted</w:t>
            </w:r>
          </w:p>
        </w:tc>
        <w:tc>
          <w:tcPr>
            <w:tcW w:w="4231" w:type="dxa"/>
          </w:tcPr>
          <w:p w14:paraId="1DFDB495" w14:textId="69520B3D" w:rsidR="00500337" w:rsidRPr="00356C24" w:rsidRDefault="00707FEF" w:rsidP="00356C24">
            <w:pPr>
              <w:ind w:left="0"/>
            </w:pPr>
            <w:r w:rsidRPr="00356C24">
              <w:t>8 July 2021</w:t>
            </w:r>
          </w:p>
        </w:tc>
      </w:tr>
      <w:tr w:rsidR="00500337" w:rsidRPr="006E0620" w14:paraId="331F4B9A" w14:textId="77777777" w:rsidTr="007B36E3">
        <w:tc>
          <w:tcPr>
            <w:tcW w:w="4263" w:type="dxa"/>
          </w:tcPr>
          <w:p w14:paraId="4FE12C46" w14:textId="77777777" w:rsidR="00500337" w:rsidRPr="006E0620" w:rsidRDefault="00500337" w:rsidP="00500337">
            <w:pPr>
              <w:ind w:left="0" w:right="0"/>
            </w:pPr>
            <w:r w:rsidRPr="006E0620">
              <w:t>Evaluation completed</w:t>
            </w:r>
          </w:p>
        </w:tc>
        <w:tc>
          <w:tcPr>
            <w:tcW w:w="4231" w:type="dxa"/>
          </w:tcPr>
          <w:p w14:paraId="0C6C55AB" w14:textId="0E840D88" w:rsidR="00500337" w:rsidRPr="00356C24" w:rsidRDefault="009972B9" w:rsidP="00356C24">
            <w:pPr>
              <w:ind w:left="0"/>
            </w:pPr>
            <w:r w:rsidRPr="00356C24">
              <w:t>5 August 2021</w:t>
            </w:r>
          </w:p>
        </w:tc>
      </w:tr>
      <w:tr w:rsidR="00500337" w:rsidRPr="006E0620" w14:paraId="317FF8D7" w14:textId="77777777" w:rsidTr="007B36E3">
        <w:tc>
          <w:tcPr>
            <w:tcW w:w="4263" w:type="dxa"/>
          </w:tcPr>
          <w:p w14:paraId="52A41B8D" w14:textId="31870552" w:rsidR="00500337" w:rsidRPr="006E0620" w:rsidRDefault="00324E45" w:rsidP="00707FEF">
            <w:pPr>
              <w:ind w:left="0"/>
            </w:pPr>
            <w:r w:rsidRPr="006E0620">
              <w:t>Delegate’s Overall benefit-risk assessment and reques</w:t>
            </w:r>
            <w:r w:rsidR="007B36E3" w:rsidRPr="006E0620">
              <w:t>t for Advisory Committee advice</w:t>
            </w:r>
          </w:p>
        </w:tc>
        <w:tc>
          <w:tcPr>
            <w:tcW w:w="4231" w:type="dxa"/>
          </w:tcPr>
          <w:p w14:paraId="7CC1CA6F" w14:textId="747DD3C3" w:rsidR="00500337" w:rsidRPr="00356C24" w:rsidRDefault="000E18F6" w:rsidP="00356C24">
            <w:pPr>
              <w:ind w:left="0"/>
            </w:pPr>
            <w:r w:rsidRPr="00356C24">
              <w:t>23 July 2021</w:t>
            </w:r>
          </w:p>
        </w:tc>
      </w:tr>
      <w:tr w:rsidR="00500337" w:rsidRPr="006E0620" w14:paraId="4C41547F" w14:textId="77777777" w:rsidTr="007B36E3">
        <w:tc>
          <w:tcPr>
            <w:tcW w:w="4263" w:type="dxa"/>
          </w:tcPr>
          <w:p w14:paraId="157A14F8" w14:textId="77777777" w:rsidR="00500337" w:rsidRPr="006E0620" w:rsidRDefault="00500337" w:rsidP="00500337">
            <w:pPr>
              <w:ind w:left="0" w:right="0"/>
            </w:pPr>
            <w:r w:rsidRPr="006E0620">
              <w:t>Sponsor’s pre-Advisory Committee response</w:t>
            </w:r>
          </w:p>
        </w:tc>
        <w:tc>
          <w:tcPr>
            <w:tcW w:w="4231" w:type="dxa"/>
          </w:tcPr>
          <w:p w14:paraId="07831ECD" w14:textId="1A31E4B1" w:rsidR="00500337" w:rsidRPr="00356C24" w:rsidRDefault="000E18F6" w:rsidP="00356C24">
            <w:pPr>
              <w:ind w:left="0"/>
            </w:pPr>
            <w:r w:rsidRPr="00356C24">
              <w:t>27 July 2021</w:t>
            </w:r>
          </w:p>
        </w:tc>
      </w:tr>
      <w:tr w:rsidR="00500337" w:rsidRPr="006E0620" w14:paraId="3AE5543E" w14:textId="77777777" w:rsidTr="007B36E3">
        <w:tc>
          <w:tcPr>
            <w:tcW w:w="4263" w:type="dxa"/>
          </w:tcPr>
          <w:p w14:paraId="0153648E" w14:textId="77777777" w:rsidR="00500337" w:rsidRPr="006E0620" w:rsidRDefault="00500337" w:rsidP="00500337">
            <w:pPr>
              <w:ind w:left="0" w:right="0"/>
            </w:pPr>
            <w:r w:rsidRPr="006E0620">
              <w:t>Advisory Committee meeting</w:t>
            </w:r>
          </w:p>
        </w:tc>
        <w:tc>
          <w:tcPr>
            <w:tcW w:w="4231" w:type="dxa"/>
          </w:tcPr>
          <w:p w14:paraId="77455BF2" w14:textId="5E209B0D" w:rsidR="00500337" w:rsidRPr="00356C24" w:rsidRDefault="00707FEF" w:rsidP="00356C24">
            <w:pPr>
              <w:ind w:left="0"/>
            </w:pPr>
            <w:r w:rsidRPr="00356C24">
              <w:t>30 July 2021</w:t>
            </w:r>
          </w:p>
        </w:tc>
      </w:tr>
      <w:tr w:rsidR="00500337" w:rsidRPr="006E0620" w14:paraId="1725B164" w14:textId="77777777" w:rsidTr="007B36E3">
        <w:tc>
          <w:tcPr>
            <w:tcW w:w="4263" w:type="dxa"/>
          </w:tcPr>
          <w:p w14:paraId="0ADDA12C" w14:textId="77777777" w:rsidR="00500337" w:rsidRPr="006E0620" w:rsidRDefault="00500337" w:rsidP="00500337">
            <w:pPr>
              <w:ind w:left="0" w:right="0"/>
            </w:pPr>
            <w:r w:rsidRPr="006E0620">
              <w:t>Registration decision (Outcome)</w:t>
            </w:r>
          </w:p>
        </w:tc>
        <w:tc>
          <w:tcPr>
            <w:tcW w:w="4231" w:type="dxa"/>
          </w:tcPr>
          <w:p w14:paraId="737CD5DF" w14:textId="29A7ECFE" w:rsidR="00500337" w:rsidRPr="00356C24" w:rsidRDefault="00EE0789" w:rsidP="00356C24">
            <w:pPr>
              <w:ind w:left="0"/>
            </w:pPr>
            <w:r w:rsidRPr="00356C24">
              <w:t>9</w:t>
            </w:r>
            <w:r w:rsidR="009972B9" w:rsidRPr="00356C24">
              <w:t xml:space="preserve"> August 2021</w:t>
            </w:r>
          </w:p>
        </w:tc>
      </w:tr>
      <w:tr w:rsidR="00500337" w:rsidRPr="006E0620" w14:paraId="085871FA" w14:textId="77777777" w:rsidTr="007B36E3">
        <w:tc>
          <w:tcPr>
            <w:tcW w:w="4263" w:type="dxa"/>
          </w:tcPr>
          <w:p w14:paraId="1C131A07" w14:textId="77777777" w:rsidR="00500337" w:rsidRPr="006E0620" w:rsidRDefault="00500337" w:rsidP="00500337">
            <w:pPr>
              <w:ind w:left="0" w:right="0"/>
            </w:pPr>
            <w:r w:rsidRPr="006E0620">
              <w:t xml:space="preserve">Completion of administrative activities and registration on </w:t>
            </w:r>
            <w:r w:rsidR="00006FAB" w:rsidRPr="006E0620">
              <w:t xml:space="preserve">the </w:t>
            </w:r>
            <w:r w:rsidRPr="006E0620">
              <w:t>ARTG</w:t>
            </w:r>
          </w:p>
        </w:tc>
        <w:tc>
          <w:tcPr>
            <w:tcW w:w="4231" w:type="dxa"/>
          </w:tcPr>
          <w:p w14:paraId="23DA4A13" w14:textId="2A3B92B5" w:rsidR="00500337" w:rsidRPr="00356C24" w:rsidRDefault="003A0781" w:rsidP="00356C24">
            <w:pPr>
              <w:ind w:left="0"/>
            </w:pPr>
            <w:r w:rsidRPr="00356C24">
              <w:t>9</w:t>
            </w:r>
            <w:r w:rsidR="00EE0789" w:rsidRPr="00356C24">
              <w:t xml:space="preserve"> August 2021</w:t>
            </w:r>
          </w:p>
        </w:tc>
      </w:tr>
      <w:tr w:rsidR="00500337" w:rsidRPr="006E0620" w14:paraId="3A65353A" w14:textId="77777777" w:rsidTr="007B36E3">
        <w:tc>
          <w:tcPr>
            <w:tcW w:w="4263" w:type="dxa"/>
          </w:tcPr>
          <w:p w14:paraId="44194AB4" w14:textId="77777777" w:rsidR="00500337" w:rsidRPr="006E0620" w:rsidRDefault="00500337" w:rsidP="00500337">
            <w:pPr>
              <w:ind w:left="0" w:right="0"/>
            </w:pPr>
            <w:r w:rsidRPr="006E0620">
              <w:t>Number of working days from submission dossier acceptance to registration decision*</w:t>
            </w:r>
          </w:p>
        </w:tc>
        <w:tc>
          <w:tcPr>
            <w:tcW w:w="4231" w:type="dxa"/>
          </w:tcPr>
          <w:p w14:paraId="1953AECA" w14:textId="32CFFDA7" w:rsidR="00500337" w:rsidRPr="00356C24" w:rsidRDefault="00971EE1" w:rsidP="00356C24">
            <w:pPr>
              <w:ind w:left="0"/>
            </w:pPr>
            <w:r w:rsidRPr="00356C24">
              <w:t>23</w:t>
            </w:r>
          </w:p>
        </w:tc>
      </w:tr>
    </w:tbl>
    <w:p w14:paraId="73477F9A" w14:textId="77777777" w:rsidR="007B36E3" w:rsidRPr="006E0620" w:rsidRDefault="007B36E3" w:rsidP="007B36E3">
      <w:pPr>
        <w:pStyle w:val="TableDescription"/>
      </w:pPr>
      <w:r w:rsidRPr="006E0620">
        <w:t>*Statutory timeframe for standard applications is 255 working days</w:t>
      </w:r>
    </w:p>
    <w:p w14:paraId="4263EC51" w14:textId="77777777" w:rsidR="008E7846" w:rsidRPr="006E0620" w:rsidRDefault="00456765" w:rsidP="008E7846">
      <w:pPr>
        <w:pStyle w:val="Heading2"/>
      </w:pPr>
      <w:bookmarkStart w:id="29" w:name="_Toc196046504"/>
      <w:bookmarkStart w:id="30" w:name="_Toc247691527"/>
      <w:bookmarkStart w:id="31" w:name="_Toc314842510"/>
      <w:bookmarkStart w:id="32" w:name="_Toc163441390"/>
      <w:bookmarkStart w:id="33" w:name="_Toc79415465"/>
      <w:bookmarkEnd w:id="25"/>
      <w:bookmarkEnd w:id="26"/>
      <w:bookmarkEnd w:id="1"/>
      <w:r w:rsidRPr="006E0620">
        <w:t>I</w:t>
      </w:r>
      <w:r w:rsidR="00DA64CB" w:rsidRPr="006E0620">
        <w:t>I</w:t>
      </w:r>
      <w:r w:rsidR="008E7846" w:rsidRPr="006E0620">
        <w:t xml:space="preserve">I. </w:t>
      </w:r>
      <w:r w:rsidR="00006FAB" w:rsidRPr="006E0620">
        <w:t xml:space="preserve">Submission overview </w:t>
      </w:r>
      <w:r w:rsidR="008E7846" w:rsidRPr="006E0620">
        <w:t>and risk/benefit assessment</w:t>
      </w:r>
      <w:bookmarkEnd w:id="29"/>
      <w:bookmarkEnd w:id="30"/>
      <w:bookmarkEnd w:id="31"/>
      <w:bookmarkEnd w:id="33"/>
    </w:p>
    <w:p w14:paraId="0E6DA723" w14:textId="29238172" w:rsidR="00006FAB" w:rsidRPr="006E0620" w:rsidRDefault="00006FAB" w:rsidP="00006FAB">
      <w:bookmarkStart w:id="34" w:name="_Toc247691528"/>
      <w:r w:rsidRPr="006E0620">
        <w:t>The submission was summarised in the following Delegate’s overview and recommendations.</w:t>
      </w:r>
    </w:p>
    <w:p w14:paraId="5229B2A0" w14:textId="5FEF7EC1" w:rsidR="00156161" w:rsidRPr="006E0620" w:rsidRDefault="005148ED" w:rsidP="00006FAB">
      <w:r>
        <w:t>The r</w:t>
      </w:r>
      <w:r w:rsidR="00156161" w:rsidRPr="006E0620">
        <w:t xml:space="preserve">elevant guidelines or guidance document referred to by the Delegate </w:t>
      </w:r>
      <w:r w:rsidR="009E413D" w:rsidRPr="006E0620">
        <w:t>is</w:t>
      </w:r>
      <w:r w:rsidR="00156161" w:rsidRPr="006E0620">
        <w:t xml:space="preserve"> </w:t>
      </w:r>
      <w:r w:rsidR="004E00C1">
        <w:t>listed</w:t>
      </w:r>
      <w:r w:rsidR="004E00C1" w:rsidRPr="006E0620">
        <w:t xml:space="preserve"> </w:t>
      </w:r>
      <w:r w:rsidR="009E413D" w:rsidRPr="006E0620">
        <w:t>below:</w:t>
      </w:r>
    </w:p>
    <w:p w14:paraId="7C0B48E3" w14:textId="2AA985A1" w:rsidR="002159E9" w:rsidRPr="006E0620" w:rsidRDefault="002159E9" w:rsidP="009E413D">
      <w:pPr>
        <w:pStyle w:val="ListBullet"/>
      </w:pPr>
      <w:r w:rsidRPr="006E0620">
        <w:t>W</w:t>
      </w:r>
      <w:r w:rsidR="009E413D" w:rsidRPr="006E0620">
        <w:t>orld Health Organization (WHO)</w:t>
      </w:r>
      <w:r w:rsidRPr="006E0620">
        <w:t xml:space="preserve"> (2005) WHO </w:t>
      </w:r>
      <w:r w:rsidR="009E413D" w:rsidRPr="006E0620">
        <w:t xml:space="preserve">Guidelines on Nonclinical Evaluation of Vaccines, </w:t>
      </w:r>
      <w:r w:rsidRPr="006E0620">
        <w:t xml:space="preserve">WHO Technical </w:t>
      </w:r>
      <w:r w:rsidR="009E413D" w:rsidRPr="006E0620">
        <w:t>Report Series, No. 927, Annex 1.</w:t>
      </w:r>
    </w:p>
    <w:p w14:paraId="0C90E958" w14:textId="47A0742B" w:rsidR="008E7846" w:rsidRDefault="008E7846" w:rsidP="008E7846">
      <w:pPr>
        <w:pStyle w:val="Heading3"/>
      </w:pPr>
      <w:bookmarkStart w:id="35" w:name="_Toc314842511"/>
      <w:bookmarkStart w:id="36" w:name="_Toc79415466"/>
      <w:r w:rsidRPr="006E0620">
        <w:t>Quality</w:t>
      </w:r>
      <w:bookmarkEnd w:id="34"/>
      <w:bookmarkEnd w:id="35"/>
      <w:bookmarkEnd w:id="36"/>
    </w:p>
    <w:p w14:paraId="3379F7F3" w14:textId="3E83D0BB" w:rsidR="00591A64" w:rsidRDefault="00734D94" w:rsidP="00591A64">
      <w:r>
        <w:t xml:space="preserve">The </w:t>
      </w:r>
      <w:proofErr w:type="spellStart"/>
      <w:r w:rsidR="00591A64" w:rsidRPr="006E0620">
        <w:t>Spikevax</w:t>
      </w:r>
      <w:proofErr w:type="spellEnd"/>
      <w:r w:rsidR="00591A64" w:rsidRPr="006E0620">
        <w:t xml:space="preserve"> COVID-19 </w:t>
      </w:r>
      <w:r w:rsidR="00591A64">
        <w:t>v</w:t>
      </w:r>
      <w:r w:rsidR="00591A64" w:rsidRPr="006E0620">
        <w:t xml:space="preserve">accine </w:t>
      </w:r>
      <w:r w:rsidR="00591A64">
        <w:t>is supplied as a multi-dose vial, with each vial containing 10 individual vaccine doses.</w:t>
      </w:r>
      <w:r w:rsidR="00591A64" w:rsidRPr="006E0620">
        <w:t xml:space="preserve"> </w:t>
      </w:r>
      <w:r w:rsidR="00591A64">
        <w:t>Each vial contains</w:t>
      </w:r>
      <w:r w:rsidR="00591A64" w:rsidRPr="006E0620">
        <w:t xml:space="preserve"> a white to off-white, sterile, preservative free suspension</w:t>
      </w:r>
      <w:r w:rsidR="00591A64">
        <w:t xml:space="preserve">, to be </w:t>
      </w:r>
      <w:r w:rsidR="00591A64" w:rsidRPr="006E0620">
        <w:t>stored</w:t>
      </w:r>
      <w:r w:rsidR="00591A64">
        <w:t xml:space="preserve"> frozen</w:t>
      </w:r>
      <w:r w:rsidR="00591A64" w:rsidRPr="006E0620">
        <w:t xml:space="preserve"> between -25 to -15</w:t>
      </w:r>
      <w:r w:rsidR="00591A64">
        <w:rPr>
          <w:rFonts w:ascii="Ebrima" w:hAnsi="Ebrima"/>
        </w:rPr>
        <w:t>°</w:t>
      </w:r>
      <w:r w:rsidR="00591A64" w:rsidRPr="006E0620">
        <w:t>C</w:t>
      </w:r>
      <w:r w:rsidR="00591A64">
        <w:t>.</w:t>
      </w:r>
      <w:r w:rsidR="00591A64" w:rsidRPr="006E0620">
        <w:t xml:space="preserve"> The vaccine must be thawed prior to administration. </w:t>
      </w:r>
    </w:p>
    <w:p w14:paraId="692A052F" w14:textId="77777777" w:rsidR="00591A64" w:rsidRDefault="00591A64" w:rsidP="00591A64">
      <w:r w:rsidRPr="006E0620">
        <w:lastRenderedPageBreak/>
        <w:t xml:space="preserve">After thawing, 10 doses (0.5 mL each) can be withdrawn from each vial. </w:t>
      </w:r>
      <w:r>
        <w:t>Thawed but unopened v</w:t>
      </w:r>
      <w:r w:rsidRPr="006E0620">
        <w:t xml:space="preserve">ials can be stored refrigerated between 2 to 8°C for up to 30 days prior to first use. </w:t>
      </w:r>
      <w:r>
        <w:t>Thawed, but u</w:t>
      </w:r>
      <w:r w:rsidRPr="006E0620">
        <w:t>nopened vials may be stored between 8 to 25°C for up to 12</w:t>
      </w:r>
      <w:r>
        <w:t> </w:t>
      </w:r>
      <w:r w:rsidRPr="006E0620">
        <w:t>hours.</w:t>
      </w:r>
    </w:p>
    <w:p w14:paraId="0C15C919" w14:textId="77777777" w:rsidR="00591A64" w:rsidRDefault="00591A64" w:rsidP="00591A64">
      <w:r w:rsidRPr="006E0620">
        <w:t xml:space="preserve">After the first dose has been withdrawn, the vial should be held </w:t>
      </w:r>
      <w:r>
        <w:t xml:space="preserve">at a temperature of </w:t>
      </w:r>
      <w:r w:rsidRPr="006E0620">
        <w:t>between 2 to 25°C</w:t>
      </w:r>
      <w:r>
        <w:t>, with the vial and any remaining contents</w:t>
      </w:r>
      <w:r w:rsidRPr="006E0620">
        <w:t xml:space="preserve"> discarded after 6 hours.</w:t>
      </w:r>
    </w:p>
    <w:p w14:paraId="3AD08293" w14:textId="77777777" w:rsidR="00591A64" w:rsidRPr="00873682" w:rsidRDefault="00591A64" w:rsidP="00591A64">
      <w:pPr>
        <w:rPr>
          <w:b/>
          <w:bCs/>
        </w:rPr>
      </w:pPr>
      <w:r w:rsidRPr="00873682">
        <w:rPr>
          <w:b/>
          <w:bCs/>
        </w:rPr>
        <w:t>Conclusion and recommendation</w:t>
      </w:r>
    </w:p>
    <w:p w14:paraId="6C2E079C" w14:textId="77777777" w:rsidR="00591A64" w:rsidRPr="00873682" w:rsidRDefault="00591A64" w:rsidP="00591A64">
      <w:r w:rsidRPr="00F61F14">
        <w:t xml:space="preserve">There are no significant issues identified from the </w:t>
      </w:r>
      <w:r>
        <w:t>q</w:t>
      </w:r>
      <w:r w:rsidRPr="00F61F14">
        <w:t xml:space="preserve">uality </w:t>
      </w:r>
      <w:r>
        <w:t>e</w:t>
      </w:r>
      <w:r w:rsidRPr="00F61F14">
        <w:t xml:space="preserve">valuation of the submitted data that would indicate the product should not be provisionally registered </w:t>
      </w:r>
      <w:proofErr w:type="gramStart"/>
      <w:r w:rsidRPr="00F61F14">
        <w:t>on the basis of</w:t>
      </w:r>
      <w:proofErr w:type="gramEnd"/>
      <w:r w:rsidRPr="00F61F14">
        <w:t xml:space="preserve"> quality, or safety-related issues arising </w:t>
      </w:r>
      <w:r w:rsidRPr="0039003F">
        <w:t>from the quality of the product. The manufacturing quality information submitted by the Sponsor support</w:t>
      </w:r>
      <w:r w:rsidRPr="00DA4536">
        <w:t xml:space="preserve"> the</w:t>
      </w:r>
      <w:r w:rsidRPr="007753E6">
        <w:t xml:space="preserve"> provisional registration of </w:t>
      </w:r>
      <w:proofErr w:type="spellStart"/>
      <w:r w:rsidRPr="007753E6">
        <w:t>Spikevax</w:t>
      </w:r>
      <w:proofErr w:type="spellEnd"/>
      <w:r w:rsidRPr="007753E6">
        <w:t xml:space="preserve"> </w:t>
      </w:r>
      <w:proofErr w:type="spellStart"/>
      <w:r w:rsidRPr="00873682">
        <w:t>elasomeran</w:t>
      </w:r>
      <w:proofErr w:type="spellEnd"/>
      <w:r w:rsidRPr="00873682">
        <w:t xml:space="preserve"> 0.2 mg/mL suspension for injection vial. </w:t>
      </w:r>
    </w:p>
    <w:p w14:paraId="3CE6CD14" w14:textId="77777777" w:rsidR="00591A64" w:rsidRPr="00333902" w:rsidRDefault="00591A64" w:rsidP="00591A64">
      <w:r w:rsidRPr="00873682">
        <w:t xml:space="preserve">However, it should be noted that there are </w:t>
      </w:r>
      <w:r>
        <w:t>post approval commitments that must be fully resolved</w:t>
      </w:r>
      <w:r w:rsidRPr="00A150DB">
        <w:t xml:space="preserve"> before it is possible to provide assurances that the product is able to meet all of the requirements</w:t>
      </w:r>
      <w:r w:rsidRPr="00873682">
        <w:t xml:space="preserve"> of the Therapeutics Goods Act 1989 and its associated instruments.</w:t>
      </w:r>
    </w:p>
    <w:p w14:paraId="7D565732" w14:textId="77777777" w:rsidR="00591A64" w:rsidRPr="008751DC" w:rsidRDefault="00591A64" w:rsidP="00591A64">
      <w:pPr>
        <w:pStyle w:val="Heading4"/>
      </w:pPr>
      <w:bookmarkStart w:id="37" w:name="_Toc79070490"/>
      <w:r>
        <w:t>Proposed quality conditions of registration</w:t>
      </w:r>
      <w:bookmarkEnd w:id="37"/>
      <w:r>
        <w:t xml:space="preserve"> </w:t>
      </w:r>
    </w:p>
    <w:p w14:paraId="745C1EAF" w14:textId="77777777" w:rsidR="00591A64" w:rsidRPr="0039003F" w:rsidRDefault="00591A64" w:rsidP="00591A64">
      <w:bookmarkStart w:id="38" w:name="_Toc79070492"/>
      <w:r w:rsidRPr="00873682">
        <w:rPr>
          <w:b/>
          <w:bCs/>
        </w:rPr>
        <w:t>Batch Release Testing and Compliance</w:t>
      </w:r>
      <w:bookmarkEnd w:id="38"/>
      <w:r w:rsidRPr="00873682">
        <w:rPr>
          <w:b/>
          <w:bCs/>
        </w:rPr>
        <w:t xml:space="preserve"> </w:t>
      </w:r>
    </w:p>
    <w:p w14:paraId="0D1213CB" w14:textId="161D17CD" w:rsidR="00591A64" w:rsidRPr="00333902" w:rsidRDefault="00591A64" w:rsidP="00591A64">
      <w:r w:rsidRPr="0039003F">
        <w:t xml:space="preserve">It is a condition of registration that all independent batches of </w:t>
      </w:r>
      <w:proofErr w:type="spellStart"/>
      <w:r w:rsidRPr="0039003F">
        <w:t>Spikevax</w:t>
      </w:r>
      <w:proofErr w:type="spellEnd"/>
      <w:r w:rsidRPr="0039003F">
        <w:t xml:space="preserve"> </w:t>
      </w:r>
      <w:proofErr w:type="spellStart"/>
      <w:r w:rsidRPr="00DA4536">
        <w:t>elasomeran</w:t>
      </w:r>
      <w:proofErr w:type="spellEnd"/>
      <w:r w:rsidRPr="00DA4536">
        <w:t xml:space="preserve"> 0.2</w:t>
      </w:r>
      <w:r w:rsidR="00734D94">
        <w:t> </w:t>
      </w:r>
      <w:r w:rsidRPr="00DA4536">
        <w:t>mg/mL suspension for injection vial imported into Australia are not released for sale until samples and the manufacturer’s release data have be</w:t>
      </w:r>
      <w:r w:rsidRPr="00333902">
        <w:t>en assessed and you have received notification acknowledging release from the Laboratories Branch, TGA.</w:t>
      </w:r>
    </w:p>
    <w:p w14:paraId="098DFBBC" w14:textId="77777777" w:rsidR="00591A64" w:rsidRPr="00873682" w:rsidRDefault="00591A64" w:rsidP="00591A64">
      <w:r w:rsidRPr="001D5FFC">
        <w:t>For each independent batch of the product imported into Australia, the Sponsor must supply the following:</w:t>
      </w:r>
    </w:p>
    <w:p w14:paraId="26FF1C7D" w14:textId="39B1165A" w:rsidR="00591A64" w:rsidRPr="0039003F" w:rsidRDefault="00591A64" w:rsidP="00591A64">
      <w:pPr>
        <w:pStyle w:val="ListBullet"/>
        <w:numPr>
          <w:ilvl w:val="0"/>
          <w:numId w:val="1"/>
        </w:numPr>
      </w:pPr>
      <w:r w:rsidRPr="00873682">
        <w:t xml:space="preserve">A completed Request for Release Form, available from </w:t>
      </w:r>
      <w:hyperlink r:id="rId17" w:history="1">
        <w:r w:rsidRPr="00873682">
          <w:rPr>
            <w:rStyle w:val="Hyperlink"/>
          </w:rPr>
          <w:t>vaccines@health.gov.au</w:t>
        </w:r>
      </w:hyperlink>
      <w:r w:rsidRPr="0039003F">
        <w:t>.</w:t>
      </w:r>
    </w:p>
    <w:p w14:paraId="23F49BF0" w14:textId="77777777" w:rsidR="00591A64" w:rsidRPr="007753E6" w:rsidRDefault="00591A64" w:rsidP="00591A64">
      <w:pPr>
        <w:pStyle w:val="ListBullet"/>
        <w:numPr>
          <w:ilvl w:val="0"/>
          <w:numId w:val="1"/>
        </w:numPr>
      </w:pPr>
      <w:r w:rsidRPr="00DA4536">
        <w:t xml:space="preserve">Complete summary protocols for manufacture and </w:t>
      </w:r>
      <w:r>
        <w:t>quality control</w:t>
      </w:r>
      <w:r w:rsidRPr="00DA4536">
        <w:t>, including all steps in production in the agreed format.</w:t>
      </w:r>
    </w:p>
    <w:p w14:paraId="7A0F0653" w14:textId="77777777" w:rsidR="00591A64" w:rsidRPr="001D5FFC" w:rsidRDefault="00591A64" w:rsidP="00591A64">
      <w:pPr>
        <w:pStyle w:val="ListBullet"/>
        <w:numPr>
          <w:ilvl w:val="0"/>
          <w:numId w:val="1"/>
        </w:numPr>
      </w:pPr>
      <w:r w:rsidRPr="00333902">
        <w:t>At least 10 (ten) vials (</w:t>
      </w:r>
      <w:r>
        <w:t>s</w:t>
      </w:r>
      <w:r w:rsidRPr="00333902">
        <w:t xml:space="preserve">amples) of each manufacturing batch of </w:t>
      </w:r>
      <w:proofErr w:type="spellStart"/>
      <w:r w:rsidRPr="00333902">
        <w:t>Spikevax</w:t>
      </w:r>
      <w:proofErr w:type="spellEnd"/>
      <w:r w:rsidRPr="00333902">
        <w:t xml:space="preserve"> </w:t>
      </w:r>
      <w:proofErr w:type="spellStart"/>
      <w:r w:rsidRPr="00333902">
        <w:t>elasomeran</w:t>
      </w:r>
      <w:proofErr w:type="spellEnd"/>
      <w:r w:rsidRPr="00333902">
        <w:t xml:space="preserve"> 0.2 mg/mL suspension for injection vial with the Australian approved labels, PI and packaging (unless an exemption to supply these has been granted) representative of all batches of product seeking distribution in Australia.</w:t>
      </w:r>
    </w:p>
    <w:p w14:paraId="2D728A93" w14:textId="77777777" w:rsidR="00591A64" w:rsidRPr="00965F6A" w:rsidRDefault="00591A64" w:rsidP="00591A64">
      <w:pPr>
        <w:pStyle w:val="ListBullet"/>
        <w:numPr>
          <w:ilvl w:val="0"/>
          <w:numId w:val="1"/>
        </w:numPr>
      </w:pPr>
      <w:r w:rsidRPr="001D5FFC">
        <w:t>At least 5 (five) vials (</w:t>
      </w:r>
      <w:r>
        <w:t>s</w:t>
      </w:r>
      <w:r w:rsidRPr="001D5FFC">
        <w:t xml:space="preserve">amples) of any further consignments of a manufacturing batch of </w:t>
      </w:r>
      <w:proofErr w:type="spellStart"/>
      <w:r w:rsidRPr="001D5FFC">
        <w:t>Spikevax</w:t>
      </w:r>
      <w:proofErr w:type="spellEnd"/>
      <w:r w:rsidRPr="001D5FFC">
        <w:t xml:space="preserve"> </w:t>
      </w:r>
      <w:proofErr w:type="spellStart"/>
      <w:r w:rsidRPr="0070128A">
        <w:t>elasomeran</w:t>
      </w:r>
      <w:proofErr w:type="spellEnd"/>
      <w:r w:rsidRPr="0070128A">
        <w:t xml:space="preserve"> 0.2 mg/mL suspension for injection vial with the Australian approved labels, </w:t>
      </w:r>
      <w:proofErr w:type="gramStart"/>
      <w:r w:rsidRPr="0070128A">
        <w:t>PI</w:t>
      </w:r>
      <w:proofErr w:type="gramEnd"/>
      <w:r w:rsidRPr="0070128A">
        <w:t xml:space="preserve"> and packaging (unless an exemption to supply these has been granted). Further consignments cover batches previously supplied to TGA for the purposes of batch release testing but are seeking to be supplied again.</w:t>
      </w:r>
    </w:p>
    <w:p w14:paraId="1E3AFCF3" w14:textId="77777777" w:rsidR="00591A64" w:rsidRPr="000209BC" w:rsidRDefault="00591A64" w:rsidP="00591A64">
      <w:pPr>
        <w:pStyle w:val="ListBullet"/>
        <w:numPr>
          <w:ilvl w:val="0"/>
          <w:numId w:val="1"/>
        </w:numPr>
      </w:pPr>
      <w:r w:rsidRPr="000209BC">
        <w:t xml:space="preserve">If the manufacturing batch has been released in Europe or United Kingdom a copy of the EU Official Control Authority Batch Release (OCABR) certificate (or equivalent from the UK) must be provided. </w:t>
      </w:r>
    </w:p>
    <w:p w14:paraId="5806BE0F" w14:textId="77777777" w:rsidR="00591A64" w:rsidRPr="00A150DB" w:rsidRDefault="00591A64" w:rsidP="00591A64">
      <w:pPr>
        <w:pStyle w:val="ListBullet"/>
        <w:numPr>
          <w:ilvl w:val="0"/>
          <w:numId w:val="1"/>
        </w:numPr>
      </w:pPr>
      <w:r w:rsidRPr="007766D0">
        <w:t>Any reagents, reference material and standards required to undertake testing, as requested by Laboratories Branch, TGA.</w:t>
      </w:r>
    </w:p>
    <w:p w14:paraId="15B61FBE" w14:textId="77777777" w:rsidR="00591A64" w:rsidRPr="007766D0" w:rsidRDefault="00591A64" w:rsidP="00591A64">
      <w:r w:rsidRPr="00A150DB">
        <w:t>Sponsors must</w:t>
      </w:r>
      <w:r w:rsidRPr="00873682">
        <w:t xml:space="preserve"> provide all requested Samples and data in sufficient time (at least 5</w:t>
      </w:r>
      <w:r>
        <w:t> </w:t>
      </w:r>
      <w:r w:rsidRPr="000209BC">
        <w:t>business days) prior to any distribution date to allow the TGA to perform testing and review. Distribution of each batch of vaccine is conditional upon fulfilment of these conditions and receipt of a letter from the Laboratories Branch acknowledging re</w:t>
      </w:r>
      <w:r w:rsidRPr="007766D0">
        <w:t xml:space="preserve">lease. </w:t>
      </w:r>
    </w:p>
    <w:p w14:paraId="06EC6AC8" w14:textId="77777777" w:rsidR="00591A64" w:rsidRPr="000209BC" w:rsidRDefault="00591A64" w:rsidP="00591A64">
      <w:r w:rsidRPr="00A150DB">
        <w:t xml:space="preserve">The shipments (including reagents) to TGA are the responsibility of the Australian </w:t>
      </w:r>
      <w:r>
        <w:t>s</w:t>
      </w:r>
      <w:r w:rsidRPr="000209BC">
        <w:t>ponsor/</w:t>
      </w:r>
      <w:r>
        <w:t>a</w:t>
      </w:r>
      <w:r w:rsidRPr="000209BC">
        <w:t>gent who will be required to facilitate the import and customs clearance process.</w:t>
      </w:r>
    </w:p>
    <w:p w14:paraId="36C93B52" w14:textId="77777777" w:rsidR="00591A64" w:rsidRPr="00873682" w:rsidRDefault="00591A64" w:rsidP="00591A64">
      <w:pPr>
        <w:rPr>
          <w:b/>
          <w:bCs/>
        </w:rPr>
      </w:pPr>
      <w:r w:rsidRPr="00873682">
        <w:rPr>
          <w:b/>
          <w:bCs/>
        </w:rPr>
        <w:lastRenderedPageBreak/>
        <w:t>Certified Product Details</w:t>
      </w:r>
    </w:p>
    <w:p w14:paraId="60F58943" w14:textId="7DE88CC8" w:rsidR="00591A64" w:rsidRDefault="00591A64" w:rsidP="00591A64">
      <w:r w:rsidRPr="0039003F">
        <w:t xml:space="preserve">An electronic copy of the Certified Product Details (CPD) as described in Guidance 7: Certified Product Details of the </w:t>
      </w:r>
      <w:bookmarkStart w:id="39" w:name="_Hlk79410318"/>
      <w:r w:rsidRPr="0039003F">
        <w:t xml:space="preserve">Australian Regulatory Guidelines for Prescription Medicines </w:t>
      </w:r>
      <w:bookmarkEnd w:id="39"/>
      <w:r w:rsidRPr="0039003F">
        <w:t xml:space="preserve">(ARGPM) </w:t>
      </w:r>
      <w:hyperlink r:id="rId18" w:history="1">
        <w:r w:rsidRPr="0039003F">
          <w:rPr>
            <w:rStyle w:val="Hyperlink"/>
          </w:rPr>
          <w:t>https</w:t>
        </w:r>
        <w:r w:rsidRPr="00DA4536">
          <w:rPr>
            <w:rStyle w:val="Hyperlink"/>
          </w:rPr>
          <w:t>://www.tga.gov.au/guidance-7-certified-product-details</w:t>
        </w:r>
      </w:hyperlink>
      <w:r w:rsidRPr="0039003F">
        <w:t xml:space="preserve"> should be provided upon registration of the therapeutic good. In addition, an updated CPD, for the above products incorporating the approved changes is to be provided within one month of the date of approval letter. A template for preparation of CPD for b</w:t>
      </w:r>
      <w:r w:rsidRPr="00DA4536">
        <w:t xml:space="preserve">iological prescription medicines and Vaccines can be obtained from the TGA website </w:t>
      </w:r>
      <w:hyperlink r:id="rId19" w:history="1">
        <w:r w:rsidRPr="00333902">
          <w:rPr>
            <w:rStyle w:val="Hyperlink"/>
          </w:rPr>
          <w:t>https://www.tga.gov.au/form/certified-product-details-cpd-biological-prescription-medicines</w:t>
        </w:r>
      </w:hyperlink>
      <w:r w:rsidRPr="0039003F">
        <w:t xml:space="preserve">]. The CPD should be sent as a single bookmarked PDF </w:t>
      </w:r>
      <w:r w:rsidRPr="00DA4536">
        <w:t xml:space="preserve">document to </w:t>
      </w:r>
      <w:hyperlink r:id="rId20" w:history="1">
        <w:r w:rsidRPr="007753E6">
          <w:rPr>
            <w:rStyle w:val="Hyperlink"/>
          </w:rPr>
          <w:t>Vaccines@health.gov.au</w:t>
        </w:r>
      </w:hyperlink>
      <w:r w:rsidRPr="00873682">
        <w:t xml:space="preserve"> </w:t>
      </w:r>
      <w:r w:rsidRPr="0039003F">
        <w:t>as soon as possible after registration/approval of the product or any subsequent changes as indicated above.</w:t>
      </w:r>
    </w:p>
    <w:p w14:paraId="469FAC53" w14:textId="77777777" w:rsidR="00591A64" w:rsidRDefault="00591A64" w:rsidP="00591A64">
      <w:pPr>
        <w:pStyle w:val="Heading4"/>
      </w:pPr>
      <w:r w:rsidRPr="00333902">
        <w:t>Post approval commitments</w:t>
      </w:r>
    </w:p>
    <w:p w14:paraId="76A2D5F3" w14:textId="77777777" w:rsidR="00591A64" w:rsidRPr="00333902" w:rsidRDefault="00591A64" w:rsidP="00591A64">
      <w:r>
        <w:t>The sponsor must:</w:t>
      </w:r>
    </w:p>
    <w:p w14:paraId="5FF6B766" w14:textId="77777777" w:rsidR="00591A64" w:rsidRDefault="00591A64" w:rsidP="00591A64">
      <w:pPr>
        <w:pStyle w:val="ListBullet"/>
        <w:numPr>
          <w:ilvl w:val="0"/>
          <w:numId w:val="1"/>
        </w:numPr>
      </w:pPr>
      <w:r>
        <w:t>submit the list of manufacturing sites and c</w:t>
      </w:r>
      <w:r w:rsidRPr="00AE461D">
        <w:t xml:space="preserve">ommitment from sponsor that they maintain the validity of all manufacturer </w:t>
      </w:r>
      <w:r>
        <w:t>Good Manufacturing Practice (</w:t>
      </w:r>
      <w:r w:rsidRPr="00AE461D">
        <w:t>GMP</w:t>
      </w:r>
      <w:r>
        <w:t>)</w:t>
      </w:r>
      <w:r w:rsidRPr="00AE461D">
        <w:t xml:space="preserve"> clearances and adhere to the conditions of the GMP clearance approvals for the duration of product supply to Australia.</w:t>
      </w:r>
    </w:p>
    <w:p w14:paraId="16E6A218" w14:textId="77777777" w:rsidR="00591A64" w:rsidRDefault="00591A64" w:rsidP="00591A64">
      <w:pPr>
        <w:pStyle w:val="ListBullet"/>
        <w:numPr>
          <w:ilvl w:val="0"/>
          <w:numId w:val="1"/>
        </w:numPr>
      </w:pPr>
      <w:r w:rsidRPr="00AE461D">
        <w:t>provide the requested additional data</w:t>
      </w:r>
      <w:r>
        <w:t xml:space="preserve"> as post-approval commitments.</w:t>
      </w:r>
    </w:p>
    <w:p w14:paraId="28E5249F" w14:textId="77777777" w:rsidR="00591A64" w:rsidRPr="00873682" w:rsidRDefault="00591A64" w:rsidP="00591A64">
      <w:pPr>
        <w:pStyle w:val="ListBullet"/>
        <w:numPr>
          <w:ilvl w:val="0"/>
          <w:numId w:val="1"/>
        </w:numPr>
      </w:pPr>
      <w:r w:rsidRPr="00A150DB">
        <w:t>adequat</w:t>
      </w:r>
      <w:r w:rsidRPr="00873682">
        <w:t>ely address the proposed questions/requests for data when responses are available, which can be submitted as separate submissions for evaluation.</w:t>
      </w:r>
    </w:p>
    <w:p w14:paraId="7CE944BD" w14:textId="1EB166FB" w:rsidR="008E7846" w:rsidRPr="006E0620" w:rsidRDefault="008E7846" w:rsidP="008E7846">
      <w:pPr>
        <w:pStyle w:val="Heading3"/>
      </w:pPr>
      <w:bookmarkStart w:id="40" w:name="_Toc314842512"/>
      <w:bookmarkStart w:id="41" w:name="_Toc79415467"/>
      <w:r w:rsidRPr="006E0620">
        <w:t>Nonclinical</w:t>
      </w:r>
      <w:bookmarkEnd w:id="40"/>
      <w:bookmarkEnd w:id="41"/>
    </w:p>
    <w:p w14:paraId="790ECD7C" w14:textId="6FEF78CE" w:rsidR="00C7508E" w:rsidRPr="006E0620" w:rsidRDefault="00C7508E" w:rsidP="00C7508E">
      <w:r w:rsidRPr="006E0620">
        <w:t xml:space="preserve">The </w:t>
      </w:r>
      <w:proofErr w:type="spellStart"/>
      <w:r w:rsidR="004E00C1">
        <w:t>Spikevax</w:t>
      </w:r>
      <w:proofErr w:type="spellEnd"/>
      <w:r w:rsidR="004E00C1">
        <w:t xml:space="preserve"> COVID-19 </w:t>
      </w:r>
      <w:r w:rsidRPr="006E0620">
        <w:t>mRNA-1273 vaccine in a lipid nanoparticle (LNP) formulation (2</w:t>
      </w:r>
      <w:r w:rsidR="003418B7">
        <w:t> </w:t>
      </w:r>
      <w:r w:rsidRPr="006E0620">
        <w:t>new excipients) was immunogenic in young</w:t>
      </w:r>
      <w:r w:rsidR="00705896" w:rsidRPr="006E0620">
        <w:t xml:space="preserve"> </w:t>
      </w:r>
      <w:r w:rsidRPr="006E0620">
        <w:t xml:space="preserve">and old mice, rats, </w:t>
      </w:r>
      <w:proofErr w:type="gramStart"/>
      <w:r w:rsidRPr="006E0620">
        <w:t>hamsters</w:t>
      </w:r>
      <w:proofErr w:type="gramEnd"/>
      <w:r w:rsidRPr="006E0620">
        <w:t xml:space="preserve"> and rhesus macaques. A prime/booster dosing regimen (3</w:t>
      </w:r>
      <w:r w:rsidR="002D118E" w:rsidRPr="006E0620">
        <w:t xml:space="preserve"> to </w:t>
      </w:r>
      <w:r w:rsidRPr="006E0620">
        <w:t>4 weeks dosing interval) induced strong humoral and cellular immune responses. Antibodies neutralised the wildtype SARS-CoV-2 virus strain isolated at the beginning of the pandemic. There were no data on activity against the new variants (</w:t>
      </w:r>
      <w:r w:rsidR="002D118E" w:rsidRPr="006E0620">
        <w:t>for example,</w:t>
      </w:r>
      <w:r w:rsidRPr="006E0620">
        <w:t xml:space="preserve"> </w:t>
      </w:r>
      <w:r w:rsidR="003418B7">
        <w:t>alpha (</w:t>
      </w:r>
      <w:r w:rsidR="0019059E" w:rsidRPr="006E0620">
        <w:t>α</w:t>
      </w:r>
      <w:r w:rsidR="003418B7">
        <w:t>)</w:t>
      </w:r>
      <w:r w:rsidR="002D118E" w:rsidRPr="006E0620">
        <w:t xml:space="preserve">, </w:t>
      </w:r>
      <w:r w:rsidR="003418B7">
        <w:t>beta (</w:t>
      </w:r>
      <w:r w:rsidR="0019059E" w:rsidRPr="006E0620">
        <w:t>β</w:t>
      </w:r>
      <w:r w:rsidR="003418B7">
        <w:t>)</w:t>
      </w:r>
      <w:r w:rsidR="002D118E" w:rsidRPr="006E0620">
        <w:t xml:space="preserve">, </w:t>
      </w:r>
      <w:r w:rsidR="003418B7">
        <w:t>gamma (</w:t>
      </w:r>
      <w:r w:rsidR="0019059E" w:rsidRPr="006E0620">
        <w:t>γ</w:t>
      </w:r>
      <w:r w:rsidR="003418B7">
        <w:t>)</w:t>
      </w:r>
      <w:r w:rsidR="0019059E" w:rsidRPr="006E0620">
        <w:t xml:space="preserve"> </w:t>
      </w:r>
      <w:r w:rsidR="002D118E" w:rsidRPr="006E0620">
        <w:t>and</w:t>
      </w:r>
      <w:r w:rsidRPr="006E0620">
        <w:t xml:space="preserve"> </w:t>
      </w:r>
      <w:r w:rsidR="003418B7">
        <w:t>delta (</w:t>
      </w:r>
      <w:r w:rsidR="0019059E" w:rsidRPr="006E0620">
        <w:t>δ</w:t>
      </w:r>
      <w:r w:rsidR="003418B7">
        <w:t>)</w:t>
      </w:r>
      <w:r w:rsidRPr="006E0620">
        <w:t xml:space="preserve">). In monkeys, </w:t>
      </w:r>
      <w:r w:rsidR="002D118E" w:rsidRPr="006E0620">
        <w:t xml:space="preserve">antibodies </w:t>
      </w:r>
      <w:r w:rsidRPr="006E0620">
        <w:t>declined 2</w:t>
      </w:r>
      <w:r w:rsidR="003418B7">
        <w:t> </w:t>
      </w:r>
      <w:r w:rsidRPr="006E0620">
        <w:t xml:space="preserve">weeks after the </w:t>
      </w:r>
      <w:r w:rsidR="002D118E" w:rsidRPr="006E0620">
        <w:t>second dose, raising long-term immunity concerns.</w:t>
      </w:r>
    </w:p>
    <w:p w14:paraId="47EE0B40" w14:textId="10CE819F" w:rsidR="00C7508E" w:rsidRPr="006E0620" w:rsidRDefault="00C7508E" w:rsidP="00C7508E">
      <w:r w:rsidRPr="006E0620">
        <w:t>In short</w:t>
      </w:r>
      <w:r w:rsidR="006A7C3F" w:rsidRPr="006E0620">
        <w:t xml:space="preserve"> </w:t>
      </w:r>
      <w:r w:rsidRPr="006E0620">
        <w:t xml:space="preserve">term protection studies, </w:t>
      </w:r>
      <w:proofErr w:type="spellStart"/>
      <w:r w:rsidR="007753E6">
        <w:t>Spikevax</w:t>
      </w:r>
      <w:proofErr w:type="spellEnd"/>
      <w:r w:rsidR="007753E6">
        <w:t xml:space="preserve"> COVID-19 </w:t>
      </w:r>
      <w:r w:rsidRPr="006E0620">
        <w:t xml:space="preserve">mRNA-1273 </w:t>
      </w:r>
      <w:r w:rsidR="007753E6">
        <w:t xml:space="preserve">vaccine </w:t>
      </w:r>
      <w:r w:rsidRPr="006E0620">
        <w:t xml:space="preserve">provided protection in mice (young and aged), hamsters and monkeys </w:t>
      </w:r>
      <w:r w:rsidR="00705896" w:rsidRPr="006E0620">
        <w:t>challenged with SARS</w:t>
      </w:r>
      <w:r w:rsidR="00705896" w:rsidRPr="006E0620">
        <w:noBreakHyphen/>
        <w:t>CoV</w:t>
      </w:r>
      <w:r w:rsidR="00705896" w:rsidRPr="006E0620">
        <w:noBreakHyphen/>
      </w:r>
      <w:r w:rsidRPr="006E0620">
        <w:t>2 or mouse</w:t>
      </w:r>
      <w:r w:rsidR="006A7C3F" w:rsidRPr="006E0620">
        <w:t xml:space="preserve"> </w:t>
      </w:r>
      <w:r w:rsidRPr="006E0620">
        <w:t>adapted SARS</w:t>
      </w:r>
      <w:r w:rsidR="00705896" w:rsidRPr="006E0620">
        <w:noBreakHyphen/>
        <w:t>CoV</w:t>
      </w:r>
      <w:r w:rsidR="00705896" w:rsidRPr="006E0620">
        <w:noBreakHyphen/>
      </w:r>
      <w:r w:rsidRPr="006E0620">
        <w:t>2, 3</w:t>
      </w:r>
      <w:r w:rsidR="002D118E" w:rsidRPr="006E0620">
        <w:t xml:space="preserve"> to</w:t>
      </w:r>
      <w:r w:rsidR="00705896" w:rsidRPr="006E0620">
        <w:t xml:space="preserve"> </w:t>
      </w:r>
      <w:r w:rsidRPr="006E0620">
        <w:t>13</w:t>
      </w:r>
      <w:r w:rsidR="00705896" w:rsidRPr="006E0620">
        <w:t xml:space="preserve"> </w:t>
      </w:r>
      <w:r w:rsidRPr="006E0620">
        <w:t xml:space="preserve">weeks after the </w:t>
      </w:r>
      <w:r w:rsidR="00705896" w:rsidRPr="006E0620">
        <w:t>second</w:t>
      </w:r>
      <w:r w:rsidRPr="006E0620">
        <w:t xml:space="preserve"> dose. Immunisation reduced viral loads in both the upper (nasal</w:t>
      </w:r>
      <w:r w:rsidR="00705896" w:rsidRPr="006E0620">
        <w:t xml:space="preserve"> </w:t>
      </w:r>
      <w:r w:rsidRPr="006E0620">
        <w:t>turbinates) and lower</w:t>
      </w:r>
      <w:r w:rsidR="00705896" w:rsidRPr="006E0620">
        <w:t xml:space="preserve"> </w:t>
      </w:r>
      <w:r w:rsidRPr="006E0620">
        <w:t>airways (lungs) a</w:t>
      </w:r>
      <w:r w:rsidR="00705896" w:rsidRPr="006E0620">
        <w:t>nd reduced lung pathology. Long-</w:t>
      </w:r>
      <w:r w:rsidRPr="006E0620">
        <w:t>term immunity was not as</w:t>
      </w:r>
      <w:r w:rsidR="00705896" w:rsidRPr="006E0620">
        <w:t>sessed.</w:t>
      </w:r>
    </w:p>
    <w:p w14:paraId="1232842C" w14:textId="2EF2C337" w:rsidR="00C7508E" w:rsidRPr="006E0620" w:rsidRDefault="00C7508E" w:rsidP="00C7508E">
      <w:r w:rsidRPr="006E0620">
        <w:t>There was no evidence of vaccine</w:t>
      </w:r>
      <w:r w:rsidR="00A06C67" w:rsidRPr="006E0620">
        <w:t xml:space="preserve"> </w:t>
      </w:r>
      <w:r w:rsidRPr="006E0620">
        <w:t>e</w:t>
      </w:r>
      <w:r w:rsidR="005A033C" w:rsidRPr="006E0620">
        <w:t>nhanced respiratory disease (VA</w:t>
      </w:r>
      <w:r w:rsidRPr="006E0620">
        <w:t xml:space="preserve">ERD) with </w:t>
      </w:r>
      <w:proofErr w:type="spellStart"/>
      <w:r w:rsidR="007753E6">
        <w:t>Spikevax</w:t>
      </w:r>
      <w:proofErr w:type="spellEnd"/>
      <w:r w:rsidR="007753E6">
        <w:t xml:space="preserve"> COVID-19 </w:t>
      </w:r>
      <w:r w:rsidR="00705896" w:rsidRPr="006E0620">
        <w:t>mRNA</w:t>
      </w:r>
      <w:r w:rsidR="00705896" w:rsidRPr="006E0620">
        <w:noBreakHyphen/>
      </w:r>
      <w:r w:rsidRPr="006E0620">
        <w:t xml:space="preserve">1273 </w:t>
      </w:r>
      <w:r w:rsidR="007753E6">
        <w:t xml:space="preserve">vaccine </w:t>
      </w:r>
      <w:r w:rsidRPr="006E0620">
        <w:t xml:space="preserve">in the animal models. Instead, a robust induction of functional (neutralising) </w:t>
      </w:r>
      <w:r w:rsidR="00671495" w:rsidRPr="006E0620">
        <w:t xml:space="preserve">antibodies </w:t>
      </w:r>
      <w:r w:rsidRPr="006E0620">
        <w:t xml:space="preserve">and a balanced </w:t>
      </w:r>
      <w:r w:rsidR="00671495" w:rsidRPr="006E0620">
        <w:t>T-helper 1</w:t>
      </w:r>
      <w:r w:rsidR="00287F1A" w:rsidRPr="006E0620">
        <w:t xml:space="preserve"> (Th-1)</w:t>
      </w:r>
      <w:r w:rsidR="003418B7">
        <w:t xml:space="preserve"> and </w:t>
      </w:r>
      <w:r w:rsidR="00671495" w:rsidRPr="006E0620">
        <w:t>T-helper 2</w:t>
      </w:r>
      <w:r w:rsidR="00287F1A" w:rsidRPr="006E0620">
        <w:t xml:space="preserve"> (Th</w:t>
      </w:r>
      <w:r w:rsidR="003418B7">
        <w:noBreakHyphen/>
      </w:r>
      <w:r w:rsidR="00287F1A" w:rsidRPr="006E0620">
        <w:t>2)</w:t>
      </w:r>
      <w:r w:rsidR="003418B7">
        <w:t xml:space="preserve"> cell</w:t>
      </w:r>
      <w:r w:rsidRPr="006E0620">
        <w:t xml:space="preserve"> response was seen at optimal or suboptimal doses</w:t>
      </w:r>
      <w:r w:rsidR="00671495" w:rsidRPr="006E0620">
        <w:t>.</w:t>
      </w:r>
    </w:p>
    <w:p w14:paraId="3705515E" w14:textId="1BDBAA93" w:rsidR="00C7508E" w:rsidRPr="006E0620" w:rsidRDefault="00C7508E" w:rsidP="00C7508E">
      <w:r w:rsidRPr="006E0620">
        <w:t>A distribution study with a surrogate mRNA (</w:t>
      </w:r>
      <w:r w:rsidR="0005714F" w:rsidRPr="006E0620">
        <w:t>cytomegalovirus</w:t>
      </w:r>
      <w:r w:rsidRPr="006E0620">
        <w:t xml:space="preserve">) vaccine from the same development platform showed mRNA was mainly localised at the injection site </w:t>
      </w:r>
      <w:proofErr w:type="gramStart"/>
      <w:r w:rsidRPr="006E0620">
        <w:t>and also</w:t>
      </w:r>
      <w:proofErr w:type="gramEnd"/>
      <w:r w:rsidRPr="006E0620">
        <w:t xml:space="preserve"> proximal/distal lymph nodes and spleen. Lower levels of mRNA were detected in plasma and in most other tissues analysed.</w:t>
      </w:r>
    </w:p>
    <w:p w14:paraId="620F64A1" w14:textId="67FBFB69" w:rsidR="00C7508E" w:rsidRPr="006E0620" w:rsidRDefault="00C7508E" w:rsidP="00C7508E">
      <w:r w:rsidRPr="006E0620">
        <w:t>Repeat dose toxicity studies in rats with surrogate mRNA-LNP vaccines from the same development platform showed immune response</w:t>
      </w:r>
      <w:r w:rsidR="006A7C3F" w:rsidRPr="006E0620">
        <w:t xml:space="preserve"> </w:t>
      </w:r>
      <w:r w:rsidRPr="006E0620">
        <w:t>related findings including: injection site inflammation</w:t>
      </w:r>
      <w:r w:rsidRPr="006E0620" w:rsidDel="003629D5">
        <w:t xml:space="preserve"> </w:t>
      </w:r>
      <w:r w:rsidRPr="006E0620">
        <w:t>(swelling, oedema, erythema</w:t>
      </w:r>
      <w:r w:rsidR="006B4E84" w:rsidRPr="006E0620">
        <w:t xml:space="preserve"> and</w:t>
      </w:r>
      <w:r w:rsidRPr="006E0620">
        <w:t xml:space="preserve"> skin thickening), enlargement and </w:t>
      </w:r>
      <w:r w:rsidRPr="006E0620">
        <w:lastRenderedPageBreak/>
        <w:t>inflammation of draining lymph nodes, transient increases in cytokines</w:t>
      </w:r>
      <w:r w:rsidR="00671495" w:rsidRPr="006E0620">
        <w:t xml:space="preserve"> </w:t>
      </w:r>
      <w:r w:rsidRPr="006E0620">
        <w:t>associated</w:t>
      </w:r>
      <w:r w:rsidR="00671495" w:rsidRPr="006E0620">
        <w:t xml:space="preserve"> </w:t>
      </w:r>
      <w:r w:rsidRPr="006E0620">
        <w:t>with body temperature increases, decreased cellularity of spleen and some perturbations of haematology, coagulation and clinical chemistry parameters. Hepatocyte vacuolation and Kupffer cell hypertrophy (no</w:t>
      </w:r>
      <w:r w:rsidR="00671495" w:rsidRPr="006E0620">
        <w:t xml:space="preserve"> </w:t>
      </w:r>
      <w:r w:rsidRPr="006E0620">
        <w:t>serum transaminases increases) were observed, which were probably due to hepatocyte uptake of LNP lipids. All effects were either partially or fully reversible after 2 weeks of recovery. A non-</w:t>
      </w:r>
      <w:r w:rsidR="00314856" w:rsidRPr="006E0620">
        <w:t>Good Laboratory Practices (</w:t>
      </w:r>
      <w:r w:rsidRPr="006E0620">
        <w:t>GLP</w:t>
      </w:r>
      <w:r w:rsidR="00314856" w:rsidRPr="006E0620">
        <w:t>)</w:t>
      </w:r>
      <w:r w:rsidR="001A692F" w:rsidRPr="006E0620">
        <w:t>;</w:t>
      </w:r>
      <w:r w:rsidR="001A692F" w:rsidRPr="006E0620">
        <w:rPr>
          <w:rStyle w:val="FootnoteReference"/>
        </w:rPr>
        <w:footnoteReference w:id="17"/>
      </w:r>
      <w:r w:rsidRPr="006E0620">
        <w:t xml:space="preserve"> toxicity study in rats (with no</w:t>
      </w:r>
      <w:r w:rsidR="00671495" w:rsidRPr="006E0620">
        <w:t xml:space="preserve"> </w:t>
      </w:r>
      <w:r w:rsidRPr="006E0620">
        <w:t xml:space="preserve">necropsy or histology) with </w:t>
      </w:r>
      <w:proofErr w:type="spellStart"/>
      <w:r w:rsidR="007753E6">
        <w:t>Spikevax</w:t>
      </w:r>
      <w:proofErr w:type="spellEnd"/>
      <w:r w:rsidR="007753E6">
        <w:t xml:space="preserve"> COVID-19 </w:t>
      </w:r>
      <w:r w:rsidRPr="006E0620">
        <w:t xml:space="preserve">mRNA-1273 vaccine showed findings </w:t>
      </w:r>
      <w:proofErr w:type="gramStart"/>
      <w:r w:rsidRPr="006E0620">
        <w:t>similar to</w:t>
      </w:r>
      <w:proofErr w:type="gramEnd"/>
      <w:r w:rsidRPr="006E0620">
        <w:t xml:space="preserve"> those in repeat dose toxicity studie</w:t>
      </w:r>
      <w:r w:rsidR="00671495" w:rsidRPr="006E0620">
        <w:t>s with surrogate mRNA vaccines.</w:t>
      </w:r>
    </w:p>
    <w:p w14:paraId="03945A65" w14:textId="529CB985" w:rsidR="00C7508E" w:rsidRPr="006E0620" w:rsidRDefault="00C7508E" w:rsidP="00C7508E">
      <w:r w:rsidRPr="006E0620">
        <w:t>No genotoxicity studies were conducted for the vaccine, in line with relevant guidelines</w:t>
      </w:r>
      <w:r w:rsidR="006A30F6">
        <w:t>.</w:t>
      </w:r>
      <w:r w:rsidR="002159E9" w:rsidRPr="006E0620">
        <w:rPr>
          <w:rStyle w:val="FootnoteReference"/>
        </w:rPr>
        <w:footnoteReference w:id="18"/>
      </w:r>
      <w:r w:rsidRPr="006E0620">
        <w:t xml:space="preserve"> The components of </w:t>
      </w:r>
      <w:proofErr w:type="spellStart"/>
      <w:r w:rsidR="00671495" w:rsidRPr="006E0620">
        <w:t>Spikevax</w:t>
      </w:r>
      <w:proofErr w:type="spellEnd"/>
      <w:r w:rsidR="00671495" w:rsidRPr="006E0620">
        <w:t xml:space="preserve"> </w:t>
      </w:r>
      <w:r w:rsidRPr="006E0620">
        <w:t>(mRNA and lipids) are not expected to be genotoxic.</w:t>
      </w:r>
    </w:p>
    <w:p w14:paraId="6D5C895D" w14:textId="19D0B2A0" w:rsidR="00C7508E" w:rsidRPr="006E0620" w:rsidRDefault="00C7508E" w:rsidP="00C7508E">
      <w:r w:rsidRPr="006E0620">
        <w:t xml:space="preserve">A developmental and reproductive toxicity study was conducted in female rats with </w:t>
      </w:r>
      <w:proofErr w:type="spellStart"/>
      <w:r w:rsidR="007753E6">
        <w:t>Spikevax</w:t>
      </w:r>
      <w:proofErr w:type="spellEnd"/>
      <w:r w:rsidR="007753E6">
        <w:t xml:space="preserve"> COVID-19 </w:t>
      </w:r>
      <w:r w:rsidRPr="006E0620">
        <w:t>mRNA-1273</w:t>
      </w:r>
      <w:r w:rsidR="007753E6">
        <w:t xml:space="preserve"> vaccine</w:t>
      </w:r>
      <w:r w:rsidRPr="006E0620">
        <w:t>. Female rats were given a</w:t>
      </w:r>
      <w:r w:rsidR="00671495" w:rsidRPr="006E0620">
        <w:t xml:space="preserve"> human clinical dose (100 </w:t>
      </w:r>
      <w:proofErr w:type="spellStart"/>
      <w:r w:rsidRPr="006E0620">
        <w:t>μg</w:t>
      </w:r>
      <w:proofErr w:type="spellEnd"/>
      <w:r w:rsidRPr="006E0620">
        <w:t xml:space="preserve">; </w:t>
      </w:r>
      <w:r w:rsidR="006A30F6">
        <w:t>≥</w:t>
      </w:r>
      <w:r w:rsidR="00671495" w:rsidRPr="006E0620">
        <w:t> </w:t>
      </w:r>
      <w:r w:rsidRPr="006E0620">
        <w:t xml:space="preserve">140 times the human dose on a </w:t>
      </w:r>
      <w:proofErr w:type="spellStart"/>
      <w:r w:rsidRPr="006E0620">
        <w:t>μg</w:t>
      </w:r>
      <w:proofErr w:type="spellEnd"/>
      <w:r w:rsidRPr="006E0620">
        <w:t xml:space="preserve">/kg basis) 28 and </w:t>
      </w:r>
      <w:r w:rsidR="00671495" w:rsidRPr="006E0620">
        <w:t>14 days prior to mating and on D</w:t>
      </w:r>
      <w:r w:rsidRPr="006E0620">
        <w:t xml:space="preserve">ays 1 and 13 of gestation. No effects on fertility, </w:t>
      </w:r>
      <w:proofErr w:type="spellStart"/>
      <w:r w:rsidRPr="006E0620">
        <w:t>fetal</w:t>
      </w:r>
      <w:proofErr w:type="spellEnd"/>
      <w:r w:rsidRPr="006E0620">
        <w:t xml:space="preserve"> development, </w:t>
      </w:r>
      <w:proofErr w:type="spellStart"/>
      <w:r w:rsidRPr="006E0620">
        <w:t>fetal</w:t>
      </w:r>
      <w:proofErr w:type="spellEnd"/>
      <w:r w:rsidRPr="006E0620">
        <w:t xml:space="preserve"> </w:t>
      </w:r>
      <w:proofErr w:type="gramStart"/>
      <w:r w:rsidRPr="006E0620">
        <w:t>malformations</w:t>
      </w:r>
      <w:proofErr w:type="gramEnd"/>
      <w:r w:rsidRPr="006E0620">
        <w:t xml:space="preserve"> or variations or postnatal (pre-weaning) development were observed. Exposure of </w:t>
      </w:r>
      <w:proofErr w:type="spellStart"/>
      <w:r w:rsidRPr="006E0620">
        <w:t>fetuses</w:t>
      </w:r>
      <w:proofErr w:type="spellEnd"/>
      <w:r w:rsidRPr="006E0620">
        <w:t xml:space="preserve"> and pups to vaccine</w:t>
      </w:r>
      <w:r w:rsidR="006A7C3F" w:rsidRPr="006E0620">
        <w:t xml:space="preserve"> </w:t>
      </w:r>
      <w:r w:rsidRPr="006E0620">
        <w:t>specific maternal antibodies was demonstrated in this study. The effect on male fertility has not been determined.</w:t>
      </w:r>
    </w:p>
    <w:p w14:paraId="120EA93A" w14:textId="46CF650C" w:rsidR="00C7508E" w:rsidRPr="006E0620" w:rsidRDefault="00C7508E" w:rsidP="00C7508E">
      <w:r w:rsidRPr="006E0620">
        <w:t xml:space="preserve">There was no local tolerance study with </w:t>
      </w:r>
      <w:proofErr w:type="spellStart"/>
      <w:r w:rsidR="007753E6">
        <w:t>Spikevax</w:t>
      </w:r>
      <w:proofErr w:type="spellEnd"/>
      <w:r w:rsidR="007753E6">
        <w:t xml:space="preserve"> COVID-19 </w:t>
      </w:r>
      <w:r w:rsidRPr="006E0620">
        <w:t>mRNA-1273</w:t>
      </w:r>
      <w:r w:rsidR="007753E6">
        <w:t xml:space="preserve"> vaccine</w:t>
      </w:r>
      <w:r w:rsidRPr="006E0620">
        <w:t xml:space="preserve">. However, the repeat dose toxicity studies with surrogate mRNA vaccines formulated in LNPs were </w:t>
      </w:r>
      <w:r w:rsidR="00671495" w:rsidRPr="006E0620">
        <w:t>well tolerated locally in rats.</w:t>
      </w:r>
    </w:p>
    <w:p w14:paraId="577ED409" w14:textId="37DB0D67" w:rsidR="00C7508E" w:rsidRPr="006E0620" w:rsidRDefault="00C7508E" w:rsidP="00C7508E">
      <w:r w:rsidRPr="006E0620">
        <w:t>The LNP formulation contains 4 lipids (2 new excipients are SM</w:t>
      </w:r>
      <w:r w:rsidRPr="006E0620">
        <w:noBreakHyphen/>
        <w:t xml:space="preserve">102; PEG2000-DMG). Kinetic data in rats for a lipid </w:t>
      </w:r>
      <w:proofErr w:type="gramStart"/>
      <w:r w:rsidRPr="006E0620">
        <w:t>similar to</w:t>
      </w:r>
      <w:proofErr w:type="gramEnd"/>
      <w:r w:rsidRPr="006E0620">
        <w:t xml:space="preserve"> SM-102 (SM-86) showed rapid elimination (by 24</w:t>
      </w:r>
      <w:r w:rsidR="00CB442E">
        <w:noBreakHyphen/>
      </w:r>
      <w:r w:rsidR="00AF239D" w:rsidRPr="006E0620">
        <w:t>hours</w:t>
      </w:r>
      <w:r w:rsidRPr="006E0620">
        <w:t xml:space="preserve">) via biliary and renal clearance after </w:t>
      </w:r>
      <w:r w:rsidR="00AF239D" w:rsidRPr="006E0620">
        <w:t xml:space="preserve">intravenous </w:t>
      </w:r>
      <w:r w:rsidRPr="006E0620">
        <w:t xml:space="preserve">dosing. The new excipients were tested in LNP formulations in the </w:t>
      </w:r>
      <w:proofErr w:type="gramStart"/>
      <w:r w:rsidRPr="006E0620">
        <w:t>6</w:t>
      </w:r>
      <w:r w:rsidR="00AF239D" w:rsidRPr="006E0620">
        <w:t xml:space="preserve"> </w:t>
      </w:r>
      <w:r w:rsidRPr="006E0620">
        <w:t>repeat</w:t>
      </w:r>
      <w:proofErr w:type="gramEnd"/>
      <w:r w:rsidRPr="006E0620">
        <w:t xml:space="preserve"> dose, genotoxicity and reproductive toxicity studies. No findings (general toxicity, </w:t>
      </w:r>
      <w:proofErr w:type="gramStart"/>
      <w:r w:rsidRPr="006E0620">
        <w:t>genotoxicity</w:t>
      </w:r>
      <w:proofErr w:type="gramEnd"/>
      <w:r w:rsidRPr="006E0620">
        <w:t xml:space="preserve"> and reproductive toxicity) are attributable to the lipid excipients except for hepatocyte vacuolation, which was partially or completely revers</w:t>
      </w:r>
      <w:r w:rsidR="00AF239D" w:rsidRPr="006E0620">
        <w:t>ible after 2 weeks of recovery.</w:t>
      </w:r>
    </w:p>
    <w:p w14:paraId="37993F6D" w14:textId="1F1FAF07" w:rsidR="00C7508E" w:rsidRPr="006E0620" w:rsidRDefault="00C7508E" w:rsidP="00C7508E">
      <w:r w:rsidRPr="006E0620">
        <w:t>The sponsor is requested to add</w:t>
      </w:r>
      <w:r w:rsidR="00AF239D" w:rsidRPr="006E0620">
        <w:t>ress the questions from the nonclinical evaluator post</w:t>
      </w:r>
      <w:r w:rsidR="005B79A5" w:rsidRPr="006E0620">
        <w:t xml:space="preserve"> </w:t>
      </w:r>
      <w:r w:rsidR="00AF239D" w:rsidRPr="006E0620">
        <w:t>provisional approval.</w:t>
      </w:r>
    </w:p>
    <w:p w14:paraId="153C67BA" w14:textId="738A8FE8" w:rsidR="00C7508E" w:rsidRPr="006E0620" w:rsidRDefault="00C7508E" w:rsidP="00C7508E">
      <w:r w:rsidRPr="006E0620">
        <w:t xml:space="preserve">The nonclinical data package is considered adequate to support provisional approval of </w:t>
      </w:r>
      <w:proofErr w:type="spellStart"/>
      <w:r w:rsidR="00AF239D" w:rsidRPr="006E0620">
        <w:t>Spikevax</w:t>
      </w:r>
      <w:proofErr w:type="spellEnd"/>
      <w:r w:rsidR="00CB442E">
        <w:t xml:space="preserve"> COVID-19 vaccine</w:t>
      </w:r>
      <w:r w:rsidRPr="006E0620">
        <w:t xml:space="preserve">, administered as 2 </w:t>
      </w:r>
      <w:r w:rsidR="00AF239D" w:rsidRPr="006E0620">
        <w:t>intramuscular injections (100 </w:t>
      </w:r>
      <w:proofErr w:type="spellStart"/>
      <w:r w:rsidRPr="006E0620">
        <w:t>μg</w:t>
      </w:r>
      <w:proofErr w:type="spellEnd"/>
      <w:r w:rsidRPr="006E0620">
        <w:t>) 28 days apar</w:t>
      </w:r>
      <w:r w:rsidR="00AF239D" w:rsidRPr="006E0620">
        <w:t>t, for the proposed indication.</w:t>
      </w:r>
    </w:p>
    <w:p w14:paraId="4963F5A7" w14:textId="611A6149" w:rsidR="00C7508E" w:rsidRPr="006E0620" w:rsidRDefault="00C7508E" w:rsidP="00C7508E">
      <w:r w:rsidRPr="006E0620">
        <w:t>Pregnancy Category B1 is appropriate for this product, as no embryo-</w:t>
      </w:r>
      <w:proofErr w:type="spellStart"/>
      <w:r w:rsidRPr="006E0620">
        <w:t>fetal</w:t>
      </w:r>
      <w:proofErr w:type="spellEnd"/>
      <w:r w:rsidRPr="006E0620">
        <w:t xml:space="preserve"> effects have been noted in a combined reproductive and development study in rats.</w:t>
      </w:r>
      <w:r w:rsidR="006A30F6">
        <w:rPr>
          <w:rStyle w:val="FootnoteReference"/>
        </w:rPr>
        <w:footnoteReference w:id="19"/>
      </w:r>
    </w:p>
    <w:p w14:paraId="1AD3F285" w14:textId="3237E3F5" w:rsidR="00C7508E" w:rsidRPr="006E0620" w:rsidRDefault="006A30F6" w:rsidP="00C7508E">
      <w:r>
        <w:t>Amendments to the draft PI were requested [inclusion of these</w:t>
      </w:r>
      <w:r w:rsidR="003418B7">
        <w:t xml:space="preserve"> requested amendments</w:t>
      </w:r>
      <w:r>
        <w:t xml:space="preserve"> </w:t>
      </w:r>
      <w:r w:rsidR="003418B7">
        <w:t>are</w:t>
      </w:r>
      <w:r>
        <w:t xml:space="preserve"> beyond the scope of this </w:t>
      </w:r>
      <w:proofErr w:type="spellStart"/>
      <w:r>
        <w:t>AusPAR</w:t>
      </w:r>
      <w:proofErr w:type="spellEnd"/>
      <w:r>
        <w:t>].</w:t>
      </w:r>
      <w:r w:rsidRPr="009E57E9" w:rsidDel="006A30F6">
        <w:rPr>
          <w:vertAlign w:val="superscript"/>
        </w:rPr>
        <w:t xml:space="preserve"> </w:t>
      </w:r>
    </w:p>
    <w:p w14:paraId="1E3C0620" w14:textId="77777777" w:rsidR="008E7846" w:rsidRPr="006E0620" w:rsidRDefault="008E7846" w:rsidP="006A30F6">
      <w:pPr>
        <w:pStyle w:val="Heading3"/>
      </w:pPr>
      <w:bookmarkStart w:id="42" w:name="_Toc247691530"/>
      <w:bookmarkStart w:id="43" w:name="_Toc314842513"/>
      <w:bookmarkStart w:id="44" w:name="_Toc79415468"/>
      <w:r w:rsidRPr="006E0620">
        <w:t>Clinical</w:t>
      </w:r>
      <w:bookmarkEnd w:id="42"/>
      <w:bookmarkEnd w:id="43"/>
      <w:bookmarkEnd w:id="44"/>
    </w:p>
    <w:p w14:paraId="24EAA46E" w14:textId="44837B8F" w:rsidR="00183DD4" w:rsidRPr="006E0620" w:rsidRDefault="00183DD4" w:rsidP="00834318">
      <w:bookmarkStart w:id="45" w:name="_Toc314842514"/>
      <w:r w:rsidRPr="006E0620">
        <w:t xml:space="preserve">The clinical development program consisted of </w:t>
      </w:r>
      <w:r w:rsidR="00834318" w:rsidRPr="006E0620">
        <w:t>the following studies:</w:t>
      </w:r>
    </w:p>
    <w:p w14:paraId="58B2D62B" w14:textId="5D35D6C1" w:rsidR="00183DD4" w:rsidRPr="006E0620" w:rsidRDefault="00CB442E" w:rsidP="00834318">
      <w:pPr>
        <w:pStyle w:val="ListBullet"/>
      </w:pPr>
      <w:r w:rsidRPr="006E0620">
        <w:lastRenderedPageBreak/>
        <w:t>Study 20-0003</w:t>
      </w:r>
      <w:r>
        <w:t xml:space="preserve">, </w:t>
      </w:r>
      <w:r w:rsidR="00834318" w:rsidRPr="006E0620">
        <w:t>a dose</w:t>
      </w:r>
      <w:r w:rsidR="005B79A5" w:rsidRPr="006E0620">
        <w:t xml:space="preserve"> </w:t>
      </w:r>
      <w:r w:rsidR="00834318" w:rsidRPr="006E0620">
        <w:t>ranging P</w:t>
      </w:r>
      <w:r w:rsidR="00183DD4" w:rsidRPr="006E0620">
        <w:t xml:space="preserve">hase </w:t>
      </w:r>
      <w:r w:rsidR="00834318" w:rsidRPr="006E0620">
        <w:t>I</w:t>
      </w:r>
      <w:r w:rsidR="00183DD4" w:rsidRPr="006E0620">
        <w:t xml:space="preserve"> safety and immunogenicity study (</w:t>
      </w:r>
      <w:r w:rsidR="00BF0719" w:rsidRPr="006E0620">
        <w:t>abbreviated as Study 101</w:t>
      </w:r>
      <w:proofErr w:type="gramStart"/>
      <w:r w:rsidR="00183DD4" w:rsidRPr="006E0620">
        <w:t>);</w:t>
      </w:r>
      <w:proofErr w:type="gramEnd"/>
    </w:p>
    <w:p w14:paraId="5FCF1107" w14:textId="3F5116FA" w:rsidR="00183DD4" w:rsidRPr="006E0620" w:rsidRDefault="00CB442E" w:rsidP="00834318">
      <w:pPr>
        <w:pStyle w:val="ListBullet"/>
      </w:pPr>
      <w:r w:rsidRPr="006E0620">
        <w:t>Study mRNA-1273-P201</w:t>
      </w:r>
      <w:r>
        <w:t xml:space="preserve">, </w:t>
      </w:r>
      <w:r w:rsidR="00834318" w:rsidRPr="006E0620">
        <w:t>a dose</w:t>
      </w:r>
      <w:r w:rsidR="005B79A5" w:rsidRPr="006E0620">
        <w:t xml:space="preserve"> </w:t>
      </w:r>
      <w:r w:rsidR="00834318" w:rsidRPr="006E0620">
        <w:t xml:space="preserve">confirmation Phase </w:t>
      </w:r>
      <w:proofErr w:type="spellStart"/>
      <w:r w:rsidR="00834318" w:rsidRPr="006E0620">
        <w:t>II</w:t>
      </w:r>
      <w:r w:rsidR="00183DD4" w:rsidRPr="006E0620">
        <w:t>a</w:t>
      </w:r>
      <w:proofErr w:type="spellEnd"/>
      <w:r w:rsidR="00183DD4" w:rsidRPr="006E0620">
        <w:t xml:space="preserve"> safety and immunogenicity study (</w:t>
      </w:r>
      <w:r w:rsidR="00BF0719" w:rsidRPr="006E0620">
        <w:t>abbreviated as Study 201</w:t>
      </w:r>
      <w:proofErr w:type="gramStart"/>
      <w:r w:rsidR="006F2332" w:rsidRPr="006E0620">
        <w:t>);</w:t>
      </w:r>
      <w:proofErr w:type="gramEnd"/>
    </w:p>
    <w:p w14:paraId="25CD187B" w14:textId="7EDF48EC" w:rsidR="00183DD4" w:rsidRPr="006E0620" w:rsidRDefault="00CB442E" w:rsidP="00834318">
      <w:pPr>
        <w:pStyle w:val="ListBullet"/>
      </w:pPr>
      <w:r w:rsidRPr="006E0620">
        <w:t>Study mRNA-1273-P301</w:t>
      </w:r>
      <w:r>
        <w:t xml:space="preserve">, </w:t>
      </w:r>
      <w:r w:rsidR="00834318" w:rsidRPr="006E0620">
        <w:t>a pivotal Phase III</w:t>
      </w:r>
      <w:r w:rsidR="00183DD4" w:rsidRPr="006E0620">
        <w:t xml:space="preserve"> efficacy, safety, and immunogenicity study (</w:t>
      </w:r>
      <w:r w:rsidR="00BF0719" w:rsidRPr="006E0620">
        <w:t>abbreviated as Study 301</w:t>
      </w:r>
      <w:r w:rsidR="00183DD4" w:rsidRPr="006E0620">
        <w:t>)</w:t>
      </w:r>
      <w:r w:rsidR="00834318" w:rsidRPr="006E0620">
        <w:t>.</w:t>
      </w:r>
    </w:p>
    <w:p w14:paraId="4830DF7B" w14:textId="793BEE54" w:rsidR="00183DD4" w:rsidRPr="006E0620" w:rsidRDefault="00834318" w:rsidP="00834318">
      <w:pPr>
        <w:pStyle w:val="FigureTitle"/>
      </w:pPr>
      <w:r w:rsidRPr="006E0620">
        <w:t xml:space="preserve">Figure </w:t>
      </w:r>
      <w:r>
        <w:fldChar w:fldCharType="begin"/>
      </w:r>
      <w:r>
        <w:instrText>SEQ Figure \* ARABIC</w:instrText>
      </w:r>
      <w:r>
        <w:fldChar w:fldCharType="separate"/>
      </w:r>
      <w:r w:rsidR="00B1591C">
        <w:rPr>
          <w:noProof/>
        </w:rPr>
        <w:t>1</w:t>
      </w:r>
      <w:r>
        <w:fldChar w:fldCharType="end"/>
      </w:r>
      <w:r w:rsidR="00183DD4" w:rsidRPr="006E0620">
        <w:t xml:space="preserve">: Overview of the </w:t>
      </w:r>
      <w:proofErr w:type="spellStart"/>
      <w:r w:rsidR="00CB442E">
        <w:t>Spikevax</w:t>
      </w:r>
      <w:proofErr w:type="spellEnd"/>
      <w:r w:rsidR="00CB442E">
        <w:t xml:space="preserve"> </w:t>
      </w:r>
      <w:proofErr w:type="spellStart"/>
      <w:r w:rsidR="00CB442E">
        <w:t>elasomeran</w:t>
      </w:r>
      <w:proofErr w:type="spellEnd"/>
      <w:r w:rsidR="00CB442E">
        <w:t xml:space="preserve"> COVID-19 </w:t>
      </w:r>
      <w:r w:rsidR="007753E6">
        <w:t xml:space="preserve">vaccine </w:t>
      </w:r>
      <w:r w:rsidR="00CB442E">
        <w:t>(</w:t>
      </w:r>
      <w:r w:rsidR="00183DD4" w:rsidRPr="006E0620">
        <w:t>mRNA-1273</w:t>
      </w:r>
      <w:r w:rsidR="00CB442E">
        <w:t>)</w:t>
      </w:r>
      <w:r w:rsidR="00183DD4" w:rsidRPr="006E0620">
        <w:t xml:space="preserve"> </w:t>
      </w:r>
      <w:r w:rsidRPr="006E0620">
        <w:t>development program</w:t>
      </w:r>
    </w:p>
    <w:p w14:paraId="5D4A5CC7" w14:textId="56D4993F" w:rsidR="00834318" w:rsidRPr="006E0620" w:rsidRDefault="00834318" w:rsidP="00CD55D9">
      <w:r w:rsidRPr="006E0620">
        <w:rPr>
          <w:noProof/>
          <w:shd w:val="clear" w:color="auto" w:fill="E6E6E6"/>
          <w:lang w:val="en-GB" w:eastAsia="en-GB"/>
        </w:rPr>
        <w:drawing>
          <wp:inline distT="0" distB="0" distL="0" distR="0" wp14:anchorId="0C6B734E" wp14:editId="4FDF2FE0">
            <wp:extent cx="5399445" cy="2296834"/>
            <wp:effectExtent l="0" t="0" r="0" b="8255"/>
            <wp:docPr id="1" name="Picture 1" descr="Overview of the Spikevax elasomeran COVID-19 vaccine (mRNA-1273) development program&#10;&#10;mRNA-1273 development program consists of 3 major studies:&#10;• Study 101 is a Phase I, safety, immunogenicity and dose selection study. Subjects received two intramuscular injections of either 25 µg, 50 µg, 100 µg or 250 µg by age. On the basis of these Phase I results, the 100 μg dose was selected for Phase II and III studies.&#10;• Study 201 is a Phase II, safety and immunogenicity study. Subjects received two intramuscular injections of either 50 µg or 100 µg by age.&#10;• Study 301 is a Phase III, efficacy, safety, and immunogenicity study. Subjects received two intramuscular injections of 100 µg (randomised and analysed) by age and COVID-19 risk fa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the Spikevax elasomeran COVID-19 vaccine (mRNA-1273) development program&#10;&#10;mRNA-1273 development program consists of 3 major studies:&#10;• Study 101 is a Phase I, safety, immunogenicity and dose selection study. Subjects received two intramuscular injections of either 25 µg, 50 µg, 100 µg or 250 µg by age. On the basis of these Phase I results, the 100 μg dose was selected for Phase II and III studies.&#10;• Study 201 is a Phase II, safety and immunogenicity study. Subjects received two intramuscular injections of either 50 µg or 100 µg by age.&#10;• Study 301 is a Phase III, efficacy, safety, and immunogenicity study. Subjects received two intramuscular injections of 100 µg (randomised and analysed) by age and COVID-19 risk factor.&#10;"/>
                    <pic:cNvPicPr/>
                  </pic:nvPicPr>
                  <pic:blipFill>
                    <a:blip r:embed="rId21"/>
                    <a:stretch>
                      <a:fillRect/>
                    </a:stretch>
                  </pic:blipFill>
                  <pic:spPr>
                    <a:xfrm>
                      <a:off x="0" y="0"/>
                      <a:ext cx="5426205" cy="2308217"/>
                    </a:xfrm>
                    <a:prstGeom prst="rect">
                      <a:avLst/>
                    </a:prstGeom>
                  </pic:spPr>
                </pic:pic>
              </a:graphicData>
            </a:graphic>
          </wp:inline>
        </w:drawing>
      </w:r>
    </w:p>
    <w:p w14:paraId="3507E93E" w14:textId="54B5884D" w:rsidR="00834318" w:rsidRPr="006E0620" w:rsidRDefault="006B5B67" w:rsidP="00834318">
      <w:pPr>
        <w:pStyle w:val="TableDescription"/>
      </w:pPr>
      <w:r w:rsidRPr="006E0620">
        <w:t xml:space="preserve">mRNA = messenger ribonucleic acid; </w:t>
      </w:r>
      <w:r w:rsidR="00834318" w:rsidRPr="006E0620">
        <w:t xml:space="preserve">IM = intramuscular; SMC = </w:t>
      </w:r>
      <w:r w:rsidR="00153008" w:rsidRPr="006E0620">
        <w:t>Safety</w:t>
      </w:r>
      <w:r w:rsidR="00834318" w:rsidRPr="006E0620">
        <w:t xml:space="preserve"> Monitoring Committee; </w:t>
      </w:r>
      <w:r w:rsidR="006A30F6">
        <w:t>COVID</w:t>
      </w:r>
      <w:r w:rsidR="003418B7">
        <w:noBreakHyphen/>
      </w:r>
      <w:r w:rsidR="00834318" w:rsidRPr="006E0620">
        <w:t>19</w:t>
      </w:r>
      <w:r w:rsidR="003418B7">
        <w:t> </w:t>
      </w:r>
      <w:r w:rsidR="00834318" w:rsidRPr="006E0620">
        <w:t>=</w:t>
      </w:r>
      <w:r w:rsidR="003418B7">
        <w:t> </w:t>
      </w:r>
      <w:r w:rsidR="00834318" w:rsidRPr="006E0620">
        <w:t>coronavirus disease 2019.</w:t>
      </w:r>
    </w:p>
    <w:p w14:paraId="3C5E7A4E" w14:textId="6589029A" w:rsidR="00183DD4" w:rsidRPr="006E0620" w:rsidRDefault="00183DD4" w:rsidP="00834318">
      <w:pPr>
        <w:pStyle w:val="Heading4"/>
        <w:rPr>
          <w:rFonts w:eastAsia="Times New Roman"/>
          <w:i/>
        </w:rPr>
      </w:pPr>
      <w:r w:rsidRPr="006E0620">
        <w:t>Pharmacology</w:t>
      </w:r>
    </w:p>
    <w:p w14:paraId="0F86C4CD" w14:textId="41B05D4F" w:rsidR="00183DD4" w:rsidRPr="006E0620" w:rsidRDefault="00183DD4" w:rsidP="00834318">
      <w:r w:rsidRPr="006E0620">
        <w:t xml:space="preserve">The </w:t>
      </w:r>
      <w:proofErr w:type="spellStart"/>
      <w:r w:rsidR="000F1CE8" w:rsidRPr="000F1CE8">
        <w:t>Spikevax</w:t>
      </w:r>
      <w:proofErr w:type="spellEnd"/>
      <w:r w:rsidR="000F1CE8" w:rsidRPr="000F1CE8">
        <w:t xml:space="preserve"> COVID-19 </w:t>
      </w:r>
      <w:r w:rsidRPr="006E0620">
        <w:t xml:space="preserve">mRNA-1273 vaccine contains a nucleoside-modified mRNA encoding the viral </w:t>
      </w:r>
      <w:r w:rsidR="00D73F06" w:rsidRPr="006E0620">
        <w:t>S </w:t>
      </w:r>
      <w:r w:rsidRPr="006E0620">
        <w:t>protein of SARS-CoV-2 formulated in lipid particles. It forms an mRNA-lipid complex (lipid nanoparticle, LNP). The mRNA enc</w:t>
      </w:r>
      <w:r w:rsidR="00325EA3" w:rsidRPr="006E0620">
        <w:t>odes for the pre-fusion stabilis</w:t>
      </w:r>
      <w:r w:rsidR="00D73F06" w:rsidRPr="006E0620">
        <w:t>ed S </w:t>
      </w:r>
      <w:r w:rsidR="005B79A5" w:rsidRPr="006E0620">
        <w:t xml:space="preserve">protein of the 2019 </w:t>
      </w:r>
      <w:r w:rsidRPr="006E0620">
        <w:t>novel Coronavirus (SARS-CoV-2). The four lipids protect and carry the mRNA until the mRNA is delivered to the cells where it</w:t>
      </w:r>
      <w:r w:rsidR="00D73F06" w:rsidRPr="006E0620">
        <w:t xml:space="preserve"> can dictate production of the S </w:t>
      </w:r>
      <w:r w:rsidRPr="006E0620">
        <w:t>pr</w:t>
      </w:r>
      <w:r w:rsidR="00325EA3" w:rsidRPr="006E0620">
        <w:t>otein. The S</w:t>
      </w:r>
      <w:r w:rsidR="003C55CF" w:rsidRPr="006E0620">
        <w:t> </w:t>
      </w:r>
      <w:r w:rsidR="00325EA3" w:rsidRPr="006E0620">
        <w:t>protein is stabilis</w:t>
      </w:r>
      <w:r w:rsidRPr="006E0620">
        <w:t xml:space="preserve">ed in the so-called pre-fusion conformation by two amino acid mutations, K986P and V987P. The </w:t>
      </w:r>
      <w:r w:rsidR="00D73F06" w:rsidRPr="006E0620">
        <w:t>S </w:t>
      </w:r>
      <w:r w:rsidRPr="006E0620">
        <w:t>protein mediates attachment and entry of the virus into host cells (by binding to the angiotensin</w:t>
      </w:r>
      <w:r w:rsidR="005B79A5" w:rsidRPr="006E0620">
        <w:t xml:space="preserve"> </w:t>
      </w:r>
      <w:r w:rsidRPr="006E0620">
        <w:t>converting enzyme 2 receptor followed by membrane fusion), making i</w:t>
      </w:r>
      <w:r w:rsidR="00325EA3" w:rsidRPr="006E0620">
        <w:t>t a primary target for neutralis</w:t>
      </w:r>
      <w:r w:rsidRPr="006E0620">
        <w:t>ing antibodies that prevent infection.</w:t>
      </w:r>
    </w:p>
    <w:p w14:paraId="4038A45F" w14:textId="74AEF7D0" w:rsidR="00183DD4" w:rsidRPr="006E0620" w:rsidRDefault="00183DD4" w:rsidP="00834318">
      <w:r w:rsidRPr="006E0620">
        <w:t>Upon delivery and uptake by body cells the mRNA is translated in the cytosol and SARS</w:t>
      </w:r>
      <w:r w:rsidR="003C55CF" w:rsidRPr="006E0620">
        <w:noBreakHyphen/>
      </w:r>
      <w:r w:rsidRPr="006E0620">
        <w:t>CoV</w:t>
      </w:r>
      <w:r w:rsidR="003C55CF" w:rsidRPr="006E0620">
        <w:noBreakHyphen/>
      </w:r>
      <w:r w:rsidRPr="006E0620">
        <w:t xml:space="preserve">2 </w:t>
      </w:r>
      <w:r w:rsidR="00D73F06" w:rsidRPr="006E0620">
        <w:t>S </w:t>
      </w:r>
      <w:r w:rsidRPr="006E0620">
        <w:t xml:space="preserve">protein is generated by the host cell machinery. The </w:t>
      </w:r>
      <w:r w:rsidR="00D73F06" w:rsidRPr="006E0620">
        <w:t>S </w:t>
      </w:r>
      <w:r w:rsidRPr="006E0620">
        <w:t>protein is presented and elicits an adaptive humoral and cel</w:t>
      </w:r>
      <w:r w:rsidR="00325EA3" w:rsidRPr="006E0620">
        <w:t>lular immune response. Neutralis</w:t>
      </w:r>
      <w:r w:rsidRPr="006E0620">
        <w:t>ing antibodies are directed against it and hence it is considered a relevant target antigen for vaccine development.</w:t>
      </w:r>
    </w:p>
    <w:p w14:paraId="58069751" w14:textId="0E06B658" w:rsidR="00183DD4" w:rsidRPr="006E0620" w:rsidRDefault="00183DD4" w:rsidP="00834318">
      <w:pPr>
        <w:pStyle w:val="Heading4"/>
      </w:pPr>
      <w:r w:rsidRPr="006E0620">
        <w:lastRenderedPageBreak/>
        <w:t>Im</w:t>
      </w:r>
      <w:r w:rsidR="003C55CF" w:rsidRPr="006E0620">
        <w:t>munogenicity (p</w:t>
      </w:r>
      <w:r w:rsidR="00834318" w:rsidRPr="006E0620">
        <w:t>harmacodynamics)</w:t>
      </w:r>
    </w:p>
    <w:p w14:paraId="0FE7F138" w14:textId="5375D35C" w:rsidR="00183DD4" w:rsidRPr="006E0620" w:rsidRDefault="005E4311" w:rsidP="00834318">
      <w:pPr>
        <w:pStyle w:val="Heading5"/>
      </w:pPr>
      <w:r w:rsidRPr="006E0620">
        <w:t xml:space="preserve">Study </w:t>
      </w:r>
      <w:r w:rsidR="00925469" w:rsidRPr="006E0620">
        <w:t>101</w:t>
      </w:r>
    </w:p>
    <w:p w14:paraId="501DAF4F" w14:textId="11565FFD" w:rsidR="00183DD4" w:rsidRPr="006E0620" w:rsidRDefault="005E4311" w:rsidP="00834318">
      <w:r w:rsidRPr="006E0620">
        <w:t xml:space="preserve">Study </w:t>
      </w:r>
      <w:r w:rsidR="00925469" w:rsidRPr="006E0620">
        <w:t>101</w:t>
      </w:r>
      <w:r w:rsidR="000F1CE8">
        <w:t>;</w:t>
      </w:r>
      <w:r w:rsidR="00912D5E" w:rsidRPr="006E0620">
        <w:rPr>
          <w:vertAlign w:val="superscript"/>
        </w:rPr>
        <w:footnoteReference w:id="20"/>
      </w:r>
      <w:r w:rsidR="00912D5E" w:rsidRPr="006E0620">
        <w:rPr>
          <w:vertAlign w:val="superscript"/>
        </w:rPr>
        <w:t>,</w:t>
      </w:r>
      <w:r w:rsidR="00912D5E" w:rsidRPr="006E0620">
        <w:rPr>
          <w:vertAlign w:val="superscript"/>
        </w:rPr>
        <w:footnoteReference w:id="21"/>
      </w:r>
      <w:r w:rsidR="00183DD4" w:rsidRPr="006E0620">
        <w:t xml:space="preserve"> is an ongoing, first in human, open</w:t>
      </w:r>
      <w:r w:rsidRPr="006E0620">
        <w:t xml:space="preserve"> </w:t>
      </w:r>
      <w:r w:rsidR="00183DD4" w:rsidRPr="006E0620">
        <w:t>label, dose</w:t>
      </w:r>
      <w:r w:rsidRPr="006E0620">
        <w:t xml:space="preserve"> </w:t>
      </w:r>
      <w:r w:rsidR="00183DD4" w:rsidRPr="006E0620">
        <w:t xml:space="preserve">escalation, reactogenicity, safety and immunogenicity study conducted in healthy adults </w:t>
      </w:r>
      <w:r w:rsidR="003418B7">
        <w:t xml:space="preserve">(conducted in the </w:t>
      </w:r>
      <w:r w:rsidR="00183DD4" w:rsidRPr="006E0620">
        <w:t xml:space="preserve">USA). Interim analyses are available up to Day 119. </w:t>
      </w:r>
      <w:r w:rsidRPr="006E0620">
        <w:t>Subjects received two doses (28 days apart) of either 25 µg, 50 µg, 100 µg or 250 </w:t>
      </w:r>
      <w:r w:rsidR="00183DD4" w:rsidRPr="006E0620">
        <w:t>µg. The study commenced in adults aged 18</w:t>
      </w:r>
      <w:r w:rsidRPr="006E0620">
        <w:t xml:space="preserve"> to 55 </w:t>
      </w:r>
      <w:r w:rsidR="00183DD4" w:rsidRPr="006E0620">
        <w:t>years (n = 60), with adults aged 56</w:t>
      </w:r>
      <w:r w:rsidRPr="006E0620">
        <w:t xml:space="preserve"> to</w:t>
      </w:r>
      <w:r w:rsidR="00183DD4" w:rsidRPr="006E0620">
        <w:t xml:space="preserve"> 70 (n = 30), and &gt;</w:t>
      </w:r>
      <w:r w:rsidRPr="006E0620">
        <w:t> 71 </w:t>
      </w:r>
      <w:r w:rsidR="00183DD4" w:rsidRPr="006E0620">
        <w:t>years (n = 20) added to the protocol later. Subjects were not screened for SARS-CoV-2 infection before enrolment, but those with a history of COVID-19 or close contact with positive cases within 30 days prior to vaccination were excluded.</w:t>
      </w:r>
    </w:p>
    <w:p w14:paraId="1DDB4BDC" w14:textId="19959218" w:rsidR="00183DD4" w:rsidRPr="006E0620" w:rsidRDefault="00183DD4" w:rsidP="00834318">
      <w:r w:rsidRPr="006E0620">
        <w:t xml:space="preserve">Binding antibody responses against </w:t>
      </w:r>
      <w:r w:rsidR="003418B7">
        <w:t xml:space="preserve">the </w:t>
      </w:r>
      <w:r w:rsidR="003418B7" w:rsidRPr="003418B7">
        <w:t xml:space="preserve">SARS-CoV-2 </w:t>
      </w:r>
      <w:r w:rsidR="00D07C7A" w:rsidRPr="00D07C7A">
        <w:t>spike glycoprotein</w:t>
      </w:r>
      <w:r w:rsidR="00D07C7A">
        <w:t xml:space="preserve"> </w:t>
      </w:r>
      <w:r w:rsidR="003418B7">
        <w:t>(</w:t>
      </w:r>
      <w:r w:rsidRPr="006E0620">
        <w:t>S-2P</w:t>
      </w:r>
      <w:r w:rsidR="003418B7">
        <w:t>)</w:t>
      </w:r>
      <w:r w:rsidRPr="006E0620">
        <w:t xml:space="preserve"> and the isolated receptor</w:t>
      </w:r>
      <w:r w:rsidR="005E4311" w:rsidRPr="006E0620">
        <w:t xml:space="preserve"> </w:t>
      </w:r>
      <w:r w:rsidRPr="006E0620">
        <w:t>binding domain, located in the S1 subunit, were assessed by enzyme</w:t>
      </w:r>
      <w:r w:rsidR="005E4311" w:rsidRPr="006E0620">
        <w:t xml:space="preserve"> </w:t>
      </w:r>
      <w:r w:rsidRPr="006E0620">
        <w:t xml:space="preserve">linked immunosorbent assay (ELISA) based on the </w:t>
      </w:r>
      <w:r w:rsidR="003418B7">
        <w:t>orig</w:t>
      </w:r>
      <w:r w:rsidR="008719C7">
        <w:t xml:space="preserve">inally documented </w:t>
      </w:r>
      <w:r w:rsidRPr="006E0620">
        <w:t>(614D) s</w:t>
      </w:r>
      <w:r w:rsidR="00325EA3" w:rsidRPr="006E0620">
        <w:t>train. Vaccine</w:t>
      </w:r>
      <w:r w:rsidR="005E4311" w:rsidRPr="006E0620">
        <w:t xml:space="preserve"> </w:t>
      </w:r>
      <w:r w:rsidR="00325EA3" w:rsidRPr="006E0620">
        <w:t>induced neutralis</w:t>
      </w:r>
      <w:r w:rsidRPr="006E0620">
        <w:t xml:space="preserve">ing activity was assessed by a </w:t>
      </w:r>
      <w:proofErr w:type="spellStart"/>
      <w:r w:rsidRPr="006E0620">
        <w:t>pseudotyped</w:t>
      </w:r>
      <w:proofErr w:type="spellEnd"/>
      <w:r w:rsidRPr="006E0620">
        <w:t xml:space="preserve"> lentivirus reporter sin</w:t>
      </w:r>
      <w:r w:rsidR="00325EA3" w:rsidRPr="006E0620">
        <w:t>gle</w:t>
      </w:r>
      <w:r w:rsidR="00A833F3" w:rsidRPr="006E0620">
        <w:t xml:space="preserve"> </w:t>
      </w:r>
      <w:r w:rsidR="00325EA3" w:rsidRPr="006E0620">
        <w:t>round</w:t>
      </w:r>
      <w:r w:rsidR="00A833F3" w:rsidRPr="006E0620">
        <w:t xml:space="preserve"> </w:t>
      </w:r>
      <w:r w:rsidR="00325EA3" w:rsidRPr="006E0620">
        <w:t>of</w:t>
      </w:r>
      <w:r w:rsidR="00A833F3" w:rsidRPr="006E0620">
        <w:t xml:space="preserve"> </w:t>
      </w:r>
      <w:r w:rsidR="00325EA3" w:rsidRPr="006E0620">
        <w:t>infection neutralis</w:t>
      </w:r>
      <w:r w:rsidRPr="006E0620">
        <w:t>ation assay (</w:t>
      </w:r>
      <w:proofErr w:type="spellStart"/>
      <w:r w:rsidRPr="006E0620">
        <w:t>PsVNA</w:t>
      </w:r>
      <w:proofErr w:type="spellEnd"/>
      <w:r w:rsidRPr="006E0620">
        <w:t xml:space="preserve">) based on the 614D and 614G </w:t>
      </w:r>
      <w:r w:rsidR="008719C7">
        <w:t xml:space="preserve">(or mutated) </w:t>
      </w:r>
      <w:r w:rsidRPr="006E0620">
        <w:t>strains, and by live wildtype SARS-</w:t>
      </w:r>
      <w:r w:rsidR="00325EA3" w:rsidRPr="006E0620">
        <w:t>CoV-2 plaque</w:t>
      </w:r>
      <w:r w:rsidR="00A833F3" w:rsidRPr="006E0620">
        <w:t xml:space="preserve"> </w:t>
      </w:r>
      <w:r w:rsidR="00325EA3" w:rsidRPr="006E0620">
        <w:t>reduction neutralis</w:t>
      </w:r>
      <w:r w:rsidRPr="006E0620">
        <w:t>ation testing (PRNT) assay. T-cell responses against the</w:t>
      </w:r>
      <w:r w:rsidR="00D73F06" w:rsidRPr="006E0620">
        <w:t xml:space="preserve"> S </w:t>
      </w:r>
      <w:r w:rsidRPr="006E0620">
        <w:t>protein were assessed by an intracellular cytokine</w:t>
      </w:r>
      <w:r w:rsidR="00A833F3" w:rsidRPr="006E0620">
        <w:t xml:space="preserve"> </w:t>
      </w:r>
      <w:r w:rsidRPr="006E0620">
        <w:t>staining assay. Humoral immune responses were compared with conv</w:t>
      </w:r>
      <w:r w:rsidR="00834318" w:rsidRPr="006E0620">
        <w:t>alescent sera from 41 subjects.</w:t>
      </w:r>
    </w:p>
    <w:p w14:paraId="00F9E874" w14:textId="252214E0" w:rsidR="00183DD4" w:rsidRPr="006E0620" w:rsidRDefault="00183DD4" w:rsidP="00834318">
      <w:pPr>
        <w:pStyle w:val="Heading4"/>
      </w:pPr>
      <w:r w:rsidRPr="006E0620">
        <w:t xml:space="preserve">Humoral </w:t>
      </w:r>
      <w:r w:rsidR="00A833F3" w:rsidRPr="006E0620">
        <w:t>immunogenicity</w:t>
      </w:r>
    </w:p>
    <w:p w14:paraId="0E576018" w14:textId="659F0F71" w:rsidR="00183DD4" w:rsidRPr="006E0620" w:rsidRDefault="00183DD4" w:rsidP="00834318">
      <w:r w:rsidRPr="006E0620">
        <w:t>There were dose</w:t>
      </w:r>
      <w:r w:rsidR="00A833F3" w:rsidRPr="006E0620">
        <w:t xml:space="preserve"> </w:t>
      </w:r>
      <w:r w:rsidRPr="006E0620">
        <w:t>dependent binding and neutralising antibody responses that were consistent across age groups, with further increases observed following the second dose (</w:t>
      </w:r>
      <w:r w:rsidR="006A30F6">
        <w:t xml:space="preserve">see </w:t>
      </w:r>
      <w:r w:rsidR="00DE39FC" w:rsidRPr="006E0620">
        <w:rPr>
          <w:color w:val="2B579A"/>
          <w:shd w:val="clear" w:color="auto" w:fill="E6E6E6"/>
        </w:rPr>
        <w:fldChar w:fldCharType="begin"/>
      </w:r>
      <w:r w:rsidR="00DE39FC" w:rsidRPr="006E0620">
        <w:instrText xml:space="preserve"> REF _Ref77951383 \h </w:instrText>
      </w:r>
      <w:r w:rsidR="006E0620">
        <w:instrText xml:space="preserve"> \* MERGEFORMAT </w:instrText>
      </w:r>
      <w:r w:rsidR="00DE39FC" w:rsidRPr="006E0620">
        <w:rPr>
          <w:color w:val="2B579A"/>
          <w:shd w:val="clear" w:color="auto" w:fill="E6E6E6"/>
        </w:rPr>
      </w:r>
      <w:r w:rsidR="00DE39FC" w:rsidRPr="006E0620">
        <w:rPr>
          <w:color w:val="2B579A"/>
          <w:shd w:val="clear" w:color="auto" w:fill="E6E6E6"/>
        </w:rPr>
        <w:fldChar w:fldCharType="separate"/>
      </w:r>
      <w:r w:rsidR="00B1591C" w:rsidRPr="006E0620">
        <w:t xml:space="preserve">Figure </w:t>
      </w:r>
      <w:r w:rsidR="00B1591C">
        <w:rPr>
          <w:noProof/>
        </w:rPr>
        <w:t>2</w:t>
      </w:r>
      <w:r w:rsidR="00DE39FC" w:rsidRPr="006E0620">
        <w:rPr>
          <w:color w:val="2B579A"/>
          <w:shd w:val="clear" w:color="auto" w:fill="E6E6E6"/>
        </w:rPr>
        <w:fldChar w:fldCharType="end"/>
      </w:r>
      <w:r w:rsidR="00DE39FC" w:rsidRPr="006E0620">
        <w:t xml:space="preserve">, </w:t>
      </w:r>
      <w:r w:rsidR="00DE39FC" w:rsidRPr="006E0620">
        <w:rPr>
          <w:color w:val="2B579A"/>
          <w:shd w:val="clear" w:color="auto" w:fill="E6E6E6"/>
        </w:rPr>
        <w:fldChar w:fldCharType="begin"/>
      </w:r>
      <w:r w:rsidR="00DE39FC" w:rsidRPr="006E0620">
        <w:instrText xml:space="preserve"> REF _Ref77951387 \h </w:instrText>
      </w:r>
      <w:r w:rsidR="006E0620">
        <w:instrText xml:space="preserve"> \* MERGEFORMAT </w:instrText>
      </w:r>
      <w:r w:rsidR="00DE39FC" w:rsidRPr="006E0620">
        <w:rPr>
          <w:color w:val="2B579A"/>
          <w:shd w:val="clear" w:color="auto" w:fill="E6E6E6"/>
        </w:rPr>
      </w:r>
      <w:r w:rsidR="00DE39FC" w:rsidRPr="006E0620">
        <w:rPr>
          <w:color w:val="2B579A"/>
          <w:shd w:val="clear" w:color="auto" w:fill="E6E6E6"/>
        </w:rPr>
        <w:fldChar w:fldCharType="separate"/>
      </w:r>
      <w:r w:rsidR="00B1591C" w:rsidRPr="006E0620">
        <w:t xml:space="preserve">Figure </w:t>
      </w:r>
      <w:r w:rsidR="00B1591C">
        <w:rPr>
          <w:noProof/>
        </w:rPr>
        <w:t>3</w:t>
      </w:r>
      <w:r w:rsidR="00DE39FC" w:rsidRPr="006E0620">
        <w:rPr>
          <w:color w:val="2B579A"/>
          <w:shd w:val="clear" w:color="auto" w:fill="E6E6E6"/>
        </w:rPr>
        <w:fldChar w:fldCharType="end"/>
      </w:r>
      <w:r w:rsidR="00DE39FC" w:rsidRPr="006E0620">
        <w:t xml:space="preserve">, </w:t>
      </w:r>
      <w:r w:rsidR="00DE39FC" w:rsidRPr="006E0620">
        <w:rPr>
          <w:color w:val="2B579A"/>
          <w:shd w:val="clear" w:color="auto" w:fill="E6E6E6"/>
        </w:rPr>
        <w:fldChar w:fldCharType="begin"/>
      </w:r>
      <w:r w:rsidR="00DE39FC" w:rsidRPr="006E0620">
        <w:instrText xml:space="preserve"> REF _Ref77951389 \h </w:instrText>
      </w:r>
      <w:r w:rsidR="006E0620">
        <w:instrText xml:space="preserve"> \* MERGEFORMAT </w:instrText>
      </w:r>
      <w:r w:rsidR="00DE39FC" w:rsidRPr="006E0620">
        <w:rPr>
          <w:color w:val="2B579A"/>
          <w:shd w:val="clear" w:color="auto" w:fill="E6E6E6"/>
        </w:rPr>
      </w:r>
      <w:r w:rsidR="00DE39FC" w:rsidRPr="006E0620">
        <w:rPr>
          <w:color w:val="2B579A"/>
          <w:shd w:val="clear" w:color="auto" w:fill="E6E6E6"/>
        </w:rPr>
        <w:fldChar w:fldCharType="separate"/>
      </w:r>
      <w:r w:rsidR="00B1591C" w:rsidRPr="006E0620">
        <w:t xml:space="preserve">Figure </w:t>
      </w:r>
      <w:r w:rsidR="00B1591C">
        <w:rPr>
          <w:noProof/>
        </w:rPr>
        <w:t>4</w:t>
      </w:r>
      <w:r w:rsidR="00DE39FC" w:rsidRPr="006E0620">
        <w:rPr>
          <w:color w:val="2B579A"/>
          <w:shd w:val="clear" w:color="auto" w:fill="E6E6E6"/>
        </w:rPr>
        <w:fldChar w:fldCharType="end"/>
      </w:r>
      <w:r w:rsidR="00DE39FC" w:rsidRPr="006E0620">
        <w:t xml:space="preserve"> and </w:t>
      </w:r>
      <w:r w:rsidR="00DE39FC" w:rsidRPr="006E0620">
        <w:rPr>
          <w:color w:val="2B579A"/>
          <w:shd w:val="clear" w:color="auto" w:fill="E6E6E6"/>
        </w:rPr>
        <w:fldChar w:fldCharType="begin"/>
      </w:r>
      <w:r w:rsidR="00DE39FC" w:rsidRPr="006E0620">
        <w:instrText xml:space="preserve"> REF _Ref77951391 \h </w:instrText>
      </w:r>
      <w:r w:rsidR="006E0620">
        <w:instrText xml:space="preserve"> \* MERGEFORMAT </w:instrText>
      </w:r>
      <w:r w:rsidR="00DE39FC" w:rsidRPr="006E0620">
        <w:rPr>
          <w:color w:val="2B579A"/>
          <w:shd w:val="clear" w:color="auto" w:fill="E6E6E6"/>
        </w:rPr>
      </w:r>
      <w:r w:rsidR="00DE39FC" w:rsidRPr="006E0620">
        <w:rPr>
          <w:color w:val="2B579A"/>
          <w:shd w:val="clear" w:color="auto" w:fill="E6E6E6"/>
        </w:rPr>
        <w:fldChar w:fldCharType="separate"/>
      </w:r>
      <w:r w:rsidR="00B1591C" w:rsidRPr="006E0620">
        <w:t xml:space="preserve">Figure </w:t>
      </w:r>
      <w:r w:rsidR="00B1591C">
        <w:rPr>
          <w:noProof/>
        </w:rPr>
        <w:t>5</w:t>
      </w:r>
      <w:r w:rsidR="00DE39FC" w:rsidRPr="006E0620">
        <w:rPr>
          <w:color w:val="2B579A"/>
          <w:shd w:val="clear" w:color="auto" w:fill="E6E6E6"/>
        </w:rPr>
        <w:fldChar w:fldCharType="end"/>
      </w:r>
      <w:r w:rsidRPr="006E0620">
        <w:t>). Median titres for the 100</w:t>
      </w:r>
      <w:r w:rsidR="00A833F3" w:rsidRPr="006E0620">
        <w:t> </w:t>
      </w:r>
      <w:r w:rsidRPr="006E0620">
        <w:t>µg dose groups remained above median titres from convalescent sera through 3 months following the second dose (data not available beyond this time point)</w:t>
      </w:r>
      <w:r w:rsidR="00912D5E">
        <w:t>.</w:t>
      </w:r>
      <w:r w:rsidRPr="006E0620">
        <w:rPr>
          <w:vertAlign w:val="superscript"/>
        </w:rPr>
        <w:footnoteReference w:id="22"/>
      </w:r>
      <w:r w:rsidRPr="006E0620">
        <w:t xml:space="preserve"> Data from a small number of participants (n</w:t>
      </w:r>
      <w:r w:rsidR="003A0FF5" w:rsidRPr="006E0620">
        <w:t> </w:t>
      </w:r>
      <w:r w:rsidRPr="006E0620">
        <w:t>=</w:t>
      </w:r>
      <w:r w:rsidR="003A0FF5" w:rsidRPr="006E0620">
        <w:t> </w:t>
      </w:r>
      <w:r w:rsidRPr="006E0620">
        <w:t xml:space="preserve">33) demonstrate persistence of </w:t>
      </w:r>
      <w:r w:rsidR="00167640" w:rsidRPr="006E0620">
        <w:t>binding antibodies</w:t>
      </w:r>
      <w:r w:rsidRPr="006E0620">
        <w:t xml:space="preserve"> and </w:t>
      </w:r>
      <w:r w:rsidR="00167640" w:rsidRPr="006E0620">
        <w:t xml:space="preserve">neutralising antibodies </w:t>
      </w:r>
      <w:r w:rsidRPr="006E0620">
        <w:t>through 6 months after the second dose.</w:t>
      </w:r>
      <w:r w:rsidRPr="006E0620">
        <w:rPr>
          <w:vertAlign w:val="superscript"/>
        </w:rPr>
        <w:footnoteReference w:id="23"/>
      </w:r>
    </w:p>
    <w:p w14:paraId="490E23CE" w14:textId="6224985F" w:rsidR="00183DD4" w:rsidRDefault="00A833F3" w:rsidP="00DE39FC">
      <w:pPr>
        <w:pStyle w:val="FigureTitle"/>
      </w:pPr>
      <w:bookmarkStart w:id="46" w:name="_Ref77951383"/>
      <w:r w:rsidRPr="006E0620">
        <w:lastRenderedPageBreak/>
        <w:t xml:space="preserve">Figure </w:t>
      </w:r>
      <w:r>
        <w:fldChar w:fldCharType="begin"/>
      </w:r>
      <w:r>
        <w:instrText>SEQ Figure \* ARABIC</w:instrText>
      </w:r>
      <w:r>
        <w:fldChar w:fldCharType="separate"/>
      </w:r>
      <w:r w:rsidR="00B1591C">
        <w:rPr>
          <w:noProof/>
        </w:rPr>
        <w:t>2</w:t>
      </w:r>
      <w:r>
        <w:fldChar w:fldCharType="end"/>
      </w:r>
      <w:bookmarkEnd w:id="46"/>
      <w:r w:rsidR="00183DD4" w:rsidRPr="006E0620">
        <w:t xml:space="preserve">: </w:t>
      </w:r>
      <w:r w:rsidR="00365721" w:rsidRPr="006E0620">
        <w:t xml:space="preserve">Study 101 </w:t>
      </w:r>
      <w:r w:rsidR="00183DD4" w:rsidRPr="006E0620">
        <w:t>Serum</w:t>
      </w:r>
      <w:r w:rsidRPr="006E0620">
        <w:t xml:space="preserve"> </w:t>
      </w:r>
      <w:r w:rsidR="003A0FF5" w:rsidRPr="006E0620">
        <w:t>i</w:t>
      </w:r>
      <w:r w:rsidRPr="006E0620">
        <w:t>mmunoglobulin G</w:t>
      </w:r>
      <w:r w:rsidR="00183DD4" w:rsidRPr="006E0620">
        <w:t xml:space="preserve"> </w:t>
      </w:r>
      <w:r w:rsidR="007B435F" w:rsidRPr="006E0620">
        <w:t>enzyme</w:t>
      </w:r>
      <w:r w:rsidR="00912D5E">
        <w:t>-</w:t>
      </w:r>
      <w:r w:rsidR="007B435F" w:rsidRPr="006E0620">
        <w:t xml:space="preserve">linked immunosorbent assay </w:t>
      </w:r>
      <w:r w:rsidR="00183DD4" w:rsidRPr="006E0620">
        <w:t>endpoint titre (</w:t>
      </w:r>
      <w:r w:rsidR="00167640" w:rsidRPr="006E0620">
        <w:t>binding antibodies</w:t>
      </w:r>
      <w:r w:rsidR="00912D5E">
        <w:t xml:space="preserve">, </w:t>
      </w:r>
      <w:r w:rsidR="00183DD4" w:rsidRPr="006E0620">
        <w:t>S-2P) by time point and group (</w:t>
      </w:r>
      <w:r w:rsidR="004716C1" w:rsidRPr="006E0620">
        <w:t>per</w:t>
      </w:r>
      <w:r w:rsidR="00753245">
        <w:noBreakHyphen/>
      </w:r>
      <w:r w:rsidR="004716C1" w:rsidRPr="006E0620">
        <w:t>protocol</w:t>
      </w:r>
      <w:r w:rsidR="00AF7999" w:rsidRPr="006E0620">
        <w:t>;</w:t>
      </w:r>
      <w:r w:rsidR="00AF7999" w:rsidRPr="006E0620">
        <w:rPr>
          <w:rStyle w:val="FootnoteReference"/>
        </w:rPr>
        <w:footnoteReference w:id="24"/>
      </w:r>
      <w:r w:rsidR="00183DD4" w:rsidRPr="006E0620">
        <w:t>)</w:t>
      </w:r>
    </w:p>
    <w:p w14:paraId="7C9936F3" w14:textId="07DB4882" w:rsidR="00753245" w:rsidRDefault="00753245" w:rsidP="00CD55D9">
      <w:r>
        <w:rPr>
          <w:noProof/>
          <w:lang w:val="en-GB" w:eastAsia="en-GB"/>
        </w:rPr>
        <w:drawing>
          <wp:inline distT="0" distB="0" distL="0" distR="0" wp14:anchorId="7106007D" wp14:editId="1A57BCA6">
            <wp:extent cx="4525649" cy="8061350"/>
            <wp:effectExtent l="0" t="0" r="0" b="0"/>
            <wp:docPr id="5" name="Picture 5" descr="Study 101 Serum immunoglobulin G enzyme-linked immunosorbent assay endpoint titre (binding antibodies, S-2P) by time point and grou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101 Serum immunoglobulin G enzyme-linked immunosorbent assay endpoint titre (binding antibodies, S-2P) by time point and group (per protoc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1087" cy="8088849"/>
                    </a:xfrm>
                    <a:prstGeom prst="rect">
                      <a:avLst/>
                    </a:prstGeom>
                    <a:noFill/>
                    <a:ln>
                      <a:noFill/>
                    </a:ln>
                  </pic:spPr>
                </pic:pic>
              </a:graphicData>
            </a:graphic>
          </wp:inline>
        </w:drawing>
      </w:r>
    </w:p>
    <w:p w14:paraId="0279549C" w14:textId="6FC7F28D" w:rsidR="00D07C7A" w:rsidRDefault="00D07C7A" w:rsidP="00F87B27">
      <w:pPr>
        <w:pStyle w:val="TableDescription"/>
      </w:pPr>
      <w:r w:rsidRPr="00D07C7A">
        <w:t>S-2P</w:t>
      </w:r>
      <w:r>
        <w:t xml:space="preserve"> =</w:t>
      </w:r>
      <w:r w:rsidRPr="00D07C7A">
        <w:t xml:space="preserve"> SARS-CoV-2 </w:t>
      </w:r>
      <w:r>
        <w:t>s</w:t>
      </w:r>
      <w:r w:rsidRPr="00D07C7A">
        <w:t>pike glycoprotein</w:t>
      </w:r>
      <w:r>
        <w:t>.</w:t>
      </w:r>
    </w:p>
    <w:p w14:paraId="49052026" w14:textId="3A9C6BA1" w:rsidR="00183DD4" w:rsidRPr="006E0620" w:rsidRDefault="00183DD4" w:rsidP="00183DD4">
      <w:pPr>
        <w:rPr>
          <w:sz w:val="18"/>
        </w:rPr>
      </w:pPr>
    </w:p>
    <w:p w14:paraId="64AF2A5E" w14:textId="212BE3BD" w:rsidR="00183DD4" w:rsidRDefault="00DE39FC" w:rsidP="00DE39FC">
      <w:pPr>
        <w:pStyle w:val="FigureTitle"/>
      </w:pPr>
      <w:bookmarkStart w:id="47" w:name="_Ref77951387"/>
      <w:r w:rsidRPr="006E0620">
        <w:lastRenderedPageBreak/>
        <w:t xml:space="preserve">Figure </w:t>
      </w:r>
      <w:r w:rsidR="006B5B67">
        <w:fldChar w:fldCharType="begin"/>
      </w:r>
      <w:r w:rsidR="006B5B67">
        <w:instrText>SEQ Figure \* ARABIC</w:instrText>
      </w:r>
      <w:r w:rsidR="006B5B67">
        <w:fldChar w:fldCharType="separate"/>
      </w:r>
      <w:r w:rsidR="00B1591C">
        <w:rPr>
          <w:noProof/>
        </w:rPr>
        <w:t>3</w:t>
      </w:r>
      <w:r w:rsidR="006B5B67">
        <w:fldChar w:fldCharType="end"/>
      </w:r>
      <w:bookmarkEnd w:id="47"/>
      <w:r w:rsidR="00183DD4" w:rsidRPr="006E0620">
        <w:t xml:space="preserve">: </w:t>
      </w:r>
      <w:r w:rsidR="00365721" w:rsidRPr="006E0620">
        <w:t xml:space="preserve">Study 101 </w:t>
      </w:r>
      <w:r w:rsidR="00183DD4" w:rsidRPr="006E0620">
        <w:t xml:space="preserve">Serum </w:t>
      </w:r>
      <w:r w:rsidR="00365721" w:rsidRPr="006E0620">
        <w:t>immunoglobulin G enzyme</w:t>
      </w:r>
      <w:r w:rsidR="00EA546B">
        <w:t>-</w:t>
      </w:r>
      <w:r w:rsidR="00365721" w:rsidRPr="006E0620">
        <w:t xml:space="preserve">linked immunosorbent assay </w:t>
      </w:r>
      <w:r w:rsidR="00183DD4" w:rsidRPr="006E0620">
        <w:t>endpoint titre (</w:t>
      </w:r>
      <w:r w:rsidR="00167640" w:rsidRPr="006E0620">
        <w:t>binding antibodies</w:t>
      </w:r>
      <w:r w:rsidR="00EA546B">
        <w:t>,</w:t>
      </w:r>
      <w:r w:rsidR="00183DD4" w:rsidRPr="006E0620">
        <w:t xml:space="preserve"> </w:t>
      </w:r>
      <w:r w:rsidR="00365721" w:rsidRPr="006E0620">
        <w:t>receptor binding domain</w:t>
      </w:r>
      <w:r w:rsidR="00183DD4" w:rsidRPr="006E0620">
        <w:t>) by time point and group (</w:t>
      </w:r>
      <w:r w:rsidR="00365721" w:rsidRPr="006E0620">
        <w:t>per</w:t>
      </w:r>
      <w:r w:rsidR="00EA546B">
        <w:noBreakHyphen/>
      </w:r>
      <w:r w:rsidR="00365721" w:rsidRPr="006E0620">
        <w:t>protocol)</w:t>
      </w:r>
    </w:p>
    <w:p w14:paraId="012BE3AE" w14:textId="77777777" w:rsidR="00520423" w:rsidRDefault="00753245" w:rsidP="00CD55D9">
      <w:r>
        <w:rPr>
          <w:noProof/>
          <w:lang w:val="en-GB" w:eastAsia="en-GB"/>
        </w:rPr>
        <w:drawing>
          <wp:inline distT="0" distB="0" distL="0" distR="0" wp14:anchorId="7C817E2B" wp14:editId="7C4AD00A">
            <wp:extent cx="4611757" cy="7907419"/>
            <wp:effectExtent l="0" t="0" r="0" b="0"/>
            <wp:docPr id="16" name="Picture 16" descr="Study 101 Serum immunoglobulin G enzyme-linked immunosorbent assay endpoint titre (binding antibodies, receptor binding domain) by time point and grou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101 Serum immunoglobulin G enzyme-linked immunosorbent assay endpoint titre (binding antibodies, receptor binding domain) by time point and group (per protoc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4648" cy="7929522"/>
                    </a:xfrm>
                    <a:prstGeom prst="rect">
                      <a:avLst/>
                    </a:prstGeom>
                    <a:noFill/>
                    <a:ln>
                      <a:noFill/>
                    </a:ln>
                  </pic:spPr>
                </pic:pic>
              </a:graphicData>
            </a:graphic>
          </wp:inline>
        </w:drawing>
      </w:r>
    </w:p>
    <w:p w14:paraId="7DEDE09A" w14:textId="05C8BDF4" w:rsidR="006B5B67" w:rsidRPr="00520423" w:rsidRDefault="006B5B67">
      <w:pPr>
        <w:pStyle w:val="TableDescription"/>
      </w:pPr>
      <w:r w:rsidRPr="00520423">
        <w:t xml:space="preserve">RBD = </w:t>
      </w:r>
      <w:r w:rsidRPr="003739CB">
        <w:t>receptor binding domain</w:t>
      </w:r>
    </w:p>
    <w:p w14:paraId="77F01759" w14:textId="402B7EA0" w:rsidR="00183DD4" w:rsidRDefault="00DE39FC" w:rsidP="00DE39FC">
      <w:pPr>
        <w:pStyle w:val="FigureTitle"/>
      </w:pPr>
      <w:bookmarkStart w:id="48" w:name="_Ref77951389"/>
      <w:r w:rsidRPr="006E0620">
        <w:lastRenderedPageBreak/>
        <w:t xml:space="preserve">Figure </w:t>
      </w:r>
      <w:r w:rsidR="004A17E3">
        <w:fldChar w:fldCharType="begin"/>
      </w:r>
      <w:r w:rsidR="004A17E3">
        <w:instrText>SEQ Figure \* ARABIC</w:instrText>
      </w:r>
      <w:r w:rsidR="004A17E3">
        <w:fldChar w:fldCharType="separate"/>
      </w:r>
      <w:r w:rsidR="00B1591C">
        <w:rPr>
          <w:noProof/>
        </w:rPr>
        <w:t>4</w:t>
      </w:r>
      <w:r w:rsidR="004A17E3">
        <w:fldChar w:fldCharType="end"/>
      </w:r>
      <w:bookmarkEnd w:id="48"/>
      <w:r w:rsidR="00183DD4" w:rsidRPr="006E0620">
        <w:t xml:space="preserve">: </w:t>
      </w:r>
      <w:r w:rsidR="00365721" w:rsidRPr="006E0620">
        <w:t xml:space="preserve">Study 101 </w:t>
      </w:r>
      <w:r w:rsidR="00183DD4" w:rsidRPr="006E0620">
        <w:t xml:space="preserve">Neutralising </w:t>
      </w:r>
      <w:r w:rsidR="00365721" w:rsidRPr="006E0620">
        <w:t xml:space="preserve">antibody </w:t>
      </w:r>
      <w:r w:rsidR="00183DD4" w:rsidRPr="006E0620">
        <w:t>(</w:t>
      </w:r>
      <w:proofErr w:type="spellStart"/>
      <w:r w:rsidR="00BA5024" w:rsidRPr="006E0620">
        <w:t>pseudotyped</w:t>
      </w:r>
      <w:proofErr w:type="spellEnd"/>
      <w:r w:rsidR="00BA5024" w:rsidRPr="006E0620">
        <w:t xml:space="preserve"> lentivirus single round of </w:t>
      </w:r>
      <w:r w:rsidR="004A17E3" w:rsidRPr="006E0620">
        <w:t>infection neutrali</w:t>
      </w:r>
      <w:r w:rsidR="00FA34DF">
        <w:t>s</w:t>
      </w:r>
      <w:r w:rsidR="004A17E3" w:rsidRPr="006E0620">
        <w:t>ation assay</w:t>
      </w:r>
      <w:r w:rsidR="00183DD4" w:rsidRPr="006E0620">
        <w:t xml:space="preserve">) </w:t>
      </w:r>
      <w:r w:rsidR="00365721" w:rsidRPr="006E0620">
        <w:t xml:space="preserve">50% inhibitory dose </w:t>
      </w:r>
      <w:r w:rsidR="00183DD4" w:rsidRPr="006E0620">
        <w:t>titres by time point and treatment group (</w:t>
      </w:r>
      <w:r w:rsidR="004A17E3" w:rsidRPr="006E0620">
        <w:t>per</w:t>
      </w:r>
      <w:r w:rsidR="00AF7999" w:rsidRPr="006E0620">
        <w:t>-</w:t>
      </w:r>
      <w:r w:rsidR="004A17E3" w:rsidRPr="006E0620">
        <w:t>protocol</w:t>
      </w:r>
      <w:r w:rsidR="00183DD4" w:rsidRPr="006E0620">
        <w:t>)</w:t>
      </w:r>
    </w:p>
    <w:p w14:paraId="6F64B94E" w14:textId="2B20AB5B" w:rsidR="008932A7" w:rsidRPr="006E0620" w:rsidRDefault="003739CB" w:rsidP="00CD55D9">
      <w:r>
        <w:rPr>
          <w:noProof/>
          <w:lang w:val="en-GB" w:eastAsia="en-GB"/>
        </w:rPr>
        <w:drawing>
          <wp:inline distT="0" distB="0" distL="0" distR="0" wp14:anchorId="486D7687" wp14:editId="6D1FF3D1">
            <wp:extent cx="4639448" cy="7951304"/>
            <wp:effectExtent l="0" t="0" r="0" b="0"/>
            <wp:docPr id="19" name="Picture 19" descr="Study 101 Neutralising antibody (pseudotyped lentivirus single round of infection neutralisation assay) 50% inhibitory dose titres by time point and treatment group (per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101 Neutralising antibody (pseudotyped lentivirus single round of infection neutralisation assay) 50% inhibitory dose titres by time point and treatment group (per protoc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6506" cy="7963400"/>
                    </a:xfrm>
                    <a:prstGeom prst="rect">
                      <a:avLst/>
                    </a:prstGeom>
                    <a:noFill/>
                    <a:ln>
                      <a:noFill/>
                    </a:ln>
                  </pic:spPr>
                </pic:pic>
              </a:graphicData>
            </a:graphic>
          </wp:inline>
        </w:drawing>
      </w:r>
    </w:p>
    <w:p w14:paraId="3E96EABF" w14:textId="695E299A" w:rsidR="006B5B67" w:rsidRPr="006E0620" w:rsidRDefault="006B5B67">
      <w:pPr>
        <w:pStyle w:val="TableDescription"/>
      </w:pPr>
      <w:r w:rsidRPr="006E0620">
        <w:t>ID</w:t>
      </w:r>
      <w:r w:rsidRPr="006E0620">
        <w:rPr>
          <w:vertAlign w:val="subscript"/>
        </w:rPr>
        <w:t>50</w:t>
      </w:r>
      <w:r w:rsidRPr="006E0620">
        <w:t xml:space="preserve"> = 50% inhibitory dose</w:t>
      </w:r>
    </w:p>
    <w:p w14:paraId="50CF084F" w14:textId="00DF786C" w:rsidR="00183DD4" w:rsidRDefault="00DE39FC" w:rsidP="00DE39FC">
      <w:pPr>
        <w:pStyle w:val="FigureTitle"/>
      </w:pPr>
      <w:bookmarkStart w:id="49" w:name="_Ref77951391"/>
      <w:r w:rsidRPr="006E0620">
        <w:lastRenderedPageBreak/>
        <w:t xml:space="preserve">Figure </w:t>
      </w:r>
      <w:r>
        <w:fldChar w:fldCharType="begin"/>
      </w:r>
      <w:r>
        <w:instrText>SEQ Figure \* ARABIC</w:instrText>
      </w:r>
      <w:r>
        <w:fldChar w:fldCharType="separate"/>
      </w:r>
      <w:r w:rsidR="00B1591C">
        <w:rPr>
          <w:noProof/>
        </w:rPr>
        <w:t>5</w:t>
      </w:r>
      <w:r>
        <w:fldChar w:fldCharType="end"/>
      </w:r>
      <w:bookmarkEnd w:id="49"/>
      <w:r w:rsidR="00183DD4" w:rsidRPr="006E0620">
        <w:t xml:space="preserve">: Neutralising </w:t>
      </w:r>
      <w:r w:rsidR="00BA5024" w:rsidRPr="006E0620">
        <w:t xml:space="preserve">antibody </w:t>
      </w:r>
      <w:r w:rsidR="00183DD4" w:rsidRPr="006E0620">
        <w:t>(</w:t>
      </w:r>
      <w:r w:rsidR="00BA5024" w:rsidRPr="006E0620">
        <w:t>plaque reduction neutralisation testing</w:t>
      </w:r>
      <w:r w:rsidR="00183DD4" w:rsidRPr="006E0620">
        <w:t xml:space="preserve">) </w:t>
      </w:r>
      <w:r w:rsidR="00BA5024" w:rsidRPr="006E0620">
        <w:t>80% inhibitory dose</w:t>
      </w:r>
      <w:r w:rsidR="00183DD4" w:rsidRPr="006E0620">
        <w:t xml:space="preserve"> titres by time point and treatment group (</w:t>
      </w:r>
      <w:r w:rsidR="00BA5024" w:rsidRPr="006E0620">
        <w:t>per</w:t>
      </w:r>
      <w:r w:rsidR="00AF7999" w:rsidRPr="006E0620">
        <w:t>-</w:t>
      </w:r>
      <w:r w:rsidR="00BA5024" w:rsidRPr="006E0620">
        <w:t>protocol</w:t>
      </w:r>
      <w:r w:rsidR="00183DD4" w:rsidRPr="006E0620">
        <w:t>)</w:t>
      </w:r>
    </w:p>
    <w:p w14:paraId="5659E145" w14:textId="08572C08" w:rsidR="003739CB" w:rsidRDefault="003739CB" w:rsidP="00CD55D9">
      <w:r>
        <w:rPr>
          <w:noProof/>
          <w:lang w:val="en-GB" w:eastAsia="en-GB"/>
        </w:rPr>
        <w:drawing>
          <wp:inline distT="0" distB="0" distL="0" distR="0" wp14:anchorId="37A1D43F" wp14:editId="3A195720">
            <wp:extent cx="5163553" cy="8197794"/>
            <wp:effectExtent l="0" t="0" r="0" b="0"/>
            <wp:docPr id="20" name="Picture 20" descr="Neutralising antibody (plaque reduction neutralisation testing) 80% inhibitory dose titres by time point and treatment group (per-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utralising antibody (plaque reduction neutralisation testing) 80% inhibitory dose titres by time point and treatment group (per-protoc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0335" cy="8208562"/>
                    </a:xfrm>
                    <a:prstGeom prst="rect">
                      <a:avLst/>
                    </a:prstGeom>
                    <a:noFill/>
                    <a:ln>
                      <a:noFill/>
                    </a:ln>
                  </pic:spPr>
                </pic:pic>
              </a:graphicData>
            </a:graphic>
          </wp:inline>
        </w:drawing>
      </w:r>
    </w:p>
    <w:p w14:paraId="00C7F11C" w14:textId="392C6F67" w:rsidR="006B5B67" w:rsidRPr="006E0620" w:rsidRDefault="006B5B67">
      <w:pPr>
        <w:pStyle w:val="TableDescription"/>
      </w:pPr>
      <w:r w:rsidRPr="006E0620">
        <w:t>ID</w:t>
      </w:r>
      <w:r w:rsidRPr="006E0620">
        <w:rPr>
          <w:vertAlign w:val="subscript"/>
        </w:rPr>
        <w:t>80</w:t>
      </w:r>
      <w:r w:rsidRPr="006E0620">
        <w:t xml:space="preserve"> = 80% inhibitory dose</w:t>
      </w:r>
    </w:p>
    <w:p w14:paraId="4AD26A51" w14:textId="77777777" w:rsidR="00183DD4" w:rsidRPr="006E0620" w:rsidRDefault="00183DD4" w:rsidP="00613CBB">
      <w:pPr>
        <w:pStyle w:val="Heading4"/>
      </w:pPr>
      <w:r w:rsidRPr="006E0620">
        <w:lastRenderedPageBreak/>
        <w:t>Cellular immunogenicity</w:t>
      </w:r>
    </w:p>
    <w:p w14:paraId="05457B86" w14:textId="040F1900" w:rsidR="00183DD4" w:rsidRPr="006E0620" w:rsidRDefault="00183DD4" w:rsidP="00613CBB">
      <w:r w:rsidRPr="006E0620">
        <w:t xml:space="preserve">Specificity of the </w:t>
      </w:r>
      <w:r w:rsidR="00287F1A" w:rsidRPr="006E0620">
        <w:t>intracellular cytokine staining (</w:t>
      </w:r>
      <w:r w:rsidRPr="006E0620">
        <w:t>ICS</w:t>
      </w:r>
      <w:r w:rsidR="00287F1A" w:rsidRPr="006E0620">
        <w:t>)</w:t>
      </w:r>
      <w:r w:rsidRPr="006E0620">
        <w:t xml:space="preserve"> assay was confirmed by comparison of convalescent sera with SARS-CoV-2-naïve </w:t>
      </w:r>
      <w:r w:rsidR="00287F1A" w:rsidRPr="006E0620">
        <w:t>peripheral blood mononuclear cell (</w:t>
      </w:r>
      <w:r w:rsidRPr="006E0620">
        <w:t>PBMC</w:t>
      </w:r>
      <w:r w:rsidR="00287F1A" w:rsidRPr="006E0620">
        <w:t>)</w:t>
      </w:r>
      <w:r w:rsidRPr="006E0620">
        <w:t xml:space="preserve"> samples. Following dosing with </w:t>
      </w:r>
      <w:r w:rsidR="008719C7">
        <w:t xml:space="preserve">the </w:t>
      </w:r>
      <w:proofErr w:type="spellStart"/>
      <w:r w:rsidR="00EA546B">
        <w:t>Spik</w:t>
      </w:r>
      <w:r w:rsidR="008719C7">
        <w:t>e</w:t>
      </w:r>
      <w:r w:rsidR="00EA546B">
        <w:t>vax</w:t>
      </w:r>
      <w:proofErr w:type="spellEnd"/>
      <w:r w:rsidR="00EA546B">
        <w:t xml:space="preserve"> COVID-19 </w:t>
      </w:r>
      <w:r w:rsidRPr="006E0620">
        <w:t>mRNA-1273</w:t>
      </w:r>
      <w:r w:rsidR="00EA546B">
        <w:t xml:space="preserve"> vaccine</w:t>
      </w:r>
      <w:r w:rsidRPr="006E0620">
        <w:t xml:space="preserve">, a </w:t>
      </w:r>
      <w:r w:rsidR="00287F1A" w:rsidRPr="006E0620">
        <w:t>Th-1</w:t>
      </w:r>
      <w:r w:rsidRPr="006E0620">
        <w:t xml:space="preserve"> </w:t>
      </w:r>
      <w:r w:rsidR="008719C7">
        <w:t xml:space="preserve">cell </w:t>
      </w:r>
      <w:r w:rsidRPr="006E0620">
        <w:t xml:space="preserve">dominant, </w:t>
      </w:r>
      <w:r w:rsidR="00287F1A" w:rsidRPr="006E0620">
        <w:t>cluster of differentiation 4</w:t>
      </w:r>
      <w:r w:rsidR="008719C7" w:rsidRPr="008A6767">
        <w:rPr>
          <w:vertAlign w:val="superscript"/>
        </w:rPr>
        <w:t>+</w:t>
      </w:r>
      <w:r w:rsidR="00287F1A" w:rsidRPr="006E0620">
        <w:t xml:space="preserve"> (</w:t>
      </w:r>
      <w:r w:rsidRPr="006E0620">
        <w:t>CD4</w:t>
      </w:r>
      <w:r w:rsidR="00287F1A" w:rsidRPr="006E0620">
        <w:t>)</w:t>
      </w:r>
      <w:r w:rsidR="00613CBB" w:rsidRPr="006E0620">
        <w:t xml:space="preserve"> T-cell response was observed.</w:t>
      </w:r>
    </w:p>
    <w:p w14:paraId="55A06BD7" w14:textId="77777777" w:rsidR="00183DD4" w:rsidRPr="006E0620" w:rsidRDefault="00183DD4" w:rsidP="00613CBB">
      <w:pPr>
        <w:pStyle w:val="Heading6"/>
      </w:pPr>
      <w:r w:rsidRPr="006E0620">
        <w:t>Dose selection</w:t>
      </w:r>
    </w:p>
    <w:p w14:paraId="0655FEBC" w14:textId="44A6BB22" w:rsidR="00183DD4" w:rsidRPr="006E0620" w:rsidRDefault="00247854" w:rsidP="00613CBB">
      <w:proofErr w:type="gramStart"/>
      <w:r w:rsidRPr="006E0620">
        <w:t>On the basis of</w:t>
      </w:r>
      <w:proofErr w:type="gramEnd"/>
      <w:r w:rsidRPr="006E0620">
        <w:t xml:space="preserve"> these Phase I</w:t>
      </w:r>
      <w:r w:rsidR="00183DD4" w:rsidRPr="006E0620">
        <w:t xml:space="preserve"> results, the 100</w:t>
      </w:r>
      <w:r w:rsidR="00287F1A" w:rsidRPr="006E0620">
        <w:t> </w:t>
      </w:r>
      <w:proofErr w:type="spellStart"/>
      <w:r w:rsidR="00183DD4" w:rsidRPr="006E0620">
        <w:t>μg</w:t>
      </w:r>
      <w:proofErr w:type="spellEnd"/>
      <w:r w:rsidR="00183DD4" w:rsidRPr="006E0620">
        <w:t xml:space="preserve"> dose of </w:t>
      </w:r>
      <w:proofErr w:type="spellStart"/>
      <w:r w:rsidR="00EA546B">
        <w:t>Spikevax</w:t>
      </w:r>
      <w:proofErr w:type="spellEnd"/>
      <w:r w:rsidR="00EA546B">
        <w:t xml:space="preserve"> COVID-19 </w:t>
      </w:r>
      <w:r w:rsidR="00183DD4" w:rsidRPr="006E0620">
        <w:t>mRNA-1273</w:t>
      </w:r>
      <w:r w:rsidR="00EA546B">
        <w:t xml:space="preserve"> vaccine</w:t>
      </w:r>
      <w:r w:rsidR="00183DD4" w:rsidRPr="006E0620">
        <w:t xml:space="preserve"> was selected for further study, given its:</w:t>
      </w:r>
    </w:p>
    <w:p w14:paraId="2C1A2DCB" w14:textId="402F0695" w:rsidR="00183DD4" w:rsidRPr="006E0620" w:rsidRDefault="00183DD4" w:rsidP="00613CBB">
      <w:pPr>
        <w:pStyle w:val="ListBullet"/>
      </w:pPr>
      <w:r w:rsidRPr="006E0620">
        <w:t>greater immunogenicity compared with the 25</w:t>
      </w:r>
      <w:r w:rsidR="00287F1A" w:rsidRPr="006E0620">
        <w:t> </w:t>
      </w:r>
      <w:r w:rsidRPr="006E0620">
        <w:t xml:space="preserve">µg </w:t>
      </w:r>
      <w:proofErr w:type="gramStart"/>
      <w:r w:rsidRPr="006E0620">
        <w:t>dose</w:t>
      </w:r>
      <w:r w:rsidR="00287F1A" w:rsidRPr="006E0620">
        <w:t>;</w:t>
      </w:r>
      <w:proofErr w:type="gramEnd"/>
    </w:p>
    <w:p w14:paraId="035B80C5" w14:textId="3BCDEDEE" w:rsidR="00183DD4" w:rsidRPr="006E0620" w:rsidRDefault="00183DD4" w:rsidP="00613CBB">
      <w:pPr>
        <w:pStyle w:val="ListBullet"/>
      </w:pPr>
      <w:r w:rsidRPr="006E0620">
        <w:t xml:space="preserve">neutralising antibody responses comparable with the </w:t>
      </w:r>
      <w:proofErr w:type="gramStart"/>
      <w:r w:rsidRPr="006E0620">
        <w:t>250</w:t>
      </w:r>
      <w:r w:rsidR="00287F1A" w:rsidRPr="006E0620">
        <w:t> </w:t>
      </w:r>
      <w:r w:rsidRPr="006E0620">
        <w:t>µg</w:t>
      </w:r>
      <w:proofErr w:type="gramEnd"/>
      <w:r w:rsidRPr="006E0620">
        <w:t xml:space="preserve"> dose</w:t>
      </w:r>
      <w:r w:rsidR="00287F1A" w:rsidRPr="006E0620">
        <w:t>;</w:t>
      </w:r>
      <w:r w:rsidR="008719C7">
        <w:t xml:space="preserve"> and</w:t>
      </w:r>
    </w:p>
    <w:p w14:paraId="6867A5A2" w14:textId="1A264F75" w:rsidR="00183DD4" w:rsidRPr="006E0620" w:rsidRDefault="008719C7" w:rsidP="00613CBB">
      <w:pPr>
        <w:pStyle w:val="ListBullet"/>
      </w:pPr>
      <w:r>
        <w:t xml:space="preserve">its </w:t>
      </w:r>
      <w:r w:rsidR="00183DD4" w:rsidRPr="006E0620">
        <w:t xml:space="preserve">reactogenicity profile more favourable compared with the </w:t>
      </w:r>
      <w:proofErr w:type="gramStart"/>
      <w:r w:rsidR="00183DD4" w:rsidRPr="006E0620">
        <w:t>250</w:t>
      </w:r>
      <w:r w:rsidR="00287F1A" w:rsidRPr="006E0620">
        <w:t> </w:t>
      </w:r>
      <w:r w:rsidR="00183DD4" w:rsidRPr="006E0620">
        <w:t>µg</w:t>
      </w:r>
      <w:proofErr w:type="gramEnd"/>
      <w:r w:rsidR="00183DD4" w:rsidRPr="006E0620">
        <w:t xml:space="preserve"> dose</w:t>
      </w:r>
      <w:r w:rsidR="00287F1A" w:rsidRPr="006E0620">
        <w:t>.</w:t>
      </w:r>
    </w:p>
    <w:p w14:paraId="17D9D3D5" w14:textId="4A8B186B" w:rsidR="00183DD4" w:rsidRPr="006E0620" w:rsidRDefault="00BF0719" w:rsidP="00613CBB">
      <w:pPr>
        <w:pStyle w:val="Heading5"/>
      </w:pPr>
      <w:r w:rsidRPr="006E0620">
        <w:t>S</w:t>
      </w:r>
      <w:r w:rsidR="00183DD4" w:rsidRPr="006E0620">
        <w:t>tudy 201</w:t>
      </w:r>
    </w:p>
    <w:p w14:paraId="1AA04C73" w14:textId="64EEFA23" w:rsidR="00183DD4" w:rsidRPr="006E0620" w:rsidRDefault="00183DD4" w:rsidP="00613CBB">
      <w:r w:rsidRPr="006E0620">
        <w:t>Thi</w:t>
      </w:r>
      <w:r w:rsidR="00325EA3" w:rsidRPr="006E0620">
        <w:t>s is an ongoing, randomis</w:t>
      </w:r>
      <w:r w:rsidRPr="006E0620">
        <w:t>ed, observer</w:t>
      </w:r>
      <w:r w:rsidR="00287F1A" w:rsidRPr="006E0620">
        <w:t xml:space="preserve"> </w:t>
      </w:r>
      <w:r w:rsidRPr="006E0620">
        <w:t>blind, placebo</w:t>
      </w:r>
      <w:r w:rsidR="00287F1A" w:rsidRPr="006E0620">
        <w:t xml:space="preserve"> </w:t>
      </w:r>
      <w:r w:rsidRPr="006E0620">
        <w:t>controlled, dose</w:t>
      </w:r>
      <w:r w:rsidR="00287F1A" w:rsidRPr="006E0620">
        <w:t xml:space="preserve"> </w:t>
      </w:r>
      <w:r w:rsidRPr="006E0620">
        <w:t xml:space="preserve">confirmation study to evaluate the safety, reactogenicity, and immunogenicity of </w:t>
      </w:r>
      <w:proofErr w:type="spellStart"/>
      <w:r w:rsidR="00EA546B">
        <w:t>Spikevax</w:t>
      </w:r>
      <w:proofErr w:type="spellEnd"/>
      <w:r w:rsidR="00EA546B">
        <w:t xml:space="preserve"> COVID-19 </w:t>
      </w:r>
      <w:r w:rsidRPr="006E0620">
        <w:t xml:space="preserve">mRNA-1273 </w:t>
      </w:r>
      <w:r w:rsidR="00EA546B">
        <w:t xml:space="preserve">vaccine </w:t>
      </w:r>
      <w:r w:rsidRPr="006E0620">
        <w:t>in healthy adults (</w:t>
      </w:r>
      <w:r w:rsidR="008D3ED4" w:rsidRPr="006E0620">
        <w:t xml:space="preserve">in the </w:t>
      </w:r>
      <w:r w:rsidRPr="006E0620">
        <w:t>USA). Subjects received two doses (28 days apa</w:t>
      </w:r>
      <w:r w:rsidR="008D3ED4" w:rsidRPr="006E0620">
        <w:t>rt) of either 50 µg or 100 </w:t>
      </w:r>
      <w:r w:rsidRPr="006E0620">
        <w:t xml:space="preserve">µg of </w:t>
      </w:r>
      <w:proofErr w:type="spellStart"/>
      <w:r w:rsidR="007753E6">
        <w:t>Spikevax</w:t>
      </w:r>
      <w:proofErr w:type="spellEnd"/>
      <w:r w:rsidR="007753E6">
        <w:t xml:space="preserve"> COVID-19 </w:t>
      </w:r>
      <w:r w:rsidRPr="006E0620">
        <w:t>mRNA-1273</w:t>
      </w:r>
      <w:r w:rsidR="007753E6">
        <w:t xml:space="preserve"> vaccine</w:t>
      </w:r>
      <w:r w:rsidRPr="006E0620">
        <w:t>, or placebo, in a 1:1:1 ratio. The study enrolled two cohorts, each</w:t>
      </w:r>
      <w:r w:rsidR="008D3ED4" w:rsidRPr="006E0620">
        <w:t xml:space="preserve"> with 300 subjects: Cohort 1 (≥ 18 to &lt; 55 years old) and Cohort 2 (≥ </w:t>
      </w:r>
      <w:r w:rsidRPr="006E0620">
        <w:t>55 years old). Subjects w</w:t>
      </w:r>
      <w:r w:rsidR="008D3ED4" w:rsidRPr="006E0620">
        <w:t>ere screened for SARS-CoV-2 at B</w:t>
      </w:r>
      <w:r w:rsidRPr="006E0620">
        <w:t xml:space="preserve">aseline and during the study; those </w:t>
      </w:r>
      <w:r w:rsidR="008D3ED4" w:rsidRPr="006E0620">
        <w:t>with known exposure at s</w:t>
      </w:r>
      <w:r w:rsidRPr="006E0620">
        <w:t>creening/Day 1 were excluded. No subj</w:t>
      </w:r>
      <w:r w:rsidR="008D3ED4" w:rsidRPr="006E0620">
        <w:t>ect had SARS-CoV-2 detected at B</w:t>
      </w:r>
      <w:r w:rsidRPr="006E0620">
        <w:t>aseline.</w:t>
      </w:r>
    </w:p>
    <w:p w14:paraId="12A1A8DA" w14:textId="74B90BBB" w:rsidR="00183DD4" w:rsidRPr="006E0620" w:rsidRDefault="00183DD4" w:rsidP="00613CBB">
      <w:r w:rsidRPr="006E0620">
        <w:t>The primary analysis was performe</w:t>
      </w:r>
      <w:r w:rsidR="008D3ED4" w:rsidRPr="006E0620">
        <w:t>d when all subjects reached Day </w:t>
      </w:r>
      <w:r w:rsidRPr="006E0620">
        <w:t>57 (</w:t>
      </w:r>
      <w:r w:rsidR="008D3ED4" w:rsidRPr="006E0620">
        <w:t>final analysis will be after 13 </w:t>
      </w:r>
      <w:r w:rsidRPr="006E0620">
        <w:t xml:space="preserve">months). No </w:t>
      </w:r>
      <w:r w:rsidR="008D3ED4" w:rsidRPr="006E0620">
        <w:t>clinical study report for the Day </w:t>
      </w:r>
      <w:r w:rsidRPr="006E0620">
        <w:t>57 analysis was available at the time of submission, but tables, figures a</w:t>
      </w:r>
      <w:r w:rsidR="00613CBB" w:rsidRPr="006E0620">
        <w:t>nd data listings were supplied.</w:t>
      </w:r>
    </w:p>
    <w:p w14:paraId="5ED77B33" w14:textId="7375909F" w:rsidR="00183DD4" w:rsidRPr="006E0620" w:rsidRDefault="00183DD4" w:rsidP="00613CBB">
      <w:r w:rsidRPr="006E0620">
        <w:t>There was a robust binding and neutralising antibody response obse</w:t>
      </w:r>
      <w:r w:rsidR="008D3ED4" w:rsidRPr="006E0620">
        <w:t>rved after two doses of both 50 µg and 100 </w:t>
      </w:r>
      <w:r w:rsidRPr="006E0620">
        <w:t xml:space="preserve">µg of </w:t>
      </w:r>
      <w:proofErr w:type="spellStart"/>
      <w:r w:rsidR="00EA546B">
        <w:t>Spikevax</w:t>
      </w:r>
      <w:proofErr w:type="spellEnd"/>
      <w:r w:rsidR="00EA546B">
        <w:t xml:space="preserve"> COVID-19 </w:t>
      </w:r>
      <w:r w:rsidRPr="006E0620">
        <w:t>mRNA-1273</w:t>
      </w:r>
      <w:r w:rsidR="00EA546B">
        <w:t xml:space="preserve"> vaccine</w:t>
      </w:r>
      <w:r w:rsidRPr="006E0620">
        <w:t xml:space="preserve">. Geometric mean antibody levels were similar across both dose levels and cohort age groups. </w:t>
      </w:r>
      <w:r w:rsidR="00167640" w:rsidRPr="006E0620">
        <w:t xml:space="preserve">Binding antibodies </w:t>
      </w:r>
      <w:r w:rsidRPr="006E0620">
        <w:t xml:space="preserve">and </w:t>
      </w:r>
      <w:r w:rsidR="00167640" w:rsidRPr="006E0620">
        <w:t xml:space="preserve">neutralising antibodies </w:t>
      </w:r>
      <w:r w:rsidR="008D3ED4" w:rsidRPr="006E0620">
        <w:t>peaked on Day 43 (14 days post Dose </w:t>
      </w:r>
      <w:r w:rsidRPr="006E0620">
        <w:t>2) and remained greater than co</w:t>
      </w:r>
      <w:r w:rsidR="008D3ED4" w:rsidRPr="006E0620">
        <w:t>nvalescent sera through Day </w:t>
      </w:r>
      <w:r w:rsidR="00613CBB" w:rsidRPr="006E0620">
        <w:t>57.</w:t>
      </w:r>
    </w:p>
    <w:p w14:paraId="0B9E42B9" w14:textId="0B59C525" w:rsidR="00183DD4" w:rsidRPr="006E0620" w:rsidRDefault="00183DD4" w:rsidP="00613CBB">
      <w:r w:rsidRPr="006E0620">
        <w:t xml:space="preserve">The study results were considered confirmatory of the </w:t>
      </w:r>
      <w:proofErr w:type="gramStart"/>
      <w:r w:rsidRPr="006E0620">
        <w:t>10</w:t>
      </w:r>
      <w:r w:rsidR="008D3ED4" w:rsidRPr="006E0620">
        <w:t>0 </w:t>
      </w:r>
      <w:r w:rsidR="00247854" w:rsidRPr="006E0620">
        <w:t>µg</w:t>
      </w:r>
      <w:proofErr w:type="gramEnd"/>
      <w:r w:rsidR="00247854" w:rsidRPr="006E0620">
        <w:t xml:space="preserve"> dosage selection for Phase </w:t>
      </w:r>
      <w:r w:rsidRPr="006E0620">
        <w:t>III. Antibody levels and reactogenicity events were similar for the 50</w:t>
      </w:r>
      <w:r w:rsidR="008D3ED4" w:rsidRPr="006E0620">
        <w:t> </w:t>
      </w:r>
      <w:r w:rsidRPr="006E0620">
        <w:t>µg and the 100</w:t>
      </w:r>
      <w:r w:rsidR="008D3ED4" w:rsidRPr="006E0620">
        <w:t> </w:t>
      </w:r>
      <w:r w:rsidRPr="006E0620">
        <w:t xml:space="preserve">µg dose, but comparability of antibody persistence beyond 57 days at these two dose </w:t>
      </w:r>
      <w:r w:rsidR="008D3ED4" w:rsidRPr="006E0620">
        <w:t>levels is not yet known (the 50 µg dose was added to the Phase </w:t>
      </w:r>
      <w:r w:rsidRPr="006E0620">
        <w:t>I protocol late, so has a shorter duration of follow</w:t>
      </w:r>
      <w:r w:rsidR="008D3ED4" w:rsidRPr="006E0620">
        <w:t xml:space="preserve"> up data than the 100 </w:t>
      </w:r>
      <w:r w:rsidR="00613CBB" w:rsidRPr="006E0620">
        <w:t>µg dose).</w:t>
      </w:r>
    </w:p>
    <w:p w14:paraId="2FF957A4" w14:textId="580FD9AD" w:rsidR="00183DD4" w:rsidRDefault="00DE39FC" w:rsidP="00DE39FC">
      <w:pPr>
        <w:pStyle w:val="FigureTitle"/>
      </w:pPr>
      <w:r w:rsidRPr="006E0620">
        <w:lastRenderedPageBreak/>
        <w:t xml:space="preserve">Figure </w:t>
      </w:r>
      <w:r>
        <w:fldChar w:fldCharType="begin"/>
      </w:r>
      <w:r>
        <w:instrText>SEQ Figure \* ARABIC</w:instrText>
      </w:r>
      <w:r>
        <w:fldChar w:fldCharType="separate"/>
      </w:r>
      <w:r w:rsidR="00B1591C">
        <w:rPr>
          <w:noProof/>
        </w:rPr>
        <w:t>6</w:t>
      </w:r>
      <w:r>
        <w:fldChar w:fldCharType="end"/>
      </w:r>
      <w:r w:rsidR="00183DD4" w:rsidRPr="006E0620">
        <w:t>:</w:t>
      </w:r>
      <w:r w:rsidR="00183DD4" w:rsidRPr="006E0620">
        <w:rPr>
          <w:noProof/>
        </w:rPr>
        <w:t xml:space="preserve"> </w:t>
      </w:r>
      <w:r w:rsidR="00631795" w:rsidRPr="006E0620">
        <w:t xml:space="preserve">Study 201 </w:t>
      </w:r>
      <w:r w:rsidR="00183DD4" w:rsidRPr="006E0620">
        <w:t>SARS-CoV-2</w:t>
      </w:r>
      <w:r w:rsidR="006B5B67" w:rsidRPr="006E0620">
        <w:t xml:space="preserve"> </w:t>
      </w:r>
      <w:r w:rsidR="00325EA3" w:rsidRPr="006E0620">
        <w:t>spike binding and neutralis</w:t>
      </w:r>
      <w:r w:rsidR="00183DD4" w:rsidRPr="006E0620">
        <w:t xml:space="preserve">ing antibody responses; </w:t>
      </w:r>
      <w:r w:rsidR="00631795" w:rsidRPr="006E0620">
        <w:t>per</w:t>
      </w:r>
      <w:r w:rsidR="00AF7999" w:rsidRPr="006E0620">
        <w:t>-</w:t>
      </w:r>
      <w:r w:rsidR="00631795" w:rsidRPr="006E0620">
        <w:t>protocol set</w:t>
      </w:r>
      <w:r w:rsidR="0019059E" w:rsidRPr="006E0620">
        <w:rPr>
          <w:rStyle w:val="FootnoteReference"/>
        </w:rPr>
        <w:footnoteReference w:id="25"/>
      </w:r>
    </w:p>
    <w:p w14:paraId="22FABEBE" w14:textId="435275BA" w:rsidR="00FC726D" w:rsidRPr="006E0620" w:rsidRDefault="00FC726D" w:rsidP="00CD55D9">
      <w:r>
        <w:rPr>
          <w:noProof/>
          <w:shd w:val="clear" w:color="auto" w:fill="E6E6E6"/>
          <w:lang w:val="en-GB" w:eastAsia="en-GB"/>
        </w:rPr>
        <w:drawing>
          <wp:inline distT="0" distB="0" distL="0" distR="0" wp14:anchorId="4D7B2D5F" wp14:editId="1000985E">
            <wp:extent cx="3968750" cy="5673576"/>
            <wp:effectExtent l="0" t="0" r="0" b="3810"/>
            <wp:docPr id="21" name="Picture 21" descr="Study 201 SARS-CoV-2 spike binding and neutralising antibody response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201 SARS-CoV-2 spike binding and neutralising antibody responses; per protocol set"/>
                    <pic:cNvPicPr/>
                  </pic:nvPicPr>
                  <pic:blipFill>
                    <a:blip r:embed="rId26"/>
                    <a:stretch>
                      <a:fillRect/>
                    </a:stretch>
                  </pic:blipFill>
                  <pic:spPr>
                    <a:xfrm>
                      <a:off x="0" y="0"/>
                      <a:ext cx="3970334" cy="5675840"/>
                    </a:xfrm>
                    <a:prstGeom prst="rect">
                      <a:avLst/>
                    </a:prstGeom>
                  </pic:spPr>
                </pic:pic>
              </a:graphicData>
            </a:graphic>
          </wp:inline>
        </w:drawing>
      </w:r>
    </w:p>
    <w:p w14:paraId="7C5C7751" w14:textId="43687D9E" w:rsidR="006B5B67" w:rsidRPr="006E0620" w:rsidRDefault="006B5B67" w:rsidP="006B5B67">
      <w:pPr>
        <w:pStyle w:val="TableDescription"/>
      </w:pPr>
      <w:r w:rsidRPr="006E0620">
        <w:t xml:space="preserve">SARS-CoV-2 = Severe acute respiratory syndrome coronavirus 2; GM = geometric mean; CI = confidence interval; </w:t>
      </w:r>
      <w:proofErr w:type="spellStart"/>
      <w:r w:rsidRPr="006E0620">
        <w:t>Pbo</w:t>
      </w:r>
      <w:proofErr w:type="spellEnd"/>
      <w:r w:rsidRPr="006E0620">
        <w:t xml:space="preserve"> = placebo; BL = baseline; </w:t>
      </w:r>
      <w:proofErr w:type="spellStart"/>
      <w:r w:rsidRPr="006E0620">
        <w:t>yr</w:t>
      </w:r>
      <w:proofErr w:type="spellEnd"/>
      <w:r w:rsidRPr="006E0620">
        <w:t xml:space="preserve"> = years</w:t>
      </w:r>
      <w:r w:rsidR="00D93412" w:rsidRPr="006E0620">
        <w:t>; Conv = human convalescent sera</w:t>
      </w:r>
      <w:r w:rsidRPr="006E0620">
        <w:t>.</w:t>
      </w:r>
    </w:p>
    <w:p w14:paraId="2BCD461C" w14:textId="11080770" w:rsidR="00183DD4" w:rsidRPr="006E0620" w:rsidRDefault="00183DD4" w:rsidP="006B5B67">
      <w:pPr>
        <w:pStyle w:val="TableDescription"/>
      </w:pPr>
      <w:r w:rsidRPr="006E0620">
        <w:t xml:space="preserve">The </w:t>
      </w:r>
      <w:r w:rsidR="00167640" w:rsidRPr="006E0620">
        <w:t>binding antibody</w:t>
      </w:r>
      <w:r w:rsidRPr="006E0620">
        <w:t xml:space="preserve"> values reported are </w:t>
      </w:r>
      <w:r w:rsidR="006B5B67" w:rsidRPr="006E0620">
        <w:t>enzyme linked immunosorbent assay (</w:t>
      </w:r>
      <w:r w:rsidRPr="006E0620">
        <w:t>ELISA</w:t>
      </w:r>
      <w:r w:rsidR="006B5B67" w:rsidRPr="006E0620">
        <w:t>)</w:t>
      </w:r>
      <w:r w:rsidRPr="006E0620">
        <w:t xml:space="preserve"> concentrations mg/ml and </w:t>
      </w:r>
      <w:r w:rsidR="00167640" w:rsidRPr="006E0620">
        <w:t xml:space="preserve">neutralising antibody </w:t>
      </w:r>
      <w:r w:rsidRPr="006E0620">
        <w:t xml:space="preserve">values are </w:t>
      </w:r>
      <w:r w:rsidR="006B5B67" w:rsidRPr="006E0620">
        <w:t>50% neutralisation (</w:t>
      </w:r>
      <w:r w:rsidRPr="006E0620">
        <w:t>MN50</w:t>
      </w:r>
      <w:r w:rsidR="006B5B67" w:rsidRPr="006E0620">
        <w:t>)</w:t>
      </w:r>
      <w:r w:rsidRPr="006E0620">
        <w:t xml:space="preserve"> tit</w:t>
      </w:r>
      <w:r w:rsidR="006B5B67" w:rsidRPr="006E0620">
        <w:t>re</w:t>
      </w:r>
      <w:r w:rsidRPr="006E0620">
        <w:t>s (</w:t>
      </w:r>
      <w:r w:rsidR="006B5B67" w:rsidRPr="006E0620">
        <w:t>lower limit of quantification (</w:t>
      </w:r>
      <w:r w:rsidRPr="006E0620">
        <w:t>LLOQ</w:t>
      </w:r>
      <w:r w:rsidR="006B5B67" w:rsidRPr="006E0620">
        <w:t>)</w:t>
      </w:r>
      <w:r w:rsidRPr="006E0620">
        <w:t xml:space="preserve"> = 91.1 and </w:t>
      </w:r>
      <w:r w:rsidR="006B5B67" w:rsidRPr="006E0620">
        <w:t>upper limit of quantification (</w:t>
      </w:r>
      <w:r w:rsidRPr="006E0620">
        <w:t>ULOQ</w:t>
      </w:r>
      <w:r w:rsidR="006B5B67" w:rsidRPr="006E0620">
        <w:t>)</w:t>
      </w:r>
      <w:r w:rsidRPr="006E0620">
        <w:t xml:space="preserve"> = 2031.9). Negative baseline values were recorded as 0.5 x LLOQ (</w:t>
      </w:r>
      <w:r w:rsidR="008C616B" w:rsidRPr="006E0620">
        <w:t>that is</w:t>
      </w:r>
      <w:r w:rsidRPr="006E0620">
        <w:t xml:space="preserve">, ~46 for </w:t>
      </w:r>
      <w:r w:rsidR="00167640" w:rsidRPr="006E0620">
        <w:t>neutralising antibodies</w:t>
      </w:r>
      <w:r w:rsidRPr="006E0620">
        <w:t>). Conv (n =</w:t>
      </w:r>
      <w:r w:rsidR="00034F5B" w:rsidRPr="006E0620">
        <w:t xml:space="preserve"> 119 (</w:t>
      </w:r>
      <w:r w:rsidR="00613CBB" w:rsidRPr="006E0620">
        <w:t>ELISA</w:t>
      </w:r>
      <w:r w:rsidR="00034F5B" w:rsidRPr="006E0620">
        <w:t>)</w:t>
      </w:r>
      <w:r w:rsidR="00613CBB" w:rsidRPr="006E0620">
        <w:t xml:space="preserve"> and n = 32 </w:t>
      </w:r>
      <w:r w:rsidR="00034F5B" w:rsidRPr="006E0620">
        <w:t>(</w:t>
      </w:r>
      <w:r w:rsidR="00167640" w:rsidRPr="006E0620">
        <w:t>neutralising antibodies</w:t>
      </w:r>
      <w:r w:rsidR="00034F5B" w:rsidRPr="006E0620">
        <w:t>)</w:t>
      </w:r>
      <w:r w:rsidR="00613CBB" w:rsidRPr="006E0620">
        <w:t>).</w:t>
      </w:r>
    </w:p>
    <w:p w14:paraId="4D9F7835" w14:textId="4DE0604C" w:rsidR="00E627C3" w:rsidRPr="006E0620" w:rsidRDefault="00E627C3" w:rsidP="006B5B67">
      <w:pPr>
        <w:pStyle w:val="TableDescription"/>
      </w:pPr>
      <w:r w:rsidRPr="006E0620">
        <w:t>A: SARS-CoV-2 spike binding antibody responses</w:t>
      </w:r>
    </w:p>
    <w:p w14:paraId="33DB349A" w14:textId="7178088C" w:rsidR="00E627C3" w:rsidRPr="006E0620" w:rsidRDefault="00E627C3" w:rsidP="006B5B67">
      <w:pPr>
        <w:pStyle w:val="TableDescription"/>
      </w:pPr>
      <w:r w:rsidRPr="006E0620">
        <w:t>B: SARS-CoV-2 spike neutralising antibody responses</w:t>
      </w:r>
    </w:p>
    <w:p w14:paraId="08A6D5E7" w14:textId="77777777" w:rsidR="006B5B67" w:rsidRPr="006E0620" w:rsidRDefault="006B5B67" w:rsidP="006B5B67">
      <w:pPr>
        <w:pStyle w:val="TableDescription"/>
      </w:pPr>
      <w:r w:rsidRPr="006E0620">
        <w:t>a: placebo</w:t>
      </w:r>
      <w:r w:rsidR="00183DD4" w:rsidRPr="006E0620">
        <w:t xml:space="preserve"> responses averaged </w:t>
      </w:r>
      <w:r w:rsidRPr="006E0620">
        <w:t xml:space="preserve">across days, </w:t>
      </w:r>
      <w:proofErr w:type="gramStart"/>
      <w:r w:rsidRPr="006E0620">
        <w:t>group</w:t>
      </w:r>
      <w:proofErr w:type="gramEnd"/>
      <w:r w:rsidRPr="006E0620">
        <w:t xml:space="preserve"> and cohorts</w:t>
      </w:r>
    </w:p>
    <w:p w14:paraId="7D0767F3" w14:textId="3C0AE2AD" w:rsidR="00183DD4" w:rsidRPr="006E0620" w:rsidRDefault="00183DD4" w:rsidP="006B5B67">
      <w:pPr>
        <w:pStyle w:val="TableDescription"/>
      </w:pPr>
      <w:r w:rsidRPr="006E0620">
        <w:t>b: 95% CI not estimable.</w:t>
      </w:r>
    </w:p>
    <w:p w14:paraId="384954AA" w14:textId="70627A03" w:rsidR="00183DD4" w:rsidRPr="006E0620" w:rsidRDefault="008D3ED4" w:rsidP="00613CBB">
      <w:pPr>
        <w:pStyle w:val="Heading5"/>
      </w:pPr>
      <w:r w:rsidRPr="006E0620">
        <w:lastRenderedPageBreak/>
        <w:t>Study </w:t>
      </w:r>
      <w:r w:rsidR="00BF0719" w:rsidRPr="006E0620">
        <w:t>301</w:t>
      </w:r>
    </w:p>
    <w:p w14:paraId="26F37189" w14:textId="2BB6078F" w:rsidR="00183DD4" w:rsidRPr="006E0620" w:rsidRDefault="00183DD4" w:rsidP="00613CBB">
      <w:r w:rsidRPr="006E0620">
        <w:t xml:space="preserve">Immunogenicity data for </w:t>
      </w:r>
      <w:r w:rsidR="00247854" w:rsidRPr="006E0620">
        <w:t>Study</w:t>
      </w:r>
      <w:r w:rsidR="008D3ED4" w:rsidRPr="006E0620">
        <w:t> </w:t>
      </w:r>
      <w:r w:rsidRPr="006E0620">
        <w:t>301 is not provided with this submission.</w:t>
      </w:r>
    </w:p>
    <w:p w14:paraId="645754D5" w14:textId="77777777" w:rsidR="00183DD4" w:rsidRPr="006E0620" w:rsidRDefault="00183DD4" w:rsidP="00613CBB">
      <w:pPr>
        <w:pStyle w:val="Heading4"/>
      </w:pPr>
      <w:r w:rsidRPr="006E0620">
        <w:t>Efficacy</w:t>
      </w:r>
    </w:p>
    <w:p w14:paraId="055E54D6" w14:textId="26D36945" w:rsidR="00183DD4" w:rsidRPr="006E0620" w:rsidRDefault="00975A32" w:rsidP="00613CBB">
      <w:r w:rsidRPr="006E0620">
        <w:t>Study </w:t>
      </w:r>
      <w:r w:rsidR="00183DD4" w:rsidRPr="006E0620">
        <w:t xml:space="preserve">301 provides the data in support of vaccine efficacy (VE) for </w:t>
      </w:r>
      <w:r w:rsidR="00837107">
        <w:t xml:space="preserve">the </w:t>
      </w:r>
      <w:proofErr w:type="spellStart"/>
      <w:r w:rsidR="002A4DC1" w:rsidRPr="006E0620">
        <w:t>Spikevax</w:t>
      </w:r>
      <w:proofErr w:type="spellEnd"/>
      <w:r w:rsidR="00837107">
        <w:t xml:space="preserve"> COVID-19 vaccine</w:t>
      </w:r>
      <w:r w:rsidR="00183DD4" w:rsidRPr="006E0620">
        <w:t>.</w:t>
      </w:r>
    </w:p>
    <w:p w14:paraId="0EE946F9" w14:textId="18A67508" w:rsidR="00183DD4" w:rsidRPr="006E0620" w:rsidRDefault="00D52BC5" w:rsidP="00613CBB">
      <w:pPr>
        <w:pStyle w:val="Heading5"/>
        <w:rPr>
          <w:rFonts w:eastAsia="Calibri"/>
        </w:rPr>
      </w:pPr>
      <w:r w:rsidRPr="006E0620">
        <w:rPr>
          <w:rFonts w:eastAsia="Calibri"/>
        </w:rPr>
        <w:t>Study </w:t>
      </w:r>
      <w:r w:rsidR="00183DD4" w:rsidRPr="006E0620">
        <w:rPr>
          <w:rFonts w:eastAsia="Calibri"/>
        </w:rPr>
        <w:t>301</w:t>
      </w:r>
    </w:p>
    <w:p w14:paraId="26547EE6" w14:textId="3AEA90F3" w:rsidR="00183DD4" w:rsidRPr="006E0620" w:rsidRDefault="00183DD4" w:rsidP="00613CBB">
      <w:r w:rsidRPr="006E0620">
        <w:t>This is an ongoing, 24 months duration (commenced on</w:t>
      </w:r>
      <w:r w:rsidR="00247854" w:rsidRPr="006E0620">
        <w:t xml:space="preserve"> 27 Jul</w:t>
      </w:r>
      <w:r w:rsidR="009B41A0" w:rsidRPr="006E0620">
        <w:t>y 2020), Phase </w:t>
      </w:r>
      <w:r w:rsidR="00247854" w:rsidRPr="006E0620">
        <w:t>III</w:t>
      </w:r>
      <w:r w:rsidR="00325EA3" w:rsidRPr="006E0620">
        <w:t>, randomis</w:t>
      </w:r>
      <w:r w:rsidR="009B41A0" w:rsidRPr="006E0620">
        <w:t xml:space="preserve">ed, stratified, observer blind, placebo controlled event </w:t>
      </w:r>
      <w:r w:rsidRPr="006E0620">
        <w:t>driven study conducted across 99 centres in the USA to evaluate the efficacy, sa</w:t>
      </w:r>
      <w:r w:rsidR="009B41A0" w:rsidRPr="006E0620">
        <w:t xml:space="preserve">fety and immunogenicity of </w:t>
      </w:r>
      <w:r w:rsidR="00837107">
        <w:t xml:space="preserve">the </w:t>
      </w:r>
      <w:proofErr w:type="spellStart"/>
      <w:r w:rsidR="00837107">
        <w:t>Spikevax</w:t>
      </w:r>
      <w:proofErr w:type="spellEnd"/>
      <w:r w:rsidR="00837107">
        <w:t xml:space="preserve"> COVID-19 </w:t>
      </w:r>
      <w:r w:rsidR="009B41A0" w:rsidRPr="006E0620">
        <w:t>mRNA</w:t>
      </w:r>
      <w:r w:rsidR="009B41A0" w:rsidRPr="006E0620">
        <w:noBreakHyphen/>
      </w:r>
      <w:r w:rsidRPr="006E0620">
        <w:t>1273 vaccine administered in 2 doses</w:t>
      </w:r>
      <w:r w:rsidR="009B41A0" w:rsidRPr="006E0620">
        <w:t>,</w:t>
      </w:r>
      <w:r w:rsidRPr="006E0620">
        <w:t xml:space="preserve"> 28 days apart</w:t>
      </w:r>
      <w:r w:rsidR="009B41A0" w:rsidRPr="006E0620">
        <w:t>,</w:t>
      </w:r>
      <w:r w:rsidRPr="006E0620">
        <w:t xml:space="preserve"> in adults 18 years of age and older</w:t>
      </w:r>
      <w:r w:rsidR="00613CBB" w:rsidRPr="006E0620">
        <w:t>.</w:t>
      </w:r>
    </w:p>
    <w:p w14:paraId="1294F920" w14:textId="77777777" w:rsidR="00183DD4" w:rsidRPr="006E0620" w:rsidRDefault="00183DD4" w:rsidP="00613CBB">
      <w:pPr>
        <w:pStyle w:val="Heading6"/>
        <w:rPr>
          <w:rFonts w:eastAsia="Calibri"/>
        </w:rPr>
      </w:pPr>
      <w:r w:rsidRPr="006E0620">
        <w:rPr>
          <w:rFonts w:eastAsia="Calibri"/>
        </w:rPr>
        <w:t>Primary and main secondary objectives</w:t>
      </w:r>
    </w:p>
    <w:p w14:paraId="7826039C" w14:textId="421906FF" w:rsidR="00183DD4" w:rsidRPr="006E0620" w:rsidRDefault="00183DD4" w:rsidP="00613CBB">
      <w:r w:rsidRPr="006E0620">
        <w:t xml:space="preserve">The primary efficacy endpoint was efficacy of </w:t>
      </w:r>
      <w:r w:rsidR="0064163F" w:rsidRPr="006E0620">
        <w:t xml:space="preserve">the vaccine to prevent protocol </w:t>
      </w:r>
      <w:r w:rsidRPr="006E0620">
        <w:t>defined COVID-19 occurring at least 14 days after the second dose in participants with</w:t>
      </w:r>
      <w:r w:rsidR="00A07469" w:rsidRPr="006E0620">
        <w:t xml:space="preserve"> negative SARS-CoV-2 status at B</w:t>
      </w:r>
      <w:r w:rsidRPr="006E0620">
        <w:t>aseline (</w:t>
      </w:r>
      <w:r w:rsidR="00A07469" w:rsidRPr="006E0620">
        <w:t>that is</w:t>
      </w:r>
      <w:r w:rsidRPr="006E0620">
        <w:t xml:space="preserve">, negative </w:t>
      </w:r>
      <w:r w:rsidR="00A07469" w:rsidRPr="006E0620">
        <w:t>reverse transcription polymerase chain reaction (</w:t>
      </w:r>
      <w:r w:rsidRPr="006E0620">
        <w:t>RT-PCR</w:t>
      </w:r>
      <w:r w:rsidR="00A07469" w:rsidRPr="006E0620">
        <w:t>)</w:t>
      </w:r>
      <w:r w:rsidRPr="006E0620">
        <w:t xml:space="preserve"> and negative serology against SAR</w:t>
      </w:r>
      <w:r w:rsidR="00A07469" w:rsidRPr="006E0620">
        <w:t>S-CoV-2 nucleocapsid on Day </w:t>
      </w:r>
      <w:r w:rsidR="00613CBB" w:rsidRPr="006E0620">
        <w:t>1).</w:t>
      </w:r>
    </w:p>
    <w:p w14:paraId="65656058" w14:textId="19E0547C" w:rsidR="00183DD4" w:rsidRPr="006E0620" w:rsidRDefault="00183DD4" w:rsidP="00613CBB">
      <w:r w:rsidRPr="006E0620">
        <w:t>Confirmed COVID-19 case was defined as: (combination of respiratory signs/symptoms or systemic symptoms wit</w:t>
      </w:r>
      <w:r w:rsidR="00613CBB" w:rsidRPr="006E0620">
        <w:t>h positive SARS-CoV-2 by RT-PCR</w:t>
      </w:r>
      <w:r w:rsidRPr="006E0620">
        <w:t>)</w:t>
      </w:r>
    </w:p>
    <w:p w14:paraId="7D2E06BA" w14:textId="28993554" w:rsidR="00183DD4" w:rsidRPr="006E0620" w:rsidRDefault="00A07469" w:rsidP="00613CBB">
      <w:pPr>
        <w:pStyle w:val="ListBullet"/>
      </w:pPr>
      <w:r w:rsidRPr="006E0620">
        <w:t>two of the systemic symptoms: f</w:t>
      </w:r>
      <w:r w:rsidR="00183DD4" w:rsidRPr="006E0620">
        <w:t>ever (≥</w:t>
      </w:r>
      <w:r w:rsidRPr="006E0620">
        <w:t> </w:t>
      </w:r>
      <w:r w:rsidR="00183DD4" w:rsidRPr="006E0620">
        <w:t>38ºC), chills, myalgia, headache, sore throat, new olfa</w:t>
      </w:r>
      <w:r w:rsidRPr="006E0620">
        <w:t>ctory and taste disorder(s), or</w:t>
      </w:r>
    </w:p>
    <w:p w14:paraId="69C509F3" w14:textId="75C75545" w:rsidR="00183DD4" w:rsidRPr="006E0620" w:rsidRDefault="00A07469" w:rsidP="00613CBB">
      <w:pPr>
        <w:pStyle w:val="ListBullet"/>
      </w:pPr>
      <w:r w:rsidRPr="006E0620">
        <w:t>a</w:t>
      </w:r>
      <w:r w:rsidR="00183DD4" w:rsidRPr="006E0620">
        <w:t xml:space="preserve">t least </w:t>
      </w:r>
      <w:r w:rsidRPr="006E0620">
        <w:t>one of the respiratory signs/</w:t>
      </w:r>
      <w:r w:rsidR="00183DD4" w:rsidRPr="006E0620">
        <w:t xml:space="preserve">symptoms: cough, shortness of breath or difficulty breathing, </w:t>
      </w:r>
      <w:r w:rsidR="00E627C3" w:rsidRPr="006E0620">
        <w:t>or</w:t>
      </w:r>
      <w:r w:rsidR="00183DD4" w:rsidRPr="006E0620">
        <w:t xml:space="preserve"> clinical or radiographical</w:t>
      </w:r>
      <w:r w:rsidR="00E766F9" w:rsidRPr="006E0620">
        <w:t xml:space="preserve"> evidence of pneumonia; and</w:t>
      </w:r>
    </w:p>
    <w:p w14:paraId="471B9D32" w14:textId="2D3ADAC0" w:rsidR="00183DD4" w:rsidRPr="006E0620" w:rsidRDefault="00A07469" w:rsidP="00A07469">
      <w:pPr>
        <w:pStyle w:val="ListBullet"/>
      </w:pPr>
      <w:r w:rsidRPr="006E0620">
        <w:t xml:space="preserve">nasopharyngeal </w:t>
      </w:r>
      <w:r w:rsidR="00183DD4" w:rsidRPr="006E0620">
        <w:t>swab, nasal swab, or saliva sample (or r</w:t>
      </w:r>
      <w:r w:rsidR="00325EA3" w:rsidRPr="006E0620">
        <w:t>espiratory sample, if hospitalis</w:t>
      </w:r>
      <w:r w:rsidR="00183DD4" w:rsidRPr="006E0620">
        <w:t>ed) pos</w:t>
      </w:r>
      <w:r w:rsidR="00613CBB" w:rsidRPr="006E0620">
        <w:t>itive for SARS-CoV-2 by RT-PCR.</w:t>
      </w:r>
    </w:p>
    <w:p w14:paraId="096A72EA" w14:textId="11EA8C2F" w:rsidR="00183DD4" w:rsidRPr="006E0620" w:rsidRDefault="00183DD4" w:rsidP="00613CBB">
      <w:r w:rsidRPr="006E0620">
        <w:t xml:space="preserve">Secondary endpoints based on the </w:t>
      </w:r>
      <w:r w:rsidR="00A07469" w:rsidRPr="006E0620">
        <w:t>per</w:t>
      </w:r>
      <w:r w:rsidR="00AF7999" w:rsidRPr="006E0620">
        <w:t>-</w:t>
      </w:r>
      <w:r w:rsidR="00A07469" w:rsidRPr="006E0620">
        <w:t xml:space="preserve">protocol set </w:t>
      </w:r>
      <w:r w:rsidRPr="006E0620">
        <w:t xml:space="preserve">included the efficacy of </w:t>
      </w:r>
      <w:r w:rsidR="00837107">
        <w:t xml:space="preserve">the </w:t>
      </w:r>
      <w:proofErr w:type="spellStart"/>
      <w:r w:rsidR="00837107">
        <w:t>Spikevax</w:t>
      </w:r>
      <w:proofErr w:type="spellEnd"/>
      <w:r w:rsidR="00837107">
        <w:t xml:space="preserve"> COVID-19 </w:t>
      </w:r>
      <w:r w:rsidRPr="006E0620">
        <w:t>mRNA</w:t>
      </w:r>
      <w:r w:rsidR="00613CBB" w:rsidRPr="006E0620">
        <w:t>-1273</w:t>
      </w:r>
      <w:r w:rsidR="00837107">
        <w:t xml:space="preserve"> vaccine</w:t>
      </w:r>
      <w:r w:rsidR="00613CBB" w:rsidRPr="006E0620">
        <w:t xml:space="preserve"> to prevent the following:</w:t>
      </w:r>
    </w:p>
    <w:p w14:paraId="53C73620" w14:textId="3DEADA72" w:rsidR="00183DD4" w:rsidRPr="006E0620" w:rsidRDefault="00A07469" w:rsidP="00613CBB">
      <w:pPr>
        <w:pStyle w:val="ListBullet"/>
      </w:pPr>
      <w:r w:rsidRPr="006E0620">
        <w:t>severe COVID-19:</w:t>
      </w:r>
    </w:p>
    <w:p w14:paraId="1C744F88" w14:textId="4B8CD9CA" w:rsidR="00183DD4" w:rsidRPr="006E0620" w:rsidRDefault="00543E6C" w:rsidP="00C618E0">
      <w:pPr>
        <w:pStyle w:val="ListBullet2"/>
      </w:pPr>
      <w:r w:rsidRPr="006E0620">
        <w:t>c</w:t>
      </w:r>
      <w:r w:rsidR="00183DD4" w:rsidRPr="006E0620">
        <w:t>linical signs at rest indicative of severe systemic illness (</w:t>
      </w:r>
      <w:r w:rsidRPr="006E0620">
        <w:t>respiratory rate (</w:t>
      </w:r>
      <w:r w:rsidR="00183DD4" w:rsidRPr="006E0620">
        <w:t>RR</w:t>
      </w:r>
      <w:r w:rsidRPr="006E0620">
        <w:t>)</w:t>
      </w:r>
      <w:r w:rsidR="00183DD4" w:rsidRPr="006E0620">
        <w:t xml:space="preserve"> ≥</w:t>
      </w:r>
      <w:r w:rsidR="008719C7">
        <w:t> </w:t>
      </w:r>
      <w:r w:rsidR="00183DD4" w:rsidRPr="006E0620">
        <w:t>30</w:t>
      </w:r>
      <w:r w:rsidR="008719C7">
        <w:t> </w:t>
      </w:r>
      <w:r w:rsidR="00183DD4" w:rsidRPr="006E0620">
        <w:t xml:space="preserve">breaths per minute, </w:t>
      </w:r>
      <w:r w:rsidR="001B4217" w:rsidRPr="006E0620">
        <w:t>heart rate (</w:t>
      </w:r>
      <w:r w:rsidR="00183DD4" w:rsidRPr="006E0620">
        <w:t>HR</w:t>
      </w:r>
      <w:r w:rsidR="001B4217" w:rsidRPr="006E0620">
        <w:t>)</w:t>
      </w:r>
      <w:r w:rsidR="00183DD4" w:rsidRPr="006E0620">
        <w:t xml:space="preserve"> ≥</w:t>
      </w:r>
      <w:r w:rsidR="001B4217" w:rsidRPr="006E0620">
        <w:t> </w:t>
      </w:r>
      <w:r w:rsidR="00183DD4" w:rsidRPr="006E0620">
        <w:t xml:space="preserve">125 beats per minute, </w:t>
      </w:r>
      <w:r w:rsidR="008719C7">
        <w:t xml:space="preserve">peripheral </w:t>
      </w:r>
      <w:r w:rsidR="001B4217" w:rsidRPr="006E0620">
        <w:t>blood oxygen saturation (</w:t>
      </w:r>
      <w:r w:rsidR="00183DD4" w:rsidRPr="006E0620">
        <w:t>SpO</w:t>
      </w:r>
      <w:r w:rsidR="00183DD4" w:rsidRPr="006E0620">
        <w:rPr>
          <w:vertAlign w:val="subscript"/>
        </w:rPr>
        <w:t>2</w:t>
      </w:r>
      <w:r w:rsidR="001B4217" w:rsidRPr="006E0620">
        <w:t>) </w:t>
      </w:r>
      <w:r w:rsidR="00183DD4" w:rsidRPr="006E0620">
        <w:t>≤</w:t>
      </w:r>
      <w:r w:rsidR="001B4217" w:rsidRPr="006E0620">
        <w:t> </w:t>
      </w:r>
      <w:r w:rsidR="00183DD4" w:rsidRPr="006E0620">
        <w:t>93% on room air at sea level</w:t>
      </w:r>
      <w:r w:rsidR="008719C7">
        <w:t xml:space="preserve"> (by pulse oximetry)</w:t>
      </w:r>
      <w:r w:rsidR="00183DD4" w:rsidRPr="006E0620">
        <w:t xml:space="preserve">, or </w:t>
      </w:r>
      <w:r w:rsidR="001B4217" w:rsidRPr="006E0620">
        <w:t>partial pressure of oxygen (</w:t>
      </w:r>
      <w:r w:rsidR="00183DD4" w:rsidRPr="006E0620">
        <w:t>PaO</w:t>
      </w:r>
      <w:r w:rsidR="00183DD4" w:rsidRPr="006E0620">
        <w:rPr>
          <w:vertAlign w:val="subscript"/>
        </w:rPr>
        <w:t>2</w:t>
      </w:r>
      <w:r w:rsidR="001B4217" w:rsidRPr="006E0620">
        <w:t>)</w:t>
      </w:r>
      <w:r w:rsidR="00183DD4" w:rsidRPr="006E0620">
        <w:t>/</w:t>
      </w:r>
      <w:r w:rsidR="001B4217" w:rsidRPr="006E0620">
        <w:t>fraction of inspired oxygen (</w:t>
      </w:r>
      <w:r w:rsidR="00183DD4" w:rsidRPr="006E0620">
        <w:t>FiO</w:t>
      </w:r>
      <w:r w:rsidR="00183DD4" w:rsidRPr="006E0620">
        <w:rPr>
          <w:vertAlign w:val="subscript"/>
        </w:rPr>
        <w:t>2</w:t>
      </w:r>
      <w:r w:rsidR="001B4217" w:rsidRPr="006E0620">
        <w:t>) </w:t>
      </w:r>
      <w:r w:rsidR="00183DD4" w:rsidRPr="006E0620">
        <w:t>&lt;</w:t>
      </w:r>
      <w:r w:rsidR="001B4217" w:rsidRPr="006E0620">
        <w:t> </w:t>
      </w:r>
      <w:r w:rsidR="00183DD4" w:rsidRPr="006E0620">
        <w:t xml:space="preserve">300 </w:t>
      </w:r>
      <w:r w:rsidR="00837107" w:rsidRPr="00837107">
        <w:t>millimetres above mercury</w:t>
      </w:r>
      <w:r w:rsidR="00837107">
        <w:t xml:space="preserve"> (</w:t>
      </w:r>
      <w:r w:rsidR="009D45CF" w:rsidRPr="006E0620">
        <w:t>mm</w:t>
      </w:r>
      <w:r w:rsidR="00183DD4" w:rsidRPr="006E0620">
        <w:t>Hg</w:t>
      </w:r>
      <w:r w:rsidR="00837107">
        <w:t>)</w:t>
      </w:r>
      <w:r w:rsidR="001B4217" w:rsidRPr="006E0620">
        <w:t>); or r</w:t>
      </w:r>
      <w:r w:rsidR="00183DD4" w:rsidRPr="006E0620">
        <w:t xml:space="preserve">espiratory failure or </w:t>
      </w:r>
      <w:r w:rsidR="001B4217" w:rsidRPr="006E0620">
        <w:t>acute respiratory distress syndrome</w:t>
      </w:r>
      <w:r w:rsidR="00183DD4" w:rsidRPr="006E0620">
        <w:t>, (defined as needing high</w:t>
      </w:r>
      <w:r w:rsidR="001B4217" w:rsidRPr="006E0620">
        <w:t xml:space="preserve"> </w:t>
      </w:r>
      <w:r w:rsidR="00183DD4" w:rsidRPr="006E0620">
        <w:t>flow oxygen, non</w:t>
      </w:r>
      <w:r w:rsidR="001B4217" w:rsidRPr="006E0620">
        <w:noBreakHyphen/>
      </w:r>
      <w:r w:rsidR="00183DD4" w:rsidRPr="006E0620">
        <w:t xml:space="preserve">invasive ventilation, mechanical ventilation, or </w:t>
      </w:r>
      <w:r w:rsidR="001B4217" w:rsidRPr="006E0620">
        <w:t>extracorporeal membrane oxygenation (</w:t>
      </w:r>
      <w:r w:rsidR="00183DD4" w:rsidRPr="006E0620">
        <w:t>ECMO</w:t>
      </w:r>
      <w:r w:rsidR="001B4217" w:rsidRPr="006E0620">
        <w:t>)); e</w:t>
      </w:r>
      <w:r w:rsidR="00183DD4" w:rsidRPr="006E0620">
        <w:t>vidence of shock (</w:t>
      </w:r>
      <w:r w:rsidR="001B4217" w:rsidRPr="006E0620">
        <w:t>systolic blood pressure (</w:t>
      </w:r>
      <w:r w:rsidR="00183DD4" w:rsidRPr="006E0620">
        <w:t>SBP</w:t>
      </w:r>
      <w:r w:rsidR="001B4217" w:rsidRPr="006E0620">
        <w:t>) </w:t>
      </w:r>
      <w:r w:rsidR="00183DD4" w:rsidRPr="006E0620">
        <w:t>&lt;</w:t>
      </w:r>
      <w:r w:rsidR="001B4217" w:rsidRPr="006E0620">
        <w:t> 90 mm Hg, diastolic blood pressure (DBP) &lt; 60 mm </w:t>
      </w:r>
      <w:r w:rsidR="00183DD4" w:rsidRPr="006E0620">
        <w:t>H</w:t>
      </w:r>
      <w:r w:rsidR="001B4217" w:rsidRPr="006E0620">
        <w:t>g, or requiring vasopressors), s</w:t>
      </w:r>
      <w:r w:rsidR="00183DD4" w:rsidRPr="006E0620">
        <w:t>ignificant acute renal, hepatic, or neurologic dys</w:t>
      </w:r>
      <w:r w:rsidR="001B4217" w:rsidRPr="006E0620">
        <w:t>function; a</w:t>
      </w:r>
      <w:r w:rsidR="00613CBB" w:rsidRPr="006E0620">
        <w:t xml:space="preserve">dmission to an ICU; </w:t>
      </w:r>
      <w:r w:rsidR="001B4217" w:rsidRPr="006E0620">
        <w:t>d</w:t>
      </w:r>
      <w:r w:rsidR="00183DD4" w:rsidRPr="006E0620">
        <w:t>eath.</w:t>
      </w:r>
    </w:p>
    <w:p w14:paraId="351BC915" w14:textId="25ABE861" w:rsidR="00183DD4" w:rsidRPr="006E0620" w:rsidRDefault="00183DD4" w:rsidP="00613CBB">
      <w:pPr>
        <w:pStyle w:val="ListBullet"/>
      </w:pPr>
      <w:r w:rsidRPr="006E0620">
        <w:t>COVID-19 based on a less restrictive definition of disease (defined below) occurring at least 14 days af</w:t>
      </w:r>
      <w:r w:rsidR="00E766F9" w:rsidRPr="006E0620">
        <w:t>ter the second dose of vaccine:</w:t>
      </w:r>
    </w:p>
    <w:p w14:paraId="05FDF8B5" w14:textId="758BEAC7" w:rsidR="00183DD4" w:rsidRPr="006E0620" w:rsidRDefault="000C0135" w:rsidP="00C618E0">
      <w:pPr>
        <w:pStyle w:val="ListBullet2"/>
      </w:pPr>
      <w:r>
        <w:t>p</w:t>
      </w:r>
      <w:r w:rsidR="00183DD4" w:rsidRPr="006E0620">
        <w:t xml:space="preserve">ositive </w:t>
      </w:r>
      <w:r w:rsidR="00A07469" w:rsidRPr="006E0620">
        <w:t xml:space="preserve">nasopharyngeal </w:t>
      </w:r>
      <w:r w:rsidR="00183DD4" w:rsidRPr="006E0620">
        <w:t>swab, nasal swab, or saliva sample (or r</w:t>
      </w:r>
      <w:r w:rsidR="00325EA3" w:rsidRPr="006E0620">
        <w:t>espiratory sample, if hospitalis</w:t>
      </w:r>
      <w:r w:rsidR="00183DD4" w:rsidRPr="006E0620">
        <w:t>ed) for SARS-CoV-2 by RT-PCR and one of the systemic symptoms (fever ≥</w:t>
      </w:r>
      <w:r w:rsidR="001B4217" w:rsidRPr="006E0620">
        <w:t> </w:t>
      </w:r>
      <w:r w:rsidR="00135E86" w:rsidRPr="006E0620">
        <w:t xml:space="preserve">38ºC, or chills, cough, </w:t>
      </w:r>
      <w:r w:rsidR="00183DD4" w:rsidRPr="006E0620">
        <w:t>shortness of b</w:t>
      </w:r>
      <w:r w:rsidR="001B4217" w:rsidRPr="006E0620">
        <w:t xml:space="preserve">reath or difficulty breathing, fatigue, </w:t>
      </w:r>
      <w:r w:rsidR="00183DD4" w:rsidRPr="006E0620">
        <w:t>muscle aches or body aches, headache, new loss of taste or smell, sore throat, nasal congestion or rhinorrh</w:t>
      </w:r>
      <w:r w:rsidR="008F002E">
        <w:t>o</w:t>
      </w:r>
      <w:r w:rsidR="00183DD4" w:rsidRPr="006E0620">
        <w:t>ea, nausea or vomiting, or diarrh</w:t>
      </w:r>
      <w:r w:rsidR="008F002E">
        <w:t>o</w:t>
      </w:r>
      <w:r w:rsidR="00183DD4" w:rsidRPr="006E0620">
        <w:t>ea)</w:t>
      </w:r>
      <w:r>
        <w:t>.</w:t>
      </w:r>
    </w:p>
    <w:p w14:paraId="7B3AF591" w14:textId="1B73F24F" w:rsidR="00183DD4" w:rsidRPr="006E0620" w:rsidRDefault="008F002E" w:rsidP="00613CBB">
      <w:pPr>
        <w:pStyle w:val="ListBullet"/>
      </w:pPr>
      <w:r>
        <w:lastRenderedPageBreak/>
        <w:t>d</w:t>
      </w:r>
      <w:r w:rsidR="00183DD4" w:rsidRPr="006E0620">
        <w:t xml:space="preserve">eath </w:t>
      </w:r>
      <w:r w:rsidR="00E766F9" w:rsidRPr="006E0620">
        <w:t>due to COVID-19</w:t>
      </w:r>
    </w:p>
    <w:p w14:paraId="1FEBB643" w14:textId="7334C6A6" w:rsidR="00183DD4" w:rsidRPr="006E0620" w:rsidRDefault="00183DD4" w:rsidP="00613CBB">
      <w:pPr>
        <w:pStyle w:val="ListBullet"/>
      </w:pPr>
      <w:r w:rsidRPr="006E0620">
        <w:t xml:space="preserve">COVID-19 occurring at least 14 days after the first dose of vaccine (including cases that </w:t>
      </w:r>
      <w:r w:rsidR="00E766F9" w:rsidRPr="006E0620">
        <w:t>occurred after the second dose)</w:t>
      </w:r>
    </w:p>
    <w:p w14:paraId="30BBE21C" w14:textId="1B476010" w:rsidR="00183DD4" w:rsidRPr="006E0620" w:rsidRDefault="00183DD4" w:rsidP="00C618E0">
      <w:r w:rsidRPr="006E0620">
        <w:t>Vaccine efficacy of secondary endpoints was estimated from the Cox proportional</w:t>
      </w:r>
      <w:r w:rsidR="001B4217" w:rsidRPr="006E0620">
        <w:t xml:space="preserve"> </w:t>
      </w:r>
      <w:r w:rsidRPr="006E0620">
        <w:t xml:space="preserve">hazards model when the primary endpoint reached statistical significance. Estimates based on the </w:t>
      </w:r>
      <w:r w:rsidR="001B4217" w:rsidRPr="006E0620">
        <w:t>per</w:t>
      </w:r>
      <w:r w:rsidR="00AF7999" w:rsidRPr="006E0620">
        <w:t>-</w:t>
      </w:r>
      <w:r w:rsidR="001B4217" w:rsidRPr="006E0620">
        <w:t xml:space="preserve">protocol set </w:t>
      </w:r>
      <w:r w:rsidRPr="006E0620">
        <w:t xml:space="preserve">were presented with nominal </w:t>
      </w:r>
      <w:proofErr w:type="gramStart"/>
      <w:r w:rsidRPr="006E0620">
        <w:t>two</w:t>
      </w:r>
      <w:r w:rsidR="001B4217" w:rsidRPr="006E0620">
        <w:t xml:space="preserve"> </w:t>
      </w:r>
      <w:r w:rsidRPr="006E0620">
        <w:t>sided</w:t>
      </w:r>
      <w:proofErr w:type="gramEnd"/>
      <w:r w:rsidRPr="006E0620">
        <w:t xml:space="preserve"> 95% confidence intervals</w:t>
      </w:r>
      <w:r w:rsidR="0017051F" w:rsidRPr="006E0620">
        <w:t xml:space="preserve"> (CI)</w:t>
      </w:r>
      <w:r w:rsidRPr="006E0620">
        <w:t>.</w:t>
      </w:r>
    </w:p>
    <w:p w14:paraId="32DE27BC" w14:textId="77777777" w:rsidR="00183DD4" w:rsidRPr="006E0620" w:rsidRDefault="00183DD4" w:rsidP="00613CBB">
      <w:pPr>
        <w:pStyle w:val="Heading6"/>
        <w:rPr>
          <w:rFonts w:eastAsia="Calibri"/>
        </w:rPr>
      </w:pPr>
      <w:r w:rsidRPr="006E0620">
        <w:rPr>
          <w:rFonts w:eastAsia="Calibri"/>
        </w:rPr>
        <w:t xml:space="preserve">Participant selection, treatments, </w:t>
      </w:r>
      <w:proofErr w:type="gramStart"/>
      <w:r w:rsidRPr="006E0620">
        <w:rPr>
          <w:rFonts w:eastAsia="Calibri"/>
        </w:rPr>
        <w:t>inclusion</w:t>
      </w:r>
      <w:proofErr w:type="gramEnd"/>
      <w:r w:rsidRPr="006E0620">
        <w:rPr>
          <w:rFonts w:eastAsia="Calibri"/>
        </w:rPr>
        <w:t xml:space="preserve"> and exclusion criteria</w:t>
      </w:r>
    </w:p>
    <w:p w14:paraId="0FA72FCA" w14:textId="7DC0AC93" w:rsidR="00183DD4" w:rsidRPr="006E0620" w:rsidRDefault="00183DD4" w:rsidP="00613CBB">
      <w:r w:rsidRPr="006E0620">
        <w:t>The study is conducted in adults aged 18 years and older who are at risk of</w:t>
      </w:r>
      <w:r w:rsidR="00325EA3" w:rsidRPr="006E0620">
        <w:t xml:space="preserve"> SARS-CoV-2 infection. Randomis</w:t>
      </w:r>
      <w:r w:rsidRPr="006E0620">
        <w:t>ation</w:t>
      </w:r>
      <w:r w:rsidR="003E6904" w:rsidRPr="006E0620">
        <w:t xml:space="preserve"> was stratified based on age (&lt; 65 and ≥ 65 </w:t>
      </w:r>
      <w:r w:rsidRPr="006E0620">
        <w:t xml:space="preserve">years) and risk of severe COVID-19 based on the presence of comorbid conditions (chronic lung disease or moderate to severe asthma, significant cardiac disease, severe obesity, diabetes, liver disease, or </w:t>
      </w:r>
      <w:r w:rsidR="003E6904" w:rsidRPr="006E0620">
        <w:t>human immunodeficiency virus (</w:t>
      </w:r>
      <w:r w:rsidRPr="006E0620">
        <w:t>HIV</w:t>
      </w:r>
      <w:r w:rsidR="003E6904" w:rsidRPr="006E0620">
        <w:t>)</w:t>
      </w:r>
      <w:r w:rsidRPr="006E0620">
        <w:t>). There were three strata for ra</w:t>
      </w:r>
      <w:r w:rsidR="00325EA3" w:rsidRPr="006E0620">
        <w:t>ndomis</w:t>
      </w:r>
      <w:r w:rsidR="003E6904" w:rsidRPr="006E0620">
        <w:t>ation: ≥ </w:t>
      </w:r>
      <w:r w:rsidRPr="006E0620">
        <w:t>65</w:t>
      </w:r>
      <w:r w:rsidR="003E6904" w:rsidRPr="006E0620">
        <w:t> years, &lt; 65 </w:t>
      </w:r>
      <w:r w:rsidR="00325EA3" w:rsidRPr="006E0620">
        <w:t>years and categoris</w:t>
      </w:r>
      <w:r w:rsidR="003E6904" w:rsidRPr="006E0620">
        <w:t>ed to be at increased risk (‘at risk’</w:t>
      </w:r>
      <w:r w:rsidRPr="006E0620">
        <w:t>) for the c</w:t>
      </w:r>
      <w:r w:rsidR="003E6904" w:rsidRPr="006E0620">
        <w:t>omplications of COVID-19, and &lt; 65 years ‘</w:t>
      </w:r>
      <w:r w:rsidRPr="006E0620">
        <w:t>not at risk</w:t>
      </w:r>
      <w:r w:rsidR="003E6904" w:rsidRPr="006E0620">
        <w:t>’</w:t>
      </w:r>
      <w:r w:rsidRPr="006E0620">
        <w:t>.</w:t>
      </w:r>
    </w:p>
    <w:p w14:paraId="1BE11FB8" w14:textId="13BAD0AD" w:rsidR="00183DD4" w:rsidRPr="006E0620" w:rsidRDefault="00183DD4" w:rsidP="00613CBB">
      <w:r w:rsidRPr="006E0620">
        <w:t>A total of 30,418 individuals were randomised in a 1:1 ratio to either</w:t>
      </w:r>
      <w:r w:rsidR="00837107">
        <w:t xml:space="preserve"> the </w:t>
      </w:r>
      <w:proofErr w:type="spellStart"/>
      <w:r w:rsidR="00837107">
        <w:t>Spikevax</w:t>
      </w:r>
      <w:proofErr w:type="spellEnd"/>
      <w:r w:rsidR="00837107">
        <w:t xml:space="preserve"> COVID</w:t>
      </w:r>
      <w:r w:rsidR="000C0135">
        <w:noBreakHyphen/>
      </w:r>
      <w:r w:rsidR="00837107">
        <w:t>19</w:t>
      </w:r>
      <w:r w:rsidRPr="006E0620">
        <w:t xml:space="preserve"> mRNA-1273 vaccine 100</w:t>
      </w:r>
      <w:r w:rsidR="003E6904" w:rsidRPr="006E0620">
        <w:t> µ</w:t>
      </w:r>
      <w:r w:rsidRPr="006E0620">
        <w:t>g or</w:t>
      </w:r>
      <w:r w:rsidR="003E6904" w:rsidRPr="006E0620">
        <w:t xml:space="preserve"> placebo (normal saline) on Day 1 and Day </w:t>
      </w:r>
      <w:r w:rsidRPr="006E0620">
        <w:t xml:space="preserve">29 via </w:t>
      </w:r>
      <w:r w:rsidR="003E6904" w:rsidRPr="006E0620">
        <w:t xml:space="preserve">intramuscular </w:t>
      </w:r>
      <w:r w:rsidRPr="006E0620">
        <w:t>inject</w:t>
      </w:r>
      <w:r w:rsidR="003E6904" w:rsidRPr="006E0620">
        <w:t>ion to the deltoid muscle. Dose </w:t>
      </w:r>
      <w:r w:rsidRPr="006E0620">
        <w:t>2 could be administered within a predefin</w:t>
      </w:r>
      <w:r w:rsidR="003E6904" w:rsidRPr="006E0620">
        <w:t>ed window allowance between Day 26 to Day </w:t>
      </w:r>
      <w:r w:rsidRPr="006E0620">
        <w:t xml:space="preserve">36 </w:t>
      </w:r>
      <w:r w:rsidR="003E6904" w:rsidRPr="006E0620">
        <w:t>(-3/+7 </w:t>
      </w:r>
      <w:r w:rsidRPr="006E0620">
        <w:t>days).</w:t>
      </w:r>
    </w:p>
    <w:p w14:paraId="268A8653" w14:textId="3B9227EB" w:rsidR="00183DD4" w:rsidRPr="006E0620" w:rsidRDefault="00DE39FC" w:rsidP="00DE39FC">
      <w:pPr>
        <w:pStyle w:val="FigureTitle"/>
        <w:rPr>
          <w:rFonts w:eastAsia="Calibri"/>
          <w:szCs w:val="24"/>
        </w:rPr>
      </w:pPr>
      <w:r w:rsidRPr="006E0620">
        <w:t xml:space="preserve">Figure </w:t>
      </w:r>
      <w:r>
        <w:fldChar w:fldCharType="begin"/>
      </w:r>
      <w:r>
        <w:instrText>SEQ Figure \* ARABIC</w:instrText>
      </w:r>
      <w:r>
        <w:fldChar w:fldCharType="separate"/>
      </w:r>
      <w:r w:rsidR="00B1591C">
        <w:rPr>
          <w:noProof/>
        </w:rPr>
        <w:t>7</w:t>
      </w:r>
      <w:r>
        <w:fldChar w:fldCharType="end"/>
      </w:r>
      <w:r w:rsidR="00183DD4" w:rsidRPr="006E0620">
        <w:rPr>
          <w:rFonts w:eastAsia="Calibri"/>
          <w:szCs w:val="24"/>
          <w:lang w:val="en-CA"/>
        </w:rPr>
        <w:t xml:space="preserve">: </w:t>
      </w:r>
      <w:r w:rsidR="00613CBB" w:rsidRPr="006E0620">
        <w:rPr>
          <w:rFonts w:eastAsia="Calibri"/>
          <w:szCs w:val="24"/>
        </w:rPr>
        <w:t>Study 301</w:t>
      </w:r>
      <w:r w:rsidR="00BF0719" w:rsidRPr="006E0620">
        <w:rPr>
          <w:rFonts w:eastAsia="Calibri"/>
          <w:szCs w:val="24"/>
        </w:rPr>
        <w:t xml:space="preserve"> </w:t>
      </w:r>
      <w:r w:rsidR="00B12010" w:rsidRPr="006E0620">
        <w:rPr>
          <w:rFonts w:eastAsia="Calibri"/>
          <w:szCs w:val="24"/>
        </w:rPr>
        <w:t>d</w:t>
      </w:r>
      <w:r w:rsidR="00613CBB" w:rsidRPr="006E0620">
        <w:rPr>
          <w:rFonts w:eastAsia="Calibri"/>
          <w:szCs w:val="24"/>
        </w:rPr>
        <w:t>esign</w:t>
      </w:r>
    </w:p>
    <w:p w14:paraId="2B4FE5A3" w14:textId="77777777" w:rsidR="00183DD4" w:rsidRPr="006E0620" w:rsidRDefault="00183DD4" w:rsidP="00183DD4">
      <w:pPr>
        <w:spacing w:before="0" w:after="160" w:line="259" w:lineRule="auto"/>
        <w:rPr>
          <w:rFonts w:eastAsia="Calibri"/>
          <w:sz w:val="24"/>
          <w:szCs w:val="24"/>
          <w:lang w:val="en-CA"/>
        </w:rPr>
      </w:pPr>
      <w:r w:rsidRPr="006E0620">
        <w:rPr>
          <w:rFonts w:eastAsia="Calibri"/>
          <w:noProof/>
          <w:color w:val="2B579A"/>
          <w:sz w:val="24"/>
          <w:szCs w:val="24"/>
          <w:shd w:val="clear" w:color="auto" w:fill="E6E6E6"/>
          <w:lang w:val="en-GB" w:eastAsia="en-GB"/>
        </w:rPr>
        <w:drawing>
          <wp:inline distT="0" distB="0" distL="0" distR="0" wp14:anchorId="2A9FFEDB" wp14:editId="656F2CA0">
            <wp:extent cx="4459859" cy="1820133"/>
            <wp:effectExtent l="0" t="0" r="0" b="8890"/>
            <wp:docPr id="6" name="Picture 6" descr="Study 301 design&#10;&#10;Enrolled patients were randomised in a 1:1 ratio to receive either placebo or the Spikevax mRNA-1273 vaccine.&#10;&#10;A total of 30,420 individuals were randomised to either mRNA-1273 vaccine 100 µg or placebo via 2 intramuscular injections&#10;Injection occurred on Day 1 and Day 29.&#10;Study visit occurred on Day 1 until Day 759.&#10;Solicited acute reaction was monitored until Day 36.&#10;Post bassline immunogenicity evaluation was monitored until Day 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301 design&#10;&#10;Enrolled patients were randomised in a 1:1 ratio to receive either placebo or the Spikevax mRNA-1273 vaccine.&#10;&#10;A total of 30,420 individuals were randomised to either mRNA-1273 vaccine 100 µg or placebo via 2 intramuscular injections&#10;Injection occurred on Day 1 and Day 29.&#10;Study visit occurred on Day 1 until Day 759.&#10;Solicited acute reaction was monitored until Day 36.&#10;Post bassline immunogenicity evaluation was monitored until Day 759.&#10;"/>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4525542" cy="1846939"/>
                    </a:xfrm>
                    <a:prstGeom prst="rect">
                      <a:avLst/>
                    </a:prstGeom>
                    <a:noFill/>
                  </pic:spPr>
                </pic:pic>
              </a:graphicData>
            </a:graphic>
          </wp:inline>
        </w:drawing>
      </w:r>
    </w:p>
    <w:p w14:paraId="7733C788" w14:textId="552EDC2A" w:rsidR="000C0135" w:rsidRDefault="000C0135" w:rsidP="00E627C3">
      <w:pPr>
        <w:pStyle w:val="TableDescription"/>
      </w:pPr>
      <w:r>
        <w:t xml:space="preserve">Enrolled patients were randomised in a 1:1 ratio to receive either placebo or the </w:t>
      </w:r>
      <w:proofErr w:type="spellStart"/>
      <w:r>
        <w:t>Spikevax</w:t>
      </w:r>
      <w:proofErr w:type="spellEnd"/>
      <w:r>
        <w:t xml:space="preserve"> mRNA-1273 vaccine</w:t>
      </w:r>
      <w:r w:rsidR="002F6017">
        <w:t>.</w:t>
      </w:r>
    </w:p>
    <w:p w14:paraId="33295CA2" w14:textId="2F840800" w:rsidR="00183DD4" w:rsidRPr="006E0620" w:rsidRDefault="00E627C3" w:rsidP="00E627C3">
      <w:pPr>
        <w:pStyle w:val="TableDescription"/>
      </w:pPr>
      <w:r w:rsidRPr="006E0620">
        <w:t>N = population size; mRNA = messenger ribonucleic acid; IM = intramuscular</w:t>
      </w:r>
      <w:r w:rsidR="00837107">
        <w:t>;</w:t>
      </w:r>
      <w:r w:rsidR="00837107" w:rsidRPr="00837107">
        <w:t xml:space="preserve"> </w:t>
      </w:r>
      <w:r w:rsidR="00837107">
        <w:t>m</w:t>
      </w:r>
      <w:r w:rsidR="007753E6">
        <w:t>R</w:t>
      </w:r>
      <w:r w:rsidR="00837107">
        <w:t xml:space="preserve">NA-1273 = </w:t>
      </w:r>
      <w:proofErr w:type="spellStart"/>
      <w:r w:rsidR="00837107">
        <w:t>Spikevax</w:t>
      </w:r>
      <w:proofErr w:type="spellEnd"/>
      <w:r w:rsidR="00837107">
        <w:t xml:space="preserve"> COVID-19 vaccine</w:t>
      </w:r>
      <w:r w:rsidRPr="006E0620">
        <w:t>.</w:t>
      </w:r>
    </w:p>
    <w:p w14:paraId="54D37217" w14:textId="7B32560E" w:rsidR="00183DD4" w:rsidRPr="006E0620" w:rsidRDefault="00183DD4" w:rsidP="00613CBB">
      <w:pPr>
        <w:pStyle w:val="Heading7"/>
        <w:rPr>
          <w:rFonts w:eastAsia="Calibri"/>
          <w:sz w:val="22"/>
        </w:rPr>
      </w:pPr>
      <w:r w:rsidRPr="006E0620">
        <w:rPr>
          <w:rFonts w:eastAsia="Calibri"/>
          <w:sz w:val="22"/>
        </w:rPr>
        <w:t>Key inclusion criteria</w:t>
      </w:r>
      <w:r w:rsidR="00B12010" w:rsidRPr="006E0620">
        <w:rPr>
          <w:rFonts w:eastAsia="Calibri"/>
          <w:sz w:val="22"/>
        </w:rPr>
        <w:t>:</w:t>
      </w:r>
    </w:p>
    <w:p w14:paraId="4ECCC1E2" w14:textId="77777777" w:rsidR="00183DD4" w:rsidRPr="006E0620" w:rsidRDefault="00183DD4" w:rsidP="00613CBB">
      <w:pPr>
        <w:pStyle w:val="ListBullet"/>
      </w:pPr>
      <w:r w:rsidRPr="006E0620">
        <w:t>Adults 18 years or older, who are at risk of SARS-CoV-2 infection (locations or circumstances put them at appreciable risk of exposure to SARS-CoV-2) with no known history of SARS-CoV-2 infection.</w:t>
      </w:r>
    </w:p>
    <w:p w14:paraId="2036D9AA" w14:textId="3125ECAA" w:rsidR="00183DD4" w:rsidRPr="006E0620" w:rsidRDefault="00183DD4" w:rsidP="00613CBB">
      <w:pPr>
        <w:pStyle w:val="ListBullet"/>
      </w:pPr>
      <w:r w:rsidRPr="006E0620">
        <w:t>Healthy adults or adults with pre-existing medical condition</w:t>
      </w:r>
      <w:r w:rsidR="00B12010" w:rsidRPr="006E0620">
        <w:t>s who are in stable condition. A</w:t>
      </w:r>
      <w:r w:rsidRPr="006E0620">
        <w:t xml:space="preserve"> stable medical condition is defined as disease not requiring significant</w:t>
      </w:r>
      <w:r w:rsidR="00325EA3" w:rsidRPr="006E0620">
        <w:t xml:space="preserve"> change in therapy or hospitalis</w:t>
      </w:r>
      <w:r w:rsidRPr="006E0620">
        <w:t>ation for worsening disease durin</w:t>
      </w:r>
      <w:r w:rsidR="00B12010" w:rsidRPr="006E0620">
        <w:t>g the 3 months before enrolment</w:t>
      </w:r>
      <w:r w:rsidRPr="006E0620">
        <w:t>.</w:t>
      </w:r>
    </w:p>
    <w:p w14:paraId="73490B13" w14:textId="10F35444" w:rsidR="00183DD4" w:rsidRPr="006E0620" w:rsidRDefault="00183DD4" w:rsidP="00613CBB">
      <w:pPr>
        <w:pStyle w:val="Heading7"/>
        <w:rPr>
          <w:rFonts w:eastAsia="Calibri"/>
          <w:sz w:val="22"/>
        </w:rPr>
      </w:pPr>
      <w:r w:rsidRPr="006E0620">
        <w:rPr>
          <w:rFonts w:eastAsia="Calibri"/>
          <w:sz w:val="22"/>
        </w:rPr>
        <w:t>Key exclusion criteria</w:t>
      </w:r>
      <w:r w:rsidR="00837107">
        <w:rPr>
          <w:rFonts w:eastAsia="Calibri"/>
          <w:sz w:val="22"/>
        </w:rPr>
        <w:t>:</w:t>
      </w:r>
    </w:p>
    <w:p w14:paraId="543ABA35" w14:textId="349B0308" w:rsidR="00183DD4" w:rsidRPr="006E0620" w:rsidRDefault="00183DD4" w:rsidP="00613CBB">
      <w:pPr>
        <w:pStyle w:val="ListBullet"/>
      </w:pPr>
      <w:r w:rsidRPr="006E0620">
        <w:t xml:space="preserve">Acutely ill or febrile 72 hours prior to or at </w:t>
      </w:r>
      <w:r w:rsidR="00B12010" w:rsidRPr="006E0620">
        <w:t>s</w:t>
      </w:r>
      <w:r w:rsidRPr="006E0620">
        <w:t>creening</w:t>
      </w:r>
    </w:p>
    <w:p w14:paraId="6C066914" w14:textId="77777777" w:rsidR="00183DD4" w:rsidRPr="006E0620" w:rsidRDefault="00183DD4" w:rsidP="00613CBB">
      <w:pPr>
        <w:pStyle w:val="ListBullet"/>
      </w:pPr>
      <w:r w:rsidRPr="006E0620">
        <w:t>Pregnant or breastfeeding</w:t>
      </w:r>
    </w:p>
    <w:p w14:paraId="4CFA1EB3" w14:textId="2E614AEB" w:rsidR="00183DD4" w:rsidRPr="006E0620" w:rsidRDefault="00183DD4" w:rsidP="00613CBB">
      <w:pPr>
        <w:pStyle w:val="ListBullet"/>
      </w:pPr>
      <w:r w:rsidRPr="006E0620">
        <w:t>Known or suspected allergy or history of anaphylaxis, urticaria, or other significant adverse reaction</w:t>
      </w:r>
      <w:r w:rsidR="00F75735" w:rsidRPr="006E0620">
        <w:t xml:space="preserve"> (AR)</w:t>
      </w:r>
      <w:r w:rsidRPr="006E0620">
        <w:t xml:space="preserve"> t</w:t>
      </w:r>
      <w:r w:rsidR="00B12010" w:rsidRPr="006E0620">
        <w:t>o the vaccine or its excipients</w:t>
      </w:r>
    </w:p>
    <w:p w14:paraId="32788B60" w14:textId="4E67303C" w:rsidR="00183DD4" w:rsidRPr="006E0620" w:rsidRDefault="00183DD4" w:rsidP="00613CBB">
      <w:pPr>
        <w:pStyle w:val="ListBullet"/>
      </w:pPr>
      <w:r w:rsidRPr="006E0620">
        <w:lastRenderedPageBreak/>
        <w:t>Bleeding disorder considered a contraindication to intram</w:t>
      </w:r>
      <w:r w:rsidR="00B12010" w:rsidRPr="006E0620">
        <w:t>uscular injection or phlebotomy</w:t>
      </w:r>
    </w:p>
    <w:p w14:paraId="5587AD40" w14:textId="77777777" w:rsidR="00183DD4" w:rsidRPr="006E0620" w:rsidRDefault="00183DD4" w:rsidP="00613CBB">
      <w:pPr>
        <w:pStyle w:val="ListBullet"/>
      </w:pPr>
      <w:r w:rsidRPr="006E0620">
        <w:t>Received or plans to receive a non-study vaccine within 28 days prior to or after any dose of study vaccine (except for seasonal influenza vaccine which is not permitted within 14 days before or after any dose of study vaccine)</w:t>
      </w:r>
    </w:p>
    <w:p w14:paraId="510E661D" w14:textId="37D52A5E" w:rsidR="00183DD4" w:rsidRPr="006E0620" w:rsidRDefault="00183DD4" w:rsidP="00613CBB">
      <w:pPr>
        <w:pStyle w:val="ListBullet"/>
      </w:pPr>
      <w:r w:rsidRPr="006E0620">
        <w:t xml:space="preserve">Immunosuppressive or immunodeficient state, asplenia, recurrent severe infections (HIV-positive participants with CD4 </w:t>
      </w:r>
      <w:r w:rsidR="000C0135">
        <w:t xml:space="preserve">cell </w:t>
      </w:r>
      <w:r w:rsidRPr="006E0620">
        <w:t>count ≥</w:t>
      </w:r>
      <w:r w:rsidR="00B12010" w:rsidRPr="006E0620">
        <w:t> 350 </w:t>
      </w:r>
      <w:r w:rsidRPr="006E0620">
        <w:t>cells/mm</w:t>
      </w:r>
      <w:r w:rsidRPr="006E0620">
        <w:rPr>
          <w:vertAlign w:val="superscript"/>
        </w:rPr>
        <w:t>3</w:t>
      </w:r>
      <w:r w:rsidRPr="006E0620">
        <w:t xml:space="preserve"> and an undetectable HIV v</w:t>
      </w:r>
      <w:r w:rsidR="00B12010" w:rsidRPr="006E0620">
        <w:t>iral load within the past year (</w:t>
      </w:r>
      <w:r w:rsidRPr="006E0620">
        <w:t>low level variations from 50</w:t>
      </w:r>
      <w:r w:rsidR="00B12010" w:rsidRPr="006E0620">
        <w:t xml:space="preserve"> to </w:t>
      </w:r>
      <w:r w:rsidRPr="006E0620">
        <w:t>500 viral copies which do not lead to changes in antir</w:t>
      </w:r>
      <w:r w:rsidR="00B12010" w:rsidRPr="006E0620">
        <w:t>etroviral therapy are permitted)</w:t>
      </w:r>
      <w:r w:rsidRPr="006E0620">
        <w:t>).</w:t>
      </w:r>
    </w:p>
    <w:p w14:paraId="307035A9" w14:textId="46ADB2F2" w:rsidR="00183DD4" w:rsidRPr="006E0620" w:rsidRDefault="00183DD4" w:rsidP="00613CBB">
      <w:pPr>
        <w:pStyle w:val="ListBullet"/>
      </w:pPr>
      <w:r w:rsidRPr="006E0620">
        <w:t>Received systemic immunosuppressants or immune</w:t>
      </w:r>
      <w:r w:rsidR="00B12010" w:rsidRPr="006E0620">
        <w:t xml:space="preserve"> </w:t>
      </w:r>
      <w:r w:rsidRPr="006E0620">
        <w:t>modifying drugs for &gt;</w:t>
      </w:r>
      <w:r w:rsidR="00B12010" w:rsidRPr="006E0620">
        <w:t> 14 </w:t>
      </w:r>
      <w:r w:rsidRPr="006E0620">
        <w:t xml:space="preserve">days in </w:t>
      </w:r>
      <w:r w:rsidR="00B12010" w:rsidRPr="006E0620">
        <w:t>total within 6 months prior to s</w:t>
      </w:r>
      <w:r w:rsidRPr="006E0620">
        <w:t xml:space="preserve">creening </w:t>
      </w:r>
      <w:r w:rsidR="00B12010" w:rsidRPr="006E0620">
        <w:t>(for corticosteroids ≥ </w:t>
      </w:r>
      <w:r w:rsidRPr="006E0620">
        <w:t>20</w:t>
      </w:r>
      <w:r w:rsidR="00B12010" w:rsidRPr="006E0620">
        <w:t> </w:t>
      </w:r>
      <w:r w:rsidRPr="006E0620">
        <w:t>mg/day of prednisone equivalent).</w:t>
      </w:r>
    </w:p>
    <w:p w14:paraId="5BC7670A" w14:textId="77777777" w:rsidR="00183DD4" w:rsidRPr="006E0620" w:rsidRDefault="00183DD4" w:rsidP="00613CBB">
      <w:pPr>
        <w:pStyle w:val="ListBullet"/>
      </w:pPr>
      <w:r w:rsidRPr="006E0620">
        <w:t>Received systemic immunoglobulins or blood products within 3 months prior to the day of screening.</w:t>
      </w:r>
    </w:p>
    <w:p w14:paraId="0BC8D1E3" w14:textId="4F31AC81" w:rsidR="00183DD4" w:rsidRPr="006E0620" w:rsidRDefault="00183DD4" w:rsidP="00613CBB">
      <w:pPr>
        <w:pStyle w:val="Heading6"/>
        <w:rPr>
          <w:rFonts w:eastAsia="Calibri"/>
        </w:rPr>
      </w:pPr>
      <w:r w:rsidRPr="006E0620">
        <w:rPr>
          <w:rFonts w:eastAsia="Calibri"/>
        </w:rPr>
        <w:t xml:space="preserve">Study </w:t>
      </w:r>
      <w:r w:rsidR="00B12010" w:rsidRPr="006E0620">
        <w:rPr>
          <w:rFonts w:eastAsia="Calibri"/>
        </w:rPr>
        <w:t>design and efficacy analysis</w:t>
      </w:r>
    </w:p>
    <w:p w14:paraId="3228B07B" w14:textId="00E44469" w:rsidR="00183DD4" w:rsidRPr="006E0620" w:rsidRDefault="00183DD4" w:rsidP="00613CBB">
      <w:r w:rsidRPr="006E0620">
        <w:t xml:space="preserve">For analysis of the primary endpoint, the trial was designed for the null hypothesis that the efficacy of the </w:t>
      </w:r>
      <w:proofErr w:type="spellStart"/>
      <w:r w:rsidR="00837107">
        <w:t>Spikevax</w:t>
      </w:r>
      <w:proofErr w:type="spellEnd"/>
      <w:r w:rsidR="00837107">
        <w:t xml:space="preserve"> COVID-19 </w:t>
      </w:r>
      <w:r w:rsidRPr="006E0620">
        <w:t>mRNA-1273 vaccine is 30% or less. A total of 151</w:t>
      </w:r>
      <w:r w:rsidR="000C0135">
        <w:t> </w:t>
      </w:r>
      <w:r w:rsidRPr="006E0620">
        <w:t>cases of COVID-19 would provide 90% power to detect a 60% reduction in the hazard rate (</w:t>
      </w:r>
      <w:r w:rsidR="008C616B" w:rsidRPr="006E0620">
        <w:t>that is</w:t>
      </w:r>
      <w:r w:rsidRPr="006E0620">
        <w:t xml:space="preserve">, 60% </w:t>
      </w:r>
      <w:r w:rsidR="00975A32" w:rsidRPr="006E0620">
        <w:t>VE</w:t>
      </w:r>
      <w:r w:rsidRPr="006E0620">
        <w:t>), with two planned interim analyses at approximately 35% and 70% of the target total number of cases (151) and with a one</w:t>
      </w:r>
      <w:r w:rsidR="00DE21FE" w:rsidRPr="006E0620">
        <w:t xml:space="preserve"> </w:t>
      </w:r>
      <w:r w:rsidRPr="006E0620">
        <w:t>sided O’Brien–Fleming boundary for efficacy and an overall one</w:t>
      </w:r>
      <w:r w:rsidR="00DE21FE" w:rsidRPr="006E0620">
        <w:t xml:space="preserve"> </w:t>
      </w:r>
      <w:r w:rsidRPr="006E0620">
        <w:t xml:space="preserve">sided error rate of 0.025. The efficacy of the </w:t>
      </w:r>
      <w:proofErr w:type="spellStart"/>
      <w:r w:rsidR="00837107">
        <w:t>Spikevax</w:t>
      </w:r>
      <w:proofErr w:type="spellEnd"/>
      <w:r w:rsidR="00837107">
        <w:t xml:space="preserve"> COVID-19 </w:t>
      </w:r>
      <w:r w:rsidRPr="006E0620">
        <w:t>mRNA-1273 vaccine could be demonstrated at either the interim or the primary analysis, performed when the target total number of cases had been observed.</w:t>
      </w:r>
    </w:p>
    <w:p w14:paraId="5E072F4E" w14:textId="71B19826" w:rsidR="00183DD4" w:rsidRPr="006E0620" w:rsidRDefault="00183DD4" w:rsidP="00613CBB">
      <w:r w:rsidRPr="006E0620">
        <w:t>The Lan–</w:t>
      </w:r>
      <w:proofErr w:type="spellStart"/>
      <w:r w:rsidRPr="006E0620">
        <w:t>DeMets</w:t>
      </w:r>
      <w:proofErr w:type="spellEnd"/>
      <w:r w:rsidRPr="006E0620">
        <w:t xml:space="preserve"> alpha</w:t>
      </w:r>
      <w:r w:rsidR="00DE21FE" w:rsidRPr="006E0620">
        <w:t xml:space="preserve"> </w:t>
      </w:r>
      <w:r w:rsidRPr="006E0620">
        <w:t xml:space="preserve">spending function was used for calculating efficacy boundaries at each analysis. At the first interim analysis on </w:t>
      </w:r>
      <w:r w:rsidR="00DE21FE" w:rsidRPr="006E0620">
        <w:t xml:space="preserve">15 </w:t>
      </w:r>
      <w:r w:rsidRPr="006E0620">
        <w:t xml:space="preserve">November 2020, </w:t>
      </w:r>
      <w:r w:rsidR="005A1A02" w:rsidRPr="006E0620">
        <w:t>VE</w:t>
      </w:r>
      <w:r w:rsidRPr="006E0620">
        <w:t xml:space="preserve"> had been demonstrated in accordance with the pre-specified statistical criteria. The </w:t>
      </w:r>
      <w:r w:rsidR="005A1A02" w:rsidRPr="006E0620">
        <w:t>VE</w:t>
      </w:r>
      <w:r w:rsidRPr="006E0620">
        <w:t xml:space="preserve"> estimate, based on a total of 95 adjudicated cases (63% of the target total), was 94.5%, with a </w:t>
      </w:r>
      <w:proofErr w:type="gramStart"/>
      <w:r w:rsidRPr="006E0620">
        <w:t>one</w:t>
      </w:r>
      <w:r w:rsidR="00DE21FE" w:rsidRPr="006E0620">
        <w:t xml:space="preserve"> sided</w:t>
      </w:r>
      <w:proofErr w:type="gramEnd"/>
      <w:r w:rsidR="00DE21FE" w:rsidRPr="006E0620">
        <w:t xml:space="preserve"> p</w:t>
      </w:r>
      <w:r w:rsidR="00DE21FE" w:rsidRPr="006E0620">
        <w:noBreakHyphen/>
      </w:r>
      <w:r w:rsidRPr="006E0620">
        <w:t xml:space="preserve">value of less than 0.001 to reject the null hypothesis that </w:t>
      </w:r>
      <w:r w:rsidR="005A1A02" w:rsidRPr="006E0620">
        <w:t>VE</w:t>
      </w:r>
      <w:r w:rsidRPr="006E0620">
        <w:t xml:space="preserve"> would be 30% or less.</w:t>
      </w:r>
    </w:p>
    <w:p w14:paraId="54AEAE42" w14:textId="75167FEA" w:rsidR="00183DD4" w:rsidRPr="006E0620" w:rsidRDefault="00183DD4" w:rsidP="00613CBB">
      <w:r w:rsidRPr="006E0620">
        <w:t>The primary efficacy endpoint in the interim and primary analyses was assessed in the per</w:t>
      </w:r>
      <w:r w:rsidR="00AF7999" w:rsidRPr="006E0620">
        <w:t>-</w:t>
      </w:r>
      <w:r w:rsidRPr="006E0620">
        <w:t>protocol population. Participants were evaluated in the treatment groups to which they were assigned.</w:t>
      </w:r>
    </w:p>
    <w:p w14:paraId="4C5FFB88" w14:textId="74F963A9" w:rsidR="00183DD4" w:rsidRPr="006E0620" w:rsidRDefault="00183DD4" w:rsidP="00613CBB">
      <w:r w:rsidRPr="006E0620">
        <w:t>Vaccine efficacy was defined as the percentage reduction in the hazard ratio for the primary endpoint (</w:t>
      </w:r>
      <w:proofErr w:type="spellStart"/>
      <w:r w:rsidR="00837107">
        <w:t>Spikevax</w:t>
      </w:r>
      <w:proofErr w:type="spellEnd"/>
      <w:r w:rsidR="00837107">
        <w:t xml:space="preserve"> COVID-19 </w:t>
      </w:r>
      <w:r w:rsidRPr="006E0620">
        <w:t xml:space="preserve">mRNA-1273 </w:t>
      </w:r>
      <w:r w:rsidR="00837107">
        <w:t xml:space="preserve">vaccine </w:t>
      </w:r>
      <w:r w:rsidRPr="006E0620">
        <w:t>v</w:t>
      </w:r>
      <w:r w:rsidR="008C616B" w:rsidRPr="006E0620">
        <w:t>ersu</w:t>
      </w:r>
      <w:r w:rsidRPr="006E0620">
        <w:t xml:space="preserve">s placebo). A stratified Cox proportional hazards model was used to assess the </w:t>
      </w:r>
      <w:r w:rsidR="005A1A02" w:rsidRPr="006E0620">
        <w:t>VE</w:t>
      </w:r>
      <w:r w:rsidRPr="006E0620">
        <w:t xml:space="preserve"> of </w:t>
      </w:r>
      <w:proofErr w:type="spellStart"/>
      <w:r w:rsidR="00837107">
        <w:t>Spikevax</w:t>
      </w:r>
      <w:proofErr w:type="spellEnd"/>
      <w:r w:rsidR="00837107">
        <w:t xml:space="preserve"> COVID-19 </w:t>
      </w:r>
      <w:r w:rsidRPr="006E0620">
        <w:t>mRNA</w:t>
      </w:r>
      <w:r w:rsidR="00837107">
        <w:noBreakHyphen/>
      </w:r>
      <w:r w:rsidRPr="006E0620">
        <w:t>1273</w:t>
      </w:r>
      <w:r w:rsidR="00837107">
        <w:t xml:space="preserve"> vaccine</w:t>
      </w:r>
      <w:r w:rsidRPr="006E0620">
        <w:t xml:space="preserve"> as compared with placebo in terms of the percentage hazard reduction</w:t>
      </w:r>
      <w:r w:rsidR="00613CBB" w:rsidRPr="006E0620">
        <w:t>.</w:t>
      </w:r>
    </w:p>
    <w:p w14:paraId="19417D48" w14:textId="77777777" w:rsidR="00183DD4" w:rsidRPr="006E0620" w:rsidRDefault="00183DD4" w:rsidP="00613CBB">
      <w:pPr>
        <w:pStyle w:val="Heading6"/>
        <w:rPr>
          <w:rFonts w:eastAsia="Calibri"/>
        </w:rPr>
      </w:pPr>
      <w:r w:rsidRPr="006E0620">
        <w:rPr>
          <w:rFonts w:eastAsia="Calibri"/>
        </w:rPr>
        <w:t>Major protocol amendments</w:t>
      </w:r>
    </w:p>
    <w:p w14:paraId="006FE3B7" w14:textId="5CA509A8" w:rsidR="00183DD4" w:rsidRPr="006E0620" w:rsidRDefault="00183DD4" w:rsidP="00613CBB">
      <w:pPr>
        <w:pStyle w:val="ListBullet"/>
      </w:pPr>
      <w:r w:rsidRPr="006E0620">
        <w:t xml:space="preserve">Protocol amendment 4 (30 </w:t>
      </w:r>
      <w:r w:rsidR="00DE21FE" w:rsidRPr="006E0620">
        <w:t>September</w:t>
      </w:r>
      <w:r w:rsidRPr="006E0620">
        <w:t xml:space="preserve"> 2020) increased the upper limit for stratification of participants at risk of severe COVID-19 disease at screening from 40% to 50%.</w:t>
      </w:r>
    </w:p>
    <w:p w14:paraId="5F7F8B91" w14:textId="0B26854D" w:rsidR="00183DD4" w:rsidRPr="006E0620" w:rsidRDefault="00183DD4" w:rsidP="00DE21FE">
      <w:pPr>
        <w:pStyle w:val="ListBullet"/>
      </w:pPr>
      <w:r w:rsidRPr="006E0620">
        <w:t>Protocol amendment 6 (23 Dec</w:t>
      </w:r>
      <w:r w:rsidR="00DE21FE" w:rsidRPr="006E0620">
        <w:t>ember</w:t>
      </w:r>
      <w:r w:rsidRPr="006E0620">
        <w:t xml:space="preserve"> 2020) (</w:t>
      </w:r>
      <w:r w:rsidR="00DE21FE" w:rsidRPr="006E0620">
        <w:t>proposed post</w:t>
      </w:r>
      <w:r w:rsidRPr="006E0620">
        <w:t>-</w:t>
      </w:r>
      <w:r w:rsidR="00DE21FE" w:rsidRPr="006E0620">
        <w:t>Emergency Use Authorization</w:t>
      </w:r>
      <w:r w:rsidRPr="006E0620">
        <w:t xml:space="preserve">, pending </w:t>
      </w:r>
      <w:r w:rsidR="000C0135">
        <w:t xml:space="preserve">the United States (US) </w:t>
      </w:r>
      <w:r w:rsidR="00DE21FE" w:rsidRPr="006E0620">
        <w:t>Food and Drug Administration (</w:t>
      </w:r>
      <w:r w:rsidRPr="006E0620">
        <w:t>FDA</w:t>
      </w:r>
      <w:r w:rsidR="00DE21FE" w:rsidRPr="006E0620">
        <w:t>)</w:t>
      </w:r>
      <w:r w:rsidRPr="006E0620">
        <w:t>’s decision)</w:t>
      </w:r>
    </w:p>
    <w:p w14:paraId="3B1A1A56" w14:textId="395BE46A" w:rsidR="00183DD4" w:rsidRPr="006E0620" w:rsidRDefault="00183DD4" w:rsidP="00613CBB">
      <w:pPr>
        <w:rPr>
          <w:b/>
        </w:rPr>
      </w:pPr>
      <w:r w:rsidRPr="006E0620">
        <w:rPr>
          <w:b/>
        </w:rPr>
        <w:t>Addition of open</w:t>
      </w:r>
      <w:r w:rsidR="00DE21FE" w:rsidRPr="006E0620">
        <w:rPr>
          <w:b/>
        </w:rPr>
        <w:t xml:space="preserve"> </w:t>
      </w:r>
      <w:r w:rsidRPr="006E0620">
        <w:rPr>
          <w:b/>
        </w:rPr>
        <w:t>label observational phase (Part B)</w:t>
      </w:r>
    </w:p>
    <w:p w14:paraId="73712051" w14:textId="22C22DFE" w:rsidR="00183DD4" w:rsidRPr="006E0620" w:rsidRDefault="00183DD4" w:rsidP="00DE21FE">
      <w:pPr>
        <w:pStyle w:val="ListBullet"/>
      </w:pPr>
      <w:r w:rsidRPr="006E0620">
        <w:t xml:space="preserve">Allows all ongoing study participants to be informed of the availability and eligibility criteria of any COVID-19 vaccine made available under an </w:t>
      </w:r>
      <w:r w:rsidR="00DE21FE" w:rsidRPr="006E0620">
        <w:t>Emergency Use Authorization</w:t>
      </w:r>
      <w:r w:rsidRPr="006E0620">
        <w:t xml:space="preserve">, and the option to offer all ongoing study participants who request </w:t>
      </w:r>
      <w:r w:rsidRPr="006E0620">
        <w:lastRenderedPageBreak/>
        <w:t xml:space="preserve">unblinding, an opportunity to schedule a </w:t>
      </w:r>
      <w:r w:rsidR="00DE21FE" w:rsidRPr="006E0620">
        <w:t xml:space="preserve">participant decision </w:t>
      </w:r>
      <w:r w:rsidRPr="006E0620">
        <w:t>clinic visit to know their original treatment assignment (</w:t>
      </w:r>
      <w:proofErr w:type="spellStart"/>
      <w:r w:rsidR="00837107">
        <w:t>Spikevax</w:t>
      </w:r>
      <w:proofErr w:type="spellEnd"/>
      <w:r w:rsidR="00837107">
        <w:t xml:space="preserve"> COVID-19 </w:t>
      </w:r>
      <w:r w:rsidRPr="006E0620">
        <w:t>mRNA-1273</w:t>
      </w:r>
      <w:r w:rsidR="00837107">
        <w:t xml:space="preserve"> vaccine</w:t>
      </w:r>
      <w:r w:rsidRPr="006E0620">
        <w:t xml:space="preserve"> or placebo).</w:t>
      </w:r>
    </w:p>
    <w:p w14:paraId="55F1C3C7" w14:textId="46B99C54" w:rsidR="00183DD4" w:rsidRPr="006E0620" w:rsidRDefault="00837107" w:rsidP="00613CBB">
      <w:pPr>
        <w:pStyle w:val="ListBullet"/>
      </w:pPr>
      <w:r>
        <w:t xml:space="preserve">The </w:t>
      </w:r>
      <w:proofErr w:type="spellStart"/>
      <w:r w:rsidRPr="00837107">
        <w:t>Spikevax</w:t>
      </w:r>
      <w:proofErr w:type="spellEnd"/>
      <w:r w:rsidRPr="00837107">
        <w:t xml:space="preserve"> COVID-19 </w:t>
      </w:r>
      <w:r w:rsidR="00183DD4" w:rsidRPr="006E0620">
        <w:t xml:space="preserve">mRNA-1273 vaccine will be offered to individuals randomised to vaccine group but who received only </w:t>
      </w:r>
      <w:r w:rsidR="006560AC" w:rsidRPr="006E0620">
        <w:t>one</w:t>
      </w:r>
      <w:r w:rsidR="00183DD4" w:rsidRPr="006E0620">
        <w:t xml:space="preserve"> dose of vaccine in the study (Dose 2 administered on </w:t>
      </w:r>
      <w:r w:rsidR="006560AC" w:rsidRPr="006E0620">
        <w:t>day of participant decision clinic visit</w:t>
      </w:r>
      <w:r w:rsidR="00183DD4" w:rsidRPr="006E0620">
        <w:t>), and also to participants who received placebo (2</w:t>
      </w:r>
      <w:r w:rsidR="008F002E">
        <w:t> </w:t>
      </w:r>
      <w:r w:rsidR="00183DD4" w:rsidRPr="006E0620">
        <w:t>doses).</w:t>
      </w:r>
    </w:p>
    <w:p w14:paraId="36F088FA" w14:textId="669C2C06" w:rsidR="00183DD4" w:rsidRPr="006E0620" w:rsidRDefault="00183DD4" w:rsidP="00613CBB">
      <w:pPr>
        <w:pStyle w:val="Heading6"/>
        <w:rPr>
          <w:rFonts w:eastAsia="Calibri"/>
        </w:rPr>
      </w:pPr>
      <w:r w:rsidRPr="006E0620">
        <w:rPr>
          <w:rFonts w:eastAsia="Calibri"/>
        </w:rPr>
        <w:t xml:space="preserve">Disposition and </w:t>
      </w:r>
      <w:r w:rsidR="007570F3" w:rsidRPr="006E0620">
        <w:rPr>
          <w:rFonts w:eastAsia="Calibri"/>
        </w:rPr>
        <w:t>demographic characteristics of population</w:t>
      </w:r>
    </w:p>
    <w:p w14:paraId="44C3B6F0" w14:textId="3EE0FE35" w:rsidR="00183DD4" w:rsidRPr="006E0620" w:rsidRDefault="00183DD4" w:rsidP="00613CBB">
      <w:pPr>
        <w:rPr>
          <w:b/>
        </w:rPr>
      </w:pPr>
      <w:r w:rsidRPr="006E0620">
        <w:rPr>
          <w:b/>
        </w:rPr>
        <w:t>Study population disposition (interim analysis cut-off: 21</w:t>
      </w:r>
      <w:r w:rsidR="007570F3" w:rsidRPr="006E0620">
        <w:rPr>
          <w:b/>
        </w:rPr>
        <w:t xml:space="preserve"> </w:t>
      </w:r>
      <w:r w:rsidRPr="006E0620">
        <w:rPr>
          <w:b/>
        </w:rPr>
        <w:t>Nov</w:t>
      </w:r>
      <w:r w:rsidR="00613CBB" w:rsidRPr="006E0620">
        <w:rPr>
          <w:b/>
        </w:rPr>
        <w:t>ember</w:t>
      </w:r>
      <w:r w:rsidRPr="006E0620">
        <w:rPr>
          <w:b/>
        </w:rPr>
        <w:t xml:space="preserve"> 2020)</w:t>
      </w:r>
    </w:p>
    <w:p w14:paraId="234DE00B" w14:textId="0C17CD20" w:rsidR="00183DD4" w:rsidRPr="006E0620" w:rsidRDefault="00183DD4" w:rsidP="00613CBB">
      <w:r w:rsidRPr="006E0620">
        <w:t>Out of total of 30,418 randomised subjects, the majority (91.7%) completed the vaccination series of 2 doses. Median study duration post Dose 2 was 7 weeks. Both treatment groups were generally balanced across the different analysis sets. The median follow-up durat</w:t>
      </w:r>
      <w:r w:rsidR="007570F3" w:rsidRPr="006E0620">
        <w:t>ion was 63 days (9 weeks) post D</w:t>
      </w:r>
      <w:r w:rsidRPr="006E0620">
        <w:t>ose 2 (Data cut-off: 25 Nov</w:t>
      </w:r>
      <w:r w:rsidR="007570F3" w:rsidRPr="006E0620">
        <w:t>ember</w:t>
      </w:r>
      <w:r w:rsidRPr="006E0620">
        <w:t xml:space="preserve"> 2020).</w:t>
      </w:r>
    </w:p>
    <w:p w14:paraId="328B36E6" w14:textId="1F37FAFB" w:rsidR="00DE18C2" w:rsidRDefault="006131C6" w:rsidP="006131C6">
      <w:pPr>
        <w:pStyle w:val="TableTitle"/>
        <w:rPr>
          <w:lang w:val="en-SG"/>
        </w:rPr>
      </w:pPr>
      <w:r w:rsidRPr="006E0620">
        <w:lastRenderedPageBreak/>
        <w:t xml:space="preserve">Table </w:t>
      </w:r>
      <w:r>
        <w:fldChar w:fldCharType="begin"/>
      </w:r>
      <w:r>
        <w:instrText>SEQ Table \* ARABIC</w:instrText>
      </w:r>
      <w:r>
        <w:fldChar w:fldCharType="separate"/>
      </w:r>
      <w:r w:rsidR="00B1591C">
        <w:rPr>
          <w:noProof/>
        </w:rPr>
        <w:t>3</w:t>
      </w:r>
      <w:r>
        <w:fldChar w:fldCharType="end"/>
      </w:r>
      <w:r w:rsidR="00183DD4" w:rsidRPr="006E0620">
        <w:rPr>
          <w:lang w:val="en-SG"/>
        </w:rPr>
        <w:t xml:space="preserve">: </w:t>
      </w:r>
      <w:r w:rsidR="00631795" w:rsidRPr="006E0620">
        <w:rPr>
          <w:lang w:val="en-SG"/>
        </w:rPr>
        <w:t xml:space="preserve">Study 301 </w:t>
      </w:r>
      <w:r w:rsidR="00183DD4" w:rsidRPr="006E0620">
        <w:rPr>
          <w:lang w:val="en-SG"/>
        </w:rPr>
        <w:t xml:space="preserve">Study population by </w:t>
      </w:r>
      <w:r w:rsidR="007570F3" w:rsidRPr="006E0620">
        <w:rPr>
          <w:lang w:val="en-SG"/>
        </w:rPr>
        <w:t>analysis set (data cut-off</w:t>
      </w:r>
      <w:r w:rsidR="00183DD4" w:rsidRPr="006E0620">
        <w:rPr>
          <w:lang w:val="en-SG"/>
        </w:rPr>
        <w:t>: 25</w:t>
      </w:r>
      <w:r w:rsidR="00837107">
        <w:rPr>
          <w:lang w:val="en-SG"/>
        </w:rPr>
        <w:t> </w:t>
      </w:r>
      <w:r w:rsidR="00183DD4" w:rsidRPr="006E0620">
        <w:rPr>
          <w:lang w:val="en-SG"/>
        </w:rPr>
        <w:t>Nov</w:t>
      </w:r>
      <w:r w:rsidR="007570F3" w:rsidRPr="006E0620">
        <w:rPr>
          <w:lang w:val="en-SG"/>
        </w:rPr>
        <w:t>ember</w:t>
      </w:r>
      <w:r w:rsidR="00837107">
        <w:rPr>
          <w:lang w:val="en-SG"/>
        </w:rPr>
        <w:t> </w:t>
      </w:r>
      <w:r w:rsidR="00183DD4" w:rsidRPr="006E0620">
        <w:rPr>
          <w:lang w:val="en-SG"/>
        </w:rPr>
        <w:t>2020)</w:t>
      </w:r>
    </w:p>
    <w:p w14:paraId="59E03D10" w14:textId="5EB776E8" w:rsidR="003739CB" w:rsidRPr="006E0620" w:rsidRDefault="003739CB" w:rsidP="00CD55D9">
      <w:pPr>
        <w:rPr>
          <w:lang w:val="en-SG"/>
        </w:rPr>
      </w:pPr>
      <w:r>
        <w:rPr>
          <w:noProof/>
          <w:lang w:val="en-GB" w:eastAsia="en-GB"/>
        </w:rPr>
        <w:drawing>
          <wp:inline distT="0" distB="0" distL="0" distR="0" wp14:anchorId="10F90644" wp14:editId="45578874">
            <wp:extent cx="5398770" cy="6448425"/>
            <wp:effectExtent l="0" t="0" r="0" b="9525"/>
            <wp:docPr id="23" name="Picture 23" descr="Study 301 Study population by analysis set (data cut-off: 25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301 Study population by analysis set (data cut-off: 25 November 20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8770" cy="6448425"/>
                    </a:xfrm>
                    <a:prstGeom prst="rect">
                      <a:avLst/>
                    </a:prstGeom>
                    <a:noFill/>
                    <a:ln>
                      <a:noFill/>
                    </a:ln>
                  </pic:spPr>
                </pic:pic>
              </a:graphicData>
            </a:graphic>
          </wp:inline>
        </w:drawing>
      </w:r>
    </w:p>
    <w:p w14:paraId="6B07B3C9" w14:textId="464E9312" w:rsidR="003C7B37" w:rsidRDefault="003C7B37" w:rsidP="00C64D58">
      <w:pPr>
        <w:pStyle w:val="TableDescription"/>
        <w:rPr>
          <w:lang w:val="en-SG"/>
        </w:rPr>
      </w:pPr>
      <w:r w:rsidRPr="006E0620">
        <w:rPr>
          <w:lang w:val="en-SG"/>
        </w:rPr>
        <w:t>N = population size; n = sample size.</w:t>
      </w:r>
    </w:p>
    <w:p w14:paraId="338E7868" w14:textId="4F8B068D" w:rsidR="00C64D58" w:rsidRPr="00C64D58" w:rsidRDefault="00C64D58" w:rsidP="00C64D58">
      <w:pPr>
        <w:pStyle w:val="TableDescription"/>
      </w:pPr>
      <w:r w:rsidRPr="00C64D58">
        <w:t>1 Numbers are based on planned treatment group and percentages are</w:t>
      </w:r>
      <w:r>
        <w:t xml:space="preserve"> based on the number of randomis</w:t>
      </w:r>
      <w:r w:rsidRPr="00C64D58">
        <w:t>ed subjects.</w:t>
      </w:r>
    </w:p>
    <w:p w14:paraId="7BAE03DF" w14:textId="77777777" w:rsidR="00C64D58" w:rsidRPr="00C64D58" w:rsidRDefault="00C64D58" w:rsidP="00C64D58">
      <w:pPr>
        <w:pStyle w:val="TableDescription"/>
      </w:pPr>
      <w:r w:rsidRPr="00C64D58">
        <w:t>2 Numbers are based on actual treatment group and percentages are based on the number of safety subjects.</w:t>
      </w:r>
    </w:p>
    <w:p w14:paraId="5DD776E6" w14:textId="29AF571E" w:rsidR="00C64D58" w:rsidRPr="00C64D58" w:rsidRDefault="00C64D58" w:rsidP="00C64D58">
      <w:pPr>
        <w:pStyle w:val="TableDescription"/>
      </w:pPr>
      <w:r w:rsidRPr="00C64D58">
        <w:t>3 Percentage based on number of subjects in the safety set.</w:t>
      </w:r>
    </w:p>
    <w:p w14:paraId="549D90D4" w14:textId="7AC0ACF3" w:rsidR="00C64D58" w:rsidRPr="00C64D58" w:rsidRDefault="00C64D58" w:rsidP="00C64D58">
      <w:pPr>
        <w:pStyle w:val="TableDescription"/>
      </w:pPr>
      <w:r w:rsidRPr="00C64D58">
        <w:t>4 Percentage based on number of subjects in the per-protocol set.</w:t>
      </w:r>
    </w:p>
    <w:p w14:paraId="69B3AA3C" w14:textId="77777777" w:rsidR="00183DD4" w:rsidRPr="006E0620" w:rsidRDefault="00183DD4" w:rsidP="00FA34DF">
      <w:pPr>
        <w:pStyle w:val="Heading6"/>
      </w:pPr>
      <w:r w:rsidRPr="006E0620">
        <w:t>Baseline demographic data</w:t>
      </w:r>
    </w:p>
    <w:p w14:paraId="2C96B643" w14:textId="77777777" w:rsidR="00183DD4" w:rsidRPr="006E0620" w:rsidRDefault="00183DD4" w:rsidP="00613CBB">
      <w:r w:rsidRPr="006E0620">
        <w:t>Demographic characteristics were generally balanced between treatment groups.</w:t>
      </w:r>
    </w:p>
    <w:p w14:paraId="2CDAE27C" w14:textId="51F42989" w:rsidR="00183DD4" w:rsidRPr="006E0620" w:rsidRDefault="00183DD4" w:rsidP="00613CBB">
      <w:proofErr w:type="gramStart"/>
      <w:r w:rsidRPr="006E0620">
        <w:lastRenderedPageBreak/>
        <w:t>The majority of</w:t>
      </w:r>
      <w:proofErr w:type="gramEnd"/>
      <w:r w:rsidRPr="006E0620">
        <w:t xml:space="preserve"> the participants (82%) were considered at oc</w:t>
      </w:r>
      <w:r w:rsidR="007570F3" w:rsidRPr="006E0620">
        <w:t>cupational risk for SARS</w:t>
      </w:r>
      <w:r w:rsidR="007570F3" w:rsidRPr="006E0620">
        <w:noBreakHyphen/>
        <w:t>CoV</w:t>
      </w:r>
      <w:r w:rsidR="007570F3" w:rsidRPr="006E0620">
        <w:noBreakHyphen/>
      </w:r>
      <w:r w:rsidRPr="006E0620">
        <w:t>2 exposure, with 25.4% of participants being healthcare workers.</w:t>
      </w:r>
    </w:p>
    <w:p w14:paraId="642F8716" w14:textId="7F942ABC" w:rsidR="00183DD4" w:rsidRPr="006E0620" w:rsidRDefault="00183DD4" w:rsidP="00613CBB">
      <w:r w:rsidRPr="006E0620">
        <w:t xml:space="preserve">At least </w:t>
      </w:r>
      <w:r w:rsidR="007570F3" w:rsidRPr="006E0620">
        <w:t>one</w:t>
      </w:r>
      <w:r w:rsidRPr="006E0620">
        <w:t xml:space="preserve"> protocol defined risk factor for severe disease was present in 22.2% of participants, and 4% had 2 or more high ri</w:t>
      </w:r>
      <w:r w:rsidR="007570F3" w:rsidRPr="006E0620">
        <w:t>sk conditions. These included: d</w:t>
      </w:r>
      <w:r w:rsidRPr="006E0620">
        <w:t>iabetes (9.5%), chronic lung disease (4.8%), significant cardiac disease (4.9%), severe obesity (6.7%), liver disease (0.6%) and virologically suppressed HIV infection (0.6%).</w:t>
      </w:r>
    </w:p>
    <w:p w14:paraId="0E5E413E" w14:textId="759ADFCF" w:rsidR="00183DD4" w:rsidRPr="006E0620" w:rsidRDefault="00183DD4" w:rsidP="00613CBB">
      <w:r w:rsidRPr="006E0620">
        <w:t>A total of 2.2% of the participants</w:t>
      </w:r>
      <w:r w:rsidR="007570F3" w:rsidRPr="006E0620">
        <w:t xml:space="preserve"> were seropositive for SARS</w:t>
      </w:r>
      <w:r w:rsidR="007570F3" w:rsidRPr="006E0620">
        <w:noBreakHyphen/>
        <w:t>CoV</w:t>
      </w:r>
      <w:r w:rsidR="007570F3" w:rsidRPr="006E0620">
        <w:noBreakHyphen/>
      </w:r>
      <w:r w:rsidRPr="006E0620">
        <w:t xml:space="preserve">2 at </w:t>
      </w:r>
      <w:r w:rsidR="007570F3" w:rsidRPr="006E0620">
        <w:t>Baseline</w:t>
      </w:r>
      <w:r w:rsidRPr="006E0620">
        <w:t>.</w:t>
      </w:r>
    </w:p>
    <w:p w14:paraId="50BA1ABF" w14:textId="78FC82BE" w:rsidR="00DE18C2" w:rsidRPr="006E0620" w:rsidRDefault="006131C6" w:rsidP="00CD55D9">
      <w:pPr>
        <w:rPr>
          <w:lang w:val="en-SG"/>
        </w:rPr>
      </w:pPr>
      <w:bookmarkStart w:id="50" w:name="_Ref77952170"/>
      <w:r w:rsidRPr="006E0620">
        <w:t xml:space="preserve">Table </w:t>
      </w:r>
      <w:r>
        <w:fldChar w:fldCharType="begin"/>
      </w:r>
      <w:r>
        <w:instrText>SEQ Table \* ARABIC</w:instrText>
      </w:r>
      <w:r>
        <w:fldChar w:fldCharType="separate"/>
      </w:r>
      <w:r w:rsidR="00B1591C">
        <w:rPr>
          <w:noProof/>
        </w:rPr>
        <w:t>4</w:t>
      </w:r>
      <w:r>
        <w:fldChar w:fldCharType="end"/>
      </w:r>
      <w:bookmarkEnd w:id="50"/>
      <w:r w:rsidR="00183DD4" w:rsidRPr="006E0620">
        <w:rPr>
          <w:lang w:val="en-SG"/>
        </w:rPr>
        <w:t xml:space="preserve">: </w:t>
      </w:r>
      <w:r w:rsidR="00631795" w:rsidRPr="006E0620">
        <w:rPr>
          <w:lang w:val="en-SG"/>
        </w:rPr>
        <w:t xml:space="preserve">Study 301 </w:t>
      </w:r>
      <w:r w:rsidR="00183DD4" w:rsidRPr="006E0620">
        <w:rPr>
          <w:lang w:val="en-SG"/>
        </w:rPr>
        <w:t>Demographic characteristics</w:t>
      </w:r>
      <w:r w:rsidR="00183DD4" w:rsidRPr="006E0620">
        <w:rPr>
          <w:noProof/>
          <w:shd w:val="clear" w:color="auto" w:fill="E6E6E6"/>
          <w:lang w:val="en-GB" w:eastAsia="en-GB"/>
        </w:rPr>
        <w:drawing>
          <wp:inline distT="0" distB="0" distL="0" distR="0" wp14:anchorId="1072ADD6" wp14:editId="0701F56B">
            <wp:extent cx="5747095" cy="5611091"/>
            <wp:effectExtent l="0" t="0" r="6350" b="8890"/>
            <wp:docPr id="15" name="Picture 15" title="Study 301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403" cy="5642634"/>
                    </a:xfrm>
                    <a:prstGeom prst="rect">
                      <a:avLst/>
                    </a:prstGeom>
                    <a:noFill/>
                  </pic:spPr>
                </pic:pic>
              </a:graphicData>
            </a:graphic>
          </wp:inline>
        </w:drawing>
      </w:r>
    </w:p>
    <w:p w14:paraId="27A31E43" w14:textId="512D7801" w:rsidR="002D1359" w:rsidRPr="006E0620" w:rsidRDefault="00DE18C2" w:rsidP="003E0188">
      <w:pPr>
        <w:pStyle w:val="TableDescription"/>
      </w:pPr>
      <w:r w:rsidRPr="006E0620">
        <w:t>N = population size; n = sample size; SD = standard deviation</w:t>
      </w:r>
      <w:r w:rsidR="00180C6C" w:rsidRPr="006E0620">
        <w:t xml:space="preserve">; COVID-19 = </w:t>
      </w:r>
      <w:r w:rsidR="002D1359" w:rsidRPr="006E0620">
        <w:t>coronavirus</w:t>
      </w:r>
      <w:r w:rsidR="00180C6C" w:rsidRPr="006E0620">
        <w:t xml:space="preserve"> disease 2019.</w:t>
      </w:r>
    </w:p>
    <w:p w14:paraId="5801E68B" w14:textId="58FB906D" w:rsidR="002D1359" w:rsidRPr="006E0620" w:rsidRDefault="002D1359" w:rsidP="003E0188">
      <w:pPr>
        <w:pStyle w:val="TableDescription"/>
      </w:pPr>
      <w:r w:rsidRPr="006E0620">
        <w:t xml:space="preserve">Occupational risk </w:t>
      </w:r>
      <w:proofErr w:type="gramStart"/>
      <w:r w:rsidRPr="006E0620">
        <w:t>includes:</w:t>
      </w:r>
      <w:proofErr w:type="gramEnd"/>
      <w:r w:rsidRPr="006E0620">
        <w:t xml:space="preserve"> healthcare workers. emergency response. retail/restaurant operations, manufacturing and productions operations, warehouse shipping and fulfilment centres., transportation and delivery services, border protection and military personnel, and personal care and in-home services, hospitality and tourism workers, pastoral, social and public health workers, </w:t>
      </w:r>
      <w:proofErr w:type="gramStart"/>
      <w:r w:rsidRPr="006E0620">
        <w:t>educators</w:t>
      </w:r>
      <w:proofErr w:type="gramEnd"/>
      <w:r w:rsidRPr="006E0620">
        <w:t xml:space="preserve"> and students.</w:t>
      </w:r>
    </w:p>
    <w:p w14:paraId="45E09B16" w14:textId="6D2CE143" w:rsidR="002D1359" w:rsidRPr="006E0620" w:rsidRDefault="002D1359" w:rsidP="003E0188">
      <w:pPr>
        <w:pStyle w:val="TableDescription"/>
      </w:pPr>
      <w:r w:rsidRPr="006E0620">
        <w:t>** High risk is defined as patients who meet at least one of the following criteria (protocol defined):</w:t>
      </w:r>
    </w:p>
    <w:p w14:paraId="6DCAC152" w14:textId="56AD5424" w:rsidR="002D1359" w:rsidRPr="006E0620" w:rsidRDefault="002D1359" w:rsidP="003E0188">
      <w:pPr>
        <w:pStyle w:val="TableDescription"/>
        <w:numPr>
          <w:ilvl w:val="0"/>
          <w:numId w:val="29"/>
        </w:numPr>
      </w:pPr>
      <w:r w:rsidRPr="006E0620">
        <w:t xml:space="preserve">Chronic lung disease (for example, emphysema and </w:t>
      </w:r>
      <w:r w:rsidR="003E0188" w:rsidRPr="006E0620">
        <w:t>chronic</w:t>
      </w:r>
      <w:r w:rsidRPr="006E0620">
        <w:t xml:space="preserve"> </w:t>
      </w:r>
      <w:r w:rsidR="003E0188" w:rsidRPr="006E0620">
        <w:t>bronchitis</w:t>
      </w:r>
      <w:r w:rsidRPr="006E0620">
        <w:t xml:space="preserve">. </w:t>
      </w:r>
      <w:r w:rsidR="003E0188" w:rsidRPr="006E0620">
        <w:t>i</w:t>
      </w:r>
      <w:r w:rsidRPr="006E0620">
        <w:t xml:space="preserve">diopathic pulmonary fibrosis and </w:t>
      </w:r>
      <w:r w:rsidR="003E0188" w:rsidRPr="006E0620">
        <w:t>cystic</w:t>
      </w:r>
      <w:r w:rsidRPr="006E0620">
        <w:t xml:space="preserve"> fibrosis) or </w:t>
      </w:r>
      <w:r w:rsidR="003E0188" w:rsidRPr="006E0620">
        <w:t>moderate</w:t>
      </w:r>
      <w:r w:rsidRPr="006E0620">
        <w:t xml:space="preserve"> to </w:t>
      </w:r>
      <w:r w:rsidR="003E0188" w:rsidRPr="006E0620">
        <w:t>severe</w:t>
      </w:r>
      <w:r w:rsidRPr="006E0620">
        <w:t xml:space="preserve"> </w:t>
      </w:r>
      <w:r w:rsidR="003E0188" w:rsidRPr="006E0620">
        <w:t>asthma</w:t>
      </w:r>
    </w:p>
    <w:p w14:paraId="61CEA164" w14:textId="496AD45A" w:rsidR="002D1359" w:rsidRPr="006E0620" w:rsidRDefault="003E0188" w:rsidP="003E0188">
      <w:pPr>
        <w:pStyle w:val="TableDescription"/>
        <w:numPr>
          <w:ilvl w:val="0"/>
          <w:numId w:val="29"/>
        </w:numPr>
      </w:pPr>
      <w:r w:rsidRPr="006E0620">
        <w:lastRenderedPageBreak/>
        <w:t>Significant</w:t>
      </w:r>
      <w:r w:rsidR="002D1359" w:rsidRPr="006E0620">
        <w:t xml:space="preserve"> cardiac disease (for example, heart </w:t>
      </w:r>
      <w:r w:rsidRPr="006E0620">
        <w:t>failure</w:t>
      </w:r>
      <w:r w:rsidR="002D1359" w:rsidRPr="006E0620">
        <w:t>, coronary artery disease</w:t>
      </w:r>
      <w:r w:rsidRPr="006E0620">
        <w:t>, cardiomyopathies, and pulmonary hypertension)</w:t>
      </w:r>
    </w:p>
    <w:p w14:paraId="61F860B8" w14:textId="5BB6C9B2" w:rsidR="003E0188" w:rsidRPr="006E0620" w:rsidRDefault="003E0188" w:rsidP="003E0188">
      <w:pPr>
        <w:pStyle w:val="TableDescription"/>
        <w:numPr>
          <w:ilvl w:val="0"/>
          <w:numId w:val="29"/>
        </w:numPr>
      </w:pPr>
      <w:r w:rsidRPr="006E0620">
        <w:t>Severe obesity (body mass index ≥ 40 kg/m</w:t>
      </w:r>
      <w:r w:rsidRPr="006E0620">
        <w:rPr>
          <w:vertAlign w:val="superscript"/>
        </w:rPr>
        <w:t>2</w:t>
      </w:r>
      <w:r w:rsidRPr="006E0620">
        <w:t>)</w:t>
      </w:r>
    </w:p>
    <w:p w14:paraId="064D2D4C" w14:textId="199BD674" w:rsidR="003E0188" w:rsidRPr="006E0620" w:rsidRDefault="003E0188" w:rsidP="003E0188">
      <w:pPr>
        <w:pStyle w:val="TableDescription"/>
        <w:numPr>
          <w:ilvl w:val="0"/>
          <w:numId w:val="29"/>
        </w:numPr>
      </w:pPr>
      <w:r w:rsidRPr="006E0620">
        <w:t>Diabetes (Type 2, Type 2 or gestational)</w:t>
      </w:r>
    </w:p>
    <w:p w14:paraId="04715E96" w14:textId="613EBA08" w:rsidR="003E0188" w:rsidRPr="006E0620" w:rsidRDefault="003E0188" w:rsidP="003E0188">
      <w:pPr>
        <w:pStyle w:val="TableDescription"/>
        <w:numPr>
          <w:ilvl w:val="0"/>
          <w:numId w:val="29"/>
        </w:numPr>
      </w:pPr>
      <w:r w:rsidRPr="006E0620">
        <w:t>Liver disease</w:t>
      </w:r>
    </w:p>
    <w:p w14:paraId="6A5E8F70" w14:textId="42AE3E8E" w:rsidR="003E0188" w:rsidRPr="006E0620" w:rsidRDefault="003E0188" w:rsidP="003E0188">
      <w:pPr>
        <w:pStyle w:val="TableDescription"/>
        <w:numPr>
          <w:ilvl w:val="0"/>
          <w:numId w:val="29"/>
        </w:numPr>
      </w:pPr>
      <w:r w:rsidRPr="006E0620">
        <w:t>Human immunodeficiency virus infection</w:t>
      </w:r>
    </w:p>
    <w:p w14:paraId="50F9B0BA" w14:textId="514387AD" w:rsidR="00183DD4" w:rsidRPr="006E0620" w:rsidRDefault="003E0188" w:rsidP="003E0188">
      <w:pPr>
        <w:pStyle w:val="TableDescription"/>
      </w:pPr>
      <w:r w:rsidRPr="006E0620">
        <w:t>*** Age and health risk for severe COVID-19 is used as stratification factor for randomisation.</w:t>
      </w:r>
    </w:p>
    <w:p w14:paraId="7E0EEE7A" w14:textId="77777777" w:rsidR="000C0135" w:rsidRDefault="00183DD4" w:rsidP="00FA34DF">
      <w:pPr>
        <w:pStyle w:val="Heading6"/>
      </w:pPr>
      <w:r w:rsidRPr="006E0620">
        <w:t xml:space="preserve">Distribution of </w:t>
      </w:r>
      <w:r w:rsidR="007570F3" w:rsidRPr="006E0620">
        <w:t xml:space="preserve">risk factors for severe </w:t>
      </w:r>
      <w:r w:rsidRPr="006E0620">
        <w:t>COVID-19 disease</w:t>
      </w:r>
    </w:p>
    <w:p w14:paraId="15FDBB2C" w14:textId="4CB00707" w:rsidR="00183DD4" w:rsidRPr="006E0620" w:rsidRDefault="000C0135" w:rsidP="00C618E0">
      <w:r>
        <w:t xml:space="preserve">This data is based on the </w:t>
      </w:r>
      <w:r w:rsidR="00631795" w:rsidRPr="006E0620">
        <w:t>full analysis set</w:t>
      </w:r>
      <w:r>
        <w:t xml:space="preserve"> population</w:t>
      </w:r>
      <w:r w:rsidR="00183DD4" w:rsidRPr="006E0620">
        <w:t xml:space="preserve"> (</w:t>
      </w:r>
      <w:r w:rsidR="00631795" w:rsidRPr="006E0620">
        <w:t>d</w:t>
      </w:r>
      <w:r w:rsidR="00183DD4" w:rsidRPr="006E0620">
        <w:t>ata cut-off: 25 Nov</w:t>
      </w:r>
      <w:r w:rsidR="007570F3" w:rsidRPr="006E0620">
        <w:t>ember</w:t>
      </w:r>
      <w:r w:rsidR="00183DD4" w:rsidRPr="006E0620">
        <w:t xml:space="preserve"> 2020)</w:t>
      </w:r>
      <w:r>
        <w:t>.</w:t>
      </w:r>
    </w:p>
    <w:p w14:paraId="4202342B" w14:textId="57D7287A" w:rsidR="00183DD4" w:rsidRPr="006E0620" w:rsidRDefault="00183DD4" w:rsidP="00613CBB">
      <w:r w:rsidRPr="006E0620">
        <w:t>The numbers of subjects with each individual protocol defined risk factor for severe COVID disease are small, especially representation of participants with liver disease and virologically suppressed HIV infection (&lt;</w:t>
      </w:r>
      <w:r w:rsidR="007570F3" w:rsidRPr="006E0620">
        <w:t> </w:t>
      </w:r>
      <w:r w:rsidRPr="006E0620">
        <w:t>1%).</w:t>
      </w:r>
    </w:p>
    <w:p w14:paraId="69981D66" w14:textId="648E5EAA" w:rsidR="00183DD4" w:rsidRPr="006E0620" w:rsidRDefault="006131C6" w:rsidP="00613CBB">
      <w:r w:rsidRPr="006E0620">
        <w:rPr>
          <w:color w:val="2B579A"/>
          <w:shd w:val="clear" w:color="auto" w:fill="E6E6E6"/>
        </w:rPr>
        <w:fldChar w:fldCharType="begin"/>
      </w:r>
      <w:r w:rsidRPr="006E0620">
        <w:instrText xml:space="preserve"> REF _Ref77952018 \h </w:instrText>
      </w:r>
      <w:r w:rsidR="006E0620">
        <w:instrText xml:space="preserve"> \* MERGEFORMAT </w:instrText>
      </w:r>
      <w:r w:rsidRPr="006E0620">
        <w:rPr>
          <w:color w:val="2B579A"/>
          <w:shd w:val="clear" w:color="auto" w:fill="E6E6E6"/>
        </w:rPr>
      </w:r>
      <w:r w:rsidRPr="006E0620">
        <w:rPr>
          <w:color w:val="2B579A"/>
          <w:shd w:val="clear" w:color="auto" w:fill="E6E6E6"/>
        </w:rPr>
        <w:fldChar w:fldCharType="separate"/>
      </w:r>
      <w:r w:rsidR="00B1591C" w:rsidRPr="006E0620">
        <w:t xml:space="preserve">Table </w:t>
      </w:r>
      <w:r w:rsidR="00B1591C">
        <w:rPr>
          <w:noProof/>
        </w:rPr>
        <w:t>5</w:t>
      </w:r>
      <w:r w:rsidRPr="006E0620">
        <w:rPr>
          <w:color w:val="2B579A"/>
          <w:shd w:val="clear" w:color="auto" w:fill="E6E6E6"/>
        </w:rPr>
        <w:fldChar w:fldCharType="end"/>
      </w:r>
      <w:r w:rsidR="00183DD4" w:rsidRPr="006E0620">
        <w:t xml:space="preserve"> shows the distribution of risk factors among the subjects:</w:t>
      </w:r>
    </w:p>
    <w:p w14:paraId="0BACD2B6" w14:textId="04430766" w:rsidR="00183DD4" w:rsidRPr="006E0620" w:rsidRDefault="006131C6" w:rsidP="006131C6">
      <w:pPr>
        <w:pStyle w:val="TableTitle"/>
        <w:rPr>
          <w:lang w:val="en-SG"/>
        </w:rPr>
      </w:pPr>
      <w:bookmarkStart w:id="51" w:name="_Ref77952018"/>
      <w:r w:rsidRPr="006E0620">
        <w:t xml:space="preserve">Table </w:t>
      </w:r>
      <w:r>
        <w:fldChar w:fldCharType="begin"/>
      </w:r>
      <w:r>
        <w:instrText>SEQ Table \* ARABIC</w:instrText>
      </w:r>
      <w:r>
        <w:fldChar w:fldCharType="separate"/>
      </w:r>
      <w:r w:rsidR="00B1591C">
        <w:rPr>
          <w:noProof/>
        </w:rPr>
        <w:t>5</w:t>
      </w:r>
      <w:r>
        <w:fldChar w:fldCharType="end"/>
      </w:r>
      <w:bookmarkEnd w:id="51"/>
      <w:r w:rsidR="00183DD4" w:rsidRPr="006E0620">
        <w:rPr>
          <w:lang w:val="en-SG"/>
        </w:rPr>
        <w:t xml:space="preserve">: </w:t>
      </w:r>
      <w:r w:rsidR="00631795" w:rsidRPr="006E0620">
        <w:rPr>
          <w:lang w:val="en-SG"/>
        </w:rPr>
        <w:t xml:space="preserve">Study 301 </w:t>
      </w:r>
      <w:r w:rsidR="00183DD4" w:rsidRPr="006E0620">
        <w:rPr>
          <w:lang w:val="en-SG"/>
        </w:rPr>
        <w:t xml:space="preserve">Distribution of </w:t>
      </w:r>
      <w:r w:rsidR="007570F3" w:rsidRPr="006E0620">
        <w:rPr>
          <w:lang w:val="en-SG"/>
        </w:rPr>
        <w:t xml:space="preserve">risk factors for severe </w:t>
      </w:r>
      <w:r w:rsidR="00183DD4" w:rsidRPr="006E0620">
        <w:rPr>
          <w:lang w:val="en-SG"/>
        </w:rPr>
        <w:t xml:space="preserve">COVID-19 disease, </w:t>
      </w:r>
      <w:r w:rsidR="0019017B" w:rsidRPr="006E0620">
        <w:rPr>
          <w:lang w:val="en-SG"/>
        </w:rPr>
        <w:t>full analysis set</w:t>
      </w:r>
    </w:p>
    <w:p w14:paraId="001C3EE0" w14:textId="5185066C" w:rsidR="00183DD4" w:rsidRPr="006E0620" w:rsidRDefault="00183DD4" w:rsidP="00183DD4">
      <w:pPr>
        <w:spacing w:before="0"/>
        <w:jc w:val="both"/>
        <w:rPr>
          <w:rFonts w:eastAsia="Calibri"/>
          <w:b/>
          <w:szCs w:val="24"/>
          <w:lang w:val="en-SG"/>
        </w:rPr>
      </w:pPr>
      <w:r w:rsidRPr="006E0620">
        <w:rPr>
          <w:rFonts w:eastAsia="Calibri"/>
          <w:b/>
          <w:noProof/>
          <w:color w:val="2B579A"/>
          <w:szCs w:val="24"/>
          <w:shd w:val="clear" w:color="auto" w:fill="E6E6E6"/>
          <w:lang w:val="en-GB" w:eastAsia="en-GB"/>
        </w:rPr>
        <w:drawing>
          <wp:inline distT="0" distB="0" distL="0" distR="0" wp14:anchorId="52513CCB" wp14:editId="6DB1533C">
            <wp:extent cx="5553007" cy="1048743"/>
            <wp:effectExtent l="0" t="0" r="0" b="0"/>
            <wp:docPr id="28" name="Picture 28" title="Study 301 Distribution of risk factors for severe COVID-19 disea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812" b="6883"/>
                    <a:stretch/>
                  </pic:blipFill>
                  <pic:spPr bwMode="auto">
                    <a:xfrm>
                      <a:off x="0" y="0"/>
                      <a:ext cx="5566365" cy="1051266"/>
                    </a:xfrm>
                    <a:prstGeom prst="rect">
                      <a:avLst/>
                    </a:prstGeom>
                    <a:noFill/>
                    <a:ln>
                      <a:noFill/>
                    </a:ln>
                    <a:extLst>
                      <a:ext uri="{53640926-AAD7-44D8-BBD7-CCE9431645EC}">
                        <a14:shadowObscured xmlns:a14="http://schemas.microsoft.com/office/drawing/2010/main"/>
                      </a:ext>
                    </a:extLst>
                  </pic:spPr>
                </pic:pic>
              </a:graphicData>
            </a:graphic>
          </wp:inline>
        </w:drawing>
      </w:r>
    </w:p>
    <w:p w14:paraId="7754380B" w14:textId="21529398" w:rsidR="003E0188" w:rsidRPr="006E0620" w:rsidRDefault="003E0188" w:rsidP="003E0188">
      <w:pPr>
        <w:pStyle w:val="TableDescription"/>
      </w:pPr>
      <w:r w:rsidRPr="006E0620">
        <w:t>n = sample size.</w:t>
      </w:r>
    </w:p>
    <w:p w14:paraId="56A4D809" w14:textId="77777777" w:rsidR="00183DD4" w:rsidRPr="006E0620" w:rsidRDefault="00183DD4" w:rsidP="00613CBB">
      <w:pPr>
        <w:pStyle w:val="Heading5"/>
        <w:rPr>
          <w:rFonts w:eastAsia="Calibri"/>
        </w:rPr>
      </w:pPr>
      <w:r w:rsidRPr="006E0620">
        <w:rPr>
          <w:rFonts w:eastAsia="Calibri"/>
        </w:rPr>
        <w:t>Results</w:t>
      </w:r>
    </w:p>
    <w:p w14:paraId="0D00C81C" w14:textId="12520DB2" w:rsidR="00183DD4" w:rsidRPr="006E0620" w:rsidRDefault="00183DD4" w:rsidP="00613CBB">
      <w:r w:rsidRPr="006E0620">
        <w:t>Primary efficacy is discussed for both first and final scheduled data cut-off points. Secondary end points are descri</w:t>
      </w:r>
      <w:r w:rsidR="007570F3" w:rsidRPr="006E0620">
        <w:t>bed only for the final data cut-</w:t>
      </w:r>
      <w:r w:rsidRPr="006E0620">
        <w:t>off.</w:t>
      </w:r>
    </w:p>
    <w:p w14:paraId="72099F2E" w14:textId="58B899F0" w:rsidR="00183DD4" w:rsidRPr="006E0620" w:rsidRDefault="00183DD4" w:rsidP="00FA34DF">
      <w:pPr>
        <w:pStyle w:val="Heading6"/>
      </w:pPr>
      <w:r w:rsidRPr="006E0620">
        <w:t xml:space="preserve">Primary efficacy endpoint – </w:t>
      </w:r>
      <w:r w:rsidR="00627280" w:rsidRPr="006E0620">
        <w:t xml:space="preserve">vaccine efficacy </w:t>
      </w:r>
      <w:r w:rsidRPr="006E0620">
        <w:t>to prevent COVID-19 in participants wit</w:t>
      </w:r>
      <w:r w:rsidR="00E766F9" w:rsidRPr="006E0620">
        <w:t>hout prior SARS-CoV-2 infection</w:t>
      </w:r>
    </w:p>
    <w:p w14:paraId="762C8CB6" w14:textId="00E6B5BC" w:rsidR="00183DD4" w:rsidRPr="00690C87" w:rsidRDefault="00183DD4">
      <w:r w:rsidRPr="00837107">
        <w:t>First pre-specified interim analysis (data cut-off</w:t>
      </w:r>
      <w:r w:rsidR="00627280" w:rsidRPr="00837107">
        <w:t>:</w:t>
      </w:r>
      <w:r w:rsidRPr="00837107">
        <w:t xml:space="preserve"> 7 November 2020)</w:t>
      </w:r>
    </w:p>
    <w:p w14:paraId="261F1CA0" w14:textId="24420A7E" w:rsidR="00183DD4" w:rsidRPr="006E0620" w:rsidRDefault="00183DD4" w:rsidP="00AD2B85">
      <w:r w:rsidRPr="006E0620">
        <w:t xml:space="preserve">Efficacy analysis is based on the data at the first pre-specified interim analysis time point consisting of 95 adjudicated cases. There were 5 cases in the </w:t>
      </w:r>
      <w:proofErr w:type="spellStart"/>
      <w:r w:rsidR="007753E6">
        <w:t>Spikevax</w:t>
      </w:r>
      <w:proofErr w:type="spellEnd"/>
      <w:r w:rsidR="007753E6">
        <w:t xml:space="preserve"> COVID-19 </w:t>
      </w:r>
      <w:r w:rsidRPr="006E0620">
        <w:t>mRNA</w:t>
      </w:r>
      <w:r w:rsidR="007753E6">
        <w:noBreakHyphen/>
      </w:r>
      <w:r w:rsidRPr="006E0620">
        <w:t>1273</w:t>
      </w:r>
      <w:r w:rsidR="007753E6">
        <w:t xml:space="preserve"> vaccine</w:t>
      </w:r>
      <w:r w:rsidRPr="006E0620">
        <w:t xml:space="preserve"> group and 90 in the placebo group. The VE of </w:t>
      </w:r>
      <w:proofErr w:type="spellStart"/>
      <w:r w:rsidR="00837107">
        <w:t>Spikevax</w:t>
      </w:r>
      <w:proofErr w:type="spellEnd"/>
      <w:r w:rsidR="00837107">
        <w:t xml:space="preserve"> COVID-19 </w:t>
      </w:r>
      <w:r w:rsidRPr="006E0620">
        <w:t>mRNA</w:t>
      </w:r>
      <w:r w:rsidR="007753E6">
        <w:noBreakHyphen/>
      </w:r>
      <w:r w:rsidRPr="006E0620">
        <w:t xml:space="preserve">1273 </w:t>
      </w:r>
      <w:r w:rsidR="00837107">
        <w:t xml:space="preserve">vaccine </w:t>
      </w:r>
      <w:r w:rsidRPr="006E0620">
        <w:t xml:space="preserve">based on hazard ratio was 94.5% compared to placebo (95% CI: 86.5%, 97.8%). The </w:t>
      </w:r>
      <w:proofErr w:type="gramStart"/>
      <w:r w:rsidR="0017051F" w:rsidRPr="006E0620">
        <w:t>one sided</w:t>
      </w:r>
      <w:proofErr w:type="gramEnd"/>
      <w:r w:rsidR="0017051F" w:rsidRPr="006E0620">
        <w:t xml:space="preserve"> p-value was &lt; </w:t>
      </w:r>
      <w:r w:rsidRPr="006E0620">
        <w:t>0.0001 to rej</w:t>
      </w:r>
      <w:r w:rsidR="0017051F" w:rsidRPr="006E0620">
        <w:t>ect the null hypothesis of VE ≤ </w:t>
      </w:r>
      <w:r w:rsidRPr="006E0620">
        <w:t xml:space="preserve">30%, achieving the pre-specified efficacy boundary based on the </w:t>
      </w:r>
      <w:r w:rsidR="0017051F" w:rsidRPr="006E0620">
        <w:t xml:space="preserve">one </w:t>
      </w:r>
      <w:r w:rsidRPr="006E0620">
        <w:t>sided nominal alpha of 0.0047.</w:t>
      </w:r>
    </w:p>
    <w:p w14:paraId="1299FF5E" w14:textId="09C61108" w:rsidR="00183DD4" w:rsidRPr="006E0620" w:rsidRDefault="006131C6" w:rsidP="006131C6">
      <w:pPr>
        <w:pStyle w:val="TableTitle"/>
        <w:rPr>
          <w:lang w:eastAsia="en-CA"/>
        </w:rPr>
      </w:pPr>
      <w:r w:rsidRPr="006E0620">
        <w:lastRenderedPageBreak/>
        <w:t xml:space="preserve">Table </w:t>
      </w:r>
      <w:r>
        <w:fldChar w:fldCharType="begin"/>
      </w:r>
      <w:r>
        <w:instrText>SEQ Table \* ARABIC</w:instrText>
      </w:r>
      <w:r>
        <w:fldChar w:fldCharType="separate"/>
      </w:r>
      <w:r w:rsidR="00B1591C">
        <w:rPr>
          <w:noProof/>
        </w:rPr>
        <w:t>6</w:t>
      </w:r>
      <w:r>
        <w:fldChar w:fldCharType="end"/>
      </w:r>
      <w:r w:rsidR="00183DD4" w:rsidRPr="006E0620">
        <w:rPr>
          <w:lang w:val="en-US" w:eastAsia="en-CA"/>
        </w:rPr>
        <w:t xml:space="preserve">: </w:t>
      </w:r>
      <w:r w:rsidR="0019017B" w:rsidRPr="006E0620">
        <w:rPr>
          <w:lang w:val="en-US" w:eastAsia="en-CA"/>
        </w:rPr>
        <w:t xml:space="preserve">Study 301 </w:t>
      </w:r>
      <w:r w:rsidR="00183DD4" w:rsidRPr="006E0620">
        <w:rPr>
          <w:lang w:val="en-US" w:eastAsia="en-CA"/>
        </w:rPr>
        <w:t xml:space="preserve">First </w:t>
      </w:r>
      <w:r w:rsidR="0017051F" w:rsidRPr="006E0620">
        <w:rPr>
          <w:lang w:eastAsia="en-CA"/>
        </w:rPr>
        <w:t>interim analysis for primary efficacy endpoint</w:t>
      </w:r>
      <w:r w:rsidR="00183DD4" w:rsidRPr="006E0620">
        <w:rPr>
          <w:lang w:eastAsia="en-CA"/>
        </w:rPr>
        <w:t xml:space="preserve">, COVID-19 </w:t>
      </w:r>
      <w:r w:rsidR="0017051F" w:rsidRPr="006E0620">
        <w:rPr>
          <w:lang w:eastAsia="en-CA"/>
        </w:rPr>
        <w:t xml:space="preserve">starting </w:t>
      </w:r>
      <w:r w:rsidR="00183DD4" w:rsidRPr="006E0620">
        <w:rPr>
          <w:lang w:eastAsia="en-CA"/>
        </w:rPr>
        <w:t xml:space="preserve">14 </w:t>
      </w:r>
      <w:r w:rsidR="0017051F" w:rsidRPr="006E0620">
        <w:rPr>
          <w:lang w:eastAsia="en-CA"/>
        </w:rPr>
        <w:t>days after the second</w:t>
      </w:r>
      <w:r w:rsidR="00183DD4" w:rsidRPr="006E0620">
        <w:rPr>
          <w:lang w:eastAsia="en-CA"/>
        </w:rPr>
        <w:t xml:space="preserve"> </w:t>
      </w:r>
      <w:r w:rsidR="0017051F" w:rsidRPr="006E0620">
        <w:rPr>
          <w:lang w:eastAsia="en-CA"/>
        </w:rPr>
        <w:t>dose, per</w:t>
      </w:r>
      <w:r w:rsidR="00AF7999" w:rsidRPr="006E0620">
        <w:rPr>
          <w:lang w:eastAsia="en-CA"/>
        </w:rPr>
        <w:t>-</w:t>
      </w:r>
      <w:r w:rsidR="0017051F" w:rsidRPr="006E0620">
        <w:rPr>
          <w:lang w:eastAsia="en-CA"/>
        </w:rPr>
        <w:t>protocol set</w:t>
      </w:r>
    </w:p>
    <w:p w14:paraId="79B335E6" w14:textId="5B284543" w:rsidR="001F3915" w:rsidRPr="006E0620" w:rsidRDefault="001F3915" w:rsidP="001F3915">
      <w:pPr>
        <w:rPr>
          <w:lang w:val="en-CA" w:eastAsia="en-CA"/>
        </w:rPr>
      </w:pPr>
      <w:r w:rsidRPr="006E0620">
        <w:rPr>
          <w:noProof/>
          <w:color w:val="2B579A"/>
          <w:shd w:val="clear" w:color="auto" w:fill="E6E6E6"/>
          <w:lang w:val="en-GB" w:eastAsia="en-GB"/>
        </w:rPr>
        <w:drawing>
          <wp:inline distT="0" distB="0" distL="0" distR="0" wp14:anchorId="32F60451" wp14:editId="205E6AE0">
            <wp:extent cx="5400040" cy="1731645"/>
            <wp:effectExtent l="0" t="0" r="0" b="1905"/>
            <wp:docPr id="2" name="Picture 2" descr="Study 301 First interim analysis for primary efficacy endpoint, COVID-19 starting 14 days after the second dose,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301 First interim analysis for primary efficacy endpoint, COVID-19 starting 14 days after the second dose, per-protocol set"/>
                    <pic:cNvPicPr/>
                  </pic:nvPicPr>
                  <pic:blipFill>
                    <a:blip r:embed="rId32"/>
                    <a:stretch>
                      <a:fillRect/>
                    </a:stretch>
                  </pic:blipFill>
                  <pic:spPr>
                    <a:xfrm>
                      <a:off x="0" y="0"/>
                      <a:ext cx="5400040" cy="1731645"/>
                    </a:xfrm>
                    <a:prstGeom prst="rect">
                      <a:avLst/>
                    </a:prstGeom>
                  </pic:spPr>
                </pic:pic>
              </a:graphicData>
            </a:graphic>
          </wp:inline>
        </w:drawing>
      </w:r>
    </w:p>
    <w:p w14:paraId="54B5F7C0" w14:textId="34AED2A2" w:rsidR="00E460B1" w:rsidRPr="006E0620" w:rsidRDefault="00E460B1" w:rsidP="00724444">
      <w:pPr>
        <w:pStyle w:val="TableDescription"/>
      </w:pPr>
      <w:r w:rsidRPr="006E0620">
        <w:t>N = population size; mRNA = messenger ribonucleic acid; n = sample size; COVID-19 = coronavirus disease 2019; CI = confidence interval</w:t>
      </w:r>
    </w:p>
    <w:p w14:paraId="24EB9AEF" w14:textId="16B7883E" w:rsidR="0061569D" w:rsidRPr="006E0620" w:rsidRDefault="00E460B1" w:rsidP="00CD55D9">
      <w:r w:rsidRPr="006E0620">
        <w:t xml:space="preserve">a </w:t>
      </w:r>
      <w:r w:rsidR="0061569D" w:rsidRPr="006E0620">
        <w:t>Vaccine effic</w:t>
      </w:r>
      <w:r w:rsidRPr="006E0620">
        <w:t>ac</w:t>
      </w:r>
      <w:r w:rsidR="0061569D" w:rsidRPr="006E0620">
        <w:t xml:space="preserve">y is defined as 1 – </w:t>
      </w:r>
      <w:r w:rsidRPr="006E0620">
        <w:t>hazard</w:t>
      </w:r>
      <w:r w:rsidR="0061569D" w:rsidRPr="006E0620">
        <w:t xml:space="preserve"> ratio (</w:t>
      </w:r>
      <w:proofErr w:type="spellStart"/>
      <w:r w:rsidR="007753E6" w:rsidRPr="007753E6">
        <w:t>Spikevax</w:t>
      </w:r>
      <w:proofErr w:type="spellEnd"/>
      <w:r w:rsidR="007753E6" w:rsidRPr="007753E6">
        <w:t xml:space="preserve"> COVID-19 </w:t>
      </w:r>
      <w:r w:rsidR="0061569D" w:rsidRPr="006E0620">
        <w:t xml:space="preserve">mRNA-1273 </w:t>
      </w:r>
      <w:r w:rsidR="007753E6">
        <w:t xml:space="preserve">vaccine </w:t>
      </w:r>
      <w:r w:rsidR="0061569D" w:rsidRPr="006E0620">
        <w:t xml:space="preserve">versus placebo), and 95% </w:t>
      </w:r>
      <w:r w:rsidRPr="006E0620">
        <w:t>CI</w:t>
      </w:r>
      <w:r w:rsidR="0061569D" w:rsidRPr="006E0620">
        <w:t xml:space="preserve"> was </w:t>
      </w:r>
      <w:r w:rsidRPr="006E0620">
        <w:t xml:space="preserve">estimated using </w:t>
      </w:r>
      <w:r w:rsidR="00C678B7" w:rsidRPr="006E0620">
        <w:t xml:space="preserve">a </w:t>
      </w:r>
      <w:r w:rsidRPr="006E0620">
        <w:t>s</w:t>
      </w:r>
      <w:r w:rsidR="0061569D" w:rsidRPr="006E0620">
        <w:t xml:space="preserve">tratified Cox proportional hazard model with </w:t>
      </w:r>
      <w:proofErr w:type="spellStart"/>
      <w:r w:rsidR="0061569D" w:rsidRPr="006E0620">
        <w:t>Efron’s</w:t>
      </w:r>
      <w:proofErr w:type="spellEnd"/>
      <w:r w:rsidR="0061569D" w:rsidRPr="006E0620">
        <w:t xml:space="preserve"> method of tie handling and with the treatment grou</w:t>
      </w:r>
      <w:r w:rsidRPr="006E0620">
        <w:t>p</w:t>
      </w:r>
      <w:r w:rsidR="00EF7C06" w:rsidRPr="006E0620">
        <w:t xml:space="preserve"> </w:t>
      </w:r>
      <w:r w:rsidR="0061569D" w:rsidRPr="006E0620">
        <w:t>as a covariate, adjusting for stratification</w:t>
      </w:r>
      <w:r w:rsidRPr="006E0620">
        <w:t xml:space="preserve"> factor.</w:t>
      </w:r>
    </w:p>
    <w:p w14:paraId="4F9F1CAA" w14:textId="0BF8098A" w:rsidR="0061569D" w:rsidRPr="006E0620" w:rsidRDefault="00E460B1" w:rsidP="00724444">
      <w:pPr>
        <w:pStyle w:val="TableDescription"/>
      </w:pPr>
      <w:r w:rsidRPr="006E0620">
        <w:t>b One sid</w:t>
      </w:r>
      <w:r w:rsidR="0061569D" w:rsidRPr="006E0620">
        <w:t>ed p-value from</w:t>
      </w:r>
      <w:r w:rsidRPr="006E0620">
        <w:t xml:space="preserve"> stratified Cox proportional hazard model to test the null hypothesis vaccine efficacy ≤ 0.3.</w:t>
      </w:r>
    </w:p>
    <w:p w14:paraId="4592B658" w14:textId="21E43077" w:rsidR="00E460B1" w:rsidRPr="006E0620" w:rsidRDefault="00E460B1" w:rsidP="00724444">
      <w:pPr>
        <w:pStyle w:val="TableDescription"/>
      </w:pPr>
      <w:r w:rsidRPr="006E0620">
        <w:t>c Person years is defined as the total years from randomisation date to the date of COVID-19 or last date of study participation, whichever is earlier.</w:t>
      </w:r>
    </w:p>
    <w:p w14:paraId="22019ED4" w14:textId="5A5D697F" w:rsidR="00E460B1" w:rsidRPr="006E0620" w:rsidRDefault="00E460B1" w:rsidP="00724444">
      <w:pPr>
        <w:pStyle w:val="TableDescription"/>
      </w:pPr>
      <w:r w:rsidRPr="006E0620">
        <w:t xml:space="preserve">d Incidence rate is defined as the number of participants with an event divided by the number of participants at risk and adjusted by person years (total time at risk) in each treatment </w:t>
      </w:r>
      <w:r w:rsidR="009F7DF8" w:rsidRPr="006E0620">
        <w:t>group. The 9</w:t>
      </w:r>
      <w:r w:rsidR="001F3915" w:rsidRPr="006E0620">
        <w:t>5</w:t>
      </w:r>
      <w:r w:rsidR="009F7DF8" w:rsidRPr="006E0620">
        <w:t xml:space="preserve">% CI was calculated </w:t>
      </w:r>
      <w:r w:rsidR="001F3915" w:rsidRPr="006E0620">
        <w:t>using the exact method (P</w:t>
      </w:r>
      <w:r w:rsidR="009F7DF8" w:rsidRPr="006E0620">
        <w:t xml:space="preserve">oisson </w:t>
      </w:r>
      <w:r w:rsidR="001F3915" w:rsidRPr="006E0620">
        <w:t>distribution) and adjusted by person years.</w:t>
      </w:r>
    </w:p>
    <w:p w14:paraId="5779B705" w14:textId="143D02B4" w:rsidR="00E460B1" w:rsidRPr="006E0620" w:rsidRDefault="001F3915" w:rsidP="00724444">
      <w:pPr>
        <w:pStyle w:val="TableDescription"/>
      </w:pPr>
      <w:r w:rsidRPr="006E0620">
        <w:t>e Vaccine efficacy is defined as 1 – ratio of incidence rate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versus placebo). The 95% CI of the ratio was calculated using the exact method conditional upon the total number of cases, adjusting for person years.</w:t>
      </w:r>
    </w:p>
    <w:p w14:paraId="7CCD91AE" w14:textId="713AA0C8" w:rsidR="00183DD4" w:rsidRPr="006E0620" w:rsidRDefault="00183DD4" w:rsidP="00AD2B85">
      <w:r w:rsidRPr="006E0620">
        <w:t xml:space="preserve">In addition, there were 11 cases of severe COVID-19 14 days after the second dose. All 11 cases occurred in the placebo group and none in the </w:t>
      </w:r>
      <w:proofErr w:type="spellStart"/>
      <w:r w:rsidR="00837107">
        <w:t>Spikevax</w:t>
      </w:r>
      <w:proofErr w:type="spellEnd"/>
      <w:r w:rsidR="00837107">
        <w:t xml:space="preserve"> COVID-19 </w:t>
      </w:r>
      <w:r w:rsidRPr="006E0620">
        <w:t>mRNA-1273 vaccinate</w:t>
      </w:r>
      <w:r w:rsidR="00145CB1" w:rsidRPr="006E0620">
        <w:t xml:space="preserve">d group. There was one COVID-19 </w:t>
      </w:r>
      <w:r w:rsidRPr="006E0620">
        <w:t>related death in the study to date, which occurred in the place</w:t>
      </w:r>
      <w:r w:rsidR="00AD2B85" w:rsidRPr="006E0620">
        <w:t>bo group.</w:t>
      </w:r>
    </w:p>
    <w:p w14:paraId="5E865620" w14:textId="77777777" w:rsidR="000C0135" w:rsidRDefault="00183DD4" w:rsidP="00FA34DF">
      <w:pPr>
        <w:pStyle w:val="Heading7"/>
        <w:rPr>
          <w:sz w:val="22"/>
          <w:szCs w:val="28"/>
        </w:rPr>
      </w:pPr>
      <w:r w:rsidRPr="00FA34DF">
        <w:rPr>
          <w:sz w:val="22"/>
          <w:szCs w:val="28"/>
        </w:rPr>
        <w:t xml:space="preserve">Final </w:t>
      </w:r>
      <w:r w:rsidR="00145CB1" w:rsidRPr="00FA34DF">
        <w:rPr>
          <w:sz w:val="22"/>
          <w:szCs w:val="28"/>
        </w:rPr>
        <w:t>scheduled efficacy analysis</w:t>
      </w:r>
    </w:p>
    <w:p w14:paraId="755AB1CD" w14:textId="5FD47FC3" w:rsidR="00183DD4" w:rsidRPr="00F61F14" w:rsidRDefault="000C0135" w:rsidP="00C618E0">
      <w:r>
        <w:t xml:space="preserve">The </w:t>
      </w:r>
      <w:r w:rsidR="00145CB1" w:rsidRPr="00FA34DF">
        <w:t xml:space="preserve">data </w:t>
      </w:r>
      <w:r w:rsidR="007570F3" w:rsidRPr="00FA34DF">
        <w:t>cut-</w:t>
      </w:r>
      <w:r w:rsidR="00183DD4" w:rsidRPr="00FA34DF">
        <w:t>off</w:t>
      </w:r>
      <w:r>
        <w:t xml:space="preserve"> for the final efficacy analysis was </w:t>
      </w:r>
      <w:r w:rsidR="00183DD4" w:rsidRPr="00FA34DF">
        <w:t>21</w:t>
      </w:r>
      <w:r w:rsidR="00AD2B85" w:rsidRPr="00FA34DF">
        <w:t xml:space="preserve"> November 2020)</w:t>
      </w:r>
    </w:p>
    <w:p w14:paraId="3363ED66" w14:textId="3E02E14C" w:rsidR="00183DD4" w:rsidRPr="006E0620" w:rsidRDefault="00183DD4" w:rsidP="00AD2B85">
      <w:r w:rsidRPr="006E0620">
        <w:t>The median efficacy and safety follow-up for participants in the study at of the time of the final scheduled efficacy analysis (</w:t>
      </w:r>
      <w:r w:rsidR="00145CB1" w:rsidRPr="006E0620">
        <w:t xml:space="preserve">efficacy data cut-off: </w:t>
      </w:r>
      <w:r w:rsidRPr="006E0620">
        <w:t>21 November 2020) was 9 weeks. V</w:t>
      </w:r>
      <w:r w:rsidR="00145CB1" w:rsidRPr="006E0620">
        <w:t>E</w:t>
      </w:r>
      <w:r w:rsidRPr="006E0620">
        <w:t xml:space="preserve"> against COVID-19, 14 days after the second dose was 94.1% (95% CI</w:t>
      </w:r>
      <w:r w:rsidR="00145CB1" w:rsidRPr="006E0620">
        <w:t>:</w:t>
      </w:r>
      <w:r w:rsidRPr="006E0620">
        <w:t xml:space="preserve"> 89.3%, 96.8%) and was consistent with results obtained from the interim analysis. The VE in participants ≥</w:t>
      </w:r>
      <w:r w:rsidR="00145CB1" w:rsidRPr="006E0620">
        <w:t> </w:t>
      </w:r>
      <w:r w:rsidRPr="006E0620">
        <w:t>65</w:t>
      </w:r>
      <w:r w:rsidR="00145CB1" w:rsidRPr="006E0620">
        <w:t> </w:t>
      </w:r>
      <w:r w:rsidRPr="006E0620">
        <w:t>years of age appears to be lower than in younger adults 18 to &lt;</w:t>
      </w:r>
      <w:r w:rsidR="00145CB1" w:rsidRPr="006E0620">
        <w:t> 65 </w:t>
      </w:r>
      <w:r w:rsidRPr="006E0620">
        <w:t>years (86.4% compared to 95.6%) and lower than observed in the interim analysis (100% based on a total of 15 cases).</w:t>
      </w:r>
    </w:p>
    <w:p w14:paraId="792C0EE4" w14:textId="77777777" w:rsidR="00CD55D9" w:rsidRDefault="006131C6" w:rsidP="00CD55D9">
      <w:pPr>
        <w:pStyle w:val="TableTitle"/>
      </w:pPr>
      <w:r w:rsidRPr="006E0620">
        <w:lastRenderedPageBreak/>
        <w:t xml:space="preserve">Table </w:t>
      </w:r>
      <w:r>
        <w:fldChar w:fldCharType="begin"/>
      </w:r>
      <w:r>
        <w:instrText>SEQ Table \* ARABIC</w:instrText>
      </w:r>
      <w:r>
        <w:fldChar w:fldCharType="separate"/>
      </w:r>
      <w:r w:rsidR="00B1591C">
        <w:rPr>
          <w:noProof/>
        </w:rPr>
        <w:t>7</w:t>
      </w:r>
      <w:r>
        <w:fldChar w:fldCharType="end"/>
      </w:r>
      <w:r w:rsidR="00183DD4" w:rsidRPr="006E0620">
        <w:t xml:space="preserve">: </w:t>
      </w:r>
      <w:r w:rsidR="0019017B" w:rsidRPr="006E0620">
        <w:t xml:space="preserve">Study 301 </w:t>
      </w:r>
      <w:r w:rsidR="00183DD4" w:rsidRPr="006E0620">
        <w:t xml:space="preserve">Final </w:t>
      </w:r>
      <w:r w:rsidR="00661457" w:rsidRPr="006E0620">
        <w:t>scheduled efficacy analysis, primary endpoint,</w:t>
      </w:r>
      <w:r w:rsidR="0019017B" w:rsidRPr="006E0620">
        <w:t xml:space="preserve"> COVID-19 starting 14 </w:t>
      </w:r>
      <w:r w:rsidR="00661457" w:rsidRPr="006E0620">
        <w:t>days after the second dose per adjudication committee assessments, per</w:t>
      </w:r>
      <w:r w:rsidR="00AF7999" w:rsidRPr="006E0620">
        <w:t>-</w:t>
      </w:r>
      <w:r w:rsidR="00661457" w:rsidRPr="006E0620">
        <w:t>protocol set</w:t>
      </w:r>
    </w:p>
    <w:p w14:paraId="1B973980" w14:textId="21DEBE02" w:rsidR="00183DD4" w:rsidRPr="006E0620" w:rsidRDefault="00183DD4" w:rsidP="00CD55D9">
      <w:r w:rsidRPr="006E0620">
        <w:rPr>
          <w:noProof/>
          <w:shd w:val="clear" w:color="auto" w:fill="E6E6E6"/>
          <w:lang w:val="en-GB" w:eastAsia="en-GB"/>
        </w:rPr>
        <w:drawing>
          <wp:inline distT="0" distB="0" distL="0" distR="0" wp14:anchorId="0DF27C4F" wp14:editId="2EE88C50">
            <wp:extent cx="5520520" cy="1603400"/>
            <wp:effectExtent l="0" t="0" r="4445" b="0"/>
            <wp:docPr id="64" name="Picture 64" descr="Study 301 Final scheduled efficacy analysis, primary endpoint, COVID-19 starting 14 days after the second dose per adjudication committee assessment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udy 301 Final scheduled efficacy analysis, primary endpoint, COVID-19 starting 14 days after the second dose per adjudication committee assessments, per protocol 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0227" cy="1614933"/>
                    </a:xfrm>
                    <a:prstGeom prst="rect">
                      <a:avLst/>
                    </a:prstGeom>
                    <a:noFill/>
                    <a:ln>
                      <a:noFill/>
                    </a:ln>
                  </pic:spPr>
                </pic:pic>
              </a:graphicData>
            </a:graphic>
          </wp:inline>
        </w:drawing>
      </w:r>
    </w:p>
    <w:p w14:paraId="19B7C01F" w14:textId="54E09535" w:rsidR="000E483B" w:rsidRPr="006E0620" w:rsidRDefault="000E483B" w:rsidP="000E483B">
      <w:pPr>
        <w:pStyle w:val="TableDescription"/>
      </w:pPr>
      <w:r w:rsidRPr="006E0620">
        <w:t>COVID-19 = coronavirus disease 2019; N = population size; n = sample size; VE = vaccine efficacy; CI = confidence interval.</w:t>
      </w:r>
    </w:p>
    <w:p w14:paraId="409905E2" w14:textId="1F172985" w:rsidR="003C5390" w:rsidRPr="006E0620" w:rsidRDefault="003C5390" w:rsidP="000E483B">
      <w:pPr>
        <w:pStyle w:val="TableDescription"/>
      </w:pPr>
      <w:r w:rsidRPr="006E0620">
        <w:t xml:space="preserve">COVID-19: symptomatic COVID-19 requiring positive </w:t>
      </w:r>
      <w:r w:rsidR="000E483B" w:rsidRPr="006E0620">
        <w:t>reverse transcription polymerase chain reaction (</w:t>
      </w:r>
      <w:r w:rsidRPr="006E0620">
        <w:t>RT-PCR</w:t>
      </w:r>
      <w:r w:rsidR="000E483B" w:rsidRPr="006E0620">
        <w:t>)</w:t>
      </w:r>
      <w:r w:rsidRPr="006E0620">
        <w:t xml:space="preserve"> result and at least </w:t>
      </w:r>
      <w:r w:rsidR="000E483B" w:rsidRPr="006E0620">
        <w:t>two</w:t>
      </w:r>
      <w:r w:rsidRPr="006E0620">
        <w:t xml:space="preserve"> systemic symptoms or </w:t>
      </w:r>
      <w:r w:rsidR="000E483B" w:rsidRPr="006E0620">
        <w:t>one</w:t>
      </w:r>
      <w:r w:rsidRPr="006E0620">
        <w:t xml:space="preserve"> respiratory symptom. Cases starting 14 days after the second dose. All potential COVID-19 cases starting 14 days after the second dose in the clinical database as of 21</w:t>
      </w:r>
      <w:r w:rsidR="000E483B" w:rsidRPr="006E0620">
        <w:t xml:space="preserve"> </w:t>
      </w:r>
      <w:r w:rsidRPr="006E0620">
        <w:t>Nov</w:t>
      </w:r>
      <w:r w:rsidR="000E483B" w:rsidRPr="006E0620">
        <w:t xml:space="preserve">ember </w:t>
      </w:r>
      <w:r w:rsidRPr="006E0620">
        <w:t xml:space="preserve">2020 have been sent to adjudication </w:t>
      </w:r>
      <w:proofErr w:type="gramStart"/>
      <w:r w:rsidRPr="006E0620">
        <w:t>committee, and</w:t>
      </w:r>
      <w:proofErr w:type="gramEnd"/>
      <w:r w:rsidRPr="006E0620">
        <w:t xml:space="preserve"> have been adjudicated for this analysis (21</w:t>
      </w:r>
      <w:r w:rsidR="000E483B" w:rsidRPr="006E0620">
        <w:t xml:space="preserve"> </w:t>
      </w:r>
      <w:r w:rsidRPr="006E0620">
        <w:t>Nov</w:t>
      </w:r>
      <w:r w:rsidR="000E483B" w:rsidRPr="006E0620">
        <w:t xml:space="preserve">ember </w:t>
      </w:r>
      <w:r w:rsidRPr="006E0620">
        <w:t xml:space="preserve">2020 is the data cut-off date for efficacy). One case (in the vaccine group) was </w:t>
      </w:r>
      <w:r w:rsidR="000E483B" w:rsidRPr="006E0620">
        <w:t>adjudicated</w:t>
      </w:r>
      <w:r w:rsidRPr="006E0620">
        <w:t xml:space="preserve"> as a COVID-19 case by the </w:t>
      </w:r>
      <w:r w:rsidR="000E483B" w:rsidRPr="006E0620">
        <w:t>committee</w:t>
      </w:r>
      <w:r w:rsidRPr="006E0620">
        <w:t xml:space="preserve"> but did was meet the case </w:t>
      </w:r>
      <w:r w:rsidR="000E483B" w:rsidRPr="006E0620">
        <w:t>definition</w:t>
      </w:r>
      <w:r w:rsidRPr="006E0620">
        <w:t xml:space="preserve"> as per statistical analysis plan due to documented </w:t>
      </w:r>
      <w:r w:rsidR="000E483B" w:rsidRPr="006E0620">
        <w:t>symptoms</w:t>
      </w:r>
      <w:r w:rsidRPr="006E0620">
        <w:t xml:space="preserve"> and positive PCR being more than 14 days apart</w:t>
      </w:r>
      <w:r w:rsidR="000E483B" w:rsidRPr="006E0620">
        <w:t>.</w:t>
      </w:r>
    </w:p>
    <w:p w14:paraId="60AAD95E" w14:textId="398A4F2D" w:rsidR="000E483B" w:rsidRPr="006E0620" w:rsidRDefault="000E483B" w:rsidP="000E483B">
      <w:pPr>
        <w:pStyle w:val="TableDescription"/>
      </w:pPr>
      <w:r w:rsidRPr="006E0620">
        <w:t xml:space="preserve">21 November 2020 have been sent to adjudication </w:t>
      </w:r>
      <w:proofErr w:type="gramStart"/>
      <w:r w:rsidRPr="006E0620">
        <w:t>committee, and</w:t>
      </w:r>
      <w:proofErr w:type="gramEnd"/>
      <w:r w:rsidRPr="006E0620">
        <w:t xml:space="preserve"> have been adjudicated for this analysis (21 November 2020 is the data cut-off date for efficacy).</w:t>
      </w:r>
    </w:p>
    <w:p w14:paraId="576B48BD" w14:textId="01138AC5" w:rsidR="003C5390" w:rsidRPr="006E0620" w:rsidRDefault="003C5390" w:rsidP="000E483B">
      <w:pPr>
        <w:pStyle w:val="TableDescription"/>
      </w:pPr>
      <w:r w:rsidRPr="006E0620">
        <w:t>* Incidence rate is defined as the number of subjects with an event divided by the number of subjects</w:t>
      </w:r>
      <w:r w:rsidR="000E483B" w:rsidRPr="006E0620">
        <w:t xml:space="preserve"> at risk and adjusted by person </w:t>
      </w:r>
      <w:r w:rsidRPr="006E0620">
        <w:t>years (total time at risk) in each treatment group. The 95% CI is calculated using the exact method (Poisson distribution) and adjusted by person</w:t>
      </w:r>
      <w:r w:rsidR="000E483B" w:rsidRPr="006E0620">
        <w:t xml:space="preserve"> </w:t>
      </w:r>
      <w:r w:rsidRPr="006E0620">
        <w:t>years.</w:t>
      </w:r>
    </w:p>
    <w:p w14:paraId="49D252DA" w14:textId="678FEE6B" w:rsidR="003C5390" w:rsidRPr="006E0620" w:rsidRDefault="003C5390" w:rsidP="000E483B">
      <w:pPr>
        <w:pStyle w:val="TableDescription"/>
      </w:pPr>
      <w:r w:rsidRPr="006E0620">
        <w:t>**</w:t>
      </w:r>
      <w:r w:rsidR="000E483B" w:rsidRPr="006E0620">
        <w:t xml:space="preserve"> </w:t>
      </w:r>
      <w:r w:rsidRPr="006E0620">
        <w:t>VE and 95% CI from the stratified Cox proportional hazard model</w:t>
      </w:r>
      <w:r w:rsidR="000E483B" w:rsidRPr="006E0620">
        <w:t>.</w:t>
      </w:r>
    </w:p>
    <w:p w14:paraId="25CE4BC8" w14:textId="5FF0FACC" w:rsidR="003C5390" w:rsidRPr="006E0620" w:rsidRDefault="003C5390" w:rsidP="000E483B">
      <w:pPr>
        <w:pStyle w:val="TableDescription"/>
      </w:pPr>
      <w:r w:rsidRPr="006E0620">
        <w:t>***</w:t>
      </w:r>
      <w:r w:rsidR="000E483B" w:rsidRPr="006E0620">
        <w:t xml:space="preserve"> The </w:t>
      </w:r>
      <w:proofErr w:type="gramStart"/>
      <w:r w:rsidR="000E483B" w:rsidRPr="006E0620">
        <w:t xml:space="preserve">one </w:t>
      </w:r>
      <w:r w:rsidRPr="006E0620">
        <w:t>sided</w:t>
      </w:r>
      <w:proofErr w:type="gramEnd"/>
      <w:r w:rsidRPr="006E0620">
        <w:t xml:space="preserve"> p-value is &lt;</w:t>
      </w:r>
      <w:r w:rsidR="000E483B" w:rsidRPr="006E0620">
        <w:t> </w:t>
      </w:r>
      <w:r w:rsidRPr="006E0620">
        <w:t>0.0001 from the stratified Cox proportional hazard model to test the null hypothesis of VE ≤ 30%, achieving the pre-specified efficacy boundary.</w:t>
      </w:r>
    </w:p>
    <w:p w14:paraId="763DFDA3" w14:textId="1A3898F6" w:rsidR="003C5390" w:rsidRPr="006E0620" w:rsidRDefault="003C5390" w:rsidP="000E483B">
      <w:pPr>
        <w:pStyle w:val="TableDescription"/>
      </w:pPr>
      <w:r w:rsidRPr="006E0620">
        <w:t>1 Percentage based on number of subjects in the 18 to &lt;</w:t>
      </w:r>
      <w:r w:rsidR="000E483B" w:rsidRPr="006E0620">
        <w:t> </w:t>
      </w:r>
      <w:r w:rsidRPr="006E0620">
        <w:t>65 years of age group.</w:t>
      </w:r>
    </w:p>
    <w:p w14:paraId="038ED37A" w14:textId="2E64A817" w:rsidR="00724444" w:rsidRPr="006E0620" w:rsidRDefault="003C5390" w:rsidP="000E483B">
      <w:pPr>
        <w:pStyle w:val="TableDescription"/>
      </w:pPr>
      <w:r w:rsidRPr="006E0620">
        <w:t>2 Percentage based on number of subjects in the ≥</w:t>
      </w:r>
      <w:r w:rsidR="000E483B" w:rsidRPr="006E0620">
        <w:t> </w:t>
      </w:r>
      <w:r w:rsidRPr="006E0620">
        <w:t>65 years of age group.</w:t>
      </w:r>
    </w:p>
    <w:p w14:paraId="13859601" w14:textId="5DE54255" w:rsidR="00183DD4" w:rsidRPr="006E0620" w:rsidRDefault="00183DD4" w:rsidP="00AD2B85">
      <w:r w:rsidRPr="006E0620">
        <w:t xml:space="preserve">Cumulative incidence rates of COVID-19 with accrual starting 14 days after the second injection in the </w:t>
      </w:r>
      <w:r w:rsidR="00661457" w:rsidRPr="006E0620">
        <w:t>per</w:t>
      </w:r>
      <w:r w:rsidR="00AF7999" w:rsidRPr="006E0620">
        <w:t>-</w:t>
      </w:r>
      <w:r w:rsidR="00661457" w:rsidRPr="006E0620">
        <w:t>protocol s</w:t>
      </w:r>
      <w:r w:rsidRPr="006E0620">
        <w:t xml:space="preserve">et are presented in </w:t>
      </w:r>
      <w:r w:rsidR="00DE39FC" w:rsidRPr="006E0620">
        <w:rPr>
          <w:color w:val="2B579A"/>
          <w:shd w:val="clear" w:color="auto" w:fill="E6E6E6"/>
        </w:rPr>
        <w:fldChar w:fldCharType="begin"/>
      </w:r>
      <w:r w:rsidR="00DE39FC" w:rsidRPr="006E0620">
        <w:instrText xml:space="preserve"> REF _Ref77951500 \h </w:instrText>
      </w:r>
      <w:r w:rsidR="006E0620">
        <w:instrText xml:space="preserve"> \* MERGEFORMAT </w:instrText>
      </w:r>
      <w:r w:rsidR="00DE39FC" w:rsidRPr="006E0620">
        <w:rPr>
          <w:color w:val="2B579A"/>
          <w:shd w:val="clear" w:color="auto" w:fill="E6E6E6"/>
        </w:rPr>
      </w:r>
      <w:r w:rsidR="00DE39FC" w:rsidRPr="006E0620">
        <w:rPr>
          <w:color w:val="2B579A"/>
          <w:shd w:val="clear" w:color="auto" w:fill="E6E6E6"/>
        </w:rPr>
        <w:fldChar w:fldCharType="separate"/>
      </w:r>
      <w:r w:rsidR="00B1591C" w:rsidRPr="006E0620">
        <w:t xml:space="preserve">Figure </w:t>
      </w:r>
      <w:r w:rsidR="00B1591C">
        <w:rPr>
          <w:noProof/>
        </w:rPr>
        <w:t>8</w:t>
      </w:r>
      <w:r w:rsidR="00DE39FC" w:rsidRPr="006E0620">
        <w:rPr>
          <w:color w:val="2B579A"/>
          <w:shd w:val="clear" w:color="auto" w:fill="E6E6E6"/>
        </w:rPr>
        <w:fldChar w:fldCharType="end"/>
      </w:r>
      <w:r w:rsidRPr="006E0620">
        <w:t>.</w:t>
      </w:r>
    </w:p>
    <w:p w14:paraId="06D8682D" w14:textId="17CD32CF" w:rsidR="00183DD4" w:rsidRPr="006E0620" w:rsidRDefault="00DE39FC" w:rsidP="00CD55D9">
      <w:pPr>
        <w:pStyle w:val="FigureTitle"/>
        <w:pageBreakBefore/>
      </w:pPr>
      <w:bookmarkStart w:id="52" w:name="_Ref77951500"/>
      <w:r w:rsidRPr="006E0620">
        <w:lastRenderedPageBreak/>
        <w:t xml:space="preserve">Figure </w:t>
      </w:r>
      <w:r>
        <w:fldChar w:fldCharType="begin"/>
      </w:r>
      <w:r>
        <w:instrText>SEQ Figure \* ARABIC</w:instrText>
      </w:r>
      <w:r>
        <w:fldChar w:fldCharType="separate"/>
      </w:r>
      <w:r w:rsidR="00B1591C">
        <w:rPr>
          <w:noProof/>
        </w:rPr>
        <w:t>8</w:t>
      </w:r>
      <w:r>
        <w:fldChar w:fldCharType="end"/>
      </w:r>
      <w:bookmarkEnd w:id="52"/>
      <w:r w:rsidR="00183DD4" w:rsidRPr="006E0620">
        <w:t xml:space="preserve">: </w:t>
      </w:r>
      <w:r w:rsidR="0019017B" w:rsidRPr="006E0620">
        <w:t xml:space="preserve">Study 301 </w:t>
      </w:r>
      <w:r w:rsidR="00661457" w:rsidRPr="006E0620">
        <w:t>Cumulative incidence rate of time to first occurrence of COVID-19 starting 14 days after second injection</w:t>
      </w:r>
      <w:r w:rsidR="0019017B" w:rsidRPr="006E0620">
        <w:t xml:space="preserve">, </w:t>
      </w:r>
      <w:r w:rsidR="00661457" w:rsidRPr="006E0620">
        <w:t>per</w:t>
      </w:r>
      <w:r w:rsidR="00AF7999" w:rsidRPr="006E0620">
        <w:t>-</w:t>
      </w:r>
      <w:r w:rsidR="00661457" w:rsidRPr="006E0620">
        <w:t>protocol set</w:t>
      </w:r>
    </w:p>
    <w:p w14:paraId="452BD90D" w14:textId="08390535" w:rsidR="00C678B7" w:rsidRPr="006E0620" w:rsidRDefault="00C678B7" w:rsidP="00CD55D9">
      <w:r w:rsidRPr="006E0620">
        <w:rPr>
          <w:noProof/>
          <w:shd w:val="clear" w:color="auto" w:fill="E6E6E6"/>
          <w:lang w:val="en-GB" w:eastAsia="en-GB"/>
        </w:rPr>
        <w:drawing>
          <wp:inline distT="0" distB="0" distL="0" distR="0" wp14:anchorId="0E896B9E" wp14:editId="44529A56">
            <wp:extent cx="5400040" cy="2553970"/>
            <wp:effectExtent l="0" t="0" r="0" b="0"/>
            <wp:docPr id="11" name="Picture 11" descr="Study 301 Cumulative incidence rate of time to first occurrence of COVID-19 starting 14 days after second injection,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301 Cumulative incidence rate of time to first occurrence of COVID-19 starting 14 days after second injection, per protocol set"/>
                    <pic:cNvPicPr/>
                  </pic:nvPicPr>
                  <pic:blipFill>
                    <a:blip r:embed="rId34"/>
                    <a:stretch>
                      <a:fillRect/>
                    </a:stretch>
                  </pic:blipFill>
                  <pic:spPr>
                    <a:xfrm>
                      <a:off x="0" y="0"/>
                      <a:ext cx="5400040" cy="2553970"/>
                    </a:xfrm>
                    <a:prstGeom prst="rect">
                      <a:avLst/>
                    </a:prstGeom>
                  </pic:spPr>
                </pic:pic>
              </a:graphicData>
            </a:graphic>
          </wp:inline>
        </w:drawing>
      </w:r>
    </w:p>
    <w:p w14:paraId="2245EC02" w14:textId="1E902DCE" w:rsidR="00C678B7" w:rsidRPr="006E0620" w:rsidRDefault="00C678B7" w:rsidP="00C678B7">
      <w:pPr>
        <w:pStyle w:val="TableDescription"/>
      </w:pPr>
      <w:r w:rsidRPr="006E0620">
        <w:t>COVID-19 = coronavirus disease 2019; VE = vaccine efficacy; CI = confidence interval; mRNA = messenger ribonucleic acid.</w:t>
      </w:r>
    </w:p>
    <w:p w14:paraId="033BDE06" w14:textId="7DA55685" w:rsidR="00C678B7" w:rsidRPr="006E0620" w:rsidRDefault="00C678B7" w:rsidP="00C678B7">
      <w:pPr>
        <w:pStyle w:val="TableDescription"/>
      </w:pPr>
      <w:r w:rsidRPr="006E0620">
        <w:t>a Primary efficacy analysis</w:t>
      </w:r>
    </w:p>
    <w:p w14:paraId="4AF52BEB" w14:textId="4D78826D" w:rsidR="00C678B7" w:rsidRPr="006E0620" w:rsidRDefault="00C678B7" w:rsidP="00C678B7">
      <w:pPr>
        <w:pStyle w:val="TableDescription"/>
      </w:pPr>
      <w:r w:rsidRPr="006E0620">
        <w:t>Vaccine efficacy is defined as 1 – hazard ratio (</w:t>
      </w:r>
      <w:proofErr w:type="spellStart"/>
      <w:r w:rsidR="00357D6A">
        <w:t>Spikevax</w:t>
      </w:r>
      <w:proofErr w:type="spellEnd"/>
      <w:r w:rsidR="00357D6A">
        <w:t xml:space="preserve"> COVID-19 </w:t>
      </w:r>
      <w:r w:rsidRPr="006E0620">
        <w:t xml:space="preserve">mRNA-1273 </w:t>
      </w:r>
      <w:r w:rsidR="00357D6A">
        <w:t xml:space="preserve">vaccine </w:t>
      </w:r>
      <w:r w:rsidRPr="006E0620">
        <w:t xml:space="preserve">versus placebo), and 95% CI was estimated using a stratified Cox proportional hazard model with </w:t>
      </w:r>
      <w:proofErr w:type="spellStart"/>
      <w:r w:rsidRPr="006E0620">
        <w:t>Efron’s</w:t>
      </w:r>
      <w:proofErr w:type="spellEnd"/>
      <w:r w:rsidRPr="006E0620">
        <w:t xml:space="preserve"> method of tie handlin</w:t>
      </w:r>
      <w:r w:rsidR="00EF7C06" w:rsidRPr="006E0620">
        <w:t xml:space="preserve">g and with the treatment group </w:t>
      </w:r>
      <w:r w:rsidRPr="006E0620">
        <w:t>as a covariate, adjusting for stratification factor.</w:t>
      </w:r>
    </w:p>
    <w:p w14:paraId="12EA6BDA" w14:textId="2B596619" w:rsidR="00183DD4" w:rsidRPr="006E0620" w:rsidRDefault="00AD2B85" w:rsidP="00AD2B85">
      <w:pPr>
        <w:pStyle w:val="Heading6"/>
        <w:rPr>
          <w:rFonts w:eastAsia="Calibri"/>
        </w:rPr>
      </w:pPr>
      <w:r w:rsidRPr="006E0620">
        <w:rPr>
          <w:rFonts w:eastAsia="Calibri"/>
        </w:rPr>
        <w:t xml:space="preserve">Subgroup </w:t>
      </w:r>
      <w:r w:rsidR="000E5456" w:rsidRPr="006E0620">
        <w:rPr>
          <w:rFonts w:eastAsia="Calibri"/>
        </w:rPr>
        <w:t>efficacy</w:t>
      </w:r>
    </w:p>
    <w:p w14:paraId="46383701" w14:textId="4C486770" w:rsidR="00183DD4" w:rsidRPr="006E0620" w:rsidRDefault="00183DD4" w:rsidP="00AD2B85">
      <w:r w:rsidRPr="006E0620">
        <w:t xml:space="preserve">The efficacy of </w:t>
      </w:r>
      <w:proofErr w:type="spellStart"/>
      <w:r w:rsidR="00357D6A">
        <w:t>Spikevax</w:t>
      </w:r>
      <w:proofErr w:type="spellEnd"/>
      <w:r w:rsidR="00357D6A">
        <w:t xml:space="preserve"> COVID-19 </w:t>
      </w:r>
      <w:r w:rsidRPr="006E0620">
        <w:t xml:space="preserve">mRNA-1273 </w:t>
      </w:r>
      <w:r w:rsidR="00357D6A">
        <w:t xml:space="preserve">vaccine </w:t>
      </w:r>
      <w:r w:rsidRPr="006E0620">
        <w:t>for the primary efficacy endpoint was consistent across major demographic and baseline characteri</w:t>
      </w:r>
      <w:r w:rsidR="000E5456" w:rsidRPr="006E0620">
        <w:t>stic subgroups including age (≥ 18 to &lt; 65 years, ≥ </w:t>
      </w:r>
      <w:r w:rsidRPr="006E0620">
        <w:t>65 years), risk factors for severe COVID-19 at scre</w:t>
      </w:r>
      <w:r w:rsidR="00AD2B85" w:rsidRPr="006E0620">
        <w:t>ening, sex, race and ethnicity.</w:t>
      </w:r>
    </w:p>
    <w:p w14:paraId="1C2CB6AF" w14:textId="77777777" w:rsidR="000C0135" w:rsidRDefault="00183DD4" w:rsidP="00FA34DF">
      <w:pPr>
        <w:pStyle w:val="Heading7"/>
        <w:rPr>
          <w:sz w:val="22"/>
          <w:szCs w:val="28"/>
        </w:rPr>
      </w:pPr>
      <w:r w:rsidRPr="00FA34DF">
        <w:rPr>
          <w:sz w:val="22"/>
          <w:szCs w:val="28"/>
        </w:rPr>
        <w:t>Sub</w:t>
      </w:r>
      <w:r w:rsidR="007570F3" w:rsidRPr="00FA34DF">
        <w:rPr>
          <w:sz w:val="22"/>
          <w:szCs w:val="28"/>
        </w:rPr>
        <w:t xml:space="preserve">group analysis by </w:t>
      </w:r>
      <w:r w:rsidR="000E5456" w:rsidRPr="00FA34DF">
        <w:rPr>
          <w:sz w:val="22"/>
          <w:szCs w:val="28"/>
        </w:rPr>
        <w:t>age</w:t>
      </w:r>
    </w:p>
    <w:p w14:paraId="75A2ECAA" w14:textId="76363CCB" w:rsidR="00183DD4" w:rsidRPr="00F61F14" w:rsidRDefault="000C0135" w:rsidP="00C618E0">
      <w:r>
        <w:t xml:space="preserve">The following is based upon the </w:t>
      </w:r>
      <w:r w:rsidR="000E5456" w:rsidRPr="00FA34DF">
        <w:t>data cut-off</w:t>
      </w:r>
      <w:r>
        <w:t xml:space="preserve"> of</w:t>
      </w:r>
      <w:r w:rsidR="000E5456" w:rsidRPr="00FA34DF">
        <w:t xml:space="preserve"> </w:t>
      </w:r>
      <w:r w:rsidR="00183DD4" w:rsidRPr="00FA34DF">
        <w:t>21 November 2020</w:t>
      </w:r>
      <w:r>
        <w:t>.</w:t>
      </w:r>
    </w:p>
    <w:p w14:paraId="065E24A8" w14:textId="0850F178" w:rsidR="00183DD4" w:rsidRPr="006E0620" w:rsidRDefault="00183DD4" w:rsidP="00AD2B85">
      <w:r w:rsidRPr="006E0620">
        <w:t xml:space="preserve">The efficacy of </w:t>
      </w:r>
      <w:proofErr w:type="spellStart"/>
      <w:r w:rsidR="00357D6A">
        <w:t>Spikevax</w:t>
      </w:r>
      <w:proofErr w:type="spellEnd"/>
      <w:r w:rsidR="00357D6A">
        <w:t xml:space="preserve"> COVID-19 </w:t>
      </w:r>
      <w:r w:rsidRPr="006E0620">
        <w:t>mRNA-1273</w:t>
      </w:r>
      <w:r w:rsidR="00357D6A">
        <w:t xml:space="preserve"> vaccine</w:t>
      </w:r>
      <w:r w:rsidRPr="006E0620">
        <w:t xml:space="preserve"> for the primary efficacy endpoint was consistent across major demographic and baseline characteristic subgroups including age. However, the number of</w:t>
      </w:r>
      <w:r w:rsidR="000E5456" w:rsidRPr="006E0620">
        <w:t xml:space="preserve"> subjects in the group above 75 </w:t>
      </w:r>
      <w:r w:rsidRPr="006E0620">
        <w:t xml:space="preserve">years age was small (630 in vaccine and 681 in </w:t>
      </w:r>
      <w:r w:rsidR="000E5456" w:rsidRPr="006E0620">
        <w:t>placebo</w:t>
      </w:r>
      <w:r w:rsidRPr="006E0620">
        <w:t>)</w:t>
      </w:r>
      <w:r w:rsidR="00E766F9" w:rsidRPr="006E0620">
        <w:t>.</w:t>
      </w:r>
    </w:p>
    <w:p w14:paraId="64B0EDE9" w14:textId="213B7455" w:rsidR="00183DD4" w:rsidRPr="006E0620" w:rsidRDefault="006131C6" w:rsidP="00CD55D9">
      <w:pPr>
        <w:pStyle w:val="TableTitle"/>
        <w:pageBreakBefore/>
      </w:pPr>
      <w:r w:rsidRPr="006E0620">
        <w:lastRenderedPageBreak/>
        <w:t xml:space="preserve">Table </w:t>
      </w:r>
      <w:r>
        <w:fldChar w:fldCharType="begin"/>
      </w:r>
      <w:r>
        <w:instrText>SEQ Table \* ARABIC</w:instrText>
      </w:r>
      <w:r>
        <w:fldChar w:fldCharType="separate"/>
      </w:r>
      <w:r w:rsidR="00B1591C">
        <w:rPr>
          <w:noProof/>
        </w:rPr>
        <w:t>8</w:t>
      </w:r>
      <w:r>
        <w:fldChar w:fldCharType="end"/>
      </w:r>
      <w:r w:rsidR="00183DD4" w:rsidRPr="006E0620">
        <w:t xml:space="preserve">: </w:t>
      </w:r>
      <w:r w:rsidR="0019017B" w:rsidRPr="006E0620">
        <w:t xml:space="preserve">Study 301 </w:t>
      </w:r>
      <w:r w:rsidR="00183DD4" w:rsidRPr="006E0620">
        <w:t xml:space="preserve">Subgroup </w:t>
      </w:r>
      <w:r w:rsidR="000E5456" w:rsidRPr="006E0620">
        <w:t xml:space="preserve">analysis of vaccine efficacy </w:t>
      </w:r>
      <w:r w:rsidR="00183DD4" w:rsidRPr="006E0620">
        <w:t xml:space="preserve">of </w:t>
      </w:r>
      <w:proofErr w:type="spellStart"/>
      <w:r w:rsidR="00357D6A">
        <w:t>Spikevax</w:t>
      </w:r>
      <w:proofErr w:type="spellEnd"/>
      <w:r w:rsidR="00357D6A">
        <w:t xml:space="preserve"> COVID-19 </w:t>
      </w:r>
      <w:r w:rsidR="00183DD4" w:rsidRPr="006E0620">
        <w:t xml:space="preserve">mRNA-1273 </w:t>
      </w:r>
      <w:r w:rsidR="00357D6A">
        <w:t xml:space="preserve">vaccine </w:t>
      </w:r>
      <w:r w:rsidR="00183DD4" w:rsidRPr="006E0620">
        <w:t xml:space="preserve">to </w:t>
      </w:r>
      <w:r w:rsidR="000E5456" w:rsidRPr="006E0620">
        <w:t xml:space="preserve">prevent </w:t>
      </w:r>
      <w:r w:rsidR="00183DD4" w:rsidRPr="006E0620">
        <w:t>COV</w:t>
      </w:r>
      <w:r w:rsidR="00AD2B85" w:rsidRPr="006E0620">
        <w:t>ID-19</w:t>
      </w:r>
      <w:r w:rsidR="00183DD4" w:rsidRPr="006E0620">
        <w:t>,</w:t>
      </w:r>
      <w:r w:rsidR="000E5456" w:rsidRPr="006E0620">
        <w:t xml:space="preserve"> starting 14 days after second injection by age group </w:t>
      </w:r>
      <w:r w:rsidR="00183DD4" w:rsidRPr="006E0620">
        <w:t>(</w:t>
      </w:r>
      <w:r w:rsidR="000E5456" w:rsidRPr="006E0620">
        <w:t>≥ </w:t>
      </w:r>
      <w:r w:rsidR="00183DD4" w:rsidRPr="006E0620">
        <w:t>18 and &lt;</w:t>
      </w:r>
      <w:r w:rsidR="000E5456" w:rsidRPr="006E0620">
        <w:t> 65 y</w:t>
      </w:r>
      <w:r w:rsidR="00183DD4" w:rsidRPr="006E0620">
        <w:t xml:space="preserve">ears, </w:t>
      </w:r>
      <w:r w:rsidR="000E5456" w:rsidRPr="006E0620">
        <w:t>≥ 65 y</w:t>
      </w:r>
      <w:r w:rsidR="00183DD4" w:rsidRPr="006E0620">
        <w:t>ears and &lt;</w:t>
      </w:r>
      <w:r w:rsidR="000E5456" w:rsidRPr="006E0620">
        <w:t> </w:t>
      </w:r>
      <w:r w:rsidR="00183DD4" w:rsidRPr="006E0620">
        <w:t>75</w:t>
      </w:r>
      <w:r w:rsidR="000E5456" w:rsidRPr="006E0620">
        <w:t> years, &gt; 75 </w:t>
      </w:r>
      <w:r w:rsidR="00183DD4" w:rsidRPr="006E0620">
        <w:t>years)</w:t>
      </w:r>
      <w:r w:rsidR="0019017B" w:rsidRPr="006E0620">
        <w:t xml:space="preserve">, </w:t>
      </w:r>
      <w:r w:rsidR="000E5456" w:rsidRPr="006E0620">
        <w:t>per</w:t>
      </w:r>
      <w:r w:rsidR="00AF7999" w:rsidRPr="006E0620">
        <w:t>-</w:t>
      </w:r>
      <w:r w:rsidR="000E5456" w:rsidRPr="006E0620">
        <w:t>protocol set</w:t>
      </w:r>
    </w:p>
    <w:p w14:paraId="0ED6E42D" w14:textId="59D0EBED" w:rsidR="003C7B37" w:rsidRPr="006E0620" w:rsidRDefault="003C7B37" w:rsidP="00CD55D9">
      <w:r w:rsidRPr="006E0620">
        <w:rPr>
          <w:noProof/>
          <w:shd w:val="clear" w:color="auto" w:fill="E6E6E6"/>
          <w:lang w:val="en-GB" w:eastAsia="en-GB"/>
        </w:rPr>
        <w:drawing>
          <wp:inline distT="0" distB="0" distL="0" distR="0" wp14:anchorId="3EF7C1BC" wp14:editId="7FCF33DC">
            <wp:extent cx="5400040" cy="4812030"/>
            <wp:effectExtent l="0" t="0" r="0" b="7620"/>
            <wp:docPr id="14" name="Picture 14" descr="Study 301 Subgroup analysis of vaccine efficacy of Spikevax COVID-19 mRNA-1273 vaccine to prevent COVID-19, starting 14 days after second injection by age group (≥ 18 and &lt; 65 years, ≥ 65 years and &lt; 75 years, &gt; 75 years),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301 Subgroup analysis of vaccine efficacy of Spikevax COVID-19 mRNA-1273 vaccine to prevent COVID-19, starting 14 days after second injection by age group (≥ 18 and &lt; 65 years, ≥ 65 years and &lt; 75 years, &gt; 75 years), per-protocol set"/>
                    <pic:cNvPicPr/>
                  </pic:nvPicPr>
                  <pic:blipFill>
                    <a:blip r:embed="rId35"/>
                    <a:stretch>
                      <a:fillRect/>
                    </a:stretch>
                  </pic:blipFill>
                  <pic:spPr>
                    <a:xfrm>
                      <a:off x="0" y="0"/>
                      <a:ext cx="5400040" cy="4812030"/>
                    </a:xfrm>
                    <a:prstGeom prst="rect">
                      <a:avLst/>
                    </a:prstGeom>
                  </pic:spPr>
                </pic:pic>
              </a:graphicData>
            </a:graphic>
          </wp:inline>
        </w:drawing>
      </w:r>
    </w:p>
    <w:p w14:paraId="303E59EA" w14:textId="5AB1DB2B" w:rsidR="00DB5FCC" w:rsidRPr="006E0620" w:rsidRDefault="00DB5FCC" w:rsidP="00CF7CC1">
      <w:pPr>
        <w:pStyle w:val="TableDescription"/>
      </w:pPr>
      <w:r w:rsidRPr="006E0620">
        <w:t xml:space="preserve">mRNA = messenger ribonucleic acid; COVID-19 = coronavirus disease 2019; N = population size; n = sample size; CI = confidence interval; NE = </w:t>
      </w:r>
      <w:r w:rsidR="0019059E" w:rsidRPr="006E0620">
        <w:t>not estimable.</w:t>
      </w:r>
    </w:p>
    <w:p w14:paraId="5A81208D" w14:textId="3B0B118D" w:rsidR="00477F64" w:rsidRPr="006E0620" w:rsidRDefault="00477F64" w:rsidP="00CF7CC1">
      <w:pPr>
        <w:pStyle w:val="TableDescription"/>
      </w:pPr>
      <w:r w:rsidRPr="006E0620">
        <w:t>[1] Vaccine efficacy is defined as 1 – hazard ratio (</w:t>
      </w:r>
      <w:proofErr w:type="spellStart"/>
      <w:r w:rsidR="00357D6A" w:rsidRPr="00357D6A">
        <w:t>Spikevax</w:t>
      </w:r>
      <w:proofErr w:type="spellEnd"/>
      <w:r w:rsidR="00357D6A" w:rsidRPr="00357D6A">
        <w:t xml:space="preserve"> COVID-19 </w:t>
      </w:r>
      <w:r w:rsidRPr="006E0620">
        <w:t>mRNA-1273</w:t>
      </w:r>
      <w:r w:rsidR="00357D6A">
        <w:t xml:space="preserve"> vaccine</w:t>
      </w:r>
      <w:r w:rsidRPr="006E0620">
        <w:t xml:space="preserve"> versus placebo), and 95% CI </w:t>
      </w:r>
      <w:r w:rsidR="00CF7CC1" w:rsidRPr="006E0620">
        <w:t>are</w:t>
      </w:r>
      <w:r w:rsidRPr="006E0620">
        <w:t xml:space="preserve"> estimated using a stratified Cox proportional hazard model with </w:t>
      </w:r>
      <w:proofErr w:type="spellStart"/>
      <w:r w:rsidRPr="006E0620">
        <w:t>Efron’s</w:t>
      </w:r>
      <w:proofErr w:type="spellEnd"/>
      <w:r w:rsidRPr="006E0620">
        <w:t xml:space="preserve"> method of tie handlin</w:t>
      </w:r>
      <w:r w:rsidR="00EF7C06" w:rsidRPr="006E0620">
        <w:t xml:space="preserve">g and with the treatment group </w:t>
      </w:r>
      <w:r w:rsidRPr="006E0620">
        <w:t>as a covariate, adjusting for stratification factor if applicable.</w:t>
      </w:r>
    </w:p>
    <w:p w14:paraId="4E7431EF" w14:textId="03B3F6EE" w:rsidR="00477F64" w:rsidRPr="006E0620" w:rsidRDefault="00477F64" w:rsidP="00CF7CC1">
      <w:pPr>
        <w:pStyle w:val="TableDescription"/>
      </w:pPr>
      <w:r w:rsidRPr="006E0620">
        <w:t xml:space="preserve">[2] Person years is defined </w:t>
      </w:r>
      <w:r w:rsidR="00CF7CC1" w:rsidRPr="006E0620">
        <w:t>as the total years from randomis</w:t>
      </w:r>
      <w:r w:rsidRPr="006E0620">
        <w:t xml:space="preserve">ation date to the date of COVID-19, last date of study </w:t>
      </w:r>
      <w:r w:rsidR="00CF7CC1" w:rsidRPr="006E0620">
        <w:t>participation,</w:t>
      </w:r>
      <w:r w:rsidRPr="006E0620">
        <w:t xml:space="preserve"> o</w:t>
      </w:r>
      <w:r w:rsidR="00CF7CC1" w:rsidRPr="006E0620">
        <w:t>r</w:t>
      </w:r>
      <w:r w:rsidRPr="006E0620">
        <w:t xml:space="preserve"> efficacy data cut-off date, whichever is earlier.</w:t>
      </w:r>
    </w:p>
    <w:p w14:paraId="235FC1C7" w14:textId="3131C378" w:rsidR="00477F64" w:rsidRPr="006E0620" w:rsidRDefault="00477F64" w:rsidP="00CF7CC1">
      <w:pPr>
        <w:pStyle w:val="TableDescription"/>
      </w:pPr>
      <w:r w:rsidRPr="006E0620">
        <w:t xml:space="preserve">[3] </w:t>
      </w:r>
      <w:r w:rsidR="00CF7CC1" w:rsidRPr="006E0620">
        <w:t>Incidence</w:t>
      </w:r>
      <w:r w:rsidRPr="006E0620">
        <w:t xml:space="preserve"> rate if </w:t>
      </w:r>
      <w:r w:rsidR="00CF7CC1" w:rsidRPr="006E0620">
        <w:t>defined</w:t>
      </w:r>
      <w:r w:rsidRPr="006E0620">
        <w:t xml:space="preserve"> as the number of subjects </w:t>
      </w:r>
      <w:r w:rsidR="00CF7CC1" w:rsidRPr="006E0620">
        <w:t>with</w:t>
      </w:r>
      <w:r w:rsidRPr="006E0620">
        <w:t xml:space="preserve"> an event divided by the number of subjects at </w:t>
      </w:r>
      <w:r w:rsidR="00CF7CC1" w:rsidRPr="006E0620">
        <w:t>risk</w:t>
      </w:r>
      <w:r w:rsidRPr="006E0620">
        <w:t xml:space="preserve"> and adjusted b</w:t>
      </w:r>
      <w:r w:rsidR="00CF7CC1" w:rsidRPr="006E0620">
        <w:t>y</w:t>
      </w:r>
      <w:r w:rsidRPr="006E0620">
        <w:t xml:space="preserve"> person years (total time at risk) in each </w:t>
      </w:r>
      <w:r w:rsidR="00CF7CC1" w:rsidRPr="006E0620">
        <w:t>treatment group. The 95% CI is calculated using the exact method (Poisson distribution) and adjusted by person years.</w:t>
      </w:r>
    </w:p>
    <w:p w14:paraId="004F0019" w14:textId="3B0276C2" w:rsidR="00477F64" w:rsidRPr="006E0620" w:rsidRDefault="00CF7CC1" w:rsidP="00CF7CC1">
      <w:pPr>
        <w:pStyle w:val="TableDescription"/>
      </w:pPr>
      <w:r w:rsidRPr="006E0620">
        <w:t>[4] Vaccine efficacy is defined as 1 – ratio of incidence rate (</w:t>
      </w:r>
      <w:proofErr w:type="spellStart"/>
      <w:r w:rsidR="00357D6A" w:rsidRPr="00357D6A">
        <w:t>Spikevax</w:t>
      </w:r>
      <w:proofErr w:type="spellEnd"/>
      <w:r w:rsidR="00357D6A" w:rsidRPr="00357D6A">
        <w:t xml:space="preserve"> COVID-19 </w:t>
      </w:r>
      <w:r w:rsidRPr="006E0620">
        <w:t xml:space="preserve">mRNA-1273 </w:t>
      </w:r>
      <w:r w:rsidR="00357D6A">
        <w:t xml:space="preserve">vaccine </w:t>
      </w:r>
      <w:r w:rsidRPr="006E0620">
        <w:t>versus placebo). The 95% CI of the ratio is calculated using the exact method conditional upon the total number of cases, adjusting for person years.</w:t>
      </w:r>
    </w:p>
    <w:p w14:paraId="3758BA65" w14:textId="4B459EC7" w:rsidR="00DB5FCC" w:rsidRPr="006E0620" w:rsidRDefault="00265AC1" w:rsidP="00265AC1">
      <w:pPr>
        <w:pStyle w:val="TableTitle"/>
      </w:pPr>
      <w:r w:rsidRPr="006E0620">
        <w:lastRenderedPageBreak/>
        <w:t xml:space="preserve">Table </w:t>
      </w:r>
      <w:r>
        <w:fldChar w:fldCharType="begin"/>
      </w:r>
      <w:r>
        <w:instrText>SEQ Table \* ARABIC</w:instrText>
      </w:r>
      <w:r>
        <w:fldChar w:fldCharType="separate"/>
      </w:r>
      <w:r w:rsidR="00B1591C">
        <w:rPr>
          <w:noProof/>
        </w:rPr>
        <w:t>9</w:t>
      </w:r>
      <w:r>
        <w:fldChar w:fldCharType="end"/>
      </w:r>
      <w:r w:rsidR="00E766F9" w:rsidRPr="006E0620">
        <w:t>:</w:t>
      </w:r>
      <w:r w:rsidRPr="006E0620">
        <w:t xml:space="preserve"> </w:t>
      </w:r>
      <w:r w:rsidR="0019017B" w:rsidRPr="006E0620">
        <w:t xml:space="preserve">Study 301 </w:t>
      </w:r>
      <w:r w:rsidR="00183DD4" w:rsidRPr="006E0620">
        <w:t xml:space="preserve">A </w:t>
      </w:r>
      <w:r w:rsidR="000E5456" w:rsidRPr="006E0620">
        <w:t xml:space="preserve">forest plot of subgroup analyses of vaccine efficacy </w:t>
      </w:r>
      <w:r w:rsidR="00183DD4" w:rsidRPr="006E0620">
        <w:t xml:space="preserve">of </w:t>
      </w:r>
      <w:proofErr w:type="spellStart"/>
      <w:r w:rsidR="00357D6A" w:rsidRPr="00357D6A">
        <w:t>Spikevax</w:t>
      </w:r>
      <w:proofErr w:type="spellEnd"/>
      <w:r w:rsidR="00357D6A" w:rsidRPr="00357D6A">
        <w:t xml:space="preserve"> COVID-19 </w:t>
      </w:r>
      <w:r w:rsidR="00183DD4" w:rsidRPr="006E0620">
        <w:t xml:space="preserve">mRNA-1273 </w:t>
      </w:r>
      <w:r w:rsidR="00357D6A">
        <w:t xml:space="preserve">vaccine </w:t>
      </w:r>
      <w:r w:rsidR="00183DD4" w:rsidRPr="006E0620">
        <w:t xml:space="preserve">to </w:t>
      </w:r>
      <w:r w:rsidR="000E5456" w:rsidRPr="006E0620">
        <w:t xml:space="preserve">prevent </w:t>
      </w:r>
      <w:r w:rsidR="00183DD4" w:rsidRPr="006E0620">
        <w:t>COVID-19</w:t>
      </w:r>
      <w:r w:rsidR="0019017B" w:rsidRPr="006E0620">
        <w:t xml:space="preserve">, </w:t>
      </w:r>
      <w:r w:rsidR="000E5456" w:rsidRPr="006E0620">
        <w:t>per</w:t>
      </w:r>
      <w:r w:rsidR="00AF7999" w:rsidRPr="006E0620">
        <w:t>-</w:t>
      </w:r>
      <w:r w:rsidR="000E5456" w:rsidRPr="006E0620">
        <w:t>protocol set</w:t>
      </w:r>
      <w:r w:rsidR="00E766F9" w:rsidRPr="006E0620">
        <w:t xml:space="preserve"> </w:t>
      </w:r>
      <w:r w:rsidR="000E5456" w:rsidRPr="006E0620">
        <w:t xml:space="preserve">(data cut-off: </w:t>
      </w:r>
      <w:r w:rsidR="00183DD4" w:rsidRPr="006E0620">
        <w:t>25</w:t>
      </w:r>
      <w:r w:rsidR="00E766F9" w:rsidRPr="006E0620">
        <w:t xml:space="preserve"> Nov</w:t>
      </w:r>
      <w:r w:rsidR="000E5456" w:rsidRPr="006E0620">
        <w:t>ember 2020)</w:t>
      </w:r>
    </w:p>
    <w:p w14:paraId="1C7836FC" w14:textId="6BA94F4A" w:rsidR="00DB5FCC" w:rsidRPr="006E0620" w:rsidRDefault="00DB5FCC" w:rsidP="00DB5FCC">
      <w:r w:rsidRPr="006E0620">
        <w:rPr>
          <w:noProof/>
          <w:color w:val="2B579A"/>
          <w:shd w:val="clear" w:color="auto" w:fill="E6E6E6"/>
          <w:lang w:val="en-GB" w:eastAsia="en-GB"/>
        </w:rPr>
        <w:drawing>
          <wp:inline distT="0" distB="0" distL="0" distR="0" wp14:anchorId="5953C9DC" wp14:editId="1D67A5FC">
            <wp:extent cx="5400040" cy="2535555"/>
            <wp:effectExtent l="0" t="0" r="0" b="0"/>
            <wp:docPr id="9" name="Picture 9" descr="Study 301 A forest plot of subgroup analyses of vaccine efficacy of Spikevax COVID-19 mRNA-1273 vaccine to prevent COVID-19, per-protocol set (data cut-off: 25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301 A forest plot of subgroup analyses of vaccine efficacy of Spikevax COVID-19 mRNA-1273 vaccine to prevent COVID-19, per-protocol set (data cut-off: 25 November 2020)"/>
                    <pic:cNvPicPr/>
                  </pic:nvPicPr>
                  <pic:blipFill>
                    <a:blip r:embed="rId36"/>
                    <a:stretch>
                      <a:fillRect/>
                    </a:stretch>
                  </pic:blipFill>
                  <pic:spPr>
                    <a:xfrm>
                      <a:off x="0" y="0"/>
                      <a:ext cx="5400040" cy="2535555"/>
                    </a:xfrm>
                    <a:prstGeom prst="rect">
                      <a:avLst/>
                    </a:prstGeom>
                  </pic:spPr>
                </pic:pic>
              </a:graphicData>
            </a:graphic>
          </wp:inline>
        </w:drawing>
      </w:r>
    </w:p>
    <w:p w14:paraId="1216F352" w14:textId="7245B420" w:rsidR="00DB5FCC" w:rsidRPr="006E0620" w:rsidRDefault="00DB5FCC" w:rsidP="00DB5FCC">
      <w:pPr>
        <w:pStyle w:val="TableDescription"/>
      </w:pPr>
      <w:r w:rsidRPr="006E0620">
        <w:t>mRNA = messenger ribonucleic acid; COVID-19 = coronavirus disease 2019; N = population size; CI = confidence interval</w:t>
      </w:r>
      <w:r w:rsidR="00357D6A">
        <w:t>;</w:t>
      </w:r>
      <w:r w:rsidR="00357D6A" w:rsidRPr="00357D6A">
        <w:t xml:space="preserve"> mRNA-1273 = </w:t>
      </w:r>
      <w:proofErr w:type="spellStart"/>
      <w:r w:rsidR="00357D6A" w:rsidRPr="00357D6A">
        <w:t>Spikevax</w:t>
      </w:r>
      <w:proofErr w:type="spellEnd"/>
      <w:r w:rsidR="00357D6A" w:rsidRPr="00357D6A">
        <w:t xml:space="preserve"> COVID-19 vaccine</w:t>
      </w:r>
      <w:r w:rsidRPr="006E0620">
        <w:t>.</w:t>
      </w:r>
    </w:p>
    <w:p w14:paraId="41E3730F" w14:textId="77777777" w:rsidR="00DB5FCC" w:rsidRPr="006E0620" w:rsidRDefault="00DB5FCC" w:rsidP="00DB5FCC">
      <w:pPr>
        <w:pStyle w:val="TableDescription"/>
      </w:pPr>
      <w:r w:rsidRPr="006E0620">
        <w:t>a primary efficacy analysis.</w:t>
      </w:r>
    </w:p>
    <w:p w14:paraId="199BF203" w14:textId="3FFF3BC7" w:rsidR="00DB5FCC" w:rsidRPr="006E0620" w:rsidRDefault="00DB5FCC" w:rsidP="00DB5FCC">
      <w:pPr>
        <w:pStyle w:val="TableDescription"/>
      </w:pPr>
      <w:r w:rsidRPr="006E0620">
        <w:t xml:space="preserve">White is defined as white or non-Hispanic, and communities of colour includes all other whose race or ethnicity is not unknown, </w:t>
      </w:r>
      <w:proofErr w:type="gramStart"/>
      <w:r w:rsidRPr="006E0620">
        <w:t>unreported</w:t>
      </w:r>
      <w:proofErr w:type="gramEnd"/>
      <w:r w:rsidRPr="006E0620">
        <w:t xml:space="preserve"> or missing</w:t>
      </w:r>
    </w:p>
    <w:p w14:paraId="4639337B" w14:textId="70E03FDB" w:rsidR="00183DD4" w:rsidRPr="00F61F14" w:rsidRDefault="00183DD4" w:rsidP="00FA34DF">
      <w:pPr>
        <w:pStyle w:val="Heading7"/>
        <w:rPr>
          <w:szCs w:val="28"/>
        </w:rPr>
      </w:pPr>
      <w:r w:rsidRPr="00FA34DF">
        <w:rPr>
          <w:sz w:val="22"/>
          <w:szCs w:val="28"/>
        </w:rPr>
        <w:t xml:space="preserve">Vaccine </w:t>
      </w:r>
      <w:r w:rsidR="000E5456" w:rsidRPr="00FA34DF">
        <w:rPr>
          <w:sz w:val="22"/>
          <w:szCs w:val="28"/>
        </w:rPr>
        <w:t>efficacy by protocol defined comorbidities</w:t>
      </w:r>
    </w:p>
    <w:p w14:paraId="1B78CB8E" w14:textId="77777777" w:rsidR="00183DD4" w:rsidRPr="006E0620" w:rsidRDefault="00183DD4" w:rsidP="00AD2B85">
      <w:r w:rsidRPr="006E0620">
        <w:t>Despite small sample sizes in each subgroup (except diabetes), high VE of at least 83% was observed in subjects with different comorbidities.</w:t>
      </w:r>
    </w:p>
    <w:p w14:paraId="0425C036" w14:textId="77777777" w:rsidR="00183DD4" w:rsidRPr="006E0620" w:rsidRDefault="00183DD4" w:rsidP="00AD2B85">
      <w:r w:rsidRPr="006E0620">
        <w:t>Given that subjects with comorbidities are at a higher risk of severe disease, the high VE observed in these subgroups is reassuring.</w:t>
      </w:r>
    </w:p>
    <w:p w14:paraId="374B7EE1" w14:textId="77777777" w:rsidR="00183DD4" w:rsidRPr="006E0620" w:rsidRDefault="00183DD4" w:rsidP="00AD2B85">
      <w:r w:rsidRPr="006E0620">
        <w:t>Data are currently lacking on immunocompromised individuals (excluded in the study) but a lower VE is expected due to a weaker immune response in this subgroup.</w:t>
      </w:r>
    </w:p>
    <w:p w14:paraId="664F5E78" w14:textId="65973E8F" w:rsidR="00183DD4" w:rsidRPr="006E0620" w:rsidRDefault="006131C6" w:rsidP="006131C6">
      <w:pPr>
        <w:pStyle w:val="TableTitle"/>
        <w:rPr>
          <w:lang w:val="en-SG"/>
        </w:rPr>
      </w:pPr>
      <w:r w:rsidRPr="006E0620">
        <w:t xml:space="preserve">Table </w:t>
      </w:r>
      <w:r>
        <w:fldChar w:fldCharType="begin"/>
      </w:r>
      <w:r>
        <w:instrText>SEQ Table \* ARABIC</w:instrText>
      </w:r>
      <w:r>
        <w:fldChar w:fldCharType="separate"/>
      </w:r>
      <w:r w:rsidR="00B1591C">
        <w:rPr>
          <w:noProof/>
        </w:rPr>
        <w:t>10</w:t>
      </w:r>
      <w:r>
        <w:fldChar w:fldCharType="end"/>
      </w:r>
      <w:r w:rsidR="00AD2B85" w:rsidRPr="006E0620">
        <w:rPr>
          <w:lang w:val="en-SG"/>
        </w:rPr>
        <w:t>:</w:t>
      </w:r>
      <w:r w:rsidR="00183DD4" w:rsidRPr="006E0620">
        <w:t xml:space="preserve"> </w:t>
      </w:r>
      <w:r w:rsidR="0019017B" w:rsidRPr="006E0620">
        <w:t xml:space="preserve">Study 301 </w:t>
      </w:r>
      <w:r w:rsidR="00183DD4" w:rsidRPr="006E0620">
        <w:t xml:space="preserve">Subgroup </w:t>
      </w:r>
      <w:r w:rsidR="000E5456" w:rsidRPr="006E0620">
        <w:t xml:space="preserve">analysis of vaccine efficacy </w:t>
      </w:r>
      <w:r w:rsidR="00183DD4" w:rsidRPr="006E0620">
        <w:t>o</w:t>
      </w:r>
      <w:r w:rsidR="00E766F9" w:rsidRPr="006E0620">
        <w:t xml:space="preserve">f </w:t>
      </w:r>
      <w:proofErr w:type="spellStart"/>
      <w:r w:rsidR="00357D6A" w:rsidRPr="00357D6A">
        <w:t>Spikevax</w:t>
      </w:r>
      <w:proofErr w:type="spellEnd"/>
      <w:r w:rsidR="00357D6A" w:rsidRPr="00357D6A">
        <w:t xml:space="preserve"> COVID-19</w:t>
      </w:r>
      <w:r w:rsidR="00357D6A">
        <w:t xml:space="preserve"> </w:t>
      </w:r>
      <w:r w:rsidR="00E766F9" w:rsidRPr="006E0620">
        <w:t>mRNA-1273</w:t>
      </w:r>
      <w:r w:rsidR="00357D6A">
        <w:t xml:space="preserve"> vaccine</w:t>
      </w:r>
      <w:r w:rsidR="00E766F9" w:rsidRPr="006E0620">
        <w:t xml:space="preserve"> to </w:t>
      </w:r>
      <w:r w:rsidR="000E5456" w:rsidRPr="006E0620">
        <w:t xml:space="preserve">prevent </w:t>
      </w:r>
      <w:r w:rsidR="00E766F9" w:rsidRPr="006E0620">
        <w:t>COVID-19</w:t>
      </w:r>
      <w:r w:rsidR="00183DD4" w:rsidRPr="006E0620">
        <w:t xml:space="preserve">, </w:t>
      </w:r>
      <w:r w:rsidR="000E5456" w:rsidRPr="006E0620">
        <w:t xml:space="preserve">by risk for severe </w:t>
      </w:r>
      <w:r w:rsidR="00183DD4" w:rsidRPr="006E0620">
        <w:t>COVID-1</w:t>
      </w:r>
      <w:r w:rsidR="000E5456" w:rsidRPr="006E0620">
        <w:t>9, per</w:t>
      </w:r>
      <w:r w:rsidR="00AF7999" w:rsidRPr="006E0620">
        <w:t>-</w:t>
      </w:r>
      <w:r w:rsidR="000E5456" w:rsidRPr="006E0620">
        <w:t>protocol set (final cut-off</w:t>
      </w:r>
      <w:r w:rsidR="007570F3" w:rsidRPr="006E0620">
        <w:t>:</w:t>
      </w:r>
      <w:r w:rsidR="00183DD4" w:rsidRPr="006E0620">
        <w:t xml:space="preserve"> 21 November 2020)</w:t>
      </w:r>
    </w:p>
    <w:p w14:paraId="0DE80E8B" w14:textId="2061330F" w:rsidR="00183DD4" w:rsidRPr="006E0620" w:rsidRDefault="00183DD4" w:rsidP="00183DD4">
      <w:pPr>
        <w:spacing w:before="0" w:after="160" w:line="259" w:lineRule="auto"/>
        <w:rPr>
          <w:rFonts w:eastAsia="Calibri"/>
          <w:b/>
          <w:szCs w:val="24"/>
          <w:lang w:val="en-SG"/>
        </w:rPr>
      </w:pPr>
      <w:r w:rsidRPr="006E0620">
        <w:rPr>
          <w:rFonts w:eastAsia="Calibri"/>
          <w:b/>
          <w:noProof/>
          <w:color w:val="2B579A"/>
          <w:szCs w:val="24"/>
          <w:shd w:val="clear" w:color="auto" w:fill="E6E6E6"/>
          <w:lang w:val="en-GB" w:eastAsia="en-GB"/>
        </w:rPr>
        <w:drawing>
          <wp:inline distT="0" distB="0" distL="0" distR="0" wp14:anchorId="5C3729FB" wp14:editId="682B7156">
            <wp:extent cx="5726246" cy="1436914"/>
            <wp:effectExtent l="0" t="0" r="0" b="0"/>
            <wp:docPr id="80" name="Picture 80" descr="Study 301 Subgroup analysis of vaccine efficacy of Spikevax COVID-19 mRNA-1273 vaccine to prevent COVID-19, by risk for severe COVID-19, per-protocol set (final cut-off: 21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tudy 301 Subgroup analysis of vaccine efficacy of Spikevax COVID-19 mRNA-1273 vaccine to prevent COVID-19, by risk for severe COVID-19, per-protocol set (final cut-off: 21 November 2020)"/>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763959" cy="1446378"/>
                    </a:xfrm>
                    <a:prstGeom prst="rect">
                      <a:avLst/>
                    </a:prstGeom>
                    <a:noFill/>
                    <a:ln>
                      <a:noFill/>
                    </a:ln>
                  </pic:spPr>
                </pic:pic>
              </a:graphicData>
            </a:graphic>
          </wp:inline>
        </w:drawing>
      </w:r>
    </w:p>
    <w:p w14:paraId="71748758" w14:textId="3DB22645" w:rsidR="00DB5FCC" w:rsidRPr="006E0620" w:rsidRDefault="00DB5FCC" w:rsidP="00DB5FCC">
      <w:pPr>
        <w:pStyle w:val="TableDescription"/>
      </w:pPr>
      <w:r w:rsidRPr="006E0620">
        <w:t>mRNA = messenger ribonucleic acid; COVID-19 = coronavirus disease 2019; n = sample size; N = population size; CI = confidence interval; NE</w:t>
      </w:r>
      <w:r w:rsidR="0019059E" w:rsidRPr="006E0620">
        <w:t xml:space="preserve"> = not estimable.</w:t>
      </w:r>
    </w:p>
    <w:p w14:paraId="1A82A205" w14:textId="58F28362" w:rsidR="00183DD4" w:rsidRPr="006E0620" w:rsidRDefault="00183DD4" w:rsidP="00FA34DF">
      <w:pPr>
        <w:pStyle w:val="Heading6"/>
      </w:pPr>
      <w:r w:rsidRPr="006E0620">
        <w:t xml:space="preserve">Results </w:t>
      </w:r>
      <w:r w:rsidR="000E5456" w:rsidRPr="006E0620">
        <w:t>for the key secondary efficacy endpoints</w:t>
      </w:r>
    </w:p>
    <w:p w14:paraId="208E6426" w14:textId="2B891271" w:rsidR="00183DD4" w:rsidRPr="006E0620" w:rsidRDefault="00183DD4" w:rsidP="00AD2B85">
      <w:r w:rsidRPr="006E0620">
        <w:t xml:space="preserve">The VE for </w:t>
      </w:r>
      <w:r w:rsidR="00357D6A">
        <w:t xml:space="preserve">the </w:t>
      </w:r>
      <w:proofErr w:type="spellStart"/>
      <w:r w:rsidR="00357D6A">
        <w:t>Spikevax</w:t>
      </w:r>
      <w:proofErr w:type="spellEnd"/>
      <w:r w:rsidR="00357D6A">
        <w:t xml:space="preserve"> COVID-19 </w:t>
      </w:r>
      <w:r w:rsidRPr="006E0620">
        <w:t>mRNA-1273</w:t>
      </w:r>
      <w:r w:rsidR="00357D6A">
        <w:t xml:space="preserve"> vaccine</w:t>
      </w:r>
      <w:r w:rsidRPr="006E0620">
        <w:t xml:space="preserve"> for the key secondary endpoints was </w:t>
      </w:r>
      <w:proofErr w:type="gramStart"/>
      <w:r w:rsidRPr="006E0620">
        <w:t>similar to</w:t>
      </w:r>
      <w:proofErr w:type="gramEnd"/>
      <w:r w:rsidRPr="006E0620">
        <w:t xml:space="preserve"> the VE for the primary endpoint, with point estimates of VE in the range of 93.5% to 100% based on hazard ratios.</w:t>
      </w:r>
    </w:p>
    <w:p w14:paraId="11A4C07A" w14:textId="616FB5F1" w:rsidR="00183DD4" w:rsidRPr="006E0620" w:rsidRDefault="0039003F" w:rsidP="00AD2B85">
      <w:r>
        <w:lastRenderedPageBreak/>
        <w:t xml:space="preserve">The </w:t>
      </w:r>
      <w:proofErr w:type="spellStart"/>
      <w:r>
        <w:t>Spikevax</w:t>
      </w:r>
      <w:proofErr w:type="spellEnd"/>
      <w:r>
        <w:t xml:space="preserve"> COVID-19 </w:t>
      </w:r>
      <w:r w:rsidR="00183DD4" w:rsidRPr="006E0620">
        <w:t>mRNA-1273</w:t>
      </w:r>
      <w:r>
        <w:t xml:space="preserve"> vaccine</w:t>
      </w:r>
      <w:r w:rsidR="00183DD4" w:rsidRPr="006E0620">
        <w:t xml:space="preserve"> prevented severe COVID-19 starting 14 days after the second injection: the point estimate of VE was 100% based on the hazard ratio, with 30 cases in the placebo group and no cases in the </w:t>
      </w:r>
      <w:proofErr w:type="spellStart"/>
      <w:r>
        <w:t>Spikevax</w:t>
      </w:r>
      <w:proofErr w:type="spellEnd"/>
      <w:r>
        <w:t xml:space="preserve"> COVID-19 </w:t>
      </w:r>
      <w:r w:rsidR="00183DD4" w:rsidRPr="006E0620">
        <w:t>mRNA-1273</w:t>
      </w:r>
      <w:r>
        <w:t xml:space="preserve"> vaccine</w:t>
      </w:r>
      <w:r w:rsidR="00183DD4" w:rsidRPr="006E0620">
        <w:t xml:space="preserve"> group. Sensitivity analyses for severe COVID-19 also showed point estimates of VE of 100% based on hazard ratios, as did a sensitivity analysis for severe COVID-19 st</w:t>
      </w:r>
      <w:r w:rsidR="00325EA3" w:rsidRPr="006E0620">
        <w:t>arting after randomis</w:t>
      </w:r>
      <w:r w:rsidR="00183DD4" w:rsidRPr="006E0620">
        <w:t xml:space="preserve">ation using the </w:t>
      </w:r>
      <w:r w:rsidR="000E5456" w:rsidRPr="006E0620">
        <w:t>per</w:t>
      </w:r>
      <w:r w:rsidR="00AF7999" w:rsidRPr="006E0620">
        <w:t>-</w:t>
      </w:r>
      <w:r w:rsidR="000E5456" w:rsidRPr="006E0620">
        <w:t xml:space="preserve">protocol set </w:t>
      </w:r>
      <w:r w:rsidR="00183DD4" w:rsidRPr="006E0620">
        <w:t>based on the positive RT-PCR result</w:t>
      </w:r>
      <w:r w:rsidR="00AD2B85" w:rsidRPr="006E0620">
        <w:t>s and severe COVID-19 symptoms.</w:t>
      </w:r>
    </w:p>
    <w:p w14:paraId="7878C469" w14:textId="6F4AC95B" w:rsidR="00183DD4" w:rsidRPr="00333902" w:rsidRDefault="000E5456" w:rsidP="00FA34DF">
      <w:pPr>
        <w:pStyle w:val="Heading7"/>
        <w:rPr>
          <w:szCs w:val="28"/>
        </w:rPr>
      </w:pPr>
      <w:r w:rsidRPr="00FA34DF">
        <w:rPr>
          <w:sz w:val="22"/>
          <w:szCs w:val="28"/>
        </w:rPr>
        <w:t>Vaccine efficacy</w:t>
      </w:r>
      <w:r w:rsidR="00183DD4" w:rsidRPr="00FA34DF">
        <w:rPr>
          <w:sz w:val="22"/>
          <w:szCs w:val="28"/>
        </w:rPr>
        <w:t xml:space="preserve"> against severe COVID-19 disease</w:t>
      </w:r>
    </w:p>
    <w:p w14:paraId="4C13E3E9" w14:textId="68625526" w:rsidR="00183DD4" w:rsidRPr="006E0620" w:rsidRDefault="00183DD4" w:rsidP="00AD2B85">
      <w:r w:rsidRPr="006E0620">
        <w:t xml:space="preserve">The </w:t>
      </w:r>
      <w:r w:rsidR="005A1A02" w:rsidRPr="006E0620">
        <w:t>VE</w:t>
      </w:r>
      <w:r w:rsidRPr="006E0620">
        <w:t xml:space="preserve"> for prevention of severe cases of COVID-19 shows that no cases occurred in the </w:t>
      </w:r>
      <w:proofErr w:type="spellStart"/>
      <w:r w:rsidR="0039003F">
        <w:t>Spikevax</w:t>
      </w:r>
      <w:proofErr w:type="spellEnd"/>
      <w:r w:rsidR="0039003F">
        <w:t xml:space="preserve"> COVID-19 </w:t>
      </w:r>
      <w:r w:rsidRPr="006E0620">
        <w:t xml:space="preserve">mRNA-1273 </w:t>
      </w:r>
      <w:r w:rsidR="0039003F">
        <w:t xml:space="preserve">vaccine </w:t>
      </w:r>
      <w:r w:rsidRPr="006E0620">
        <w:t>group and 30 severe COVID-19 cases in the placebo group, indicating protection from development of severe C</w:t>
      </w:r>
      <w:r w:rsidR="000E5456" w:rsidRPr="006E0620">
        <w:t>OVID-19 starting 14 days after Dose </w:t>
      </w:r>
      <w:r w:rsidRPr="006E0620">
        <w:t>2 up to the data cut-off.</w:t>
      </w:r>
    </w:p>
    <w:p w14:paraId="4E5A1CF4" w14:textId="26F1DD44" w:rsidR="00E5654C" w:rsidRPr="006E0620" w:rsidRDefault="00E5654C" w:rsidP="00E5654C">
      <w:pPr>
        <w:pStyle w:val="TableTitle"/>
      </w:pPr>
      <w:r w:rsidRPr="006E0620">
        <w:t xml:space="preserve">Table </w:t>
      </w:r>
      <w:r>
        <w:fldChar w:fldCharType="begin"/>
      </w:r>
      <w:r>
        <w:instrText>SEQ Table \* ARABIC</w:instrText>
      </w:r>
      <w:r>
        <w:fldChar w:fldCharType="separate"/>
      </w:r>
      <w:r w:rsidR="00B1591C">
        <w:rPr>
          <w:noProof/>
        </w:rPr>
        <w:t>11</w:t>
      </w:r>
      <w:r>
        <w:fldChar w:fldCharType="end"/>
      </w:r>
      <w:r w:rsidRPr="006E0620">
        <w:t xml:space="preserve">: </w:t>
      </w:r>
      <w:r w:rsidR="003123E8" w:rsidRPr="006E0620">
        <w:t xml:space="preserve">Study 301 </w:t>
      </w:r>
      <w:r w:rsidRPr="006E0620">
        <w:t xml:space="preserve">Analysis of vaccine efficacy of </w:t>
      </w:r>
      <w:proofErr w:type="spellStart"/>
      <w:r w:rsidR="0039003F">
        <w:t>Spikevax</w:t>
      </w:r>
      <w:proofErr w:type="spellEnd"/>
      <w:r w:rsidR="0039003F">
        <w:t xml:space="preserve"> COVID-19 </w:t>
      </w:r>
      <w:r w:rsidRPr="006E0620">
        <w:t xml:space="preserve">mRNA-1273 </w:t>
      </w:r>
      <w:r w:rsidR="0039003F">
        <w:t xml:space="preserve">vaccine </w:t>
      </w:r>
      <w:r w:rsidRPr="006E0620">
        <w:t>to prevent severe COVID-19, after second injection</w:t>
      </w:r>
      <w:r w:rsidR="003123E8" w:rsidRPr="006E0620">
        <w:t xml:space="preserve">, </w:t>
      </w:r>
      <w:r w:rsidRPr="006E0620">
        <w:t>per</w:t>
      </w:r>
      <w:r w:rsidR="00AF7999" w:rsidRPr="006E0620">
        <w:t>-</w:t>
      </w:r>
      <w:r w:rsidRPr="006E0620">
        <w:t>protocol set (final cut-off: 21 November 2020)</w:t>
      </w:r>
    </w:p>
    <w:p w14:paraId="0616D047" w14:textId="008FD628" w:rsidR="00E5654C" w:rsidRPr="006E0620" w:rsidRDefault="00E5654C" w:rsidP="00E5654C">
      <w:r w:rsidRPr="006E0620">
        <w:rPr>
          <w:noProof/>
          <w:color w:val="2B579A"/>
          <w:shd w:val="clear" w:color="auto" w:fill="E6E6E6"/>
          <w:lang w:val="en-GB" w:eastAsia="en-GB"/>
        </w:rPr>
        <w:drawing>
          <wp:inline distT="0" distB="0" distL="0" distR="0" wp14:anchorId="616038B5" wp14:editId="67FC8BBE">
            <wp:extent cx="5314207" cy="1252220"/>
            <wp:effectExtent l="0" t="0" r="1270" b="5080"/>
            <wp:docPr id="4" name="Picture 4" descr="Study 301 Analysis of vaccine efficacy of Spikevax COVID-19 mRNA-1273 vaccine to prevent severe COVID-19, after second injection, per-protocol set (final cut-off: 21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301 Analysis of vaccine efficacy of Spikevax COVID-19 mRNA-1273 vaccine to prevent severe COVID-19, after second injection, per-protocol set (final cut-off: 21 November 2020)"/>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32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5345677" cy="1259636"/>
                    </a:xfrm>
                    <a:prstGeom prst="rect">
                      <a:avLst/>
                    </a:prstGeom>
                    <a:noFill/>
                  </pic:spPr>
                </pic:pic>
              </a:graphicData>
            </a:graphic>
          </wp:inline>
        </w:drawing>
      </w:r>
    </w:p>
    <w:p w14:paraId="0FDFE0C5" w14:textId="31CC2158" w:rsidR="00050BAA" w:rsidRPr="006E0620" w:rsidRDefault="00050BAA" w:rsidP="00EF7C06">
      <w:pPr>
        <w:pStyle w:val="TableDescription"/>
      </w:pPr>
      <w:r w:rsidRPr="006E0620">
        <w:t xml:space="preserve">mRNA = messenger ribonucleic acid; COVID-19 = coronavirus disease 2019; N = population size; n = sample size; CI = confidence interval; NE = </w:t>
      </w:r>
      <w:r w:rsidR="0019059E" w:rsidRPr="006E0620">
        <w:t>not estimable.</w:t>
      </w:r>
    </w:p>
    <w:p w14:paraId="1ABEA82E" w14:textId="0A092C5E" w:rsidR="00050BAA" w:rsidRPr="006E0620" w:rsidRDefault="00050BAA" w:rsidP="00EF7C06">
      <w:pPr>
        <w:pStyle w:val="TableDescription"/>
      </w:pPr>
      <w:r w:rsidRPr="006E0620">
        <w:t>[1] Vaccine efficacy is defined as 1 – hazard ratio (</w:t>
      </w:r>
      <w:proofErr w:type="spellStart"/>
      <w:r w:rsidR="007753E6" w:rsidRPr="007753E6">
        <w:t>Spikevax</w:t>
      </w:r>
      <w:proofErr w:type="spellEnd"/>
      <w:r w:rsidR="007753E6" w:rsidRPr="007753E6">
        <w:t xml:space="preserve"> COVID-19 </w:t>
      </w:r>
      <w:r w:rsidRPr="006E0620">
        <w:t>mRNA-1273</w:t>
      </w:r>
      <w:r w:rsidR="007753E6">
        <w:t xml:space="preserve"> vaccine</w:t>
      </w:r>
      <w:r w:rsidRPr="006E0620">
        <w:t xml:space="preserve"> versus placebo), and 95% CI are estimated using a stratified Cox proportional hazard model with </w:t>
      </w:r>
      <w:proofErr w:type="spellStart"/>
      <w:r w:rsidRPr="006E0620">
        <w:t>Efron’s</w:t>
      </w:r>
      <w:proofErr w:type="spellEnd"/>
      <w:r w:rsidRPr="006E0620">
        <w:t xml:space="preserve"> method of tie handling and with the</w:t>
      </w:r>
      <w:r w:rsidR="00EF7C06" w:rsidRPr="006E0620">
        <w:t xml:space="preserve"> treatment group </w:t>
      </w:r>
      <w:r w:rsidRPr="006E0620">
        <w:t>as a covariate, adjusting for stratification factor.</w:t>
      </w:r>
    </w:p>
    <w:p w14:paraId="1F46B28C" w14:textId="26C1C78E" w:rsidR="00050BAA" w:rsidRPr="006E0620" w:rsidRDefault="00050BAA" w:rsidP="00EF7C06">
      <w:pPr>
        <w:pStyle w:val="TableDescription"/>
      </w:pPr>
      <w:r w:rsidRPr="006E0620">
        <w:t xml:space="preserve">[2] Person years is defined as the total years from randomisation date to the date of </w:t>
      </w:r>
      <w:r w:rsidR="00EF7C06" w:rsidRPr="006E0620">
        <w:t xml:space="preserve">severe </w:t>
      </w:r>
      <w:r w:rsidRPr="006E0620">
        <w:t>COVID-19, last date of study participation, or efficacy data cut-off date, whichever is earlier.</w:t>
      </w:r>
    </w:p>
    <w:p w14:paraId="763C636C" w14:textId="77777777" w:rsidR="00050BAA" w:rsidRPr="006E0620" w:rsidRDefault="00050BAA" w:rsidP="00EF7C06">
      <w:pPr>
        <w:pStyle w:val="TableDescription"/>
      </w:pPr>
      <w:r w:rsidRPr="006E0620">
        <w:t>[3] Incidence rate if defined as the number of subjects with an event divided by the number of subjects at risk and adjusted by person years (total time at risk) in each treatment group. The 95% CI is calculated using the exact method (Poisson distribution) and adjusted by person years.</w:t>
      </w:r>
    </w:p>
    <w:p w14:paraId="05BF19C7" w14:textId="28D96923" w:rsidR="00050BAA" w:rsidRPr="006E0620" w:rsidRDefault="00050BAA" w:rsidP="00EF7C06">
      <w:pPr>
        <w:pStyle w:val="TableDescription"/>
      </w:pPr>
      <w:r w:rsidRPr="006E0620">
        <w:t>[4] Vaccine efficacy is defined as 1 – ratio of incidence rate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versus placebo). The 95% CI of the ratio is calculated using the exact method conditional upon the total number of cases, adjusting for person years.</w:t>
      </w:r>
    </w:p>
    <w:p w14:paraId="020BE605" w14:textId="77777777" w:rsidR="000C0135" w:rsidRDefault="000E5456" w:rsidP="00FA34DF">
      <w:pPr>
        <w:pStyle w:val="Heading7"/>
        <w:rPr>
          <w:sz w:val="22"/>
          <w:szCs w:val="28"/>
        </w:rPr>
      </w:pPr>
      <w:r w:rsidRPr="00FA34DF">
        <w:rPr>
          <w:sz w:val="22"/>
          <w:szCs w:val="28"/>
        </w:rPr>
        <w:t>Vaccine efficacy</w:t>
      </w:r>
      <w:r w:rsidR="00183DD4" w:rsidRPr="00FA34DF">
        <w:rPr>
          <w:sz w:val="22"/>
          <w:szCs w:val="28"/>
        </w:rPr>
        <w:t xml:space="preserve"> regardless of prior SARS-CoV-2 infe</w:t>
      </w:r>
      <w:r w:rsidR="00E766F9" w:rsidRPr="00FA34DF">
        <w:rPr>
          <w:sz w:val="22"/>
          <w:szCs w:val="28"/>
        </w:rPr>
        <w:t>ction</w:t>
      </w:r>
    </w:p>
    <w:p w14:paraId="57AF2DC6" w14:textId="19C73999" w:rsidR="00183DD4" w:rsidRPr="00333902" w:rsidRDefault="000C0135" w:rsidP="00C618E0">
      <w:r>
        <w:t xml:space="preserve">The following is for the </w:t>
      </w:r>
      <w:r w:rsidR="000E5456" w:rsidRPr="00FA34DF">
        <w:t xml:space="preserve">full analysis </w:t>
      </w:r>
      <w:r>
        <w:t xml:space="preserve">population </w:t>
      </w:r>
      <w:r w:rsidR="000E5456" w:rsidRPr="00FA34DF">
        <w:t>se</w:t>
      </w:r>
      <w:r>
        <w:t>t,</w:t>
      </w:r>
      <w:r w:rsidR="00E5654C" w:rsidRPr="00FA34DF">
        <w:t xml:space="preserve"> </w:t>
      </w:r>
      <w:r>
        <w:t xml:space="preserve">with a </w:t>
      </w:r>
      <w:r w:rsidR="000E5456" w:rsidRPr="00FA34DF">
        <w:t>data cut-off</w:t>
      </w:r>
      <w:r>
        <w:t xml:space="preserve"> of</w:t>
      </w:r>
      <w:r w:rsidR="000E5456" w:rsidRPr="00FA34DF">
        <w:t xml:space="preserve"> </w:t>
      </w:r>
      <w:r w:rsidR="00E766F9" w:rsidRPr="00FA34DF">
        <w:t>21</w:t>
      </w:r>
      <w:r>
        <w:t> </w:t>
      </w:r>
      <w:r w:rsidR="00183DD4" w:rsidRPr="00FA34DF">
        <w:t>Nov</w:t>
      </w:r>
      <w:r w:rsidR="000E5456" w:rsidRPr="00FA34DF">
        <w:t>ember</w:t>
      </w:r>
      <w:r w:rsidR="00183DD4" w:rsidRPr="00FA34DF">
        <w:t xml:space="preserve"> 2020)</w:t>
      </w:r>
    </w:p>
    <w:p w14:paraId="08EFFF50" w14:textId="1C85D74E" w:rsidR="00183DD4" w:rsidRPr="006E0620" w:rsidRDefault="00F97C25" w:rsidP="00E766F9">
      <w:r w:rsidRPr="006E0620">
        <w:t>Vaccine efficacy</w:t>
      </w:r>
      <w:r w:rsidR="00183DD4" w:rsidRPr="006E0620">
        <w:t xml:space="preserve"> of </w:t>
      </w:r>
      <w:proofErr w:type="spellStart"/>
      <w:r w:rsidR="0039003F">
        <w:t>Spikevax</w:t>
      </w:r>
      <w:proofErr w:type="spellEnd"/>
      <w:r w:rsidR="0039003F">
        <w:t xml:space="preserve"> COVID-19 </w:t>
      </w:r>
      <w:r w:rsidR="00183DD4" w:rsidRPr="006E0620">
        <w:t xml:space="preserve">mRNA-1273 </w:t>
      </w:r>
      <w:r w:rsidR="0039003F">
        <w:t xml:space="preserve">vaccine </w:t>
      </w:r>
      <w:r w:rsidR="00183DD4" w:rsidRPr="006E0620">
        <w:t>to prevent COVID-19 regar</w:t>
      </w:r>
      <w:r w:rsidRPr="006E0620">
        <w:t>dless of evidence of prior SARS</w:t>
      </w:r>
      <w:r w:rsidRPr="006E0620">
        <w:noBreakHyphen/>
        <w:t>CoV</w:t>
      </w:r>
      <w:r w:rsidRPr="006E0620">
        <w:noBreakHyphen/>
      </w:r>
      <w:r w:rsidR="00183DD4" w:rsidRPr="006E0620">
        <w:t>2 infection determined by serologic titres against SARS-CoV-2 nucleocapsid, was 94%.</w:t>
      </w:r>
    </w:p>
    <w:p w14:paraId="28735279" w14:textId="77777777" w:rsidR="00CD55D9" w:rsidRDefault="006131C6" w:rsidP="00EF7C06">
      <w:pPr>
        <w:pStyle w:val="TableTitle"/>
      </w:pPr>
      <w:r w:rsidRPr="006E0620">
        <w:lastRenderedPageBreak/>
        <w:t xml:space="preserve">Table </w:t>
      </w:r>
      <w:r>
        <w:fldChar w:fldCharType="begin"/>
      </w:r>
      <w:r>
        <w:instrText>SEQ Table \* ARABIC</w:instrText>
      </w:r>
      <w:r>
        <w:fldChar w:fldCharType="separate"/>
      </w:r>
      <w:r w:rsidR="00B1591C">
        <w:rPr>
          <w:noProof/>
        </w:rPr>
        <w:t>12</w:t>
      </w:r>
      <w:r>
        <w:fldChar w:fldCharType="end"/>
      </w:r>
      <w:r w:rsidR="00183DD4" w:rsidRPr="006E0620">
        <w:t xml:space="preserve">: </w:t>
      </w:r>
      <w:r w:rsidR="003123E8" w:rsidRPr="006E0620">
        <w:t xml:space="preserve">Study 301 </w:t>
      </w:r>
      <w:r w:rsidR="00183DD4" w:rsidRPr="006E0620">
        <w:t xml:space="preserve">Analysis </w:t>
      </w:r>
      <w:r w:rsidR="00A6607C" w:rsidRPr="006E0620">
        <w:t xml:space="preserve">of vaccine efficacy of </w:t>
      </w:r>
      <w:proofErr w:type="spellStart"/>
      <w:r w:rsidR="0039003F" w:rsidRPr="0039003F">
        <w:t>Spikevax</w:t>
      </w:r>
      <w:proofErr w:type="spellEnd"/>
      <w:r w:rsidR="0039003F" w:rsidRPr="0039003F">
        <w:t xml:space="preserve"> COVID-19</w:t>
      </w:r>
      <w:r w:rsidR="0039003F">
        <w:t xml:space="preserve"> </w:t>
      </w:r>
      <w:r w:rsidR="00183DD4" w:rsidRPr="006E0620">
        <w:t xml:space="preserve">mRNA-1273 </w:t>
      </w:r>
      <w:r w:rsidR="0039003F">
        <w:t xml:space="preserve">vaccine </w:t>
      </w:r>
      <w:r w:rsidR="00183DD4" w:rsidRPr="006E0620">
        <w:t xml:space="preserve">to </w:t>
      </w:r>
      <w:r w:rsidR="00E15CF9" w:rsidRPr="006E0620">
        <w:t xml:space="preserve">prevent </w:t>
      </w:r>
      <w:r w:rsidR="00AD2B85" w:rsidRPr="006E0620">
        <w:t xml:space="preserve">COVID-19 </w:t>
      </w:r>
      <w:r w:rsidR="00E15CF9" w:rsidRPr="006E0620">
        <w:t>starting 14 days after second injection regardless of prior</w:t>
      </w:r>
      <w:r w:rsidR="00183DD4" w:rsidRPr="006E0620">
        <w:t xml:space="preserve"> SARS-CoV-2 </w:t>
      </w:r>
      <w:r w:rsidR="00E15CF9" w:rsidRPr="006E0620">
        <w:t>infection</w:t>
      </w:r>
      <w:r w:rsidR="003123E8" w:rsidRPr="006E0620">
        <w:t>, full analysis set</w:t>
      </w:r>
    </w:p>
    <w:p w14:paraId="7A224872" w14:textId="51403D0F" w:rsidR="00183DD4" w:rsidRPr="006E0620" w:rsidRDefault="00183DD4" w:rsidP="00CD55D9">
      <w:r w:rsidRPr="006E0620">
        <w:rPr>
          <w:noProof/>
          <w:shd w:val="clear" w:color="auto" w:fill="E6E6E6"/>
          <w:lang w:val="en-GB" w:eastAsia="en-GB"/>
        </w:rPr>
        <w:drawing>
          <wp:inline distT="0" distB="0" distL="0" distR="0" wp14:anchorId="24730D83" wp14:editId="0000236C">
            <wp:extent cx="5522415" cy="1371600"/>
            <wp:effectExtent l="0" t="0" r="2540" b="0"/>
            <wp:docPr id="71" name="Picture 71" descr="Study 301 Analysis of vaccine efficacy of Spikevax COVID-19 mRNA-1273 vaccine to prevent COVID-19 starting 14 days after second injection regardless of prior SARS-CoV-2 infec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udy 301 Analysis of vaccine efficacy of Spikevax COVID-19 mRNA-1273 vaccine to prevent COVID-19 starting 14 days after second injection regardless of prior SARS-CoV-2 infection, full analysis set"/>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549395" cy="1378301"/>
                    </a:xfrm>
                    <a:prstGeom prst="rect">
                      <a:avLst/>
                    </a:prstGeom>
                    <a:noFill/>
                    <a:ln>
                      <a:noFill/>
                    </a:ln>
                  </pic:spPr>
                </pic:pic>
              </a:graphicData>
            </a:graphic>
          </wp:inline>
        </w:drawing>
      </w:r>
    </w:p>
    <w:p w14:paraId="7450B937" w14:textId="54ED1A33" w:rsidR="00EF7C06" w:rsidRPr="006E0620" w:rsidRDefault="00EF7C06" w:rsidP="002A0B46">
      <w:pPr>
        <w:pStyle w:val="TableDescription"/>
      </w:pPr>
      <w:r w:rsidRPr="006E0620">
        <w:t>mRNA = messenger ribonucleic acid; COVID-19 = coronavirus disease 2019; SARS-CoV-2 = severe acute respiratory syndrome coronavirus 2; N = population size; n = sample size; CI = confidence interval.</w:t>
      </w:r>
    </w:p>
    <w:p w14:paraId="57DE7A60" w14:textId="268DF73F" w:rsidR="00EF7C06" w:rsidRPr="006E0620" w:rsidRDefault="00EF7C06" w:rsidP="002A0B46">
      <w:pPr>
        <w:pStyle w:val="TableDescription"/>
      </w:pPr>
      <w:r w:rsidRPr="006E0620">
        <w:t>[1] Vaccine efficacy is defined as 1 – hazard ratio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 xml:space="preserve">versus placebo), and 95% CI are estimated using a stratified Cox proportional hazard model with </w:t>
      </w:r>
      <w:proofErr w:type="spellStart"/>
      <w:r w:rsidRPr="006E0620">
        <w:t>Efron’s</w:t>
      </w:r>
      <w:proofErr w:type="spellEnd"/>
      <w:r w:rsidRPr="006E0620">
        <w:t xml:space="preserve"> method of tie handling and with the treatment group as a covariate, adjusting for stratification factor.</w:t>
      </w:r>
    </w:p>
    <w:p w14:paraId="0D099769" w14:textId="5CBDD3E5" w:rsidR="00EF7C06" w:rsidRPr="006E0620" w:rsidRDefault="00EF7C06" w:rsidP="002A0B46">
      <w:pPr>
        <w:pStyle w:val="TableDescription"/>
      </w:pPr>
      <w:r w:rsidRPr="006E0620">
        <w:t>[2] Person years is defined as the total years from randomisation date to the date of COVID-19, last date of study participation, or efficacy data cut-off date, whichever is earlier.</w:t>
      </w:r>
    </w:p>
    <w:p w14:paraId="44024527" w14:textId="77777777" w:rsidR="00EF7C06" w:rsidRPr="006E0620" w:rsidRDefault="00EF7C06" w:rsidP="002A0B46">
      <w:pPr>
        <w:pStyle w:val="TableDescription"/>
      </w:pPr>
      <w:r w:rsidRPr="006E0620">
        <w:t>[3] Incidence rate if defined as the number of subjects with an event divided by the number of subjects at risk and adjusted by person years (total time at risk) in each treatment group. The 95% CI is calculated using the exact method (Poisson distribution) and adjusted by person years.</w:t>
      </w:r>
    </w:p>
    <w:p w14:paraId="58010454" w14:textId="1B00A53B" w:rsidR="00EF7C06" w:rsidRPr="006E0620" w:rsidRDefault="00EF7C06" w:rsidP="002A0B46">
      <w:pPr>
        <w:pStyle w:val="TableDescription"/>
      </w:pPr>
      <w:r w:rsidRPr="006E0620">
        <w:t>[4] Vaccine efficacy is defined as 1 – ratio of incidence rate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versus placebo). The 95% CI of the ratio is calculated using the exact method conditional upon the total number of cases, adjusting for person years.</w:t>
      </w:r>
    </w:p>
    <w:p w14:paraId="104239F3" w14:textId="5FA1F00E" w:rsidR="00183DD4" w:rsidRPr="00333902" w:rsidRDefault="00183DD4" w:rsidP="00FA34DF">
      <w:pPr>
        <w:pStyle w:val="Heading7"/>
        <w:rPr>
          <w:szCs w:val="28"/>
        </w:rPr>
      </w:pPr>
      <w:r w:rsidRPr="00FA34DF">
        <w:rPr>
          <w:sz w:val="22"/>
          <w:szCs w:val="28"/>
        </w:rPr>
        <w:t>V</w:t>
      </w:r>
      <w:r w:rsidR="00E15CF9" w:rsidRPr="00FA34DF">
        <w:rPr>
          <w:sz w:val="22"/>
          <w:szCs w:val="28"/>
        </w:rPr>
        <w:t>accine efficacy</w:t>
      </w:r>
      <w:r w:rsidRPr="00FA34DF">
        <w:rPr>
          <w:sz w:val="22"/>
          <w:szCs w:val="28"/>
        </w:rPr>
        <w:t xml:space="preserve"> by </w:t>
      </w:r>
      <w:r w:rsidR="00E15CF9" w:rsidRPr="00FA34DF">
        <w:rPr>
          <w:sz w:val="22"/>
          <w:szCs w:val="28"/>
        </w:rPr>
        <w:t xml:space="preserve">baseline positive </w:t>
      </w:r>
      <w:r w:rsidRPr="00FA34DF">
        <w:rPr>
          <w:sz w:val="22"/>
          <w:szCs w:val="28"/>
        </w:rPr>
        <w:t xml:space="preserve">SARS-CoV-2 </w:t>
      </w:r>
      <w:r w:rsidR="00E15CF9" w:rsidRPr="00FA34DF">
        <w:rPr>
          <w:sz w:val="22"/>
          <w:szCs w:val="28"/>
        </w:rPr>
        <w:t xml:space="preserve">status </w:t>
      </w:r>
      <w:r w:rsidR="003123E8" w:rsidRPr="00FA34DF">
        <w:rPr>
          <w:sz w:val="22"/>
          <w:szCs w:val="28"/>
        </w:rPr>
        <w:t>(d</w:t>
      </w:r>
      <w:r w:rsidRPr="00FA34DF">
        <w:rPr>
          <w:sz w:val="22"/>
          <w:szCs w:val="28"/>
        </w:rPr>
        <w:t>ata Cu</w:t>
      </w:r>
      <w:r w:rsidR="00E15CF9" w:rsidRPr="00FA34DF">
        <w:rPr>
          <w:sz w:val="22"/>
          <w:szCs w:val="28"/>
        </w:rPr>
        <w:t>t-</w:t>
      </w:r>
      <w:r w:rsidR="00E766F9" w:rsidRPr="00FA34DF">
        <w:rPr>
          <w:sz w:val="22"/>
          <w:szCs w:val="28"/>
        </w:rPr>
        <w:t>off</w:t>
      </w:r>
      <w:r w:rsidR="00E15CF9" w:rsidRPr="00FA34DF">
        <w:rPr>
          <w:sz w:val="22"/>
          <w:szCs w:val="28"/>
        </w:rPr>
        <w:t>:</w:t>
      </w:r>
      <w:r w:rsidR="00E766F9" w:rsidRPr="00FA34DF">
        <w:rPr>
          <w:sz w:val="22"/>
          <w:szCs w:val="28"/>
        </w:rPr>
        <w:t xml:space="preserve"> 21 </w:t>
      </w:r>
      <w:r w:rsidR="00E15CF9" w:rsidRPr="00FA34DF">
        <w:rPr>
          <w:sz w:val="22"/>
          <w:szCs w:val="28"/>
        </w:rPr>
        <w:t xml:space="preserve">November </w:t>
      </w:r>
      <w:r w:rsidRPr="00FA34DF">
        <w:rPr>
          <w:sz w:val="22"/>
          <w:szCs w:val="28"/>
        </w:rPr>
        <w:t>2020)</w:t>
      </w:r>
    </w:p>
    <w:p w14:paraId="57B5CE8E" w14:textId="33214A22" w:rsidR="00183DD4" w:rsidRPr="006E0620" w:rsidRDefault="00183DD4" w:rsidP="00AD2B85">
      <w:r w:rsidRPr="006E0620">
        <w:t>Only 2.2% of participants had evidence of prior infection at study enrolment, and there was only one COVID-</w:t>
      </w:r>
      <w:r w:rsidR="00E15CF9" w:rsidRPr="006E0620">
        <w:t>19 case starting 14 days after Dose </w:t>
      </w:r>
      <w:r w:rsidRPr="006E0620">
        <w:t>2 reported from this subgroup, which was in a participant in the placebo group.</w:t>
      </w:r>
    </w:p>
    <w:p w14:paraId="74C20F06" w14:textId="00D4DCCE" w:rsidR="00183DD4" w:rsidRPr="006E0620" w:rsidRDefault="006131C6" w:rsidP="006131C6">
      <w:pPr>
        <w:pStyle w:val="TableTitle"/>
      </w:pPr>
      <w:bookmarkStart w:id="53" w:name="_Ref77952215"/>
      <w:r w:rsidRPr="006E0620">
        <w:t xml:space="preserve">Table </w:t>
      </w:r>
      <w:r>
        <w:fldChar w:fldCharType="begin"/>
      </w:r>
      <w:r>
        <w:instrText>SEQ Table \* ARABIC</w:instrText>
      </w:r>
      <w:r>
        <w:fldChar w:fldCharType="separate"/>
      </w:r>
      <w:r w:rsidR="00B1591C">
        <w:rPr>
          <w:noProof/>
        </w:rPr>
        <w:t>13</w:t>
      </w:r>
      <w:r>
        <w:fldChar w:fldCharType="end"/>
      </w:r>
      <w:bookmarkEnd w:id="53"/>
      <w:r w:rsidRPr="006E0620">
        <w:t>:</w:t>
      </w:r>
      <w:r w:rsidR="00183DD4" w:rsidRPr="006E0620">
        <w:t xml:space="preserve"> </w:t>
      </w:r>
      <w:r w:rsidR="003123E8" w:rsidRPr="006E0620">
        <w:t xml:space="preserve">Study 301 </w:t>
      </w:r>
      <w:r w:rsidR="00183DD4" w:rsidRPr="006E0620">
        <w:t xml:space="preserve">Vaccine </w:t>
      </w:r>
      <w:r w:rsidR="00E15CF9" w:rsidRPr="006E0620">
        <w:t xml:space="preserve">efficacy by positive baseline </w:t>
      </w:r>
      <w:r w:rsidR="00183DD4" w:rsidRPr="006E0620">
        <w:t xml:space="preserve">SARS-CoV-2 </w:t>
      </w:r>
      <w:r w:rsidR="003123E8" w:rsidRPr="006E0620">
        <w:t>status,</w:t>
      </w:r>
      <w:r w:rsidR="00E15CF9" w:rsidRPr="006E0620">
        <w:t xml:space="preserve"> full analysis set</w:t>
      </w:r>
    </w:p>
    <w:p w14:paraId="53C75988" w14:textId="14E59C3E" w:rsidR="00183DD4" w:rsidRPr="006E0620" w:rsidRDefault="00183DD4" w:rsidP="00183DD4">
      <w:pPr>
        <w:spacing w:before="0" w:after="160" w:line="259" w:lineRule="auto"/>
        <w:rPr>
          <w:rFonts w:eastAsia="Calibri"/>
          <w:b/>
          <w:szCs w:val="24"/>
        </w:rPr>
      </w:pPr>
      <w:r w:rsidRPr="006E0620">
        <w:rPr>
          <w:rFonts w:eastAsia="Calibri"/>
          <w:b/>
          <w:noProof/>
          <w:color w:val="2B579A"/>
          <w:szCs w:val="24"/>
          <w:shd w:val="clear" w:color="auto" w:fill="E6E6E6"/>
          <w:lang w:val="en-GB" w:eastAsia="en-GB"/>
        </w:rPr>
        <w:drawing>
          <wp:inline distT="0" distB="0" distL="0" distR="0" wp14:anchorId="22BB1FDF" wp14:editId="2990689E">
            <wp:extent cx="5727700" cy="1347850"/>
            <wp:effectExtent l="0" t="0" r="6350" b="5080"/>
            <wp:docPr id="68" name="Picture 68" title="Study 301 Vaccine efficacy by positive baseline SARS-CoV-2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b="7942"/>
                    <a:stretch/>
                  </pic:blipFill>
                  <pic:spPr bwMode="auto">
                    <a:xfrm>
                      <a:off x="0" y="0"/>
                      <a:ext cx="5773382" cy="1358600"/>
                    </a:xfrm>
                    <a:prstGeom prst="rect">
                      <a:avLst/>
                    </a:prstGeom>
                    <a:noFill/>
                    <a:ln>
                      <a:noFill/>
                    </a:ln>
                    <a:extLst>
                      <a:ext uri="{53640926-AAD7-44D8-BBD7-CCE9431645EC}">
                        <a14:shadowObscured xmlns:a14="http://schemas.microsoft.com/office/drawing/2010/main"/>
                      </a:ext>
                    </a:extLst>
                  </pic:spPr>
                </pic:pic>
              </a:graphicData>
            </a:graphic>
          </wp:inline>
        </w:drawing>
      </w:r>
      <w:r w:rsidRPr="006E0620">
        <w:rPr>
          <w:rFonts w:eastAsia="Calibri"/>
          <w:b/>
          <w:szCs w:val="24"/>
        </w:rPr>
        <w:t xml:space="preserve"> </w:t>
      </w:r>
    </w:p>
    <w:p w14:paraId="4501E4C3" w14:textId="17642693" w:rsidR="002A0B46" w:rsidRPr="006E0620" w:rsidRDefault="002A0B46" w:rsidP="002A0B46">
      <w:pPr>
        <w:pStyle w:val="TableDescription"/>
      </w:pPr>
      <w:r w:rsidRPr="006E0620">
        <w:t>COVID-19 = coronavirus disease 2019; SARS-CoV-2 = severe acute respiratory syndrome coronavirus 2; N = population size; n = sample size; CI = confidence interval; NE</w:t>
      </w:r>
      <w:r w:rsidR="0019059E" w:rsidRPr="006E0620">
        <w:t xml:space="preserve"> = not estimable</w:t>
      </w:r>
    </w:p>
    <w:p w14:paraId="74B1F630" w14:textId="0E30A3FA" w:rsidR="002A0B46" w:rsidRPr="006E0620" w:rsidRDefault="002A0B46" w:rsidP="002A0B46">
      <w:pPr>
        <w:pStyle w:val="TableDescription"/>
      </w:pPr>
      <w:r w:rsidRPr="006E0620">
        <w:t>[1] Vaccine efficacy is defined as 1 – hazard ratio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 xml:space="preserve">versus placebo), and 95% CI are estimated using a stratified Cox proportional hazard model with </w:t>
      </w:r>
      <w:proofErr w:type="spellStart"/>
      <w:r w:rsidRPr="006E0620">
        <w:t>Efron’s</w:t>
      </w:r>
      <w:proofErr w:type="spellEnd"/>
      <w:r w:rsidRPr="006E0620">
        <w:t xml:space="preserve"> method of tie handling and with the treatment group as a covariate, adjusting for stratification factor if applicable.</w:t>
      </w:r>
    </w:p>
    <w:p w14:paraId="6A3E781C" w14:textId="77777777" w:rsidR="002A0B46" w:rsidRPr="006E0620" w:rsidRDefault="002A0B46" w:rsidP="002A0B46">
      <w:pPr>
        <w:pStyle w:val="TableDescription"/>
      </w:pPr>
      <w:r w:rsidRPr="006E0620">
        <w:t>[2] Person years is defined as the total years from randomisation date to the date of COVID-19, last date of study participation, or efficacy data cut-off date, whichever is earlier.</w:t>
      </w:r>
    </w:p>
    <w:p w14:paraId="7992C0EE" w14:textId="77777777" w:rsidR="002A0B46" w:rsidRPr="006E0620" w:rsidRDefault="002A0B46" w:rsidP="002A0B46">
      <w:pPr>
        <w:pStyle w:val="TableDescription"/>
      </w:pPr>
      <w:r w:rsidRPr="006E0620">
        <w:t>[3] Incidence rate if defined as the number of subjects with an event divided by the number of subjects at risk and adjusted by person years (total time at risk) in each treatment group. The 95% CI is calculated using the exact method (Poisson distribution) and adjusted by person years.</w:t>
      </w:r>
    </w:p>
    <w:p w14:paraId="7718B32D" w14:textId="348CE8D0" w:rsidR="002A0B46" w:rsidRPr="006E0620" w:rsidRDefault="002A0B46" w:rsidP="002A0B46">
      <w:pPr>
        <w:pStyle w:val="TableDescription"/>
      </w:pPr>
      <w:r w:rsidRPr="006E0620">
        <w:lastRenderedPageBreak/>
        <w:t>[4] Vaccine efficacy is defined as 1 – ratio of incidence rate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versus placebo). The 95% CI of the ratio is calculated using the exact method conditional upon the total number of cases, adjusting for person years.</w:t>
      </w:r>
    </w:p>
    <w:p w14:paraId="21C29618" w14:textId="160D2A32" w:rsidR="00183DD4" w:rsidRPr="00333902" w:rsidRDefault="00183DD4" w:rsidP="00FA34DF">
      <w:pPr>
        <w:pStyle w:val="Heading7"/>
        <w:rPr>
          <w:szCs w:val="28"/>
        </w:rPr>
      </w:pPr>
      <w:r w:rsidRPr="00FA34DF">
        <w:rPr>
          <w:sz w:val="22"/>
          <w:szCs w:val="28"/>
        </w:rPr>
        <w:t>V</w:t>
      </w:r>
      <w:r w:rsidR="00E15CF9" w:rsidRPr="00FA34DF">
        <w:rPr>
          <w:sz w:val="22"/>
          <w:szCs w:val="28"/>
        </w:rPr>
        <w:t>accine efficacy after the first d</w:t>
      </w:r>
      <w:r w:rsidRPr="00FA34DF">
        <w:rPr>
          <w:sz w:val="22"/>
          <w:szCs w:val="28"/>
        </w:rPr>
        <w:t>ose</w:t>
      </w:r>
    </w:p>
    <w:p w14:paraId="4104C879" w14:textId="7272A057" w:rsidR="00183DD4" w:rsidRPr="006E0620" w:rsidRDefault="00183DD4" w:rsidP="00AD2B85">
      <w:r w:rsidRPr="006E0620">
        <w:t>V</w:t>
      </w:r>
      <w:r w:rsidR="00E15CF9" w:rsidRPr="006E0620">
        <w:t>accine efficacy</w:t>
      </w:r>
      <w:r w:rsidR="00E5654C" w:rsidRPr="006E0620">
        <w:t xml:space="preserve"> starting 14 </w:t>
      </w:r>
      <w:r w:rsidRPr="006E0620">
        <w:t xml:space="preserve">days after the first injection in participants without immunologic and virologic evidence of previous SARS-CoV-2 infection was high at 95.2% (91.2%, 97.40%). These results are limited by the fact that &gt; 90% of participants received a second injection of </w:t>
      </w:r>
      <w:proofErr w:type="spellStart"/>
      <w:r w:rsidR="0039003F">
        <w:t>Spikevax</w:t>
      </w:r>
      <w:proofErr w:type="spellEnd"/>
      <w:r w:rsidR="0039003F">
        <w:t xml:space="preserve"> COVID-19 </w:t>
      </w:r>
      <w:r w:rsidRPr="006E0620">
        <w:t xml:space="preserve">mRNA-1273 </w:t>
      </w:r>
      <w:r w:rsidR="0039003F">
        <w:t xml:space="preserve">vaccine </w:t>
      </w:r>
      <w:r w:rsidRPr="006E0620">
        <w:t>within approximately 28 days after the first injection.</w:t>
      </w:r>
    </w:p>
    <w:p w14:paraId="6F8B94CF" w14:textId="1D63D863" w:rsidR="00183DD4" w:rsidRPr="006E0620" w:rsidRDefault="006131C6" w:rsidP="006131C6">
      <w:pPr>
        <w:pStyle w:val="TableTitle"/>
      </w:pPr>
      <w:r w:rsidRPr="006E0620">
        <w:t xml:space="preserve">Table </w:t>
      </w:r>
      <w:r>
        <w:fldChar w:fldCharType="begin"/>
      </w:r>
      <w:r>
        <w:instrText>SEQ Table \* ARABIC</w:instrText>
      </w:r>
      <w:r>
        <w:fldChar w:fldCharType="separate"/>
      </w:r>
      <w:r w:rsidR="00B1591C">
        <w:rPr>
          <w:noProof/>
        </w:rPr>
        <w:t>14</w:t>
      </w:r>
      <w:r>
        <w:fldChar w:fldCharType="end"/>
      </w:r>
      <w:r w:rsidR="00183DD4" w:rsidRPr="006E0620">
        <w:t xml:space="preserve">: </w:t>
      </w:r>
      <w:r w:rsidR="003123E8" w:rsidRPr="006E0620">
        <w:t xml:space="preserve">Study 301 </w:t>
      </w:r>
      <w:r w:rsidR="00E15CF9" w:rsidRPr="006E0620">
        <w:t xml:space="preserve">Analysis of vaccine efficacy of </w:t>
      </w:r>
      <w:proofErr w:type="spellStart"/>
      <w:r w:rsidR="0039003F" w:rsidRPr="0039003F">
        <w:t>Spikevax</w:t>
      </w:r>
      <w:proofErr w:type="spellEnd"/>
      <w:r w:rsidR="0039003F" w:rsidRPr="0039003F">
        <w:t xml:space="preserve"> COVID-19 </w:t>
      </w:r>
      <w:r w:rsidR="00E15CF9" w:rsidRPr="006E0620">
        <w:t>mRNA-1273</w:t>
      </w:r>
      <w:r w:rsidR="0039003F">
        <w:t xml:space="preserve"> vaccine</w:t>
      </w:r>
      <w:r w:rsidR="00E15CF9" w:rsidRPr="006E0620">
        <w:t xml:space="preserve"> to prevent COVID-19 starting 14 days after first injection</w:t>
      </w:r>
      <w:r w:rsidR="003123E8" w:rsidRPr="006E0620">
        <w:t>,</w:t>
      </w:r>
      <w:r w:rsidR="00E15CF9" w:rsidRPr="006E0620">
        <w:t xml:space="preserve"> per</w:t>
      </w:r>
      <w:r w:rsidR="00AF7999" w:rsidRPr="006E0620">
        <w:t>-</w:t>
      </w:r>
      <w:r w:rsidR="00E15CF9" w:rsidRPr="006E0620">
        <w:t>protocol set (</w:t>
      </w:r>
      <w:r w:rsidR="00E5654C" w:rsidRPr="006E0620">
        <w:t xml:space="preserve">data </w:t>
      </w:r>
      <w:r w:rsidR="00E15CF9" w:rsidRPr="006E0620">
        <w:t>cut-off: 21 November 2020)</w:t>
      </w:r>
    </w:p>
    <w:p w14:paraId="3E86231A" w14:textId="07D38C91" w:rsidR="002A0B46" w:rsidRPr="006E0620" w:rsidRDefault="00183DD4" w:rsidP="00183DD4">
      <w:pPr>
        <w:spacing w:before="0" w:after="160" w:line="259" w:lineRule="auto"/>
      </w:pPr>
      <w:r w:rsidRPr="006E0620">
        <w:rPr>
          <w:rFonts w:eastAsia="Calibri"/>
          <w:b/>
          <w:noProof/>
          <w:color w:val="2B579A"/>
          <w:szCs w:val="24"/>
          <w:shd w:val="clear" w:color="auto" w:fill="E6E6E6"/>
          <w:lang w:val="en-GB" w:eastAsia="en-GB"/>
        </w:rPr>
        <w:drawing>
          <wp:inline distT="0" distB="0" distL="0" distR="0" wp14:anchorId="51F44158" wp14:editId="09DE4647">
            <wp:extent cx="5727587" cy="1128156"/>
            <wp:effectExtent l="0" t="0" r="6985" b="0"/>
            <wp:docPr id="76" name="Picture 76" descr="Study 301 Analysis of vaccine efficacy of Spikevax COVID-19 mRNA-1273 vaccine to prevent COVID-19 starting 14 days after first injection, per-protocol set (data cut-off: 21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udy 301 Analysis of vaccine efficacy of Spikevax COVID-19 mRNA-1273 vaccine to prevent COVID-19 starting 14 days after first injection, per-protocol set (data cut-off: 21 November 2020)"/>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b="11269"/>
                    <a:stretch/>
                  </pic:blipFill>
                  <pic:spPr bwMode="auto">
                    <a:xfrm>
                      <a:off x="0" y="0"/>
                      <a:ext cx="5772153" cy="1136934"/>
                    </a:xfrm>
                    <a:prstGeom prst="rect">
                      <a:avLst/>
                    </a:prstGeom>
                    <a:noFill/>
                    <a:ln>
                      <a:noFill/>
                    </a:ln>
                    <a:extLst>
                      <a:ext uri="{53640926-AAD7-44D8-BBD7-CCE9431645EC}">
                        <a14:shadowObscured xmlns:a14="http://schemas.microsoft.com/office/drawing/2010/main"/>
                      </a:ext>
                    </a:extLst>
                  </pic:spPr>
                </pic:pic>
              </a:graphicData>
            </a:graphic>
          </wp:inline>
        </w:drawing>
      </w:r>
    </w:p>
    <w:p w14:paraId="4484DC94" w14:textId="211F74BF" w:rsidR="002A0B46" w:rsidRPr="006E0620" w:rsidRDefault="002A0B46" w:rsidP="002A0B46">
      <w:pPr>
        <w:pStyle w:val="TableDescription"/>
      </w:pPr>
      <w:r w:rsidRPr="006E0620">
        <w:t>mRNA = messenger ribonucleic acid; COVID-19 = coronavirus disease 2019; SARS-CoV-2 = severe acute respiratory syndrome coronavirus 2; N = population size; n = sample size; CI = confidence interval.</w:t>
      </w:r>
    </w:p>
    <w:p w14:paraId="380F037E" w14:textId="404C6E4D" w:rsidR="002A0B46" w:rsidRPr="006E0620" w:rsidRDefault="002A0B46" w:rsidP="002A0B46">
      <w:pPr>
        <w:pStyle w:val="TableDescription"/>
      </w:pPr>
      <w:r w:rsidRPr="006E0620">
        <w:t>[1] Vaccine efficacy is defined as 1 – hazard ratio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 xml:space="preserve">versus placebo), and 95% CI are estimated using a stratified Cox proportional hazard model with </w:t>
      </w:r>
      <w:proofErr w:type="spellStart"/>
      <w:r w:rsidRPr="006E0620">
        <w:t>Efron’s</w:t>
      </w:r>
      <w:proofErr w:type="spellEnd"/>
      <w:r w:rsidRPr="006E0620">
        <w:t xml:space="preserve"> method of tie handling and with the treatment group as a covariate, adjusting for stratification factor.</w:t>
      </w:r>
    </w:p>
    <w:p w14:paraId="3305B791" w14:textId="77777777" w:rsidR="002A0B46" w:rsidRPr="006E0620" w:rsidRDefault="002A0B46" w:rsidP="002A0B46">
      <w:pPr>
        <w:pStyle w:val="TableDescription"/>
      </w:pPr>
      <w:r w:rsidRPr="006E0620">
        <w:t>[2] Person years is defined as the total years from randomisation date to the date of COVID-19, last date of study participation, or efficacy data cut-off date, whichever is earlier.</w:t>
      </w:r>
    </w:p>
    <w:p w14:paraId="7D5FF164" w14:textId="77777777" w:rsidR="002A0B46" w:rsidRPr="006E0620" w:rsidRDefault="002A0B46" w:rsidP="002A0B46">
      <w:pPr>
        <w:pStyle w:val="TableDescription"/>
      </w:pPr>
      <w:r w:rsidRPr="006E0620">
        <w:t>[3] Incidence rate if defined as the number of subjects with an event divided by the number of subjects at risk and adjusted by person years (total time at risk) in each treatment group. The 95% CI is calculated using the exact method (Poisson distribution) and adjusted by person years.</w:t>
      </w:r>
    </w:p>
    <w:p w14:paraId="64BC809D" w14:textId="3F84A4D2" w:rsidR="002A0B46" w:rsidRPr="006E0620" w:rsidRDefault="002A0B46" w:rsidP="002A0B46">
      <w:pPr>
        <w:pStyle w:val="TableDescription"/>
      </w:pPr>
      <w:r w:rsidRPr="006E0620">
        <w:t>[4] Vaccine efficacy is defined as 1 – ratio of incidence rate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versus placebo). The 95% CI of the ratio is calculated using the exact method conditional upon the total number of cases, adjusting for person years.</w:t>
      </w:r>
    </w:p>
    <w:p w14:paraId="58D8B4A5" w14:textId="083F33A5" w:rsidR="00183DD4" w:rsidRPr="006E0620" w:rsidRDefault="00183DD4" w:rsidP="003F6530">
      <w:pPr>
        <w:rPr>
          <w:rFonts w:eastAsia="Times New Roman" w:cs="Arial"/>
          <w:szCs w:val="24"/>
          <w:lang w:val="en-SG"/>
        </w:rPr>
      </w:pPr>
      <w:r w:rsidRPr="006E0620">
        <w:t xml:space="preserve">In participants in the </w:t>
      </w:r>
      <w:r w:rsidR="00E15CF9" w:rsidRPr="006E0620">
        <w:t>modified intent-to-treat (</w:t>
      </w:r>
      <w:proofErr w:type="spellStart"/>
      <w:r w:rsidRPr="006E0620">
        <w:t>mITT</w:t>
      </w:r>
      <w:proofErr w:type="spellEnd"/>
      <w:r w:rsidR="00E15CF9" w:rsidRPr="006E0620">
        <w:t>)</w:t>
      </w:r>
      <w:r w:rsidR="001A692F" w:rsidRPr="006E0620">
        <w:t>;</w:t>
      </w:r>
      <w:r w:rsidR="001A692F" w:rsidRPr="006E0620">
        <w:rPr>
          <w:rStyle w:val="FootnoteReference"/>
        </w:rPr>
        <w:footnoteReference w:id="26"/>
      </w:r>
      <w:r w:rsidRPr="006E0620">
        <w:t xml:space="preserve"> set who only received one dose of the vaccine at the time of the interim analysis, VE after one dose was 80.2% (95% CI</w:t>
      </w:r>
      <w:r w:rsidR="00E15CF9" w:rsidRPr="006E0620">
        <w:t>:</w:t>
      </w:r>
      <w:r w:rsidRPr="006E0620">
        <w:t xml:space="preserve"> 55.2%, 92.5%). VE starting 14</w:t>
      </w:r>
      <w:r w:rsidR="00E15CF9" w:rsidRPr="006E0620">
        <w:t> </w:t>
      </w:r>
      <w:r w:rsidRPr="006E0620">
        <w:t>days post Dose 1 was 92.1% (68.8%, 99.1%), which suggests a good level of protection against COVID-19 disease.</w:t>
      </w:r>
    </w:p>
    <w:p w14:paraId="0C970A11" w14:textId="46D309E8" w:rsidR="00183DD4" w:rsidRPr="006E0620" w:rsidRDefault="00183DD4" w:rsidP="00D15EAA">
      <w:r w:rsidRPr="006E0620">
        <w:t>These participants had a median follow-up time of 28 days (range: 1 to 108 days). The small, non-random sample and short median follow-up time (and small number of events) limits the i</w:t>
      </w:r>
      <w:r w:rsidR="00AD2B85" w:rsidRPr="006E0620">
        <w:t>nterpretation of these results.</w:t>
      </w:r>
    </w:p>
    <w:p w14:paraId="1969E5C6" w14:textId="6794375C" w:rsidR="00183DD4" w:rsidRPr="006E0620" w:rsidRDefault="006131C6" w:rsidP="006131C6">
      <w:pPr>
        <w:pStyle w:val="TableTitle"/>
      </w:pPr>
      <w:r w:rsidRPr="006E0620">
        <w:lastRenderedPageBreak/>
        <w:t xml:space="preserve">Table </w:t>
      </w:r>
      <w:r>
        <w:fldChar w:fldCharType="begin"/>
      </w:r>
      <w:r>
        <w:instrText>SEQ Table \* ARABIC</w:instrText>
      </w:r>
      <w:r>
        <w:fldChar w:fldCharType="separate"/>
      </w:r>
      <w:r w:rsidR="00B1591C">
        <w:rPr>
          <w:noProof/>
        </w:rPr>
        <w:t>15</w:t>
      </w:r>
      <w:r>
        <w:fldChar w:fldCharType="end"/>
      </w:r>
      <w:r w:rsidR="00183DD4" w:rsidRPr="006E0620">
        <w:t xml:space="preserve">: </w:t>
      </w:r>
      <w:r w:rsidR="00776482" w:rsidRPr="006E0620">
        <w:t xml:space="preserve">Study 301 </w:t>
      </w:r>
      <w:r w:rsidR="00183DD4" w:rsidRPr="006E0620">
        <w:t>Efficacy against COVID-19 after only one dose</w:t>
      </w:r>
      <w:r w:rsidR="00E766F9" w:rsidRPr="006E0620">
        <w:t xml:space="preserve"> of </w:t>
      </w:r>
      <w:proofErr w:type="spellStart"/>
      <w:r w:rsidR="0039003F">
        <w:t>Spikevax</w:t>
      </w:r>
      <w:proofErr w:type="spellEnd"/>
      <w:r w:rsidR="0039003F">
        <w:t xml:space="preserve"> COVID-19 </w:t>
      </w:r>
      <w:r w:rsidR="00E766F9" w:rsidRPr="006E0620">
        <w:t>mRNA-1273</w:t>
      </w:r>
      <w:r w:rsidR="0039003F">
        <w:t xml:space="preserve"> vaccine</w:t>
      </w:r>
      <w:r w:rsidR="0019059E" w:rsidRPr="006E0620">
        <w:rPr>
          <w:rStyle w:val="FootnoteReference"/>
        </w:rPr>
        <w:footnoteReference w:id="27"/>
      </w:r>
    </w:p>
    <w:p w14:paraId="4DB1B39E" w14:textId="357D965D" w:rsidR="00770666" w:rsidRPr="006E0620" w:rsidRDefault="00770666" w:rsidP="00CD55D9">
      <w:r w:rsidRPr="006E0620">
        <w:rPr>
          <w:noProof/>
          <w:shd w:val="clear" w:color="auto" w:fill="E6E6E6"/>
          <w:lang w:val="en-GB" w:eastAsia="en-GB"/>
        </w:rPr>
        <w:drawing>
          <wp:inline distT="0" distB="0" distL="0" distR="0" wp14:anchorId="2DFE4E85" wp14:editId="7D7B586E">
            <wp:extent cx="5129205" cy="1460500"/>
            <wp:effectExtent l="0" t="0" r="0" b="6350"/>
            <wp:docPr id="10" name="Picture 10" descr="Study 301 Efficacy against COVID-19 after only one dose of Spikevax COVID-19 mRNA-1273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301 Efficacy against COVID-19 after only one dose of Spikevax COVID-19 mRNA-1273 vaccine"/>
                    <pic:cNvPicPr/>
                  </pic:nvPicPr>
                  <pic:blipFill>
                    <a:blip r:embed="rId43"/>
                    <a:stretch>
                      <a:fillRect/>
                    </a:stretch>
                  </pic:blipFill>
                  <pic:spPr>
                    <a:xfrm>
                      <a:off x="0" y="0"/>
                      <a:ext cx="5150862" cy="1466667"/>
                    </a:xfrm>
                    <a:prstGeom prst="rect">
                      <a:avLst/>
                    </a:prstGeom>
                  </pic:spPr>
                </pic:pic>
              </a:graphicData>
            </a:graphic>
          </wp:inline>
        </w:drawing>
      </w:r>
    </w:p>
    <w:p w14:paraId="032AC770" w14:textId="54C2BBF6" w:rsidR="002A0B46" w:rsidRPr="006E0620" w:rsidRDefault="002A0B46" w:rsidP="00770666">
      <w:pPr>
        <w:pStyle w:val="TableDescription"/>
      </w:pPr>
      <w:r w:rsidRPr="006E0620">
        <w:t>COVID-19 = coronavirus disease 2019; mRNA = messenger ribonucleic acid; N = population size; VE = vaccine efficacy; CI = confidence interval.</w:t>
      </w:r>
    </w:p>
    <w:p w14:paraId="751611B6" w14:textId="47DE7FBA" w:rsidR="002A0B46" w:rsidRPr="006E0620" w:rsidRDefault="00770666" w:rsidP="00770666">
      <w:pPr>
        <w:pStyle w:val="TableDescription"/>
      </w:pPr>
      <w:r w:rsidRPr="006E0620">
        <w:t>Surveillance</w:t>
      </w:r>
      <w:r w:rsidR="002A0B46" w:rsidRPr="006E0620">
        <w:t xml:space="preserve"> in person years for given endpoints </w:t>
      </w:r>
      <w:r w:rsidRPr="006E0620">
        <w:t>across</w:t>
      </w:r>
      <w:r w:rsidR="002A0B46" w:rsidRPr="006E0620">
        <w:t xml:space="preserve"> all </w:t>
      </w:r>
      <w:r w:rsidRPr="006E0620">
        <w:t>participants</w:t>
      </w:r>
      <w:r w:rsidR="002A0B46" w:rsidRPr="006E0620">
        <w:t xml:space="preserve"> with</w:t>
      </w:r>
      <w:r w:rsidRPr="006E0620">
        <w:t>in</w:t>
      </w:r>
      <w:r w:rsidR="002A0B46" w:rsidRPr="006E0620">
        <w:t xml:space="preserve"> each group risk for the endpoint</w:t>
      </w:r>
      <w:r w:rsidRPr="006E0620">
        <w:t>.</w:t>
      </w:r>
    </w:p>
    <w:p w14:paraId="5B761F54" w14:textId="6B8AEA72" w:rsidR="002A0B46" w:rsidRPr="006E0620" w:rsidRDefault="002A0B46" w:rsidP="00770666">
      <w:pPr>
        <w:pStyle w:val="TableDescription"/>
      </w:pPr>
      <w:r w:rsidRPr="006E0620">
        <w:t>* V</w:t>
      </w:r>
      <w:r w:rsidR="00770666" w:rsidRPr="006E0620">
        <w:t>accine efficacy</w:t>
      </w:r>
      <w:r w:rsidRPr="006E0620">
        <w:t xml:space="preserve"> is calculated as 1 – incidence rate ratio (</w:t>
      </w:r>
      <w:proofErr w:type="spellStart"/>
      <w:r w:rsidR="007753E6" w:rsidRPr="007753E6">
        <w:t>Spikevax</w:t>
      </w:r>
      <w:proofErr w:type="spellEnd"/>
      <w:r w:rsidR="007753E6" w:rsidRPr="007753E6">
        <w:t xml:space="preserve"> COVID-19 </w:t>
      </w:r>
      <w:r w:rsidRPr="006E0620">
        <w:t>mRNA-1273</w:t>
      </w:r>
      <w:r w:rsidR="007753E6">
        <w:t xml:space="preserve"> vaccine</w:t>
      </w:r>
      <w:r w:rsidRPr="006E0620">
        <w:t xml:space="preserve">/placebo). The 95% CI of VE is calculated </w:t>
      </w:r>
      <w:r w:rsidR="00770666" w:rsidRPr="006E0620">
        <w:t>using</w:t>
      </w:r>
      <w:r w:rsidRPr="006E0620">
        <w:t xml:space="preserve"> the exact method conditional </w:t>
      </w:r>
      <w:r w:rsidR="00770666" w:rsidRPr="006E0620">
        <w:t>upon</w:t>
      </w:r>
      <w:r w:rsidRPr="006E0620">
        <w:t xml:space="preserve"> the total number o</w:t>
      </w:r>
      <w:r w:rsidR="00770666" w:rsidRPr="006E0620">
        <w:t>f</w:t>
      </w:r>
      <w:r w:rsidRPr="006E0620">
        <w:t xml:space="preserve"> cases, adjusting </w:t>
      </w:r>
      <w:r w:rsidR="00770666" w:rsidRPr="006E0620">
        <w:t>for person years.</w:t>
      </w:r>
    </w:p>
    <w:p w14:paraId="22BFF350" w14:textId="04E3C5E2" w:rsidR="002A0B46" w:rsidRPr="006E0620" w:rsidRDefault="002A0B46" w:rsidP="00770666">
      <w:pPr>
        <w:pStyle w:val="TableDescription"/>
      </w:pPr>
      <w:r w:rsidRPr="006E0620">
        <w:t xml:space="preserve">** </w:t>
      </w:r>
      <w:r w:rsidR="00770666" w:rsidRPr="006E0620">
        <w:t>Participants who were not at risk (</w:t>
      </w:r>
      <w:r w:rsidRPr="006E0620">
        <w:t xml:space="preserve">cases </w:t>
      </w:r>
      <w:r w:rsidR="00770666" w:rsidRPr="006E0620">
        <w:t xml:space="preserve">or censored at prior </w:t>
      </w:r>
      <w:proofErr w:type="gramStart"/>
      <w:r w:rsidR="00770666" w:rsidRPr="006E0620">
        <w:t>time period</w:t>
      </w:r>
      <w:proofErr w:type="gramEnd"/>
      <w:r w:rsidR="00770666" w:rsidRPr="006E0620">
        <w:t>) are excluded from this analysis.</w:t>
      </w:r>
    </w:p>
    <w:p w14:paraId="13935704" w14:textId="7EB0389B" w:rsidR="00183DD4" w:rsidRPr="006E0620" w:rsidRDefault="00183DD4" w:rsidP="00AD2B85">
      <w:r w:rsidRPr="006E0620">
        <w:t xml:space="preserve">In a similar analysis to look at </w:t>
      </w:r>
      <w:r w:rsidR="005A1A02" w:rsidRPr="006E0620">
        <w:t>VE</w:t>
      </w:r>
      <w:r w:rsidRPr="006E0620">
        <w:t xml:space="preserve"> against severe COVID-19 after one dose, of participants in the </w:t>
      </w:r>
      <w:proofErr w:type="spellStart"/>
      <w:r w:rsidRPr="006E0620">
        <w:t>mITT</w:t>
      </w:r>
      <w:proofErr w:type="spellEnd"/>
      <w:r w:rsidRPr="006E0620">
        <w:t xml:space="preserve"> group who received only one dose of vaccine, 2 participants in the </w:t>
      </w:r>
      <w:proofErr w:type="spellStart"/>
      <w:r w:rsidR="007753E6">
        <w:t>Spikevax</w:t>
      </w:r>
      <w:proofErr w:type="spellEnd"/>
      <w:r w:rsidR="007753E6">
        <w:t xml:space="preserve"> COVID-19 </w:t>
      </w:r>
      <w:r w:rsidRPr="006E0620">
        <w:t>mRNA</w:t>
      </w:r>
      <w:r w:rsidR="00F90436" w:rsidRPr="006E0620">
        <w:noBreakHyphen/>
      </w:r>
      <w:r w:rsidRPr="006E0620">
        <w:t xml:space="preserve">1273 </w:t>
      </w:r>
      <w:r w:rsidR="0039003F">
        <w:t xml:space="preserve">vaccine </w:t>
      </w:r>
      <w:r w:rsidRPr="006E0620">
        <w:t>group and 4 participants in the placebo group developed severe COVID-19.</w:t>
      </w:r>
    </w:p>
    <w:p w14:paraId="167DFE56" w14:textId="12A0A9BC" w:rsidR="00183DD4" w:rsidRPr="00333902" w:rsidRDefault="00AD2B85" w:rsidP="00FA34DF">
      <w:pPr>
        <w:pStyle w:val="Heading7"/>
        <w:rPr>
          <w:szCs w:val="28"/>
        </w:rPr>
      </w:pPr>
      <w:r w:rsidRPr="00FA34DF">
        <w:rPr>
          <w:sz w:val="22"/>
          <w:szCs w:val="28"/>
        </w:rPr>
        <w:t>Deaths</w:t>
      </w:r>
    </w:p>
    <w:p w14:paraId="7A92E076" w14:textId="77777777" w:rsidR="00183DD4" w:rsidRPr="006E0620" w:rsidRDefault="00183DD4" w:rsidP="00AD2B85">
      <w:r w:rsidRPr="006E0620">
        <w:t>There was one death due to COVID-19 at the time of the interim analysis and it happened in the placebo group.</w:t>
      </w:r>
    </w:p>
    <w:p w14:paraId="6FBA0A0C" w14:textId="3D68FF30" w:rsidR="00183DD4" w:rsidRPr="006E0620" w:rsidRDefault="006131C6" w:rsidP="006131C6">
      <w:pPr>
        <w:pStyle w:val="TableTitle"/>
      </w:pPr>
      <w:r w:rsidRPr="006E0620">
        <w:t xml:space="preserve">Table </w:t>
      </w:r>
      <w:r>
        <w:fldChar w:fldCharType="begin"/>
      </w:r>
      <w:r>
        <w:instrText>SEQ Table \* ARABIC</w:instrText>
      </w:r>
      <w:r>
        <w:fldChar w:fldCharType="separate"/>
      </w:r>
      <w:r w:rsidR="00B1591C">
        <w:rPr>
          <w:noProof/>
        </w:rPr>
        <w:t>16</w:t>
      </w:r>
      <w:r>
        <w:fldChar w:fldCharType="end"/>
      </w:r>
      <w:r w:rsidR="00183DD4" w:rsidRPr="006E0620">
        <w:t xml:space="preserve">: </w:t>
      </w:r>
      <w:r w:rsidR="00776482" w:rsidRPr="006E0620">
        <w:t xml:space="preserve">Study 301 </w:t>
      </w:r>
      <w:r w:rsidR="00183DD4" w:rsidRPr="006E0620">
        <w:t xml:space="preserve">Death </w:t>
      </w:r>
      <w:r w:rsidR="00F90436" w:rsidRPr="006E0620">
        <w:t>cause</w:t>
      </w:r>
      <w:r w:rsidR="00183DD4" w:rsidRPr="006E0620">
        <w:t xml:space="preserve">d by COVID-19 </w:t>
      </w:r>
      <w:r w:rsidR="00F90436" w:rsidRPr="006E0620">
        <w:t xml:space="preserve">starting </w:t>
      </w:r>
      <w:r w:rsidR="00183DD4" w:rsidRPr="006E0620">
        <w:t xml:space="preserve">14 </w:t>
      </w:r>
      <w:r w:rsidR="00F90436" w:rsidRPr="006E0620">
        <w:t>days after second dose injection</w:t>
      </w:r>
    </w:p>
    <w:p w14:paraId="3791909A" w14:textId="77777777" w:rsidR="00770666" w:rsidRPr="006E0620" w:rsidRDefault="00183DD4" w:rsidP="00AD2B85">
      <w:pPr>
        <w:rPr>
          <w:b/>
        </w:rPr>
      </w:pPr>
      <w:r w:rsidRPr="006E0620">
        <w:rPr>
          <w:noProof/>
          <w:color w:val="2B579A"/>
          <w:sz w:val="28"/>
          <w:shd w:val="clear" w:color="auto" w:fill="E6E6E6"/>
          <w:lang w:val="en-GB" w:eastAsia="en-GB"/>
        </w:rPr>
        <w:drawing>
          <wp:inline distT="0" distB="0" distL="0" distR="0" wp14:anchorId="73C16CE5" wp14:editId="77B0EF0E">
            <wp:extent cx="5308270" cy="820993"/>
            <wp:effectExtent l="0" t="0" r="0" b="0"/>
            <wp:docPr id="78" name="Picture 78" title="Study 301 Death caused by COVID-19 starting 14 days after second dos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5391004" cy="833789"/>
                    </a:xfrm>
                    <a:prstGeom prst="rect">
                      <a:avLst/>
                    </a:prstGeom>
                    <a:noFill/>
                    <a:ln>
                      <a:noFill/>
                    </a:ln>
                  </pic:spPr>
                </pic:pic>
              </a:graphicData>
            </a:graphic>
          </wp:inline>
        </w:drawing>
      </w:r>
    </w:p>
    <w:p w14:paraId="71395FEE" w14:textId="5CC82EB9" w:rsidR="00770666" w:rsidRPr="006E0620" w:rsidRDefault="00770666" w:rsidP="00770666">
      <w:pPr>
        <w:pStyle w:val="TableDescription"/>
      </w:pPr>
      <w:r w:rsidRPr="006E0620">
        <w:t>COVID-19 = coronavirus disease 2019; mRNA = messenger ribonucleic acid; N = population size; CI = confidence interval; NE</w:t>
      </w:r>
      <w:r w:rsidR="0019059E" w:rsidRPr="006E0620">
        <w:t xml:space="preserve"> </w:t>
      </w:r>
      <w:r w:rsidRPr="006E0620">
        <w:t>=</w:t>
      </w:r>
      <w:r w:rsidR="0019059E" w:rsidRPr="006E0620">
        <w:t xml:space="preserve"> not estimable.</w:t>
      </w:r>
    </w:p>
    <w:p w14:paraId="5D7C9E2F" w14:textId="5705AAF7" w:rsidR="00770666" w:rsidRPr="006E0620" w:rsidRDefault="00770666" w:rsidP="00770666">
      <w:pPr>
        <w:pStyle w:val="TableDescription"/>
      </w:pPr>
      <w:r w:rsidRPr="006E0620">
        <w:t>[1] Vaccine efficacy, defined as 1 – hazard ratio (</w:t>
      </w:r>
      <w:proofErr w:type="spellStart"/>
      <w:r w:rsidR="007753E6" w:rsidRPr="007753E6">
        <w:t>Spikevax</w:t>
      </w:r>
      <w:proofErr w:type="spellEnd"/>
      <w:r w:rsidR="007753E6" w:rsidRPr="007753E6">
        <w:t xml:space="preserve"> COVID-19 </w:t>
      </w:r>
      <w:r w:rsidRPr="006E0620">
        <w:t xml:space="preserve">mRNA-1273 </w:t>
      </w:r>
      <w:r w:rsidR="007753E6">
        <w:t xml:space="preserve">vaccine </w:t>
      </w:r>
      <w:r w:rsidRPr="006E0620">
        <w:t xml:space="preserve">versus placebo), and 95% CI are estimated using a stratified Cox proportional hazard model with </w:t>
      </w:r>
      <w:proofErr w:type="spellStart"/>
      <w:r w:rsidRPr="006E0620">
        <w:t>Efron’s</w:t>
      </w:r>
      <w:proofErr w:type="spellEnd"/>
      <w:r w:rsidRPr="006E0620">
        <w:t xml:space="preserve"> method of tie handling and with the treatment group as a covariate, adjusting for stratification factor.</w:t>
      </w:r>
    </w:p>
    <w:p w14:paraId="4F205FE0" w14:textId="32F8F184" w:rsidR="00183DD4" w:rsidRPr="00333902" w:rsidRDefault="00183DD4" w:rsidP="00FA34DF">
      <w:pPr>
        <w:pStyle w:val="Heading7"/>
        <w:rPr>
          <w:szCs w:val="28"/>
        </w:rPr>
      </w:pPr>
      <w:r w:rsidRPr="00FA34DF">
        <w:rPr>
          <w:sz w:val="22"/>
          <w:szCs w:val="28"/>
        </w:rPr>
        <w:t>Vaccine effectiveness against asymptomatic infection</w:t>
      </w:r>
    </w:p>
    <w:p w14:paraId="280AF569" w14:textId="3D54FC21" w:rsidR="00183DD4" w:rsidRPr="006E0620" w:rsidRDefault="00183DD4" w:rsidP="00AD2B85">
      <w:r w:rsidRPr="006E0620">
        <w:t xml:space="preserve">The pivotal study was not designed to assess the effect of the vaccine against transmission of SARS-CoV-2 from individuals experiencing asymptomatic infections after vaccination. Protection against asymptomatic infection is currently unknown, however data will be generated during the ongoing </w:t>
      </w:r>
      <w:r w:rsidR="003C55CF" w:rsidRPr="006E0620">
        <w:t>Phase III</w:t>
      </w:r>
      <w:r w:rsidRPr="006E0620">
        <w:t xml:space="preserve"> trial on antibodies against the nucleocapsid protein (</w:t>
      </w:r>
      <w:r w:rsidR="009375AF" w:rsidRPr="006E0620">
        <w:t>protocol amendment</w:t>
      </w:r>
      <w:r w:rsidRPr="006E0620">
        <w:t xml:space="preserve">: 18 May 2020). The pre-defined serology endpoint from the </w:t>
      </w:r>
      <w:r w:rsidRPr="006E0620">
        <w:lastRenderedPageBreak/>
        <w:t>ongoing study based on anti-</w:t>
      </w:r>
      <w:r w:rsidR="00781482" w:rsidRPr="006E0620">
        <w:t>nucleocapsid protein (N)</w:t>
      </w:r>
      <w:r w:rsidRPr="006E0620">
        <w:t xml:space="preserve"> antibodies would provide further evidence on protection against asymptomatic infection and will provide further understanding whether protection is superior with two doses.</w:t>
      </w:r>
    </w:p>
    <w:p w14:paraId="4775793D" w14:textId="77777777" w:rsidR="00183DD4" w:rsidRPr="006E0620" w:rsidRDefault="00183DD4" w:rsidP="00AD2B85">
      <w:r w:rsidRPr="006E0620">
        <w:t>Among baseline negative participants, 14 in the vaccine group and 38 in the placebo group were RT-PCR positive for SARS-CoV-2 infection at the second dose without COVID-19 symptoms; however, these data are limited by the short observation period.</w:t>
      </w:r>
    </w:p>
    <w:p w14:paraId="00B8E691" w14:textId="19C6FDA1" w:rsidR="00183DD4" w:rsidRPr="006E0620" w:rsidRDefault="00AD2B85" w:rsidP="00AD2B85">
      <w:pPr>
        <w:pStyle w:val="Heading4"/>
      </w:pPr>
      <w:r w:rsidRPr="006E0620">
        <w:t>Safety</w:t>
      </w:r>
    </w:p>
    <w:p w14:paraId="5071EE24" w14:textId="1CD41D5A" w:rsidR="00183DD4" w:rsidRPr="006E0620" w:rsidRDefault="00247854" w:rsidP="00AD2B85">
      <w:pPr>
        <w:pStyle w:val="Heading5"/>
      </w:pPr>
      <w:r w:rsidRPr="006E0620">
        <w:t xml:space="preserve">Study </w:t>
      </w:r>
      <w:r w:rsidR="00925469" w:rsidRPr="006E0620">
        <w:t>101</w:t>
      </w:r>
    </w:p>
    <w:p w14:paraId="3DC9AE06" w14:textId="0868C434" w:rsidR="00183DD4" w:rsidRPr="006E0620" w:rsidRDefault="00183DD4" w:rsidP="00AD2B85">
      <w:r w:rsidRPr="006E0620">
        <w:t xml:space="preserve">Local and systemic </w:t>
      </w:r>
      <w:r w:rsidR="00F75735" w:rsidRPr="006E0620">
        <w:t>AR</w:t>
      </w:r>
      <w:r w:rsidRPr="006E0620">
        <w:t xml:space="preserve"> were common, but mostly mild to moderate and with a median duration of </w:t>
      </w:r>
      <w:r w:rsidR="00F75735" w:rsidRPr="006E0620">
        <w:t>one to two</w:t>
      </w:r>
      <w:r w:rsidRPr="006E0620">
        <w:t xml:space="preserve"> days. Severity was dose</w:t>
      </w:r>
      <w:r w:rsidR="00F75735" w:rsidRPr="006E0620">
        <w:t xml:space="preserve"> </w:t>
      </w:r>
      <w:r w:rsidRPr="006E0620">
        <w:t xml:space="preserve">dependent, with severe solicited </w:t>
      </w:r>
      <w:r w:rsidR="00F75735" w:rsidRPr="006E0620">
        <w:t>ARs more frequent in the 250 </w:t>
      </w:r>
      <w:r w:rsidRPr="006E0620">
        <w:t xml:space="preserve">µg dose groups than the lower dose groups. The most common local </w:t>
      </w:r>
      <w:r w:rsidR="00F75735" w:rsidRPr="006E0620">
        <w:t>AR</w:t>
      </w:r>
      <w:r w:rsidRPr="006E0620">
        <w:t xml:space="preserve"> was injection site pain, reported in 92% of subjects aged 18</w:t>
      </w:r>
      <w:r w:rsidR="00F75735" w:rsidRPr="006E0620">
        <w:t xml:space="preserve"> to </w:t>
      </w:r>
      <w:r w:rsidRPr="006E0620">
        <w:t>55</w:t>
      </w:r>
      <w:r w:rsidR="0039003F">
        <w:t>-</w:t>
      </w:r>
      <w:r w:rsidRPr="006E0620">
        <w:t xml:space="preserve">years and 80% of subjects aged over 55 years. The </w:t>
      </w:r>
      <w:proofErr w:type="gramStart"/>
      <w:r w:rsidRPr="006E0620">
        <w:t>most commonly reported</w:t>
      </w:r>
      <w:proofErr w:type="gramEnd"/>
      <w:r w:rsidRPr="006E0620">
        <w:t xml:space="preserve"> systemic </w:t>
      </w:r>
      <w:r w:rsidR="00F75735" w:rsidRPr="006E0620">
        <w:t>ARs</w:t>
      </w:r>
      <w:r w:rsidRPr="006E0620">
        <w:t xml:space="preserve"> were fatigue, headache, myalgia and chills, with greater incidence and severity observed following the second dose. 73</w:t>
      </w:r>
      <w:r w:rsidR="00190E04" w:rsidRPr="006E0620">
        <w:t xml:space="preserve"> to </w:t>
      </w:r>
      <w:r w:rsidRPr="006E0620">
        <w:t xml:space="preserve">77% of subjects reported unsolicited </w:t>
      </w:r>
      <w:r w:rsidR="00F50A07" w:rsidRPr="006E0620">
        <w:t>adverse events (</w:t>
      </w:r>
      <w:r w:rsidRPr="006E0620">
        <w:t>AE</w:t>
      </w:r>
      <w:r w:rsidR="00F50A07" w:rsidRPr="006E0620">
        <w:t>)</w:t>
      </w:r>
      <w:r w:rsidRPr="006E0620">
        <w:t xml:space="preserve">; these were mostly mild. </w:t>
      </w:r>
      <w:r w:rsidR="00190E04" w:rsidRPr="006E0620">
        <w:t>One</w:t>
      </w:r>
      <w:r w:rsidRPr="006E0620">
        <w:t xml:space="preserve"> subject discontinued study vaccine due to transient urticaria (mild) which was considered treatment related. There were no deaths or </w:t>
      </w:r>
      <w:r w:rsidR="00F50A07" w:rsidRPr="006E0620">
        <w:t>serious adverse events (S</w:t>
      </w:r>
      <w:r w:rsidRPr="006E0620">
        <w:t>AE</w:t>
      </w:r>
      <w:r w:rsidR="00F50A07" w:rsidRPr="006E0620">
        <w:t>)</w:t>
      </w:r>
      <w:r w:rsidRPr="006E0620">
        <w:t xml:space="preserve"> reported. No events of anaphylaxis or myocarditis/pericarditis were reported.</w:t>
      </w:r>
    </w:p>
    <w:p w14:paraId="7D260467" w14:textId="76A4C24B" w:rsidR="00183DD4" w:rsidRPr="006E0620" w:rsidRDefault="00183DD4" w:rsidP="00AD2B85">
      <w:r w:rsidRPr="006E0620">
        <w:t>On the basis of the reactogenicit</w:t>
      </w:r>
      <w:r w:rsidR="00190E04" w:rsidRPr="006E0620">
        <w:t xml:space="preserve">y observed with the </w:t>
      </w:r>
      <w:proofErr w:type="gramStart"/>
      <w:r w:rsidR="00190E04" w:rsidRPr="006E0620">
        <w:t>250 </w:t>
      </w:r>
      <w:r w:rsidRPr="006E0620">
        <w:t>µg</w:t>
      </w:r>
      <w:proofErr w:type="gramEnd"/>
      <w:r w:rsidRPr="006E0620">
        <w:t xml:space="preserve"> dose in adults aged 18</w:t>
      </w:r>
      <w:r w:rsidR="00190E04" w:rsidRPr="006E0620">
        <w:t xml:space="preserve"> to 55 </w:t>
      </w:r>
      <w:r w:rsidRPr="006E0620">
        <w:t>years, this dose level was not investigated in older adults and was not selected for further study in Phase III.</w:t>
      </w:r>
    </w:p>
    <w:p w14:paraId="3683D6A9" w14:textId="4BBF6FD9" w:rsidR="00183DD4" w:rsidRPr="006E0620" w:rsidRDefault="006131C6" w:rsidP="006131C6">
      <w:pPr>
        <w:pStyle w:val="TableTitle"/>
      </w:pPr>
      <w:r w:rsidRPr="006E0620">
        <w:t xml:space="preserve">Table </w:t>
      </w:r>
      <w:r>
        <w:fldChar w:fldCharType="begin"/>
      </w:r>
      <w:r>
        <w:instrText>SEQ Table \* ARABIC</w:instrText>
      </w:r>
      <w:r>
        <w:fldChar w:fldCharType="separate"/>
      </w:r>
      <w:r w:rsidR="00B1591C">
        <w:rPr>
          <w:noProof/>
        </w:rPr>
        <w:t>17</w:t>
      </w:r>
      <w:r>
        <w:fldChar w:fldCharType="end"/>
      </w:r>
      <w:r w:rsidR="00183DD4" w:rsidRPr="006E0620">
        <w:t xml:space="preserve">: </w:t>
      </w:r>
      <w:r w:rsidR="00776482" w:rsidRPr="006E0620">
        <w:t xml:space="preserve">Study 101 </w:t>
      </w:r>
      <w:r w:rsidR="00183DD4" w:rsidRPr="006E0620">
        <w:t>Summary of safety (data cut-off</w:t>
      </w:r>
      <w:r w:rsidR="00190E04" w:rsidRPr="006E0620">
        <w:t xml:space="preserve">: </w:t>
      </w:r>
      <w:r w:rsidR="00183DD4" w:rsidRPr="006E0620">
        <w:t xml:space="preserve">7 </w:t>
      </w:r>
      <w:r w:rsidR="00776482" w:rsidRPr="006E0620">
        <w:t>October</w:t>
      </w:r>
      <w:r w:rsidR="00183DD4" w:rsidRPr="006E0620">
        <w:t xml:space="preserve"> 2020)</w:t>
      </w:r>
    </w:p>
    <w:tbl>
      <w:tblPr>
        <w:tblStyle w:val="TableTGAblue"/>
        <w:tblW w:w="0" w:type="auto"/>
        <w:tblLook w:val="04A0" w:firstRow="1" w:lastRow="0" w:firstColumn="1" w:lastColumn="0" w:noHBand="0" w:noVBand="1"/>
      </w:tblPr>
      <w:tblGrid>
        <w:gridCol w:w="1975"/>
        <w:gridCol w:w="3118"/>
        <w:gridCol w:w="2835"/>
      </w:tblGrid>
      <w:tr w:rsidR="00183DD4" w:rsidRPr="006E0620" w14:paraId="69E2F1E4" w14:textId="77777777" w:rsidTr="00FA34DF">
        <w:trPr>
          <w:cnfStyle w:val="100000000000" w:firstRow="1" w:lastRow="0" w:firstColumn="0" w:lastColumn="0" w:oddVBand="0" w:evenVBand="0" w:oddHBand="0" w:evenHBand="0" w:firstRowFirstColumn="0" w:firstRowLastColumn="0" w:lastRowFirstColumn="0" w:lastRowLastColumn="0"/>
        </w:trPr>
        <w:tc>
          <w:tcPr>
            <w:tcW w:w="1975" w:type="dxa"/>
          </w:tcPr>
          <w:p w14:paraId="7ACED2F4" w14:textId="77777777" w:rsidR="00183DD4" w:rsidRPr="00FA34DF" w:rsidRDefault="00183DD4" w:rsidP="001E5CC8">
            <w:pPr>
              <w:pStyle w:val="Tabletext"/>
              <w:ind w:left="0"/>
              <w:rPr>
                <w:sz w:val="20"/>
                <w:szCs w:val="20"/>
              </w:rPr>
            </w:pPr>
            <w:r w:rsidRPr="00FA34DF">
              <w:rPr>
                <w:sz w:val="20"/>
                <w:szCs w:val="20"/>
              </w:rPr>
              <w:t>Safety category</w:t>
            </w:r>
          </w:p>
        </w:tc>
        <w:tc>
          <w:tcPr>
            <w:tcW w:w="3118" w:type="dxa"/>
          </w:tcPr>
          <w:p w14:paraId="6B7FD85E" w14:textId="30CCBB49" w:rsidR="00183DD4" w:rsidRPr="00FA34DF" w:rsidRDefault="00183DD4" w:rsidP="001E5CC8">
            <w:pPr>
              <w:pStyle w:val="Tabletext"/>
              <w:ind w:left="0"/>
              <w:rPr>
                <w:sz w:val="20"/>
                <w:szCs w:val="20"/>
              </w:rPr>
            </w:pPr>
            <w:r w:rsidRPr="00FA34DF">
              <w:rPr>
                <w:sz w:val="20"/>
                <w:szCs w:val="20"/>
              </w:rPr>
              <w:t>Adults 18</w:t>
            </w:r>
            <w:r w:rsidR="00BD496D" w:rsidRPr="00FA34DF">
              <w:rPr>
                <w:sz w:val="20"/>
                <w:szCs w:val="20"/>
              </w:rPr>
              <w:t xml:space="preserve"> to </w:t>
            </w:r>
            <w:r w:rsidRPr="00FA34DF">
              <w:rPr>
                <w:sz w:val="20"/>
                <w:szCs w:val="20"/>
              </w:rPr>
              <w:t>55 years</w:t>
            </w:r>
          </w:p>
        </w:tc>
        <w:tc>
          <w:tcPr>
            <w:tcW w:w="2835" w:type="dxa"/>
          </w:tcPr>
          <w:p w14:paraId="229C868F" w14:textId="77777777" w:rsidR="00183DD4" w:rsidRPr="00FA34DF" w:rsidRDefault="00183DD4" w:rsidP="001E5CC8">
            <w:pPr>
              <w:pStyle w:val="Tabletext"/>
              <w:ind w:left="0"/>
              <w:rPr>
                <w:sz w:val="20"/>
                <w:szCs w:val="20"/>
              </w:rPr>
            </w:pPr>
            <w:r w:rsidRPr="00FA34DF">
              <w:rPr>
                <w:sz w:val="20"/>
                <w:szCs w:val="20"/>
              </w:rPr>
              <w:t>Adults &gt; 55 years</w:t>
            </w:r>
          </w:p>
        </w:tc>
      </w:tr>
      <w:tr w:rsidR="00183DD4" w:rsidRPr="006E0620" w14:paraId="198AC485" w14:textId="77777777" w:rsidTr="00FA34DF">
        <w:tc>
          <w:tcPr>
            <w:tcW w:w="1975" w:type="dxa"/>
          </w:tcPr>
          <w:p w14:paraId="42669EC8" w14:textId="77777777" w:rsidR="00183DD4" w:rsidRPr="00FA34DF" w:rsidRDefault="00183DD4" w:rsidP="001E5CC8">
            <w:pPr>
              <w:pStyle w:val="Tabletext"/>
              <w:ind w:left="0"/>
              <w:rPr>
                <w:color w:val="auto"/>
                <w:sz w:val="20"/>
                <w:szCs w:val="20"/>
              </w:rPr>
            </w:pPr>
            <w:r w:rsidRPr="00FA34DF">
              <w:rPr>
                <w:sz w:val="20"/>
                <w:szCs w:val="20"/>
              </w:rPr>
              <w:t>Local and systemic solicited AEs</w:t>
            </w:r>
          </w:p>
        </w:tc>
        <w:tc>
          <w:tcPr>
            <w:tcW w:w="3118" w:type="dxa"/>
          </w:tcPr>
          <w:p w14:paraId="75E62828"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rPr>
              <w:t>Common, but mostly mild to moderate</w:t>
            </w:r>
          </w:p>
          <w:p w14:paraId="199F8E01" w14:textId="1E0A7B04" w:rsidR="00183DD4" w:rsidRPr="00FA34DF" w:rsidRDefault="00BD496D" w:rsidP="001E5CC8">
            <w:pPr>
              <w:pStyle w:val="Tabletext"/>
              <w:ind w:left="0"/>
              <w:rPr>
                <w:rFonts w:eastAsia="MS Mincho"/>
                <w:color w:val="auto"/>
                <w:sz w:val="20"/>
                <w:szCs w:val="20"/>
              </w:rPr>
            </w:pPr>
            <w:r w:rsidRPr="00FA34DF">
              <w:rPr>
                <w:rFonts w:eastAsia="MS Mincho"/>
                <w:sz w:val="20"/>
                <w:szCs w:val="20"/>
              </w:rPr>
              <w:t xml:space="preserve">Dose </w:t>
            </w:r>
            <w:r w:rsidR="00183DD4" w:rsidRPr="00FA34DF">
              <w:rPr>
                <w:rFonts w:eastAsia="MS Mincho"/>
                <w:sz w:val="20"/>
                <w:szCs w:val="20"/>
              </w:rPr>
              <w:t>dependent</w:t>
            </w:r>
          </w:p>
          <w:p w14:paraId="19177F6D"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rPr>
              <w:t>More frequent after Dose 2 than Dose 1</w:t>
            </w:r>
          </w:p>
          <w:p w14:paraId="358041E1" w14:textId="081E0B48" w:rsidR="00183DD4" w:rsidRPr="00FA34DF" w:rsidRDefault="00BD496D" w:rsidP="001E5CC8">
            <w:pPr>
              <w:pStyle w:val="Tabletext"/>
              <w:ind w:left="0"/>
              <w:rPr>
                <w:rFonts w:eastAsia="MS Mincho"/>
                <w:color w:val="auto"/>
                <w:sz w:val="20"/>
                <w:szCs w:val="20"/>
              </w:rPr>
            </w:pPr>
            <w:r w:rsidRPr="00FA34DF">
              <w:rPr>
                <w:rFonts w:eastAsia="MS Mincho"/>
                <w:sz w:val="20"/>
                <w:szCs w:val="20"/>
                <w:lang w:eastAsia="ja-JP"/>
              </w:rPr>
              <w:t>E</w:t>
            </w:r>
            <w:r w:rsidR="00183DD4" w:rsidRPr="00FA34DF">
              <w:rPr>
                <w:rFonts w:eastAsia="MS Mincho"/>
                <w:sz w:val="20"/>
                <w:szCs w:val="20"/>
                <w:lang w:eastAsia="ja-JP"/>
              </w:rPr>
              <w:t>vents that occurred in more than half the participants included fatigue, chills, headache, myalgia, and pain at the injection site</w:t>
            </w:r>
          </w:p>
          <w:p w14:paraId="146C20F1"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lang w:eastAsia="ja-JP"/>
              </w:rPr>
              <w:t>Most common: vaccination site pain (91.7% of subjects after any dose)</w:t>
            </w:r>
          </w:p>
        </w:tc>
        <w:tc>
          <w:tcPr>
            <w:tcW w:w="2835" w:type="dxa"/>
          </w:tcPr>
          <w:p w14:paraId="13388CFA" w14:textId="77777777" w:rsidR="00183DD4" w:rsidRPr="00FA34DF" w:rsidRDefault="00183DD4" w:rsidP="001E5CC8">
            <w:pPr>
              <w:pStyle w:val="Tabletext"/>
              <w:ind w:left="0"/>
              <w:rPr>
                <w:color w:val="auto"/>
                <w:sz w:val="20"/>
                <w:szCs w:val="20"/>
              </w:rPr>
            </w:pPr>
            <w:r w:rsidRPr="00FA34DF">
              <w:rPr>
                <w:sz w:val="20"/>
                <w:szCs w:val="20"/>
              </w:rPr>
              <w:t>Similar pattern to younger adults, but events slightly less frequent</w:t>
            </w:r>
          </w:p>
          <w:p w14:paraId="3C68BF96" w14:textId="70F078D7" w:rsidR="00183DD4" w:rsidRPr="00FA34DF" w:rsidRDefault="00183DD4" w:rsidP="001E5CC8">
            <w:pPr>
              <w:pStyle w:val="Tabletext"/>
              <w:ind w:left="0"/>
              <w:rPr>
                <w:color w:val="auto"/>
                <w:sz w:val="20"/>
                <w:szCs w:val="20"/>
              </w:rPr>
            </w:pPr>
            <w:r w:rsidRPr="00FA34DF">
              <w:rPr>
                <w:sz w:val="20"/>
                <w:szCs w:val="20"/>
              </w:rPr>
              <w:t>Most common: vaccination site pain (</w:t>
            </w:r>
            <w:r w:rsidR="00BD496D" w:rsidRPr="00FA34DF">
              <w:rPr>
                <w:sz w:val="20"/>
                <w:szCs w:val="20"/>
              </w:rPr>
              <w:t>80% of subjects after any dose)</w:t>
            </w:r>
          </w:p>
        </w:tc>
      </w:tr>
      <w:tr w:rsidR="00183DD4" w:rsidRPr="006E0620" w14:paraId="7C0D6AEE" w14:textId="77777777" w:rsidTr="00C618E0">
        <w:trPr>
          <w:cantSplit/>
        </w:trPr>
        <w:tc>
          <w:tcPr>
            <w:tcW w:w="0" w:type="dxa"/>
          </w:tcPr>
          <w:p w14:paraId="7BA1F2C9" w14:textId="77777777" w:rsidR="00183DD4" w:rsidRPr="00FA34DF" w:rsidRDefault="00183DD4" w:rsidP="001E5CC8">
            <w:pPr>
              <w:pStyle w:val="Tabletext"/>
              <w:ind w:left="0"/>
              <w:rPr>
                <w:color w:val="auto"/>
                <w:sz w:val="20"/>
                <w:szCs w:val="20"/>
              </w:rPr>
            </w:pPr>
            <w:r w:rsidRPr="00FA34DF">
              <w:rPr>
                <w:sz w:val="20"/>
                <w:szCs w:val="20"/>
              </w:rPr>
              <w:t>Unsolicited AEs</w:t>
            </w:r>
          </w:p>
        </w:tc>
        <w:tc>
          <w:tcPr>
            <w:tcW w:w="0" w:type="dxa"/>
          </w:tcPr>
          <w:p w14:paraId="0EEC0C5F"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rPr>
              <w:t>Mostly mild, no obvious clustering by SOC</w:t>
            </w:r>
          </w:p>
          <w:p w14:paraId="10A35C06" w14:textId="4BC5540F" w:rsidR="00183DD4" w:rsidRPr="00FA34DF" w:rsidRDefault="00183DD4" w:rsidP="001E5CC8">
            <w:pPr>
              <w:pStyle w:val="Tabletext"/>
              <w:ind w:left="0"/>
              <w:rPr>
                <w:rFonts w:eastAsia="MS Mincho"/>
                <w:color w:val="auto"/>
                <w:sz w:val="20"/>
                <w:szCs w:val="20"/>
              </w:rPr>
            </w:pPr>
            <w:r w:rsidRPr="00FA34DF">
              <w:rPr>
                <w:rFonts w:eastAsia="MS Mincho"/>
                <w:sz w:val="20"/>
                <w:szCs w:val="20"/>
              </w:rPr>
              <w:t>2 severe AEs considered related to vaccine: events of syncope and light</w:t>
            </w:r>
            <w:r w:rsidR="00BD496D" w:rsidRPr="00FA34DF">
              <w:rPr>
                <w:rFonts w:eastAsia="MS Mincho"/>
                <w:sz w:val="20"/>
                <w:szCs w:val="20"/>
              </w:rPr>
              <w:t xml:space="preserve"> headedness with onset D</w:t>
            </w:r>
            <w:r w:rsidRPr="00FA34DF">
              <w:rPr>
                <w:rFonts w:eastAsia="MS Mincho"/>
                <w:sz w:val="20"/>
                <w:szCs w:val="20"/>
              </w:rPr>
              <w:t>ay 2 post Dose 2 in subject with severe fever and chills (250</w:t>
            </w:r>
            <w:r w:rsidR="00BD496D" w:rsidRPr="00FA34DF">
              <w:rPr>
                <w:rFonts w:eastAsia="MS Mincho"/>
                <w:sz w:val="20"/>
                <w:szCs w:val="20"/>
              </w:rPr>
              <w:t> µg group)</w:t>
            </w:r>
          </w:p>
        </w:tc>
        <w:tc>
          <w:tcPr>
            <w:tcW w:w="0" w:type="dxa"/>
          </w:tcPr>
          <w:p w14:paraId="660E1EE7" w14:textId="77777777" w:rsidR="00183DD4" w:rsidRPr="00FA34DF" w:rsidRDefault="00183DD4" w:rsidP="001E5CC8">
            <w:pPr>
              <w:pStyle w:val="Tabletext"/>
              <w:ind w:left="0"/>
              <w:rPr>
                <w:color w:val="auto"/>
                <w:sz w:val="20"/>
                <w:szCs w:val="20"/>
              </w:rPr>
            </w:pPr>
            <w:r w:rsidRPr="00FA34DF">
              <w:rPr>
                <w:sz w:val="20"/>
                <w:szCs w:val="20"/>
              </w:rPr>
              <w:t>Mostly mild, no obvious clustering by SOC</w:t>
            </w:r>
          </w:p>
          <w:p w14:paraId="46C4841F" w14:textId="77777777" w:rsidR="00183DD4" w:rsidRPr="00FA34DF" w:rsidRDefault="00183DD4" w:rsidP="001E5CC8">
            <w:pPr>
              <w:pStyle w:val="Tabletext"/>
              <w:ind w:left="0"/>
              <w:rPr>
                <w:color w:val="auto"/>
                <w:sz w:val="20"/>
                <w:szCs w:val="20"/>
              </w:rPr>
            </w:pPr>
            <w:r w:rsidRPr="00FA34DF">
              <w:rPr>
                <w:sz w:val="20"/>
                <w:szCs w:val="20"/>
              </w:rPr>
              <w:t>No severe AEs considered related to vaccine</w:t>
            </w:r>
          </w:p>
        </w:tc>
      </w:tr>
      <w:tr w:rsidR="00183DD4" w:rsidRPr="006E0620" w14:paraId="4CA97398" w14:textId="77777777" w:rsidTr="00FA34DF">
        <w:tc>
          <w:tcPr>
            <w:tcW w:w="1975" w:type="dxa"/>
          </w:tcPr>
          <w:p w14:paraId="29CC2C37" w14:textId="57E58C72" w:rsidR="00183DD4" w:rsidRPr="00FA34DF" w:rsidRDefault="00183DD4" w:rsidP="001E5CC8">
            <w:pPr>
              <w:pStyle w:val="Tabletext"/>
              <w:ind w:left="0"/>
              <w:rPr>
                <w:color w:val="auto"/>
                <w:sz w:val="20"/>
                <w:szCs w:val="20"/>
              </w:rPr>
            </w:pPr>
            <w:r w:rsidRPr="00FA34DF">
              <w:rPr>
                <w:sz w:val="20"/>
                <w:szCs w:val="20"/>
              </w:rPr>
              <w:t>SAEs</w:t>
            </w:r>
          </w:p>
        </w:tc>
        <w:tc>
          <w:tcPr>
            <w:tcW w:w="3118" w:type="dxa"/>
          </w:tcPr>
          <w:p w14:paraId="18C90849" w14:textId="77777777" w:rsidR="00183DD4" w:rsidRPr="00FA34DF" w:rsidRDefault="00183DD4" w:rsidP="001E5CC8">
            <w:pPr>
              <w:pStyle w:val="Tabletext"/>
              <w:ind w:left="0"/>
              <w:rPr>
                <w:color w:val="auto"/>
                <w:sz w:val="20"/>
                <w:szCs w:val="20"/>
              </w:rPr>
            </w:pPr>
            <w:r w:rsidRPr="00FA34DF">
              <w:rPr>
                <w:sz w:val="20"/>
                <w:szCs w:val="20"/>
              </w:rPr>
              <w:t>None reported</w:t>
            </w:r>
          </w:p>
        </w:tc>
        <w:tc>
          <w:tcPr>
            <w:tcW w:w="2835" w:type="dxa"/>
          </w:tcPr>
          <w:p w14:paraId="734F84E0" w14:textId="77777777" w:rsidR="00183DD4" w:rsidRPr="00FA34DF" w:rsidRDefault="00183DD4" w:rsidP="001E5CC8">
            <w:pPr>
              <w:pStyle w:val="Tabletext"/>
              <w:ind w:left="0"/>
              <w:rPr>
                <w:color w:val="auto"/>
                <w:sz w:val="20"/>
                <w:szCs w:val="20"/>
              </w:rPr>
            </w:pPr>
            <w:r w:rsidRPr="00FA34DF">
              <w:rPr>
                <w:sz w:val="20"/>
                <w:szCs w:val="20"/>
              </w:rPr>
              <w:t>None reported</w:t>
            </w:r>
          </w:p>
        </w:tc>
      </w:tr>
      <w:tr w:rsidR="00183DD4" w:rsidRPr="006E0620" w14:paraId="1FBF718A" w14:textId="77777777" w:rsidTr="00FA34DF">
        <w:tc>
          <w:tcPr>
            <w:tcW w:w="1975" w:type="dxa"/>
          </w:tcPr>
          <w:p w14:paraId="1BC46F8E" w14:textId="77777777" w:rsidR="00183DD4" w:rsidRPr="00FA34DF" w:rsidRDefault="00183DD4" w:rsidP="001E5CC8">
            <w:pPr>
              <w:pStyle w:val="Tabletext"/>
              <w:ind w:left="0"/>
              <w:rPr>
                <w:color w:val="auto"/>
                <w:sz w:val="20"/>
                <w:szCs w:val="20"/>
              </w:rPr>
            </w:pPr>
            <w:r w:rsidRPr="00FA34DF">
              <w:rPr>
                <w:sz w:val="20"/>
                <w:szCs w:val="20"/>
              </w:rPr>
              <w:lastRenderedPageBreak/>
              <w:t>Discontinuations</w:t>
            </w:r>
          </w:p>
        </w:tc>
        <w:tc>
          <w:tcPr>
            <w:tcW w:w="3118" w:type="dxa"/>
          </w:tcPr>
          <w:p w14:paraId="59F84C30" w14:textId="689E0FB1" w:rsidR="00183DD4" w:rsidRPr="00FA34DF" w:rsidRDefault="00BD496D" w:rsidP="001E5CC8">
            <w:pPr>
              <w:pStyle w:val="Tabletext"/>
              <w:ind w:left="0"/>
              <w:rPr>
                <w:rFonts w:eastAsia="MS Mincho"/>
                <w:color w:val="auto"/>
                <w:sz w:val="20"/>
                <w:szCs w:val="20"/>
              </w:rPr>
            </w:pPr>
            <w:r w:rsidRPr="00FA34DF">
              <w:rPr>
                <w:rFonts w:eastAsia="MS Mincho"/>
                <w:sz w:val="20"/>
                <w:szCs w:val="20"/>
              </w:rPr>
              <w:t>One</w:t>
            </w:r>
            <w:r w:rsidR="00183DD4" w:rsidRPr="00FA34DF">
              <w:rPr>
                <w:rFonts w:eastAsia="MS Mincho"/>
                <w:sz w:val="20"/>
                <w:szCs w:val="20"/>
              </w:rPr>
              <w:t xml:space="preserve"> subject (25</w:t>
            </w:r>
            <w:r w:rsidRPr="00FA34DF">
              <w:rPr>
                <w:rFonts w:eastAsia="MS Mincho"/>
                <w:sz w:val="20"/>
                <w:szCs w:val="20"/>
              </w:rPr>
              <w:t> </w:t>
            </w:r>
            <w:r w:rsidR="00183DD4" w:rsidRPr="00FA34DF">
              <w:rPr>
                <w:rFonts w:eastAsia="MS Mincho"/>
                <w:sz w:val="20"/>
                <w:szCs w:val="20"/>
              </w:rPr>
              <w:t>µg group) with transient urticaria considered related to Dose 1 (onset Day 5).</w:t>
            </w:r>
          </w:p>
          <w:p w14:paraId="258FB0B8" w14:textId="4DB51BC4" w:rsidR="00183DD4" w:rsidRPr="00FA34DF" w:rsidRDefault="00BD496D" w:rsidP="001E5CC8">
            <w:pPr>
              <w:pStyle w:val="Tabletext"/>
              <w:ind w:left="0"/>
              <w:rPr>
                <w:rFonts w:eastAsia="MS Mincho"/>
                <w:color w:val="auto"/>
                <w:sz w:val="20"/>
                <w:szCs w:val="20"/>
              </w:rPr>
            </w:pPr>
            <w:r w:rsidRPr="00FA34DF">
              <w:rPr>
                <w:rFonts w:eastAsia="MS Mincho"/>
                <w:sz w:val="20"/>
                <w:szCs w:val="20"/>
              </w:rPr>
              <w:t>One</w:t>
            </w:r>
            <w:r w:rsidR="00183DD4" w:rsidRPr="00FA34DF">
              <w:rPr>
                <w:rFonts w:eastAsia="MS Mincho"/>
                <w:sz w:val="20"/>
                <w:szCs w:val="20"/>
              </w:rPr>
              <w:t xml:space="preserve"> subject (25</w:t>
            </w:r>
            <w:r w:rsidRPr="00FA34DF">
              <w:rPr>
                <w:rFonts w:eastAsia="MS Mincho"/>
                <w:sz w:val="20"/>
                <w:szCs w:val="20"/>
              </w:rPr>
              <w:t> </w:t>
            </w:r>
            <w:r w:rsidR="00183DD4" w:rsidRPr="00FA34DF">
              <w:rPr>
                <w:rFonts w:eastAsia="MS Mincho"/>
                <w:sz w:val="20"/>
                <w:szCs w:val="20"/>
              </w:rPr>
              <w:t>µg group) withdrew after known SARS-CoV-2 exposure</w:t>
            </w:r>
          </w:p>
          <w:p w14:paraId="147B502C" w14:textId="5D8CBFA4" w:rsidR="00183DD4" w:rsidRPr="00FA34DF" w:rsidRDefault="00BD496D" w:rsidP="001E5CC8">
            <w:pPr>
              <w:pStyle w:val="Tabletext"/>
              <w:ind w:left="0"/>
              <w:rPr>
                <w:rFonts w:eastAsia="MS Mincho"/>
                <w:color w:val="auto"/>
                <w:sz w:val="20"/>
                <w:szCs w:val="20"/>
              </w:rPr>
            </w:pPr>
            <w:r w:rsidRPr="00FA34DF">
              <w:rPr>
                <w:rFonts w:eastAsia="MS Mincho"/>
                <w:sz w:val="20"/>
                <w:szCs w:val="20"/>
              </w:rPr>
              <w:t>One</w:t>
            </w:r>
            <w:r w:rsidR="00183DD4" w:rsidRPr="00FA34DF">
              <w:rPr>
                <w:rFonts w:eastAsia="MS Mincho"/>
                <w:sz w:val="20"/>
                <w:szCs w:val="20"/>
              </w:rPr>
              <w:t xml:space="preserve"> subject (250</w:t>
            </w:r>
            <w:r w:rsidRPr="00FA34DF">
              <w:rPr>
                <w:rFonts w:eastAsia="MS Mincho"/>
                <w:sz w:val="20"/>
                <w:szCs w:val="20"/>
              </w:rPr>
              <w:t> </w:t>
            </w:r>
            <w:r w:rsidR="00183DD4" w:rsidRPr="00FA34DF">
              <w:rPr>
                <w:rFonts w:eastAsia="MS Mincho"/>
                <w:sz w:val="20"/>
                <w:szCs w:val="20"/>
              </w:rPr>
              <w:t>µg group) with sore throat (not deemed related to vaccine)</w:t>
            </w:r>
          </w:p>
        </w:tc>
        <w:tc>
          <w:tcPr>
            <w:tcW w:w="2835" w:type="dxa"/>
          </w:tcPr>
          <w:p w14:paraId="59BF6CD8" w14:textId="0CF15CF0" w:rsidR="00183DD4" w:rsidRPr="00FA34DF" w:rsidRDefault="00183DD4" w:rsidP="001E5CC8">
            <w:pPr>
              <w:pStyle w:val="Tabletext"/>
              <w:ind w:left="0"/>
              <w:rPr>
                <w:rFonts w:eastAsia="MS Mincho"/>
                <w:color w:val="auto"/>
                <w:sz w:val="20"/>
                <w:szCs w:val="20"/>
              </w:rPr>
            </w:pPr>
            <w:r w:rsidRPr="00FA34DF">
              <w:rPr>
                <w:rFonts w:eastAsia="MS Mincho"/>
                <w:sz w:val="20"/>
                <w:szCs w:val="20"/>
              </w:rPr>
              <w:t>One subject aged 56</w:t>
            </w:r>
            <w:r w:rsidR="00BD496D" w:rsidRPr="00FA34DF">
              <w:rPr>
                <w:rFonts w:eastAsia="MS Mincho"/>
                <w:sz w:val="20"/>
                <w:szCs w:val="20"/>
              </w:rPr>
              <w:t xml:space="preserve"> to </w:t>
            </w:r>
            <w:r w:rsidRPr="00FA34DF">
              <w:rPr>
                <w:rFonts w:eastAsia="MS Mincho"/>
                <w:sz w:val="20"/>
                <w:szCs w:val="20"/>
              </w:rPr>
              <w:t>70 years (100</w:t>
            </w:r>
            <w:r w:rsidR="00BD496D" w:rsidRPr="00FA34DF">
              <w:rPr>
                <w:rFonts w:eastAsia="MS Mincho"/>
                <w:sz w:val="20"/>
                <w:szCs w:val="20"/>
              </w:rPr>
              <w:t> </w:t>
            </w:r>
            <w:r w:rsidRPr="00FA34DF">
              <w:rPr>
                <w:rFonts w:eastAsia="MS Mincho"/>
                <w:sz w:val="20"/>
                <w:szCs w:val="20"/>
              </w:rPr>
              <w:t>µg group) with paronychia onset 2 days after Dose 1. Treated with trimethoprim</w:t>
            </w:r>
            <w:r w:rsidR="00BD496D" w:rsidRPr="00FA34DF">
              <w:rPr>
                <w:rFonts w:eastAsia="MS Mincho"/>
                <w:sz w:val="20"/>
                <w:szCs w:val="20"/>
              </w:rPr>
              <w:t xml:space="preserve"> </w:t>
            </w:r>
            <w:r w:rsidRPr="00FA34DF">
              <w:rPr>
                <w:rFonts w:eastAsia="MS Mincho"/>
                <w:sz w:val="20"/>
                <w:szCs w:val="20"/>
              </w:rPr>
              <w:t xml:space="preserve">sulfamethoxazole. Developed diffuse </w:t>
            </w:r>
            <w:proofErr w:type="spellStart"/>
            <w:r w:rsidRPr="00FA34DF">
              <w:rPr>
                <w:rFonts w:eastAsia="MS Mincho"/>
                <w:sz w:val="20"/>
                <w:szCs w:val="20"/>
              </w:rPr>
              <w:t>maculo</w:t>
            </w:r>
            <w:proofErr w:type="spellEnd"/>
            <w:r w:rsidR="00BD496D" w:rsidRPr="00FA34DF">
              <w:rPr>
                <w:rFonts w:eastAsia="MS Mincho"/>
                <w:sz w:val="20"/>
                <w:szCs w:val="20"/>
              </w:rPr>
              <w:t xml:space="preserve"> </w:t>
            </w:r>
            <w:proofErr w:type="spellStart"/>
            <w:r w:rsidRPr="00FA34DF">
              <w:rPr>
                <w:rFonts w:eastAsia="MS Mincho"/>
                <w:sz w:val="20"/>
                <w:szCs w:val="20"/>
              </w:rPr>
              <w:t>papular</w:t>
            </w:r>
            <w:proofErr w:type="spellEnd"/>
            <w:r w:rsidRPr="00FA34DF">
              <w:rPr>
                <w:rFonts w:eastAsia="MS Mincho"/>
                <w:sz w:val="20"/>
                <w:szCs w:val="20"/>
              </w:rPr>
              <w:t xml:space="preserve"> rash 7 days later, c</w:t>
            </w:r>
            <w:r w:rsidR="00BD496D" w:rsidRPr="00FA34DF">
              <w:rPr>
                <w:rFonts w:eastAsia="MS Mincho"/>
                <w:sz w:val="20"/>
                <w:szCs w:val="20"/>
              </w:rPr>
              <w:t>onsidered unrelated to vaccine</w:t>
            </w:r>
          </w:p>
        </w:tc>
      </w:tr>
      <w:tr w:rsidR="00183DD4" w:rsidRPr="006E0620" w14:paraId="00F1DA7A" w14:textId="77777777" w:rsidTr="00FA34DF">
        <w:tc>
          <w:tcPr>
            <w:tcW w:w="1975" w:type="dxa"/>
          </w:tcPr>
          <w:p w14:paraId="0E737129" w14:textId="77777777" w:rsidR="00183DD4" w:rsidRPr="00FA34DF" w:rsidRDefault="00183DD4" w:rsidP="001E5CC8">
            <w:pPr>
              <w:pStyle w:val="Tabletext"/>
              <w:ind w:left="0"/>
              <w:rPr>
                <w:color w:val="auto"/>
                <w:sz w:val="20"/>
                <w:szCs w:val="20"/>
              </w:rPr>
            </w:pPr>
            <w:r w:rsidRPr="00FA34DF">
              <w:rPr>
                <w:sz w:val="20"/>
                <w:szCs w:val="20"/>
              </w:rPr>
              <w:t>Other comments</w:t>
            </w:r>
          </w:p>
        </w:tc>
        <w:tc>
          <w:tcPr>
            <w:tcW w:w="3118" w:type="dxa"/>
          </w:tcPr>
          <w:p w14:paraId="7DC8E3F1"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rPr>
              <w:t>No reports of myocarditis or pericarditis</w:t>
            </w:r>
          </w:p>
        </w:tc>
        <w:tc>
          <w:tcPr>
            <w:tcW w:w="2835" w:type="dxa"/>
          </w:tcPr>
          <w:p w14:paraId="1EDDA1A5" w14:textId="77777777" w:rsidR="00183DD4" w:rsidRPr="00FA34DF" w:rsidRDefault="00183DD4" w:rsidP="001E5CC8">
            <w:pPr>
              <w:pStyle w:val="Tabletext"/>
              <w:ind w:left="0"/>
              <w:rPr>
                <w:rFonts w:eastAsia="MS Mincho"/>
                <w:color w:val="auto"/>
                <w:sz w:val="20"/>
                <w:szCs w:val="20"/>
              </w:rPr>
            </w:pPr>
            <w:r w:rsidRPr="00FA34DF">
              <w:rPr>
                <w:rFonts w:eastAsia="MS Mincho"/>
                <w:sz w:val="20"/>
                <w:szCs w:val="20"/>
              </w:rPr>
              <w:t>No reports of myocarditis or pericarditis</w:t>
            </w:r>
          </w:p>
          <w:p w14:paraId="378EEB9E" w14:textId="604DA754" w:rsidR="00183DD4" w:rsidRPr="00FA34DF" w:rsidRDefault="00183DD4" w:rsidP="001E5CC8">
            <w:pPr>
              <w:pStyle w:val="Tabletext"/>
              <w:ind w:left="0"/>
              <w:rPr>
                <w:rFonts w:eastAsia="MS Mincho"/>
                <w:color w:val="auto"/>
                <w:sz w:val="20"/>
                <w:szCs w:val="20"/>
                <w:lang w:eastAsia="ja-JP"/>
              </w:rPr>
            </w:pPr>
            <w:r w:rsidRPr="00FA34DF">
              <w:rPr>
                <w:rFonts w:eastAsia="MS Mincho"/>
                <w:sz w:val="20"/>
                <w:szCs w:val="20"/>
              </w:rPr>
              <w:t>Laboratory evaluations: Grade 2 thrombocytopenia was noted in one subject ≥</w:t>
            </w:r>
            <w:r w:rsidR="00BD496D" w:rsidRPr="00FA34DF">
              <w:rPr>
                <w:rFonts w:eastAsia="MS Mincho"/>
                <w:sz w:val="20"/>
                <w:szCs w:val="20"/>
              </w:rPr>
              <w:t> </w:t>
            </w:r>
            <w:r w:rsidRPr="00FA34DF">
              <w:rPr>
                <w:rFonts w:eastAsia="MS Mincho"/>
                <w:sz w:val="20"/>
                <w:szCs w:val="20"/>
              </w:rPr>
              <w:t>71 years of age (</w:t>
            </w:r>
            <w:r w:rsidR="00BD496D" w:rsidRPr="00FA34DF">
              <w:rPr>
                <w:rFonts w:eastAsia="MS Mincho"/>
                <w:sz w:val="20"/>
                <w:szCs w:val="20"/>
              </w:rPr>
              <w:t>clinical relevance not stated)</w:t>
            </w:r>
          </w:p>
        </w:tc>
      </w:tr>
    </w:tbl>
    <w:p w14:paraId="348E792A" w14:textId="1C603DAA" w:rsidR="00BD496D" w:rsidRPr="006E0620" w:rsidRDefault="00BD496D" w:rsidP="00BD496D">
      <w:pPr>
        <w:pStyle w:val="TableDescription"/>
      </w:pPr>
      <w:r w:rsidRPr="006E0620">
        <w:t>AE = adverse event; SOC = System Organ Class; SAE = serious adverse event; SARS-CoV-2 = severe acute respiratory syndrome coronavirus 2.</w:t>
      </w:r>
    </w:p>
    <w:p w14:paraId="59573823" w14:textId="5E624440" w:rsidR="00183DD4" w:rsidRPr="006E0620" w:rsidRDefault="00925469" w:rsidP="00AD2B85">
      <w:pPr>
        <w:pStyle w:val="Heading5"/>
      </w:pPr>
      <w:r w:rsidRPr="006E0620">
        <w:t>Study 201</w:t>
      </w:r>
    </w:p>
    <w:p w14:paraId="02116AF1" w14:textId="637D8D3A" w:rsidR="00183DD4" w:rsidRPr="006E0620" w:rsidRDefault="00183DD4" w:rsidP="00AD2B85">
      <w:r w:rsidRPr="006E0620">
        <w:t>Safety data we</w:t>
      </w:r>
      <w:r w:rsidR="001E5CC8" w:rsidRPr="006E0620">
        <w:t xml:space="preserve">re available up to 57 days post </w:t>
      </w:r>
      <w:r w:rsidRPr="006E0620">
        <w:t>vaccination.</w:t>
      </w:r>
    </w:p>
    <w:p w14:paraId="71403E6B" w14:textId="138E4058" w:rsidR="00183DD4" w:rsidRPr="006E0620" w:rsidRDefault="00183DD4" w:rsidP="00AD2B85">
      <w:r w:rsidRPr="006E0620">
        <w:t xml:space="preserve">The profile of solicited ARs was consistent with what was reported in Study 301. The most frequently reported solicited </w:t>
      </w:r>
      <w:r w:rsidR="00F75735" w:rsidRPr="006E0620">
        <w:t>AR</w:t>
      </w:r>
      <w:r w:rsidRPr="006E0620">
        <w:t xml:space="preserve"> was vaccination site pain. The incidence of solicited ARs</w:t>
      </w:r>
      <w:r w:rsidR="00F50A07" w:rsidRPr="006E0620">
        <w:t xml:space="preserve"> was somewhat higher in the 100 </w:t>
      </w:r>
      <w:r w:rsidRPr="006E0620">
        <w:t>µg d</w:t>
      </w:r>
      <w:r w:rsidR="00F50A07" w:rsidRPr="006E0620">
        <w:t xml:space="preserve">ose groups compared with the </w:t>
      </w:r>
      <w:proofErr w:type="gramStart"/>
      <w:r w:rsidR="00F50A07" w:rsidRPr="006E0620">
        <w:t>50 </w:t>
      </w:r>
      <w:r w:rsidRPr="006E0620">
        <w:t>µg</w:t>
      </w:r>
      <w:proofErr w:type="gramEnd"/>
      <w:r w:rsidRPr="006E0620">
        <w:t xml:space="preserve"> dose groups, and was similar between younger and older adult age cohorts. Most solicited events were mild to moderate and resolved in </w:t>
      </w:r>
      <w:r w:rsidR="00F50A07" w:rsidRPr="006E0620">
        <w:t>one to three</w:t>
      </w:r>
      <w:r w:rsidRPr="006E0620">
        <w:t xml:space="preserve"> days. The proportion of subjects reporting unsolicited AEs from Day 1 to Day 57 was similar </w:t>
      </w:r>
      <w:r w:rsidR="00F50A07" w:rsidRPr="006E0620">
        <w:t>between vaccine (29.5% with 100 µg, 30.5% with 50 </w:t>
      </w:r>
      <w:r w:rsidRPr="006E0620">
        <w:t xml:space="preserve">µg) and placebo (27.5%) groups. </w:t>
      </w:r>
      <w:r w:rsidR="00F50A07" w:rsidRPr="006E0620">
        <w:t>One</w:t>
      </w:r>
      <w:r w:rsidRPr="006E0620">
        <w:t xml:space="preserve"> SAE of community acquired pneumonia with onset Day</w:t>
      </w:r>
      <w:r w:rsidR="00F50A07" w:rsidRPr="006E0620">
        <w:t> 33 (50 µg group, aged ≥ 55 </w:t>
      </w:r>
      <w:r w:rsidRPr="006E0620">
        <w:t xml:space="preserve">years) was reported, this was not considered vaccine related. No deaths were reported. There were no reported events of anaphylaxis, </w:t>
      </w:r>
      <w:proofErr w:type="gramStart"/>
      <w:r w:rsidRPr="006E0620">
        <w:t>myocarditis</w:t>
      </w:r>
      <w:proofErr w:type="gramEnd"/>
      <w:r w:rsidRPr="006E0620">
        <w:t xml:space="preserve"> or pericarditis.</w:t>
      </w:r>
    </w:p>
    <w:p w14:paraId="48A788C8" w14:textId="458CFD53" w:rsidR="00183DD4" w:rsidRPr="006E0620" w:rsidRDefault="006131C6" w:rsidP="006131C6">
      <w:pPr>
        <w:pStyle w:val="TableTitle"/>
      </w:pPr>
      <w:r w:rsidRPr="006E0620">
        <w:t xml:space="preserve">Table </w:t>
      </w:r>
      <w:r>
        <w:fldChar w:fldCharType="begin"/>
      </w:r>
      <w:r>
        <w:instrText>SEQ Table \* ARABIC</w:instrText>
      </w:r>
      <w:r>
        <w:fldChar w:fldCharType="separate"/>
      </w:r>
      <w:r w:rsidR="00B1591C">
        <w:rPr>
          <w:noProof/>
        </w:rPr>
        <w:t>18</w:t>
      </w:r>
      <w:r>
        <w:fldChar w:fldCharType="end"/>
      </w:r>
      <w:r w:rsidR="00183DD4" w:rsidRPr="006E0620">
        <w:t xml:space="preserve">: </w:t>
      </w:r>
      <w:r w:rsidR="00776482" w:rsidRPr="006E0620">
        <w:t xml:space="preserve">Study 201 </w:t>
      </w:r>
      <w:r w:rsidR="00183DD4" w:rsidRPr="006E0620">
        <w:t xml:space="preserve">Summary of </w:t>
      </w:r>
      <w:r w:rsidR="00F50A07" w:rsidRPr="006E0620">
        <w:t>safety</w:t>
      </w:r>
    </w:p>
    <w:tbl>
      <w:tblPr>
        <w:tblStyle w:val="TableTGAblue"/>
        <w:tblW w:w="0" w:type="auto"/>
        <w:tblLook w:val="04A0" w:firstRow="1" w:lastRow="0" w:firstColumn="1" w:lastColumn="0" w:noHBand="0" w:noVBand="1"/>
      </w:tblPr>
      <w:tblGrid>
        <w:gridCol w:w="1836"/>
        <w:gridCol w:w="2835"/>
        <w:gridCol w:w="3402"/>
      </w:tblGrid>
      <w:tr w:rsidR="00183DD4" w:rsidRPr="006E0620" w14:paraId="574E4576" w14:textId="77777777" w:rsidTr="00FA34DF">
        <w:trPr>
          <w:cnfStyle w:val="100000000000" w:firstRow="1" w:lastRow="0" w:firstColumn="0" w:lastColumn="0" w:oddVBand="0" w:evenVBand="0" w:oddHBand="0" w:evenHBand="0" w:firstRowFirstColumn="0" w:firstRowLastColumn="0" w:lastRowFirstColumn="0" w:lastRowLastColumn="0"/>
        </w:trPr>
        <w:tc>
          <w:tcPr>
            <w:tcW w:w="1833" w:type="dxa"/>
          </w:tcPr>
          <w:p w14:paraId="5E373F70" w14:textId="77777777" w:rsidR="00183DD4" w:rsidRPr="00FA34DF" w:rsidRDefault="00183DD4" w:rsidP="001E5CC8">
            <w:pPr>
              <w:pStyle w:val="Tabletext"/>
              <w:ind w:left="0"/>
              <w:rPr>
                <w:sz w:val="20"/>
                <w:szCs w:val="20"/>
              </w:rPr>
            </w:pPr>
            <w:r w:rsidRPr="00FA34DF">
              <w:rPr>
                <w:sz w:val="20"/>
                <w:szCs w:val="20"/>
              </w:rPr>
              <w:t>Safety category</w:t>
            </w:r>
          </w:p>
        </w:tc>
        <w:tc>
          <w:tcPr>
            <w:tcW w:w="2835" w:type="dxa"/>
          </w:tcPr>
          <w:p w14:paraId="0889A347" w14:textId="57304D1B" w:rsidR="00183DD4" w:rsidRPr="00FA34DF" w:rsidRDefault="00183DD4" w:rsidP="001E5CC8">
            <w:pPr>
              <w:pStyle w:val="Tabletext"/>
              <w:ind w:left="0"/>
              <w:rPr>
                <w:sz w:val="20"/>
                <w:szCs w:val="20"/>
              </w:rPr>
            </w:pPr>
            <w:r w:rsidRPr="00FA34DF">
              <w:rPr>
                <w:sz w:val="20"/>
                <w:szCs w:val="20"/>
              </w:rPr>
              <w:t>Adults 18 to &lt;</w:t>
            </w:r>
            <w:r w:rsidR="001E5CC8" w:rsidRPr="00FA34DF">
              <w:rPr>
                <w:sz w:val="20"/>
                <w:szCs w:val="20"/>
              </w:rPr>
              <w:t> </w:t>
            </w:r>
            <w:r w:rsidRPr="00FA34DF">
              <w:rPr>
                <w:sz w:val="20"/>
                <w:szCs w:val="20"/>
              </w:rPr>
              <w:t>55 years</w:t>
            </w:r>
          </w:p>
        </w:tc>
        <w:tc>
          <w:tcPr>
            <w:tcW w:w="3402" w:type="dxa"/>
          </w:tcPr>
          <w:p w14:paraId="23498A60" w14:textId="4AD185C7" w:rsidR="00183DD4" w:rsidRPr="00FA34DF" w:rsidRDefault="001E5CC8" w:rsidP="001E5CC8">
            <w:pPr>
              <w:pStyle w:val="Tabletext"/>
              <w:ind w:left="0"/>
              <w:rPr>
                <w:sz w:val="20"/>
                <w:szCs w:val="20"/>
              </w:rPr>
            </w:pPr>
            <w:r w:rsidRPr="00FA34DF">
              <w:rPr>
                <w:sz w:val="20"/>
                <w:szCs w:val="20"/>
              </w:rPr>
              <w:t>Adults ≥ </w:t>
            </w:r>
            <w:r w:rsidR="00183DD4" w:rsidRPr="00FA34DF">
              <w:rPr>
                <w:sz w:val="20"/>
                <w:szCs w:val="20"/>
              </w:rPr>
              <w:t>55 years</w:t>
            </w:r>
          </w:p>
        </w:tc>
      </w:tr>
      <w:tr w:rsidR="00183DD4" w:rsidRPr="006E0620" w14:paraId="7A933BA5" w14:textId="77777777" w:rsidTr="00C618E0">
        <w:trPr>
          <w:cantSplit/>
        </w:trPr>
        <w:tc>
          <w:tcPr>
            <w:tcW w:w="0" w:type="dxa"/>
          </w:tcPr>
          <w:p w14:paraId="70CBAFBC" w14:textId="77777777" w:rsidR="00183DD4" w:rsidRPr="00FA34DF" w:rsidRDefault="00183DD4" w:rsidP="001E5CC8">
            <w:pPr>
              <w:pStyle w:val="Tabletext"/>
              <w:ind w:left="0"/>
              <w:rPr>
                <w:sz w:val="20"/>
                <w:szCs w:val="20"/>
              </w:rPr>
            </w:pPr>
            <w:r w:rsidRPr="00FA34DF">
              <w:rPr>
                <w:sz w:val="20"/>
                <w:szCs w:val="20"/>
              </w:rPr>
              <w:t>Local and systemic solicited AEs</w:t>
            </w:r>
          </w:p>
        </w:tc>
        <w:tc>
          <w:tcPr>
            <w:tcW w:w="0" w:type="dxa"/>
          </w:tcPr>
          <w:p w14:paraId="5121A067" w14:textId="77777777" w:rsidR="00183DD4" w:rsidRPr="00FA34DF" w:rsidRDefault="00183DD4" w:rsidP="001E5CC8">
            <w:pPr>
              <w:pStyle w:val="Tabletext"/>
              <w:ind w:left="0"/>
              <w:rPr>
                <w:sz w:val="20"/>
                <w:szCs w:val="20"/>
              </w:rPr>
            </w:pPr>
            <w:r w:rsidRPr="00FA34DF">
              <w:rPr>
                <w:sz w:val="20"/>
                <w:szCs w:val="20"/>
              </w:rPr>
              <w:t>Mostly mild to moderate</w:t>
            </w:r>
          </w:p>
          <w:p w14:paraId="121378D8" w14:textId="77777777" w:rsidR="00183DD4" w:rsidRPr="00FA34DF" w:rsidRDefault="00183DD4" w:rsidP="001E5CC8">
            <w:pPr>
              <w:pStyle w:val="Tabletext"/>
              <w:ind w:left="0"/>
              <w:rPr>
                <w:sz w:val="20"/>
                <w:szCs w:val="20"/>
              </w:rPr>
            </w:pPr>
            <w:r w:rsidRPr="00FA34DF">
              <w:rPr>
                <w:sz w:val="20"/>
                <w:szCs w:val="20"/>
              </w:rPr>
              <w:t>More frequent with vaccine than placebo</w:t>
            </w:r>
          </w:p>
          <w:p w14:paraId="100FBFC0" w14:textId="77777777" w:rsidR="00183DD4" w:rsidRPr="00FA34DF" w:rsidRDefault="00183DD4" w:rsidP="001E5CC8">
            <w:pPr>
              <w:pStyle w:val="Tabletext"/>
              <w:ind w:left="0"/>
              <w:rPr>
                <w:sz w:val="20"/>
                <w:szCs w:val="20"/>
              </w:rPr>
            </w:pPr>
            <w:r w:rsidRPr="00FA34DF">
              <w:rPr>
                <w:sz w:val="20"/>
                <w:szCs w:val="20"/>
              </w:rPr>
              <w:t>More frequent after Dose 2 than Dose 1</w:t>
            </w:r>
          </w:p>
          <w:p w14:paraId="473BF4F4" w14:textId="0F517F9B" w:rsidR="00183DD4" w:rsidRPr="00FA34DF" w:rsidRDefault="00183DD4" w:rsidP="001E5CC8">
            <w:pPr>
              <w:pStyle w:val="Tabletext"/>
              <w:ind w:left="0"/>
              <w:rPr>
                <w:sz w:val="20"/>
                <w:szCs w:val="20"/>
              </w:rPr>
            </w:pPr>
            <w:r w:rsidRPr="00FA34DF">
              <w:rPr>
                <w:sz w:val="20"/>
                <w:szCs w:val="20"/>
              </w:rPr>
              <w:t>Most frequent: injection site pain; 80% in 50</w:t>
            </w:r>
            <w:r w:rsidR="001E5CC8" w:rsidRPr="00FA34DF">
              <w:rPr>
                <w:sz w:val="20"/>
                <w:szCs w:val="20"/>
              </w:rPr>
              <w:t> </w:t>
            </w:r>
            <w:r w:rsidRPr="00FA34DF">
              <w:rPr>
                <w:sz w:val="20"/>
                <w:szCs w:val="20"/>
              </w:rPr>
              <w:t>µg group, 90% in 100</w:t>
            </w:r>
            <w:r w:rsidR="001E5CC8" w:rsidRPr="00FA34DF">
              <w:rPr>
                <w:sz w:val="20"/>
                <w:szCs w:val="20"/>
              </w:rPr>
              <w:t> </w:t>
            </w:r>
            <w:r w:rsidRPr="00FA34DF">
              <w:rPr>
                <w:sz w:val="20"/>
                <w:szCs w:val="20"/>
              </w:rPr>
              <w:t>µg group and 10% with placebo (rates after Dose 2 shown)</w:t>
            </w:r>
          </w:p>
        </w:tc>
        <w:tc>
          <w:tcPr>
            <w:tcW w:w="0" w:type="dxa"/>
          </w:tcPr>
          <w:p w14:paraId="62310410" w14:textId="77777777" w:rsidR="00183DD4" w:rsidRPr="00FA34DF" w:rsidRDefault="00183DD4" w:rsidP="001E5CC8">
            <w:pPr>
              <w:pStyle w:val="Tabletext"/>
              <w:ind w:left="0"/>
              <w:rPr>
                <w:sz w:val="20"/>
                <w:szCs w:val="20"/>
              </w:rPr>
            </w:pPr>
            <w:r w:rsidRPr="00FA34DF">
              <w:rPr>
                <w:sz w:val="20"/>
                <w:szCs w:val="20"/>
              </w:rPr>
              <w:t>Similar pattern to younger adults, but generally less frequent</w:t>
            </w:r>
          </w:p>
          <w:p w14:paraId="0D75C856" w14:textId="70B15153" w:rsidR="00183DD4" w:rsidRPr="00FA34DF" w:rsidRDefault="00183DD4" w:rsidP="001E5CC8">
            <w:pPr>
              <w:pStyle w:val="Tabletext"/>
              <w:ind w:left="0"/>
              <w:rPr>
                <w:sz w:val="20"/>
                <w:szCs w:val="20"/>
              </w:rPr>
            </w:pPr>
            <w:r w:rsidRPr="00FA34DF">
              <w:rPr>
                <w:sz w:val="20"/>
                <w:szCs w:val="20"/>
              </w:rPr>
              <w:t>Most frequent: injection site pain; 79% in 50</w:t>
            </w:r>
            <w:r w:rsidR="001E5CC8" w:rsidRPr="00FA34DF">
              <w:rPr>
                <w:sz w:val="20"/>
                <w:szCs w:val="20"/>
              </w:rPr>
              <w:t> </w:t>
            </w:r>
            <w:r w:rsidRPr="00FA34DF">
              <w:rPr>
                <w:sz w:val="20"/>
                <w:szCs w:val="20"/>
              </w:rPr>
              <w:t>µg group, 81% in 100</w:t>
            </w:r>
            <w:r w:rsidR="001E5CC8" w:rsidRPr="00FA34DF">
              <w:rPr>
                <w:sz w:val="20"/>
                <w:szCs w:val="20"/>
              </w:rPr>
              <w:t> </w:t>
            </w:r>
            <w:r w:rsidRPr="00FA34DF">
              <w:rPr>
                <w:sz w:val="20"/>
                <w:szCs w:val="20"/>
              </w:rPr>
              <w:t>µg group and 6% with placebo (rates after Dose 2 shown)</w:t>
            </w:r>
          </w:p>
        </w:tc>
      </w:tr>
      <w:tr w:rsidR="00183DD4" w:rsidRPr="006E0620" w14:paraId="53CE81C0" w14:textId="77777777" w:rsidTr="00FA34DF">
        <w:tc>
          <w:tcPr>
            <w:tcW w:w="1833" w:type="dxa"/>
          </w:tcPr>
          <w:p w14:paraId="7D640FD1" w14:textId="77777777" w:rsidR="00183DD4" w:rsidRPr="00FA34DF" w:rsidRDefault="00183DD4" w:rsidP="001E5CC8">
            <w:pPr>
              <w:pStyle w:val="Tabletext"/>
              <w:ind w:left="0"/>
              <w:rPr>
                <w:sz w:val="20"/>
                <w:szCs w:val="20"/>
              </w:rPr>
            </w:pPr>
            <w:r w:rsidRPr="00FA34DF">
              <w:rPr>
                <w:sz w:val="20"/>
                <w:szCs w:val="20"/>
              </w:rPr>
              <w:t>Unsolicited AEs</w:t>
            </w:r>
          </w:p>
        </w:tc>
        <w:tc>
          <w:tcPr>
            <w:tcW w:w="2835" w:type="dxa"/>
          </w:tcPr>
          <w:p w14:paraId="02BFADE8" w14:textId="77777777" w:rsidR="00183DD4" w:rsidRPr="00FA34DF" w:rsidRDefault="00183DD4" w:rsidP="001E5CC8">
            <w:pPr>
              <w:pStyle w:val="Tabletext"/>
              <w:ind w:left="0"/>
              <w:rPr>
                <w:sz w:val="20"/>
                <w:szCs w:val="20"/>
              </w:rPr>
            </w:pPr>
            <w:r w:rsidRPr="00FA34DF">
              <w:rPr>
                <w:sz w:val="20"/>
                <w:szCs w:val="20"/>
              </w:rPr>
              <w:t xml:space="preserve">Rates </w:t>
            </w:r>
            <w:proofErr w:type="gramStart"/>
            <w:r w:rsidRPr="00FA34DF">
              <w:rPr>
                <w:sz w:val="20"/>
                <w:szCs w:val="20"/>
              </w:rPr>
              <w:t>similar to</w:t>
            </w:r>
            <w:proofErr w:type="gramEnd"/>
            <w:r w:rsidRPr="00FA34DF">
              <w:rPr>
                <w:sz w:val="20"/>
                <w:szCs w:val="20"/>
              </w:rPr>
              <w:t xml:space="preserve"> placebo</w:t>
            </w:r>
          </w:p>
          <w:p w14:paraId="0E7F3CD4" w14:textId="77777777" w:rsidR="00183DD4" w:rsidRPr="00FA34DF" w:rsidRDefault="00183DD4" w:rsidP="001E5CC8">
            <w:pPr>
              <w:pStyle w:val="Tabletext"/>
              <w:ind w:left="0"/>
              <w:rPr>
                <w:sz w:val="20"/>
                <w:szCs w:val="20"/>
              </w:rPr>
            </w:pPr>
            <w:r w:rsidRPr="00FA34DF">
              <w:rPr>
                <w:sz w:val="20"/>
                <w:szCs w:val="20"/>
              </w:rPr>
              <w:lastRenderedPageBreak/>
              <w:t>Mostly mild or moderate</w:t>
            </w:r>
          </w:p>
        </w:tc>
        <w:tc>
          <w:tcPr>
            <w:tcW w:w="3402" w:type="dxa"/>
          </w:tcPr>
          <w:p w14:paraId="424D568D" w14:textId="77777777" w:rsidR="00183DD4" w:rsidRPr="00FA34DF" w:rsidRDefault="00183DD4" w:rsidP="001E5CC8">
            <w:pPr>
              <w:pStyle w:val="Tabletext"/>
              <w:ind w:left="0"/>
              <w:rPr>
                <w:sz w:val="20"/>
                <w:szCs w:val="20"/>
              </w:rPr>
            </w:pPr>
            <w:r w:rsidRPr="00FA34DF">
              <w:rPr>
                <w:sz w:val="20"/>
                <w:szCs w:val="20"/>
              </w:rPr>
              <w:lastRenderedPageBreak/>
              <w:t xml:space="preserve">Rates </w:t>
            </w:r>
            <w:proofErr w:type="gramStart"/>
            <w:r w:rsidRPr="00FA34DF">
              <w:rPr>
                <w:sz w:val="20"/>
                <w:szCs w:val="20"/>
              </w:rPr>
              <w:t>similar to</w:t>
            </w:r>
            <w:proofErr w:type="gramEnd"/>
            <w:r w:rsidRPr="00FA34DF">
              <w:rPr>
                <w:sz w:val="20"/>
                <w:szCs w:val="20"/>
              </w:rPr>
              <w:t xml:space="preserve"> placebo</w:t>
            </w:r>
          </w:p>
          <w:p w14:paraId="2BFE3F48" w14:textId="77777777" w:rsidR="00183DD4" w:rsidRPr="00FA34DF" w:rsidRDefault="00183DD4" w:rsidP="001E5CC8">
            <w:pPr>
              <w:pStyle w:val="Tabletext"/>
              <w:ind w:left="0"/>
              <w:rPr>
                <w:sz w:val="20"/>
                <w:szCs w:val="20"/>
              </w:rPr>
            </w:pPr>
            <w:r w:rsidRPr="00FA34DF">
              <w:rPr>
                <w:sz w:val="20"/>
                <w:szCs w:val="20"/>
              </w:rPr>
              <w:lastRenderedPageBreak/>
              <w:t>Mostly mild or moderate</w:t>
            </w:r>
          </w:p>
        </w:tc>
      </w:tr>
      <w:tr w:rsidR="00183DD4" w:rsidRPr="006E0620" w14:paraId="1BA63A0E" w14:textId="77777777" w:rsidTr="00FA34DF">
        <w:tc>
          <w:tcPr>
            <w:tcW w:w="1833" w:type="dxa"/>
          </w:tcPr>
          <w:p w14:paraId="34547F5D" w14:textId="2027855A" w:rsidR="00183DD4" w:rsidRPr="00FA34DF" w:rsidRDefault="00F50A07" w:rsidP="001E5CC8">
            <w:pPr>
              <w:pStyle w:val="Tabletext"/>
              <w:ind w:left="0"/>
              <w:rPr>
                <w:sz w:val="20"/>
                <w:szCs w:val="20"/>
              </w:rPr>
            </w:pPr>
            <w:r w:rsidRPr="00FA34DF">
              <w:rPr>
                <w:sz w:val="20"/>
                <w:szCs w:val="20"/>
              </w:rPr>
              <w:lastRenderedPageBreak/>
              <w:t>SAEs</w:t>
            </w:r>
          </w:p>
        </w:tc>
        <w:tc>
          <w:tcPr>
            <w:tcW w:w="2835" w:type="dxa"/>
          </w:tcPr>
          <w:p w14:paraId="28A6D9BE" w14:textId="77777777" w:rsidR="00183DD4" w:rsidRPr="00FA34DF" w:rsidRDefault="00183DD4" w:rsidP="001E5CC8">
            <w:pPr>
              <w:pStyle w:val="Tabletext"/>
              <w:ind w:left="0"/>
              <w:rPr>
                <w:sz w:val="20"/>
                <w:szCs w:val="20"/>
              </w:rPr>
            </w:pPr>
            <w:r w:rsidRPr="00FA34DF">
              <w:rPr>
                <w:sz w:val="20"/>
                <w:szCs w:val="20"/>
              </w:rPr>
              <w:t>None reported</w:t>
            </w:r>
          </w:p>
        </w:tc>
        <w:tc>
          <w:tcPr>
            <w:tcW w:w="3402" w:type="dxa"/>
          </w:tcPr>
          <w:p w14:paraId="23FC2864" w14:textId="6BBA639E" w:rsidR="00183DD4" w:rsidRPr="00FA34DF" w:rsidRDefault="001E5CC8" w:rsidP="001E5CC8">
            <w:pPr>
              <w:pStyle w:val="Tabletext"/>
              <w:ind w:left="0"/>
              <w:rPr>
                <w:sz w:val="20"/>
                <w:szCs w:val="20"/>
              </w:rPr>
            </w:pPr>
            <w:r w:rsidRPr="00FA34DF">
              <w:rPr>
                <w:sz w:val="20"/>
                <w:szCs w:val="20"/>
              </w:rPr>
              <w:t>One</w:t>
            </w:r>
            <w:r w:rsidR="00183DD4" w:rsidRPr="00FA34DF">
              <w:rPr>
                <w:sz w:val="20"/>
                <w:szCs w:val="20"/>
              </w:rPr>
              <w:t xml:space="preserve"> community acquired pneumonia, onset Day 33 (50</w:t>
            </w:r>
            <w:r w:rsidRPr="00FA34DF">
              <w:rPr>
                <w:sz w:val="20"/>
                <w:szCs w:val="20"/>
              </w:rPr>
              <w:t> </w:t>
            </w:r>
            <w:r w:rsidR="00183DD4" w:rsidRPr="00FA34DF">
              <w:rPr>
                <w:sz w:val="20"/>
                <w:szCs w:val="20"/>
              </w:rPr>
              <w:t>µg group), not related to vaccine</w:t>
            </w:r>
          </w:p>
        </w:tc>
      </w:tr>
      <w:tr w:rsidR="00183DD4" w:rsidRPr="006E0620" w14:paraId="0B14FCF3" w14:textId="77777777" w:rsidTr="00FA34DF">
        <w:tc>
          <w:tcPr>
            <w:tcW w:w="1833" w:type="dxa"/>
          </w:tcPr>
          <w:p w14:paraId="530DE7A1" w14:textId="77777777" w:rsidR="00183DD4" w:rsidRPr="00B56A8F" w:rsidRDefault="00183DD4" w:rsidP="001E5CC8">
            <w:pPr>
              <w:pStyle w:val="Tabletext"/>
              <w:ind w:left="0"/>
              <w:rPr>
                <w:sz w:val="20"/>
                <w:szCs w:val="20"/>
              </w:rPr>
            </w:pPr>
            <w:r w:rsidRPr="00B56A8F">
              <w:rPr>
                <w:sz w:val="20"/>
                <w:szCs w:val="20"/>
              </w:rPr>
              <w:t>Discontinuations of study vaccine due to AEs</w:t>
            </w:r>
          </w:p>
        </w:tc>
        <w:tc>
          <w:tcPr>
            <w:tcW w:w="2835" w:type="dxa"/>
          </w:tcPr>
          <w:p w14:paraId="577BDC56" w14:textId="74A50DF7" w:rsidR="00183DD4" w:rsidRPr="00B56A8F" w:rsidRDefault="001E5CC8" w:rsidP="001E5CC8">
            <w:pPr>
              <w:pStyle w:val="Tabletext"/>
              <w:ind w:left="0"/>
              <w:rPr>
                <w:sz w:val="20"/>
                <w:szCs w:val="20"/>
              </w:rPr>
            </w:pPr>
            <w:r w:rsidRPr="00B56A8F">
              <w:rPr>
                <w:sz w:val="20"/>
                <w:szCs w:val="20"/>
              </w:rPr>
              <w:t>One</w:t>
            </w:r>
            <w:r w:rsidR="00183DD4" w:rsidRPr="00B56A8F">
              <w:rPr>
                <w:sz w:val="20"/>
                <w:szCs w:val="20"/>
              </w:rPr>
              <w:t xml:space="preserve"> subject (placebo group) due to COVID-19</w:t>
            </w:r>
          </w:p>
        </w:tc>
        <w:tc>
          <w:tcPr>
            <w:tcW w:w="3402" w:type="dxa"/>
          </w:tcPr>
          <w:p w14:paraId="45C0A8B5" w14:textId="4D1DBEEA" w:rsidR="00183DD4" w:rsidRPr="00B56A8F" w:rsidRDefault="001E5CC8" w:rsidP="001E5CC8">
            <w:pPr>
              <w:pStyle w:val="Tabletext"/>
              <w:ind w:left="0"/>
              <w:rPr>
                <w:sz w:val="20"/>
                <w:szCs w:val="20"/>
              </w:rPr>
            </w:pPr>
            <w:r w:rsidRPr="00B56A8F">
              <w:rPr>
                <w:sz w:val="20"/>
                <w:szCs w:val="20"/>
              </w:rPr>
              <w:t>One subject (50 </w:t>
            </w:r>
            <w:r w:rsidR="00183DD4" w:rsidRPr="00B56A8F">
              <w:rPr>
                <w:sz w:val="20"/>
                <w:szCs w:val="20"/>
              </w:rPr>
              <w:t>µg group) with community acquired pneumonia (as above)</w:t>
            </w:r>
          </w:p>
        </w:tc>
      </w:tr>
    </w:tbl>
    <w:p w14:paraId="24645396" w14:textId="2675C6B3" w:rsidR="001E5CC8" w:rsidRPr="006E0620" w:rsidRDefault="001E5CC8" w:rsidP="001E5CC8">
      <w:pPr>
        <w:pStyle w:val="TableDescription"/>
      </w:pPr>
      <w:r w:rsidRPr="006E0620">
        <w:t>AE = adverse event; SAE = serious adverse event; COVID-19 = coronavirus disease 2019.</w:t>
      </w:r>
    </w:p>
    <w:p w14:paraId="7EDA5FFE" w14:textId="2A4A8CC9" w:rsidR="00183DD4" w:rsidRPr="006E0620" w:rsidRDefault="00925469" w:rsidP="00AD2B85">
      <w:pPr>
        <w:pStyle w:val="Heading5"/>
        <w:rPr>
          <w:rFonts w:eastAsia="Calibri"/>
        </w:rPr>
      </w:pPr>
      <w:r w:rsidRPr="006E0620">
        <w:rPr>
          <w:rFonts w:eastAsia="Calibri"/>
        </w:rPr>
        <w:t>Study 301</w:t>
      </w:r>
    </w:p>
    <w:p w14:paraId="1AA19700" w14:textId="23E8E37B" w:rsidR="00183DD4" w:rsidRPr="006E0620" w:rsidRDefault="00183DD4" w:rsidP="00AD2B85">
      <w:r w:rsidRPr="006E0620">
        <w:t xml:space="preserve">Main safety data are provided by the </w:t>
      </w:r>
      <w:r w:rsidR="003C55CF" w:rsidRPr="006E0620">
        <w:t>Phase</w:t>
      </w:r>
      <w:r w:rsidRPr="006E0620">
        <w:t xml:space="preserve"> </w:t>
      </w:r>
      <w:r w:rsidR="003C55CF" w:rsidRPr="006E0620">
        <w:t>III</w:t>
      </w:r>
      <w:r w:rsidRPr="006E0620">
        <w:t xml:space="preserve"> </w:t>
      </w:r>
      <w:r w:rsidR="00F50A07" w:rsidRPr="006E0620">
        <w:t xml:space="preserve">study, </w:t>
      </w:r>
      <w:r w:rsidR="00247854" w:rsidRPr="006E0620">
        <w:t>Study</w:t>
      </w:r>
      <w:r w:rsidRPr="006E0620">
        <w:t xml:space="preserve"> 301. Safety analysis was presented based on cut-offs at two time points of 11 November 2020 and 25 November 2020. In this overview, mainly the safety data from 25 November </w:t>
      </w:r>
      <w:r w:rsidR="00F50A07" w:rsidRPr="006E0620">
        <w:t xml:space="preserve">2020 </w:t>
      </w:r>
      <w:r w:rsidRPr="006E0620">
        <w:t>cut-off is being discussed.</w:t>
      </w:r>
    </w:p>
    <w:p w14:paraId="442A9B10" w14:textId="13E9A37A" w:rsidR="00183DD4" w:rsidRPr="006E0620" w:rsidRDefault="00183DD4" w:rsidP="00AD2B85">
      <w:r w:rsidRPr="006E0620">
        <w:t>As of the safety cut-off date of 25 Nov</w:t>
      </w:r>
      <w:r w:rsidR="00F50A07" w:rsidRPr="006E0620">
        <w:t>ember</w:t>
      </w:r>
      <w:r w:rsidRPr="006E0620">
        <w:t xml:space="preserve"> 2020, the safety analyses comprised 30,351</w:t>
      </w:r>
      <w:r w:rsidR="00257668">
        <w:t> </w:t>
      </w:r>
      <w:r w:rsidRPr="006E0620">
        <w:t>subjects (15,185 in the vaccine group and 15,166 in the placebo group).</w:t>
      </w:r>
    </w:p>
    <w:p w14:paraId="318B9A44" w14:textId="7048DE2C" w:rsidR="00183DD4" w:rsidRPr="006E0620" w:rsidRDefault="00183DD4" w:rsidP="00AD2B85">
      <w:r w:rsidRPr="006E0620">
        <w:t>As of 25 Nov</w:t>
      </w:r>
      <w:r w:rsidR="00F50A07" w:rsidRPr="006E0620">
        <w:t>ember</w:t>
      </w:r>
      <w:r w:rsidRPr="006E0620">
        <w:t xml:space="preserve"> 2020, the median follow-up time in the </w:t>
      </w:r>
      <w:r w:rsidR="00325EA3" w:rsidRPr="006E0620">
        <w:t>study was 92 days after randomis</w:t>
      </w:r>
      <w:r w:rsidR="00F50A07" w:rsidRPr="006E0620">
        <w:t>ation (Dose </w:t>
      </w:r>
      <w:r w:rsidRPr="006E0620">
        <w:t>1</w:t>
      </w:r>
      <w:r w:rsidR="00F50A07" w:rsidRPr="006E0620">
        <w:t>) or 63 days after Dose </w:t>
      </w:r>
      <w:r w:rsidRPr="006E0620">
        <w:t>2.</w:t>
      </w:r>
    </w:p>
    <w:p w14:paraId="53A9FA4B" w14:textId="076AA0D5" w:rsidR="00183DD4" w:rsidRPr="006E0620" w:rsidRDefault="006131C6" w:rsidP="006131C6">
      <w:pPr>
        <w:pStyle w:val="TableTitle"/>
      </w:pPr>
      <w:r w:rsidRPr="006E0620">
        <w:t xml:space="preserve">Table </w:t>
      </w:r>
      <w:r>
        <w:fldChar w:fldCharType="begin"/>
      </w:r>
      <w:r>
        <w:instrText>SEQ Table \* ARABIC</w:instrText>
      </w:r>
      <w:r>
        <w:fldChar w:fldCharType="separate"/>
      </w:r>
      <w:r w:rsidR="00B1591C">
        <w:rPr>
          <w:noProof/>
        </w:rPr>
        <w:t>19</w:t>
      </w:r>
      <w:r>
        <w:fldChar w:fldCharType="end"/>
      </w:r>
      <w:r w:rsidRPr="006E0620">
        <w:t xml:space="preserve">: </w:t>
      </w:r>
      <w:r w:rsidR="00776482" w:rsidRPr="006E0620">
        <w:t xml:space="preserve">Study 301 </w:t>
      </w:r>
      <w:r w:rsidRPr="006E0620">
        <w:t xml:space="preserve">Overall </w:t>
      </w:r>
      <w:r w:rsidR="00F50A07" w:rsidRPr="006E0620">
        <w:t>exposure</w:t>
      </w:r>
    </w:p>
    <w:p w14:paraId="54E37BD4" w14:textId="644CF6DE" w:rsidR="00BF30D8" w:rsidRPr="006E0620" w:rsidRDefault="00BF30D8" w:rsidP="00BF30D8">
      <w:r w:rsidRPr="006E0620">
        <w:rPr>
          <w:noProof/>
          <w:color w:val="2B579A"/>
          <w:shd w:val="clear" w:color="auto" w:fill="E6E6E6"/>
          <w:lang w:val="en-GB" w:eastAsia="en-GB"/>
        </w:rPr>
        <w:drawing>
          <wp:inline distT="0" distB="0" distL="0" distR="0" wp14:anchorId="77A79D01" wp14:editId="7BE33EEF">
            <wp:extent cx="4354717" cy="672871"/>
            <wp:effectExtent l="0" t="0" r="0" b="0"/>
            <wp:docPr id="12" name="Picture 12" title="Study 301 Overall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86306" cy="677752"/>
                    </a:xfrm>
                    <a:prstGeom prst="rect">
                      <a:avLst/>
                    </a:prstGeom>
                  </pic:spPr>
                </pic:pic>
              </a:graphicData>
            </a:graphic>
          </wp:inline>
        </w:drawing>
      </w:r>
    </w:p>
    <w:p w14:paraId="16731482" w14:textId="13799364" w:rsidR="00BF30D8" w:rsidRPr="006E0620" w:rsidRDefault="00BF30D8" w:rsidP="00BF30D8">
      <w:pPr>
        <w:pStyle w:val="TableDescription"/>
      </w:pPr>
      <w:r w:rsidRPr="006E0620">
        <w:t>N = number of subjects in each group or in total included in the considered cohort.</w:t>
      </w:r>
    </w:p>
    <w:p w14:paraId="39FFCB79" w14:textId="55F0068D" w:rsidR="00BF30D8" w:rsidRPr="006E0620" w:rsidRDefault="00BF30D8" w:rsidP="00BF30D8">
      <w:pPr>
        <w:pStyle w:val="TableDescription"/>
      </w:pPr>
      <w:r w:rsidRPr="006E0620">
        <w:t>n/% = number/percentage of subjects receiving the specified total number of doses.</w:t>
      </w:r>
    </w:p>
    <w:p w14:paraId="0D6B5C3C" w14:textId="515AFDB0" w:rsidR="00183DD4" w:rsidRPr="006E0620" w:rsidRDefault="00183DD4" w:rsidP="00AD2B85">
      <w:pPr>
        <w:pStyle w:val="Heading5"/>
        <w:rPr>
          <w:rFonts w:eastAsia="Calibri"/>
        </w:rPr>
      </w:pPr>
      <w:r w:rsidRPr="006E0620">
        <w:rPr>
          <w:rFonts w:eastAsia="Calibri"/>
        </w:rPr>
        <w:t xml:space="preserve">Safety </w:t>
      </w:r>
      <w:r w:rsidR="00F50A07" w:rsidRPr="006E0620">
        <w:rPr>
          <w:rFonts w:eastAsia="Calibri"/>
        </w:rPr>
        <w:t>overview</w:t>
      </w:r>
    </w:p>
    <w:p w14:paraId="6ABE2C1B" w14:textId="6988611E" w:rsidR="00183DD4" w:rsidRPr="006E0620" w:rsidRDefault="00183DD4" w:rsidP="00AD2B85">
      <w:r w:rsidRPr="006E0620">
        <w:t>As expected, AEs were reported in a higher proportion in the vaccine group as compared to the placebo group. Reactogenicity events (s</w:t>
      </w:r>
      <w:r w:rsidR="00DC1E9F" w:rsidRPr="006E0620">
        <w:t>olicited AEs) reported in the 7 </w:t>
      </w:r>
      <w:r w:rsidRPr="006E0620">
        <w:t>days following each dose of vaccine were much h</w:t>
      </w:r>
      <w:r w:rsidR="00B7031B" w:rsidRPr="006E0620">
        <w:t>igher in the vaccine group (94.9</w:t>
      </w:r>
      <w:r w:rsidRPr="006E0620">
        <w:t>% v</w:t>
      </w:r>
      <w:r w:rsidR="00DC1E9F" w:rsidRPr="006E0620">
        <w:t>ersu</w:t>
      </w:r>
      <w:r w:rsidRPr="006E0620">
        <w:t xml:space="preserve">s </w:t>
      </w:r>
      <w:r w:rsidR="00B7031B" w:rsidRPr="006E0620">
        <w:t>60.1%)</w:t>
      </w:r>
      <w:r w:rsidRPr="006E0620">
        <w:t xml:space="preserve">. No clinically meaningful differences in AE frequencies were observed by age, sex, race, ethnicity </w:t>
      </w:r>
      <w:r w:rsidR="00867E46" w:rsidRPr="006E0620">
        <w:t>and so on</w:t>
      </w:r>
      <w:r w:rsidRPr="006E0620">
        <w:t>. Overall rate of SAEs, death, and discontinuations due to AEs were all balanced across the study groups.</w:t>
      </w:r>
    </w:p>
    <w:p w14:paraId="1CAEFE7F" w14:textId="77777777" w:rsidR="00183DD4" w:rsidRPr="006E0620" w:rsidRDefault="00183DD4" w:rsidP="00AD2B85">
      <w:r w:rsidRPr="006E0620">
        <w:t>Rates of AEs were generally lower in the subjects with baseline positive SARS-CoV-2, as compared to those with baseline negative SARS-CoV-2 status. However, the baseline positive SARS-CoV-2 subset was very small.</w:t>
      </w:r>
    </w:p>
    <w:p w14:paraId="7CAE8DB2" w14:textId="230B51EF" w:rsidR="00BF30D8" w:rsidRPr="006E0620" w:rsidRDefault="006131C6" w:rsidP="00BF30D8">
      <w:pPr>
        <w:pStyle w:val="TableTitle"/>
      </w:pPr>
      <w:r w:rsidRPr="006E0620">
        <w:lastRenderedPageBreak/>
        <w:t xml:space="preserve">Table </w:t>
      </w:r>
      <w:r>
        <w:fldChar w:fldCharType="begin"/>
      </w:r>
      <w:r>
        <w:instrText>SEQ Table \* ARABIC</w:instrText>
      </w:r>
      <w:r>
        <w:fldChar w:fldCharType="separate"/>
      </w:r>
      <w:r w:rsidR="00B1591C">
        <w:rPr>
          <w:noProof/>
        </w:rPr>
        <w:t>20</w:t>
      </w:r>
      <w:r>
        <w:fldChar w:fldCharType="end"/>
      </w:r>
      <w:r w:rsidRPr="006E0620">
        <w:t xml:space="preserve">: </w:t>
      </w:r>
      <w:r w:rsidR="00776482" w:rsidRPr="006E0620">
        <w:t xml:space="preserve">Study 301 </w:t>
      </w:r>
      <w:r w:rsidRPr="006E0620">
        <w:t xml:space="preserve">Safety </w:t>
      </w:r>
      <w:r w:rsidR="00776482" w:rsidRPr="006E0620">
        <w:t xml:space="preserve">overview, </w:t>
      </w:r>
      <w:r w:rsidR="00DC1E9F" w:rsidRPr="006E0620">
        <w:t>safety set</w:t>
      </w:r>
    </w:p>
    <w:p w14:paraId="5111C68F" w14:textId="687DC4D8" w:rsidR="00BF30D8" w:rsidRPr="006E0620" w:rsidRDefault="00BF30D8" w:rsidP="00BF30D8">
      <w:r w:rsidRPr="006E0620">
        <w:rPr>
          <w:noProof/>
          <w:color w:val="2B579A"/>
          <w:shd w:val="clear" w:color="auto" w:fill="E6E6E6"/>
          <w:lang w:val="en-GB" w:eastAsia="en-GB"/>
        </w:rPr>
        <w:drawing>
          <wp:inline distT="0" distB="0" distL="0" distR="0" wp14:anchorId="3BF592AC" wp14:editId="2B0F3705">
            <wp:extent cx="5400040" cy="5086985"/>
            <wp:effectExtent l="0" t="0" r="0" b="0"/>
            <wp:docPr id="13" name="Picture 13" title="Study 301 Safety overview,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5086985"/>
                    </a:xfrm>
                    <a:prstGeom prst="rect">
                      <a:avLst/>
                    </a:prstGeom>
                  </pic:spPr>
                </pic:pic>
              </a:graphicData>
            </a:graphic>
          </wp:inline>
        </w:drawing>
      </w:r>
    </w:p>
    <w:p w14:paraId="32D64A7E" w14:textId="65781C44" w:rsidR="00BF30D8" w:rsidRPr="006E0620" w:rsidRDefault="00BF30D8" w:rsidP="00BF30D8">
      <w:pPr>
        <w:pStyle w:val="TableDescription"/>
      </w:pPr>
      <w:r w:rsidRPr="006E0620">
        <w:t>SARS-CoV-2 = Severe acute respiratory syndrome coronavirus 2; n = number of participants with specified reaction; N = number of exposed subjects who submitted any data for the event, percentages are based on n/N.</w:t>
      </w:r>
    </w:p>
    <w:p w14:paraId="6927B323" w14:textId="443ED75D" w:rsidR="00BF30D8" w:rsidRPr="006E0620" w:rsidRDefault="00BF30D8" w:rsidP="00BF30D8">
      <w:pPr>
        <w:pStyle w:val="TableDescription"/>
      </w:pPr>
      <w:r w:rsidRPr="006E0620">
        <w:t>* Death reported for entire study period (overall stage) as of 25 November 2020.</w:t>
      </w:r>
    </w:p>
    <w:p w14:paraId="7FFC1F59" w14:textId="6CFE378C" w:rsidR="00183DD4" w:rsidRPr="00D15EAA" w:rsidRDefault="00AD2B85" w:rsidP="003F6530">
      <w:pPr>
        <w:pStyle w:val="Heading6"/>
      </w:pPr>
      <w:r w:rsidRPr="00D15EAA">
        <w:t>Discontinuations</w:t>
      </w:r>
    </w:p>
    <w:p w14:paraId="1AEC89F0" w14:textId="5C23842A" w:rsidR="00183DD4" w:rsidRPr="006E0620" w:rsidRDefault="00183DD4" w:rsidP="00DC1E9F">
      <w:r w:rsidRPr="006E0620">
        <w:t>There were slightly more participants who discontinued study participation in the placebo v</w:t>
      </w:r>
      <w:r w:rsidR="00DC1E9F" w:rsidRPr="006E0620">
        <w:t>ersu</w:t>
      </w:r>
      <w:r w:rsidRPr="006E0620">
        <w:t>s vaccine group of the study (</w:t>
      </w:r>
      <w:r w:rsidR="00DA4536">
        <w:t xml:space="preserve">see </w:t>
      </w:r>
      <w:r w:rsidR="006131C6" w:rsidRPr="006E0620">
        <w:rPr>
          <w:color w:val="2B579A"/>
          <w:shd w:val="clear" w:color="auto" w:fill="E6E6E6"/>
        </w:rPr>
        <w:fldChar w:fldCharType="begin"/>
      </w:r>
      <w:r w:rsidR="006131C6" w:rsidRPr="006E0620">
        <w:instrText xml:space="preserve"> REF _Ref77952170 \h </w:instrText>
      </w:r>
      <w:r w:rsidR="00DC1E9F" w:rsidRPr="006E0620">
        <w:instrText xml:space="preserve"> \* MERGEFORMAT </w:instrText>
      </w:r>
      <w:r w:rsidR="006131C6" w:rsidRPr="006E0620">
        <w:rPr>
          <w:color w:val="2B579A"/>
          <w:shd w:val="clear" w:color="auto" w:fill="E6E6E6"/>
        </w:rPr>
      </w:r>
      <w:r w:rsidR="006131C6" w:rsidRPr="006E0620">
        <w:rPr>
          <w:color w:val="2B579A"/>
          <w:shd w:val="clear" w:color="auto" w:fill="E6E6E6"/>
        </w:rPr>
        <w:fldChar w:fldCharType="separate"/>
      </w:r>
      <w:r w:rsidR="00B1591C" w:rsidRPr="006E0620">
        <w:t xml:space="preserve">Table </w:t>
      </w:r>
      <w:r w:rsidR="00B1591C">
        <w:t>4</w:t>
      </w:r>
      <w:r w:rsidR="006131C6" w:rsidRPr="006E0620">
        <w:rPr>
          <w:color w:val="2B579A"/>
          <w:shd w:val="clear" w:color="auto" w:fill="E6E6E6"/>
        </w:rPr>
        <w:fldChar w:fldCharType="end"/>
      </w:r>
      <w:r w:rsidRPr="006E0620">
        <w:t>). Withdrawal of consent was the most common reason for discontinuation of participants in the placebo (146 participants) v</w:t>
      </w:r>
      <w:r w:rsidR="00772855" w:rsidRPr="006E0620">
        <w:t>ersu</w:t>
      </w:r>
      <w:r w:rsidRPr="006E0620">
        <w:t>s the vaccine groups (</w:t>
      </w:r>
      <w:r w:rsidR="00325EA3" w:rsidRPr="006E0620">
        <w:t xml:space="preserve">85 participants) in the </w:t>
      </w:r>
      <w:r w:rsidR="00DC1E9F" w:rsidRPr="006E0620">
        <w:t xml:space="preserve">randomised set </w:t>
      </w:r>
      <w:r w:rsidRPr="006E0620">
        <w:t>(</w:t>
      </w:r>
      <w:r w:rsidR="00DA4536">
        <w:t xml:space="preserve">see </w:t>
      </w:r>
      <w:r w:rsidR="006131C6" w:rsidRPr="006E0620">
        <w:rPr>
          <w:color w:val="2B579A"/>
          <w:shd w:val="clear" w:color="auto" w:fill="E6E6E6"/>
        </w:rPr>
        <w:fldChar w:fldCharType="begin"/>
      </w:r>
      <w:r w:rsidR="006131C6" w:rsidRPr="006E0620">
        <w:instrText xml:space="preserve"> REF _Ref77952170 \h </w:instrText>
      </w:r>
      <w:r w:rsidR="00DC1E9F" w:rsidRPr="006E0620">
        <w:instrText xml:space="preserve"> \* MERGEFORMAT </w:instrText>
      </w:r>
      <w:r w:rsidR="006131C6" w:rsidRPr="006E0620">
        <w:rPr>
          <w:color w:val="2B579A"/>
          <w:shd w:val="clear" w:color="auto" w:fill="E6E6E6"/>
        </w:rPr>
      </w:r>
      <w:r w:rsidR="006131C6" w:rsidRPr="006E0620">
        <w:rPr>
          <w:color w:val="2B579A"/>
          <w:shd w:val="clear" w:color="auto" w:fill="E6E6E6"/>
        </w:rPr>
        <w:fldChar w:fldCharType="separate"/>
      </w:r>
      <w:r w:rsidR="00B1591C" w:rsidRPr="006E0620">
        <w:t xml:space="preserve">Table </w:t>
      </w:r>
      <w:r w:rsidR="00B1591C">
        <w:t>4</w:t>
      </w:r>
      <w:r w:rsidR="006131C6" w:rsidRPr="006E0620">
        <w:rPr>
          <w:color w:val="2B579A"/>
          <w:shd w:val="clear" w:color="auto" w:fill="E6E6E6"/>
        </w:rPr>
        <w:fldChar w:fldCharType="end"/>
      </w:r>
      <w:r w:rsidRPr="006E0620">
        <w:t>). AEs led to vaccine discontinuation in 80 participants in the placebo group v</w:t>
      </w:r>
      <w:r w:rsidR="00DC1E9F" w:rsidRPr="006E0620">
        <w:t>ersu</w:t>
      </w:r>
      <w:r w:rsidRPr="006E0620">
        <w:t>s 50 participants in the vaccine group (</w:t>
      </w:r>
      <w:r w:rsidR="00DA4536">
        <w:t xml:space="preserve">see </w:t>
      </w:r>
      <w:r w:rsidR="00096CE7" w:rsidRPr="006E0620">
        <w:rPr>
          <w:color w:val="2B579A"/>
          <w:shd w:val="clear" w:color="auto" w:fill="E6E6E6"/>
        </w:rPr>
        <w:fldChar w:fldCharType="begin"/>
      </w:r>
      <w:r w:rsidR="00096CE7" w:rsidRPr="006E0620">
        <w:instrText xml:space="preserve"> REF _Ref77952215 \h </w:instrText>
      </w:r>
      <w:r w:rsidR="00DC1E9F" w:rsidRPr="006E0620">
        <w:instrText xml:space="preserve"> \* MERGEFORMAT </w:instrText>
      </w:r>
      <w:r w:rsidR="00096CE7" w:rsidRPr="006E0620">
        <w:rPr>
          <w:color w:val="2B579A"/>
          <w:shd w:val="clear" w:color="auto" w:fill="E6E6E6"/>
        </w:rPr>
      </w:r>
      <w:r w:rsidR="00096CE7" w:rsidRPr="006E0620">
        <w:rPr>
          <w:color w:val="2B579A"/>
          <w:shd w:val="clear" w:color="auto" w:fill="E6E6E6"/>
        </w:rPr>
        <w:fldChar w:fldCharType="separate"/>
      </w:r>
      <w:r w:rsidR="00B1591C" w:rsidRPr="006E0620">
        <w:t xml:space="preserve">Table </w:t>
      </w:r>
      <w:r w:rsidR="00B1591C">
        <w:t>13</w:t>
      </w:r>
      <w:r w:rsidR="00096CE7" w:rsidRPr="006E0620">
        <w:rPr>
          <w:color w:val="2B579A"/>
          <w:shd w:val="clear" w:color="auto" w:fill="E6E6E6"/>
        </w:rPr>
        <w:fldChar w:fldCharType="end"/>
      </w:r>
      <w:r w:rsidRPr="006E0620">
        <w:t>). There was a slightly higher percentage of seropositive participants in both treatment</w:t>
      </w:r>
      <w:r w:rsidR="00DC1E9F" w:rsidRPr="006E0620">
        <w:t xml:space="preserve"> </w:t>
      </w:r>
      <w:r w:rsidRPr="006E0620">
        <w:t>groups who had an AE leading to withdrawal (1.7% of seropositive participants v</w:t>
      </w:r>
      <w:r w:rsidR="00DC1E9F" w:rsidRPr="006E0620">
        <w:t>ersu</w:t>
      </w:r>
      <w:r w:rsidRPr="006E0620">
        <w:t>s 0.3% of seronegative participants in the vaccine group; 1.5% of seropositive participants v</w:t>
      </w:r>
      <w:r w:rsidR="00DC1E9F" w:rsidRPr="006E0620">
        <w:t>ersu</w:t>
      </w:r>
      <w:r w:rsidRPr="006E0620">
        <w:t>s 0.5% of seronegative participants in the placebo group)</w:t>
      </w:r>
    </w:p>
    <w:p w14:paraId="3099422E" w14:textId="4F37FD5E" w:rsidR="00183DD4" w:rsidRPr="006E0620" w:rsidRDefault="00183DD4" w:rsidP="003F6530">
      <w:pPr>
        <w:pStyle w:val="Heading6"/>
      </w:pPr>
      <w:r w:rsidRPr="006E0620">
        <w:t>Solici</w:t>
      </w:r>
      <w:r w:rsidR="009375AF" w:rsidRPr="006E0620">
        <w:t xml:space="preserve">ted </w:t>
      </w:r>
      <w:r w:rsidR="00F75735" w:rsidRPr="006E0620">
        <w:t>local adverse reactions</w:t>
      </w:r>
    </w:p>
    <w:p w14:paraId="028CBC9A" w14:textId="257322D2" w:rsidR="00183DD4" w:rsidRPr="006E0620" w:rsidRDefault="00183DD4" w:rsidP="00AD2B85">
      <w:r w:rsidRPr="006E0620">
        <w:t xml:space="preserve">Overall, more solicited local </w:t>
      </w:r>
      <w:r w:rsidR="00F75735" w:rsidRPr="006E0620">
        <w:t>AR</w:t>
      </w:r>
      <w:r w:rsidRPr="006E0620">
        <w:t>s were reported in the vaccine group v</w:t>
      </w:r>
      <w:r w:rsidR="001043BC" w:rsidRPr="006E0620">
        <w:t>ersu</w:t>
      </w:r>
      <w:r w:rsidRPr="006E0620">
        <w:t>s the placebo. Higher rates of loc</w:t>
      </w:r>
      <w:r w:rsidR="001043BC" w:rsidRPr="006E0620">
        <w:t>al ARs were reported after Dose 2, as compared to post Dose </w:t>
      </w:r>
      <w:r w:rsidRPr="006E0620">
        <w:t>1.</w:t>
      </w:r>
    </w:p>
    <w:p w14:paraId="6C2C03E9" w14:textId="3AAEA15B" w:rsidR="00183DD4" w:rsidRPr="006E0620" w:rsidRDefault="00183DD4" w:rsidP="00AD2B85">
      <w:r w:rsidRPr="006E0620">
        <w:lastRenderedPageBreak/>
        <w:t xml:space="preserve">Injection site pain was the most common local solicited </w:t>
      </w:r>
      <w:r w:rsidR="00F75735" w:rsidRPr="006E0620">
        <w:t>AR</w:t>
      </w:r>
      <w:r w:rsidRPr="006E0620">
        <w:t xml:space="preserve"> (92.0% for the subjects in the vaccine group v</w:t>
      </w:r>
      <w:r w:rsidR="001043BC" w:rsidRPr="006E0620">
        <w:t>ersu</w:t>
      </w:r>
      <w:r w:rsidRPr="006E0620">
        <w:t>s 26.6% of participants in the placebo group after any dose). Axillary swelling was noted in 19.8% subjects in the vaccine group v</w:t>
      </w:r>
      <w:r w:rsidR="001043BC" w:rsidRPr="006E0620">
        <w:t>ersu</w:t>
      </w:r>
      <w:r w:rsidRPr="006E0620">
        <w:t>s 7.2% in the placebo group.</w:t>
      </w:r>
    </w:p>
    <w:p w14:paraId="6F9EE2AD" w14:textId="432148F1" w:rsidR="00183DD4" w:rsidRPr="006E0620" w:rsidRDefault="001043BC" w:rsidP="00AD2B85">
      <w:r w:rsidRPr="006E0620">
        <w:t>Majority of Grade </w:t>
      </w:r>
      <w:r w:rsidR="00183DD4" w:rsidRPr="006E0620">
        <w:t>3 ARs were due to pain, in the vaccine group (6.1% v</w:t>
      </w:r>
      <w:r w:rsidRPr="006E0620">
        <w:t>ersu</w:t>
      </w:r>
      <w:r w:rsidR="00183DD4" w:rsidRPr="006E0620">
        <w:t>s 0.6%).</w:t>
      </w:r>
    </w:p>
    <w:p w14:paraId="3D6B004F" w14:textId="77777777" w:rsidR="00183DD4" w:rsidRPr="006E0620" w:rsidRDefault="00183DD4" w:rsidP="00AD2B85">
      <w:r w:rsidRPr="006E0620">
        <w:t>As expected, younger adult participants had a greater reactogenic profile of the study vaccine as compared to older adults.</w:t>
      </w:r>
    </w:p>
    <w:p w14:paraId="4CF79B1C" w14:textId="5766AB3A" w:rsidR="00183DD4" w:rsidRDefault="00B567CB" w:rsidP="00B567CB">
      <w:pPr>
        <w:pStyle w:val="TableTitle"/>
      </w:pPr>
      <w:r w:rsidRPr="006E0620">
        <w:t xml:space="preserve">Table </w:t>
      </w:r>
      <w:r>
        <w:fldChar w:fldCharType="begin"/>
      </w:r>
      <w:r>
        <w:instrText>SEQ Table \* ARABIC</w:instrText>
      </w:r>
      <w:r>
        <w:fldChar w:fldCharType="separate"/>
      </w:r>
      <w:r w:rsidR="00B1591C">
        <w:rPr>
          <w:noProof/>
        </w:rPr>
        <w:t>21</w:t>
      </w:r>
      <w:r>
        <w:fldChar w:fldCharType="end"/>
      </w:r>
      <w:r w:rsidR="00183DD4" w:rsidRPr="006E0620">
        <w:t xml:space="preserve">: </w:t>
      </w:r>
      <w:r w:rsidR="00776482" w:rsidRPr="006E0620">
        <w:t xml:space="preserve">Study 301 </w:t>
      </w:r>
      <w:r w:rsidR="00183DD4" w:rsidRPr="006E0620">
        <w:t xml:space="preserve">Solicited </w:t>
      </w:r>
      <w:r w:rsidR="00776482" w:rsidRPr="006E0620">
        <w:t xml:space="preserve">local </w:t>
      </w:r>
      <w:r w:rsidR="00517EBA" w:rsidRPr="006E0620">
        <w:t xml:space="preserve">adverse </w:t>
      </w:r>
      <w:r w:rsidR="00776482" w:rsidRPr="006E0620">
        <w:t>reactions, safety set</w:t>
      </w:r>
    </w:p>
    <w:p w14:paraId="18AD81B0" w14:textId="7C2F3D82" w:rsidR="00517EBA" w:rsidRPr="006E0620" w:rsidRDefault="00742D00" w:rsidP="00CD55D9">
      <w:r>
        <w:rPr>
          <w:noProof/>
          <w:lang w:val="en-GB" w:eastAsia="en-GB"/>
        </w:rPr>
        <w:drawing>
          <wp:inline distT="0" distB="0" distL="0" distR="0" wp14:anchorId="7F01A012" wp14:editId="6BAE6C64">
            <wp:extent cx="5319423" cy="3337309"/>
            <wp:effectExtent l="0" t="0" r="0" b="0"/>
            <wp:docPr id="24" name="Picture 24" descr="Study 301 Solicited local adverse reaction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301 Solicited local adverse reactions, safety s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1629" cy="3338693"/>
                    </a:xfrm>
                    <a:prstGeom prst="rect">
                      <a:avLst/>
                    </a:prstGeom>
                    <a:noFill/>
                    <a:ln>
                      <a:noFill/>
                    </a:ln>
                  </pic:spPr>
                </pic:pic>
              </a:graphicData>
            </a:graphic>
          </wp:inline>
        </w:drawing>
      </w:r>
    </w:p>
    <w:p w14:paraId="10F461BF" w14:textId="38393EAD" w:rsidR="002F1DD5" w:rsidRPr="006E0620" w:rsidRDefault="002F1DD5" w:rsidP="002F1DD5">
      <w:pPr>
        <w:pStyle w:val="TableDescription"/>
      </w:pPr>
      <w:r w:rsidRPr="006E0620">
        <w:t>n = number of participants with specific reaction; N = number of exposed subjects who submitted any data for the event, percentages are based on n/N.</w:t>
      </w:r>
    </w:p>
    <w:p w14:paraId="57EFBE7F" w14:textId="5BAAA784" w:rsidR="00183DD4" w:rsidRPr="006E0620" w:rsidRDefault="00517EBA" w:rsidP="002F1DD5">
      <w:pPr>
        <w:pStyle w:val="TableDescription"/>
      </w:pPr>
      <w:r w:rsidRPr="006E0620">
        <w:t>* Safety set: all randomised participants who received ≥ one vaccine or control dose.</w:t>
      </w:r>
    </w:p>
    <w:p w14:paraId="31DB4072" w14:textId="2B0018A4" w:rsidR="00517EBA" w:rsidRPr="006E0620" w:rsidRDefault="00517EBA" w:rsidP="002F1DD5">
      <w:pPr>
        <w:pStyle w:val="TableDescription"/>
      </w:pPr>
      <w:r w:rsidRPr="006E0620">
        <w:t xml:space="preserve">Adverse reaction data were collected on the electronic diary (e-Diary) by participants and those collected on the </w:t>
      </w:r>
      <w:r w:rsidR="002F1DD5" w:rsidRPr="006E0620">
        <w:t>European Council on Foreign Relations (</w:t>
      </w:r>
      <w:proofErr w:type="spellStart"/>
      <w:r w:rsidRPr="006E0620">
        <w:t>eCFR</w:t>
      </w:r>
      <w:proofErr w:type="spellEnd"/>
      <w:r w:rsidR="002F1DD5" w:rsidRPr="006E0620">
        <w:t>)</w:t>
      </w:r>
      <w:r w:rsidRPr="006E0620">
        <w:t xml:space="preserve"> </w:t>
      </w:r>
      <w:r w:rsidR="002F1DD5" w:rsidRPr="006E0620">
        <w:t>indicated as solicited</w:t>
      </w:r>
      <w:r w:rsidRPr="006E0620">
        <w:t xml:space="preserve"> adverse reactions.</w:t>
      </w:r>
    </w:p>
    <w:p w14:paraId="22567A0A" w14:textId="03DF8FA3" w:rsidR="00517EBA" w:rsidRPr="006E0620" w:rsidRDefault="00517EBA" w:rsidP="002F1DD5">
      <w:pPr>
        <w:pStyle w:val="TableDescription"/>
      </w:pPr>
      <w:r w:rsidRPr="006E0620">
        <w:t xml:space="preserve">a Pain - Grade 3: any used of Rx pain </w:t>
      </w:r>
      <w:r w:rsidR="002F1DD5" w:rsidRPr="006E0620">
        <w:t>reliever</w:t>
      </w:r>
      <w:r w:rsidRPr="006E0620">
        <w:t xml:space="preserve">/precents </w:t>
      </w:r>
      <w:r w:rsidR="002F1DD5" w:rsidRPr="006E0620">
        <w:t>daily activity; Grade 4: requires emergency room visit or hospitalisation.</w:t>
      </w:r>
    </w:p>
    <w:p w14:paraId="64E640BB" w14:textId="25063971" w:rsidR="002F1DD5" w:rsidRPr="006E0620" w:rsidRDefault="00517EBA" w:rsidP="002F1DD5">
      <w:pPr>
        <w:pStyle w:val="TableDescription"/>
      </w:pPr>
      <w:r w:rsidRPr="006E0620">
        <w:t>b Erythema and swelling/</w:t>
      </w:r>
      <w:r w:rsidR="002F1DD5" w:rsidRPr="006E0620">
        <w:t>induration – Grade 3: &gt; 100 mm/&gt; 10 cm; Grade 4: necrosis/exfoliative dermatosis.</w:t>
      </w:r>
    </w:p>
    <w:p w14:paraId="2F98D73A" w14:textId="5715F3D3" w:rsidR="00517EBA" w:rsidRPr="006E0620" w:rsidRDefault="002F1DD5" w:rsidP="002F1DD5">
      <w:pPr>
        <w:pStyle w:val="TableDescription"/>
      </w:pPr>
      <w:r w:rsidRPr="006E0620">
        <w:t xml:space="preserve">c Axillary swelling/tenderness collected </w:t>
      </w:r>
      <w:r w:rsidR="00517EBA" w:rsidRPr="006E0620">
        <w:t>as solicited local adverse reaction (</w:t>
      </w:r>
      <w:r w:rsidRPr="006E0620">
        <w:t>lymphadenopathy</w:t>
      </w:r>
      <w:r w:rsidR="00517EBA" w:rsidRPr="006E0620">
        <w:t xml:space="preserve">,: localised </w:t>
      </w:r>
      <w:r w:rsidRPr="006E0620">
        <w:t>axillary</w:t>
      </w:r>
      <w:r w:rsidR="00517EBA" w:rsidRPr="006E0620">
        <w:t xml:space="preserve"> swelling or tenderness ipsilateral to the vaccination group) – Grade 3: any use of Rx pain </w:t>
      </w:r>
      <w:r w:rsidRPr="006E0620">
        <w:t>reliever</w:t>
      </w:r>
      <w:r w:rsidR="00517EBA" w:rsidRPr="006E0620">
        <w:t xml:space="preserve">/prevents </w:t>
      </w:r>
      <w:r w:rsidRPr="006E0620">
        <w:t>daily</w:t>
      </w:r>
      <w:r w:rsidR="00517EBA" w:rsidRPr="006E0620">
        <w:t xml:space="preserve"> </w:t>
      </w:r>
      <w:r w:rsidRPr="006E0620">
        <w:t>activity</w:t>
      </w:r>
      <w:r w:rsidR="00517EBA" w:rsidRPr="006E0620">
        <w:t xml:space="preserve">; Grade 4: requires </w:t>
      </w:r>
      <w:r w:rsidRPr="006E0620">
        <w:t xml:space="preserve">emergency room </w:t>
      </w:r>
      <w:r w:rsidR="00517EBA" w:rsidRPr="006E0620">
        <w:t xml:space="preserve">visit or </w:t>
      </w:r>
      <w:r w:rsidRPr="006E0620">
        <w:t>hospitalisation</w:t>
      </w:r>
      <w:r w:rsidR="00517EBA" w:rsidRPr="006E0620">
        <w:t>.</w:t>
      </w:r>
    </w:p>
    <w:p w14:paraId="236BE44E" w14:textId="6BA43895" w:rsidR="00183DD4" w:rsidRPr="006E0620" w:rsidRDefault="00183DD4" w:rsidP="003F6530">
      <w:pPr>
        <w:pStyle w:val="Heading6"/>
      </w:pPr>
      <w:r w:rsidRPr="006E0620">
        <w:t xml:space="preserve">Solicited systemic </w:t>
      </w:r>
      <w:r w:rsidR="00F75735" w:rsidRPr="006E0620">
        <w:t>adverse reactions</w:t>
      </w:r>
    </w:p>
    <w:p w14:paraId="7D2259D3" w14:textId="68F1E456" w:rsidR="00183DD4" w:rsidRPr="006E0620" w:rsidRDefault="00183DD4" w:rsidP="00AD2B85">
      <w:r w:rsidRPr="006E0620">
        <w:t xml:space="preserve">Solicited systemic ARs were reported for </w:t>
      </w:r>
      <w:proofErr w:type="gramStart"/>
      <w:r w:rsidRPr="006E0620">
        <w:t>the majority of</w:t>
      </w:r>
      <w:proofErr w:type="gramEnd"/>
      <w:r w:rsidRPr="006E0620">
        <w:t xml:space="preserve"> vaccine recipients (84.1%) and much more frequently as compared with the placebo (53.5%). Higher rates of systemic ARs were recorded post D</w:t>
      </w:r>
      <w:r w:rsidR="00252CC8" w:rsidRPr="006E0620">
        <w:t>ose 2 as compared with Dose </w:t>
      </w:r>
      <w:r w:rsidRPr="006E0620">
        <w:t>1.</w:t>
      </w:r>
    </w:p>
    <w:p w14:paraId="29DCFD86" w14:textId="4F9A7CCB" w:rsidR="00183DD4" w:rsidRPr="006E0620" w:rsidRDefault="00183DD4" w:rsidP="00AD2B85">
      <w:r w:rsidRPr="006E0620">
        <w:t xml:space="preserve">After any dose, fatigue was the most common solicited systemic </w:t>
      </w:r>
      <w:r w:rsidR="00F75735" w:rsidRPr="006E0620">
        <w:t>AR</w:t>
      </w:r>
      <w:r w:rsidRPr="006E0620">
        <w:t xml:space="preserve"> (70.0% of participants in the vaccine group v</w:t>
      </w:r>
      <w:r w:rsidR="00252CC8" w:rsidRPr="006E0620">
        <w:t>ersu</w:t>
      </w:r>
      <w:r w:rsidRPr="006E0620">
        <w:t>s 36.6% of participants in the placebo group). Headache (64.7% of subjects in the vaccine group v</w:t>
      </w:r>
      <w:r w:rsidR="00252CC8" w:rsidRPr="006E0620">
        <w:t>ersu</w:t>
      </w:r>
      <w:r w:rsidRPr="006E0620">
        <w:t>s 37.0% of participants in the placebo group) and myalgia (61.5% of participants in the vaccine group v</w:t>
      </w:r>
      <w:r w:rsidR="00252CC8" w:rsidRPr="006E0620">
        <w:t>ersu</w:t>
      </w:r>
      <w:r w:rsidRPr="006E0620">
        <w:t>s 20.5% of participants in the placebo group) were other common systemic ARs.</w:t>
      </w:r>
    </w:p>
    <w:p w14:paraId="1DF6B98D" w14:textId="71332C6E" w:rsidR="00183DD4" w:rsidRPr="006E0620" w:rsidRDefault="00252CC8" w:rsidP="00AD2B85">
      <w:r w:rsidRPr="006E0620">
        <w:lastRenderedPageBreak/>
        <w:t>Grade </w:t>
      </w:r>
      <w:r w:rsidR="00183DD4" w:rsidRPr="006E0620">
        <w:t xml:space="preserve">3 or 4 ARs were reported in 3.0% </w:t>
      </w:r>
      <w:r w:rsidRPr="006E0620">
        <w:t>of vaccine recipients post Dose </w:t>
      </w:r>
      <w:r w:rsidR="00183DD4" w:rsidRPr="006E0620">
        <w:t>1, which increased t</w:t>
      </w:r>
      <w:r w:rsidRPr="006E0620">
        <w:t>o 17.3% post Dose 2. Grade </w:t>
      </w:r>
      <w:r w:rsidR="00183DD4" w:rsidRPr="006E0620">
        <w:t>3 or 4 fatigue after any dose was reported in 10.1% of participants in the vaccine group v</w:t>
      </w:r>
      <w:r w:rsidRPr="006E0620">
        <w:t>ersu</w:t>
      </w:r>
      <w:r w:rsidR="00183DD4" w:rsidRPr="006E0620">
        <w:t>s 1.3% of participants in the placebo group, followed by myalgia (9.1% of participants in the vaccine group v</w:t>
      </w:r>
      <w:r w:rsidRPr="006E0620">
        <w:t>ersu</w:t>
      </w:r>
      <w:r w:rsidR="00183DD4" w:rsidRPr="006E0620">
        <w:t>s 0.6% of participants in the placebo group) and headache (5.7% of participants in the vaccine group v</w:t>
      </w:r>
      <w:r w:rsidRPr="006E0620">
        <w:t>ersu</w:t>
      </w:r>
      <w:r w:rsidR="00183DD4" w:rsidRPr="006E0620">
        <w:t>s 2.2% of participants in the placebo group).</w:t>
      </w:r>
    </w:p>
    <w:p w14:paraId="1D390EB9" w14:textId="569CBA3C" w:rsidR="00183DD4" w:rsidRPr="006E0620" w:rsidRDefault="00183DD4" w:rsidP="00AD2B85">
      <w:r w:rsidRPr="006E0620">
        <w:t xml:space="preserve">Most events occurred within the first </w:t>
      </w:r>
      <w:r w:rsidR="00252CC8" w:rsidRPr="006E0620">
        <w:t>one to two</w:t>
      </w:r>
      <w:r w:rsidRPr="006E0620">
        <w:t xml:space="preserve"> days post dose and lasted for a median duration of </w:t>
      </w:r>
      <w:r w:rsidR="00252CC8" w:rsidRPr="006E0620">
        <w:t>one to three</w:t>
      </w:r>
      <w:r w:rsidRPr="006E0620">
        <w:t xml:space="preserve"> </w:t>
      </w:r>
      <w:proofErr w:type="gramStart"/>
      <w:r w:rsidRPr="006E0620">
        <w:t>days, and</w:t>
      </w:r>
      <w:proofErr w:type="gramEnd"/>
      <w:r w:rsidRPr="006E0620">
        <w:t xml:space="preserve"> were reported with higher frequencies in younger adults (18 to &lt;</w:t>
      </w:r>
      <w:r w:rsidR="00252CC8" w:rsidRPr="006E0620">
        <w:t> 65 </w:t>
      </w:r>
      <w:r w:rsidRPr="006E0620">
        <w:t>years old).</w:t>
      </w:r>
    </w:p>
    <w:p w14:paraId="30F68109" w14:textId="1D2E7C20" w:rsidR="00183DD4" w:rsidRDefault="00B567CB" w:rsidP="00B567CB">
      <w:pPr>
        <w:pStyle w:val="TableTitle"/>
      </w:pPr>
      <w:r w:rsidRPr="006E0620">
        <w:t xml:space="preserve">Table </w:t>
      </w:r>
      <w:r>
        <w:fldChar w:fldCharType="begin"/>
      </w:r>
      <w:r>
        <w:instrText>SEQ Table \* ARABIC</w:instrText>
      </w:r>
      <w:r>
        <w:fldChar w:fldCharType="separate"/>
      </w:r>
      <w:r w:rsidR="00B1591C">
        <w:rPr>
          <w:noProof/>
        </w:rPr>
        <w:t>22</w:t>
      </w:r>
      <w:r>
        <w:fldChar w:fldCharType="end"/>
      </w:r>
      <w:r w:rsidR="00183DD4" w:rsidRPr="006E0620">
        <w:t xml:space="preserve">: </w:t>
      </w:r>
      <w:r w:rsidR="00776482" w:rsidRPr="006E0620">
        <w:t xml:space="preserve">Study 301 </w:t>
      </w:r>
      <w:r w:rsidR="00183DD4" w:rsidRPr="006E0620">
        <w:t xml:space="preserve">Solicited </w:t>
      </w:r>
      <w:r w:rsidR="00776482" w:rsidRPr="006E0620">
        <w:t>systemic adverse events, safety set</w:t>
      </w:r>
    </w:p>
    <w:p w14:paraId="30FB24DE" w14:textId="57FD8A8A" w:rsidR="00E05E0A" w:rsidRPr="006E0620" w:rsidRDefault="00E05E0A" w:rsidP="00CD55D9">
      <w:r>
        <w:rPr>
          <w:noProof/>
          <w:lang w:val="en-GB" w:eastAsia="en-GB"/>
        </w:rPr>
        <w:drawing>
          <wp:inline distT="0" distB="0" distL="0" distR="0" wp14:anchorId="57361EDF" wp14:editId="6FCAC46D">
            <wp:extent cx="5271715" cy="4316829"/>
            <wp:effectExtent l="0" t="0" r="5715" b="7620"/>
            <wp:docPr id="32" name="Picture 32" descr="Study 301 Solicited systemic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301 Solicited systemic adverse events, safety s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560" cy="4320796"/>
                    </a:xfrm>
                    <a:prstGeom prst="rect">
                      <a:avLst/>
                    </a:prstGeom>
                    <a:noFill/>
                    <a:ln>
                      <a:noFill/>
                    </a:ln>
                  </pic:spPr>
                </pic:pic>
              </a:graphicData>
            </a:graphic>
          </wp:inline>
        </w:drawing>
      </w:r>
    </w:p>
    <w:p w14:paraId="22644732" w14:textId="77777777" w:rsidR="00B43E6F" w:rsidRPr="006E0620" w:rsidRDefault="00B43E6F" w:rsidP="00ED44FB">
      <w:pPr>
        <w:pStyle w:val="TableDescription"/>
      </w:pPr>
      <w:r w:rsidRPr="006E0620">
        <w:t>n = number of participants with specific reaction; N = number of exposed subjects who submitted any data for the event, percentages are based on n/N.</w:t>
      </w:r>
    </w:p>
    <w:p w14:paraId="7C0C0F12" w14:textId="77777777" w:rsidR="00B43E6F" w:rsidRPr="006E0620" w:rsidRDefault="00B43E6F" w:rsidP="00ED44FB">
      <w:pPr>
        <w:pStyle w:val="TableDescription"/>
      </w:pPr>
      <w:r w:rsidRPr="006E0620">
        <w:t>* Safety set: all randomised participants who received ≥ one vaccine or control dose.</w:t>
      </w:r>
    </w:p>
    <w:p w14:paraId="75AB116F" w14:textId="77777777" w:rsidR="00B43E6F" w:rsidRPr="006E0620" w:rsidRDefault="00B43E6F" w:rsidP="00ED44FB">
      <w:pPr>
        <w:pStyle w:val="TableDescription"/>
      </w:pPr>
      <w:r w:rsidRPr="006E0620">
        <w:t>Adverse reaction data were collected on the electronic diary (e-Diary) by participants and those collected on the European Council on Foreign Relations (</w:t>
      </w:r>
      <w:proofErr w:type="spellStart"/>
      <w:r w:rsidRPr="006E0620">
        <w:t>eCFR</w:t>
      </w:r>
      <w:proofErr w:type="spellEnd"/>
      <w:r w:rsidRPr="006E0620">
        <w:t>) indicated as solicited adverse reactions.</w:t>
      </w:r>
    </w:p>
    <w:p w14:paraId="3EC8BEBE" w14:textId="61A9DB3F" w:rsidR="00B43E6F" w:rsidRPr="006E0620" w:rsidRDefault="00205DBC" w:rsidP="00ED44FB">
      <w:pPr>
        <w:pStyle w:val="TableDescription"/>
      </w:pPr>
      <w:r>
        <w:t>a</w:t>
      </w:r>
      <w:r w:rsidR="00B43E6F" w:rsidRPr="006E0620">
        <w:t xml:space="preserve"> Fever – Grade 3: ≥ 39.0 to ≤ 40.0ºC; Grade 4: ≥ 40.0ºC.</w:t>
      </w:r>
    </w:p>
    <w:p w14:paraId="364A5CC2" w14:textId="6E0A8532" w:rsidR="00B43E6F" w:rsidRDefault="00B43E6F" w:rsidP="00ED44FB">
      <w:pPr>
        <w:pStyle w:val="TableDescription"/>
      </w:pPr>
      <w:r w:rsidRPr="006E0620">
        <w:t>b Headache – Grade 3: significant; any use of Rx pain reliever or prevents daily activity; Grade 4: requires emergency room visit or hospitalisation.</w:t>
      </w:r>
    </w:p>
    <w:p w14:paraId="24A4C3FB" w14:textId="51F62883" w:rsidR="00205DBC" w:rsidRPr="006E0620" w:rsidRDefault="00205DBC" w:rsidP="00ED44FB">
      <w:pPr>
        <w:pStyle w:val="TableDescription"/>
      </w:pPr>
      <w:r>
        <w:t xml:space="preserve">c. Fatigues, myalgia, arthralgia – Grade 3: Significant, prevents daily activity; Grade 4: requires emergency room visit or </w:t>
      </w:r>
      <w:r w:rsidRPr="006E0620">
        <w:t>hospitalisation</w:t>
      </w:r>
      <w:r>
        <w:t xml:space="preserve">. </w:t>
      </w:r>
    </w:p>
    <w:p w14:paraId="5DD5613B" w14:textId="7E829F23" w:rsidR="00B43E6F" w:rsidRPr="006E0620" w:rsidRDefault="00205DBC" w:rsidP="00ED44FB">
      <w:pPr>
        <w:pStyle w:val="TableDescription"/>
      </w:pPr>
      <w:r>
        <w:t>d</w:t>
      </w:r>
      <w:r w:rsidR="00B43E6F" w:rsidRPr="006E0620">
        <w:t xml:space="preserve"> Nausea/vomiting – Grade 3: prevents daily activity, requires outpatient intravenous hydration; Grade 4: requires emergency room visit or hospitalisation for hypotensive shock.</w:t>
      </w:r>
    </w:p>
    <w:p w14:paraId="0B9D9978" w14:textId="7B40E57C" w:rsidR="00B43E6F" w:rsidRPr="006E0620" w:rsidRDefault="00B43E6F" w:rsidP="00ED44FB">
      <w:pPr>
        <w:pStyle w:val="TableDescription"/>
      </w:pPr>
      <w:r w:rsidRPr="006E0620">
        <w:t xml:space="preserve">e </w:t>
      </w:r>
      <w:r w:rsidR="00ED44FB" w:rsidRPr="006E0620">
        <w:t>C</w:t>
      </w:r>
      <w:r w:rsidRPr="006E0620">
        <w:t xml:space="preserve">hills – Grade 3: prevents </w:t>
      </w:r>
      <w:r w:rsidR="00ED44FB" w:rsidRPr="006E0620">
        <w:t>daily</w:t>
      </w:r>
      <w:r w:rsidRPr="006E0620">
        <w:t xml:space="preserve"> activity and requires medical </w:t>
      </w:r>
      <w:r w:rsidR="00ED44FB" w:rsidRPr="006E0620">
        <w:t>intervention</w:t>
      </w:r>
      <w:r w:rsidRPr="006E0620">
        <w:t>; Grade 4:</w:t>
      </w:r>
      <w:r w:rsidR="00ED44FB" w:rsidRPr="006E0620">
        <w:t xml:space="preserve"> requires emergency room visit or hospitalisation.</w:t>
      </w:r>
    </w:p>
    <w:p w14:paraId="02C49CA3" w14:textId="6AFED8B9" w:rsidR="00183DD4" w:rsidRPr="006E0620" w:rsidRDefault="00183DD4" w:rsidP="003F6530">
      <w:pPr>
        <w:pStyle w:val="Heading6"/>
        <w:rPr>
          <w:rFonts w:eastAsia="Calibri"/>
        </w:rPr>
      </w:pPr>
      <w:r w:rsidRPr="006E0620">
        <w:rPr>
          <w:rFonts w:eastAsia="Calibri"/>
        </w:rPr>
        <w:lastRenderedPageBreak/>
        <w:t xml:space="preserve">Unsolicited </w:t>
      </w:r>
      <w:r w:rsidR="000A4756" w:rsidRPr="006E0620">
        <w:rPr>
          <w:rFonts w:eastAsia="Calibri"/>
        </w:rPr>
        <w:t>adverse events</w:t>
      </w:r>
    </w:p>
    <w:p w14:paraId="4BB9C652" w14:textId="1EA624F8" w:rsidR="00183DD4" w:rsidRPr="00205DBC" w:rsidRDefault="00183DD4" w:rsidP="00205DBC">
      <w:pPr>
        <w:pStyle w:val="Heading7"/>
        <w:rPr>
          <w:sz w:val="22"/>
        </w:rPr>
      </w:pPr>
      <w:r w:rsidRPr="00205DBC">
        <w:rPr>
          <w:sz w:val="22"/>
        </w:rPr>
        <w:t xml:space="preserve">Summary of unsolicited </w:t>
      </w:r>
      <w:r w:rsidR="000A4756" w:rsidRPr="00205DBC">
        <w:rPr>
          <w:sz w:val="22"/>
        </w:rPr>
        <w:t>adverse events</w:t>
      </w:r>
    </w:p>
    <w:p w14:paraId="30FA1EF8" w14:textId="4502486C" w:rsidR="00183DD4" w:rsidRPr="006E0620" w:rsidRDefault="00183DD4" w:rsidP="00AD2B85">
      <w:r w:rsidRPr="006E0620">
        <w:t>Overall higher incidence of unsolicited AEs was reported in the vaccine group as compared to placebo across all age cohorts. In the subgroup of participants &gt;</w:t>
      </w:r>
      <w:r w:rsidR="000A4756" w:rsidRPr="006E0620">
        <w:t> </w:t>
      </w:r>
      <w:r w:rsidRPr="006E0620">
        <w:t>65</w:t>
      </w:r>
      <w:r w:rsidR="000A4756" w:rsidRPr="006E0620">
        <w:t> </w:t>
      </w:r>
      <w:r w:rsidRPr="006E0620">
        <w:t>years, there were no specific clusters of AEs that acco</w:t>
      </w:r>
      <w:r w:rsidR="000A4756" w:rsidRPr="006E0620">
        <w:t>unted for the imbalance in AEs.</w:t>
      </w:r>
    </w:p>
    <w:p w14:paraId="0682DF26" w14:textId="1664FA85" w:rsidR="00183DD4" w:rsidRPr="006E0620" w:rsidRDefault="00183DD4" w:rsidP="00776482">
      <w:pPr>
        <w:pStyle w:val="TableTitle"/>
      </w:pPr>
      <w:r w:rsidRPr="006E0620">
        <w:t xml:space="preserve">Table 20: </w:t>
      </w:r>
      <w:r w:rsidR="00776482" w:rsidRPr="006E0620">
        <w:t xml:space="preserve">Study 301 </w:t>
      </w:r>
      <w:r w:rsidRPr="006E0620">
        <w:t xml:space="preserve">Unsolicited </w:t>
      </w:r>
      <w:r w:rsidR="000A4756" w:rsidRPr="006E0620">
        <w:t>adverse events up to 28 days after any injection by age groups</w:t>
      </w:r>
    </w:p>
    <w:p w14:paraId="3AEB7451" w14:textId="4D39E514" w:rsidR="00ED44FB" w:rsidRPr="006E0620" w:rsidRDefault="00ED44FB" w:rsidP="00CD55D9">
      <w:r w:rsidRPr="006E0620">
        <w:rPr>
          <w:noProof/>
          <w:shd w:val="clear" w:color="auto" w:fill="E6E6E6"/>
          <w:lang w:val="en-GB" w:eastAsia="en-GB"/>
        </w:rPr>
        <w:drawing>
          <wp:inline distT="0" distB="0" distL="0" distR="0" wp14:anchorId="2769B8D0" wp14:editId="56199FD7">
            <wp:extent cx="5295569" cy="5174140"/>
            <wp:effectExtent l="0" t="0" r="635" b="7620"/>
            <wp:docPr id="40" name="Picture 40" title="Study 301 Unsolicited adverse events up to 28 days after any injection by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9862" cy="5178335"/>
                    </a:xfrm>
                    <a:prstGeom prst="rect">
                      <a:avLst/>
                    </a:prstGeom>
                  </pic:spPr>
                </pic:pic>
              </a:graphicData>
            </a:graphic>
          </wp:inline>
        </w:drawing>
      </w:r>
    </w:p>
    <w:p w14:paraId="41160CA7" w14:textId="4A18D634" w:rsidR="00ED44FB" w:rsidRPr="006E0620" w:rsidRDefault="00ED44FB" w:rsidP="00ED44FB">
      <w:pPr>
        <w:pStyle w:val="TableDescription"/>
      </w:pPr>
      <w:r w:rsidRPr="006E0620">
        <w:t>mRNA = messenger ribonucleic acid; N = population size; n = sample size.</w:t>
      </w:r>
    </w:p>
    <w:p w14:paraId="46091C45" w14:textId="1E126EFC" w:rsidR="00183DD4" w:rsidRPr="006E0620" w:rsidRDefault="00183DD4" w:rsidP="00AD2B85">
      <w:r w:rsidRPr="006E0620">
        <w:t>Overall unsolicited AEs considered to be related to study v</w:t>
      </w:r>
      <w:r w:rsidR="00772855" w:rsidRPr="006E0620">
        <w:t>accination were reported in 8.2</w:t>
      </w:r>
      <w:r w:rsidRPr="006E0620">
        <w:t xml:space="preserve">% in the </w:t>
      </w:r>
      <w:proofErr w:type="spellStart"/>
      <w:r w:rsidR="007753E6" w:rsidRPr="007753E6">
        <w:t>Spikevax</w:t>
      </w:r>
      <w:proofErr w:type="spellEnd"/>
      <w:r w:rsidR="007753E6" w:rsidRPr="007753E6">
        <w:t xml:space="preserve"> COVID-19 </w:t>
      </w:r>
      <w:r w:rsidRPr="006E0620">
        <w:t>mRNA-1273</w:t>
      </w:r>
      <w:r w:rsidR="007753E6">
        <w:t xml:space="preserve"> vaccine</w:t>
      </w:r>
      <w:r w:rsidRPr="006E0620">
        <w:t xml:space="preserve"> group v</w:t>
      </w:r>
      <w:r w:rsidR="00772855" w:rsidRPr="006E0620">
        <w:t>ersu</w:t>
      </w:r>
      <w:r w:rsidRPr="006E0620">
        <w:t>s 4.5 % in placebo. In</w:t>
      </w:r>
      <w:r w:rsidR="00D91215" w:rsidRPr="006E0620">
        <w:t xml:space="preserve"> the</w:t>
      </w:r>
      <w:r w:rsidR="007753E6">
        <w:t xml:space="preserve"> </w:t>
      </w:r>
      <w:proofErr w:type="spellStart"/>
      <w:r w:rsidR="007753E6" w:rsidRPr="007753E6">
        <w:t>Spikevax</w:t>
      </w:r>
      <w:proofErr w:type="spellEnd"/>
      <w:r w:rsidR="007753E6" w:rsidRPr="007753E6">
        <w:t xml:space="preserve"> COVID-19</w:t>
      </w:r>
      <w:r w:rsidR="00D91215" w:rsidRPr="006E0620">
        <w:t xml:space="preserve"> mRNA-1273 </w:t>
      </w:r>
      <w:r w:rsidR="007753E6">
        <w:t xml:space="preserve">vaccine </w:t>
      </w:r>
      <w:r w:rsidR="00D91215" w:rsidRPr="006E0620">
        <w:t xml:space="preserve">group, treatment </w:t>
      </w:r>
      <w:r w:rsidRPr="006E0620">
        <w:t>related AEs reported in ≥</w:t>
      </w:r>
      <w:r w:rsidR="00D91215" w:rsidRPr="006E0620">
        <w:t> </w:t>
      </w:r>
      <w:r w:rsidRPr="006E0620">
        <w:t xml:space="preserve">1% of participants in the 28 days after any injection included fatigue (198 </w:t>
      </w:r>
      <w:r w:rsidR="00034F5B" w:rsidRPr="006E0620">
        <w:t>(</w:t>
      </w:r>
      <w:r w:rsidRPr="006E0620">
        <w:t>1.3%</w:t>
      </w:r>
      <w:r w:rsidR="00034F5B" w:rsidRPr="006E0620">
        <w:t>)</w:t>
      </w:r>
      <w:r w:rsidRPr="006E0620">
        <w:t xml:space="preserve"> participants </w:t>
      </w:r>
      <w:r w:rsidR="00034F5B" w:rsidRPr="006E0620">
        <w:t xml:space="preserve">in the </w:t>
      </w:r>
      <w:proofErr w:type="spellStart"/>
      <w:r w:rsidR="007753E6" w:rsidRPr="007753E6">
        <w:t>Spikevax</w:t>
      </w:r>
      <w:proofErr w:type="spellEnd"/>
      <w:r w:rsidR="007753E6" w:rsidRPr="007753E6">
        <w:t xml:space="preserve"> COVID-19 </w:t>
      </w:r>
      <w:r w:rsidR="00034F5B" w:rsidRPr="006E0620">
        <w:t xml:space="preserve">mRNA-1273 </w:t>
      </w:r>
      <w:r w:rsidR="007753E6">
        <w:t xml:space="preserve">vaccine </w:t>
      </w:r>
      <w:r w:rsidR="00034F5B" w:rsidRPr="006E0620">
        <w:t>group and 159 (</w:t>
      </w:r>
      <w:r w:rsidRPr="006E0620">
        <w:t>1.0%</w:t>
      </w:r>
      <w:r w:rsidR="00034F5B" w:rsidRPr="006E0620">
        <w:t>)</w:t>
      </w:r>
      <w:r w:rsidRPr="006E0620">
        <w:t xml:space="preserve"> participants in the pl</w:t>
      </w:r>
      <w:r w:rsidR="00034F5B" w:rsidRPr="006E0620">
        <w:t>acebo group) and headache (191 (</w:t>
      </w:r>
      <w:r w:rsidRPr="006E0620">
        <w:t>1.3%</w:t>
      </w:r>
      <w:r w:rsidR="00034F5B" w:rsidRPr="006E0620">
        <w:t>)</w:t>
      </w:r>
      <w:r w:rsidRPr="006E0620">
        <w:t xml:space="preserve"> participants </w:t>
      </w:r>
      <w:r w:rsidR="00034F5B" w:rsidRPr="006E0620">
        <w:t xml:space="preserve">in the </w:t>
      </w:r>
      <w:proofErr w:type="spellStart"/>
      <w:r w:rsidR="007753E6" w:rsidRPr="007753E6">
        <w:t>Spikevax</w:t>
      </w:r>
      <w:proofErr w:type="spellEnd"/>
      <w:r w:rsidR="007753E6" w:rsidRPr="007753E6">
        <w:t xml:space="preserve"> COVID-19 </w:t>
      </w:r>
      <w:r w:rsidR="00034F5B" w:rsidRPr="006E0620">
        <w:t>mRNA</w:t>
      </w:r>
      <w:r w:rsidR="00D91215" w:rsidRPr="006E0620">
        <w:noBreakHyphen/>
      </w:r>
      <w:r w:rsidR="00034F5B" w:rsidRPr="006E0620">
        <w:t xml:space="preserve">1273 </w:t>
      </w:r>
      <w:r w:rsidR="007753E6">
        <w:t xml:space="preserve">vaccine </w:t>
      </w:r>
      <w:r w:rsidR="00034F5B" w:rsidRPr="006E0620">
        <w:t>group and 122 (</w:t>
      </w:r>
      <w:r w:rsidRPr="006E0620">
        <w:t>0.8%</w:t>
      </w:r>
      <w:r w:rsidR="00034F5B" w:rsidRPr="006E0620">
        <w:t>)</w:t>
      </w:r>
      <w:r w:rsidRPr="006E0620">
        <w:t xml:space="preserve"> participants in the placebo group).</w:t>
      </w:r>
    </w:p>
    <w:p w14:paraId="668E6811" w14:textId="46E50F7B" w:rsidR="00183DD4" w:rsidRPr="00205DBC" w:rsidRDefault="00183DD4" w:rsidP="00205DBC">
      <w:pPr>
        <w:pStyle w:val="Heading7"/>
        <w:rPr>
          <w:sz w:val="22"/>
        </w:rPr>
      </w:pPr>
      <w:r w:rsidRPr="00205DBC">
        <w:rPr>
          <w:sz w:val="22"/>
        </w:rPr>
        <w:t xml:space="preserve">Unsolicited </w:t>
      </w:r>
      <w:r w:rsidR="00D91215" w:rsidRPr="00205DBC">
        <w:rPr>
          <w:sz w:val="22"/>
        </w:rPr>
        <w:t>System Organ Class</w:t>
      </w:r>
    </w:p>
    <w:p w14:paraId="003B4EB0" w14:textId="5D571BA0" w:rsidR="00183DD4" w:rsidRPr="006E0620" w:rsidRDefault="00183DD4" w:rsidP="00AD2B85">
      <w:r w:rsidRPr="006E0620">
        <w:t xml:space="preserve">By System Organ Class (SOC) of the unsolicited </w:t>
      </w:r>
      <w:r w:rsidR="00684EB9" w:rsidRPr="006E0620">
        <w:t>treatment emergent adverse events (</w:t>
      </w:r>
      <w:r w:rsidRPr="006E0620">
        <w:t>TEAEs</w:t>
      </w:r>
      <w:r w:rsidR="00684EB9" w:rsidRPr="006E0620">
        <w:t>)</w:t>
      </w:r>
      <w:r w:rsidRPr="006E0620">
        <w:t>, the number of participants experiencing skin, musculoskeletal and general disorders was more common in the vaccine group v</w:t>
      </w:r>
      <w:r w:rsidR="00772855" w:rsidRPr="006E0620">
        <w:t>ersu</w:t>
      </w:r>
      <w:r w:rsidRPr="006E0620">
        <w:t xml:space="preserve">s the placebo group. Most of the </w:t>
      </w:r>
      <w:r w:rsidRPr="006E0620">
        <w:lastRenderedPageBreak/>
        <w:t>imbalance can be accounted for with solicited event terms reported as TEAEs, for example fatigue was more common in the vaccine group under the general disorders and administration site SOC.</w:t>
      </w:r>
    </w:p>
    <w:p w14:paraId="7E4668BC" w14:textId="24036A79" w:rsidR="00183DD4" w:rsidRPr="006E0620" w:rsidRDefault="00183DD4" w:rsidP="00AD2B85">
      <w:r w:rsidRPr="006E0620">
        <w:t xml:space="preserve">In the </w:t>
      </w:r>
      <w:proofErr w:type="spellStart"/>
      <w:r w:rsidR="00DA4536">
        <w:t>Spikevax</w:t>
      </w:r>
      <w:proofErr w:type="spellEnd"/>
      <w:r w:rsidR="00DA4536">
        <w:t xml:space="preserve"> COVID-19 </w:t>
      </w:r>
      <w:r w:rsidRPr="006E0620">
        <w:t xml:space="preserve">mRNA-1273 </w:t>
      </w:r>
      <w:r w:rsidR="00DA4536">
        <w:t xml:space="preserve">vaccine </w:t>
      </w:r>
      <w:r w:rsidRPr="006E0620">
        <w:t>group, overall, general disorders and administration site AEs were the most common (6.6%); headache</w:t>
      </w:r>
      <w:r w:rsidR="00684EB9" w:rsidRPr="006E0620">
        <w:t xml:space="preserve"> and fatigue were reported in ≥ </w:t>
      </w:r>
      <w:r w:rsidRPr="006E0620">
        <w:t>2% of subjects.</w:t>
      </w:r>
    </w:p>
    <w:p w14:paraId="6E2CFA58" w14:textId="28654CD8" w:rsidR="00183DD4" w:rsidRDefault="00B567CB" w:rsidP="00B567CB">
      <w:pPr>
        <w:pStyle w:val="TableTitle"/>
      </w:pPr>
      <w:r w:rsidRPr="006E0620">
        <w:t xml:space="preserve">Table </w:t>
      </w:r>
      <w:r>
        <w:fldChar w:fldCharType="begin"/>
      </w:r>
      <w:r>
        <w:instrText>SEQ Table \* ARABIC</w:instrText>
      </w:r>
      <w:r>
        <w:fldChar w:fldCharType="separate"/>
      </w:r>
      <w:r w:rsidR="00B1591C">
        <w:rPr>
          <w:noProof/>
        </w:rPr>
        <w:t>23</w:t>
      </w:r>
      <w:r>
        <w:fldChar w:fldCharType="end"/>
      </w:r>
      <w:r w:rsidR="00183DD4" w:rsidRPr="006E0620">
        <w:t xml:space="preserve">: </w:t>
      </w:r>
      <w:r w:rsidR="00776482" w:rsidRPr="006E0620">
        <w:t xml:space="preserve">Study 301 </w:t>
      </w:r>
      <w:r w:rsidR="00183DD4" w:rsidRPr="006E0620">
        <w:t>Percentage of subjects reporting &gt;</w:t>
      </w:r>
      <w:r w:rsidR="00684EB9" w:rsidRPr="006E0620">
        <w:t> </w:t>
      </w:r>
      <w:r w:rsidR="00183DD4" w:rsidRPr="006E0620">
        <w:t xml:space="preserve">1% unsolicited </w:t>
      </w:r>
      <w:r w:rsidR="00684EB9" w:rsidRPr="006E0620">
        <w:t>adverse events</w:t>
      </w:r>
      <w:r w:rsidR="00776482" w:rsidRPr="006E0620">
        <w:t xml:space="preserve"> up to 28 days after any dose, safety set</w:t>
      </w:r>
    </w:p>
    <w:p w14:paraId="65D0A5D5" w14:textId="10220BCC" w:rsidR="00E05E0A" w:rsidRPr="006E0620" w:rsidRDefault="00E05E0A" w:rsidP="00CD55D9">
      <w:r>
        <w:rPr>
          <w:noProof/>
          <w:lang w:val="en-GB" w:eastAsia="en-GB"/>
        </w:rPr>
        <w:drawing>
          <wp:inline distT="0" distB="0" distL="0" distR="0" wp14:anchorId="609FB4E6" wp14:editId="2E9DB93B">
            <wp:extent cx="4690753" cy="3312795"/>
            <wp:effectExtent l="0" t="0" r="0" b="1905"/>
            <wp:docPr id="33" name="Picture 33" descr="Study 301 Percentage of subjects reporting &gt; 1% unsolicited adverse events up to 28 days after any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301 Percentage of subjects reporting &gt; 1% unsolicited adverse events up to 28 days after any dose, safety s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0884" cy="3327012"/>
                    </a:xfrm>
                    <a:prstGeom prst="rect">
                      <a:avLst/>
                    </a:prstGeom>
                    <a:noFill/>
                    <a:ln>
                      <a:noFill/>
                    </a:ln>
                  </pic:spPr>
                </pic:pic>
              </a:graphicData>
            </a:graphic>
          </wp:inline>
        </w:drawing>
      </w:r>
    </w:p>
    <w:p w14:paraId="668C05CF" w14:textId="3DF75091" w:rsidR="00ED44FB" w:rsidRPr="006E0620" w:rsidRDefault="00ED44FB" w:rsidP="00ED44FB">
      <w:pPr>
        <w:pStyle w:val="TableDescription"/>
      </w:pPr>
      <w:r w:rsidRPr="006E0620">
        <w:t>N = population size; n/% = number (percentage) of subjects reporting the adverse event at least once; PT = Preferred Term.</w:t>
      </w:r>
    </w:p>
    <w:p w14:paraId="15E0ACC4" w14:textId="62FB7683" w:rsidR="00ED44FB" w:rsidRPr="006E0620" w:rsidRDefault="00ED44FB" w:rsidP="00ED44FB">
      <w:pPr>
        <w:pStyle w:val="TableDescription"/>
      </w:pPr>
      <w:r w:rsidRPr="006E0620">
        <w:t>Percentages are based on the number of safety subjects.</w:t>
      </w:r>
    </w:p>
    <w:p w14:paraId="24C7BD74" w14:textId="77777777" w:rsidR="00ED44FB" w:rsidRPr="006E0620" w:rsidRDefault="00ED44FB" w:rsidP="00ED44FB">
      <w:pPr>
        <w:pStyle w:val="TableDescription"/>
      </w:pPr>
      <w:r w:rsidRPr="006E0620">
        <w:t>* Safety set: all randomised participants who received ≥ one vaccine or control dose.</w:t>
      </w:r>
    </w:p>
    <w:p w14:paraId="45EB26AF" w14:textId="05313666" w:rsidR="00183DD4" w:rsidRPr="006E0620" w:rsidRDefault="00183DD4" w:rsidP="00AD2B85">
      <w:r w:rsidRPr="006E0620">
        <w:t>A</w:t>
      </w:r>
      <w:r w:rsidR="00C409CD" w:rsidRPr="006E0620">
        <w:t>dverse event</w:t>
      </w:r>
      <w:r w:rsidRPr="006E0620">
        <w:t xml:space="preserve"> of diarrhoea was reported in a similar incidence in the elderly: 42/3770</w:t>
      </w:r>
      <w:r w:rsidR="00257668">
        <w:t> </w:t>
      </w:r>
      <w:r w:rsidRPr="006E0620">
        <w:t>(1.1%) in vaccine group v</w:t>
      </w:r>
      <w:r w:rsidR="00772855" w:rsidRPr="006E0620">
        <w:t>ersu</w:t>
      </w:r>
      <w:r w:rsidRPr="006E0620">
        <w:t>s 48/3750 (1.3%) in placebo</w:t>
      </w:r>
      <w:r w:rsidR="00C409CD" w:rsidRPr="006E0620">
        <w:t xml:space="preserve"> group</w:t>
      </w:r>
      <w:r w:rsidRPr="006E0620">
        <w:t>.</w:t>
      </w:r>
    </w:p>
    <w:p w14:paraId="213F60A1" w14:textId="4515DFD9" w:rsidR="00183DD4" w:rsidRPr="00205DBC" w:rsidRDefault="00183DD4" w:rsidP="00205DBC">
      <w:pPr>
        <w:pStyle w:val="Heading7"/>
        <w:rPr>
          <w:sz w:val="22"/>
        </w:rPr>
      </w:pPr>
      <w:r w:rsidRPr="00205DBC">
        <w:rPr>
          <w:sz w:val="22"/>
        </w:rPr>
        <w:t xml:space="preserve">Serious </w:t>
      </w:r>
      <w:r w:rsidR="00C409CD" w:rsidRPr="00205DBC">
        <w:rPr>
          <w:sz w:val="22"/>
        </w:rPr>
        <w:t>adverse events</w:t>
      </w:r>
    </w:p>
    <w:p w14:paraId="176ABD1C" w14:textId="1351A6C0" w:rsidR="00183DD4" w:rsidRPr="006E0620" w:rsidRDefault="00183DD4" w:rsidP="00AD2B85">
      <w:r w:rsidRPr="006E0620">
        <w:t>The proportion of participants who reported severe unsolicited AEs was low and generally balanced in both groups (1.5% in vaccine group and 1.3% in placebo), with 0.2</w:t>
      </w:r>
      <w:r w:rsidR="00624E84" w:rsidRPr="006E0620">
        <w:t xml:space="preserve">% and 0.5% considered treatment </w:t>
      </w:r>
      <w:r w:rsidRPr="006E0620">
        <w:t xml:space="preserve">related respectively. The most frequently reported severe AEs in the vaccine group were consistent with reactogenic events such as headache, fatigue, myalgia arthralgia, injection site erythema and injection site swelling. The most common SAEs in the vaccine group, which were numerically higher than the placebo group, were myocardial infarction, </w:t>
      </w:r>
      <w:proofErr w:type="gramStart"/>
      <w:r w:rsidRPr="006E0620">
        <w:t>cholecystitis</w:t>
      </w:r>
      <w:proofErr w:type="gramEnd"/>
      <w:r w:rsidRPr="006E0620">
        <w:t xml:space="preserve"> and nephrolithiasis. However, causality could not be established due to the small numbers of these events. </w:t>
      </w:r>
      <w:r w:rsidR="00DA4536">
        <w:t>A t</w:t>
      </w:r>
      <w:r w:rsidR="00624E84" w:rsidRPr="006E0620">
        <w:t xml:space="preserve">otal </w:t>
      </w:r>
      <w:r w:rsidR="00DA4536">
        <w:t xml:space="preserve">of </w:t>
      </w:r>
      <w:r w:rsidR="00624E84" w:rsidRPr="006E0620">
        <w:t xml:space="preserve">7 SAEs (4.8%) in the </w:t>
      </w:r>
      <w:proofErr w:type="spellStart"/>
      <w:r w:rsidR="00DA4536">
        <w:t>Spikevax</w:t>
      </w:r>
      <w:proofErr w:type="spellEnd"/>
      <w:r w:rsidR="00DA4536">
        <w:t xml:space="preserve"> COVID-19 </w:t>
      </w:r>
      <w:r w:rsidR="00624E84" w:rsidRPr="006E0620">
        <w:t>mRNA</w:t>
      </w:r>
      <w:r w:rsidR="00624E84" w:rsidRPr="006E0620">
        <w:noBreakHyphen/>
      </w:r>
      <w:r w:rsidRPr="006E0620">
        <w:t xml:space="preserve">1273 </w:t>
      </w:r>
      <w:r w:rsidR="00DA4536">
        <w:t xml:space="preserve">vaccine </w:t>
      </w:r>
      <w:r w:rsidRPr="006E0620">
        <w:t>group and 5 (3.3%) in the placebo group were assessed by the investigator as related to study vaccination.</w:t>
      </w:r>
    </w:p>
    <w:p w14:paraId="74E58C9F" w14:textId="716508D8" w:rsidR="00183DD4" w:rsidRDefault="00B567CB" w:rsidP="00B567CB">
      <w:pPr>
        <w:pStyle w:val="TableTitle"/>
      </w:pPr>
      <w:r w:rsidRPr="006E0620">
        <w:lastRenderedPageBreak/>
        <w:t xml:space="preserve">Table </w:t>
      </w:r>
      <w:r>
        <w:fldChar w:fldCharType="begin"/>
      </w:r>
      <w:r>
        <w:instrText>SEQ Table \* ARABIC</w:instrText>
      </w:r>
      <w:r>
        <w:fldChar w:fldCharType="separate"/>
      </w:r>
      <w:r w:rsidR="00B1591C">
        <w:rPr>
          <w:noProof/>
        </w:rPr>
        <w:t>24</w:t>
      </w:r>
      <w:r>
        <w:fldChar w:fldCharType="end"/>
      </w:r>
      <w:r w:rsidR="00183DD4" w:rsidRPr="006E0620">
        <w:t xml:space="preserve">: </w:t>
      </w:r>
      <w:r w:rsidR="00776482" w:rsidRPr="006E0620">
        <w:t xml:space="preserve">Study 301 </w:t>
      </w:r>
      <w:r w:rsidR="00183DD4" w:rsidRPr="006E0620">
        <w:t xml:space="preserve">Percentage of </w:t>
      </w:r>
      <w:r w:rsidR="00624E84" w:rsidRPr="006E0620">
        <w:t>subjects reporting the occurrence serious adverse events (at l</w:t>
      </w:r>
      <w:r w:rsidR="00183DD4" w:rsidRPr="006E0620">
        <w:t xml:space="preserve">east 3 </w:t>
      </w:r>
      <w:r w:rsidR="00624E84" w:rsidRPr="006E0620">
        <w:t>subjects in either group</w:t>
      </w:r>
      <w:r w:rsidR="00183DD4" w:rsidRPr="006E0620">
        <w:t xml:space="preserve">) </w:t>
      </w:r>
      <w:r w:rsidR="00624E84" w:rsidRPr="006E0620">
        <w:t>classified b</w:t>
      </w:r>
      <w:r w:rsidR="00183DD4" w:rsidRPr="006E0620">
        <w:t>y MedDRA</w:t>
      </w:r>
      <w:r w:rsidR="001A692F" w:rsidRPr="006E0620">
        <w:t>;</w:t>
      </w:r>
      <w:r w:rsidR="001A692F" w:rsidRPr="006E0620">
        <w:rPr>
          <w:rStyle w:val="FootnoteReference"/>
        </w:rPr>
        <w:footnoteReference w:id="28"/>
      </w:r>
      <w:r w:rsidR="00183DD4" w:rsidRPr="006E0620">
        <w:t xml:space="preserve"> </w:t>
      </w:r>
      <w:r w:rsidR="00624E84" w:rsidRPr="006E0620">
        <w:t xml:space="preserve">primary </w:t>
      </w:r>
      <w:r w:rsidR="00183DD4" w:rsidRPr="006E0620">
        <w:t>System Organ Class and Preferred Term</w:t>
      </w:r>
      <w:r w:rsidR="00776482" w:rsidRPr="006E0620">
        <w:t>, safety set</w:t>
      </w:r>
    </w:p>
    <w:p w14:paraId="7C9CE230" w14:textId="227ACD8C" w:rsidR="00E05E0A" w:rsidRPr="006E0620" w:rsidRDefault="00E05E0A" w:rsidP="00CD55D9">
      <w:r>
        <w:rPr>
          <w:noProof/>
          <w:lang w:val="en-GB" w:eastAsia="en-GB"/>
        </w:rPr>
        <w:drawing>
          <wp:inline distT="0" distB="0" distL="0" distR="0" wp14:anchorId="1860E34B" wp14:editId="3A150139">
            <wp:extent cx="5398770" cy="7506335"/>
            <wp:effectExtent l="0" t="0" r="0" b="0"/>
            <wp:docPr id="38" name="Picture 38" descr="Study 301 Percentage of subjects reporting the occurrence serious adverse events (at least 3 subjects in either group) classified by MedDRA  primary System Organ Class and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udy 301 Percentage of subjects reporting the occurrence serious adverse events (at least 3 subjects in either group) classified by MedDRA  primary System Organ Class and Preferred Term, safety s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8770" cy="7506335"/>
                    </a:xfrm>
                    <a:prstGeom prst="rect">
                      <a:avLst/>
                    </a:prstGeom>
                    <a:noFill/>
                    <a:ln>
                      <a:noFill/>
                    </a:ln>
                  </pic:spPr>
                </pic:pic>
              </a:graphicData>
            </a:graphic>
          </wp:inline>
        </w:drawing>
      </w:r>
    </w:p>
    <w:p w14:paraId="2A1AC336" w14:textId="77777777" w:rsidR="0046123D" w:rsidRPr="006E0620" w:rsidRDefault="0046123D" w:rsidP="0046123D">
      <w:pPr>
        <w:pStyle w:val="TableDescription"/>
      </w:pPr>
      <w:r w:rsidRPr="006E0620">
        <w:lastRenderedPageBreak/>
        <w:t>N = number of treated subjects included in each treatment group; n (%) = number (percentage) of subjects reporting the adverse event at least once; [n] = number of events reported; PT = Preferred Term.</w:t>
      </w:r>
    </w:p>
    <w:p w14:paraId="416912F6" w14:textId="77777777" w:rsidR="0046123D" w:rsidRPr="006E0620" w:rsidRDefault="0046123D" w:rsidP="0046123D">
      <w:pPr>
        <w:pStyle w:val="TableDescription"/>
      </w:pPr>
      <w:r w:rsidRPr="006E0620">
        <w:t>* Safety set: all randomised participants who received ≥ one vaccine or control dose.</w:t>
      </w:r>
    </w:p>
    <w:p w14:paraId="770942C7" w14:textId="1A432763" w:rsidR="0046123D" w:rsidRPr="006E0620" w:rsidRDefault="0046123D" w:rsidP="0046123D">
      <w:pPr>
        <w:pStyle w:val="TableDescription"/>
      </w:pPr>
      <w:r w:rsidRPr="006E0620">
        <w:t>At least one adverse event = at least one adverse event experienced (regardless of the MedDRA Preferred Term).</w:t>
      </w:r>
    </w:p>
    <w:p w14:paraId="076D6D2A" w14:textId="3BE2C196" w:rsidR="0046123D" w:rsidRPr="006E0620" w:rsidRDefault="0046123D" w:rsidP="0046123D">
      <w:pPr>
        <w:pStyle w:val="TableDescription"/>
      </w:pPr>
      <w:r w:rsidRPr="006E0620">
        <w:t>Percentages are based on the number of safety subjects.</w:t>
      </w:r>
    </w:p>
    <w:p w14:paraId="0ACC3144" w14:textId="4B37A0E5" w:rsidR="0046123D" w:rsidRPr="006E0620" w:rsidRDefault="0046123D" w:rsidP="0046123D">
      <w:pPr>
        <w:pStyle w:val="TableDescription"/>
      </w:pPr>
      <w:proofErr w:type="spellStart"/>
      <w:r w:rsidRPr="006E0620">
        <w:t>a</w:t>
      </w:r>
      <w:proofErr w:type="spellEnd"/>
      <w:r w:rsidRPr="006E0620">
        <w:t xml:space="preserve"> there was no Preferred Term reported in ≥ 3 subjects in either of the treatment group.</w:t>
      </w:r>
    </w:p>
    <w:p w14:paraId="77E31F3C" w14:textId="77777777" w:rsidR="00183DD4" w:rsidRPr="00205DBC" w:rsidRDefault="00183DD4" w:rsidP="00205DBC">
      <w:pPr>
        <w:pStyle w:val="Heading7"/>
        <w:rPr>
          <w:sz w:val="22"/>
        </w:rPr>
      </w:pPr>
      <w:r w:rsidRPr="00205DBC">
        <w:rPr>
          <w:sz w:val="22"/>
        </w:rPr>
        <w:t>Deaths</w:t>
      </w:r>
    </w:p>
    <w:p w14:paraId="5F324126" w14:textId="4B5DE5CC" w:rsidR="00183DD4" w:rsidRPr="006E0620" w:rsidRDefault="00183DD4" w:rsidP="00AD2B85">
      <w:r w:rsidRPr="006E0620">
        <w:t>At the time of the final data cut-off date, 10 deaths were reported (4 in the vaccine group and 6 in the placebo group). However, based on the pharmacovigilance database which includes</w:t>
      </w:r>
      <w:r w:rsidR="00FA6EAC" w:rsidRPr="006E0620">
        <w:t xml:space="preserve"> data from study start through </w:t>
      </w:r>
      <w:r w:rsidRPr="006E0620">
        <w:t>3 Dec</w:t>
      </w:r>
      <w:r w:rsidR="00FA6EAC" w:rsidRPr="006E0620">
        <w:t>ember</w:t>
      </w:r>
      <w:r w:rsidRPr="006E0620">
        <w:t xml:space="preserve"> 2020, there have been 13 deaths during the study. Six part</w:t>
      </w:r>
      <w:r w:rsidR="00FA6EAC" w:rsidRPr="006E0620">
        <w:t xml:space="preserve">icipants who died received </w:t>
      </w:r>
      <w:proofErr w:type="spellStart"/>
      <w:r w:rsidR="00DA4536">
        <w:t>Spikevax</w:t>
      </w:r>
      <w:proofErr w:type="spellEnd"/>
      <w:r w:rsidR="00DA4536">
        <w:t xml:space="preserve"> COVID-19 </w:t>
      </w:r>
      <w:r w:rsidR="00FA6EAC" w:rsidRPr="006E0620">
        <w:t>mRNA</w:t>
      </w:r>
      <w:r w:rsidR="00FA6EAC" w:rsidRPr="006E0620">
        <w:noBreakHyphen/>
      </w:r>
      <w:r w:rsidRPr="006E0620">
        <w:t xml:space="preserve">1273 </w:t>
      </w:r>
      <w:r w:rsidR="00DA4536">
        <w:t xml:space="preserve">vaccine </w:t>
      </w:r>
      <w:r w:rsidRPr="006E0620">
        <w:t xml:space="preserve">and 7 received placebo. The most common </w:t>
      </w:r>
      <w:r w:rsidR="00047A85" w:rsidRPr="006E0620">
        <w:t>Preferred Term (PT)</w:t>
      </w:r>
      <w:r w:rsidRPr="006E0620">
        <w:t xml:space="preserve"> was myocardial infarction, reported by 3 participants, 2 who received placebo and </w:t>
      </w:r>
      <w:r w:rsidR="00FA6EAC" w:rsidRPr="006E0620">
        <w:t>one</w:t>
      </w:r>
      <w:r w:rsidRPr="006E0620">
        <w:t xml:space="preserve"> who received </w:t>
      </w:r>
      <w:proofErr w:type="spellStart"/>
      <w:r w:rsidR="00DA4536">
        <w:t>Spikevax</w:t>
      </w:r>
      <w:proofErr w:type="spellEnd"/>
      <w:r w:rsidR="00DA4536">
        <w:t xml:space="preserve"> COVID-19 </w:t>
      </w:r>
      <w:r w:rsidRPr="006E0620">
        <w:t>mRNA-1273</w:t>
      </w:r>
      <w:r w:rsidR="00DA4536">
        <w:t xml:space="preserve"> vaccine</w:t>
      </w:r>
      <w:r w:rsidRPr="006E0620">
        <w:t xml:space="preserve">. The participant </w:t>
      </w:r>
      <w:r w:rsidR="00FA6EAC" w:rsidRPr="006E0620">
        <w:t xml:space="preserve">who received </w:t>
      </w:r>
      <w:proofErr w:type="spellStart"/>
      <w:r w:rsidR="00DA4536">
        <w:t>Spikevax</w:t>
      </w:r>
      <w:proofErr w:type="spellEnd"/>
      <w:r w:rsidR="00DA4536">
        <w:t xml:space="preserve"> COVID</w:t>
      </w:r>
      <w:r w:rsidR="00257668">
        <w:noBreakHyphen/>
      </w:r>
      <w:r w:rsidR="00DA4536">
        <w:t xml:space="preserve">19 </w:t>
      </w:r>
      <w:r w:rsidR="00FA6EAC" w:rsidRPr="006E0620">
        <w:t xml:space="preserve">mRNA-1273 </w:t>
      </w:r>
      <w:r w:rsidR="00DA4536">
        <w:t xml:space="preserve">vaccine </w:t>
      </w:r>
      <w:r w:rsidR="00FA6EAC" w:rsidRPr="006E0620">
        <w:t xml:space="preserve">was a </w:t>
      </w:r>
      <w:proofErr w:type="gramStart"/>
      <w:r w:rsidR="00FA6EAC" w:rsidRPr="006E0620">
        <w:t xml:space="preserve">56 </w:t>
      </w:r>
      <w:r w:rsidRPr="006E0620">
        <w:t>year old</w:t>
      </w:r>
      <w:proofErr w:type="gramEnd"/>
      <w:r w:rsidRPr="006E0620">
        <w:t xml:space="preserve"> male with a history of hypercholesterolemia and died 45 days from administration of the study product. Another death, due to cardiopulmonary arrest, oc</w:t>
      </w:r>
      <w:r w:rsidR="00FA6EAC" w:rsidRPr="006E0620">
        <w:t xml:space="preserve">curred 21 days after </w:t>
      </w:r>
      <w:proofErr w:type="spellStart"/>
      <w:r w:rsidR="00DA4536">
        <w:t>Spikevax</w:t>
      </w:r>
      <w:proofErr w:type="spellEnd"/>
      <w:r w:rsidR="00DA4536">
        <w:t xml:space="preserve"> COVID-19 </w:t>
      </w:r>
      <w:r w:rsidR="00FA6EAC" w:rsidRPr="006E0620">
        <w:t xml:space="preserve">mRNA-1273 </w:t>
      </w:r>
      <w:r w:rsidR="00DA4536">
        <w:t xml:space="preserve">vaccine </w:t>
      </w:r>
      <w:r w:rsidR="00FA6EAC" w:rsidRPr="006E0620">
        <w:t xml:space="preserve">Dose 1 in a </w:t>
      </w:r>
      <w:proofErr w:type="gramStart"/>
      <w:r w:rsidR="00FA6EAC" w:rsidRPr="006E0620">
        <w:t xml:space="preserve">78 </w:t>
      </w:r>
      <w:r w:rsidRPr="006E0620">
        <w:t>ye</w:t>
      </w:r>
      <w:r w:rsidR="00FA6EAC" w:rsidRPr="006E0620">
        <w:t xml:space="preserve">ar </w:t>
      </w:r>
      <w:r w:rsidRPr="006E0620">
        <w:t>old</w:t>
      </w:r>
      <w:proofErr w:type="gramEnd"/>
      <w:r w:rsidRPr="006E0620">
        <w:t xml:space="preserve"> with a history of cerebrovascular accident. The other causes of deaths, which were reported in participants who received </w:t>
      </w:r>
      <w:proofErr w:type="spellStart"/>
      <w:r w:rsidR="00DA4536">
        <w:t>Spikevax</w:t>
      </w:r>
      <w:proofErr w:type="spellEnd"/>
      <w:r w:rsidR="00DA4536">
        <w:t xml:space="preserve"> COVID-19 </w:t>
      </w:r>
      <w:r w:rsidRPr="006E0620">
        <w:t>mRNA</w:t>
      </w:r>
      <w:r w:rsidR="00DA4536">
        <w:noBreakHyphen/>
      </w:r>
      <w:r w:rsidRPr="006E0620">
        <w:t>1273</w:t>
      </w:r>
      <w:r w:rsidR="00DA4536">
        <w:t xml:space="preserve"> vaccine</w:t>
      </w:r>
      <w:r w:rsidRPr="006E0620">
        <w:t xml:space="preserve"> included suicide, head trauma due to fall, multisystem organ failure, and death due to unknown causes. None of the deaths were assessed by </w:t>
      </w:r>
      <w:r w:rsidR="00257668">
        <w:t>i</w:t>
      </w:r>
      <w:r w:rsidRPr="006E0620">
        <w:t>nvestigator as related to study product.</w:t>
      </w:r>
    </w:p>
    <w:p w14:paraId="25FA2E7D" w14:textId="01D17C2B" w:rsidR="00183DD4" w:rsidRPr="00205DBC" w:rsidRDefault="00183DD4" w:rsidP="00C618E0">
      <w:pPr>
        <w:pStyle w:val="Heading6"/>
      </w:pPr>
      <w:r w:rsidRPr="00205DBC">
        <w:t xml:space="preserve">Study </w:t>
      </w:r>
      <w:r w:rsidR="00FA6EAC" w:rsidRPr="00205DBC">
        <w:t>withdrawals due to adverse events</w:t>
      </w:r>
    </w:p>
    <w:p w14:paraId="09D64988" w14:textId="41989BEE" w:rsidR="00183DD4" w:rsidRPr="006E0620" w:rsidRDefault="00183DD4" w:rsidP="00AD2B85">
      <w:r w:rsidRPr="006E0620">
        <w:t>Adverse events led to vaccine discontinuation in 80 participants in the placebo group v</w:t>
      </w:r>
      <w:r w:rsidR="00772855" w:rsidRPr="006E0620">
        <w:t>ersu</w:t>
      </w:r>
      <w:r w:rsidRPr="006E0620">
        <w:t>s 50 participants in the vaccine group. There was a slightly higher percentage of seropositive participants in both treatment groups who had an AE leading to withdrawal (1.7% of seropositive participants v</w:t>
      </w:r>
      <w:r w:rsidR="00772855" w:rsidRPr="006E0620">
        <w:t>ersu</w:t>
      </w:r>
      <w:r w:rsidRPr="006E0620">
        <w:t>s 0.3% of seronegative participants in the vaccine group; 1.5% of seropositive participants v</w:t>
      </w:r>
      <w:r w:rsidR="00772855" w:rsidRPr="006E0620">
        <w:t>ersu</w:t>
      </w:r>
      <w:r w:rsidRPr="006E0620">
        <w:t>s 0.5% of seronegative participants in the placebo group)</w:t>
      </w:r>
      <w:r w:rsidR="00FA6EAC" w:rsidRPr="006E0620">
        <w:t>.</w:t>
      </w:r>
    </w:p>
    <w:p w14:paraId="7CCF8AE5" w14:textId="41CAE6AC" w:rsidR="00183DD4" w:rsidRPr="006E0620" w:rsidRDefault="00183DD4" w:rsidP="00C618E0">
      <w:pPr>
        <w:pStyle w:val="Heading6"/>
        <w:rPr>
          <w:rFonts w:eastAsia="Calibri"/>
        </w:rPr>
      </w:pPr>
      <w:r w:rsidRPr="006E0620">
        <w:rPr>
          <w:rFonts w:eastAsia="Calibri"/>
        </w:rPr>
        <w:t xml:space="preserve">Safety in </w:t>
      </w:r>
      <w:r w:rsidR="00FA6EAC" w:rsidRPr="006E0620">
        <w:rPr>
          <w:rFonts w:eastAsia="Calibri"/>
        </w:rPr>
        <w:t>special populations</w:t>
      </w:r>
    </w:p>
    <w:p w14:paraId="41105EA4" w14:textId="284BC0DB" w:rsidR="00183DD4" w:rsidRPr="009923D5" w:rsidRDefault="00FA6EAC" w:rsidP="009923D5">
      <w:pPr>
        <w:pStyle w:val="Heading7"/>
        <w:rPr>
          <w:sz w:val="22"/>
        </w:rPr>
      </w:pPr>
      <w:r w:rsidRPr="009923D5">
        <w:rPr>
          <w:sz w:val="22"/>
        </w:rPr>
        <w:t>Pregnancy</w:t>
      </w:r>
    </w:p>
    <w:p w14:paraId="2C0B7F57" w14:textId="6CF3F72E" w:rsidR="00183DD4" w:rsidRPr="006E0620" w:rsidRDefault="00183DD4" w:rsidP="00AD2B85">
      <w:r w:rsidRPr="006E0620">
        <w:t xml:space="preserve">Pregnant subjects were excluded from </w:t>
      </w:r>
      <w:r w:rsidR="00247854" w:rsidRPr="006E0620">
        <w:t>Study</w:t>
      </w:r>
      <w:r w:rsidR="00FA6EAC" w:rsidRPr="006E0620">
        <w:t> </w:t>
      </w:r>
      <w:r w:rsidRPr="006E0620">
        <w:t>301; however, there have been 13 pr</w:t>
      </w:r>
      <w:r w:rsidR="00FA6EAC" w:rsidRPr="006E0620">
        <w:t xml:space="preserve">egnancies reported during Study 301 through </w:t>
      </w:r>
      <w:r w:rsidRPr="006E0620">
        <w:t>3 Dec</w:t>
      </w:r>
      <w:r w:rsidR="00FA6EAC" w:rsidRPr="006E0620">
        <w:t>ember</w:t>
      </w:r>
      <w:r w:rsidRPr="006E0620">
        <w:t xml:space="preserve"> 2020 (reported in</w:t>
      </w:r>
      <w:r w:rsidR="0032453E" w:rsidRPr="006E0620">
        <w:t xml:space="preserve"> the pharmacovigilance database</w:t>
      </w:r>
      <w:r w:rsidR="00603B26" w:rsidRPr="006E0620">
        <w:t>;</w:t>
      </w:r>
      <w:bookmarkStart w:id="54" w:name="_Ref78292159"/>
      <w:r w:rsidR="00603B26" w:rsidRPr="006E0620">
        <w:rPr>
          <w:rStyle w:val="FootnoteReference"/>
        </w:rPr>
        <w:footnoteReference w:id="29"/>
      </w:r>
      <w:bookmarkEnd w:id="54"/>
      <w:r w:rsidRPr="006E0620">
        <w:t>). Six pregnancies were reported by part</w:t>
      </w:r>
      <w:r w:rsidR="00FA6EAC" w:rsidRPr="006E0620">
        <w:t xml:space="preserve">icipants, who had received </w:t>
      </w:r>
      <w:proofErr w:type="spellStart"/>
      <w:r w:rsidR="00DA4536">
        <w:t>Spikevax</w:t>
      </w:r>
      <w:proofErr w:type="spellEnd"/>
      <w:r w:rsidR="00DA4536">
        <w:t xml:space="preserve"> COVID-19 </w:t>
      </w:r>
      <w:r w:rsidR="00FA6EAC" w:rsidRPr="006E0620">
        <w:t>mRNA</w:t>
      </w:r>
      <w:r w:rsidR="00FA6EAC" w:rsidRPr="006E0620">
        <w:noBreakHyphen/>
      </w:r>
      <w:r w:rsidRPr="006E0620">
        <w:t xml:space="preserve">1273 </w:t>
      </w:r>
      <w:r w:rsidR="00DA4536">
        <w:t xml:space="preserve">vaccine </w:t>
      </w:r>
      <w:r w:rsidRPr="006E0620">
        <w:t xml:space="preserve">and 7 pregnancies were reported by participants who received placebo. Amongst the recipients of </w:t>
      </w:r>
      <w:proofErr w:type="spellStart"/>
      <w:r w:rsidR="00DA4536">
        <w:t>Spikevax</w:t>
      </w:r>
      <w:proofErr w:type="spellEnd"/>
      <w:r w:rsidR="00DA4536">
        <w:t xml:space="preserve"> COVID-19 </w:t>
      </w:r>
      <w:r w:rsidRPr="006E0620">
        <w:t>mNRA</w:t>
      </w:r>
      <w:r w:rsidR="00DA4536">
        <w:noBreakHyphen/>
      </w:r>
      <w:r w:rsidRPr="006E0620">
        <w:t>1273</w:t>
      </w:r>
      <w:r w:rsidR="00DA4536">
        <w:t xml:space="preserve"> vaccine</w:t>
      </w:r>
      <w:r w:rsidRPr="006E0620">
        <w:t>, all pregnancies are continuing to term without any complications reported to date.</w:t>
      </w:r>
    </w:p>
    <w:p w14:paraId="5020E434" w14:textId="77777777" w:rsidR="00183DD4" w:rsidRPr="009923D5" w:rsidRDefault="00183DD4" w:rsidP="009923D5">
      <w:pPr>
        <w:pStyle w:val="Heading7"/>
        <w:rPr>
          <w:sz w:val="22"/>
        </w:rPr>
      </w:pPr>
      <w:r w:rsidRPr="009923D5">
        <w:rPr>
          <w:sz w:val="22"/>
        </w:rPr>
        <w:lastRenderedPageBreak/>
        <w:t>Breastfeeding</w:t>
      </w:r>
    </w:p>
    <w:p w14:paraId="18DF7031" w14:textId="77777777" w:rsidR="00183DD4" w:rsidRPr="006E0620" w:rsidRDefault="00183DD4" w:rsidP="00AD2B85">
      <w:r w:rsidRPr="006E0620">
        <w:t>Breastfeeding females or those planning to breastfeed from time of first vaccination through 60 days after last vaccination were excluded from the study.</w:t>
      </w:r>
    </w:p>
    <w:p w14:paraId="4EDFBE59" w14:textId="77777777" w:rsidR="00183DD4" w:rsidRPr="009923D5" w:rsidRDefault="00183DD4" w:rsidP="009923D5">
      <w:pPr>
        <w:pStyle w:val="Heading7"/>
        <w:rPr>
          <w:sz w:val="22"/>
        </w:rPr>
      </w:pPr>
      <w:r w:rsidRPr="009923D5">
        <w:rPr>
          <w:sz w:val="22"/>
        </w:rPr>
        <w:t>Immunocompromised individuals</w:t>
      </w:r>
    </w:p>
    <w:p w14:paraId="78963F29" w14:textId="77777777" w:rsidR="00183DD4" w:rsidRPr="006E0620" w:rsidRDefault="00183DD4" w:rsidP="00AD2B85">
      <w:r w:rsidRPr="006E0620">
        <w:t>Data are currently lacking on immunocompromised individuals (excluded from the study) but a lower VE is expected due to a weaker immune response in this subgroup. Subjects with HIV infection were included but they had well controlled disease.</w:t>
      </w:r>
    </w:p>
    <w:p w14:paraId="3701F823" w14:textId="16D079B5" w:rsidR="00183DD4" w:rsidRPr="009923D5" w:rsidRDefault="00AD2B85" w:rsidP="009923D5">
      <w:pPr>
        <w:pStyle w:val="Heading7"/>
        <w:rPr>
          <w:sz w:val="22"/>
        </w:rPr>
      </w:pPr>
      <w:r w:rsidRPr="009923D5">
        <w:rPr>
          <w:sz w:val="22"/>
        </w:rPr>
        <w:t xml:space="preserve">Paediatric </w:t>
      </w:r>
      <w:r w:rsidR="00FA6EAC" w:rsidRPr="009923D5">
        <w:rPr>
          <w:sz w:val="22"/>
        </w:rPr>
        <w:t>population</w:t>
      </w:r>
      <w:r w:rsidR="00FB5463">
        <w:rPr>
          <w:sz w:val="22"/>
        </w:rPr>
        <w:t>s</w:t>
      </w:r>
    </w:p>
    <w:p w14:paraId="61993473" w14:textId="6C45A351" w:rsidR="00183DD4" w:rsidRPr="006E0620" w:rsidRDefault="00183DD4" w:rsidP="00AD2B85">
      <w:r w:rsidRPr="006E0620">
        <w:t xml:space="preserve">Paediatric data from the </w:t>
      </w:r>
      <w:r w:rsidR="00247854" w:rsidRPr="006E0620">
        <w:t>Study</w:t>
      </w:r>
      <w:r w:rsidR="00FA6EAC" w:rsidRPr="006E0620">
        <w:t> </w:t>
      </w:r>
      <w:r w:rsidRPr="006E0620">
        <w:t>203 (</w:t>
      </w:r>
      <w:r w:rsidR="00FB5463">
        <w:t>the adolescent (&lt; 18 years of age)</w:t>
      </w:r>
      <w:r w:rsidR="00283F99" w:rsidRPr="006E0620">
        <w:t xml:space="preserve"> population in </w:t>
      </w:r>
      <w:r w:rsidR="00FB5463">
        <w:t xml:space="preserve">a </w:t>
      </w:r>
      <w:r w:rsidR="00283F99" w:rsidRPr="006E0620">
        <w:t>Phase III clinical trial (</w:t>
      </w:r>
      <w:r w:rsidRPr="006E0620">
        <w:t>Teen COVE)</w:t>
      </w:r>
      <w:r w:rsidR="00283F99" w:rsidRPr="006E0620">
        <w:t>)</w:t>
      </w:r>
      <w:r w:rsidRPr="006E0620">
        <w:t xml:space="preserve"> will be evaluated separately and to be discussed on a later date</w:t>
      </w:r>
      <w:r w:rsidR="00FA6EAC" w:rsidRPr="006E0620">
        <w:t>.</w:t>
      </w:r>
    </w:p>
    <w:p w14:paraId="763404AD" w14:textId="1F56F693" w:rsidR="00183DD4" w:rsidRPr="006E0620" w:rsidRDefault="00183DD4" w:rsidP="00B56A8F">
      <w:pPr>
        <w:pStyle w:val="Heading6"/>
      </w:pPr>
      <w:r w:rsidRPr="006E0620">
        <w:t xml:space="preserve">Adverse </w:t>
      </w:r>
      <w:r w:rsidR="00FA6EAC" w:rsidRPr="006E0620">
        <w:t>events of clinical interest</w:t>
      </w:r>
    </w:p>
    <w:p w14:paraId="5779E615" w14:textId="2C0A2D5D" w:rsidR="00AD2B85" w:rsidRPr="00205DBC" w:rsidRDefault="00183DD4" w:rsidP="00205DBC">
      <w:pPr>
        <w:pStyle w:val="Heading7"/>
        <w:rPr>
          <w:sz w:val="22"/>
        </w:rPr>
      </w:pPr>
      <w:r w:rsidRPr="00205DBC">
        <w:rPr>
          <w:sz w:val="22"/>
        </w:rPr>
        <w:t xml:space="preserve">Delayed </w:t>
      </w:r>
      <w:r w:rsidR="00FA6EAC" w:rsidRPr="00205DBC">
        <w:rPr>
          <w:sz w:val="22"/>
        </w:rPr>
        <w:t>injection site reaction</w:t>
      </w:r>
    </w:p>
    <w:p w14:paraId="44A468EB" w14:textId="6CE7EECE" w:rsidR="00183DD4" w:rsidRPr="006E0620" w:rsidRDefault="00183DD4" w:rsidP="00AD2B85">
      <w:r w:rsidRPr="006E0620">
        <w:t xml:space="preserve">1.2% vaccine recipients and 0.4% placebo recipients reported delayed solicited </w:t>
      </w:r>
      <w:r w:rsidR="00F75735" w:rsidRPr="006E0620">
        <w:t>AR</w:t>
      </w:r>
      <w:r w:rsidRPr="006E0620">
        <w:t xml:space="preserve"> (defined as</w:t>
      </w:r>
      <w:r w:rsidR="00FA6EAC" w:rsidRPr="006E0620">
        <w:t xml:space="preserve"> onset day after Day </w:t>
      </w:r>
      <w:r w:rsidRPr="006E0620">
        <w:t xml:space="preserve">7 after any injection), which included any of the solicited </w:t>
      </w:r>
      <w:r w:rsidR="00DB03B0" w:rsidRPr="006E0620">
        <w:t>AR</w:t>
      </w:r>
      <w:r w:rsidRPr="006E0620">
        <w:t>s of pain, erythema, swelling and lymphadenopathy (axillary swelling or tenderness).</w:t>
      </w:r>
    </w:p>
    <w:p w14:paraId="0D392E4C" w14:textId="7561E53A" w:rsidR="00183DD4" w:rsidRDefault="00B567CB" w:rsidP="00B567CB">
      <w:pPr>
        <w:pStyle w:val="TableTitle"/>
      </w:pPr>
      <w:r w:rsidRPr="006E0620">
        <w:t xml:space="preserve">Table </w:t>
      </w:r>
      <w:r>
        <w:fldChar w:fldCharType="begin"/>
      </w:r>
      <w:r>
        <w:instrText>SEQ Table \* ARABIC</w:instrText>
      </w:r>
      <w:r>
        <w:fldChar w:fldCharType="separate"/>
      </w:r>
      <w:r w:rsidR="00B1591C">
        <w:rPr>
          <w:noProof/>
        </w:rPr>
        <w:t>25</w:t>
      </w:r>
      <w:r>
        <w:fldChar w:fldCharType="end"/>
      </w:r>
      <w:r w:rsidR="00183DD4" w:rsidRPr="006E0620">
        <w:t xml:space="preserve">: </w:t>
      </w:r>
      <w:r w:rsidR="00776482" w:rsidRPr="006E0620">
        <w:t xml:space="preserve">Study 301 </w:t>
      </w:r>
      <w:r w:rsidR="00FA6D87" w:rsidRPr="006E0620">
        <w:t>Incidence of solicited adverse reaction, with onset day after Day 7, after any injection safety set</w:t>
      </w:r>
    </w:p>
    <w:p w14:paraId="46D089DA" w14:textId="57AF46F6" w:rsidR="00E05E0A" w:rsidRDefault="00E05E0A" w:rsidP="00CD55D9">
      <w:r>
        <w:rPr>
          <w:noProof/>
          <w:lang w:val="en-GB" w:eastAsia="en-GB"/>
        </w:rPr>
        <w:drawing>
          <wp:inline distT="0" distB="0" distL="0" distR="0" wp14:anchorId="1E186E34" wp14:editId="17643444">
            <wp:extent cx="5400040" cy="2197100"/>
            <wp:effectExtent l="0" t="0" r="0" b="0"/>
            <wp:docPr id="72" name="Picture 72" descr="Study 301 Incidence of solicited adverse reaction, with onset day after Day 7, after any injec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udy 301 Incidence of solicited adverse reaction, with onset day after Day 7, after any injection safety set"/>
                    <pic:cNvPicPr/>
                  </pic:nvPicPr>
                  <pic:blipFill>
                    <a:blip r:embed="rId52"/>
                    <a:stretch>
                      <a:fillRect/>
                    </a:stretch>
                  </pic:blipFill>
                  <pic:spPr>
                    <a:xfrm>
                      <a:off x="0" y="0"/>
                      <a:ext cx="5400040" cy="2197100"/>
                    </a:xfrm>
                    <a:prstGeom prst="rect">
                      <a:avLst/>
                    </a:prstGeom>
                  </pic:spPr>
                </pic:pic>
              </a:graphicData>
            </a:graphic>
          </wp:inline>
        </w:drawing>
      </w:r>
    </w:p>
    <w:p w14:paraId="4342D348" w14:textId="2B92AE83" w:rsidR="0046123D" w:rsidRPr="006E0620" w:rsidRDefault="0046123D" w:rsidP="0046123D">
      <w:pPr>
        <w:pStyle w:val="TableDescription"/>
      </w:pPr>
      <w:r w:rsidRPr="006E0620">
        <w:t>N = population size; n = sample size.</w:t>
      </w:r>
    </w:p>
    <w:p w14:paraId="78C5A44D" w14:textId="77777777" w:rsidR="00AD2B85" w:rsidRPr="00205DBC" w:rsidRDefault="00AD2B85" w:rsidP="00205DBC">
      <w:pPr>
        <w:pStyle w:val="Heading7"/>
        <w:rPr>
          <w:sz w:val="22"/>
        </w:rPr>
      </w:pPr>
      <w:r w:rsidRPr="00205DBC">
        <w:rPr>
          <w:sz w:val="22"/>
        </w:rPr>
        <w:t>Lymphadenopathy</w:t>
      </w:r>
    </w:p>
    <w:p w14:paraId="73267EDE" w14:textId="5871A826" w:rsidR="00183DD4" w:rsidRPr="006E0620" w:rsidRDefault="00183DD4" w:rsidP="00AD2B85">
      <w:r w:rsidRPr="006E0620">
        <w:t xml:space="preserve">There was </w:t>
      </w:r>
      <w:r w:rsidR="00FA6D87" w:rsidRPr="006E0620">
        <w:t xml:space="preserve">an imbalance in lymphadenopathy </w:t>
      </w:r>
      <w:r w:rsidRPr="006E0620">
        <w:t xml:space="preserve">related events (including injection site lymphadenopathy, lymph node pain, and </w:t>
      </w:r>
      <w:r w:rsidR="00FA6D87" w:rsidRPr="006E0620">
        <w:t>lymphadenitis) outside of the 7 </w:t>
      </w:r>
      <w:r w:rsidRPr="006E0620">
        <w:t xml:space="preserve">days solicited period. 1.14% of vaccine recipients (191 events in 173 vaccine recipients) compared to 0.63% of placebo recipients (109 events in 95 participants) reported such events in the </w:t>
      </w:r>
      <w:r w:rsidR="00FA6D87" w:rsidRPr="006E0620">
        <w:t xml:space="preserve">safety set. </w:t>
      </w:r>
      <w:r w:rsidRPr="006E0620">
        <w:t>The rates reported in the older cohort (≥</w:t>
      </w:r>
      <w:r w:rsidR="00FA6D87" w:rsidRPr="006E0620">
        <w:t> </w:t>
      </w:r>
      <w:r w:rsidRPr="006E0620">
        <w:t>65</w:t>
      </w:r>
      <w:r w:rsidR="00FA6D87" w:rsidRPr="006E0620">
        <w:t> years) were 0.74% (28 </w:t>
      </w:r>
      <w:r w:rsidRPr="006E0620">
        <w:t>events in 28</w:t>
      </w:r>
      <w:r w:rsidR="00FA6D87" w:rsidRPr="006E0620">
        <w:t> </w:t>
      </w:r>
      <w:r w:rsidRPr="006E0620">
        <w:t>participants) in vaccine r</w:t>
      </w:r>
      <w:r w:rsidR="00FA6D87" w:rsidRPr="006E0620">
        <w:t>ecipients compared to 0.35% (16 events in 13 </w:t>
      </w:r>
      <w:r w:rsidRPr="006E0620">
        <w:t>participants) in placebo recipients. The rates reported in the younger cohort (18</w:t>
      </w:r>
      <w:r w:rsidR="00FA6D87" w:rsidRPr="006E0620">
        <w:t xml:space="preserve"> to 64 years) were 1.3% (163 events in 145 </w:t>
      </w:r>
      <w:r w:rsidRPr="006E0620">
        <w:t>participants) in v</w:t>
      </w:r>
      <w:r w:rsidR="00FA6D87" w:rsidRPr="006E0620">
        <w:t>accine recipients and 0.72% (93 events in 82 </w:t>
      </w:r>
      <w:r w:rsidRPr="006E0620">
        <w:t xml:space="preserve">participants) in placebo recipients. These events support a plausible relationship to the study vaccination and were also reported in the evaluation of solicited local </w:t>
      </w:r>
      <w:r w:rsidR="00DB03B0" w:rsidRPr="006E0620">
        <w:t>AR</w:t>
      </w:r>
      <w:r w:rsidRPr="006E0620">
        <w:t>s.</w:t>
      </w:r>
    </w:p>
    <w:p w14:paraId="5F176C6D" w14:textId="77777777" w:rsidR="00AD2B85" w:rsidRPr="00205DBC" w:rsidRDefault="00AD2B85" w:rsidP="00205DBC">
      <w:pPr>
        <w:pStyle w:val="Heading7"/>
        <w:rPr>
          <w:sz w:val="22"/>
        </w:rPr>
      </w:pPr>
      <w:r w:rsidRPr="00205DBC">
        <w:rPr>
          <w:sz w:val="22"/>
        </w:rPr>
        <w:t>Hypersensitivity</w:t>
      </w:r>
    </w:p>
    <w:p w14:paraId="26DDED08" w14:textId="3D5088C5" w:rsidR="00183DD4" w:rsidRPr="006E0620" w:rsidRDefault="00183DD4" w:rsidP="00AD2B85">
      <w:r w:rsidRPr="006E0620">
        <w:t>Hypersensitivity reactions (</w:t>
      </w:r>
      <w:r w:rsidR="00FA6D87" w:rsidRPr="006E0620">
        <w:t>safety set</w:t>
      </w:r>
      <w:r w:rsidRPr="006E0620">
        <w:t>) were seen at an incidence of 1.5% in the vaccine arm and 1.1% in the placebo arm. Imbalance was seen with numerically higher incidences of injection site rash (37 cases v</w:t>
      </w:r>
      <w:r w:rsidR="00772855" w:rsidRPr="006E0620">
        <w:t>ersu</w:t>
      </w:r>
      <w:r w:rsidRPr="006E0620">
        <w:t>s 1); injection site urticaria (15 cases v</w:t>
      </w:r>
      <w:r w:rsidR="00772855" w:rsidRPr="006E0620">
        <w:t>ersu</w:t>
      </w:r>
      <w:r w:rsidRPr="006E0620">
        <w:t xml:space="preserve">s 0); rash </w:t>
      </w:r>
      <w:r w:rsidRPr="006E0620">
        <w:lastRenderedPageBreak/>
        <w:t>(45 cases v</w:t>
      </w:r>
      <w:r w:rsidR="00772855" w:rsidRPr="006E0620">
        <w:t>ersu</w:t>
      </w:r>
      <w:r w:rsidRPr="006E0620">
        <w:t>s 34) and urticaria (27 cases v</w:t>
      </w:r>
      <w:r w:rsidR="00772855" w:rsidRPr="006E0620">
        <w:t>ersu</w:t>
      </w:r>
      <w:r w:rsidRPr="006E0620">
        <w:t xml:space="preserve">s 23) in the vaccine arm compared to the placebo arm. Anaphylaxis was seen with </w:t>
      </w:r>
      <w:r w:rsidR="00FA6D87" w:rsidRPr="006E0620">
        <w:t>one</w:t>
      </w:r>
      <w:r w:rsidRPr="006E0620">
        <w:t xml:space="preserve"> case in each arm and were considered unrelated.</w:t>
      </w:r>
    </w:p>
    <w:p w14:paraId="2EB3450E" w14:textId="77777777" w:rsidR="00AD2B85" w:rsidRPr="00205DBC" w:rsidRDefault="00AD2B85" w:rsidP="00205DBC">
      <w:pPr>
        <w:pStyle w:val="Heading7"/>
        <w:rPr>
          <w:sz w:val="22"/>
        </w:rPr>
      </w:pPr>
      <w:r w:rsidRPr="00205DBC">
        <w:rPr>
          <w:sz w:val="22"/>
        </w:rPr>
        <w:t>Facial swelling</w:t>
      </w:r>
    </w:p>
    <w:p w14:paraId="2ADB126A" w14:textId="19580E9F" w:rsidR="00183DD4" w:rsidRPr="006E0620" w:rsidRDefault="00183DD4" w:rsidP="00AD2B85">
      <w:r w:rsidRPr="006E0620">
        <w:t xml:space="preserve">The two SAEs of facial swelling occurred in female participants with a history of dermal filler injection. In addition, there was also one event of lip angioedema 2 days after vaccination in a </w:t>
      </w:r>
      <w:proofErr w:type="gramStart"/>
      <w:r w:rsidRPr="006E0620">
        <w:t>29</w:t>
      </w:r>
      <w:r w:rsidR="00FA6D87" w:rsidRPr="006E0620">
        <w:t xml:space="preserve"> </w:t>
      </w:r>
      <w:r w:rsidRPr="006E0620">
        <w:t>year old</w:t>
      </w:r>
      <w:proofErr w:type="gramEnd"/>
      <w:r w:rsidRPr="006E0620">
        <w:t xml:space="preserve"> female participant with history of dermal filler injection in the lips (unknown how long prior to vaccination).</w:t>
      </w:r>
    </w:p>
    <w:p w14:paraId="30223608" w14:textId="77777777" w:rsidR="00AD2B85" w:rsidRPr="00205DBC" w:rsidRDefault="00AD2B85" w:rsidP="00205DBC">
      <w:pPr>
        <w:pStyle w:val="Heading7"/>
        <w:rPr>
          <w:sz w:val="22"/>
        </w:rPr>
      </w:pPr>
      <w:r w:rsidRPr="00205DBC">
        <w:rPr>
          <w:sz w:val="22"/>
        </w:rPr>
        <w:t>Facial paralysis</w:t>
      </w:r>
    </w:p>
    <w:p w14:paraId="315E436D" w14:textId="137AEDE4" w:rsidR="00183DD4" w:rsidRPr="006E0620" w:rsidRDefault="00183DD4" w:rsidP="00AD2B85">
      <w:r w:rsidRPr="006E0620">
        <w:t>An imbalance in the incidence of Bell’s palsy was observed with 3 cases in vaccine group (one SAE) (</w:t>
      </w:r>
      <w:r w:rsidR="00FA6D87" w:rsidRPr="006E0620">
        <w:t>time to onset: 22, 28 and 32 days after Dose </w:t>
      </w:r>
      <w:r w:rsidRPr="006E0620">
        <w:t>2) and one in the placebo arm. All the cases were judged as unrelated to the vaccine, by the investigator.</w:t>
      </w:r>
    </w:p>
    <w:p w14:paraId="0DEE50D8" w14:textId="78B93345" w:rsidR="00AD2B85" w:rsidRPr="00205DBC" w:rsidRDefault="00183DD4" w:rsidP="00205DBC">
      <w:pPr>
        <w:pStyle w:val="Heading7"/>
        <w:rPr>
          <w:sz w:val="22"/>
        </w:rPr>
      </w:pPr>
      <w:r w:rsidRPr="00205DBC">
        <w:rPr>
          <w:sz w:val="22"/>
        </w:rPr>
        <w:t xml:space="preserve">Other </w:t>
      </w:r>
      <w:r w:rsidR="00FA6D87" w:rsidRPr="00205DBC">
        <w:rPr>
          <w:sz w:val="22"/>
        </w:rPr>
        <w:t>neurological adverse events</w:t>
      </w:r>
    </w:p>
    <w:p w14:paraId="084D7B0D" w14:textId="4E0B60FB" w:rsidR="00183DD4" w:rsidRPr="006E0620" w:rsidRDefault="00183DD4" w:rsidP="00AD2B85">
      <w:r w:rsidRPr="006E0620">
        <w:t xml:space="preserve">Seizures were reported in </w:t>
      </w:r>
      <w:r w:rsidR="00FA6D87" w:rsidRPr="006E0620">
        <w:t>three</w:t>
      </w:r>
      <w:r w:rsidRPr="006E0620">
        <w:t xml:space="preserve"> participants in the vaccine group v</w:t>
      </w:r>
      <w:r w:rsidR="00772855" w:rsidRPr="006E0620">
        <w:t>ersu</w:t>
      </w:r>
      <w:r w:rsidRPr="006E0620">
        <w:t xml:space="preserve">s </w:t>
      </w:r>
      <w:r w:rsidR="00FA6D87" w:rsidRPr="006E0620">
        <w:t>one</w:t>
      </w:r>
      <w:r w:rsidRPr="006E0620">
        <w:t xml:space="preserve"> in</w:t>
      </w:r>
      <w:r w:rsidR="00FA6D87" w:rsidRPr="006E0620">
        <w:t xml:space="preserve"> the</w:t>
      </w:r>
      <w:r w:rsidRPr="006E0620">
        <w:t xml:space="preserve"> placebo. None was considered related and all participants in the vaccine group had previous history of seizures. AE of peripheral neuropathy was balanced between both groups</w:t>
      </w:r>
      <w:r w:rsidR="00FA6D87" w:rsidRPr="006E0620">
        <w:t xml:space="preserve">: </w:t>
      </w:r>
      <w:r w:rsidRPr="006E0620">
        <w:t>6</w:t>
      </w:r>
      <w:r w:rsidR="00E766F9" w:rsidRPr="006E0620">
        <w:t xml:space="preserve"> cases in the vaccine group v</w:t>
      </w:r>
      <w:r w:rsidR="00772855" w:rsidRPr="006E0620">
        <w:t>ersu</w:t>
      </w:r>
      <w:r w:rsidR="00E766F9" w:rsidRPr="006E0620">
        <w:t xml:space="preserve">s </w:t>
      </w:r>
      <w:r w:rsidRPr="006E0620">
        <w:t>5 in the placebo. There were 12 cases of dysgeusia in vaccine arm with 6 in the placebo arm.</w:t>
      </w:r>
    </w:p>
    <w:p w14:paraId="4B582C52" w14:textId="77777777" w:rsidR="00AD2B85" w:rsidRPr="00205DBC" w:rsidRDefault="00183DD4" w:rsidP="00205DBC">
      <w:pPr>
        <w:pStyle w:val="Heading7"/>
        <w:rPr>
          <w:sz w:val="22"/>
        </w:rPr>
      </w:pPr>
      <w:r w:rsidRPr="00205DBC">
        <w:rPr>
          <w:sz w:val="22"/>
        </w:rPr>
        <w:t>Myocarditis</w:t>
      </w:r>
      <w:r w:rsidR="00AD2B85" w:rsidRPr="00205DBC">
        <w:rPr>
          <w:sz w:val="22"/>
        </w:rPr>
        <w:t xml:space="preserve"> and pericarditis</w:t>
      </w:r>
    </w:p>
    <w:p w14:paraId="1F765C05" w14:textId="6782D1B5" w:rsidR="00183DD4" w:rsidRPr="006E0620" w:rsidRDefault="00183DD4" w:rsidP="00AD2B85">
      <w:r w:rsidRPr="006E0620">
        <w:t>T</w:t>
      </w:r>
      <w:r w:rsidR="00E33BD7" w:rsidRPr="006E0620">
        <w:t xml:space="preserve">here were no reported TEAEs of myocarditis </w:t>
      </w:r>
      <w:r w:rsidRPr="006E0620">
        <w:t xml:space="preserve">in </w:t>
      </w:r>
      <w:r w:rsidR="00E33BD7" w:rsidRPr="006E0620">
        <w:t>Study </w:t>
      </w:r>
      <w:r w:rsidRPr="006E0620">
        <w:t>301. There were three</w:t>
      </w:r>
      <w:r w:rsidR="00E33BD7" w:rsidRPr="006E0620">
        <w:t xml:space="preserve"> unsolicited TEAE of pericarditis </w:t>
      </w:r>
      <w:r w:rsidRPr="006E0620">
        <w:t xml:space="preserve">reported in </w:t>
      </w:r>
      <w:r w:rsidR="00BF0719" w:rsidRPr="006E0620">
        <w:t>Study</w:t>
      </w:r>
      <w:r w:rsidR="00E33BD7" w:rsidRPr="006E0620">
        <w:t> </w:t>
      </w:r>
      <w:r w:rsidRPr="006E0620">
        <w:t xml:space="preserve">301; two TEAEs in the </w:t>
      </w:r>
      <w:r w:rsidR="00E33BD7" w:rsidRPr="006E0620">
        <w:t xml:space="preserve">placebo </w:t>
      </w:r>
      <w:r w:rsidRPr="006E0620">
        <w:t xml:space="preserve">arm and one in the </w:t>
      </w:r>
      <w:r w:rsidR="00E33BD7" w:rsidRPr="006E0620">
        <w:t xml:space="preserve">vaccine </w:t>
      </w:r>
      <w:r w:rsidRPr="006E0620">
        <w:t>arm of the safety set in the overall stage after any injection. No cases of myocarditis were reported during the study data cut-off of 25 November</w:t>
      </w:r>
      <w:r w:rsidR="00E33BD7" w:rsidRPr="006E0620">
        <w:t xml:space="preserve"> 2020</w:t>
      </w:r>
      <w:r w:rsidRPr="006E0620">
        <w:t xml:space="preserve">. However, during post marketing surveillance, cases of myocarditis have been reported after mRNA COVID-19 vaccine doses (mainly in younger </w:t>
      </w:r>
      <w:r>
        <w:t>adults</w:t>
      </w:r>
      <w:r w:rsidRPr="006E0620">
        <w:t xml:space="preserve">). 133 million vaccine </w:t>
      </w:r>
      <w:r w:rsidR="00E33BD7" w:rsidRPr="006E0620">
        <w:t>second</w:t>
      </w:r>
      <w:r w:rsidRPr="006E0620">
        <w:t xml:space="preserve"> doses administered*and 636 reported myocarditis cases as of </w:t>
      </w:r>
      <w:r w:rsidR="00E33BD7" w:rsidRPr="006E0620">
        <w:t xml:space="preserve">11 </w:t>
      </w:r>
      <w:r w:rsidRPr="006E0620">
        <w:t>June 2021.</w:t>
      </w:r>
      <w:bookmarkStart w:id="55" w:name="_Ref78302567"/>
      <w:r w:rsidRPr="006E0620">
        <w:rPr>
          <w:vertAlign w:val="superscript"/>
        </w:rPr>
        <w:footnoteReference w:id="30"/>
      </w:r>
      <w:bookmarkEnd w:id="55"/>
    </w:p>
    <w:p w14:paraId="5EEFD52F" w14:textId="336D92EE" w:rsidR="0068760F" w:rsidRPr="006E0620" w:rsidRDefault="00B567CB" w:rsidP="00B567CB">
      <w:pPr>
        <w:pStyle w:val="TableTitle"/>
      </w:pPr>
      <w:r w:rsidRPr="006E0620">
        <w:t xml:space="preserve">Table </w:t>
      </w:r>
      <w:r>
        <w:fldChar w:fldCharType="begin"/>
      </w:r>
      <w:r>
        <w:instrText>SEQ Table \* ARABIC</w:instrText>
      </w:r>
      <w:r>
        <w:fldChar w:fldCharType="separate"/>
      </w:r>
      <w:r w:rsidR="00B1591C">
        <w:rPr>
          <w:noProof/>
        </w:rPr>
        <w:t>26</w:t>
      </w:r>
      <w:r>
        <w:fldChar w:fldCharType="end"/>
      </w:r>
      <w:r w:rsidRPr="006E0620">
        <w:t>:</w:t>
      </w:r>
      <w:r w:rsidR="00183DD4" w:rsidRPr="006E0620">
        <w:t xml:space="preserve"> </w:t>
      </w:r>
      <w:r w:rsidR="00CF725F">
        <w:t>P</w:t>
      </w:r>
      <w:r w:rsidR="00CF725F" w:rsidRPr="00CF725F">
        <w:t>ost-authori</w:t>
      </w:r>
      <w:r w:rsidR="00CF725F">
        <w:t>s</w:t>
      </w:r>
      <w:r w:rsidR="00CF725F" w:rsidRPr="00CF725F">
        <w:t xml:space="preserve">ation </w:t>
      </w:r>
      <w:r w:rsidR="00CF725F">
        <w:t xml:space="preserve">study </w:t>
      </w:r>
      <w:r w:rsidR="00CF725F" w:rsidRPr="00CF725F">
        <w:t>data</w:t>
      </w:r>
      <w:r w:rsidR="008B724E">
        <w:t xml:space="preserve">, </w:t>
      </w:r>
      <w:r w:rsidR="00CC3096">
        <w:t>m</w:t>
      </w:r>
      <w:r w:rsidR="00183DD4" w:rsidRPr="006E0620">
        <w:t>yocarditis cases reported after mRNA vaccine doses</w:t>
      </w:r>
      <w:r w:rsidR="00FB5463">
        <w:t xml:space="preserve"> (for both the</w:t>
      </w:r>
      <w:r w:rsidR="00183DD4" w:rsidRPr="006E0620">
        <w:t xml:space="preserve"> </w:t>
      </w:r>
      <w:proofErr w:type="spellStart"/>
      <w:r w:rsidR="002A4DC1" w:rsidRPr="006E0620">
        <w:t>Spikevax</w:t>
      </w:r>
      <w:proofErr w:type="spellEnd"/>
      <w:r w:rsidR="00183DD4" w:rsidRPr="006E0620">
        <w:t xml:space="preserve"> </w:t>
      </w:r>
      <w:r w:rsidR="00776482" w:rsidRPr="006E0620">
        <w:t xml:space="preserve">plus </w:t>
      </w:r>
      <w:proofErr w:type="spellStart"/>
      <w:r w:rsidR="00183DD4" w:rsidRPr="006E0620">
        <w:t>Comirnaty</w:t>
      </w:r>
      <w:proofErr w:type="spellEnd"/>
      <w:r w:rsidR="00FB5463">
        <w:t xml:space="preserve"> vaccines combined)</w:t>
      </w:r>
      <w:r w:rsidR="00BB6E10" w:rsidRPr="00BB6E10">
        <w:rPr>
          <w:color w:val="2B579A"/>
          <w:shd w:val="clear" w:color="auto" w:fill="E6E6E6"/>
          <w:vertAlign w:val="superscript"/>
        </w:rPr>
        <w:fldChar w:fldCharType="begin"/>
      </w:r>
      <w:r w:rsidR="00BB6E10" w:rsidRPr="00BB6E10">
        <w:rPr>
          <w:vertAlign w:val="superscript"/>
        </w:rPr>
        <w:instrText xml:space="preserve"> NOTEREF _Ref78302567 \h </w:instrText>
      </w:r>
      <w:r w:rsidR="00BB6E10">
        <w:rPr>
          <w:vertAlign w:val="superscript"/>
        </w:rPr>
        <w:instrText xml:space="preserve"> \* MERGEFORMAT </w:instrText>
      </w:r>
      <w:r w:rsidR="00BB6E10" w:rsidRPr="00BB6E10">
        <w:rPr>
          <w:color w:val="2B579A"/>
          <w:shd w:val="clear" w:color="auto" w:fill="E6E6E6"/>
          <w:vertAlign w:val="superscript"/>
        </w:rPr>
      </w:r>
      <w:r w:rsidR="00BB6E10" w:rsidRPr="00BB6E10">
        <w:rPr>
          <w:color w:val="2B579A"/>
          <w:shd w:val="clear" w:color="auto" w:fill="E6E6E6"/>
          <w:vertAlign w:val="superscript"/>
        </w:rPr>
        <w:fldChar w:fldCharType="separate"/>
      </w:r>
      <w:r w:rsidR="00B1591C">
        <w:rPr>
          <w:vertAlign w:val="superscript"/>
        </w:rPr>
        <w:t>29</w:t>
      </w:r>
      <w:r w:rsidR="00BB6E10" w:rsidRPr="00BB6E10">
        <w:rPr>
          <w:color w:val="2B579A"/>
          <w:shd w:val="clear" w:color="auto" w:fill="E6E6E6"/>
          <w:vertAlign w:val="superscript"/>
        </w:rPr>
        <w:fldChar w:fldCharType="end"/>
      </w:r>
    </w:p>
    <w:p w14:paraId="1AB4EB6F" w14:textId="316D558F" w:rsidR="00183DD4" w:rsidRPr="006E0620" w:rsidRDefault="0068760F" w:rsidP="00105198">
      <w:pPr>
        <w:rPr>
          <w:rFonts w:cs="TimesNewRoman,Italic"/>
          <w:iCs/>
        </w:rPr>
      </w:pPr>
      <w:r w:rsidRPr="006E0620">
        <w:rPr>
          <w:noProof/>
          <w:shd w:val="clear" w:color="auto" w:fill="E6E6E6"/>
          <w:lang w:val="en-GB" w:eastAsia="en-GB"/>
        </w:rPr>
        <w:drawing>
          <wp:inline distT="0" distB="0" distL="0" distR="0" wp14:anchorId="20719C2B" wp14:editId="316D34AE">
            <wp:extent cx="5400040" cy="1676400"/>
            <wp:effectExtent l="0" t="0" r="0" b="0"/>
            <wp:docPr id="49" name="Picture 49" descr="Post-authorisation study data, myocarditis cases reported after mRNA vaccine doses (for both the Spikevax plus Comirnaty vaccine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ost-authorisation study data, myocarditis cases reported after mRNA vaccine doses (for both the Spikevax plus Comirnaty vaccines combined)"/>
                    <pic:cNvPicPr/>
                  </pic:nvPicPr>
                  <pic:blipFill>
                    <a:blip r:embed="rId53"/>
                    <a:stretch>
                      <a:fillRect/>
                    </a:stretch>
                  </pic:blipFill>
                  <pic:spPr>
                    <a:xfrm>
                      <a:off x="0" y="0"/>
                      <a:ext cx="5401027" cy="1676706"/>
                    </a:xfrm>
                    <a:prstGeom prst="rect">
                      <a:avLst/>
                    </a:prstGeom>
                  </pic:spPr>
                </pic:pic>
              </a:graphicData>
            </a:graphic>
          </wp:inline>
        </w:drawing>
      </w:r>
    </w:p>
    <w:p w14:paraId="402E0776" w14:textId="0FA5E033" w:rsidR="0046123D" w:rsidRPr="006E0620" w:rsidRDefault="0046123D" w:rsidP="0068760F">
      <w:pPr>
        <w:pStyle w:val="TableDescription"/>
      </w:pPr>
      <w:r w:rsidRPr="006E0620">
        <w:t>§</w:t>
      </w:r>
      <w:r w:rsidR="0068760F" w:rsidRPr="006E0620">
        <w:t xml:space="preserve"> C</w:t>
      </w:r>
      <w:r w:rsidRPr="006E0620">
        <w:t>ase</w:t>
      </w:r>
      <w:r w:rsidR="0068760F" w:rsidRPr="006E0620">
        <w:t>s</w:t>
      </w:r>
      <w:r w:rsidRPr="006E0620">
        <w:t xml:space="preserve"> reported through </w:t>
      </w:r>
      <w:r w:rsidR="0068760F" w:rsidRPr="006E0620">
        <w:t>Vaccine Adverse Event Reporting System (</w:t>
      </w:r>
      <w:r w:rsidRPr="006E0620">
        <w:t>VAERS</w:t>
      </w:r>
      <w:r w:rsidR="0068760F" w:rsidRPr="006E0620">
        <w:t>)</w:t>
      </w:r>
      <w:r w:rsidRPr="006E0620">
        <w:t xml:space="preserve"> u</w:t>
      </w:r>
      <w:r w:rsidR="0068760F" w:rsidRPr="006E0620">
        <w:t xml:space="preserve">sing a </w:t>
      </w:r>
      <w:proofErr w:type="gramStart"/>
      <w:r w:rsidR="0068760F" w:rsidRPr="006E0620">
        <w:t>7 day</w:t>
      </w:r>
      <w:proofErr w:type="gramEnd"/>
      <w:r w:rsidR="0068760F" w:rsidRPr="006E0620">
        <w:t xml:space="preserve"> risk window.</w:t>
      </w:r>
    </w:p>
    <w:p w14:paraId="579D06F8" w14:textId="66F080FB" w:rsidR="0046123D" w:rsidRPr="006E0620" w:rsidRDefault="0046123D" w:rsidP="0068760F">
      <w:pPr>
        <w:pStyle w:val="TableDescription"/>
      </w:pPr>
      <w:r w:rsidRPr="006E0620">
        <w:t>* Source of doses administered</w:t>
      </w:r>
      <w:r w:rsidR="0068760F" w:rsidRPr="006E0620">
        <w:t>; some age and sex specific doses administered date were imputed.</w:t>
      </w:r>
    </w:p>
    <w:p w14:paraId="72BADAA6" w14:textId="3884150E" w:rsidR="0068760F" w:rsidRDefault="0068760F" w:rsidP="0068760F">
      <w:pPr>
        <w:pStyle w:val="TableDescription"/>
      </w:pPr>
      <w:r w:rsidRPr="006E0620">
        <w:t>† Reporting rate = myocarditis cases per one million mRNA COVID-19 vaccine dose administered.</w:t>
      </w:r>
    </w:p>
    <w:p w14:paraId="3E289A85" w14:textId="65934869" w:rsidR="00CF725F" w:rsidRPr="006E0620" w:rsidRDefault="00CF725F" w:rsidP="0068760F">
      <w:pPr>
        <w:pStyle w:val="TableDescription"/>
      </w:pPr>
      <w:r>
        <w:t>T</w:t>
      </w:r>
      <w:r w:rsidRPr="00CF725F">
        <w:t>he data for 12</w:t>
      </w:r>
      <w:r>
        <w:t xml:space="preserve"> to </w:t>
      </w:r>
      <w:r w:rsidRPr="00CF725F">
        <w:t>17 y</w:t>
      </w:r>
      <w:r>
        <w:t>ears old</w:t>
      </w:r>
      <w:r w:rsidRPr="00CF725F">
        <w:t xml:space="preserve"> primarily refer to </w:t>
      </w:r>
      <w:proofErr w:type="spellStart"/>
      <w:r w:rsidRPr="00CF725F">
        <w:t>Comirnaty</w:t>
      </w:r>
      <w:proofErr w:type="spellEnd"/>
      <w:r>
        <w:t>,</w:t>
      </w:r>
      <w:r w:rsidRPr="00CF725F">
        <w:t xml:space="preserve"> as </w:t>
      </w:r>
      <w:proofErr w:type="spellStart"/>
      <w:r w:rsidRPr="00CF725F">
        <w:t>Spikevax</w:t>
      </w:r>
      <w:proofErr w:type="spellEnd"/>
      <w:r w:rsidRPr="00CF725F">
        <w:t xml:space="preserve"> had not been approved for use in this age group</w:t>
      </w:r>
      <w:r>
        <w:t>.</w:t>
      </w:r>
    </w:p>
    <w:p w14:paraId="4F43F0EA" w14:textId="3AAB4C67" w:rsidR="00183DD4" w:rsidRPr="006E0620" w:rsidRDefault="00183DD4" w:rsidP="005B749D">
      <w:r w:rsidRPr="006E0620">
        <w:lastRenderedPageBreak/>
        <w:t>A review of the reports from the sponsor’s global safety database (</w:t>
      </w:r>
      <w:r w:rsidR="00047A85" w:rsidRPr="006E0620">
        <w:t xml:space="preserve">data </w:t>
      </w:r>
      <w:r w:rsidR="002F3FA1" w:rsidRPr="006E0620">
        <w:t xml:space="preserve">cut-off: </w:t>
      </w:r>
      <w:r w:rsidRPr="006E0620">
        <w:t>30 April</w:t>
      </w:r>
      <w:r w:rsidR="002F3FA1" w:rsidRPr="006E0620">
        <w:t xml:space="preserve"> 2021</w:t>
      </w:r>
      <w:r w:rsidRPr="006E0620">
        <w:t xml:space="preserve">), identified 84 case reports (0.1% of all cases reported to the </w:t>
      </w:r>
      <w:r w:rsidR="00A40C29" w:rsidRPr="006E0620">
        <w:t>Marketing Authorisation Holder (MAH)</w:t>
      </w:r>
      <w:r w:rsidRPr="006E0620">
        <w:t xml:space="preserve">) with the PTs of </w:t>
      </w:r>
      <w:r w:rsidR="00047A85" w:rsidRPr="006E0620">
        <w:t>myocarditis and/or pericarditis</w:t>
      </w:r>
      <w:r w:rsidRPr="006E0620">
        <w:t xml:space="preserve">. There were 49 cases (0.1% of all cases) reported with </w:t>
      </w:r>
      <w:r w:rsidR="00047A85" w:rsidRPr="006E0620">
        <w:t xml:space="preserve">myocarditis </w:t>
      </w:r>
      <w:r w:rsidRPr="006E0620">
        <w:t xml:space="preserve">related PTs, and 41 cases (0.04% of all cases) with </w:t>
      </w:r>
      <w:r w:rsidR="00047A85" w:rsidRPr="006E0620">
        <w:t xml:space="preserve">pericarditis </w:t>
      </w:r>
      <w:r w:rsidRPr="006E0620">
        <w:t xml:space="preserve">related </w:t>
      </w:r>
      <w:proofErr w:type="spellStart"/>
      <w:r w:rsidRPr="006E0620">
        <w:t>PTs.</w:t>
      </w:r>
      <w:proofErr w:type="spellEnd"/>
      <w:r w:rsidRPr="006E0620">
        <w:t xml:space="preserve"> There were 6 cases (0.01% of all cases) that reported both events of </w:t>
      </w:r>
      <w:r w:rsidR="00047A85" w:rsidRPr="006E0620">
        <w:t>myocarditis and pericarditis related</w:t>
      </w:r>
      <w:r w:rsidRPr="006E0620">
        <w:t xml:space="preserve"> </w:t>
      </w:r>
      <w:proofErr w:type="spellStart"/>
      <w:r w:rsidRPr="006E0620">
        <w:t>PTs.</w:t>
      </w:r>
      <w:proofErr w:type="spellEnd"/>
      <w:r w:rsidRPr="006E0620">
        <w:t xml:space="preserve"> All 84 reports were considered serious reports. Most of the reports concerned males (65.9%), and individuals between the ages of 18 to 39 years of age (45; 52.9%).</w:t>
      </w:r>
    </w:p>
    <w:p w14:paraId="7C7E11B4" w14:textId="2C4FA516" w:rsidR="00183DD4" w:rsidRPr="006E0620" w:rsidRDefault="00183DD4" w:rsidP="005B749D">
      <w:r w:rsidRPr="006E0620">
        <w:t xml:space="preserve">Myocarditis and pericarditis after COVID-19 vaccination are rare. As of </w:t>
      </w:r>
      <w:r w:rsidR="00047A85" w:rsidRPr="006E0620">
        <w:t xml:space="preserve">12 </w:t>
      </w:r>
      <w:r w:rsidRPr="006E0620">
        <w:t xml:space="preserve">July 2021, </w:t>
      </w:r>
      <w:r w:rsidR="00C01827" w:rsidRPr="006E0620">
        <w:t>Vaccine Adverse Event Reporting System (</w:t>
      </w:r>
      <w:r w:rsidRPr="006E0620">
        <w:t>VAERS</w:t>
      </w:r>
      <w:r w:rsidR="00C01827" w:rsidRPr="006E0620">
        <w:t>)</w:t>
      </w:r>
      <w:r w:rsidRPr="006E0620">
        <w:t xml:space="preserve"> has received 1,047 reports of myocarditis or pericarditis among people ages 30 and younger who received a COVID-19 vaccine. Most cases have been reported after mRNA COVID-19 vaccination (</w:t>
      </w:r>
      <w:proofErr w:type="spellStart"/>
      <w:r w:rsidR="002C36B7" w:rsidRPr="006E0620">
        <w:t>Comirnaty</w:t>
      </w:r>
      <w:proofErr w:type="spellEnd"/>
      <w:r w:rsidR="002C36B7" w:rsidRPr="006E0620">
        <w:t xml:space="preserve"> </w:t>
      </w:r>
      <w:r w:rsidRPr="006E0620">
        <w:t xml:space="preserve">or </w:t>
      </w:r>
      <w:proofErr w:type="spellStart"/>
      <w:r w:rsidR="002C36B7" w:rsidRPr="006E0620">
        <w:t>Spikevax</w:t>
      </w:r>
      <w:proofErr w:type="spellEnd"/>
      <w:r w:rsidRPr="006E0620">
        <w:t xml:space="preserve">), particularly in male adolescents and young adults. Through follow-up, including medical record reviews, </w:t>
      </w:r>
      <w:proofErr w:type="spellStart"/>
      <w:r w:rsidR="00047A85" w:rsidRPr="006E0620">
        <w:t>Centers</w:t>
      </w:r>
      <w:proofErr w:type="spellEnd"/>
      <w:r w:rsidR="00047A85" w:rsidRPr="006E0620">
        <w:t xml:space="preserve"> for Disease Control and Prevention (United States) (</w:t>
      </w:r>
      <w:r w:rsidRPr="006E0620">
        <w:t>CDC</w:t>
      </w:r>
      <w:r w:rsidR="00047A85" w:rsidRPr="006E0620">
        <w:t>)</w:t>
      </w:r>
      <w:r w:rsidRPr="006E0620">
        <w:t xml:space="preserve"> and FDA have confirmed 633 reports of myocarditis or pericarditis. CDC and its partners are investigating these reports to assess whether there is a relationship to COVID-19 vaccination.</w:t>
      </w:r>
      <w:r w:rsidRPr="006E0620">
        <w:rPr>
          <w:vertAlign w:val="superscript"/>
        </w:rPr>
        <w:footnoteReference w:id="31"/>
      </w:r>
    </w:p>
    <w:p w14:paraId="0B7A1849" w14:textId="62D143C7" w:rsidR="00183DD4" w:rsidRPr="006E0620" w:rsidRDefault="00183DD4" w:rsidP="005B749D">
      <w:r w:rsidRPr="006E0620">
        <w:t xml:space="preserve">Following is the </w:t>
      </w:r>
      <w:bookmarkStart w:id="56" w:name="_Hlk78983922"/>
      <w:r w:rsidRPr="006E0620">
        <w:t xml:space="preserve">vaccine safety datalink </w:t>
      </w:r>
      <w:bookmarkEnd w:id="56"/>
      <w:r w:rsidRPr="006E0620">
        <w:t>(VSD)</w:t>
      </w:r>
      <w:r w:rsidR="0056420A">
        <w:t>;</w:t>
      </w:r>
      <w:r w:rsidR="0056420A">
        <w:rPr>
          <w:rStyle w:val="FootnoteReference"/>
        </w:rPr>
        <w:footnoteReference w:id="32"/>
      </w:r>
      <w:r w:rsidR="00047A85" w:rsidRPr="006E0620">
        <w:t xml:space="preserve"> myocarditis/pericarditis chart </w:t>
      </w:r>
      <w:r w:rsidRPr="006E0620">
        <w:t xml:space="preserve">confirmed and </w:t>
      </w:r>
      <w:r w:rsidR="00047A85" w:rsidRPr="006E0620">
        <w:t xml:space="preserve">the </w:t>
      </w:r>
      <w:r w:rsidR="00323B73" w:rsidRPr="00323B73">
        <w:t>International Classification of Diseases (Tenth revision)</w:t>
      </w:r>
      <w:r w:rsidR="00323B73" w:rsidRPr="00323B73" w:rsidDel="00323B73">
        <w:t xml:space="preserve"> </w:t>
      </w:r>
      <w:r w:rsidR="00047A85" w:rsidRPr="006E0620">
        <w:t>(</w:t>
      </w:r>
      <w:r w:rsidRPr="006E0620">
        <w:t>ICD</w:t>
      </w:r>
      <w:r w:rsidR="00047A85" w:rsidRPr="006E0620">
        <w:t>-</w:t>
      </w:r>
      <w:r w:rsidRPr="006E0620">
        <w:t>10</w:t>
      </w:r>
      <w:r w:rsidR="00047A85" w:rsidRPr="006E0620">
        <w:t>)</w:t>
      </w:r>
      <w:r w:rsidR="001A692F" w:rsidRPr="006E0620">
        <w:t>;</w:t>
      </w:r>
      <w:r w:rsidR="001A692F" w:rsidRPr="006E0620">
        <w:rPr>
          <w:rStyle w:val="FootnoteReference"/>
        </w:rPr>
        <w:footnoteReference w:id="33"/>
      </w:r>
      <w:r w:rsidRPr="006E0620">
        <w:t xml:space="preserve"> coded rates in 12</w:t>
      </w:r>
      <w:r w:rsidR="00047A85" w:rsidRPr="006E0620">
        <w:t xml:space="preserve"> to </w:t>
      </w:r>
      <w:proofErr w:type="gramStart"/>
      <w:r w:rsidR="00047A85" w:rsidRPr="006E0620">
        <w:t>39 year</w:t>
      </w:r>
      <w:proofErr w:type="gramEnd"/>
      <w:r w:rsidR="00047A85" w:rsidRPr="006E0620">
        <w:t xml:space="preserve"> </w:t>
      </w:r>
      <w:proofErr w:type="spellStart"/>
      <w:r w:rsidRPr="006E0620">
        <w:t>olds</w:t>
      </w:r>
      <w:proofErr w:type="spellEnd"/>
      <w:r w:rsidRPr="006E0620">
        <w:t xml:space="preserve">, 21 day risk interval. Rate per million for the AE of </w:t>
      </w:r>
      <w:r w:rsidR="00047A85" w:rsidRPr="006E0620">
        <w:t>myocarditis</w:t>
      </w:r>
      <w:r w:rsidRPr="006E0620">
        <w:t xml:space="preserve">/pericarditis appears to be higher with </w:t>
      </w:r>
      <w:proofErr w:type="spellStart"/>
      <w:r w:rsidR="002A4DC1" w:rsidRPr="006E0620">
        <w:t>Spikevax</w:t>
      </w:r>
      <w:proofErr w:type="spellEnd"/>
      <w:r w:rsidRPr="006E0620">
        <w:t xml:space="preserve"> than with </w:t>
      </w:r>
      <w:proofErr w:type="spellStart"/>
      <w:r w:rsidRPr="006E0620">
        <w:t>Comirnaty</w:t>
      </w:r>
      <w:proofErr w:type="spellEnd"/>
      <w:r w:rsidRPr="006E0620">
        <w:t>.</w:t>
      </w:r>
    </w:p>
    <w:p w14:paraId="66025F97" w14:textId="0854477A" w:rsidR="00183DD4" w:rsidRPr="006E0620" w:rsidRDefault="00B567CB" w:rsidP="00B567CB">
      <w:pPr>
        <w:pStyle w:val="TableTitle"/>
      </w:pPr>
      <w:r w:rsidRPr="006E0620">
        <w:t xml:space="preserve">Table </w:t>
      </w:r>
      <w:r>
        <w:fldChar w:fldCharType="begin"/>
      </w:r>
      <w:r>
        <w:instrText>SEQ Table \* ARABIC</w:instrText>
      </w:r>
      <w:r>
        <w:fldChar w:fldCharType="separate"/>
      </w:r>
      <w:r w:rsidR="00B1591C">
        <w:rPr>
          <w:noProof/>
        </w:rPr>
        <w:t>27</w:t>
      </w:r>
      <w:r>
        <w:fldChar w:fldCharType="end"/>
      </w:r>
      <w:r w:rsidRPr="006E0620">
        <w:t>:</w:t>
      </w:r>
      <w:r w:rsidR="00776482" w:rsidRPr="006E0620">
        <w:t xml:space="preserve"> </w:t>
      </w:r>
      <w:r w:rsidR="00323B73">
        <w:t>M</w:t>
      </w:r>
      <w:r w:rsidR="00183DD4" w:rsidRPr="006E0620">
        <w:t xml:space="preserve">yocarditis/pericarditis chart confirmed rates in </w:t>
      </w:r>
      <w:r w:rsidR="00047A85" w:rsidRPr="006E0620">
        <w:t xml:space="preserve">vaccine safety datalink in </w:t>
      </w:r>
      <w:proofErr w:type="gramStart"/>
      <w:r w:rsidR="00047A85" w:rsidRPr="006E0620">
        <w:t xml:space="preserve">21 </w:t>
      </w:r>
      <w:r w:rsidR="00183DD4" w:rsidRPr="006E0620">
        <w:t>day</w:t>
      </w:r>
      <w:proofErr w:type="gramEnd"/>
      <w:r w:rsidR="00183DD4" w:rsidRPr="006E0620">
        <w:t xml:space="preserve"> risk interval, 12</w:t>
      </w:r>
      <w:r w:rsidR="00047A85" w:rsidRPr="006E0620">
        <w:t xml:space="preserve"> to 39 year </w:t>
      </w:r>
      <w:proofErr w:type="spellStart"/>
      <w:r w:rsidR="00183DD4" w:rsidRPr="006E0620">
        <w:t>olds</w:t>
      </w:r>
      <w:proofErr w:type="spellEnd"/>
      <w:r w:rsidR="009A5FDA" w:rsidRPr="006E0620">
        <w:rPr>
          <w:rStyle w:val="FootnoteReference"/>
        </w:rPr>
        <w:footnoteReference w:id="34"/>
      </w:r>
    </w:p>
    <w:p w14:paraId="11893B6B" w14:textId="7A08F41D" w:rsidR="00170E61" w:rsidRPr="006E0620" w:rsidRDefault="00170E61" w:rsidP="00170E61">
      <w:r w:rsidRPr="006E0620">
        <w:rPr>
          <w:noProof/>
          <w:color w:val="2B579A"/>
          <w:shd w:val="clear" w:color="auto" w:fill="E6E6E6"/>
          <w:lang w:val="en-GB" w:eastAsia="en-GB"/>
        </w:rPr>
        <w:drawing>
          <wp:inline distT="0" distB="0" distL="0" distR="0" wp14:anchorId="394FDD2A" wp14:editId="48CC8E54">
            <wp:extent cx="3984171" cy="2018790"/>
            <wp:effectExtent l="0" t="0" r="0" b="635"/>
            <wp:docPr id="57" name="Picture 57" descr="Vaccine safety datalink, myocarditis/pericarditis chart confirmed rates in vaccine safety datalink in 21 day risk interval, 12 to 39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Vaccine safety datalink, myocarditis/pericarditis chart confirmed rates in vaccine safety datalink in 21 day risk interval, 12 to 39 year olds"/>
                    <pic:cNvPicPr/>
                  </pic:nvPicPr>
                  <pic:blipFill>
                    <a:blip r:embed="rId54"/>
                    <a:stretch>
                      <a:fillRect/>
                    </a:stretch>
                  </pic:blipFill>
                  <pic:spPr>
                    <a:xfrm>
                      <a:off x="0" y="0"/>
                      <a:ext cx="4008775" cy="2031257"/>
                    </a:xfrm>
                    <a:prstGeom prst="rect">
                      <a:avLst/>
                    </a:prstGeom>
                  </pic:spPr>
                </pic:pic>
              </a:graphicData>
            </a:graphic>
          </wp:inline>
        </w:drawing>
      </w:r>
    </w:p>
    <w:p w14:paraId="4489FDF0" w14:textId="62595674" w:rsidR="00170E61" w:rsidRPr="006E0620" w:rsidRDefault="00170E61" w:rsidP="000E0D3B">
      <w:pPr>
        <w:pStyle w:val="TableDescription"/>
      </w:pPr>
      <w:r w:rsidRPr="006E0620">
        <w:t>CI = confidence interval.</w:t>
      </w:r>
    </w:p>
    <w:p w14:paraId="185690B0" w14:textId="2702341D" w:rsidR="00170E61" w:rsidRPr="006E0620" w:rsidRDefault="00170E61" w:rsidP="000E0D3B">
      <w:pPr>
        <w:pStyle w:val="TableDescription"/>
      </w:pPr>
      <w:r w:rsidRPr="006E0620">
        <w:t>Through 5 June 2021.</w:t>
      </w:r>
    </w:p>
    <w:p w14:paraId="11944951" w14:textId="7C60213B" w:rsidR="00183DD4" w:rsidRPr="006E0620" w:rsidRDefault="00B567CB" w:rsidP="00B567CB">
      <w:pPr>
        <w:pStyle w:val="TableTitle"/>
      </w:pPr>
      <w:r w:rsidRPr="006E0620">
        <w:lastRenderedPageBreak/>
        <w:t xml:space="preserve">Table </w:t>
      </w:r>
      <w:r>
        <w:fldChar w:fldCharType="begin"/>
      </w:r>
      <w:r>
        <w:instrText>SEQ Table \* ARABIC</w:instrText>
      </w:r>
      <w:r>
        <w:fldChar w:fldCharType="separate"/>
      </w:r>
      <w:r w:rsidR="00B1591C">
        <w:rPr>
          <w:noProof/>
        </w:rPr>
        <w:t>28</w:t>
      </w:r>
      <w:r>
        <w:fldChar w:fldCharType="end"/>
      </w:r>
      <w:r w:rsidR="00183DD4" w:rsidRPr="006E0620">
        <w:t>:</w:t>
      </w:r>
      <w:r w:rsidR="005624EF" w:rsidRPr="005624EF">
        <w:t xml:space="preserve"> </w:t>
      </w:r>
      <w:r w:rsidR="00323B73">
        <w:t>M</w:t>
      </w:r>
      <w:r w:rsidR="00183DD4" w:rsidRPr="006E0620">
        <w:t>yocarditis/pericarditis rate</w:t>
      </w:r>
      <w:r w:rsidR="000E0D3B" w:rsidRPr="006E0620">
        <w:t>s</w:t>
      </w:r>
      <w:r w:rsidR="00183DD4" w:rsidRPr="006E0620">
        <w:t xml:space="preserve"> based on ICD-10 coded cases in </w:t>
      </w:r>
      <w:r w:rsidR="00047A85" w:rsidRPr="006E0620">
        <w:t xml:space="preserve">vaccine safety datalink in </w:t>
      </w:r>
      <w:proofErr w:type="gramStart"/>
      <w:r w:rsidR="00047A85" w:rsidRPr="006E0620">
        <w:t xml:space="preserve">21 </w:t>
      </w:r>
      <w:r w:rsidR="00183DD4" w:rsidRPr="006E0620">
        <w:t>day</w:t>
      </w:r>
      <w:proofErr w:type="gramEnd"/>
      <w:r w:rsidR="00183DD4" w:rsidRPr="006E0620">
        <w:t xml:space="preserve"> risk interval, 12</w:t>
      </w:r>
      <w:r w:rsidR="00047A85" w:rsidRPr="006E0620">
        <w:t xml:space="preserve"> to </w:t>
      </w:r>
      <w:r w:rsidR="00183DD4" w:rsidRPr="006E0620">
        <w:t>39</w:t>
      </w:r>
      <w:r w:rsidR="00047A85" w:rsidRPr="006E0620">
        <w:t xml:space="preserve"> </w:t>
      </w:r>
      <w:r w:rsidR="00183DD4" w:rsidRPr="006E0620">
        <w:t>year</w:t>
      </w:r>
      <w:r w:rsidR="00047A85" w:rsidRPr="006E0620">
        <w:t xml:space="preserve"> </w:t>
      </w:r>
      <w:proofErr w:type="spellStart"/>
      <w:r w:rsidR="00183DD4" w:rsidRPr="006E0620">
        <w:t>olds</w:t>
      </w:r>
      <w:proofErr w:type="spellEnd"/>
    </w:p>
    <w:p w14:paraId="2F2B90A0" w14:textId="68765CB1" w:rsidR="000E0D3B" w:rsidRPr="006E0620" w:rsidRDefault="000E0D3B" w:rsidP="00AC7D6C">
      <w:r>
        <w:rPr>
          <w:noProof/>
          <w:shd w:val="clear" w:color="auto" w:fill="E6E6E6"/>
          <w:lang w:val="en-GB" w:eastAsia="en-GB"/>
        </w:rPr>
        <w:drawing>
          <wp:inline distT="0" distB="0" distL="0" distR="0" wp14:anchorId="1BDBE4FD" wp14:editId="48A37DF1">
            <wp:extent cx="4583380" cy="2434441"/>
            <wp:effectExtent l="0" t="0" r="8255" b="4445"/>
            <wp:docPr id="65" name="Picture 65" descr="Vaccine safety datalink, myocarditis/pericarditis rates based on ICD-10 coded cases in vaccine safety datalink in 21 day risk interval, 12 to 39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accine safety datalink, myocarditis/pericarditis rates based on ICD-10 coded cases in vaccine safety datalink in 21 day risk interval, 12 to 39 year olds"/>
                    <pic:cNvPicPr/>
                  </pic:nvPicPr>
                  <pic:blipFill>
                    <a:blip r:embed="rId55">
                      <a:extLst>
                        <a:ext uri="{28A0092B-C50C-407E-A947-70E740481C1C}">
                          <a14:useLocalDpi xmlns:a14="http://schemas.microsoft.com/office/drawing/2010/main" val="0"/>
                        </a:ext>
                      </a:extLst>
                    </a:blip>
                    <a:stretch>
                      <a:fillRect/>
                    </a:stretch>
                  </pic:blipFill>
                  <pic:spPr>
                    <a:xfrm>
                      <a:off x="0" y="0"/>
                      <a:ext cx="4583380" cy="2434441"/>
                    </a:xfrm>
                    <a:prstGeom prst="rect">
                      <a:avLst/>
                    </a:prstGeom>
                  </pic:spPr>
                </pic:pic>
              </a:graphicData>
            </a:graphic>
          </wp:inline>
        </w:drawing>
      </w:r>
    </w:p>
    <w:p w14:paraId="372B9E97" w14:textId="3A0D95FE" w:rsidR="000E0D3B" w:rsidRPr="006E0620" w:rsidRDefault="000E0D3B" w:rsidP="000E0D3B">
      <w:pPr>
        <w:pStyle w:val="TableDescription"/>
      </w:pPr>
      <w:r w:rsidRPr="006E0620">
        <w:t>CI = confidence interval</w:t>
      </w:r>
      <w:r w:rsidR="00FB5463">
        <w:t xml:space="preserve">; ICD-10 = </w:t>
      </w:r>
      <w:r w:rsidR="00323B73" w:rsidRPr="00323B73">
        <w:t>International Classification of Diseases (Tenth revision)</w:t>
      </w:r>
      <w:r w:rsidR="00FB5463">
        <w:t>.</w:t>
      </w:r>
    </w:p>
    <w:p w14:paraId="1F6FD9F4" w14:textId="77777777" w:rsidR="000E0D3B" w:rsidRPr="006E0620" w:rsidRDefault="000E0D3B" w:rsidP="000E0D3B">
      <w:pPr>
        <w:pStyle w:val="TableDescription"/>
      </w:pPr>
      <w:r w:rsidRPr="006E0620">
        <w:t>Through 5 June 2021.</w:t>
      </w:r>
    </w:p>
    <w:p w14:paraId="6298EF96" w14:textId="6B24C27B" w:rsidR="00183DD4" w:rsidRPr="006E0620" w:rsidRDefault="00183DD4" w:rsidP="005B749D">
      <w:r w:rsidRPr="006E0620">
        <w:t>Early US</w:t>
      </w:r>
      <w:r w:rsidR="00047A85" w:rsidRPr="006E0620">
        <w:t>-</w:t>
      </w:r>
      <w:r w:rsidRPr="006E0620">
        <w:t>VSD data for myocarditis/pericarditis in 12</w:t>
      </w:r>
      <w:r w:rsidR="00047A85" w:rsidRPr="006E0620">
        <w:t xml:space="preserve"> to </w:t>
      </w:r>
      <w:proofErr w:type="gramStart"/>
      <w:r w:rsidRPr="006E0620">
        <w:t>39</w:t>
      </w:r>
      <w:r w:rsidR="00047A85" w:rsidRPr="006E0620">
        <w:t xml:space="preserve"> </w:t>
      </w:r>
      <w:r w:rsidRPr="006E0620">
        <w:t>year</w:t>
      </w:r>
      <w:proofErr w:type="gramEnd"/>
      <w:r w:rsidR="00047A85" w:rsidRPr="006E0620">
        <w:t xml:space="preserve"> </w:t>
      </w:r>
      <w:proofErr w:type="spellStart"/>
      <w:r w:rsidRPr="006E0620">
        <w:t>olds</w:t>
      </w:r>
      <w:proofErr w:type="spellEnd"/>
      <w:r w:rsidR="00135E86" w:rsidRPr="006E0620">
        <w:t xml:space="preserve"> </w:t>
      </w:r>
      <w:r w:rsidRPr="006E0620">
        <w:t>suggest:</w:t>
      </w:r>
    </w:p>
    <w:p w14:paraId="202C3B91" w14:textId="0DDB4EF4" w:rsidR="00183DD4" w:rsidRPr="006E0620" w:rsidRDefault="00047A85" w:rsidP="005B749D">
      <w:pPr>
        <w:pStyle w:val="ListBullet"/>
      </w:pPr>
      <w:r w:rsidRPr="006E0620">
        <w:t xml:space="preserve">more </w:t>
      </w:r>
      <w:r w:rsidR="00183DD4" w:rsidRPr="006E0620">
        <w:t xml:space="preserve">cases after </w:t>
      </w:r>
      <w:r w:rsidRPr="006E0620">
        <w:t>mRNA COVID-19 vaccination with Dose </w:t>
      </w:r>
      <w:r w:rsidR="00183DD4" w:rsidRPr="006E0620">
        <w:t>2 v</w:t>
      </w:r>
      <w:r w:rsidR="008C616B" w:rsidRPr="006E0620">
        <w:t>ersu</w:t>
      </w:r>
      <w:r w:rsidRPr="006E0620">
        <w:t>s Dose </w:t>
      </w:r>
      <w:proofErr w:type="gramStart"/>
      <w:r w:rsidR="00183DD4" w:rsidRPr="006E0620">
        <w:t>1</w:t>
      </w:r>
      <w:r w:rsidR="00403D2E" w:rsidRPr="006E0620">
        <w:t>;</w:t>
      </w:r>
      <w:proofErr w:type="gramEnd"/>
    </w:p>
    <w:p w14:paraId="5BF5E218" w14:textId="79CC8C88" w:rsidR="00183DD4" w:rsidRPr="006E0620" w:rsidRDefault="00047A85" w:rsidP="005B749D">
      <w:pPr>
        <w:pStyle w:val="ListBullet"/>
      </w:pPr>
      <w:r w:rsidRPr="006E0620">
        <w:t xml:space="preserve">rate </w:t>
      </w:r>
      <w:r w:rsidR="00183DD4" w:rsidRPr="006E0620">
        <w:t xml:space="preserve">of 12.6 cases per million </w:t>
      </w:r>
      <w:r w:rsidR="00403D2E" w:rsidRPr="006E0620">
        <w:t>second</w:t>
      </w:r>
      <w:r w:rsidR="00183DD4" w:rsidRPr="006E0620">
        <w:t xml:space="preserve"> doses of any mRNA vaccine in th</w:t>
      </w:r>
      <w:r w:rsidR="00403D2E" w:rsidRPr="006E0620">
        <w:t xml:space="preserve">e 21 days following </w:t>
      </w:r>
      <w:proofErr w:type="gramStart"/>
      <w:r w:rsidR="00403D2E" w:rsidRPr="006E0620">
        <w:t>vaccination;</w:t>
      </w:r>
      <w:proofErr w:type="gramEnd"/>
    </w:p>
    <w:p w14:paraId="02EFAA4F" w14:textId="420D3714" w:rsidR="00183DD4" w:rsidRPr="006E0620" w:rsidRDefault="00403D2E" w:rsidP="005B749D">
      <w:pPr>
        <w:pStyle w:val="ListBullet"/>
      </w:pPr>
      <w:r w:rsidRPr="006E0620">
        <w:t xml:space="preserve">rates </w:t>
      </w:r>
      <w:r w:rsidR="00183DD4" w:rsidRPr="006E0620">
        <w:t>appear higher in males v</w:t>
      </w:r>
      <w:r w:rsidR="008C616B" w:rsidRPr="006E0620">
        <w:t>ersu</w:t>
      </w:r>
      <w:r w:rsidR="00183DD4" w:rsidRPr="006E0620">
        <w:t xml:space="preserve">s </w:t>
      </w:r>
      <w:proofErr w:type="gramStart"/>
      <w:r w:rsidR="00183DD4" w:rsidRPr="006E0620">
        <w:t>females</w:t>
      </w:r>
      <w:r w:rsidRPr="006E0620">
        <w:t>;</w:t>
      </w:r>
      <w:proofErr w:type="gramEnd"/>
    </w:p>
    <w:p w14:paraId="3F654847" w14:textId="5D814A25" w:rsidR="00183DD4" w:rsidRPr="006E0620" w:rsidRDefault="00403D2E" w:rsidP="005B749D">
      <w:pPr>
        <w:pStyle w:val="ListBullet"/>
      </w:pPr>
      <w:r w:rsidRPr="006E0620">
        <w:t xml:space="preserve">clustering </w:t>
      </w:r>
      <w:r w:rsidR="00183DD4" w:rsidRPr="006E0620">
        <w:t>of myocarditis/pericarditis within the week following vaccination (most likely 0</w:t>
      </w:r>
      <w:r w:rsidRPr="006E0620">
        <w:t xml:space="preserve"> to </w:t>
      </w:r>
      <w:r w:rsidR="00183DD4" w:rsidRPr="006E0620">
        <w:t xml:space="preserve">5 </w:t>
      </w:r>
      <w:proofErr w:type="gramStart"/>
      <w:r w:rsidR="00183DD4" w:rsidRPr="006E0620">
        <w:t>day</w:t>
      </w:r>
      <w:r w:rsidRPr="006E0620">
        <w:t>s;</w:t>
      </w:r>
      <w:proofErr w:type="gramEnd"/>
    </w:p>
    <w:p w14:paraId="2B92B2C0" w14:textId="2CFA367A" w:rsidR="00183DD4" w:rsidRPr="006E0620" w:rsidRDefault="00403D2E" w:rsidP="005B749D">
      <w:pPr>
        <w:pStyle w:val="ListBullet"/>
      </w:pPr>
      <w:r w:rsidRPr="006E0620">
        <w:t xml:space="preserve">available </w:t>
      </w:r>
      <w:r w:rsidR="00183DD4" w:rsidRPr="006E0620">
        <w:t>outcome data indicate that patients generally recover from symptoms and do well.</w:t>
      </w:r>
    </w:p>
    <w:p w14:paraId="35E029E5" w14:textId="353938C7" w:rsidR="00183DD4" w:rsidRPr="006E0620" w:rsidRDefault="00183DD4" w:rsidP="005B749D">
      <w:r w:rsidRPr="006E0620">
        <w:t xml:space="preserve">Data are still </w:t>
      </w:r>
      <w:proofErr w:type="gramStart"/>
      <w:r w:rsidRPr="006E0620">
        <w:t>evolving</w:t>
      </w:r>
      <w:proofErr w:type="gramEnd"/>
      <w:r w:rsidRPr="006E0620">
        <w:t xml:space="preserve"> and the sponsor has been requested to provide the latest available data regarding AE of myocarditis/pericarditis after </w:t>
      </w:r>
      <w:proofErr w:type="spellStart"/>
      <w:r w:rsidR="002A4DC1" w:rsidRPr="006E0620">
        <w:t>Spikevax</w:t>
      </w:r>
      <w:proofErr w:type="spellEnd"/>
      <w:r w:rsidRPr="006E0620">
        <w:t xml:space="preserve"> vaccinations.</w:t>
      </w:r>
    </w:p>
    <w:p w14:paraId="73B40E3B" w14:textId="33A36378" w:rsidR="00183DD4" w:rsidRPr="006E0620" w:rsidRDefault="00183DD4" w:rsidP="005B749D">
      <w:pPr>
        <w:pStyle w:val="Heading7"/>
        <w:rPr>
          <w:rFonts w:eastAsia="TimesNewRoman"/>
          <w:sz w:val="22"/>
        </w:rPr>
      </w:pPr>
      <w:r w:rsidRPr="006E0620">
        <w:rPr>
          <w:rFonts w:eastAsia="TimesNewRoman"/>
          <w:sz w:val="22"/>
        </w:rPr>
        <w:t xml:space="preserve">Post-marketing </w:t>
      </w:r>
      <w:r w:rsidR="00403D2E" w:rsidRPr="006E0620">
        <w:rPr>
          <w:rFonts w:eastAsia="TimesNewRoman"/>
          <w:sz w:val="22"/>
        </w:rPr>
        <w:t>adverse event</w:t>
      </w:r>
      <w:r w:rsidRPr="006E0620">
        <w:rPr>
          <w:rFonts w:eastAsia="TimesNewRoman"/>
          <w:sz w:val="22"/>
        </w:rPr>
        <w:t xml:space="preserve"> reports</w:t>
      </w:r>
    </w:p>
    <w:p w14:paraId="5D92D7AE" w14:textId="3527821A" w:rsidR="00183DD4" w:rsidRPr="006E0620" w:rsidRDefault="00183DD4" w:rsidP="005B749D">
      <w:r w:rsidRPr="006E0620">
        <w:t xml:space="preserve">As of the end of the reporting period (31 May 2021), a total of 155,522,108 doses of </w:t>
      </w:r>
      <w:proofErr w:type="spellStart"/>
      <w:r w:rsidR="002C36B7" w:rsidRPr="006E0620">
        <w:t>Spikevax</w:t>
      </w:r>
      <w:proofErr w:type="spellEnd"/>
      <w:r w:rsidRPr="006E0620">
        <w:t xml:space="preserve"> had been administered globally.</w:t>
      </w:r>
    </w:p>
    <w:p w14:paraId="65691DED" w14:textId="560DDCDE" w:rsidR="00183DD4" w:rsidRPr="006E0620" w:rsidRDefault="00183DD4" w:rsidP="005B749D">
      <w:r w:rsidRPr="006E0620">
        <w:t>Cumulatively, there have been 184,413 cases (713,333 events) received by the sponsor (</w:t>
      </w:r>
      <w:r w:rsidR="00096CE7">
        <w:rPr>
          <w:color w:val="2B579A"/>
          <w:shd w:val="clear" w:color="auto" w:fill="E6E6E6"/>
        </w:rPr>
        <w:fldChar w:fldCharType="begin"/>
      </w:r>
      <w:r w:rsidR="00096CE7" w:rsidRPr="006E0620">
        <w:instrText xml:space="preserve"> REF _Ref77952289 \h </w:instrText>
      </w:r>
      <w:r w:rsidR="006E0620">
        <w:instrText xml:space="preserve"> \* MERGEFORMAT </w:instrText>
      </w:r>
      <w:r w:rsidR="00096CE7">
        <w:rPr>
          <w:color w:val="2B579A"/>
          <w:shd w:val="clear" w:color="auto" w:fill="E6E6E6"/>
        </w:rPr>
      </w:r>
      <w:r w:rsidR="00096CE7">
        <w:rPr>
          <w:color w:val="2B579A"/>
          <w:shd w:val="clear" w:color="auto" w:fill="E6E6E6"/>
        </w:rPr>
        <w:fldChar w:fldCharType="separate"/>
      </w:r>
      <w:r w:rsidR="00B1591C" w:rsidRPr="006E0620">
        <w:t xml:space="preserve">Table </w:t>
      </w:r>
      <w:r w:rsidR="00B1591C">
        <w:rPr>
          <w:noProof/>
        </w:rPr>
        <w:t>29</w:t>
      </w:r>
      <w:r w:rsidR="00096CE7">
        <w:rPr>
          <w:color w:val="2B579A"/>
          <w:shd w:val="clear" w:color="auto" w:fill="E6E6E6"/>
        </w:rPr>
        <w:fldChar w:fldCharType="end"/>
      </w:r>
      <w:r w:rsidRPr="006E0620">
        <w:t>). Of the total reported cases, 127,066 were medically confirmed, 20,636 were serious, and the majority were reported in females (135,490 v</w:t>
      </w:r>
      <w:r w:rsidR="00772855" w:rsidRPr="006E0620">
        <w:t>ersu</w:t>
      </w:r>
      <w:r w:rsidRPr="006E0620">
        <w:t>s 41,583 cases in females and males, respectively).</w:t>
      </w:r>
    </w:p>
    <w:p w14:paraId="0CAE06A3" w14:textId="727802A5" w:rsidR="00183DD4" w:rsidRDefault="00096CE7" w:rsidP="00096CE7">
      <w:pPr>
        <w:pStyle w:val="TableTitle"/>
      </w:pPr>
      <w:bookmarkStart w:id="57" w:name="_Ref77952289"/>
      <w:r w:rsidRPr="006E0620">
        <w:t xml:space="preserve">Table </w:t>
      </w:r>
      <w:r>
        <w:fldChar w:fldCharType="begin"/>
      </w:r>
      <w:r>
        <w:instrText>SEQ Table \* ARABIC</w:instrText>
      </w:r>
      <w:r>
        <w:fldChar w:fldCharType="separate"/>
      </w:r>
      <w:r w:rsidR="00B1591C">
        <w:rPr>
          <w:noProof/>
        </w:rPr>
        <w:t>29</w:t>
      </w:r>
      <w:r>
        <w:fldChar w:fldCharType="end"/>
      </w:r>
      <w:bookmarkEnd w:id="57"/>
      <w:r w:rsidR="00183DD4" w:rsidRPr="006E0620">
        <w:t xml:space="preserve">: </w:t>
      </w:r>
      <w:r w:rsidR="00CC3096">
        <w:t>P</w:t>
      </w:r>
      <w:r w:rsidR="00CC3096" w:rsidRPr="00CC3096">
        <w:t xml:space="preserve">ost-authorisation </w:t>
      </w:r>
      <w:r w:rsidR="00CC3096">
        <w:t xml:space="preserve">study </w:t>
      </w:r>
      <w:r w:rsidR="00CC3096" w:rsidRPr="00CC3096">
        <w:t>data</w:t>
      </w:r>
      <w:r w:rsidR="008B724E">
        <w:t xml:space="preserve">, </w:t>
      </w:r>
      <w:r w:rsidR="00CC3096">
        <w:t>s</w:t>
      </w:r>
      <w:r w:rsidR="00183DD4" w:rsidRPr="006E0620">
        <w:t xml:space="preserve">erious </w:t>
      </w:r>
      <w:proofErr w:type="gramStart"/>
      <w:r w:rsidR="00403D2E" w:rsidRPr="006E0620">
        <w:t>cases</w:t>
      </w:r>
      <w:proofErr w:type="gramEnd"/>
      <w:r w:rsidR="00403D2E" w:rsidRPr="006E0620">
        <w:t xml:space="preserve"> and events totals</w:t>
      </w:r>
    </w:p>
    <w:p w14:paraId="4336B5F7" w14:textId="16D089C2" w:rsidR="00E359A9" w:rsidRPr="006E0620" w:rsidRDefault="00E359A9" w:rsidP="00AC7D6C">
      <w:r>
        <w:rPr>
          <w:noProof/>
          <w:lang w:val="en-GB" w:eastAsia="en-GB"/>
        </w:rPr>
        <w:drawing>
          <wp:inline distT="0" distB="0" distL="0" distR="0" wp14:anchorId="59948B24" wp14:editId="56E445D8">
            <wp:extent cx="5398770" cy="675640"/>
            <wp:effectExtent l="0" t="0" r="0" b="0"/>
            <wp:docPr id="75" name="Picture 75" descr="Post-authorisation study data, serious cases and events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ost-authorisation study data, serious cases and events tota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p w14:paraId="28D975D1" w14:textId="77777777" w:rsidR="000E0D3B" w:rsidRPr="006E0620" w:rsidRDefault="000E0D3B" w:rsidP="000E0D3B">
      <w:pPr>
        <w:pStyle w:val="TableDescription"/>
      </w:pPr>
      <w:r w:rsidRPr="006E0620">
        <w:t># Number</w:t>
      </w:r>
    </w:p>
    <w:p w14:paraId="54B6E090" w14:textId="37E34563" w:rsidR="000E0D3B" w:rsidRPr="006E0620" w:rsidRDefault="000E0D3B" w:rsidP="000E0D3B">
      <w:pPr>
        <w:pStyle w:val="TableDescription"/>
      </w:pPr>
      <w:r w:rsidRPr="006E0620">
        <w:t>* Total event and case counts include invalid cases.</w:t>
      </w:r>
    </w:p>
    <w:p w14:paraId="6147070F" w14:textId="3641FDC6" w:rsidR="00183DD4" w:rsidRPr="006E0620" w:rsidRDefault="00183DD4" w:rsidP="005B749D">
      <w:r w:rsidRPr="006E0620">
        <w:t>The following topics are under evaluation and will be included in in next monthly safety report (15 Jun</w:t>
      </w:r>
      <w:r w:rsidR="00403D2E" w:rsidRPr="006E0620">
        <w:t>e</w:t>
      </w:r>
      <w:r w:rsidRPr="006E0620">
        <w:t xml:space="preserve"> 2021):</w:t>
      </w:r>
    </w:p>
    <w:p w14:paraId="7CE6C40E" w14:textId="3D886400" w:rsidR="00183DD4" w:rsidRPr="006E0620" w:rsidRDefault="00183DD4" w:rsidP="005B749D">
      <w:pPr>
        <w:pStyle w:val="ListBullet"/>
      </w:pPr>
      <w:r w:rsidRPr="006E0620">
        <w:lastRenderedPageBreak/>
        <w:t>Blindness (new request)</w:t>
      </w:r>
    </w:p>
    <w:p w14:paraId="3BFC45B9" w14:textId="75825C91" w:rsidR="00183DD4" w:rsidRPr="006E0620" w:rsidRDefault="00183DD4" w:rsidP="005B749D">
      <w:pPr>
        <w:pStyle w:val="ListBullet"/>
      </w:pPr>
      <w:r w:rsidRPr="006E0620">
        <w:t>Conditions aggravated (new request)</w:t>
      </w:r>
    </w:p>
    <w:p w14:paraId="580B8EC4" w14:textId="42B7229B" w:rsidR="00183DD4" w:rsidRPr="006E0620" w:rsidRDefault="00183DD4" w:rsidP="005B749D">
      <w:pPr>
        <w:pStyle w:val="ListBullet"/>
      </w:pPr>
      <w:r w:rsidRPr="006E0620">
        <w:t>Dizziness and tinnitus (new request)</w:t>
      </w:r>
    </w:p>
    <w:p w14:paraId="4E70D6C2" w14:textId="48623E72" w:rsidR="00183DD4" w:rsidRPr="006E0620" w:rsidRDefault="00183DD4" w:rsidP="005B749D">
      <w:pPr>
        <w:pStyle w:val="ListBullet"/>
      </w:pPr>
      <w:r w:rsidRPr="006E0620">
        <w:t>Hypertensive crisis (new request)</w:t>
      </w:r>
    </w:p>
    <w:p w14:paraId="59EBBD59" w14:textId="4C7AD11B" w:rsidR="00183DD4" w:rsidRPr="006E0620" w:rsidRDefault="00183DD4" w:rsidP="005B749D">
      <w:pPr>
        <w:pStyle w:val="ListBullet"/>
      </w:pPr>
      <w:r w:rsidRPr="006E0620">
        <w:t>Immune thro</w:t>
      </w:r>
      <w:r w:rsidR="00403D2E" w:rsidRPr="006E0620">
        <w:t>mbocytopenia (ongoing review): c</w:t>
      </w:r>
      <w:r w:rsidRPr="006E0620">
        <w:t>umulatively, 2,289 cases were reported involving 2,712 events. There were 2,238 serious cases. 232 cases had fatal outcome. There were 2,667 serious events, and 1849 cases were medically confirmed. The average age was 67 years. Safety analysis does not suggest a clear signal. However, given the temporal association between the use of the product and the start date of the events, a causal relationship cannot be excluded.</w:t>
      </w:r>
    </w:p>
    <w:p w14:paraId="43CBD640" w14:textId="547A11EE" w:rsidR="00183DD4" w:rsidRPr="006E0620" w:rsidRDefault="00183DD4" w:rsidP="005B749D">
      <w:pPr>
        <w:pStyle w:val="ListBullet"/>
      </w:pPr>
      <w:r w:rsidRPr="006E0620">
        <w:t>Myocarditis</w:t>
      </w:r>
      <w:r w:rsidR="00403D2E" w:rsidRPr="006E0620">
        <w:t>/pericarditis (ongoing review): t</w:t>
      </w:r>
      <w:r w:rsidRPr="006E0620">
        <w:t>his is discuss</w:t>
      </w:r>
      <w:r w:rsidR="00403D2E" w:rsidRPr="006E0620">
        <w:t>ed in detail under the heading ‘</w:t>
      </w:r>
      <w:r w:rsidRPr="006E0620">
        <w:t xml:space="preserve">Adverse </w:t>
      </w:r>
      <w:r w:rsidR="006D62BC" w:rsidRPr="006E0620">
        <w:t xml:space="preserve">events of clinical interest’ in this </w:t>
      </w:r>
      <w:proofErr w:type="spellStart"/>
      <w:r w:rsidR="006D62BC" w:rsidRPr="006E0620">
        <w:t>AusPAR</w:t>
      </w:r>
      <w:proofErr w:type="spellEnd"/>
      <w:r w:rsidR="00403D2E" w:rsidRPr="006E0620">
        <w:t>.</w:t>
      </w:r>
    </w:p>
    <w:p w14:paraId="33844DD9" w14:textId="77777777" w:rsidR="008E7846" w:rsidRPr="006E0620" w:rsidRDefault="00386150" w:rsidP="007B6132">
      <w:pPr>
        <w:pStyle w:val="Heading3"/>
        <w:rPr>
          <w:lang w:eastAsia="en-AU"/>
        </w:rPr>
      </w:pPr>
      <w:bookmarkStart w:id="58" w:name="_Toc79415469"/>
      <w:r w:rsidRPr="006E0620">
        <w:rPr>
          <w:lang w:eastAsia="en-AU"/>
        </w:rPr>
        <w:t>Risk m</w:t>
      </w:r>
      <w:r w:rsidR="008E7846" w:rsidRPr="006E0620">
        <w:rPr>
          <w:lang w:eastAsia="en-AU"/>
        </w:rPr>
        <w:t xml:space="preserve">anagement </w:t>
      </w:r>
      <w:r w:rsidRPr="006E0620">
        <w:rPr>
          <w:lang w:eastAsia="en-AU"/>
        </w:rPr>
        <w:t>p</w:t>
      </w:r>
      <w:r w:rsidR="008E7846" w:rsidRPr="006E0620">
        <w:rPr>
          <w:lang w:eastAsia="en-AU"/>
        </w:rPr>
        <w:t>lan</w:t>
      </w:r>
      <w:bookmarkEnd w:id="45"/>
      <w:bookmarkEnd w:id="58"/>
    </w:p>
    <w:p w14:paraId="1F2C248D" w14:textId="60E87079" w:rsidR="007A3CD1" w:rsidRPr="006E0620" w:rsidRDefault="007A3CD1" w:rsidP="007A3CD1">
      <w:r w:rsidRPr="006E0620">
        <w:t>The initial submission included EU-risk management plan (RMP) version 1.1 (dated 1</w:t>
      </w:r>
      <w:r w:rsidR="00FB5463">
        <w:t> </w:t>
      </w:r>
      <w:r w:rsidRPr="006E0620">
        <w:t>March 2021; data lock point (DLP) 21 December 2020), tracked version 1.2 (dated 31</w:t>
      </w:r>
      <w:r w:rsidR="00FB5463">
        <w:t> </w:t>
      </w:r>
      <w:r w:rsidRPr="006E0620">
        <w:t>May 2021; DLP 21 December 2020) and tracked version 2.0 (dated 8 June 2021; DLP 8</w:t>
      </w:r>
      <w:r w:rsidR="00FB5463">
        <w:t> </w:t>
      </w:r>
      <w:r w:rsidRPr="006E0620">
        <w:t>May 2021) and Australian specific annex (ASA) version 0.1 (dated 3 July 2021). With this initial submission the sponsor was seeking approval for the use this vaccine for individuals 12 years and older. However, following discussions with the TGA, the sponsor is currently seeking approval for the target population of adults 18 years and older in the first instance.</w:t>
      </w:r>
    </w:p>
    <w:p w14:paraId="7B82F223" w14:textId="502FB7B6" w:rsidR="007A3CD1" w:rsidRPr="006E0620" w:rsidRDefault="007A3CD1" w:rsidP="007A3CD1">
      <w:r w:rsidRPr="006E0620">
        <w:t>On 16 July 2021, the sponsor provided EU-RMP version 2.1 (dated 15 July 2021; DLP 31</w:t>
      </w:r>
      <w:r w:rsidR="00FB5463">
        <w:t> </w:t>
      </w:r>
      <w:r w:rsidRPr="006E0620">
        <w:t>May 2021), in which the summary of safety concerns has been updated to include myocarditis (including myopericarditis) and pericarditis as important potential risks.</w:t>
      </w:r>
    </w:p>
    <w:p w14:paraId="69901C67" w14:textId="42378707" w:rsidR="007A3CD1" w:rsidRPr="006E0620" w:rsidRDefault="007A3CD1" w:rsidP="007A3CD1">
      <w:r w:rsidRPr="006E0620">
        <w:t>On 23 July, the sponsor provided an updated ASA version 0.2 (dated 22 July 2021), which referenced the EU-RMP version 2.1.</w:t>
      </w:r>
    </w:p>
    <w:p w14:paraId="45DF9ABB" w14:textId="442C28E0" w:rsidR="007D53B6" w:rsidRPr="006E0620" w:rsidRDefault="007D53B6" w:rsidP="004162C9">
      <w:r w:rsidRPr="006E0620">
        <w:t xml:space="preserve">The summary of safety concerns and their associated risk monitoring and mitigation strategies are summarised in </w:t>
      </w:r>
      <w:r w:rsidR="004162C9" w:rsidRPr="006E0620">
        <w:rPr>
          <w:color w:val="2B579A"/>
          <w:shd w:val="clear" w:color="auto" w:fill="E6E6E6"/>
        </w:rPr>
        <w:fldChar w:fldCharType="begin"/>
      </w:r>
      <w:r w:rsidR="004162C9" w:rsidRPr="006E0620">
        <w:instrText xml:space="preserve"> REF _Ref77945236 \h </w:instrText>
      </w:r>
      <w:r w:rsidR="006E0620">
        <w:instrText xml:space="preserve"> \* MERGEFORMAT </w:instrText>
      </w:r>
      <w:r w:rsidR="004162C9" w:rsidRPr="006E0620">
        <w:rPr>
          <w:color w:val="2B579A"/>
          <w:shd w:val="clear" w:color="auto" w:fill="E6E6E6"/>
        </w:rPr>
      </w:r>
      <w:r w:rsidR="004162C9" w:rsidRPr="006E0620">
        <w:rPr>
          <w:color w:val="2B579A"/>
          <w:shd w:val="clear" w:color="auto" w:fill="E6E6E6"/>
        </w:rPr>
        <w:fldChar w:fldCharType="separate"/>
      </w:r>
      <w:r w:rsidR="00B1591C" w:rsidRPr="006E0620">
        <w:t xml:space="preserve">Table </w:t>
      </w:r>
      <w:r w:rsidR="00B1591C">
        <w:rPr>
          <w:noProof/>
        </w:rPr>
        <w:t>30</w:t>
      </w:r>
      <w:r w:rsidR="004162C9" w:rsidRPr="006E0620">
        <w:rPr>
          <w:color w:val="2B579A"/>
          <w:shd w:val="clear" w:color="auto" w:fill="E6E6E6"/>
        </w:rPr>
        <w:fldChar w:fldCharType="end"/>
      </w:r>
      <w:r w:rsidRPr="006E0620">
        <w:t>.</w:t>
      </w:r>
      <w:r w:rsidRPr="006E0620">
        <w:rPr>
          <w:rStyle w:val="FootnoteReference"/>
        </w:rPr>
        <w:footnoteReference w:id="35"/>
      </w:r>
    </w:p>
    <w:p w14:paraId="6E15B190" w14:textId="6BAF70BB" w:rsidR="004162C9" w:rsidRPr="006E0620" w:rsidRDefault="004162C9" w:rsidP="004162C9">
      <w:pPr>
        <w:pStyle w:val="TableTitle"/>
      </w:pPr>
      <w:bookmarkStart w:id="59" w:name="_Ref77945236"/>
      <w:r w:rsidRPr="006E0620">
        <w:lastRenderedPageBreak/>
        <w:t xml:space="preserve">Table </w:t>
      </w:r>
      <w:r>
        <w:fldChar w:fldCharType="begin"/>
      </w:r>
      <w:r>
        <w:instrText>SEQ Table \* ARABIC</w:instrText>
      </w:r>
      <w:r>
        <w:fldChar w:fldCharType="separate"/>
      </w:r>
      <w:r w:rsidR="00B1591C">
        <w:rPr>
          <w:noProof/>
        </w:rPr>
        <w:t>30</w:t>
      </w:r>
      <w:r>
        <w:fldChar w:fldCharType="end"/>
      </w:r>
      <w:bookmarkEnd w:id="59"/>
      <w:r w:rsidRPr="006E0620">
        <w:t>: Summary of safety concerns</w:t>
      </w:r>
    </w:p>
    <w:tbl>
      <w:tblPr>
        <w:tblStyle w:val="TableTGAblue"/>
        <w:tblW w:w="5000" w:type="pct"/>
        <w:tblLayout w:type="fixed"/>
        <w:tblLook w:val="04A0" w:firstRow="1" w:lastRow="0" w:firstColumn="1" w:lastColumn="0" w:noHBand="0" w:noVBand="1"/>
      </w:tblPr>
      <w:tblGrid>
        <w:gridCol w:w="1466"/>
        <w:gridCol w:w="2628"/>
        <w:gridCol w:w="1028"/>
        <w:gridCol w:w="1172"/>
        <w:gridCol w:w="1026"/>
        <w:gridCol w:w="1174"/>
      </w:tblGrid>
      <w:tr w:rsidR="007A3CD1" w:rsidRPr="006E0620" w14:paraId="2A37A038" w14:textId="77777777" w:rsidTr="003F6530">
        <w:trPr>
          <w:cnfStyle w:val="100000000000" w:firstRow="1" w:lastRow="0" w:firstColumn="0" w:lastColumn="0" w:oddVBand="0" w:evenVBand="0" w:oddHBand="0" w:evenHBand="0" w:firstRowFirstColumn="0" w:firstRowLastColumn="0" w:lastRowFirstColumn="0" w:lastRowLastColumn="0"/>
          <w:trHeight w:val="131"/>
        </w:trPr>
        <w:tc>
          <w:tcPr>
            <w:tcW w:w="2410" w:type="pct"/>
            <w:gridSpan w:val="2"/>
            <w:vMerge w:val="restart"/>
            <w:tcBorders>
              <w:top w:val="single" w:sz="4" w:space="0" w:color="auto"/>
              <w:left w:val="single" w:sz="4" w:space="0" w:color="auto"/>
              <w:bottom w:val="single" w:sz="4" w:space="0" w:color="auto"/>
              <w:right w:val="single" w:sz="4" w:space="0" w:color="auto"/>
            </w:tcBorders>
          </w:tcPr>
          <w:p w14:paraId="0FEBFF84" w14:textId="77777777" w:rsidR="007A3CD1" w:rsidRPr="006E0620" w:rsidRDefault="007A3CD1" w:rsidP="003F6530">
            <w:pPr>
              <w:pStyle w:val="Tabletext"/>
              <w:ind w:left="0" w:right="0"/>
            </w:pPr>
            <w:r w:rsidRPr="006E0620">
              <w:t>Summary of safety concerns</w:t>
            </w:r>
          </w:p>
        </w:tc>
        <w:tc>
          <w:tcPr>
            <w:tcW w:w="1295" w:type="pct"/>
            <w:gridSpan w:val="2"/>
            <w:tcBorders>
              <w:top w:val="single" w:sz="4" w:space="0" w:color="auto"/>
              <w:left w:val="single" w:sz="4" w:space="0" w:color="auto"/>
              <w:bottom w:val="single" w:sz="4" w:space="0" w:color="auto"/>
              <w:right w:val="single" w:sz="4" w:space="0" w:color="auto"/>
            </w:tcBorders>
          </w:tcPr>
          <w:p w14:paraId="6BB62B77" w14:textId="77777777" w:rsidR="007A3CD1" w:rsidRPr="006E0620" w:rsidRDefault="007A3CD1" w:rsidP="003F6530">
            <w:pPr>
              <w:pStyle w:val="Tabletext"/>
              <w:ind w:left="0" w:right="0"/>
            </w:pPr>
            <w:r w:rsidRPr="006E0620">
              <w:t>Pharmacovigilance</w:t>
            </w:r>
          </w:p>
        </w:tc>
        <w:tc>
          <w:tcPr>
            <w:tcW w:w="1295" w:type="pct"/>
            <w:gridSpan w:val="2"/>
            <w:tcBorders>
              <w:top w:val="single" w:sz="4" w:space="0" w:color="auto"/>
              <w:left w:val="single" w:sz="4" w:space="0" w:color="auto"/>
              <w:bottom w:val="single" w:sz="4" w:space="0" w:color="auto"/>
              <w:right w:val="single" w:sz="4" w:space="0" w:color="auto"/>
            </w:tcBorders>
          </w:tcPr>
          <w:p w14:paraId="46AE5D21" w14:textId="5382EEFF" w:rsidR="007A3CD1" w:rsidRPr="006E0620" w:rsidRDefault="007A3CD1" w:rsidP="003F6530">
            <w:pPr>
              <w:pStyle w:val="Tabletext"/>
              <w:ind w:left="0" w:right="0"/>
            </w:pPr>
            <w:r w:rsidRPr="006E0620">
              <w:t xml:space="preserve">Risk </w:t>
            </w:r>
            <w:r w:rsidR="00542173">
              <w:t>m</w:t>
            </w:r>
            <w:r w:rsidRPr="006E0620">
              <w:t>inimisation</w:t>
            </w:r>
          </w:p>
        </w:tc>
      </w:tr>
      <w:tr w:rsidR="007A3CD1" w:rsidRPr="006E0620" w14:paraId="4AA2E86D" w14:textId="77777777" w:rsidTr="003F6530">
        <w:trPr>
          <w:trHeight w:val="150"/>
        </w:trPr>
        <w:tc>
          <w:tcPr>
            <w:tcW w:w="2410" w:type="pct"/>
            <w:gridSpan w:val="2"/>
            <w:vMerge/>
            <w:tcBorders>
              <w:top w:val="single" w:sz="4" w:space="0" w:color="auto"/>
              <w:left w:val="single" w:sz="4" w:space="0" w:color="auto"/>
              <w:bottom w:val="single" w:sz="4" w:space="0" w:color="auto"/>
              <w:right w:val="single" w:sz="4" w:space="0" w:color="auto"/>
            </w:tcBorders>
          </w:tcPr>
          <w:p w14:paraId="330A4708" w14:textId="77777777" w:rsidR="007A3CD1" w:rsidRPr="006E0620" w:rsidRDefault="007A3CD1" w:rsidP="003F6530">
            <w:pPr>
              <w:pStyle w:val="Tabletext"/>
              <w:keepNext/>
              <w:ind w:left="0" w:right="0"/>
            </w:pPr>
          </w:p>
        </w:tc>
        <w:tc>
          <w:tcPr>
            <w:tcW w:w="605" w:type="pct"/>
            <w:tcBorders>
              <w:top w:val="single" w:sz="4" w:space="0" w:color="auto"/>
              <w:left w:val="single" w:sz="4" w:space="0" w:color="auto"/>
              <w:bottom w:val="single" w:sz="4" w:space="0" w:color="auto"/>
              <w:right w:val="single" w:sz="4" w:space="0" w:color="auto"/>
            </w:tcBorders>
            <w:shd w:val="clear" w:color="auto" w:fill="006DA7"/>
          </w:tcPr>
          <w:p w14:paraId="2C53CAB6" w14:textId="77777777" w:rsidR="007A3CD1" w:rsidRPr="006E0620" w:rsidRDefault="007A3CD1" w:rsidP="003F6530">
            <w:pPr>
              <w:pStyle w:val="Tabletext"/>
              <w:keepNext/>
              <w:ind w:left="0" w:right="0"/>
              <w:rPr>
                <w:b/>
                <w:color w:val="FFFFFF" w:themeColor="background1"/>
              </w:rPr>
            </w:pPr>
            <w:r w:rsidRPr="006E0620">
              <w:rPr>
                <w:b/>
                <w:color w:val="FFFFFF" w:themeColor="background1"/>
              </w:rPr>
              <w:t>Routine</w:t>
            </w:r>
          </w:p>
        </w:tc>
        <w:tc>
          <w:tcPr>
            <w:tcW w:w="690" w:type="pct"/>
            <w:tcBorders>
              <w:top w:val="single" w:sz="4" w:space="0" w:color="auto"/>
              <w:left w:val="single" w:sz="4" w:space="0" w:color="auto"/>
              <w:bottom w:val="single" w:sz="4" w:space="0" w:color="auto"/>
              <w:right w:val="single" w:sz="4" w:space="0" w:color="auto"/>
            </w:tcBorders>
            <w:shd w:val="clear" w:color="auto" w:fill="006DA7"/>
          </w:tcPr>
          <w:p w14:paraId="25946290" w14:textId="77777777" w:rsidR="007A3CD1" w:rsidRPr="006E0620" w:rsidRDefault="007A3CD1" w:rsidP="003F6530">
            <w:pPr>
              <w:pStyle w:val="Tabletext"/>
              <w:keepNext/>
              <w:ind w:left="0" w:right="0"/>
              <w:rPr>
                <w:b/>
                <w:color w:val="FFFFFF" w:themeColor="background1"/>
              </w:rPr>
            </w:pPr>
            <w:r w:rsidRPr="006E0620">
              <w:rPr>
                <w:b/>
                <w:color w:val="FFFFFF" w:themeColor="background1"/>
              </w:rPr>
              <w:t>Additional</w:t>
            </w:r>
          </w:p>
        </w:tc>
        <w:tc>
          <w:tcPr>
            <w:tcW w:w="604" w:type="pct"/>
            <w:tcBorders>
              <w:top w:val="single" w:sz="4" w:space="0" w:color="auto"/>
              <w:left w:val="single" w:sz="4" w:space="0" w:color="auto"/>
              <w:bottom w:val="single" w:sz="4" w:space="0" w:color="auto"/>
              <w:right w:val="single" w:sz="4" w:space="0" w:color="auto"/>
            </w:tcBorders>
            <w:shd w:val="clear" w:color="auto" w:fill="006DA7"/>
          </w:tcPr>
          <w:p w14:paraId="4895FBDD" w14:textId="77777777" w:rsidR="007A3CD1" w:rsidRPr="006E0620" w:rsidRDefault="007A3CD1" w:rsidP="003F6530">
            <w:pPr>
              <w:pStyle w:val="Tabletext"/>
              <w:keepNext/>
              <w:ind w:left="0" w:right="0"/>
              <w:rPr>
                <w:b/>
                <w:color w:val="FFFFFF" w:themeColor="background1"/>
              </w:rPr>
            </w:pPr>
            <w:r w:rsidRPr="006E0620">
              <w:rPr>
                <w:b/>
                <w:color w:val="FFFFFF" w:themeColor="background1"/>
              </w:rPr>
              <w:t>Routine</w:t>
            </w:r>
          </w:p>
        </w:tc>
        <w:tc>
          <w:tcPr>
            <w:tcW w:w="691" w:type="pct"/>
            <w:tcBorders>
              <w:top w:val="single" w:sz="4" w:space="0" w:color="auto"/>
              <w:left w:val="single" w:sz="4" w:space="0" w:color="auto"/>
              <w:bottom w:val="single" w:sz="4" w:space="0" w:color="auto"/>
              <w:right w:val="single" w:sz="4" w:space="0" w:color="auto"/>
            </w:tcBorders>
            <w:shd w:val="clear" w:color="auto" w:fill="006DA7"/>
          </w:tcPr>
          <w:p w14:paraId="3CEC270D" w14:textId="77777777" w:rsidR="007A3CD1" w:rsidRPr="006E0620" w:rsidRDefault="007A3CD1" w:rsidP="003F6530">
            <w:pPr>
              <w:pStyle w:val="Tabletext"/>
              <w:keepNext/>
              <w:ind w:left="0" w:right="0"/>
              <w:rPr>
                <w:b/>
                <w:color w:val="FFFFFF" w:themeColor="background1"/>
              </w:rPr>
            </w:pPr>
            <w:r w:rsidRPr="006E0620">
              <w:rPr>
                <w:b/>
                <w:color w:val="FFFFFF" w:themeColor="background1"/>
              </w:rPr>
              <w:t>Additional</w:t>
            </w:r>
          </w:p>
        </w:tc>
      </w:tr>
      <w:tr w:rsidR="007A3CD1" w:rsidRPr="006E0620" w14:paraId="615579C0" w14:textId="77777777" w:rsidTr="003F6530">
        <w:trPr>
          <w:trHeight w:val="137"/>
        </w:trPr>
        <w:tc>
          <w:tcPr>
            <w:tcW w:w="863" w:type="pct"/>
            <w:vMerge w:val="restart"/>
            <w:tcBorders>
              <w:top w:val="single" w:sz="4" w:space="0" w:color="auto"/>
            </w:tcBorders>
          </w:tcPr>
          <w:p w14:paraId="66BB7B1B" w14:textId="77777777" w:rsidR="007A3CD1" w:rsidRPr="006E0620" w:rsidRDefault="007A3CD1" w:rsidP="003F6530">
            <w:pPr>
              <w:pStyle w:val="Tabletext"/>
              <w:keepNext/>
              <w:ind w:left="0" w:right="0"/>
            </w:pPr>
            <w:r w:rsidRPr="006E0620">
              <w:t>Important identified risks</w:t>
            </w:r>
          </w:p>
        </w:tc>
        <w:tc>
          <w:tcPr>
            <w:tcW w:w="1547" w:type="pct"/>
            <w:tcBorders>
              <w:top w:val="single" w:sz="4" w:space="0" w:color="auto"/>
            </w:tcBorders>
          </w:tcPr>
          <w:p w14:paraId="416EAF06" w14:textId="77777777" w:rsidR="007A3CD1" w:rsidRPr="006E0620" w:rsidRDefault="007A3CD1" w:rsidP="003F6530">
            <w:pPr>
              <w:pStyle w:val="Tabletext"/>
              <w:keepNext/>
              <w:ind w:left="0" w:right="0"/>
            </w:pPr>
            <w:r w:rsidRPr="006E0620">
              <w:t>Anaphylaxis</w:t>
            </w:r>
          </w:p>
        </w:tc>
        <w:tc>
          <w:tcPr>
            <w:tcW w:w="605" w:type="pct"/>
            <w:tcBorders>
              <w:top w:val="single" w:sz="4" w:space="0" w:color="auto"/>
            </w:tcBorders>
          </w:tcPr>
          <w:p w14:paraId="4E3D4874"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90" w:type="pct"/>
            <w:tcBorders>
              <w:top w:val="single" w:sz="4" w:space="0" w:color="auto"/>
            </w:tcBorders>
          </w:tcPr>
          <w:p w14:paraId="20116ABA"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Borders>
              <w:top w:val="single" w:sz="4" w:space="0" w:color="auto"/>
            </w:tcBorders>
          </w:tcPr>
          <w:p w14:paraId="57381A37"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Borders>
              <w:top w:val="single" w:sz="4" w:space="0" w:color="auto"/>
            </w:tcBorders>
          </w:tcPr>
          <w:p w14:paraId="1E52961C" w14:textId="77777777" w:rsidR="007A3CD1" w:rsidRPr="006E0620" w:rsidRDefault="007A3CD1" w:rsidP="003F6530">
            <w:pPr>
              <w:pStyle w:val="Tabletext"/>
              <w:keepNext/>
              <w:ind w:left="0" w:right="0"/>
            </w:pPr>
            <w:r w:rsidRPr="006E0620">
              <w:t>–</w:t>
            </w:r>
          </w:p>
        </w:tc>
      </w:tr>
      <w:tr w:rsidR="007A3CD1" w:rsidRPr="006E0620" w14:paraId="1B13E85C" w14:textId="77777777" w:rsidTr="003F6530">
        <w:trPr>
          <w:trHeight w:val="137"/>
        </w:trPr>
        <w:tc>
          <w:tcPr>
            <w:tcW w:w="863" w:type="pct"/>
            <w:vMerge/>
          </w:tcPr>
          <w:p w14:paraId="272CA2D4" w14:textId="77777777" w:rsidR="007A3CD1" w:rsidRPr="006E0620" w:rsidRDefault="007A3CD1" w:rsidP="003F6530">
            <w:pPr>
              <w:pStyle w:val="Tabletext"/>
              <w:keepNext/>
              <w:ind w:left="0" w:right="0"/>
            </w:pPr>
          </w:p>
        </w:tc>
        <w:tc>
          <w:tcPr>
            <w:tcW w:w="1547" w:type="pct"/>
          </w:tcPr>
          <w:p w14:paraId="766F5DF4" w14:textId="77777777" w:rsidR="007A3CD1" w:rsidRPr="006E0620" w:rsidRDefault="007A3CD1" w:rsidP="003F6530">
            <w:pPr>
              <w:pStyle w:val="Tabletext"/>
              <w:keepNext/>
              <w:ind w:left="0" w:right="0"/>
            </w:pPr>
            <w:r w:rsidRPr="006E0620">
              <w:t>Myocarditis (including myopericarditis)</w:t>
            </w:r>
          </w:p>
        </w:tc>
        <w:tc>
          <w:tcPr>
            <w:tcW w:w="605" w:type="pct"/>
          </w:tcPr>
          <w:p w14:paraId="297449A9"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90" w:type="pct"/>
          </w:tcPr>
          <w:p w14:paraId="6D3AA126"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7D4516F4"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5E8E7B0F" w14:textId="77777777" w:rsidR="007A3CD1" w:rsidRPr="006E0620" w:rsidRDefault="007A3CD1" w:rsidP="003F6530">
            <w:pPr>
              <w:pStyle w:val="Tabletext"/>
              <w:keepNext/>
              <w:ind w:left="0" w:right="0"/>
            </w:pPr>
            <w:r w:rsidRPr="006E0620">
              <w:t>–</w:t>
            </w:r>
          </w:p>
        </w:tc>
      </w:tr>
      <w:tr w:rsidR="007A3CD1" w:rsidRPr="006E0620" w14:paraId="2A938CA4" w14:textId="77777777" w:rsidTr="003F6530">
        <w:trPr>
          <w:trHeight w:val="137"/>
        </w:trPr>
        <w:tc>
          <w:tcPr>
            <w:tcW w:w="863" w:type="pct"/>
            <w:vMerge/>
          </w:tcPr>
          <w:p w14:paraId="65C5D934" w14:textId="77777777" w:rsidR="007A3CD1" w:rsidRPr="006E0620" w:rsidRDefault="007A3CD1" w:rsidP="003F6530">
            <w:pPr>
              <w:pStyle w:val="Tabletext"/>
              <w:keepNext/>
              <w:ind w:left="0" w:right="0"/>
            </w:pPr>
          </w:p>
        </w:tc>
        <w:tc>
          <w:tcPr>
            <w:tcW w:w="1547" w:type="pct"/>
          </w:tcPr>
          <w:p w14:paraId="722A7A2D" w14:textId="77777777" w:rsidR="007A3CD1" w:rsidRPr="006E0620" w:rsidRDefault="007A3CD1" w:rsidP="003F6530">
            <w:pPr>
              <w:pStyle w:val="Tabletext"/>
              <w:keepNext/>
              <w:ind w:left="0" w:right="0"/>
            </w:pPr>
            <w:r w:rsidRPr="006E0620">
              <w:t>Pericarditis</w:t>
            </w:r>
          </w:p>
        </w:tc>
        <w:tc>
          <w:tcPr>
            <w:tcW w:w="605" w:type="pct"/>
          </w:tcPr>
          <w:p w14:paraId="629E0BD4"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90" w:type="pct"/>
          </w:tcPr>
          <w:p w14:paraId="6438AB0A"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6D069577"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30A0F995" w14:textId="77777777" w:rsidR="007A3CD1" w:rsidRPr="006E0620" w:rsidRDefault="007A3CD1" w:rsidP="003F6530">
            <w:pPr>
              <w:pStyle w:val="Tabletext"/>
              <w:keepNext/>
              <w:ind w:left="0" w:right="0"/>
            </w:pPr>
            <w:r w:rsidRPr="006E0620">
              <w:t>–</w:t>
            </w:r>
          </w:p>
        </w:tc>
      </w:tr>
      <w:tr w:rsidR="007A3CD1" w:rsidRPr="006E0620" w14:paraId="41B8A009" w14:textId="77777777" w:rsidTr="003F6530">
        <w:trPr>
          <w:trHeight w:val="159"/>
        </w:trPr>
        <w:tc>
          <w:tcPr>
            <w:tcW w:w="863" w:type="pct"/>
          </w:tcPr>
          <w:p w14:paraId="79873C4D" w14:textId="77777777" w:rsidR="007A3CD1" w:rsidRPr="006E0620" w:rsidRDefault="007A3CD1" w:rsidP="003F6530">
            <w:pPr>
              <w:pStyle w:val="Tabletext"/>
              <w:keepNext/>
              <w:ind w:left="0" w:right="0"/>
            </w:pPr>
            <w:r w:rsidRPr="006E0620">
              <w:t>Important potential risks</w:t>
            </w:r>
          </w:p>
        </w:tc>
        <w:tc>
          <w:tcPr>
            <w:tcW w:w="1547" w:type="pct"/>
          </w:tcPr>
          <w:p w14:paraId="5421562D" w14:textId="77777777" w:rsidR="007A3CD1" w:rsidRPr="006E0620" w:rsidRDefault="007A3CD1" w:rsidP="003F6530">
            <w:pPr>
              <w:pStyle w:val="Tabletext"/>
              <w:keepNext/>
              <w:ind w:left="0" w:right="0"/>
            </w:pPr>
            <w:r w:rsidRPr="006E0620">
              <w:t>Vaccine-associated enhanced disease (VAED) including vaccine-associated enhanced respiratory disease (VAERD)</w:t>
            </w:r>
          </w:p>
        </w:tc>
        <w:tc>
          <w:tcPr>
            <w:tcW w:w="605" w:type="pct"/>
          </w:tcPr>
          <w:p w14:paraId="1DF3CE19"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90" w:type="pct"/>
          </w:tcPr>
          <w:p w14:paraId="2D364F14"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17847C5F" w14:textId="77777777" w:rsidR="007A3CD1" w:rsidRPr="006E0620" w:rsidRDefault="007A3CD1" w:rsidP="003F6530">
            <w:pPr>
              <w:pStyle w:val="Tabletext"/>
              <w:keepNext/>
              <w:ind w:left="0" w:right="0"/>
            </w:pPr>
            <w:r w:rsidRPr="006E0620">
              <w:t>–</w:t>
            </w:r>
          </w:p>
        </w:tc>
        <w:tc>
          <w:tcPr>
            <w:tcW w:w="691" w:type="pct"/>
          </w:tcPr>
          <w:p w14:paraId="50A414A3" w14:textId="77777777" w:rsidR="007A3CD1" w:rsidRPr="006E0620" w:rsidRDefault="007A3CD1" w:rsidP="003F6530">
            <w:pPr>
              <w:pStyle w:val="Tabletext"/>
              <w:keepNext/>
              <w:ind w:left="0" w:right="0"/>
            </w:pPr>
            <w:r w:rsidRPr="006E0620">
              <w:t>–</w:t>
            </w:r>
          </w:p>
        </w:tc>
      </w:tr>
      <w:tr w:rsidR="007A3CD1" w:rsidRPr="006E0620" w14:paraId="0F2215A4" w14:textId="77777777" w:rsidTr="003F6530">
        <w:trPr>
          <w:trHeight w:val="178"/>
        </w:trPr>
        <w:tc>
          <w:tcPr>
            <w:tcW w:w="863" w:type="pct"/>
            <w:vMerge w:val="restart"/>
          </w:tcPr>
          <w:p w14:paraId="62E0458B" w14:textId="77777777" w:rsidR="007A3CD1" w:rsidRPr="006E0620" w:rsidRDefault="007A3CD1" w:rsidP="003F6530">
            <w:pPr>
              <w:pStyle w:val="Tabletext"/>
              <w:keepNext/>
              <w:ind w:left="0" w:right="0"/>
            </w:pPr>
            <w:r w:rsidRPr="006E0620">
              <w:t>Missing information</w:t>
            </w:r>
          </w:p>
        </w:tc>
        <w:tc>
          <w:tcPr>
            <w:tcW w:w="1547" w:type="pct"/>
          </w:tcPr>
          <w:p w14:paraId="50D8E240" w14:textId="77777777" w:rsidR="007A3CD1" w:rsidRPr="006E0620" w:rsidRDefault="007A3CD1" w:rsidP="003F6530">
            <w:pPr>
              <w:pStyle w:val="Tabletext"/>
              <w:keepNext/>
              <w:ind w:left="0" w:right="0"/>
            </w:pPr>
            <w:r w:rsidRPr="006E0620">
              <w:t>Use in pregnancy and while breast-feeding</w:t>
            </w:r>
          </w:p>
        </w:tc>
        <w:tc>
          <w:tcPr>
            <w:tcW w:w="605" w:type="pct"/>
          </w:tcPr>
          <w:p w14:paraId="2B6C9BA6"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009C0673"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7CB026C4"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0CCC27DE" w14:textId="77777777" w:rsidR="007A3CD1" w:rsidRPr="006E0620" w:rsidRDefault="007A3CD1" w:rsidP="003F6530">
            <w:pPr>
              <w:pStyle w:val="Tabletext"/>
              <w:keepNext/>
              <w:ind w:left="0" w:right="0"/>
            </w:pPr>
            <w:r w:rsidRPr="006E0620">
              <w:t>–</w:t>
            </w:r>
          </w:p>
        </w:tc>
      </w:tr>
      <w:tr w:rsidR="007A3CD1" w:rsidRPr="006E0620" w14:paraId="77D4D9C1" w14:textId="77777777" w:rsidTr="003F6530">
        <w:trPr>
          <w:trHeight w:val="103"/>
        </w:trPr>
        <w:tc>
          <w:tcPr>
            <w:tcW w:w="863" w:type="pct"/>
            <w:vMerge/>
          </w:tcPr>
          <w:p w14:paraId="29A4EB94" w14:textId="77777777" w:rsidR="007A3CD1" w:rsidRPr="006E0620" w:rsidRDefault="007A3CD1" w:rsidP="003F6530">
            <w:pPr>
              <w:pStyle w:val="Tabletext"/>
              <w:keepNext/>
              <w:ind w:left="0" w:right="0"/>
            </w:pPr>
          </w:p>
        </w:tc>
        <w:tc>
          <w:tcPr>
            <w:tcW w:w="1547" w:type="pct"/>
          </w:tcPr>
          <w:p w14:paraId="36EE4CAE" w14:textId="77777777" w:rsidR="007A3CD1" w:rsidRPr="006E0620" w:rsidRDefault="007A3CD1" w:rsidP="003F6530">
            <w:pPr>
              <w:pStyle w:val="Tabletext"/>
              <w:keepNext/>
              <w:ind w:left="0" w:right="0"/>
            </w:pPr>
            <w:r w:rsidRPr="006E0620">
              <w:t>Long-term safety</w:t>
            </w:r>
          </w:p>
        </w:tc>
        <w:tc>
          <w:tcPr>
            <w:tcW w:w="605" w:type="pct"/>
          </w:tcPr>
          <w:p w14:paraId="6F0086BA"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023D6D68"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099AEE8D" w14:textId="77777777" w:rsidR="007A3CD1" w:rsidRPr="006E0620" w:rsidRDefault="007A3CD1" w:rsidP="003F6530">
            <w:pPr>
              <w:pStyle w:val="Tabletext"/>
              <w:keepNext/>
              <w:ind w:left="0" w:right="0"/>
            </w:pPr>
            <w:r w:rsidRPr="006E0620">
              <w:t>–</w:t>
            </w:r>
          </w:p>
        </w:tc>
        <w:tc>
          <w:tcPr>
            <w:tcW w:w="691" w:type="pct"/>
          </w:tcPr>
          <w:p w14:paraId="17BE3A72" w14:textId="77777777" w:rsidR="007A3CD1" w:rsidRPr="006E0620" w:rsidRDefault="007A3CD1" w:rsidP="003F6530">
            <w:pPr>
              <w:pStyle w:val="Tabletext"/>
              <w:keepNext/>
              <w:ind w:left="0" w:right="0"/>
            </w:pPr>
            <w:r w:rsidRPr="006E0620">
              <w:t>–</w:t>
            </w:r>
          </w:p>
        </w:tc>
      </w:tr>
      <w:tr w:rsidR="007A3CD1" w:rsidRPr="006E0620" w14:paraId="683B201E" w14:textId="77777777" w:rsidTr="003F6530">
        <w:trPr>
          <w:trHeight w:val="103"/>
        </w:trPr>
        <w:tc>
          <w:tcPr>
            <w:tcW w:w="863" w:type="pct"/>
            <w:vMerge/>
          </w:tcPr>
          <w:p w14:paraId="3BB2B477" w14:textId="77777777" w:rsidR="007A3CD1" w:rsidRPr="006E0620" w:rsidRDefault="007A3CD1" w:rsidP="003F6530">
            <w:pPr>
              <w:pStyle w:val="Tabletext"/>
              <w:keepNext/>
              <w:ind w:left="0" w:right="0"/>
            </w:pPr>
          </w:p>
        </w:tc>
        <w:tc>
          <w:tcPr>
            <w:tcW w:w="1547" w:type="pct"/>
          </w:tcPr>
          <w:p w14:paraId="51C21850" w14:textId="77777777" w:rsidR="007A3CD1" w:rsidRPr="006E0620" w:rsidRDefault="007A3CD1" w:rsidP="003F6530">
            <w:pPr>
              <w:pStyle w:val="Tabletext"/>
              <w:keepNext/>
              <w:ind w:left="0" w:right="0"/>
            </w:pPr>
            <w:r w:rsidRPr="006E0620">
              <w:t>Use in immunocompromised subjects</w:t>
            </w:r>
          </w:p>
        </w:tc>
        <w:tc>
          <w:tcPr>
            <w:tcW w:w="605" w:type="pct"/>
          </w:tcPr>
          <w:p w14:paraId="1E2BA229"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0AF8C45B"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04919926"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60AD0239" w14:textId="77777777" w:rsidR="007A3CD1" w:rsidRPr="006E0620" w:rsidRDefault="007A3CD1" w:rsidP="003F6530">
            <w:pPr>
              <w:pStyle w:val="Tabletext"/>
              <w:keepNext/>
              <w:ind w:left="0" w:right="0"/>
            </w:pPr>
            <w:r w:rsidRPr="006E0620">
              <w:t>–</w:t>
            </w:r>
          </w:p>
        </w:tc>
      </w:tr>
      <w:tr w:rsidR="007A3CD1" w:rsidRPr="006E0620" w14:paraId="7F801246" w14:textId="77777777" w:rsidTr="003F6530">
        <w:trPr>
          <w:trHeight w:val="103"/>
        </w:trPr>
        <w:tc>
          <w:tcPr>
            <w:tcW w:w="863" w:type="pct"/>
            <w:vMerge/>
          </w:tcPr>
          <w:p w14:paraId="3F4C0FD1" w14:textId="77777777" w:rsidR="007A3CD1" w:rsidRPr="006E0620" w:rsidRDefault="007A3CD1" w:rsidP="003F6530">
            <w:pPr>
              <w:pStyle w:val="Tabletext"/>
              <w:keepNext/>
              <w:ind w:left="0" w:right="0"/>
            </w:pPr>
          </w:p>
        </w:tc>
        <w:tc>
          <w:tcPr>
            <w:tcW w:w="1547" w:type="pct"/>
          </w:tcPr>
          <w:p w14:paraId="6407947F" w14:textId="77777777" w:rsidR="007A3CD1" w:rsidRPr="006E0620" w:rsidRDefault="007A3CD1" w:rsidP="003F6530">
            <w:pPr>
              <w:pStyle w:val="Tabletext"/>
              <w:keepNext/>
              <w:ind w:left="0" w:right="0"/>
            </w:pPr>
            <w:r w:rsidRPr="006E0620">
              <w:t>Interaction with other vaccines</w:t>
            </w:r>
          </w:p>
        </w:tc>
        <w:tc>
          <w:tcPr>
            <w:tcW w:w="605" w:type="pct"/>
          </w:tcPr>
          <w:p w14:paraId="11D8C899"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44943DBE"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061189A7"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69DA8729" w14:textId="77777777" w:rsidR="007A3CD1" w:rsidRPr="006E0620" w:rsidRDefault="007A3CD1" w:rsidP="003F6530">
            <w:pPr>
              <w:pStyle w:val="Tabletext"/>
              <w:keepNext/>
              <w:ind w:left="0" w:right="0"/>
            </w:pPr>
            <w:r w:rsidRPr="006E0620">
              <w:t>–</w:t>
            </w:r>
          </w:p>
        </w:tc>
      </w:tr>
      <w:tr w:rsidR="007A3CD1" w:rsidRPr="006E0620" w14:paraId="7E7ED2EF" w14:textId="77777777" w:rsidTr="003F6530">
        <w:trPr>
          <w:trHeight w:val="103"/>
        </w:trPr>
        <w:tc>
          <w:tcPr>
            <w:tcW w:w="863" w:type="pct"/>
            <w:vMerge/>
          </w:tcPr>
          <w:p w14:paraId="6F49F439" w14:textId="77777777" w:rsidR="007A3CD1" w:rsidRPr="006E0620" w:rsidRDefault="007A3CD1" w:rsidP="003F6530">
            <w:pPr>
              <w:pStyle w:val="Tabletext"/>
              <w:keepNext/>
              <w:ind w:left="0" w:right="0"/>
            </w:pPr>
          </w:p>
        </w:tc>
        <w:tc>
          <w:tcPr>
            <w:tcW w:w="1547" w:type="pct"/>
          </w:tcPr>
          <w:p w14:paraId="032B2506" w14:textId="4F8410CF" w:rsidR="007A3CD1" w:rsidRPr="006E0620" w:rsidRDefault="007A3CD1" w:rsidP="003F6530">
            <w:pPr>
              <w:pStyle w:val="Tabletext"/>
              <w:keepNext/>
              <w:ind w:left="0" w:right="0"/>
            </w:pPr>
            <w:r w:rsidRPr="006E0620">
              <w:t>Use in frail subjects with unstable health conditions and co-morbidities (</w:t>
            </w:r>
            <w:r w:rsidR="00542173">
              <w:t>for example,</w:t>
            </w:r>
            <w:r w:rsidRPr="006E0620">
              <w:t xml:space="preserve"> chronic obstructive pulmonary disease (COPD), diabetes, chronic neurological disease, cardiovascular disorders)</w:t>
            </w:r>
          </w:p>
        </w:tc>
        <w:tc>
          <w:tcPr>
            <w:tcW w:w="605" w:type="pct"/>
          </w:tcPr>
          <w:p w14:paraId="29380377"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64E9AD1E"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73A35447"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5BE515B6" w14:textId="77777777" w:rsidR="007A3CD1" w:rsidRPr="006E0620" w:rsidRDefault="007A3CD1" w:rsidP="003F6530">
            <w:pPr>
              <w:pStyle w:val="Tabletext"/>
              <w:keepNext/>
              <w:ind w:left="0" w:right="0"/>
            </w:pPr>
            <w:r w:rsidRPr="006E0620">
              <w:t>–</w:t>
            </w:r>
          </w:p>
        </w:tc>
      </w:tr>
      <w:tr w:rsidR="007A3CD1" w:rsidRPr="006E0620" w14:paraId="6D26A9C0" w14:textId="77777777" w:rsidTr="003F6530">
        <w:trPr>
          <w:trHeight w:val="140"/>
        </w:trPr>
        <w:tc>
          <w:tcPr>
            <w:tcW w:w="863" w:type="pct"/>
            <w:vMerge/>
          </w:tcPr>
          <w:p w14:paraId="626F29A3" w14:textId="77777777" w:rsidR="007A3CD1" w:rsidRPr="006E0620" w:rsidRDefault="007A3CD1" w:rsidP="003F6530">
            <w:pPr>
              <w:pStyle w:val="Tabletext"/>
              <w:keepNext/>
              <w:ind w:left="0" w:right="0"/>
            </w:pPr>
          </w:p>
        </w:tc>
        <w:tc>
          <w:tcPr>
            <w:tcW w:w="1547" w:type="pct"/>
          </w:tcPr>
          <w:p w14:paraId="5D9D3425" w14:textId="77777777" w:rsidR="007A3CD1" w:rsidRPr="006E0620" w:rsidRDefault="007A3CD1" w:rsidP="003F6530">
            <w:pPr>
              <w:pStyle w:val="Tabletext"/>
              <w:keepNext/>
              <w:ind w:left="0" w:right="0"/>
            </w:pPr>
            <w:r w:rsidRPr="006E0620">
              <w:t>Use in subjects with autoimmune or inflammatory disorders</w:t>
            </w:r>
          </w:p>
        </w:tc>
        <w:tc>
          <w:tcPr>
            <w:tcW w:w="605" w:type="pct"/>
          </w:tcPr>
          <w:p w14:paraId="72E658CA"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0" w:type="pct"/>
          </w:tcPr>
          <w:p w14:paraId="09E92610" w14:textId="77777777" w:rsidR="007A3CD1" w:rsidRPr="006E0620" w:rsidRDefault="007A3CD1" w:rsidP="003F6530">
            <w:pPr>
              <w:pStyle w:val="Tabletext"/>
              <w:keepNext/>
              <w:ind w:left="0" w:right="0"/>
            </w:pPr>
            <w:r w:rsidRPr="006E0620">
              <w:rPr>
                <w:rFonts w:ascii="Wingdings" w:eastAsia="Wingdings" w:hAnsi="Wingdings" w:cs="Wingdings"/>
              </w:rPr>
              <w:t></w:t>
            </w:r>
            <w:r w:rsidRPr="006E0620">
              <w:t>†</w:t>
            </w:r>
          </w:p>
        </w:tc>
        <w:tc>
          <w:tcPr>
            <w:tcW w:w="604" w:type="pct"/>
          </w:tcPr>
          <w:p w14:paraId="5065DDD9" w14:textId="77777777" w:rsidR="007A3CD1" w:rsidRPr="006E0620" w:rsidRDefault="007A3CD1" w:rsidP="003F6530">
            <w:pPr>
              <w:pStyle w:val="Tabletext"/>
              <w:keepNext/>
              <w:ind w:left="0" w:right="0"/>
            </w:pPr>
            <w:r w:rsidRPr="006E0620">
              <w:rPr>
                <w:rFonts w:ascii="Wingdings" w:eastAsia="Wingdings" w:hAnsi="Wingdings" w:cs="Wingdings"/>
              </w:rPr>
              <w:t></w:t>
            </w:r>
          </w:p>
        </w:tc>
        <w:tc>
          <w:tcPr>
            <w:tcW w:w="691" w:type="pct"/>
          </w:tcPr>
          <w:p w14:paraId="6EFCA3D9" w14:textId="77777777" w:rsidR="007A3CD1" w:rsidRPr="006E0620" w:rsidRDefault="007A3CD1" w:rsidP="003F6530">
            <w:pPr>
              <w:pStyle w:val="Tabletext"/>
              <w:keepNext/>
              <w:ind w:left="0" w:right="0"/>
            </w:pPr>
            <w:r w:rsidRPr="006E0620">
              <w:t>–</w:t>
            </w:r>
          </w:p>
        </w:tc>
      </w:tr>
    </w:tbl>
    <w:p w14:paraId="26D00546" w14:textId="426A1764" w:rsidR="00E766F9" w:rsidRPr="006E0620" w:rsidRDefault="004162C9" w:rsidP="004162C9">
      <w:pPr>
        <w:pStyle w:val="TableDescription"/>
      </w:pPr>
      <w:r w:rsidRPr="006E0620">
        <w:rPr>
          <w:sz w:val="20"/>
          <w:szCs w:val="20"/>
        </w:rPr>
        <w:t>*</w:t>
      </w:r>
      <w:r w:rsidR="00275DB6" w:rsidRPr="006E0620">
        <w:rPr>
          <w:sz w:val="20"/>
          <w:szCs w:val="20"/>
        </w:rPr>
        <w:t xml:space="preserve"> </w:t>
      </w:r>
      <w:r w:rsidRPr="006E0620">
        <w:t>Follow-up questionnaires</w:t>
      </w:r>
    </w:p>
    <w:p w14:paraId="009D7B2C" w14:textId="1EE44705" w:rsidR="004162C9" w:rsidRPr="006E0620" w:rsidRDefault="004162C9" w:rsidP="004162C9">
      <w:pPr>
        <w:pStyle w:val="TableDescription"/>
      </w:pPr>
      <w:r w:rsidRPr="006E0620">
        <w:rPr>
          <w:sz w:val="20"/>
          <w:szCs w:val="20"/>
          <w:vertAlign w:val="superscript"/>
        </w:rPr>
        <w:t>†</w:t>
      </w:r>
      <w:r w:rsidR="00275DB6" w:rsidRPr="006E0620">
        <w:rPr>
          <w:sz w:val="20"/>
          <w:szCs w:val="20"/>
        </w:rPr>
        <w:t xml:space="preserve"> </w:t>
      </w:r>
      <w:r w:rsidRPr="006E0620">
        <w:t>Clinical studies</w:t>
      </w:r>
    </w:p>
    <w:p w14:paraId="435A7E44" w14:textId="21285BB0" w:rsidR="00E57191" w:rsidRPr="006E0620" w:rsidRDefault="00E57191" w:rsidP="00E57191">
      <w:pPr>
        <w:pStyle w:val="ListBullet"/>
      </w:pPr>
      <w:r w:rsidRPr="006E0620">
        <w:t>At this stage, the summary of safety concerns is considered acceptable from an RMP perspective.</w:t>
      </w:r>
    </w:p>
    <w:p w14:paraId="01AADEDC" w14:textId="2352088F" w:rsidR="00E57191" w:rsidRPr="006E0620" w:rsidRDefault="00E57191" w:rsidP="00E57191">
      <w:pPr>
        <w:pStyle w:val="ListBullet"/>
      </w:pPr>
      <w:r w:rsidRPr="006E0620">
        <w:t>The pharmacovigilance plan of the ASA should include the sponsor’s commitment to provide monthly summary safety reports</w:t>
      </w:r>
      <w:r w:rsidR="00D72DB9">
        <w:t xml:space="preserve"> until full licensure is granted</w:t>
      </w:r>
      <w:r w:rsidRPr="006E0620">
        <w:t xml:space="preserve">, and at the minimum include the data specified in Section </w:t>
      </w:r>
      <w:r w:rsidR="00205DBC">
        <w:t xml:space="preserve">3.2 </w:t>
      </w:r>
      <w:r w:rsidRPr="006E0620">
        <w:t xml:space="preserve">of </w:t>
      </w:r>
      <w:r w:rsidR="00205DBC">
        <w:t>the RMP</w:t>
      </w:r>
      <w:r w:rsidRPr="006E0620">
        <w:t xml:space="preserve"> report.</w:t>
      </w:r>
      <w:r w:rsidRPr="006E0620">
        <w:rPr>
          <w:color w:val="2B579A"/>
          <w:shd w:val="clear" w:color="auto" w:fill="E6E6E6"/>
          <w:vertAlign w:val="superscript"/>
        </w:rPr>
        <w:fldChar w:fldCharType="begin"/>
      </w:r>
      <w:r w:rsidRPr="006E0620">
        <w:rPr>
          <w:vertAlign w:val="superscript"/>
        </w:rPr>
        <w:instrText xml:space="preserve"> NOTEREF _Ref78292159 \h  \* MERGEFORMAT </w:instrText>
      </w:r>
      <w:r w:rsidRPr="006E0620">
        <w:rPr>
          <w:color w:val="2B579A"/>
          <w:shd w:val="clear" w:color="auto" w:fill="E6E6E6"/>
          <w:vertAlign w:val="superscript"/>
        </w:rPr>
      </w:r>
      <w:r w:rsidRPr="006E0620">
        <w:rPr>
          <w:color w:val="2B579A"/>
          <w:shd w:val="clear" w:color="auto" w:fill="E6E6E6"/>
          <w:vertAlign w:val="superscript"/>
        </w:rPr>
        <w:fldChar w:fldCharType="separate"/>
      </w:r>
      <w:r w:rsidR="00B1591C">
        <w:rPr>
          <w:vertAlign w:val="superscript"/>
        </w:rPr>
        <w:t>28</w:t>
      </w:r>
      <w:r w:rsidRPr="006E0620">
        <w:rPr>
          <w:color w:val="2B579A"/>
          <w:shd w:val="clear" w:color="auto" w:fill="E6E6E6"/>
          <w:vertAlign w:val="superscript"/>
        </w:rPr>
        <w:fldChar w:fldCharType="end"/>
      </w:r>
      <w:r w:rsidRPr="006E0620">
        <w:t xml:space="preserve"> The clinical evaluator/TGA </w:t>
      </w:r>
      <w:r w:rsidR="00542173">
        <w:t>D</w:t>
      </w:r>
      <w:r w:rsidRPr="006E0620">
        <w:t>elegate will assess the acceptability of the clinical study plan that is proposed to fulfil the requirement of the provisional registration.</w:t>
      </w:r>
    </w:p>
    <w:p w14:paraId="13343D78" w14:textId="678DAEB2" w:rsidR="00E57191" w:rsidRPr="006E0620" w:rsidRDefault="00E57191" w:rsidP="00E57191">
      <w:pPr>
        <w:pStyle w:val="ListBullet"/>
      </w:pPr>
      <w:r w:rsidRPr="006E0620">
        <w:t xml:space="preserve">Only routine risk minimisation measures are proposed. This is in line with the other COVID-19 vaccines currently approved for use in Australia. At this stage, routine risk minimisation measures, together with the risk minimisation activities launched by the </w:t>
      </w:r>
      <w:r w:rsidRPr="006E0620">
        <w:lastRenderedPageBreak/>
        <w:t xml:space="preserve">Department of Health, are considered acceptable to minimise the risks associated with </w:t>
      </w:r>
      <w:proofErr w:type="spellStart"/>
      <w:r w:rsidRPr="006E0620">
        <w:t>Spikevax</w:t>
      </w:r>
      <w:proofErr w:type="spellEnd"/>
      <w:r w:rsidR="00DA4536">
        <w:t xml:space="preserve"> COVID-19 vaccine</w:t>
      </w:r>
      <w:r w:rsidRPr="006E0620">
        <w:t>.</w:t>
      </w:r>
    </w:p>
    <w:p w14:paraId="609073E9" w14:textId="77777777" w:rsidR="008E7846" w:rsidRPr="006E0620" w:rsidRDefault="00AA0ED0" w:rsidP="008E7846">
      <w:pPr>
        <w:pStyle w:val="Heading3"/>
      </w:pPr>
      <w:bookmarkStart w:id="60" w:name="_Toc247691531"/>
      <w:bookmarkStart w:id="61" w:name="_Toc314842515"/>
      <w:bookmarkStart w:id="62" w:name="_Toc196046505"/>
      <w:bookmarkStart w:id="63" w:name="_Toc196046949"/>
      <w:bookmarkStart w:id="64" w:name="_Toc79415470"/>
      <w:r w:rsidRPr="006E0620">
        <w:t>Risk-benefit a</w:t>
      </w:r>
      <w:r w:rsidR="008E7846" w:rsidRPr="006E0620">
        <w:t>nalysis</w:t>
      </w:r>
      <w:bookmarkEnd w:id="60"/>
      <w:bookmarkEnd w:id="61"/>
      <w:bookmarkEnd w:id="64"/>
    </w:p>
    <w:p w14:paraId="20BBA736" w14:textId="77777777" w:rsidR="00D23139" w:rsidRPr="006E0620" w:rsidRDefault="007D53B6" w:rsidP="001E4459">
      <w:pPr>
        <w:pStyle w:val="Heading4"/>
      </w:pPr>
      <w:r w:rsidRPr="006E0620">
        <w:t>Delegate’s considerations</w:t>
      </w:r>
    </w:p>
    <w:p w14:paraId="52DE9300" w14:textId="180299CC" w:rsidR="00CA06D0" w:rsidRPr="00866865" w:rsidRDefault="00E766F9" w:rsidP="003F6530">
      <w:pPr>
        <w:pStyle w:val="Heading5"/>
      </w:pPr>
      <w:r w:rsidRPr="00866865">
        <w:t>Overview</w:t>
      </w:r>
    </w:p>
    <w:p w14:paraId="3FBA42A3" w14:textId="0DF76F27" w:rsidR="00CA06D0" w:rsidRPr="006E0620" w:rsidRDefault="00CA06D0" w:rsidP="001E4459">
      <w:r w:rsidRPr="006E0620">
        <w:t>Based on the data provided by the sponsor for the COVID-19 vaccine (</w:t>
      </w:r>
      <w:proofErr w:type="spellStart"/>
      <w:r w:rsidR="002A4DC1" w:rsidRPr="006E0620">
        <w:t>Spikevax</w:t>
      </w:r>
      <w:proofErr w:type="spellEnd"/>
      <w:r w:rsidRPr="006E0620">
        <w:t xml:space="preserve">), a robust and highly protective </w:t>
      </w:r>
      <w:r w:rsidR="005A1A02" w:rsidRPr="006E0620">
        <w:t>VE</w:t>
      </w:r>
      <w:r w:rsidRPr="006E0620">
        <w:t xml:space="preserve"> against COVID-19 (94.1% CI</w:t>
      </w:r>
      <w:r w:rsidR="00275DB6" w:rsidRPr="006E0620">
        <w:t>:</w:t>
      </w:r>
      <w:r w:rsidRPr="006E0620">
        <w:t xml:space="preserve"> 89.3, 96.8) was shown in individuals aged 18 years and older without evidence of prior SARS-CoV-2 infection. </w:t>
      </w:r>
      <w:r w:rsidR="00275DB6" w:rsidRPr="006E0620">
        <w:t xml:space="preserve">The </w:t>
      </w:r>
      <w:r w:rsidRPr="006E0620">
        <w:t>V</w:t>
      </w:r>
      <w:r w:rsidR="00145CB1" w:rsidRPr="006E0620">
        <w:t>E</w:t>
      </w:r>
      <w:r w:rsidRPr="006E0620">
        <w:t xml:space="preserve"> was consistent across relevant subgroups including elderly subjects and subjects considered at increased risk of severe disease due</w:t>
      </w:r>
      <w:r w:rsidR="00E766F9" w:rsidRPr="006E0620">
        <w:t xml:space="preserve"> to underlying chronic disease.</w:t>
      </w:r>
    </w:p>
    <w:p w14:paraId="679B46AC" w14:textId="7E294839" w:rsidR="00CA06D0" w:rsidRPr="006E0620" w:rsidRDefault="00CA06D0" w:rsidP="001E4459">
      <w:r w:rsidRPr="006E0620">
        <w:t xml:space="preserve">The data from the Phase </w:t>
      </w:r>
      <w:r w:rsidR="00247854" w:rsidRPr="006E0620">
        <w:t>III</w:t>
      </w:r>
      <w:r w:rsidRPr="006E0620">
        <w:t xml:space="preserve"> study also showed protection against severe COVID-19; however, the small number of events limited this inference. Protection against asymptomatic infection, or impact on viral transmission offered by the vaccine is presently not known. The duration of protection is also not known, due to the short follow up period.</w:t>
      </w:r>
    </w:p>
    <w:p w14:paraId="4AF31E0F" w14:textId="27E1FC3D" w:rsidR="00CA06D0" w:rsidRPr="006E0620" w:rsidRDefault="00CA06D0" w:rsidP="001E4459">
      <w:r w:rsidRPr="006E0620">
        <w:t xml:space="preserve">Overall, </w:t>
      </w:r>
      <w:r w:rsidR="00FB5463">
        <w:t xml:space="preserve">the </w:t>
      </w:r>
      <w:proofErr w:type="spellStart"/>
      <w:r w:rsidR="002A4DC1" w:rsidRPr="006E0620">
        <w:t>Spikevax</w:t>
      </w:r>
      <w:proofErr w:type="spellEnd"/>
      <w:r w:rsidR="00FB5463">
        <w:t xml:space="preserve"> COVID-19 vaccine</w:t>
      </w:r>
      <w:r w:rsidRPr="006E0620">
        <w:t xml:space="preserve"> appears safe with no major safety related issues. Recent reports of myocarditis/pericarditis in the younger population have raised some safety concerns; however, it remains very rare and mostly mild.</w:t>
      </w:r>
    </w:p>
    <w:p w14:paraId="6BD4FCAA" w14:textId="14E408A0" w:rsidR="00CA06D0" w:rsidRPr="00866865" w:rsidRDefault="001E4459" w:rsidP="003F6530">
      <w:pPr>
        <w:pStyle w:val="Heading5"/>
      </w:pPr>
      <w:r w:rsidRPr="00866865">
        <w:t>Public health need</w:t>
      </w:r>
    </w:p>
    <w:p w14:paraId="64EDF014" w14:textId="7A74E097" w:rsidR="00CA06D0" w:rsidRPr="006E0620" w:rsidRDefault="00CA06D0" w:rsidP="001E4459">
      <w:r w:rsidRPr="006E0620">
        <w:t>Australia has relatively fewer COVID-19 cases in comparison to many other countries; however, intermittent surge</w:t>
      </w:r>
      <w:r w:rsidR="00DA4536">
        <w:t>s</w:t>
      </w:r>
      <w:r w:rsidRPr="006E0620">
        <w:t xml:space="preserve"> of cases are still occurring. These COVID-19 outbreaks cause significant disruption to the normal life. </w:t>
      </w:r>
      <w:r w:rsidR="00FB5463">
        <w:t xml:space="preserve">The state of </w:t>
      </w:r>
      <w:r w:rsidRPr="006E0620">
        <w:t>NSW is currently</w:t>
      </w:r>
      <w:r w:rsidR="00DA4536">
        <w:t xml:space="preserve"> [at the time of </w:t>
      </w:r>
      <w:proofErr w:type="spellStart"/>
      <w:r w:rsidR="00DA4536">
        <w:t>AusPAR</w:t>
      </w:r>
      <w:proofErr w:type="spellEnd"/>
      <w:r w:rsidR="00DA4536">
        <w:t xml:space="preserve"> publication]</w:t>
      </w:r>
      <w:r w:rsidR="00DA4536" w:rsidRPr="006E0620">
        <w:t xml:space="preserve"> </w:t>
      </w:r>
      <w:r w:rsidRPr="006E0620">
        <w:t xml:space="preserve">having a surge of COVID-19 cases caused by the </w:t>
      </w:r>
      <w:r w:rsidR="00DA4536" w:rsidRPr="00DA4536">
        <w:t>delta</w:t>
      </w:r>
      <w:r w:rsidRPr="006E0620">
        <w:t xml:space="preserve"> variant. A safe and effective vaccine is one of the most important tools in containing the COVID-19 pandemic. Three COVID-19 vaccines are currently provisionally registered in Australia</w:t>
      </w:r>
      <w:r w:rsidR="00542173">
        <w:t xml:space="preserve"> (see ‘</w:t>
      </w:r>
      <w:r w:rsidR="00542173">
        <w:rPr>
          <w:color w:val="2B579A"/>
          <w:shd w:val="clear" w:color="auto" w:fill="E6E6E6"/>
        </w:rPr>
        <w:fldChar w:fldCharType="begin"/>
      </w:r>
      <w:r w:rsidR="00542173">
        <w:instrText xml:space="preserve"> REF _Ref78299808 \h </w:instrText>
      </w:r>
      <w:r w:rsidR="00542173">
        <w:rPr>
          <w:color w:val="2B579A"/>
          <w:shd w:val="clear" w:color="auto" w:fill="E6E6E6"/>
        </w:rPr>
      </w:r>
      <w:r w:rsidR="00542173">
        <w:rPr>
          <w:color w:val="2B579A"/>
          <w:shd w:val="clear" w:color="auto" w:fill="E6E6E6"/>
        </w:rPr>
        <w:fldChar w:fldCharType="separate"/>
      </w:r>
      <w:r w:rsidR="00B1591C" w:rsidRPr="006E0620">
        <w:t>Product background</w:t>
      </w:r>
      <w:r w:rsidR="00542173">
        <w:rPr>
          <w:color w:val="2B579A"/>
          <w:shd w:val="clear" w:color="auto" w:fill="E6E6E6"/>
        </w:rPr>
        <w:fldChar w:fldCharType="end"/>
      </w:r>
      <w:r w:rsidR="00542173">
        <w:t>’ section, above)</w:t>
      </w:r>
      <w:r w:rsidRPr="006E0620">
        <w:t>. Overall</w:t>
      </w:r>
      <w:r w:rsidR="00542173">
        <w:t>,</w:t>
      </w:r>
      <w:r w:rsidRPr="006E0620">
        <w:t xml:space="preserve"> &lt;</w:t>
      </w:r>
      <w:r w:rsidR="00275DB6" w:rsidRPr="006E0620">
        <w:t> </w:t>
      </w:r>
      <w:r w:rsidRPr="006E0620">
        <w:t xml:space="preserve">10% of </w:t>
      </w:r>
      <w:r w:rsidR="00325EA3" w:rsidRPr="006E0620">
        <w:t>Australian population is immunis</w:t>
      </w:r>
      <w:r w:rsidRPr="006E0620">
        <w:t>ed to date</w:t>
      </w:r>
      <w:r w:rsidR="00DA4536">
        <w:t xml:space="preserve"> [at the time of </w:t>
      </w:r>
      <w:proofErr w:type="spellStart"/>
      <w:r w:rsidR="00DA4536">
        <w:t>AusPAR</w:t>
      </w:r>
      <w:proofErr w:type="spellEnd"/>
      <w:r w:rsidR="00DA4536">
        <w:t xml:space="preserve"> publishing]</w:t>
      </w:r>
      <w:r w:rsidRPr="006E0620">
        <w:t>. There is still an urgent need for a safe and effective COVID-19 vaccine to deal with the current public health emergency. This will improve the availability of vaccine to a larger population.</w:t>
      </w:r>
    </w:p>
    <w:p w14:paraId="172025E1" w14:textId="79A53D6A" w:rsidR="00CA06D0" w:rsidRPr="00866865" w:rsidRDefault="00CA06D0" w:rsidP="003F6530">
      <w:pPr>
        <w:pStyle w:val="Heading5"/>
      </w:pPr>
      <w:r w:rsidRPr="00866865">
        <w:t>Short</w:t>
      </w:r>
      <w:r w:rsidR="00275DB6" w:rsidRPr="00866865">
        <w:t xml:space="preserve"> </w:t>
      </w:r>
      <w:r w:rsidRPr="00866865">
        <w:t>term efficacy and safety data for provisional registration</w:t>
      </w:r>
    </w:p>
    <w:p w14:paraId="4759F0D2" w14:textId="4522D1EC" w:rsidR="00CA06D0" w:rsidRPr="006E0620" w:rsidRDefault="00275DB6" w:rsidP="001E4459">
      <w:r w:rsidRPr="006E0620">
        <w:t xml:space="preserve">The sponsor has submitted the </w:t>
      </w:r>
      <w:proofErr w:type="gramStart"/>
      <w:r w:rsidRPr="006E0620">
        <w:t xml:space="preserve">short </w:t>
      </w:r>
      <w:r w:rsidR="00CA06D0" w:rsidRPr="006E0620">
        <w:t>term</w:t>
      </w:r>
      <w:proofErr w:type="gramEnd"/>
      <w:r w:rsidR="00CA06D0" w:rsidRPr="006E0620">
        <w:t xml:space="preserve"> results from the p</w:t>
      </w:r>
      <w:r w:rsidR="00247854" w:rsidRPr="006E0620">
        <w:t>ivotal placebo</w:t>
      </w:r>
      <w:r w:rsidRPr="006E0620">
        <w:t xml:space="preserve"> </w:t>
      </w:r>
      <w:r w:rsidR="00247854" w:rsidRPr="006E0620">
        <w:t>controlled Phase </w:t>
      </w:r>
      <w:r w:rsidR="00CA06D0" w:rsidRPr="006E0620">
        <w:t xml:space="preserve">III </w:t>
      </w:r>
      <w:r w:rsidR="00247854" w:rsidRPr="006E0620">
        <w:t>Study</w:t>
      </w:r>
      <w:r w:rsidRPr="006E0620">
        <w:t> </w:t>
      </w:r>
      <w:r w:rsidR="00CA06D0" w:rsidRPr="006E0620">
        <w:t xml:space="preserve">301, to support the provisional registration of </w:t>
      </w:r>
      <w:proofErr w:type="spellStart"/>
      <w:r w:rsidR="002A4DC1" w:rsidRPr="006E0620">
        <w:t>Spikevax</w:t>
      </w:r>
      <w:proofErr w:type="spellEnd"/>
      <w:r w:rsidR="00CA06D0" w:rsidRPr="006E0620">
        <w:t xml:space="preserve"> (</w:t>
      </w:r>
      <w:proofErr w:type="spellStart"/>
      <w:r w:rsidR="00CA06D0" w:rsidRPr="006E0620">
        <w:t>elasomeran</w:t>
      </w:r>
      <w:proofErr w:type="spellEnd"/>
      <w:r w:rsidR="00CA06D0" w:rsidRPr="006E0620">
        <w:t xml:space="preserve">) COVID-19 vaccine. The submitted pivotal study has an overall good study design, including </w:t>
      </w:r>
      <w:r w:rsidR="00542173">
        <w:t xml:space="preserve">a </w:t>
      </w:r>
      <w:r w:rsidR="00CA06D0" w:rsidRPr="006E0620">
        <w:t xml:space="preserve">representative study population and acceptable statistical considerations. </w:t>
      </w:r>
      <w:r w:rsidR="00542173">
        <w:t xml:space="preserve">The </w:t>
      </w:r>
      <w:proofErr w:type="spellStart"/>
      <w:r w:rsidR="002A4DC1" w:rsidRPr="006E0620">
        <w:t>Spikevax</w:t>
      </w:r>
      <w:proofErr w:type="spellEnd"/>
      <w:r w:rsidR="00CA06D0" w:rsidRPr="006E0620">
        <w:t xml:space="preserve"> vaccine has been shown to confer high </w:t>
      </w:r>
      <w:r w:rsidR="005A1A02" w:rsidRPr="006E0620">
        <w:t>VE</w:t>
      </w:r>
      <w:r w:rsidR="00CA06D0" w:rsidRPr="006E0620">
        <w:t xml:space="preserve"> against symptomatic COVID-19 as well as severe COVID-19 disease in adults following two 100</w:t>
      </w:r>
      <w:r w:rsidR="003E6904" w:rsidRPr="006E0620">
        <w:t> µ</w:t>
      </w:r>
      <w:r w:rsidR="00CA06D0" w:rsidRPr="006E0620">
        <w:t>g</w:t>
      </w:r>
      <w:r w:rsidRPr="006E0620">
        <w:t xml:space="preserve"> doses of the vaccine spaced 28 </w:t>
      </w:r>
      <w:r w:rsidR="00CA06D0" w:rsidRPr="006E0620">
        <w:t>days apart. While VE was observed to be slightly lower in subjects with comorbidities (VE: 90.0%) and in elderly subjects (VE</w:t>
      </w:r>
      <w:r w:rsidRPr="006E0620">
        <w:t>:</w:t>
      </w:r>
      <w:r w:rsidR="00CA06D0" w:rsidRPr="006E0620">
        <w:t xml:space="preserve"> 85.4%), the observed result remains clinically meaningful in these </w:t>
      </w:r>
      <w:proofErr w:type="gramStart"/>
      <w:r w:rsidR="00CA06D0" w:rsidRPr="006E0620">
        <w:t>high risk</w:t>
      </w:r>
      <w:proofErr w:type="gramEnd"/>
      <w:r w:rsidR="00CA06D0" w:rsidRPr="006E0620">
        <w:t xml:space="preserve"> populations. Overall, The </w:t>
      </w:r>
      <w:r w:rsidR="005A1A02" w:rsidRPr="006E0620">
        <w:t>VE</w:t>
      </w:r>
      <w:r w:rsidR="00CA06D0" w:rsidRPr="006E0620">
        <w:t xml:space="preserve"> was consistent across age, gender, </w:t>
      </w:r>
      <w:proofErr w:type="gramStart"/>
      <w:r w:rsidR="00CA06D0" w:rsidRPr="006E0620">
        <w:t>race</w:t>
      </w:r>
      <w:proofErr w:type="gramEnd"/>
      <w:r w:rsidR="00CA06D0" w:rsidRPr="006E0620">
        <w:t xml:space="preserve"> and ethnicity demographics.</w:t>
      </w:r>
    </w:p>
    <w:p w14:paraId="60787816" w14:textId="19532D23" w:rsidR="00CA06D0" w:rsidRPr="006E0620" w:rsidRDefault="00CA06D0" w:rsidP="001E4459">
      <w:r w:rsidRPr="006E0620">
        <w:t xml:space="preserve">From the perspective of </w:t>
      </w:r>
      <w:r w:rsidR="005A1A02" w:rsidRPr="006E0620">
        <w:t>VE</w:t>
      </w:r>
      <w:r w:rsidRPr="006E0620">
        <w:t xml:space="preserve">, a </w:t>
      </w:r>
      <w:proofErr w:type="gramStart"/>
      <w:r w:rsidR="00275DB6" w:rsidRPr="006E0620">
        <w:t>two</w:t>
      </w:r>
      <w:r w:rsidR="00A94775" w:rsidRPr="006E0620">
        <w:t xml:space="preserve"> </w:t>
      </w:r>
      <w:r w:rsidRPr="006E0620">
        <w:t>month</w:t>
      </w:r>
      <w:proofErr w:type="gramEnd"/>
      <w:r w:rsidRPr="006E0620">
        <w:t xml:space="preserve"> median follow-up is considered as the shortest follow-up period to achieve some confidence that any protection against COVID-19 is likely to be more than short</w:t>
      </w:r>
      <w:r w:rsidR="00A94775" w:rsidRPr="006E0620">
        <w:t xml:space="preserve"> </w:t>
      </w:r>
      <w:r w:rsidRPr="006E0620">
        <w:t>lived. The duration of protection is not yet known and is to be</w:t>
      </w:r>
      <w:r w:rsidR="00E766F9" w:rsidRPr="006E0620">
        <w:t xml:space="preserve"> assessed in the ongoing trial.</w:t>
      </w:r>
    </w:p>
    <w:p w14:paraId="08A3CEFE" w14:textId="657DC5D7" w:rsidR="00CA06D0" w:rsidRPr="006E0620" w:rsidRDefault="00CA06D0" w:rsidP="001E4459">
      <w:r w:rsidRPr="006E0620">
        <w:t>Although the vaccine efficacies against certain outcomes have been demonstrated in t</w:t>
      </w:r>
      <w:r w:rsidR="00A94775" w:rsidRPr="006E0620">
        <w:t xml:space="preserve">he pivotal study, the </w:t>
      </w:r>
      <w:proofErr w:type="gramStart"/>
      <w:r w:rsidR="00A94775" w:rsidRPr="006E0620">
        <w:t xml:space="preserve">real </w:t>
      </w:r>
      <w:r w:rsidRPr="006E0620">
        <w:t>world</w:t>
      </w:r>
      <w:proofErr w:type="gramEnd"/>
      <w:r w:rsidRPr="006E0620">
        <w:t xml:space="preserve"> vaccine ef</w:t>
      </w:r>
      <w:r w:rsidR="00E766F9" w:rsidRPr="006E0620">
        <w:t>fectiveness is still not known.</w:t>
      </w:r>
    </w:p>
    <w:p w14:paraId="0F48A870" w14:textId="01B90EA8" w:rsidR="00CA06D0" w:rsidRPr="006E0620" w:rsidRDefault="00CA06D0" w:rsidP="001E4459">
      <w:r w:rsidRPr="006E0620">
        <w:lastRenderedPageBreak/>
        <w:t xml:space="preserve">As expected, the vaccine group reported </w:t>
      </w:r>
      <w:r w:rsidR="00542173">
        <w:t xml:space="preserve">a </w:t>
      </w:r>
      <w:r w:rsidRPr="006E0620">
        <w:t xml:space="preserve">higher incidence of reactogenicity, as compared to placebo. </w:t>
      </w:r>
      <w:r w:rsidR="00542173">
        <w:t>The m</w:t>
      </w:r>
      <w:r w:rsidRPr="006E0620">
        <w:t xml:space="preserve">ajority of these reactogenic ARs were mild to moderate in severity and generally resolved within a median duration of 2 to 3 days. The most common solicited </w:t>
      </w:r>
      <w:r w:rsidR="00DB03B0" w:rsidRPr="006E0620">
        <w:t>AR</w:t>
      </w:r>
      <w:r w:rsidRPr="006E0620">
        <w:t xml:space="preserve">s were injection site pain (92.4%), fatigue (70.0%), headache (64.7%), myalgia (61.5%), joint pain (46.4%) and chills (45.4%). </w:t>
      </w:r>
      <w:r w:rsidR="00542173">
        <w:t>The m</w:t>
      </w:r>
      <w:r w:rsidRPr="006E0620">
        <w:t xml:space="preserve">ajority of these ARs were mild to moderate in severity. Severe solicited </w:t>
      </w:r>
      <w:r w:rsidR="00DB03B0" w:rsidRPr="006E0620">
        <w:t>AR</w:t>
      </w:r>
      <w:r w:rsidR="00A06C67" w:rsidRPr="006E0620">
        <w:t>s were more common after Dose 2 than after Dose </w:t>
      </w:r>
      <w:r w:rsidRPr="006E0620">
        <w:t>1; and are generally less frequent in adults ≥</w:t>
      </w:r>
      <w:r w:rsidR="00A06C67" w:rsidRPr="006E0620">
        <w:t> 65 </w:t>
      </w:r>
      <w:r w:rsidRPr="006E0620">
        <w:t>years of age as compared to younger adults.</w:t>
      </w:r>
    </w:p>
    <w:p w14:paraId="71729312" w14:textId="397242E7" w:rsidR="00CA06D0" w:rsidRPr="006E0620" w:rsidRDefault="00CA06D0" w:rsidP="001E4459">
      <w:r w:rsidRPr="006E0620">
        <w:t xml:space="preserve">The majority of solicited systemic reactions persisted for a median of 3 days or less. The high incidence of reactogenicity events is not unexpected considering the high </w:t>
      </w:r>
      <w:r w:rsidR="005A1A02" w:rsidRPr="006E0620">
        <w:t>VE</w:t>
      </w:r>
      <w:r w:rsidRPr="006E0620">
        <w:t xml:space="preserve"> demonstrated with </w:t>
      </w:r>
      <w:proofErr w:type="spellStart"/>
      <w:r w:rsidR="00DA4536">
        <w:t>Spikevax</w:t>
      </w:r>
      <w:proofErr w:type="spellEnd"/>
      <w:r w:rsidR="00DA4536">
        <w:t xml:space="preserve"> COVID-19 </w:t>
      </w:r>
      <w:r w:rsidRPr="006E0620">
        <w:t>mRNA-1273</w:t>
      </w:r>
      <w:r w:rsidR="00DA4536">
        <w:t xml:space="preserve"> vaccine</w:t>
      </w:r>
      <w:r w:rsidRPr="006E0620">
        <w:t>.</w:t>
      </w:r>
    </w:p>
    <w:p w14:paraId="53811731" w14:textId="4482A235" w:rsidR="00CA06D0" w:rsidRPr="006E0620" w:rsidRDefault="00CA06D0" w:rsidP="001E4459">
      <w:r w:rsidRPr="006E0620">
        <w:t xml:space="preserve">The frequency of </w:t>
      </w:r>
      <w:r w:rsidR="00F50A07" w:rsidRPr="006E0620">
        <w:t>SAE</w:t>
      </w:r>
      <w:r w:rsidRPr="006E0620">
        <w:t>s was low (1%), without meaningful</w:t>
      </w:r>
      <w:r w:rsidR="00E766F9" w:rsidRPr="006E0620">
        <w:t xml:space="preserve"> imbalances between study arms.</w:t>
      </w:r>
    </w:p>
    <w:p w14:paraId="1A63A42B" w14:textId="3107E1CA" w:rsidR="00CA06D0" w:rsidRPr="006E0620" w:rsidRDefault="00CA06D0" w:rsidP="001E4459">
      <w:r w:rsidRPr="006E0620">
        <w:t>The submitted safety data are short term at this stage (mean of approximately 2 months); however, the data have fulfilled the</w:t>
      </w:r>
      <w:r w:rsidR="00A06C67" w:rsidRPr="006E0620">
        <w:t xml:space="preserve"> requirement as set out in the ‘</w:t>
      </w:r>
      <w:r w:rsidRPr="006E0620">
        <w:t>Access Consortium statemen</w:t>
      </w:r>
      <w:r w:rsidR="00A06C67" w:rsidRPr="006E0620">
        <w:t>t on COVID-19 vaccines evidence’</w:t>
      </w:r>
      <w:r w:rsidRPr="006E0620">
        <w:t>.</w:t>
      </w:r>
      <w:r w:rsidR="000353EB" w:rsidRPr="006E0620">
        <w:rPr>
          <w:rStyle w:val="FootnoteReference"/>
        </w:rPr>
        <w:footnoteReference w:id="36"/>
      </w:r>
      <w:r w:rsidRPr="006E0620">
        <w:t xml:space="preserve"> The statement specified the minimum requirement that trial participants must be followed for a median of at least 2 months after receiving their final vaccine dose. It is acknowledged that most </w:t>
      </w:r>
      <w:r w:rsidR="00DB03B0" w:rsidRPr="006E0620">
        <w:t>AR</w:t>
      </w:r>
      <w:r w:rsidRPr="006E0620">
        <w:t>s to vaccines occur within 4</w:t>
      </w:r>
      <w:r w:rsidR="00A06C67" w:rsidRPr="006E0620">
        <w:t xml:space="preserve"> to </w:t>
      </w:r>
      <w:r w:rsidRPr="006E0620">
        <w:t xml:space="preserve">6 weeks from vaccination. The </w:t>
      </w:r>
      <w:r w:rsidR="00A06C67" w:rsidRPr="006E0620">
        <w:t>European Medicines Agency (</w:t>
      </w:r>
      <w:r w:rsidRPr="006E0620">
        <w:t>EMA</w:t>
      </w:r>
      <w:r w:rsidR="00A06C67" w:rsidRPr="006E0620">
        <w:t>)</w:t>
      </w:r>
      <w:r w:rsidRPr="006E0620">
        <w:t xml:space="preserve"> has stated that conditional marketing authorisation for a COVID-19 vaccine could be based on review of at least 6 weeks post</w:t>
      </w:r>
      <w:r w:rsidR="00A06C67" w:rsidRPr="006E0620">
        <w:t xml:space="preserve"> </w:t>
      </w:r>
      <w:r w:rsidR="000353EB" w:rsidRPr="006E0620">
        <w:t>vaccination safety data.</w:t>
      </w:r>
      <w:r w:rsidR="000353EB" w:rsidRPr="006E0620">
        <w:rPr>
          <w:rStyle w:val="FootnoteReference"/>
        </w:rPr>
        <w:footnoteReference w:id="37"/>
      </w:r>
    </w:p>
    <w:p w14:paraId="7B9DD8A3" w14:textId="195B1221" w:rsidR="00CA06D0" w:rsidRPr="006E0620" w:rsidRDefault="00CA06D0" w:rsidP="001E4459">
      <w:r w:rsidRPr="006E0620">
        <w:t xml:space="preserve">The vaccine safety and efficacy in the Aboriginal </w:t>
      </w:r>
      <w:r w:rsidR="00FB5463">
        <w:t xml:space="preserve">Australian </w:t>
      </w:r>
      <w:r w:rsidRPr="006E0620">
        <w:t xml:space="preserve">and Torres Strait Islander population was not studied. This could be of significance in view of the recent pharmacovigilance reports of myocarditis in younger adults, as the Aboriginal </w:t>
      </w:r>
      <w:r w:rsidR="00FB5463">
        <w:t xml:space="preserve">Australian </w:t>
      </w:r>
      <w:r w:rsidRPr="006E0620">
        <w:t>and Torres Strait Islander population has a relatively higher background rate of rheumatic heart disease.</w:t>
      </w:r>
    </w:p>
    <w:p w14:paraId="718CEF4E" w14:textId="77777777" w:rsidR="00CA06D0" w:rsidRPr="00866865" w:rsidRDefault="00CA06D0" w:rsidP="003F6530">
      <w:pPr>
        <w:pStyle w:val="Heading5"/>
      </w:pPr>
      <w:r w:rsidRPr="00866865">
        <w:t>Data limitations</w:t>
      </w:r>
    </w:p>
    <w:p w14:paraId="46C57A8C" w14:textId="6F05B877" w:rsidR="00CA06D0" w:rsidRPr="006E0620" w:rsidRDefault="00CA06D0" w:rsidP="001E4459">
      <w:pPr>
        <w:pStyle w:val="ListBullet"/>
      </w:pPr>
      <w:r w:rsidRPr="006E0620">
        <w:t>Data on VE to prevent asymptomatic infection are lacking.</w:t>
      </w:r>
    </w:p>
    <w:p w14:paraId="20FB2667" w14:textId="3A3BA051" w:rsidR="00CA06D0" w:rsidRPr="006E0620" w:rsidRDefault="00CA06D0" w:rsidP="001E4459">
      <w:pPr>
        <w:pStyle w:val="ListBullet"/>
      </w:pPr>
      <w:r w:rsidRPr="006E0620">
        <w:t xml:space="preserve">Data in </w:t>
      </w:r>
      <w:r w:rsidR="00A06C67" w:rsidRPr="006E0620">
        <w:t xml:space="preserve">frail elderly </w:t>
      </w:r>
      <w:r w:rsidRPr="006E0620">
        <w:t>with un</w:t>
      </w:r>
      <w:r w:rsidR="00A06C67" w:rsidRPr="006E0620">
        <w:t>stable health conditions and co</w:t>
      </w:r>
      <w:r w:rsidRPr="006E0620">
        <w:t>morbidities are not available.</w:t>
      </w:r>
    </w:p>
    <w:p w14:paraId="5DFCF337" w14:textId="7639DB72" w:rsidR="00CA06D0" w:rsidRPr="006E0620" w:rsidRDefault="00A06C67" w:rsidP="001E4459">
      <w:pPr>
        <w:pStyle w:val="ListBullet"/>
      </w:pPr>
      <w:r w:rsidRPr="006E0620">
        <w:t>No data on c</w:t>
      </w:r>
      <w:r w:rsidR="00CA06D0" w:rsidRPr="006E0620">
        <w:t xml:space="preserve">o-administration of </w:t>
      </w:r>
      <w:proofErr w:type="spellStart"/>
      <w:r w:rsidR="002A4DC1" w:rsidRPr="006E0620">
        <w:t>Spikevax</w:t>
      </w:r>
      <w:proofErr w:type="spellEnd"/>
      <w:r w:rsidR="00CA06D0" w:rsidRPr="006E0620">
        <w:t xml:space="preserve"> with other vaccines (</w:t>
      </w:r>
      <w:r w:rsidRPr="006E0620">
        <w:t xml:space="preserve">for example, </w:t>
      </w:r>
      <w:r w:rsidR="00CA06D0" w:rsidRPr="006E0620">
        <w:t>seasonal flu vaccines</w:t>
      </w:r>
      <w:r w:rsidRPr="006E0620">
        <w:t>).</w:t>
      </w:r>
    </w:p>
    <w:p w14:paraId="4C0B6EDB" w14:textId="23809F11" w:rsidR="00CA06D0" w:rsidRPr="006E0620" w:rsidRDefault="00CA06D0" w:rsidP="001E4459">
      <w:pPr>
        <w:pStyle w:val="ListBullet"/>
      </w:pPr>
      <w:r w:rsidRPr="006E0620">
        <w:t xml:space="preserve">There are no data available on the interchangeability of </w:t>
      </w:r>
      <w:proofErr w:type="spellStart"/>
      <w:r w:rsidR="002A4DC1" w:rsidRPr="006E0620">
        <w:t>Spikevax</w:t>
      </w:r>
      <w:proofErr w:type="spellEnd"/>
      <w:r w:rsidRPr="006E0620">
        <w:t xml:space="preserve"> with other COVID-19 vaccines to complete the vaccination series.</w:t>
      </w:r>
    </w:p>
    <w:p w14:paraId="6DA89448" w14:textId="11EA23B4" w:rsidR="00CA06D0" w:rsidRPr="006E0620" w:rsidRDefault="00CA06D0" w:rsidP="001E4459">
      <w:pPr>
        <w:pStyle w:val="ListBullet"/>
      </w:pPr>
      <w:r w:rsidRPr="006E0620">
        <w:t xml:space="preserve">There are no data provided by the sponsor regarding </w:t>
      </w:r>
      <w:proofErr w:type="spellStart"/>
      <w:r w:rsidR="002A4DC1" w:rsidRPr="006E0620">
        <w:t>Spikevax</w:t>
      </w:r>
      <w:proofErr w:type="spellEnd"/>
      <w:r w:rsidRPr="006E0620">
        <w:t xml:space="preserve"> efficacy against new </w:t>
      </w:r>
      <w:r w:rsidR="00A06C67" w:rsidRPr="006E0620">
        <w:t xml:space="preserve">variants of concern </w:t>
      </w:r>
      <w:r w:rsidRPr="006E0620">
        <w:t xml:space="preserve">(VOC) </w:t>
      </w:r>
      <w:r w:rsidR="00A06C67" w:rsidRPr="006E0620">
        <w:t xml:space="preserve">for example, </w:t>
      </w:r>
      <w:r w:rsidRPr="006E0620">
        <w:t xml:space="preserve">B117501.V2, P1, </w:t>
      </w:r>
      <w:r w:rsidR="00FB5463">
        <w:t>delta (</w:t>
      </w:r>
      <w:r w:rsidR="0019059E" w:rsidRPr="006E0620">
        <w:t>δ</w:t>
      </w:r>
      <w:r w:rsidR="00FB5463">
        <w:t>)</w:t>
      </w:r>
      <w:r w:rsidR="0019059E" w:rsidRPr="006E0620">
        <w:t xml:space="preserve"> and so on</w:t>
      </w:r>
      <w:r w:rsidRPr="006E0620">
        <w:t>. It would be of interest to know the sequences of virus isolated for the 11 patients in the vaccine group and to compare the isolated strains with the current circulating variant strains.</w:t>
      </w:r>
    </w:p>
    <w:p w14:paraId="774D8E5B" w14:textId="47BBA16F" w:rsidR="00CA06D0" w:rsidRPr="006E0620" w:rsidRDefault="00CA06D0" w:rsidP="001E4459">
      <w:pPr>
        <w:pStyle w:val="ListBullet"/>
      </w:pPr>
      <w:r w:rsidRPr="006E0620">
        <w:lastRenderedPageBreak/>
        <w:t xml:space="preserve">Duration of protection of </w:t>
      </w:r>
      <w:proofErr w:type="spellStart"/>
      <w:r w:rsidR="007753E6" w:rsidRPr="007753E6">
        <w:t>Spikevax</w:t>
      </w:r>
      <w:proofErr w:type="spellEnd"/>
      <w:r w:rsidR="007753E6" w:rsidRPr="007753E6">
        <w:t xml:space="preserve"> COVID-19 </w:t>
      </w:r>
      <w:r w:rsidRPr="006E0620">
        <w:t>mRNA-1273</w:t>
      </w:r>
      <w:r w:rsidR="007753E6">
        <w:t xml:space="preserve"> vaccine</w:t>
      </w:r>
      <w:r w:rsidRPr="006E0620">
        <w:t xml:space="preserve"> is uncertain due to limited follow-up duration (drop in antibod</w:t>
      </w:r>
      <w:r w:rsidR="00247854" w:rsidRPr="006E0620">
        <w:t>y titres observed in the Phase I</w:t>
      </w:r>
      <w:r w:rsidR="00A06C67" w:rsidRPr="006E0620">
        <w:t xml:space="preserve"> study by Month 3, post Dose </w:t>
      </w:r>
      <w:r w:rsidRPr="006E0620">
        <w:t>2).</w:t>
      </w:r>
    </w:p>
    <w:p w14:paraId="755B312A" w14:textId="7FF4C314" w:rsidR="00CA06D0" w:rsidRPr="006E0620" w:rsidRDefault="00CA06D0" w:rsidP="001E4459">
      <w:pPr>
        <w:pStyle w:val="ListBullet"/>
      </w:pPr>
      <w:r w:rsidRPr="006E0620">
        <w:t xml:space="preserve">There are no data in use of </w:t>
      </w:r>
      <w:proofErr w:type="spellStart"/>
      <w:r w:rsidR="00DA4536">
        <w:t>Spikevax</w:t>
      </w:r>
      <w:proofErr w:type="spellEnd"/>
      <w:r w:rsidR="00DA4536">
        <w:t xml:space="preserve"> COVID-19 </w:t>
      </w:r>
      <w:r w:rsidRPr="006E0620">
        <w:t xml:space="preserve">mRNA-1273 </w:t>
      </w:r>
      <w:r w:rsidR="00DA4536">
        <w:t xml:space="preserve">vaccine </w:t>
      </w:r>
      <w:r w:rsidRPr="006E0620">
        <w:t xml:space="preserve">in individuals with previous symptomatic COVID-19 disease as this was an exclusion criterion in </w:t>
      </w:r>
      <w:r w:rsidR="00A06C67" w:rsidRPr="006E0620">
        <w:t>Study </w:t>
      </w:r>
      <w:r w:rsidRPr="006E0620">
        <w:t>301.</w:t>
      </w:r>
    </w:p>
    <w:p w14:paraId="467A1F0E" w14:textId="77777777" w:rsidR="00CA06D0" w:rsidRPr="006E0620" w:rsidRDefault="00CA06D0" w:rsidP="001E4459">
      <w:pPr>
        <w:pStyle w:val="ListBullet"/>
      </w:pPr>
      <w:r w:rsidRPr="006E0620">
        <w:t>No safety and efficacy data in immunocompromised patients or patients with background autoimmune disease.</w:t>
      </w:r>
    </w:p>
    <w:p w14:paraId="56062D3B" w14:textId="77777777" w:rsidR="00CA06D0" w:rsidRPr="006E0620" w:rsidRDefault="00CA06D0" w:rsidP="001E4459">
      <w:pPr>
        <w:pStyle w:val="ListBullet"/>
      </w:pPr>
      <w:r w:rsidRPr="006E0620">
        <w:t>No safety data on pregnant women and breastfeeding women.</w:t>
      </w:r>
    </w:p>
    <w:p w14:paraId="460225C5" w14:textId="4D5B0848" w:rsidR="00CA06D0" w:rsidRPr="006E0620" w:rsidRDefault="00A06C67" w:rsidP="001E4459">
      <w:pPr>
        <w:pStyle w:val="ListBullet"/>
      </w:pPr>
      <w:r w:rsidRPr="006E0620">
        <w:t xml:space="preserve">Short </w:t>
      </w:r>
      <w:r w:rsidR="00CA06D0" w:rsidRPr="006E0620">
        <w:t xml:space="preserve">term safety data may not provide information on rare AEs, risk of </w:t>
      </w:r>
      <w:r w:rsidRPr="006E0620">
        <w:t xml:space="preserve">vaccine associated enhanced disease </w:t>
      </w:r>
      <w:r w:rsidR="00CA06D0" w:rsidRPr="006E0620">
        <w:t>(VAED) or VAERD as the antibodies wane over time, and there may be AEs that have a long latency period including AEs of special interest.</w:t>
      </w:r>
    </w:p>
    <w:p w14:paraId="5E58A8C7" w14:textId="77777777" w:rsidR="00D23139" w:rsidRPr="006E0620" w:rsidRDefault="00D23139" w:rsidP="00D23139">
      <w:pPr>
        <w:pStyle w:val="Heading4"/>
      </w:pPr>
      <w:r w:rsidRPr="006E0620">
        <w:t>Proposed action</w:t>
      </w:r>
    </w:p>
    <w:p w14:paraId="702BDC37" w14:textId="451ADB20" w:rsidR="00CA06D0" w:rsidRPr="006E0620" w:rsidRDefault="00CA06D0" w:rsidP="001E4459">
      <w:r w:rsidRPr="006E0620">
        <w:t>Considering the urgent public health need and noting the high short term efficacy with acceptable safety demonstrated in the submit</w:t>
      </w:r>
      <w:r w:rsidR="00034F5B" w:rsidRPr="006E0620">
        <w:t>ted studies, the D</w:t>
      </w:r>
      <w:r w:rsidRPr="006E0620">
        <w:t xml:space="preserve">elegate is of the view that provisional registration of </w:t>
      </w:r>
      <w:proofErr w:type="spellStart"/>
      <w:r w:rsidR="002A4DC1" w:rsidRPr="006E0620">
        <w:t>Spikevax</w:t>
      </w:r>
      <w:proofErr w:type="spellEnd"/>
      <w:r w:rsidRPr="006E0620">
        <w:t xml:space="preserve"> (</w:t>
      </w:r>
      <w:proofErr w:type="spellStart"/>
      <w:r w:rsidRPr="006E0620">
        <w:t>elasomeran</w:t>
      </w:r>
      <w:proofErr w:type="spellEnd"/>
      <w:r w:rsidRPr="006E0620">
        <w:t xml:space="preserve">) </w:t>
      </w:r>
      <w:r w:rsidR="00DA4536">
        <w:t>COVID-19 vaccine</w:t>
      </w:r>
      <w:r w:rsidR="00DA4536" w:rsidRPr="006E0620">
        <w:t xml:space="preserve"> </w:t>
      </w:r>
      <w:r w:rsidRPr="006E0620">
        <w:t xml:space="preserve">is appropriate for the use of this vaccine to prevent COVID-19 disease caused by SARS-CoV-2 virus in individuals 18 years of age and older. The pivotal study is ongoing for a total of 24 months. The </w:t>
      </w:r>
      <w:proofErr w:type="gramStart"/>
      <w:r w:rsidRPr="006E0620">
        <w:t>long</w:t>
      </w:r>
      <w:r w:rsidR="00A06C67" w:rsidRPr="006E0620">
        <w:t xml:space="preserve">er </w:t>
      </w:r>
      <w:r w:rsidRPr="006E0620">
        <w:t>term</w:t>
      </w:r>
      <w:proofErr w:type="gramEnd"/>
      <w:r w:rsidRPr="006E0620">
        <w:t xml:space="preserve"> efficacy and safety data are to be submitted to the TGA for evaluation before a full </w:t>
      </w:r>
      <w:r w:rsidR="00E766F9" w:rsidRPr="006E0620">
        <w:t>registration can be considered.</w:t>
      </w:r>
    </w:p>
    <w:p w14:paraId="5DAC1E58" w14:textId="4E4A3536" w:rsidR="00CA06D0" w:rsidRPr="006E0620" w:rsidRDefault="00CA06D0" w:rsidP="001E4459">
      <w:r w:rsidRPr="006E0620">
        <w:t xml:space="preserve">Since the </w:t>
      </w:r>
      <w:proofErr w:type="spellStart"/>
      <w:r w:rsidR="002A4DC1" w:rsidRPr="006E0620">
        <w:t>Spikevax</w:t>
      </w:r>
      <w:proofErr w:type="spellEnd"/>
      <w:r w:rsidRPr="006E0620">
        <w:t xml:space="preserve"> (</w:t>
      </w:r>
      <w:proofErr w:type="spellStart"/>
      <w:r w:rsidRPr="006E0620">
        <w:t>elasomeran</w:t>
      </w:r>
      <w:proofErr w:type="spellEnd"/>
      <w:r w:rsidRPr="006E0620">
        <w:t xml:space="preserve">) </w:t>
      </w:r>
      <w:r w:rsidR="00DA4536">
        <w:t>COVID-19</w:t>
      </w:r>
      <w:r w:rsidR="00DA4536" w:rsidRPr="006E0620">
        <w:t xml:space="preserve"> </w:t>
      </w:r>
      <w:r w:rsidRPr="006E0620">
        <w:t>vaccine is evaluated for use through the provisional pathway, a clear statement should be included in the PI with regards to the nature of the registra</w:t>
      </w:r>
      <w:r w:rsidR="00325EA3" w:rsidRPr="006E0620">
        <w:t>tion. It should also be emphasis</w:t>
      </w:r>
      <w:r w:rsidRPr="006E0620">
        <w:t xml:space="preserve">ed that the decision of provisional approval is made on the basis of </w:t>
      </w:r>
      <w:proofErr w:type="gramStart"/>
      <w:r w:rsidRPr="006E0620">
        <w:t>short term</w:t>
      </w:r>
      <w:proofErr w:type="gramEnd"/>
      <w:r w:rsidRPr="006E0620">
        <w:t xml:space="preserve"> efficacy and safety data, and the continued approval depends on the evidence of longer term efficacy and safety from the ongoing and post-market assessment.</w:t>
      </w:r>
    </w:p>
    <w:p w14:paraId="2F14F341" w14:textId="285F4E03" w:rsidR="00CA06D0" w:rsidRPr="006E0620" w:rsidRDefault="00034F5B" w:rsidP="001E4459">
      <w:r w:rsidRPr="006E0620">
        <w:t>The D</w:t>
      </w:r>
      <w:r w:rsidR="00CA06D0" w:rsidRPr="006E0620">
        <w:t>elegate proposes the provisional approval of this vaccine for a revised indication (proposed paediatric indication will be evaluated separately).</w:t>
      </w:r>
      <w:r w:rsidR="00DA4536">
        <w:t xml:space="preserve"> </w:t>
      </w:r>
      <w:r w:rsidR="00CA06D0" w:rsidRPr="006E0620">
        <w:t>The sponsor is requested to amend the pr</w:t>
      </w:r>
      <w:r w:rsidR="00E766F9" w:rsidRPr="006E0620">
        <w:t>oposed indication as following:</w:t>
      </w:r>
    </w:p>
    <w:p w14:paraId="51C4E3EC" w14:textId="61999AA5" w:rsidR="00CA06D0" w:rsidRPr="006E0620" w:rsidRDefault="00CA06D0" w:rsidP="00A06C67">
      <w:r w:rsidRPr="006E0620">
        <w:t xml:space="preserve">Proposed </w:t>
      </w:r>
      <w:r w:rsidR="00A06C67" w:rsidRPr="006E0620">
        <w:t>therapeutic indication</w:t>
      </w:r>
      <w:r w:rsidR="00BD2600">
        <w:t>:</w:t>
      </w:r>
    </w:p>
    <w:p w14:paraId="10430BF9" w14:textId="0911FBB5" w:rsidR="00CA06D0" w:rsidRPr="006E0620" w:rsidRDefault="00CA06D0" w:rsidP="008539CA">
      <w:pPr>
        <w:ind w:left="720"/>
        <w:rPr>
          <w:i/>
        </w:rPr>
      </w:pPr>
      <w:proofErr w:type="spellStart"/>
      <w:r w:rsidRPr="006E0620">
        <w:rPr>
          <w:i/>
        </w:rPr>
        <w:t>Spikevax</w:t>
      </w:r>
      <w:proofErr w:type="spellEnd"/>
      <w:r w:rsidRPr="006E0620">
        <w:rPr>
          <w:i/>
        </w:rPr>
        <w:t xml:space="preserve"> is indicated for active immunisation to </w:t>
      </w:r>
      <w:r w:rsidR="000369BB" w:rsidRPr="006E0620">
        <w:rPr>
          <w:i/>
        </w:rPr>
        <w:t>prevent COVID-19 caused by SARS</w:t>
      </w:r>
      <w:r w:rsidR="000369BB" w:rsidRPr="006E0620">
        <w:rPr>
          <w:i/>
        </w:rPr>
        <w:noBreakHyphen/>
        <w:t>CoV</w:t>
      </w:r>
      <w:r w:rsidR="000369BB" w:rsidRPr="006E0620">
        <w:rPr>
          <w:i/>
        </w:rPr>
        <w:noBreakHyphen/>
      </w:r>
      <w:r w:rsidRPr="006E0620">
        <w:rPr>
          <w:i/>
        </w:rPr>
        <w:t>2 in individuals 18 years of age and older.</w:t>
      </w:r>
    </w:p>
    <w:p w14:paraId="772F12AA" w14:textId="77777777" w:rsidR="00CA06D0" w:rsidRPr="006E0620" w:rsidRDefault="00CA06D0" w:rsidP="008539CA">
      <w:pPr>
        <w:ind w:left="720"/>
        <w:rPr>
          <w:i/>
        </w:rPr>
      </w:pPr>
      <w:r w:rsidRPr="006E0620">
        <w:rPr>
          <w:i/>
        </w:rPr>
        <w:t>The use of this vaccine should be in accordance with official recommendations.</w:t>
      </w:r>
    </w:p>
    <w:p w14:paraId="6FFC2A90" w14:textId="471C9B0C" w:rsidR="00CA06D0" w:rsidRPr="006E0620" w:rsidRDefault="00CA06D0" w:rsidP="00A06C67">
      <w:r w:rsidRPr="006E0620">
        <w:t xml:space="preserve">Recommended </w:t>
      </w:r>
      <w:r w:rsidR="00A06C67" w:rsidRPr="006E0620">
        <w:t>therapeutic indication</w:t>
      </w:r>
      <w:r w:rsidR="00BD2600">
        <w:t>:</w:t>
      </w:r>
    </w:p>
    <w:p w14:paraId="05348876" w14:textId="50E8DB17" w:rsidR="00CA06D0" w:rsidRPr="006E0620" w:rsidRDefault="002A4DC1" w:rsidP="008539CA">
      <w:pPr>
        <w:ind w:left="720"/>
        <w:rPr>
          <w:i/>
        </w:rPr>
      </w:pPr>
      <w:proofErr w:type="spellStart"/>
      <w:r w:rsidRPr="006E0620">
        <w:rPr>
          <w:i/>
        </w:rPr>
        <w:t>Spikevax</w:t>
      </w:r>
      <w:proofErr w:type="spellEnd"/>
      <w:r w:rsidR="00CA06D0" w:rsidRPr="006E0620">
        <w:rPr>
          <w:i/>
        </w:rPr>
        <w:t xml:space="preserve"> (</w:t>
      </w:r>
      <w:proofErr w:type="spellStart"/>
      <w:r w:rsidR="00CA06D0" w:rsidRPr="006E0620">
        <w:rPr>
          <w:i/>
        </w:rPr>
        <w:t>Elasomeran</w:t>
      </w:r>
      <w:proofErr w:type="spellEnd"/>
      <w:r w:rsidR="00CA06D0" w:rsidRPr="006E0620">
        <w:rPr>
          <w:i/>
        </w:rPr>
        <w:t>) COVID-19 Vaccine has provisional approval for the indication below:</w:t>
      </w:r>
    </w:p>
    <w:p w14:paraId="4B63D25C" w14:textId="388D6AC3" w:rsidR="00CA06D0" w:rsidRPr="006E0620" w:rsidRDefault="002A4DC1" w:rsidP="008539CA">
      <w:pPr>
        <w:ind w:left="720"/>
        <w:rPr>
          <w:i/>
        </w:rPr>
      </w:pPr>
      <w:proofErr w:type="spellStart"/>
      <w:r w:rsidRPr="006E0620">
        <w:rPr>
          <w:i/>
        </w:rPr>
        <w:t>Spikevax</w:t>
      </w:r>
      <w:proofErr w:type="spellEnd"/>
      <w:r w:rsidR="00CA06D0" w:rsidRPr="006E0620">
        <w:rPr>
          <w:i/>
        </w:rPr>
        <w:t xml:space="preserve"> is indicated for active immunisation to </w:t>
      </w:r>
      <w:r w:rsidR="000369BB" w:rsidRPr="006E0620">
        <w:rPr>
          <w:i/>
        </w:rPr>
        <w:t>prevent COVID‐19 caused by SARS</w:t>
      </w:r>
      <w:r w:rsidR="000369BB" w:rsidRPr="006E0620">
        <w:rPr>
          <w:i/>
        </w:rPr>
        <w:noBreakHyphen/>
        <w:t>CoV</w:t>
      </w:r>
      <w:r w:rsidR="000369BB" w:rsidRPr="006E0620">
        <w:rPr>
          <w:i/>
        </w:rPr>
        <w:noBreakHyphen/>
      </w:r>
      <w:r w:rsidR="00CA06D0" w:rsidRPr="006E0620">
        <w:rPr>
          <w:i/>
        </w:rPr>
        <w:t>2 in individuals 18 years of age and older.</w:t>
      </w:r>
    </w:p>
    <w:p w14:paraId="4F89F5CD" w14:textId="77777777" w:rsidR="00CA06D0" w:rsidRPr="006E0620" w:rsidRDefault="00CA06D0" w:rsidP="008539CA">
      <w:pPr>
        <w:ind w:left="720"/>
        <w:rPr>
          <w:i/>
        </w:rPr>
      </w:pPr>
      <w:r w:rsidRPr="006E0620">
        <w:rPr>
          <w:i/>
        </w:rPr>
        <w:t>The use of this vaccine should be in accordance with official recommendations.</w:t>
      </w:r>
    </w:p>
    <w:p w14:paraId="7AA7A644" w14:textId="77777777" w:rsidR="00CA06D0" w:rsidRPr="006E0620" w:rsidRDefault="00CA06D0" w:rsidP="008539CA">
      <w:pPr>
        <w:ind w:left="720"/>
        <w:rPr>
          <w:i/>
        </w:rPr>
      </w:pPr>
      <w:r w:rsidRPr="006E0620">
        <w:rPr>
          <w:i/>
        </w:rPr>
        <w:t xml:space="preserve">The decision has been made on the basis of </w:t>
      </w:r>
      <w:proofErr w:type="gramStart"/>
      <w:r w:rsidRPr="006E0620">
        <w:rPr>
          <w:i/>
        </w:rPr>
        <w:t>short term</w:t>
      </w:r>
      <w:proofErr w:type="gramEnd"/>
      <w:r w:rsidRPr="006E0620">
        <w:rPr>
          <w:i/>
        </w:rPr>
        <w:t xml:space="preserve"> efficacy and safety data. Continued approval depends on the evidence of </w:t>
      </w:r>
      <w:proofErr w:type="gramStart"/>
      <w:r w:rsidRPr="006E0620">
        <w:rPr>
          <w:i/>
        </w:rPr>
        <w:t>longer term</w:t>
      </w:r>
      <w:proofErr w:type="gramEnd"/>
      <w:r w:rsidRPr="006E0620">
        <w:rPr>
          <w:i/>
        </w:rPr>
        <w:t xml:space="preserve"> efficacy and safety from the ongoing and post-market assessment.</w:t>
      </w:r>
    </w:p>
    <w:p w14:paraId="4F6FED19" w14:textId="2407D0AA" w:rsidR="00CA06D0" w:rsidRPr="006E0620" w:rsidRDefault="00CA06D0" w:rsidP="008539CA">
      <w:r w:rsidRPr="006E0620">
        <w:t xml:space="preserve">The </w:t>
      </w:r>
      <w:r w:rsidR="000369BB" w:rsidRPr="006E0620">
        <w:t>Advisory Committee on Vaccine</w:t>
      </w:r>
      <w:r w:rsidR="00FB5463">
        <w:t>’s</w:t>
      </w:r>
      <w:r w:rsidR="000369BB" w:rsidRPr="006E0620">
        <w:t xml:space="preserve"> (</w:t>
      </w:r>
      <w:r w:rsidRPr="006E0620">
        <w:t>ACV</w:t>
      </w:r>
      <w:r w:rsidR="000369BB" w:rsidRPr="006E0620">
        <w:t>)</w:t>
      </w:r>
      <w:r w:rsidR="00FB5463">
        <w:t xml:space="preserve"> </w:t>
      </w:r>
      <w:r w:rsidRPr="006E0620">
        <w:t xml:space="preserve">advice is requested for </w:t>
      </w:r>
      <w:proofErr w:type="gramStart"/>
      <w:r w:rsidRPr="006E0620">
        <w:t>a number of</w:t>
      </w:r>
      <w:proofErr w:type="gramEnd"/>
      <w:r w:rsidRPr="006E0620">
        <w:t xml:space="preserve"> questions, including advice and comments on the wording of the indication.</w:t>
      </w:r>
    </w:p>
    <w:p w14:paraId="13E7BF56" w14:textId="71D3C568" w:rsidR="00CA06D0" w:rsidRDefault="00CA06D0" w:rsidP="008539CA">
      <w:r w:rsidRPr="006E0620">
        <w:t>The proposed conditions of the provisional registration</w:t>
      </w:r>
      <w:r w:rsidR="008539CA" w:rsidRPr="006E0620">
        <w:t xml:space="preserve"> are specified </w:t>
      </w:r>
      <w:r w:rsidR="00BD2600">
        <w:t>below:</w:t>
      </w:r>
    </w:p>
    <w:p w14:paraId="7BB41B3B" w14:textId="77777777" w:rsidR="00BD2600" w:rsidRDefault="00BD2600" w:rsidP="00BD2600">
      <w:r>
        <w:lastRenderedPageBreak/>
        <w:t>Terms and conditions were imposed upon the authorisation with respect to quality, clinical, labelling, and risk management plan requirements:</w:t>
      </w:r>
    </w:p>
    <w:p w14:paraId="4785AA88" w14:textId="77777777" w:rsidR="00BD2600" w:rsidRPr="00BD2600" w:rsidRDefault="00BD2600" w:rsidP="00BD2600">
      <w:r w:rsidRPr="00BD2600">
        <w:t>Clinical conditions:</w:t>
      </w:r>
    </w:p>
    <w:p w14:paraId="6DEC063C" w14:textId="77777777" w:rsidR="00BD2600" w:rsidRDefault="00BD2600" w:rsidP="00BD2600">
      <w:r>
        <w:t>The following reports/data will have to be submitted before a definitive authorisation can be considered:</w:t>
      </w:r>
    </w:p>
    <w:p w14:paraId="12B81C0B" w14:textId="77777777" w:rsidR="00BD2600" w:rsidRPr="00EC6977" w:rsidRDefault="00BD2600" w:rsidP="00BD2600">
      <w:pPr>
        <w:pStyle w:val="ListBullet"/>
        <w:numPr>
          <w:ilvl w:val="0"/>
          <w:numId w:val="1"/>
        </w:numPr>
      </w:pPr>
      <w:r w:rsidRPr="00EC6977">
        <w:t xml:space="preserve">Submit safety analysis at 6 months post Dose 2 from Phase </w:t>
      </w:r>
      <w:r>
        <w:t>I</w:t>
      </w:r>
      <w:r w:rsidRPr="00EC6977">
        <w:t xml:space="preserve">, </w:t>
      </w:r>
      <w:r>
        <w:t>II</w:t>
      </w:r>
      <w:r w:rsidRPr="00EC6977">
        <w:t xml:space="preserve"> Study when the analysis is available</w:t>
      </w:r>
    </w:p>
    <w:p w14:paraId="3C18895E" w14:textId="77777777" w:rsidR="00BD2600" w:rsidRPr="00EC6977" w:rsidRDefault="00BD2600" w:rsidP="00BD2600">
      <w:pPr>
        <w:pStyle w:val="ListBullet"/>
        <w:numPr>
          <w:ilvl w:val="0"/>
          <w:numId w:val="1"/>
        </w:numPr>
      </w:pPr>
      <w:r w:rsidRPr="00EC6977">
        <w:t>Submit the c</w:t>
      </w:r>
      <w:r>
        <w:t xml:space="preserve">linical study report for Study </w:t>
      </w:r>
      <w:r w:rsidRPr="00EC6977">
        <w:t xml:space="preserve">301 (Phase </w:t>
      </w:r>
      <w:r>
        <w:t xml:space="preserve">III) and Study </w:t>
      </w:r>
      <w:r w:rsidRPr="00EC6977">
        <w:t xml:space="preserve">201 (Phase </w:t>
      </w:r>
      <w:r>
        <w:t>II</w:t>
      </w:r>
      <w:r w:rsidRPr="00EC6977">
        <w:t xml:space="preserve">) when ready. Please also submit the final report for these studies with 24 months follow up duration when it became available. </w:t>
      </w:r>
    </w:p>
    <w:p w14:paraId="145ABDE8" w14:textId="77777777" w:rsidR="00BD2600" w:rsidRPr="00EC6977" w:rsidRDefault="00BD2600" w:rsidP="00BD2600">
      <w:pPr>
        <w:pStyle w:val="ListBullet"/>
        <w:numPr>
          <w:ilvl w:val="0"/>
          <w:numId w:val="1"/>
        </w:numPr>
      </w:pPr>
      <w:r w:rsidRPr="00EC6977">
        <w:t>Submit the immunogenicity data for Study 301</w:t>
      </w:r>
    </w:p>
    <w:p w14:paraId="78343030" w14:textId="122AC0A0" w:rsidR="00BD2600" w:rsidRPr="00EC6977" w:rsidRDefault="00BD2600" w:rsidP="00BD2600">
      <w:pPr>
        <w:pStyle w:val="ListBullet"/>
        <w:numPr>
          <w:ilvl w:val="0"/>
          <w:numId w:val="1"/>
        </w:numPr>
      </w:pPr>
      <w:r w:rsidRPr="00EC6977">
        <w:t>When available, provide:</w:t>
      </w:r>
    </w:p>
    <w:p w14:paraId="0529A983" w14:textId="77777777" w:rsidR="00BD2600" w:rsidRPr="00EC6977" w:rsidRDefault="00BD2600" w:rsidP="00BD2600">
      <w:pPr>
        <w:pStyle w:val="ListBullet"/>
        <w:numPr>
          <w:ilvl w:val="0"/>
          <w:numId w:val="0"/>
        </w:numPr>
        <w:ind w:left="360"/>
      </w:pPr>
      <w:r w:rsidRPr="00EC6977">
        <w:t>Further data relating to vaccine efficacy against asymptomatic disease, efficacy against SARS-CoV-2 transmission, vaccine efficacy in immunocompromised subjects, efficacy in subjects with autoimmune conditions, efficacy against variants of concern, pregnant women, lactating mothers, and information relating to post-market safety and effectiveness studies should be provided to</w:t>
      </w:r>
      <w:r>
        <w:t xml:space="preserve"> the TGA to update the Product I</w:t>
      </w:r>
      <w:r w:rsidRPr="00EC6977">
        <w:t>nformation.</w:t>
      </w:r>
    </w:p>
    <w:p w14:paraId="2A58B4AC" w14:textId="26FFC774" w:rsidR="00BD2600" w:rsidRPr="00EC6977" w:rsidRDefault="00AE7A9E" w:rsidP="00BD2600">
      <w:pPr>
        <w:pStyle w:val="ListBullet"/>
        <w:numPr>
          <w:ilvl w:val="0"/>
          <w:numId w:val="1"/>
        </w:numPr>
      </w:pPr>
      <w:r>
        <w:t>P</w:t>
      </w:r>
      <w:r w:rsidR="00BD2600" w:rsidRPr="00EC6977">
        <w:t>rovide real world post market global/local efficacy data, when available.</w:t>
      </w:r>
    </w:p>
    <w:p w14:paraId="3CA40542" w14:textId="1C279743" w:rsidR="00CA06D0" w:rsidRPr="006E0620" w:rsidRDefault="00CA06D0" w:rsidP="008539CA">
      <w:r w:rsidRPr="006E0620">
        <w:t xml:space="preserve">This </w:t>
      </w:r>
      <w:r w:rsidR="000369BB" w:rsidRPr="006E0620">
        <w:t xml:space="preserve">overview </w:t>
      </w:r>
      <w:r w:rsidRPr="006E0620">
        <w:t>is submitted for the ACV advice. The final decision will be made following the ACV discussion.</w:t>
      </w:r>
    </w:p>
    <w:p w14:paraId="30875976" w14:textId="77777777" w:rsidR="007D53B6" w:rsidRPr="006E0620" w:rsidRDefault="007D53B6" w:rsidP="007D53B6">
      <w:pPr>
        <w:pStyle w:val="Heading4"/>
      </w:pPr>
      <w:r w:rsidRPr="006E0620">
        <w:t xml:space="preserve">Questions for </w:t>
      </w:r>
      <w:r w:rsidR="00744121" w:rsidRPr="006E0620">
        <w:t xml:space="preserve">the </w:t>
      </w:r>
      <w:r w:rsidRPr="006E0620">
        <w:t>sponsor</w:t>
      </w:r>
    </w:p>
    <w:p w14:paraId="537FDA2F" w14:textId="77777777" w:rsidR="00744121" w:rsidRPr="006E0620" w:rsidRDefault="00744121" w:rsidP="00744121">
      <w:r w:rsidRPr="006E0620">
        <w:t>The sponsor provided the following response to questions from the Delegate.</w:t>
      </w:r>
    </w:p>
    <w:p w14:paraId="0005D021" w14:textId="5ADCC6D3" w:rsidR="004868A2" w:rsidRPr="006E0620" w:rsidRDefault="004868A2" w:rsidP="004868A2">
      <w:pPr>
        <w:pStyle w:val="Numberbullet0"/>
        <w:rPr>
          <w:b/>
          <w:i/>
        </w:rPr>
      </w:pPr>
      <w:r w:rsidRPr="006E0620">
        <w:rPr>
          <w:b/>
          <w:i/>
        </w:rPr>
        <w:t xml:space="preserve">Could the sponsor provide the latest data on </w:t>
      </w:r>
      <w:r w:rsidR="00DA4536">
        <w:rPr>
          <w:b/>
          <w:i/>
        </w:rPr>
        <w:t xml:space="preserve">the </w:t>
      </w:r>
      <w:r w:rsidR="00FB5463">
        <w:rPr>
          <w:b/>
          <w:i/>
        </w:rPr>
        <w:t>adverse event</w:t>
      </w:r>
      <w:r w:rsidRPr="006E0620">
        <w:rPr>
          <w:b/>
          <w:i/>
        </w:rPr>
        <w:t xml:space="preserve"> of myocarditis and pericarditis after administration of </w:t>
      </w:r>
      <w:proofErr w:type="spellStart"/>
      <w:r w:rsidRPr="006E0620">
        <w:rPr>
          <w:b/>
          <w:i/>
        </w:rPr>
        <w:t>Spikevax</w:t>
      </w:r>
      <w:proofErr w:type="spellEnd"/>
      <w:r w:rsidRPr="006E0620">
        <w:rPr>
          <w:b/>
          <w:i/>
        </w:rPr>
        <w:t xml:space="preserve"> doses? The provided addendum with the dossier has 30 April 2021 cut-off.</w:t>
      </w:r>
    </w:p>
    <w:p w14:paraId="5BFBCF39" w14:textId="4C7E1710" w:rsidR="00B74B08" w:rsidRPr="00B74B08" w:rsidRDefault="00B74B08" w:rsidP="00B74B08">
      <w:r w:rsidRPr="00B74B08">
        <w:t>The most recent update on AEs of myocarditis and pericarditis after 30 April 2021 can be found in the monthly safety reports 5 (covering 1 to 31 May 2021) and 6 (covering 1 to 30</w:t>
      </w:r>
      <w:r w:rsidR="00FB5463">
        <w:t> </w:t>
      </w:r>
      <w:r w:rsidRPr="00B74B08">
        <w:t>Jun</w:t>
      </w:r>
      <w:r w:rsidR="00FB5463">
        <w:t>e</w:t>
      </w:r>
      <w:r w:rsidRPr="00B74B08">
        <w:t xml:space="preserve"> 2021). Please find copies of monthly safety reports 5 and 6 enclosed with this response.</w:t>
      </w:r>
      <w:r w:rsidRPr="00B74B08">
        <w:rPr>
          <w:color w:val="2B579A"/>
          <w:shd w:val="clear" w:color="auto" w:fill="E6E6E6"/>
          <w:vertAlign w:val="superscript"/>
        </w:rPr>
        <w:fldChar w:fldCharType="begin"/>
      </w:r>
      <w:r w:rsidRPr="00B74B08">
        <w:rPr>
          <w:vertAlign w:val="superscript"/>
        </w:rPr>
        <w:instrText xml:space="preserve"> NOTEREF _Ref78292159 \h  \* MERGEFORMAT </w:instrText>
      </w:r>
      <w:r w:rsidRPr="00B74B08">
        <w:rPr>
          <w:color w:val="2B579A"/>
          <w:shd w:val="clear" w:color="auto" w:fill="E6E6E6"/>
          <w:vertAlign w:val="superscript"/>
        </w:rPr>
      </w:r>
      <w:r w:rsidRPr="00B74B08">
        <w:rPr>
          <w:color w:val="2B579A"/>
          <w:shd w:val="clear" w:color="auto" w:fill="E6E6E6"/>
          <w:vertAlign w:val="superscript"/>
        </w:rPr>
        <w:fldChar w:fldCharType="separate"/>
      </w:r>
      <w:r w:rsidR="00B1591C">
        <w:rPr>
          <w:vertAlign w:val="superscript"/>
        </w:rPr>
        <w:t>28</w:t>
      </w:r>
      <w:r w:rsidRPr="00B74B08">
        <w:rPr>
          <w:color w:val="2B579A"/>
          <w:shd w:val="clear" w:color="auto" w:fill="E6E6E6"/>
          <w:vertAlign w:val="superscript"/>
        </w:rPr>
        <w:fldChar w:fldCharType="end"/>
      </w:r>
    </w:p>
    <w:p w14:paraId="7A0E3EC0" w14:textId="3C7A5DCF" w:rsidR="004868A2" w:rsidRPr="006E0620" w:rsidRDefault="004868A2" w:rsidP="004868A2">
      <w:pPr>
        <w:pStyle w:val="Numberbullet0"/>
        <w:rPr>
          <w:b/>
          <w:i/>
        </w:rPr>
      </w:pPr>
      <w:r w:rsidRPr="006E0620">
        <w:rPr>
          <w:b/>
          <w:i/>
        </w:rPr>
        <w:t>Please provide cumulative global post market safety data from the latest cut-off, when available.</w:t>
      </w:r>
    </w:p>
    <w:p w14:paraId="017F5D19" w14:textId="2B0E5E5C" w:rsidR="00B74B08" w:rsidRPr="00B74B08" w:rsidRDefault="00B74B08" w:rsidP="00B74B08">
      <w:r w:rsidRPr="00B74B08">
        <w:t xml:space="preserve">The </w:t>
      </w:r>
      <w:r w:rsidR="00AD468B">
        <w:t>s</w:t>
      </w:r>
      <w:r w:rsidRPr="00B74B08">
        <w:t xml:space="preserve">ponsor is herewith submitting the latest monthly safety reports, covering the post-marketing data available up to 30 June 2021. The first </w:t>
      </w:r>
      <w:r>
        <w:t>p</w:t>
      </w:r>
      <w:r w:rsidRPr="00B74B08">
        <w:t xml:space="preserve">eriodic benefit-risk evaluation report </w:t>
      </w:r>
      <w:r>
        <w:t>(</w:t>
      </w:r>
      <w:r w:rsidRPr="00B74B08">
        <w:t>PBRER</w:t>
      </w:r>
      <w:r>
        <w:t>)</w:t>
      </w:r>
      <w:r w:rsidRPr="00B74B08">
        <w:t xml:space="preserve"> for </w:t>
      </w:r>
      <w:proofErr w:type="spellStart"/>
      <w:r w:rsidRPr="00B74B08">
        <w:t>Spikevax</w:t>
      </w:r>
      <w:proofErr w:type="spellEnd"/>
      <w:r w:rsidRPr="00B74B08">
        <w:t xml:space="preserve"> (from international birth date </w:t>
      </w:r>
      <w:r>
        <w:t>(</w:t>
      </w:r>
      <w:r w:rsidRPr="00B74B08">
        <w:t>IBD</w:t>
      </w:r>
      <w:r>
        <w:t>)</w:t>
      </w:r>
      <w:r w:rsidRPr="00B74B08">
        <w:t>: 18 Dec</w:t>
      </w:r>
      <w:r>
        <w:t>ember</w:t>
      </w:r>
      <w:r w:rsidRPr="00B74B08">
        <w:t xml:space="preserve"> 2020 to 30 Jun</w:t>
      </w:r>
      <w:r>
        <w:t>e</w:t>
      </w:r>
      <w:r w:rsidRPr="00B74B08">
        <w:t xml:space="preserve"> 2021) is expected to be available on approximately 26 August 2021 and will be shared with </w:t>
      </w:r>
      <w:r>
        <w:t xml:space="preserve">the </w:t>
      </w:r>
      <w:r w:rsidRPr="00B74B08">
        <w:t>TGA.</w:t>
      </w:r>
    </w:p>
    <w:p w14:paraId="0F8A57DF" w14:textId="77777777" w:rsidR="008E7846" w:rsidRPr="006E0620" w:rsidRDefault="008E7846" w:rsidP="007D53B6">
      <w:pPr>
        <w:pStyle w:val="Heading4"/>
      </w:pPr>
      <w:r w:rsidRPr="006E0620">
        <w:lastRenderedPageBreak/>
        <w:t xml:space="preserve">Advisory Committee </w:t>
      </w:r>
      <w:r w:rsidR="007D53B6" w:rsidRPr="006E0620">
        <w:t>c</w:t>
      </w:r>
      <w:r w:rsidRPr="006E0620">
        <w:t>onsiderations</w:t>
      </w:r>
      <w:r w:rsidR="00456765" w:rsidRPr="006E0620">
        <w:rPr>
          <w:rStyle w:val="FootnoteReference"/>
        </w:rPr>
        <w:footnoteReference w:id="38"/>
      </w:r>
    </w:p>
    <w:p w14:paraId="4959BAB0" w14:textId="234A9D4C" w:rsidR="00744121" w:rsidRPr="006E0620" w:rsidRDefault="00744121" w:rsidP="00744121">
      <w:pPr>
        <w:rPr>
          <w:bCs/>
        </w:rPr>
      </w:pPr>
      <w:bookmarkStart w:id="65" w:name="_Toc247691532"/>
      <w:bookmarkStart w:id="66" w:name="_Toc314842516"/>
      <w:bookmarkEnd w:id="32"/>
      <w:bookmarkEnd w:id="62"/>
      <w:bookmarkEnd w:id="63"/>
      <w:r w:rsidRPr="006E0620">
        <w:rPr>
          <w:bCs/>
        </w:rPr>
        <w:t xml:space="preserve">The Advisory Committee on </w:t>
      </w:r>
      <w:r w:rsidR="009B7DF4" w:rsidRPr="006E0620">
        <w:rPr>
          <w:bCs/>
        </w:rPr>
        <w:t>Vaccine</w:t>
      </w:r>
      <w:r w:rsidR="008C6897">
        <w:rPr>
          <w:bCs/>
        </w:rPr>
        <w:t>s</w:t>
      </w:r>
      <w:r w:rsidR="009B7DF4" w:rsidRPr="006E0620">
        <w:rPr>
          <w:bCs/>
        </w:rPr>
        <w:t xml:space="preserve"> (ACV</w:t>
      </w:r>
      <w:r w:rsidRPr="006E0620">
        <w:rPr>
          <w:bCs/>
        </w:rPr>
        <w:t>), having considered the evaluations and the Delegate’s overview, as well as the sponsor’s response to these documents, advised the following.</w:t>
      </w:r>
    </w:p>
    <w:p w14:paraId="125BC004" w14:textId="77777777" w:rsidR="00744121" w:rsidRPr="006E0620" w:rsidRDefault="00744121" w:rsidP="00744121">
      <w:pPr>
        <w:pStyle w:val="Heading5"/>
      </w:pPr>
      <w:r w:rsidRPr="006E0620">
        <w:t>Specific advice to the Delegate</w:t>
      </w:r>
    </w:p>
    <w:p w14:paraId="50A38649" w14:textId="3E703B21" w:rsidR="004868A2" w:rsidRPr="006E0620" w:rsidRDefault="004868A2" w:rsidP="005E4463">
      <w:pPr>
        <w:pStyle w:val="Numberbullet0"/>
        <w:numPr>
          <w:ilvl w:val="0"/>
          <w:numId w:val="7"/>
        </w:numPr>
        <w:rPr>
          <w:b/>
          <w:i/>
        </w:rPr>
      </w:pPr>
      <w:r w:rsidRPr="006E0620">
        <w:rPr>
          <w:b/>
          <w:i/>
        </w:rPr>
        <w:t xml:space="preserve">Based on the evidence at this point in time, can the </w:t>
      </w:r>
      <w:r w:rsidR="00FB5463">
        <w:rPr>
          <w:b/>
          <w:i/>
        </w:rPr>
        <w:t xml:space="preserve">Advisory Committee on </w:t>
      </w:r>
      <w:proofErr w:type="spellStart"/>
      <w:r w:rsidR="00FB5463">
        <w:rPr>
          <w:b/>
          <w:i/>
        </w:rPr>
        <w:t>Vacccines</w:t>
      </w:r>
      <w:proofErr w:type="spellEnd"/>
      <w:r w:rsidR="00FB5463">
        <w:rPr>
          <w:b/>
          <w:i/>
        </w:rPr>
        <w:t xml:space="preserve"> (</w:t>
      </w:r>
      <w:r w:rsidRPr="006E0620">
        <w:rPr>
          <w:b/>
          <w:i/>
        </w:rPr>
        <w:t>ACV</w:t>
      </w:r>
      <w:r w:rsidR="008C6897">
        <w:rPr>
          <w:b/>
          <w:i/>
        </w:rPr>
        <w:t>)</w:t>
      </w:r>
      <w:r w:rsidRPr="006E0620">
        <w:rPr>
          <w:b/>
          <w:i/>
        </w:rPr>
        <w:t xml:space="preserve"> advise whether the benefits-risks balance is positive for the use of </w:t>
      </w:r>
      <w:proofErr w:type="spellStart"/>
      <w:r w:rsidR="002A4DC1" w:rsidRPr="006E0620">
        <w:rPr>
          <w:b/>
          <w:i/>
        </w:rPr>
        <w:t>Spikevax</w:t>
      </w:r>
      <w:proofErr w:type="spellEnd"/>
      <w:r w:rsidRPr="006E0620">
        <w:rPr>
          <w:b/>
          <w:i/>
        </w:rPr>
        <w:t xml:space="preserve"> (</w:t>
      </w:r>
      <w:proofErr w:type="spellStart"/>
      <w:r w:rsidRPr="006E0620">
        <w:rPr>
          <w:b/>
          <w:i/>
        </w:rPr>
        <w:t>elasomeran</w:t>
      </w:r>
      <w:proofErr w:type="spellEnd"/>
      <w:r w:rsidRPr="006E0620">
        <w:rPr>
          <w:b/>
          <w:i/>
        </w:rPr>
        <w:t>) in individuals 18 years and older in the Australian context, to suppor</w:t>
      </w:r>
      <w:r w:rsidR="00C9005C" w:rsidRPr="006E0620">
        <w:rPr>
          <w:b/>
          <w:i/>
        </w:rPr>
        <w:t>t the provisional registration?</w:t>
      </w:r>
    </w:p>
    <w:p w14:paraId="600DA01C" w14:textId="1186AB5A" w:rsidR="005C6CEC" w:rsidRDefault="005C6CEC" w:rsidP="005C6CEC">
      <w:r>
        <w:t xml:space="preserve">The ACV advised that </w:t>
      </w:r>
      <w:proofErr w:type="spellStart"/>
      <w:r>
        <w:t>Spikevax</w:t>
      </w:r>
      <w:proofErr w:type="spellEnd"/>
      <w:r>
        <w:t xml:space="preserve"> COVID-19 vaccine has an overall positive benefit risk profile for the prevention of COVID-19, as the short-term efficacy and safety data are sufficient to support provisional registration of the vaccine in individuals 18 years and older. </w:t>
      </w:r>
    </w:p>
    <w:p w14:paraId="05C44E08" w14:textId="77777777" w:rsidR="005C6CEC" w:rsidRDefault="005C6CEC" w:rsidP="005C6CEC">
      <w:r>
        <w:t xml:space="preserve">The ACV noted that is there is limited or no information with </w:t>
      </w:r>
      <w:proofErr w:type="spellStart"/>
      <w:r>
        <w:t>Spikevax</w:t>
      </w:r>
      <w:proofErr w:type="spellEnd"/>
      <w:r>
        <w:t xml:space="preserve"> in patients with autoimmune or inflammatory disorders, immunocompromised individuals, pregnant and breastfeeding women, or in patients with a history of anaphylaxis.</w:t>
      </w:r>
    </w:p>
    <w:p w14:paraId="56F2460C" w14:textId="77777777" w:rsidR="005C6CEC" w:rsidRDefault="005C6CEC" w:rsidP="005C6CEC">
      <w:r>
        <w:t>The ACV discussed the concern regarding the rare risk of myocarditis and pericarditis, including the apparent increased incidence in young men (see answer to Question 4, below). While these conditions appear to be linked to mRNA vaccines, differences between the vaccines are still under evaluation.</w:t>
      </w:r>
    </w:p>
    <w:p w14:paraId="4FA766CE" w14:textId="27761C98" w:rsidR="005C6CEC" w:rsidRPr="006E0620" w:rsidRDefault="005C6CEC" w:rsidP="005C6CEC">
      <w:pPr>
        <w:rPr>
          <w:color w:val="FF0000"/>
        </w:rPr>
      </w:pPr>
      <w:r>
        <w:t xml:space="preserve">The ACV agreed that clinical guidance will be required to assist individuals with their decision making regarding </w:t>
      </w:r>
      <w:proofErr w:type="spellStart"/>
      <w:r>
        <w:t>Spikevax</w:t>
      </w:r>
      <w:proofErr w:type="spellEnd"/>
      <w:r>
        <w:t xml:space="preserve"> vaccination.</w:t>
      </w:r>
    </w:p>
    <w:p w14:paraId="2C637EA7" w14:textId="5987FFDB" w:rsidR="004868A2" w:rsidRPr="006E0620" w:rsidRDefault="004868A2" w:rsidP="005E4463">
      <w:pPr>
        <w:pStyle w:val="Numberbullet0"/>
        <w:numPr>
          <w:ilvl w:val="0"/>
          <w:numId w:val="7"/>
        </w:numPr>
        <w:rPr>
          <w:b/>
          <w:i/>
        </w:rPr>
      </w:pPr>
      <w:r w:rsidRPr="006E0620">
        <w:rPr>
          <w:b/>
          <w:i/>
        </w:rPr>
        <w:t xml:space="preserve">Can the ACV comment on the overall indication? </w:t>
      </w:r>
    </w:p>
    <w:p w14:paraId="7E535C9C" w14:textId="76685550" w:rsidR="005C6CEC" w:rsidRPr="005924C6" w:rsidRDefault="005C6CEC" w:rsidP="00585C4C">
      <w:pPr>
        <w:pStyle w:val="Numberbullet0"/>
        <w:numPr>
          <w:ilvl w:val="0"/>
          <w:numId w:val="0"/>
        </w:numPr>
        <w:rPr>
          <w:color w:val="000000"/>
        </w:rPr>
      </w:pPr>
      <w:r w:rsidRPr="005924C6">
        <w:rPr>
          <w:color w:val="000000"/>
        </w:rPr>
        <w:t>The ACV recommended the following wording for the indication to align with other COVID-19 vaccines:</w:t>
      </w:r>
    </w:p>
    <w:p w14:paraId="5F14C980" w14:textId="32C00947" w:rsidR="005C6CEC" w:rsidRPr="005924C6" w:rsidRDefault="005C6CEC" w:rsidP="00585C4C">
      <w:pPr>
        <w:pStyle w:val="Numberbullet0"/>
        <w:numPr>
          <w:ilvl w:val="0"/>
          <w:numId w:val="0"/>
        </w:numPr>
        <w:ind w:left="425" w:hanging="425"/>
        <w:rPr>
          <w:i/>
          <w:iCs/>
          <w:color w:val="000000"/>
        </w:rPr>
      </w:pPr>
      <w:proofErr w:type="spellStart"/>
      <w:r w:rsidRPr="005924C6">
        <w:rPr>
          <w:i/>
          <w:iCs/>
          <w:color w:val="000000"/>
        </w:rPr>
        <w:t>Spikevax</w:t>
      </w:r>
      <w:proofErr w:type="spellEnd"/>
      <w:r w:rsidRPr="005924C6">
        <w:rPr>
          <w:i/>
          <w:iCs/>
          <w:color w:val="000000"/>
        </w:rPr>
        <w:t xml:space="preserve"> (</w:t>
      </w:r>
      <w:proofErr w:type="spellStart"/>
      <w:r w:rsidRPr="005924C6">
        <w:rPr>
          <w:i/>
          <w:iCs/>
          <w:color w:val="000000"/>
        </w:rPr>
        <w:t>elasomeran</w:t>
      </w:r>
      <w:proofErr w:type="spellEnd"/>
      <w:r w:rsidRPr="005924C6">
        <w:rPr>
          <w:i/>
          <w:iCs/>
          <w:color w:val="000000"/>
        </w:rPr>
        <w:t>) COVID-19 vaccine has provisional approval for the indication below:</w:t>
      </w:r>
    </w:p>
    <w:p w14:paraId="3B832504" w14:textId="42437994" w:rsidR="005C6CEC" w:rsidRPr="005924C6" w:rsidRDefault="005C6CEC" w:rsidP="00585C4C">
      <w:pPr>
        <w:pStyle w:val="Numberbullet0"/>
        <w:numPr>
          <w:ilvl w:val="0"/>
          <w:numId w:val="0"/>
        </w:numPr>
        <w:ind w:left="850" w:hanging="425"/>
        <w:rPr>
          <w:i/>
          <w:iCs/>
          <w:color w:val="000000"/>
        </w:rPr>
      </w:pPr>
      <w:proofErr w:type="spellStart"/>
      <w:r w:rsidRPr="005924C6">
        <w:rPr>
          <w:i/>
          <w:iCs/>
          <w:color w:val="000000"/>
        </w:rPr>
        <w:t>Spikevax</w:t>
      </w:r>
      <w:proofErr w:type="spellEnd"/>
      <w:r w:rsidRPr="005924C6">
        <w:rPr>
          <w:i/>
          <w:iCs/>
          <w:color w:val="000000"/>
        </w:rPr>
        <w:t xml:space="preserve"> is indicated for active immunisation to prevent COVID-19 caused by SARS-CoV-2 to individuals 18 years of age and older.</w:t>
      </w:r>
    </w:p>
    <w:p w14:paraId="312FEB69" w14:textId="77777777" w:rsidR="005C6CEC" w:rsidRPr="005924C6" w:rsidRDefault="005C6CEC" w:rsidP="00585C4C">
      <w:pPr>
        <w:pStyle w:val="Numberbullet0"/>
        <w:numPr>
          <w:ilvl w:val="0"/>
          <w:numId w:val="0"/>
        </w:numPr>
        <w:ind w:left="850" w:hanging="425"/>
        <w:rPr>
          <w:i/>
          <w:iCs/>
          <w:color w:val="000000"/>
        </w:rPr>
      </w:pPr>
      <w:r w:rsidRPr="005924C6">
        <w:rPr>
          <w:i/>
          <w:iCs/>
          <w:color w:val="000000"/>
        </w:rPr>
        <w:t>The use of this vaccine should be in accordance with official recommendations</w:t>
      </w:r>
    </w:p>
    <w:p w14:paraId="4759A997" w14:textId="1666F6A3" w:rsidR="005C6CEC" w:rsidRPr="005924C6" w:rsidRDefault="005C6CEC" w:rsidP="00585C4C">
      <w:pPr>
        <w:pStyle w:val="Numberbullet0"/>
        <w:numPr>
          <w:ilvl w:val="0"/>
          <w:numId w:val="0"/>
        </w:numPr>
        <w:ind w:left="425"/>
        <w:rPr>
          <w:color w:val="000000"/>
        </w:rPr>
      </w:pPr>
      <w:r w:rsidRPr="005924C6">
        <w:rPr>
          <w:i/>
          <w:iCs/>
          <w:color w:val="000000"/>
        </w:rPr>
        <w:t xml:space="preserve">The decision has been made </w:t>
      </w:r>
      <w:proofErr w:type="gramStart"/>
      <w:r w:rsidRPr="005924C6">
        <w:rPr>
          <w:i/>
          <w:iCs/>
          <w:color w:val="000000"/>
        </w:rPr>
        <w:t>on the basis of</w:t>
      </w:r>
      <w:proofErr w:type="gramEnd"/>
      <w:r w:rsidRPr="005924C6">
        <w:rPr>
          <w:i/>
          <w:iCs/>
          <w:color w:val="000000"/>
        </w:rPr>
        <w:t xml:space="preserve"> short-term efficacy and safety data. Continued approval depends on the evidence of longer-term efficacy and safety from ongoing clinical trials and post-market assessment.</w:t>
      </w:r>
    </w:p>
    <w:p w14:paraId="7FFEA83A" w14:textId="5753A536" w:rsidR="004868A2" w:rsidRPr="006E0620" w:rsidRDefault="004868A2" w:rsidP="005E4463">
      <w:pPr>
        <w:pStyle w:val="Numberbullet0"/>
        <w:numPr>
          <w:ilvl w:val="0"/>
          <w:numId w:val="7"/>
        </w:numPr>
        <w:rPr>
          <w:b/>
          <w:i/>
        </w:rPr>
      </w:pPr>
      <w:r w:rsidRPr="006E0620">
        <w:rPr>
          <w:b/>
          <w:i/>
        </w:rPr>
        <w:t xml:space="preserve">Can the ACV comment on overall </w:t>
      </w:r>
      <w:r w:rsidR="000369BB" w:rsidRPr="006E0620">
        <w:rPr>
          <w:b/>
          <w:i/>
        </w:rPr>
        <w:t>safety</w:t>
      </w:r>
      <w:r w:rsidRPr="006E0620">
        <w:rPr>
          <w:b/>
          <w:i/>
        </w:rPr>
        <w:t xml:space="preserve">? Please also advise on safety in young adults in view of the pharmacovigilance reports of myocarditis and pericarditis in younger age group. Please also provide advice for use in Aboriginal </w:t>
      </w:r>
      <w:r w:rsidR="008C6897">
        <w:rPr>
          <w:b/>
          <w:i/>
        </w:rPr>
        <w:t xml:space="preserve">Australian </w:t>
      </w:r>
      <w:r w:rsidRPr="006E0620">
        <w:rPr>
          <w:b/>
          <w:i/>
        </w:rPr>
        <w:t>and Torres Strait Islander population with medical history of rheumatic heart disease.</w:t>
      </w:r>
    </w:p>
    <w:p w14:paraId="25C9604B" w14:textId="4D8CA6A8" w:rsidR="005C6CEC" w:rsidRPr="005924C6" w:rsidRDefault="005C6CEC" w:rsidP="005924C6">
      <w:r w:rsidRPr="005924C6">
        <w:lastRenderedPageBreak/>
        <w:t xml:space="preserve">The ACV was of view that the overall safety of </w:t>
      </w:r>
      <w:r w:rsidR="008C6897">
        <w:t xml:space="preserve">the </w:t>
      </w:r>
      <w:proofErr w:type="spellStart"/>
      <w:r w:rsidRPr="005924C6">
        <w:t>Spikevax</w:t>
      </w:r>
      <w:proofErr w:type="spellEnd"/>
      <w:r w:rsidRPr="005924C6">
        <w:t xml:space="preserve"> COVID-19 vaccine is acceptable in people aged 18 years or older.</w:t>
      </w:r>
    </w:p>
    <w:p w14:paraId="397FECE5" w14:textId="77777777" w:rsidR="005C6CEC" w:rsidRPr="005924C6" w:rsidRDefault="005C6CEC" w:rsidP="005924C6">
      <w:r w:rsidRPr="005924C6">
        <w:t>The ACV noted national and international data on the risk of myocarditis/pericarditis in recipients of mRNA COVID-19 vaccines, particularly after second dose and most commonly in younger males. It appears that this condition is causally linked to mRNA vaccines.</w:t>
      </w:r>
    </w:p>
    <w:p w14:paraId="7BAFEA40" w14:textId="23D35EFD" w:rsidR="005C6CEC" w:rsidRPr="005924C6" w:rsidRDefault="005C6CEC" w:rsidP="005924C6">
      <w:r w:rsidRPr="005924C6">
        <w:t xml:space="preserve">As of 25 July 2021, a total of 84 cases of suspected myocarditis/pericarditis have been reported to </w:t>
      </w:r>
      <w:r w:rsidR="008C6897">
        <w:t xml:space="preserve">the </w:t>
      </w:r>
      <w:r w:rsidRPr="005924C6">
        <w:t>TGA post</w:t>
      </w:r>
      <w:r w:rsidR="008C6897">
        <w:t xml:space="preserve">-approval of the </w:t>
      </w:r>
      <w:r w:rsidRPr="005924C6">
        <w:t>Pfizer vaccine</w:t>
      </w:r>
      <w:r w:rsidR="008C6897">
        <w:t xml:space="preserve"> [</w:t>
      </w:r>
      <w:proofErr w:type="spellStart"/>
      <w:r w:rsidR="008C6897" w:rsidRPr="008C6897">
        <w:t>Comirnaty</w:t>
      </w:r>
      <w:proofErr w:type="spellEnd"/>
      <w:r w:rsidR="008C6897">
        <w:t>]</w:t>
      </w:r>
      <w:r w:rsidRPr="005924C6">
        <w:t>. Though most reported cases have required hospitalisation, the ACV noted that the course was usually mild and self-limiting, consistent with international reports; long-term data are not yet available. The ACV also noted that myocarditis/pericarditis is a complication of COVID-19 and agreed that the risk of developing myocarditis/pericarditis due to SARS-CoV-2 infection is substantially higher than the potential risk of developing it post-vaccination.</w:t>
      </w:r>
    </w:p>
    <w:p w14:paraId="4AAEFB87" w14:textId="7EEFE7B9" w:rsidR="005C6CEC" w:rsidRPr="005924C6" w:rsidRDefault="005C6CEC" w:rsidP="005924C6">
      <w:r w:rsidRPr="005924C6">
        <w:t xml:space="preserve">The ACV advised that that use of </w:t>
      </w:r>
      <w:r w:rsidR="008C6897">
        <w:t xml:space="preserve">the </w:t>
      </w:r>
      <w:proofErr w:type="spellStart"/>
      <w:r w:rsidRPr="005924C6">
        <w:t>Spikevax</w:t>
      </w:r>
      <w:proofErr w:type="spellEnd"/>
      <w:r w:rsidR="008C6897">
        <w:t xml:space="preserve"> vaccine</w:t>
      </w:r>
      <w:r w:rsidRPr="005924C6">
        <w:t xml:space="preserve"> in patients with a history of inflammatory cardiac conditions such as rheumatic heart disease was appropriate, however those with </w:t>
      </w:r>
      <w:r w:rsidR="007931EF" w:rsidRPr="005924C6">
        <w:t>acute</w:t>
      </w:r>
      <w:r w:rsidRPr="005924C6">
        <w:t xml:space="preserve"> rheumatic heart disease should seek specialist advice on timing of vaccination. The ACV advised that </w:t>
      </w:r>
      <w:r w:rsidR="007931EF" w:rsidRPr="005924C6">
        <w:t xml:space="preserve">further </w:t>
      </w:r>
      <w:r w:rsidRPr="005924C6">
        <w:t>clinical guidance on vaccination with COVID</w:t>
      </w:r>
      <w:r w:rsidR="008C6897">
        <w:noBreakHyphen/>
      </w:r>
      <w:r w:rsidRPr="005924C6">
        <w:t xml:space="preserve">19 vaccines would be published soon, which will include guidance on specialist cardiology involvement. This is expected to address the use of vaccines in special populations including Aboriginal </w:t>
      </w:r>
      <w:r w:rsidR="008C6897">
        <w:t xml:space="preserve">Australian </w:t>
      </w:r>
      <w:r w:rsidRPr="005924C6">
        <w:t>and Torres Strait Islander people, referral and diagnosis, and clinical management of suspected cases.</w:t>
      </w:r>
      <w:r w:rsidR="007931EF" w:rsidRPr="005924C6">
        <w:rPr>
          <w:vertAlign w:val="superscript"/>
        </w:rPr>
        <w:footnoteReference w:id="39"/>
      </w:r>
    </w:p>
    <w:p w14:paraId="6788B7EC" w14:textId="773BAF81" w:rsidR="004868A2" w:rsidRPr="006E0620" w:rsidRDefault="004868A2" w:rsidP="005E4463">
      <w:pPr>
        <w:pStyle w:val="Numberbullet0"/>
        <w:numPr>
          <w:ilvl w:val="0"/>
          <w:numId w:val="7"/>
        </w:numPr>
        <w:rPr>
          <w:b/>
          <w:i/>
        </w:rPr>
      </w:pPr>
      <w:r w:rsidRPr="006E0620">
        <w:rPr>
          <w:b/>
          <w:i/>
        </w:rPr>
        <w:t>Can the ACV comment on the proposed pharmacovigilance activities? Are any additional risk mitigation strategies required?</w:t>
      </w:r>
    </w:p>
    <w:p w14:paraId="735D4BF6" w14:textId="77777777" w:rsidR="005C6CEC" w:rsidRPr="005924C6" w:rsidRDefault="005C6CEC" w:rsidP="005924C6">
      <w:r w:rsidRPr="005924C6">
        <w:t xml:space="preserve">The ACV recommended implementation of robust safety monitoring, as per the previously approved mRNA vaccine, </w:t>
      </w:r>
      <w:proofErr w:type="spellStart"/>
      <w:r w:rsidRPr="005924C6">
        <w:t>Comirnaty</w:t>
      </w:r>
      <w:proofErr w:type="spellEnd"/>
      <w:r w:rsidRPr="005924C6">
        <w:t>.</w:t>
      </w:r>
      <w:r w:rsidRPr="005924C6">
        <w:rPr>
          <w:vertAlign w:val="superscript"/>
        </w:rPr>
        <w:footnoteReference w:id="40"/>
      </w:r>
    </w:p>
    <w:p w14:paraId="5D37FFDF" w14:textId="77777777" w:rsidR="005C6CEC" w:rsidRPr="005924C6" w:rsidRDefault="005C6CEC" w:rsidP="005924C6">
      <w:r w:rsidRPr="005924C6">
        <w:t>Use of standardised forms for data collection was supported, and ethnicity including Aboriginal and Torres Strait Islander identification should be obtained.</w:t>
      </w:r>
    </w:p>
    <w:p w14:paraId="48600752" w14:textId="3DA8359F" w:rsidR="005C6CEC" w:rsidRPr="005924C6" w:rsidRDefault="005C6CEC" w:rsidP="005924C6">
      <w:r w:rsidRPr="005924C6">
        <w:t xml:space="preserve">The ACV advised that there should be direct communication with healthcare professionals in the form of </w:t>
      </w:r>
      <w:r w:rsidR="008C6897">
        <w:t xml:space="preserve">a direct healthcare professional communications </w:t>
      </w:r>
      <w:r w:rsidRPr="005924C6">
        <w:t>letter regarding</w:t>
      </w:r>
      <w:r w:rsidR="008C6897">
        <w:t xml:space="preserve"> the</w:t>
      </w:r>
      <w:r w:rsidRPr="005924C6">
        <w:t xml:space="preserve"> risk of myocarditis/pericarditis after mRNA vaccines.</w:t>
      </w:r>
    </w:p>
    <w:p w14:paraId="2705B18D" w14:textId="77777777" w:rsidR="005C6CEC" w:rsidRPr="005924C6" w:rsidRDefault="005C6CEC" w:rsidP="005924C6">
      <w:r w:rsidRPr="005924C6">
        <w:t>The ACV recommended that safety information regarding myocarditis/pericarditis be included in the Product Information and Consumer Medicines Information.</w:t>
      </w:r>
    </w:p>
    <w:p w14:paraId="2079431E" w14:textId="77777777" w:rsidR="005C6CEC" w:rsidRPr="005924C6" w:rsidRDefault="005C6CEC" w:rsidP="005924C6">
      <w:r w:rsidRPr="005924C6">
        <w:t xml:space="preserve">No specific measure to mitigate against the development of myocarditis/pericarditis has been identified at this time; however, early detection is important with reference to forthcoming clinical guidelines. </w:t>
      </w:r>
    </w:p>
    <w:p w14:paraId="694020AC" w14:textId="5D642732" w:rsidR="00744121" w:rsidRPr="006E0620" w:rsidRDefault="00744121" w:rsidP="00744121">
      <w:pPr>
        <w:pStyle w:val="Heading5"/>
      </w:pPr>
      <w:r w:rsidRPr="006E0620">
        <w:t>Conclusion</w:t>
      </w:r>
    </w:p>
    <w:p w14:paraId="549D6B80" w14:textId="78FE0B38" w:rsidR="005C6CEC" w:rsidRDefault="005C6CEC" w:rsidP="005C6CEC">
      <w:r>
        <w:t xml:space="preserve">The ACV considered </w:t>
      </w:r>
      <w:proofErr w:type="spellStart"/>
      <w:r>
        <w:t>Spikevax</w:t>
      </w:r>
      <w:proofErr w:type="spellEnd"/>
      <w:r>
        <w:t xml:space="preserve"> </w:t>
      </w:r>
      <w:proofErr w:type="spellStart"/>
      <w:r>
        <w:t>elasomeran</w:t>
      </w:r>
      <w:proofErr w:type="spellEnd"/>
      <w:r>
        <w:t xml:space="preserve"> COVID-19 vaccine to have an overall positive benefit-risk profile, and therefore support provisional approval for the following:</w:t>
      </w:r>
    </w:p>
    <w:p w14:paraId="3631E4A4" w14:textId="77777777" w:rsidR="005C6CEC" w:rsidRDefault="005C6CEC" w:rsidP="005C6CEC">
      <w:pPr>
        <w:ind w:left="720"/>
        <w:rPr>
          <w:i/>
          <w:iCs/>
        </w:rPr>
      </w:pPr>
      <w:proofErr w:type="spellStart"/>
      <w:r>
        <w:rPr>
          <w:i/>
          <w:iCs/>
        </w:rPr>
        <w:t>Spikevax</w:t>
      </w:r>
      <w:proofErr w:type="spellEnd"/>
      <w:r>
        <w:rPr>
          <w:i/>
          <w:iCs/>
        </w:rPr>
        <w:t xml:space="preserve"> (</w:t>
      </w:r>
      <w:proofErr w:type="spellStart"/>
      <w:r>
        <w:rPr>
          <w:i/>
          <w:iCs/>
        </w:rPr>
        <w:t>elasomeran</w:t>
      </w:r>
      <w:proofErr w:type="spellEnd"/>
      <w:r>
        <w:rPr>
          <w:i/>
          <w:iCs/>
        </w:rPr>
        <w:t>) COVID-19 vaccine has provisional approval for the indication below:</w:t>
      </w:r>
    </w:p>
    <w:p w14:paraId="331D4AEF" w14:textId="77777777" w:rsidR="005C6CEC" w:rsidRDefault="005C6CEC" w:rsidP="005C6CEC">
      <w:pPr>
        <w:ind w:left="1440"/>
        <w:rPr>
          <w:i/>
          <w:iCs/>
        </w:rPr>
      </w:pPr>
      <w:proofErr w:type="spellStart"/>
      <w:r>
        <w:rPr>
          <w:i/>
          <w:iCs/>
        </w:rPr>
        <w:t>Spikevax</w:t>
      </w:r>
      <w:proofErr w:type="spellEnd"/>
      <w:r>
        <w:rPr>
          <w:i/>
          <w:iCs/>
        </w:rPr>
        <w:t xml:space="preserve"> is indicated for active immunisation to prevent COVID-19 caused by SARS-CoV-2 to individuals 18 years of age and older.</w:t>
      </w:r>
    </w:p>
    <w:p w14:paraId="25290200" w14:textId="3276E22E" w:rsidR="005924C6" w:rsidRPr="00E82EFB" w:rsidRDefault="005C6CEC" w:rsidP="00585C4C">
      <w:pPr>
        <w:ind w:left="720"/>
        <w:rPr>
          <w:i/>
          <w:iCs/>
        </w:rPr>
      </w:pPr>
      <w:r>
        <w:rPr>
          <w:i/>
          <w:iCs/>
        </w:rPr>
        <w:lastRenderedPageBreak/>
        <w:t xml:space="preserve">The use of this vaccine should be in accordance with official </w:t>
      </w:r>
      <w:proofErr w:type="spellStart"/>
      <w:r>
        <w:rPr>
          <w:i/>
          <w:iCs/>
        </w:rPr>
        <w:t>recommendationsThe</w:t>
      </w:r>
      <w:proofErr w:type="spellEnd"/>
      <w:r>
        <w:rPr>
          <w:i/>
          <w:iCs/>
        </w:rPr>
        <w:t xml:space="preserve"> decision has been made </w:t>
      </w:r>
      <w:proofErr w:type="gramStart"/>
      <w:r>
        <w:rPr>
          <w:i/>
          <w:iCs/>
        </w:rPr>
        <w:t>on the basis of</w:t>
      </w:r>
      <w:proofErr w:type="gramEnd"/>
      <w:r>
        <w:rPr>
          <w:i/>
          <w:iCs/>
        </w:rPr>
        <w:t xml:space="preserve"> short-term efficacy and safety data. Continued approval depends on the evidence of longer-term efficacy and safety from ongoing clinical trials and post-market assessment.</w:t>
      </w:r>
    </w:p>
    <w:p w14:paraId="45757E29" w14:textId="7A17C6FD" w:rsidR="008E7846" w:rsidRPr="006E0620" w:rsidRDefault="008E7846" w:rsidP="008E7846">
      <w:pPr>
        <w:pStyle w:val="Heading3"/>
      </w:pPr>
      <w:bookmarkStart w:id="67" w:name="_Toc79415471"/>
      <w:r w:rsidRPr="006E0620">
        <w:t>Outcome</w:t>
      </w:r>
      <w:bookmarkEnd w:id="65"/>
      <w:bookmarkEnd w:id="66"/>
      <w:bookmarkEnd w:id="67"/>
    </w:p>
    <w:p w14:paraId="4775BCA4" w14:textId="60DA2096" w:rsidR="00744121" w:rsidRPr="006E0620" w:rsidRDefault="00744121" w:rsidP="00744121">
      <w:bookmarkStart w:id="68" w:name="_Toc247691533"/>
      <w:bookmarkStart w:id="69" w:name="_Toc314842517"/>
      <w:r w:rsidRPr="006E0620">
        <w:t xml:space="preserve">Based on a review of quality, </w:t>
      </w:r>
      <w:proofErr w:type="gramStart"/>
      <w:r w:rsidRPr="006E0620">
        <w:t>safety</w:t>
      </w:r>
      <w:proofErr w:type="gramEnd"/>
      <w:r w:rsidRPr="006E0620">
        <w:t xml:space="preserve"> and efficacy, the TGA approved the registration of </w:t>
      </w:r>
      <w:proofErr w:type="spellStart"/>
      <w:r w:rsidR="004868A2" w:rsidRPr="006E0620">
        <w:t>Spikevax</w:t>
      </w:r>
      <w:proofErr w:type="spellEnd"/>
      <w:r w:rsidR="004868A2" w:rsidRPr="006E0620">
        <w:t xml:space="preserve"> </w:t>
      </w:r>
      <w:r w:rsidRPr="006E0620">
        <w:t>(</w:t>
      </w:r>
      <w:proofErr w:type="spellStart"/>
      <w:r w:rsidR="004868A2" w:rsidRPr="006E0620">
        <w:t>elasomeran</w:t>
      </w:r>
      <w:proofErr w:type="spellEnd"/>
      <w:r w:rsidRPr="006E0620">
        <w:t xml:space="preserve">) </w:t>
      </w:r>
      <w:r w:rsidR="004868A2" w:rsidRPr="006E0620">
        <w:t>0.2 mg/mL</w:t>
      </w:r>
      <w:r w:rsidRPr="006E0620">
        <w:t xml:space="preserve">, </w:t>
      </w:r>
      <w:r w:rsidR="004868A2" w:rsidRPr="006E0620">
        <w:t>suspension for injection</w:t>
      </w:r>
      <w:r w:rsidRPr="006E0620">
        <w:t xml:space="preserve">, </w:t>
      </w:r>
      <w:r w:rsidR="004868A2" w:rsidRPr="006E0620">
        <w:t>vial</w:t>
      </w:r>
      <w:r w:rsidRPr="006E0620">
        <w:t>, indicated for:</w:t>
      </w:r>
    </w:p>
    <w:p w14:paraId="4DEEB750" w14:textId="0588C3BE" w:rsidR="00EE0789" w:rsidRPr="00011511" w:rsidRDefault="00EE0789" w:rsidP="00011511">
      <w:pPr>
        <w:ind w:left="720"/>
        <w:rPr>
          <w:i/>
          <w:iCs/>
        </w:rPr>
      </w:pPr>
      <w:proofErr w:type="spellStart"/>
      <w:r w:rsidRPr="00011511">
        <w:rPr>
          <w:i/>
          <w:iCs/>
        </w:rPr>
        <w:t>Spikevax</w:t>
      </w:r>
      <w:proofErr w:type="spellEnd"/>
      <w:r w:rsidRPr="00011511">
        <w:rPr>
          <w:i/>
          <w:iCs/>
        </w:rPr>
        <w:t xml:space="preserve"> (</w:t>
      </w:r>
      <w:proofErr w:type="spellStart"/>
      <w:r w:rsidRPr="00011511">
        <w:rPr>
          <w:i/>
          <w:iCs/>
        </w:rPr>
        <w:t>elasomeran</w:t>
      </w:r>
      <w:proofErr w:type="spellEnd"/>
      <w:r w:rsidRPr="00011511">
        <w:rPr>
          <w:i/>
          <w:iCs/>
        </w:rPr>
        <w:t>) COVID-19 vaccine has provisional approval for the indication below:</w:t>
      </w:r>
    </w:p>
    <w:p w14:paraId="18374B77" w14:textId="64E380ED" w:rsidR="00EE0789" w:rsidRPr="00011511" w:rsidRDefault="00EE0789" w:rsidP="00011511">
      <w:pPr>
        <w:ind w:left="720"/>
        <w:rPr>
          <w:i/>
          <w:iCs/>
        </w:rPr>
      </w:pPr>
      <w:r w:rsidRPr="00011511">
        <w:rPr>
          <w:i/>
          <w:iCs/>
        </w:rPr>
        <w:t>Active immunisation to prevent coronavirus disease 2019 (COVID-19) caused by SARS-CoV-2 in individuals 18 years of age and older.</w:t>
      </w:r>
    </w:p>
    <w:p w14:paraId="1C56D4D2" w14:textId="1C8ACD48" w:rsidR="00EE0789" w:rsidRPr="00011511" w:rsidRDefault="00EE0789" w:rsidP="00011511">
      <w:pPr>
        <w:ind w:left="720"/>
        <w:rPr>
          <w:i/>
          <w:iCs/>
        </w:rPr>
      </w:pPr>
      <w:r w:rsidRPr="00011511">
        <w:rPr>
          <w:i/>
          <w:iCs/>
        </w:rPr>
        <w:t>The use of this vaccine should be in accordance with official recommendations</w:t>
      </w:r>
      <w:r w:rsidR="00EA1B0E">
        <w:rPr>
          <w:i/>
          <w:iCs/>
        </w:rPr>
        <w:t>.</w:t>
      </w:r>
    </w:p>
    <w:p w14:paraId="48C9AF33" w14:textId="539E3B04" w:rsidR="000A6F52" w:rsidRPr="00011511" w:rsidRDefault="00EE0789" w:rsidP="00011511">
      <w:pPr>
        <w:ind w:left="720"/>
      </w:pPr>
      <w:r w:rsidRPr="00011511">
        <w:rPr>
          <w:i/>
          <w:iCs/>
        </w:rPr>
        <w:t xml:space="preserve">The decision has been made </w:t>
      </w:r>
      <w:proofErr w:type="gramStart"/>
      <w:r w:rsidRPr="00011511">
        <w:rPr>
          <w:i/>
          <w:iCs/>
        </w:rPr>
        <w:t>on the basis of</w:t>
      </w:r>
      <w:proofErr w:type="gramEnd"/>
      <w:r w:rsidRPr="00011511">
        <w:rPr>
          <w:i/>
          <w:iCs/>
        </w:rPr>
        <w:t xml:space="preserve"> short-term efficacy and safety data. Continued</w:t>
      </w:r>
      <w:r w:rsidR="00EA1B0E">
        <w:rPr>
          <w:i/>
          <w:iCs/>
        </w:rPr>
        <w:t xml:space="preserve"> </w:t>
      </w:r>
      <w:r w:rsidRPr="00011511">
        <w:rPr>
          <w:i/>
          <w:iCs/>
        </w:rPr>
        <w:t xml:space="preserve">approval depends on the evidence of </w:t>
      </w:r>
      <w:proofErr w:type="gramStart"/>
      <w:r w:rsidRPr="00011511">
        <w:rPr>
          <w:i/>
          <w:iCs/>
        </w:rPr>
        <w:t>longer term</w:t>
      </w:r>
      <w:proofErr w:type="gramEnd"/>
      <w:r w:rsidRPr="00011511">
        <w:rPr>
          <w:i/>
          <w:iCs/>
        </w:rPr>
        <w:t xml:space="preserve"> efficacy and safety from ongoing clinical trials and post-market assessment.</w:t>
      </w:r>
    </w:p>
    <w:p w14:paraId="521A244A" w14:textId="27E3913D" w:rsidR="00D23139" w:rsidRDefault="00D23139" w:rsidP="00D23139">
      <w:pPr>
        <w:pStyle w:val="Heading4"/>
      </w:pPr>
      <w:r w:rsidRPr="006E0620">
        <w:t>Specific conditions of registration applying to these goods</w:t>
      </w:r>
    </w:p>
    <w:p w14:paraId="35EE4DE7" w14:textId="77777777" w:rsidR="00845456" w:rsidRPr="00B83451" w:rsidRDefault="00845456" w:rsidP="00845456">
      <w:pPr>
        <w:pStyle w:val="ListBullet"/>
      </w:pPr>
      <w:r w:rsidRPr="00B83451">
        <w:t>R</w:t>
      </w:r>
      <w:r>
        <w:t>isk management plan</w:t>
      </w:r>
    </w:p>
    <w:p w14:paraId="122F5496" w14:textId="77777777" w:rsidR="00845456" w:rsidRPr="00B83451" w:rsidRDefault="00845456" w:rsidP="00845456">
      <w:pPr>
        <w:pStyle w:val="ListBullet"/>
        <w:numPr>
          <w:ilvl w:val="0"/>
          <w:numId w:val="0"/>
        </w:numPr>
        <w:ind w:left="360"/>
      </w:pPr>
      <w:proofErr w:type="spellStart"/>
      <w:r w:rsidRPr="00B83451">
        <w:t>Spikevax</w:t>
      </w:r>
      <w:proofErr w:type="spellEnd"/>
      <w:r w:rsidRPr="00B83451">
        <w:t xml:space="preserve"> (</w:t>
      </w:r>
      <w:proofErr w:type="spellStart"/>
      <w:r w:rsidRPr="00B83451">
        <w:t>elasomeran</w:t>
      </w:r>
      <w:proofErr w:type="spellEnd"/>
      <w:r w:rsidRPr="00B83451">
        <w:t xml:space="preserve">) COVID-19 </w:t>
      </w:r>
      <w:r>
        <w:t>v</w:t>
      </w:r>
      <w:r w:rsidRPr="00B83451">
        <w:t>accine is to be included in the Black Triangle</w:t>
      </w:r>
      <w:r>
        <w:t xml:space="preserve"> </w:t>
      </w:r>
      <w:r w:rsidRPr="00B83451">
        <w:t xml:space="preserve">Scheme. The PI and CMI for </w:t>
      </w:r>
      <w:proofErr w:type="spellStart"/>
      <w:r w:rsidRPr="00B83451">
        <w:t>Spikevax</w:t>
      </w:r>
      <w:proofErr w:type="spellEnd"/>
      <w:r w:rsidRPr="00B83451">
        <w:t xml:space="preserve"> must include the black triangle symbol and</w:t>
      </w:r>
      <w:r>
        <w:t xml:space="preserve"> </w:t>
      </w:r>
      <w:r w:rsidRPr="00B83451">
        <w:t>mandatory accompanying text for the period of provisional registration.</w:t>
      </w:r>
    </w:p>
    <w:p w14:paraId="3CCCC4C7" w14:textId="77777777" w:rsidR="00845456" w:rsidRPr="00B83451" w:rsidRDefault="00845456" w:rsidP="00845456">
      <w:pPr>
        <w:pStyle w:val="ListBullet"/>
        <w:numPr>
          <w:ilvl w:val="0"/>
          <w:numId w:val="0"/>
        </w:numPr>
        <w:ind w:left="360"/>
      </w:pPr>
      <w:r w:rsidRPr="00B83451">
        <w:t xml:space="preserve">The </w:t>
      </w:r>
      <w:proofErr w:type="spellStart"/>
      <w:r w:rsidRPr="00B83451">
        <w:t>Spikevax</w:t>
      </w:r>
      <w:proofErr w:type="spellEnd"/>
      <w:r w:rsidRPr="00B83451">
        <w:t xml:space="preserve"> EU-RMP (version 2.1, dated 15 July 2021;</w:t>
      </w:r>
      <w:r>
        <w:t xml:space="preserve"> </w:t>
      </w:r>
      <w:r w:rsidRPr="00B83451">
        <w:t xml:space="preserve">DLP 31 May 2021), with Australian Specific </w:t>
      </w:r>
      <w:r>
        <w:t>a</w:t>
      </w:r>
      <w:r w:rsidRPr="00B83451">
        <w:t>nnex (version 0.2, dated 22 July</w:t>
      </w:r>
      <w:r>
        <w:t xml:space="preserve"> </w:t>
      </w:r>
      <w:r w:rsidRPr="00B83451">
        <w:t>2021), included with submission PM</w:t>
      </w:r>
      <w:r>
        <w:noBreakHyphen/>
      </w:r>
      <w:r w:rsidRPr="00B83451">
        <w:t>2021-02994-1-2, and any subsequent</w:t>
      </w:r>
      <w:r>
        <w:t xml:space="preserve"> </w:t>
      </w:r>
      <w:r w:rsidRPr="00B83451">
        <w:t>revisions, as agreed with the TGA will be implemented in Australia.</w:t>
      </w:r>
    </w:p>
    <w:p w14:paraId="16A5C84F" w14:textId="77777777" w:rsidR="00845456" w:rsidRPr="00B83451" w:rsidRDefault="00845456" w:rsidP="00845456">
      <w:pPr>
        <w:pStyle w:val="ListBullet"/>
        <w:numPr>
          <w:ilvl w:val="0"/>
          <w:numId w:val="0"/>
        </w:numPr>
        <w:ind w:left="360"/>
      </w:pPr>
      <w:r w:rsidRPr="00B83451">
        <w:t>An obligatory component of risk management plans is routine</w:t>
      </w:r>
      <w:r>
        <w:t xml:space="preserve"> </w:t>
      </w:r>
      <w:r w:rsidRPr="00B83451">
        <w:t>pharmacovigilance. Routine pharmacovigilance includes the submission of</w:t>
      </w:r>
      <w:r>
        <w:t xml:space="preserve"> </w:t>
      </w:r>
      <w:r w:rsidRPr="00B83451">
        <w:t>periodic safety update reports (PSURs).</w:t>
      </w:r>
    </w:p>
    <w:p w14:paraId="71023325" w14:textId="77777777" w:rsidR="00845456" w:rsidRPr="00B83451" w:rsidRDefault="00845456" w:rsidP="00845456">
      <w:pPr>
        <w:pStyle w:val="ListBullet"/>
        <w:numPr>
          <w:ilvl w:val="0"/>
          <w:numId w:val="0"/>
        </w:numPr>
        <w:ind w:left="360"/>
      </w:pPr>
      <w:r w:rsidRPr="00B83451">
        <w:t>Unless agreed separately between the supplier who is the recipient of the</w:t>
      </w:r>
      <w:r>
        <w:t xml:space="preserve"> </w:t>
      </w:r>
      <w:r w:rsidRPr="00B83451">
        <w:t>approval and the TGA, the first report must be submitted to TGA no later than 15</w:t>
      </w:r>
      <w:r>
        <w:t xml:space="preserve"> </w:t>
      </w:r>
      <w:r w:rsidRPr="00B83451">
        <w:t xml:space="preserve">calendar months after the date of </w:t>
      </w:r>
      <w:r>
        <w:t>the</w:t>
      </w:r>
      <w:r w:rsidRPr="00B83451">
        <w:t xml:space="preserve"> approval letter. The subsequent reports</w:t>
      </w:r>
      <w:r>
        <w:t xml:space="preserve"> </w:t>
      </w:r>
      <w:r w:rsidRPr="00B83451">
        <w:t>must be submitted no less frequently than annually from the date of the first</w:t>
      </w:r>
      <w:r>
        <w:t xml:space="preserve"> </w:t>
      </w:r>
      <w:r w:rsidRPr="00B83451">
        <w:t>submitted report until the period covered by such reports is not less than three</w:t>
      </w:r>
      <w:r>
        <w:t xml:space="preserve"> </w:t>
      </w:r>
      <w:r w:rsidRPr="00B83451">
        <w:t xml:space="preserve">years from the date of </w:t>
      </w:r>
      <w:r>
        <w:t>the</w:t>
      </w:r>
      <w:r w:rsidRPr="00B83451">
        <w:t xml:space="preserve"> approval letter, or the entire period of provisional</w:t>
      </w:r>
      <w:r>
        <w:t xml:space="preserve"> </w:t>
      </w:r>
      <w:r w:rsidRPr="00B83451">
        <w:t>registration, whichever is longer.</w:t>
      </w:r>
    </w:p>
    <w:p w14:paraId="7C711856" w14:textId="72FEE22F" w:rsidR="00845456" w:rsidRPr="00B83451" w:rsidRDefault="00845456" w:rsidP="00845456">
      <w:pPr>
        <w:pStyle w:val="ListBullet"/>
        <w:numPr>
          <w:ilvl w:val="0"/>
          <w:numId w:val="0"/>
        </w:numPr>
        <w:ind w:left="360"/>
      </w:pPr>
      <w:r w:rsidRPr="00B83451">
        <w:t>The reports are to at least meet the requirements for PSURs as described in the</w:t>
      </w:r>
      <w:r>
        <w:t xml:space="preserve"> EMA</w:t>
      </w:r>
      <w:r w:rsidRPr="00B83451">
        <w:t>’s Guideline on Good Pharmacovigilance Practices</w:t>
      </w:r>
      <w:r>
        <w:t xml:space="preserve"> </w:t>
      </w:r>
      <w:r w:rsidRPr="00B83451">
        <w:t>Module VII-</w:t>
      </w:r>
      <w:r w:rsidR="00EC3F99" w:rsidRPr="00EC3F99">
        <w:t xml:space="preserve">Periodic Safety Update Report </w:t>
      </w:r>
      <w:r w:rsidRPr="00B83451">
        <w:t xml:space="preserve">(Rev 1), Part VII.B </w:t>
      </w:r>
      <w:r w:rsidR="00EC3F99" w:rsidRPr="00B83451">
        <w:t>Structures</w:t>
      </w:r>
      <w:r w:rsidR="00EC3F99">
        <w:t xml:space="preserve"> </w:t>
      </w:r>
      <w:proofErr w:type="gramStart"/>
      <w:r w:rsidR="00EC3F99" w:rsidRPr="00B83451">
        <w:t>And</w:t>
      </w:r>
      <w:proofErr w:type="gramEnd"/>
      <w:r w:rsidR="00EC3F99" w:rsidRPr="00B83451">
        <w:t xml:space="preserve"> Processes</w:t>
      </w:r>
      <w:r w:rsidRPr="00B83451">
        <w:t>. Note that submission of a PSUR does not constitute an application</w:t>
      </w:r>
      <w:r>
        <w:t xml:space="preserve"> </w:t>
      </w:r>
      <w:r w:rsidRPr="00B83451">
        <w:t>to vary the registration. Each report must have been prepared within ninety</w:t>
      </w:r>
      <w:r>
        <w:t xml:space="preserve"> </w:t>
      </w:r>
      <w:r w:rsidRPr="00B83451">
        <w:t>calendar days of the data lock point for that report.</w:t>
      </w:r>
    </w:p>
    <w:p w14:paraId="19BF8BDD" w14:textId="77777777" w:rsidR="00845456" w:rsidRDefault="00845456" w:rsidP="00845456">
      <w:pPr>
        <w:pStyle w:val="ListBullet"/>
        <w:numPr>
          <w:ilvl w:val="0"/>
          <w:numId w:val="0"/>
        </w:numPr>
        <w:ind w:left="360"/>
      </w:pPr>
      <w:r w:rsidRPr="00B83451">
        <w:t>Additional to the routine submission of the routine PSURs, expedited monthly,</w:t>
      </w:r>
      <w:r>
        <w:t xml:space="preserve"> </w:t>
      </w:r>
      <w:proofErr w:type="spellStart"/>
      <w:r w:rsidRPr="00B83451">
        <w:t>Spikevax</w:t>
      </w:r>
      <w:proofErr w:type="spellEnd"/>
      <w:r w:rsidRPr="00B83451">
        <w:t xml:space="preserve"> safety summary reports (including safety data for patients in Australia)</w:t>
      </w:r>
      <w:r>
        <w:t xml:space="preserve"> </w:t>
      </w:r>
      <w:r w:rsidRPr="00B83451">
        <w:t>are to be provided for the first 6 months post registration, and thereafter at</w:t>
      </w:r>
      <w:r>
        <w:t xml:space="preserve"> </w:t>
      </w:r>
      <w:r w:rsidRPr="00B83451">
        <w:t>intervals specified by the TGA.</w:t>
      </w:r>
    </w:p>
    <w:p w14:paraId="00101946" w14:textId="564B7565" w:rsidR="00EE0789" w:rsidRPr="00EE0789" w:rsidRDefault="000A6F52" w:rsidP="00483776">
      <w:pPr>
        <w:pStyle w:val="ListBullet"/>
      </w:pPr>
      <w:r w:rsidRPr="00EE0789">
        <w:t>Clinical</w:t>
      </w:r>
    </w:p>
    <w:p w14:paraId="76D8095A" w14:textId="07BDE141" w:rsidR="00EE0789" w:rsidRPr="00EE0789" w:rsidRDefault="00EE0789" w:rsidP="00483776">
      <w:pPr>
        <w:pStyle w:val="ListBullet"/>
        <w:numPr>
          <w:ilvl w:val="0"/>
          <w:numId w:val="0"/>
        </w:numPr>
        <w:ind w:left="360"/>
      </w:pPr>
      <w:r w:rsidRPr="00EE0789">
        <w:lastRenderedPageBreak/>
        <w:t>The following reports/data will have to be submitted before a definitive authori</w:t>
      </w:r>
      <w:r w:rsidR="000A6F52">
        <w:t>s</w:t>
      </w:r>
      <w:r w:rsidRPr="00EE0789">
        <w:t>ation</w:t>
      </w:r>
      <w:r w:rsidR="00971EE1">
        <w:t xml:space="preserve"> </w:t>
      </w:r>
      <w:r w:rsidRPr="00EE0789">
        <w:t>can be considered:</w:t>
      </w:r>
    </w:p>
    <w:p w14:paraId="670263C1" w14:textId="7D514DD7" w:rsidR="00EE0789" w:rsidRPr="00EE0789" w:rsidRDefault="00EE0789" w:rsidP="00483776">
      <w:pPr>
        <w:pStyle w:val="ListBullet2"/>
      </w:pPr>
      <w:r w:rsidRPr="00EE0789">
        <w:t xml:space="preserve">Submit safety analysis at 6 months post Dose 2 from Phase </w:t>
      </w:r>
      <w:r w:rsidR="00645CFD">
        <w:t>I</w:t>
      </w:r>
      <w:r w:rsidRPr="00EE0789">
        <w:t xml:space="preserve">, </w:t>
      </w:r>
      <w:r w:rsidR="00645CFD">
        <w:t>II</w:t>
      </w:r>
      <w:r w:rsidRPr="00EE0789">
        <w:t xml:space="preserve"> Study when the</w:t>
      </w:r>
      <w:r w:rsidR="00645CFD">
        <w:t xml:space="preserve"> </w:t>
      </w:r>
      <w:r w:rsidRPr="00EE0789">
        <w:t>analysis is available</w:t>
      </w:r>
    </w:p>
    <w:p w14:paraId="649B922B" w14:textId="50ADC163" w:rsidR="00EE0789" w:rsidRPr="00EE0789" w:rsidRDefault="00EE0789" w:rsidP="00483776">
      <w:pPr>
        <w:pStyle w:val="ListBullet2"/>
      </w:pPr>
      <w:r w:rsidRPr="00EE0789">
        <w:t xml:space="preserve">Submit the clinical study report for Study 301 (Phase </w:t>
      </w:r>
      <w:r w:rsidR="00645CFD">
        <w:t>III</w:t>
      </w:r>
      <w:r w:rsidRPr="00EE0789">
        <w:t>) and Study 201 (Phase</w:t>
      </w:r>
      <w:r w:rsidR="00645CFD">
        <w:t xml:space="preserve"> II</w:t>
      </w:r>
      <w:r w:rsidRPr="00EE0789">
        <w:t>) when ready. Please also submit the final report for these studies with 24</w:t>
      </w:r>
      <w:r w:rsidR="00645CFD">
        <w:t xml:space="preserve"> </w:t>
      </w:r>
      <w:r w:rsidRPr="00EE0789">
        <w:t>months follow up duration when it became available.</w:t>
      </w:r>
    </w:p>
    <w:p w14:paraId="3F436E7D" w14:textId="2F1DCC82" w:rsidR="00EE0789" w:rsidRPr="00EE0789" w:rsidRDefault="00EE0789" w:rsidP="00483776">
      <w:pPr>
        <w:pStyle w:val="ListBullet2"/>
      </w:pPr>
      <w:r w:rsidRPr="00EE0789">
        <w:t>Submit the immunogenicity data for Study 301</w:t>
      </w:r>
    </w:p>
    <w:p w14:paraId="335B92CC" w14:textId="745C2B9F" w:rsidR="00EE0789" w:rsidRDefault="00EE0789" w:rsidP="00483776">
      <w:pPr>
        <w:pStyle w:val="ListBullet2"/>
      </w:pPr>
      <w:r w:rsidRPr="00EE0789">
        <w:t>When available, please provide:</w:t>
      </w:r>
    </w:p>
    <w:p w14:paraId="78792E3B" w14:textId="0A5EBD42" w:rsidR="00EE0789" w:rsidRPr="00EE0789" w:rsidRDefault="00EE0789" w:rsidP="00483776">
      <w:pPr>
        <w:pStyle w:val="ListBullet2"/>
        <w:numPr>
          <w:ilvl w:val="0"/>
          <w:numId w:val="0"/>
        </w:numPr>
        <w:ind w:left="720"/>
      </w:pPr>
      <w:r w:rsidRPr="00EE0789">
        <w:t>Further data relating to vaccine efficacy against asymptomatic disease, efficacy</w:t>
      </w:r>
      <w:r w:rsidR="00645CFD">
        <w:t xml:space="preserve"> </w:t>
      </w:r>
      <w:r w:rsidRPr="00EE0789">
        <w:t>against SARS-CoV-2 transmission, vaccine efficacy in immunocompromised</w:t>
      </w:r>
      <w:r w:rsidR="00645CFD">
        <w:t xml:space="preserve"> </w:t>
      </w:r>
      <w:r w:rsidRPr="00EE0789">
        <w:t>subjects, efficacy in subjects with autoimmune conditions, efficacy against</w:t>
      </w:r>
      <w:r w:rsidR="00645CFD">
        <w:t xml:space="preserve"> </w:t>
      </w:r>
      <w:r w:rsidRPr="00EE0789">
        <w:t>variants of concern, pregnant women, lactating mothers, and information relating</w:t>
      </w:r>
      <w:r w:rsidR="00645CFD">
        <w:t xml:space="preserve"> </w:t>
      </w:r>
      <w:r w:rsidRPr="00EE0789">
        <w:t>to post-market safety and effectiveness studies should be provided to the TGA to</w:t>
      </w:r>
      <w:r w:rsidR="00645CFD">
        <w:t xml:space="preserve"> </w:t>
      </w:r>
      <w:r w:rsidRPr="00EE0789">
        <w:t>update the P</w:t>
      </w:r>
      <w:r w:rsidR="00645CFD">
        <w:t>I</w:t>
      </w:r>
      <w:r w:rsidRPr="00EE0789">
        <w:t>.</w:t>
      </w:r>
    </w:p>
    <w:p w14:paraId="0C3F8440" w14:textId="6D381EF3" w:rsidR="00EE0789" w:rsidRPr="00EE0789" w:rsidRDefault="00EE0789" w:rsidP="00483776">
      <w:pPr>
        <w:pStyle w:val="ListBullet2"/>
      </w:pPr>
      <w:r w:rsidRPr="00EE0789">
        <w:t xml:space="preserve">Please also provide </w:t>
      </w:r>
      <w:r w:rsidR="00645CFD">
        <w:t>r</w:t>
      </w:r>
      <w:r w:rsidRPr="00EE0789">
        <w:t>eal world post market global/local efficacy data, when</w:t>
      </w:r>
      <w:r w:rsidR="00645CFD">
        <w:t xml:space="preserve"> </w:t>
      </w:r>
      <w:r w:rsidRPr="00EE0789">
        <w:t>available.</w:t>
      </w:r>
    </w:p>
    <w:p w14:paraId="7D42F647" w14:textId="57237476" w:rsidR="00EE0789" w:rsidRPr="00EE0789" w:rsidRDefault="00EE0789" w:rsidP="00483776">
      <w:pPr>
        <w:pStyle w:val="ListBullet"/>
      </w:pPr>
      <w:r w:rsidRPr="00EE0789">
        <w:t>Confirmatory trial data (as identified in the sponsor’s plan to submit comprehensive</w:t>
      </w:r>
      <w:r w:rsidR="00971EE1">
        <w:t xml:space="preserve"> </w:t>
      </w:r>
      <w:r w:rsidRPr="00EE0789">
        <w:t>clinical data on the safety and efficacy of the medicine before the end of the 6 years that</w:t>
      </w:r>
      <w:r w:rsidR="00971EE1">
        <w:t xml:space="preserve"> </w:t>
      </w:r>
      <w:r w:rsidRPr="00EE0789">
        <w:t>would start on the day that registration would commence) must be provided.</w:t>
      </w:r>
    </w:p>
    <w:p w14:paraId="48744213" w14:textId="5C89AC71" w:rsidR="00EE0789" w:rsidRPr="00EE0789" w:rsidRDefault="00971EE1" w:rsidP="00483776">
      <w:pPr>
        <w:pStyle w:val="ListBullet"/>
      </w:pPr>
      <w:r w:rsidRPr="00EE0789">
        <w:t>Quality</w:t>
      </w:r>
    </w:p>
    <w:p w14:paraId="2F17B85B" w14:textId="397EE699" w:rsidR="00EE0789" w:rsidRPr="00EE0789" w:rsidRDefault="00633C39" w:rsidP="00483776">
      <w:pPr>
        <w:pStyle w:val="ListBullet"/>
        <w:numPr>
          <w:ilvl w:val="0"/>
          <w:numId w:val="0"/>
        </w:numPr>
        <w:ind w:left="360"/>
      </w:pPr>
      <w:r w:rsidRPr="00EE0789">
        <w:t>Batch release testing and compliance</w:t>
      </w:r>
    </w:p>
    <w:p w14:paraId="2657911C" w14:textId="6932AD5D" w:rsidR="00EE0789" w:rsidRPr="00EE0789" w:rsidRDefault="00633C39" w:rsidP="00483776">
      <w:pPr>
        <w:pStyle w:val="ListBullet"/>
        <w:numPr>
          <w:ilvl w:val="0"/>
          <w:numId w:val="0"/>
        </w:numPr>
        <w:ind w:left="360"/>
      </w:pPr>
      <w:r w:rsidRPr="00EE0789">
        <w:t>Batch release testing and compliance with the certified product</w:t>
      </w:r>
      <w:r>
        <w:t xml:space="preserve"> </w:t>
      </w:r>
      <w:r w:rsidRPr="00EE0789">
        <w:t xml:space="preserve">details conditions of provisional registration for </w:t>
      </w:r>
      <w:proofErr w:type="spellStart"/>
      <w:r w:rsidRPr="00EE0789">
        <w:t>Spikevax</w:t>
      </w:r>
      <w:proofErr w:type="spellEnd"/>
      <w:r>
        <w:t>.</w:t>
      </w:r>
    </w:p>
    <w:p w14:paraId="44ADAE13" w14:textId="7F684D0F" w:rsidR="00EE0789" w:rsidRPr="00EE0789" w:rsidRDefault="00EE0789" w:rsidP="00483776">
      <w:pPr>
        <w:pStyle w:val="ListBullet"/>
        <w:numPr>
          <w:ilvl w:val="0"/>
          <w:numId w:val="0"/>
        </w:numPr>
        <w:ind w:left="360"/>
      </w:pPr>
      <w:r w:rsidRPr="00EE0789">
        <w:t xml:space="preserve">It is a condition of registration that all independent batches of </w:t>
      </w:r>
      <w:proofErr w:type="spellStart"/>
      <w:r w:rsidR="00633C39" w:rsidRPr="00EE0789">
        <w:t>Spikevax</w:t>
      </w:r>
      <w:proofErr w:type="spellEnd"/>
      <w:r w:rsidR="00633C39" w:rsidRPr="00EE0789">
        <w:t xml:space="preserve"> </w:t>
      </w:r>
      <w:proofErr w:type="spellStart"/>
      <w:r w:rsidRPr="00EE0789">
        <w:t>elasomeran</w:t>
      </w:r>
      <w:proofErr w:type="spellEnd"/>
      <w:r w:rsidR="00633C39">
        <w:t xml:space="preserve"> </w:t>
      </w:r>
      <w:r w:rsidRPr="00EE0789">
        <w:t xml:space="preserve">COVID-19 </w:t>
      </w:r>
      <w:r w:rsidR="00633C39">
        <w:t>v</w:t>
      </w:r>
      <w:r w:rsidRPr="00EE0789">
        <w:t>accine 0.2</w:t>
      </w:r>
      <w:r w:rsidR="00EC3F99">
        <w:t> </w:t>
      </w:r>
      <w:r w:rsidRPr="00EE0789">
        <w:t>mg/mL suspension for injection vial imported into Australia</w:t>
      </w:r>
      <w:r w:rsidR="00633C39">
        <w:t xml:space="preserve"> </w:t>
      </w:r>
      <w:r w:rsidRPr="00EE0789">
        <w:t>are not released for supply by or on behalf of the sponsor until samples and the</w:t>
      </w:r>
      <w:r w:rsidR="00633C39">
        <w:t xml:space="preserve"> </w:t>
      </w:r>
      <w:r w:rsidRPr="00EE0789">
        <w:t>manufacturer’s release data have been assessed and you have received notification</w:t>
      </w:r>
      <w:r w:rsidR="00633C39">
        <w:t xml:space="preserve"> </w:t>
      </w:r>
      <w:r w:rsidRPr="00EE0789">
        <w:t>acknowledging release from the Laboratories Branch, TGA.</w:t>
      </w:r>
    </w:p>
    <w:p w14:paraId="39FD4B23" w14:textId="2EF79F08" w:rsidR="00EE0789" w:rsidRPr="00EE0789" w:rsidRDefault="00EE0789" w:rsidP="00483776">
      <w:pPr>
        <w:pStyle w:val="ListBullet"/>
        <w:numPr>
          <w:ilvl w:val="0"/>
          <w:numId w:val="0"/>
        </w:numPr>
        <w:ind w:left="360"/>
      </w:pPr>
      <w:r w:rsidRPr="00EE0789">
        <w:t xml:space="preserve">For each independent batch of the product imported into Australia, the </w:t>
      </w:r>
      <w:r w:rsidR="00633C39">
        <w:t>s</w:t>
      </w:r>
      <w:r w:rsidRPr="00EE0789">
        <w:t>ponsor must</w:t>
      </w:r>
      <w:r w:rsidR="00633C39">
        <w:t xml:space="preserve"> </w:t>
      </w:r>
      <w:r w:rsidRPr="00EE0789">
        <w:t>supply the following:</w:t>
      </w:r>
    </w:p>
    <w:p w14:paraId="453862B8" w14:textId="4241EBBC" w:rsidR="00EE0789" w:rsidRPr="00EE0789" w:rsidRDefault="00EE0789" w:rsidP="00483776">
      <w:pPr>
        <w:pStyle w:val="ListBullet2"/>
      </w:pPr>
      <w:r w:rsidRPr="00EE0789">
        <w:t xml:space="preserve">A completed </w:t>
      </w:r>
      <w:r w:rsidR="00633C39" w:rsidRPr="00EE0789">
        <w:t>request for release form</w:t>
      </w:r>
      <w:r w:rsidRPr="00EE0789">
        <w:t>, available from vaccines@health.gov.au.</w:t>
      </w:r>
    </w:p>
    <w:p w14:paraId="0FA2C314" w14:textId="128B7F01" w:rsidR="00EE0789" w:rsidRPr="00EE0789" w:rsidRDefault="00EE0789" w:rsidP="00483776">
      <w:pPr>
        <w:pStyle w:val="ListBullet2"/>
      </w:pPr>
      <w:r w:rsidRPr="00EE0789">
        <w:t xml:space="preserve">Complete summary protocols for manufacture and </w:t>
      </w:r>
      <w:r w:rsidR="00633C39">
        <w:t>quality control</w:t>
      </w:r>
      <w:r w:rsidRPr="00EE0789">
        <w:t>, including all steps in</w:t>
      </w:r>
      <w:r w:rsidR="00633C39">
        <w:t xml:space="preserve"> </w:t>
      </w:r>
      <w:r w:rsidRPr="00EE0789">
        <w:t>production in the agreed format.</w:t>
      </w:r>
    </w:p>
    <w:p w14:paraId="1FB3D399" w14:textId="27BBAEB9" w:rsidR="00EE0789" w:rsidRPr="00EE0789" w:rsidRDefault="00EE0789" w:rsidP="00483776">
      <w:pPr>
        <w:pStyle w:val="ListBullet2"/>
      </w:pPr>
      <w:r w:rsidRPr="00EE0789">
        <w:t>At least 10 (ten) vials (</w:t>
      </w:r>
      <w:r w:rsidR="00633C39">
        <w:t>s</w:t>
      </w:r>
      <w:r w:rsidRPr="00EE0789">
        <w:t xml:space="preserve">amples) of each manufacturing batch of </w:t>
      </w:r>
      <w:proofErr w:type="spellStart"/>
      <w:r w:rsidR="00633C39" w:rsidRPr="00EE0789">
        <w:t>Spikevax</w:t>
      </w:r>
      <w:proofErr w:type="spellEnd"/>
      <w:r w:rsidR="00633C39">
        <w:t xml:space="preserve"> </w:t>
      </w:r>
      <w:proofErr w:type="spellStart"/>
      <w:r w:rsidRPr="00EE0789">
        <w:t>elasomeran</w:t>
      </w:r>
      <w:proofErr w:type="spellEnd"/>
      <w:r w:rsidRPr="00EE0789">
        <w:t xml:space="preserve"> 0.2</w:t>
      </w:r>
      <w:r w:rsidR="00633C39">
        <w:t> </w:t>
      </w:r>
      <w:r w:rsidRPr="00EE0789">
        <w:t>mg/mL suspension for injection vial with the Australian</w:t>
      </w:r>
      <w:r w:rsidR="00633C39">
        <w:t xml:space="preserve"> </w:t>
      </w:r>
      <w:r w:rsidRPr="00EE0789">
        <w:t>approved labels, PI and packaging (unless an exemption to supply these has</w:t>
      </w:r>
      <w:r w:rsidR="00633C39">
        <w:t xml:space="preserve"> </w:t>
      </w:r>
      <w:r w:rsidRPr="00EE0789">
        <w:t>been granted) representative of all batches of product seeking distribution in</w:t>
      </w:r>
      <w:r w:rsidR="00633C39">
        <w:t xml:space="preserve"> </w:t>
      </w:r>
      <w:r w:rsidRPr="00EE0789">
        <w:t>Australia.</w:t>
      </w:r>
    </w:p>
    <w:p w14:paraId="4A6E44E5" w14:textId="0FD4C10A" w:rsidR="00EE0789" w:rsidRPr="00EE0789" w:rsidRDefault="00EE0789" w:rsidP="00483776">
      <w:pPr>
        <w:pStyle w:val="ListBullet2"/>
      </w:pPr>
      <w:r w:rsidRPr="00EE0789">
        <w:t>At least 5 (five) vials (</w:t>
      </w:r>
      <w:r w:rsidR="00633C39">
        <w:t>s</w:t>
      </w:r>
      <w:r w:rsidRPr="00EE0789">
        <w:t>amples) of any further consignments of a manufacturing</w:t>
      </w:r>
      <w:r w:rsidR="00633C39">
        <w:t xml:space="preserve"> </w:t>
      </w:r>
      <w:r w:rsidRPr="00EE0789">
        <w:t xml:space="preserve">batch of </w:t>
      </w:r>
      <w:proofErr w:type="spellStart"/>
      <w:r w:rsidR="00633C39" w:rsidRPr="00EE0789">
        <w:t>Spikevax</w:t>
      </w:r>
      <w:proofErr w:type="spellEnd"/>
      <w:r w:rsidR="00633C39" w:rsidRPr="00EE0789">
        <w:t xml:space="preserve"> </w:t>
      </w:r>
      <w:proofErr w:type="spellStart"/>
      <w:r w:rsidRPr="00EE0789">
        <w:t>elasomeran</w:t>
      </w:r>
      <w:proofErr w:type="spellEnd"/>
      <w:r w:rsidRPr="00EE0789">
        <w:t xml:space="preserve"> 0.2</w:t>
      </w:r>
      <w:r w:rsidR="00633C39">
        <w:t> </w:t>
      </w:r>
      <w:r w:rsidRPr="00EE0789">
        <w:t>mg/mL suspension for injection vial with</w:t>
      </w:r>
      <w:r w:rsidR="00633C39">
        <w:t xml:space="preserve"> </w:t>
      </w:r>
      <w:r w:rsidRPr="00EE0789">
        <w:t xml:space="preserve">the Australian approved labels, </w:t>
      </w:r>
      <w:proofErr w:type="gramStart"/>
      <w:r w:rsidRPr="00EE0789">
        <w:t>PI</w:t>
      </w:r>
      <w:proofErr w:type="gramEnd"/>
      <w:r w:rsidRPr="00EE0789">
        <w:t xml:space="preserve"> and packaging (unless an exemption to</w:t>
      </w:r>
      <w:r w:rsidR="00633C39">
        <w:t xml:space="preserve"> </w:t>
      </w:r>
      <w:r w:rsidRPr="00EE0789">
        <w:t>supply these has been granted). Further consignments cover batches previously</w:t>
      </w:r>
      <w:r w:rsidR="00633C39">
        <w:t xml:space="preserve"> </w:t>
      </w:r>
      <w:r w:rsidRPr="00EE0789">
        <w:t>supplied to TGA for the purposes of batch release testing but are seeking to be</w:t>
      </w:r>
      <w:r w:rsidR="00633C39">
        <w:t xml:space="preserve"> </w:t>
      </w:r>
      <w:r w:rsidRPr="00EE0789">
        <w:t>supplied again.</w:t>
      </w:r>
    </w:p>
    <w:p w14:paraId="5785535E" w14:textId="2CB673CC" w:rsidR="00EE0789" w:rsidRPr="00EE0789" w:rsidRDefault="00EE0789" w:rsidP="00483776">
      <w:pPr>
        <w:pStyle w:val="ListBullet2"/>
      </w:pPr>
      <w:r w:rsidRPr="00EE0789">
        <w:t>If the manufacturing batch has been released in Europe or U</w:t>
      </w:r>
      <w:r w:rsidR="00633C39">
        <w:t>K</w:t>
      </w:r>
      <w:r w:rsidRPr="00EE0789">
        <w:t xml:space="preserve"> a</w:t>
      </w:r>
      <w:r w:rsidR="00633C39">
        <w:t xml:space="preserve"> </w:t>
      </w:r>
      <w:r w:rsidRPr="00EE0789">
        <w:t>copy of the EU</w:t>
      </w:r>
      <w:r w:rsidR="00EC3F99">
        <w:t>-</w:t>
      </w:r>
      <w:r w:rsidRPr="00EE0789">
        <w:t>OCABR certificate (or</w:t>
      </w:r>
      <w:r w:rsidR="00633C39">
        <w:t xml:space="preserve"> </w:t>
      </w:r>
      <w:r w:rsidRPr="00EE0789">
        <w:t>equivalent from the UK) must be provided.</w:t>
      </w:r>
    </w:p>
    <w:p w14:paraId="1239D44E" w14:textId="741842D1" w:rsidR="00EE0789" w:rsidRDefault="00EE0789" w:rsidP="00483776">
      <w:pPr>
        <w:pStyle w:val="ListBullet2"/>
      </w:pPr>
      <w:r w:rsidRPr="00EE0789">
        <w:lastRenderedPageBreak/>
        <w:t>Any reagents, reference material and standards required to undertake testing,</w:t>
      </w:r>
      <w:r w:rsidR="00633C39">
        <w:t xml:space="preserve"> </w:t>
      </w:r>
      <w:r w:rsidRPr="00EE0789">
        <w:t>as requested by Laboratories Branch, TGA.</w:t>
      </w:r>
    </w:p>
    <w:p w14:paraId="6D9F6270" w14:textId="0FB56686" w:rsidR="00EE0789" w:rsidRPr="00EE0789" w:rsidRDefault="00EE0789" w:rsidP="00483776">
      <w:pPr>
        <w:pStyle w:val="ListBullet2"/>
        <w:numPr>
          <w:ilvl w:val="0"/>
          <w:numId w:val="0"/>
        </w:numPr>
        <w:ind w:left="720"/>
      </w:pPr>
      <w:r w:rsidRPr="00EE0789">
        <w:t xml:space="preserve">Sponsors must provide all requested </w:t>
      </w:r>
      <w:r w:rsidR="00633C39">
        <w:t>s</w:t>
      </w:r>
      <w:r w:rsidRPr="00EE0789">
        <w:t>amples and data in sufficient time (at least 5</w:t>
      </w:r>
      <w:r w:rsidR="00633C39">
        <w:t xml:space="preserve"> </w:t>
      </w:r>
      <w:r w:rsidRPr="00EE0789">
        <w:t>business days) prior to any distribution date to allow the TGA to perform testing and</w:t>
      </w:r>
      <w:r w:rsidR="00633C39">
        <w:t xml:space="preserve"> </w:t>
      </w:r>
      <w:r w:rsidRPr="00EE0789">
        <w:t>review. Distribution of each batch of vaccine is conditional upon fulfilment of these</w:t>
      </w:r>
      <w:r w:rsidR="00633C39">
        <w:t xml:space="preserve"> </w:t>
      </w:r>
      <w:r w:rsidRPr="00EE0789">
        <w:t>conditions and receipt of a letter from the Laboratories Branch acknowledging</w:t>
      </w:r>
      <w:r w:rsidR="00633C39">
        <w:t xml:space="preserve"> </w:t>
      </w:r>
      <w:r w:rsidRPr="00EE0789">
        <w:t>release.</w:t>
      </w:r>
    </w:p>
    <w:p w14:paraId="3079004F" w14:textId="46945CA1" w:rsidR="00EE0789" w:rsidRPr="00EE0789" w:rsidRDefault="00EE0789" w:rsidP="00483776">
      <w:pPr>
        <w:pStyle w:val="ListBullet2"/>
        <w:numPr>
          <w:ilvl w:val="0"/>
          <w:numId w:val="0"/>
        </w:numPr>
        <w:ind w:left="720"/>
      </w:pPr>
      <w:r w:rsidRPr="00EE0789">
        <w:t>Samples and data should be forwarded to the Biotherapeutics Section, Laboratories</w:t>
      </w:r>
      <w:r w:rsidR="00633C39">
        <w:t xml:space="preserve"> </w:t>
      </w:r>
      <w:r w:rsidRPr="00EE0789">
        <w:t>Branch before release of each batch and with sufficient lead time to allow for</w:t>
      </w:r>
      <w:r w:rsidR="00633C39">
        <w:t xml:space="preserve"> </w:t>
      </w:r>
      <w:r w:rsidRPr="00EE0789">
        <w:t xml:space="preserve">Laboratories Branch testing. </w:t>
      </w:r>
    </w:p>
    <w:p w14:paraId="540EFD56" w14:textId="756C0C0D" w:rsidR="00EE0789" w:rsidRPr="00EE0789" w:rsidRDefault="00EE0789" w:rsidP="00483776">
      <w:pPr>
        <w:pStyle w:val="ListBullet2"/>
        <w:numPr>
          <w:ilvl w:val="0"/>
          <w:numId w:val="0"/>
        </w:numPr>
        <w:ind w:left="720"/>
      </w:pPr>
      <w:r w:rsidRPr="00EE0789">
        <w:t>The shipments (including reagents) to TGA are the responsibility of the Australian</w:t>
      </w:r>
      <w:r w:rsidR="00633C39">
        <w:t xml:space="preserve"> </w:t>
      </w:r>
      <w:r w:rsidR="00633C39" w:rsidRPr="00EE0789">
        <w:t xml:space="preserve">sponsor/agent </w:t>
      </w:r>
      <w:r w:rsidRPr="00EE0789">
        <w:t>who will be required to facilitate the import and customs clearance</w:t>
      </w:r>
      <w:r w:rsidR="00633C39">
        <w:t xml:space="preserve"> </w:t>
      </w:r>
      <w:r w:rsidRPr="00EE0789">
        <w:t>process.</w:t>
      </w:r>
    </w:p>
    <w:p w14:paraId="5E19BF1B" w14:textId="77777777" w:rsidR="00EE0789" w:rsidRPr="00EE0789" w:rsidRDefault="00EE0789" w:rsidP="00483776">
      <w:pPr>
        <w:pStyle w:val="ListBullet2"/>
        <w:numPr>
          <w:ilvl w:val="0"/>
          <w:numId w:val="0"/>
        </w:numPr>
        <w:ind w:left="720"/>
      </w:pPr>
      <w:r w:rsidRPr="00EE0789">
        <w:t>Certified Product Details</w:t>
      </w:r>
    </w:p>
    <w:p w14:paraId="6E7082B8" w14:textId="02B14296" w:rsidR="00EE0789" w:rsidRPr="00EE0789" w:rsidRDefault="00EE0789" w:rsidP="00483776">
      <w:pPr>
        <w:pStyle w:val="ListBullet2"/>
        <w:numPr>
          <w:ilvl w:val="0"/>
          <w:numId w:val="0"/>
        </w:numPr>
        <w:ind w:left="720"/>
      </w:pPr>
      <w:r w:rsidRPr="00EE0789">
        <w:t>An electronic copy of the CPD as described in Guidance 7:</w:t>
      </w:r>
      <w:r w:rsidR="007D7425">
        <w:t xml:space="preserve"> </w:t>
      </w:r>
      <w:r w:rsidRPr="00EE0789">
        <w:t xml:space="preserve">Certified Product Details of the </w:t>
      </w:r>
      <w:r w:rsidR="00EC3F99" w:rsidRPr="00EC3F99">
        <w:t>Australian Regulatory Guidelines for Prescription Medicines</w:t>
      </w:r>
      <w:r w:rsidRPr="00EE0789">
        <w:t xml:space="preserve"> </w:t>
      </w:r>
      <w:hyperlink r:id="rId57" w:history="1">
        <w:r w:rsidR="007D7425" w:rsidRPr="00F14B34">
          <w:rPr>
            <w:rStyle w:val="Hyperlink"/>
          </w:rPr>
          <w:t>https://www.tga.gov.au/guidance-7-certified-product-details</w:t>
        </w:r>
      </w:hyperlink>
      <w:r w:rsidR="007D7425">
        <w:t xml:space="preserve"> </w:t>
      </w:r>
      <w:r w:rsidRPr="00EE0789">
        <w:t>should be provided upon registration of the therapeutic good. In addition, an updated</w:t>
      </w:r>
      <w:r w:rsidR="007D7425">
        <w:t xml:space="preserve"> </w:t>
      </w:r>
      <w:r w:rsidRPr="00EE0789">
        <w:t>CPD, for the above products incorporating the approved changes is to be provided</w:t>
      </w:r>
      <w:r w:rsidR="007D7425">
        <w:t xml:space="preserve"> </w:t>
      </w:r>
      <w:r w:rsidRPr="00EE0789">
        <w:t>within one month of the date of approval letter. A template for preparation of CPD for</w:t>
      </w:r>
      <w:r w:rsidR="007D7425">
        <w:t xml:space="preserve"> </w:t>
      </w:r>
      <w:r w:rsidRPr="00EE0789">
        <w:t xml:space="preserve">biological prescription medicines and </w:t>
      </w:r>
      <w:r w:rsidR="007D7425" w:rsidRPr="00EE0789">
        <w:t xml:space="preserve">vaccines </w:t>
      </w:r>
      <w:r w:rsidRPr="00EE0789">
        <w:t>can be obtained from the TGA website</w:t>
      </w:r>
      <w:r w:rsidR="007D7425">
        <w:t xml:space="preserve"> </w:t>
      </w:r>
      <w:hyperlink r:id="rId58" w:history="1">
        <w:r w:rsidR="007D7425" w:rsidRPr="00F14B34">
          <w:rPr>
            <w:rStyle w:val="Hyperlink"/>
          </w:rPr>
          <w:t>https://www.tga.gov.au/form/certified-product-details-cpd-biological-prescriptionmedicines</w:t>
        </w:r>
      </w:hyperlink>
      <w:r w:rsidRPr="00EE0789">
        <w:t>.</w:t>
      </w:r>
      <w:r w:rsidR="007D7425">
        <w:t xml:space="preserve"> </w:t>
      </w:r>
      <w:r w:rsidRPr="00EE0789">
        <w:t>The CPD should be sent as a single bookmarked PDF document to</w:t>
      </w:r>
      <w:r w:rsidR="007D7425">
        <w:t xml:space="preserve"> </w:t>
      </w:r>
      <w:r w:rsidR="00EC3F99">
        <w:t>v</w:t>
      </w:r>
      <w:r w:rsidRPr="00EE0789">
        <w:t>accines@health.gov.au as soon as possible after registration/approval of the product</w:t>
      </w:r>
      <w:r w:rsidR="007D7425">
        <w:t xml:space="preserve"> </w:t>
      </w:r>
      <w:r w:rsidRPr="00EE0789">
        <w:t>or any subsequent changes as indicated above.</w:t>
      </w:r>
    </w:p>
    <w:p w14:paraId="6D53CB2C" w14:textId="12B1DA50" w:rsidR="00EE0789" w:rsidRPr="00EE0789" w:rsidRDefault="00EE0789" w:rsidP="00483776">
      <w:pPr>
        <w:pStyle w:val="ListBullet"/>
      </w:pPr>
      <w:r w:rsidRPr="00EE0789">
        <w:t>Post approval commitments:</w:t>
      </w:r>
    </w:p>
    <w:p w14:paraId="42A63A6A" w14:textId="05C887A6" w:rsidR="00EE0789" w:rsidRDefault="00EE0789" w:rsidP="00483776">
      <w:pPr>
        <w:pStyle w:val="ListBullet2"/>
        <w:numPr>
          <w:ilvl w:val="0"/>
          <w:numId w:val="0"/>
        </w:numPr>
        <w:ind w:left="720" w:hanging="360"/>
      </w:pPr>
      <w:r w:rsidRPr="00EE0789">
        <w:t xml:space="preserve">Drug </w:t>
      </w:r>
      <w:r w:rsidR="000570FA" w:rsidRPr="00EE0789">
        <w:t>substance</w:t>
      </w:r>
    </w:p>
    <w:p w14:paraId="7908939D" w14:textId="77F64075" w:rsidR="000570FA" w:rsidRPr="00EE0789" w:rsidRDefault="000570FA" w:rsidP="00483776">
      <w:pPr>
        <w:pStyle w:val="ListBullet3"/>
        <w:numPr>
          <w:ilvl w:val="0"/>
          <w:numId w:val="0"/>
        </w:numPr>
        <w:ind w:left="1080" w:hanging="360"/>
      </w:pPr>
      <w:r>
        <w:t>Sponsor to provide:</w:t>
      </w:r>
    </w:p>
    <w:p w14:paraId="4240075A" w14:textId="31A23A19" w:rsidR="00EE0789" w:rsidRDefault="00EE0789" w:rsidP="00483776">
      <w:pPr>
        <w:pStyle w:val="ListBullet3"/>
      </w:pPr>
      <w:r w:rsidRPr="00EE0789">
        <w:t>real</w:t>
      </w:r>
      <w:r w:rsidR="00CE2D75">
        <w:t xml:space="preserve"> </w:t>
      </w:r>
      <w:r w:rsidRPr="00EE0789">
        <w:t>time stability data within 3 months of provisional registration</w:t>
      </w:r>
    </w:p>
    <w:p w14:paraId="1EB7A4FC" w14:textId="379B993D" w:rsidR="00EE0789" w:rsidRPr="00EE0789" w:rsidRDefault="00CE2D75" w:rsidP="00483776">
      <w:pPr>
        <w:pStyle w:val="ListBullet3"/>
      </w:pPr>
      <w:r>
        <w:t xml:space="preserve">additional data on </w:t>
      </w:r>
      <w:r w:rsidR="00EE0789" w:rsidRPr="00EE0789">
        <w:t>the clinical safety</w:t>
      </w:r>
      <w:r>
        <w:t xml:space="preserve"> </w:t>
      </w:r>
      <w:r w:rsidR="00EE0789" w:rsidRPr="00EE0789">
        <w:t>and efficacy of the product</w:t>
      </w:r>
    </w:p>
    <w:p w14:paraId="0717ACF2" w14:textId="67528FED" w:rsidR="00EE0789" w:rsidRDefault="000570FA" w:rsidP="00483776">
      <w:pPr>
        <w:pStyle w:val="ListBullet3"/>
      </w:pPr>
      <w:r>
        <w:t>additional data on shipping and holding time of drug substance</w:t>
      </w:r>
    </w:p>
    <w:p w14:paraId="5D4A73AE" w14:textId="4A4A4F56" w:rsidR="00EE0789" w:rsidRDefault="000570FA" w:rsidP="00483776">
      <w:pPr>
        <w:pStyle w:val="ListBullet3"/>
      </w:pPr>
      <w:r>
        <w:t>additional data on c</w:t>
      </w:r>
      <w:r w:rsidR="00EE0789" w:rsidRPr="00EE0789">
        <w:t>omparative batch analysis</w:t>
      </w:r>
    </w:p>
    <w:p w14:paraId="13EECD3E" w14:textId="4BBB9C2D" w:rsidR="00EE0789" w:rsidRDefault="000570FA" w:rsidP="00483776">
      <w:pPr>
        <w:pStyle w:val="ListBullet3"/>
      </w:pPr>
      <w:r>
        <w:t>additional data on v</w:t>
      </w:r>
      <w:r w:rsidRPr="00EE0789">
        <w:t>alidation of analytical procedures</w:t>
      </w:r>
    </w:p>
    <w:p w14:paraId="61AAAF70" w14:textId="0642D5B4" w:rsidR="00B83451" w:rsidRDefault="000570FA" w:rsidP="00483776">
      <w:pPr>
        <w:pStyle w:val="ListBullet3"/>
      </w:pPr>
      <w:r>
        <w:t xml:space="preserve">additional data on </w:t>
      </w:r>
      <w:r w:rsidRPr="00B83451">
        <w:t>batch analysis</w:t>
      </w:r>
    </w:p>
    <w:p w14:paraId="2C699A43" w14:textId="20F3C52E" w:rsidR="00B83451" w:rsidRDefault="000570FA" w:rsidP="00483776">
      <w:pPr>
        <w:pStyle w:val="ListBullet3"/>
      </w:pPr>
      <w:r>
        <w:t xml:space="preserve">additional data on </w:t>
      </w:r>
      <w:r w:rsidRPr="00B83451">
        <w:t>container closure system</w:t>
      </w:r>
    </w:p>
    <w:p w14:paraId="6436D280" w14:textId="2EBCA514" w:rsidR="00B83451" w:rsidRDefault="000570FA" w:rsidP="00483776">
      <w:pPr>
        <w:pStyle w:val="ListBullet3"/>
      </w:pPr>
      <w:r>
        <w:t xml:space="preserve">additional </w:t>
      </w:r>
      <w:r w:rsidRPr="00B83451">
        <w:t xml:space="preserve">stability </w:t>
      </w:r>
      <w:r>
        <w:t xml:space="preserve">data, </w:t>
      </w:r>
      <w:proofErr w:type="gramStart"/>
      <w:r w:rsidRPr="00B83451">
        <w:t>protocol</w:t>
      </w:r>
      <w:proofErr w:type="gramEnd"/>
      <w:r w:rsidRPr="00B83451">
        <w:t xml:space="preserve"> and commitment</w:t>
      </w:r>
    </w:p>
    <w:p w14:paraId="62B5D33E" w14:textId="679B7390" w:rsidR="00B83451" w:rsidRPr="00B83451" w:rsidRDefault="000570FA" w:rsidP="00483776">
      <w:pPr>
        <w:pStyle w:val="ListBullet3"/>
      </w:pPr>
      <w:r>
        <w:t xml:space="preserve">additional </w:t>
      </w:r>
      <w:r w:rsidR="00F40CF9" w:rsidRPr="00B83451">
        <w:t>stability data</w:t>
      </w:r>
    </w:p>
    <w:p w14:paraId="71C41F87" w14:textId="6A578D7C" w:rsidR="00B83451" w:rsidRPr="00B83451" w:rsidRDefault="00B83451" w:rsidP="00483776">
      <w:pPr>
        <w:pStyle w:val="ListBullet2"/>
        <w:numPr>
          <w:ilvl w:val="0"/>
          <w:numId w:val="0"/>
        </w:numPr>
        <w:ind w:left="720" w:hanging="360"/>
      </w:pPr>
      <w:r w:rsidRPr="00B83451">
        <w:t xml:space="preserve">Drug </w:t>
      </w:r>
      <w:r w:rsidR="00EC3F99" w:rsidRPr="00B83451">
        <w:t>product</w:t>
      </w:r>
    </w:p>
    <w:p w14:paraId="5590899C" w14:textId="6561A9CD" w:rsidR="000570FA" w:rsidRPr="000570FA" w:rsidRDefault="000570FA" w:rsidP="00483776">
      <w:pPr>
        <w:pStyle w:val="ListBullet3"/>
        <w:numPr>
          <w:ilvl w:val="0"/>
          <w:numId w:val="0"/>
        </w:numPr>
        <w:ind w:left="1080" w:hanging="360"/>
      </w:pPr>
      <w:r>
        <w:t>Sponsor to provide:</w:t>
      </w:r>
    </w:p>
    <w:p w14:paraId="24FC1564" w14:textId="0FA902F6" w:rsidR="000570FA" w:rsidRDefault="000570FA" w:rsidP="00483776">
      <w:pPr>
        <w:pStyle w:val="ListBullet3"/>
      </w:pPr>
      <w:r w:rsidRPr="00EE0789">
        <w:t>real</w:t>
      </w:r>
      <w:r>
        <w:t xml:space="preserve"> </w:t>
      </w:r>
      <w:r w:rsidRPr="00EE0789">
        <w:t>time stability data within 3 months of provisional registration</w:t>
      </w:r>
    </w:p>
    <w:p w14:paraId="15EE9B4F" w14:textId="7149E6AC" w:rsidR="00B83451" w:rsidRDefault="00F40CF9" w:rsidP="00483776">
      <w:pPr>
        <w:pStyle w:val="ListBullet3"/>
      </w:pPr>
      <w:r>
        <w:t xml:space="preserve">additional data on </w:t>
      </w:r>
      <w:r w:rsidRPr="00B83451">
        <w:t>process validation</w:t>
      </w:r>
    </w:p>
    <w:p w14:paraId="16115454" w14:textId="60D40B25" w:rsidR="00B83451" w:rsidRDefault="00F40CF9" w:rsidP="00483776">
      <w:pPr>
        <w:pStyle w:val="ListBullet3"/>
      </w:pPr>
      <w:r>
        <w:t>additional data on c</w:t>
      </w:r>
      <w:r w:rsidR="00B83451" w:rsidRPr="00B83451">
        <w:t xml:space="preserve">ontrol of </w:t>
      </w:r>
      <w:r>
        <w:t>e</w:t>
      </w:r>
      <w:r w:rsidR="00B83451" w:rsidRPr="00B83451">
        <w:t>xcipients</w:t>
      </w:r>
    </w:p>
    <w:p w14:paraId="38012784" w14:textId="37AB2289" w:rsidR="00B83451" w:rsidRDefault="00F40CF9" w:rsidP="00483776">
      <w:pPr>
        <w:pStyle w:val="ListBullet3"/>
      </w:pPr>
      <w:r>
        <w:t xml:space="preserve">additional data on </w:t>
      </w:r>
      <w:r w:rsidRPr="00B83451">
        <w:t>batch analysis</w:t>
      </w:r>
    </w:p>
    <w:p w14:paraId="6E188E9A" w14:textId="2E092393" w:rsidR="00B83451" w:rsidRDefault="00F40CF9" w:rsidP="00483776">
      <w:pPr>
        <w:pStyle w:val="ListBullet3"/>
      </w:pPr>
      <w:r>
        <w:lastRenderedPageBreak/>
        <w:t>additional data on s</w:t>
      </w:r>
      <w:r w:rsidR="00B83451" w:rsidRPr="00B83451">
        <w:t>tability</w:t>
      </w:r>
    </w:p>
    <w:p w14:paraId="0CAE58BC" w14:textId="3C5E7B32" w:rsidR="00F40CF9" w:rsidRDefault="00F40CF9" w:rsidP="00483776">
      <w:pPr>
        <w:pStyle w:val="ListBullet3"/>
      </w:pPr>
      <w:r>
        <w:t>additional data on m</w:t>
      </w:r>
      <w:r w:rsidR="00B83451" w:rsidRPr="00B83451">
        <w:t>icrobiology</w:t>
      </w:r>
    </w:p>
    <w:p w14:paraId="277C8BDF" w14:textId="624C9045" w:rsidR="00F40CF9" w:rsidRPr="00CD4D07" w:rsidRDefault="00F40CF9" w:rsidP="00483776">
      <w:pPr>
        <w:pStyle w:val="ListBullet"/>
      </w:pPr>
      <w:r w:rsidRPr="00D06DD0">
        <w:t xml:space="preserve">For all injectable products the PI must be included with the product as a </w:t>
      </w:r>
      <w:r w:rsidRPr="00B2443B">
        <w:t>package insert.</w:t>
      </w:r>
    </w:p>
    <w:p w14:paraId="2346B455" w14:textId="060AD2FE" w:rsidR="008E7846" w:rsidRPr="006E0620" w:rsidRDefault="00A80B5B" w:rsidP="00D23139">
      <w:pPr>
        <w:pStyle w:val="Heading2"/>
      </w:pPr>
      <w:bookmarkStart w:id="70" w:name="_Toc79415472"/>
      <w:r w:rsidRPr="006E0620">
        <w:t xml:space="preserve">Attachment 1. </w:t>
      </w:r>
      <w:r w:rsidR="008E7846" w:rsidRPr="006E0620">
        <w:t xml:space="preserve">Product </w:t>
      </w:r>
      <w:r w:rsidR="00AA0ED0" w:rsidRPr="006E0620">
        <w:t>I</w:t>
      </w:r>
      <w:r w:rsidR="008E7846" w:rsidRPr="006E0620">
        <w:t>nformation</w:t>
      </w:r>
      <w:bookmarkEnd w:id="68"/>
      <w:bookmarkEnd w:id="69"/>
      <w:bookmarkEnd w:id="70"/>
    </w:p>
    <w:p w14:paraId="6A80ED27" w14:textId="27A39049" w:rsidR="00744121" w:rsidRPr="006E0620" w:rsidRDefault="006136D7" w:rsidP="00744121">
      <w:pPr>
        <w:rPr>
          <w:lang w:eastAsia="ja-JP"/>
        </w:rPr>
      </w:pPr>
      <w:r w:rsidRPr="006E0620">
        <w:t xml:space="preserve">The PI for </w:t>
      </w:r>
      <w:proofErr w:type="spellStart"/>
      <w:r w:rsidR="008B2CE2" w:rsidRPr="006E0620">
        <w:t>Spikevax</w:t>
      </w:r>
      <w:proofErr w:type="spellEnd"/>
      <w:r w:rsidR="008B2CE2" w:rsidRPr="006E0620">
        <w:t xml:space="preserve"> </w:t>
      </w:r>
      <w:r w:rsidRPr="006E0620">
        <w:t xml:space="preserve">approved with the submission which is described in this </w:t>
      </w:r>
      <w:proofErr w:type="spellStart"/>
      <w:r w:rsidRPr="006E0620">
        <w:t>AusPAR</w:t>
      </w:r>
      <w:proofErr w:type="spellEnd"/>
      <w:r w:rsidRPr="006E0620">
        <w:t xml:space="preserve"> is at Attachment 1. For the most recent PI, please refer to the TGA website at </w:t>
      </w:r>
      <w:r w:rsidR="007C6B9B" w:rsidRPr="006E0620">
        <w:t>&lt;</w:t>
      </w:r>
      <w:hyperlink r:id="rId59" w:history="1">
        <w:r w:rsidR="007C6B9B" w:rsidRPr="006E0620">
          <w:rPr>
            <w:rStyle w:val="Hyperlink"/>
          </w:rPr>
          <w:t>https://www.tga.gov.au/product-information-pi</w:t>
        </w:r>
      </w:hyperlink>
      <w:r w:rsidR="007C6B9B" w:rsidRPr="006E0620">
        <w:t>&gt;.</w:t>
      </w:r>
    </w:p>
    <w:p w14:paraId="6F16EDEC" w14:textId="77777777" w:rsidR="00C80137" w:rsidRPr="006E0620" w:rsidRDefault="00C80137" w:rsidP="003A7F6C">
      <w:pPr>
        <w:pStyle w:val="TableTitle"/>
        <w:sectPr w:rsidR="00C80137" w:rsidRPr="006E0620" w:rsidSect="00B452CE">
          <w:headerReference w:type="even" r:id="rId60"/>
          <w:headerReference w:type="default" r:id="rId61"/>
          <w:headerReference w:type="first" r:id="rId62"/>
          <w:footerReference w:type="first" r:id="rId6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6E0620" w14:paraId="1F452C7F" w14:textId="77777777" w:rsidTr="00A05FA4">
        <w:trPr>
          <w:trHeight w:hRule="exact" w:val="704"/>
        </w:trPr>
        <w:tc>
          <w:tcPr>
            <w:tcW w:w="9175" w:type="dxa"/>
          </w:tcPr>
          <w:p w14:paraId="5DB26122" w14:textId="77777777" w:rsidR="001C32CD" w:rsidRPr="006E0620" w:rsidRDefault="001C32CD" w:rsidP="00A05FA4">
            <w:pPr>
              <w:pStyle w:val="TGASignoff"/>
            </w:pPr>
            <w:r w:rsidRPr="006E0620">
              <w:lastRenderedPageBreak/>
              <w:t>Therapeutic Goods Administration</w:t>
            </w:r>
          </w:p>
        </w:tc>
      </w:tr>
      <w:tr w:rsidR="001C32CD" w:rsidRPr="004C239D" w14:paraId="25CE436B" w14:textId="77777777" w:rsidTr="00A05FA4">
        <w:trPr>
          <w:trHeight w:val="1221"/>
        </w:trPr>
        <w:tc>
          <w:tcPr>
            <w:tcW w:w="9175" w:type="dxa"/>
            <w:tcMar>
              <w:top w:w="28" w:type="dxa"/>
            </w:tcMar>
          </w:tcPr>
          <w:p w14:paraId="3BC8C121" w14:textId="77777777" w:rsidR="001C32CD" w:rsidRPr="006E0620" w:rsidRDefault="001C32CD" w:rsidP="00A05FA4">
            <w:pPr>
              <w:pStyle w:val="Address"/>
            </w:pPr>
            <w:r w:rsidRPr="006E0620">
              <w:t>PO Box 100 Woden ACT 2606 Australia</w:t>
            </w:r>
          </w:p>
          <w:p w14:paraId="1FA5E349" w14:textId="48E304A1" w:rsidR="001C32CD" w:rsidRPr="006E0620" w:rsidRDefault="001C32CD" w:rsidP="00A05FA4">
            <w:pPr>
              <w:pStyle w:val="Address"/>
            </w:pPr>
            <w:r w:rsidRPr="006E0620">
              <w:t xml:space="preserve">Email: </w:t>
            </w:r>
            <w:hyperlink r:id="rId64" w:history="1">
              <w:r w:rsidRPr="006E0620">
                <w:rPr>
                  <w:rStyle w:val="Hyperlink"/>
                </w:rPr>
                <w:t>info@tga.gov.au</w:t>
              </w:r>
            </w:hyperlink>
            <w:r w:rsidRPr="006E0620">
              <w:t xml:space="preserve">  Phone: 1800 020 </w:t>
            </w:r>
            <w:proofErr w:type="gramStart"/>
            <w:r w:rsidRPr="006E0620">
              <w:t>653  Fax</w:t>
            </w:r>
            <w:proofErr w:type="gramEnd"/>
            <w:r w:rsidRPr="006E0620">
              <w:t>: 02 6232 8605</w:t>
            </w:r>
          </w:p>
          <w:p w14:paraId="3A0D2842" w14:textId="48357299" w:rsidR="001C32CD" w:rsidRPr="004C239D" w:rsidRDefault="00CD55D9" w:rsidP="00A05FA4">
            <w:pPr>
              <w:pStyle w:val="Address"/>
              <w:spacing w:line="260" w:lineRule="atLeast"/>
              <w:rPr>
                <w:b/>
                <w:color w:val="0000FF"/>
                <w:u w:val="single"/>
              </w:rPr>
            </w:pPr>
            <w:hyperlink r:id="rId65" w:history="1">
              <w:r w:rsidR="007C6B9B" w:rsidRPr="006E0620">
                <w:rPr>
                  <w:rStyle w:val="Hyperlink"/>
                  <w:b/>
                </w:rPr>
                <w:t>https://www.tga.gov.au</w:t>
              </w:r>
            </w:hyperlink>
          </w:p>
        </w:tc>
      </w:tr>
    </w:tbl>
    <w:p w14:paraId="74FD38BC" w14:textId="77777777" w:rsidR="00774E1D" w:rsidRPr="008A5E0B" w:rsidRDefault="00774E1D" w:rsidP="004C239D"/>
    <w:sectPr w:rsidR="00774E1D" w:rsidRPr="008A5E0B" w:rsidSect="001C32CD">
      <w:headerReference w:type="even" r:id="rId66"/>
      <w:headerReference w:type="default" r:id="rId67"/>
      <w:footerReference w:type="default" r:id="rId68"/>
      <w:headerReference w:type="first" r:id="rId69"/>
      <w:footerReference w:type="first" r:id="rId7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0EA67" w14:textId="77777777" w:rsidR="00CD55D9" w:rsidRDefault="00CD55D9" w:rsidP="00C40A36">
      <w:pPr>
        <w:spacing w:after="0"/>
      </w:pPr>
      <w:r>
        <w:separator/>
      </w:r>
    </w:p>
  </w:endnote>
  <w:endnote w:type="continuationSeparator" w:id="0">
    <w:p w14:paraId="7A4E8F24" w14:textId="77777777" w:rsidR="00CD55D9" w:rsidRDefault="00CD55D9" w:rsidP="00C40A36">
      <w:pPr>
        <w:spacing w:after="0"/>
      </w:pPr>
      <w:r>
        <w:continuationSeparator/>
      </w:r>
    </w:p>
  </w:endnote>
  <w:endnote w:type="continuationNotice" w:id="1">
    <w:p w14:paraId="63141EC4" w14:textId="77777777" w:rsidR="00CD55D9" w:rsidRDefault="00CD55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Yu Gothic UI"/>
    <w:charset w:val="00"/>
    <w:family w:val="roman"/>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D55D9" w:rsidRPr="00487162" w14:paraId="6D6514EC" w14:textId="77777777" w:rsidTr="00DB750B">
      <w:trPr>
        <w:trHeight w:val="269"/>
      </w:trPr>
      <w:tc>
        <w:tcPr>
          <w:tcW w:w="7371" w:type="dxa"/>
          <w:tcMar>
            <w:top w:w="142" w:type="dxa"/>
            <w:bottom w:w="0" w:type="dxa"/>
          </w:tcMar>
        </w:tcPr>
        <w:p w14:paraId="477FDD8D" w14:textId="4187D5C4" w:rsidR="00CD55D9" w:rsidRPr="00487162" w:rsidRDefault="00CD55D9" w:rsidP="00F2654F">
          <w:pPr>
            <w:pStyle w:val="Footer"/>
          </w:pPr>
          <w:proofErr w:type="spellStart"/>
          <w:r w:rsidRPr="00487162">
            <w:t>AusPA</w:t>
          </w:r>
          <w:r>
            <w:t>R</w:t>
          </w:r>
          <w:proofErr w:type="spellEnd"/>
          <w:r>
            <w:t xml:space="preserve"> – </w:t>
          </w:r>
          <w:proofErr w:type="spellStart"/>
          <w:r w:rsidRPr="004868A2">
            <w:t>Spikevax</w:t>
          </w:r>
          <w:proofErr w:type="spellEnd"/>
          <w:r>
            <w:t xml:space="preserve"> </w:t>
          </w:r>
          <w:r w:rsidRPr="00460036">
            <w:t xml:space="preserve">– </w:t>
          </w:r>
          <w:proofErr w:type="spellStart"/>
          <w:r w:rsidRPr="004868A2">
            <w:t>elasomeran</w:t>
          </w:r>
          <w:proofErr w:type="spellEnd"/>
          <w:r>
            <w:t xml:space="preserve"> - </w:t>
          </w:r>
          <w:proofErr w:type="spellStart"/>
          <w:r w:rsidRPr="004868A2">
            <w:t>Moderna</w:t>
          </w:r>
          <w:proofErr w:type="spellEnd"/>
          <w:r w:rsidRPr="004868A2">
            <w:t xml:space="preserve"> Australia Pty Ltd</w:t>
          </w:r>
          <w:r>
            <w:t xml:space="preserve"> - </w:t>
          </w:r>
          <w:r w:rsidRPr="008B2CE2">
            <w:t>PM-2021-02994-1-2</w:t>
          </w:r>
          <w:r>
            <w:br/>
            <w:t>Final</w:t>
          </w:r>
          <w:r w:rsidRPr="00487162">
            <w:t xml:space="preserve"> </w:t>
          </w:r>
          <w:r>
            <w:t>9 August 2021</w:t>
          </w:r>
        </w:p>
      </w:tc>
      <w:tc>
        <w:tcPr>
          <w:tcW w:w="1490" w:type="dxa"/>
          <w:tcMar>
            <w:top w:w="142" w:type="dxa"/>
            <w:bottom w:w="0" w:type="dxa"/>
          </w:tcMar>
        </w:tcPr>
        <w:p w14:paraId="0F633E98" w14:textId="3865D372" w:rsidR="00CD55D9" w:rsidRPr="00487162" w:rsidRDefault="00CD55D9" w:rsidP="00DB750B">
          <w:pPr>
            <w:pStyle w:val="Footer"/>
            <w:jc w:val="right"/>
          </w:pPr>
          <w:r w:rsidRPr="00487162">
            <w:t xml:space="preserve">Page </w:t>
          </w:r>
          <w:r>
            <w:rPr>
              <w:color w:val="2B579A"/>
              <w:shd w:val="clear" w:color="auto" w:fill="E6E6E6"/>
            </w:rPr>
            <w:fldChar w:fldCharType="begin"/>
          </w:r>
          <w:r>
            <w:instrText xml:space="preserve"> PAGE  \* Arabic </w:instrText>
          </w:r>
          <w:r>
            <w:rPr>
              <w:color w:val="2B579A"/>
              <w:shd w:val="clear" w:color="auto" w:fill="E6E6E6"/>
            </w:rPr>
            <w:fldChar w:fldCharType="separate"/>
          </w:r>
          <w:r>
            <w:rPr>
              <w:noProof/>
            </w:rPr>
            <w:t>5</w:t>
          </w:r>
          <w:r>
            <w:rPr>
              <w:color w:val="2B579A"/>
              <w:shd w:val="clear" w:color="auto" w:fill="E6E6E6"/>
            </w:rPr>
            <w:fldChar w:fldCharType="end"/>
          </w:r>
          <w:r w:rsidRPr="00487162">
            <w:t xml:space="preserve"> of </w:t>
          </w:r>
          <w:r>
            <w:fldChar w:fldCharType="begin"/>
          </w:r>
          <w:r>
            <w:instrText>NUMPAGES  \* Arabic</w:instrText>
          </w:r>
          <w:r>
            <w:fldChar w:fldCharType="separate"/>
          </w:r>
          <w:r>
            <w:rPr>
              <w:noProof/>
            </w:rPr>
            <w:t>63</w:t>
          </w:r>
          <w:r>
            <w:fldChar w:fldCharType="end"/>
          </w:r>
        </w:p>
      </w:tc>
    </w:tr>
  </w:tbl>
  <w:p w14:paraId="59E09B6B" w14:textId="77777777" w:rsidR="00CD55D9" w:rsidRDefault="00CD55D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D55D9" w:rsidRPr="00487162" w14:paraId="3B7205F4" w14:textId="77777777" w:rsidTr="00E45619">
      <w:trPr>
        <w:trHeight w:val="269"/>
      </w:trPr>
      <w:tc>
        <w:tcPr>
          <w:tcW w:w="4519" w:type="dxa"/>
          <w:tcBorders>
            <w:top w:val="single" w:sz="4" w:space="0" w:color="auto"/>
          </w:tcBorders>
          <w:tcMar>
            <w:top w:w="142" w:type="dxa"/>
            <w:bottom w:w="0" w:type="dxa"/>
          </w:tcMar>
        </w:tcPr>
        <w:p w14:paraId="323A2B1B" w14:textId="77777777" w:rsidR="00CD55D9" w:rsidRPr="00487162" w:rsidRDefault="00CD55D9" w:rsidP="00FE1DEE">
          <w:pPr>
            <w:pStyle w:val="Footer"/>
          </w:pPr>
          <w:r w:rsidRPr="00487162">
            <w:t>Document title, Part #, Section # - Section title</w:t>
          </w:r>
        </w:p>
        <w:p w14:paraId="7C948013" w14:textId="77777777" w:rsidR="00CD55D9" w:rsidRPr="00487162" w:rsidRDefault="00CD55D9" w:rsidP="00FE1DEE">
          <w:pPr>
            <w:pStyle w:val="Footer"/>
          </w:pPr>
          <w:r w:rsidRPr="00487162">
            <w:t>V1.0 October 2010</w:t>
          </w:r>
        </w:p>
      </w:tc>
      <w:tc>
        <w:tcPr>
          <w:tcW w:w="4342" w:type="dxa"/>
          <w:tcBorders>
            <w:top w:val="single" w:sz="4" w:space="0" w:color="auto"/>
          </w:tcBorders>
          <w:tcMar>
            <w:top w:w="142" w:type="dxa"/>
            <w:bottom w:w="0" w:type="dxa"/>
          </w:tcMar>
        </w:tcPr>
        <w:p w14:paraId="68024DDD" w14:textId="77777777" w:rsidR="00CD55D9" w:rsidRPr="00487162" w:rsidRDefault="00CD55D9"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color w:val="2B579A"/>
              <w:shd w:val="clear" w:color="auto" w:fill="E6E6E6"/>
            </w:rPr>
            <w:fldChar w:fldCharType="end"/>
          </w:r>
          <w:r w:rsidRPr="00487162">
            <w:t xml:space="preserve"> of </w:t>
          </w:r>
          <w:r>
            <w:fldChar w:fldCharType="begin"/>
          </w:r>
          <w:r>
            <w:instrText>NUMPAGES</w:instrText>
          </w:r>
          <w:r>
            <w:fldChar w:fldCharType="separate"/>
          </w:r>
          <w:r>
            <w:rPr>
              <w:noProof/>
            </w:rPr>
            <w:t>2</w:t>
          </w:r>
          <w:r>
            <w:fldChar w:fldCharType="end"/>
          </w:r>
        </w:p>
      </w:tc>
    </w:tr>
  </w:tbl>
  <w:p w14:paraId="205B4659" w14:textId="77777777" w:rsidR="00CD55D9" w:rsidRDefault="00CD5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79DA8" w14:textId="77777777" w:rsidR="00CD55D9" w:rsidRPr="001C32CD" w:rsidRDefault="00CD55D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D55D9" w14:paraId="58F4C64F" w14:textId="77777777" w:rsidTr="0010601F">
      <w:trPr>
        <w:trHeight w:val="108"/>
      </w:trPr>
      <w:tc>
        <w:tcPr>
          <w:tcW w:w="8875" w:type="dxa"/>
          <w:gridSpan w:val="2"/>
          <w:tcBorders>
            <w:bottom w:val="single" w:sz="4" w:space="0" w:color="auto"/>
          </w:tcBorders>
          <w:tcMar>
            <w:right w:w="284" w:type="dxa"/>
          </w:tcMar>
        </w:tcPr>
        <w:p w14:paraId="42A3DADF" w14:textId="77777777" w:rsidR="00CD55D9" w:rsidRDefault="00CD55D9" w:rsidP="006E08B3">
          <w:pPr>
            <w:pStyle w:val="Heading3"/>
          </w:pPr>
          <w:r>
            <w:t>Copyright</w:t>
          </w:r>
        </w:p>
        <w:p w14:paraId="23106B64" w14:textId="77777777" w:rsidR="00CD55D9" w:rsidRDefault="00CD55D9" w:rsidP="006E08B3">
          <w:r>
            <w:rPr>
              <w:rFonts w:cs="Arial"/>
            </w:rPr>
            <w:t>©</w:t>
          </w:r>
          <w:r>
            <w:t xml:space="preserve"> Commonwealth of Australia [add year]</w:t>
          </w:r>
        </w:p>
        <w:p w14:paraId="47F48EA7" w14:textId="77777777" w:rsidR="00CD55D9" w:rsidRDefault="00CD55D9" w:rsidP="006E08B3"/>
        <w:p w14:paraId="0C1186C5" w14:textId="77777777" w:rsidR="00CD55D9" w:rsidRDefault="00CD55D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76BEED6" w14:textId="77777777" w:rsidR="00CD55D9" w:rsidRDefault="00CD55D9" w:rsidP="006E08B3"/>
        <w:p w14:paraId="22B65538" w14:textId="77777777" w:rsidR="00CD55D9" w:rsidRDefault="00CD55D9" w:rsidP="006E08B3">
          <w:pPr>
            <w:pStyle w:val="Heading3"/>
          </w:pPr>
          <w:r>
            <w:t>Confidentiality</w:t>
          </w:r>
        </w:p>
        <w:p w14:paraId="47F01824" w14:textId="77777777" w:rsidR="00CD55D9" w:rsidRDefault="00CD55D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0DAEBE7" w14:textId="77777777" w:rsidR="00CD55D9" w:rsidRDefault="00CD55D9" w:rsidP="006E08B3"/>
        <w:p w14:paraId="4998DA0E" w14:textId="77777777" w:rsidR="00CD55D9" w:rsidRDefault="00CD55D9" w:rsidP="006E08B3">
          <w:r>
            <w:t>For submission made by individuals, all personal details, other than your name, will be removed from your submission before it is published on the TGA’s Internet site.</w:t>
          </w:r>
        </w:p>
        <w:p w14:paraId="07F21C76" w14:textId="77777777" w:rsidR="00CD55D9" w:rsidRDefault="00CD55D9" w:rsidP="006E08B3"/>
        <w:p w14:paraId="6E3A9861" w14:textId="77777777" w:rsidR="00CD55D9" w:rsidRDefault="00CD55D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D55D9" w14:paraId="677161EF" w14:textId="77777777" w:rsidTr="0010601F">
      <w:trPr>
        <w:trHeight w:val="417"/>
      </w:trPr>
      <w:tc>
        <w:tcPr>
          <w:tcW w:w="4519" w:type="dxa"/>
          <w:tcBorders>
            <w:top w:val="single" w:sz="4" w:space="0" w:color="auto"/>
          </w:tcBorders>
          <w:tcMar>
            <w:top w:w="142" w:type="dxa"/>
            <w:bottom w:w="0" w:type="dxa"/>
          </w:tcMar>
        </w:tcPr>
        <w:p w14:paraId="4168B551" w14:textId="77777777" w:rsidR="00CD55D9" w:rsidRDefault="00CD55D9" w:rsidP="006E08B3">
          <w:r>
            <w:t>Document title, Part #, Section # - Section title</w:t>
          </w:r>
        </w:p>
        <w:p w14:paraId="6900BE7D" w14:textId="77777777" w:rsidR="00CD55D9" w:rsidRDefault="00CD55D9" w:rsidP="006E08B3">
          <w:r>
            <w:t>V1.0 October 2010</w:t>
          </w:r>
        </w:p>
      </w:tc>
      <w:tc>
        <w:tcPr>
          <w:tcW w:w="4356" w:type="dxa"/>
          <w:tcBorders>
            <w:top w:val="single" w:sz="4" w:space="0" w:color="auto"/>
          </w:tcBorders>
          <w:tcMar>
            <w:top w:w="142" w:type="dxa"/>
            <w:bottom w:w="0" w:type="dxa"/>
          </w:tcMar>
        </w:tcPr>
        <w:p w14:paraId="5C98A7FC" w14:textId="7D1B304B" w:rsidR="00CD55D9" w:rsidRDefault="00CD55D9"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w:t>
          </w:r>
          <w:r>
            <w:rPr>
              <w:color w:val="2B579A"/>
              <w:shd w:val="clear" w:color="auto" w:fill="E6E6E6"/>
            </w:rPr>
            <w:fldChar w:fldCharType="end"/>
          </w:r>
          <w:r>
            <w:t xml:space="preserve"> of </w:t>
          </w:r>
          <w:r>
            <w:fldChar w:fldCharType="begin"/>
          </w:r>
          <w:r>
            <w:instrText>NUMPAGES  \* Arabic</w:instrText>
          </w:r>
          <w:r>
            <w:fldChar w:fldCharType="separate"/>
          </w:r>
          <w:r>
            <w:rPr>
              <w:noProof/>
            </w:rPr>
            <w:t>56</w:t>
          </w:r>
          <w:r>
            <w:fldChar w:fldCharType="end"/>
          </w:r>
          <w:r>
            <w:t xml:space="preserve">  </w:t>
          </w:r>
        </w:p>
      </w:tc>
    </w:tr>
  </w:tbl>
  <w:p w14:paraId="03C7038A" w14:textId="77777777" w:rsidR="00CD55D9" w:rsidRDefault="00CD55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E000C" w14:textId="77777777" w:rsidR="00CD55D9" w:rsidRDefault="00CD55D9" w:rsidP="00C40A36">
      <w:pPr>
        <w:spacing w:after="0"/>
      </w:pPr>
      <w:r>
        <w:separator/>
      </w:r>
    </w:p>
  </w:footnote>
  <w:footnote w:type="continuationSeparator" w:id="0">
    <w:p w14:paraId="02D7B07D" w14:textId="77777777" w:rsidR="00CD55D9" w:rsidRDefault="00CD55D9" w:rsidP="00C40A36">
      <w:pPr>
        <w:spacing w:after="0"/>
      </w:pPr>
      <w:r>
        <w:continuationSeparator/>
      </w:r>
    </w:p>
  </w:footnote>
  <w:footnote w:type="continuationNotice" w:id="1">
    <w:p w14:paraId="69538F55" w14:textId="77777777" w:rsidR="00CD55D9" w:rsidRDefault="00CD55D9">
      <w:pPr>
        <w:spacing w:before="0" w:after="0" w:line="240" w:lineRule="auto"/>
      </w:pPr>
    </w:p>
  </w:footnote>
  <w:footnote w:id="2">
    <w:p w14:paraId="42C67E96" w14:textId="77777777" w:rsidR="00CD55D9" w:rsidRDefault="00CD55D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1C3755A" w14:textId="3BE6C5CE" w:rsidR="00CD55D9" w:rsidRDefault="00CD55D9">
      <w:pPr>
        <w:pStyle w:val="FootnoteText"/>
      </w:pPr>
      <w:r>
        <w:rPr>
          <w:rStyle w:val="FootnoteReference"/>
        </w:rPr>
        <w:footnoteRef/>
      </w:r>
      <w:r>
        <w:t xml:space="preserve"> </w:t>
      </w:r>
      <w:r w:rsidRPr="00A94CC8">
        <w:t xml:space="preserve">World Health Organization </w:t>
      </w:r>
      <w:r>
        <w:t xml:space="preserve">(WHO) </w:t>
      </w:r>
      <w:r w:rsidRPr="00A94CC8">
        <w:t>(2021) WHO Coronavirus (COVI</w:t>
      </w:r>
      <w:r>
        <w:t xml:space="preserve">D-19) Dashboard, Available at: </w:t>
      </w:r>
      <w:hyperlink r:id="rId1" w:history="1">
        <w:r w:rsidRPr="00E54CDA">
          <w:rPr>
            <w:rStyle w:val="Hyperlink"/>
          </w:rPr>
          <w:t>https://covid19.who.int/</w:t>
        </w:r>
      </w:hyperlink>
      <w:r>
        <w:t xml:space="preserve"> (accessed </w:t>
      </w:r>
      <w:r w:rsidRPr="0028278F">
        <w:t>3 August</w:t>
      </w:r>
      <w:r>
        <w:t xml:space="preserve"> </w:t>
      </w:r>
      <w:r w:rsidRPr="00A94CC8">
        <w:t>2021)</w:t>
      </w:r>
      <w:r>
        <w:t>.</w:t>
      </w:r>
    </w:p>
  </w:footnote>
  <w:footnote w:id="4">
    <w:p w14:paraId="15C5A1E4" w14:textId="5AF17865" w:rsidR="00CD55D9" w:rsidRDefault="00CD55D9">
      <w:pPr>
        <w:pStyle w:val="FootnoteText"/>
      </w:pPr>
      <w:r>
        <w:rPr>
          <w:rStyle w:val="FootnoteReference"/>
        </w:rPr>
        <w:footnoteRef/>
      </w:r>
      <w:r>
        <w:t xml:space="preserve"> </w:t>
      </w:r>
      <w:r w:rsidRPr="00A94CC8">
        <w:t>Australian Government Department of Health (2021) Coronavirus (COVID-19) Case Numbers</w:t>
      </w:r>
      <w:r>
        <w:t xml:space="preserve"> and Statistics, Available at: </w:t>
      </w:r>
      <w:hyperlink r:id="rId2" w:history="1">
        <w:r w:rsidRPr="00E54CDA">
          <w:rPr>
            <w:rStyle w:val="Hyperlink"/>
          </w:rPr>
          <w:t>https://www.health.gov.au/news/health-alerts/novel-coronavirus-2019-ncov-health-alert/coronavirus-covid-19-case-numbers-and-statistics</w:t>
        </w:r>
      </w:hyperlink>
      <w:r>
        <w:t xml:space="preserve"> </w:t>
      </w:r>
      <w:r w:rsidRPr="00A94CC8">
        <w:t>(acc</w:t>
      </w:r>
      <w:r>
        <w:t xml:space="preserve">essed </w:t>
      </w:r>
      <w:r w:rsidRPr="0028278F">
        <w:t>3 August</w:t>
      </w:r>
      <w:r>
        <w:t xml:space="preserve"> 2021)</w:t>
      </w:r>
      <w:r w:rsidRPr="00A94CC8">
        <w:t>.</w:t>
      </w:r>
    </w:p>
  </w:footnote>
  <w:footnote w:id="5">
    <w:p w14:paraId="20B8E763" w14:textId="5496F6C5" w:rsidR="00CD55D9" w:rsidRDefault="00CD55D9" w:rsidP="007C4D8E">
      <w:pPr>
        <w:pStyle w:val="FootnoteText"/>
      </w:pPr>
      <w:r>
        <w:rPr>
          <w:rStyle w:val="FootnoteReference"/>
        </w:rPr>
        <w:footnoteRef/>
      </w:r>
      <w:r>
        <w:t xml:space="preserve"> As part of the provisional approval pathway,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6E226C8E" w14:textId="70917D48" w:rsidR="00CD55D9" w:rsidRDefault="00CD55D9" w:rsidP="007C4D8E">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6">
    <w:p w14:paraId="548C929A" w14:textId="2AF70EA7" w:rsidR="00CD55D9" w:rsidRDefault="00CD55D9">
      <w:pPr>
        <w:pStyle w:val="FootnoteText"/>
      </w:pPr>
      <w:r>
        <w:rPr>
          <w:rStyle w:val="FootnoteReference"/>
        </w:rPr>
        <w:footnoteRef/>
      </w:r>
      <w:r>
        <w:t xml:space="preserve"> </w:t>
      </w:r>
      <w:proofErr w:type="spellStart"/>
      <w:r>
        <w:t>Comirnaty</w:t>
      </w:r>
      <w:proofErr w:type="spellEnd"/>
      <w:r w:rsidRPr="00B4694F">
        <w:t xml:space="preserve"> was first registered on the ARTG on 25</w:t>
      </w:r>
      <w:r>
        <w:t xml:space="preserve"> January </w:t>
      </w:r>
      <w:r w:rsidRPr="00B4694F">
        <w:t xml:space="preserve">2021 (ARTG number: </w:t>
      </w:r>
      <w:r>
        <w:t>346290</w:t>
      </w:r>
      <w:r w:rsidRPr="00B4694F">
        <w:t>).</w:t>
      </w:r>
    </w:p>
  </w:footnote>
  <w:footnote w:id="7">
    <w:p w14:paraId="012FC097" w14:textId="26C387BB" w:rsidR="00CD55D9" w:rsidRDefault="00CD55D9">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xml:space="preserve">) new biological entity, published on 25 January 2021. </w:t>
      </w:r>
      <w:hyperlink r:id="rId3" w:history="1">
        <w:r w:rsidRPr="002E142D">
          <w:rPr>
            <w:rStyle w:val="Hyperlink"/>
          </w:rPr>
          <w:t>https://www.tga.gov.au/auspar/auspar-bnt162b2-mrna-comirnaty</w:t>
        </w:r>
      </w:hyperlink>
      <w:r>
        <w:t xml:space="preserve"> </w:t>
      </w:r>
    </w:p>
  </w:footnote>
  <w:footnote w:id="8">
    <w:p w14:paraId="17D0975B" w14:textId="47DA17F8" w:rsidR="00CD55D9" w:rsidRDefault="00CD55D9">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xml:space="preserve">) extension of indications, published on 23 July 2021. </w:t>
      </w:r>
      <w:hyperlink r:id="rId4" w:history="1">
        <w:r w:rsidRPr="002E142D">
          <w:rPr>
            <w:rStyle w:val="Hyperlink"/>
          </w:rPr>
          <w:t>https://www.tga.gov.au/auspar/auspar-bnt162b2-mrna</w:t>
        </w:r>
      </w:hyperlink>
      <w:r>
        <w:t xml:space="preserve"> </w:t>
      </w:r>
    </w:p>
  </w:footnote>
  <w:footnote w:id="9">
    <w:p w14:paraId="2FA9253F" w14:textId="3A345341" w:rsidR="00CD55D9" w:rsidRDefault="00CD55D9">
      <w:pPr>
        <w:pStyle w:val="FootnoteText"/>
      </w:pPr>
      <w:r>
        <w:rPr>
          <w:rStyle w:val="FootnoteReference"/>
        </w:rPr>
        <w:footnoteRef/>
      </w:r>
      <w:r>
        <w:t xml:space="preserve"> </w:t>
      </w:r>
      <w:r w:rsidRPr="00B4694F">
        <w:t>COVID-19 Vaccine AstraZeneca was first registered on the ARTG on 16</w:t>
      </w:r>
      <w:r>
        <w:t xml:space="preserve"> February </w:t>
      </w:r>
      <w:r w:rsidRPr="00B4694F">
        <w:t>2021 (ARTG</w:t>
      </w:r>
      <w:r>
        <w:t> </w:t>
      </w:r>
      <w:r w:rsidRPr="00B4694F">
        <w:t>number:</w:t>
      </w:r>
      <w:r>
        <w:t> </w:t>
      </w:r>
      <w:r w:rsidRPr="00B4694F">
        <w:t>349072).</w:t>
      </w:r>
    </w:p>
  </w:footnote>
  <w:footnote w:id="10">
    <w:p w14:paraId="2BD844AF" w14:textId="7ABDB0AC" w:rsidR="00CD55D9" w:rsidRDefault="00CD55D9">
      <w:pPr>
        <w:pStyle w:val="FootnoteText"/>
      </w:pPr>
      <w:r>
        <w:rPr>
          <w:rStyle w:val="FootnoteReference"/>
        </w:rPr>
        <w:footnoteRef/>
      </w:r>
      <w:r>
        <w:t xml:space="preserve"> </w:t>
      </w:r>
      <w:proofErr w:type="spellStart"/>
      <w:r>
        <w:t>AusPAR</w:t>
      </w:r>
      <w:proofErr w:type="spellEnd"/>
      <w:r>
        <w:t xml:space="preserve"> for </w:t>
      </w:r>
      <w:r w:rsidRPr="008B7930">
        <w:t>COVID-19 Vaccine AstraZeneca</w:t>
      </w:r>
      <w:r>
        <w:t xml:space="preserve"> (</w:t>
      </w:r>
      <w:r w:rsidRPr="008B7930">
        <w:t>ChAdOx1-S</w:t>
      </w:r>
      <w:r>
        <w:t xml:space="preserve">), published on 16 February 2021. </w:t>
      </w:r>
      <w:hyperlink r:id="rId5" w:history="1">
        <w:r w:rsidRPr="002E142D">
          <w:rPr>
            <w:rStyle w:val="Hyperlink"/>
          </w:rPr>
          <w:t>https://www.tga.gov.au/auspar/auspar-chadox1-s</w:t>
        </w:r>
      </w:hyperlink>
      <w:r>
        <w:t xml:space="preserve"> </w:t>
      </w:r>
    </w:p>
  </w:footnote>
  <w:footnote w:id="11">
    <w:p w14:paraId="52DD519E" w14:textId="6C14BF88" w:rsidR="00CD55D9" w:rsidRDefault="00CD55D9">
      <w:pPr>
        <w:pStyle w:val="FootnoteText"/>
      </w:pPr>
      <w:r>
        <w:rPr>
          <w:rStyle w:val="FootnoteReference"/>
        </w:rPr>
        <w:footnoteRef/>
      </w:r>
      <w:r>
        <w:t xml:space="preserve"> </w:t>
      </w:r>
      <w:r w:rsidRPr="00AC2CAA">
        <w:t>Australian Technical Advisory</w:t>
      </w:r>
      <w:r>
        <w:t xml:space="preserve"> Group on Immunisation (ATAGI) (2021) </w:t>
      </w:r>
      <w:r w:rsidRPr="00AC2CAA">
        <w:t>Clinical Guidance on Use of COVID-19 Vaccine in Australia in 2021</w:t>
      </w:r>
      <w:r>
        <w:t xml:space="preserve"> (v5.1)</w:t>
      </w:r>
      <w:r w:rsidRPr="00AC2CAA">
        <w:t>.</w:t>
      </w:r>
      <w:r>
        <w:t xml:space="preserve"> Available at: </w:t>
      </w:r>
      <w:hyperlink r:id="rId6" w:history="1">
        <w:r w:rsidRPr="007E42A0">
          <w:rPr>
            <w:rStyle w:val="Hyperlink"/>
          </w:rPr>
          <w:t>https://www.health.gov.au/sites/default/files/documents/2021/06/covid-19-vaccination-atagi-clinical-guidance-on-covid-19-vaccine-in-australia-in-2021_1.pdf</w:t>
        </w:r>
      </w:hyperlink>
      <w:r>
        <w:t>.</w:t>
      </w:r>
    </w:p>
  </w:footnote>
  <w:footnote w:id="12">
    <w:p w14:paraId="6837F8BC" w14:textId="7377F1D9" w:rsidR="00CD55D9" w:rsidRDefault="00CD55D9">
      <w:pPr>
        <w:pStyle w:val="FootnoteText"/>
      </w:pPr>
      <w:r>
        <w:rPr>
          <w:rStyle w:val="FootnoteReference"/>
        </w:rPr>
        <w:footnoteRef/>
      </w:r>
      <w:r>
        <w:t xml:space="preserve"> COVID-19 Vaccine Janssen </w:t>
      </w:r>
      <w:r w:rsidRPr="00B4694F">
        <w:t xml:space="preserve">was first registered on the ARTG on </w:t>
      </w:r>
      <w:r>
        <w:t xml:space="preserve">25 June </w:t>
      </w:r>
      <w:r w:rsidRPr="00021741">
        <w:t>2021</w:t>
      </w:r>
      <w:r w:rsidRPr="00B4694F">
        <w:t xml:space="preserve"> (ARTG number: </w:t>
      </w:r>
      <w:r>
        <w:t>350150</w:t>
      </w:r>
      <w:r w:rsidRPr="00B4694F">
        <w:t>).</w:t>
      </w:r>
    </w:p>
  </w:footnote>
  <w:footnote w:id="13">
    <w:p w14:paraId="59BB5DC1" w14:textId="2C76C763" w:rsidR="00CD55D9" w:rsidRDefault="00CD55D9">
      <w:pPr>
        <w:pStyle w:val="FootnoteText"/>
      </w:pPr>
      <w:r>
        <w:rPr>
          <w:rStyle w:val="FootnoteReference"/>
        </w:rPr>
        <w:footnoteRef/>
      </w:r>
      <w:r>
        <w:t xml:space="preserve"> </w:t>
      </w:r>
      <w:proofErr w:type="spellStart"/>
      <w:r>
        <w:t>AusPAR</w:t>
      </w:r>
      <w:proofErr w:type="spellEnd"/>
      <w:r>
        <w:t xml:space="preserve"> for </w:t>
      </w:r>
      <w:r w:rsidRPr="008B7930">
        <w:t>COVID-19 Vaccine Janssen</w:t>
      </w:r>
      <w:r>
        <w:t xml:space="preserve"> (</w:t>
      </w:r>
      <w:r w:rsidRPr="008B7930">
        <w:t>Ad26.COV2.S</w:t>
      </w:r>
      <w:r>
        <w:t xml:space="preserve">), published on 25 June 2021, </w:t>
      </w:r>
      <w:hyperlink r:id="rId7" w:history="1">
        <w:r w:rsidRPr="002E142D">
          <w:rPr>
            <w:rStyle w:val="Hyperlink"/>
          </w:rPr>
          <w:t>https://www.tga.gov.au/auspar/auspar-ad26cov2s</w:t>
        </w:r>
      </w:hyperlink>
      <w:r>
        <w:t xml:space="preserve"> </w:t>
      </w:r>
    </w:p>
  </w:footnote>
  <w:footnote w:id="14">
    <w:p w14:paraId="056EF9AB" w14:textId="13865B00" w:rsidR="00CD55D9" w:rsidRDefault="00CD55D9">
      <w:pPr>
        <w:pStyle w:val="FootnoteText"/>
      </w:pPr>
      <w:r>
        <w:rPr>
          <w:rStyle w:val="FootnoteReference"/>
        </w:rPr>
        <w:footnoteRef/>
      </w:r>
      <w:r>
        <w:t xml:space="preserve"> </w:t>
      </w:r>
      <w:proofErr w:type="spellStart"/>
      <w:r w:rsidRPr="00021741">
        <w:t>Veklury</w:t>
      </w:r>
      <w:proofErr w:type="spellEnd"/>
      <w:r>
        <w:t xml:space="preserve"> </w:t>
      </w:r>
      <w:r w:rsidRPr="00B4694F">
        <w:t xml:space="preserve">was first registered on the ARTG on </w:t>
      </w:r>
      <w:r w:rsidRPr="00021741">
        <w:t>10</w:t>
      </w:r>
      <w:r>
        <w:t xml:space="preserve"> July </w:t>
      </w:r>
      <w:r w:rsidRPr="00021741">
        <w:t xml:space="preserve">2020 </w:t>
      </w:r>
      <w:r w:rsidRPr="00B4694F">
        <w:t xml:space="preserve">(ARTG number: </w:t>
      </w:r>
      <w:r>
        <w:t>338419</w:t>
      </w:r>
      <w:r w:rsidRPr="00B4694F">
        <w:t>).</w:t>
      </w:r>
    </w:p>
  </w:footnote>
  <w:footnote w:id="15">
    <w:p w14:paraId="54CAAEDA" w14:textId="20027860" w:rsidR="00CD55D9" w:rsidRDefault="00CD55D9">
      <w:pPr>
        <w:pStyle w:val="FootnoteText"/>
      </w:pPr>
      <w:r>
        <w:rPr>
          <w:rStyle w:val="FootnoteReference"/>
        </w:rPr>
        <w:footnoteRef/>
      </w:r>
      <w:r>
        <w:t xml:space="preserve"> </w:t>
      </w:r>
      <w:proofErr w:type="spellStart"/>
      <w:r>
        <w:t>AusPAR</w:t>
      </w:r>
      <w:proofErr w:type="spellEnd"/>
      <w:r>
        <w:t xml:space="preserve"> for </w:t>
      </w:r>
      <w:proofErr w:type="spellStart"/>
      <w:r w:rsidRPr="004939EF">
        <w:t>Veklury</w:t>
      </w:r>
      <w:proofErr w:type="spellEnd"/>
      <w:r>
        <w:t xml:space="preserve"> (</w:t>
      </w:r>
      <w:proofErr w:type="spellStart"/>
      <w:r w:rsidRPr="004939EF">
        <w:t>remdesivir</w:t>
      </w:r>
      <w:proofErr w:type="spellEnd"/>
      <w:r>
        <w:t>),</w:t>
      </w:r>
      <w:r w:rsidRPr="004939EF">
        <w:t xml:space="preserve"> </w:t>
      </w:r>
      <w:r>
        <w:t xml:space="preserve">published on </w:t>
      </w:r>
      <w:r w:rsidRPr="004939EF">
        <w:t>21 July 2020</w:t>
      </w:r>
      <w:r>
        <w:t xml:space="preserve">. </w:t>
      </w:r>
      <w:hyperlink r:id="rId8" w:history="1">
        <w:r w:rsidRPr="002751ED">
          <w:rPr>
            <w:rStyle w:val="Hyperlink"/>
          </w:rPr>
          <w:t>https://www.tga.gov.au/auspar/auspar-remdesivir</w:t>
        </w:r>
      </w:hyperlink>
    </w:p>
  </w:footnote>
  <w:footnote w:id="16">
    <w:p w14:paraId="0F0B3A9D" w14:textId="6ACC394D" w:rsidR="00CD55D9" w:rsidRDefault="00CD55D9">
      <w:pPr>
        <w:pStyle w:val="FootnoteText"/>
      </w:pPr>
      <w:r>
        <w:rPr>
          <w:rStyle w:val="FootnoteReference"/>
        </w:rPr>
        <w:footnoteRef/>
      </w:r>
      <w:r>
        <w:t xml:space="preserve"> </w:t>
      </w:r>
      <w:r w:rsidRPr="0070128A">
        <w:t xml:space="preserve">Australian Government, Department of Health, Therapeutic Goods Administration (TGA) </w:t>
      </w:r>
      <w:r>
        <w:t>(</w:t>
      </w:r>
      <w:r w:rsidRPr="0070128A">
        <w:t>2021</w:t>
      </w:r>
      <w:r>
        <w:t xml:space="preserve">) </w:t>
      </w:r>
      <w:r w:rsidRPr="0070128A">
        <w:t xml:space="preserve">TGA Grants Provisional Determination </w:t>
      </w:r>
      <w:r>
        <w:t>f</w:t>
      </w:r>
      <w:r w:rsidRPr="0070128A">
        <w:t xml:space="preserve">or </w:t>
      </w:r>
      <w:r>
        <w:t>t</w:t>
      </w:r>
      <w:r w:rsidRPr="0070128A">
        <w:t xml:space="preserve">he </w:t>
      </w:r>
      <w:proofErr w:type="spellStart"/>
      <w:r w:rsidRPr="0070128A">
        <w:t>Moderna</w:t>
      </w:r>
      <w:proofErr w:type="spellEnd"/>
      <w:r w:rsidRPr="0070128A">
        <w:t xml:space="preserve"> COVID-19 Vaccine, </w:t>
      </w:r>
      <w:proofErr w:type="spellStart"/>
      <w:r w:rsidRPr="0070128A">
        <w:t>Elasomeran</w:t>
      </w:r>
      <w:proofErr w:type="spellEnd"/>
      <w:r>
        <w:t xml:space="preserve">. Available at: </w:t>
      </w:r>
      <w:r w:rsidRPr="0070128A">
        <w:t>https://www.tga.gov.au/media-release/tga-grants-provisional-determination-moderna-covid-19-vaccine-elasomeran.</w:t>
      </w:r>
    </w:p>
  </w:footnote>
  <w:footnote w:id="17">
    <w:p w14:paraId="34EE6DDB" w14:textId="586732B2" w:rsidR="00CD55D9" w:rsidRDefault="00CD55D9">
      <w:pPr>
        <w:pStyle w:val="FootnoteText"/>
      </w:pPr>
      <w:r>
        <w:rPr>
          <w:rStyle w:val="FootnoteReference"/>
        </w:rPr>
        <w:footnoteRef/>
      </w:r>
      <w:r>
        <w:t xml:space="preserve"> </w:t>
      </w:r>
      <w:r w:rsidRPr="001A692F">
        <w:rPr>
          <w:b/>
        </w:rPr>
        <w:t>Good Laboratory Practice</w:t>
      </w:r>
      <w:r w:rsidRPr="001A692F">
        <w:t xml:space="preserve"> is a code of standards following the International Council on Harmonisation (ICH) relevant to testing of medicines in laboratories during drug development.</w:t>
      </w:r>
    </w:p>
  </w:footnote>
  <w:footnote w:id="18">
    <w:p w14:paraId="2C34F553" w14:textId="3F8670F6" w:rsidR="00CD55D9" w:rsidRDefault="00CD55D9">
      <w:pPr>
        <w:pStyle w:val="FootnoteText"/>
      </w:pPr>
      <w:r>
        <w:rPr>
          <w:rStyle w:val="FootnoteReference"/>
        </w:rPr>
        <w:footnoteRef/>
      </w:r>
      <w:r>
        <w:t xml:space="preserve"> </w:t>
      </w:r>
      <w:r w:rsidRPr="00A94CC8">
        <w:t xml:space="preserve">World Health Organization </w:t>
      </w:r>
      <w:r>
        <w:t>(W</w:t>
      </w:r>
      <w:r w:rsidRPr="00A94CC8">
        <w:t>HO</w:t>
      </w:r>
      <w:r>
        <w:t>)</w:t>
      </w:r>
      <w:r w:rsidRPr="00A94CC8">
        <w:t xml:space="preserve"> (2005) WHO guidelines on nonclinical evaluation of vaccines</w:t>
      </w:r>
      <w:r>
        <w:t xml:space="preserve">. WHO Technical Report Series, </w:t>
      </w:r>
      <w:r w:rsidRPr="00A94CC8">
        <w:t xml:space="preserve">No. 927, Annex 1. Available at: </w:t>
      </w:r>
      <w:hyperlink r:id="rId9" w:history="1">
        <w:r w:rsidRPr="00E54CDA">
          <w:rPr>
            <w:rStyle w:val="Hyperlink"/>
          </w:rPr>
          <w:t>https://www.who.int/biologicals/areas/vaccines/TRS_987_Annex2.pdf?ua=1</w:t>
        </w:r>
      </w:hyperlink>
      <w:r>
        <w:t>.</w:t>
      </w:r>
    </w:p>
  </w:footnote>
  <w:footnote w:id="19">
    <w:p w14:paraId="2707937E" w14:textId="7C7B0599" w:rsidR="00CD55D9" w:rsidRDefault="00CD55D9" w:rsidP="006A30F6">
      <w:pPr>
        <w:pStyle w:val="FootnoteText"/>
      </w:pPr>
      <w:r>
        <w:rPr>
          <w:rStyle w:val="FootnoteReference"/>
        </w:rPr>
        <w:footnoteRef/>
      </w:r>
      <w:r>
        <w:t xml:space="preserve"> Australian </w:t>
      </w:r>
      <w:r w:rsidRPr="00A94CC8">
        <w:rPr>
          <w:b/>
        </w:rPr>
        <w:t>Pregnancy Category B1</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4C1311B3" w14:textId="68B21A12" w:rsidR="00CD55D9" w:rsidRDefault="00CD55D9" w:rsidP="006A30F6">
      <w:pPr>
        <w:pStyle w:val="FootnoteText"/>
      </w:pPr>
      <w:r>
        <w:t xml:space="preserve">Studies in animals have not shown evidence of an increased occurrence of </w:t>
      </w:r>
      <w:proofErr w:type="spellStart"/>
      <w:r>
        <w:t>fetal</w:t>
      </w:r>
      <w:proofErr w:type="spellEnd"/>
      <w:r>
        <w:t xml:space="preserve"> damage.</w:t>
      </w:r>
    </w:p>
  </w:footnote>
  <w:footnote w:id="20">
    <w:p w14:paraId="5C08AF85" w14:textId="77777777" w:rsidR="00CD55D9" w:rsidRDefault="00CD55D9" w:rsidP="00912D5E">
      <w:pPr>
        <w:pStyle w:val="FootnoteText"/>
      </w:pPr>
      <w:r>
        <w:rPr>
          <w:rStyle w:val="FootnoteReference"/>
        </w:rPr>
        <w:footnoteRef/>
      </w:r>
      <w:r>
        <w:t xml:space="preserve"> </w:t>
      </w:r>
      <w:r w:rsidRPr="00A94CC8">
        <w:t xml:space="preserve">Jackson, L. A. et al. An mRNA Vaccine Against SARS-CoV-2 - Preliminary Report, </w:t>
      </w:r>
      <w:r w:rsidRPr="00A94CC8">
        <w:rPr>
          <w:i/>
        </w:rPr>
        <w:t xml:space="preserve">N </w:t>
      </w:r>
      <w:proofErr w:type="spellStart"/>
      <w:r w:rsidRPr="00A94CC8">
        <w:rPr>
          <w:i/>
        </w:rPr>
        <w:t>Engl</w:t>
      </w:r>
      <w:proofErr w:type="spellEnd"/>
      <w:r w:rsidRPr="00A94CC8">
        <w:rPr>
          <w:i/>
        </w:rPr>
        <w:t xml:space="preserve"> J Med</w:t>
      </w:r>
      <w:r w:rsidRPr="00A94CC8">
        <w:t>,</w:t>
      </w:r>
      <w:r>
        <w:t xml:space="preserve"> </w:t>
      </w:r>
      <w:r w:rsidRPr="00A94CC8">
        <w:t>2020; 383: 1920-1931.</w:t>
      </w:r>
    </w:p>
  </w:footnote>
  <w:footnote w:id="21">
    <w:p w14:paraId="54427202" w14:textId="77777777" w:rsidR="00CD55D9" w:rsidRDefault="00CD55D9" w:rsidP="00912D5E">
      <w:pPr>
        <w:pStyle w:val="FootnoteText"/>
      </w:pPr>
      <w:r>
        <w:rPr>
          <w:rStyle w:val="FootnoteReference"/>
        </w:rPr>
        <w:footnoteRef/>
      </w:r>
      <w:r w:rsidRPr="00D72DB9">
        <w:rPr>
          <w:lang w:val="de-CH"/>
        </w:rPr>
        <w:t xml:space="preserve"> </w:t>
      </w:r>
      <w:r w:rsidRPr="00D72DB9">
        <w:rPr>
          <w:lang w:val="de-CH"/>
        </w:rPr>
        <w:t xml:space="preserve">Anderson, E. J. et al. </w:t>
      </w:r>
      <w:r w:rsidRPr="00A94CC8">
        <w:t xml:space="preserve">Safety and Immunogenicity of SARS-CoV-2 mRNA-1273 Vaccine in Older Adults, </w:t>
      </w:r>
      <w:r w:rsidRPr="00A94CC8">
        <w:rPr>
          <w:i/>
        </w:rPr>
        <w:t xml:space="preserve">N </w:t>
      </w:r>
      <w:proofErr w:type="spellStart"/>
      <w:r w:rsidRPr="00A94CC8">
        <w:rPr>
          <w:i/>
        </w:rPr>
        <w:t>Engl</w:t>
      </w:r>
      <w:proofErr w:type="spellEnd"/>
      <w:r w:rsidRPr="00A94CC8">
        <w:rPr>
          <w:i/>
        </w:rPr>
        <w:t xml:space="preserve"> J Med</w:t>
      </w:r>
      <w:r w:rsidRPr="00A94CC8">
        <w:t>, 2020; 383: 2427-2438.</w:t>
      </w:r>
    </w:p>
  </w:footnote>
  <w:footnote w:id="22">
    <w:p w14:paraId="146C9E38" w14:textId="68C9BBE2" w:rsidR="00CD55D9" w:rsidRPr="00F272A0" w:rsidRDefault="00CD55D9" w:rsidP="00183DD4">
      <w:pPr>
        <w:pStyle w:val="FootnoteText"/>
      </w:pPr>
      <w:r>
        <w:rPr>
          <w:rStyle w:val="FootnoteReference"/>
        </w:rPr>
        <w:footnoteRef/>
      </w:r>
      <w:r>
        <w:t xml:space="preserve"> </w:t>
      </w:r>
      <w:proofErr w:type="spellStart"/>
      <w:r>
        <w:t>Widge</w:t>
      </w:r>
      <w:proofErr w:type="spellEnd"/>
      <w:r>
        <w:t xml:space="preserve">, A. T. et al. </w:t>
      </w:r>
      <w:r w:rsidRPr="00A94CC8">
        <w:t xml:space="preserve">Durability of Responses after SARS-CoV-2 mRNA-1273 Vaccination, </w:t>
      </w:r>
      <w:r w:rsidRPr="00A94CC8">
        <w:rPr>
          <w:i/>
        </w:rPr>
        <w:t xml:space="preserve">N </w:t>
      </w:r>
      <w:proofErr w:type="spellStart"/>
      <w:r w:rsidRPr="00A94CC8">
        <w:rPr>
          <w:i/>
        </w:rPr>
        <w:t>Engl</w:t>
      </w:r>
      <w:proofErr w:type="spellEnd"/>
      <w:r w:rsidRPr="00A94CC8">
        <w:rPr>
          <w:i/>
        </w:rPr>
        <w:t xml:space="preserve"> J Med</w:t>
      </w:r>
      <w:r w:rsidRPr="00A94CC8">
        <w:t>, 2021; 384: 80-82.</w:t>
      </w:r>
    </w:p>
  </w:footnote>
  <w:footnote w:id="23">
    <w:p w14:paraId="25FE7B93" w14:textId="67B1320C" w:rsidR="00CD55D9" w:rsidRPr="00793629" w:rsidRDefault="00CD55D9" w:rsidP="00183DD4">
      <w:pPr>
        <w:pStyle w:val="FootnoteText"/>
      </w:pPr>
      <w:r>
        <w:rPr>
          <w:rStyle w:val="FootnoteReference"/>
        </w:rPr>
        <w:footnoteRef/>
      </w:r>
      <w:r>
        <w:t xml:space="preserve"> </w:t>
      </w:r>
      <w:proofErr w:type="spellStart"/>
      <w:r w:rsidRPr="00A94CC8">
        <w:t>Doria</w:t>
      </w:r>
      <w:proofErr w:type="spellEnd"/>
      <w:r w:rsidRPr="00A94CC8">
        <w:t>-Rose, N. et al</w:t>
      </w:r>
      <w:r>
        <w:t>.</w:t>
      </w:r>
      <w:r w:rsidRPr="00A94CC8">
        <w:t xml:space="preserve"> Antibody Persistence through 6 Months after the Second Dose of mRNA-1273 Vaccine for Covid-19, </w:t>
      </w:r>
      <w:r w:rsidRPr="00A94CC8">
        <w:rPr>
          <w:i/>
        </w:rPr>
        <w:t xml:space="preserve">N </w:t>
      </w:r>
      <w:proofErr w:type="spellStart"/>
      <w:r w:rsidRPr="00A94CC8">
        <w:rPr>
          <w:i/>
        </w:rPr>
        <w:t>Engl</w:t>
      </w:r>
      <w:proofErr w:type="spellEnd"/>
      <w:r w:rsidRPr="00A94CC8">
        <w:rPr>
          <w:i/>
        </w:rPr>
        <w:t xml:space="preserve"> J Med</w:t>
      </w:r>
      <w:r w:rsidRPr="00A94CC8">
        <w:t>, 2021; 384: 2259-2261</w:t>
      </w:r>
      <w:r>
        <w:t>.</w:t>
      </w:r>
    </w:p>
  </w:footnote>
  <w:footnote w:id="24">
    <w:p w14:paraId="70EFA5B7" w14:textId="119EEDA9" w:rsidR="00CD55D9" w:rsidRDefault="00CD55D9">
      <w:pPr>
        <w:pStyle w:val="FootnoteText"/>
      </w:pPr>
      <w:r>
        <w:rPr>
          <w:rStyle w:val="FootnoteReference"/>
        </w:rPr>
        <w:footnoteRef/>
      </w:r>
      <w:r>
        <w:t xml:space="preserve"> </w:t>
      </w:r>
      <w:r w:rsidRPr="00AF7999">
        <w:t xml:space="preserve">The </w:t>
      </w:r>
      <w:r w:rsidRPr="00AF7999">
        <w:rPr>
          <w:b/>
        </w:rPr>
        <w:t>per-protocol (PP)</w:t>
      </w:r>
      <w:r w:rsidRPr="00AF7999">
        <w:t xml:space="preserve"> analysis is restricted to the participants who strictly adhered to the protocol. Also known as ‘on-treatment’ analysis.</w:t>
      </w:r>
    </w:p>
  </w:footnote>
  <w:footnote w:id="25">
    <w:p w14:paraId="4848761F" w14:textId="63E4C035" w:rsidR="00CD55D9" w:rsidRPr="0019059E" w:rsidRDefault="00CD55D9" w:rsidP="0019059E">
      <w:pPr>
        <w:pStyle w:val="TableDescription"/>
        <w:rPr>
          <w:vertAlign w:val="superscript"/>
        </w:rPr>
      </w:pPr>
      <w:r>
        <w:rPr>
          <w:rStyle w:val="FootnoteReference"/>
        </w:rPr>
        <w:footnoteRef/>
      </w:r>
      <w:r>
        <w:t xml:space="preserve"> </w:t>
      </w:r>
      <w:r w:rsidRPr="00A94CC8">
        <w:t xml:space="preserve">Chu, L. et al. A Preliminary Report of a Randomized Controlled Phase 2 Trial of the Safety and Immunogenicity of mRNA-1273 SARS-CoV-2 Vaccine, </w:t>
      </w:r>
      <w:r w:rsidRPr="00A94CC8">
        <w:rPr>
          <w:i/>
        </w:rPr>
        <w:t>Vaccine</w:t>
      </w:r>
      <w:r w:rsidRPr="00A94CC8">
        <w:t>, 2021; 39(20): 2791–2799</w:t>
      </w:r>
      <w:r>
        <w:t>.</w:t>
      </w:r>
    </w:p>
  </w:footnote>
  <w:footnote w:id="26">
    <w:p w14:paraId="7BACFF47" w14:textId="54BE20BB" w:rsidR="00CD55D9" w:rsidRDefault="00CD55D9">
      <w:pPr>
        <w:pStyle w:val="FootnoteText"/>
      </w:pPr>
      <w:r>
        <w:rPr>
          <w:rStyle w:val="FootnoteReference"/>
        </w:rPr>
        <w:footnoteRef/>
      </w:r>
      <w:r>
        <w:t xml:space="preserve"> </w:t>
      </w:r>
      <w:r w:rsidRPr="001A692F">
        <w:t xml:space="preserve">Randomised clinical trials analysed by the </w:t>
      </w:r>
      <w:r w:rsidRPr="001A692F">
        <w:rPr>
          <w:b/>
        </w:rPr>
        <w:t>intent-to-treat (ITT)</w:t>
      </w:r>
      <w:r w:rsidRPr="001A692F">
        <w:t xml:space="preserve"> approach provide the unbiased comparisons among the treatment groups. In the ITT population, none of the patients are excluded and the patients are analysed according to the randomisation scheme.</w:t>
      </w:r>
    </w:p>
  </w:footnote>
  <w:footnote w:id="27">
    <w:p w14:paraId="3681D687" w14:textId="7FD55501" w:rsidR="00CD55D9" w:rsidRPr="003F6530" w:rsidRDefault="00CD55D9" w:rsidP="00BB6E10">
      <w:pPr>
        <w:pStyle w:val="TableDescription"/>
        <w:rPr>
          <w:sz w:val="18"/>
          <w:szCs w:val="20"/>
        </w:rPr>
      </w:pPr>
      <w:r>
        <w:rPr>
          <w:rStyle w:val="FootnoteReference"/>
        </w:rPr>
        <w:footnoteRef/>
      </w:r>
      <w:r w:rsidRPr="003F6530">
        <w:rPr>
          <w:rStyle w:val="FootnoteTextChar"/>
        </w:rPr>
        <w:t xml:space="preserve"> </w:t>
      </w:r>
      <w:r w:rsidRPr="00BB6E10">
        <w:rPr>
          <w:rStyle w:val="FootnoteTextChar"/>
        </w:rPr>
        <w:t>Food and Drug Administration (FDA), Emergency Use Authorization (EUA) for an Unapproved Product</w:t>
      </w:r>
      <w:r>
        <w:rPr>
          <w:rStyle w:val="FootnoteTextChar"/>
        </w:rPr>
        <w:t xml:space="preserve"> </w:t>
      </w:r>
      <w:r w:rsidRPr="00BB6E10">
        <w:rPr>
          <w:rStyle w:val="FootnoteTextChar"/>
        </w:rPr>
        <w:t xml:space="preserve">Review Memorandum, </w:t>
      </w:r>
      <w:proofErr w:type="spellStart"/>
      <w:r w:rsidRPr="00BB6E10">
        <w:rPr>
          <w:rStyle w:val="FootnoteTextChar"/>
        </w:rPr>
        <w:t>Moderna</w:t>
      </w:r>
      <w:proofErr w:type="spellEnd"/>
      <w:r w:rsidRPr="00BB6E10">
        <w:rPr>
          <w:rStyle w:val="FootnoteTextChar"/>
        </w:rPr>
        <w:t xml:space="preserve"> COVID-19 Vaccine/mRNA-1273, </w:t>
      </w:r>
      <w:r>
        <w:rPr>
          <w:rStyle w:val="FootnoteTextChar"/>
        </w:rPr>
        <w:t>18 December 2020. Available at:</w:t>
      </w:r>
      <w:r w:rsidRPr="00BB6E10">
        <w:rPr>
          <w:rStyle w:val="FootnoteTextChar"/>
        </w:rPr>
        <w:t xml:space="preserve"> </w:t>
      </w:r>
      <w:hyperlink r:id="rId10" w:history="1">
        <w:r w:rsidRPr="00E54CDA">
          <w:rPr>
            <w:rStyle w:val="Hyperlink"/>
            <w:sz w:val="18"/>
            <w:szCs w:val="20"/>
          </w:rPr>
          <w:t>https://fda.report/media/144673/Moderna+COVID-19+Vaccine+review+memo.pdf</w:t>
        </w:r>
      </w:hyperlink>
      <w:r>
        <w:rPr>
          <w:rStyle w:val="FootnoteTextChar"/>
        </w:rPr>
        <w:t xml:space="preserve"> </w:t>
      </w:r>
    </w:p>
  </w:footnote>
  <w:footnote w:id="28">
    <w:p w14:paraId="5403A642" w14:textId="5CB5162E" w:rsidR="00CD55D9" w:rsidRDefault="00CD55D9">
      <w:pPr>
        <w:pStyle w:val="FootnoteText"/>
      </w:pPr>
      <w:r>
        <w:rPr>
          <w:rStyle w:val="FootnoteReference"/>
        </w:rPr>
        <w:footnoteRef/>
      </w:r>
      <w:r>
        <w:t xml:space="preserve"> </w:t>
      </w:r>
      <w:r w:rsidRPr="001A692F">
        <w:t xml:space="preserve">The </w:t>
      </w:r>
      <w:r w:rsidRPr="001A692F">
        <w:rPr>
          <w:b/>
        </w:rPr>
        <w:t>Medical Dictionary for Regulatory Activities (MedDRA)</w:t>
      </w:r>
      <w:r w:rsidRPr="001A692F">
        <w:t xml:space="preserve"> is a single standardised international medical terminology, </w:t>
      </w:r>
      <w:proofErr w:type="spellStart"/>
      <w:r w:rsidRPr="001A692F">
        <w:t>developped</w:t>
      </w:r>
      <w:proofErr w:type="spellEnd"/>
      <w:r w:rsidRPr="001A692F">
        <w:t xml:space="preserve">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supports ICH electronic communication within the ICH’s Electronic Common Technical Document (eCTD) and the E2B Individual Case Safety Report.</w:t>
      </w:r>
    </w:p>
  </w:footnote>
  <w:footnote w:id="29">
    <w:p w14:paraId="3823E369" w14:textId="51E104F9" w:rsidR="00CD55D9" w:rsidRDefault="00CD55D9">
      <w:pPr>
        <w:pStyle w:val="FootnoteText"/>
      </w:pPr>
      <w:r>
        <w:rPr>
          <w:rStyle w:val="FootnoteReference"/>
        </w:rPr>
        <w:footnoteRef/>
      </w:r>
      <w:r>
        <w:t xml:space="preserve"> </w:t>
      </w:r>
      <w:r w:rsidRPr="00BB6E10">
        <w:t xml:space="preserve">Inclusion of these information is beyond the scope of the </w:t>
      </w:r>
      <w:proofErr w:type="spellStart"/>
      <w:r w:rsidRPr="00BB6E10">
        <w:t>AusPAR</w:t>
      </w:r>
      <w:proofErr w:type="spellEnd"/>
      <w:r>
        <w:t>.</w:t>
      </w:r>
    </w:p>
  </w:footnote>
  <w:footnote w:id="30">
    <w:p w14:paraId="2ED776D8" w14:textId="70760962" w:rsidR="00CD55D9" w:rsidRDefault="00CD55D9" w:rsidP="00183DD4">
      <w:pPr>
        <w:pStyle w:val="FootnoteText"/>
      </w:pPr>
      <w:r>
        <w:rPr>
          <w:rStyle w:val="FootnoteReference"/>
        </w:rPr>
        <w:footnoteRef/>
      </w:r>
      <w:r>
        <w:t xml:space="preserve"> </w:t>
      </w:r>
      <w:proofErr w:type="spellStart"/>
      <w:r w:rsidRPr="00BB6E10">
        <w:t>Center</w:t>
      </w:r>
      <w:proofErr w:type="spellEnd"/>
      <w:r w:rsidRPr="00BB6E10">
        <w:t xml:space="preserve"> for Disease Control and Prevention (CDC) (2021) COVID-19 mRNA Vaccines in Adolescents and Young Adults: Benefit-risk discussion, Advisory Committee on Immunization Practices (ACIP) Meeting. Available at: </w:t>
      </w:r>
      <w:hyperlink r:id="rId11" w:history="1">
        <w:r w:rsidRPr="00E54CDA">
          <w:rPr>
            <w:rStyle w:val="Hyperlink"/>
          </w:rPr>
          <w:t>https://www.cdc.gov/vaccines/acip/meetings/downloads/slides-2021-06/05-COVID-Wallace-508.pdf</w:t>
        </w:r>
      </w:hyperlink>
      <w:r>
        <w:t>.</w:t>
      </w:r>
    </w:p>
  </w:footnote>
  <w:footnote w:id="31">
    <w:p w14:paraId="0F965A9F" w14:textId="6F6CAD39" w:rsidR="00CD55D9" w:rsidRPr="001A692F" w:rsidRDefault="00CD55D9" w:rsidP="00183DD4">
      <w:pPr>
        <w:pStyle w:val="FootnoteText"/>
        <w:rPr>
          <w:iCs/>
          <w:lang w:val="en"/>
        </w:rPr>
      </w:pPr>
      <w:r>
        <w:rPr>
          <w:rStyle w:val="FootnoteReference"/>
        </w:rPr>
        <w:footnoteRef/>
      </w:r>
      <w:r>
        <w:t xml:space="preserve"> </w:t>
      </w:r>
      <w:proofErr w:type="spellStart"/>
      <w:r w:rsidRPr="00BD2600">
        <w:t>Center</w:t>
      </w:r>
      <w:proofErr w:type="spellEnd"/>
      <w:r w:rsidRPr="00BD2600">
        <w:t xml:space="preserve"> for Disease Control and Prevention (CDC) (2021) Selected Adverse Events Reported after COVID-19 Vaccination. Available at: </w:t>
      </w:r>
      <w:hyperlink r:id="rId12" w:history="1">
        <w:r w:rsidRPr="00E54CDA">
          <w:rPr>
            <w:rStyle w:val="Hyperlink"/>
          </w:rPr>
          <w:t>https://www.cdc.gov/coronavirus/2019-ncov/vaccines/safety/adverse-events.html</w:t>
        </w:r>
      </w:hyperlink>
      <w:r>
        <w:t>.</w:t>
      </w:r>
    </w:p>
  </w:footnote>
  <w:footnote w:id="32">
    <w:p w14:paraId="4382D6A1" w14:textId="2ABE2BAB" w:rsidR="00CD55D9" w:rsidRDefault="00CD55D9">
      <w:pPr>
        <w:pStyle w:val="FootnoteText"/>
      </w:pPr>
      <w:r>
        <w:rPr>
          <w:rStyle w:val="FootnoteReference"/>
        </w:rPr>
        <w:footnoteRef/>
      </w:r>
      <w:r>
        <w:t xml:space="preserve"> </w:t>
      </w:r>
      <w:r w:rsidRPr="0056420A">
        <w:t xml:space="preserve">The </w:t>
      </w:r>
      <w:r w:rsidRPr="00585C4C">
        <w:rPr>
          <w:b/>
          <w:bCs/>
        </w:rPr>
        <w:t>Vaccine Safety Datalink (VSD)</w:t>
      </w:r>
      <w:r w:rsidRPr="0056420A">
        <w:t xml:space="preserve"> is a collaborative project </w:t>
      </w:r>
      <w:r>
        <w:t xml:space="preserve">maintained by the </w:t>
      </w:r>
      <w:proofErr w:type="spellStart"/>
      <w:r>
        <w:t>Ce</w:t>
      </w:r>
      <w:r w:rsidRPr="0056420A">
        <w:t>nters</w:t>
      </w:r>
      <w:proofErr w:type="spellEnd"/>
      <w:r w:rsidRPr="0056420A">
        <w:t xml:space="preserve"> for Disease Control and Prevention </w:t>
      </w:r>
      <w:r>
        <w:t>(</w:t>
      </w:r>
      <w:r w:rsidRPr="0056420A">
        <w:t>CDC</w:t>
      </w:r>
      <w:r>
        <w:t xml:space="preserve">) and aims </w:t>
      </w:r>
      <w:r w:rsidRPr="0056420A">
        <w:t xml:space="preserve">to monitor safety of vaccines and conduct studies </w:t>
      </w:r>
      <w:r>
        <w:t>on</w:t>
      </w:r>
      <w:r w:rsidRPr="0056420A">
        <w:t xml:space="preserve"> rare and serious adverse events </w:t>
      </w:r>
      <w:r>
        <w:t xml:space="preserve">post </w:t>
      </w:r>
      <w:r w:rsidRPr="0056420A">
        <w:t>immuni</w:t>
      </w:r>
      <w:r>
        <w:t>s</w:t>
      </w:r>
      <w:r w:rsidRPr="0056420A">
        <w:t>ation</w:t>
      </w:r>
      <w:r>
        <w:t>.</w:t>
      </w:r>
    </w:p>
  </w:footnote>
  <w:footnote w:id="33">
    <w:p w14:paraId="51E062A2" w14:textId="0FF4C2B2" w:rsidR="00CD55D9" w:rsidRDefault="00CD55D9">
      <w:pPr>
        <w:pStyle w:val="FootnoteText"/>
      </w:pPr>
      <w:r>
        <w:rPr>
          <w:rStyle w:val="FootnoteReference"/>
        </w:rPr>
        <w:footnoteRef/>
      </w:r>
      <w:r>
        <w:t xml:space="preserve"> </w:t>
      </w:r>
      <w:r w:rsidRPr="001A692F">
        <w:t xml:space="preserve">The </w:t>
      </w:r>
      <w:r w:rsidRPr="001A692F">
        <w:rPr>
          <w:b/>
        </w:rPr>
        <w:t>International Classification of Diseases (ICD)</w:t>
      </w:r>
      <w:r w:rsidRPr="001A692F">
        <w:t xml:space="preserve"> is a diagnostic classification standard compiled and maintained by the World Health Organization (WHO) and is used to classify diseases and other health problems on many types of health and vital (essential to life) records, as well as death certificates. As well as enabling the storage and retrieval of diagnostic information for clinical, epidemiological (which deals with the study of the causes, distribution, and control of disease in populations) and quality purposes, ICD records also form the basis for compiling national mortality and morbidity statistics by WHO Member States.</w:t>
      </w:r>
    </w:p>
  </w:footnote>
  <w:footnote w:id="34">
    <w:p w14:paraId="4545BC7C" w14:textId="77777777" w:rsidR="00CD55D9" w:rsidRDefault="00CD55D9" w:rsidP="00BD2600">
      <w:pPr>
        <w:pStyle w:val="FootnoteText"/>
      </w:pPr>
      <w:r>
        <w:rPr>
          <w:rStyle w:val="FootnoteReference"/>
        </w:rPr>
        <w:footnoteRef/>
      </w:r>
      <w:r>
        <w:t xml:space="preserve"> </w:t>
      </w:r>
      <w:proofErr w:type="spellStart"/>
      <w:r>
        <w:t>Center</w:t>
      </w:r>
      <w:proofErr w:type="spellEnd"/>
      <w:r>
        <w:t xml:space="preserve"> for Disease Control and Prevention (CDC) (2021) COVID-19 Vaccine Safety Updates</w:t>
      </w:r>
    </w:p>
    <w:p w14:paraId="5791897A" w14:textId="78C16151" w:rsidR="00CD55D9" w:rsidRDefault="00CD55D9" w:rsidP="00BD2600">
      <w:pPr>
        <w:pStyle w:val="FootnoteText"/>
      </w:pPr>
      <w:r>
        <w:t xml:space="preserve">Advisory Committee on Immunization Practices (ACIP). Available at: </w:t>
      </w:r>
      <w:hyperlink r:id="rId13" w:history="1">
        <w:r w:rsidRPr="00E54CDA">
          <w:rPr>
            <w:rStyle w:val="Hyperlink"/>
          </w:rPr>
          <w:t>https://www.cdc.gov/vaccines/acip/meetings/downloads/slides-2021-06/03-COVID-Shimabukuro-508.pdf</w:t>
        </w:r>
      </w:hyperlink>
      <w:r>
        <w:t>.</w:t>
      </w:r>
    </w:p>
  </w:footnote>
  <w:footnote w:id="35">
    <w:p w14:paraId="53F3184F" w14:textId="77777777" w:rsidR="00CD55D9" w:rsidRDefault="00CD55D9"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FF8640B" w14:textId="77777777" w:rsidR="00CD55D9" w:rsidRDefault="00CD55D9" w:rsidP="007D53B6">
      <w:pPr>
        <w:pStyle w:val="FootnoteText"/>
      </w:pPr>
      <w:r w:rsidRPr="007D53B6">
        <w:rPr>
          <w:i/>
        </w:rPr>
        <w:t>Routine pharmacovigilance</w:t>
      </w:r>
      <w:r>
        <w:t xml:space="preserve"> practices involve the following activities:</w:t>
      </w:r>
    </w:p>
    <w:p w14:paraId="6722CF90" w14:textId="77777777" w:rsidR="00CD55D9" w:rsidRDefault="00CD55D9" w:rsidP="005E4463">
      <w:pPr>
        <w:pStyle w:val="FootnoteText"/>
        <w:numPr>
          <w:ilvl w:val="0"/>
          <w:numId w:val="6"/>
        </w:numPr>
        <w:ind w:left="284" w:hanging="284"/>
      </w:pPr>
      <w:r>
        <w:t xml:space="preserve">All suspected adverse reactions that are reported to the personnel of the company are collected and collated in an accessible </w:t>
      </w:r>
      <w:proofErr w:type="gramStart"/>
      <w:r>
        <w:t>manner;</w:t>
      </w:r>
      <w:proofErr w:type="gramEnd"/>
    </w:p>
    <w:p w14:paraId="3D81B1C9" w14:textId="77777777" w:rsidR="00CD55D9" w:rsidRDefault="00CD55D9" w:rsidP="005E4463">
      <w:pPr>
        <w:pStyle w:val="FootnoteText"/>
        <w:numPr>
          <w:ilvl w:val="0"/>
          <w:numId w:val="6"/>
        </w:numPr>
        <w:ind w:left="284" w:hanging="284"/>
      </w:pPr>
      <w:r>
        <w:t xml:space="preserve">Reporting to regulatory </w:t>
      </w:r>
      <w:proofErr w:type="gramStart"/>
      <w:r>
        <w:t>authorities;</w:t>
      </w:r>
      <w:proofErr w:type="gramEnd"/>
    </w:p>
    <w:p w14:paraId="338E4A21" w14:textId="77777777" w:rsidR="00CD55D9" w:rsidRDefault="00CD55D9" w:rsidP="005E4463">
      <w:pPr>
        <w:pStyle w:val="FootnoteText"/>
        <w:numPr>
          <w:ilvl w:val="0"/>
          <w:numId w:val="6"/>
        </w:numPr>
        <w:ind w:left="284" w:hanging="284"/>
      </w:pPr>
      <w:r>
        <w:t xml:space="preserve">Continuous monitoring of the safety profiles of approved products including signal detection and updating of </w:t>
      </w:r>
      <w:proofErr w:type="gramStart"/>
      <w:r>
        <w:t>labelling;</w:t>
      </w:r>
      <w:proofErr w:type="gramEnd"/>
    </w:p>
    <w:p w14:paraId="74BEB338" w14:textId="77777777" w:rsidR="00CD55D9" w:rsidRDefault="00CD55D9" w:rsidP="005E4463">
      <w:pPr>
        <w:pStyle w:val="FootnoteText"/>
        <w:numPr>
          <w:ilvl w:val="0"/>
          <w:numId w:val="6"/>
        </w:numPr>
        <w:ind w:left="284" w:hanging="284"/>
      </w:pPr>
      <w:r>
        <w:t xml:space="preserve">Submission of </w:t>
      </w:r>
      <w:proofErr w:type="gramStart"/>
      <w:r>
        <w:t>PSURs;</w:t>
      </w:r>
      <w:proofErr w:type="gramEnd"/>
    </w:p>
    <w:p w14:paraId="52EE6660" w14:textId="77777777" w:rsidR="00CD55D9" w:rsidRDefault="00CD55D9" w:rsidP="005E4463">
      <w:pPr>
        <w:pStyle w:val="FootnoteText"/>
        <w:numPr>
          <w:ilvl w:val="0"/>
          <w:numId w:val="6"/>
        </w:numPr>
        <w:ind w:left="284" w:hanging="284"/>
      </w:pPr>
      <w:r>
        <w:t>Meeting other local regulatory agency requirements.</w:t>
      </w:r>
    </w:p>
  </w:footnote>
  <w:footnote w:id="36">
    <w:p w14:paraId="15843B4D" w14:textId="3C453C78" w:rsidR="00CD55D9" w:rsidRDefault="00CD55D9">
      <w:pPr>
        <w:pStyle w:val="FootnoteText"/>
      </w:pPr>
      <w:r>
        <w:rPr>
          <w:rStyle w:val="FootnoteReference"/>
        </w:rPr>
        <w:footnoteRef/>
      </w:r>
      <w:r>
        <w:t xml:space="preserve"> </w:t>
      </w:r>
      <w:r w:rsidRPr="00BD2600">
        <w:t xml:space="preserve">Australian Government, Department of Health, Therapeutic Goods Administration (TGA) (2020) Access Consortium Statement on COVID-19 Vaccines Evidence. Available at: </w:t>
      </w:r>
      <w:hyperlink r:id="rId14" w:anchor=":~:text=Access%20Consortium%20statement%20on%20COVID%2D19%20vaccines%20evidence,-Australia%2C%20Canada%2C%20Singapore&amp;text=The%20Access%20Consortium%20members%20rigorously,be%20specific%20to%20our%20countries" w:history="1">
        <w:r w:rsidRPr="00E54CDA">
          <w:rPr>
            <w:rStyle w:val="Hyperlink"/>
          </w:rPr>
          <w:t>https://www.tga.gov.au/access-consortium-statement-covid-19-vaccines-evidence#:~:text=Access%20Consortium%20statement%20on%20COVID%2D19%20vaccines%20evidence,-Australia%2C%20Canada%2C%20Singapore&amp;text=The%20Access%20Consortium%20members%20rigorously,be%20specific%20to%20our%20countries</w:t>
        </w:r>
      </w:hyperlink>
      <w:r>
        <w:t>.</w:t>
      </w:r>
    </w:p>
  </w:footnote>
  <w:footnote w:id="37">
    <w:p w14:paraId="166DD15C" w14:textId="309E2AA8" w:rsidR="00CD55D9" w:rsidRPr="000353EB" w:rsidRDefault="00CD55D9" w:rsidP="000353EB">
      <w:pPr>
        <w:rPr>
          <w:rStyle w:val="FootnoteTextChar"/>
        </w:rPr>
      </w:pPr>
      <w:r>
        <w:rPr>
          <w:rStyle w:val="FootnoteReference"/>
        </w:rPr>
        <w:footnoteRef/>
      </w:r>
      <w:r>
        <w:t xml:space="preserve"> </w:t>
      </w:r>
      <w:r w:rsidRPr="00BD2600">
        <w:rPr>
          <w:rStyle w:val="FootnoteTextChar"/>
        </w:rPr>
        <w:t xml:space="preserve">European Medicines Agency (EMA), Committee for human medicinal products (CHMP) EMA Considerations on COVID-19 Vaccine Approval, EMA/592928/2020, 16 November 2020. Available at: </w:t>
      </w:r>
      <w:hyperlink r:id="rId15" w:history="1">
        <w:r w:rsidRPr="00E54CDA">
          <w:rPr>
            <w:rStyle w:val="Hyperlink"/>
            <w:sz w:val="18"/>
            <w:szCs w:val="20"/>
          </w:rPr>
          <w:t>https://www.ema.europa.eu/en/documents/other/ema-considerations-covid-19-vaccine-approval_en.pdf</w:t>
        </w:r>
      </w:hyperlink>
      <w:r>
        <w:rPr>
          <w:rStyle w:val="FootnoteTextChar"/>
        </w:rPr>
        <w:t>.</w:t>
      </w:r>
    </w:p>
  </w:footnote>
  <w:footnote w:id="38">
    <w:p w14:paraId="67673C39" w14:textId="77777777" w:rsidR="00CD55D9" w:rsidRDefault="00CD55D9" w:rsidP="00C9005C">
      <w:pPr>
        <w:spacing w:before="0" w:after="0" w:line="240" w:lineRule="auto"/>
        <w:rPr>
          <w:rFonts w:eastAsia="Times New Roman" w:cs="Calibri"/>
          <w:color w:val="000000"/>
          <w:sz w:val="18"/>
          <w:szCs w:val="18"/>
          <w:lang w:eastAsia="en-AU"/>
        </w:rPr>
      </w:pPr>
      <w:r>
        <w:rPr>
          <w:rStyle w:val="FootnoteReference"/>
        </w:rPr>
        <w:footnoteRef/>
      </w:r>
      <w:r>
        <w:t xml:space="preserve"> </w:t>
      </w:r>
      <w:r w:rsidRPr="00810BB0">
        <w:rPr>
          <w:rFonts w:eastAsia="Times New Roman" w:cs="Calibri"/>
          <w:color w:val="000000"/>
          <w:sz w:val="18"/>
          <w:szCs w:val="18"/>
          <w:lang w:eastAsia="en-AU"/>
        </w:rPr>
        <w:t xml:space="preserve">The </w:t>
      </w:r>
      <w:r w:rsidRPr="00810BB0">
        <w:rPr>
          <w:rFonts w:eastAsia="Times New Roman" w:cs="Calibri"/>
          <w:b/>
          <w:bCs/>
          <w:color w:val="000000"/>
          <w:sz w:val="18"/>
          <w:szCs w:val="18"/>
          <w:lang w:eastAsia="en-AU"/>
        </w:rPr>
        <w:t>Advisory Committee on Vaccines (ACV)</w:t>
      </w:r>
      <w:r w:rsidRPr="00810BB0">
        <w:rPr>
          <w:rFonts w:eastAsia="Times New Roman" w:cs="Calibri"/>
          <w:color w:val="000000"/>
          <w:sz w:val="18"/>
          <w:szCs w:val="18"/>
          <w:lang w:eastAsia="en-AU"/>
        </w:rP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w:t>
      </w:r>
      <w:r>
        <w:rPr>
          <w:rFonts w:eastAsia="Times New Roman" w:cs="Calibri"/>
          <w:color w:val="000000"/>
          <w:sz w:val="18"/>
          <w:szCs w:val="18"/>
          <w:lang w:eastAsia="en-AU"/>
        </w:rPr>
        <w:t>s.</w:t>
      </w:r>
    </w:p>
    <w:p w14:paraId="7E7E320B" w14:textId="77777777" w:rsidR="00CD55D9" w:rsidRDefault="00CD55D9" w:rsidP="00C9005C">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The Committee is established under Regulation 39F of the Therapeutic Goods Regulations 1990 and the members are appoint</w:t>
      </w:r>
      <w:r>
        <w:rPr>
          <w:rFonts w:eastAsia="Times New Roman" w:cs="Calibri"/>
          <w:color w:val="000000"/>
          <w:sz w:val="18"/>
          <w:szCs w:val="18"/>
          <w:lang w:eastAsia="en-AU"/>
        </w:rPr>
        <w:t>ed by the Minister for Health.</w:t>
      </w:r>
    </w:p>
    <w:p w14:paraId="4A52B9F2" w14:textId="77777777" w:rsidR="00CD55D9" w:rsidRDefault="00CD55D9" w:rsidP="00C9005C">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 xml:space="preserve">The ACV was established in January 2017, following consolidation of previous functions of the Advisory Committee on the Safety of Vaccines (ACSOV) and the pre-market functions for vaccines of the Advisory Committee on </w:t>
      </w:r>
      <w:r>
        <w:rPr>
          <w:rFonts w:eastAsia="Times New Roman" w:cs="Calibri"/>
          <w:color w:val="000000"/>
          <w:sz w:val="18"/>
          <w:szCs w:val="18"/>
          <w:lang w:eastAsia="en-AU"/>
        </w:rPr>
        <w:t>Prescription Medicines (ACPM).</w:t>
      </w:r>
    </w:p>
    <w:p w14:paraId="38EC8F15" w14:textId="62B44CC2" w:rsidR="00CD55D9" w:rsidRPr="00456765" w:rsidRDefault="00CD55D9" w:rsidP="00C9005C">
      <w:pPr>
        <w:pStyle w:val="FootnoteText"/>
        <w:rPr>
          <w:lang w:val="en-US"/>
        </w:rPr>
      </w:pPr>
      <w:r w:rsidRPr="00810BB0">
        <w:rPr>
          <w:rFonts w:eastAsia="Times New Roman" w:cs="Calibri"/>
          <w:color w:val="000000"/>
          <w:szCs w:val="18"/>
          <w:lang w:eastAsia="en-AU"/>
        </w:rPr>
        <w:t xml:space="preserve">Membership comprises professionals with expertise in specific scientific, </w:t>
      </w:r>
      <w:proofErr w:type="gramStart"/>
      <w:r w:rsidRPr="00810BB0">
        <w:rPr>
          <w:rFonts w:eastAsia="Times New Roman" w:cs="Calibri"/>
          <w:color w:val="000000"/>
          <w:szCs w:val="18"/>
          <w:lang w:eastAsia="en-AU"/>
        </w:rPr>
        <w:t>medical</w:t>
      </w:r>
      <w:proofErr w:type="gramEnd"/>
      <w:r w:rsidRPr="00810BB0">
        <w:rPr>
          <w:rFonts w:eastAsia="Times New Roman" w:cs="Calibri"/>
          <w:color w:val="000000"/>
          <w:szCs w:val="18"/>
          <w:lang w:eastAsia="en-AU"/>
        </w:rPr>
        <w:t xml:space="preserve"> or clinical fields, or consumer health issues.</w:t>
      </w:r>
    </w:p>
  </w:footnote>
  <w:footnote w:id="39">
    <w:p w14:paraId="1BBD7596" w14:textId="1D984707" w:rsidR="00CD55D9" w:rsidRDefault="00CD55D9">
      <w:pPr>
        <w:pStyle w:val="FootnoteText"/>
      </w:pPr>
      <w:r>
        <w:rPr>
          <w:rStyle w:val="FootnoteReference"/>
        </w:rPr>
        <w:footnoteRef/>
      </w:r>
      <w:r>
        <w:t xml:space="preserve"> </w:t>
      </w:r>
      <w:proofErr w:type="gramStart"/>
      <w:r w:rsidRPr="007931EF">
        <w:t>Subsequent to</w:t>
      </w:r>
      <w:proofErr w:type="gramEnd"/>
      <w:r w:rsidRPr="007931EF">
        <w:t xml:space="preserve"> the ACV 30, the Australian Government published ‘Guidance on Myocarditis and pericarditis after mRNA COVID-19 Vaccines’, versions 1.0, developed jointly by the Australian Technical Advisory Group on </w:t>
      </w:r>
      <w:proofErr w:type="spellStart"/>
      <w:r w:rsidRPr="007931EF">
        <w:t>Immunisastion</w:t>
      </w:r>
      <w:proofErr w:type="spellEnd"/>
      <w:r w:rsidRPr="007931EF">
        <w:t xml:space="preserve"> (ATAGI) and the Cardiac Society of Australia and New Zealand (CSANZ).</w:t>
      </w:r>
    </w:p>
  </w:footnote>
  <w:footnote w:id="40">
    <w:p w14:paraId="6710A805" w14:textId="77777777" w:rsidR="00CD55D9" w:rsidRDefault="00CD55D9" w:rsidP="005C6CEC">
      <w:pPr>
        <w:pStyle w:val="FootnoteText"/>
      </w:pPr>
      <w:r>
        <w:rPr>
          <w:rStyle w:val="FootnoteReference"/>
        </w:rPr>
        <w:footnoteRef/>
      </w:r>
      <w:r>
        <w:t xml:space="preserve"> For example, expedited monthly </w:t>
      </w:r>
      <w:proofErr w:type="spellStart"/>
      <w:r>
        <w:t>Comirnaty</w:t>
      </w:r>
      <w:proofErr w:type="spellEnd"/>
      <w:r>
        <w:t xml:space="preserve"> safety summary reports (including safety data for patients in Australia) for the first 6 months post registration, and thereafter at intervals specified by the TGA; specific targeted data capture aids to monitor AESIs in Australia. See </w:t>
      </w:r>
      <w:hyperlink r:id="rId16" w:history="1">
        <w:r>
          <w:rPr>
            <w:rStyle w:val="Hyperlink"/>
          </w:rPr>
          <w:t>https://www.tga.gov.au/sites/default/files/auspar-bnt162b2-mrna-210125.pdf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DEDA5" w14:textId="77777777" w:rsidR="00CD55D9" w:rsidRDefault="00CD55D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E5D3" w14:textId="77777777" w:rsidR="00CD55D9" w:rsidRDefault="00CD55D9">
    <w:pPr>
      <w:rPr>
        <w:noProof/>
        <w:lang w:eastAsia="en-AU"/>
      </w:rPr>
    </w:pPr>
    <w:r w:rsidRPr="00347824">
      <w:rPr>
        <w:noProof/>
        <w:color w:val="2B579A"/>
        <w:shd w:val="clear" w:color="auto" w:fill="E6E6E6"/>
        <w:lang w:val="en-GB" w:eastAsia="en-GB"/>
      </w:rPr>
      <w:drawing>
        <wp:anchor distT="0" distB="0" distL="114300" distR="114300" simplePos="0" relativeHeight="251658240" behindDoc="1" locked="0" layoutInCell="1" allowOverlap="1" wp14:anchorId="020F1D5B" wp14:editId="18E5CBC2">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FF4A3A6" w14:textId="77777777" w:rsidR="00CD55D9" w:rsidRDefault="00CD55D9"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D6354" w14:textId="77777777" w:rsidR="00CD55D9" w:rsidRDefault="00CD55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2C1EE" w14:textId="77777777" w:rsidR="00CD55D9" w:rsidRDefault="00CD55D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E3D6E" w14:textId="77777777" w:rsidR="00CD55D9" w:rsidRDefault="00CD55D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0998" w14:textId="77777777" w:rsidR="00CD55D9" w:rsidRDefault="00CD55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8579F" w14:textId="77777777" w:rsidR="00CD55D9" w:rsidRDefault="00CD55D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1DD35" w14:textId="77777777" w:rsidR="00CD55D9" w:rsidRDefault="00CD55D9" w:rsidP="006E08B3">
    <w:r>
      <w:t>Therapeutic Goods Administration</w:t>
    </w:r>
  </w:p>
  <w:p w14:paraId="5F900C73" w14:textId="77777777" w:rsidR="00CD55D9" w:rsidRDefault="00CD55D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5101B"/>
    <w:multiLevelType w:val="hybridMultilevel"/>
    <w:tmpl w:val="BD668730"/>
    <w:lvl w:ilvl="0" w:tplc="0C090001">
      <w:start w:val="1"/>
      <w:numFmt w:val="bullet"/>
      <w:lvlText w:val=""/>
      <w:lvlJc w:val="left"/>
      <w:pPr>
        <w:ind w:left="720" w:hanging="360"/>
      </w:pPr>
      <w:rPr>
        <w:rFonts w:ascii="Symbol" w:hAnsi="Symbol" w:hint="default"/>
      </w:rPr>
    </w:lvl>
    <w:lvl w:ilvl="1" w:tplc="3FAAE45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B13D0"/>
    <w:multiLevelType w:val="hybridMultilevel"/>
    <w:tmpl w:val="7E727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3D64014"/>
    <w:multiLevelType w:val="hybridMultilevel"/>
    <w:tmpl w:val="A9B4C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8F13E9"/>
    <w:multiLevelType w:val="multilevel"/>
    <w:tmpl w:val="4F6A21F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E2C3FCC"/>
    <w:multiLevelType w:val="hybridMultilevel"/>
    <w:tmpl w:val="09AA3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C823D9"/>
    <w:multiLevelType w:val="hybridMultilevel"/>
    <w:tmpl w:val="D8ACE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85153BA"/>
    <w:multiLevelType w:val="hybridMultilevel"/>
    <w:tmpl w:val="8F320A36"/>
    <w:lvl w:ilvl="0" w:tplc="022EE3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2E5BF7"/>
    <w:multiLevelType w:val="hybridMultilevel"/>
    <w:tmpl w:val="9E885F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F2F5370"/>
    <w:multiLevelType w:val="hybridMultilevel"/>
    <w:tmpl w:val="51A0E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55056F"/>
    <w:multiLevelType w:val="hybridMultilevel"/>
    <w:tmpl w:val="50C27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1F0589"/>
    <w:multiLevelType w:val="hybridMultilevel"/>
    <w:tmpl w:val="204200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2819EA"/>
    <w:multiLevelType w:val="hybridMultilevel"/>
    <w:tmpl w:val="A8B84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D8352FA"/>
    <w:multiLevelType w:val="hybridMultilevel"/>
    <w:tmpl w:val="35183B68"/>
    <w:lvl w:ilvl="0" w:tplc="4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F470F6"/>
    <w:multiLevelType w:val="hybridMultilevel"/>
    <w:tmpl w:val="A1D03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117FA2"/>
    <w:multiLevelType w:val="hybridMultilevel"/>
    <w:tmpl w:val="908609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57B919D6"/>
    <w:multiLevelType w:val="hybridMultilevel"/>
    <w:tmpl w:val="AACE4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093F9F"/>
    <w:multiLevelType w:val="hybridMultilevel"/>
    <w:tmpl w:val="D7988C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FD54DC"/>
    <w:multiLevelType w:val="hybridMultilevel"/>
    <w:tmpl w:val="7FD23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0E5092"/>
    <w:multiLevelType w:val="hybridMultilevel"/>
    <w:tmpl w:val="779C36C8"/>
    <w:lvl w:ilvl="0" w:tplc="0C090001">
      <w:start w:val="1"/>
      <w:numFmt w:val="bullet"/>
      <w:lvlText w:val=""/>
      <w:lvlJc w:val="left"/>
      <w:pPr>
        <w:ind w:left="720" w:hanging="360"/>
      </w:pPr>
      <w:rPr>
        <w:rFonts w:ascii="Symbol" w:hAnsi="Symbol" w:hint="default"/>
      </w:rPr>
    </w:lvl>
    <w:lvl w:ilvl="1" w:tplc="7DA6EB56">
      <w:start w:val="1"/>
      <w:numFmt w:val="bullet"/>
      <w:lvlText w:val="o"/>
      <w:lvlJc w:val="left"/>
      <w:pPr>
        <w:ind w:left="680" w:hanging="226"/>
      </w:pPr>
      <w:rPr>
        <w:rFonts w:ascii="Courier New" w:hAnsi="Courier New" w:hint="default"/>
      </w:rPr>
    </w:lvl>
    <w:lvl w:ilvl="2" w:tplc="76B8E194">
      <w:start w:val="1"/>
      <w:numFmt w:val="bullet"/>
      <w:lvlText w:val=""/>
      <w:lvlJc w:val="left"/>
      <w:pPr>
        <w:ind w:left="737" w:hanging="17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7F1838"/>
    <w:multiLevelType w:val="hybridMultilevel"/>
    <w:tmpl w:val="C4DCA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60F097F"/>
    <w:multiLevelType w:val="hybridMultilevel"/>
    <w:tmpl w:val="EB248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7BA0ACF"/>
    <w:multiLevelType w:val="hybridMultilevel"/>
    <w:tmpl w:val="FC142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776DF0"/>
    <w:multiLevelType w:val="hybridMultilevel"/>
    <w:tmpl w:val="E24E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9644EB"/>
    <w:multiLevelType w:val="hybridMultilevel"/>
    <w:tmpl w:val="99B8C070"/>
    <w:lvl w:ilvl="0" w:tplc="7D48A37C">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D577D2"/>
    <w:multiLevelType w:val="hybridMultilevel"/>
    <w:tmpl w:val="0AB66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5"/>
  </w:num>
  <w:num w:numId="4">
    <w:abstractNumId w:val="3"/>
  </w:num>
  <w:num w:numId="5">
    <w:abstractNumId w:val="12"/>
  </w:num>
  <w:num w:numId="6">
    <w:abstractNumId w:val="1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0"/>
  </w:num>
  <w:num w:numId="10">
    <w:abstractNumId w:val="8"/>
  </w:num>
  <w:num w:numId="11">
    <w:abstractNumId w:val="29"/>
  </w:num>
  <w:num w:numId="12">
    <w:abstractNumId w:val="19"/>
  </w:num>
  <w:num w:numId="13">
    <w:abstractNumId w:val="9"/>
  </w:num>
  <w:num w:numId="14">
    <w:abstractNumId w:val="6"/>
  </w:num>
  <w:num w:numId="15">
    <w:abstractNumId w:val="10"/>
  </w:num>
  <w:num w:numId="16">
    <w:abstractNumId w:val="13"/>
  </w:num>
  <w:num w:numId="17">
    <w:abstractNumId w:val="25"/>
  </w:num>
  <w:num w:numId="18">
    <w:abstractNumId w:val="18"/>
  </w:num>
  <w:num w:numId="19">
    <w:abstractNumId w:val="4"/>
  </w:num>
  <w:num w:numId="20">
    <w:abstractNumId w:val="24"/>
  </w:num>
  <w:num w:numId="21">
    <w:abstractNumId w:val="26"/>
  </w:num>
  <w:num w:numId="22">
    <w:abstractNumId w:val="28"/>
  </w:num>
  <w:num w:numId="23">
    <w:abstractNumId w:val="22"/>
  </w:num>
  <w:num w:numId="24">
    <w:abstractNumId w:val="7"/>
  </w:num>
  <w:num w:numId="25">
    <w:abstractNumId w:val="23"/>
  </w:num>
  <w:num w:numId="26">
    <w:abstractNumId w:val="1"/>
  </w:num>
  <w:num w:numId="27">
    <w:abstractNumId w:val="16"/>
  </w:num>
  <w:num w:numId="28">
    <w:abstractNumId w:val="27"/>
  </w:num>
  <w:num w:numId="29">
    <w:abstractNumId w:val="2"/>
  </w:num>
  <w:num w:numId="30">
    <w:abstractNumId w:val="0"/>
  </w:num>
  <w:num w:numId="31">
    <w:abstractNumId w:val="11"/>
  </w:num>
  <w:num w:numId="32">
    <w:abstractNumId w:val="15"/>
  </w:num>
  <w:num w:numId="3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CE2"/>
    <w:rsid w:val="00002031"/>
    <w:rsid w:val="00004734"/>
    <w:rsid w:val="00005206"/>
    <w:rsid w:val="00005954"/>
    <w:rsid w:val="00006B22"/>
    <w:rsid w:val="00006FAB"/>
    <w:rsid w:val="00011511"/>
    <w:rsid w:val="00011651"/>
    <w:rsid w:val="0001276A"/>
    <w:rsid w:val="00021741"/>
    <w:rsid w:val="000246AE"/>
    <w:rsid w:val="00025C67"/>
    <w:rsid w:val="00033027"/>
    <w:rsid w:val="00034F5B"/>
    <w:rsid w:val="000353EB"/>
    <w:rsid w:val="000369BB"/>
    <w:rsid w:val="00044772"/>
    <w:rsid w:val="0004541C"/>
    <w:rsid w:val="00046DD2"/>
    <w:rsid w:val="00047A85"/>
    <w:rsid w:val="00050BAA"/>
    <w:rsid w:val="0005559E"/>
    <w:rsid w:val="00056A5E"/>
    <w:rsid w:val="000570FA"/>
    <w:rsid w:val="0005714F"/>
    <w:rsid w:val="0005779B"/>
    <w:rsid w:val="000604D6"/>
    <w:rsid w:val="000651C9"/>
    <w:rsid w:val="00070DF3"/>
    <w:rsid w:val="00071D9D"/>
    <w:rsid w:val="000734D8"/>
    <w:rsid w:val="00074F0C"/>
    <w:rsid w:val="00077775"/>
    <w:rsid w:val="00077B70"/>
    <w:rsid w:val="00081815"/>
    <w:rsid w:val="0008587B"/>
    <w:rsid w:val="00090426"/>
    <w:rsid w:val="00090471"/>
    <w:rsid w:val="00096AA7"/>
    <w:rsid w:val="00096CE7"/>
    <w:rsid w:val="000A3AED"/>
    <w:rsid w:val="000A4756"/>
    <w:rsid w:val="000A6F52"/>
    <w:rsid w:val="000B3532"/>
    <w:rsid w:val="000B3A75"/>
    <w:rsid w:val="000C00C2"/>
    <w:rsid w:val="000C0135"/>
    <w:rsid w:val="000C0CDC"/>
    <w:rsid w:val="000C1774"/>
    <w:rsid w:val="000C690F"/>
    <w:rsid w:val="000D1295"/>
    <w:rsid w:val="000D391B"/>
    <w:rsid w:val="000D3D6D"/>
    <w:rsid w:val="000D4FC7"/>
    <w:rsid w:val="000D559B"/>
    <w:rsid w:val="000E0D3B"/>
    <w:rsid w:val="000E18F6"/>
    <w:rsid w:val="000E3335"/>
    <w:rsid w:val="000E483B"/>
    <w:rsid w:val="000E5456"/>
    <w:rsid w:val="000E6196"/>
    <w:rsid w:val="000E643A"/>
    <w:rsid w:val="000F1CE8"/>
    <w:rsid w:val="000F4869"/>
    <w:rsid w:val="000F5B42"/>
    <w:rsid w:val="000F63F4"/>
    <w:rsid w:val="000F6E6F"/>
    <w:rsid w:val="001043BC"/>
    <w:rsid w:val="00105198"/>
    <w:rsid w:val="0010601F"/>
    <w:rsid w:val="0010788A"/>
    <w:rsid w:val="00107A31"/>
    <w:rsid w:val="00110EA5"/>
    <w:rsid w:val="00112F56"/>
    <w:rsid w:val="0011340F"/>
    <w:rsid w:val="00117607"/>
    <w:rsid w:val="00117BF7"/>
    <w:rsid w:val="00122C2E"/>
    <w:rsid w:val="00124ACD"/>
    <w:rsid w:val="00125318"/>
    <w:rsid w:val="001305A2"/>
    <w:rsid w:val="00133238"/>
    <w:rsid w:val="00133A1B"/>
    <w:rsid w:val="00134BBD"/>
    <w:rsid w:val="00135E86"/>
    <w:rsid w:val="00137466"/>
    <w:rsid w:val="00137A2E"/>
    <w:rsid w:val="0014197B"/>
    <w:rsid w:val="00141C8C"/>
    <w:rsid w:val="001447CD"/>
    <w:rsid w:val="00145CB1"/>
    <w:rsid w:val="00146CA9"/>
    <w:rsid w:val="001516B1"/>
    <w:rsid w:val="00153008"/>
    <w:rsid w:val="00154EBB"/>
    <w:rsid w:val="001555E0"/>
    <w:rsid w:val="00156161"/>
    <w:rsid w:val="00156316"/>
    <w:rsid w:val="00161181"/>
    <w:rsid w:val="00162D14"/>
    <w:rsid w:val="00163780"/>
    <w:rsid w:val="001650D6"/>
    <w:rsid w:val="00165389"/>
    <w:rsid w:val="00167640"/>
    <w:rsid w:val="0017051F"/>
    <w:rsid w:val="00170E61"/>
    <w:rsid w:val="00171FEF"/>
    <w:rsid w:val="0017693F"/>
    <w:rsid w:val="00180C6C"/>
    <w:rsid w:val="0018110E"/>
    <w:rsid w:val="00181684"/>
    <w:rsid w:val="00183DD4"/>
    <w:rsid w:val="00183DE8"/>
    <w:rsid w:val="001843C6"/>
    <w:rsid w:val="001850E0"/>
    <w:rsid w:val="0019017B"/>
    <w:rsid w:val="0019059E"/>
    <w:rsid w:val="00190E04"/>
    <w:rsid w:val="001A03AF"/>
    <w:rsid w:val="001A2158"/>
    <w:rsid w:val="001A4075"/>
    <w:rsid w:val="001A525F"/>
    <w:rsid w:val="001A692F"/>
    <w:rsid w:val="001B04A7"/>
    <w:rsid w:val="001B09F9"/>
    <w:rsid w:val="001B4217"/>
    <w:rsid w:val="001B5C90"/>
    <w:rsid w:val="001B6448"/>
    <w:rsid w:val="001C25CF"/>
    <w:rsid w:val="001C32CD"/>
    <w:rsid w:val="001D2984"/>
    <w:rsid w:val="001D5FFC"/>
    <w:rsid w:val="001D764D"/>
    <w:rsid w:val="001E07CF"/>
    <w:rsid w:val="001E34B7"/>
    <w:rsid w:val="001E4459"/>
    <w:rsid w:val="001E59F1"/>
    <w:rsid w:val="001E5CC8"/>
    <w:rsid w:val="001F2CEE"/>
    <w:rsid w:val="001F3915"/>
    <w:rsid w:val="001F49EB"/>
    <w:rsid w:val="001F6CBA"/>
    <w:rsid w:val="00201D4E"/>
    <w:rsid w:val="00205DBC"/>
    <w:rsid w:val="00206D4E"/>
    <w:rsid w:val="002076C9"/>
    <w:rsid w:val="002159E9"/>
    <w:rsid w:val="002178E0"/>
    <w:rsid w:val="00220B8A"/>
    <w:rsid w:val="002245B8"/>
    <w:rsid w:val="002257F3"/>
    <w:rsid w:val="002264C7"/>
    <w:rsid w:val="00233456"/>
    <w:rsid w:val="002339A5"/>
    <w:rsid w:val="002341C1"/>
    <w:rsid w:val="0024020F"/>
    <w:rsid w:val="00247854"/>
    <w:rsid w:val="00250271"/>
    <w:rsid w:val="00252CC8"/>
    <w:rsid w:val="00257668"/>
    <w:rsid w:val="00257848"/>
    <w:rsid w:val="002578E8"/>
    <w:rsid w:val="0026159A"/>
    <w:rsid w:val="002649F0"/>
    <w:rsid w:val="00265AC1"/>
    <w:rsid w:val="0027084A"/>
    <w:rsid w:val="00275573"/>
    <w:rsid w:val="00275DB6"/>
    <w:rsid w:val="00280265"/>
    <w:rsid w:val="0028278F"/>
    <w:rsid w:val="00283F99"/>
    <w:rsid w:val="00286434"/>
    <w:rsid w:val="00286C59"/>
    <w:rsid w:val="002870D6"/>
    <w:rsid w:val="00287F1A"/>
    <w:rsid w:val="00291957"/>
    <w:rsid w:val="002942D1"/>
    <w:rsid w:val="0029501A"/>
    <w:rsid w:val="002A0B46"/>
    <w:rsid w:val="002A3721"/>
    <w:rsid w:val="002A3FF9"/>
    <w:rsid w:val="002A4DC1"/>
    <w:rsid w:val="002A648A"/>
    <w:rsid w:val="002B1638"/>
    <w:rsid w:val="002B3624"/>
    <w:rsid w:val="002C16BB"/>
    <w:rsid w:val="002C36B7"/>
    <w:rsid w:val="002D05C6"/>
    <w:rsid w:val="002D0952"/>
    <w:rsid w:val="002D118E"/>
    <w:rsid w:val="002D1359"/>
    <w:rsid w:val="002D698B"/>
    <w:rsid w:val="002D7DB1"/>
    <w:rsid w:val="002E40B3"/>
    <w:rsid w:val="002E4BC9"/>
    <w:rsid w:val="002E4C9A"/>
    <w:rsid w:val="002E6030"/>
    <w:rsid w:val="002F11F8"/>
    <w:rsid w:val="002F1DD5"/>
    <w:rsid w:val="002F3F56"/>
    <w:rsid w:val="002F3FA1"/>
    <w:rsid w:val="002F44B5"/>
    <w:rsid w:val="002F5122"/>
    <w:rsid w:val="002F6017"/>
    <w:rsid w:val="003034CD"/>
    <w:rsid w:val="003070BD"/>
    <w:rsid w:val="003104C2"/>
    <w:rsid w:val="00311AC0"/>
    <w:rsid w:val="00311FA4"/>
    <w:rsid w:val="003123E8"/>
    <w:rsid w:val="00314856"/>
    <w:rsid w:val="00315AE5"/>
    <w:rsid w:val="003176FC"/>
    <w:rsid w:val="00323585"/>
    <w:rsid w:val="00323B73"/>
    <w:rsid w:val="0032453E"/>
    <w:rsid w:val="00324E45"/>
    <w:rsid w:val="0032576B"/>
    <w:rsid w:val="0032583B"/>
    <w:rsid w:val="00325BE1"/>
    <w:rsid w:val="00325EA3"/>
    <w:rsid w:val="00327883"/>
    <w:rsid w:val="00333902"/>
    <w:rsid w:val="00335504"/>
    <w:rsid w:val="00340C18"/>
    <w:rsid w:val="00340F95"/>
    <w:rsid w:val="003418B7"/>
    <w:rsid w:val="003442FD"/>
    <w:rsid w:val="00347824"/>
    <w:rsid w:val="00350567"/>
    <w:rsid w:val="003521E8"/>
    <w:rsid w:val="003535D7"/>
    <w:rsid w:val="0035421E"/>
    <w:rsid w:val="00356C24"/>
    <w:rsid w:val="00357C08"/>
    <w:rsid w:val="00357D6A"/>
    <w:rsid w:val="00364436"/>
    <w:rsid w:val="00365721"/>
    <w:rsid w:val="003705C6"/>
    <w:rsid w:val="00370CE3"/>
    <w:rsid w:val="003728F3"/>
    <w:rsid w:val="003735BC"/>
    <w:rsid w:val="003739CB"/>
    <w:rsid w:val="0037496E"/>
    <w:rsid w:val="00383221"/>
    <w:rsid w:val="00386150"/>
    <w:rsid w:val="003874CE"/>
    <w:rsid w:val="0039003F"/>
    <w:rsid w:val="00390900"/>
    <w:rsid w:val="003949E0"/>
    <w:rsid w:val="003A0781"/>
    <w:rsid w:val="003A0FF5"/>
    <w:rsid w:val="003A7F6C"/>
    <w:rsid w:val="003B4D60"/>
    <w:rsid w:val="003B7E39"/>
    <w:rsid w:val="003C21C2"/>
    <w:rsid w:val="003C3F97"/>
    <w:rsid w:val="003C5390"/>
    <w:rsid w:val="003C53EA"/>
    <w:rsid w:val="003C55CF"/>
    <w:rsid w:val="003C58DC"/>
    <w:rsid w:val="003C7AF4"/>
    <w:rsid w:val="003C7B37"/>
    <w:rsid w:val="003D1E62"/>
    <w:rsid w:val="003E0188"/>
    <w:rsid w:val="003E0B99"/>
    <w:rsid w:val="003E2486"/>
    <w:rsid w:val="003E24A8"/>
    <w:rsid w:val="003E3208"/>
    <w:rsid w:val="003E6904"/>
    <w:rsid w:val="003E7B57"/>
    <w:rsid w:val="003F0B04"/>
    <w:rsid w:val="003F33C3"/>
    <w:rsid w:val="003F4FFC"/>
    <w:rsid w:val="003F6530"/>
    <w:rsid w:val="003F7C08"/>
    <w:rsid w:val="0040134E"/>
    <w:rsid w:val="00403D2E"/>
    <w:rsid w:val="00414748"/>
    <w:rsid w:val="004162C9"/>
    <w:rsid w:val="00423671"/>
    <w:rsid w:val="00425BA9"/>
    <w:rsid w:val="00430673"/>
    <w:rsid w:val="004334C7"/>
    <w:rsid w:val="00440A2D"/>
    <w:rsid w:val="00441C3F"/>
    <w:rsid w:val="00443C3D"/>
    <w:rsid w:val="00444D1A"/>
    <w:rsid w:val="004503A7"/>
    <w:rsid w:val="0045186A"/>
    <w:rsid w:val="004564A7"/>
    <w:rsid w:val="00456765"/>
    <w:rsid w:val="00460036"/>
    <w:rsid w:val="0046123D"/>
    <w:rsid w:val="004617BF"/>
    <w:rsid w:val="00461E20"/>
    <w:rsid w:val="00463658"/>
    <w:rsid w:val="004637A0"/>
    <w:rsid w:val="004716C1"/>
    <w:rsid w:val="004722CC"/>
    <w:rsid w:val="004742D1"/>
    <w:rsid w:val="00475C84"/>
    <w:rsid w:val="00477F64"/>
    <w:rsid w:val="00481AED"/>
    <w:rsid w:val="00483776"/>
    <w:rsid w:val="004868A2"/>
    <w:rsid w:val="00490483"/>
    <w:rsid w:val="004908FF"/>
    <w:rsid w:val="004936E4"/>
    <w:rsid w:val="004939EF"/>
    <w:rsid w:val="00494E60"/>
    <w:rsid w:val="00497487"/>
    <w:rsid w:val="004A08CB"/>
    <w:rsid w:val="004A10F9"/>
    <w:rsid w:val="004A17E3"/>
    <w:rsid w:val="004A2771"/>
    <w:rsid w:val="004A6189"/>
    <w:rsid w:val="004A7390"/>
    <w:rsid w:val="004A765C"/>
    <w:rsid w:val="004B7B76"/>
    <w:rsid w:val="004C239D"/>
    <w:rsid w:val="004C2DCA"/>
    <w:rsid w:val="004C3FE3"/>
    <w:rsid w:val="004C4FBE"/>
    <w:rsid w:val="004C61D2"/>
    <w:rsid w:val="004E00C1"/>
    <w:rsid w:val="004F0C4A"/>
    <w:rsid w:val="004F0F38"/>
    <w:rsid w:val="004F47D6"/>
    <w:rsid w:val="00500337"/>
    <w:rsid w:val="00501921"/>
    <w:rsid w:val="00503319"/>
    <w:rsid w:val="00507C74"/>
    <w:rsid w:val="00510621"/>
    <w:rsid w:val="005148ED"/>
    <w:rsid w:val="00517EBA"/>
    <w:rsid w:val="00520423"/>
    <w:rsid w:val="00530029"/>
    <w:rsid w:val="00530354"/>
    <w:rsid w:val="0053625B"/>
    <w:rsid w:val="00536C12"/>
    <w:rsid w:val="00537C61"/>
    <w:rsid w:val="00542173"/>
    <w:rsid w:val="005434C6"/>
    <w:rsid w:val="00543B39"/>
    <w:rsid w:val="00543E6C"/>
    <w:rsid w:val="00546154"/>
    <w:rsid w:val="00550096"/>
    <w:rsid w:val="00552E30"/>
    <w:rsid w:val="00555280"/>
    <w:rsid w:val="00557FF9"/>
    <w:rsid w:val="00562327"/>
    <w:rsid w:val="005624EF"/>
    <w:rsid w:val="0056420A"/>
    <w:rsid w:val="00566000"/>
    <w:rsid w:val="005711D5"/>
    <w:rsid w:val="00576378"/>
    <w:rsid w:val="00577130"/>
    <w:rsid w:val="00577945"/>
    <w:rsid w:val="00577E38"/>
    <w:rsid w:val="00585322"/>
    <w:rsid w:val="005857C6"/>
    <w:rsid w:val="00585C4C"/>
    <w:rsid w:val="00591A64"/>
    <w:rsid w:val="005924C6"/>
    <w:rsid w:val="00592F6E"/>
    <w:rsid w:val="00593AD1"/>
    <w:rsid w:val="00595A50"/>
    <w:rsid w:val="005A033C"/>
    <w:rsid w:val="005A09D8"/>
    <w:rsid w:val="005A1A02"/>
    <w:rsid w:val="005A50B4"/>
    <w:rsid w:val="005A68B6"/>
    <w:rsid w:val="005B0AFB"/>
    <w:rsid w:val="005B29C3"/>
    <w:rsid w:val="005B749D"/>
    <w:rsid w:val="005B79A5"/>
    <w:rsid w:val="005C5570"/>
    <w:rsid w:val="005C5B66"/>
    <w:rsid w:val="005C6CEC"/>
    <w:rsid w:val="005C79A4"/>
    <w:rsid w:val="005D3F08"/>
    <w:rsid w:val="005D5442"/>
    <w:rsid w:val="005D6466"/>
    <w:rsid w:val="005E4311"/>
    <w:rsid w:val="005E4463"/>
    <w:rsid w:val="005E5DA7"/>
    <w:rsid w:val="005F4EDA"/>
    <w:rsid w:val="005F6DDF"/>
    <w:rsid w:val="00603B26"/>
    <w:rsid w:val="00603F32"/>
    <w:rsid w:val="00605AD4"/>
    <w:rsid w:val="00612170"/>
    <w:rsid w:val="006131C6"/>
    <w:rsid w:val="006136D7"/>
    <w:rsid w:val="00613CBB"/>
    <w:rsid w:val="0061569D"/>
    <w:rsid w:val="00623EE5"/>
    <w:rsid w:val="00624E84"/>
    <w:rsid w:val="00625A6E"/>
    <w:rsid w:val="00625C8E"/>
    <w:rsid w:val="00627280"/>
    <w:rsid w:val="00631795"/>
    <w:rsid w:val="006320FD"/>
    <w:rsid w:val="00632398"/>
    <w:rsid w:val="00633C39"/>
    <w:rsid w:val="00637BFE"/>
    <w:rsid w:val="00640FC3"/>
    <w:rsid w:val="0064163F"/>
    <w:rsid w:val="00642020"/>
    <w:rsid w:val="006430EE"/>
    <w:rsid w:val="00645CFD"/>
    <w:rsid w:val="00646608"/>
    <w:rsid w:val="00652F9B"/>
    <w:rsid w:val="0065337B"/>
    <w:rsid w:val="0065419D"/>
    <w:rsid w:val="006559B0"/>
    <w:rsid w:val="006560AC"/>
    <w:rsid w:val="00656BB2"/>
    <w:rsid w:val="006603BC"/>
    <w:rsid w:val="006604D8"/>
    <w:rsid w:val="00661457"/>
    <w:rsid w:val="006627A8"/>
    <w:rsid w:val="00664A5B"/>
    <w:rsid w:val="0066735C"/>
    <w:rsid w:val="00667488"/>
    <w:rsid w:val="00671495"/>
    <w:rsid w:val="006763D2"/>
    <w:rsid w:val="00680C08"/>
    <w:rsid w:val="006818A8"/>
    <w:rsid w:val="00684EB9"/>
    <w:rsid w:val="0068760F"/>
    <w:rsid w:val="00690C87"/>
    <w:rsid w:val="006916A0"/>
    <w:rsid w:val="006931B1"/>
    <w:rsid w:val="006A15C0"/>
    <w:rsid w:val="006A30F6"/>
    <w:rsid w:val="006A58A8"/>
    <w:rsid w:val="006A7C3F"/>
    <w:rsid w:val="006B4E84"/>
    <w:rsid w:val="006B4EA0"/>
    <w:rsid w:val="006B5B67"/>
    <w:rsid w:val="006B6DED"/>
    <w:rsid w:val="006C0DC0"/>
    <w:rsid w:val="006C3E2A"/>
    <w:rsid w:val="006C642F"/>
    <w:rsid w:val="006D03E5"/>
    <w:rsid w:val="006D5D3E"/>
    <w:rsid w:val="006D62BC"/>
    <w:rsid w:val="006E0620"/>
    <w:rsid w:val="006E08B3"/>
    <w:rsid w:val="006E37D0"/>
    <w:rsid w:val="006E4413"/>
    <w:rsid w:val="006F0773"/>
    <w:rsid w:val="006F17AC"/>
    <w:rsid w:val="006F2332"/>
    <w:rsid w:val="006F25B8"/>
    <w:rsid w:val="006F3BA0"/>
    <w:rsid w:val="006F572E"/>
    <w:rsid w:val="0070128A"/>
    <w:rsid w:val="007014C8"/>
    <w:rsid w:val="007029A5"/>
    <w:rsid w:val="007046D6"/>
    <w:rsid w:val="00705896"/>
    <w:rsid w:val="00705DB0"/>
    <w:rsid w:val="00707FEF"/>
    <w:rsid w:val="00717C14"/>
    <w:rsid w:val="00721178"/>
    <w:rsid w:val="00722B57"/>
    <w:rsid w:val="00724444"/>
    <w:rsid w:val="00730F8A"/>
    <w:rsid w:val="00733311"/>
    <w:rsid w:val="007333AE"/>
    <w:rsid w:val="007347DC"/>
    <w:rsid w:val="00734D94"/>
    <w:rsid w:val="00735A8C"/>
    <w:rsid w:val="0074253D"/>
    <w:rsid w:val="00742D00"/>
    <w:rsid w:val="007436CF"/>
    <w:rsid w:val="00744121"/>
    <w:rsid w:val="0074429B"/>
    <w:rsid w:val="00750DF1"/>
    <w:rsid w:val="00751F2A"/>
    <w:rsid w:val="00753245"/>
    <w:rsid w:val="007570F3"/>
    <w:rsid w:val="007615BC"/>
    <w:rsid w:val="00762F05"/>
    <w:rsid w:val="007639AE"/>
    <w:rsid w:val="007652FF"/>
    <w:rsid w:val="00770666"/>
    <w:rsid w:val="00770CAC"/>
    <w:rsid w:val="00770EF1"/>
    <w:rsid w:val="00772855"/>
    <w:rsid w:val="00773EF7"/>
    <w:rsid w:val="00774524"/>
    <w:rsid w:val="00774E1D"/>
    <w:rsid w:val="007753E6"/>
    <w:rsid w:val="00776482"/>
    <w:rsid w:val="007765D8"/>
    <w:rsid w:val="0077675A"/>
    <w:rsid w:val="00780355"/>
    <w:rsid w:val="00781482"/>
    <w:rsid w:val="007819FD"/>
    <w:rsid w:val="00785261"/>
    <w:rsid w:val="00785717"/>
    <w:rsid w:val="00785721"/>
    <w:rsid w:val="00787F0F"/>
    <w:rsid w:val="00792B72"/>
    <w:rsid w:val="007931EF"/>
    <w:rsid w:val="00793A59"/>
    <w:rsid w:val="007953F9"/>
    <w:rsid w:val="007A3CD1"/>
    <w:rsid w:val="007A46F5"/>
    <w:rsid w:val="007A6505"/>
    <w:rsid w:val="007B36E3"/>
    <w:rsid w:val="007B435F"/>
    <w:rsid w:val="007B6132"/>
    <w:rsid w:val="007B6E9F"/>
    <w:rsid w:val="007C1216"/>
    <w:rsid w:val="007C1931"/>
    <w:rsid w:val="007C1AF7"/>
    <w:rsid w:val="007C4D8E"/>
    <w:rsid w:val="007C6B9B"/>
    <w:rsid w:val="007D3E15"/>
    <w:rsid w:val="007D53B6"/>
    <w:rsid w:val="007D7425"/>
    <w:rsid w:val="007E3757"/>
    <w:rsid w:val="00805D27"/>
    <w:rsid w:val="00806DCB"/>
    <w:rsid w:val="00814EDF"/>
    <w:rsid w:val="00816F7A"/>
    <w:rsid w:val="00817F3C"/>
    <w:rsid w:val="00821776"/>
    <w:rsid w:val="008321F5"/>
    <w:rsid w:val="00832369"/>
    <w:rsid w:val="00834318"/>
    <w:rsid w:val="00834660"/>
    <w:rsid w:val="00836BC2"/>
    <w:rsid w:val="00837107"/>
    <w:rsid w:val="00845456"/>
    <w:rsid w:val="00846BF7"/>
    <w:rsid w:val="0085156D"/>
    <w:rsid w:val="00852B28"/>
    <w:rsid w:val="008539CA"/>
    <w:rsid w:val="0085641B"/>
    <w:rsid w:val="00857136"/>
    <w:rsid w:val="00862A88"/>
    <w:rsid w:val="00865E26"/>
    <w:rsid w:val="00866191"/>
    <w:rsid w:val="00866326"/>
    <w:rsid w:val="00866865"/>
    <w:rsid w:val="00867E46"/>
    <w:rsid w:val="008719C7"/>
    <w:rsid w:val="00872B5F"/>
    <w:rsid w:val="00875A6B"/>
    <w:rsid w:val="008806CB"/>
    <w:rsid w:val="0088436D"/>
    <w:rsid w:val="00885B11"/>
    <w:rsid w:val="00886D15"/>
    <w:rsid w:val="00887DD8"/>
    <w:rsid w:val="00891BA9"/>
    <w:rsid w:val="008932A7"/>
    <w:rsid w:val="00896018"/>
    <w:rsid w:val="008960DD"/>
    <w:rsid w:val="0089635C"/>
    <w:rsid w:val="00897D40"/>
    <w:rsid w:val="008A2B9D"/>
    <w:rsid w:val="008A3D9F"/>
    <w:rsid w:val="008A5E0B"/>
    <w:rsid w:val="008A6767"/>
    <w:rsid w:val="008A6D59"/>
    <w:rsid w:val="008A72E0"/>
    <w:rsid w:val="008B2CE2"/>
    <w:rsid w:val="008B3D57"/>
    <w:rsid w:val="008B4B03"/>
    <w:rsid w:val="008B596F"/>
    <w:rsid w:val="008B724E"/>
    <w:rsid w:val="008B750C"/>
    <w:rsid w:val="008B7930"/>
    <w:rsid w:val="008C159F"/>
    <w:rsid w:val="008C1623"/>
    <w:rsid w:val="008C1850"/>
    <w:rsid w:val="008C51A9"/>
    <w:rsid w:val="008C616B"/>
    <w:rsid w:val="008C6897"/>
    <w:rsid w:val="008D3ED4"/>
    <w:rsid w:val="008D409B"/>
    <w:rsid w:val="008D5058"/>
    <w:rsid w:val="008E4D3B"/>
    <w:rsid w:val="008E7846"/>
    <w:rsid w:val="008F002E"/>
    <w:rsid w:val="008F02E5"/>
    <w:rsid w:val="008F1CCC"/>
    <w:rsid w:val="008F2967"/>
    <w:rsid w:val="008F5E67"/>
    <w:rsid w:val="008F6943"/>
    <w:rsid w:val="00902A21"/>
    <w:rsid w:val="00912D5E"/>
    <w:rsid w:val="00913251"/>
    <w:rsid w:val="0091523F"/>
    <w:rsid w:val="0091636A"/>
    <w:rsid w:val="0091768C"/>
    <w:rsid w:val="00920330"/>
    <w:rsid w:val="009219D7"/>
    <w:rsid w:val="00922D53"/>
    <w:rsid w:val="00923B70"/>
    <w:rsid w:val="00924482"/>
    <w:rsid w:val="00925469"/>
    <w:rsid w:val="00930237"/>
    <w:rsid w:val="00932A54"/>
    <w:rsid w:val="0093450E"/>
    <w:rsid w:val="009375AF"/>
    <w:rsid w:val="00937C17"/>
    <w:rsid w:val="00940A89"/>
    <w:rsid w:val="00941F77"/>
    <w:rsid w:val="00946EA5"/>
    <w:rsid w:val="00952630"/>
    <w:rsid w:val="00960520"/>
    <w:rsid w:val="00963C08"/>
    <w:rsid w:val="00970707"/>
    <w:rsid w:val="00971EE1"/>
    <w:rsid w:val="0097366A"/>
    <w:rsid w:val="009752A5"/>
    <w:rsid w:val="00975A32"/>
    <w:rsid w:val="0098585A"/>
    <w:rsid w:val="009913F3"/>
    <w:rsid w:val="009923D5"/>
    <w:rsid w:val="009939D2"/>
    <w:rsid w:val="00996E35"/>
    <w:rsid w:val="009972B9"/>
    <w:rsid w:val="009A4CED"/>
    <w:rsid w:val="009A5FDA"/>
    <w:rsid w:val="009A690D"/>
    <w:rsid w:val="009B1D12"/>
    <w:rsid w:val="009B416B"/>
    <w:rsid w:val="009B41A0"/>
    <w:rsid w:val="009B7DF4"/>
    <w:rsid w:val="009C4BD5"/>
    <w:rsid w:val="009D45CF"/>
    <w:rsid w:val="009D6B05"/>
    <w:rsid w:val="009D7B77"/>
    <w:rsid w:val="009E0BB0"/>
    <w:rsid w:val="009E3FBB"/>
    <w:rsid w:val="009E413D"/>
    <w:rsid w:val="009E57E9"/>
    <w:rsid w:val="009E7F5C"/>
    <w:rsid w:val="009F7353"/>
    <w:rsid w:val="009F750E"/>
    <w:rsid w:val="009F7DF8"/>
    <w:rsid w:val="00A04F85"/>
    <w:rsid w:val="00A05FA4"/>
    <w:rsid w:val="00A06C67"/>
    <w:rsid w:val="00A07469"/>
    <w:rsid w:val="00A102E4"/>
    <w:rsid w:val="00A1219C"/>
    <w:rsid w:val="00A12C42"/>
    <w:rsid w:val="00A14DF7"/>
    <w:rsid w:val="00A22D57"/>
    <w:rsid w:val="00A27CBB"/>
    <w:rsid w:val="00A3246D"/>
    <w:rsid w:val="00A36FA7"/>
    <w:rsid w:val="00A40C29"/>
    <w:rsid w:val="00A437F6"/>
    <w:rsid w:val="00A44DDB"/>
    <w:rsid w:val="00A475B7"/>
    <w:rsid w:val="00A47AF7"/>
    <w:rsid w:val="00A47C3E"/>
    <w:rsid w:val="00A50226"/>
    <w:rsid w:val="00A509F0"/>
    <w:rsid w:val="00A60BAD"/>
    <w:rsid w:val="00A63F99"/>
    <w:rsid w:val="00A6607C"/>
    <w:rsid w:val="00A7317A"/>
    <w:rsid w:val="00A757B8"/>
    <w:rsid w:val="00A775B4"/>
    <w:rsid w:val="00A77F87"/>
    <w:rsid w:val="00A80B5B"/>
    <w:rsid w:val="00A833F3"/>
    <w:rsid w:val="00A84E36"/>
    <w:rsid w:val="00A94775"/>
    <w:rsid w:val="00A94C9E"/>
    <w:rsid w:val="00A94CC8"/>
    <w:rsid w:val="00A94F0A"/>
    <w:rsid w:val="00A964D1"/>
    <w:rsid w:val="00AA0ED0"/>
    <w:rsid w:val="00AA449F"/>
    <w:rsid w:val="00AA776D"/>
    <w:rsid w:val="00AB6040"/>
    <w:rsid w:val="00AB7A22"/>
    <w:rsid w:val="00AC1E18"/>
    <w:rsid w:val="00AC2B40"/>
    <w:rsid w:val="00AC2BB2"/>
    <w:rsid w:val="00AC2C3C"/>
    <w:rsid w:val="00AC2CAA"/>
    <w:rsid w:val="00AC512D"/>
    <w:rsid w:val="00AC7D6C"/>
    <w:rsid w:val="00AD0083"/>
    <w:rsid w:val="00AD2B85"/>
    <w:rsid w:val="00AD3935"/>
    <w:rsid w:val="00AD468B"/>
    <w:rsid w:val="00AE5FCA"/>
    <w:rsid w:val="00AE65EB"/>
    <w:rsid w:val="00AE67A7"/>
    <w:rsid w:val="00AE7A9E"/>
    <w:rsid w:val="00AF1D94"/>
    <w:rsid w:val="00AF239D"/>
    <w:rsid w:val="00AF60C5"/>
    <w:rsid w:val="00AF6DBC"/>
    <w:rsid w:val="00AF78A2"/>
    <w:rsid w:val="00AF7999"/>
    <w:rsid w:val="00B009C6"/>
    <w:rsid w:val="00B01548"/>
    <w:rsid w:val="00B044A1"/>
    <w:rsid w:val="00B12010"/>
    <w:rsid w:val="00B130C5"/>
    <w:rsid w:val="00B13EBD"/>
    <w:rsid w:val="00B150EE"/>
    <w:rsid w:val="00B1591C"/>
    <w:rsid w:val="00B15A35"/>
    <w:rsid w:val="00B17452"/>
    <w:rsid w:val="00B20F6F"/>
    <w:rsid w:val="00B2140D"/>
    <w:rsid w:val="00B21D29"/>
    <w:rsid w:val="00B2443B"/>
    <w:rsid w:val="00B25034"/>
    <w:rsid w:val="00B33588"/>
    <w:rsid w:val="00B33863"/>
    <w:rsid w:val="00B365D1"/>
    <w:rsid w:val="00B37A9D"/>
    <w:rsid w:val="00B37D17"/>
    <w:rsid w:val="00B4175E"/>
    <w:rsid w:val="00B41C85"/>
    <w:rsid w:val="00B42F9A"/>
    <w:rsid w:val="00B43E6F"/>
    <w:rsid w:val="00B452CE"/>
    <w:rsid w:val="00B4694F"/>
    <w:rsid w:val="00B54C25"/>
    <w:rsid w:val="00B56249"/>
    <w:rsid w:val="00B567CB"/>
    <w:rsid w:val="00B56A8F"/>
    <w:rsid w:val="00B7031B"/>
    <w:rsid w:val="00B74B08"/>
    <w:rsid w:val="00B76B91"/>
    <w:rsid w:val="00B77EB1"/>
    <w:rsid w:val="00B811C6"/>
    <w:rsid w:val="00B83451"/>
    <w:rsid w:val="00B855B0"/>
    <w:rsid w:val="00B92E08"/>
    <w:rsid w:val="00B9370D"/>
    <w:rsid w:val="00B95E47"/>
    <w:rsid w:val="00BA0092"/>
    <w:rsid w:val="00BA5024"/>
    <w:rsid w:val="00BB10F5"/>
    <w:rsid w:val="00BB6E10"/>
    <w:rsid w:val="00BC39E3"/>
    <w:rsid w:val="00BC4EE9"/>
    <w:rsid w:val="00BC54C4"/>
    <w:rsid w:val="00BC622A"/>
    <w:rsid w:val="00BD2600"/>
    <w:rsid w:val="00BD496D"/>
    <w:rsid w:val="00BE0566"/>
    <w:rsid w:val="00BE0A78"/>
    <w:rsid w:val="00BE5269"/>
    <w:rsid w:val="00BE79E8"/>
    <w:rsid w:val="00BE79F0"/>
    <w:rsid w:val="00BF046D"/>
    <w:rsid w:val="00BF0719"/>
    <w:rsid w:val="00BF1190"/>
    <w:rsid w:val="00BF1632"/>
    <w:rsid w:val="00BF30D8"/>
    <w:rsid w:val="00BF3774"/>
    <w:rsid w:val="00BF5D04"/>
    <w:rsid w:val="00C009AA"/>
    <w:rsid w:val="00C010D7"/>
    <w:rsid w:val="00C01827"/>
    <w:rsid w:val="00C1164D"/>
    <w:rsid w:val="00C16861"/>
    <w:rsid w:val="00C20BAC"/>
    <w:rsid w:val="00C32ACD"/>
    <w:rsid w:val="00C346AB"/>
    <w:rsid w:val="00C349F2"/>
    <w:rsid w:val="00C404A6"/>
    <w:rsid w:val="00C409CD"/>
    <w:rsid w:val="00C40A36"/>
    <w:rsid w:val="00C44419"/>
    <w:rsid w:val="00C45E7B"/>
    <w:rsid w:val="00C471B1"/>
    <w:rsid w:val="00C525A2"/>
    <w:rsid w:val="00C52E24"/>
    <w:rsid w:val="00C618E0"/>
    <w:rsid w:val="00C62E0D"/>
    <w:rsid w:val="00C62ED6"/>
    <w:rsid w:val="00C6316B"/>
    <w:rsid w:val="00C634A9"/>
    <w:rsid w:val="00C64586"/>
    <w:rsid w:val="00C64D58"/>
    <w:rsid w:val="00C678B7"/>
    <w:rsid w:val="00C70A36"/>
    <w:rsid w:val="00C70D53"/>
    <w:rsid w:val="00C72321"/>
    <w:rsid w:val="00C723FF"/>
    <w:rsid w:val="00C73D0B"/>
    <w:rsid w:val="00C74F5C"/>
    <w:rsid w:val="00C7508E"/>
    <w:rsid w:val="00C772FF"/>
    <w:rsid w:val="00C77BBD"/>
    <w:rsid w:val="00C77C83"/>
    <w:rsid w:val="00C80137"/>
    <w:rsid w:val="00C801AF"/>
    <w:rsid w:val="00C80256"/>
    <w:rsid w:val="00C83EE7"/>
    <w:rsid w:val="00C9005C"/>
    <w:rsid w:val="00C93073"/>
    <w:rsid w:val="00C93443"/>
    <w:rsid w:val="00C94CD4"/>
    <w:rsid w:val="00C9747E"/>
    <w:rsid w:val="00CA06D0"/>
    <w:rsid w:val="00CA223D"/>
    <w:rsid w:val="00CA4F08"/>
    <w:rsid w:val="00CA5482"/>
    <w:rsid w:val="00CA7A50"/>
    <w:rsid w:val="00CB0A68"/>
    <w:rsid w:val="00CB442E"/>
    <w:rsid w:val="00CB4E2F"/>
    <w:rsid w:val="00CB6BC0"/>
    <w:rsid w:val="00CC1B7C"/>
    <w:rsid w:val="00CC3096"/>
    <w:rsid w:val="00CC727F"/>
    <w:rsid w:val="00CC731A"/>
    <w:rsid w:val="00CD4D07"/>
    <w:rsid w:val="00CD55D9"/>
    <w:rsid w:val="00CE2D75"/>
    <w:rsid w:val="00CF15C3"/>
    <w:rsid w:val="00CF1D83"/>
    <w:rsid w:val="00CF2B6F"/>
    <w:rsid w:val="00CF2F3E"/>
    <w:rsid w:val="00CF58B6"/>
    <w:rsid w:val="00CF5DAD"/>
    <w:rsid w:val="00CF725F"/>
    <w:rsid w:val="00CF7CC1"/>
    <w:rsid w:val="00D0062D"/>
    <w:rsid w:val="00D017ED"/>
    <w:rsid w:val="00D040D3"/>
    <w:rsid w:val="00D04C65"/>
    <w:rsid w:val="00D06DD0"/>
    <w:rsid w:val="00D07C7A"/>
    <w:rsid w:val="00D153D8"/>
    <w:rsid w:val="00D15EAA"/>
    <w:rsid w:val="00D201D2"/>
    <w:rsid w:val="00D224FE"/>
    <w:rsid w:val="00D23139"/>
    <w:rsid w:val="00D35C85"/>
    <w:rsid w:val="00D425BB"/>
    <w:rsid w:val="00D453FA"/>
    <w:rsid w:val="00D52BC5"/>
    <w:rsid w:val="00D601F9"/>
    <w:rsid w:val="00D6493E"/>
    <w:rsid w:val="00D7195D"/>
    <w:rsid w:val="00D72DB9"/>
    <w:rsid w:val="00D7301E"/>
    <w:rsid w:val="00D73F06"/>
    <w:rsid w:val="00D7772A"/>
    <w:rsid w:val="00D83AE1"/>
    <w:rsid w:val="00D8498B"/>
    <w:rsid w:val="00D855D4"/>
    <w:rsid w:val="00D86277"/>
    <w:rsid w:val="00D902C9"/>
    <w:rsid w:val="00D91215"/>
    <w:rsid w:val="00D9131C"/>
    <w:rsid w:val="00D93412"/>
    <w:rsid w:val="00D93466"/>
    <w:rsid w:val="00D97E78"/>
    <w:rsid w:val="00DA1124"/>
    <w:rsid w:val="00DA4536"/>
    <w:rsid w:val="00DA64CB"/>
    <w:rsid w:val="00DB03B0"/>
    <w:rsid w:val="00DB06B8"/>
    <w:rsid w:val="00DB5FCC"/>
    <w:rsid w:val="00DB6124"/>
    <w:rsid w:val="00DB71CD"/>
    <w:rsid w:val="00DB750B"/>
    <w:rsid w:val="00DB75B7"/>
    <w:rsid w:val="00DC0A2F"/>
    <w:rsid w:val="00DC1948"/>
    <w:rsid w:val="00DC1E9F"/>
    <w:rsid w:val="00DC46E3"/>
    <w:rsid w:val="00DC6E02"/>
    <w:rsid w:val="00DD28CD"/>
    <w:rsid w:val="00DE02AE"/>
    <w:rsid w:val="00DE18C2"/>
    <w:rsid w:val="00DE21FE"/>
    <w:rsid w:val="00DE3700"/>
    <w:rsid w:val="00DE39D1"/>
    <w:rsid w:val="00DE39FC"/>
    <w:rsid w:val="00DE50F1"/>
    <w:rsid w:val="00DF1D7F"/>
    <w:rsid w:val="00DF20F8"/>
    <w:rsid w:val="00DF4BE4"/>
    <w:rsid w:val="00E02382"/>
    <w:rsid w:val="00E02FB4"/>
    <w:rsid w:val="00E05E0A"/>
    <w:rsid w:val="00E127BB"/>
    <w:rsid w:val="00E12AAF"/>
    <w:rsid w:val="00E133CC"/>
    <w:rsid w:val="00E13FC7"/>
    <w:rsid w:val="00E15CF9"/>
    <w:rsid w:val="00E1729E"/>
    <w:rsid w:val="00E20571"/>
    <w:rsid w:val="00E206F0"/>
    <w:rsid w:val="00E235F7"/>
    <w:rsid w:val="00E23659"/>
    <w:rsid w:val="00E239D4"/>
    <w:rsid w:val="00E250CA"/>
    <w:rsid w:val="00E2527A"/>
    <w:rsid w:val="00E26130"/>
    <w:rsid w:val="00E33BD7"/>
    <w:rsid w:val="00E33D42"/>
    <w:rsid w:val="00E35501"/>
    <w:rsid w:val="00E359A9"/>
    <w:rsid w:val="00E40B22"/>
    <w:rsid w:val="00E41ED0"/>
    <w:rsid w:val="00E44ED1"/>
    <w:rsid w:val="00E45619"/>
    <w:rsid w:val="00E4588F"/>
    <w:rsid w:val="00E460B1"/>
    <w:rsid w:val="00E46DA3"/>
    <w:rsid w:val="00E51BB1"/>
    <w:rsid w:val="00E55CB0"/>
    <w:rsid w:val="00E5654C"/>
    <w:rsid w:val="00E57191"/>
    <w:rsid w:val="00E611B4"/>
    <w:rsid w:val="00E624A5"/>
    <w:rsid w:val="00E627C3"/>
    <w:rsid w:val="00E64BA4"/>
    <w:rsid w:val="00E7344E"/>
    <w:rsid w:val="00E766F9"/>
    <w:rsid w:val="00E76FA0"/>
    <w:rsid w:val="00E82665"/>
    <w:rsid w:val="00E82EFB"/>
    <w:rsid w:val="00E846A7"/>
    <w:rsid w:val="00E877B7"/>
    <w:rsid w:val="00E94D1B"/>
    <w:rsid w:val="00EA1B0E"/>
    <w:rsid w:val="00EA4F65"/>
    <w:rsid w:val="00EA546B"/>
    <w:rsid w:val="00EB0798"/>
    <w:rsid w:val="00EB2AAA"/>
    <w:rsid w:val="00EB40AD"/>
    <w:rsid w:val="00EB586E"/>
    <w:rsid w:val="00EB5FC8"/>
    <w:rsid w:val="00EC3F99"/>
    <w:rsid w:val="00EC463D"/>
    <w:rsid w:val="00EC7A85"/>
    <w:rsid w:val="00ED2922"/>
    <w:rsid w:val="00ED294F"/>
    <w:rsid w:val="00ED3CAD"/>
    <w:rsid w:val="00ED44FB"/>
    <w:rsid w:val="00ED5A41"/>
    <w:rsid w:val="00EE0789"/>
    <w:rsid w:val="00EE1DE8"/>
    <w:rsid w:val="00EE27C2"/>
    <w:rsid w:val="00EF428D"/>
    <w:rsid w:val="00EF4BAD"/>
    <w:rsid w:val="00EF59DC"/>
    <w:rsid w:val="00EF7C06"/>
    <w:rsid w:val="00F022D3"/>
    <w:rsid w:val="00F033EC"/>
    <w:rsid w:val="00F04F68"/>
    <w:rsid w:val="00F10E0E"/>
    <w:rsid w:val="00F12670"/>
    <w:rsid w:val="00F14B27"/>
    <w:rsid w:val="00F2654F"/>
    <w:rsid w:val="00F3148D"/>
    <w:rsid w:val="00F325C5"/>
    <w:rsid w:val="00F32FE0"/>
    <w:rsid w:val="00F35298"/>
    <w:rsid w:val="00F401BF"/>
    <w:rsid w:val="00F40CF9"/>
    <w:rsid w:val="00F4732B"/>
    <w:rsid w:val="00F47333"/>
    <w:rsid w:val="00F47E37"/>
    <w:rsid w:val="00F50571"/>
    <w:rsid w:val="00F50A07"/>
    <w:rsid w:val="00F53C07"/>
    <w:rsid w:val="00F54B65"/>
    <w:rsid w:val="00F61F14"/>
    <w:rsid w:val="00F63DBF"/>
    <w:rsid w:val="00F640B6"/>
    <w:rsid w:val="00F66DF2"/>
    <w:rsid w:val="00F75735"/>
    <w:rsid w:val="00F77FAE"/>
    <w:rsid w:val="00F80633"/>
    <w:rsid w:val="00F80E40"/>
    <w:rsid w:val="00F848D9"/>
    <w:rsid w:val="00F86ECB"/>
    <w:rsid w:val="00F87B27"/>
    <w:rsid w:val="00F90436"/>
    <w:rsid w:val="00F930F2"/>
    <w:rsid w:val="00F97C25"/>
    <w:rsid w:val="00FA34DF"/>
    <w:rsid w:val="00FA5069"/>
    <w:rsid w:val="00FA5B82"/>
    <w:rsid w:val="00FA639E"/>
    <w:rsid w:val="00FA67AB"/>
    <w:rsid w:val="00FA6D87"/>
    <w:rsid w:val="00FA6EAC"/>
    <w:rsid w:val="00FB5463"/>
    <w:rsid w:val="00FC1FCA"/>
    <w:rsid w:val="00FC25E4"/>
    <w:rsid w:val="00FC4EF7"/>
    <w:rsid w:val="00FC726D"/>
    <w:rsid w:val="00FD0824"/>
    <w:rsid w:val="00FD119B"/>
    <w:rsid w:val="00FD1EDC"/>
    <w:rsid w:val="00FE1DEE"/>
    <w:rsid w:val="00FE3148"/>
    <w:rsid w:val="00FE6C14"/>
    <w:rsid w:val="00FF1563"/>
    <w:rsid w:val="00FF2126"/>
    <w:rsid w:val="00FF5755"/>
    <w:rsid w:val="00FF69BE"/>
    <w:rsid w:val="00FF7B93"/>
    <w:rsid w:val="01A4F7DA"/>
    <w:rsid w:val="1049EAE5"/>
    <w:rsid w:val="1A570151"/>
    <w:rsid w:val="2076A756"/>
    <w:rsid w:val="26B43BB2"/>
    <w:rsid w:val="30A8BFA1"/>
    <w:rsid w:val="3166304B"/>
    <w:rsid w:val="395819D3"/>
    <w:rsid w:val="4591B23B"/>
    <w:rsid w:val="4C0E75C6"/>
    <w:rsid w:val="640DCBC9"/>
    <w:rsid w:val="673ABFB6"/>
    <w:rsid w:val="7411CB19"/>
    <w:rsid w:val="797CE08C"/>
    <w:rsid w:val="7BB558C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9E9FBCE"/>
  <w15:docId w15:val="{194E36A1-CCCC-47CB-8397-D6EB28B9E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CD55D9"/>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4868A2"/>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7B36E3"/>
    <w:pPr>
      <w:numPr>
        <w:numId w:val="8"/>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customStyle="1" w:styleId="FigureCaption">
    <w:name w:val="Figure Caption"/>
    <w:basedOn w:val="Normal"/>
    <w:qFormat/>
    <w:rsid w:val="007B36E3"/>
    <w:pPr>
      <w:adjustRightInd w:val="0"/>
      <w:snapToGrid w:val="0"/>
      <w:spacing w:before="180" w:after="180"/>
    </w:pPr>
    <w:rPr>
      <w:rFonts w:eastAsia="MS Mincho"/>
      <w:szCs w:val="20"/>
      <w:lang w:eastAsia="ja-JP"/>
    </w:rPr>
  </w:style>
  <w:style w:type="table" w:customStyle="1" w:styleId="TableTGAblue1">
    <w:name w:val="Table TGA blue1"/>
    <w:basedOn w:val="TableNormal"/>
    <w:uiPriority w:val="99"/>
    <w:qFormat/>
    <w:rsid w:val="007B36E3"/>
    <w:pPr>
      <w:spacing w:after="0" w:line="240" w:lineRule="auto"/>
      <w:ind w:left="170" w:right="170"/>
    </w:pPr>
    <w:rPr>
      <w:rFonts w:ascii="Cambria" w:hAnsi="Cambria" w:cs="Times New Roman"/>
      <w:color w:val="000000"/>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Bulletlist">
    <w:name w:val="Bullet list"/>
    <w:basedOn w:val="Normal"/>
    <w:link w:val="BulletlistChar"/>
    <w:qFormat/>
    <w:rsid w:val="00C7508E"/>
    <w:pPr>
      <w:numPr>
        <w:numId w:val="26"/>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C7508E"/>
    <w:rPr>
      <w:rFonts w:ascii="Cambria" w:eastAsia="Times New Roman" w:hAnsi="Cambria" w:cs="Times New Roman"/>
      <w:snapToGrid w:val="0"/>
      <w:kern w:val="2"/>
      <w:sz w:val="23"/>
      <w:szCs w:val="24"/>
    </w:rPr>
  </w:style>
  <w:style w:type="character" w:styleId="Emphasis">
    <w:name w:val="Emphasis"/>
    <w:basedOn w:val="DefaultParagraphFont"/>
    <w:uiPriority w:val="20"/>
    <w:qFormat/>
    <w:rsid w:val="00834318"/>
    <w:rPr>
      <w:i/>
      <w:iCs/>
    </w:rPr>
  </w:style>
  <w:style w:type="paragraph" w:customStyle="1" w:styleId="Standard">
    <w:name w:val="Standard"/>
    <w:basedOn w:val="Normal"/>
    <w:link w:val="StandardChar"/>
    <w:qFormat/>
    <w:rsid w:val="004162C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162C9"/>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4162C9"/>
    <w:rPr>
      <w:rFonts w:ascii="Cambria" w:eastAsia="Cambria" w:hAnsi="Cambria" w:cs="Times New Roman"/>
      <w:snapToGrid/>
      <w:kern w:val="16"/>
      <w:sz w:val="19"/>
      <w:szCs w:val="24"/>
    </w:rPr>
  </w:style>
  <w:style w:type="character" w:customStyle="1" w:styleId="Mention1">
    <w:name w:val="Mention1"/>
    <w:basedOn w:val="DefaultParagraphFont"/>
    <w:uiPriority w:val="99"/>
    <w:unhideWhenUsed/>
    <w:rsid w:val="003C3F97"/>
    <w:rPr>
      <w:color w:val="2B579A"/>
      <w:shd w:val="clear" w:color="auto" w:fill="E6E6E6"/>
    </w:rPr>
  </w:style>
  <w:style w:type="character" w:styleId="UnresolvedMention">
    <w:name w:val="Unresolved Mention"/>
    <w:basedOn w:val="DefaultParagraphFont"/>
    <w:uiPriority w:val="99"/>
    <w:semiHidden/>
    <w:unhideWhenUsed/>
    <w:rsid w:val="006F3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238318">
      <w:bodyDiv w:val="1"/>
      <w:marLeft w:val="0"/>
      <w:marRight w:val="0"/>
      <w:marTop w:val="0"/>
      <w:marBottom w:val="0"/>
      <w:divBdr>
        <w:top w:val="none" w:sz="0" w:space="0" w:color="auto"/>
        <w:left w:val="none" w:sz="0" w:space="0" w:color="auto"/>
        <w:bottom w:val="none" w:sz="0" w:space="0" w:color="auto"/>
        <w:right w:val="none" w:sz="0" w:space="0" w:color="auto"/>
      </w:divBdr>
    </w:div>
    <w:div w:id="167067360">
      <w:bodyDiv w:val="1"/>
      <w:marLeft w:val="0"/>
      <w:marRight w:val="0"/>
      <w:marTop w:val="0"/>
      <w:marBottom w:val="0"/>
      <w:divBdr>
        <w:top w:val="none" w:sz="0" w:space="0" w:color="auto"/>
        <w:left w:val="none" w:sz="0" w:space="0" w:color="auto"/>
        <w:bottom w:val="none" w:sz="0" w:space="0" w:color="auto"/>
        <w:right w:val="none" w:sz="0" w:space="0" w:color="auto"/>
      </w:divBdr>
    </w:div>
    <w:div w:id="239020381">
      <w:bodyDiv w:val="1"/>
      <w:marLeft w:val="0"/>
      <w:marRight w:val="0"/>
      <w:marTop w:val="0"/>
      <w:marBottom w:val="0"/>
      <w:divBdr>
        <w:top w:val="none" w:sz="0" w:space="0" w:color="auto"/>
        <w:left w:val="none" w:sz="0" w:space="0" w:color="auto"/>
        <w:bottom w:val="none" w:sz="0" w:space="0" w:color="auto"/>
        <w:right w:val="none" w:sz="0" w:space="0" w:color="auto"/>
      </w:divBdr>
    </w:div>
    <w:div w:id="301616800">
      <w:bodyDiv w:val="1"/>
      <w:marLeft w:val="0"/>
      <w:marRight w:val="0"/>
      <w:marTop w:val="0"/>
      <w:marBottom w:val="0"/>
      <w:divBdr>
        <w:top w:val="none" w:sz="0" w:space="0" w:color="auto"/>
        <w:left w:val="none" w:sz="0" w:space="0" w:color="auto"/>
        <w:bottom w:val="none" w:sz="0" w:space="0" w:color="auto"/>
        <w:right w:val="none" w:sz="0" w:space="0" w:color="auto"/>
      </w:divBdr>
    </w:div>
    <w:div w:id="663432899">
      <w:bodyDiv w:val="1"/>
      <w:marLeft w:val="0"/>
      <w:marRight w:val="0"/>
      <w:marTop w:val="0"/>
      <w:marBottom w:val="0"/>
      <w:divBdr>
        <w:top w:val="none" w:sz="0" w:space="0" w:color="auto"/>
        <w:left w:val="none" w:sz="0" w:space="0" w:color="auto"/>
        <w:bottom w:val="none" w:sz="0" w:space="0" w:color="auto"/>
        <w:right w:val="none" w:sz="0" w:space="0" w:color="auto"/>
      </w:divBdr>
    </w:div>
    <w:div w:id="675617807">
      <w:bodyDiv w:val="1"/>
      <w:marLeft w:val="0"/>
      <w:marRight w:val="0"/>
      <w:marTop w:val="0"/>
      <w:marBottom w:val="0"/>
      <w:divBdr>
        <w:top w:val="none" w:sz="0" w:space="0" w:color="auto"/>
        <w:left w:val="none" w:sz="0" w:space="0" w:color="auto"/>
        <w:bottom w:val="none" w:sz="0" w:space="0" w:color="auto"/>
        <w:right w:val="none" w:sz="0" w:space="0" w:color="auto"/>
      </w:divBdr>
    </w:div>
    <w:div w:id="760372052">
      <w:bodyDiv w:val="1"/>
      <w:marLeft w:val="0"/>
      <w:marRight w:val="0"/>
      <w:marTop w:val="0"/>
      <w:marBottom w:val="0"/>
      <w:divBdr>
        <w:top w:val="none" w:sz="0" w:space="0" w:color="auto"/>
        <w:left w:val="none" w:sz="0" w:space="0" w:color="auto"/>
        <w:bottom w:val="none" w:sz="0" w:space="0" w:color="auto"/>
        <w:right w:val="none" w:sz="0" w:space="0" w:color="auto"/>
      </w:divBdr>
    </w:div>
    <w:div w:id="834682726">
      <w:bodyDiv w:val="1"/>
      <w:marLeft w:val="0"/>
      <w:marRight w:val="0"/>
      <w:marTop w:val="0"/>
      <w:marBottom w:val="0"/>
      <w:divBdr>
        <w:top w:val="none" w:sz="0" w:space="0" w:color="auto"/>
        <w:left w:val="none" w:sz="0" w:space="0" w:color="auto"/>
        <w:bottom w:val="none" w:sz="0" w:space="0" w:color="auto"/>
        <w:right w:val="none" w:sz="0" w:space="0" w:color="auto"/>
      </w:divBdr>
    </w:div>
    <w:div w:id="1017076538">
      <w:bodyDiv w:val="1"/>
      <w:marLeft w:val="0"/>
      <w:marRight w:val="0"/>
      <w:marTop w:val="0"/>
      <w:marBottom w:val="0"/>
      <w:divBdr>
        <w:top w:val="none" w:sz="0" w:space="0" w:color="auto"/>
        <w:left w:val="none" w:sz="0" w:space="0" w:color="auto"/>
        <w:bottom w:val="none" w:sz="0" w:space="0" w:color="auto"/>
        <w:right w:val="none" w:sz="0" w:space="0" w:color="auto"/>
      </w:divBdr>
    </w:div>
    <w:div w:id="1022899093">
      <w:bodyDiv w:val="1"/>
      <w:marLeft w:val="0"/>
      <w:marRight w:val="0"/>
      <w:marTop w:val="0"/>
      <w:marBottom w:val="0"/>
      <w:divBdr>
        <w:top w:val="none" w:sz="0" w:space="0" w:color="auto"/>
        <w:left w:val="none" w:sz="0" w:space="0" w:color="auto"/>
        <w:bottom w:val="none" w:sz="0" w:space="0" w:color="auto"/>
        <w:right w:val="none" w:sz="0" w:space="0" w:color="auto"/>
      </w:divBdr>
    </w:div>
    <w:div w:id="1081486250">
      <w:bodyDiv w:val="1"/>
      <w:marLeft w:val="0"/>
      <w:marRight w:val="0"/>
      <w:marTop w:val="0"/>
      <w:marBottom w:val="0"/>
      <w:divBdr>
        <w:top w:val="none" w:sz="0" w:space="0" w:color="auto"/>
        <w:left w:val="none" w:sz="0" w:space="0" w:color="auto"/>
        <w:bottom w:val="none" w:sz="0" w:space="0" w:color="auto"/>
        <w:right w:val="none" w:sz="0" w:space="0" w:color="auto"/>
      </w:divBdr>
    </w:div>
    <w:div w:id="1253277235">
      <w:bodyDiv w:val="1"/>
      <w:marLeft w:val="0"/>
      <w:marRight w:val="0"/>
      <w:marTop w:val="0"/>
      <w:marBottom w:val="0"/>
      <w:divBdr>
        <w:top w:val="none" w:sz="0" w:space="0" w:color="auto"/>
        <w:left w:val="none" w:sz="0" w:space="0" w:color="auto"/>
        <w:bottom w:val="none" w:sz="0" w:space="0" w:color="auto"/>
        <w:right w:val="none" w:sz="0" w:space="0" w:color="auto"/>
      </w:divBdr>
    </w:div>
    <w:div w:id="1337536695">
      <w:bodyDiv w:val="1"/>
      <w:marLeft w:val="0"/>
      <w:marRight w:val="0"/>
      <w:marTop w:val="0"/>
      <w:marBottom w:val="0"/>
      <w:divBdr>
        <w:top w:val="none" w:sz="0" w:space="0" w:color="auto"/>
        <w:left w:val="none" w:sz="0" w:space="0" w:color="auto"/>
        <w:bottom w:val="none" w:sz="0" w:space="0" w:color="auto"/>
        <w:right w:val="none" w:sz="0" w:space="0" w:color="auto"/>
      </w:divBdr>
    </w:div>
    <w:div w:id="1463647792">
      <w:bodyDiv w:val="1"/>
      <w:marLeft w:val="0"/>
      <w:marRight w:val="0"/>
      <w:marTop w:val="0"/>
      <w:marBottom w:val="0"/>
      <w:divBdr>
        <w:top w:val="none" w:sz="0" w:space="0" w:color="auto"/>
        <w:left w:val="none" w:sz="0" w:space="0" w:color="auto"/>
        <w:bottom w:val="none" w:sz="0" w:space="0" w:color="auto"/>
        <w:right w:val="none" w:sz="0" w:space="0" w:color="auto"/>
      </w:divBdr>
    </w:div>
    <w:div w:id="1483347399">
      <w:bodyDiv w:val="1"/>
      <w:marLeft w:val="0"/>
      <w:marRight w:val="0"/>
      <w:marTop w:val="0"/>
      <w:marBottom w:val="0"/>
      <w:divBdr>
        <w:top w:val="none" w:sz="0" w:space="0" w:color="auto"/>
        <w:left w:val="none" w:sz="0" w:space="0" w:color="auto"/>
        <w:bottom w:val="none" w:sz="0" w:space="0" w:color="auto"/>
        <w:right w:val="none" w:sz="0" w:space="0" w:color="auto"/>
      </w:divBdr>
    </w:div>
    <w:div w:id="175068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ga.gov.au/guidance-7-certified-product-details" TargetMode="External"/><Relationship Id="rId26" Type="http://schemas.openxmlformats.org/officeDocument/2006/relationships/image" Target="media/image7.png"/><Relationship Id="rId39" Type="http://schemas.microsoft.com/office/2007/relationships/hdphoto" Target="media/hdphoto2.wdp"/><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9" Type="http://schemas.openxmlformats.org/officeDocument/2006/relationships/image" Target="media/image9.png"/><Relationship Id="rId11" Type="http://schemas.openxmlformats.org/officeDocument/2006/relationships/hyperlink" Target="https://www.tga.gov.au"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www.tga.gov.au/form/certified-product-details-cpd-biological-prescriptionmedicines" TargetMode="Externa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microsoft.com/office/2007/relationships/hdphoto" Target="media/hdphoto1.wdp"/><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yperlink" Target="https://www.tga.gov.au/guidance-7-certified-product-details" TargetMode="External"/><Relationship Id="rId61" Type="http://schemas.openxmlformats.org/officeDocument/2006/relationships/header" Target="header4.xml"/><Relationship Id="rId95"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tga.gov.au/form/certified-product-details-cpd-biological-prescription-medicines" TargetMode="External"/><Relationship Id="rId31" Type="http://schemas.openxmlformats.org/officeDocument/2006/relationships/image" Target="media/image11.pn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header" Target="header3.xml"/><Relationship Id="rId65"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ga.copyright@tga.gov.au" TargetMode="External"/><Relationship Id="rId17" Type="http://schemas.openxmlformats.org/officeDocument/2006/relationships/hyperlink" Target="mailto:vaccines@health.gov.au" TargetMode="Externa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s://www.tga.gov.au/product-information-pi" TargetMode="External"/><Relationship Id="rId67" Type="http://schemas.openxmlformats.org/officeDocument/2006/relationships/header" Target="header7.xml"/><Relationship Id="rId20" Type="http://schemas.openxmlformats.org/officeDocument/2006/relationships/hyperlink" Target="mailto:Vaccines@health.gov.au" TargetMode="External"/><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header" Target="header5.xm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remdesivir" TargetMode="External"/><Relationship Id="rId13" Type="http://schemas.openxmlformats.org/officeDocument/2006/relationships/hyperlink" Target="https://www.cdc.gov/vaccines/acip/meetings/downloads/slides-2021-06/03-COVID-Shimabukuro-508.pdf" TargetMode="External"/><Relationship Id="rId3" Type="http://schemas.openxmlformats.org/officeDocument/2006/relationships/hyperlink" Target="https://www.tga.gov.au/auspar/auspar-bnt162b2-mrna-comirnaty" TargetMode="External"/><Relationship Id="rId7" Type="http://schemas.openxmlformats.org/officeDocument/2006/relationships/hyperlink" Target="https://www.tga.gov.au/auspar/auspar-ad26cov2s" TargetMode="External"/><Relationship Id="rId12" Type="http://schemas.openxmlformats.org/officeDocument/2006/relationships/hyperlink" Target="https://www.cdc.gov/coronavirus/2019-ncov/vaccines/safety/adverse-events.html" TargetMode="External"/><Relationship Id="rId2" Type="http://schemas.openxmlformats.org/officeDocument/2006/relationships/hyperlink" Target="https://www.health.gov.au/news/health-alerts/novel-coronavirus-2019-ncov-health-alert/coronavirus-covid-19-case-numbers-and-statistics" TargetMode="External"/><Relationship Id="rId16" Type="http://schemas.openxmlformats.org/officeDocument/2006/relationships/hyperlink" Target="https://www.tga.gov.au/sites/default/files/auspar-bnt162b2-mrna-210125.pdf" TargetMode="External"/><Relationship Id="rId1" Type="http://schemas.openxmlformats.org/officeDocument/2006/relationships/hyperlink" Target="https://covid19.who.int/" TargetMode="External"/><Relationship Id="rId6" Type="http://schemas.openxmlformats.org/officeDocument/2006/relationships/hyperlink" Target="https://www.health.gov.au/sites/default/files/documents/2021/06/covid-19-vaccination-atagi-clinical-guidance-on-covid-19-vaccine-in-australia-in-2021_1.pdf" TargetMode="External"/><Relationship Id="rId11" Type="http://schemas.openxmlformats.org/officeDocument/2006/relationships/hyperlink" Target="https://www.cdc.gov/vaccines/acip/meetings/downloads/slides-2021-06/05-COVID-Wallace-508.pdf" TargetMode="External"/><Relationship Id="rId5" Type="http://schemas.openxmlformats.org/officeDocument/2006/relationships/hyperlink" Target="https://www.tga.gov.au/auspar/auspar-chadox1-s" TargetMode="External"/><Relationship Id="rId15" Type="http://schemas.openxmlformats.org/officeDocument/2006/relationships/hyperlink" Target="https://www.ema.europa.eu/en/documents/other/ema-considerations-covid-19-vaccine-approval_en.pdf" TargetMode="External"/><Relationship Id="rId10" Type="http://schemas.openxmlformats.org/officeDocument/2006/relationships/hyperlink" Target="https://fda.report/media/144673/Moderna+COVID-19+Vaccine+review+memo.pdf" TargetMode="External"/><Relationship Id="rId4" Type="http://schemas.openxmlformats.org/officeDocument/2006/relationships/hyperlink" Target="https://www.tga.gov.au/auspar/auspar-bnt162b2-mrna" TargetMode="External"/><Relationship Id="rId9" Type="http://schemas.openxmlformats.org/officeDocument/2006/relationships/hyperlink" Target="https://www.who.int/biologicals/areas/vaccines/TRS_987_Annex2.pdf?ua=1" TargetMode="External"/><Relationship Id="rId14" Type="http://schemas.openxmlformats.org/officeDocument/2006/relationships/hyperlink" Target="https://www.tga.gov.au/access-consortium-statement-covid-19-vaccines-evid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documenttasks/documenttasks1.xml><?xml version="1.0" encoding="utf-8"?>
<t:Tasks xmlns:t="http://schemas.microsoft.com/office/tasks/2019/documenttasks" xmlns:oel="http://schemas.microsoft.com/office/2019/extlst">
  <t:Task id="{1A68F42F-2F51-413B-A638-CC9F825CABCA}">
    <t:Anchor>
      <t:Comment id="343286313"/>
    </t:Anchor>
    <t:History>
      <t:Event id="{0B8E4559-2E7E-4D2E-BCEB-755FED075702}" time="2021-08-02T15:16:03.229Z">
        <t:Attribution userId="S::wstraus@modernatx.com::ad9a7598-f88e-4c42-bc68-801c93f5e391" userProvider="AD" userName="Walter Straus"/>
        <t:Anchor>
          <t:Comment id="343286313"/>
        </t:Anchor>
        <t:Create/>
      </t:Event>
      <t:Event id="{620566B9-C07F-483D-89E8-FC46F639A56A}" time="2021-08-02T15:16:03.229Z">
        <t:Attribution userId="S::wstraus@modernatx.com::ad9a7598-f88e-4c42-bc68-801c93f5e391" userProvider="AD" userName="Walter Straus"/>
        <t:Anchor>
          <t:Comment id="343286313"/>
        </t:Anchor>
        <t:Assign userId="S::nassenova@modernatx.com::3c57aa0b-10bc-4dea-ab10-a91d537d4b91" userProvider="AD" userName="Nadia Assenova"/>
      </t:Event>
      <t:Event id="{6289202F-6E62-4861-84A8-4A60E2E44B9C}" time="2021-08-02T15:16:03.229Z">
        <t:Attribution userId="S::wstraus@modernatx.com::ad9a7598-f88e-4c42-bc68-801c93f5e391" userProvider="AD" userName="Walter Straus"/>
        <t:Anchor>
          <t:Comment id="343286313"/>
        </t:Anchor>
        <t:SetTitle title="@Nadia Assenova I wonder if we should commit to the monthly reports until license has been granted. As it reads now, it is forever, which is neither reasonable nor possible."/>
      </t:Event>
    </t:History>
  </t:Task>
</t:Task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64D399F4736C4D9B6F283F847AB432" ma:contentTypeVersion="11" ma:contentTypeDescription="Create a new document." ma:contentTypeScope="" ma:versionID="135d7a8346beb25eb33f9857ce55f3da">
  <xsd:schema xmlns:xsd="http://www.w3.org/2001/XMLSchema" xmlns:xs="http://www.w3.org/2001/XMLSchema" xmlns:p="http://schemas.microsoft.com/office/2006/metadata/properties" xmlns:ns2="111f1e70-0153-4e54-8d3e-906f2243415c" xmlns:ns3="95f7cf60-9940-4c99-afcc-83b6217af917" targetNamespace="http://schemas.microsoft.com/office/2006/metadata/properties" ma:root="true" ma:fieldsID="b572f99d7405882eae4d84c180ce1983" ns2:_="" ns3:_="">
    <xsd:import namespace="111f1e70-0153-4e54-8d3e-906f2243415c"/>
    <xsd:import namespace="95f7cf60-9940-4c99-afcc-83b6217af9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f1e70-0153-4e54-8d3e-906f224341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f7cf60-9940-4c99-afcc-83b6217af9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3E9BB2-90CD-4B29-9EDE-656EDCC17685}">
  <ds:schemaRefs>
    <ds:schemaRef ds:uri="95f7cf60-9940-4c99-afcc-83b6217af917"/>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111f1e70-0153-4e54-8d3e-906f2243415c"/>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5F2859A-124C-4D00-B832-1B0B0686B6C9}">
  <ds:schemaRefs>
    <ds:schemaRef ds:uri="http://schemas.openxmlformats.org/officeDocument/2006/bibliography"/>
  </ds:schemaRefs>
</ds:datastoreItem>
</file>

<file path=customXml/itemProps3.xml><?xml version="1.0" encoding="utf-8"?>
<ds:datastoreItem xmlns:ds="http://schemas.openxmlformats.org/officeDocument/2006/customXml" ds:itemID="{8E1739C1-A9B3-4502-92D2-C21D4A870C9B}">
  <ds:schemaRefs>
    <ds:schemaRef ds:uri="http://schemas.microsoft.com/sharepoint/v3/contenttype/forms"/>
  </ds:schemaRefs>
</ds:datastoreItem>
</file>

<file path=customXml/itemProps4.xml><?xml version="1.0" encoding="utf-8"?>
<ds:datastoreItem xmlns:ds="http://schemas.openxmlformats.org/officeDocument/2006/customXml" ds:itemID="{2E74898D-315A-48D5-9996-8E9FCBBF0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f1e70-0153-4e54-8d3e-906f2243415c"/>
    <ds:schemaRef ds:uri="95f7cf60-9940-4c99-afcc-83b6217af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66</Pages>
  <Words>19570</Words>
  <Characters>106271</Characters>
  <Application>Microsoft Office Word</Application>
  <DocSecurity>0</DocSecurity>
  <Lines>2261</Lines>
  <Paragraphs>1413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Elasomeran</dc:title>
  <dc:subject>prescription medicine regulation</dc:subject>
  <dc:creator> Therapeutic Goods Administration</dc:creator>
  <cp:keywords/>
  <cp:lastPrinted>2019-08-14T07:30:00Z</cp:lastPrinted>
  <dcterms:created xsi:type="dcterms:W3CDTF">2021-08-09T05:08:00Z</dcterms:created>
  <dcterms:modified xsi:type="dcterms:W3CDTF">2021-08-09T05:31:00Z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0x0101005364D399F4736C4D9B6F283F847AB432</vt:lpwstr>
  </property>
</Properties>
</file>