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5340738A" w14:textId="77777777" w:rsidTr="00BF1190">
        <w:trPr>
          <w:trHeight w:val="1863"/>
        </w:trPr>
        <w:tc>
          <w:tcPr>
            <w:tcW w:w="3652" w:type="dxa"/>
            <w:tcBorders>
              <w:top w:val="nil"/>
              <w:left w:val="nil"/>
              <w:bottom w:val="nil"/>
              <w:right w:val="nil"/>
            </w:tcBorders>
          </w:tcPr>
          <w:p w14:paraId="75798DC3" w14:textId="20A86473" w:rsidR="008E7846" w:rsidRPr="00096AA7" w:rsidRDefault="007F3DA2" w:rsidP="00096AA7">
            <w:pPr>
              <w:rPr>
                <w:rFonts w:ascii="Arial" w:hAnsi="Arial" w:cs="Arial"/>
                <w:b/>
                <w:color w:val="002C47"/>
                <w:sz w:val="36"/>
                <w:szCs w:val="36"/>
              </w:rPr>
            </w:pPr>
            <w:r>
              <w:rPr>
                <w:rFonts w:ascii="Arial" w:hAnsi="Arial" w:cs="Arial"/>
                <w:b/>
                <w:color w:val="002C47"/>
                <w:sz w:val="36"/>
                <w:szCs w:val="36"/>
              </w:rPr>
              <w:t xml:space="preserve">December </w:t>
            </w:r>
            <w:r w:rsidR="00E56FB3">
              <w:rPr>
                <w:rFonts w:ascii="Arial" w:hAnsi="Arial" w:cs="Arial"/>
                <w:b/>
                <w:color w:val="002C47"/>
                <w:sz w:val="36"/>
                <w:szCs w:val="36"/>
              </w:rPr>
              <w:t>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2585C32" w14:textId="77777777" w:rsidTr="0032583B">
        <w:trPr>
          <w:trHeight w:val="868"/>
        </w:trPr>
        <w:tc>
          <w:tcPr>
            <w:tcW w:w="9079" w:type="dxa"/>
          </w:tcPr>
          <w:p w14:paraId="6A9D5F27" w14:textId="241C46C4" w:rsidR="0032583B" w:rsidRPr="00A964D1" w:rsidRDefault="0032583B" w:rsidP="00460036">
            <w:pPr>
              <w:pStyle w:val="Title"/>
              <w:rPr>
                <w:color w:val="FFFFFF" w:themeColor="background1"/>
              </w:rPr>
            </w:pPr>
            <w:r w:rsidRPr="00A964D1">
              <w:rPr>
                <w:color w:val="FFFFFF" w:themeColor="background1"/>
              </w:rPr>
              <w:t xml:space="preserve">Australian Public Assessment Report for </w:t>
            </w:r>
            <w:proofErr w:type="spellStart"/>
            <w:r w:rsidR="00F254F9">
              <w:rPr>
                <w:color w:val="FFFFFF" w:themeColor="background1"/>
              </w:rPr>
              <w:t>E</w:t>
            </w:r>
            <w:r w:rsidR="00F254F9" w:rsidRPr="00F254F9">
              <w:rPr>
                <w:color w:val="FFFFFF" w:themeColor="background1"/>
              </w:rPr>
              <w:t>lasomeran</w:t>
            </w:r>
            <w:proofErr w:type="spellEnd"/>
            <w:r w:rsidR="00F254F9" w:rsidRPr="00F254F9">
              <w:rPr>
                <w:color w:val="FFFFFF" w:themeColor="background1"/>
              </w:rPr>
              <w:t xml:space="preserve"> </w:t>
            </w:r>
            <w:r w:rsidR="00F254F9">
              <w:rPr>
                <w:color w:val="FFFFFF" w:themeColor="background1"/>
              </w:rPr>
              <w:t>(</w:t>
            </w:r>
            <w:r w:rsidR="00F254F9" w:rsidRPr="00F254F9">
              <w:rPr>
                <w:color w:val="FFFFFF" w:themeColor="background1"/>
              </w:rPr>
              <w:t>mRNA-1273</w:t>
            </w:r>
            <w:r w:rsidR="00F254F9">
              <w:rPr>
                <w:color w:val="FFFFFF" w:themeColor="background1"/>
              </w:rPr>
              <w:t>)</w:t>
            </w:r>
          </w:p>
        </w:tc>
      </w:tr>
      <w:tr w:rsidR="0032583B" w:rsidRPr="00B64760" w14:paraId="5C90FA42" w14:textId="77777777" w:rsidTr="0032583B">
        <w:tc>
          <w:tcPr>
            <w:tcW w:w="9079" w:type="dxa"/>
          </w:tcPr>
          <w:p w14:paraId="02D5BBC4" w14:textId="0C7407CE" w:rsidR="0032583B" w:rsidRPr="008E7846" w:rsidRDefault="0032583B" w:rsidP="00460036">
            <w:pPr>
              <w:pStyle w:val="Subtitle"/>
              <w:rPr>
                <w:color w:val="FFFFFF" w:themeColor="background1"/>
              </w:rPr>
            </w:pPr>
            <w:r w:rsidRPr="008E7846">
              <w:rPr>
                <w:color w:val="FFFFFF" w:themeColor="background1"/>
              </w:rPr>
              <w:t xml:space="preserve">Proprietary Product Name: </w:t>
            </w:r>
            <w:proofErr w:type="spellStart"/>
            <w:r w:rsidR="00F254F9" w:rsidRPr="00F254F9">
              <w:rPr>
                <w:color w:val="FFFFFF" w:themeColor="background1"/>
              </w:rPr>
              <w:t>Spikevax</w:t>
            </w:r>
            <w:proofErr w:type="spellEnd"/>
          </w:p>
        </w:tc>
      </w:tr>
      <w:tr w:rsidR="0032583B" w:rsidRPr="00B64760" w14:paraId="13837852" w14:textId="77777777" w:rsidTr="0032583B">
        <w:trPr>
          <w:trHeight w:val="486"/>
        </w:trPr>
        <w:tc>
          <w:tcPr>
            <w:tcW w:w="9079" w:type="dxa"/>
          </w:tcPr>
          <w:p w14:paraId="40DDAEB0" w14:textId="77224C17" w:rsidR="0032583B" w:rsidRPr="008E7846" w:rsidRDefault="00460036" w:rsidP="0032583B">
            <w:pPr>
              <w:pStyle w:val="Subtitle"/>
              <w:rPr>
                <w:color w:val="FFFFFF" w:themeColor="background1"/>
              </w:rPr>
            </w:pPr>
            <w:r>
              <w:rPr>
                <w:color w:val="FFFFFF" w:themeColor="background1"/>
              </w:rPr>
              <w:t>Sponsor:</w:t>
            </w:r>
            <w:r w:rsidR="00D7030A">
              <w:rPr>
                <w:color w:val="FFFFFF" w:themeColor="background1"/>
              </w:rPr>
              <w:t xml:space="preserve"> </w:t>
            </w:r>
            <w:proofErr w:type="spellStart"/>
            <w:r w:rsidR="00F254F9" w:rsidRPr="00F254F9">
              <w:rPr>
                <w:color w:val="FFFFFF" w:themeColor="background1"/>
              </w:rPr>
              <w:t>Moderna</w:t>
            </w:r>
            <w:proofErr w:type="spellEnd"/>
            <w:r w:rsidR="00F254F9" w:rsidRPr="00F254F9">
              <w:rPr>
                <w:color w:val="FFFFFF" w:themeColor="background1"/>
              </w:rPr>
              <w:t xml:space="preserve"> Australia Pty Ltd</w:t>
            </w:r>
          </w:p>
        </w:tc>
      </w:tr>
    </w:tbl>
    <w:p w14:paraId="35ABA839" w14:textId="77777777" w:rsidR="008E7846" w:rsidRPr="0085156D" w:rsidRDefault="008E7846" w:rsidP="0085156D">
      <w:r w:rsidRPr="0085156D">
        <w:br w:type="page"/>
      </w:r>
    </w:p>
    <w:p w14:paraId="156162A9" w14:textId="77777777" w:rsidR="008E7846" w:rsidRPr="001F6CBA" w:rsidRDefault="008E7846" w:rsidP="008E7846">
      <w:pPr>
        <w:pStyle w:val="NonTOCHeading2"/>
      </w:pPr>
      <w:r w:rsidRPr="001F6CBA">
        <w:lastRenderedPageBreak/>
        <w:t>About the Therapeutic Goods Administration (TGA)</w:t>
      </w:r>
    </w:p>
    <w:p w14:paraId="5412999A"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689B893A"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w:t>
      </w:r>
      <w:proofErr w:type="gramStart"/>
      <w:r w:rsidR="008E7846">
        <w:t>safety</w:t>
      </w:r>
      <w:proofErr w:type="gramEnd"/>
      <w:r w:rsidR="008E7846">
        <w:t xml:space="preserve"> and efficacy (performance) when necessary.</w:t>
      </w:r>
    </w:p>
    <w:p w14:paraId="31EC5F92"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541B3449"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32B1C2F7"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68914D87" w14:textId="77777777" w:rsidR="008E7846" w:rsidRDefault="008E7846" w:rsidP="00875A6B">
      <w:pPr>
        <w:pStyle w:val="NonTOCHeading2"/>
      </w:pPr>
      <w:r>
        <w:t xml:space="preserve">About </w:t>
      </w:r>
      <w:proofErr w:type="spellStart"/>
      <w:r>
        <w:t>AusPARs</w:t>
      </w:r>
      <w:proofErr w:type="spellEnd"/>
    </w:p>
    <w:p w14:paraId="29581F0B" w14:textId="77777777" w:rsidR="008E7846" w:rsidRDefault="008E7846" w:rsidP="008E7846">
      <w:pPr>
        <w:pStyle w:val="ListBullet"/>
        <w:numPr>
          <w:ilvl w:val="0"/>
          <w:numId w:val="3"/>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14:paraId="34ABAB29" w14:textId="77777777"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14:paraId="38D20648" w14:textId="77777777"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w:t>
      </w:r>
      <w:proofErr w:type="gramStart"/>
      <w:r>
        <w:t>variations</w:t>
      </w:r>
      <w:proofErr w:type="gramEnd"/>
      <w:r>
        <w:t xml:space="preserve"> and extensions of indications.</w:t>
      </w:r>
    </w:p>
    <w:p w14:paraId="6C47CF72" w14:textId="77777777"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14:paraId="19EE39B5" w14:textId="77777777"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14:paraId="6328A0CE" w14:textId="77777777" w:rsidR="00924482" w:rsidRPr="00DF1D7F" w:rsidRDefault="00924482" w:rsidP="00F54B65">
      <w:pPr>
        <w:pStyle w:val="LegalSubheading"/>
        <w:spacing w:before="3120"/>
      </w:pPr>
      <w:r w:rsidRPr="00DF1D7F">
        <w:t>Copyright</w:t>
      </w:r>
    </w:p>
    <w:p w14:paraId="28ADE6B0" w14:textId="77777777"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324E45">
        <w:rPr>
          <w:rFonts w:cs="Arial"/>
          <w:lang w:val="en-GB"/>
        </w:rPr>
        <w:t>1</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3277BE56"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36CDBF43" w14:textId="77777777" w:rsidR="0089635C" w:rsidRPr="0089635C" w:rsidRDefault="0089635C" w:rsidP="0010788A">
          <w:pPr>
            <w:pStyle w:val="Contents"/>
          </w:pPr>
          <w:r w:rsidRPr="0010788A">
            <w:t>Contents</w:t>
          </w:r>
        </w:p>
        <w:p w14:paraId="33B1D7B4" w14:textId="348846C0" w:rsidR="007F3668"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89950065" w:history="1">
            <w:r w:rsidR="007F3668" w:rsidRPr="00F75A15">
              <w:rPr>
                <w:rStyle w:val="Hyperlink"/>
                <w:noProof/>
              </w:rPr>
              <w:t>List of abbreviations</w:t>
            </w:r>
            <w:r w:rsidR="007F3668">
              <w:rPr>
                <w:noProof/>
                <w:webHidden/>
              </w:rPr>
              <w:tab/>
            </w:r>
            <w:r w:rsidR="007F3668">
              <w:rPr>
                <w:noProof/>
                <w:webHidden/>
              </w:rPr>
              <w:fldChar w:fldCharType="begin"/>
            </w:r>
            <w:r w:rsidR="007F3668">
              <w:rPr>
                <w:noProof/>
                <w:webHidden/>
              </w:rPr>
              <w:instrText xml:space="preserve"> PAGEREF _Toc89950065 \h </w:instrText>
            </w:r>
            <w:r w:rsidR="007F3668">
              <w:rPr>
                <w:noProof/>
                <w:webHidden/>
              </w:rPr>
            </w:r>
            <w:r w:rsidR="007F3668">
              <w:rPr>
                <w:noProof/>
                <w:webHidden/>
              </w:rPr>
              <w:fldChar w:fldCharType="separate"/>
            </w:r>
            <w:r w:rsidR="007F3668">
              <w:rPr>
                <w:noProof/>
                <w:webHidden/>
              </w:rPr>
              <w:t>4</w:t>
            </w:r>
            <w:r w:rsidR="007F3668">
              <w:rPr>
                <w:noProof/>
                <w:webHidden/>
              </w:rPr>
              <w:fldChar w:fldCharType="end"/>
            </w:r>
          </w:hyperlink>
        </w:p>
        <w:p w14:paraId="48ACE2B1" w14:textId="7DDCFB02" w:rsidR="007F3668" w:rsidRDefault="007F3668">
          <w:pPr>
            <w:pStyle w:val="TOC1"/>
            <w:rPr>
              <w:rFonts w:asciiTheme="minorHAnsi" w:eastAsiaTheme="minorEastAsia" w:hAnsiTheme="minorHAnsi" w:cstheme="minorBidi"/>
              <w:b w:val="0"/>
              <w:noProof/>
              <w:sz w:val="22"/>
              <w:lang w:eastAsia="en-AU"/>
            </w:rPr>
          </w:pPr>
          <w:hyperlink w:anchor="_Toc89950066" w:history="1">
            <w:r w:rsidRPr="00F75A15">
              <w:rPr>
                <w:rStyle w:val="Hyperlink"/>
                <w:noProof/>
              </w:rPr>
              <w:t>I. Introduction to product submission</w:t>
            </w:r>
            <w:r>
              <w:rPr>
                <w:noProof/>
                <w:webHidden/>
              </w:rPr>
              <w:tab/>
            </w:r>
            <w:r>
              <w:rPr>
                <w:noProof/>
                <w:webHidden/>
              </w:rPr>
              <w:fldChar w:fldCharType="begin"/>
            </w:r>
            <w:r>
              <w:rPr>
                <w:noProof/>
                <w:webHidden/>
              </w:rPr>
              <w:instrText xml:space="preserve"> PAGEREF _Toc89950066 \h </w:instrText>
            </w:r>
            <w:r>
              <w:rPr>
                <w:noProof/>
                <w:webHidden/>
              </w:rPr>
            </w:r>
            <w:r>
              <w:rPr>
                <w:noProof/>
                <w:webHidden/>
              </w:rPr>
              <w:fldChar w:fldCharType="separate"/>
            </w:r>
            <w:r>
              <w:rPr>
                <w:noProof/>
                <w:webHidden/>
              </w:rPr>
              <w:t>7</w:t>
            </w:r>
            <w:r>
              <w:rPr>
                <w:noProof/>
                <w:webHidden/>
              </w:rPr>
              <w:fldChar w:fldCharType="end"/>
            </w:r>
          </w:hyperlink>
        </w:p>
        <w:p w14:paraId="2B817306" w14:textId="08A91B3C" w:rsidR="007F3668" w:rsidRDefault="007F3668">
          <w:pPr>
            <w:pStyle w:val="TOC2"/>
            <w:rPr>
              <w:rFonts w:asciiTheme="minorHAnsi" w:eastAsiaTheme="minorEastAsia" w:hAnsiTheme="minorHAnsi" w:cstheme="minorBidi"/>
              <w:b w:val="0"/>
              <w:noProof/>
              <w:sz w:val="22"/>
              <w:lang w:eastAsia="en-AU"/>
            </w:rPr>
          </w:pPr>
          <w:hyperlink w:anchor="_Toc89950067" w:history="1">
            <w:r w:rsidRPr="00F75A15">
              <w:rPr>
                <w:rStyle w:val="Hyperlink"/>
                <w:noProof/>
                <w:lang w:eastAsia="en-AU"/>
              </w:rPr>
              <w:t>Submission details</w:t>
            </w:r>
            <w:r>
              <w:rPr>
                <w:noProof/>
                <w:webHidden/>
              </w:rPr>
              <w:tab/>
            </w:r>
            <w:r>
              <w:rPr>
                <w:noProof/>
                <w:webHidden/>
              </w:rPr>
              <w:fldChar w:fldCharType="begin"/>
            </w:r>
            <w:r>
              <w:rPr>
                <w:noProof/>
                <w:webHidden/>
              </w:rPr>
              <w:instrText xml:space="preserve"> PAGEREF _Toc89950067 \h </w:instrText>
            </w:r>
            <w:r>
              <w:rPr>
                <w:noProof/>
                <w:webHidden/>
              </w:rPr>
            </w:r>
            <w:r>
              <w:rPr>
                <w:noProof/>
                <w:webHidden/>
              </w:rPr>
              <w:fldChar w:fldCharType="separate"/>
            </w:r>
            <w:r>
              <w:rPr>
                <w:noProof/>
                <w:webHidden/>
              </w:rPr>
              <w:t>7</w:t>
            </w:r>
            <w:r>
              <w:rPr>
                <w:noProof/>
                <w:webHidden/>
              </w:rPr>
              <w:fldChar w:fldCharType="end"/>
            </w:r>
          </w:hyperlink>
        </w:p>
        <w:p w14:paraId="2026750A" w14:textId="434F77AA" w:rsidR="007F3668" w:rsidRDefault="007F3668">
          <w:pPr>
            <w:pStyle w:val="TOC2"/>
            <w:rPr>
              <w:rFonts w:asciiTheme="minorHAnsi" w:eastAsiaTheme="minorEastAsia" w:hAnsiTheme="minorHAnsi" w:cstheme="minorBidi"/>
              <w:b w:val="0"/>
              <w:noProof/>
              <w:sz w:val="22"/>
              <w:lang w:eastAsia="en-AU"/>
            </w:rPr>
          </w:pPr>
          <w:hyperlink w:anchor="_Toc89950068" w:history="1">
            <w:r w:rsidRPr="00F75A15">
              <w:rPr>
                <w:rStyle w:val="Hyperlink"/>
                <w:noProof/>
              </w:rPr>
              <w:t>Product background</w:t>
            </w:r>
            <w:r>
              <w:rPr>
                <w:noProof/>
                <w:webHidden/>
              </w:rPr>
              <w:tab/>
            </w:r>
            <w:r>
              <w:rPr>
                <w:noProof/>
                <w:webHidden/>
              </w:rPr>
              <w:fldChar w:fldCharType="begin"/>
            </w:r>
            <w:r>
              <w:rPr>
                <w:noProof/>
                <w:webHidden/>
              </w:rPr>
              <w:instrText xml:space="preserve"> PAGEREF _Toc89950068 \h </w:instrText>
            </w:r>
            <w:r>
              <w:rPr>
                <w:noProof/>
                <w:webHidden/>
              </w:rPr>
            </w:r>
            <w:r>
              <w:rPr>
                <w:noProof/>
                <w:webHidden/>
              </w:rPr>
              <w:fldChar w:fldCharType="separate"/>
            </w:r>
            <w:r>
              <w:rPr>
                <w:noProof/>
                <w:webHidden/>
              </w:rPr>
              <w:t>8</w:t>
            </w:r>
            <w:r>
              <w:rPr>
                <w:noProof/>
                <w:webHidden/>
              </w:rPr>
              <w:fldChar w:fldCharType="end"/>
            </w:r>
          </w:hyperlink>
        </w:p>
        <w:p w14:paraId="7E64BB86" w14:textId="698BA29E" w:rsidR="007F3668" w:rsidRDefault="007F3668">
          <w:pPr>
            <w:pStyle w:val="TOC2"/>
            <w:rPr>
              <w:rFonts w:asciiTheme="minorHAnsi" w:eastAsiaTheme="minorEastAsia" w:hAnsiTheme="minorHAnsi" w:cstheme="minorBidi"/>
              <w:b w:val="0"/>
              <w:noProof/>
              <w:sz w:val="22"/>
              <w:lang w:eastAsia="en-AU"/>
            </w:rPr>
          </w:pPr>
          <w:hyperlink w:anchor="_Toc89950069" w:history="1">
            <w:r w:rsidRPr="00F75A15">
              <w:rPr>
                <w:rStyle w:val="Hyperlink"/>
                <w:noProof/>
              </w:rPr>
              <w:t>Regulatory status</w:t>
            </w:r>
            <w:r>
              <w:rPr>
                <w:noProof/>
                <w:webHidden/>
              </w:rPr>
              <w:tab/>
            </w:r>
            <w:r>
              <w:rPr>
                <w:noProof/>
                <w:webHidden/>
              </w:rPr>
              <w:fldChar w:fldCharType="begin"/>
            </w:r>
            <w:r>
              <w:rPr>
                <w:noProof/>
                <w:webHidden/>
              </w:rPr>
              <w:instrText xml:space="preserve"> PAGEREF _Toc89950069 \h </w:instrText>
            </w:r>
            <w:r>
              <w:rPr>
                <w:noProof/>
                <w:webHidden/>
              </w:rPr>
            </w:r>
            <w:r>
              <w:rPr>
                <w:noProof/>
                <w:webHidden/>
              </w:rPr>
              <w:fldChar w:fldCharType="separate"/>
            </w:r>
            <w:r>
              <w:rPr>
                <w:noProof/>
                <w:webHidden/>
              </w:rPr>
              <w:t>11</w:t>
            </w:r>
            <w:r>
              <w:rPr>
                <w:noProof/>
                <w:webHidden/>
              </w:rPr>
              <w:fldChar w:fldCharType="end"/>
            </w:r>
          </w:hyperlink>
        </w:p>
        <w:p w14:paraId="797AFB0A" w14:textId="20F07A10" w:rsidR="007F3668" w:rsidRDefault="007F3668">
          <w:pPr>
            <w:pStyle w:val="TOC2"/>
            <w:rPr>
              <w:rFonts w:asciiTheme="minorHAnsi" w:eastAsiaTheme="minorEastAsia" w:hAnsiTheme="minorHAnsi" w:cstheme="minorBidi"/>
              <w:b w:val="0"/>
              <w:noProof/>
              <w:sz w:val="22"/>
              <w:lang w:eastAsia="en-AU"/>
            </w:rPr>
          </w:pPr>
          <w:hyperlink w:anchor="_Toc89950070" w:history="1">
            <w:r w:rsidRPr="00F75A15">
              <w:rPr>
                <w:rStyle w:val="Hyperlink"/>
                <w:noProof/>
              </w:rPr>
              <w:t>Product Information</w:t>
            </w:r>
            <w:r>
              <w:rPr>
                <w:noProof/>
                <w:webHidden/>
              </w:rPr>
              <w:tab/>
            </w:r>
            <w:r>
              <w:rPr>
                <w:noProof/>
                <w:webHidden/>
              </w:rPr>
              <w:fldChar w:fldCharType="begin"/>
            </w:r>
            <w:r>
              <w:rPr>
                <w:noProof/>
                <w:webHidden/>
              </w:rPr>
              <w:instrText xml:space="preserve"> PAGEREF _Toc89950070 \h </w:instrText>
            </w:r>
            <w:r>
              <w:rPr>
                <w:noProof/>
                <w:webHidden/>
              </w:rPr>
            </w:r>
            <w:r>
              <w:rPr>
                <w:noProof/>
                <w:webHidden/>
              </w:rPr>
              <w:fldChar w:fldCharType="separate"/>
            </w:r>
            <w:r>
              <w:rPr>
                <w:noProof/>
                <w:webHidden/>
              </w:rPr>
              <w:t>13</w:t>
            </w:r>
            <w:r>
              <w:rPr>
                <w:noProof/>
                <w:webHidden/>
              </w:rPr>
              <w:fldChar w:fldCharType="end"/>
            </w:r>
          </w:hyperlink>
        </w:p>
        <w:p w14:paraId="7DFD961B" w14:textId="509BA1B3" w:rsidR="007F3668" w:rsidRDefault="007F3668">
          <w:pPr>
            <w:pStyle w:val="TOC1"/>
            <w:rPr>
              <w:rFonts w:asciiTheme="minorHAnsi" w:eastAsiaTheme="minorEastAsia" w:hAnsiTheme="minorHAnsi" w:cstheme="minorBidi"/>
              <w:b w:val="0"/>
              <w:noProof/>
              <w:sz w:val="22"/>
              <w:lang w:eastAsia="en-AU"/>
            </w:rPr>
          </w:pPr>
          <w:hyperlink w:anchor="_Toc89950071" w:history="1">
            <w:r w:rsidRPr="00F75A15">
              <w:rPr>
                <w:rStyle w:val="Hyperlink"/>
                <w:noProof/>
              </w:rPr>
              <w:t>II. Registration timeline</w:t>
            </w:r>
            <w:r>
              <w:rPr>
                <w:noProof/>
                <w:webHidden/>
              </w:rPr>
              <w:tab/>
            </w:r>
            <w:r>
              <w:rPr>
                <w:noProof/>
                <w:webHidden/>
              </w:rPr>
              <w:fldChar w:fldCharType="begin"/>
            </w:r>
            <w:r>
              <w:rPr>
                <w:noProof/>
                <w:webHidden/>
              </w:rPr>
              <w:instrText xml:space="preserve"> PAGEREF _Toc89950071 \h </w:instrText>
            </w:r>
            <w:r>
              <w:rPr>
                <w:noProof/>
                <w:webHidden/>
              </w:rPr>
            </w:r>
            <w:r>
              <w:rPr>
                <w:noProof/>
                <w:webHidden/>
              </w:rPr>
              <w:fldChar w:fldCharType="separate"/>
            </w:r>
            <w:r>
              <w:rPr>
                <w:noProof/>
                <w:webHidden/>
              </w:rPr>
              <w:t>14</w:t>
            </w:r>
            <w:r>
              <w:rPr>
                <w:noProof/>
                <w:webHidden/>
              </w:rPr>
              <w:fldChar w:fldCharType="end"/>
            </w:r>
          </w:hyperlink>
        </w:p>
        <w:p w14:paraId="0474842C" w14:textId="33B008AC" w:rsidR="007F3668" w:rsidRDefault="007F3668">
          <w:pPr>
            <w:pStyle w:val="TOC1"/>
            <w:rPr>
              <w:rFonts w:asciiTheme="minorHAnsi" w:eastAsiaTheme="minorEastAsia" w:hAnsiTheme="minorHAnsi" w:cstheme="minorBidi"/>
              <w:b w:val="0"/>
              <w:noProof/>
              <w:sz w:val="22"/>
              <w:lang w:eastAsia="en-AU"/>
            </w:rPr>
          </w:pPr>
          <w:hyperlink w:anchor="_Toc89950072" w:history="1">
            <w:r w:rsidRPr="00F75A15">
              <w:rPr>
                <w:rStyle w:val="Hyperlink"/>
                <w:noProof/>
              </w:rPr>
              <w:t>III. Submission overview and risk/benefit assessment</w:t>
            </w:r>
            <w:r>
              <w:rPr>
                <w:noProof/>
                <w:webHidden/>
              </w:rPr>
              <w:tab/>
            </w:r>
            <w:r>
              <w:rPr>
                <w:noProof/>
                <w:webHidden/>
              </w:rPr>
              <w:fldChar w:fldCharType="begin"/>
            </w:r>
            <w:r>
              <w:rPr>
                <w:noProof/>
                <w:webHidden/>
              </w:rPr>
              <w:instrText xml:space="preserve"> PAGEREF _Toc89950072 \h </w:instrText>
            </w:r>
            <w:r>
              <w:rPr>
                <w:noProof/>
                <w:webHidden/>
              </w:rPr>
            </w:r>
            <w:r>
              <w:rPr>
                <w:noProof/>
                <w:webHidden/>
              </w:rPr>
              <w:fldChar w:fldCharType="separate"/>
            </w:r>
            <w:r>
              <w:rPr>
                <w:noProof/>
                <w:webHidden/>
              </w:rPr>
              <w:t>14</w:t>
            </w:r>
            <w:r>
              <w:rPr>
                <w:noProof/>
                <w:webHidden/>
              </w:rPr>
              <w:fldChar w:fldCharType="end"/>
            </w:r>
          </w:hyperlink>
        </w:p>
        <w:p w14:paraId="04FF30EE" w14:textId="6603BB52" w:rsidR="007F3668" w:rsidRDefault="007F3668">
          <w:pPr>
            <w:pStyle w:val="TOC2"/>
            <w:rPr>
              <w:rFonts w:asciiTheme="minorHAnsi" w:eastAsiaTheme="minorEastAsia" w:hAnsiTheme="minorHAnsi" w:cstheme="minorBidi"/>
              <w:b w:val="0"/>
              <w:noProof/>
              <w:sz w:val="22"/>
              <w:lang w:eastAsia="en-AU"/>
            </w:rPr>
          </w:pPr>
          <w:hyperlink w:anchor="_Toc89950073" w:history="1">
            <w:r w:rsidRPr="00F75A15">
              <w:rPr>
                <w:rStyle w:val="Hyperlink"/>
                <w:noProof/>
              </w:rPr>
              <w:t>Quality</w:t>
            </w:r>
            <w:r>
              <w:rPr>
                <w:noProof/>
                <w:webHidden/>
              </w:rPr>
              <w:tab/>
            </w:r>
            <w:r>
              <w:rPr>
                <w:noProof/>
                <w:webHidden/>
              </w:rPr>
              <w:fldChar w:fldCharType="begin"/>
            </w:r>
            <w:r>
              <w:rPr>
                <w:noProof/>
                <w:webHidden/>
              </w:rPr>
              <w:instrText xml:space="preserve"> PAGEREF _Toc89950073 \h </w:instrText>
            </w:r>
            <w:r>
              <w:rPr>
                <w:noProof/>
                <w:webHidden/>
              </w:rPr>
            </w:r>
            <w:r>
              <w:rPr>
                <w:noProof/>
                <w:webHidden/>
              </w:rPr>
              <w:fldChar w:fldCharType="separate"/>
            </w:r>
            <w:r>
              <w:rPr>
                <w:noProof/>
                <w:webHidden/>
              </w:rPr>
              <w:t>14</w:t>
            </w:r>
            <w:r>
              <w:rPr>
                <w:noProof/>
                <w:webHidden/>
              </w:rPr>
              <w:fldChar w:fldCharType="end"/>
            </w:r>
          </w:hyperlink>
        </w:p>
        <w:p w14:paraId="4D04BCA1" w14:textId="0F404D1E" w:rsidR="007F3668" w:rsidRDefault="007F3668">
          <w:pPr>
            <w:pStyle w:val="TOC2"/>
            <w:rPr>
              <w:rFonts w:asciiTheme="minorHAnsi" w:eastAsiaTheme="minorEastAsia" w:hAnsiTheme="minorHAnsi" w:cstheme="minorBidi"/>
              <w:b w:val="0"/>
              <w:noProof/>
              <w:sz w:val="22"/>
              <w:lang w:eastAsia="en-AU"/>
            </w:rPr>
          </w:pPr>
          <w:hyperlink w:anchor="_Toc89950074" w:history="1">
            <w:r w:rsidRPr="00F75A15">
              <w:rPr>
                <w:rStyle w:val="Hyperlink"/>
                <w:noProof/>
              </w:rPr>
              <w:t>Nonclinical</w:t>
            </w:r>
            <w:r>
              <w:rPr>
                <w:noProof/>
                <w:webHidden/>
              </w:rPr>
              <w:tab/>
            </w:r>
            <w:r>
              <w:rPr>
                <w:noProof/>
                <w:webHidden/>
              </w:rPr>
              <w:fldChar w:fldCharType="begin"/>
            </w:r>
            <w:r>
              <w:rPr>
                <w:noProof/>
                <w:webHidden/>
              </w:rPr>
              <w:instrText xml:space="preserve"> PAGEREF _Toc89950074 \h </w:instrText>
            </w:r>
            <w:r>
              <w:rPr>
                <w:noProof/>
                <w:webHidden/>
              </w:rPr>
            </w:r>
            <w:r>
              <w:rPr>
                <w:noProof/>
                <w:webHidden/>
              </w:rPr>
              <w:fldChar w:fldCharType="separate"/>
            </w:r>
            <w:r>
              <w:rPr>
                <w:noProof/>
                <w:webHidden/>
              </w:rPr>
              <w:t>15</w:t>
            </w:r>
            <w:r>
              <w:rPr>
                <w:noProof/>
                <w:webHidden/>
              </w:rPr>
              <w:fldChar w:fldCharType="end"/>
            </w:r>
          </w:hyperlink>
        </w:p>
        <w:p w14:paraId="49C53FBC" w14:textId="72FA94E5" w:rsidR="007F3668" w:rsidRDefault="007F3668">
          <w:pPr>
            <w:pStyle w:val="TOC2"/>
            <w:rPr>
              <w:rFonts w:asciiTheme="minorHAnsi" w:eastAsiaTheme="minorEastAsia" w:hAnsiTheme="minorHAnsi" w:cstheme="minorBidi"/>
              <w:b w:val="0"/>
              <w:noProof/>
              <w:sz w:val="22"/>
              <w:lang w:eastAsia="en-AU"/>
            </w:rPr>
          </w:pPr>
          <w:hyperlink w:anchor="_Toc89950075" w:history="1">
            <w:r w:rsidRPr="00F75A15">
              <w:rPr>
                <w:rStyle w:val="Hyperlink"/>
                <w:noProof/>
              </w:rPr>
              <w:t>Clinical</w:t>
            </w:r>
            <w:r>
              <w:rPr>
                <w:noProof/>
                <w:webHidden/>
              </w:rPr>
              <w:tab/>
            </w:r>
            <w:r>
              <w:rPr>
                <w:noProof/>
                <w:webHidden/>
              </w:rPr>
              <w:fldChar w:fldCharType="begin"/>
            </w:r>
            <w:r>
              <w:rPr>
                <w:noProof/>
                <w:webHidden/>
              </w:rPr>
              <w:instrText xml:space="preserve"> PAGEREF _Toc89950075 \h </w:instrText>
            </w:r>
            <w:r>
              <w:rPr>
                <w:noProof/>
                <w:webHidden/>
              </w:rPr>
            </w:r>
            <w:r>
              <w:rPr>
                <w:noProof/>
                <w:webHidden/>
              </w:rPr>
              <w:fldChar w:fldCharType="separate"/>
            </w:r>
            <w:r>
              <w:rPr>
                <w:noProof/>
                <w:webHidden/>
              </w:rPr>
              <w:t>15</w:t>
            </w:r>
            <w:r>
              <w:rPr>
                <w:noProof/>
                <w:webHidden/>
              </w:rPr>
              <w:fldChar w:fldCharType="end"/>
            </w:r>
          </w:hyperlink>
        </w:p>
        <w:p w14:paraId="2F2AE192" w14:textId="53FA7710" w:rsidR="007F3668" w:rsidRDefault="007F3668">
          <w:pPr>
            <w:pStyle w:val="TOC2"/>
            <w:rPr>
              <w:rFonts w:asciiTheme="minorHAnsi" w:eastAsiaTheme="minorEastAsia" w:hAnsiTheme="minorHAnsi" w:cstheme="minorBidi"/>
              <w:b w:val="0"/>
              <w:noProof/>
              <w:sz w:val="22"/>
              <w:lang w:eastAsia="en-AU"/>
            </w:rPr>
          </w:pPr>
          <w:hyperlink w:anchor="_Toc89950076" w:history="1">
            <w:r w:rsidRPr="00F75A15">
              <w:rPr>
                <w:rStyle w:val="Hyperlink"/>
                <w:noProof/>
                <w:lang w:eastAsia="en-AU"/>
              </w:rPr>
              <w:t>Risk management plan</w:t>
            </w:r>
            <w:r>
              <w:rPr>
                <w:noProof/>
                <w:webHidden/>
              </w:rPr>
              <w:tab/>
            </w:r>
            <w:r>
              <w:rPr>
                <w:noProof/>
                <w:webHidden/>
              </w:rPr>
              <w:fldChar w:fldCharType="begin"/>
            </w:r>
            <w:r>
              <w:rPr>
                <w:noProof/>
                <w:webHidden/>
              </w:rPr>
              <w:instrText xml:space="preserve"> PAGEREF _Toc89950076 \h </w:instrText>
            </w:r>
            <w:r>
              <w:rPr>
                <w:noProof/>
                <w:webHidden/>
              </w:rPr>
            </w:r>
            <w:r>
              <w:rPr>
                <w:noProof/>
                <w:webHidden/>
              </w:rPr>
              <w:fldChar w:fldCharType="separate"/>
            </w:r>
            <w:r>
              <w:rPr>
                <w:noProof/>
                <w:webHidden/>
              </w:rPr>
              <w:t>39</w:t>
            </w:r>
            <w:r>
              <w:rPr>
                <w:noProof/>
                <w:webHidden/>
              </w:rPr>
              <w:fldChar w:fldCharType="end"/>
            </w:r>
          </w:hyperlink>
        </w:p>
        <w:p w14:paraId="1B1C6274" w14:textId="665D41CE" w:rsidR="007F3668" w:rsidRDefault="007F3668">
          <w:pPr>
            <w:pStyle w:val="TOC2"/>
            <w:rPr>
              <w:rFonts w:asciiTheme="minorHAnsi" w:eastAsiaTheme="minorEastAsia" w:hAnsiTheme="minorHAnsi" w:cstheme="minorBidi"/>
              <w:b w:val="0"/>
              <w:noProof/>
              <w:sz w:val="22"/>
              <w:lang w:eastAsia="en-AU"/>
            </w:rPr>
          </w:pPr>
          <w:hyperlink w:anchor="_Toc89950077" w:history="1">
            <w:r w:rsidRPr="00F75A15">
              <w:rPr>
                <w:rStyle w:val="Hyperlink"/>
                <w:noProof/>
              </w:rPr>
              <w:t>Risk-benefit analysis</w:t>
            </w:r>
            <w:r>
              <w:rPr>
                <w:noProof/>
                <w:webHidden/>
              </w:rPr>
              <w:tab/>
            </w:r>
            <w:r>
              <w:rPr>
                <w:noProof/>
                <w:webHidden/>
              </w:rPr>
              <w:fldChar w:fldCharType="begin"/>
            </w:r>
            <w:r>
              <w:rPr>
                <w:noProof/>
                <w:webHidden/>
              </w:rPr>
              <w:instrText xml:space="preserve"> PAGEREF _Toc89950077 \h </w:instrText>
            </w:r>
            <w:r>
              <w:rPr>
                <w:noProof/>
                <w:webHidden/>
              </w:rPr>
            </w:r>
            <w:r>
              <w:rPr>
                <w:noProof/>
                <w:webHidden/>
              </w:rPr>
              <w:fldChar w:fldCharType="separate"/>
            </w:r>
            <w:r>
              <w:rPr>
                <w:noProof/>
                <w:webHidden/>
              </w:rPr>
              <w:t>41</w:t>
            </w:r>
            <w:r>
              <w:rPr>
                <w:noProof/>
                <w:webHidden/>
              </w:rPr>
              <w:fldChar w:fldCharType="end"/>
            </w:r>
          </w:hyperlink>
        </w:p>
        <w:p w14:paraId="2AF9A966" w14:textId="2CCDF51B" w:rsidR="007F3668" w:rsidRDefault="007F3668">
          <w:pPr>
            <w:pStyle w:val="TOC2"/>
            <w:rPr>
              <w:rFonts w:asciiTheme="minorHAnsi" w:eastAsiaTheme="minorEastAsia" w:hAnsiTheme="minorHAnsi" w:cstheme="minorBidi"/>
              <w:b w:val="0"/>
              <w:noProof/>
              <w:sz w:val="22"/>
              <w:lang w:eastAsia="en-AU"/>
            </w:rPr>
          </w:pPr>
          <w:hyperlink w:anchor="_Toc89950078" w:history="1">
            <w:r w:rsidRPr="00F75A15">
              <w:rPr>
                <w:rStyle w:val="Hyperlink"/>
                <w:noProof/>
              </w:rPr>
              <w:t>Outcome</w:t>
            </w:r>
            <w:r>
              <w:rPr>
                <w:noProof/>
                <w:webHidden/>
              </w:rPr>
              <w:tab/>
            </w:r>
            <w:r>
              <w:rPr>
                <w:noProof/>
                <w:webHidden/>
              </w:rPr>
              <w:fldChar w:fldCharType="begin"/>
            </w:r>
            <w:r>
              <w:rPr>
                <w:noProof/>
                <w:webHidden/>
              </w:rPr>
              <w:instrText xml:space="preserve"> PAGEREF _Toc89950078 \h </w:instrText>
            </w:r>
            <w:r>
              <w:rPr>
                <w:noProof/>
                <w:webHidden/>
              </w:rPr>
            </w:r>
            <w:r>
              <w:rPr>
                <w:noProof/>
                <w:webHidden/>
              </w:rPr>
              <w:fldChar w:fldCharType="separate"/>
            </w:r>
            <w:r>
              <w:rPr>
                <w:noProof/>
                <w:webHidden/>
              </w:rPr>
              <w:t>46</w:t>
            </w:r>
            <w:r>
              <w:rPr>
                <w:noProof/>
                <w:webHidden/>
              </w:rPr>
              <w:fldChar w:fldCharType="end"/>
            </w:r>
          </w:hyperlink>
        </w:p>
        <w:p w14:paraId="46E47CCE" w14:textId="7B63215B" w:rsidR="007F3668" w:rsidRDefault="007F3668">
          <w:pPr>
            <w:pStyle w:val="TOC1"/>
            <w:rPr>
              <w:rFonts w:asciiTheme="minorHAnsi" w:eastAsiaTheme="minorEastAsia" w:hAnsiTheme="minorHAnsi" w:cstheme="minorBidi"/>
              <w:b w:val="0"/>
              <w:noProof/>
              <w:sz w:val="22"/>
              <w:lang w:eastAsia="en-AU"/>
            </w:rPr>
          </w:pPr>
          <w:hyperlink w:anchor="_Toc89950079" w:history="1">
            <w:r w:rsidRPr="00F75A15">
              <w:rPr>
                <w:rStyle w:val="Hyperlink"/>
                <w:noProof/>
              </w:rPr>
              <w:t>Attachment 1. Product Information</w:t>
            </w:r>
            <w:r>
              <w:rPr>
                <w:noProof/>
                <w:webHidden/>
              </w:rPr>
              <w:tab/>
            </w:r>
            <w:r>
              <w:rPr>
                <w:noProof/>
                <w:webHidden/>
              </w:rPr>
              <w:fldChar w:fldCharType="begin"/>
            </w:r>
            <w:r>
              <w:rPr>
                <w:noProof/>
                <w:webHidden/>
              </w:rPr>
              <w:instrText xml:space="preserve"> PAGEREF _Toc89950079 \h </w:instrText>
            </w:r>
            <w:r>
              <w:rPr>
                <w:noProof/>
                <w:webHidden/>
              </w:rPr>
            </w:r>
            <w:r>
              <w:rPr>
                <w:noProof/>
                <w:webHidden/>
              </w:rPr>
              <w:fldChar w:fldCharType="separate"/>
            </w:r>
            <w:r>
              <w:rPr>
                <w:noProof/>
                <w:webHidden/>
              </w:rPr>
              <w:t>49</w:t>
            </w:r>
            <w:r>
              <w:rPr>
                <w:noProof/>
                <w:webHidden/>
              </w:rPr>
              <w:fldChar w:fldCharType="end"/>
            </w:r>
          </w:hyperlink>
        </w:p>
        <w:p w14:paraId="11DDEB28" w14:textId="4694C101" w:rsidR="003A7F6C" w:rsidRPr="00B811C6" w:rsidRDefault="00C525A2" w:rsidP="00B811C6">
          <w:pPr>
            <w:pStyle w:val="TOC2"/>
          </w:pPr>
          <w:r>
            <w:fldChar w:fldCharType="end"/>
          </w:r>
        </w:p>
      </w:sdtContent>
    </w:sdt>
    <w:bookmarkStart w:id="2" w:name="_Toc314842482" w:displacedByCustomXml="prev"/>
    <w:p w14:paraId="09932252" w14:textId="77777777" w:rsidR="00FD119B" w:rsidRDefault="00FD119B">
      <w:pPr>
        <w:spacing w:before="0" w:after="200" w:line="0" w:lineRule="auto"/>
      </w:pPr>
      <w:r>
        <w:br w:type="page"/>
      </w:r>
    </w:p>
    <w:p w14:paraId="29E2EE30" w14:textId="5B04C107" w:rsidR="00C52E24" w:rsidRPr="00C52E24" w:rsidRDefault="00324E45" w:rsidP="00B753ED">
      <w:pPr>
        <w:pStyle w:val="Heading2"/>
      </w:pPr>
      <w:bookmarkStart w:id="3" w:name="_Toc351716269"/>
      <w:bookmarkStart w:id="4" w:name="_Toc351718881"/>
      <w:bookmarkStart w:id="5" w:name="_Toc355338616"/>
      <w:bookmarkStart w:id="6" w:name="_Toc356306144"/>
      <w:bookmarkStart w:id="7" w:name="_Toc89950065"/>
      <w:r>
        <w:lastRenderedPageBreak/>
        <w:t>List of</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604"/>
      </w:tblGrid>
      <w:tr w:rsidR="00FD119B" w:rsidRPr="00FD119B" w14:paraId="20A28B40" w14:textId="77777777" w:rsidTr="000A7D96">
        <w:trPr>
          <w:cnfStyle w:val="100000000000" w:firstRow="1" w:lastRow="0" w:firstColumn="0" w:lastColumn="0" w:oddVBand="0" w:evenVBand="0" w:oddHBand="0" w:evenHBand="0" w:firstRowFirstColumn="0" w:firstRowLastColumn="0" w:lastRowFirstColumn="0" w:lastRowLastColumn="0"/>
        </w:trPr>
        <w:tc>
          <w:tcPr>
            <w:tcW w:w="1799" w:type="dxa"/>
            <w:tcBorders>
              <w:top w:val="single" w:sz="4" w:space="0" w:color="auto"/>
              <w:left w:val="single" w:sz="4" w:space="0" w:color="auto"/>
              <w:bottom w:val="single" w:sz="4" w:space="0" w:color="auto"/>
              <w:right w:val="single" w:sz="4" w:space="0" w:color="auto"/>
            </w:tcBorders>
          </w:tcPr>
          <w:p w14:paraId="01D87F7B" w14:textId="77777777" w:rsidR="00FD119B" w:rsidRPr="00077CB9" w:rsidRDefault="00FD119B" w:rsidP="00077CB9">
            <w:r w:rsidRPr="00A26CA8">
              <w:t>Abbreviation</w:t>
            </w:r>
          </w:p>
        </w:tc>
        <w:tc>
          <w:tcPr>
            <w:tcW w:w="6695" w:type="dxa"/>
            <w:tcBorders>
              <w:top w:val="single" w:sz="4" w:space="0" w:color="auto"/>
              <w:left w:val="single" w:sz="4" w:space="0" w:color="auto"/>
              <w:bottom w:val="single" w:sz="4" w:space="0" w:color="auto"/>
              <w:right w:val="single" w:sz="4" w:space="0" w:color="auto"/>
            </w:tcBorders>
          </w:tcPr>
          <w:p w14:paraId="699F5591" w14:textId="77777777" w:rsidR="00FD119B" w:rsidRPr="00077CB9" w:rsidRDefault="00FD119B" w:rsidP="00077CB9">
            <w:r w:rsidRPr="00A26CA8">
              <w:t>Meaning</w:t>
            </w:r>
          </w:p>
        </w:tc>
      </w:tr>
      <w:tr w:rsidR="00460036" w:rsidRPr="00FD119B" w14:paraId="6BD87E69" w14:textId="77777777" w:rsidTr="000A7D96">
        <w:tc>
          <w:tcPr>
            <w:tcW w:w="1799" w:type="dxa"/>
            <w:tcBorders>
              <w:top w:val="single" w:sz="4" w:space="0" w:color="auto"/>
            </w:tcBorders>
          </w:tcPr>
          <w:p w14:paraId="16C4CC20" w14:textId="77777777" w:rsidR="00460036" w:rsidRPr="00A26CA8" w:rsidRDefault="00460036" w:rsidP="00077CB9">
            <w:r w:rsidRPr="00A26CA8">
              <w:t>ACM</w:t>
            </w:r>
          </w:p>
        </w:tc>
        <w:tc>
          <w:tcPr>
            <w:tcW w:w="6695" w:type="dxa"/>
            <w:tcBorders>
              <w:top w:val="single" w:sz="4" w:space="0" w:color="auto"/>
            </w:tcBorders>
          </w:tcPr>
          <w:p w14:paraId="16D7B21B" w14:textId="77777777" w:rsidR="00460036" w:rsidRPr="009B6A9A" w:rsidRDefault="00460036" w:rsidP="00077CB9">
            <w:r w:rsidRPr="009B6A9A">
              <w:t>Advisory Committee on Medicines</w:t>
            </w:r>
          </w:p>
        </w:tc>
      </w:tr>
      <w:tr w:rsidR="00A353A6" w:rsidRPr="00FD119B" w14:paraId="06A69398" w14:textId="77777777" w:rsidTr="000A7D96">
        <w:tc>
          <w:tcPr>
            <w:tcW w:w="1799" w:type="dxa"/>
            <w:tcBorders>
              <w:top w:val="single" w:sz="4" w:space="0" w:color="auto"/>
            </w:tcBorders>
          </w:tcPr>
          <w:p w14:paraId="48B5629F" w14:textId="7115C9D3" w:rsidR="00A353A6" w:rsidRPr="00A26CA8" w:rsidRDefault="00A353A6" w:rsidP="00077CB9">
            <w:r w:rsidRPr="00A26CA8">
              <w:t>ACV</w:t>
            </w:r>
          </w:p>
        </w:tc>
        <w:tc>
          <w:tcPr>
            <w:tcW w:w="6695" w:type="dxa"/>
            <w:tcBorders>
              <w:top w:val="single" w:sz="4" w:space="0" w:color="auto"/>
            </w:tcBorders>
          </w:tcPr>
          <w:p w14:paraId="719545E0" w14:textId="68C3B716" w:rsidR="00A353A6" w:rsidRPr="009B6A9A" w:rsidRDefault="00A353A6" w:rsidP="00077CB9">
            <w:r w:rsidRPr="009B6A9A">
              <w:t>Advisory Committee on Vaccines</w:t>
            </w:r>
          </w:p>
        </w:tc>
      </w:tr>
      <w:tr w:rsidR="00460036" w:rsidRPr="00FD119B" w14:paraId="58E3AB48" w14:textId="77777777" w:rsidTr="000A7D96">
        <w:tc>
          <w:tcPr>
            <w:tcW w:w="1799" w:type="dxa"/>
          </w:tcPr>
          <w:p w14:paraId="6B7682B8" w14:textId="77777777" w:rsidR="00460036" w:rsidRPr="00A26CA8" w:rsidRDefault="00460036" w:rsidP="00077CB9">
            <w:r w:rsidRPr="00A26CA8">
              <w:t>ARTG</w:t>
            </w:r>
          </w:p>
        </w:tc>
        <w:tc>
          <w:tcPr>
            <w:tcW w:w="6695" w:type="dxa"/>
          </w:tcPr>
          <w:p w14:paraId="3C81C15C" w14:textId="77777777" w:rsidR="00460036" w:rsidRPr="009B6A9A" w:rsidRDefault="00460036" w:rsidP="00077CB9">
            <w:r w:rsidRPr="009B6A9A">
              <w:t>Australian Register of Therapeutic Goods</w:t>
            </w:r>
          </w:p>
        </w:tc>
      </w:tr>
      <w:tr w:rsidR="00A353A6" w:rsidRPr="00FD119B" w14:paraId="370CBA45" w14:textId="77777777" w:rsidTr="000A7D96">
        <w:tc>
          <w:tcPr>
            <w:tcW w:w="1799" w:type="dxa"/>
          </w:tcPr>
          <w:p w14:paraId="08367478" w14:textId="0BF913CF" w:rsidR="00A353A6" w:rsidRPr="00A26CA8" w:rsidRDefault="00A353A6" w:rsidP="00077CB9">
            <w:r w:rsidRPr="00A26CA8">
              <w:t>ASA</w:t>
            </w:r>
          </w:p>
        </w:tc>
        <w:tc>
          <w:tcPr>
            <w:tcW w:w="6695" w:type="dxa"/>
          </w:tcPr>
          <w:p w14:paraId="2C1EDCE3" w14:textId="5F9A5B3B" w:rsidR="00A353A6" w:rsidRPr="009B6A9A" w:rsidRDefault="00A353A6" w:rsidP="00077CB9">
            <w:r w:rsidRPr="009B6A9A">
              <w:t>Australian specific annex</w:t>
            </w:r>
          </w:p>
        </w:tc>
      </w:tr>
      <w:tr w:rsidR="000A7D96" w:rsidRPr="00FD119B" w14:paraId="51394C57" w14:textId="77777777" w:rsidTr="000A7D96">
        <w:tc>
          <w:tcPr>
            <w:tcW w:w="1799" w:type="dxa"/>
          </w:tcPr>
          <w:p w14:paraId="3526F283" w14:textId="79CE1705" w:rsidR="000A7D96" w:rsidRPr="00A26CA8" w:rsidRDefault="000A7D96" w:rsidP="00077CB9">
            <w:r w:rsidRPr="00A26CA8">
              <w:t>A</w:t>
            </w:r>
            <w:r w:rsidR="00A26CA8">
              <w:t>b</w:t>
            </w:r>
          </w:p>
        </w:tc>
        <w:tc>
          <w:tcPr>
            <w:tcW w:w="6695" w:type="dxa"/>
          </w:tcPr>
          <w:p w14:paraId="32325D7D" w14:textId="3EB19A9E" w:rsidR="000A7D96" w:rsidRPr="00A26CA8" w:rsidRDefault="000A7D96" w:rsidP="00077CB9">
            <w:r w:rsidRPr="00A26CA8">
              <w:t>Antibody</w:t>
            </w:r>
          </w:p>
        </w:tc>
      </w:tr>
      <w:tr w:rsidR="000A7D96" w:rsidRPr="00FD119B" w14:paraId="63170A15" w14:textId="77777777" w:rsidTr="000A7D96">
        <w:tc>
          <w:tcPr>
            <w:tcW w:w="1799" w:type="dxa"/>
          </w:tcPr>
          <w:p w14:paraId="2E02058F" w14:textId="460FE2D0" w:rsidR="000A7D96" w:rsidRPr="00A26CA8" w:rsidRDefault="000A7D96" w:rsidP="00077CB9">
            <w:r w:rsidRPr="00A26CA8">
              <w:t>AE</w:t>
            </w:r>
          </w:p>
        </w:tc>
        <w:tc>
          <w:tcPr>
            <w:tcW w:w="6695" w:type="dxa"/>
          </w:tcPr>
          <w:p w14:paraId="1E9C0921" w14:textId="0DBEFCFC" w:rsidR="000A7D96" w:rsidRPr="00A26CA8" w:rsidRDefault="000A7D96" w:rsidP="00077CB9">
            <w:r w:rsidRPr="00A26CA8">
              <w:t>Adverse event</w:t>
            </w:r>
          </w:p>
        </w:tc>
      </w:tr>
      <w:tr w:rsidR="00B87891" w:rsidRPr="00FD119B" w14:paraId="6DA898DA" w14:textId="77777777" w:rsidTr="000A7D96">
        <w:tc>
          <w:tcPr>
            <w:tcW w:w="1799" w:type="dxa"/>
          </w:tcPr>
          <w:p w14:paraId="50D0DCD5" w14:textId="15043A7C" w:rsidR="00B87891" w:rsidRPr="00A26CA8" w:rsidRDefault="00B87891" w:rsidP="00077CB9">
            <w:r w:rsidRPr="00A26CA8">
              <w:t>AESI</w:t>
            </w:r>
          </w:p>
        </w:tc>
        <w:tc>
          <w:tcPr>
            <w:tcW w:w="6695" w:type="dxa"/>
          </w:tcPr>
          <w:p w14:paraId="77B4C9A4" w14:textId="66A4F07C" w:rsidR="00B87891" w:rsidRPr="00A26CA8" w:rsidRDefault="00B87891" w:rsidP="00077CB9">
            <w:r w:rsidRPr="00A26CA8">
              <w:t>Adverse event of special interest</w:t>
            </w:r>
          </w:p>
        </w:tc>
      </w:tr>
      <w:tr w:rsidR="00B87891" w:rsidRPr="00FD119B" w14:paraId="381BA84C" w14:textId="77777777" w:rsidTr="000A7D96">
        <w:tc>
          <w:tcPr>
            <w:tcW w:w="1799" w:type="dxa"/>
          </w:tcPr>
          <w:p w14:paraId="0022EC40" w14:textId="7A530615" w:rsidR="00B87891" w:rsidRPr="00A26CA8" w:rsidRDefault="00B87891" w:rsidP="00077CB9">
            <w:r w:rsidRPr="00A26CA8">
              <w:t>ANCOVA</w:t>
            </w:r>
          </w:p>
        </w:tc>
        <w:tc>
          <w:tcPr>
            <w:tcW w:w="6695" w:type="dxa"/>
          </w:tcPr>
          <w:p w14:paraId="56CE017B" w14:textId="66B4628C" w:rsidR="00B87891" w:rsidRPr="00A26CA8" w:rsidRDefault="00B87891" w:rsidP="00077CB9">
            <w:r w:rsidRPr="00A26CA8">
              <w:t>Analysis of covariance</w:t>
            </w:r>
          </w:p>
        </w:tc>
      </w:tr>
      <w:tr w:rsidR="00B87891" w:rsidRPr="00FD119B" w14:paraId="10CD501C" w14:textId="77777777" w:rsidTr="000A7D96">
        <w:tc>
          <w:tcPr>
            <w:tcW w:w="1799" w:type="dxa"/>
          </w:tcPr>
          <w:p w14:paraId="1EB6187C" w14:textId="6E234BDE" w:rsidR="00B87891" w:rsidRPr="00A26CA8" w:rsidRDefault="00B87891" w:rsidP="00077CB9">
            <w:r w:rsidRPr="00A26CA8">
              <w:t>AR</w:t>
            </w:r>
          </w:p>
        </w:tc>
        <w:tc>
          <w:tcPr>
            <w:tcW w:w="6695" w:type="dxa"/>
          </w:tcPr>
          <w:p w14:paraId="4AD60D69" w14:textId="56C18E01" w:rsidR="00B87891" w:rsidRPr="00A26CA8" w:rsidRDefault="00B87891" w:rsidP="00077CB9">
            <w:r w:rsidRPr="00A26CA8">
              <w:t>Adverse reaction</w:t>
            </w:r>
          </w:p>
        </w:tc>
      </w:tr>
      <w:tr w:rsidR="00A353A6" w:rsidRPr="00FD119B" w14:paraId="51217A51" w14:textId="77777777" w:rsidTr="000A7D96">
        <w:tc>
          <w:tcPr>
            <w:tcW w:w="1799" w:type="dxa"/>
          </w:tcPr>
          <w:p w14:paraId="1D479837" w14:textId="6AAAFE61" w:rsidR="00A353A6" w:rsidRPr="00A26CA8" w:rsidRDefault="00A353A6" w:rsidP="00077CB9">
            <w:r w:rsidRPr="00A26CA8">
              <w:t>BMI</w:t>
            </w:r>
          </w:p>
        </w:tc>
        <w:tc>
          <w:tcPr>
            <w:tcW w:w="6695" w:type="dxa"/>
          </w:tcPr>
          <w:p w14:paraId="5EA73ECF" w14:textId="02BFA00E" w:rsidR="00A353A6" w:rsidRPr="00A26CA8" w:rsidRDefault="00A353A6" w:rsidP="00077CB9">
            <w:r w:rsidRPr="00A26CA8">
              <w:t>Body mass index</w:t>
            </w:r>
          </w:p>
        </w:tc>
      </w:tr>
      <w:tr w:rsidR="00B87891" w:rsidRPr="00FD119B" w14:paraId="167323F2" w14:textId="77777777" w:rsidTr="000A7D96">
        <w:tc>
          <w:tcPr>
            <w:tcW w:w="1799" w:type="dxa"/>
          </w:tcPr>
          <w:p w14:paraId="04F2A58C" w14:textId="4B5F2A7C" w:rsidR="00B87891" w:rsidRPr="00A26CA8" w:rsidRDefault="00B87891" w:rsidP="00077CB9">
            <w:proofErr w:type="spellStart"/>
            <w:r w:rsidRPr="00A26CA8">
              <w:t>bAb</w:t>
            </w:r>
            <w:proofErr w:type="spellEnd"/>
          </w:p>
        </w:tc>
        <w:tc>
          <w:tcPr>
            <w:tcW w:w="6695" w:type="dxa"/>
          </w:tcPr>
          <w:p w14:paraId="6BC5985D" w14:textId="5B228340" w:rsidR="00B87891" w:rsidRPr="00A26CA8" w:rsidRDefault="00B87891" w:rsidP="00077CB9">
            <w:r w:rsidRPr="00A26CA8">
              <w:t>Binding antibod</w:t>
            </w:r>
            <w:r w:rsidR="00A26CA8">
              <w:t>y</w:t>
            </w:r>
          </w:p>
        </w:tc>
      </w:tr>
      <w:tr w:rsidR="00B87891" w:rsidRPr="00FD119B" w14:paraId="5481ED34" w14:textId="77777777" w:rsidTr="000A7D96">
        <w:tc>
          <w:tcPr>
            <w:tcW w:w="1799" w:type="dxa"/>
          </w:tcPr>
          <w:p w14:paraId="4B1C9D64" w14:textId="20C60364" w:rsidR="00B87891" w:rsidRPr="00A26CA8" w:rsidRDefault="00B87891" w:rsidP="00077CB9">
            <w:r w:rsidRPr="00A26CA8">
              <w:t>CDC</w:t>
            </w:r>
          </w:p>
        </w:tc>
        <w:tc>
          <w:tcPr>
            <w:tcW w:w="6695" w:type="dxa"/>
          </w:tcPr>
          <w:p w14:paraId="23CEEDB5" w14:textId="00E2CC72" w:rsidR="00B87891" w:rsidRPr="00A26CA8" w:rsidRDefault="00B87891" w:rsidP="00077CB9">
            <w:proofErr w:type="spellStart"/>
            <w:r w:rsidRPr="00A26CA8">
              <w:t>Centers</w:t>
            </w:r>
            <w:proofErr w:type="spellEnd"/>
            <w:r w:rsidRPr="00A26CA8">
              <w:t xml:space="preserve"> for Disease Control and Prevention</w:t>
            </w:r>
            <w:r w:rsidR="00A26CA8">
              <w:t xml:space="preserve"> (United States of America)</w:t>
            </w:r>
          </w:p>
        </w:tc>
      </w:tr>
      <w:tr w:rsidR="00B87891" w:rsidRPr="00FD119B" w14:paraId="7E088ACF" w14:textId="77777777" w:rsidTr="000A7D96">
        <w:tc>
          <w:tcPr>
            <w:tcW w:w="1799" w:type="dxa"/>
          </w:tcPr>
          <w:p w14:paraId="1F530867" w14:textId="3B06F0D2" w:rsidR="00B87891" w:rsidRPr="00A26CA8" w:rsidRDefault="00B87891" w:rsidP="00077CB9">
            <w:r w:rsidRPr="00A26CA8">
              <w:t>CI</w:t>
            </w:r>
          </w:p>
        </w:tc>
        <w:tc>
          <w:tcPr>
            <w:tcW w:w="6695" w:type="dxa"/>
          </w:tcPr>
          <w:p w14:paraId="4F760772" w14:textId="5D4689E1" w:rsidR="00B87891" w:rsidRPr="00A26CA8" w:rsidRDefault="00B87891" w:rsidP="00077CB9">
            <w:r w:rsidRPr="00A26CA8">
              <w:t>Confidence interval</w:t>
            </w:r>
          </w:p>
        </w:tc>
      </w:tr>
      <w:tr w:rsidR="00B87891" w:rsidRPr="00FD119B" w14:paraId="31805965" w14:textId="77777777" w:rsidTr="000A7D96">
        <w:tc>
          <w:tcPr>
            <w:tcW w:w="1799" w:type="dxa"/>
          </w:tcPr>
          <w:p w14:paraId="338708D3" w14:textId="6FD91497" w:rsidR="00B87891" w:rsidRPr="00A26CA8" w:rsidRDefault="00B87891" w:rsidP="00077CB9">
            <w:r w:rsidRPr="00A26CA8">
              <w:t>CNS</w:t>
            </w:r>
          </w:p>
        </w:tc>
        <w:tc>
          <w:tcPr>
            <w:tcW w:w="6695" w:type="dxa"/>
          </w:tcPr>
          <w:p w14:paraId="5E6A5D0B" w14:textId="60D47371" w:rsidR="00B87891" w:rsidRPr="00A26CA8" w:rsidRDefault="00B87891" w:rsidP="00077CB9">
            <w:r w:rsidRPr="00A26CA8">
              <w:t>Central nervous system</w:t>
            </w:r>
          </w:p>
        </w:tc>
      </w:tr>
      <w:tr w:rsidR="00B87891" w:rsidRPr="00FD119B" w14:paraId="4608B1F0" w14:textId="77777777" w:rsidTr="000A7D96">
        <w:tc>
          <w:tcPr>
            <w:tcW w:w="1799" w:type="dxa"/>
          </w:tcPr>
          <w:p w14:paraId="5119EFBF" w14:textId="561214FA" w:rsidR="00B87891" w:rsidRPr="00A26CA8" w:rsidRDefault="00B87891" w:rsidP="00077CB9">
            <w:proofErr w:type="spellStart"/>
            <w:r w:rsidRPr="00A26CA8">
              <w:t>CoV</w:t>
            </w:r>
            <w:proofErr w:type="spellEnd"/>
          </w:p>
        </w:tc>
        <w:tc>
          <w:tcPr>
            <w:tcW w:w="6695" w:type="dxa"/>
          </w:tcPr>
          <w:p w14:paraId="6B0F53A4" w14:textId="0EBB95C9" w:rsidR="00B87891" w:rsidRPr="00A26CA8" w:rsidRDefault="00B87891" w:rsidP="00077CB9">
            <w:r w:rsidRPr="00A26CA8">
              <w:t>Coronavirus</w:t>
            </w:r>
          </w:p>
        </w:tc>
      </w:tr>
      <w:tr w:rsidR="00B87891" w:rsidRPr="00FD119B" w14:paraId="63B36C03" w14:textId="77777777" w:rsidTr="000A7D96">
        <w:tc>
          <w:tcPr>
            <w:tcW w:w="1799" w:type="dxa"/>
          </w:tcPr>
          <w:p w14:paraId="2A89AD83" w14:textId="088A6D79" w:rsidR="00B87891" w:rsidRPr="00A26CA8" w:rsidRDefault="00B87891" w:rsidP="00077CB9">
            <w:r w:rsidRPr="00A26CA8">
              <w:t>COVID-19</w:t>
            </w:r>
          </w:p>
        </w:tc>
        <w:tc>
          <w:tcPr>
            <w:tcW w:w="6695" w:type="dxa"/>
          </w:tcPr>
          <w:p w14:paraId="7ED24524" w14:textId="10C82002" w:rsidR="00B87891" w:rsidRPr="00A26CA8" w:rsidRDefault="00B87891" w:rsidP="00077CB9">
            <w:r w:rsidRPr="00A26CA8">
              <w:t>Coronavirus disease 2019</w:t>
            </w:r>
          </w:p>
        </w:tc>
      </w:tr>
      <w:tr w:rsidR="00B87891" w:rsidRPr="00FD119B" w14:paraId="4AE353A8" w14:textId="77777777" w:rsidTr="000A7D96">
        <w:tc>
          <w:tcPr>
            <w:tcW w:w="1799" w:type="dxa"/>
          </w:tcPr>
          <w:p w14:paraId="67360D66" w14:textId="6441A024" w:rsidR="00B87891" w:rsidRPr="00A26CA8" w:rsidRDefault="00B87891" w:rsidP="00077CB9">
            <w:r w:rsidRPr="00A26CA8">
              <w:t>CSR</w:t>
            </w:r>
          </w:p>
        </w:tc>
        <w:tc>
          <w:tcPr>
            <w:tcW w:w="6695" w:type="dxa"/>
          </w:tcPr>
          <w:p w14:paraId="1FACFFF0" w14:textId="5BA9BCA1" w:rsidR="00B87891" w:rsidRPr="00A26CA8" w:rsidRDefault="00B87891" w:rsidP="00077CB9">
            <w:r w:rsidRPr="00A26CA8">
              <w:t>Clinical study report</w:t>
            </w:r>
          </w:p>
        </w:tc>
      </w:tr>
      <w:tr w:rsidR="00B87891" w:rsidRPr="00FD119B" w14:paraId="1A3CCB50" w14:textId="77777777" w:rsidTr="000A7D96">
        <w:tc>
          <w:tcPr>
            <w:tcW w:w="1799" w:type="dxa"/>
          </w:tcPr>
          <w:p w14:paraId="4FA6B626" w14:textId="3CC2E5EC" w:rsidR="00B87891" w:rsidRPr="00A26CA8" w:rsidRDefault="00B87891" w:rsidP="00077CB9">
            <w:r w:rsidRPr="00A26CA8">
              <w:t>DMID</w:t>
            </w:r>
          </w:p>
        </w:tc>
        <w:tc>
          <w:tcPr>
            <w:tcW w:w="6695" w:type="dxa"/>
          </w:tcPr>
          <w:p w14:paraId="49A6ACB7" w14:textId="1CE579FA" w:rsidR="00B87891" w:rsidRPr="00A26CA8" w:rsidRDefault="00B87891" w:rsidP="00077CB9">
            <w:r w:rsidRPr="00A26CA8">
              <w:t>Division of Microbiology and Infectious Diseases</w:t>
            </w:r>
            <w:r w:rsidR="00A26CA8">
              <w:t xml:space="preserve"> (United States of America)</w:t>
            </w:r>
          </w:p>
        </w:tc>
      </w:tr>
      <w:tr w:rsidR="00B87891" w:rsidRPr="00FD119B" w14:paraId="5871F786" w14:textId="77777777" w:rsidTr="000A7D96">
        <w:tc>
          <w:tcPr>
            <w:tcW w:w="1799" w:type="dxa"/>
          </w:tcPr>
          <w:p w14:paraId="365A79A8" w14:textId="05E94D2D" w:rsidR="00B87891" w:rsidRPr="00A26CA8" w:rsidRDefault="00B87891" w:rsidP="00077CB9">
            <w:r w:rsidRPr="00A26CA8">
              <w:t>DTaP</w:t>
            </w:r>
          </w:p>
        </w:tc>
        <w:tc>
          <w:tcPr>
            <w:tcW w:w="6695" w:type="dxa"/>
          </w:tcPr>
          <w:p w14:paraId="47F9E278" w14:textId="06008F7E" w:rsidR="00B87891" w:rsidRPr="00A26CA8" w:rsidRDefault="00B87891" w:rsidP="00077CB9">
            <w:proofErr w:type="spellStart"/>
            <w:r w:rsidRPr="00A26CA8">
              <w:t>Diptheria</w:t>
            </w:r>
            <w:proofErr w:type="spellEnd"/>
            <w:r w:rsidRPr="00A26CA8">
              <w:t>, tetanus, and pertussis</w:t>
            </w:r>
            <w:r w:rsidR="00A26CA8">
              <w:t xml:space="preserve"> (vaccine)</w:t>
            </w:r>
          </w:p>
        </w:tc>
      </w:tr>
      <w:tr w:rsidR="00B87891" w:rsidRPr="00FD119B" w14:paraId="70143D45" w14:textId="77777777" w:rsidTr="000A7D96">
        <w:tc>
          <w:tcPr>
            <w:tcW w:w="1799" w:type="dxa"/>
          </w:tcPr>
          <w:p w14:paraId="7BC00B29" w14:textId="70264E04" w:rsidR="00B87891" w:rsidRPr="00A26CA8" w:rsidRDefault="00B87891" w:rsidP="00077CB9">
            <w:r w:rsidRPr="00A26CA8">
              <w:t>ELISA</w:t>
            </w:r>
          </w:p>
        </w:tc>
        <w:tc>
          <w:tcPr>
            <w:tcW w:w="6695" w:type="dxa"/>
          </w:tcPr>
          <w:p w14:paraId="11792885" w14:textId="3231A796" w:rsidR="00B87891" w:rsidRPr="00A26CA8" w:rsidRDefault="00B87891" w:rsidP="00077CB9">
            <w:r w:rsidRPr="00A26CA8">
              <w:t>Enzyme-linked immunosorbent assay</w:t>
            </w:r>
          </w:p>
        </w:tc>
      </w:tr>
      <w:tr w:rsidR="00B87891" w:rsidRPr="00FD119B" w14:paraId="0B0373FA" w14:textId="77777777" w:rsidTr="000A7D96">
        <w:tc>
          <w:tcPr>
            <w:tcW w:w="1799" w:type="dxa"/>
          </w:tcPr>
          <w:p w14:paraId="3EA2AE05" w14:textId="57979A64" w:rsidR="00B87891" w:rsidRPr="00A26CA8" w:rsidRDefault="00B87891" w:rsidP="00077CB9">
            <w:r w:rsidRPr="00A26CA8">
              <w:t>EUA</w:t>
            </w:r>
          </w:p>
        </w:tc>
        <w:tc>
          <w:tcPr>
            <w:tcW w:w="6695" w:type="dxa"/>
          </w:tcPr>
          <w:p w14:paraId="01FABBCE" w14:textId="4D6E0720" w:rsidR="00B87891" w:rsidRPr="00A26CA8" w:rsidRDefault="00B87891" w:rsidP="00077CB9">
            <w:r w:rsidRPr="00A26CA8">
              <w:t>Emergency Use Authori</w:t>
            </w:r>
            <w:r w:rsidR="00A26CA8">
              <w:t>z</w:t>
            </w:r>
            <w:r w:rsidRPr="00A26CA8">
              <w:t>ation</w:t>
            </w:r>
            <w:r w:rsidR="00A26CA8">
              <w:t xml:space="preserve"> (United States of America)</w:t>
            </w:r>
          </w:p>
        </w:tc>
      </w:tr>
      <w:tr w:rsidR="00B87891" w:rsidRPr="00FD119B" w14:paraId="269A0FA3" w14:textId="77777777" w:rsidTr="000A7D96">
        <w:tc>
          <w:tcPr>
            <w:tcW w:w="1799" w:type="dxa"/>
          </w:tcPr>
          <w:p w14:paraId="61A66329" w14:textId="10857A63" w:rsidR="00B87891" w:rsidRPr="00A26CA8" w:rsidRDefault="00B87891" w:rsidP="00077CB9">
            <w:r w:rsidRPr="00A26CA8">
              <w:t>FDA</w:t>
            </w:r>
          </w:p>
        </w:tc>
        <w:tc>
          <w:tcPr>
            <w:tcW w:w="6695" w:type="dxa"/>
          </w:tcPr>
          <w:p w14:paraId="47371128" w14:textId="7193EDE7" w:rsidR="00B87891" w:rsidRPr="00A26CA8" w:rsidRDefault="00B87891" w:rsidP="00077CB9">
            <w:r w:rsidRPr="00A26CA8">
              <w:t>Food and Drug Administration</w:t>
            </w:r>
            <w:r w:rsidR="00A26CA8">
              <w:t xml:space="preserve"> (United States of America)</w:t>
            </w:r>
          </w:p>
        </w:tc>
      </w:tr>
      <w:tr w:rsidR="00B87891" w:rsidRPr="00FD119B" w14:paraId="7643D9C2" w14:textId="77777777" w:rsidTr="000A7D96">
        <w:tc>
          <w:tcPr>
            <w:tcW w:w="1799" w:type="dxa"/>
          </w:tcPr>
          <w:p w14:paraId="3589DBAF" w14:textId="039F15AC" w:rsidR="00B87891" w:rsidRPr="00A26CA8" w:rsidRDefault="00B87891" w:rsidP="00077CB9">
            <w:r w:rsidRPr="00A26CA8">
              <w:t>GLSM</w:t>
            </w:r>
          </w:p>
        </w:tc>
        <w:tc>
          <w:tcPr>
            <w:tcW w:w="6695" w:type="dxa"/>
          </w:tcPr>
          <w:p w14:paraId="04BD892B" w14:textId="41D35BA3" w:rsidR="00B87891" w:rsidRPr="00A26CA8" w:rsidRDefault="00B87891" w:rsidP="00077CB9">
            <w:r w:rsidRPr="00A26CA8">
              <w:t>Geometric least squares mean</w:t>
            </w:r>
          </w:p>
        </w:tc>
      </w:tr>
      <w:tr w:rsidR="00B87891" w:rsidRPr="00FD119B" w14:paraId="252E3261" w14:textId="77777777" w:rsidTr="000A7D96">
        <w:tc>
          <w:tcPr>
            <w:tcW w:w="1799" w:type="dxa"/>
          </w:tcPr>
          <w:p w14:paraId="018D82FB" w14:textId="4FB49AF7" w:rsidR="00B87891" w:rsidRPr="00A26CA8" w:rsidRDefault="00B87891" w:rsidP="00077CB9">
            <w:r w:rsidRPr="00A26CA8">
              <w:t xml:space="preserve">GM </w:t>
            </w:r>
          </w:p>
        </w:tc>
        <w:tc>
          <w:tcPr>
            <w:tcW w:w="6695" w:type="dxa"/>
          </w:tcPr>
          <w:p w14:paraId="2CE696A6" w14:textId="670D8296" w:rsidR="00B87891" w:rsidRPr="00A26CA8" w:rsidRDefault="00B87891" w:rsidP="00077CB9">
            <w:r w:rsidRPr="00A26CA8">
              <w:t>Geometric mean</w:t>
            </w:r>
          </w:p>
        </w:tc>
      </w:tr>
      <w:tr w:rsidR="00772E0B" w:rsidRPr="00FD119B" w14:paraId="76545A39" w14:textId="77777777" w:rsidTr="000A7D96">
        <w:tc>
          <w:tcPr>
            <w:tcW w:w="1799" w:type="dxa"/>
          </w:tcPr>
          <w:p w14:paraId="407802F1" w14:textId="015A9A11" w:rsidR="00772E0B" w:rsidRPr="00A26CA8" w:rsidRDefault="00772E0B" w:rsidP="00077CB9">
            <w:r w:rsidRPr="00A26CA8">
              <w:lastRenderedPageBreak/>
              <w:t>GMFR</w:t>
            </w:r>
          </w:p>
        </w:tc>
        <w:tc>
          <w:tcPr>
            <w:tcW w:w="6695" w:type="dxa"/>
          </w:tcPr>
          <w:p w14:paraId="5715B1D7" w14:textId="3140471F" w:rsidR="00772E0B" w:rsidRPr="00A26CA8" w:rsidRDefault="00772E0B" w:rsidP="00077CB9">
            <w:r w:rsidRPr="00A26CA8">
              <w:t>Geometric mean fold rise</w:t>
            </w:r>
          </w:p>
        </w:tc>
      </w:tr>
      <w:tr w:rsidR="00772E0B" w:rsidRPr="00FD119B" w14:paraId="23309C2E" w14:textId="77777777" w:rsidTr="000A7D96">
        <w:tc>
          <w:tcPr>
            <w:tcW w:w="1799" w:type="dxa"/>
          </w:tcPr>
          <w:p w14:paraId="42362537" w14:textId="760C09FD" w:rsidR="00772E0B" w:rsidRPr="00A26CA8" w:rsidRDefault="00772E0B" w:rsidP="00077CB9">
            <w:r w:rsidRPr="00A26CA8">
              <w:t>GMT</w:t>
            </w:r>
          </w:p>
        </w:tc>
        <w:tc>
          <w:tcPr>
            <w:tcW w:w="6695" w:type="dxa"/>
          </w:tcPr>
          <w:p w14:paraId="323E82E7" w14:textId="375D9C6B" w:rsidR="00772E0B" w:rsidRPr="00A26CA8" w:rsidRDefault="00772E0B" w:rsidP="00077CB9">
            <w:r w:rsidRPr="00A26CA8">
              <w:t xml:space="preserve">Geometric mean </w:t>
            </w:r>
            <w:r w:rsidR="00524504" w:rsidRPr="00A26CA8">
              <w:t>titre</w:t>
            </w:r>
          </w:p>
        </w:tc>
      </w:tr>
      <w:tr w:rsidR="00772E0B" w:rsidRPr="00FD119B" w14:paraId="64C71757" w14:textId="77777777" w:rsidTr="000A7D96">
        <w:tc>
          <w:tcPr>
            <w:tcW w:w="1799" w:type="dxa"/>
          </w:tcPr>
          <w:p w14:paraId="669714F6" w14:textId="0CEBD220" w:rsidR="00772E0B" w:rsidRPr="00A26CA8" w:rsidRDefault="00772E0B" w:rsidP="00077CB9">
            <w:r w:rsidRPr="00A26CA8">
              <w:t>GMR</w:t>
            </w:r>
          </w:p>
        </w:tc>
        <w:tc>
          <w:tcPr>
            <w:tcW w:w="6695" w:type="dxa"/>
          </w:tcPr>
          <w:p w14:paraId="4D0C1D26" w14:textId="0185EC9C" w:rsidR="00772E0B" w:rsidRPr="00A26CA8" w:rsidRDefault="00772E0B" w:rsidP="00077CB9">
            <w:r w:rsidRPr="00A26CA8">
              <w:t>Geometric mean ratio</w:t>
            </w:r>
          </w:p>
        </w:tc>
      </w:tr>
      <w:tr w:rsidR="00772E0B" w:rsidRPr="00FD119B" w14:paraId="344A2D55" w14:textId="77777777" w:rsidTr="000A7D96">
        <w:tc>
          <w:tcPr>
            <w:tcW w:w="1799" w:type="dxa"/>
          </w:tcPr>
          <w:p w14:paraId="22755D7C" w14:textId="2876DD95" w:rsidR="00772E0B" w:rsidRPr="00A26CA8" w:rsidRDefault="00772E0B" w:rsidP="00077CB9">
            <w:r w:rsidRPr="00A26CA8">
              <w:t>HIV</w:t>
            </w:r>
          </w:p>
        </w:tc>
        <w:tc>
          <w:tcPr>
            <w:tcW w:w="6695" w:type="dxa"/>
          </w:tcPr>
          <w:p w14:paraId="0B90278E" w14:textId="4064C0CA" w:rsidR="00772E0B" w:rsidRPr="00A26CA8" w:rsidRDefault="00772E0B" w:rsidP="00077CB9">
            <w:r w:rsidRPr="00A26CA8">
              <w:t>Human immunodeficiency virus</w:t>
            </w:r>
          </w:p>
        </w:tc>
      </w:tr>
      <w:tr w:rsidR="00772E0B" w:rsidRPr="00FD119B" w14:paraId="36F0831F" w14:textId="77777777" w:rsidTr="000A7D96">
        <w:tc>
          <w:tcPr>
            <w:tcW w:w="1799" w:type="dxa"/>
          </w:tcPr>
          <w:p w14:paraId="5E9FC9E5" w14:textId="76DFB720" w:rsidR="00772E0B" w:rsidRPr="00A26CA8" w:rsidRDefault="00772E0B" w:rsidP="00077CB9">
            <w:r w:rsidRPr="00A26CA8">
              <w:t>IA</w:t>
            </w:r>
          </w:p>
        </w:tc>
        <w:tc>
          <w:tcPr>
            <w:tcW w:w="6695" w:type="dxa"/>
          </w:tcPr>
          <w:p w14:paraId="33113A26" w14:textId="105E6931" w:rsidR="00772E0B" w:rsidRPr="00A26CA8" w:rsidRDefault="00772E0B" w:rsidP="00077CB9">
            <w:r w:rsidRPr="00A26CA8">
              <w:t>Interim analysis</w:t>
            </w:r>
          </w:p>
        </w:tc>
      </w:tr>
      <w:tr w:rsidR="00772E0B" w:rsidRPr="00FD119B" w14:paraId="04A6837D" w14:textId="77777777" w:rsidTr="000A7D96">
        <w:tc>
          <w:tcPr>
            <w:tcW w:w="1799" w:type="dxa"/>
          </w:tcPr>
          <w:p w14:paraId="56345199" w14:textId="59A7C409" w:rsidR="00772E0B" w:rsidRPr="00A26CA8" w:rsidRDefault="00772E0B" w:rsidP="00077CB9">
            <w:r w:rsidRPr="00A26CA8">
              <w:t>ID</w:t>
            </w:r>
            <w:r w:rsidRPr="00A26CA8">
              <w:rPr>
                <w:vertAlign w:val="subscript"/>
              </w:rPr>
              <w:t>50</w:t>
            </w:r>
          </w:p>
        </w:tc>
        <w:tc>
          <w:tcPr>
            <w:tcW w:w="6695" w:type="dxa"/>
          </w:tcPr>
          <w:p w14:paraId="302B353F" w14:textId="5B4CED0E" w:rsidR="00772E0B" w:rsidRPr="00A26CA8" w:rsidRDefault="00772E0B" w:rsidP="00077CB9">
            <w:r w:rsidRPr="00A26CA8">
              <w:t>Median infectious dose</w:t>
            </w:r>
          </w:p>
        </w:tc>
      </w:tr>
      <w:tr w:rsidR="00772E0B" w:rsidRPr="00FD119B" w14:paraId="02F47000" w14:textId="77777777" w:rsidTr="000A7D96">
        <w:tc>
          <w:tcPr>
            <w:tcW w:w="1799" w:type="dxa"/>
          </w:tcPr>
          <w:p w14:paraId="78C3C49F" w14:textId="50BEDDF1" w:rsidR="00772E0B" w:rsidRPr="00A26CA8" w:rsidRDefault="00772E0B" w:rsidP="00077CB9">
            <w:r w:rsidRPr="00A26CA8">
              <w:t>I</w:t>
            </w:r>
            <w:r w:rsidR="00A26CA8">
              <w:t>g</w:t>
            </w:r>
          </w:p>
        </w:tc>
        <w:tc>
          <w:tcPr>
            <w:tcW w:w="6695" w:type="dxa"/>
          </w:tcPr>
          <w:p w14:paraId="095AFEFA" w14:textId="2E97B28B" w:rsidR="00772E0B" w:rsidRPr="00A26CA8" w:rsidRDefault="00772E0B" w:rsidP="00077CB9">
            <w:r w:rsidRPr="00A26CA8">
              <w:t>Immunoglobulin</w:t>
            </w:r>
          </w:p>
        </w:tc>
      </w:tr>
      <w:tr w:rsidR="00772E0B" w:rsidRPr="00FD119B" w14:paraId="35C8987E" w14:textId="77777777" w:rsidTr="000A7D96">
        <w:tc>
          <w:tcPr>
            <w:tcW w:w="1799" w:type="dxa"/>
          </w:tcPr>
          <w:p w14:paraId="59A9F214" w14:textId="62396CD7" w:rsidR="00772E0B" w:rsidRPr="00A26CA8" w:rsidRDefault="00772E0B" w:rsidP="00077CB9">
            <w:r w:rsidRPr="00A26CA8">
              <w:t>IM</w:t>
            </w:r>
          </w:p>
        </w:tc>
        <w:tc>
          <w:tcPr>
            <w:tcW w:w="6695" w:type="dxa"/>
          </w:tcPr>
          <w:p w14:paraId="67B8C0C8" w14:textId="605FEC43" w:rsidR="00772E0B" w:rsidRPr="00A26CA8" w:rsidRDefault="00772E0B" w:rsidP="00077CB9">
            <w:r w:rsidRPr="00A26CA8">
              <w:t>Intramuscular</w:t>
            </w:r>
          </w:p>
        </w:tc>
      </w:tr>
      <w:tr w:rsidR="00772E0B" w:rsidRPr="00FD119B" w14:paraId="74C09A3D" w14:textId="77777777" w:rsidTr="000A7D96">
        <w:tc>
          <w:tcPr>
            <w:tcW w:w="1799" w:type="dxa"/>
          </w:tcPr>
          <w:p w14:paraId="4C9B6B11" w14:textId="4AA8603F" w:rsidR="00772E0B" w:rsidRPr="00A26CA8" w:rsidRDefault="00772E0B" w:rsidP="00077CB9">
            <w:r w:rsidRPr="00A26CA8">
              <w:t>LLOD</w:t>
            </w:r>
          </w:p>
        </w:tc>
        <w:tc>
          <w:tcPr>
            <w:tcW w:w="6695" w:type="dxa"/>
          </w:tcPr>
          <w:p w14:paraId="016758A6" w14:textId="45760A07" w:rsidR="00772E0B" w:rsidRPr="00A26CA8" w:rsidRDefault="00772E0B" w:rsidP="00077CB9">
            <w:r w:rsidRPr="00A26CA8">
              <w:t>Lower limit of detection</w:t>
            </w:r>
          </w:p>
        </w:tc>
      </w:tr>
      <w:tr w:rsidR="00772E0B" w:rsidRPr="00FD119B" w14:paraId="403C75ED" w14:textId="77777777" w:rsidTr="000A7D96">
        <w:tc>
          <w:tcPr>
            <w:tcW w:w="1799" w:type="dxa"/>
          </w:tcPr>
          <w:p w14:paraId="5B9CB859" w14:textId="248235D4" w:rsidR="00772E0B" w:rsidRPr="00A26CA8" w:rsidRDefault="00772E0B" w:rsidP="00077CB9">
            <w:r w:rsidRPr="00A26CA8">
              <w:t>LLOQ</w:t>
            </w:r>
          </w:p>
        </w:tc>
        <w:tc>
          <w:tcPr>
            <w:tcW w:w="6695" w:type="dxa"/>
          </w:tcPr>
          <w:p w14:paraId="265905B3" w14:textId="174E15AC" w:rsidR="00772E0B" w:rsidRPr="00A26CA8" w:rsidRDefault="00772E0B" w:rsidP="00077CB9">
            <w:r w:rsidRPr="00A26CA8">
              <w:t>Lower limit of quantification</w:t>
            </w:r>
          </w:p>
        </w:tc>
      </w:tr>
      <w:tr w:rsidR="00772E0B" w:rsidRPr="00FD119B" w14:paraId="565BCAA6" w14:textId="77777777" w:rsidTr="000A7D96">
        <w:tc>
          <w:tcPr>
            <w:tcW w:w="1799" w:type="dxa"/>
          </w:tcPr>
          <w:p w14:paraId="562487FC" w14:textId="147F380F" w:rsidR="00772E0B" w:rsidRPr="00A26CA8" w:rsidRDefault="00772E0B" w:rsidP="00077CB9">
            <w:r w:rsidRPr="00A26CA8">
              <w:t>LNP</w:t>
            </w:r>
          </w:p>
        </w:tc>
        <w:tc>
          <w:tcPr>
            <w:tcW w:w="6695" w:type="dxa"/>
          </w:tcPr>
          <w:p w14:paraId="5281BDD1" w14:textId="35B40FFA" w:rsidR="00772E0B" w:rsidRPr="00A26CA8" w:rsidRDefault="00772E0B" w:rsidP="00077CB9">
            <w:r w:rsidRPr="00A26CA8">
              <w:t>Lipid nanoparticle</w:t>
            </w:r>
          </w:p>
        </w:tc>
      </w:tr>
      <w:tr w:rsidR="00772E0B" w:rsidRPr="00FD119B" w14:paraId="01014F3B" w14:textId="77777777" w:rsidTr="000A7D96">
        <w:tc>
          <w:tcPr>
            <w:tcW w:w="1799" w:type="dxa"/>
          </w:tcPr>
          <w:p w14:paraId="2D5A8438" w14:textId="466B5CE9" w:rsidR="00772E0B" w:rsidRPr="00A26CA8" w:rsidRDefault="00772E0B" w:rsidP="00077CB9">
            <w:r w:rsidRPr="00A26CA8">
              <w:t>MAAE</w:t>
            </w:r>
          </w:p>
        </w:tc>
        <w:tc>
          <w:tcPr>
            <w:tcW w:w="6695" w:type="dxa"/>
          </w:tcPr>
          <w:p w14:paraId="048F1ABC" w14:textId="56F1FC4D" w:rsidR="00772E0B" w:rsidRPr="00A26CA8" w:rsidRDefault="00772E0B" w:rsidP="00077CB9">
            <w:proofErr w:type="gramStart"/>
            <w:r w:rsidRPr="00A26CA8">
              <w:t>Medically-attended</w:t>
            </w:r>
            <w:proofErr w:type="gramEnd"/>
            <w:r w:rsidRPr="00A26CA8">
              <w:t xml:space="preserve"> adverse events</w:t>
            </w:r>
          </w:p>
        </w:tc>
      </w:tr>
      <w:tr w:rsidR="00772E0B" w:rsidRPr="00FD119B" w14:paraId="2C446D50" w14:textId="77777777" w:rsidTr="000A7D96">
        <w:tc>
          <w:tcPr>
            <w:tcW w:w="1799" w:type="dxa"/>
          </w:tcPr>
          <w:p w14:paraId="1B7B685C" w14:textId="55D5AA01" w:rsidR="00772E0B" w:rsidRPr="00A26CA8" w:rsidRDefault="00E45AF5" w:rsidP="00077CB9">
            <w:r w:rsidRPr="00A26CA8">
              <w:t>MERS</w:t>
            </w:r>
          </w:p>
        </w:tc>
        <w:tc>
          <w:tcPr>
            <w:tcW w:w="6695" w:type="dxa"/>
          </w:tcPr>
          <w:p w14:paraId="685F54C8" w14:textId="3A9F4DF1" w:rsidR="00772E0B" w:rsidRPr="00A26CA8" w:rsidRDefault="00E45AF5" w:rsidP="00077CB9">
            <w:r w:rsidRPr="00A26CA8">
              <w:t>Middle East respiratory syndrome</w:t>
            </w:r>
          </w:p>
        </w:tc>
      </w:tr>
      <w:tr w:rsidR="00E45AF5" w:rsidRPr="00FD119B" w14:paraId="702655F0" w14:textId="77777777" w:rsidTr="000A7D96">
        <w:tc>
          <w:tcPr>
            <w:tcW w:w="1799" w:type="dxa"/>
          </w:tcPr>
          <w:p w14:paraId="42BD62EA" w14:textId="28E2961E" w:rsidR="00E45AF5" w:rsidRPr="00A26CA8" w:rsidRDefault="00E45AF5" w:rsidP="00077CB9">
            <w:proofErr w:type="spellStart"/>
            <w:r w:rsidRPr="00A26CA8">
              <w:t>mITT</w:t>
            </w:r>
            <w:proofErr w:type="spellEnd"/>
          </w:p>
        </w:tc>
        <w:tc>
          <w:tcPr>
            <w:tcW w:w="6695" w:type="dxa"/>
          </w:tcPr>
          <w:p w14:paraId="768890C2" w14:textId="1C4C60DC" w:rsidR="00E45AF5" w:rsidRPr="00A26CA8" w:rsidRDefault="00E45AF5" w:rsidP="00077CB9">
            <w:r w:rsidRPr="00A26CA8">
              <w:t>Modified intent-to-treat</w:t>
            </w:r>
          </w:p>
        </w:tc>
      </w:tr>
      <w:tr w:rsidR="00E45AF5" w:rsidRPr="00FD119B" w14:paraId="62E74F9A" w14:textId="77777777" w:rsidTr="000A7D96">
        <w:tc>
          <w:tcPr>
            <w:tcW w:w="1799" w:type="dxa"/>
          </w:tcPr>
          <w:p w14:paraId="2D8BE412" w14:textId="30C599C7" w:rsidR="00E45AF5" w:rsidRPr="00A26CA8" w:rsidRDefault="00E45AF5" w:rsidP="00077CB9">
            <w:r w:rsidRPr="00A26CA8">
              <w:t>mRNA</w:t>
            </w:r>
          </w:p>
        </w:tc>
        <w:tc>
          <w:tcPr>
            <w:tcW w:w="6695" w:type="dxa"/>
          </w:tcPr>
          <w:p w14:paraId="6AB95463" w14:textId="13D75634" w:rsidR="00E45AF5" w:rsidRPr="00A26CA8" w:rsidRDefault="00E45AF5" w:rsidP="00077CB9">
            <w:r w:rsidRPr="00A26CA8">
              <w:t>Messenger ribonucleic acid</w:t>
            </w:r>
          </w:p>
        </w:tc>
      </w:tr>
      <w:tr w:rsidR="00E45AF5" w:rsidRPr="00FD119B" w14:paraId="473D2AFE" w14:textId="77777777" w:rsidTr="000A7D96">
        <w:tc>
          <w:tcPr>
            <w:tcW w:w="1799" w:type="dxa"/>
          </w:tcPr>
          <w:p w14:paraId="5C6C83B3" w14:textId="5EFE2D95" w:rsidR="00E45AF5" w:rsidRPr="00A26CA8" w:rsidRDefault="00E45AF5" w:rsidP="00077CB9">
            <w:r w:rsidRPr="00A26CA8">
              <w:t>MSD</w:t>
            </w:r>
          </w:p>
        </w:tc>
        <w:tc>
          <w:tcPr>
            <w:tcW w:w="6695" w:type="dxa"/>
          </w:tcPr>
          <w:p w14:paraId="4A054537" w14:textId="5921BD05" w:rsidR="00E45AF5" w:rsidRPr="00A26CA8" w:rsidRDefault="00E45AF5" w:rsidP="00077CB9">
            <w:proofErr w:type="spellStart"/>
            <w:r w:rsidRPr="00A26CA8">
              <w:t>MesoScale</w:t>
            </w:r>
            <w:proofErr w:type="spellEnd"/>
            <w:r w:rsidRPr="00A26CA8">
              <w:t xml:space="preserve"> Discovery</w:t>
            </w:r>
          </w:p>
        </w:tc>
      </w:tr>
      <w:tr w:rsidR="00E45AF5" w:rsidRPr="00FD119B" w14:paraId="6843F5DB" w14:textId="77777777" w:rsidTr="000A7D96">
        <w:tc>
          <w:tcPr>
            <w:tcW w:w="1799" w:type="dxa"/>
          </w:tcPr>
          <w:p w14:paraId="057A9DE4" w14:textId="640F1E6D" w:rsidR="00E45AF5" w:rsidRPr="00A26CA8" w:rsidRDefault="00E45AF5" w:rsidP="00077CB9">
            <w:proofErr w:type="spellStart"/>
            <w:r w:rsidRPr="00A26CA8">
              <w:t>nAb</w:t>
            </w:r>
            <w:proofErr w:type="spellEnd"/>
          </w:p>
        </w:tc>
        <w:tc>
          <w:tcPr>
            <w:tcW w:w="6695" w:type="dxa"/>
          </w:tcPr>
          <w:p w14:paraId="4C07F4B7" w14:textId="49CFAC73" w:rsidR="00E45AF5" w:rsidRPr="00A26CA8" w:rsidRDefault="00E45AF5" w:rsidP="00077CB9">
            <w:r w:rsidRPr="00A26CA8">
              <w:t>Neutralising antibody</w:t>
            </w:r>
          </w:p>
        </w:tc>
      </w:tr>
      <w:tr w:rsidR="00E45AF5" w:rsidRPr="00FD119B" w14:paraId="7B38D6A2" w14:textId="77777777" w:rsidTr="000A7D96">
        <w:tc>
          <w:tcPr>
            <w:tcW w:w="1799" w:type="dxa"/>
          </w:tcPr>
          <w:p w14:paraId="14983C52" w14:textId="561BADDD" w:rsidR="00E45AF5" w:rsidRPr="00A26CA8" w:rsidRDefault="00E45AF5" w:rsidP="00077CB9">
            <w:r w:rsidRPr="00A26CA8">
              <w:t>NIH</w:t>
            </w:r>
          </w:p>
        </w:tc>
        <w:tc>
          <w:tcPr>
            <w:tcW w:w="6695" w:type="dxa"/>
          </w:tcPr>
          <w:p w14:paraId="2F4EC06D" w14:textId="1274BADB" w:rsidR="00E45AF5" w:rsidRPr="00A26CA8" w:rsidRDefault="00E45AF5" w:rsidP="00077CB9">
            <w:r w:rsidRPr="00A26CA8">
              <w:t>National Institute</w:t>
            </w:r>
            <w:r w:rsidR="009B6A9A">
              <w:t>s</w:t>
            </w:r>
            <w:r w:rsidRPr="00A26CA8">
              <w:t xml:space="preserve"> of Health</w:t>
            </w:r>
            <w:r w:rsidR="009B6A9A">
              <w:t xml:space="preserve"> (United States of America)</w:t>
            </w:r>
          </w:p>
        </w:tc>
      </w:tr>
      <w:tr w:rsidR="00B05686" w:rsidRPr="00FD119B" w14:paraId="0BAFD1E6" w14:textId="77777777" w:rsidTr="000A7D96">
        <w:tc>
          <w:tcPr>
            <w:tcW w:w="1799" w:type="dxa"/>
          </w:tcPr>
          <w:p w14:paraId="55E1A303" w14:textId="69319C12" w:rsidR="00B05686" w:rsidRPr="00A26CA8" w:rsidRDefault="00B05686" w:rsidP="00077CB9">
            <w:r w:rsidRPr="00A26CA8">
              <w:t>NIAID</w:t>
            </w:r>
          </w:p>
        </w:tc>
        <w:tc>
          <w:tcPr>
            <w:tcW w:w="6695" w:type="dxa"/>
          </w:tcPr>
          <w:p w14:paraId="4C37972F" w14:textId="632ACABD" w:rsidR="00B05686" w:rsidRPr="00A26CA8" w:rsidRDefault="00B05686" w:rsidP="00077CB9">
            <w:r w:rsidRPr="00A26CA8">
              <w:t>National Institute of Allergy and Infectious Diseases</w:t>
            </w:r>
            <w:r w:rsidR="009B6A9A">
              <w:t xml:space="preserve"> (United States of America)</w:t>
            </w:r>
          </w:p>
        </w:tc>
      </w:tr>
      <w:tr w:rsidR="00E45AF5" w:rsidRPr="00FD119B" w14:paraId="567D00D2" w14:textId="77777777" w:rsidTr="000A7D96">
        <w:tc>
          <w:tcPr>
            <w:tcW w:w="1799" w:type="dxa"/>
          </w:tcPr>
          <w:p w14:paraId="305CD067" w14:textId="401EFF68" w:rsidR="00E45AF5" w:rsidRPr="00A26CA8" w:rsidRDefault="00E45AF5" w:rsidP="00077CB9">
            <w:r w:rsidRPr="00A26CA8">
              <w:t>NIM</w:t>
            </w:r>
          </w:p>
        </w:tc>
        <w:tc>
          <w:tcPr>
            <w:tcW w:w="6695" w:type="dxa"/>
          </w:tcPr>
          <w:p w14:paraId="73B3DEF3" w14:textId="784304D8" w:rsidR="00E45AF5" w:rsidRPr="00A26CA8" w:rsidRDefault="00E45AF5" w:rsidP="00077CB9">
            <w:r w:rsidRPr="00A26CA8">
              <w:t>Noninferiority margin</w:t>
            </w:r>
          </w:p>
        </w:tc>
      </w:tr>
      <w:tr w:rsidR="00E45AF5" w:rsidRPr="00FD119B" w14:paraId="1F599BBD" w14:textId="77777777" w:rsidTr="000A7D96">
        <w:tc>
          <w:tcPr>
            <w:tcW w:w="1799" w:type="dxa"/>
          </w:tcPr>
          <w:p w14:paraId="18C29301" w14:textId="53214A8D" w:rsidR="00E45AF5" w:rsidRPr="00A26CA8" w:rsidRDefault="00452802" w:rsidP="00077CB9">
            <w:proofErr w:type="spellStart"/>
            <w:r w:rsidRPr="00A26CA8">
              <w:t>PolyA</w:t>
            </w:r>
            <w:proofErr w:type="spellEnd"/>
          </w:p>
        </w:tc>
        <w:tc>
          <w:tcPr>
            <w:tcW w:w="6695" w:type="dxa"/>
          </w:tcPr>
          <w:p w14:paraId="7B8E5B83" w14:textId="3719EFF9" w:rsidR="00E45AF5" w:rsidRPr="00A26CA8" w:rsidRDefault="00452802" w:rsidP="00077CB9">
            <w:r w:rsidRPr="00A26CA8">
              <w:t>Polyadenylated</w:t>
            </w:r>
          </w:p>
        </w:tc>
      </w:tr>
      <w:tr w:rsidR="00452802" w:rsidRPr="00FD119B" w14:paraId="26D34B73" w14:textId="77777777" w:rsidTr="000A7D96">
        <w:tc>
          <w:tcPr>
            <w:tcW w:w="1799" w:type="dxa"/>
          </w:tcPr>
          <w:p w14:paraId="3F5B2CAF" w14:textId="58C601FA" w:rsidR="00452802" w:rsidRPr="00A26CA8" w:rsidRDefault="00452802" w:rsidP="00077CB9">
            <w:r w:rsidRPr="00A26CA8">
              <w:t>PP</w:t>
            </w:r>
          </w:p>
        </w:tc>
        <w:tc>
          <w:tcPr>
            <w:tcW w:w="6695" w:type="dxa"/>
          </w:tcPr>
          <w:p w14:paraId="27CE0CF1" w14:textId="07A73634" w:rsidR="00452802" w:rsidRPr="00A26CA8" w:rsidRDefault="00452802" w:rsidP="00077CB9">
            <w:r w:rsidRPr="00A26CA8">
              <w:t>Per-protocol</w:t>
            </w:r>
          </w:p>
        </w:tc>
      </w:tr>
      <w:tr w:rsidR="00452802" w:rsidRPr="00FD119B" w14:paraId="46ECECF3" w14:textId="77777777" w:rsidTr="000A7D96">
        <w:tc>
          <w:tcPr>
            <w:tcW w:w="1799" w:type="dxa"/>
          </w:tcPr>
          <w:p w14:paraId="7703CD8F" w14:textId="5D771479" w:rsidR="00452802" w:rsidRPr="00A26CA8" w:rsidRDefault="00452802" w:rsidP="00077CB9">
            <w:proofErr w:type="spellStart"/>
            <w:r w:rsidRPr="00A26CA8">
              <w:t>PsVNA</w:t>
            </w:r>
            <w:proofErr w:type="spellEnd"/>
          </w:p>
        </w:tc>
        <w:tc>
          <w:tcPr>
            <w:tcW w:w="6695" w:type="dxa"/>
          </w:tcPr>
          <w:p w14:paraId="67F1EBB8" w14:textId="5CA9C40B" w:rsidR="00452802" w:rsidRPr="00A26CA8" w:rsidRDefault="00452802" w:rsidP="00077CB9">
            <w:proofErr w:type="spellStart"/>
            <w:r w:rsidRPr="00A26CA8">
              <w:t>Pseudotyped</w:t>
            </w:r>
            <w:proofErr w:type="spellEnd"/>
            <w:r w:rsidRPr="00A26CA8">
              <w:t xml:space="preserve"> virus neutralising assay</w:t>
            </w:r>
          </w:p>
        </w:tc>
      </w:tr>
      <w:tr w:rsidR="00452802" w:rsidRPr="00FD119B" w14:paraId="17CA594F" w14:textId="77777777" w:rsidTr="000A7D96">
        <w:tc>
          <w:tcPr>
            <w:tcW w:w="1799" w:type="dxa"/>
          </w:tcPr>
          <w:p w14:paraId="766B3B9F" w14:textId="11FA1CE8" w:rsidR="00452802" w:rsidRPr="00A26CA8" w:rsidRDefault="00452802" w:rsidP="00077CB9">
            <w:r w:rsidRPr="00A26CA8">
              <w:t>PT</w:t>
            </w:r>
          </w:p>
        </w:tc>
        <w:tc>
          <w:tcPr>
            <w:tcW w:w="6695" w:type="dxa"/>
          </w:tcPr>
          <w:p w14:paraId="0ADB3D46" w14:textId="45554A35" w:rsidR="00452802" w:rsidRPr="00A26CA8" w:rsidRDefault="00452802" w:rsidP="00077CB9">
            <w:r w:rsidRPr="00A26CA8">
              <w:t xml:space="preserve">Preferred </w:t>
            </w:r>
            <w:r w:rsidR="009B6A9A">
              <w:t>T</w:t>
            </w:r>
            <w:r w:rsidRPr="00A26CA8">
              <w:t>erm</w:t>
            </w:r>
          </w:p>
        </w:tc>
      </w:tr>
      <w:tr w:rsidR="00452802" w:rsidRPr="00FD119B" w14:paraId="16A82E55" w14:textId="77777777" w:rsidTr="000A7D96">
        <w:tc>
          <w:tcPr>
            <w:tcW w:w="1799" w:type="dxa"/>
          </w:tcPr>
          <w:p w14:paraId="0D33DF20" w14:textId="7DCC4A2E" w:rsidR="00452802" w:rsidRPr="00A26CA8" w:rsidRDefault="00452802" w:rsidP="00077CB9">
            <w:r w:rsidRPr="00A26CA8">
              <w:t>RMP</w:t>
            </w:r>
          </w:p>
        </w:tc>
        <w:tc>
          <w:tcPr>
            <w:tcW w:w="6695" w:type="dxa"/>
          </w:tcPr>
          <w:p w14:paraId="1A039642" w14:textId="22F21F12" w:rsidR="00452802" w:rsidRPr="00A26CA8" w:rsidRDefault="00452802" w:rsidP="00077CB9">
            <w:r w:rsidRPr="00A26CA8">
              <w:t xml:space="preserve">Risk </w:t>
            </w:r>
            <w:r w:rsidR="009B6A9A">
              <w:t>m</w:t>
            </w:r>
            <w:r w:rsidRPr="00A26CA8">
              <w:t xml:space="preserve">anagement </w:t>
            </w:r>
            <w:r w:rsidR="009B6A9A">
              <w:t>p</w:t>
            </w:r>
            <w:r w:rsidRPr="00A26CA8">
              <w:t>lan</w:t>
            </w:r>
          </w:p>
        </w:tc>
      </w:tr>
      <w:tr w:rsidR="00452802" w:rsidRPr="00FD119B" w14:paraId="30F3245A" w14:textId="77777777" w:rsidTr="000A7D96">
        <w:tc>
          <w:tcPr>
            <w:tcW w:w="1799" w:type="dxa"/>
          </w:tcPr>
          <w:p w14:paraId="03E182C2" w14:textId="27A9812C" w:rsidR="00452802" w:rsidRPr="00A26CA8" w:rsidRDefault="00452802" w:rsidP="00077CB9">
            <w:r w:rsidRPr="00A26CA8">
              <w:lastRenderedPageBreak/>
              <w:t>RT-PCR</w:t>
            </w:r>
          </w:p>
        </w:tc>
        <w:tc>
          <w:tcPr>
            <w:tcW w:w="6695" w:type="dxa"/>
          </w:tcPr>
          <w:p w14:paraId="7D61EDF7" w14:textId="00C35BF7" w:rsidR="00452802" w:rsidRPr="00A26CA8" w:rsidRDefault="00452802" w:rsidP="00077CB9">
            <w:r w:rsidRPr="00A26CA8">
              <w:t>Reverse transcription polymerase chain reaction</w:t>
            </w:r>
          </w:p>
        </w:tc>
      </w:tr>
      <w:tr w:rsidR="00452802" w:rsidRPr="00FD119B" w14:paraId="51077AEF" w14:textId="77777777" w:rsidTr="000A7D96">
        <w:tc>
          <w:tcPr>
            <w:tcW w:w="1799" w:type="dxa"/>
          </w:tcPr>
          <w:p w14:paraId="6138BD0A" w14:textId="0947CB22" w:rsidR="00452802" w:rsidRPr="00A26CA8" w:rsidRDefault="00452802" w:rsidP="00077CB9">
            <w:r w:rsidRPr="00A26CA8">
              <w:t>SAE</w:t>
            </w:r>
          </w:p>
        </w:tc>
        <w:tc>
          <w:tcPr>
            <w:tcW w:w="6695" w:type="dxa"/>
          </w:tcPr>
          <w:p w14:paraId="58B91FD8" w14:textId="14ED9C48" w:rsidR="00452802" w:rsidRPr="00A26CA8" w:rsidRDefault="00452802" w:rsidP="00077CB9">
            <w:r w:rsidRPr="00A26CA8">
              <w:t>Serious adverse event</w:t>
            </w:r>
          </w:p>
        </w:tc>
      </w:tr>
      <w:tr w:rsidR="00452802" w:rsidRPr="00FD119B" w14:paraId="6DFF19A1" w14:textId="77777777" w:rsidTr="000A7D96">
        <w:tc>
          <w:tcPr>
            <w:tcW w:w="1799" w:type="dxa"/>
          </w:tcPr>
          <w:p w14:paraId="3A04F31A" w14:textId="690BAF31" w:rsidR="00452802" w:rsidRPr="00A26CA8" w:rsidRDefault="00452802" w:rsidP="00077CB9">
            <w:r w:rsidRPr="00A26CA8">
              <w:t>SAP</w:t>
            </w:r>
          </w:p>
        </w:tc>
        <w:tc>
          <w:tcPr>
            <w:tcW w:w="6695" w:type="dxa"/>
          </w:tcPr>
          <w:p w14:paraId="6AEF00D0" w14:textId="631FB4A2" w:rsidR="00452802" w:rsidRPr="00A26CA8" w:rsidRDefault="00452802" w:rsidP="00077CB9">
            <w:r w:rsidRPr="00A26CA8">
              <w:t>Statistical analysis plan</w:t>
            </w:r>
          </w:p>
        </w:tc>
      </w:tr>
      <w:tr w:rsidR="00452802" w:rsidRPr="00FD119B" w14:paraId="280A6A04" w14:textId="77777777" w:rsidTr="000A7D96">
        <w:tc>
          <w:tcPr>
            <w:tcW w:w="1799" w:type="dxa"/>
          </w:tcPr>
          <w:p w14:paraId="5C175874" w14:textId="393201A9" w:rsidR="00452802" w:rsidRPr="00A26CA8" w:rsidRDefault="00452802" w:rsidP="00077CB9">
            <w:r w:rsidRPr="00A26CA8">
              <w:t>SARS</w:t>
            </w:r>
          </w:p>
        </w:tc>
        <w:tc>
          <w:tcPr>
            <w:tcW w:w="6695" w:type="dxa"/>
          </w:tcPr>
          <w:p w14:paraId="06A94D62" w14:textId="710D2EC9" w:rsidR="00452802" w:rsidRPr="009B6A9A" w:rsidRDefault="00452802" w:rsidP="00077CB9">
            <w:r w:rsidRPr="00A26CA8">
              <w:t xml:space="preserve">Severe acute respiratory </w:t>
            </w:r>
            <w:r w:rsidR="00A81FA0" w:rsidRPr="00A26CA8">
              <w:t>syndrome</w:t>
            </w:r>
          </w:p>
        </w:tc>
      </w:tr>
      <w:tr w:rsidR="00A81FA0" w:rsidRPr="00FD119B" w14:paraId="27CDC108" w14:textId="77777777" w:rsidTr="000A7D96">
        <w:tc>
          <w:tcPr>
            <w:tcW w:w="1799" w:type="dxa"/>
          </w:tcPr>
          <w:p w14:paraId="2135ED1B" w14:textId="2E688249" w:rsidR="00A81FA0" w:rsidRPr="00A26CA8" w:rsidRDefault="00A81FA0" w:rsidP="00077CB9">
            <w:r w:rsidRPr="00A26CA8">
              <w:t>SARS-CoV-2</w:t>
            </w:r>
          </w:p>
        </w:tc>
        <w:tc>
          <w:tcPr>
            <w:tcW w:w="6695" w:type="dxa"/>
          </w:tcPr>
          <w:p w14:paraId="2CD5F967" w14:textId="5509E63E" w:rsidR="00A81FA0" w:rsidRPr="00A26CA8" w:rsidRDefault="00A81FA0" w:rsidP="00077CB9">
            <w:r w:rsidRPr="00A26CA8">
              <w:t xml:space="preserve">Severe </w:t>
            </w:r>
            <w:r w:rsidR="009B6A9A">
              <w:t>a</w:t>
            </w:r>
            <w:r w:rsidRPr="00A26CA8">
              <w:t xml:space="preserve">cute </w:t>
            </w:r>
            <w:r w:rsidR="009B6A9A">
              <w:t>r</w:t>
            </w:r>
            <w:r w:rsidRPr="00A26CA8">
              <w:t xml:space="preserve">espiratory </w:t>
            </w:r>
            <w:r w:rsidR="009B6A9A">
              <w:t>s</w:t>
            </w:r>
            <w:r w:rsidRPr="00A26CA8">
              <w:t xml:space="preserve">yndrome </w:t>
            </w:r>
            <w:proofErr w:type="gramStart"/>
            <w:r w:rsidR="009B6A9A">
              <w:t>c</w:t>
            </w:r>
            <w:r w:rsidRPr="00A26CA8">
              <w:t>oronavirus-2</w:t>
            </w:r>
            <w:proofErr w:type="gramEnd"/>
          </w:p>
        </w:tc>
      </w:tr>
      <w:tr w:rsidR="00A81FA0" w:rsidRPr="00FD119B" w14:paraId="4BD8C774" w14:textId="77777777" w:rsidTr="000A7D96">
        <w:tc>
          <w:tcPr>
            <w:tcW w:w="1799" w:type="dxa"/>
          </w:tcPr>
          <w:p w14:paraId="1E06E52A" w14:textId="05F79B5D" w:rsidR="00A81FA0" w:rsidRPr="00A26CA8" w:rsidRDefault="00A81FA0" w:rsidP="00077CB9">
            <w:r w:rsidRPr="00A26CA8">
              <w:t>SD</w:t>
            </w:r>
          </w:p>
        </w:tc>
        <w:tc>
          <w:tcPr>
            <w:tcW w:w="6695" w:type="dxa"/>
          </w:tcPr>
          <w:p w14:paraId="099247CA" w14:textId="5FB28AFB" w:rsidR="00A81FA0" w:rsidRPr="00A26CA8" w:rsidRDefault="00A81FA0" w:rsidP="00077CB9">
            <w:r w:rsidRPr="00A26CA8">
              <w:t>Standard deviation</w:t>
            </w:r>
          </w:p>
        </w:tc>
      </w:tr>
      <w:tr w:rsidR="00A81FA0" w:rsidRPr="00FD119B" w14:paraId="7E2ADFEC" w14:textId="77777777" w:rsidTr="000A7D96">
        <w:tc>
          <w:tcPr>
            <w:tcW w:w="1799" w:type="dxa"/>
          </w:tcPr>
          <w:p w14:paraId="34E87457" w14:textId="4568FC07" w:rsidR="00A81FA0" w:rsidRPr="00A26CA8" w:rsidRDefault="00A81FA0" w:rsidP="00077CB9">
            <w:r w:rsidRPr="00A26CA8">
              <w:t>SMQ</w:t>
            </w:r>
          </w:p>
        </w:tc>
        <w:tc>
          <w:tcPr>
            <w:tcW w:w="6695" w:type="dxa"/>
          </w:tcPr>
          <w:p w14:paraId="54C3FF6D" w14:textId="3B5D4B29" w:rsidR="00A81FA0" w:rsidRPr="00A26CA8" w:rsidRDefault="00A81FA0" w:rsidP="00077CB9">
            <w:r w:rsidRPr="00A26CA8">
              <w:t xml:space="preserve">Standardised Medical Dictionary for Regulatory Activities </w:t>
            </w:r>
            <w:r w:rsidR="009B6A9A">
              <w:t xml:space="preserve">(MedDRA) </w:t>
            </w:r>
            <w:r w:rsidRPr="00A26CA8">
              <w:t>Query</w:t>
            </w:r>
          </w:p>
        </w:tc>
      </w:tr>
      <w:tr w:rsidR="00A81FA0" w:rsidRPr="00FD119B" w14:paraId="61C5C3C4" w14:textId="77777777" w:rsidTr="000A7D96">
        <w:tc>
          <w:tcPr>
            <w:tcW w:w="1799" w:type="dxa"/>
          </w:tcPr>
          <w:p w14:paraId="630AB69F" w14:textId="3E0700EF" w:rsidR="00A81FA0" w:rsidRPr="00A26CA8" w:rsidRDefault="00A81FA0" w:rsidP="00077CB9">
            <w:r w:rsidRPr="00A26CA8">
              <w:t>Study P201</w:t>
            </w:r>
          </w:p>
        </w:tc>
        <w:tc>
          <w:tcPr>
            <w:tcW w:w="6695" w:type="dxa"/>
          </w:tcPr>
          <w:p w14:paraId="2D0CDEA2" w14:textId="1B597664" w:rsidR="00A81FA0" w:rsidRPr="00A26CA8" w:rsidRDefault="00A81FA0" w:rsidP="00077CB9">
            <w:r w:rsidRPr="00A26CA8">
              <w:t>Study mRNA-1273-P201</w:t>
            </w:r>
          </w:p>
        </w:tc>
      </w:tr>
      <w:tr w:rsidR="00A81FA0" w:rsidRPr="00FD119B" w14:paraId="2C218872" w14:textId="77777777" w:rsidTr="000A7D96">
        <w:tc>
          <w:tcPr>
            <w:tcW w:w="1799" w:type="dxa"/>
          </w:tcPr>
          <w:p w14:paraId="72CBC1BE" w14:textId="2F95F355" w:rsidR="00A81FA0" w:rsidRPr="00A26CA8" w:rsidRDefault="00A81FA0" w:rsidP="00077CB9">
            <w:r w:rsidRPr="00A26CA8">
              <w:t>Study P301</w:t>
            </w:r>
          </w:p>
        </w:tc>
        <w:tc>
          <w:tcPr>
            <w:tcW w:w="6695" w:type="dxa"/>
          </w:tcPr>
          <w:p w14:paraId="0DD47F3A" w14:textId="5B1AEB74" w:rsidR="00A81FA0" w:rsidRPr="00A26CA8" w:rsidRDefault="00A81FA0" w:rsidP="00077CB9">
            <w:r w:rsidRPr="00A26CA8">
              <w:t>Study mRNA-1273-P301 (COVE)</w:t>
            </w:r>
          </w:p>
        </w:tc>
      </w:tr>
      <w:tr w:rsidR="00A81FA0" w:rsidRPr="00FD119B" w14:paraId="49140737" w14:textId="77777777" w:rsidTr="000A7D96">
        <w:tc>
          <w:tcPr>
            <w:tcW w:w="1799" w:type="dxa"/>
          </w:tcPr>
          <w:p w14:paraId="1E498D4B" w14:textId="098DF429" w:rsidR="00A81FA0" w:rsidRPr="00A26CA8" w:rsidRDefault="00A81FA0" w:rsidP="00077CB9">
            <w:r w:rsidRPr="00A26CA8">
              <w:t>TEAE</w:t>
            </w:r>
          </w:p>
        </w:tc>
        <w:tc>
          <w:tcPr>
            <w:tcW w:w="6695" w:type="dxa"/>
          </w:tcPr>
          <w:p w14:paraId="06BE2EBF" w14:textId="27F3DA97" w:rsidR="00A81FA0" w:rsidRPr="009B6A9A" w:rsidRDefault="00A81FA0" w:rsidP="00077CB9">
            <w:r w:rsidRPr="00A26CA8">
              <w:t>Treatment-emergent adverse event</w:t>
            </w:r>
          </w:p>
        </w:tc>
      </w:tr>
      <w:tr w:rsidR="00A81FA0" w:rsidRPr="00FD119B" w14:paraId="7F768296" w14:textId="77777777" w:rsidTr="000A7D96">
        <w:tc>
          <w:tcPr>
            <w:tcW w:w="1799" w:type="dxa"/>
          </w:tcPr>
          <w:p w14:paraId="5DE02605" w14:textId="37FB1081" w:rsidR="00A81FA0" w:rsidRPr="00A26CA8" w:rsidRDefault="00A81FA0" w:rsidP="00077CB9">
            <w:r w:rsidRPr="00A26CA8">
              <w:t>ULOQ</w:t>
            </w:r>
          </w:p>
        </w:tc>
        <w:tc>
          <w:tcPr>
            <w:tcW w:w="6695" w:type="dxa"/>
          </w:tcPr>
          <w:p w14:paraId="7B1F6BC6" w14:textId="508B2183" w:rsidR="00A81FA0" w:rsidRPr="00A26CA8" w:rsidRDefault="00A81FA0" w:rsidP="00077CB9">
            <w:r w:rsidRPr="00A26CA8">
              <w:t>Upper limit of quantification</w:t>
            </w:r>
          </w:p>
        </w:tc>
      </w:tr>
      <w:tr w:rsidR="00A81FA0" w:rsidRPr="00FD119B" w14:paraId="37F5139B" w14:textId="77777777" w:rsidTr="000A7D96">
        <w:tc>
          <w:tcPr>
            <w:tcW w:w="1799" w:type="dxa"/>
          </w:tcPr>
          <w:p w14:paraId="4BF54DBA" w14:textId="4218DB1D" w:rsidR="00A81FA0" w:rsidRPr="00A26CA8" w:rsidRDefault="00A81FA0" w:rsidP="00077CB9">
            <w:r w:rsidRPr="00A26CA8">
              <w:t>US</w:t>
            </w:r>
            <w:r w:rsidR="009B6A9A">
              <w:t>(A)</w:t>
            </w:r>
          </w:p>
        </w:tc>
        <w:tc>
          <w:tcPr>
            <w:tcW w:w="6695" w:type="dxa"/>
          </w:tcPr>
          <w:p w14:paraId="1CB3C764" w14:textId="429C0C8C" w:rsidR="00A81FA0" w:rsidRPr="00A26CA8" w:rsidRDefault="00A81FA0" w:rsidP="00077CB9">
            <w:r w:rsidRPr="00A26CA8">
              <w:t>United States</w:t>
            </w:r>
            <w:r w:rsidR="009B6A9A">
              <w:t xml:space="preserve"> (of America)</w:t>
            </w:r>
          </w:p>
        </w:tc>
      </w:tr>
      <w:tr w:rsidR="00A81FA0" w:rsidRPr="00FD119B" w14:paraId="58831456" w14:textId="77777777" w:rsidTr="000A7D96">
        <w:tc>
          <w:tcPr>
            <w:tcW w:w="1799" w:type="dxa"/>
          </w:tcPr>
          <w:p w14:paraId="5F046C45" w14:textId="7039379A" w:rsidR="00A81FA0" w:rsidRPr="00A26CA8" w:rsidRDefault="00A81FA0" w:rsidP="00077CB9">
            <w:r w:rsidRPr="00A26CA8">
              <w:t>UTR</w:t>
            </w:r>
          </w:p>
        </w:tc>
        <w:tc>
          <w:tcPr>
            <w:tcW w:w="6695" w:type="dxa"/>
          </w:tcPr>
          <w:p w14:paraId="47BA7E10" w14:textId="72F73FB8" w:rsidR="00A81FA0" w:rsidRPr="00A26CA8" w:rsidRDefault="00A81FA0" w:rsidP="00077CB9">
            <w:r w:rsidRPr="00A26CA8">
              <w:t>Untranslated region</w:t>
            </w:r>
          </w:p>
        </w:tc>
      </w:tr>
      <w:tr w:rsidR="00A81FA0" w:rsidRPr="00FD119B" w14:paraId="3D3777FA" w14:textId="77777777" w:rsidTr="000A7D96">
        <w:tc>
          <w:tcPr>
            <w:tcW w:w="1799" w:type="dxa"/>
          </w:tcPr>
          <w:p w14:paraId="4B4B291F" w14:textId="4138DE1E" w:rsidR="00A81FA0" w:rsidRPr="00A26CA8" w:rsidRDefault="00A81FA0" w:rsidP="00077CB9">
            <w:r w:rsidRPr="00A26CA8">
              <w:t>VE</w:t>
            </w:r>
          </w:p>
        </w:tc>
        <w:tc>
          <w:tcPr>
            <w:tcW w:w="6695" w:type="dxa"/>
          </w:tcPr>
          <w:p w14:paraId="1D756F31" w14:textId="5D1859E1" w:rsidR="00A81FA0" w:rsidRPr="00A26CA8" w:rsidRDefault="00A81FA0" w:rsidP="00077CB9">
            <w:r w:rsidRPr="00A26CA8">
              <w:t>Vaccine efficacy</w:t>
            </w:r>
          </w:p>
        </w:tc>
      </w:tr>
      <w:tr w:rsidR="00A81FA0" w:rsidRPr="00FD119B" w14:paraId="52DF6F84" w14:textId="77777777" w:rsidTr="000A7D96">
        <w:tc>
          <w:tcPr>
            <w:tcW w:w="1799" w:type="dxa"/>
          </w:tcPr>
          <w:p w14:paraId="208258B6" w14:textId="3C603EA1" w:rsidR="00A81FA0" w:rsidRPr="00A26CA8" w:rsidRDefault="00A81FA0" w:rsidP="00077CB9">
            <w:r w:rsidRPr="00A26CA8">
              <w:t>VOC</w:t>
            </w:r>
          </w:p>
        </w:tc>
        <w:tc>
          <w:tcPr>
            <w:tcW w:w="6695" w:type="dxa"/>
          </w:tcPr>
          <w:p w14:paraId="4391FE8E" w14:textId="03F23291" w:rsidR="00A81FA0" w:rsidRPr="00A26CA8" w:rsidRDefault="00A81FA0" w:rsidP="00077CB9">
            <w:r w:rsidRPr="00A26CA8">
              <w:t>Variant of concern</w:t>
            </w:r>
          </w:p>
        </w:tc>
      </w:tr>
      <w:tr w:rsidR="00A81FA0" w:rsidRPr="00FD119B" w14:paraId="51D86053" w14:textId="77777777" w:rsidTr="000A7D96">
        <w:tc>
          <w:tcPr>
            <w:tcW w:w="1799" w:type="dxa"/>
          </w:tcPr>
          <w:p w14:paraId="52F90FD4" w14:textId="2D6A79F4" w:rsidR="00A81FA0" w:rsidRPr="00A26CA8" w:rsidRDefault="00A81FA0" w:rsidP="00077CB9">
            <w:r w:rsidRPr="00A26CA8">
              <w:t>VOI</w:t>
            </w:r>
          </w:p>
        </w:tc>
        <w:tc>
          <w:tcPr>
            <w:tcW w:w="6695" w:type="dxa"/>
          </w:tcPr>
          <w:p w14:paraId="37E11B12" w14:textId="4D839BBC" w:rsidR="00A81FA0" w:rsidRPr="00A26CA8" w:rsidRDefault="00A81FA0" w:rsidP="00077CB9">
            <w:r w:rsidRPr="00A26CA8">
              <w:t>Variant of interest</w:t>
            </w:r>
          </w:p>
        </w:tc>
      </w:tr>
      <w:tr w:rsidR="00A81FA0" w:rsidRPr="00FD119B" w14:paraId="5D5EBDE0" w14:textId="77777777" w:rsidTr="000A7D96">
        <w:tc>
          <w:tcPr>
            <w:tcW w:w="1799" w:type="dxa"/>
          </w:tcPr>
          <w:p w14:paraId="6A43F1CD" w14:textId="3E9869FA" w:rsidR="00A81FA0" w:rsidRPr="00A26CA8" w:rsidRDefault="00A81FA0" w:rsidP="00077CB9">
            <w:r w:rsidRPr="00A26CA8">
              <w:t>VSV</w:t>
            </w:r>
          </w:p>
        </w:tc>
        <w:tc>
          <w:tcPr>
            <w:tcW w:w="6695" w:type="dxa"/>
          </w:tcPr>
          <w:p w14:paraId="4BA03D5C" w14:textId="0859AB9C" w:rsidR="00A81FA0" w:rsidRPr="00A26CA8" w:rsidRDefault="00A81FA0" w:rsidP="00077CB9">
            <w:r w:rsidRPr="00A26CA8">
              <w:t>Vesicular stomatitis virus</w:t>
            </w:r>
          </w:p>
        </w:tc>
      </w:tr>
      <w:tr w:rsidR="004C4D57" w:rsidRPr="00FD119B" w14:paraId="535D7D00" w14:textId="77777777" w:rsidTr="000A7D96">
        <w:tc>
          <w:tcPr>
            <w:tcW w:w="1799" w:type="dxa"/>
          </w:tcPr>
          <w:p w14:paraId="2CC85BC9" w14:textId="1392E5B8" w:rsidR="004C4D57" w:rsidRPr="00A26CA8" w:rsidRDefault="004C4D57" w:rsidP="00077CB9">
            <w:r w:rsidRPr="00A26CA8">
              <w:t>WT</w:t>
            </w:r>
          </w:p>
        </w:tc>
        <w:tc>
          <w:tcPr>
            <w:tcW w:w="6695" w:type="dxa"/>
          </w:tcPr>
          <w:p w14:paraId="1D7602FE" w14:textId="734F9300" w:rsidR="004C4D57" w:rsidRPr="00A26CA8" w:rsidRDefault="004C4D57" w:rsidP="00077CB9">
            <w:r w:rsidRPr="00A26CA8">
              <w:t>Wild type</w:t>
            </w:r>
          </w:p>
        </w:tc>
      </w:tr>
      <w:tr w:rsidR="00A81FA0" w:rsidRPr="00FD119B" w14:paraId="7503A4A5" w14:textId="77777777" w:rsidTr="000A7D96">
        <w:tc>
          <w:tcPr>
            <w:tcW w:w="1799" w:type="dxa"/>
          </w:tcPr>
          <w:p w14:paraId="7F49C5FE" w14:textId="4153E737" w:rsidR="00A81FA0" w:rsidRPr="00A26CA8" w:rsidRDefault="00A81FA0" w:rsidP="00077CB9">
            <w:r w:rsidRPr="00A26CA8">
              <w:t>WHO</w:t>
            </w:r>
          </w:p>
        </w:tc>
        <w:tc>
          <w:tcPr>
            <w:tcW w:w="6695" w:type="dxa"/>
          </w:tcPr>
          <w:p w14:paraId="4C3DAC31" w14:textId="77D2CE88" w:rsidR="00A81FA0" w:rsidRPr="00A26CA8" w:rsidRDefault="00A81FA0" w:rsidP="00077CB9">
            <w:r w:rsidRPr="00A26CA8">
              <w:t>World Health Organi</w:t>
            </w:r>
            <w:r w:rsidR="009B6A9A">
              <w:t>z</w:t>
            </w:r>
            <w:r w:rsidRPr="00A26CA8">
              <w:t>ation</w:t>
            </w:r>
          </w:p>
        </w:tc>
      </w:tr>
    </w:tbl>
    <w:p w14:paraId="32078B9D" w14:textId="77777777" w:rsidR="00FD119B" w:rsidRDefault="00FD119B" w:rsidP="00FD119B"/>
    <w:p w14:paraId="6BB7AB7A" w14:textId="70D488F0" w:rsidR="00940A89" w:rsidRPr="002E7B34" w:rsidRDefault="00FD119B" w:rsidP="002E7B34">
      <w:pPr>
        <w:spacing w:before="0" w:after="200" w:line="0" w:lineRule="auto"/>
        <w:rPr>
          <w:b/>
          <w:i/>
          <w:sz w:val="24"/>
          <w:szCs w:val="24"/>
        </w:rPr>
      </w:pPr>
      <w:r w:rsidRPr="00FD119B">
        <w:rPr>
          <w:b/>
          <w:i/>
          <w:sz w:val="24"/>
          <w:szCs w:val="24"/>
        </w:rPr>
        <w:br w:type="page"/>
      </w:r>
    </w:p>
    <w:p w14:paraId="003A5458" w14:textId="77777777" w:rsidR="008E7846" w:rsidRDefault="00F53C07" w:rsidP="008E7846">
      <w:pPr>
        <w:pStyle w:val="Heading2"/>
      </w:pPr>
      <w:bookmarkStart w:id="8" w:name="_Toc89950066"/>
      <w:r>
        <w:lastRenderedPageBreak/>
        <w:t>I.</w:t>
      </w:r>
      <w:r w:rsidR="008E7846">
        <w:t xml:space="preserve"> Introduction to product submission</w:t>
      </w:r>
      <w:bookmarkEnd w:id="0"/>
      <w:bookmarkEnd w:id="2"/>
      <w:bookmarkEnd w:id="8"/>
    </w:p>
    <w:p w14:paraId="58C27288" w14:textId="77777777" w:rsidR="008E7846" w:rsidRDefault="008E7846" w:rsidP="008E7846">
      <w:pPr>
        <w:pStyle w:val="Heading3"/>
        <w:rPr>
          <w:lang w:eastAsia="en-AU"/>
        </w:rPr>
      </w:pPr>
      <w:bookmarkStart w:id="9" w:name="_Toc247691502"/>
      <w:bookmarkStart w:id="10" w:name="_Toc314842483"/>
      <w:bookmarkStart w:id="11" w:name="_Toc89950067"/>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78069601" w14:textId="77777777" w:rsidTr="003735BC">
        <w:tc>
          <w:tcPr>
            <w:tcW w:w="2907" w:type="dxa"/>
          </w:tcPr>
          <w:p w14:paraId="36B0BEF3" w14:textId="77777777" w:rsidR="008E7846" w:rsidRPr="003D1E62" w:rsidRDefault="001B5C90" w:rsidP="001B5C90">
            <w:pPr>
              <w:rPr>
                <w:i/>
              </w:rPr>
            </w:pPr>
            <w:bookmarkStart w:id="12" w:name="_Hlk89949178"/>
            <w:r>
              <w:rPr>
                <w:i/>
              </w:rPr>
              <w:t>Type of s</w:t>
            </w:r>
            <w:r w:rsidR="008E7846" w:rsidRPr="003D1E62">
              <w:rPr>
                <w:i/>
              </w:rPr>
              <w:t>ubmission</w:t>
            </w:r>
            <w:r>
              <w:rPr>
                <w:i/>
              </w:rPr>
              <w:t>:</w:t>
            </w:r>
          </w:p>
        </w:tc>
        <w:tc>
          <w:tcPr>
            <w:tcW w:w="6307" w:type="dxa"/>
          </w:tcPr>
          <w:p w14:paraId="359A3596" w14:textId="34FE9A32" w:rsidR="008E7846" w:rsidRPr="003D1E62" w:rsidRDefault="00A26305" w:rsidP="00FB50E5">
            <w:r>
              <w:t>M</w:t>
            </w:r>
            <w:r w:rsidR="008E7846" w:rsidRPr="003D1E62">
              <w:t xml:space="preserve">ajor </w:t>
            </w:r>
            <w:r w:rsidR="001B5C90">
              <w:t>v</w:t>
            </w:r>
            <w:r w:rsidR="008E7846" w:rsidRPr="003D1E62">
              <w:t>ariation (</w:t>
            </w:r>
            <w:r w:rsidR="00255745">
              <w:t>change of dose regimen and patient group</w:t>
            </w:r>
            <w:r w:rsidR="00FB50E5">
              <w:t>)</w:t>
            </w:r>
          </w:p>
        </w:tc>
      </w:tr>
      <w:bookmarkEnd w:id="12"/>
      <w:tr w:rsidR="00460036" w:rsidRPr="003D1E62" w14:paraId="01B93FF6" w14:textId="77777777" w:rsidTr="003735BC">
        <w:tc>
          <w:tcPr>
            <w:tcW w:w="2907" w:type="dxa"/>
          </w:tcPr>
          <w:p w14:paraId="2FB58E63" w14:textId="0201C035" w:rsidR="00460036" w:rsidRPr="003D1E62" w:rsidRDefault="00460036" w:rsidP="003D1E62">
            <w:pPr>
              <w:rPr>
                <w:i/>
              </w:rPr>
            </w:pPr>
            <w:r w:rsidRPr="00460036">
              <w:rPr>
                <w:i/>
              </w:rPr>
              <w:t>Product name:</w:t>
            </w:r>
          </w:p>
        </w:tc>
        <w:tc>
          <w:tcPr>
            <w:tcW w:w="6307" w:type="dxa"/>
          </w:tcPr>
          <w:p w14:paraId="632446B4" w14:textId="3ECD6402" w:rsidR="00460036" w:rsidRPr="003D1E62" w:rsidRDefault="00255745" w:rsidP="001B5C90">
            <w:proofErr w:type="spellStart"/>
            <w:r>
              <w:t>Spikevax</w:t>
            </w:r>
            <w:proofErr w:type="spellEnd"/>
          </w:p>
        </w:tc>
      </w:tr>
      <w:tr w:rsidR="00460036" w:rsidRPr="003D1E62" w14:paraId="69515D4E" w14:textId="77777777" w:rsidTr="003735BC">
        <w:tc>
          <w:tcPr>
            <w:tcW w:w="2907" w:type="dxa"/>
          </w:tcPr>
          <w:p w14:paraId="3AD7684E" w14:textId="18375735" w:rsidR="00460036" w:rsidRPr="003D1E62" w:rsidRDefault="00460036" w:rsidP="003D1E62">
            <w:pPr>
              <w:rPr>
                <w:i/>
              </w:rPr>
            </w:pPr>
            <w:r w:rsidRPr="00460036">
              <w:rPr>
                <w:i/>
              </w:rPr>
              <w:t>Active ingredient:</w:t>
            </w:r>
          </w:p>
        </w:tc>
        <w:tc>
          <w:tcPr>
            <w:tcW w:w="6307" w:type="dxa"/>
          </w:tcPr>
          <w:p w14:paraId="74C94B0E" w14:textId="4AD56DF9" w:rsidR="00460036" w:rsidRPr="003D1E62" w:rsidRDefault="00255745" w:rsidP="001B5C90">
            <w:proofErr w:type="spellStart"/>
            <w:r>
              <w:t>E</w:t>
            </w:r>
            <w:r w:rsidRPr="00255745">
              <w:t>lasomeran</w:t>
            </w:r>
            <w:proofErr w:type="spellEnd"/>
            <w:r>
              <w:t xml:space="preserve"> (</w:t>
            </w:r>
            <w:r w:rsidRPr="00255745">
              <w:t>mRNA-1273</w:t>
            </w:r>
            <w:r>
              <w:t>)</w:t>
            </w:r>
          </w:p>
        </w:tc>
      </w:tr>
      <w:tr w:rsidR="008E7846" w:rsidRPr="003D1E62" w14:paraId="6841968F" w14:textId="77777777" w:rsidTr="003735BC">
        <w:tc>
          <w:tcPr>
            <w:tcW w:w="2907" w:type="dxa"/>
          </w:tcPr>
          <w:p w14:paraId="71757809" w14:textId="77777777" w:rsidR="008E7846" w:rsidRPr="00077CB9" w:rsidRDefault="008E7846" w:rsidP="003D1E62">
            <w:r w:rsidRPr="00077CB9">
              <w:rPr>
                <w:i/>
              </w:rPr>
              <w:t>Decision</w:t>
            </w:r>
            <w:r w:rsidRPr="00077CB9">
              <w:t>:</w:t>
            </w:r>
          </w:p>
        </w:tc>
        <w:tc>
          <w:tcPr>
            <w:tcW w:w="6307" w:type="dxa"/>
          </w:tcPr>
          <w:p w14:paraId="428AF764" w14:textId="2E6E5B0A" w:rsidR="008E7846" w:rsidRPr="00077CB9" w:rsidRDefault="00F83149" w:rsidP="001B5C90">
            <w:r>
              <w:t>Approved</w:t>
            </w:r>
            <w:r w:rsidR="00235E83">
              <w:t xml:space="preserve"> for provisional registration</w:t>
            </w:r>
          </w:p>
        </w:tc>
      </w:tr>
      <w:tr w:rsidR="008E7846" w:rsidRPr="003D1E62" w14:paraId="30C6380A" w14:textId="77777777" w:rsidTr="003735BC">
        <w:tc>
          <w:tcPr>
            <w:tcW w:w="2907" w:type="dxa"/>
          </w:tcPr>
          <w:p w14:paraId="3739E6FB" w14:textId="77777777" w:rsidR="008E7846" w:rsidRPr="00077CB9" w:rsidRDefault="008E7846" w:rsidP="001B5C90">
            <w:pPr>
              <w:rPr>
                <w:i/>
              </w:rPr>
            </w:pPr>
            <w:r w:rsidRPr="00077CB9">
              <w:rPr>
                <w:i/>
              </w:rPr>
              <w:t xml:space="preserve">Date of </w:t>
            </w:r>
            <w:r w:rsidR="001B5C90" w:rsidRPr="00077CB9">
              <w:rPr>
                <w:i/>
              </w:rPr>
              <w:t>d</w:t>
            </w:r>
            <w:r w:rsidRPr="00077CB9">
              <w:rPr>
                <w:i/>
              </w:rPr>
              <w:t>ecision:</w:t>
            </w:r>
          </w:p>
        </w:tc>
        <w:tc>
          <w:tcPr>
            <w:tcW w:w="6307" w:type="dxa"/>
          </w:tcPr>
          <w:p w14:paraId="435F0EC3" w14:textId="28E06B07" w:rsidR="008E7846" w:rsidRPr="00077CB9" w:rsidRDefault="00F83149" w:rsidP="001B5C90">
            <w:r>
              <w:t>7 December 2021</w:t>
            </w:r>
          </w:p>
        </w:tc>
      </w:tr>
      <w:tr w:rsidR="00ED2922" w:rsidRPr="003D1E62" w14:paraId="6D5A3090" w14:textId="77777777" w:rsidTr="003735BC">
        <w:tc>
          <w:tcPr>
            <w:tcW w:w="2907" w:type="dxa"/>
          </w:tcPr>
          <w:p w14:paraId="3F60B25F" w14:textId="77777777" w:rsidR="00ED2922" w:rsidRPr="00077CB9" w:rsidRDefault="00ED2922" w:rsidP="001B5C90">
            <w:pPr>
              <w:rPr>
                <w:i/>
              </w:rPr>
            </w:pPr>
            <w:r w:rsidRPr="00077CB9">
              <w:rPr>
                <w:i/>
              </w:rPr>
              <w:t>Date of entry onto ARTG</w:t>
            </w:r>
            <w:r w:rsidR="00500337" w:rsidRPr="00077CB9">
              <w:rPr>
                <w:i/>
              </w:rPr>
              <w:t>:</w:t>
            </w:r>
          </w:p>
        </w:tc>
        <w:tc>
          <w:tcPr>
            <w:tcW w:w="6307" w:type="dxa"/>
          </w:tcPr>
          <w:p w14:paraId="7BA7BF13" w14:textId="234C2393" w:rsidR="00ED2922" w:rsidRPr="00077CB9" w:rsidRDefault="00F83149" w:rsidP="00D153D8">
            <w:pPr>
              <w:rPr>
                <w:iCs/>
              </w:rPr>
            </w:pPr>
            <w:r>
              <w:rPr>
                <w:iCs/>
              </w:rPr>
              <w:t xml:space="preserve">9 </w:t>
            </w:r>
            <w:r w:rsidR="00235E83">
              <w:rPr>
                <w:iCs/>
              </w:rPr>
              <w:t>December</w:t>
            </w:r>
            <w:r>
              <w:rPr>
                <w:iCs/>
              </w:rPr>
              <w:t xml:space="preserve"> 2021</w:t>
            </w:r>
          </w:p>
        </w:tc>
      </w:tr>
      <w:tr w:rsidR="00500337" w:rsidRPr="003D1E62" w14:paraId="38878AAA" w14:textId="77777777" w:rsidTr="003735BC">
        <w:tc>
          <w:tcPr>
            <w:tcW w:w="2907" w:type="dxa"/>
          </w:tcPr>
          <w:p w14:paraId="3805FD79" w14:textId="1E1952F4" w:rsidR="00500337" w:rsidRPr="00077CB9" w:rsidRDefault="00500337" w:rsidP="001B5C90">
            <w:pPr>
              <w:rPr>
                <w:i/>
              </w:rPr>
            </w:pPr>
            <w:r w:rsidRPr="00077CB9">
              <w:rPr>
                <w:i/>
              </w:rPr>
              <w:t>ARTG number:</w:t>
            </w:r>
          </w:p>
        </w:tc>
        <w:tc>
          <w:tcPr>
            <w:tcW w:w="6307" w:type="dxa"/>
          </w:tcPr>
          <w:p w14:paraId="58D9D9DB" w14:textId="503936F3" w:rsidR="00500337" w:rsidRPr="00077CB9" w:rsidRDefault="00525E2A" w:rsidP="00EC463D">
            <w:r w:rsidRPr="00077CB9">
              <w:t>370599</w:t>
            </w:r>
          </w:p>
        </w:tc>
      </w:tr>
      <w:tr w:rsidR="003735BC" w:rsidRPr="003D1E62" w14:paraId="247A475E" w14:textId="77777777" w:rsidTr="003735BC">
        <w:tc>
          <w:tcPr>
            <w:tcW w:w="2907" w:type="dxa"/>
          </w:tcPr>
          <w:p w14:paraId="42DF6902"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1"/>
            </w:r>
          </w:p>
        </w:tc>
        <w:tc>
          <w:tcPr>
            <w:tcW w:w="6307" w:type="dxa"/>
          </w:tcPr>
          <w:p w14:paraId="0FCC55FC" w14:textId="5122FBB2" w:rsidR="003735BC" w:rsidRPr="000D0F07" w:rsidRDefault="00186DD9" w:rsidP="003735BC">
            <w:r>
              <w:t>Yes</w:t>
            </w:r>
            <w:r w:rsidRPr="000D0F07">
              <w:t xml:space="preserve"> </w:t>
            </w:r>
          </w:p>
          <w:p w14:paraId="1F26899E" w14:textId="5F323E50" w:rsidR="003735BC" w:rsidRPr="00487162" w:rsidRDefault="003735BC" w:rsidP="003735BC">
            <w:r w:rsidRPr="000D0F07">
              <w:t>As a provisionally registered product, this medicine will remain in the Black Triangle Scheme for the duration of its provisional registration</w:t>
            </w:r>
          </w:p>
        </w:tc>
      </w:tr>
      <w:tr w:rsidR="008E7846" w:rsidRPr="00487162" w14:paraId="4C227F84" w14:textId="77777777" w:rsidTr="00BF1190">
        <w:tc>
          <w:tcPr>
            <w:tcW w:w="2907" w:type="dxa"/>
          </w:tcPr>
          <w:p w14:paraId="56C58EE0"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0F45C979" w14:textId="77777777" w:rsidR="008E7846" w:rsidRDefault="00A26305" w:rsidP="00E45619">
            <w:proofErr w:type="spellStart"/>
            <w:r w:rsidRPr="00A26305">
              <w:t>Moderna</w:t>
            </w:r>
            <w:proofErr w:type="spellEnd"/>
            <w:r w:rsidRPr="00A26305">
              <w:t xml:space="preserve"> Australia Pty Ltd</w:t>
            </w:r>
          </w:p>
          <w:p w14:paraId="0CEAB9EC" w14:textId="1D46771C" w:rsidR="00A26305" w:rsidRDefault="00255745" w:rsidP="00E45619">
            <w:r>
              <w:t>60 Martin Place</w:t>
            </w:r>
          </w:p>
          <w:p w14:paraId="7407039C" w14:textId="20899777" w:rsidR="00255745" w:rsidRPr="00487162" w:rsidRDefault="00255745" w:rsidP="00E45619">
            <w:r>
              <w:t>Sydney, NSW 2000</w:t>
            </w:r>
          </w:p>
        </w:tc>
      </w:tr>
      <w:tr w:rsidR="008E7846" w:rsidRPr="00487162" w14:paraId="4CCEF18C" w14:textId="77777777" w:rsidTr="00BF1190">
        <w:tc>
          <w:tcPr>
            <w:tcW w:w="2907" w:type="dxa"/>
          </w:tcPr>
          <w:p w14:paraId="6282D0EE" w14:textId="461ECDDB" w:rsidR="008E7846" w:rsidRPr="00487162" w:rsidRDefault="001B5C90" w:rsidP="00E45619">
            <w:pPr>
              <w:rPr>
                <w:i/>
              </w:rPr>
            </w:pPr>
            <w:r>
              <w:rPr>
                <w:i/>
              </w:rPr>
              <w:t>Dose form:</w:t>
            </w:r>
          </w:p>
        </w:tc>
        <w:tc>
          <w:tcPr>
            <w:tcW w:w="6307" w:type="dxa"/>
          </w:tcPr>
          <w:p w14:paraId="4F961C77" w14:textId="28AB3305" w:rsidR="008E7846" w:rsidRPr="00487162" w:rsidRDefault="003703CB" w:rsidP="00E45619">
            <w:r>
              <w:t>Suspension for injection</w:t>
            </w:r>
          </w:p>
        </w:tc>
      </w:tr>
      <w:tr w:rsidR="008E7846" w:rsidRPr="00487162" w14:paraId="36A18FC8" w14:textId="77777777" w:rsidTr="00BF1190">
        <w:tc>
          <w:tcPr>
            <w:tcW w:w="2907" w:type="dxa"/>
          </w:tcPr>
          <w:p w14:paraId="3A156C6A" w14:textId="26CC1D82" w:rsidR="008E7846" w:rsidRPr="00487162" w:rsidRDefault="00324E45" w:rsidP="00E45619">
            <w:pPr>
              <w:rPr>
                <w:i/>
              </w:rPr>
            </w:pPr>
            <w:r>
              <w:rPr>
                <w:i/>
              </w:rPr>
              <w:t>Strength:</w:t>
            </w:r>
          </w:p>
        </w:tc>
        <w:tc>
          <w:tcPr>
            <w:tcW w:w="6307" w:type="dxa"/>
          </w:tcPr>
          <w:p w14:paraId="62ECEF34" w14:textId="07C86106" w:rsidR="008E7846" w:rsidRPr="00487162" w:rsidRDefault="00D223DC" w:rsidP="00E45619">
            <w:r>
              <w:t>0.2 mg/mL</w:t>
            </w:r>
          </w:p>
        </w:tc>
      </w:tr>
      <w:tr w:rsidR="008E7846" w:rsidRPr="00487162" w14:paraId="22B03B7E" w14:textId="77777777" w:rsidTr="00BF1190">
        <w:tc>
          <w:tcPr>
            <w:tcW w:w="2907" w:type="dxa"/>
          </w:tcPr>
          <w:p w14:paraId="6F15C917" w14:textId="2D3ECF04" w:rsidR="008E7846" w:rsidRPr="00487162" w:rsidRDefault="008E7846" w:rsidP="00E45619">
            <w:pPr>
              <w:rPr>
                <w:i/>
              </w:rPr>
            </w:pPr>
            <w:r w:rsidRPr="00487162">
              <w:rPr>
                <w:i/>
              </w:rPr>
              <w:t>Container:</w:t>
            </w:r>
          </w:p>
        </w:tc>
        <w:tc>
          <w:tcPr>
            <w:tcW w:w="6307" w:type="dxa"/>
          </w:tcPr>
          <w:p w14:paraId="31D0649A" w14:textId="3C92BBD3" w:rsidR="008E7846" w:rsidRPr="00487162" w:rsidRDefault="007B6318" w:rsidP="00E45619">
            <w:r>
              <w:t>Vial</w:t>
            </w:r>
          </w:p>
        </w:tc>
      </w:tr>
      <w:tr w:rsidR="008E7846" w:rsidRPr="00487162" w14:paraId="46A43B7E" w14:textId="77777777" w:rsidTr="00BF1190">
        <w:tc>
          <w:tcPr>
            <w:tcW w:w="2907" w:type="dxa"/>
          </w:tcPr>
          <w:p w14:paraId="5DE7188E" w14:textId="2D1C93D6" w:rsidR="008E7846" w:rsidRPr="00487162" w:rsidRDefault="008E7846" w:rsidP="00E45619">
            <w:pPr>
              <w:rPr>
                <w:i/>
              </w:rPr>
            </w:pPr>
            <w:r w:rsidRPr="00487162">
              <w:rPr>
                <w:i/>
              </w:rPr>
              <w:t>Pack size:</w:t>
            </w:r>
          </w:p>
        </w:tc>
        <w:tc>
          <w:tcPr>
            <w:tcW w:w="6307" w:type="dxa"/>
          </w:tcPr>
          <w:p w14:paraId="05A5D9E1" w14:textId="0F18982B" w:rsidR="008E7846" w:rsidRPr="00487162" w:rsidRDefault="00077CB9" w:rsidP="00E45619">
            <w:r>
              <w:t>10</w:t>
            </w:r>
          </w:p>
        </w:tc>
      </w:tr>
      <w:tr w:rsidR="008E7846" w:rsidRPr="00487162" w14:paraId="3B1AB7E7" w14:textId="77777777" w:rsidTr="00BF1190">
        <w:tc>
          <w:tcPr>
            <w:tcW w:w="2907" w:type="dxa"/>
          </w:tcPr>
          <w:p w14:paraId="258B37CD"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4EC4C75C" w14:textId="77777777" w:rsidR="00077CB9" w:rsidRPr="00CD4D07" w:rsidRDefault="00077CB9" w:rsidP="00077CB9">
            <w:pPr>
              <w:rPr>
                <w:i/>
                <w:iCs/>
              </w:rPr>
            </w:pPr>
            <w:proofErr w:type="spellStart"/>
            <w:r w:rsidRPr="00CD4D07">
              <w:rPr>
                <w:i/>
                <w:iCs/>
              </w:rPr>
              <w:t>Spikevax</w:t>
            </w:r>
            <w:proofErr w:type="spellEnd"/>
            <w:r w:rsidRPr="00CD4D07">
              <w:rPr>
                <w:i/>
                <w:iCs/>
              </w:rPr>
              <w:t xml:space="preserve"> (</w:t>
            </w:r>
            <w:proofErr w:type="spellStart"/>
            <w:r w:rsidRPr="00CD4D07">
              <w:rPr>
                <w:i/>
                <w:iCs/>
              </w:rPr>
              <w:t>elasomeran</w:t>
            </w:r>
            <w:proofErr w:type="spellEnd"/>
            <w:r w:rsidRPr="00CD4D07">
              <w:rPr>
                <w:i/>
                <w:iCs/>
              </w:rPr>
              <w:t>) COVID-19 vaccine has provisional approval for the indication below:</w:t>
            </w:r>
          </w:p>
          <w:p w14:paraId="6E20EEA2" w14:textId="77777777" w:rsidR="00077CB9" w:rsidRPr="00CD4D07" w:rsidRDefault="00077CB9" w:rsidP="00077CB9">
            <w:pPr>
              <w:rPr>
                <w:i/>
                <w:iCs/>
              </w:rPr>
            </w:pPr>
            <w:r w:rsidRPr="00CD4D07">
              <w:rPr>
                <w:i/>
                <w:iCs/>
              </w:rPr>
              <w:t>Active immunisation to prevent coronavirus disease 2019 (COVID-19) caused by SARS-CoV-2 in individuals 18 years of age and older.</w:t>
            </w:r>
          </w:p>
          <w:p w14:paraId="006FB15F" w14:textId="77777777" w:rsidR="00077CB9" w:rsidRPr="00CD4D07" w:rsidRDefault="00077CB9" w:rsidP="00077CB9">
            <w:pPr>
              <w:rPr>
                <w:i/>
                <w:iCs/>
              </w:rPr>
            </w:pPr>
            <w:r w:rsidRPr="00CD4D07">
              <w:rPr>
                <w:i/>
                <w:iCs/>
              </w:rPr>
              <w:t>The use of this vaccine should be in accordance with official recommendations</w:t>
            </w:r>
            <w:r>
              <w:rPr>
                <w:i/>
                <w:iCs/>
              </w:rPr>
              <w:t>.</w:t>
            </w:r>
          </w:p>
          <w:p w14:paraId="68E883F2" w14:textId="57F42802" w:rsidR="008E7846" w:rsidRPr="00487162" w:rsidRDefault="00077CB9" w:rsidP="00077CB9">
            <w:pPr>
              <w:rPr>
                <w:rFonts w:eastAsia="MS Mincho"/>
                <w:lang w:eastAsia="ja-JP"/>
              </w:rPr>
            </w:pPr>
            <w:r w:rsidRPr="00CD4D07">
              <w:rPr>
                <w:i/>
                <w:iCs/>
              </w:rPr>
              <w:t xml:space="preserve">The decision has been made </w:t>
            </w:r>
            <w:proofErr w:type="gramStart"/>
            <w:r w:rsidRPr="00CD4D07">
              <w:rPr>
                <w:i/>
                <w:iCs/>
              </w:rPr>
              <w:t>on the basis of</w:t>
            </w:r>
            <w:proofErr w:type="gramEnd"/>
            <w:r w:rsidRPr="00CD4D07">
              <w:rPr>
                <w:i/>
                <w:iCs/>
              </w:rPr>
              <w:t xml:space="preserve"> short-term efficacy and safety data. Continued approval depends on the evidence of </w:t>
            </w:r>
            <w:proofErr w:type="gramStart"/>
            <w:r w:rsidRPr="00CD4D07">
              <w:rPr>
                <w:i/>
                <w:iCs/>
              </w:rPr>
              <w:t>longer term</w:t>
            </w:r>
            <w:proofErr w:type="gramEnd"/>
            <w:r w:rsidRPr="00CD4D07">
              <w:rPr>
                <w:i/>
                <w:iCs/>
              </w:rPr>
              <w:t xml:space="preserve"> efficacy and safety from ongoing clinical trials</w:t>
            </w:r>
            <w:r>
              <w:rPr>
                <w:i/>
                <w:iCs/>
              </w:rPr>
              <w:t xml:space="preserve"> </w:t>
            </w:r>
            <w:r w:rsidRPr="00CD4D07">
              <w:rPr>
                <w:i/>
                <w:iCs/>
              </w:rPr>
              <w:t>and post-market assessment.</w:t>
            </w:r>
          </w:p>
        </w:tc>
      </w:tr>
      <w:tr w:rsidR="008E7846" w:rsidRPr="00487162" w14:paraId="6C81B3E2" w14:textId="77777777" w:rsidTr="00BF1190">
        <w:tc>
          <w:tcPr>
            <w:tcW w:w="2907" w:type="dxa"/>
          </w:tcPr>
          <w:p w14:paraId="0B0DDC5B" w14:textId="7D078EE1" w:rsidR="008E7846" w:rsidRPr="00487162" w:rsidRDefault="008E7846" w:rsidP="00E45619">
            <w:pPr>
              <w:rPr>
                <w:i/>
              </w:rPr>
            </w:pPr>
            <w:r w:rsidRPr="00487162">
              <w:rPr>
                <w:i/>
              </w:rPr>
              <w:lastRenderedPageBreak/>
              <w:t>Route of administration:</w:t>
            </w:r>
          </w:p>
        </w:tc>
        <w:tc>
          <w:tcPr>
            <w:tcW w:w="6307" w:type="dxa"/>
          </w:tcPr>
          <w:p w14:paraId="2DCB54D1" w14:textId="5B4B2549" w:rsidR="008E7846" w:rsidRPr="00487162" w:rsidRDefault="0098335D" w:rsidP="00E45619">
            <w:r>
              <w:t>Intramuscular</w:t>
            </w:r>
          </w:p>
        </w:tc>
      </w:tr>
      <w:tr w:rsidR="008E7846" w:rsidRPr="00487162" w14:paraId="794158E5" w14:textId="77777777" w:rsidTr="00BF1190">
        <w:tc>
          <w:tcPr>
            <w:tcW w:w="2907" w:type="dxa"/>
          </w:tcPr>
          <w:p w14:paraId="46DEDCC3" w14:textId="77777777" w:rsidR="008E7846" w:rsidRPr="00487162" w:rsidRDefault="008E7846" w:rsidP="00E45619">
            <w:pPr>
              <w:rPr>
                <w:i/>
              </w:rPr>
            </w:pPr>
            <w:r w:rsidRPr="00487162">
              <w:rPr>
                <w:i/>
              </w:rPr>
              <w:t>Dosage:</w:t>
            </w:r>
          </w:p>
        </w:tc>
        <w:tc>
          <w:tcPr>
            <w:tcW w:w="6307" w:type="dxa"/>
          </w:tcPr>
          <w:p w14:paraId="14D0E218" w14:textId="77777777" w:rsidR="00077CB9" w:rsidRPr="00077CB9" w:rsidRDefault="00077CB9" w:rsidP="00077CB9">
            <w:r w:rsidRPr="00077CB9">
              <w:t>Booster Dose</w:t>
            </w:r>
          </w:p>
          <w:p w14:paraId="026736A6" w14:textId="77777777" w:rsidR="00077CB9" w:rsidRDefault="00077CB9" w:rsidP="00077CB9">
            <w:r w:rsidRPr="00077CB9">
              <w:t xml:space="preserve">Individuals 18 years of age and older </w:t>
            </w:r>
            <w:proofErr w:type="spellStart"/>
            <w:r w:rsidRPr="00077CB9">
              <w:t>Spikevax</w:t>
            </w:r>
            <w:proofErr w:type="spellEnd"/>
            <w:r w:rsidRPr="00077CB9">
              <w:t xml:space="preserve"> is administered intramuscularly as a single booster dose (0.25 mL; 50 micrograms) at least 6 months after completing a primary series.</w:t>
            </w:r>
          </w:p>
          <w:p w14:paraId="3C8F056A" w14:textId="07E4BDD7" w:rsidR="00077CB9" w:rsidRPr="00077CB9" w:rsidRDefault="00077CB9" w:rsidP="00077CB9">
            <w:r w:rsidRPr="00077CB9">
              <w:t xml:space="preserve">The decision when and for whom to implement a booster (third dose) of </w:t>
            </w:r>
            <w:proofErr w:type="spellStart"/>
            <w:r w:rsidRPr="00077CB9">
              <w:t>S</w:t>
            </w:r>
            <w:r w:rsidR="0039605C">
              <w:t>pikevax</w:t>
            </w:r>
            <w:proofErr w:type="spellEnd"/>
            <w:r w:rsidRPr="00077CB9">
              <w:t xml:space="preserve"> should be made based on available vaccine safety and effectiveness data (see sections 4.4 Special warning and precautions for use and 5.1 Pharmacodynamic properties), in accordance with official recommendations.</w:t>
            </w:r>
          </w:p>
          <w:p w14:paraId="09FAE574" w14:textId="58793264" w:rsidR="00460036" w:rsidRPr="00487162" w:rsidRDefault="00460036" w:rsidP="00077CB9">
            <w:r w:rsidRPr="00856A35">
              <w:t>For further information regarding dosage, refer to the Product Information.</w:t>
            </w:r>
          </w:p>
        </w:tc>
      </w:tr>
      <w:tr w:rsidR="00460036" w:rsidRPr="00487162" w14:paraId="18199250" w14:textId="77777777" w:rsidTr="00077CB9">
        <w:trPr>
          <w:cantSplit/>
        </w:trPr>
        <w:tc>
          <w:tcPr>
            <w:tcW w:w="2907" w:type="dxa"/>
          </w:tcPr>
          <w:p w14:paraId="5AFC4D83" w14:textId="77777777" w:rsidR="00460036" w:rsidRPr="00487162" w:rsidRDefault="00460036" w:rsidP="00E45619">
            <w:pPr>
              <w:rPr>
                <w:i/>
              </w:rPr>
            </w:pPr>
            <w:r w:rsidRPr="00460036">
              <w:rPr>
                <w:i/>
              </w:rPr>
              <w:t>Pregnancy category</w:t>
            </w:r>
            <w:r>
              <w:rPr>
                <w:i/>
              </w:rPr>
              <w:t>:</w:t>
            </w:r>
          </w:p>
        </w:tc>
        <w:tc>
          <w:tcPr>
            <w:tcW w:w="6307" w:type="dxa"/>
          </w:tcPr>
          <w:p w14:paraId="1C369267" w14:textId="70258A5C" w:rsidR="00460036" w:rsidRDefault="007B6318" w:rsidP="007B6318">
            <w:r>
              <w:t>B1</w:t>
            </w:r>
          </w:p>
          <w:p w14:paraId="536F10D0" w14:textId="0DF6B866" w:rsidR="007B6318" w:rsidRDefault="007B6318" w:rsidP="007B6318">
            <w:r>
              <w:t xml:space="preserve">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w:t>
            </w:r>
          </w:p>
          <w:p w14:paraId="6B39D525" w14:textId="66E4D5D9" w:rsidR="007B6318" w:rsidRPr="007B6318" w:rsidRDefault="007B6318" w:rsidP="007B6318">
            <w:r>
              <w:t xml:space="preserve">Studies in animals have not shown evidence of an increased occurrence of </w:t>
            </w:r>
            <w:proofErr w:type="spellStart"/>
            <w:r>
              <w:t>fetal</w:t>
            </w:r>
            <w:proofErr w:type="spellEnd"/>
            <w:r>
              <w:t xml:space="preserve"> damage.</w:t>
            </w:r>
          </w:p>
          <w:p w14:paraId="01B501FA" w14:textId="7F2883C0" w:rsidR="00460036" w:rsidRPr="007B6318" w:rsidRDefault="00460036" w:rsidP="00460036">
            <w:r w:rsidRPr="007B6318">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280ECD46" w14:textId="77777777" w:rsidR="008E7846" w:rsidRDefault="008E7846" w:rsidP="008E7846">
      <w:pPr>
        <w:pStyle w:val="Heading3"/>
      </w:pPr>
      <w:bookmarkStart w:id="13" w:name="_Toc247691503"/>
      <w:bookmarkStart w:id="14" w:name="_Toc314842484"/>
      <w:bookmarkStart w:id="15" w:name="_Toc89950068"/>
      <w:r>
        <w:t>Product background</w:t>
      </w:r>
      <w:bookmarkEnd w:id="13"/>
      <w:bookmarkEnd w:id="14"/>
      <w:bookmarkEnd w:id="15"/>
    </w:p>
    <w:p w14:paraId="5AE5C87A" w14:textId="04C77905" w:rsidR="008E7846" w:rsidRDefault="00250271" w:rsidP="00940A89">
      <w:r w:rsidRPr="00250271">
        <w:t xml:space="preserve">This </w:t>
      </w:r>
      <w:proofErr w:type="spellStart"/>
      <w:r w:rsidRPr="00250271">
        <w:t>AusPAR</w:t>
      </w:r>
      <w:proofErr w:type="spellEnd"/>
      <w:r w:rsidRPr="00250271">
        <w:t xml:space="preserve"> describes the application by </w:t>
      </w:r>
      <w:proofErr w:type="spellStart"/>
      <w:r w:rsidR="003703CB">
        <w:t>Moderna</w:t>
      </w:r>
      <w:proofErr w:type="spellEnd"/>
      <w:r w:rsidR="003703CB">
        <w:t xml:space="preserve"> Australia Pty Ltd</w:t>
      </w:r>
      <w:r w:rsidRPr="00250271">
        <w:t xml:space="preserve"> (the sponsor) to </w:t>
      </w:r>
      <w:r w:rsidR="004E697C">
        <w:t>make changes to the registration of</w:t>
      </w:r>
      <w:r w:rsidR="00D7030A">
        <w:t xml:space="preserve"> </w:t>
      </w:r>
      <w:proofErr w:type="spellStart"/>
      <w:r w:rsidR="003703CB">
        <w:t>Spikevax</w:t>
      </w:r>
      <w:proofErr w:type="spellEnd"/>
      <w:r w:rsidRPr="00250271">
        <w:t xml:space="preserve"> (</w:t>
      </w:r>
      <w:proofErr w:type="spellStart"/>
      <w:r w:rsidR="007B6318">
        <w:t>e</w:t>
      </w:r>
      <w:r w:rsidR="003703CB" w:rsidRPr="00255745">
        <w:t>lasomeran</w:t>
      </w:r>
      <w:proofErr w:type="spellEnd"/>
      <w:r w:rsidR="003703CB">
        <w:t xml:space="preserve"> (</w:t>
      </w:r>
      <w:r w:rsidR="003703CB" w:rsidRPr="00255745">
        <w:t>mRNA-1273</w:t>
      </w:r>
      <w:r w:rsidR="003703CB">
        <w:t>)</w:t>
      </w:r>
      <w:r w:rsidRPr="00250271">
        <w:t xml:space="preserve">) </w:t>
      </w:r>
      <w:r w:rsidR="007B6318">
        <w:t>0.2 mg/</w:t>
      </w:r>
      <w:r w:rsidR="003703CB" w:rsidRPr="00E56FB3">
        <w:t>mL</w:t>
      </w:r>
      <w:r w:rsidR="003703CB">
        <w:t xml:space="preserve"> suspension for injection</w:t>
      </w:r>
      <w:r w:rsidR="004E697C">
        <w:t>, including</w:t>
      </w:r>
      <w:r w:rsidR="00D7030A">
        <w:t xml:space="preserve"> </w:t>
      </w:r>
      <w:r w:rsidR="00CD15CB">
        <w:t>changes to the dosage regimen and the Product Information (PI)</w:t>
      </w:r>
      <w:r w:rsidR="00CD15CB">
        <w:rPr>
          <w:rStyle w:val="FootnoteReference"/>
        </w:rPr>
        <w:footnoteReference w:id="2"/>
      </w:r>
      <w:r w:rsidR="004E697C">
        <w:t xml:space="preserve"> as follows</w:t>
      </w:r>
      <w:r w:rsidR="00CD15CB">
        <w:t>:</w:t>
      </w:r>
    </w:p>
    <w:p w14:paraId="3CB23CB5" w14:textId="4E1709BF" w:rsidR="00BA638C" w:rsidRDefault="00BA638C" w:rsidP="00BA638C">
      <w:pPr>
        <w:pStyle w:val="ListBullet"/>
      </w:pPr>
      <w:r>
        <w:t>Extension of dose regimen to include a booster dose</w:t>
      </w:r>
      <w:r w:rsidR="004E697C">
        <w:t>:</w:t>
      </w:r>
    </w:p>
    <w:p w14:paraId="4F237402" w14:textId="31A35A6A" w:rsidR="00BA638C" w:rsidRPr="00771E57" w:rsidRDefault="00BA638C" w:rsidP="00771E57">
      <w:pPr>
        <w:ind w:left="720"/>
        <w:rPr>
          <w:i/>
          <w:iCs/>
        </w:rPr>
      </w:pPr>
      <w:r w:rsidRPr="00771E57">
        <w:rPr>
          <w:i/>
          <w:iCs/>
        </w:rPr>
        <w:t>A booster do</w:t>
      </w:r>
      <w:r w:rsidR="00600B98" w:rsidRPr="00771E57">
        <w:rPr>
          <w:i/>
          <w:iCs/>
        </w:rPr>
        <w:t>se</w:t>
      </w:r>
      <w:r w:rsidRPr="00771E57">
        <w:rPr>
          <w:i/>
          <w:iCs/>
        </w:rPr>
        <w:t xml:space="preserve"> (third dose)</w:t>
      </w:r>
      <w:r w:rsidR="00DB321B" w:rsidRPr="00771E57">
        <w:rPr>
          <w:i/>
          <w:iCs/>
        </w:rPr>
        <w:t xml:space="preserve"> of </w:t>
      </w:r>
      <w:proofErr w:type="spellStart"/>
      <w:r w:rsidR="00DB321B" w:rsidRPr="00771E57">
        <w:rPr>
          <w:i/>
          <w:iCs/>
        </w:rPr>
        <w:t>Spikevax</w:t>
      </w:r>
      <w:proofErr w:type="spellEnd"/>
      <w:r w:rsidR="00DB321B" w:rsidRPr="00771E57">
        <w:rPr>
          <w:i/>
          <w:iCs/>
        </w:rPr>
        <w:t xml:space="preserve"> </w:t>
      </w:r>
      <w:r w:rsidR="00492975" w:rsidRPr="00771E57">
        <w:rPr>
          <w:i/>
          <w:iCs/>
        </w:rPr>
        <w:t>may be administered</w:t>
      </w:r>
      <w:r w:rsidR="000A7D96" w:rsidRPr="00771E57">
        <w:rPr>
          <w:i/>
          <w:iCs/>
        </w:rPr>
        <w:t xml:space="preserve"> </w:t>
      </w:r>
      <w:r w:rsidRPr="00771E57">
        <w:rPr>
          <w:i/>
          <w:iCs/>
        </w:rPr>
        <w:t xml:space="preserve">in adolescents and adults aged 12 years and older who received primary COVID-19 vaccination with </w:t>
      </w:r>
      <w:proofErr w:type="spellStart"/>
      <w:r w:rsidRPr="00771E57">
        <w:rPr>
          <w:i/>
          <w:iCs/>
        </w:rPr>
        <w:t>Spikevax</w:t>
      </w:r>
      <w:proofErr w:type="spellEnd"/>
      <w:r w:rsidRPr="00771E57">
        <w:rPr>
          <w:i/>
          <w:iCs/>
        </w:rPr>
        <w:t xml:space="preserve"> or another authorised or approved COVID-19 vaccine at least 6 months prior. </w:t>
      </w:r>
    </w:p>
    <w:p w14:paraId="15ACF7CE" w14:textId="64DDBCA6" w:rsidR="00DB321B" w:rsidRDefault="00600B98" w:rsidP="00DB321B">
      <w:pPr>
        <w:pStyle w:val="ListBullet"/>
      </w:pPr>
      <w:r>
        <w:lastRenderedPageBreak/>
        <w:t>Extension of patient group and a</w:t>
      </w:r>
      <w:r w:rsidR="00DB321B">
        <w:t>lter</w:t>
      </w:r>
      <w:r w:rsidR="002D256B">
        <w:t>ing</w:t>
      </w:r>
      <w:r w:rsidR="00DB321B">
        <w:t xml:space="preserve"> </w:t>
      </w:r>
      <w:r w:rsidR="00DB321B" w:rsidRPr="00DB321B">
        <w:t xml:space="preserve">the dose regimen for immunocompromised </w:t>
      </w:r>
      <w:r>
        <w:t xml:space="preserve">individuals </w:t>
      </w:r>
      <w:r w:rsidR="000A62FE">
        <w:t xml:space="preserve">aged </w:t>
      </w:r>
      <w:r>
        <w:t>at least 18 years</w:t>
      </w:r>
      <w:r w:rsidR="000A62FE">
        <w:t xml:space="preserve"> and over</w:t>
      </w:r>
      <w:r w:rsidR="004E697C">
        <w:t>:</w:t>
      </w:r>
    </w:p>
    <w:p w14:paraId="0BBA8208" w14:textId="05A7B265" w:rsidR="002D256B" w:rsidRDefault="00600B98" w:rsidP="00771E57">
      <w:pPr>
        <w:ind w:left="720"/>
      </w:pPr>
      <w:r w:rsidRPr="00771E57">
        <w:rPr>
          <w:i/>
          <w:iCs/>
        </w:rPr>
        <w:t>A</w:t>
      </w:r>
      <w:r w:rsidR="002D256B" w:rsidRPr="00771E57">
        <w:rPr>
          <w:i/>
          <w:iCs/>
        </w:rPr>
        <w:t xml:space="preserve"> third</w:t>
      </w:r>
      <w:r w:rsidRPr="00771E57">
        <w:rPr>
          <w:i/>
          <w:iCs/>
        </w:rPr>
        <w:t xml:space="preserve"> </w:t>
      </w:r>
      <w:r w:rsidR="002D256B" w:rsidRPr="00771E57">
        <w:rPr>
          <w:i/>
          <w:iCs/>
        </w:rPr>
        <w:t xml:space="preserve">dose </w:t>
      </w:r>
      <w:r w:rsidRPr="00771E57">
        <w:rPr>
          <w:i/>
          <w:iCs/>
        </w:rPr>
        <w:t xml:space="preserve">of </w:t>
      </w:r>
      <w:proofErr w:type="spellStart"/>
      <w:r w:rsidRPr="00771E57">
        <w:rPr>
          <w:i/>
          <w:iCs/>
        </w:rPr>
        <w:t>Spikevax</w:t>
      </w:r>
      <w:proofErr w:type="spellEnd"/>
      <w:r w:rsidR="000A7D96" w:rsidRPr="00771E57">
        <w:rPr>
          <w:i/>
          <w:iCs/>
        </w:rPr>
        <w:t xml:space="preserve"> </w:t>
      </w:r>
      <w:r w:rsidR="00492975" w:rsidRPr="00771E57">
        <w:rPr>
          <w:i/>
          <w:iCs/>
        </w:rPr>
        <w:t xml:space="preserve">may be administered </w:t>
      </w:r>
      <w:r w:rsidR="002D256B" w:rsidRPr="00771E57">
        <w:rPr>
          <w:i/>
          <w:iCs/>
        </w:rPr>
        <w:t xml:space="preserve">at least 28 days following the first two doses of </w:t>
      </w:r>
      <w:proofErr w:type="spellStart"/>
      <w:r w:rsidRPr="00771E57">
        <w:rPr>
          <w:i/>
          <w:iCs/>
        </w:rPr>
        <w:t>Spikevax</w:t>
      </w:r>
      <w:proofErr w:type="spellEnd"/>
      <w:r w:rsidR="000A7D96" w:rsidRPr="00771E57">
        <w:rPr>
          <w:i/>
          <w:iCs/>
        </w:rPr>
        <w:t xml:space="preserve"> </w:t>
      </w:r>
      <w:r w:rsidR="000A62FE" w:rsidRPr="00771E57">
        <w:rPr>
          <w:i/>
          <w:iCs/>
        </w:rPr>
        <w:t>in individuals at least 18 years of age who have undergone solid organ transplantation, or who are diagnosed with conditions that are considered to have an equivalent level of immunocompromise</w:t>
      </w:r>
      <w:r w:rsidR="000A62FE">
        <w:t>.</w:t>
      </w:r>
    </w:p>
    <w:p w14:paraId="5C7614A4" w14:textId="10CA0D52" w:rsidR="00C3534F" w:rsidRDefault="00723BAA" w:rsidP="00723BAA">
      <w:r>
        <w:t>Coronavirus disease 2019 (COVID-19) i</w:t>
      </w:r>
      <w:r w:rsidR="005E0E5B">
        <w:t xml:space="preserve">s an infectious disease with mainly respiratory symptoms </w:t>
      </w:r>
      <w:r>
        <w:t xml:space="preserve">caused by severe acute respiratory </w:t>
      </w:r>
      <w:r w:rsidR="00C3534F">
        <w:t xml:space="preserve">syndrome coronavirus 2 </w:t>
      </w:r>
      <w:r>
        <w:t xml:space="preserve">(SARS-CoV-2), a zoonotic virus that first emerged as a human pathogen in </w:t>
      </w:r>
      <w:r w:rsidR="005C48A5">
        <w:t xml:space="preserve">December 2019 </w:t>
      </w:r>
      <w:r>
        <w:t>and has rapidly spread around the world by human</w:t>
      </w:r>
      <w:r w:rsidR="005C48A5">
        <w:t>-</w:t>
      </w:r>
      <w:r>
        <w:t>to</w:t>
      </w:r>
      <w:r w:rsidR="005C48A5">
        <w:t>-</w:t>
      </w:r>
      <w:r>
        <w:t>human transmission.</w:t>
      </w:r>
    </w:p>
    <w:p w14:paraId="510BCA2C" w14:textId="1E239646" w:rsidR="00113525" w:rsidRDefault="005C48A5" w:rsidP="00723BAA">
      <w:r>
        <w:t>Following the initial outbreak of</w:t>
      </w:r>
      <w:r w:rsidR="00723BAA">
        <w:t xml:space="preserve"> pneumonia</w:t>
      </w:r>
      <w:r w:rsidR="00A21AFD">
        <w:t xml:space="preserve"> </w:t>
      </w:r>
      <w:r w:rsidR="00723BAA">
        <w:t xml:space="preserve">of </w:t>
      </w:r>
      <w:r>
        <w:t xml:space="preserve">an </w:t>
      </w:r>
      <w:r w:rsidR="00723BAA">
        <w:t>unknown cause</w:t>
      </w:r>
      <w:r w:rsidR="00A21AFD">
        <w:t>,</w:t>
      </w:r>
      <w:r w:rsidR="00723BAA">
        <w:t xml:space="preserve"> </w:t>
      </w:r>
      <w:r>
        <w:t>by</w:t>
      </w:r>
      <w:r w:rsidR="00723BAA">
        <w:t xml:space="preserve"> January 2020, it became clear that a novel Coronavirus (</w:t>
      </w:r>
      <w:r w:rsidR="00A21AFD">
        <w:t xml:space="preserve">initially </w:t>
      </w:r>
      <w:r w:rsidR="00723BAA">
        <w:t>named 2019-nCoV</w:t>
      </w:r>
      <w:r w:rsidR="00A21AFD">
        <w:t xml:space="preserve"> by the World Health Organization (WHO)</w:t>
      </w:r>
      <w:r w:rsidR="00723BAA">
        <w:t xml:space="preserve">, </w:t>
      </w:r>
      <w:r w:rsidR="00A21AFD">
        <w:t xml:space="preserve">and </w:t>
      </w:r>
      <w:r w:rsidR="00723BAA">
        <w:t xml:space="preserve">later </w:t>
      </w:r>
      <w:r w:rsidR="006A3DA3">
        <w:t>designated as being</w:t>
      </w:r>
      <w:r w:rsidR="00723BAA">
        <w:t xml:space="preserve"> SARS-CoV-2</w:t>
      </w:r>
      <w:r w:rsidR="00A21AFD">
        <w:t xml:space="preserve"> by the International Committee on the Taxonomy of Viruses</w:t>
      </w:r>
      <w:r w:rsidR="00723BAA">
        <w:t>) was the underly</w:t>
      </w:r>
      <w:r w:rsidR="006A3DA3">
        <w:t>-19</w:t>
      </w:r>
      <w:r w:rsidR="00723BAA">
        <w:t>ng cause.</w:t>
      </w:r>
      <w:r w:rsidR="00C3534F">
        <w:rPr>
          <w:rStyle w:val="FootnoteReference"/>
        </w:rPr>
        <w:footnoteReference w:id="3"/>
      </w:r>
      <w:r w:rsidR="00723BAA">
        <w:t xml:space="preserve"> In early January 2020, the genetic sequence of </w:t>
      </w:r>
      <w:r w:rsidR="00A21AFD">
        <w:t>SARS-CoV-2</w:t>
      </w:r>
      <w:r w:rsidR="00723BAA">
        <w:t xml:space="preserve"> became </w:t>
      </w:r>
      <w:r w:rsidR="00A21AFD">
        <w:t xml:space="preserve">known </w:t>
      </w:r>
      <w:r w:rsidR="00723BAA">
        <w:t xml:space="preserve">to the WHO and </w:t>
      </w:r>
      <w:r w:rsidR="00113525">
        <w:t xml:space="preserve">the </w:t>
      </w:r>
      <w:r w:rsidR="00723BAA">
        <w:t>public, and the virus was categori</w:t>
      </w:r>
      <w:r w:rsidR="00113525">
        <w:t>sed</w:t>
      </w:r>
      <w:r w:rsidR="00723BAA">
        <w:t xml:space="preserve"> in the </w:t>
      </w:r>
      <w:r w:rsidR="00113525">
        <w:t>b</w:t>
      </w:r>
      <w:r w:rsidR="00723BAA">
        <w:t>eta</w:t>
      </w:r>
      <w:r w:rsidR="00113525">
        <w:t>-</w:t>
      </w:r>
      <w:r w:rsidR="00723BAA">
        <w:t>coronavirus subfamily. By sequence analysis, the phylogenetic tree revealed a closer relationship to severe acute respiratory syndrome (SARS) virus isolates than to other coronaviruses that infect humans, including the Middle East respiratory syndrome coronavirus</w:t>
      </w:r>
      <w:r w:rsidR="00113525">
        <w:t xml:space="preserve"> (MERS-</w:t>
      </w:r>
      <w:proofErr w:type="spellStart"/>
      <w:r w:rsidR="00113525">
        <w:t>CoV</w:t>
      </w:r>
      <w:proofErr w:type="spellEnd"/>
      <w:r w:rsidR="00113525">
        <w:t>)</w:t>
      </w:r>
      <w:r w:rsidR="00723BAA">
        <w:t>.</w:t>
      </w:r>
    </w:p>
    <w:p w14:paraId="3434DA6E" w14:textId="49E99173" w:rsidR="00F70637" w:rsidRDefault="00AE64E5" w:rsidP="00AE64E5">
      <w:pPr>
        <w:rPr>
          <w:vertAlign w:val="superscript"/>
        </w:rPr>
      </w:pPr>
      <w:r>
        <w:t>The virus causes a respiratory illness in people known as COVID-19, which is thought to spread primarily via respiratory droplets and aerosol transmission between people who are in close contact.</w:t>
      </w:r>
      <w:r w:rsidR="005A2D7D">
        <w:rPr>
          <w:rStyle w:val="FootnoteReference"/>
        </w:rPr>
        <w:footnoteReference w:id="4"/>
      </w:r>
      <w:r w:rsidR="00D7030A">
        <w:t xml:space="preserve"> </w:t>
      </w:r>
      <w:r>
        <w:t xml:space="preserve">After </w:t>
      </w:r>
      <w:r w:rsidR="00873A4C">
        <w:t xml:space="preserve">an </w:t>
      </w:r>
      <w:r>
        <w:t xml:space="preserve">incubation </w:t>
      </w:r>
      <w:r w:rsidR="009C1AD6">
        <w:t xml:space="preserve">period </w:t>
      </w:r>
      <w:r>
        <w:t>of around 5 days (range: 1 to 14), common clinical manifestations include fever, cough, dyspnoea and myalgia.</w:t>
      </w:r>
      <w:r w:rsidR="005A2D7D">
        <w:rPr>
          <w:rStyle w:val="FootnoteReference"/>
        </w:rPr>
        <w:footnoteReference w:id="5"/>
      </w:r>
      <w:r w:rsidR="00F70637" w:rsidRPr="00F70637">
        <w:rPr>
          <w:vertAlign w:val="superscript"/>
        </w:rPr>
        <w:t>,</w:t>
      </w:r>
      <w:r w:rsidR="00F70637">
        <w:rPr>
          <w:rStyle w:val="FootnoteReference"/>
        </w:rPr>
        <w:footnoteReference w:id="6"/>
      </w:r>
    </w:p>
    <w:p w14:paraId="14893DF0" w14:textId="41B7BA6C" w:rsidR="00AE64E5" w:rsidRDefault="006A3DA3" w:rsidP="00AE64E5">
      <w:r>
        <w:t>The s</w:t>
      </w:r>
      <w:r w:rsidR="00AE64E5">
        <w:t xml:space="preserve">everity </w:t>
      </w:r>
      <w:r>
        <w:t xml:space="preserve">of COVID </w:t>
      </w:r>
      <w:r w:rsidR="00AE64E5">
        <w:t>ranges from asymptomatic or mild presentations, to severe cases requiring intensive care/respiratory support</w:t>
      </w:r>
      <w:r w:rsidR="004E697C">
        <w:t xml:space="preserve"> and the fatality rate is currently </w:t>
      </w:r>
      <w:r w:rsidR="00AE64E5">
        <w:t xml:space="preserve"> </w:t>
      </w:r>
      <w:r w:rsidR="009C1AD6">
        <w:t>about</w:t>
      </w:r>
      <w:r w:rsidR="00AE64E5">
        <w:t xml:space="preserve"> 2%</w:t>
      </w:r>
      <w:r w:rsidR="001D68F0">
        <w:t>.</w:t>
      </w:r>
      <w:r w:rsidR="001D68F0">
        <w:rPr>
          <w:rStyle w:val="FootnoteReference"/>
        </w:rPr>
        <w:footnoteReference w:id="7"/>
      </w:r>
      <w:r w:rsidR="00AE64E5">
        <w:t xml:space="preserve"> Increasing age is a strong risk factor for morbidity and mortality associated with COVID</w:t>
      </w:r>
      <w:r>
        <w:noBreakHyphen/>
      </w:r>
      <w:r w:rsidR="00AE64E5">
        <w:t>19</w:t>
      </w:r>
      <w:r>
        <w:t xml:space="preserve"> </w:t>
      </w:r>
      <w:r w:rsidR="00572CA2">
        <w:t>and c</w:t>
      </w:r>
      <w:r w:rsidR="00AE64E5">
        <w:t>omorbidities such as chronic kidney disease (CKD) and chronic obstructive pulmonary disease (COPD) have been found to be significantly associated with a worse prognosis.</w:t>
      </w:r>
      <w:r w:rsidR="00DC75CB">
        <w:rPr>
          <w:rStyle w:val="FootnoteReference"/>
        </w:rPr>
        <w:footnoteReference w:id="8"/>
      </w:r>
    </w:p>
    <w:p w14:paraId="508A7066" w14:textId="0C645F55" w:rsidR="00AE64E5" w:rsidRDefault="00B575BC" w:rsidP="00AE64E5">
      <w:r>
        <w:t>The COVID-19 outbreak was officially declared a pandemic by WHO on 11 March 2020.</w:t>
      </w:r>
      <w:r>
        <w:rPr>
          <w:rStyle w:val="FootnoteReference"/>
        </w:rPr>
        <w:footnoteReference w:id="9"/>
      </w:r>
      <w:r>
        <w:t xml:space="preserve"> </w:t>
      </w:r>
      <w:r w:rsidR="00AE64E5">
        <w:t>Since its emergence, the SARS-CoV-2 virus has spread rapidly around the globe</w:t>
      </w:r>
      <w:r w:rsidR="003919EE">
        <w:t>, affecting a growing number of countries</w:t>
      </w:r>
      <w:r w:rsidR="00AE64E5">
        <w:t>.</w:t>
      </w:r>
      <w:r w:rsidR="008F6197">
        <w:t xml:space="preserve"> </w:t>
      </w:r>
      <w:r w:rsidR="00AE64E5">
        <w:t xml:space="preserve">As of </w:t>
      </w:r>
      <w:r w:rsidR="00D665A5">
        <w:t>8</w:t>
      </w:r>
      <w:r w:rsidR="003919EE">
        <w:t xml:space="preserve"> </w:t>
      </w:r>
      <w:r w:rsidR="00D665A5">
        <w:t>Dec</w:t>
      </w:r>
      <w:r w:rsidR="003919EE">
        <w:t>ember</w:t>
      </w:r>
      <w:r w:rsidR="00AE64E5">
        <w:t xml:space="preserve"> 2021, there have been over 2</w:t>
      </w:r>
      <w:r w:rsidR="00D665A5">
        <w:t>65</w:t>
      </w:r>
      <w:r w:rsidR="00AE64E5">
        <w:t xml:space="preserve"> million confirmed cases of COVID-19 globally, with over 5 million deaths reported to WHO.</w:t>
      </w:r>
      <w:r w:rsidR="008F6197">
        <w:rPr>
          <w:rStyle w:val="FootnoteReference"/>
        </w:rPr>
        <w:footnoteReference w:id="10"/>
      </w:r>
      <w:r w:rsidR="00D7030A">
        <w:t xml:space="preserve"> </w:t>
      </w:r>
      <w:r w:rsidR="00AE64E5">
        <w:t xml:space="preserve">In Australia, </w:t>
      </w:r>
      <w:r w:rsidR="00E538E6">
        <w:t xml:space="preserve">as of </w:t>
      </w:r>
      <w:r w:rsidR="00D665A5">
        <w:t>8 December</w:t>
      </w:r>
      <w:r w:rsidR="00E538E6">
        <w:t xml:space="preserve"> 2021, </w:t>
      </w:r>
      <w:r w:rsidR="00AE64E5">
        <w:t xml:space="preserve">there have been over </w:t>
      </w:r>
      <w:r w:rsidR="00E538E6">
        <w:t>2</w:t>
      </w:r>
      <w:r w:rsidR="00D665A5">
        <w:t>2</w:t>
      </w:r>
      <w:r w:rsidR="00E538E6">
        <w:t>0</w:t>
      </w:r>
      <w:r w:rsidR="00AE64E5">
        <w:t xml:space="preserve">,000 </w:t>
      </w:r>
      <w:r w:rsidR="00E538E6">
        <w:t xml:space="preserve">confirmed COVID-19 </w:t>
      </w:r>
      <w:r w:rsidR="00AE64E5">
        <w:t xml:space="preserve">cases and </w:t>
      </w:r>
      <w:r w:rsidR="00D665A5">
        <w:t>2,065</w:t>
      </w:r>
      <w:r w:rsidR="00AE64E5">
        <w:t xml:space="preserve"> deaths</w:t>
      </w:r>
      <w:r w:rsidR="00E538E6">
        <w:t>.</w:t>
      </w:r>
      <w:r w:rsidR="00E538E6">
        <w:rPr>
          <w:rStyle w:val="FootnoteReference"/>
        </w:rPr>
        <w:footnoteReference w:id="11"/>
      </w:r>
    </w:p>
    <w:p w14:paraId="202ECB0D" w14:textId="63B7F9FC" w:rsidR="00B639BF" w:rsidRDefault="00B860F6" w:rsidP="00AE64E5">
      <w:r>
        <w:lastRenderedPageBreak/>
        <w:t>In the current scenario, a critical component of the public health strategy</w:t>
      </w:r>
      <w:r w:rsidR="00696406">
        <w:t xml:space="preserve"> in Australia</w:t>
      </w:r>
      <w:r>
        <w:t xml:space="preserve"> to</w:t>
      </w:r>
      <w:r w:rsidR="00696406">
        <w:t xml:space="preserve"> </w:t>
      </w:r>
      <w:r>
        <w:t xml:space="preserve">reduce COVID-19 related illnesses, </w:t>
      </w:r>
      <w:r w:rsidR="00696406">
        <w:t xml:space="preserve">hospitalisations, and deaths, and to help restore societal functioning, is immunisation with a safe and effective COVID-19 vaccine. At the time this submission was under consideration by the </w:t>
      </w:r>
      <w:r w:rsidR="00A353A6">
        <w:t>Therapeutic Goods Administration (</w:t>
      </w:r>
      <w:r w:rsidR="00696406">
        <w:t>TGA</w:t>
      </w:r>
      <w:r w:rsidR="00A353A6">
        <w:t>)</w:t>
      </w:r>
      <w:r w:rsidR="00696406">
        <w:t xml:space="preserve">, </w:t>
      </w:r>
      <w:r w:rsidR="00572CA2">
        <w:t xml:space="preserve">there were </w:t>
      </w:r>
      <w:r w:rsidR="00696406">
        <w:t>4 vaccines</w:t>
      </w:r>
      <w:r w:rsidR="00F92765">
        <w:t xml:space="preserve"> </w:t>
      </w:r>
      <w:r w:rsidR="00696406">
        <w:t xml:space="preserve">provisionally registered in Australia. </w:t>
      </w:r>
      <w:r w:rsidR="00696406">
        <w:rPr>
          <w:rStyle w:val="FootnoteReference"/>
        </w:rPr>
        <w:footnoteReference w:id="12"/>
      </w:r>
      <w:r w:rsidR="00B639BF">
        <w:t xml:space="preserve"> </w:t>
      </w:r>
    </w:p>
    <w:p w14:paraId="0DF8F65A" w14:textId="5EF850E6" w:rsidR="00CA48B1" w:rsidRDefault="00B639BF" w:rsidP="00723BAA">
      <w:r>
        <w:t xml:space="preserve">These provisionally registered vaccines for prevention of COVID-19 include </w:t>
      </w:r>
      <w:r w:rsidR="006A3DA3">
        <w:t>the Pfizer</w:t>
      </w:r>
      <w:r w:rsidR="006A3DA3">
        <w:noBreakHyphen/>
      </w:r>
      <w:proofErr w:type="spellStart"/>
      <w:r w:rsidR="006A3DA3">
        <w:t>BioNTech</w:t>
      </w:r>
      <w:proofErr w:type="spellEnd"/>
      <w:r w:rsidR="006A3DA3">
        <w:t xml:space="preserve"> COVID-19 vaccine </w:t>
      </w:r>
      <w:proofErr w:type="spellStart"/>
      <w:r>
        <w:t>Comirnaty</w:t>
      </w:r>
      <w:proofErr w:type="spellEnd"/>
      <w:r>
        <w:t xml:space="preserve"> (BNT162b2 messenger ribonucleic acid (mRNA)</w:t>
      </w:r>
      <w:r w:rsidR="006A3DA3">
        <w:t xml:space="preserve">, also known as </w:t>
      </w:r>
      <w:proofErr w:type="spellStart"/>
      <w:r w:rsidR="006A3DA3">
        <w:t>tozinameran</w:t>
      </w:r>
      <w:proofErr w:type="spellEnd"/>
      <w:r>
        <w:t>)</w:t>
      </w:r>
      <w:r w:rsidR="006A3DA3">
        <w:t>;</w:t>
      </w:r>
      <w:r w:rsidR="00FD4E0E">
        <w:rPr>
          <w:rStyle w:val="FootnoteReference"/>
        </w:rPr>
        <w:footnoteReference w:id="13"/>
      </w:r>
      <w:r w:rsidR="00FD4E0E" w:rsidRPr="00FD4E0E">
        <w:rPr>
          <w:vertAlign w:val="superscript"/>
        </w:rPr>
        <w:t>,</w:t>
      </w:r>
      <w:r w:rsidR="00FD4E0E">
        <w:rPr>
          <w:rStyle w:val="FootnoteReference"/>
        </w:rPr>
        <w:footnoteReference w:id="14"/>
      </w:r>
      <w:r w:rsidR="00FD4E0E">
        <w:rPr>
          <w:vertAlign w:val="superscript"/>
        </w:rPr>
        <w:t>,</w:t>
      </w:r>
      <w:r w:rsidR="00FD4E0E">
        <w:rPr>
          <w:rStyle w:val="FootnoteReference"/>
        </w:rPr>
        <w:footnoteReference w:id="15"/>
      </w:r>
      <w:r w:rsidR="00FD4E0E">
        <w:rPr>
          <w:vertAlign w:val="superscript"/>
        </w:rPr>
        <w:t xml:space="preserve"> </w:t>
      </w:r>
      <w:r w:rsidR="00FD4E0E">
        <w:t>COVID-19 Vaccine AstraZeneca (ChAdOx1</w:t>
      </w:r>
      <w:r w:rsidR="006A3DA3">
        <w:noBreakHyphen/>
      </w:r>
      <w:r w:rsidR="00FD4E0E">
        <w:t>S)</w:t>
      </w:r>
      <w:r w:rsidR="006A3DA3">
        <w:t>;</w:t>
      </w:r>
      <w:r w:rsidR="00FD4E0E">
        <w:rPr>
          <w:rStyle w:val="FootnoteReference"/>
        </w:rPr>
        <w:footnoteReference w:id="16"/>
      </w:r>
      <w:r w:rsidR="00FD4E0E" w:rsidRPr="00FD4E0E">
        <w:rPr>
          <w:vertAlign w:val="superscript"/>
        </w:rPr>
        <w:t>,</w:t>
      </w:r>
      <w:r w:rsidR="00FD4E0E">
        <w:rPr>
          <w:rStyle w:val="FootnoteReference"/>
        </w:rPr>
        <w:footnoteReference w:id="17"/>
      </w:r>
      <w:r w:rsidR="00FD4E0E">
        <w:rPr>
          <w:vertAlign w:val="superscript"/>
        </w:rPr>
        <w:t xml:space="preserve"> </w:t>
      </w:r>
      <w:r w:rsidR="00FD4E0E">
        <w:t>COVID-19 Vaccine Janssen (Ad26.COV</w:t>
      </w:r>
      <w:r w:rsidR="00B678CE">
        <w:t>2.S</w:t>
      </w:r>
      <w:r w:rsidR="00FD4E0E">
        <w:t xml:space="preserve">), </w:t>
      </w:r>
      <w:r w:rsidR="00B678CE">
        <w:rPr>
          <w:rStyle w:val="FootnoteReference"/>
        </w:rPr>
        <w:footnoteReference w:id="18"/>
      </w:r>
      <w:r w:rsidR="00B678CE" w:rsidRPr="00B678CE">
        <w:rPr>
          <w:vertAlign w:val="superscript"/>
        </w:rPr>
        <w:t>,</w:t>
      </w:r>
      <w:r w:rsidR="00B678CE">
        <w:rPr>
          <w:rStyle w:val="FootnoteReference"/>
        </w:rPr>
        <w:footnoteReference w:id="19"/>
      </w:r>
      <w:r w:rsidR="00D7030A">
        <w:rPr>
          <w:vertAlign w:val="superscript"/>
        </w:rPr>
        <w:t xml:space="preserve"> </w:t>
      </w:r>
      <w:r w:rsidR="00B678CE">
        <w:t xml:space="preserve">and </w:t>
      </w:r>
      <w:proofErr w:type="spellStart"/>
      <w:r w:rsidR="00B678CE">
        <w:t>Spikevax</w:t>
      </w:r>
      <w:proofErr w:type="spellEnd"/>
      <w:r w:rsidR="00B678CE">
        <w:t xml:space="preserve"> (</w:t>
      </w:r>
      <w:proofErr w:type="spellStart"/>
      <w:r w:rsidR="00B678CE">
        <w:t>elasomeran</w:t>
      </w:r>
      <w:proofErr w:type="spellEnd"/>
      <w:r w:rsidR="00B678CE">
        <w:t xml:space="preserve">) </w:t>
      </w:r>
      <w:r w:rsidR="00B678CE">
        <w:rPr>
          <w:rStyle w:val="FootnoteReference"/>
        </w:rPr>
        <w:footnoteReference w:id="20"/>
      </w:r>
      <w:r w:rsidR="00B678CE" w:rsidRPr="00B678CE">
        <w:rPr>
          <w:vertAlign w:val="superscript"/>
        </w:rPr>
        <w:t>,</w:t>
      </w:r>
      <w:r w:rsidR="00B678CE">
        <w:rPr>
          <w:vertAlign w:val="superscript"/>
        </w:rPr>
        <w:t xml:space="preserve"> </w:t>
      </w:r>
      <w:r w:rsidR="00B678CE">
        <w:rPr>
          <w:rStyle w:val="FootnoteReference"/>
        </w:rPr>
        <w:footnoteReference w:id="21"/>
      </w:r>
      <w:r w:rsidR="00B678CE">
        <w:rPr>
          <w:vertAlign w:val="superscript"/>
        </w:rPr>
        <w:t>,</w:t>
      </w:r>
      <w:r w:rsidR="00B678CE">
        <w:rPr>
          <w:rStyle w:val="FootnoteReference"/>
        </w:rPr>
        <w:footnoteReference w:id="22"/>
      </w:r>
      <w:r w:rsidR="00D7030A">
        <w:rPr>
          <w:vertAlign w:val="superscript"/>
        </w:rPr>
        <w:t xml:space="preserve"> </w:t>
      </w:r>
      <w:r w:rsidR="00470B43">
        <w:t xml:space="preserve">. </w:t>
      </w:r>
      <w:proofErr w:type="spellStart"/>
      <w:r w:rsidR="00CA48B1" w:rsidRPr="00E464C4">
        <w:t>Comirnaty</w:t>
      </w:r>
      <w:proofErr w:type="spellEnd"/>
      <w:r w:rsidR="00CA48B1" w:rsidRPr="00E464C4">
        <w:t xml:space="preserve">, also commonly known as the Pfizer vaccine, has provisional approval </w:t>
      </w:r>
      <w:r w:rsidR="00572CA2">
        <w:t>as</w:t>
      </w:r>
      <w:r w:rsidR="00572CA2" w:rsidRPr="00E464C4">
        <w:t xml:space="preserve"> </w:t>
      </w:r>
      <w:r w:rsidR="00CA48B1" w:rsidRPr="00E464C4">
        <w:t>a booster dose in adults, and a third dose in severely immunocompromised individuals.</w:t>
      </w:r>
    </w:p>
    <w:p w14:paraId="5C7FECCA" w14:textId="160B6959" w:rsidR="00C75912" w:rsidRPr="00C75912" w:rsidRDefault="00C75912" w:rsidP="00C75912">
      <w:pPr>
        <w:rPr>
          <w:highlight w:val="yellow"/>
        </w:rPr>
      </w:pPr>
      <w:proofErr w:type="spellStart"/>
      <w:r w:rsidRPr="00C75912">
        <w:t>Spikevax</w:t>
      </w:r>
      <w:proofErr w:type="spellEnd"/>
      <w:r w:rsidRPr="00C75912">
        <w:t xml:space="preserve"> (</w:t>
      </w:r>
      <w:proofErr w:type="spellStart"/>
      <w:r w:rsidRPr="00C75912">
        <w:t>elasomeran</w:t>
      </w:r>
      <w:proofErr w:type="spellEnd"/>
      <w:r w:rsidRPr="00C75912">
        <w:t>) wa</w:t>
      </w:r>
      <w:r w:rsidRPr="0023785F">
        <w:t xml:space="preserve">s the second messenger </w:t>
      </w:r>
      <w:r w:rsidRPr="007A06D0">
        <w:t>ribonucleic acid (</w:t>
      </w:r>
      <w:r w:rsidRPr="00C75912">
        <w:t>mRNA) vaccine to receive provisional approval in Australia. mRNA vaccines use a synthetic genetic code called RNA to give cells instructions about how to make the coronavirus' unique spike protein.</w:t>
      </w:r>
      <w:r w:rsidR="00572CA2">
        <w:t xml:space="preserve"> Once </w:t>
      </w:r>
      <w:r w:rsidR="00861748">
        <w:t>the human</w:t>
      </w:r>
      <w:r w:rsidR="00861748" w:rsidRPr="00C75912">
        <w:t xml:space="preserve"> </w:t>
      </w:r>
      <w:r w:rsidRPr="00C75912">
        <w:t>body has m</w:t>
      </w:r>
      <w:r w:rsidRPr="0023785F">
        <w:t xml:space="preserve">ade the protein encoded by the mRNA vaccine, </w:t>
      </w:r>
      <w:r>
        <w:t xml:space="preserve">the body </w:t>
      </w:r>
      <w:r w:rsidR="00572CA2">
        <w:t xml:space="preserve">will </w:t>
      </w:r>
      <w:r w:rsidRPr="00C75912">
        <w:t xml:space="preserve">recognise the spike protein as being foreign and </w:t>
      </w:r>
      <w:r w:rsidR="00572CA2">
        <w:t xml:space="preserve">will </w:t>
      </w:r>
      <w:r w:rsidRPr="00C75912">
        <w:t>launch an immune response against it</w:t>
      </w:r>
      <w:r w:rsidR="00572CA2">
        <w:t xml:space="preserve"> if exposed</w:t>
      </w:r>
      <w:r w:rsidRPr="00C75912">
        <w:t xml:space="preserve">. The RNA from the vaccine does not change, or interact, with our </w:t>
      </w:r>
      <w:r w:rsidR="00572CA2">
        <w:t xml:space="preserve">own </w:t>
      </w:r>
      <w:r>
        <w:t>d</w:t>
      </w:r>
      <w:r w:rsidRPr="007A06D0">
        <w:t>eoxyribonucleic acid (</w:t>
      </w:r>
      <w:r w:rsidRPr="00C75912">
        <w:t>DNA) in any way.</w:t>
      </w:r>
    </w:p>
    <w:p w14:paraId="2A395F75" w14:textId="2CC5BD6A" w:rsidR="00620707" w:rsidRDefault="00620707" w:rsidP="00723BAA">
      <w:r w:rsidRPr="00620707">
        <w:t xml:space="preserve">At the time of this </w:t>
      </w:r>
      <w:r w:rsidR="00CA48B1">
        <w:t>report</w:t>
      </w:r>
      <w:r w:rsidRPr="00620707">
        <w:t>, no COVID-19 vaccine is approved in Australia for booster vaccination of people aged under 18 years.</w:t>
      </w:r>
    </w:p>
    <w:p w14:paraId="58AB7B22" w14:textId="65547724" w:rsidR="00CA48B1" w:rsidRDefault="00CA48B1" w:rsidP="00723BAA">
      <w:r w:rsidRPr="00CA48B1">
        <w:t>While over 8</w:t>
      </w:r>
      <w:r w:rsidR="00D200A5">
        <w:t>5</w:t>
      </w:r>
      <w:r w:rsidRPr="00CA48B1">
        <w:t xml:space="preserve">% of the Australian population aged 16 years and older </w:t>
      </w:r>
      <w:r w:rsidR="00D200A5">
        <w:t>are now doubly vaccinated</w:t>
      </w:r>
      <w:r w:rsidRPr="00CA48B1">
        <w:t xml:space="preserve">, </w:t>
      </w:r>
      <w:r w:rsidRPr="00520A44">
        <w:t>emerging data suggest a waning of immunity after around 6</w:t>
      </w:r>
      <w:r w:rsidR="006A3DA3">
        <w:t xml:space="preserve"> to </w:t>
      </w:r>
      <w:r w:rsidR="00572CA2">
        <w:t>12</w:t>
      </w:r>
      <w:r w:rsidRPr="00520A44">
        <w:t xml:space="preserve"> months,</w:t>
      </w:r>
      <w:r w:rsidRPr="00CA48B1">
        <w:t xml:space="preserve"> and in addition there have been emergent variants (</w:t>
      </w:r>
      <w:r w:rsidR="00C75912">
        <w:t>for example</w:t>
      </w:r>
      <w:r w:rsidRPr="00CA48B1">
        <w:t xml:space="preserve"> </w:t>
      </w:r>
      <w:r w:rsidR="00861748">
        <w:t xml:space="preserve">the </w:t>
      </w:r>
      <w:r w:rsidR="00524504">
        <w:t>Delta</w:t>
      </w:r>
      <w:r w:rsidR="00861748">
        <w:t xml:space="preserve"> variant</w:t>
      </w:r>
      <w:r w:rsidRPr="00CA48B1">
        <w:t xml:space="preserve">) with </w:t>
      </w:r>
      <w:r w:rsidRPr="00CA48B1">
        <w:lastRenderedPageBreak/>
        <w:t>increased transmissibility and ability to partially escape immunity.</w:t>
      </w:r>
      <w:r>
        <w:rPr>
          <w:rStyle w:val="FootnoteReference"/>
        </w:rPr>
        <w:footnoteReference w:id="23"/>
      </w:r>
      <w:r w:rsidR="00E464C4" w:rsidRPr="00E464C4">
        <w:rPr>
          <w:vertAlign w:val="superscript"/>
        </w:rPr>
        <w:t>,</w:t>
      </w:r>
      <w:r w:rsidR="00E464C4">
        <w:rPr>
          <w:rStyle w:val="FootnoteReference"/>
        </w:rPr>
        <w:footnoteReference w:id="24"/>
      </w:r>
      <w:r w:rsidR="00024621" w:rsidRPr="00024621">
        <w:t xml:space="preserve">Such waning </w:t>
      </w:r>
      <w:r w:rsidR="00572CA2">
        <w:t xml:space="preserve">of immunity </w:t>
      </w:r>
      <w:r w:rsidR="00024621" w:rsidRPr="00024621">
        <w:t xml:space="preserve">over time may place vulnerable populations at a greater risk of infection or disease. In addition, international borders have reopened, providing another avenue for the virus </w:t>
      </w:r>
      <w:r w:rsidR="00572CA2">
        <w:t xml:space="preserve">or variants </w:t>
      </w:r>
      <w:r w:rsidR="00024621" w:rsidRPr="00024621">
        <w:t>to enter the community and circulate. The extra protection against COVID-19 afforded by booster vaccination may help mitigate the ongoing effects of the pandemic.</w:t>
      </w:r>
      <w:r w:rsidR="00024621">
        <w:t xml:space="preserve"> </w:t>
      </w:r>
    </w:p>
    <w:p w14:paraId="64B336C2" w14:textId="746B9E08" w:rsidR="00250271" w:rsidRPr="001753E4" w:rsidRDefault="00723BAA" w:rsidP="001753E4">
      <w:r>
        <w:t xml:space="preserve">Currently, </w:t>
      </w:r>
      <w:proofErr w:type="spellStart"/>
      <w:r>
        <w:t>Spikevax</w:t>
      </w:r>
      <w:proofErr w:type="spellEnd"/>
      <w:r w:rsidR="00470B43">
        <w:t xml:space="preserve"> </w:t>
      </w:r>
      <w:r>
        <w:t>is provisionally approved for active immunisation to prevent COVID</w:t>
      </w:r>
      <w:r w:rsidR="00861748">
        <w:noBreakHyphen/>
      </w:r>
      <w:r>
        <w:t>19 caused by SARS-CoV-2 virus, in individuals 12 years of age and older</w:t>
      </w:r>
      <w:r w:rsidRPr="00E464C4">
        <w:t>.</w:t>
      </w:r>
      <w:r w:rsidR="00953E73" w:rsidRPr="00E464C4">
        <w:t xml:space="preserve"> </w:t>
      </w:r>
      <w:r w:rsidR="00470B43" w:rsidRPr="00E464C4">
        <w:t xml:space="preserve">In this submission the sponsor </w:t>
      </w:r>
      <w:r w:rsidR="00572CA2">
        <w:t>is</w:t>
      </w:r>
      <w:r w:rsidR="00572CA2" w:rsidRPr="00E464C4">
        <w:t xml:space="preserve"> </w:t>
      </w:r>
      <w:r w:rsidR="00470B43" w:rsidRPr="00E464C4">
        <w:t xml:space="preserve">seeking approval </w:t>
      </w:r>
      <w:r w:rsidR="00D81614" w:rsidRPr="00E464C4">
        <w:t>for extension of dose regimen to include a booster dose, extension of patient group and alter</w:t>
      </w:r>
      <w:r w:rsidR="00BD05E7" w:rsidRPr="00E464C4">
        <w:t>ation in</w:t>
      </w:r>
      <w:r w:rsidR="00D81614" w:rsidRPr="00E464C4">
        <w:t xml:space="preserve"> the dose regimen for immunocompromised individuals aged at least 18 years and over,</w:t>
      </w:r>
      <w:r w:rsidR="00BD05E7" w:rsidRPr="00E464C4">
        <w:t xml:space="preserve"> </w:t>
      </w:r>
      <w:r w:rsidR="00D81614" w:rsidRPr="00E464C4">
        <w:t xml:space="preserve">and other </w:t>
      </w:r>
      <w:r w:rsidR="00771E57" w:rsidRPr="00E464C4">
        <w:t xml:space="preserve">updates </w:t>
      </w:r>
      <w:r w:rsidR="00D81614" w:rsidRPr="00E464C4">
        <w:t xml:space="preserve">to the safety and immunogenicity data in the PI for the existing </w:t>
      </w:r>
      <w:proofErr w:type="spellStart"/>
      <w:r w:rsidR="00D81614" w:rsidRPr="00E464C4">
        <w:t>Spikevax</w:t>
      </w:r>
      <w:proofErr w:type="spellEnd"/>
      <w:r w:rsidR="00D81614" w:rsidRPr="00E464C4">
        <w:t xml:space="preserve"> (</w:t>
      </w:r>
      <w:proofErr w:type="spellStart"/>
      <w:r w:rsidR="00D81614" w:rsidRPr="00E464C4">
        <w:t>elasomeran</w:t>
      </w:r>
      <w:proofErr w:type="spellEnd"/>
      <w:r w:rsidR="00D81614" w:rsidRPr="00E464C4">
        <w:t>) vaccine in the Australian Register of Therapeutic Goods (ARTG).</w:t>
      </w:r>
      <w:r w:rsidR="00D81614" w:rsidRPr="00E464C4">
        <w:rPr>
          <w:rStyle w:val="FootnoteReference"/>
        </w:rPr>
        <w:footnoteReference w:id="25"/>
      </w:r>
    </w:p>
    <w:p w14:paraId="4BE7563D" w14:textId="77777777" w:rsidR="008E7846" w:rsidRPr="003F31A2" w:rsidRDefault="00386150" w:rsidP="008E7846">
      <w:pPr>
        <w:pStyle w:val="Heading3"/>
      </w:pPr>
      <w:bookmarkStart w:id="16" w:name="_Toc314842485"/>
      <w:bookmarkStart w:id="17" w:name="_Toc247691504"/>
      <w:bookmarkStart w:id="18" w:name="_Toc89950069"/>
      <w:r>
        <w:t>Regulatory s</w:t>
      </w:r>
      <w:r w:rsidR="008E7846">
        <w:t>tatus</w:t>
      </w:r>
      <w:bookmarkEnd w:id="16"/>
      <w:bookmarkEnd w:id="17"/>
      <w:bookmarkEnd w:id="18"/>
    </w:p>
    <w:p w14:paraId="166F7EF2" w14:textId="138D2B54" w:rsidR="00006FAB" w:rsidRDefault="00006FAB" w:rsidP="00006FAB">
      <w:bookmarkStart w:id="19" w:name="_Toc247691505"/>
      <w:bookmarkStart w:id="20" w:name="_Toc314842486"/>
      <w:r>
        <w:t xml:space="preserve">The product received initial registration </w:t>
      </w:r>
      <w:r w:rsidR="00F74961">
        <w:t xml:space="preserve">(provisional) </w:t>
      </w:r>
      <w:r>
        <w:t>on the Australian Register of Therapeutic Goods (ARTG) on</w:t>
      </w:r>
      <w:r w:rsidR="001258EF">
        <w:t xml:space="preserve"> 9 August 2021 for prevention of coronavirus disease (COVID-19) in individuals 18 years of age and older. </w:t>
      </w:r>
      <w:r w:rsidR="00C75912">
        <w:t>A s</w:t>
      </w:r>
      <w:r w:rsidR="001258EF">
        <w:t>ubsequent application resulted in the approval for use in individuals 12 years of age and older.</w:t>
      </w:r>
    </w:p>
    <w:p w14:paraId="2AA95A01" w14:textId="5F9A7FB5" w:rsidR="001258EF" w:rsidRDefault="001258EF" w:rsidP="00006FAB">
      <w:r>
        <w:t xml:space="preserve">As of </w:t>
      </w:r>
      <w:r w:rsidRPr="00520A44">
        <w:t>3 September 2021</w:t>
      </w:r>
      <w:r>
        <w:t xml:space="preserve">, the approved indications for </w:t>
      </w:r>
      <w:proofErr w:type="spellStart"/>
      <w:r>
        <w:t>Spikevax</w:t>
      </w:r>
      <w:proofErr w:type="spellEnd"/>
      <w:r>
        <w:t xml:space="preserve"> were</w:t>
      </w:r>
    </w:p>
    <w:p w14:paraId="3BEF2E25" w14:textId="56240CC6" w:rsidR="001258EF" w:rsidRPr="009D4477" w:rsidRDefault="001258EF" w:rsidP="009D4477">
      <w:pPr>
        <w:ind w:left="720"/>
        <w:rPr>
          <w:i/>
          <w:iCs/>
        </w:rPr>
      </w:pPr>
      <w:proofErr w:type="spellStart"/>
      <w:r w:rsidRPr="009D4477">
        <w:rPr>
          <w:i/>
          <w:iCs/>
        </w:rPr>
        <w:t>Spikevax</w:t>
      </w:r>
      <w:proofErr w:type="spellEnd"/>
      <w:r w:rsidRPr="009D4477">
        <w:rPr>
          <w:i/>
          <w:iCs/>
        </w:rPr>
        <w:t xml:space="preserve"> (</w:t>
      </w:r>
      <w:proofErr w:type="spellStart"/>
      <w:r w:rsidRPr="009D4477">
        <w:rPr>
          <w:i/>
          <w:iCs/>
        </w:rPr>
        <w:t>elasomeran</w:t>
      </w:r>
      <w:proofErr w:type="spellEnd"/>
      <w:r w:rsidRPr="009D4477">
        <w:rPr>
          <w:i/>
          <w:iCs/>
        </w:rPr>
        <w:t>) COVID-19 vaccine has provisional approval for the indication below:</w:t>
      </w:r>
    </w:p>
    <w:p w14:paraId="33C1491D" w14:textId="00134B3F" w:rsidR="001258EF" w:rsidRPr="009D4477" w:rsidRDefault="001258EF" w:rsidP="009D4477">
      <w:pPr>
        <w:ind w:left="720"/>
        <w:rPr>
          <w:i/>
          <w:iCs/>
        </w:rPr>
      </w:pPr>
      <w:r w:rsidRPr="009D4477">
        <w:rPr>
          <w:i/>
          <w:iCs/>
        </w:rPr>
        <w:t>Active immunisation to prevent coronavirus disease 2019 (COVID-19) caused by SARS-CoV-2 in individuals 12 years of age and older.</w:t>
      </w:r>
    </w:p>
    <w:p w14:paraId="47B60ED8" w14:textId="7F3A60E3" w:rsidR="001258EF" w:rsidRPr="009D4477" w:rsidRDefault="001258EF" w:rsidP="009D4477">
      <w:pPr>
        <w:ind w:firstLine="720"/>
        <w:rPr>
          <w:i/>
          <w:iCs/>
        </w:rPr>
      </w:pPr>
      <w:r w:rsidRPr="009D4477">
        <w:rPr>
          <w:i/>
          <w:iCs/>
        </w:rPr>
        <w:t>The use of this vaccine should be in accordance with official recommendations.</w:t>
      </w:r>
    </w:p>
    <w:p w14:paraId="0AF5B1B9" w14:textId="46A20849" w:rsidR="001258EF" w:rsidRPr="009D4477" w:rsidRDefault="001258EF" w:rsidP="009D4477">
      <w:pPr>
        <w:ind w:left="720"/>
        <w:rPr>
          <w:i/>
          <w:iCs/>
        </w:rPr>
      </w:pPr>
      <w:r w:rsidRPr="009D4477">
        <w:rPr>
          <w:i/>
          <w:iCs/>
        </w:rPr>
        <w:t xml:space="preserve">The decision has been made </w:t>
      </w:r>
      <w:proofErr w:type="gramStart"/>
      <w:r w:rsidRPr="009D4477">
        <w:rPr>
          <w:i/>
          <w:iCs/>
        </w:rPr>
        <w:t>on the basis of</w:t>
      </w:r>
      <w:proofErr w:type="gramEnd"/>
      <w:r w:rsidRPr="009D4477">
        <w:rPr>
          <w:i/>
          <w:iCs/>
        </w:rPr>
        <w:t xml:space="preserve"> short-term efficacy and safety data. Continued approval depends on the evidence of </w:t>
      </w:r>
      <w:proofErr w:type="gramStart"/>
      <w:r w:rsidRPr="009D4477">
        <w:rPr>
          <w:i/>
          <w:iCs/>
        </w:rPr>
        <w:t>longer term</w:t>
      </w:r>
      <w:proofErr w:type="gramEnd"/>
      <w:r w:rsidRPr="009D4477">
        <w:rPr>
          <w:i/>
          <w:iCs/>
        </w:rPr>
        <w:t xml:space="preserve"> efficacy and safety from ongoing clinical trials and post-market assessment.</w:t>
      </w:r>
    </w:p>
    <w:p w14:paraId="31D74337" w14:textId="0B3E7A7B" w:rsidR="00006FAB" w:rsidRDefault="00006FAB" w:rsidP="00006FAB">
      <w:r>
        <w:t>At the time the TGA considered this application, similar application</w:t>
      </w:r>
      <w:r w:rsidR="00E84CE3">
        <w:t>s</w:t>
      </w:r>
      <w:r>
        <w:t xml:space="preserve"> had been approved </w:t>
      </w:r>
      <w:r w:rsidR="00E84CE3">
        <w:t xml:space="preserve">in the </w:t>
      </w:r>
      <w:r w:rsidR="00DA4687">
        <w:t xml:space="preserve">United States of America (USA) on </w:t>
      </w:r>
      <w:r w:rsidR="00DA4687" w:rsidRPr="00DA4687">
        <w:t>12 August 2021 (use in immunocompromised patients)</w:t>
      </w:r>
      <w:r w:rsidR="00DA4687">
        <w:t xml:space="preserve"> and 20 October 2021 (booster application); Switzerland on 26 October 2021 (for use in immunocompromised patients)</w:t>
      </w:r>
      <w:r w:rsidR="00BC6791">
        <w:t xml:space="preserve"> and 26 November 2021 (for booster application)</w:t>
      </w:r>
      <w:r w:rsidR="00DA4687">
        <w:t>; European Union</w:t>
      </w:r>
      <w:r w:rsidR="006E2146">
        <w:t xml:space="preserve"> </w:t>
      </w:r>
      <w:r w:rsidR="00466514">
        <w:t xml:space="preserve">(EU) </w:t>
      </w:r>
      <w:r w:rsidR="006E2146">
        <w:t>on 5 October 2021 (for use in immunocompromised patients) and 29 October 2021 (for booster application)</w:t>
      </w:r>
      <w:r w:rsidR="00FB3DC5">
        <w:t>;</w:t>
      </w:r>
      <w:r w:rsidR="00050202">
        <w:t xml:space="preserve"> Canada</w:t>
      </w:r>
      <w:r w:rsidR="00B457E6">
        <w:t xml:space="preserve"> on 12 November 2021</w:t>
      </w:r>
      <w:r w:rsidR="00571247">
        <w:t xml:space="preserve"> (for booster application)</w:t>
      </w:r>
      <w:r w:rsidR="00217DA4">
        <w:t>;</w:t>
      </w:r>
      <w:r w:rsidR="00FB3DC5">
        <w:t xml:space="preserve"> and </w:t>
      </w:r>
      <w:r w:rsidR="00861748">
        <w:t>i</w:t>
      </w:r>
      <w:r w:rsidR="00911780">
        <w:t>n</w:t>
      </w:r>
      <w:r w:rsidR="00861748">
        <w:t xml:space="preserve"> the</w:t>
      </w:r>
      <w:r w:rsidR="00911780">
        <w:t xml:space="preserve"> </w:t>
      </w:r>
      <w:r w:rsidR="00FB3DC5">
        <w:t>United Kingdom</w:t>
      </w:r>
      <w:r w:rsidR="00B95BBF">
        <w:t xml:space="preserve"> on 1 December 2021</w:t>
      </w:r>
      <w:r w:rsidR="00FB3DC5">
        <w:t xml:space="preserve"> (</w:t>
      </w:r>
      <w:r w:rsidR="008A6F27">
        <w:t>for immunocompromised</w:t>
      </w:r>
      <w:r w:rsidR="00911780">
        <w:t xml:space="preserve"> patients)</w:t>
      </w:r>
      <w:r w:rsidR="006E2146">
        <w:t xml:space="preserve">. </w:t>
      </w:r>
      <w:r w:rsidR="00861748">
        <w:t>A s</w:t>
      </w:r>
      <w:r w:rsidR="006E2146">
        <w:t>imilar application w</w:t>
      </w:r>
      <w:r w:rsidR="00861748">
        <w:t>as</w:t>
      </w:r>
      <w:r w:rsidR="006E2146">
        <w:t xml:space="preserve"> under consideration in Israel, submitted on 9 September 2021.</w:t>
      </w:r>
    </w:p>
    <w:p w14:paraId="1C27FD94" w14:textId="77777777" w:rsidR="00324E45" w:rsidRPr="00F0146F" w:rsidRDefault="00324E45" w:rsidP="00324E45">
      <w:pPr>
        <w:pStyle w:val="TableTitle"/>
      </w:pPr>
      <w:bookmarkStart w:id="21" w:name="_Ref88732299"/>
      <w:r>
        <w:lastRenderedPageBreak/>
        <w:t xml:space="preserve">Table </w:t>
      </w:r>
      <w:fldSimple w:instr=" SEQ Table \* ARABIC ">
        <w:r w:rsidR="000513CB">
          <w:rPr>
            <w:noProof/>
          </w:rPr>
          <w:t>1</w:t>
        </w:r>
      </w:fldSimple>
      <w:r>
        <w:t>: International regulatory status</w:t>
      </w:r>
      <w:bookmarkEnd w:id="21"/>
    </w:p>
    <w:tbl>
      <w:tblPr>
        <w:tblStyle w:val="TableTGAblue"/>
        <w:tblW w:w="8500" w:type="dxa"/>
        <w:tblLayout w:type="fixed"/>
        <w:tblLook w:val="04A0" w:firstRow="1" w:lastRow="0" w:firstColumn="1" w:lastColumn="0" w:noHBand="0" w:noVBand="1"/>
        <w:tblCaption w:val="International regulatory status"/>
        <w:tblDescription w:val="This table describes the international regulatory status for Spikevax for booster applications and of use in immunocompromised patients."/>
      </w:tblPr>
      <w:tblGrid>
        <w:gridCol w:w="1165"/>
        <w:gridCol w:w="1530"/>
        <w:gridCol w:w="1710"/>
        <w:gridCol w:w="2160"/>
        <w:gridCol w:w="1935"/>
      </w:tblGrid>
      <w:tr w:rsidR="00C16687" w14:paraId="171C9763" w14:textId="3D624193" w:rsidTr="00AC39C5">
        <w:trPr>
          <w:cnfStyle w:val="100000000000" w:firstRow="1" w:lastRow="0" w:firstColumn="0" w:lastColumn="0" w:oddVBand="0" w:evenVBand="0" w:oddHBand="0" w:evenHBand="0" w:firstRowFirstColumn="0" w:firstRowLastColumn="0" w:lastRowFirstColumn="0" w:lastRowLastColumn="0"/>
        </w:trPr>
        <w:tc>
          <w:tcPr>
            <w:tcW w:w="1165" w:type="dxa"/>
            <w:tcBorders>
              <w:top w:val="single" w:sz="4" w:space="0" w:color="auto"/>
              <w:left w:val="single" w:sz="4" w:space="0" w:color="auto"/>
              <w:bottom w:val="single" w:sz="4" w:space="0" w:color="auto"/>
              <w:right w:val="single" w:sz="4" w:space="0" w:color="auto"/>
            </w:tcBorders>
          </w:tcPr>
          <w:p w14:paraId="4537E0CB" w14:textId="77777777" w:rsidR="00C16687" w:rsidRPr="00C16687" w:rsidRDefault="00C16687" w:rsidP="00006FAB">
            <w:pPr>
              <w:ind w:left="0" w:right="0"/>
              <w:rPr>
                <w:sz w:val="18"/>
                <w:szCs w:val="18"/>
              </w:rPr>
            </w:pPr>
            <w:r w:rsidRPr="00C16687">
              <w:rPr>
                <w:sz w:val="18"/>
                <w:szCs w:val="18"/>
              </w:rPr>
              <w:t>Region</w:t>
            </w:r>
          </w:p>
        </w:tc>
        <w:tc>
          <w:tcPr>
            <w:tcW w:w="1530" w:type="dxa"/>
            <w:tcBorders>
              <w:top w:val="single" w:sz="4" w:space="0" w:color="auto"/>
              <w:left w:val="single" w:sz="4" w:space="0" w:color="auto"/>
              <w:bottom w:val="single" w:sz="4" w:space="0" w:color="auto"/>
              <w:right w:val="single" w:sz="4" w:space="0" w:color="auto"/>
            </w:tcBorders>
          </w:tcPr>
          <w:p w14:paraId="21FE9EA5" w14:textId="122658D8" w:rsidR="00C16687" w:rsidRPr="00C16687" w:rsidRDefault="00C16687" w:rsidP="00006FAB">
            <w:pPr>
              <w:ind w:left="0" w:right="0"/>
              <w:rPr>
                <w:sz w:val="18"/>
                <w:szCs w:val="18"/>
              </w:rPr>
            </w:pPr>
            <w:r w:rsidRPr="00C16687">
              <w:rPr>
                <w:sz w:val="18"/>
                <w:szCs w:val="18"/>
              </w:rPr>
              <w:t>Regulatory status</w:t>
            </w:r>
          </w:p>
        </w:tc>
        <w:tc>
          <w:tcPr>
            <w:tcW w:w="1710" w:type="dxa"/>
            <w:tcBorders>
              <w:top w:val="single" w:sz="4" w:space="0" w:color="auto"/>
              <w:left w:val="single" w:sz="4" w:space="0" w:color="auto"/>
              <w:bottom w:val="single" w:sz="4" w:space="0" w:color="auto"/>
              <w:right w:val="single" w:sz="4" w:space="0" w:color="auto"/>
            </w:tcBorders>
          </w:tcPr>
          <w:p w14:paraId="4018EBD8" w14:textId="68E50EF9" w:rsidR="00C16687" w:rsidRPr="00C16687" w:rsidRDefault="00C16687" w:rsidP="00006FAB">
            <w:pPr>
              <w:ind w:left="0" w:right="0"/>
              <w:rPr>
                <w:sz w:val="18"/>
                <w:szCs w:val="18"/>
              </w:rPr>
            </w:pPr>
            <w:r w:rsidRPr="00C16687">
              <w:rPr>
                <w:sz w:val="18"/>
                <w:szCs w:val="18"/>
              </w:rPr>
              <w:t>Status of booster applications</w:t>
            </w:r>
          </w:p>
        </w:tc>
        <w:tc>
          <w:tcPr>
            <w:tcW w:w="2160" w:type="dxa"/>
            <w:tcBorders>
              <w:top w:val="single" w:sz="4" w:space="0" w:color="auto"/>
              <w:left w:val="single" w:sz="4" w:space="0" w:color="auto"/>
              <w:bottom w:val="single" w:sz="4" w:space="0" w:color="auto"/>
              <w:right w:val="single" w:sz="4" w:space="0" w:color="auto"/>
            </w:tcBorders>
          </w:tcPr>
          <w:p w14:paraId="64424027" w14:textId="291508AF" w:rsidR="00C16687" w:rsidRPr="00C16687" w:rsidRDefault="00C16687" w:rsidP="00AC39C5">
            <w:pPr>
              <w:ind w:left="0"/>
              <w:rPr>
                <w:sz w:val="18"/>
                <w:szCs w:val="18"/>
              </w:rPr>
            </w:pPr>
            <w:r w:rsidRPr="00C16687">
              <w:rPr>
                <w:sz w:val="18"/>
                <w:szCs w:val="18"/>
              </w:rPr>
              <w:t xml:space="preserve">Status of use in </w:t>
            </w:r>
            <w:r>
              <w:rPr>
                <w:sz w:val="18"/>
                <w:szCs w:val="18"/>
              </w:rPr>
              <w:t>immuno</w:t>
            </w:r>
            <w:r w:rsidRPr="00C16687">
              <w:rPr>
                <w:sz w:val="18"/>
                <w:szCs w:val="18"/>
              </w:rPr>
              <w:t>compromised patients</w:t>
            </w:r>
          </w:p>
        </w:tc>
        <w:tc>
          <w:tcPr>
            <w:tcW w:w="1935" w:type="dxa"/>
            <w:tcBorders>
              <w:top w:val="single" w:sz="4" w:space="0" w:color="auto"/>
              <w:left w:val="single" w:sz="4" w:space="0" w:color="auto"/>
              <w:bottom w:val="single" w:sz="4" w:space="0" w:color="auto"/>
              <w:right w:val="single" w:sz="4" w:space="0" w:color="auto"/>
            </w:tcBorders>
          </w:tcPr>
          <w:p w14:paraId="7D7A6A75" w14:textId="61BC005C" w:rsidR="00C16687" w:rsidRPr="00C16687" w:rsidRDefault="00C16687" w:rsidP="00AC39C5">
            <w:pPr>
              <w:ind w:left="0"/>
              <w:rPr>
                <w:sz w:val="18"/>
                <w:szCs w:val="18"/>
              </w:rPr>
            </w:pPr>
            <w:r w:rsidRPr="00C16687">
              <w:rPr>
                <w:sz w:val="18"/>
                <w:szCs w:val="18"/>
              </w:rPr>
              <w:t>Approved indications</w:t>
            </w:r>
          </w:p>
        </w:tc>
      </w:tr>
      <w:tr w:rsidR="00C16687" w14:paraId="710D2FEA" w14:textId="5C530456" w:rsidTr="00AC39C5">
        <w:trPr>
          <w:cantSplit/>
        </w:trPr>
        <w:tc>
          <w:tcPr>
            <w:tcW w:w="1165" w:type="dxa"/>
            <w:tcBorders>
              <w:top w:val="single" w:sz="4" w:space="0" w:color="auto"/>
            </w:tcBorders>
          </w:tcPr>
          <w:p w14:paraId="3EE8633E" w14:textId="53693432" w:rsidR="00C16687" w:rsidRPr="00C16687" w:rsidRDefault="00C16687" w:rsidP="00006FAB">
            <w:pPr>
              <w:ind w:left="0" w:right="0"/>
              <w:rPr>
                <w:sz w:val="18"/>
                <w:szCs w:val="18"/>
              </w:rPr>
            </w:pPr>
            <w:r w:rsidRPr="00C16687">
              <w:rPr>
                <w:sz w:val="18"/>
                <w:szCs w:val="18"/>
              </w:rPr>
              <w:t>United States</w:t>
            </w:r>
            <w:r w:rsidR="00861748">
              <w:rPr>
                <w:sz w:val="18"/>
                <w:szCs w:val="18"/>
              </w:rPr>
              <w:t xml:space="preserve"> of America</w:t>
            </w:r>
          </w:p>
        </w:tc>
        <w:tc>
          <w:tcPr>
            <w:tcW w:w="1530" w:type="dxa"/>
            <w:tcBorders>
              <w:top w:val="single" w:sz="4" w:space="0" w:color="auto"/>
            </w:tcBorders>
          </w:tcPr>
          <w:p w14:paraId="0D5B3859" w14:textId="66BB64AA" w:rsidR="00C16687" w:rsidRPr="00C16687" w:rsidRDefault="00AF494C" w:rsidP="00006FAB">
            <w:pPr>
              <w:ind w:left="0" w:right="0"/>
              <w:rPr>
                <w:sz w:val="18"/>
                <w:szCs w:val="18"/>
              </w:rPr>
            </w:pPr>
            <w:r>
              <w:rPr>
                <w:sz w:val="18"/>
                <w:szCs w:val="18"/>
              </w:rPr>
              <w:t>Emergency Use Authori</w:t>
            </w:r>
            <w:r w:rsidR="00861748">
              <w:rPr>
                <w:sz w:val="18"/>
                <w:szCs w:val="18"/>
              </w:rPr>
              <w:t>z</w:t>
            </w:r>
            <w:r>
              <w:rPr>
                <w:sz w:val="18"/>
                <w:szCs w:val="18"/>
              </w:rPr>
              <w:t>ation (</w:t>
            </w:r>
            <w:r w:rsidR="00861748">
              <w:rPr>
                <w:sz w:val="18"/>
                <w:szCs w:val="18"/>
              </w:rPr>
              <w:t>US Food and Drug Administration (</w:t>
            </w:r>
            <w:r>
              <w:rPr>
                <w:sz w:val="18"/>
                <w:szCs w:val="18"/>
              </w:rPr>
              <w:t>FDA</w:t>
            </w:r>
            <w:r w:rsidR="00861748">
              <w:rPr>
                <w:sz w:val="18"/>
                <w:szCs w:val="18"/>
              </w:rPr>
              <w:t>)</w:t>
            </w:r>
            <w:r>
              <w:rPr>
                <w:sz w:val="18"/>
                <w:szCs w:val="18"/>
              </w:rPr>
              <w:t>)</w:t>
            </w:r>
          </w:p>
        </w:tc>
        <w:tc>
          <w:tcPr>
            <w:tcW w:w="1710" w:type="dxa"/>
            <w:tcBorders>
              <w:top w:val="single" w:sz="4" w:space="0" w:color="auto"/>
            </w:tcBorders>
          </w:tcPr>
          <w:p w14:paraId="2975D154" w14:textId="3E11A892" w:rsidR="00C16687" w:rsidRDefault="00AF494C" w:rsidP="00006FAB">
            <w:pPr>
              <w:ind w:left="0" w:right="0"/>
              <w:rPr>
                <w:sz w:val="18"/>
                <w:szCs w:val="18"/>
              </w:rPr>
            </w:pPr>
            <w:r>
              <w:rPr>
                <w:sz w:val="18"/>
                <w:szCs w:val="18"/>
              </w:rPr>
              <w:t>Approved: 20</w:t>
            </w:r>
            <w:r w:rsidR="00861748">
              <w:rPr>
                <w:sz w:val="18"/>
                <w:szCs w:val="18"/>
              </w:rPr>
              <w:t> </w:t>
            </w:r>
            <w:r>
              <w:rPr>
                <w:sz w:val="18"/>
                <w:szCs w:val="18"/>
              </w:rPr>
              <w:t>October 2021 (EUA Amendment)</w:t>
            </w:r>
            <w:r w:rsidR="00545964">
              <w:rPr>
                <w:sz w:val="18"/>
                <w:szCs w:val="18"/>
              </w:rPr>
              <w:t xml:space="preserve"> for selected patients</w:t>
            </w:r>
          </w:p>
          <w:p w14:paraId="6CF4345B" w14:textId="467CC893" w:rsidR="00545964" w:rsidRDefault="00545964" w:rsidP="00006FAB">
            <w:pPr>
              <w:ind w:left="0" w:right="0"/>
              <w:rPr>
                <w:sz w:val="18"/>
                <w:szCs w:val="18"/>
              </w:rPr>
            </w:pPr>
            <w:r w:rsidRPr="00545964">
              <w:rPr>
                <w:sz w:val="18"/>
                <w:szCs w:val="18"/>
              </w:rPr>
              <w:t>Approved: 19</w:t>
            </w:r>
            <w:r w:rsidR="00861748">
              <w:rPr>
                <w:sz w:val="18"/>
                <w:szCs w:val="18"/>
              </w:rPr>
              <w:t> </w:t>
            </w:r>
            <w:r w:rsidRPr="00545964">
              <w:rPr>
                <w:sz w:val="18"/>
                <w:szCs w:val="18"/>
              </w:rPr>
              <w:t>November 2021 (EUA Amendment) for all individuals aged 18 years or older.</w:t>
            </w:r>
          </w:p>
          <w:p w14:paraId="7F8D76A2" w14:textId="30AEA9A6" w:rsidR="00AF494C" w:rsidRPr="00C16687" w:rsidRDefault="00AF494C" w:rsidP="00006FAB">
            <w:pPr>
              <w:ind w:left="0" w:right="0"/>
              <w:rPr>
                <w:sz w:val="18"/>
                <w:szCs w:val="18"/>
              </w:rPr>
            </w:pPr>
            <w:r>
              <w:rPr>
                <w:sz w:val="18"/>
                <w:szCs w:val="18"/>
              </w:rPr>
              <w:t>Submitted: 1 September 2021</w:t>
            </w:r>
          </w:p>
        </w:tc>
        <w:tc>
          <w:tcPr>
            <w:tcW w:w="2160" w:type="dxa"/>
            <w:tcBorders>
              <w:top w:val="single" w:sz="4" w:space="0" w:color="auto"/>
            </w:tcBorders>
          </w:tcPr>
          <w:p w14:paraId="1AC40EAA" w14:textId="54F7A167" w:rsidR="00C16687" w:rsidRPr="00C16687" w:rsidRDefault="00AF494C" w:rsidP="000574CC">
            <w:pPr>
              <w:ind w:left="0"/>
              <w:rPr>
                <w:sz w:val="18"/>
                <w:szCs w:val="18"/>
              </w:rPr>
            </w:pPr>
            <w:r>
              <w:rPr>
                <w:sz w:val="18"/>
                <w:szCs w:val="18"/>
              </w:rPr>
              <w:t>Approved: 12</w:t>
            </w:r>
            <w:r w:rsidR="00861748">
              <w:rPr>
                <w:sz w:val="18"/>
                <w:szCs w:val="18"/>
              </w:rPr>
              <w:t> </w:t>
            </w:r>
            <w:r>
              <w:rPr>
                <w:sz w:val="18"/>
                <w:szCs w:val="18"/>
              </w:rPr>
              <w:t>August</w:t>
            </w:r>
            <w:r w:rsidR="00861748">
              <w:rPr>
                <w:sz w:val="18"/>
                <w:szCs w:val="18"/>
              </w:rPr>
              <w:t xml:space="preserve"> </w:t>
            </w:r>
            <w:r>
              <w:rPr>
                <w:sz w:val="18"/>
                <w:szCs w:val="18"/>
              </w:rPr>
              <w:t>2021 (EUA</w:t>
            </w:r>
            <w:r w:rsidR="007F3DA2">
              <w:rPr>
                <w:sz w:val="18"/>
                <w:szCs w:val="18"/>
              </w:rPr>
              <w:t> </w:t>
            </w:r>
            <w:r>
              <w:rPr>
                <w:sz w:val="18"/>
                <w:szCs w:val="18"/>
              </w:rPr>
              <w:t>Amendment)</w:t>
            </w:r>
          </w:p>
        </w:tc>
        <w:tc>
          <w:tcPr>
            <w:tcW w:w="1935" w:type="dxa"/>
            <w:tcBorders>
              <w:top w:val="single" w:sz="4" w:space="0" w:color="auto"/>
            </w:tcBorders>
          </w:tcPr>
          <w:p w14:paraId="77DA3E91" w14:textId="3AF7DF6F" w:rsidR="00C16687" w:rsidRPr="00AC39C5" w:rsidRDefault="00925A7E" w:rsidP="00925A7E">
            <w:pPr>
              <w:ind w:left="0"/>
              <w:rPr>
                <w:i/>
                <w:sz w:val="18"/>
                <w:szCs w:val="18"/>
              </w:rPr>
            </w:pPr>
            <w:proofErr w:type="spellStart"/>
            <w:r w:rsidRPr="00AC39C5">
              <w:rPr>
                <w:i/>
                <w:sz w:val="18"/>
                <w:szCs w:val="18"/>
              </w:rPr>
              <w:t>Moderna</w:t>
            </w:r>
            <w:proofErr w:type="spellEnd"/>
            <w:r w:rsidRPr="00AC39C5">
              <w:rPr>
                <w:i/>
                <w:sz w:val="18"/>
                <w:szCs w:val="18"/>
              </w:rPr>
              <w:t xml:space="preserve"> COVID-19 Vaccine is authorized for use under an Emergency Use Authorization (EUA) for active immunization to prevent coronavirus disease 2019 (COVID-19) caused by severe acute respiratory syndrome coronavirus 2 (SARS-CoV-2) in individuals 18 years of age and older.</w:t>
            </w:r>
          </w:p>
        </w:tc>
      </w:tr>
      <w:tr w:rsidR="00C16687" w14:paraId="7079C09A" w14:textId="0A9F2D07" w:rsidTr="00AC39C5">
        <w:tc>
          <w:tcPr>
            <w:tcW w:w="1165" w:type="dxa"/>
          </w:tcPr>
          <w:p w14:paraId="21F42902" w14:textId="5ECFEE31" w:rsidR="00C16687" w:rsidRPr="00C16687" w:rsidRDefault="00C16687" w:rsidP="00006FAB">
            <w:pPr>
              <w:ind w:left="0" w:right="0"/>
              <w:rPr>
                <w:sz w:val="18"/>
                <w:szCs w:val="18"/>
              </w:rPr>
            </w:pPr>
            <w:r w:rsidRPr="00C16687">
              <w:rPr>
                <w:sz w:val="18"/>
                <w:szCs w:val="18"/>
              </w:rPr>
              <w:t>Switzerland</w:t>
            </w:r>
          </w:p>
        </w:tc>
        <w:tc>
          <w:tcPr>
            <w:tcW w:w="1530" w:type="dxa"/>
          </w:tcPr>
          <w:p w14:paraId="61283225" w14:textId="4A88660E" w:rsidR="00C16687" w:rsidRPr="00C16687" w:rsidRDefault="00AF494C" w:rsidP="00006FAB">
            <w:pPr>
              <w:ind w:left="0" w:right="0"/>
              <w:rPr>
                <w:sz w:val="18"/>
                <w:szCs w:val="18"/>
              </w:rPr>
            </w:pPr>
            <w:r>
              <w:rPr>
                <w:sz w:val="18"/>
                <w:szCs w:val="18"/>
              </w:rPr>
              <w:t>Temporary Marketing Approval (</w:t>
            </w:r>
            <w:proofErr w:type="spellStart"/>
            <w:r>
              <w:rPr>
                <w:sz w:val="18"/>
                <w:szCs w:val="18"/>
              </w:rPr>
              <w:t>SwissMedic</w:t>
            </w:r>
            <w:proofErr w:type="spellEnd"/>
            <w:r>
              <w:rPr>
                <w:sz w:val="18"/>
                <w:szCs w:val="18"/>
              </w:rPr>
              <w:t>)</w:t>
            </w:r>
          </w:p>
        </w:tc>
        <w:tc>
          <w:tcPr>
            <w:tcW w:w="1710" w:type="dxa"/>
          </w:tcPr>
          <w:p w14:paraId="2637371D" w14:textId="736AD422" w:rsidR="00C16687" w:rsidRDefault="00AF494C" w:rsidP="00006FAB">
            <w:pPr>
              <w:ind w:left="0" w:right="0"/>
              <w:rPr>
                <w:sz w:val="18"/>
                <w:szCs w:val="18"/>
              </w:rPr>
            </w:pPr>
            <w:r>
              <w:rPr>
                <w:sz w:val="18"/>
                <w:szCs w:val="18"/>
              </w:rPr>
              <w:t xml:space="preserve">Approved: 26 </w:t>
            </w:r>
            <w:r w:rsidR="00E31B40">
              <w:rPr>
                <w:sz w:val="18"/>
                <w:szCs w:val="18"/>
              </w:rPr>
              <w:t xml:space="preserve">November </w:t>
            </w:r>
            <w:r>
              <w:rPr>
                <w:sz w:val="18"/>
                <w:szCs w:val="18"/>
              </w:rPr>
              <w:t>2021</w:t>
            </w:r>
          </w:p>
          <w:p w14:paraId="5E189785" w14:textId="787C3527" w:rsidR="00AF494C" w:rsidRPr="00C16687" w:rsidRDefault="00AF494C" w:rsidP="00006FAB">
            <w:pPr>
              <w:ind w:left="0" w:right="0"/>
              <w:rPr>
                <w:sz w:val="18"/>
                <w:szCs w:val="18"/>
              </w:rPr>
            </w:pPr>
            <w:r>
              <w:rPr>
                <w:sz w:val="18"/>
                <w:szCs w:val="18"/>
              </w:rPr>
              <w:t>Submitted: 7 September 2021</w:t>
            </w:r>
          </w:p>
        </w:tc>
        <w:tc>
          <w:tcPr>
            <w:tcW w:w="2160" w:type="dxa"/>
          </w:tcPr>
          <w:p w14:paraId="12FCF39E" w14:textId="77777777" w:rsidR="00C16687" w:rsidRDefault="00AF494C" w:rsidP="000574CC">
            <w:pPr>
              <w:ind w:left="0"/>
              <w:rPr>
                <w:sz w:val="18"/>
                <w:szCs w:val="18"/>
              </w:rPr>
            </w:pPr>
            <w:r>
              <w:rPr>
                <w:sz w:val="18"/>
                <w:szCs w:val="18"/>
              </w:rPr>
              <w:t>Approved: 26 October 2021</w:t>
            </w:r>
          </w:p>
          <w:p w14:paraId="5A6ADDFD" w14:textId="78BD3862" w:rsidR="00AF494C" w:rsidRPr="00C16687" w:rsidRDefault="00AF494C" w:rsidP="000574CC">
            <w:pPr>
              <w:ind w:left="0"/>
              <w:rPr>
                <w:sz w:val="18"/>
                <w:szCs w:val="18"/>
              </w:rPr>
            </w:pPr>
            <w:r>
              <w:rPr>
                <w:sz w:val="18"/>
                <w:szCs w:val="18"/>
              </w:rPr>
              <w:t>Submitted: 7 September 2021</w:t>
            </w:r>
          </w:p>
        </w:tc>
        <w:tc>
          <w:tcPr>
            <w:tcW w:w="1935" w:type="dxa"/>
          </w:tcPr>
          <w:p w14:paraId="4E2A2D92" w14:textId="77777777" w:rsidR="0008787B" w:rsidRPr="00AC39C5" w:rsidRDefault="0008787B" w:rsidP="00AC39C5">
            <w:pPr>
              <w:ind w:left="0"/>
              <w:rPr>
                <w:i/>
                <w:sz w:val="18"/>
                <w:szCs w:val="18"/>
                <w:lang w:val="en-GB"/>
              </w:rPr>
            </w:pPr>
            <w:proofErr w:type="spellStart"/>
            <w:r w:rsidRPr="00AC39C5">
              <w:rPr>
                <w:i/>
                <w:sz w:val="18"/>
                <w:szCs w:val="18"/>
                <w:lang w:val="en-GB"/>
              </w:rPr>
              <w:t>Spikevax</w:t>
            </w:r>
            <w:proofErr w:type="spellEnd"/>
            <w:r w:rsidRPr="00AC39C5">
              <w:rPr>
                <w:i/>
                <w:sz w:val="18"/>
                <w:szCs w:val="18"/>
                <w:lang w:val="en-GB"/>
              </w:rPr>
              <w:t xml:space="preserve"> is indicated for active immunization to prevent coronavirus disease 2019 (COVID-19) caused by SARS-CoV-2 in individuals 12 years of age and older.</w:t>
            </w:r>
          </w:p>
          <w:p w14:paraId="43230F28" w14:textId="77777777" w:rsidR="0008787B" w:rsidRPr="00AC39C5" w:rsidRDefault="0008787B" w:rsidP="00AC39C5">
            <w:pPr>
              <w:ind w:left="0"/>
              <w:rPr>
                <w:i/>
                <w:sz w:val="18"/>
                <w:szCs w:val="18"/>
                <w:lang w:val="en-GB"/>
              </w:rPr>
            </w:pPr>
            <w:r w:rsidRPr="00AC39C5">
              <w:rPr>
                <w:i/>
                <w:sz w:val="18"/>
                <w:szCs w:val="18"/>
                <w:lang w:val="en-GB"/>
              </w:rPr>
              <w:t>The use of this vaccine should be in accordance with official recommendations.</w:t>
            </w:r>
          </w:p>
          <w:p w14:paraId="178F0BD6" w14:textId="461A0E67" w:rsidR="00C16687" w:rsidRPr="00AC39C5" w:rsidRDefault="00C16687" w:rsidP="009E063D">
            <w:pPr>
              <w:ind w:left="0"/>
              <w:rPr>
                <w:i/>
                <w:sz w:val="18"/>
                <w:szCs w:val="18"/>
              </w:rPr>
            </w:pPr>
          </w:p>
        </w:tc>
      </w:tr>
      <w:tr w:rsidR="00C16687" w14:paraId="5F330A7A" w14:textId="65C5BD3F" w:rsidTr="00AC39C5">
        <w:tc>
          <w:tcPr>
            <w:tcW w:w="1165" w:type="dxa"/>
          </w:tcPr>
          <w:p w14:paraId="4B95B833" w14:textId="3FE0D639" w:rsidR="00C16687" w:rsidRPr="00C16687" w:rsidRDefault="00C16687" w:rsidP="00D47241">
            <w:pPr>
              <w:ind w:left="0"/>
              <w:rPr>
                <w:sz w:val="18"/>
                <w:szCs w:val="18"/>
              </w:rPr>
            </w:pPr>
            <w:r w:rsidRPr="00C16687">
              <w:rPr>
                <w:sz w:val="18"/>
                <w:szCs w:val="18"/>
              </w:rPr>
              <w:t>European Union</w:t>
            </w:r>
          </w:p>
        </w:tc>
        <w:tc>
          <w:tcPr>
            <w:tcW w:w="1530" w:type="dxa"/>
          </w:tcPr>
          <w:p w14:paraId="284107D2" w14:textId="3D254FCD" w:rsidR="00C16687" w:rsidRPr="00006FAB" w:rsidRDefault="00AF494C" w:rsidP="00AF494C">
            <w:pPr>
              <w:ind w:left="0"/>
            </w:pPr>
            <w:r w:rsidRPr="00AF494C">
              <w:rPr>
                <w:sz w:val="18"/>
                <w:szCs w:val="18"/>
              </w:rPr>
              <w:t>Conditional Ma</w:t>
            </w:r>
            <w:r>
              <w:rPr>
                <w:sz w:val="18"/>
                <w:szCs w:val="18"/>
              </w:rPr>
              <w:t>rketing Authorisation under Regulation (EC) No. 726/2004 (EMA)</w:t>
            </w:r>
          </w:p>
        </w:tc>
        <w:tc>
          <w:tcPr>
            <w:tcW w:w="1710" w:type="dxa"/>
          </w:tcPr>
          <w:p w14:paraId="487FA5DD" w14:textId="77777777" w:rsidR="00C16687" w:rsidRDefault="00AF494C" w:rsidP="00AF494C">
            <w:pPr>
              <w:ind w:left="0"/>
              <w:rPr>
                <w:sz w:val="18"/>
                <w:szCs w:val="18"/>
              </w:rPr>
            </w:pPr>
            <w:r w:rsidRPr="00AF494C">
              <w:rPr>
                <w:sz w:val="18"/>
                <w:szCs w:val="18"/>
              </w:rPr>
              <w:t>Approved</w:t>
            </w:r>
            <w:r>
              <w:rPr>
                <w:sz w:val="18"/>
                <w:szCs w:val="18"/>
              </w:rPr>
              <w:t>: 29 October 2021 (Type II variation application)</w:t>
            </w:r>
          </w:p>
          <w:p w14:paraId="61D5B950" w14:textId="73E130DA" w:rsidR="00AF494C" w:rsidRPr="00006FAB" w:rsidRDefault="00AF494C" w:rsidP="00AF494C">
            <w:pPr>
              <w:ind w:left="0"/>
            </w:pPr>
            <w:r>
              <w:rPr>
                <w:sz w:val="18"/>
                <w:szCs w:val="18"/>
              </w:rPr>
              <w:t>Submitted: 3</w:t>
            </w:r>
            <w:r w:rsidR="007F3DA2">
              <w:rPr>
                <w:sz w:val="18"/>
                <w:szCs w:val="18"/>
              </w:rPr>
              <w:t> </w:t>
            </w:r>
            <w:r>
              <w:rPr>
                <w:sz w:val="18"/>
                <w:szCs w:val="18"/>
              </w:rPr>
              <w:t>September 2021</w:t>
            </w:r>
          </w:p>
        </w:tc>
        <w:tc>
          <w:tcPr>
            <w:tcW w:w="2160" w:type="dxa"/>
          </w:tcPr>
          <w:p w14:paraId="14A332CC" w14:textId="77777777" w:rsidR="00C16687" w:rsidRDefault="00AF494C" w:rsidP="000574CC">
            <w:pPr>
              <w:ind w:left="0"/>
              <w:rPr>
                <w:sz w:val="18"/>
                <w:szCs w:val="18"/>
              </w:rPr>
            </w:pPr>
            <w:r w:rsidRPr="000574CC">
              <w:rPr>
                <w:sz w:val="18"/>
                <w:szCs w:val="18"/>
              </w:rPr>
              <w:t>Approved: 5 October 2021</w:t>
            </w:r>
            <w:r w:rsidR="000574CC">
              <w:rPr>
                <w:sz w:val="18"/>
                <w:szCs w:val="18"/>
              </w:rPr>
              <w:t xml:space="preserve"> (Type II variation application)</w:t>
            </w:r>
          </w:p>
          <w:p w14:paraId="4DB95B1C" w14:textId="211C06F2" w:rsidR="00523FD3" w:rsidRPr="00006FAB" w:rsidRDefault="00523FD3" w:rsidP="000574CC">
            <w:pPr>
              <w:ind w:left="0"/>
            </w:pPr>
            <w:r>
              <w:rPr>
                <w:sz w:val="18"/>
                <w:szCs w:val="18"/>
              </w:rPr>
              <w:t>Submitted: 3</w:t>
            </w:r>
            <w:r w:rsidR="007F3DA2">
              <w:rPr>
                <w:sz w:val="18"/>
                <w:szCs w:val="18"/>
              </w:rPr>
              <w:t> </w:t>
            </w:r>
            <w:r>
              <w:rPr>
                <w:sz w:val="18"/>
                <w:szCs w:val="18"/>
              </w:rPr>
              <w:t>September 2021</w:t>
            </w:r>
          </w:p>
        </w:tc>
        <w:tc>
          <w:tcPr>
            <w:tcW w:w="1935" w:type="dxa"/>
          </w:tcPr>
          <w:p w14:paraId="18232F74" w14:textId="77777777" w:rsidR="001B4923" w:rsidRPr="00AC39C5" w:rsidRDefault="001B4923" w:rsidP="001B4923">
            <w:pPr>
              <w:ind w:left="0"/>
              <w:rPr>
                <w:i/>
                <w:sz w:val="18"/>
                <w:szCs w:val="18"/>
              </w:rPr>
            </w:pPr>
            <w:proofErr w:type="spellStart"/>
            <w:r w:rsidRPr="00AC39C5">
              <w:rPr>
                <w:i/>
                <w:sz w:val="18"/>
                <w:szCs w:val="18"/>
              </w:rPr>
              <w:t>Spikevax</w:t>
            </w:r>
            <w:proofErr w:type="spellEnd"/>
            <w:r w:rsidRPr="00AC39C5">
              <w:rPr>
                <w:i/>
                <w:sz w:val="18"/>
                <w:szCs w:val="18"/>
              </w:rPr>
              <w:t xml:space="preserve"> is indicated for active immunisation to prevent COVID-19 caused by SARS-CoV-2 in individuals 12 years of age and older.</w:t>
            </w:r>
          </w:p>
          <w:p w14:paraId="6DFA160A" w14:textId="18E02699" w:rsidR="00C16687" w:rsidRPr="00AC39C5" w:rsidRDefault="001B4923" w:rsidP="001B4923">
            <w:pPr>
              <w:ind w:left="0"/>
              <w:rPr>
                <w:i/>
                <w:sz w:val="18"/>
                <w:szCs w:val="18"/>
              </w:rPr>
            </w:pPr>
            <w:r w:rsidRPr="00AC39C5">
              <w:rPr>
                <w:i/>
                <w:sz w:val="18"/>
                <w:szCs w:val="18"/>
              </w:rPr>
              <w:t>The use of this vaccine should be in accordance with official recommendations.</w:t>
            </w:r>
          </w:p>
        </w:tc>
      </w:tr>
      <w:tr w:rsidR="00C16687" w14:paraId="18AA63D4" w14:textId="2E2C7D03" w:rsidTr="00AC39C5">
        <w:tc>
          <w:tcPr>
            <w:tcW w:w="1165" w:type="dxa"/>
          </w:tcPr>
          <w:p w14:paraId="7D6CFFB2" w14:textId="26DAEEA5" w:rsidR="00C16687" w:rsidRPr="00C16687" w:rsidRDefault="00C16687" w:rsidP="00C16687">
            <w:pPr>
              <w:ind w:left="0"/>
              <w:rPr>
                <w:sz w:val="18"/>
                <w:szCs w:val="18"/>
              </w:rPr>
            </w:pPr>
            <w:r w:rsidRPr="00C16687">
              <w:rPr>
                <w:sz w:val="18"/>
                <w:szCs w:val="18"/>
              </w:rPr>
              <w:lastRenderedPageBreak/>
              <w:t>Israel</w:t>
            </w:r>
          </w:p>
        </w:tc>
        <w:tc>
          <w:tcPr>
            <w:tcW w:w="1530" w:type="dxa"/>
          </w:tcPr>
          <w:p w14:paraId="1204D1CE" w14:textId="2F19E001" w:rsidR="00C16687" w:rsidRPr="00006FAB" w:rsidRDefault="000574CC" w:rsidP="000574CC">
            <w:pPr>
              <w:ind w:left="0"/>
            </w:pPr>
            <w:r w:rsidRPr="000574CC">
              <w:rPr>
                <w:sz w:val="18"/>
                <w:szCs w:val="18"/>
              </w:rPr>
              <w:t>Exce</w:t>
            </w:r>
            <w:r>
              <w:rPr>
                <w:sz w:val="18"/>
                <w:szCs w:val="18"/>
              </w:rPr>
              <w:t>ptional Use Authorisation (</w:t>
            </w:r>
            <w:r w:rsidR="007F3DA2">
              <w:rPr>
                <w:sz w:val="18"/>
                <w:szCs w:val="18"/>
              </w:rPr>
              <w:t xml:space="preserve">Ministry of Health; </w:t>
            </w:r>
            <w:r>
              <w:rPr>
                <w:sz w:val="18"/>
                <w:szCs w:val="18"/>
              </w:rPr>
              <w:t>MOH)</w:t>
            </w:r>
          </w:p>
        </w:tc>
        <w:tc>
          <w:tcPr>
            <w:tcW w:w="1710" w:type="dxa"/>
          </w:tcPr>
          <w:p w14:paraId="5DF199E9" w14:textId="4B432D2F" w:rsidR="00C16687" w:rsidRPr="00006FAB" w:rsidRDefault="000574CC" w:rsidP="000574CC">
            <w:pPr>
              <w:ind w:left="0"/>
            </w:pPr>
            <w:r w:rsidRPr="000574CC">
              <w:rPr>
                <w:sz w:val="18"/>
                <w:szCs w:val="18"/>
              </w:rPr>
              <w:t>Submitted</w:t>
            </w:r>
            <w:r>
              <w:rPr>
                <w:sz w:val="18"/>
                <w:szCs w:val="18"/>
              </w:rPr>
              <w:t>: 9</w:t>
            </w:r>
            <w:r w:rsidR="007F3DA2">
              <w:rPr>
                <w:sz w:val="18"/>
                <w:szCs w:val="18"/>
              </w:rPr>
              <w:t> </w:t>
            </w:r>
            <w:r>
              <w:rPr>
                <w:sz w:val="18"/>
                <w:szCs w:val="18"/>
              </w:rPr>
              <w:t>September 2021</w:t>
            </w:r>
          </w:p>
        </w:tc>
        <w:tc>
          <w:tcPr>
            <w:tcW w:w="2160" w:type="dxa"/>
          </w:tcPr>
          <w:p w14:paraId="3A8D6179" w14:textId="59F38D09" w:rsidR="00C16687" w:rsidRPr="007E7342" w:rsidRDefault="007E7342" w:rsidP="007E7342">
            <w:pPr>
              <w:ind w:left="0"/>
              <w:rPr>
                <w:sz w:val="18"/>
                <w:szCs w:val="18"/>
              </w:rPr>
            </w:pPr>
            <w:r w:rsidRPr="007E7342">
              <w:rPr>
                <w:sz w:val="18"/>
                <w:szCs w:val="18"/>
              </w:rPr>
              <w:t>Not yet submitted</w:t>
            </w:r>
          </w:p>
        </w:tc>
        <w:tc>
          <w:tcPr>
            <w:tcW w:w="1935" w:type="dxa"/>
          </w:tcPr>
          <w:p w14:paraId="5EF01D81" w14:textId="77777777" w:rsidR="007E7342" w:rsidRPr="00AC39C5" w:rsidRDefault="007E7342" w:rsidP="007E7342">
            <w:pPr>
              <w:ind w:left="0"/>
              <w:rPr>
                <w:i/>
                <w:sz w:val="18"/>
                <w:szCs w:val="18"/>
              </w:rPr>
            </w:pPr>
            <w:r w:rsidRPr="00AC39C5">
              <w:rPr>
                <w:i/>
                <w:sz w:val="18"/>
                <w:szCs w:val="18"/>
              </w:rPr>
              <w:t xml:space="preserve">COVID-19 Vaccine </w:t>
            </w:r>
            <w:proofErr w:type="spellStart"/>
            <w:r w:rsidRPr="00AC39C5">
              <w:rPr>
                <w:i/>
                <w:sz w:val="18"/>
                <w:szCs w:val="18"/>
              </w:rPr>
              <w:t>Moderna</w:t>
            </w:r>
            <w:proofErr w:type="spellEnd"/>
            <w:r w:rsidRPr="00AC39C5">
              <w:rPr>
                <w:i/>
                <w:sz w:val="18"/>
                <w:szCs w:val="18"/>
              </w:rPr>
              <w:t xml:space="preserve"> is indicated for active immunisation to prevent COVID-19 caused by SARS-CoV-2 in individuals 18 years of age and older.</w:t>
            </w:r>
          </w:p>
          <w:p w14:paraId="7BC4ADD5" w14:textId="3CA8D081" w:rsidR="00C16687" w:rsidRPr="00AC39C5" w:rsidRDefault="007E7342" w:rsidP="007E7342">
            <w:pPr>
              <w:ind w:left="0"/>
              <w:rPr>
                <w:i/>
                <w:sz w:val="18"/>
                <w:szCs w:val="18"/>
              </w:rPr>
            </w:pPr>
            <w:r w:rsidRPr="00AC39C5">
              <w:rPr>
                <w:i/>
                <w:sz w:val="18"/>
                <w:szCs w:val="18"/>
              </w:rPr>
              <w:t>The use of this vaccine should be in accordance with official recommendations.</w:t>
            </w:r>
          </w:p>
        </w:tc>
      </w:tr>
      <w:tr w:rsidR="00C16687" w14:paraId="1E3F536E" w14:textId="434DCB1A" w:rsidTr="00AC39C5">
        <w:tc>
          <w:tcPr>
            <w:tcW w:w="1165" w:type="dxa"/>
          </w:tcPr>
          <w:p w14:paraId="749A7178" w14:textId="2C0E8CD0" w:rsidR="00C16687" w:rsidRPr="00C16687" w:rsidRDefault="00C16687" w:rsidP="00C16687">
            <w:pPr>
              <w:ind w:left="0"/>
              <w:rPr>
                <w:sz w:val="18"/>
                <w:szCs w:val="18"/>
              </w:rPr>
            </w:pPr>
            <w:r w:rsidRPr="00C16687">
              <w:rPr>
                <w:sz w:val="18"/>
                <w:szCs w:val="18"/>
              </w:rPr>
              <w:t>Canada</w:t>
            </w:r>
          </w:p>
        </w:tc>
        <w:tc>
          <w:tcPr>
            <w:tcW w:w="1530" w:type="dxa"/>
          </w:tcPr>
          <w:p w14:paraId="6CEEB36D" w14:textId="1B33F50E" w:rsidR="00C16687" w:rsidRPr="000574CC" w:rsidRDefault="000574CC" w:rsidP="000574CC">
            <w:pPr>
              <w:ind w:left="0"/>
              <w:rPr>
                <w:sz w:val="18"/>
                <w:szCs w:val="18"/>
              </w:rPr>
            </w:pPr>
            <w:r w:rsidRPr="000574CC">
              <w:rPr>
                <w:sz w:val="18"/>
                <w:szCs w:val="18"/>
              </w:rPr>
              <w:t xml:space="preserve">Notice </w:t>
            </w:r>
            <w:r>
              <w:rPr>
                <w:sz w:val="18"/>
                <w:szCs w:val="18"/>
              </w:rPr>
              <w:t>of Compliance (Health Canada)</w:t>
            </w:r>
          </w:p>
        </w:tc>
        <w:tc>
          <w:tcPr>
            <w:tcW w:w="1710" w:type="dxa"/>
          </w:tcPr>
          <w:p w14:paraId="7003F736" w14:textId="547F2DE3" w:rsidR="0071271D" w:rsidRDefault="0071271D" w:rsidP="000574CC">
            <w:pPr>
              <w:ind w:left="0"/>
              <w:rPr>
                <w:sz w:val="18"/>
                <w:szCs w:val="18"/>
              </w:rPr>
            </w:pPr>
            <w:r w:rsidRPr="00545964">
              <w:rPr>
                <w:sz w:val="18"/>
                <w:szCs w:val="18"/>
              </w:rPr>
              <w:t>Approved: 12 November 2021</w:t>
            </w:r>
          </w:p>
          <w:p w14:paraId="1C665E60" w14:textId="2FD0957F" w:rsidR="00C16687" w:rsidRPr="00006FAB" w:rsidRDefault="000574CC" w:rsidP="000574CC">
            <w:pPr>
              <w:ind w:left="0"/>
            </w:pPr>
            <w:r w:rsidRPr="000574CC">
              <w:rPr>
                <w:sz w:val="18"/>
                <w:szCs w:val="18"/>
              </w:rPr>
              <w:t>Sub</w:t>
            </w:r>
            <w:r>
              <w:rPr>
                <w:sz w:val="18"/>
                <w:szCs w:val="18"/>
              </w:rPr>
              <w:t>mitted: 5 October 2021</w:t>
            </w:r>
          </w:p>
        </w:tc>
        <w:tc>
          <w:tcPr>
            <w:tcW w:w="2160" w:type="dxa"/>
          </w:tcPr>
          <w:p w14:paraId="07F8E7B3" w14:textId="77777777" w:rsidR="00545964" w:rsidRPr="00545964" w:rsidRDefault="00545964" w:rsidP="00545964">
            <w:pPr>
              <w:ind w:left="0"/>
              <w:rPr>
                <w:sz w:val="18"/>
                <w:szCs w:val="18"/>
              </w:rPr>
            </w:pPr>
            <w:r w:rsidRPr="00545964">
              <w:rPr>
                <w:sz w:val="18"/>
                <w:szCs w:val="18"/>
              </w:rPr>
              <w:t>Approved: 12 Nov 2021</w:t>
            </w:r>
          </w:p>
          <w:p w14:paraId="43B4E52A" w14:textId="72DD630A" w:rsidR="00C16687" w:rsidRPr="00006FAB" w:rsidRDefault="00545964" w:rsidP="00545964">
            <w:pPr>
              <w:ind w:left="0"/>
            </w:pPr>
            <w:r w:rsidRPr="00545964">
              <w:rPr>
                <w:sz w:val="18"/>
                <w:szCs w:val="18"/>
              </w:rPr>
              <w:t>Submitted: 5 Oct 2021</w:t>
            </w:r>
          </w:p>
        </w:tc>
        <w:tc>
          <w:tcPr>
            <w:tcW w:w="1935" w:type="dxa"/>
          </w:tcPr>
          <w:p w14:paraId="1A756EB4" w14:textId="47FDBE18" w:rsidR="00C16687" w:rsidRPr="00AC39C5" w:rsidRDefault="00925A7E" w:rsidP="00925A7E">
            <w:pPr>
              <w:ind w:left="0"/>
              <w:rPr>
                <w:i/>
                <w:sz w:val="18"/>
                <w:szCs w:val="18"/>
              </w:rPr>
            </w:pPr>
            <w:r w:rsidRPr="00AC39C5">
              <w:rPr>
                <w:i/>
                <w:sz w:val="18"/>
                <w:szCs w:val="18"/>
              </w:rPr>
              <w:t>SPIKEVAX (</w:t>
            </w:r>
            <w:proofErr w:type="spellStart"/>
            <w:r w:rsidRPr="00AC39C5">
              <w:rPr>
                <w:i/>
                <w:sz w:val="18"/>
                <w:szCs w:val="18"/>
              </w:rPr>
              <w:t>elasomeran</w:t>
            </w:r>
            <w:proofErr w:type="spellEnd"/>
            <w:r w:rsidRPr="00AC39C5">
              <w:rPr>
                <w:i/>
                <w:sz w:val="18"/>
                <w:szCs w:val="18"/>
              </w:rPr>
              <w:t xml:space="preserve"> mRNA vaccine) is indicated for active immunization against coronavirus disease 2019 (COVID-19) caused by the severe acute respiratory syndrome coronavirus 2 (SARS-CoV-2) virus in individuals 12 years of age and older.</w:t>
            </w:r>
          </w:p>
        </w:tc>
      </w:tr>
      <w:tr w:rsidR="00C16687" w14:paraId="11941059" w14:textId="2624A318" w:rsidTr="00AC39C5">
        <w:tc>
          <w:tcPr>
            <w:tcW w:w="1165" w:type="dxa"/>
          </w:tcPr>
          <w:p w14:paraId="41D755E0" w14:textId="27695F71" w:rsidR="00C16687" w:rsidRPr="00C16687" w:rsidRDefault="00C16687" w:rsidP="00C16687">
            <w:pPr>
              <w:ind w:left="0"/>
              <w:rPr>
                <w:sz w:val="18"/>
                <w:szCs w:val="18"/>
              </w:rPr>
            </w:pPr>
            <w:r w:rsidRPr="00C16687">
              <w:rPr>
                <w:sz w:val="18"/>
                <w:szCs w:val="18"/>
              </w:rPr>
              <w:t>United Kingdom</w:t>
            </w:r>
          </w:p>
        </w:tc>
        <w:tc>
          <w:tcPr>
            <w:tcW w:w="1530" w:type="dxa"/>
          </w:tcPr>
          <w:p w14:paraId="75A0EBE8" w14:textId="10892928" w:rsidR="00C16687" w:rsidRPr="00006FAB" w:rsidRDefault="000574CC" w:rsidP="000574CC">
            <w:pPr>
              <w:ind w:left="0"/>
            </w:pPr>
            <w:r w:rsidRPr="000574CC">
              <w:rPr>
                <w:sz w:val="18"/>
                <w:szCs w:val="18"/>
              </w:rPr>
              <w:t>C</w:t>
            </w:r>
            <w:r>
              <w:rPr>
                <w:sz w:val="18"/>
                <w:szCs w:val="18"/>
              </w:rPr>
              <w:t>onditional Marketing Authorisation (</w:t>
            </w:r>
            <w:r w:rsidR="007F3DA2" w:rsidRPr="007F3DA2">
              <w:rPr>
                <w:sz w:val="18"/>
                <w:szCs w:val="18"/>
              </w:rPr>
              <w:t>Medicines and Healthcare products Regulatory Agency</w:t>
            </w:r>
            <w:r w:rsidR="007F3DA2">
              <w:rPr>
                <w:sz w:val="18"/>
                <w:szCs w:val="18"/>
              </w:rPr>
              <w:t xml:space="preserve">; </w:t>
            </w:r>
            <w:r>
              <w:rPr>
                <w:sz w:val="18"/>
                <w:szCs w:val="18"/>
              </w:rPr>
              <w:t>MHRA)</w:t>
            </w:r>
          </w:p>
        </w:tc>
        <w:tc>
          <w:tcPr>
            <w:tcW w:w="1710" w:type="dxa"/>
          </w:tcPr>
          <w:p w14:paraId="39872B47" w14:textId="3CB894BE" w:rsidR="00C16687" w:rsidRPr="00006FAB" w:rsidRDefault="000574CC" w:rsidP="000574CC">
            <w:pPr>
              <w:ind w:left="0"/>
            </w:pPr>
            <w:r w:rsidRPr="000574CC">
              <w:rPr>
                <w:sz w:val="18"/>
                <w:szCs w:val="18"/>
              </w:rPr>
              <w:t>Sub</w:t>
            </w:r>
            <w:r>
              <w:rPr>
                <w:sz w:val="18"/>
                <w:szCs w:val="18"/>
              </w:rPr>
              <w:t>mitted: 29 October 2021</w:t>
            </w:r>
          </w:p>
        </w:tc>
        <w:tc>
          <w:tcPr>
            <w:tcW w:w="2160" w:type="dxa"/>
          </w:tcPr>
          <w:p w14:paraId="0D4AE3D1" w14:textId="2F4C4DE3" w:rsidR="00B1602B" w:rsidRDefault="00B1602B" w:rsidP="005B5AD4">
            <w:pPr>
              <w:ind w:left="0"/>
              <w:rPr>
                <w:sz w:val="18"/>
                <w:szCs w:val="18"/>
              </w:rPr>
            </w:pPr>
            <w:r>
              <w:rPr>
                <w:sz w:val="18"/>
                <w:szCs w:val="18"/>
              </w:rPr>
              <w:t xml:space="preserve">Approved: </w:t>
            </w:r>
            <w:r w:rsidR="004E450F">
              <w:rPr>
                <w:sz w:val="18"/>
                <w:szCs w:val="18"/>
              </w:rPr>
              <w:t>0</w:t>
            </w:r>
            <w:r>
              <w:rPr>
                <w:sz w:val="18"/>
                <w:szCs w:val="18"/>
              </w:rPr>
              <w:t>1 December 2021</w:t>
            </w:r>
          </w:p>
          <w:p w14:paraId="5BB276B3" w14:textId="24B9F724" w:rsidR="00C16687" w:rsidRPr="00006FAB" w:rsidRDefault="005B5AD4" w:rsidP="005B5AD4">
            <w:pPr>
              <w:ind w:left="0"/>
            </w:pPr>
            <w:r w:rsidRPr="005B5AD4">
              <w:rPr>
                <w:sz w:val="18"/>
                <w:szCs w:val="18"/>
              </w:rPr>
              <w:t>Submitted 8 October 2021</w:t>
            </w:r>
          </w:p>
        </w:tc>
        <w:tc>
          <w:tcPr>
            <w:tcW w:w="1935" w:type="dxa"/>
          </w:tcPr>
          <w:p w14:paraId="64AEE4FD" w14:textId="690C53E5" w:rsidR="00871ED7" w:rsidRPr="00AC39C5" w:rsidRDefault="00871ED7" w:rsidP="00871ED7">
            <w:pPr>
              <w:ind w:left="0"/>
              <w:rPr>
                <w:i/>
                <w:sz w:val="18"/>
                <w:szCs w:val="18"/>
              </w:rPr>
            </w:pPr>
            <w:proofErr w:type="spellStart"/>
            <w:r w:rsidRPr="00AC39C5">
              <w:rPr>
                <w:i/>
                <w:sz w:val="18"/>
                <w:szCs w:val="18"/>
              </w:rPr>
              <w:t>Spikevax</w:t>
            </w:r>
            <w:proofErr w:type="spellEnd"/>
            <w:r w:rsidRPr="00AC39C5">
              <w:rPr>
                <w:i/>
                <w:sz w:val="18"/>
                <w:szCs w:val="18"/>
              </w:rPr>
              <w:t xml:space="preserve"> is indicated for active immunisation to prevent COVID-19 caused by SARS-CoV-2 in individuals 12 years of age and older.</w:t>
            </w:r>
          </w:p>
          <w:p w14:paraId="66918FEE" w14:textId="24939DBF" w:rsidR="00C16687" w:rsidRPr="00AC39C5" w:rsidRDefault="00871ED7" w:rsidP="00871ED7">
            <w:pPr>
              <w:ind w:left="0"/>
              <w:rPr>
                <w:i/>
                <w:sz w:val="18"/>
                <w:szCs w:val="18"/>
              </w:rPr>
            </w:pPr>
            <w:r w:rsidRPr="00AC39C5">
              <w:rPr>
                <w:i/>
                <w:sz w:val="18"/>
                <w:szCs w:val="18"/>
              </w:rPr>
              <w:t>The use of this vaccine should be in accordance with official recommendations.</w:t>
            </w:r>
          </w:p>
        </w:tc>
      </w:tr>
    </w:tbl>
    <w:p w14:paraId="09DEB462" w14:textId="28BFC932" w:rsidR="008E7846" w:rsidRDefault="008E7846" w:rsidP="00940A89">
      <w:pPr>
        <w:pStyle w:val="Heading3"/>
      </w:pPr>
      <w:bookmarkStart w:id="22" w:name="_Toc89950070"/>
      <w:r>
        <w:t>Product Information</w:t>
      </w:r>
      <w:bookmarkEnd w:id="19"/>
      <w:bookmarkEnd w:id="20"/>
      <w:bookmarkEnd w:id="22"/>
    </w:p>
    <w:p w14:paraId="7A26AAF0" w14:textId="03BF8548" w:rsidR="00006FAB" w:rsidRDefault="006136D7" w:rsidP="009E7CFA">
      <w:bookmarkStart w:id="23" w:name="_Toc247691506"/>
      <w:bookmarkStart w:id="24" w:name="_Toc314842487"/>
      <w:r w:rsidRPr="00940A89">
        <w:t xml:space="preserve">The Product Information (PI) </w:t>
      </w:r>
      <w:r>
        <w:t xml:space="preserve">approved with the submission which is described in </w:t>
      </w:r>
      <w:r w:rsidRPr="00940A89">
        <w:t xml:space="preserve">this </w:t>
      </w:r>
      <w:proofErr w:type="spellStart"/>
      <w:r w:rsidRPr="00940A89">
        <w:t>AusPAR</w:t>
      </w:r>
      <w:proofErr w:type="spellEnd"/>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3878A443" w14:textId="77777777" w:rsidR="00500337" w:rsidRDefault="00500337" w:rsidP="00500337">
      <w:pPr>
        <w:pStyle w:val="Heading2"/>
      </w:pPr>
      <w:bookmarkStart w:id="25" w:name="_Toc504480011"/>
      <w:bookmarkStart w:id="26" w:name="_Toc89950071"/>
      <w:r>
        <w:lastRenderedPageBreak/>
        <w:t>II. Registration timeline</w:t>
      </w:r>
      <w:bookmarkEnd w:id="25"/>
      <w:bookmarkEnd w:id="26"/>
    </w:p>
    <w:p w14:paraId="198B2B19" w14:textId="11EB9FEA" w:rsidR="006A58A8" w:rsidRDefault="00500337" w:rsidP="009E7CFA">
      <w:r>
        <w:t>The following table captures the key steps and dates for this application</w:t>
      </w:r>
      <w:r w:rsidR="00C5718C">
        <w:t>,</w:t>
      </w:r>
      <w:r>
        <w:t xml:space="preserve"> and which are detailed and discussed in this </w:t>
      </w:r>
      <w:proofErr w:type="spellStart"/>
      <w:r>
        <w:t>AusPAR</w:t>
      </w:r>
      <w:proofErr w:type="spellEnd"/>
      <w:r>
        <w:t>.</w:t>
      </w:r>
    </w:p>
    <w:p w14:paraId="0F76ABAC" w14:textId="364098D5" w:rsidR="00500337" w:rsidRPr="00DA18E9" w:rsidRDefault="006A58A8" w:rsidP="00DA18E9">
      <w:pPr>
        <w:pStyle w:val="TableTitle"/>
      </w:pPr>
      <w:r w:rsidRPr="00DA18E9">
        <w:t xml:space="preserve">Table </w:t>
      </w:r>
      <w:r w:rsidR="00324E45" w:rsidRPr="00DA18E9">
        <w:t>2</w:t>
      </w:r>
      <w:r w:rsidR="00006FAB" w:rsidRPr="00DA18E9">
        <w:t>:</w:t>
      </w:r>
      <w:r w:rsidRPr="00DA18E9">
        <w:t xml:space="preserve"> Timeline for Submission PM-20</w:t>
      </w:r>
      <w:r w:rsidR="00324E45" w:rsidRPr="00DA18E9">
        <w:t>2</w:t>
      </w:r>
      <w:r w:rsidR="00662159" w:rsidRPr="00DA18E9">
        <w:t>1</w:t>
      </w:r>
      <w:r w:rsidRPr="00DA18E9">
        <w:t>-</w:t>
      </w:r>
      <w:r w:rsidR="00662159" w:rsidRPr="00DA18E9">
        <w:t>05131</w:t>
      </w:r>
      <w:r w:rsidRPr="00DA18E9">
        <w:t>-1-</w:t>
      </w:r>
      <w:r w:rsidR="00662159" w:rsidRPr="00DA18E9">
        <w:t>2</w:t>
      </w:r>
    </w:p>
    <w:tbl>
      <w:tblPr>
        <w:tblStyle w:val="TableTGAblue"/>
        <w:tblW w:w="0" w:type="auto"/>
        <w:tblLook w:val="04A0" w:firstRow="1" w:lastRow="0" w:firstColumn="1" w:lastColumn="0" w:noHBand="0" w:noVBand="1"/>
        <w:tblCaption w:val="Key steps and dates for this Spikevax application."/>
        <w:tblDescription w:val="This table describes the key steps and dates for this application and which are detailed and discussed in this AusPAR."/>
      </w:tblPr>
      <w:tblGrid>
        <w:gridCol w:w="5949"/>
        <w:gridCol w:w="2545"/>
      </w:tblGrid>
      <w:tr w:rsidR="00500337" w14:paraId="267F88B9" w14:textId="77777777" w:rsidTr="00617B12">
        <w:trPr>
          <w:cnfStyle w:val="100000000000" w:firstRow="1" w:lastRow="0" w:firstColumn="0" w:lastColumn="0" w:oddVBand="0" w:evenVBand="0" w:oddHBand="0" w:evenHBand="0" w:firstRowFirstColumn="0" w:firstRowLastColumn="0" w:lastRowFirstColumn="0" w:lastRowLastColumn="0"/>
        </w:trPr>
        <w:tc>
          <w:tcPr>
            <w:tcW w:w="5949" w:type="dxa"/>
            <w:tcBorders>
              <w:top w:val="single" w:sz="4" w:space="0" w:color="auto"/>
              <w:left w:val="single" w:sz="4" w:space="0" w:color="auto"/>
              <w:bottom w:val="single" w:sz="4" w:space="0" w:color="auto"/>
              <w:right w:val="single" w:sz="4" w:space="0" w:color="auto"/>
            </w:tcBorders>
          </w:tcPr>
          <w:p w14:paraId="56A48C25" w14:textId="77777777" w:rsidR="00500337" w:rsidRPr="00AC39C5" w:rsidRDefault="00500337" w:rsidP="009F47A5">
            <w:pPr>
              <w:pStyle w:val="TableTitle"/>
              <w:rPr>
                <w:b/>
              </w:rPr>
            </w:pPr>
            <w:r w:rsidRPr="003B2923">
              <w:t>Description</w:t>
            </w:r>
          </w:p>
        </w:tc>
        <w:tc>
          <w:tcPr>
            <w:tcW w:w="2545" w:type="dxa"/>
            <w:tcBorders>
              <w:top w:val="single" w:sz="4" w:space="0" w:color="auto"/>
              <w:left w:val="single" w:sz="4" w:space="0" w:color="auto"/>
              <w:bottom w:val="single" w:sz="4" w:space="0" w:color="auto"/>
              <w:right w:val="single" w:sz="4" w:space="0" w:color="auto"/>
            </w:tcBorders>
          </w:tcPr>
          <w:p w14:paraId="01A15D28" w14:textId="77777777" w:rsidR="00500337" w:rsidRPr="00AC39C5" w:rsidRDefault="00500337" w:rsidP="009F47A5">
            <w:pPr>
              <w:pStyle w:val="TableTitle"/>
              <w:rPr>
                <w:b/>
              </w:rPr>
            </w:pPr>
            <w:r w:rsidRPr="003B2923">
              <w:t>Date</w:t>
            </w:r>
          </w:p>
        </w:tc>
      </w:tr>
      <w:tr w:rsidR="00500337" w14:paraId="06B0C3E6" w14:textId="77777777" w:rsidTr="00617B12">
        <w:tc>
          <w:tcPr>
            <w:tcW w:w="5949" w:type="dxa"/>
            <w:tcBorders>
              <w:top w:val="single" w:sz="4" w:space="0" w:color="auto"/>
            </w:tcBorders>
          </w:tcPr>
          <w:p w14:paraId="05ACD5BD" w14:textId="4571FFEA" w:rsidR="00500337" w:rsidRDefault="00500337" w:rsidP="006212EC">
            <w:r>
              <w:t>Designation (Provisional)</w:t>
            </w:r>
          </w:p>
        </w:tc>
        <w:tc>
          <w:tcPr>
            <w:tcW w:w="2545" w:type="dxa"/>
            <w:tcBorders>
              <w:top w:val="single" w:sz="4" w:space="0" w:color="auto"/>
            </w:tcBorders>
          </w:tcPr>
          <w:p w14:paraId="529058F0" w14:textId="79CA7E92" w:rsidR="00500337" w:rsidRDefault="003B2923" w:rsidP="006212EC">
            <w:r>
              <w:t>Not applicable</w:t>
            </w:r>
          </w:p>
        </w:tc>
      </w:tr>
      <w:tr w:rsidR="00500337" w14:paraId="2EAB5FCB" w14:textId="77777777" w:rsidTr="00617B12">
        <w:tc>
          <w:tcPr>
            <w:tcW w:w="5949" w:type="dxa"/>
          </w:tcPr>
          <w:p w14:paraId="4657FC1C" w14:textId="77777777" w:rsidR="00500337" w:rsidRDefault="00500337" w:rsidP="006212EC">
            <w:r>
              <w:t>Submission dossier accepted and first round evaluation commenced</w:t>
            </w:r>
          </w:p>
        </w:tc>
        <w:tc>
          <w:tcPr>
            <w:tcW w:w="2545" w:type="dxa"/>
          </w:tcPr>
          <w:p w14:paraId="386FA8CC" w14:textId="5F4541EA" w:rsidR="00500337" w:rsidRDefault="00957B3D" w:rsidP="006212EC">
            <w:r>
              <w:t>8 November 2021</w:t>
            </w:r>
          </w:p>
        </w:tc>
      </w:tr>
      <w:tr w:rsidR="00500337" w14:paraId="303510CE" w14:textId="77777777" w:rsidTr="00617B12">
        <w:tc>
          <w:tcPr>
            <w:tcW w:w="5949" w:type="dxa"/>
          </w:tcPr>
          <w:p w14:paraId="7F86C5BC" w14:textId="77777777" w:rsidR="00500337" w:rsidRDefault="00500337" w:rsidP="006212EC">
            <w:r>
              <w:t>First round evaluation completed</w:t>
            </w:r>
          </w:p>
        </w:tc>
        <w:tc>
          <w:tcPr>
            <w:tcW w:w="2545" w:type="dxa"/>
          </w:tcPr>
          <w:p w14:paraId="705CB913" w14:textId="20CAC5FC" w:rsidR="00500337" w:rsidRDefault="003B2923" w:rsidP="006212EC">
            <w:r>
              <w:t>2 December 2021</w:t>
            </w:r>
          </w:p>
        </w:tc>
      </w:tr>
      <w:tr w:rsidR="00500337" w14:paraId="037E4B79" w14:textId="77777777" w:rsidTr="00617B12">
        <w:tc>
          <w:tcPr>
            <w:tcW w:w="5949" w:type="dxa"/>
          </w:tcPr>
          <w:p w14:paraId="7ED26EE5" w14:textId="77777777" w:rsidR="00500337" w:rsidRDefault="00500337" w:rsidP="006212EC">
            <w:r>
              <w:t>Sponsor provides responses on questions raised in first round evaluation</w:t>
            </w:r>
          </w:p>
        </w:tc>
        <w:tc>
          <w:tcPr>
            <w:tcW w:w="2545" w:type="dxa"/>
          </w:tcPr>
          <w:p w14:paraId="69F55301" w14:textId="585AB2E7" w:rsidR="00500337" w:rsidRDefault="00957B3D" w:rsidP="006212EC">
            <w:r>
              <w:t>18 November 2021</w:t>
            </w:r>
          </w:p>
        </w:tc>
      </w:tr>
      <w:tr w:rsidR="00500337" w14:paraId="044146F5" w14:textId="77777777" w:rsidTr="00617B12">
        <w:tc>
          <w:tcPr>
            <w:tcW w:w="5949" w:type="dxa"/>
          </w:tcPr>
          <w:p w14:paraId="24AF6ABF" w14:textId="2336C6F2" w:rsidR="00500337" w:rsidRDefault="00324E45" w:rsidP="006212EC">
            <w:r>
              <w:t xml:space="preserve">Delegate’s Overall benefit-risk assessment </w:t>
            </w:r>
            <w:r w:rsidRPr="006212EC">
              <w:t>and request for Advisory Committee advice</w:t>
            </w:r>
          </w:p>
        </w:tc>
        <w:tc>
          <w:tcPr>
            <w:tcW w:w="2545" w:type="dxa"/>
          </w:tcPr>
          <w:p w14:paraId="789EEEEF" w14:textId="3A370356" w:rsidR="00500337" w:rsidRDefault="00957B3D" w:rsidP="006212EC">
            <w:r>
              <w:t>19 November 2021</w:t>
            </w:r>
          </w:p>
        </w:tc>
      </w:tr>
      <w:tr w:rsidR="00500337" w14:paraId="22F69A51" w14:textId="77777777" w:rsidTr="00617B12">
        <w:tc>
          <w:tcPr>
            <w:tcW w:w="5949" w:type="dxa"/>
          </w:tcPr>
          <w:p w14:paraId="574BC97E" w14:textId="77777777" w:rsidR="00500337" w:rsidRDefault="00500337" w:rsidP="006212EC">
            <w:r>
              <w:t>Sponsor’s pre-Advisory Committee response</w:t>
            </w:r>
          </w:p>
        </w:tc>
        <w:tc>
          <w:tcPr>
            <w:tcW w:w="2545" w:type="dxa"/>
          </w:tcPr>
          <w:p w14:paraId="117DD239" w14:textId="34190E99" w:rsidR="00500337" w:rsidRDefault="007E7342" w:rsidP="006212EC">
            <w:r>
              <w:t>24 November 2021</w:t>
            </w:r>
          </w:p>
        </w:tc>
      </w:tr>
      <w:tr w:rsidR="00500337" w14:paraId="30436D97" w14:textId="77777777" w:rsidTr="00617B12">
        <w:tc>
          <w:tcPr>
            <w:tcW w:w="5949" w:type="dxa"/>
          </w:tcPr>
          <w:p w14:paraId="698AE572" w14:textId="77777777" w:rsidR="00500337" w:rsidRDefault="00500337" w:rsidP="006212EC">
            <w:r>
              <w:t>Advisory Committee meeting</w:t>
            </w:r>
          </w:p>
        </w:tc>
        <w:tc>
          <w:tcPr>
            <w:tcW w:w="2545" w:type="dxa"/>
          </w:tcPr>
          <w:p w14:paraId="10914652" w14:textId="538B7C43" w:rsidR="00500337" w:rsidRDefault="006212EC" w:rsidP="006212EC">
            <w:r>
              <w:t>1 December 2021</w:t>
            </w:r>
          </w:p>
        </w:tc>
      </w:tr>
      <w:tr w:rsidR="00500337" w14:paraId="72952A36" w14:textId="77777777" w:rsidTr="00617B12">
        <w:tc>
          <w:tcPr>
            <w:tcW w:w="5949" w:type="dxa"/>
          </w:tcPr>
          <w:p w14:paraId="25CFFD5E" w14:textId="77777777" w:rsidR="00500337" w:rsidRDefault="00500337" w:rsidP="006A6381">
            <w:r>
              <w:t>Registration decision (Outcome)</w:t>
            </w:r>
          </w:p>
        </w:tc>
        <w:tc>
          <w:tcPr>
            <w:tcW w:w="2545" w:type="dxa"/>
          </w:tcPr>
          <w:p w14:paraId="3737CBE0" w14:textId="23A26B81" w:rsidR="00500337" w:rsidRPr="00AC39C5" w:rsidRDefault="003B2923" w:rsidP="009F47A5">
            <w:pPr>
              <w:pStyle w:val="TableTitle"/>
              <w:rPr>
                <w:b w:val="0"/>
              </w:rPr>
            </w:pPr>
            <w:r>
              <w:rPr>
                <w:b w:val="0"/>
              </w:rPr>
              <w:t>7 December 2021</w:t>
            </w:r>
          </w:p>
        </w:tc>
      </w:tr>
      <w:tr w:rsidR="00500337" w14:paraId="7B6CC66A" w14:textId="77777777" w:rsidTr="00617B12">
        <w:tc>
          <w:tcPr>
            <w:tcW w:w="5949" w:type="dxa"/>
          </w:tcPr>
          <w:p w14:paraId="5F8151A7" w14:textId="02D70DFB" w:rsidR="00500337" w:rsidRDefault="00500337" w:rsidP="006A6381">
            <w:r>
              <w:t>Completion of administrative activities</w:t>
            </w:r>
            <w:r w:rsidR="00235E83">
              <w:t xml:space="preserve"> and registration on the ARTG</w:t>
            </w:r>
            <w:r>
              <w:t xml:space="preserve"> </w:t>
            </w:r>
          </w:p>
        </w:tc>
        <w:tc>
          <w:tcPr>
            <w:tcW w:w="2545" w:type="dxa"/>
          </w:tcPr>
          <w:p w14:paraId="7F264D34" w14:textId="285D5773" w:rsidR="00500337" w:rsidRPr="00AC39C5" w:rsidRDefault="00235E83" w:rsidP="009F47A5">
            <w:pPr>
              <w:pStyle w:val="TableTitle"/>
              <w:rPr>
                <w:b w:val="0"/>
                <w:bCs/>
              </w:rPr>
            </w:pPr>
            <w:r>
              <w:rPr>
                <w:b w:val="0"/>
                <w:bCs/>
              </w:rPr>
              <w:t>9</w:t>
            </w:r>
            <w:r w:rsidR="00AC39C5">
              <w:rPr>
                <w:b w:val="0"/>
                <w:bCs/>
              </w:rPr>
              <w:t xml:space="preserve"> December 2021</w:t>
            </w:r>
          </w:p>
        </w:tc>
      </w:tr>
      <w:tr w:rsidR="00500337" w14:paraId="3B153A02" w14:textId="77777777" w:rsidTr="00617B12">
        <w:tc>
          <w:tcPr>
            <w:tcW w:w="5949" w:type="dxa"/>
          </w:tcPr>
          <w:p w14:paraId="1704BA89" w14:textId="77777777" w:rsidR="00500337" w:rsidRDefault="00500337" w:rsidP="006A6381">
            <w:r>
              <w:t>Number of working days from submission dossier acceptance to registration decision*</w:t>
            </w:r>
          </w:p>
        </w:tc>
        <w:tc>
          <w:tcPr>
            <w:tcW w:w="2545" w:type="dxa"/>
          </w:tcPr>
          <w:p w14:paraId="2B74CE25" w14:textId="3971F210" w:rsidR="00500337" w:rsidRPr="00AC39C5" w:rsidRDefault="003B2923" w:rsidP="009F47A5">
            <w:pPr>
              <w:pStyle w:val="TableTitle"/>
              <w:rPr>
                <w:b w:val="0"/>
              </w:rPr>
            </w:pPr>
            <w:r w:rsidRPr="00AC39C5">
              <w:rPr>
                <w:b w:val="0"/>
              </w:rPr>
              <w:t>22</w:t>
            </w:r>
          </w:p>
        </w:tc>
      </w:tr>
    </w:tbl>
    <w:p w14:paraId="385F2D07" w14:textId="77777777" w:rsidR="00500337" w:rsidRDefault="00500337" w:rsidP="00875408">
      <w:pPr>
        <w:pStyle w:val="TableDescription"/>
      </w:pPr>
      <w:r>
        <w:t>*</w:t>
      </w:r>
      <w:r w:rsidR="006603BC" w:rsidRPr="006603BC">
        <w:t>Statutory timeframe for standard applications is 255 working days</w:t>
      </w:r>
    </w:p>
    <w:p w14:paraId="215F1D5E" w14:textId="77777777" w:rsidR="008E7846" w:rsidRPr="00792A32" w:rsidRDefault="00456765" w:rsidP="008E7846">
      <w:pPr>
        <w:pStyle w:val="Heading2"/>
      </w:pPr>
      <w:bookmarkStart w:id="27" w:name="_Toc196046504"/>
      <w:bookmarkStart w:id="28" w:name="_Toc247691527"/>
      <w:bookmarkStart w:id="29" w:name="_Toc314842510"/>
      <w:bookmarkStart w:id="30" w:name="_Toc163441390"/>
      <w:bookmarkStart w:id="31" w:name="_Toc89950072"/>
      <w:bookmarkEnd w:id="1"/>
      <w:bookmarkEnd w:id="23"/>
      <w:bookmarkEnd w:id="24"/>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7"/>
      <w:bookmarkEnd w:id="28"/>
      <w:bookmarkEnd w:id="29"/>
      <w:bookmarkEnd w:id="31"/>
    </w:p>
    <w:p w14:paraId="58F670AB" w14:textId="77777777" w:rsidR="00006FAB" w:rsidRDefault="00006FAB" w:rsidP="00006FAB">
      <w:bookmarkStart w:id="32" w:name="_Toc247691528"/>
      <w:r>
        <w:t>The submission was summarised in the following Delegate’s overview and recommendations.</w:t>
      </w:r>
    </w:p>
    <w:p w14:paraId="0E8DDF52" w14:textId="3069F282" w:rsidR="004B0EE3" w:rsidRDefault="008E7846" w:rsidP="004B0EE3">
      <w:pPr>
        <w:pStyle w:val="Heading3"/>
      </w:pPr>
      <w:bookmarkStart w:id="33" w:name="_Toc314842511"/>
      <w:bookmarkStart w:id="34" w:name="_Toc89950073"/>
      <w:r>
        <w:t>Quality</w:t>
      </w:r>
      <w:bookmarkEnd w:id="32"/>
      <w:bookmarkEnd w:id="33"/>
      <w:bookmarkEnd w:id="34"/>
    </w:p>
    <w:p w14:paraId="6B8939D1" w14:textId="6BDEFA37" w:rsidR="004B0EE3" w:rsidRDefault="0018675E" w:rsidP="00293B2C">
      <w:r>
        <w:t>There was no requirement for a quality evaluation in a submission of this type.</w:t>
      </w:r>
    </w:p>
    <w:p w14:paraId="319AAB05" w14:textId="043D6247" w:rsidR="00006FAB" w:rsidRDefault="0018675E" w:rsidP="00293B2C">
      <w:r>
        <w:t xml:space="preserve">A full quality evaluation for </w:t>
      </w:r>
      <w:proofErr w:type="spellStart"/>
      <w:r>
        <w:t>Spikevax</w:t>
      </w:r>
      <w:proofErr w:type="spellEnd"/>
      <w:r>
        <w:t xml:space="preserve"> (</w:t>
      </w:r>
      <w:proofErr w:type="spellStart"/>
      <w:r>
        <w:t>elasomeran</w:t>
      </w:r>
      <w:proofErr w:type="spellEnd"/>
      <w:r>
        <w:t>) was conducted for an earlier submission</w:t>
      </w:r>
      <w:bookmarkStart w:id="35" w:name="_Hlk88774726"/>
      <w:r>
        <w:t>.</w:t>
      </w:r>
      <w:r>
        <w:rPr>
          <w:rStyle w:val="FootnoteReference"/>
        </w:rPr>
        <w:footnoteReference w:id="26"/>
      </w:r>
      <w:bookmarkEnd w:id="35"/>
    </w:p>
    <w:p w14:paraId="6CB91451" w14:textId="77777777" w:rsidR="008E7846" w:rsidRDefault="008E7846" w:rsidP="008E7846">
      <w:pPr>
        <w:pStyle w:val="Heading3"/>
      </w:pPr>
      <w:bookmarkStart w:id="36" w:name="_Toc314842512"/>
      <w:bookmarkStart w:id="37" w:name="_Toc89950074"/>
      <w:r>
        <w:lastRenderedPageBreak/>
        <w:t>Nonclinical</w:t>
      </w:r>
      <w:bookmarkEnd w:id="36"/>
      <w:bookmarkEnd w:id="37"/>
    </w:p>
    <w:p w14:paraId="2156ABD7" w14:textId="4F578052" w:rsidR="008E7846" w:rsidRDefault="00006FAB" w:rsidP="00293B2C">
      <w:r>
        <w:t>There was no requirement for a nonclinical evaluation in a submission of this type.</w:t>
      </w:r>
    </w:p>
    <w:p w14:paraId="6AE2A4D3" w14:textId="01F8AEDE" w:rsidR="004B0EE3" w:rsidRDefault="004B0EE3" w:rsidP="00293B2C">
      <w:r w:rsidRPr="00DA18E9">
        <w:t xml:space="preserve">A full nonclinical evaluation for </w:t>
      </w:r>
      <w:proofErr w:type="spellStart"/>
      <w:r w:rsidRPr="00DA18E9">
        <w:t>Spikevax</w:t>
      </w:r>
      <w:proofErr w:type="spellEnd"/>
      <w:r w:rsidRPr="00DA18E9">
        <w:t xml:space="preserve"> (</w:t>
      </w:r>
      <w:proofErr w:type="spellStart"/>
      <w:r w:rsidRPr="00DA18E9">
        <w:t>elasomeran</w:t>
      </w:r>
      <w:proofErr w:type="spellEnd"/>
      <w:r w:rsidRPr="00DA18E9">
        <w:t>) was conducted for an earlier submission.</w:t>
      </w:r>
    </w:p>
    <w:p w14:paraId="150B1C1E" w14:textId="77777777" w:rsidR="008E7846" w:rsidRDefault="008E7846" w:rsidP="008E7846">
      <w:pPr>
        <w:pStyle w:val="Heading3"/>
      </w:pPr>
      <w:bookmarkStart w:id="38" w:name="_Toc247691530"/>
      <w:bookmarkStart w:id="39" w:name="_Toc314842513"/>
      <w:bookmarkStart w:id="40" w:name="_Toc89950075"/>
      <w:r>
        <w:t>Clinical</w:t>
      </w:r>
      <w:bookmarkEnd w:id="38"/>
      <w:bookmarkEnd w:id="39"/>
      <w:bookmarkEnd w:id="40"/>
    </w:p>
    <w:p w14:paraId="66426989" w14:textId="4F7CB20E" w:rsidR="007B6132" w:rsidRDefault="003E42BA" w:rsidP="00006FAB">
      <w:pPr>
        <w:pStyle w:val="Instructions"/>
        <w:rPr>
          <w:i w:val="0"/>
          <w:iCs/>
          <w:color w:val="auto"/>
        </w:rPr>
      </w:pPr>
      <w:bookmarkStart w:id="41" w:name="_Toc314842514"/>
      <w:r w:rsidRPr="003E42BA">
        <w:rPr>
          <w:i w:val="0"/>
          <w:iCs/>
          <w:color w:val="auto"/>
        </w:rPr>
        <w:t>The c</w:t>
      </w:r>
      <w:r>
        <w:rPr>
          <w:i w:val="0"/>
          <w:iCs/>
          <w:color w:val="auto"/>
        </w:rPr>
        <w:t>linical dossier consisted of the clinical study report for the following studies:</w:t>
      </w:r>
    </w:p>
    <w:p w14:paraId="7DC7B413" w14:textId="2937FE38" w:rsidR="003E42BA" w:rsidRPr="007A06D0" w:rsidRDefault="007F3DA2" w:rsidP="007A06D0">
      <w:pPr>
        <w:pStyle w:val="ListBullet"/>
      </w:pPr>
      <w:r>
        <w:t>S</w:t>
      </w:r>
      <w:r w:rsidR="002F69A0">
        <w:t>tudy mRNA-1273-P201 Part A and Part B</w:t>
      </w:r>
      <w:r w:rsidRPr="001C2B4A">
        <w:t xml:space="preserve"> </w:t>
      </w:r>
      <w:r>
        <w:t xml:space="preserve">(here after abbreviated as </w:t>
      </w:r>
      <w:r w:rsidR="003E42BA" w:rsidRPr="007A06D0">
        <w:t xml:space="preserve">Study P201 </w:t>
      </w:r>
      <w:r w:rsidR="00466514" w:rsidRPr="007A06D0">
        <w:t xml:space="preserve">Parts A and </w:t>
      </w:r>
      <w:r w:rsidR="003E42BA" w:rsidRPr="007A06D0">
        <w:t>B</w:t>
      </w:r>
      <w:proofErr w:type="gramStart"/>
      <w:r>
        <w:t>)</w:t>
      </w:r>
      <w:r w:rsidR="002F69A0">
        <w:t>;</w:t>
      </w:r>
      <w:proofErr w:type="gramEnd"/>
    </w:p>
    <w:p w14:paraId="1BE2C20E" w14:textId="52C6CA01" w:rsidR="003E42BA" w:rsidRPr="00F92765" w:rsidRDefault="00466514" w:rsidP="007A06D0">
      <w:pPr>
        <w:pStyle w:val="ListBullet"/>
      </w:pPr>
      <w:r w:rsidRPr="007A06D0">
        <w:t xml:space="preserve">Study </w:t>
      </w:r>
      <w:r w:rsidR="003E42BA" w:rsidRPr="007A06D0">
        <w:t>DMID 21-0012</w:t>
      </w:r>
      <w:r w:rsidR="002F69A0">
        <w:t>; and</w:t>
      </w:r>
    </w:p>
    <w:p w14:paraId="5A9060BC" w14:textId="0F56B4C5" w:rsidR="00466514" w:rsidRPr="00F92765" w:rsidRDefault="00466514" w:rsidP="007A06D0">
      <w:pPr>
        <w:pStyle w:val="ListBullet"/>
      </w:pPr>
      <w:r w:rsidRPr="00F92765">
        <w:t xml:space="preserve">Study </w:t>
      </w:r>
      <w:r w:rsidR="002F69A0">
        <w:t>mRNA-1273-</w:t>
      </w:r>
      <w:r w:rsidRPr="00F92765">
        <w:t>P301 Part A</w:t>
      </w:r>
      <w:r w:rsidR="002F69A0">
        <w:t xml:space="preserve"> (here after abbreviated as Study P301 (Part A)</w:t>
      </w:r>
    </w:p>
    <w:p w14:paraId="2E28B2D2" w14:textId="7D04E32E" w:rsidR="003E42BA" w:rsidRDefault="003E42BA" w:rsidP="003E42BA">
      <w:pPr>
        <w:pStyle w:val="Heading4"/>
      </w:pPr>
      <w:r>
        <w:t>Efficacy</w:t>
      </w:r>
    </w:p>
    <w:p w14:paraId="23570044" w14:textId="1681D3AB" w:rsidR="00C5718C" w:rsidRDefault="003E42BA" w:rsidP="003E42BA">
      <w:r w:rsidRPr="003E42BA">
        <w:t xml:space="preserve">The </w:t>
      </w:r>
      <w:r w:rsidR="00875408">
        <w:t>s</w:t>
      </w:r>
      <w:r w:rsidRPr="003E42BA">
        <w:t>ponsor’s approach to demonstrat</w:t>
      </w:r>
      <w:r w:rsidR="00C5718C">
        <w:t>e</w:t>
      </w:r>
      <w:r w:rsidRPr="003E42BA">
        <w:t xml:space="preserve"> efficacy of a third ‘booster’ dose of 50</w:t>
      </w:r>
      <w:r w:rsidR="00466514">
        <w:t xml:space="preserve"> </w:t>
      </w:r>
      <w:proofErr w:type="spellStart"/>
      <w:r w:rsidRPr="003E42BA">
        <w:t>μg</w:t>
      </w:r>
      <w:proofErr w:type="spellEnd"/>
      <w:r w:rsidRPr="003E42BA">
        <w:t xml:space="preserve"> </w:t>
      </w:r>
      <w:r w:rsidR="00C5718C">
        <w:t>wa</w:t>
      </w:r>
      <w:r w:rsidRPr="003E42BA">
        <w:t xml:space="preserve">s to provide </w:t>
      </w:r>
      <w:proofErr w:type="spellStart"/>
      <w:r w:rsidRPr="003E42BA">
        <w:t>immunobridging</w:t>
      </w:r>
      <w:proofErr w:type="spellEnd"/>
      <w:r w:rsidRPr="003E42BA">
        <w:t xml:space="preserve"> data comparing responses one month after a booster dose (</w:t>
      </w:r>
      <w:r w:rsidR="00C5718C">
        <w:t>that is,</w:t>
      </w:r>
      <w:r w:rsidRPr="003E42BA">
        <w:t xml:space="preserve"> Dose 3) to those 28 days following the 2-dose primary vaccination course. </w:t>
      </w:r>
    </w:p>
    <w:p w14:paraId="022F0730" w14:textId="4F5A4099" w:rsidR="001C2B4A" w:rsidRDefault="00C5718C" w:rsidP="003E42BA">
      <w:proofErr w:type="spellStart"/>
      <w:r>
        <w:t>Elasomeran</w:t>
      </w:r>
      <w:proofErr w:type="spellEnd"/>
      <w:r>
        <w:t xml:space="preserve"> is referred to as mRNA-1273 in this </w:t>
      </w:r>
      <w:proofErr w:type="spellStart"/>
      <w:r>
        <w:t>AusPAR</w:t>
      </w:r>
      <w:proofErr w:type="spellEnd"/>
      <w:r>
        <w:t>.</w:t>
      </w:r>
    </w:p>
    <w:p w14:paraId="546D0373" w14:textId="77777777" w:rsidR="00D005CC" w:rsidRDefault="00D005CC" w:rsidP="003E42BA">
      <w:pPr>
        <w:rPr>
          <w:b/>
          <w:bCs/>
        </w:rPr>
      </w:pPr>
    </w:p>
    <w:p w14:paraId="0BFB356E" w14:textId="1413E2FD" w:rsidR="001C2B4A" w:rsidRDefault="004D7C14" w:rsidP="009F47A5">
      <w:pPr>
        <w:pStyle w:val="TableTitle"/>
      </w:pPr>
      <w:r>
        <w:t xml:space="preserve">Table 3: </w:t>
      </w:r>
      <w:r w:rsidR="001C2B4A" w:rsidRPr="001C2B4A">
        <w:t xml:space="preserve">Clinical </w:t>
      </w:r>
      <w:r w:rsidR="0080672C">
        <w:t>s</w:t>
      </w:r>
      <w:r w:rsidR="001C2B4A" w:rsidRPr="001C2B4A">
        <w:t xml:space="preserve">tudies </w:t>
      </w:r>
      <w:r w:rsidR="0080672C">
        <w:t>s</w:t>
      </w:r>
      <w:r w:rsidR="001C2B4A" w:rsidRPr="001C2B4A">
        <w:t xml:space="preserve">upporting the </w:t>
      </w:r>
      <w:r w:rsidR="0080672C">
        <w:t>d</w:t>
      </w:r>
      <w:r w:rsidR="001C2B4A" w:rsidRPr="001C2B4A">
        <w:t xml:space="preserve">evelopment of mRNA-1273 50 </w:t>
      </w:r>
      <w:proofErr w:type="spellStart"/>
      <w:r w:rsidR="001C2B4A" w:rsidRPr="001C2B4A">
        <w:t>μg</w:t>
      </w:r>
      <w:proofErr w:type="spellEnd"/>
      <w:r w:rsidR="001C2B4A" w:rsidRPr="001C2B4A">
        <w:t xml:space="preserve"> </w:t>
      </w:r>
      <w:r w:rsidR="0080672C">
        <w:t>b</w:t>
      </w:r>
      <w:r w:rsidR="001C2B4A" w:rsidRPr="001C2B4A">
        <w:t>ooster</w:t>
      </w:r>
    </w:p>
    <w:p w14:paraId="20D2CB9A" w14:textId="16D1324C" w:rsidR="001C2B4A" w:rsidRDefault="001C2B4A" w:rsidP="00617B12">
      <w:r>
        <w:rPr>
          <w:noProof/>
          <w:lang w:val="en-GB" w:eastAsia="en-GB"/>
        </w:rPr>
        <w:drawing>
          <wp:inline distT="0" distB="0" distL="0" distR="0" wp14:anchorId="79FFBE9F" wp14:editId="799E6F3D">
            <wp:extent cx="5145405" cy="2920365"/>
            <wp:effectExtent l="0" t="0" r="0" b="0"/>
            <wp:docPr id="10" name="Picture 10" descr="This table describes the clinical studies supporting the development of this Spikevax bo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table describes the clinical studies supporting the development of this Spikevax boos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5405" cy="2920365"/>
                    </a:xfrm>
                    <a:prstGeom prst="rect">
                      <a:avLst/>
                    </a:prstGeom>
                    <a:noFill/>
                  </pic:spPr>
                </pic:pic>
              </a:graphicData>
            </a:graphic>
          </wp:inline>
        </w:drawing>
      </w:r>
    </w:p>
    <w:p w14:paraId="20BC7C1C" w14:textId="36F83C20" w:rsidR="001C2B4A" w:rsidRPr="001C2B4A" w:rsidRDefault="001C2B4A" w:rsidP="001C2B4A">
      <w:r w:rsidRPr="001C2B4A">
        <w:t>The focus of this efficacy evaluation is the safety and immunogenicity data following a 50</w:t>
      </w:r>
      <w:r w:rsidR="007F3DA2">
        <w:t> </w:t>
      </w:r>
      <w:proofErr w:type="spellStart"/>
      <w:r w:rsidRPr="001C2B4A">
        <w:t>μg</w:t>
      </w:r>
      <w:proofErr w:type="spellEnd"/>
      <w:r w:rsidRPr="001C2B4A">
        <w:t xml:space="preserve"> booster dose of mRNA-1273 administered to adults previously immunised with an authori</w:t>
      </w:r>
      <w:r w:rsidR="00C5718C">
        <w:t>s</w:t>
      </w:r>
      <w:r w:rsidRPr="001C2B4A">
        <w:t xml:space="preserve">ed 2-dose primary series of 100 </w:t>
      </w:r>
      <w:proofErr w:type="spellStart"/>
      <w:r w:rsidRPr="001C2B4A">
        <w:t>μg</w:t>
      </w:r>
      <w:proofErr w:type="spellEnd"/>
      <w:r w:rsidRPr="001C2B4A">
        <w:t xml:space="preserve"> of mRNA-1273 in </w:t>
      </w:r>
      <w:r w:rsidR="00D7030A">
        <w:t>Study P201 Part A</w:t>
      </w:r>
      <w:r w:rsidRPr="001C2B4A">
        <w:t>.</w:t>
      </w:r>
      <w:r w:rsidR="0080672C">
        <w:rPr>
          <w:rStyle w:val="FootnoteReference"/>
        </w:rPr>
        <w:footnoteReference w:id="27"/>
      </w:r>
    </w:p>
    <w:p w14:paraId="79F21024" w14:textId="6BAB4688" w:rsidR="001C2B4A" w:rsidRPr="001C2B4A" w:rsidRDefault="001C2B4A" w:rsidP="001C2B4A">
      <w:r w:rsidRPr="001C2B4A">
        <w:t xml:space="preserve">The primary immunogenicity analysis also included </w:t>
      </w:r>
      <w:r w:rsidR="00C5718C">
        <w:t xml:space="preserve">Study </w:t>
      </w:r>
      <w:r w:rsidRPr="001C2B4A">
        <w:t xml:space="preserve">P201 Part B participants who received a 50 </w:t>
      </w:r>
      <w:proofErr w:type="spellStart"/>
      <w:r w:rsidRPr="001C2B4A">
        <w:t>μg</w:t>
      </w:r>
      <w:proofErr w:type="spellEnd"/>
      <w:r w:rsidRPr="001C2B4A">
        <w:t xml:space="preserve"> mRNA-1273 booster dose after an unauthorised 2-dose 50 </w:t>
      </w:r>
      <w:proofErr w:type="spellStart"/>
      <w:r w:rsidRPr="001C2B4A">
        <w:t>μg</w:t>
      </w:r>
      <w:proofErr w:type="spellEnd"/>
      <w:r w:rsidRPr="001C2B4A">
        <w:t xml:space="preserve"> mRNA</w:t>
      </w:r>
      <w:r w:rsidR="002F69A0">
        <w:noBreakHyphen/>
      </w:r>
      <w:r w:rsidRPr="001C2B4A">
        <w:t xml:space="preserve">1273 primary series. For the purposes of this submission, only the assessments of </w:t>
      </w:r>
      <w:r w:rsidR="0080672C">
        <w:t>serious adverse events (</w:t>
      </w:r>
      <w:r w:rsidRPr="001C2B4A">
        <w:t>SAE</w:t>
      </w:r>
      <w:r w:rsidR="0080672C">
        <w:t>)</w:t>
      </w:r>
      <w:r w:rsidRPr="001C2B4A">
        <w:t xml:space="preserve"> and </w:t>
      </w:r>
      <w:r w:rsidR="0080672C">
        <w:t>adverse events (</w:t>
      </w:r>
      <w:r w:rsidRPr="001C2B4A">
        <w:t>AE</w:t>
      </w:r>
      <w:r w:rsidR="0080672C">
        <w:t>)</w:t>
      </w:r>
      <w:r w:rsidRPr="001C2B4A">
        <w:t xml:space="preserve"> of interest in this group </w:t>
      </w:r>
      <w:r w:rsidR="00B72C7A">
        <w:t>were</w:t>
      </w:r>
      <w:r w:rsidR="00B72C7A" w:rsidRPr="001C2B4A">
        <w:t xml:space="preserve"> </w:t>
      </w:r>
      <w:r w:rsidRPr="001C2B4A">
        <w:lastRenderedPageBreak/>
        <w:t>considered relevant (</w:t>
      </w:r>
      <w:r w:rsidR="00B72C7A">
        <w:t xml:space="preserve">for </w:t>
      </w:r>
      <w:r w:rsidR="00AC39C5">
        <w:t>example,</w:t>
      </w:r>
      <w:r w:rsidRPr="001C2B4A">
        <w:t xml:space="preserve"> myocarditis, pericarditis, neurologic, neuro-</w:t>
      </w:r>
      <w:proofErr w:type="gramStart"/>
      <w:r w:rsidRPr="001C2B4A">
        <w:t>inflammatory</w:t>
      </w:r>
      <w:proofErr w:type="gramEnd"/>
      <w:r w:rsidRPr="001C2B4A">
        <w:t xml:space="preserve"> and thrombotic events).</w:t>
      </w:r>
    </w:p>
    <w:p w14:paraId="56622A57" w14:textId="2B083B36" w:rsidR="001C2B4A" w:rsidRPr="001C2B4A" w:rsidRDefault="001C2B4A" w:rsidP="00293B2C">
      <w:r w:rsidRPr="001C2B4A">
        <w:t xml:space="preserve">Additional supportive safety data were provided from an ongoing Phase </w:t>
      </w:r>
      <w:r w:rsidR="00B72C7A">
        <w:t>I/II</w:t>
      </w:r>
      <w:r w:rsidRPr="001C2B4A">
        <w:t xml:space="preserve"> open-label trial (Study DMID 21-0012) conducted by the Division of Microbiology and Infectious Diseases (DMID), National Institute of Allergy and Infectious Diseases</w:t>
      </w:r>
      <w:r w:rsidR="00B05686">
        <w:t>(NIAID)</w:t>
      </w:r>
      <w:r w:rsidRPr="001C2B4A">
        <w:t>,</w:t>
      </w:r>
      <w:r w:rsidR="00B05686">
        <w:t xml:space="preserve"> and</w:t>
      </w:r>
      <w:r w:rsidRPr="001C2B4A">
        <w:t xml:space="preserve"> National Institute of Health</w:t>
      </w:r>
      <w:r w:rsidR="00B05686">
        <w:t xml:space="preserve"> (NIH)</w:t>
      </w:r>
      <w:r w:rsidR="002F69A0">
        <w:t xml:space="preserve"> all in the USA</w:t>
      </w:r>
      <w:r w:rsidR="00F92765">
        <w:t>.</w:t>
      </w:r>
      <w:r w:rsidRPr="001C2B4A">
        <w:t xml:space="preserve"> In this study immunogenicity was evaluated only following a 100μg booster dose and no comparison with a 50</w:t>
      </w:r>
      <w:r w:rsidR="00B72C7A">
        <w:t xml:space="preserve"> </w:t>
      </w:r>
      <w:proofErr w:type="spellStart"/>
      <w:r w:rsidRPr="001C2B4A">
        <w:t>μg</w:t>
      </w:r>
      <w:proofErr w:type="spellEnd"/>
      <w:r w:rsidRPr="001C2B4A">
        <w:t xml:space="preserve"> booster was performed. Participants included those primed with heterologous vaccines.</w:t>
      </w:r>
      <w:r w:rsidR="00647E3E">
        <w:t xml:space="preserve"> </w:t>
      </w:r>
      <w:proofErr w:type="gramStart"/>
      <w:r w:rsidRPr="001C2B4A">
        <w:t>.</w:t>
      </w:r>
      <w:r w:rsidR="00293B2C" w:rsidRPr="00AC39C5">
        <w:t>In</w:t>
      </w:r>
      <w:proofErr w:type="gramEnd"/>
      <w:r w:rsidR="00293B2C" w:rsidRPr="00AC39C5">
        <w:t xml:space="preserve"> addition, the neutrali</w:t>
      </w:r>
      <w:r w:rsidR="00647E3E">
        <w:t>s</w:t>
      </w:r>
      <w:r w:rsidR="00293B2C" w:rsidRPr="00AC39C5">
        <w:t xml:space="preserve">ing antibody response was not easily comparable with the results obtained on the 50 </w:t>
      </w:r>
      <w:proofErr w:type="spellStart"/>
      <w:r w:rsidR="00293B2C" w:rsidRPr="00AC39C5">
        <w:t>μg</w:t>
      </w:r>
      <w:proofErr w:type="spellEnd"/>
      <w:r w:rsidR="00293B2C" w:rsidRPr="00AC39C5">
        <w:t xml:space="preserve"> booster dose in Study P201 due to the different dose and different interval between primary and booster doses.</w:t>
      </w:r>
      <w:r w:rsidR="00293B2C" w:rsidRPr="00647E3E">
        <w:t xml:space="preserve"> </w:t>
      </w:r>
    </w:p>
    <w:p w14:paraId="1BB152A0" w14:textId="4BD9F8F3" w:rsidR="001C2B4A" w:rsidRDefault="001C2B4A" w:rsidP="00293B2C">
      <w:pPr>
        <w:pStyle w:val="Heading5"/>
      </w:pPr>
      <w:r w:rsidRPr="001C2B4A">
        <w:t xml:space="preserve">Study </w:t>
      </w:r>
      <w:r w:rsidR="00AF2B74">
        <w:t>d</w:t>
      </w:r>
      <w:r w:rsidRPr="001C2B4A">
        <w:t>esign</w:t>
      </w:r>
    </w:p>
    <w:p w14:paraId="30C3C7C8" w14:textId="24BDC951" w:rsidR="001C2B4A" w:rsidRDefault="001C2B4A" w:rsidP="00293B2C">
      <w:r>
        <w:t>Two parts (A</w:t>
      </w:r>
      <w:r w:rsidR="00F92765">
        <w:t xml:space="preserve"> and</w:t>
      </w:r>
      <w:r>
        <w:t xml:space="preserve"> B) of ongoing Phase </w:t>
      </w:r>
      <w:r w:rsidR="00B72C7A">
        <w:t>II</w:t>
      </w:r>
      <w:r>
        <w:t xml:space="preserve"> </w:t>
      </w:r>
      <w:r w:rsidR="004D7C14">
        <w:t>S</w:t>
      </w:r>
      <w:r>
        <w:t xml:space="preserve">tudy P201 pertain to the safety and immunogenicity of mRNA-1273 vaccine administered to adults 18 years of age and older. The study took place at 10 sites in the </w:t>
      </w:r>
      <w:r w:rsidR="00B72C7A">
        <w:t>USA</w:t>
      </w:r>
      <w:r>
        <w:t xml:space="preserve"> and its territories.</w:t>
      </w:r>
    </w:p>
    <w:p w14:paraId="5986DB82" w14:textId="1FE0F049" w:rsidR="001C2B4A" w:rsidRDefault="001C2B4A" w:rsidP="001C2B4A">
      <w:r>
        <w:t>In Part A of the study participants in the 2 age cohorts received 50</w:t>
      </w:r>
      <w:r w:rsidR="00B72C7A">
        <w:t xml:space="preserve"> </w:t>
      </w:r>
      <w:proofErr w:type="spellStart"/>
      <w:r>
        <w:t>μg</w:t>
      </w:r>
      <w:proofErr w:type="spellEnd"/>
      <w:r>
        <w:t>, 100</w:t>
      </w:r>
      <w:r w:rsidR="00B72C7A">
        <w:t xml:space="preserve"> </w:t>
      </w:r>
      <w:proofErr w:type="spellStart"/>
      <w:r>
        <w:t>μg</w:t>
      </w:r>
      <w:proofErr w:type="spellEnd"/>
      <w:r>
        <w:t xml:space="preserve"> of mRNA</w:t>
      </w:r>
      <w:r w:rsidR="00647E3E">
        <w:noBreakHyphen/>
      </w:r>
      <w:r>
        <w:t>1273, or placebo.</w:t>
      </w:r>
    </w:p>
    <w:p w14:paraId="76C71ED0" w14:textId="652BE2BA" w:rsidR="001C2B4A" w:rsidRDefault="001C2B4A" w:rsidP="00DA18E9">
      <w:pPr>
        <w:pStyle w:val="TableTitle"/>
      </w:pPr>
      <w:r>
        <w:t xml:space="preserve">Table </w:t>
      </w:r>
      <w:r w:rsidR="00DA18E9">
        <w:t>4</w:t>
      </w:r>
      <w:r w:rsidR="007714C9">
        <w:t>:</w:t>
      </w:r>
      <w:r>
        <w:t xml:space="preserve"> Study P201 Part A </w:t>
      </w:r>
      <w:r w:rsidR="00647E3E">
        <w:t xml:space="preserve">Treatment cohorts, </w:t>
      </w:r>
      <w:proofErr w:type="gramStart"/>
      <w:r w:rsidR="00647E3E">
        <w:t>groups</w:t>
      </w:r>
      <w:proofErr w:type="gramEnd"/>
      <w:r w:rsidR="00647E3E">
        <w:t xml:space="preserve"> and investigational products</w:t>
      </w:r>
    </w:p>
    <w:p w14:paraId="20A98F9A" w14:textId="602AB8D6" w:rsidR="001C2B4A" w:rsidRDefault="001C2B4A" w:rsidP="001C2B4A">
      <w:r w:rsidRPr="00D66572">
        <w:rPr>
          <w:b/>
          <w:bCs/>
          <w:noProof/>
          <w:lang w:val="en-GB" w:eastAsia="en-GB"/>
        </w:rPr>
        <w:drawing>
          <wp:inline distT="0" distB="0" distL="0" distR="0" wp14:anchorId="7FB66810" wp14:editId="4B3A93D9">
            <wp:extent cx="5400040" cy="1583637"/>
            <wp:effectExtent l="0" t="0" r="0" b="0"/>
            <wp:docPr id="8" name="Picture 8" descr="This table describes Part A of Study P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table describes Part A of Study P201."/>
                    <pic:cNvPicPr/>
                  </pic:nvPicPr>
                  <pic:blipFill>
                    <a:blip r:embed="rId18"/>
                    <a:stretch>
                      <a:fillRect/>
                    </a:stretch>
                  </pic:blipFill>
                  <pic:spPr>
                    <a:xfrm>
                      <a:off x="0" y="0"/>
                      <a:ext cx="5400040" cy="1583637"/>
                    </a:xfrm>
                    <a:prstGeom prst="rect">
                      <a:avLst/>
                    </a:prstGeom>
                  </pic:spPr>
                </pic:pic>
              </a:graphicData>
            </a:graphic>
          </wp:inline>
        </w:drawing>
      </w:r>
    </w:p>
    <w:p w14:paraId="2D8C9BC0" w14:textId="42A69BA8" w:rsidR="001C2B4A" w:rsidRDefault="001C2B4A" w:rsidP="001C2B4A">
      <w:r w:rsidRPr="001C2B4A">
        <w:t>In Part B (Figure 1), the open-label interventional phase of the study</w:t>
      </w:r>
      <w:r w:rsidR="00B72C7A">
        <w:t>,</w:t>
      </w:r>
      <w:r w:rsidRPr="001C2B4A">
        <w:t xml:space="preserve"> the safety and immunogenicity of a single 50 </w:t>
      </w:r>
      <w:proofErr w:type="spellStart"/>
      <w:r w:rsidRPr="001C2B4A">
        <w:t>μg</w:t>
      </w:r>
      <w:proofErr w:type="spellEnd"/>
      <w:r w:rsidRPr="001C2B4A">
        <w:t xml:space="preserve"> booster dose of mRNA-1273</w:t>
      </w:r>
      <w:r w:rsidR="00B72C7A">
        <w:t xml:space="preserve"> was evaluated</w:t>
      </w:r>
      <w:r w:rsidRPr="001C2B4A">
        <w:t xml:space="preserve">. </w:t>
      </w:r>
      <w:r w:rsidR="00466514">
        <w:t xml:space="preserve">In </w:t>
      </w:r>
      <w:r w:rsidRPr="001C2B4A">
        <w:t xml:space="preserve">Part A </w:t>
      </w:r>
      <w:r w:rsidR="00466514">
        <w:t xml:space="preserve">of the study, </w:t>
      </w:r>
      <w:r w:rsidRPr="001C2B4A">
        <w:t>participants who were randomi</w:t>
      </w:r>
      <w:r w:rsidR="00B72C7A">
        <w:t>s</w:t>
      </w:r>
      <w:r w:rsidRPr="001C2B4A">
        <w:t xml:space="preserve">ed to receive the 50 </w:t>
      </w:r>
      <w:proofErr w:type="spellStart"/>
      <w:r w:rsidRPr="001C2B4A">
        <w:t>μg</w:t>
      </w:r>
      <w:proofErr w:type="spellEnd"/>
      <w:r w:rsidRPr="001C2B4A">
        <w:t xml:space="preserve"> or 100 </w:t>
      </w:r>
      <w:proofErr w:type="spellStart"/>
      <w:r w:rsidRPr="001C2B4A">
        <w:t>μg</w:t>
      </w:r>
      <w:proofErr w:type="spellEnd"/>
      <w:r w:rsidRPr="001C2B4A">
        <w:t xml:space="preserve"> mRNA-1273 vaccine were offered a single booster dose of mRNA-1273 (50 </w:t>
      </w:r>
      <w:proofErr w:type="spellStart"/>
      <w:r w:rsidRPr="001C2B4A">
        <w:t>μg</w:t>
      </w:r>
      <w:proofErr w:type="spellEnd"/>
      <w:r w:rsidRPr="001C2B4A">
        <w:t xml:space="preserve">) at least 6 months after planned completion of the primary series. After booster dose administration in Part B (N=344), sera were collected on Days 1, 29, and 57 and </w:t>
      </w:r>
      <w:r w:rsidR="00B72C7A">
        <w:t xml:space="preserve">at </w:t>
      </w:r>
      <w:r w:rsidRPr="001C2B4A">
        <w:t xml:space="preserve">Month 6-7 to assess SARS-CoV-2 neutralising antibody </w:t>
      </w:r>
      <w:r w:rsidR="00524504">
        <w:t>titre</w:t>
      </w:r>
      <w:r w:rsidRPr="001C2B4A">
        <w:t xml:space="preserve">s (data are presently available to Day 29 only). </w:t>
      </w:r>
      <w:r w:rsidR="00647E3E">
        <w:t xml:space="preserve">Neutralising antibody titres </w:t>
      </w:r>
      <w:r w:rsidR="00647D8C">
        <w:t>(</w:t>
      </w:r>
      <w:proofErr w:type="spellStart"/>
      <w:r w:rsidR="00647D8C">
        <w:t>N</w:t>
      </w:r>
      <w:r w:rsidR="00F92765">
        <w:t>A</w:t>
      </w:r>
      <w:r w:rsidR="00647D8C">
        <w:t>bs</w:t>
      </w:r>
      <w:proofErr w:type="spellEnd"/>
      <w:r w:rsidR="00647D8C">
        <w:t>)</w:t>
      </w:r>
      <w:r w:rsidRPr="001C2B4A">
        <w:t xml:space="preserve"> </w:t>
      </w:r>
      <w:r w:rsidR="00524504">
        <w:t>titre</w:t>
      </w:r>
      <w:r w:rsidRPr="001C2B4A">
        <w:t xml:space="preserve">s were measured with an </w:t>
      </w:r>
      <w:r w:rsidR="00B72C7A">
        <w:t>median infectious dose</w:t>
      </w:r>
      <w:r w:rsidR="00B72C7A" w:rsidRPr="001C2B4A">
        <w:t xml:space="preserve"> </w:t>
      </w:r>
      <w:r w:rsidR="00B72C7A">
        <w:t>(</w:t>
      </w:r>
      <w:r w:rsidRPr="001C2B4A">
        <w:t>ID</w:t>
      </w:r>
      <w:r w:rsidRPr="007A06D0">
        <w:rPr>
          <w:vertAlign w:val="subscript"/>
        </w:rPr>
        <w:t>50</w:t>
      </w:r>
      <w:r w:rsidR="00B72C7A">
        <w:t>)</w:t>
      </w:r>
      <w:r w:rsidR="00D7030A">
        <w:t xml:space="preserve"> </w:t>
      </w:r>
      <w:r w:rsidRPr="001C2B4A">
        <w:t xml:space="preserve">assay using a </w:t>
      </w:r>
      <w:proofErr w:type="spellStart"/>
      <w:r w:rsidRPr="0023785F">
        <w:t>pseudovirus</w:t>
      </w:r>
      <w:proofErr w:type="spellEnd"/>
      <w:r w:rsidRPr="0023785F">
        <w:t xml:space="preserve"> expressing the SARS-CoV-2 spike protein </w:t>
      </w:r>
      <w:r w:rsidR="00647E3E">
        <w:t>(</w:t>
      </w:r>
      <w:r w:rsidRPr="0023785F">
        <w:t xml:space="preserve">Wild-type </w:t>
      </w:r>
      <w:r w:rsidR="00466514">
        <w:t xml:space="preserve">(WT) </w:t>
      </w:r>
      <w:r w:rsidRPr="0023785F">
        <w:t>SARS</w:t>
      </w:r>
      <w:r w:rsidR="007972CA">
        <w:noBreakHyphen/>
      </w:r>
      <w:r w:rsidRPr="0023785F">
        <w:t>CoV-2</w:t>
      </w:r>
      <w:r w:rsidR="007972CA">
        <w:t>)</w:t>
      </w:r>
      <w:r w:rsidRPr="0023785F">
        <w:t xml:space="preserve">; the </w:t>
      </w:r>
      <w:proofErr w:type="spellStart"/>
      <w:r w:rsidRPr="007A06D0">
        <w:t>pseudovirus</w:t>
      </w:r>
      <w:proofErr w:type="spellEnd"/>
      <w:r w:rsidRPr="007A06D0">
        <w:t xml:space="preserve"> neutrali</w:t>
      </w:r>
      <w:r w:rsidR="00B72C7A" w:rsidRPr="007A06D0">
        <w:t>s</w:t>
      </w:r>
      <w:r w:rsidRPr="007A06D0">
        <w:t>ing assay (</w:t>
      </w:r>
      <w:proofErr w:type="spellStart"/>
      <w:r w:rsidRPr="007A06D0">
        <w:t>PsVNA</w:t>
      </w:r>
      <w:proofErr w:type="spellEnd"/>
      <w:r w:rsidRPr="007A06D0">
        <w:t>)</w:t>
      </w:r>
      <w:r w:rsidRPr="0023785F">
        <w:t xml:space="preserve"> for the </w:t>
      </w:r>
      <w:r w:rsidR="00466514">
        <w:t>WT</w:t>
      </w:r>
      <w:r w:rsidRPr="0023785F">
        <w:t xml:space="preserve"> SARS-CoV-2 has been validated. Sera collected from all participants on Days 1 and 29 were </w:t>
      </w:r>
      <w:r w:rsidR="00D72B76" w:rsidRPr="0023785F">
        <w:t>also analysed</w:t>
      </w:r>
      <w:r w:rsidRPr="0023785F">
        <w:t xml:space="preserve"> using a </w:t>
      </w:r>
      <w:proofErr w:type="spellStart"/>
      <w:r w:rsidRPr="0023785F">
        <w:t>pseudovirus</w:t>
      </w:r>
      <w:proofErr w:type="spellEnd"/>
      <w:r w:rsidRPr="001C2B4A">
        <w:t xml:space="preserve"> neutrali</w:t>
      </w:r>
      <w:r w:rsidR="00466514">
        <w:t>s</w:t>
      </w:r>
      <w:r w:rsidRPr="001C2B4A">
        <w:t>ing antibody ID</w:t>
      </w:r>
      <w:r w:rsidRPr="007A06D0">
        <w:rPr>
          <w:vertAlign w:val="subscript"/>
        </w:rPr>
        <w:t>50</w:t>
      </w:r>
      <w:r w:rsidRPr="001C2B4A">
        <w:t xml:space="preserve"> (PsVNT</w:t>
      </w:r>
      <w:r w:rsidRPr="00AC39C5">
        <w:rPr>
          <w:vertAlign w:val="subscript"/>
        </w:rPr>
        <w:t>50</w:t>
      </w:r>
      <w:r w:rsidRPr="001C2B4A">
        <w:t xml:space="preserve">) assay for measuring antibodies against the SARS-CoV-2 B.1.617.2 variant virus (Delta variant). A pre-planned analysis for the booster dose at Day 29 was conducted (database lock date </w:t>
      </w:r>
      <w:r w:rsidR="007972CA">
        <w:t xml:space="preserve">10 </w:t>
      </w:r>
      <w:r w:rsidRPr="001C2B4A">
        <w:t>June 2021).</w:t>
      </w:r>
    </w:p>
    <w:p w14:paraId="7BD36F7B" w14:textId="2A311DC8" w:rsidR="00DA18E9" w:rsidRDefault="00DA18E9" w:rsidP="00DA18E9">
      <w:pPr>
        <w:pStyle w:val="FigureTitle"/>
      </w:pPr>
      <w:r w:rsidRPr="00DA18E9">
        <w:lastRenderedPageBreak/>
        <w:t>Figure 1</w:t>
      </w:r>
      <w:r w:rsidR="007714C9">
        <w:t>:</w:t>
      </w:r>
      <w:r w:rsidRPr="00DA18E9">
        <w:t xml:space="preserve"> </w:t>
      </w:r>
      <w:r w:rsidR="007972CA">
        <w:t xml:space="preserve">Study </w:t>
      </w:r>
      <w:r w:rsidR="007972CA" w:rsidRPr="00DA18E9">
        <w:t>P201 Part B</w:t>
      </w:r>
      <w:r w:rsidR="007972CA">
        <w:t xml:space="preserve"> </w:t>
      </w:r>
      <w:r w:rsidRPr="00DA18E9">
        <w:t xml:space="preserve">Open </w:t>
      </w:r>
      <w:r w:rsidR="007972CA">
        <w:t>l</w:t>
      </w:r>
      <w:r w:rsidRPr="00DA18E9">
        <w:t xml:space="preserve">abel </w:t>
      </w:r>
      <w:r w:rsidR="007972CA">
        <w:t>s</w:t>
      </w:r>
      <w:r w:rsidRPr="00DA18E9">
        <w:t>chema</w:t>
      </w:r>
    </w:p>
    <w:p w14:paraId="60F905EF" w14:textId="11FE1C39" w:rsidR="001C2B4A" w:rsidRPr="001C2B4A" w:rsidRDefault="001C2B4A" w:rsidP="001C2B4A">
      <w:r w:rsidRPr="002264F2">
        <w:rPr>
          <w:b/>
          <w:bCs/>
          <w:noProof/>
          <w:lang w:val="en-GB" w:eastAsia="en-GB"/>
        </w:rPr>
        <w:drawing>
          <wp:inline distT="0" distB="0" distL="0" distR="0" wp14:anchorId="5C8D7A4A" wp14:editId="7A97C265">
            <wp:extent cx="5733472" cy="3710305"/>
            <wp:effectExtent l="0" t="0" r="635" b="4445"/>
            <wp:docPr id="11" name="Picture 11" descr="This figure 1 describes the Open Label Schema of Study P201 Par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figure 1 describes the Open Label Schema of Study P201 Part B."/>
                    <pic:cNvPicPr/>
                  </pic:nvPicPr>
                  <pic:blipFill>
                    <a:blip r:embed="rId19"/>
                    <a:stretch>
                      <a:fillRect/>
                    </a:stretch>
                  </pic:blipFill>
                  <pic:spPr>
                    <a:xfrm>
                      <a:off x="0" y="0"/>
                      <a:ext cx="5743250" cy="3716633"/>
                    </a:xfrm>
                    <a:prstGeom prst="rect">
                      <a:avLst/>
                    </a:prstGeom>
                  </pic:spPr>
                </pic:pic>
              </a:graphicData>
            </a:graphic>
          </wp:inline>
        </w:drawing>
      </w:r>
    </w:p>
    <w:p w14:paraId="5CB9C12B" w14:textId="579AFE6C" w:rsidR="00CD2C00" w:rsidRPr="00CD2C00" w:rsidRDefault="00CD2C00" w:rsidP="00CD2C00">
      <w:pPr>
        <w:pStyle w:val="Heading5"/>
        <w:rPr>
          <w:rFonts w:eastAsiaTheme="minorHAnsi"/>
        </w:rPr>
      </w:pPr>
      <w:r w:rsidRPr="00CD2C00">
        <w:rPr>
          <w:rFonts w:eastAsiaTheme="minorHAnsi"/>
        </w:rPr>
        <w:t xml:space="preserve">Objectives of the study (Part B) </w:t>
      </w:r>
      <w:r w:rsidR="0023785F">
        <w:rPr>
          <w:rFonts w:eastAsiaTheme="minorHAnsi"/>
        </w:rPr>
        <w:t>per study protocol</w:t>
      </w:r>
    </w:p>
    <w:p w14:paraId="415E4899" w14:textId="146CAE64" w:rsidR="00CD2C00" w:rsidRPr="00CD2C00" w:rsidRDefault="00D95460" w:rsidP="007A06D0">
      <w:pPr>
        <w:pStyle w:val="Heading6"/>
        <w:rPr>
          <w:rFonts w:eastAsiaTheme="minorHAnsi"/>
        </w:rPr>
      </w:pPr>
      <w:r>
        <w:rPr>
          <w:rFonts w:eastAsiaTheme="minorHAnsi"/>
        </w:rPr>
        <w:t xml:space="preserve"> </w:t>
      </w:r>
      <w:r w:rsidR="00CD2C00" w:rsidRPr="00CD2C00">
        <w:rPr>
          <w:rFonts w:eastAsiaTheme="minorHAnsi"/>
        </w:rPr>
        <w:t xml:space="preserve">Primary </w:t>
      </w:r>
      <w:r w:rsidR="00BF6879">
        <w:rPr>
          <w:rFonts w:eastAsiaTheme="minorHAnsi"/>
        </w:rPr>
        <w:t>i</w:t>
      </w:r>
      <w:r w:rsidR="00CD2C00" w:rsidRPr="00CD2C00">
        <w:rPr>
          <w:rFonts w:eastAsiaTheme="minorHAnsi"/>
        </w:rPr>
        <w:t xml:space="preserve">mmunogenicity </w:t>
      </w:r>
      <w:r w:rsidR="00BF6879">
        <w:rPr>
          <w:rFonts w:eastAsiaTheme="minorHAnsi"/>
        </w:rPr>
        <w:t>o</w:t>
      </w:r>
      <w:r w:rsidR="00CD2C00" w:rsidRPr="00CD2C00">
        <w:rPr>
          <w:rFonts w:eastAsiaTheme="minorHAnsi"/>
        </w:rPr>
        <w:t>bjective</w:t>
      </w:r>
    </w:p>
    <w:p w14:paraId="69B2D7FC" w14:textId="286AE9A1" w:rsidR="00CD2C00" w:rsidRPr="00CD2C00" w:rsidRDefault="00CD2C00" w:rsidP="00CD2C00">
      <w:r w:rsidRPr="00CD2C00">
        <w:t xml:space="preserve">To evaluate the immunogenicity of 50 </w:t>
      </w:r>
      <w:proofErr w:type="spellStart"/>
      <w:r w:rsidRPr="00CD2C00">
        <w:t>μg</w:t>
      </w:r>
      <w:proofErr w:type="spellEnd"/>
      <w:r w:rsidRPr="00CD2C00">
        <w:t xml:space="preserve"> of mRNA-1273 vaccine administered as a single booster dose or 100 </w:t>
      </w:r>
      <w:proofErr w:type="spellStart"/>
      <w:r w:rsidRPr="00CD2C00">
        <w:t>μg</w:t>
      </w:r>
      <w:proofErr w:type="spellEnd"/>
      <w:r w:rsidRPr="00CD2C00">
        <w:t xml:space="preserve"> of mRNA-1273 administered as 2 doses 28 days apart, as assessed by the level of specific </w:t>
      </w:r>
      <w:r w:rsidR="00280861">
        <w:t>binding antibodies (</w:t>
      </w:r>
      <w:proofErr w:type="spellStart"/>
      <w:r w:rsidRPr="00CD2C00">
        <w:t>bAb</w:t>
      </w:r>
      <w:proofErr w:type="spellEnd"/>
      <w:r w:rsidR="00280861">
        <w:t>)</w:t>
      </w:r>
      <w:r w:rsidRPr="00CD2C00">
        <w:t>.</w:t>
      </w:r>
    </w:p>
    <w:p w14:paraId="0D14DD2E" w14:textId="28917AEA" w:rsidR="00CD2C00" w:rsidRPr="00CD2C00" w:rsidRDefault="00CD2C00" w:rsidP="007A06D0">
      <w:pPr>
        <w:pStyle w:val="Heading6"/>
        <w:rPr>
          <w:rFonts w:eastAsiaTheme="minorHAnsi"/>
        </w:rPr>
      </w:pPr>
      <w:r w:rsidRPr="00CD2C00">
        <w:rPr>
          <w:rFonts w:eastAsiaTheme="minorHAnsi"/>
        </w:rPr>
        <w:t xml:space="preserve">Secondary </w:t>
      </w:r>
      <w:r w:rsidR="00BF6879">
        <w:rPr>
          <w:rFonts w:eastAsiaTheme="minorHAnsi"/>
        </w:rPr>
        <w:t>i</w:t>
      </w:r>
      <w:r w:rsidRPr="00CD2C00">
        <w:rPr>
          <w:rFonts w:eastAsiaTheme="minorHAnsi"/>
        </w:rPr>
        <w:t xml:space="preserve">mmunogenicity </w:t>
      </w:r>
      <w:r w:rsidR="00BF6879">
        <w:rPr>
          <w:rFonts w:eastAsiaTheme="minorHAnsi"/>
        </w:rPr>
        <w:t>o</w:t>
      </w:r>
      <w:r w:rsidRPr="00CD2C00">
        <w:rPr>
          <w:rFonts w:eastAsiaTheme="minorHAnsi"/>
        </w:rPr>
        <w:t>bjective</w:t>
      </w:r>
    </w:p>
    <w:p w14:paraId="7475E023" w14:textId="5CCAA2F7" w:rsidR="00CD2C00" w:rsidRPr="00CD2C00" w:rsidRDefault="00CD2C00" w:rsidP="00CD2C00">
      <w:r w:rsidRPr="00CD2C00">
        <w:t xml:space="preserve">To evaluate the immunogenicity of 50 </w:t>
      </w:r>
      <w:proofErr w:type="spellStart"/>
      <w:r w:rsidRPr="00CD2C00">
        <w:t>μg</w:t>
      </w:r>
      <w:proofErr w:type="spellEnd"/>
      <w:r w:rsidRPr="00CD2C00">
        <w:t xml:space="preserve"> of mRNA-1273 vaccine administered as a single booster dose or 100 </w:t>
      </w:r>
      <w:proofErr w:type="spellStart"/>
      <w:r w:rsidRPr="00CD2C00">
        <w:t>μg</w:t>
      </w:r>
      <w:proofErr w:type="spellEnd"/>
      <w:r w:rsidRPr="00CD2C00">
        <w:t xml:space="preserve"> of mRNA-1273 100</w:t>
      </w:r>
      <w:r w:rsidR="00A51ED7">
        <w:t xml:space="preserve"> </w:t>
      </w:r>
      <w:proofErr w:type="spellStart"/>
      <w:r w:rsidRPr="00CD2C00">
        <w:t>μg</w:t>
      </w:r>
      <w:proofErr w:type="spellEnd"/>
      <w:r w:rsidRPr="00CD2C00">
        <w:t xml:space="preserve"> administered as 2 doses 28 days apart, as assessed by the </w:t>
      </w:r>
      <w:r w:rsidR="00524504">
        <w:t>titre</w:t>
      </w:r>
      <w:r w:rsidRPr="00CD2C00">
        <w:t xml:space="preserve"> of </w:t>
      </w:r>
      <w:r w:rsidR="00280861">
        <w:t>neutralising antibody (</w:t>
      </w:r>
      <w:proofErr w:type="spellStart"/>
      <w:r w:rsidRPr="00CD2C00">
        <w:t>nAb</w:t>
      </w:r>
      <w:proofErr w:type="spellEnd"/>
      <w:r w:rsidR="00280861">
        <w:t>)</w:t>
      </w:r>
      <w:r w:rsidRPr="00CD2C00">
        <w:t>.</w:t>
      </w:r>
    </w:p>
    <w:p w14:paraId="692481EB" w14:textId="39505342" w:rsidR="00CD2C00" w:rsidRPr="00CD2C00" w:rsidRDefault="00CD2C00" w:rsidP="00AC39C5">
      <w:pPr>
        <w:pStyle w:val="Heading5"/>
        <w:rPr>
          <w:rFonts w:eastAsiaTheme="minorHAnsi"/>
        </w:rPr>
      </w:pPr>
      <w:r w:rsidRPr="00CD2C00">
        <w:rPr>
          <w:rFonts w:eastAsiaTheme="minorHAnsi"/>
        </w:rPr>
        <w:t>Objectives per the statistical analysis plan</w:t>
      </w:r>
    </w:p>
    <w:p w14:paraId="38990118" w14:textId="040B5C97" w:rsidR="00CD2C00" w:rsidRPr="00CD2C00" w:rsidRDefault="00CD2C00" w:rsidP="00AC39C5">
      <w:pPr>
        <w:pStyle w:val="Heading6"/>
        <w:rPr>
          <w:rFonts w:eastAsiaTheme="minorHAnsi"/>
        </w:rPr>
      </w:pPr>
      <w:r w:rsidRPr="00CD2C00">
        <w:rPr>
          <w:rFonts w:eastAsiaTheme="minorHAnsi"/>
        </w:rPr>
        <w:t xml:space="preserve">Against the </w:t>
      </w:r>
      <w:r w:rsidR="00A51ED7">
        <w:rPr>
          <w:rFonts w:eastAsiaTheme="minorHAnsi"/>
        </w:rPr>
        <w:t>WT</w:t>
      </w:r>
      <w:r w:rsidRPr="00CD2C00">
        <w:rPr>
          <w:rFonts w:eastAsiaTheme="minorHAnsi"/>
        </w:rPr>
        <w:t xml:space="preserve"> SARS-CoV-2</w:t>
      </w:r>
    </w:p>
    <w:p w14:paraId="035FAFB9" w14:textId="400F143A" w:rsidR="00CD2C00" w:rsidRPr="00CD2C00" w:rsidRDefault="00CD2C00" w:rsidP="00CD2C00">
      <w:r w:rsidRPr="00CD2C00">
        <w:t xml:space="preserve">Immune response 28 days after a single booster dose of 50 </w:t>
      </w:r>
      <w:proofErr w:type="spellStart"/>
      <w:r w:rsidRPr="00CD2C00">
        <w:t>μg</w:t>
      </w:r>
      <w:proofErr w:type="spellEnd"/>
      <w:r w:rsidRPr="00CD2C00">
        <w:t xml:space="preserve"> mRNA-1273 against the </w:t>
      </w:r>
      <w:r w:rsidR="00A51ED7">
        <w:t>WT</w:t>
      </w:r>
      <w:r w:rsidRPr="00CD2C00">
        <w:t xml:space="preserve"> SARS-CoV-2 was to be assessed by </w:t>
      </w:r>
      <w:r w:rsidR="0023785F">
        <w:t>Study</w:t>
      </w:r>
      <w:r w:rsidR="0023785F" w:rsidRPr="00CD2C00">
        <w:t xml:space="preserve"> </w:t>
      </w:r>
      <w:r w:rsidRPr="00CD2C00">
        <w:t xml:space="preserve">P201 Part B participants who received a single booster dose of 50 </w:t>
      </w:r>
      <w:proofErr w:type="spellStart"/>
      <w:r w:rsidRPr="00CD2C00">
        <w:t>μg</w:t>
      </w:r>
      <w:proofErr w:type="spellEnd"/>
      <w:r w:rsidRPr="00CD2C00">
        <w:t xml:space="preserve"> mRNA-1273</w:t>
      </w:r>
      <w:r w:rsidR="0023785F">
        <w:t>. I</w:t>
      </w:r>
      <w:r w:rsidRPr="00CD2C00">
        <w:t xml:space="preserve">mmune response 28 days after the completion of the primary series of mRNA-1273 100 </w:t>
      </w:r>
      <w:proofErr w:type="spellStart"/>
      <w:r w:rsidRPr="00CD2C00">
        <w:t>μg</w:t>
      </w:r>
      <w:proofErr w:type="spellEnd"/>
      <w:r w:rsidRPr="00CD2C00">
        <w:t xml:space="preserve"> against the wild-type SARS-CoV-2 was to be assessed in </w:t>
      </w:r>
      <w:r w:rsidR="0023785F">
        <w:t xml:space="preserve">Study </w:t>
      </w:r>
      <w:r w:rsidRPr="00CD2C00">
        <w:t xml:space="preserve">P301 participants on mRNA-1273 100 </w:t>
      </w:r>
      <w:proofErr w:type="spellStart"/>
      <w:r w:rsidRPr="00CD2C00">
        <w:t>μg</w:t>
      </w:r>
      <w:proofErr w:type="spellEnd"/>
      <w:r w:rsidRPr="00CD2C00">
        <w:t>, based on the same assays.</w:t>
      </w:r>
    </w:p>
    <w:p w14:paraId="08E505C1" w14:textId="4F1EACAB" w:rsidR="00CD2C00" w:rsidRPr="00CD2C00" w:rsidRDefault="00CD2C00" w:rsidP="00AC39C5">
      <w:pPr>
        <w:pStyle w:val="Heading6"/>
        <w:rPr>
          <w:rFonts w:eastAsiaTheme="minorHAnsi"/>
        </w:rPr>
      </w:pPr>
      <w:r w:rsidRPr="00CD2C00">
        <w:rPr>
          <w:rFonts w:eastAsiaTheme="minorHAnsi"/>
        </w:rPr>
        <w:t xml:space="preserve">Against the </w:t>
      </w:r>
      <w:r w:rsidR="00BF6879">
        <w:rPr>
          <w:rFonts w:eastAsiaTheme="minorHAnsi"/>
        </w:rPr>
        <w:t>v</w:t>
      </w:r>
      <w:r w:rsidRPr="00CD2C00">
        <w:rPr>
          <w:rFonts w:eastAsiaTheme="minorHAnsi"/>
        </w:rPr>
        <w:t xml:space="preserve">ariant </w:t>
      </w:r>
      <w:r w:rsidR="00BF6879">
        <w:rPr>
          <w:rFonts w:eastAsiaTheme="minorHAnsi"/>
        </w:rPr>
        <w:t>v</w:t>
      </w:r>
      <w:r w:rsidRPr="00CD2C00">
        <w:rPr>
          <w:rFonts w:eastAsiaTheme="minorHAnsi"/>
        </w:rPr>
        <w:t xml:space="preserve">irus </w:t>
      </w:r>
      <w:r w:rsidR="00BF6879">
        <w:rPr>
          <w:rFonts w:eastAsiaTheme="minorHAnsi"/>
        </w:rPr>
        <w:t>s</w:t>
      </w:r>
      <w:r w:rsidRPr="00CD2C00">
        <w:rPr>
          <w:rFonts w:eastAsiaTheme="minorHAnsi"/>
        </w:rPr>
        <w:t>train (B.1.617.2)</w:t>
      </w:r>
    </w:p>
    <w:p w14:paraId="551A83C5" w14:textId="6D8DC335" w:rsidR="00CD2C00" w:rsidRDefault="00CD2C00" w:rsidP="00CD2C00">
      <w:r w:rsidRPr="00CD2C00">
        <w:t xml:space="preserve">Immune response 28 days after a single booster dose of 50 </w:t>
      </w:r>
      <w:proofErr w:type="spellStart"/>
      <w:r w:rsidRPr="00CD2C00">
        <w:t>μg</w:t>
      </w:r>
      <w:proofErr w:type="spellEnd"/>
      <w:r w:rsidRPr="00CD2C00">
        <w:t xml:space="preserve"> mRNA-1273 against the variant virus stain (B.1.617.2) was  assessed by </w:t>
      </w:r>
      <w:r w:rsidR="0023785F">
        <w:t>Study</w:t>
      </w:r>
      <w:r w:rsidR="0023785F" w:rsidRPr="00CD2C00">
        <w:t xml:space="preserve"> </w:t>
      </w:r>
      <w:r w:rsidRPr="00CD2C00">
        <w:t xml:space="preserve">P201 Part B participants who received a single booster dose of 50 </w:t>
      </w:r>
      <w:proofErr w:type="spellStart"/>
      <w:r w:rsidRPr="00CD2C00">
        <w:t>μg</w:t>
      </w:r>
      <w:proofErr w:type="spellEnd"/>
      <w:r w:rsidRPr="00CD2C00">
        <w:t xml:space="preserve"> mRNA-1273 based on the Duke assay against the variant virus stain (B.1.617.2, Delta)</w:t>
      </w:r>
      <w:r w:rsidR="0023785F">
        <w:t>. I</w:t>
      </w:r>
      <w:r w:rsidRPr="00CD2C00">
        <w:t xml:space="preserve">mmune response 28 days after the completion of the primary series of mRNA-1273 100 </w:t>
      </w:r>
      <w:proofErr w:type="spellStart"/>
      <w:r w:rsidRPr="00CD2C00">
        <w:t>μg</w:t>
      </w:r>
      <w:proofErr w:type="spellEnd"/>
      <w:r w:rsidRPr="00CD2C00">
        <w:t xml:space="preserve"> against the </w:t>
      </w:r>
      <w:r w:rsidR="00A51ED7">
        <w:t>WT</w:t>
      </w:r>
      <w:r w:rsidRPr="00CD2C00">
        <w:t xml:space="preserve"> SARS-CoV-2 was assessed in </w:t>
      </w:r>
      <w:r w:rsidR="0023785F">
        <w:t>Study</w:t>
      </w:r>
      <w:r w:rsidR="007972CA">
        <w:t> </w:t>
      </w:r>
      <w:r w:rsidRPr="00CD2C00">
        <w:t xml:space="preserve">P301 participants on mRNA-1273 100 </w:t>
      </w:r>
      <w:proofErr w:type="spellStart"/>
      <w:r w:rsidRPr="00CD2C00">
        <w:t>μg</w:t>
      </w:r>
      <w:proofErr w:type="spellEnd"/>
      <w:r w:rsidRPr="00CD2C00">
        <w:t xml:space="preserve">, based on the Duke assay against the </w:t>
      </w:r>
      <w:r w:rsidR="00A51ED7">
        <w:t>WT</w:t>
      </w:r>
      <w:r w:rsidRPr="00CD2C00">
        <w:t xml:space="preserve"> SARS-CoV-2.</w:t>
      </w:r>
      <w:r w:rsidR="00782B2C">
        <w:t xml:space="preserve"> In addition, </w:t>
      </w:r>
      <w:r w:rsidR="007972CA">
        <w:t>neutralising</w:t>
      </w:r>
      <w:r w:rsidR="00782B2C">
        <w:t xml:space="preserve"> antibodies against </w:t>
      </w:r>
      <w:r w:rsidR="00782B2C" w:rsidRPr="00C55192">
        <w:t>the variant virus st</w:t>
      </w:r>
      <w:r w:rsidR="00782B2C">
        <w:t>r</w:t>
      </w:r>
      <w:r w:rsidR="00782B2C" w:rsidRPr="00C55192">
        <w:t xml:space="preserve">ain (B.1.617.2, </w:t>
      </w:r>
      <w:r w:rsidR="00782B2C" w:rsidRPr="00C55192">
        <w:lastRenderedPageBreak/>
        <w:t>Delta)</w:t>
      </w:r>
      <w:r w:rsidR="00782B2C">
        <w:t xml:space="preserve"> were measured at least 6 months after </w:t>
      </w:r>
      <w:r w:rsidR="00782B2C" w:rsidRPr="00C55192">
        <w:t xml:space="preserve">the completion of the </w:t>
      </w:r>
      <w:r w:rsidR="00782B2C">
        <w:t>2</w:t>
      </w:r>
      <w:r w:rsidR="007972CA">
        <w:t> </w:t>
      </w:r>
      <w:r w:rsidR="00782B2C">
        <w:t xml:space="preserve">dose </w:t>
      </w:r>
      <w:r w:rsidR="00782B2C" w:rsidRPr="00C55192">
        <w:t xml:space="preserve">primary series of mRNA-1273 100 </w:t>
      </w:r>
      <w:r w:rsidR="00782B2C">
        <w:t>µ</w:t>
      </w:r>
      <w:r w:rsidR="00782B2C" w:rsidRPr="00C55192">
        <w:t>g</w:t>
      </w:r>
      <w:r w:rsidR="00782B2C">
        <w:t xml:space="preserve"> in </w:t>
      </w:r>
      <w:r w:rsidR="007972CA">
        <w:t>Study</w:t>
      </w:r>
      <w:r w:rsidR="00782B2C">
        <w:t>P301 participants.</w:t>
      </w:r>
    </w:p>
    <w:p w14:paraId="53BC6DC8" w14:textId="5111EBC2" w:rsidR="00107966" w:rsidRDefault="00107966" w:rsidP="00291659">
      <w:pPr>
        <w:pStyle w:val="Heading5"/>
      </w:pPr>
      <w:r>
        <w:t xml:space="preserve">Control </w:t>
      </w:r>
      <w:r w:rsidR="00A725ED">
        <w:t>g</w:t>
      </w:r>
      <w:r>
        <w:t>roup</w:t>
      </w:r>
    </w:p>
    <w:p w14:paraId="7ECC6D4A" w14:textId="26E7E6E2" w:rsidR="00107966" w:rsidRDefault="00107966" w:rsidP="00107966">
      <w:r>
        <w:t>Study P301 is an ongoing pivotal randomised, observer-blind, placebo-controlled study evaluating the safety, efficacy, and immunogenicity of a 2</w:t>
      </w:r>
      <w:r w:rsidR="00A51ED7">
        <w:t xml:space="preserve"> </w:t>
      </w:r>
      <w:r>
        <w:t xml:space="preserve">dose primary series of 100 </w:t>
      </w:r>
      <w:proofErr w:type="spellStart"/>
      <w:r>
        <w:t>μg</w:t>
      </w:r>
      <w:proofErr w:type="spellEnd"/>
      <w:r>
        <w:t xml:space="preserve"> of mRNA-1273 in over 30,000 participants ≥</w:t>
      </w:r>
      <w:r w:rsidR="007972CA">
        <w:t xml:space="preserve"> </w:t>
      </w:r>
      <w:r>
        <w:t xml:space="preserve">18 years of age. Immunogenicity data from a random subset of </w:t>
      </w:r>
      <w:r w:rsidR="00520A44">
        <w:t xml:space="preserve">Study </w:t>
      </w:r>
      <w:r>
        <w:t xml:space="preserve">P301 participants were used as the comparator group for </w:t>
      </w:r>
      <w:proofErr w:type="spellStart"/>
      <w:r>
        <w:t>immunobridging</w:t>
      </w:r>
      <w:proofErr w:type="spellEnd"/>
      <w:r>
        <w:t xml:space="preserve"> analyses to infer vaccine effectiveness of the booster dose. Data from </w:t>
      </w:r>
      <w:r w:rsidR="00A725ED">
        <w:t>S</w:t>
      </w:r>
      <w:r>
        <w:t>tudy P301 supported the provisional approval for the 2</w:t>
      </w:r>
      <w:r w:rsidR="00A51ED7">
        <w:t xml:space="preserve"> </w:t>
      </w:r>
      <w:r>
        <w:t xml:space="preserve">dose primary series of the 100 </w:t>
      </w:r>
      <w:proofErr w:type="spellStart"/>
      <w:r>
        <w:t>μg</w:t>
      </w:r>
      <w:proofErr w:type="spellEnd"/>
      <w:r>
        <w:t xml:space="preserve"> dose of mRNA-1273. The final efficacy analysis of Part A </w:t>
      </w:r>
      <w:r w:rsidR="00D90B6D">
        <w:t xml:space="preserve">of the Study </w:t>
      </w:r>
      <w:r>
        <w:t xml:space="preserve">(with median follow up of 5.3 months) demonstrated </w:t>
      </w:r>
      <w:r w:rsidR="004C4D57">
        <w:t>vaccine efficacy (</w:t>
      </w:r>
      <w:r w:rsidRPr="004C4D57">
        <w:t>VE</w:t>
      </w:r>
      <w:r w:rsidR="004C4D57">
        <w:t>)</w:t>
      </w:r>
      <w:r>
        <w:t xml:space="preserve"> of 93.2% (95% </w:t>
      </w:r>
      <w:r w:rsidR="004C4D57">
        <w:t>confidence interval (</w:t>
      </w:r>
      <w:r>
        <w:t>CI</w:t>
      </w:r>
      <w:r w:rsidR="004C4D57">
        <w:t>)</w:t>
      </w:r>
      <w:r>
        <w:t>: 91.0%, 94.8%, p &lt; 0.0001), which was consistent with results of the interim and primary analyses.</w:t>
      </w:r>
    </w:p>
    <w:p w14:paraId="4BA96A22" w14:textId="66B1A313" w:rsidR="00107966" w:rsidRPr="00AC39C5" w:rsidRDefault="00107966" w:rsidP="00291659">
      <w:pPr>
        <w:pStyle w:val="Heading5"/>
        <w:rPr>
          <w:color w:val="auto"/>
        </w:rPr>
      </w:pPr>
      <w:r>
        <w:t xml:space="preserve">Statistical </w:t>
      </w:r>
      <w:r w:rsidR="00A725ED">
        <w:t>a</w:t>
      </w:r>
      <w:r>
        <w:t>nalysis</w:t>
      </w:r>
    </w:p>
    <w:p w14:paraId="3D59764A" w14:textId="60CA9E05" w:rsidR="00107966" w:rsidRPr="00AC39C5" w:rsidRDefault="00107966" w:rsidP="00107966">
      <w:r w:rsidRPr="00AC39C5">
        <w:t>Overall, the statistical methods are considered acceptable.</w:t>
      </w:r>
      <w:r w:rsidR="00F5026A" w:rsidRPr="00AC39C5">
        <w:t xml:space="preserve"> Although selection bias and other sources cannot be completely ruled out, given the observed results between trials and the reported results within trial P201, this is not considered of high clinical relevance.</w:t>
      </w:r>
      <w:r w:rsidRPr="00AC39C5">
        <w:t xml:space="preserve"> </w:t>
      </w:r>
    </w:p>
    <w:p w14:paraId="2C1BC9DA" w14:textId="22224B09" w:rsidR="00107966" w:rsidRDefault="00107966" w:rsidP="00107966">
      <w:r>
        <w:t xml:space="preserve">The analyses of non-inferiority were pre-specified, but the reporting of the immunogenicity objectives was a little unclear in the documentation. The statistical methods were only described in the SAP (not the protocol) which was drafted later </w:t>
      </w:r>
      <w:r w:rsidRPr="004C4D57">
        <w:t>(SAP Version 1.0: 04 June 2021; Version 2.0: 06 August 2021).</w:t>
      </w:r>
      <w:r>
        <w:t xml:space="preserve"> This is acceptable in the context of the evolving nature of the pandemic situation and the requirement for adaptive trial designs, although it did make clinical evaluation difficult.</w:t>
      </w:r>
    </w:p>
    <w:p w14:paraId="4177AEB0" w14:textId="6BFB9C87" w:rsidR="00107966" w:rsidRDefault="00107966" w:rsidP="00291659">
      <w:pPr>
        <w:pStyle w:val="Heading5"/>
      </w:pPr>
      <w:r>
        <w:t xml:space="preserve">Booster </w:t>
      </w:r>
      <w:r w:rsidR="00385162">
        <w:t>d</w:t>
      </w:r>
      <w:r>
        <w:t xml:space="preserve">ose </w:t>
      </w:r>
      <w:r w:rsidR="00385162">
        <w:t>c</w:t>
      </w:r>
      <w:r>
        <w:t>o-</w:t>
      </w:r>
      <w:r w:rsidR="00385162">
        <w:t>p</w:t>
      </w:r>
      <w:r>
        <w:t xml:space="preserve">rimary </w:t>
      </w:r>
      <w:r w:rsidR="00385162">
        <w:t>i</w:t>
      </w:r>
      <w:r>
        <w:t xml:space="preserve">mmunogenicity </w:t>
      </w:r>
      <w:r w:rsidR="00385162">
        <w:t>e</w:t>
      </w:r>
      <w:r>
        <w:t xml:space="preserve">ndpoints </w:t>
      </w:r>
      <w:r w:rsidR="00385162">
        <w:t>a</w:t>
      </w:r>
      <w:r>
        <w:t xml:space="preserve">gainst the </w:t>
      </w:r>
      <w:r w:rsidR="007972CA">
        <w:t>wild type</w:t>
      </w:r>
      <w:r>
        <w:t xml:space="preserve"> SARS</w:t>
      </w:r>
      <w:r w:rsidR="007972CA">
        <w:noBreakHyphen/>
      </w:r>
      <w:r>
        <w:t>CoV-2</w:t>
      </w:r>
    </w:p>
    <w:p w14:paraId="27755B19" w14:textId="5CE40A65" w:rsidR="00107966" w:rsidRDefault="00107966" w:rsidP="00291659">
      <w:pPr>
        <w:pStyle w:val="Heading6"/>
      </w:pPr>
      <w:r>
        <w:t>Co-primary Endpoint 1</w:t>
      </w:r>
    </w:p>
    <w:p w14:paraId="691E114B" w14:textId="3DC89001" w:rsidR="00107966" w:rsidRDefault="00107966" w:rsidP="00107966">
      <w:r>
        <w:t>Geometric mean of the neutrali</w:t>
      </w:r>
      <w:r w:rsidR="00D90B6D">
        <w:t>s</w:t>
      </w:r>
      <w:r>
        <w:t xml:space="preserve">ing antibody </w:t>
      </w:r>
      <w:r w:rsidR="00524504">
        <w:t>titre</w:t>
      </w:r>
      <w:r>
        <w:t xml:space="preserve">s against the SARS-CoV-2 </w:t>
      </w:r>
      <w:r w:rsidRPr="004C4D57">
        <w:t>WT</w:t>
      </w:r>
      <w:r>
        <w:t xml:space="preserve"> strain measured 28 days after a single 50 </w:t>
      </w:r>
      <w:proofErr w:type="spellStart"/>
      <w:r>
        <w:t>μg</w:t>
      </w:r>
      <w:proofErr w:type="spellEnd"/>
      <w:r>
        <w:t xml:space="preserve"> booster dose of mRNA-1273 in </w:t>
      </w:r>
      <w:r w:rsidR="00D7030A">
        <w:t xml:space="preserve"> Study P201 Part B </w:t>
      </w:r>
      <w:r>
        <w:t xml:space="preserve">versus the corresponding responses measured 28 days after receipt of the second dose of the 50 or 100 </w:t>
      </w:r>
      <w:proofErr w:type="spellStart"/>
      <w:r>
        <w:t>μg</w:t>
      </w:r>
      <w:proofErr w:type="spellEnd"/>
      <w:r>
        <w:t xml:space="preserve"> mRNA-1273 2-dose primary series in </w:t>
      </w:r>
      <w:r w:rsidR="00385162">
        <w:t>S</w:t>
      </w:r>
      <w:r>
        <w:t xml:space="preserve">tudy P301. The pre-specified </w:t>
      </w:r>
      <w:proofErr w:type="spellStart"/>
      <w:r>
        <w:t>immunobridging</w:t>
      </w:r>
      <w:proofErr w:type="spellEnd"/>
      <w:r>
        <w:t xml:space="preserve"> success criteria required both a lower limit of the 95% confidence interval for the </w:t>
      </w:r>
      <w:r w:rsidR="00D90B6D">
        <w:t xml:space="preserve">geometric mean </w:t>
      </w:r>
      <w:r w:rsidR="00524504">
        <w:t>titre</w:t>
      </w:r>
      <w:r w:rsidR="00D90B6D">
        <w:t xml:space="preserve"> (</w:t>
      </w:r>
      <w:r>
        <w:t>GMT</w:t>
      </w:r>
      <w:r w:rsidR="00D90B6D">
        <w:t>)</w:t>
      </w:r>
      <w:r>
        <w:t xml:space="preserve"> ratio (</w:t>
      </w:r>
      <w:r w:rsidR="00EB5BA6">
        <w:t xml:space="preserve">Study </w:t>
      </w:r>
      <w:r>
        <w:t>P201B/</w:t>
      </w:r>
      <w:r w:rsidR="00EB5BA6">
        <w:t xml:space="preserve">Study </w:t>
      </w:r>
      <w:r>
        <w:t>P301) ≥</w:t>
      </w:r>
      <w:r w:rsidR="007972CA">
        <w:t xml:space="preserve"> </w:t>
      </w:r>
      <w:r>
        <w:t>0.67 (</w:t>
      </w:r>
      <w:proofErr w:type="gramStart"/>
      <w:r>
        <w:t>1.5</w:t>
      </w:r>
      <w:r w:rsidR="007972CA">
        <w:t> </w:t>
      </w:r>
      <w:r w:rsidR="00A51ED7">
        <w:t>fold</w:t>
      </w:r>
      <w:proofErr w:type="gramEnd"/>
      <w:r>
        <w:t xml:space="preserve"> </w:t>
      </w:r>
      <w:proofErr w:type="spellStart"/>
      <w:r>
        <w:t>immunobridging</w:t>
      </w:r>
      <w:proofErr w:type="spellEnd"/>
      <w:r>
        <w:t xml:space="preserve"> margin) and a GMT ratio point estimate ≥</w:t>
      </w:r>
      <w:r w:rsidR="007972CA">
        <w:t> </w:t>
      </w:r>
      <w:r>
        <w:t>1.0.</w:t>
      </w:r>
    </w:p>
    <w:p w14:paraId="418A6A86" w14:textId="0DA712EC" w:rsidR="00107966" w:rsidRDefault="00107966" w:rsidP="00291659">
      <w:pPr>
        <w:pStyle w:val="Heading6"/>
      </w:pPr>
      <w:r>
        <w:t>Co-primary Endpoint 2</w:t>
      </w:r>
    </w:p>
    <w:p w14:paraId="152C720F" w14:textId="620107C7" w:rsidR="00107966" w:rsidRDefault="00107966" w:rsidP="00107966">
      <w:proofErr w:type="spellStart"/>
      <w:r>
        <w:t>Seroresponse</w:t>
      </w:r>
      <w:proofErr w:type="spellEnd"/>
      <w:r>
        <w:t xml:space="preserve"> rate against the SARS-CoV-2 </w:t>
      </w:r>
      <w:r w:rsidRPr="00520A44">
        <w:t>WT</w:t>
      </w:r>
      <w:r>
        <w:t xml:space="preserve"> strain 28 days after a single 50 </w:t>
      </w:r>
      <w:proofErr w:type="spellStart"/>
      <w:r>
        <w:t>μg</w:t>
      </w:r>
      <w:proofErr w:type="spellEnd"/>
      <w:r>
        <w:t xml:space="preserve"> booster dose of mRNA-1273 in </w:t>
      </w:r>
      <w:r w:rsidR="00385162">
        <w:t>S</w:t>
      </w:r>
      <w:r>
        <w:t>tudy P201</w:t>
      </w:r>
      <w:r w:rsidR="00A51ED7">
        <w:t xml:space="preserve"> Part </w:t>
      </w:r>
      <w:r>
        <w:t xml:space="preserve">B versus the corresponding responses 28 days after the second dose of the 50 or 100 </w:t>
      </w:r>
      <w:proofErr w:type="spellStart"/>
      <w:r>
        <w:t>μg</w:t>
      </w:r>
      <w:proofErr w:type="spellEnd"/>
      <w:r>
        <w:t xml:space="preserve"> mRNA-1273 2-dose primary series in </w:t>
      </w:r>
      <w:r w:rsidR="00385162">
        <w:t>S</w:t>
      </w:r>
      <w:r>
        <w:t xml:space="preserve">tudy P301. The pre-specified </w:t>
      </w:r>
      <w:proofErr w:type="spellStart"/>
      <w:r>
        <w:t>immunobridging</w:t>
      </w:r>
      <w:proofErr w:type="spellEnd"/>
      <w:r>
        <w:t xml:space="preserve"> criterion required a lower limit of the 95% confidence interval for the difference in </w:t>
      </w:r>
      <w:proofErr w:type="spellStart"/>
      <w:r>
        <w:t>seroresponse</w:t>
      </w:r>
      <w:proofErr w:type="spellEnd"/>
      <w:r>
        <w:t xml:space="preserve"> rates (</w:t>
      </w:r>
      <w:r w:rsidR="00EB5BA6">
        <w:t xml:space="preserve">Study </w:t>
      </w:r>
      <w:r>
        <w:t>P201B</w:t>
      </w:r>
      <w:r w:rsidR="007972CA">
        <w:t xml:space="preserve"> versus </w:t>
      </w:r>
      <w:r w:rsidR="00EB5BA6">
        <w:t>Study</w:t>
      </w:r>
      <w:r w:rsidR="007972CA">
        <w:t> </w:t>
      </w:r>
      <w:r>
        <w:t>P301) ≥</w:t>
      </w:r>
      <w:r w:rsidR="00A51ED7">
        <w:t> </w:t>
      </w:r>
      <w:r>
        <w:t xml:space="preserve">10%. </w:t>
      </w:r>
      <w:proofErr w:type="spellStart"/>
      <w:r>
        <w:t>Seroresponse</w:t>
      </w:r>
      <w:proofErr w:type="spellEnd"/>
      <w:r>
        <w:t xml:space="preserve"> was defined as ≥</w:t>
      </w:r>
      <w:r w:rsidR="007972CA">
        <w:t> </w:t>
      </w:r>
      <w:proofErr w:type="gramStart"/>
      <w:r>
        <w:t>4</w:t>
      </w:r>
      <w:r w:rsidR="00A51ED7">
        <w:t xml:space="preserve"> </w:t>
      </w:r>
      <w:r>
        <w:t>fold</w:t>
      </w:r>
      <w:proofErr w:type="gramEnd"/>
      <w:r>
        <w:t xml:space="preserve"> rise in neutrali</w:t>
      </w:r>
      <w:r w:rsidR="00D90B6D">
        <w:t>s</w:t>
      </w:r>
      <w:r>
        <w:t xml:space="preserve">ing antibody </w:t>
      </w:r>
      <w:r w:rsidR="00524504">
        <w:t>titre</w:t>
      </w:r>
      <w:r>
        <w:t xml:space="preserve">s from baseline (pre-booster dose </w:t>
      </w:r>
      <w:r w:rsidR="00D72B76">
        <w:t>in Study</w:t>
      </w:r>
      <w:r w:rsidR="00D7030A">
        <w:t xml:space="preserve"> P201 Part B </w:t>
      </w:r>
      <w:r>
        <w:t xml:space="preserve">and pre-dose 1 in </w:t>
      </w:r>
      <w:r w:rsidR="00385162">
        <w:t>S</w:t>
      </w:r>
      <w:r>
        <w:t xml:space="preserve">tudy P301), where baseline </w:t>
      </w:r>
      <w:r w:rsidR="00524504">
        <w:t>titre</w:t>
      </w:r>
      <w:r>
        <w:t>s &lt;</w:t>
      </w:r>
      <w:r w:rsidR="007972CA">
        <w:t> </w:t>
      </w:r>
      <w:r w:rsidR="00EB5BA6">
        <w:t xml:space="preserve">lower limit of quantification </w:t>
      </w:r>
      <w:r w:rsidR="00EB5BA6" w:rsidRPr="0048346F">
        <w:t>(</w:t>
      </w:r>
      <w:r w:rsidRPr="0048346F">
        <w:t>LLOQ</w:t>
      </w:r>
      <w:r w:rsidR="00EB5BA6" w:rsidRPr="0048346F">
        <w:t>)</w:t>
      </w:r>
      <w:r>
        <w:t xml:space="preserve"> are set to LLOQ for the analysis.</w:t>
      </w:r>
    </w:p>
    <w:p w14:paraId="29B012B2" w14:textId="42FC8CFA" w:rsidR="00107966" w:rsidRDefault="00107966" w:rsidP="00107966">
      <w:r>
        <w:t xml:space="preserve">Immune responses to a single booster dose of 50 </w:t>
      </w:r>
      <w:proofErr w:type="spellStart"/>
      <w:r>
        <w:t>μg</w:t>
      </w:r>
      <w:proofErr w:type="spellEnd"/>
      <w:r>
        <w:t xml:space="preserve"> mRNA-1273 would be considered successfully bridged (</w:t>
      </w:r>
      <w:r w:rsidR="00D90B6D">
        <w:t>that is,</w:t>
      </w:r>
      <w:r>
        <w:t xml:space="preserve"> non-inferior) to that of the 2</w:t>
      </w:r>
      <w:r w:rsidR="00D7030A">
        <w:t xml:space="preserve"> </w:t>
      </w:r>
      <w:r>
        <w:t xml:space="preserve">dose primary series of 100 </w:t>
      </w:r>
      <w:proofErr w:type="spellStart"/>
      <w:r>
        <w:t>μg</w:t>
      </w:r>
      <w:proofErr w:type="spellEnd"/>
      <w:r>
        <w:t xml:space="preserve"> of mRNA-1273 if each of the </w:t>
      </w:r>
      <w:proofErr w:type="spellStart"/>
      <w:r>
        <w:t>immunobridging</w:t>
      </w:r>
      <w:proofErr w:type="spellEnd"/>
      <w:r>
        <w:t xml:space="preserve"> criteria above were met.</w:t>
      </w:r>
    </w:p>
    <w:p w14:paraId="7C413E08" w14:textId="753AD252" w:rsidR="00107966" w:rsidRDefault="00107966" w:rsidP="005C7C7E">
      <w:pPr>
        <w:pStyle w:val="Heading5"/>
      </w:pPr>
      <w:r>
        <w:t xml:space="preserve">Study </w:t>
      </w:r>
      <w:r w:rsidR="00D90B6D">
        <w:t>d</w:t>
      </w:r>
      <w:r>
        <w:t xml:space="preserve">isposition and </w:t>
      </w:r>
      <w:r w:rsidR="00D90B6D">
        <w:t>b</w:t>
      </w:r>
      <w:r>
        <w:t>aseline characteristics:</w:t>
      </w:r>
    </w:p>
    <w:p w14:paraId="080D2A70" w14:textId="5C9437A8" w:rsidR="00107966" w:rsidRDefault="00107966" w:rsidP="00107966">
      <w:r>
        <w:t xml:space="preserve">The safety and immunogenicity populations analysed in </w:t>
      </w:r>
      <w:r w:rsidR="00385162">
        <w:t>S</w:t>
      </w:r>
      <w:r>
        <w:t>tudies P201</w:t>
      </w:r>
      <w:r w:rsidR="00D7030A">
        <w:t xml:space="preserve"> Parts </w:t>
      </w:r>
      <w:r>
        <w:t>A</w:t>
      </w:r>
      <w:r w:rsidR="00D7030A">
        <w:t xml:space="preserve"> and B</w:t>
      </w:r>
      <w:r>
        <w:t xml:space="preserve">, and P301 are presented below in Table </w:t>
      </w:r>
      <w:r w:rsidR="00385162">
        <w:t>5</w:t>
      </w:r>
      <w:r>
        <w:t xml:space="preserve"> and </w:t>
      </w:r>
      <w:r w:rsidR="00385162">
        <w:t>6</w:t>
      </w:r>
      <w:r>
        <w:t>.</w:t>
      </w:r>
    </w:p>
    <w:p w14:paraId="7C21C38E" w14:textId="2B29E30A" w:rsidR="00107966" w:rsidRDefault="00107966" w:rsidP="00107966">
      <w:r>
        <w:lastRenderedPageBreak/>
        <w:t xml:space="preserve">A total of 149 participants from the open-label phase </w:t>
      </w:r>
      <w:r w:rsidR="00D72B76">
        <w:t>of Study</w:t>
      </w:r>
      <w:r w:rsidR="00D7030A">
        <w:t xml:space="preserve"> P201 Part B </w:t>
      </w:r>
      <w:r>
        <w:t xml:space="preserve">and 1,055 participants from a random sub-cohort of </w:t>
      </w:r>
      <w:r w:rsidR="00C148E6">
        <w:t>S</w:t>
      </w:r>
      <w:r>
        <w:t xml:space="preserve">tudy P301 were included in the per-protocol immunogenicity subset for the primary immunogenicity analyses. Reasons for exclusion from the </w:t>
      </w:r>
      <w:r w:rsidR="00D7030A">
        <w:t xml:space="preserve"> Study P201 Part B </w:t>
      </w:r>
      <w:r>
        <w:t xml:space="preserve">per-protocol population included a major protocol violation involving incorrect dosing at the booster dose visit (receipt of a 100 </w:t>
      </w:r>
      <w:proofErr w:type="spellStart"/>
      <w:r>
        <w:t>μg</w:t>
      </w:r>
      <w:proofErr w:type="spellEnd"/>
      <w:r>
        <w:t xml:space="preserve"> booster dose instead of a 50 </w:t>
      </w:r>
      <w:proofErr w:type="spellStart"/>
      <w:r>
        <w:t>μg</w:t>
      </w:r>
      <w:proofErr w:type="spellEnd"/>
      <w:r>
        <w:t xml:space="preserve"> booster dose) and SARS-CoV-2 infection </w:t>
      </w:r>
      <w:r w:rsidRPr="00BC39EC">
        <w:t>at baseline</w:t>
      </w:r>
      <w:r>
        <w:t xml:space="preserve"> (which was an exclusion criterion for participation in </w:t>
      </w:r>
      <w:r w:rsidR="00C148E6">
        <w:t>S</w:t>
      </w:r>
      <w:r>
        <w:t xml:space="preserve">tudy P301); reasons for exclusion from the </w:t>
      </w:r>
      <w:r w:rsidR="00C148E6">
        <w:t>Study</w:t>
      </w:r>
      <w:r w:rsidR="007972CA">
        <w:t> </w:t>
      </w:r>
      <w:r>
        <w:t xml:space="preserve">P301 per protocol population included </w:t>
      </w:r>
      <w:r w:rsidR="0048346F">
        <w:t xml:space="preserve">human immunodeficiency virus </w:t>
      </w:r>
      <w:r w:rsidR="0048346F" w:rsidRPr="0048346F">
        <w:t>(</w:t>
      </w:r>
      <w:r w:rsidRPr="0048346F">
        <w:t>HIV</w:t>
      </w:r>
      <w:r w:rsidR="0048346F" w:rsidRPr="0048346F">
        <w:t>)</w:t>
      </w:r>
      <w:r>
        <w:t xml:space="preserve"> infection (an exclusion criterion for participation in </w:t>
      </w:r>
      <w:r w:rsidR="00C148E6">
        <w:t>S</w:t>
      </w:r>
      <w:r>
        <w:t xml:space="preserve">tudy P201) and error in the administration of the second primary series dose (not applicable to </w:t>
      </w:r>
      <w:r w:rsidR="00C148E6">
        <w:t>S</w:t>
      </w:r>
      <w:r>
        <w:t>tudy P201</w:t>
      </w:r>
      <w:r w:rsidR="007972CA">
        <w:t xml:space="preserve"> Part </w:t>
      </w:r>
      <w:r>
        <w:t xml:space="preserve">B). Of note, one 100 </w:t>
      </w:r>
      <w:proofErr w:type="spellStart"/>
      <w:r>
        <w:t>μg</w:t>
      </w:r>
      <w:proofErr w:type="spellEnd"/>
      <w:r w:rsidR="00D95460">
        <w:t xml:space="preserve"> </w:t>
      </w:r>
      <w:r>
        <w:t xml:space="preserve">primed booster dose participant who did not receive </w:t>
      </w:r>
      <w:r w:rsidR="00FA5F41">
        <w:t>D</w:t>
      </w:r>
      <w:r>
        <w:t xml:space="preserve">ose 2 of the primary series was included in the per protocol population; participants were not required to receive both primary series doses to be included in the booster dose per protocol set. This participant received </w:t>
      </w:r>
      <w:r w:rsidR="00C148E6">
        <w:t>D</w:t>
      </w:r>
      <w:r>
        <w:t xml:space="preserve">ose 1 on </w:t>
      </w:r>
      <w:r w:rsidR="00FA30B4">
        <w:t xml:space="preserve">4 </w:t>
      </w:r>
      <w:r>
        <w:t xml:space="preserve">June 2020 and a 50 </w:t>
      </w:r>
      <w:proofErr w:type="spellStart"/>
      <w:r>
        <w:t>μg</w:t>
      </w:r>
      <w:proofErr w:type="spellEnd"/>
      <w:r>
        <w:t xml:space="preserve"> dose on </w:t>
      </w:r>
      <w:r w:rsidR="007972CA">
        <w:t>19 </w:t>
      </w:r>
      <w:r>
        <w:t>February 2021 (</w:t>
      </w:r>
      <w:r w:rsidR="0007452C">
        <w:t xml:space="preserve">around </w:t>
      </w:r>
      <w:r>
        <w:t xml:space="preserve">8 months after </w:t>
      </w:r>
      <w:r w:rsidR="00C148E6">
        <w:t>D</w:t>
      </w:r>
      <w:r>
        <w:t>ose 1).</w:t>
      </w:r>
    </w:p>
    <w:p w14:paraId="5A43B4A2" w14:textId="1651B61A" w:rsidR="00107966" w:rsidRPr="00107966" w:rsidRDefault="00107966" w:rsidP="009F47A5">
      <w:pPr>
        <w:pStyle w:val="TableTitle"/>
      </w:pPr>
      <w:r w:rsidRPr="00107966">
        <w:t xml:space="preserve">Table </w:t>
      </w:r>
      <w:r w:rsidR="00385162">
        <w:t>5</w:t>
      </w:r>
      <w:r w:rsidR="007714C9">
        <w:t>:</w:t>
      </w:r>
      <w:r w:rsidRPr="00107966">
        <w:t xml:space="preserve"> </w:t>
      </w:r>
      <w:r w:rsidR="00FA30B4">
        <w:t xml:space="preserve">Study P301 (primary series) and Study 201 Part B (booster dose, open-label phase) </w:t>
      </w:r>
      <w:r w:rsidRPr="00107966">
        <w:t xml:space="preserve">Immunogenicity </w:t>
      </w:r>
      <w:r w:rsidR="00C148E6">
        <w:t>a</w:t>
      </w:r>
      <w:r w:rsidRPr="00107966">
        <w:t xml:space="preserve">nalysis </w:t>
      </w:r>
      <w:r w:rsidR="00C148E6">
        <w:t>p</w:t>
      </w:r>
      <w:r w:rsidRPr="00107966">
        <w:t xml:space="preserve">opulations, </w:t>
      </w:r>
      <w:r w:rsidR="00C148E6">
        <w:t>p</w:t>
      </w:r>
      <w:r w:rsidRPr="00107966">
        <w:t>articipants ≥</w:t>
      </w:r>
      <w:r w:rsidR="00FA30B4">
        <w:t> </w:t>
      </w:r>
      <w:r w:rsidRPr="00107966">
        <w:t xml:space="preserve">18 </w:t>
      </w:r>
      <w:r w:rsidR="00FA30B4">
        <w:t>y</w:t>
      </w:r>
      <w:r w:rsidRPr="00107966">
        <w:t xml:space="preserve">ears of </w:t>
      </w:r>
      <w:r w:rsidR="00C148E6">
        <w:t>a</w:t>
      </w:r>
      <w:r w:rsidRPr="00107966">
        <w:t>ge</w:t>
      </w:r>
    </w:p>
    <w:p w14:paraId="476B030E" w14:textId="2C7E4996" w:rsidR="00107966" w:rsidRDefault="00107966" w:rsidP="00617B12">
      <w:r w:rsidRPr="003A5665">
        <w:rPr>
          <w:noProof/>
          <w:lang w:val="en-GB" w:eastAsia="en-GB"/>
        </w:rPr>
        <w:drawing>
          <wp:inline distT="0" distB="0" distL="0" distR="0" wp14:anchorId="0AAC1682" wp14:editId="2A680881">
            <wp:extent cx="5232903" cy="4046136"/>
            <wp:effectExtent l="0" t="0" r="6350" b="0"/>
            <wp:docPr id="13" name="Picture 13" descr="This table describes the immunogenicity analysi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table describes the immunogenicity analysis populations."/>
                    <pic:cNvPicPr/>
                  </pic:nvPicPr>
                  <pic:blipFill>
                    <a:blip r:embed="rId20"/>
                    <a:stretch>
                      <a:fillRect/>
                    </a:stretch>
                  </pic:blipFill>
                  <pic:spPr>
                    <a:xfrm>
                      <a:off x="0" y="0"/>
                      <a:ext cx="5261367" cy="4068145"/>
                    </a:xfrm>
                    <a:prstGeom prst="rect">
                      <a:avLst/>
                    </a:prstGeom>
                  </pic:spPr>
                </pic:pic>
              </a:graphicData>
            </a:graphic>
          </wp:inline>
        </w:drawing>
      </w:r>
    </w:p>
    <w:p w14:paraId="592DD6D0" w14:textId="6B50A8D3" w:rsidR="00107966" w:rsidRDefault="00107966" w:rsidP="00107966">
      <w:r>
        <w:t xml:space="preserve">The disposition of </w:t>
      </w:r>
      <w:r w:rsidR="00D7030A">
        <w:t xml:space="preserve"> Study P201 Part A </w:t>
      </w:r>
      <w:r>
        <w:t xml:space="preserve">and </w:t>
      </w:r>
      <w:r w:rsidR="00C148E6">
        <w:t xml:space="preserve">Study </w:t>
      </w:r>
      <w:r>
        <w:t>P301 participants who received a 2</w:t>
      </w:r>
      <w:r w:rsidR="00D95460">
        <w:t xml:space="preserve"> </w:t>
      </w:r>
      <w:r>
        <w:t xml:space="preserve">dose primary series of mRNA-1273 is presented below in Table </w:t>
      </w:r>
      <w:r w:rsidR="00C148E6">
        <w:t>6</w:t>
      </w:r>
      <w:r>
        <w:t xml:space="preserve"> (</w:t>
      </w:r>
      <w:r w:rsidR="00D90B6D">
        <w:t>S</w:t>
      </w:r>
      <w:r>
        <w:t xml:space="preserve">afety population), and the disposition of </w:t>
      </w:r>
      <w:r w:rsidR="00D7030A">
        <w:t xml:space="preserve"> Study P201 Part B </w:t>
      </w:r>
      <w:r>
        <w:t xml:space="preserve">participants who received a mRNA-1273 booster dose is presented in Table </w:t>
      </w:r>
      <w:r w:rsidR="00C148E6">
        <w:t>7</w:t>
      </w:r>
      <w:r>
        <w:t xml:space="preserve"> (</w:t>
      </w:r>
      <w:r w:rsidR="00D90B6D">
        <w:t>S</w:t>
      </w:r>
      <w:r>
        <w:t xml:space="preserve">afety population). There were no notable differences between the disposition of participants in </w:t>
      </w:r>
      <w:r w:rsidR="00C148E6">
        <w:t>S</w:t>
      </w:r>
      <w:r>
        <w:t xml:space="preserve">tudies P201A and P301 or between the disposition of participants in each study group within </w:t>
      </w:r>
      <w:r w:rsidR="00D90B6D">
        <w:t xml:space="preserve">Study </w:t>
      </w:r>
      <w:r>
        <w:t>P201</w:t>
      </w:r>
      <w:r w:rsidR="00D7030A">
        <w:t xml:space="preserve"> Part </w:t>
      </w:r>
      <w:r>
        <w:t>B.</w:t>
      </w:r>
    </w:p>
    <w:p w14:paraId="49AFECBF" w14:textId="57C3C801" w:rsidR="00107966" w:rsidRDefault="00107966" w:rsidP="00AC39C5">
      <w:pPr>
        <w:pStyle w:val="FigureTitle"/>
      </w:pPr>
      <w:r w:rsidRPr="00107966">
        <w:lastRenderedPageBreak/>
        <w:t xml:space="preserve">Table </w:t>
      </w:r>
      <w:r w:rsidR="00385162">
        <w:t>6</w:t>
      </w:r>
      <w:r w:rsidR="007714C9">
        <w:t>:</w:t>
      </w:r>
      <w:r w:rsidRPr="00107966">
        <w:t xml:space="preserve"> </w:t>
      </w:r>
      <w:r w:rsidR="00FA30B4">
        <w:t xml:space="preserve">Study P201 Part A and Study P301 (primary series) </w:t>
      </w:r>
      <w:r w:rsidRPr="00107966">
        <w:t xml:space="preserve">Disposition of </w:t>
      </w:r>
      <w:r w:rsidR="00C148E6">
        <w:t>p</w:t>
      </w:r>
      <w:r w:rsidRPr="00107966">
        <w:t>articipants ≥</w:t>
      </w:r>
      <w:r w:rsidR="00FA30B4">
        <w:t xml:space="preserve"> </w:t>
      </w:r>
      <w:r w:rsidRPr="00107966">
        <w:t xml:space="preserve">18 </w:t>
      </w:r>
      <w:r w:rsidR="00D90B6D">
        <w:t>y</w:t>
      </w:r>
      <w:r w:rsidRPr="00107966">
        <w:t xml:space="preserve">ears of </w:t>
      </w:r>
      <w:r w:rsidR="00C148E6">
        <w:t>a</w:t>
      </w:r>
      <w:r w:rsidRPr="00107966">
        <w:t xml:space="preserve">ge, Safety </w:t>
      </w:r>
      <w:r w:rsidR="00C148E6">
        <w:t>p</w:t>
      </w:r>
      <w:r w:rsidRPr="00107966">
        <w:t>opulations</w:t>
      </w:r>
    </w:p>
    <w:p w14:paraId="56D6CA1E" w14:textId="543A5FFE" w:rsidR="00107966" w:rsidRPr="00107966" w:rsidRDefault="00107966" w:rsidP="00617B12">
      <w:r w:rsidRPr="007B5773">
        <w:rPr>
          <w:noProof/>
          <w:lang w:val="en-GB" w:eastAsia="en-GB"/>
        </w:rPr>
        <w:drawing>
          <wp:inline distT="0" distB="0" distL="0" distR="0" wp14:anchorId="5E81725B" wp14:editId="35D4E439">
            <wp:extent cx="5400040" cy="1065530"/>
            <wp:effectExtent l="0" t="0" r="0" b="1270"/>
            <wp:docPr id="25" name="Picture 25" descr="This table describes the disposition of participants in Study P201 Par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table describes the disposition of participants in Study P201 Part A"/>
                    <pic:cNvPicPr/>
                  </pic:nvPicPr>
                  <pic:blipFill>
                    <a:blip r:embed="rId21"/>
                    <a:stretch>
                      <a:fillRect/>
                    </a:stretch>
                  </pic:blipFill>
                  <pic:spPr>
                    <a:xfrm>
                      <a:off x="0" y="0"/>
                      <a:ext cx="5400040" cy="1065530"/>
                    </a:xfrm>
                    <a:prstGeom prst="rect">
                      <a:avLst/>
                    </a:prstGeom>
                  </pic:spPr>
                </pic:pic>
              </a:graphicData>
            </a:graphic>
          </wp:inline>
        </w:drawing>
      </w:r>
    </w:p>
    <w:p w14:paraId="38310B35" w14:textId="051F5533" w:rsidR="00CD2C00" w:rsidRPr="00CD2C00" w:rsidRDefault="00107966" w:rsidP="00617B12">
      <w:r w:rsidRPr="007B5773">
        <w:rPr>
          <w:noProof/>
          <w:lang w:val="en-GB" w:eastAsia="en-GB"/>
        </w:rPr>
        <w:drawing>
          <wp:inline distT="0" distB="0" distL="0" distR="0" wp14:anchorId="1E1429F2" wp14:editId="7BD8247D">
            <wp:extent cx="5400040" cy="2491820"/>
            <wp:effectExtent l="0" t="0" r="0" b="3810"/>
            <wp:docPr id="23" name="Picture 23" descr="This table describes the disposition of participants in Study P201 Par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table describes the disposition of participants in Study P201 Part A."/>
                    <pic:cNvPicPr/>
                  </pic:nvPicPr>
                  <pic:blipFill>
                    <a:blip r:embed="rId22"/>
                    <a:stretch>
                      <a:fillRect/>
                    </a:stretch>
                  </pic:blipFill>
                  <pic:spPr>
                    <a:xfrm>
                      <a:off x="0" y="0"/>
                      <a:ext cx="5400040" cy="2491820"/>
                    </a:xfrm>
                    <a:prstGeom prst="rect">
                      <a:avLst/>
                    </a:prstGeom>
                  </pic:spPr>
                </pic:pic>
              </a:graphicData>
            </a:graphic>
          </wp:inline>
        </w:drawing>
      </w:r>
    </w:p>
    <w:p w14:paraId="753E016B" w14:textId="3C2DF430" w:rsidR="00CD2C00" w:rsidRPr="00CD2C00" w:rsidRDefault="00107966" w:rsidP="007A06D0">
      <w:r w:rsidRPr="007B5773">
        <w:rPr>
          <w:noProof/>
          <w:lang w:val="en-GB" w:eastAsia="en-GB"/>
        </w:rPr>
        <w:drawing>
          <wp:inline distT="0" distB="0" distL="0" distR="0" wp14:anchorId="49FDA888" wp14:editId="3EDEFD8C">
            <wp:extent cx="5400040" cy="2332080"/>
            <wp:effectExtent l="0" t="0" r="0" b="0"/>
            <wp:docPr id="24" name="Picture 24" descr="This table describes the disposition of participants in Study P201 Par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table describes the disposition of participants in Study P201 Part A."/>
                    <pic:cNvPicPr/>
                  </pic:nvPicPr>
                  <pic:blipFill>
                    <a:blip r:embed="rId23"/>
                    <a:stretch>
                      <a:fillRect/>
                    </a:stretch>
                  </pic:blipFill>
                  <pic:spPr>
                    <a:xfrm>
                      <a:off x="0" y="0"/>
                      <a:ext cx="5400040" cy="2332080"/>
                    </a:xfrm>
                    <a:prstGeom prst="rect">
                      <a:avLst/>
                    </a:prstGeom>
                  </pic:spPr>
                </pic:pic>
              </a:graphicData>
            </a:graphic>
          </wp:inline>
        </w:drawing>
      </w:r>
    </w:p>
    <w:p w14:paraId="66C95271" w14:textId="0CDCAFEC" w:rsidR="00CD2C00" w:rsidRPr="009F47A5" w:rsidRDefault="001816A8" w:rsidP="009F47A5">
      <w:pPr>
        <w:pStyle w:val="TableTitle"/>
      </w:pPr>
      <w:r w:rsidRPr="009F47A5">
        <w:lastRenderedPageBreak/>
        <w:t xml:space="preserve">Table </w:t>
      </w:r>
      <w:r w:rsidR="00C148E6">
        <w:t>7</w:t>
      </w:r>
      <w:r w:rsidR="00D30EA8">
        <w:t>:</w:t>
      </w:r>
      <w:r w:rsidRPr="009F47A5">
        <w:t xml:space="preserve"> </w:t>
      </w:r>
      <w:r w:rsidR="00FA30B4" w:rsidRPr="009F47A5">
        <w:t xml:space="preserve">Study P201 Part B </w:t>
      </w:r>
      <w:r w:rsidRPr="009F47A5">
        <w:t xml:space="preserve">Disposition of </w:t>
      </w:r>
      <w:r w:rsidR="00C148E6">
        <w:t>p</w:t>
      </w:r>
      <w:r w:rsidRPr="009F47A5">
        <w:t xml:space="preserve">articipants ≥18 </w:t>
      </w:r>
      <w:r w:rsidR="00D30EA8">
        <w:t>y</w:t>
      </w:r>
      <w:r w:rsidRPr="009F47A5">
        <w:t xml:space="preserve">ears of </w:t>
      </w:r>
      <w:r w:rsidR="00D30EA8">
        <w:t>a</w:t>
      </w:r>
      <w:r w:rsidRPr="009F47A5">
        <w:t>ge</w:t>
      </w:r>
      <w:r w:rsidR="00FA30B4">
        <w:t xml:space="preserve"> </w:t>
      </w:r>
      <w:r w:rsidRPr="009F47A5">
        <w:t xml:space="preserve">(by </w:t>
      </w:r>
      <w:r w:rsidR="00C148E6">
        <w:t>p</w:t>
      </w:r>
      <w:r w:rsidRPr="009F47A5">
        <w:t xml:space="preserve">rimary </w:t>
      </w:r>
      <w:r w:rsidR="00C148E6">
        <w:t>s</w:t>
      </w:r>
      <w:r w:rsidRPr="009F47A5">
        <w:t xml:space="preserve">eries </w:t>
      </w:r>
      <w:r w:rsidR="00C148E6">
        <w:t>d</w:t>
      </w:r>
      <w:r w:rsidRPr="009F47A5">
        <w:t xml:space="preserve">ose), </w:t>
      </w:r>
      <w:r w:rsidR="00D30EA8">
        <w:t>S</w:t>
      </w:r>
      <w:r w:rsidRPr="009F47A5">
        <w:t xml:space="preserve">afety </w:t>
      </w:r>
      <w:r w:rsidR="00C148E6">
        <w:t>p</w:t>
      </w:r>
      <w:r w:rsidRPr="009F47A5">
        <w:t>opulations</w:t>
      </w:r>
    </w:p>
    <w:p w14:paraId="55FED630" w14:textId="014D1E27" w:rsidR="001816A8" w:rsidRPr="009F47A5" w:rsidRDefault="001816A8" w:rsidP="00617B12">
      <w:r w:rsidRPr="009F47A5">
        <w:rPr>
          <w:noProof/>
          <w:lang w:val="en-GB" w:eastAsia="en-GB"/>
        </w:rPr>
        <w:drawing>
          <wp:inline distT="0" distB="0" distL="0" distR="0" wp14:anchorId="068A5EFE" wp14:editId="7BB90217">
            <wp:extent cx="5400040" cy="2658739"/>
            <wp:effectExtent l="0" t="0" r="0" b="8890"/>
            <wp:docPr id="26" name="Picture 26" descr="This table describes the disposition of participants in Study P201 Par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table describes the disposition of participants in Study P201 Part B."/>
                    <pic:cNvPicPr/>
                  </pic:nvPicPr>
                  <pic:blipFill>
                    <a:blip r:embed="rId24"/>
                    <a:stretch>
                      <a:fillRect/>
                    </a:stretch>
                  </pic:blipFill>
                  <pic:spPr>
                    <a:xfrm>
                      <a:off x="0" y="0"/>
                      <a:ext cx="5400040" cy="2658739"/>
                    </a:xfrm>
                    <a:prstGeom prst="rect">
                      <a:avLst/>
                    </a:prstGeom>
                  </pic:spPr>
                </pic:pic>
              </a:graphicData>
            </a:graphic>
          </wp:inline>
        </w:drawing>
      </w:r>
    </w:p>
    <w:p w14:paraId="4CAE2D3B" w14:textId="136A350D" w:rsidR="001816A8" w:rsidRDefault="001816A8" w:rsidP="001816A8">
      <w:r>
        <w:t xml:space="preserve">Demographic and baseline characteristics of the safety population for </w:t>
      </w:r>
      <w:r w:rsidR="00351453">
        <w:t>S</w:t>
      </w:r>
      <w:r>
        <w:t xml:space="preserve">tudies P201 (Parts A and B) and </w:t>
      </w:r>
      <w:r w:rsidR="00351453">
        <w:t xml:space="preserve">Study </w:t>
      </w:r>
      <w:r>
        <w:t xml:space="preserve">P301 and the per-protocol immunogenicity subsets </w:t>
      </w:r>
      <w:r w:rsidR="007A06D0">
        <w:t>for Study</w:t>
      </w:r>
      <w:r w:rsidR="00D7030A">
        <w:t xml:space="preserve"> P201 Part B </w:t>
      </w:r>
      <w:r>
        <w:t>and</w:t>
      </w:r>
      <w:r w:rsidR="00351453">
        <w:t xml:space="preserve"> Study</w:t>
      </w:r>
      <w:r>
        <w:t xml:space="preserve"> P301 are shown in Tables </w:t>
      </w:r>
      <w:r w:rsidR="00351453">
        <w:t>8</w:t>
      </w:r>
      <w:r>
        <w:t xml:space="preserve"> and </w:t>
      </w:r>
      <w:r w:rsidR="00351453">
        <w:t>9</w:t>
      </w:r>
      <w:r>
        <w:t xml:space="preserve">, respectively. </w:t>
      </w:r>
      <w:r w:rsidR="0048346F">
        <w:t>C</w:t>
      </w:r>
      <w:r>
        <w:t xml:space="preserve">ompared to </w:t>
      </w:r>
      <w:r w:rsidR="00351453">
        <w:t>S</w:t>
      </w:r>
      <w:r>
        <w:t xml:space="preserve">tudy P301, participants </w:t>
      </w:r>
      <w:r w:rsidR="00D72B76">
        <w:t>in Study</w:t>
      </w:r>
      <w:r w:rsidR="00D7030A">
        <w:t xml:space="preserve"> P201 Part A </w:t>
      </w:r>
      <w:r w:rsidR="00D72B76">
        <w:t>and Study</w:t>
      </w:r>
      <w:r w:rsidR="00D7030A">
        <w:t xml:space="preserve"> P201 Part B </w:t>
      </w:r>
      <w:r>
        <w:t xml:space="preserve">were less racially and ethnically diverse. </w:t>
      </w:r>
      <w:r w:rsidR="00D7030A">
        <w:t xml:space="preserve"> Study P201 Part A </w:t>
      </w:r>
      <w:r w:rsidR="00D72B76">
        <w:t>and Study</w:t>
      </w:r>
      <w:r w:rsidR="00D7030A">
        <w:t xml:space="preserve"> P201 Part B </w:t>
      </w:r>
      <w:r>
        <w:t xml:space="preserve">participants also had a lower median </w:t>
      </w:r>
      <w:r w:rsidR="0048346F">
        <w:t xml:space="preserve">body mass index </w:t>
      </w:r>
      <w:r w:rsidR="0048346F" w:rsidRPr="0048346F">
        <w:t>(</w:t>
      </w:r>
      <w:r w:rsidRPr="0048346F">
        <w:t>BMI</w:t>
      </w:r>
      <w:r w:rsidR="0048346F" w:rsidRPr="0048346F">
        <w:t>)</w:t>
      </w:r>
      <w:r w:rsidRPr="0048346F">
        <w:t>,</w:t>
      </w:r>
      <w:r>
        <w:t xml:space="preserve"> a lower rate of obesity (BMI ≥</w:t>
      </w:r>
      <w:r w:rsidR="00FA30B4">
        <w:t> </w:t>
      </w:r>
      <w:r>
        <w:t>30 kg/m</w:t>
      </w:r>
      <w:r w:rsidRPr="007A06D0">
        <w:rPr>
          <w:vertAlign w:val="superscript"/>
        </w:rPr>
        <w:t>2</w:t>
      </w:r>
      <w:r>
        <w:t xml:space="preserve">), and a lower percentage of males compared to </w:t>
      </w:r>
      <w:r w:rsidR="00351453">
        <w:t>S</w:t>
      </w:r>
      <w:r>
        <w:t xml:space="preserve">tudy P301 participants. Studies P201A, P201B and P301 had a similar median participant age and a similar proportion of participants ≥65 years of age. The noted differences in demographic characteristics </w:t>
      </w:r>
      <w:r w:rsidR="00D72B76">
        <w:t>between Study</w:t>
      </w:r>
      <w:r w:rsidR="00D7030A">
        <w:t xml:space="preserve"> P201 Part B </w:t>
      </w:r>
      <w:r>
        <w:t xml:space="preserve">and </w:t>
      </w:r>
      <w:r w:rsidR="00FA30B4">
        <w:t xml:space="preserve">Study </w:t>
      </w:r>
      <w:r>
        <w:t xml:space="preserve">P301 participants are considered unlikely to impact the clinical results from the safety and primary </w:t>
      </w:r>
      <w:proofErr w:type="spellStart"/>
      <w:r>
        <w:t>immunobridging</w:t>
      </w:r>
      <w:proofErr w:type="spellEnd"/>
      <w:r>
        <w:t xml:space="preserve"> analyses</w:t>
      </w:r>
      <w:r w:rsidRPr="00D30EA8">
        <w:t xml:space="preserve">. The subgroup analyses of mRNA-1273 vaccine’s safety and efficacy by sex, </w:t>
      </w:r>
      <w:proofErr w:type="gramStart"/>
      <w:r w:rsidRPr="00D30EA8">
        <w:t>race</w:t>
      </w:r>
      <w:proofErr w:type="gramEnd"/>
      <w:r w:rsidRPr="00D30EA8">
        <w:t xml:space="preserve"> and ethnicity in </w:t>
      </w:r>
      <w:r w:rsidR="00351453" w:rsidRPr="00D30EA8">
        <w:t>S</w:t>
      </w:r>
      <w:r w:rsidRPr="00D30EA8">
        <w:t xml:space="preserve">tudy P301 supported consistency in vaccine efficacy estimates across </w:t>
      </w:r>
      <w:r w:rsidRPr="007A06D0">
        <w:t>subgroups.</w:t>
      </w:r>
      <w:r>
        <w:t xml:space="preserve"> </w:t>
      </w:r>
    </w:p>
    <w:p w14:paraId="5109FE0F" w14:textId="0955B73F" w:rsidR="001816A8" w:rsidRDefault="001816A8" w:rsidP="001816A8">
      <w:r>
        <w:t>Individuals with a history of chronic cardiovascular disease, chronic pulmonary disease, positive serology for human immunodeficiency virus (</w:t>
      </w:r>
      <w:r w:rsidR="00D30EA8">
        <w:t>T</w:t>
      </w:r>
      <w:r>
        <w:t xml:space="preserve">ype 1 or 2), diabetes, and history of hypertension were excluded from participating in </w:t>
      </w:r>
      <w:r w:rsidR="00351453">
        <w:t>S</w:t>
      </w:r>
      <w:r>
        <w:t xml:space="preserve">tudy P201 </w:t>
      </w:r>
      <w:r w:rsidR="00351453">
        <w:t>P</w:t>
      </w:r>
      <w:r>
        <w:t xml:space="preserve">arts A and B. In </w:t>
      </w:r>
      <w:r w:rsidR="00351453">
        <w:t>S</w:t>
      </w:r>
      <w:r>
        <w:t>tudy</w:t>
      </w:r>
      <w:r w:rsidR="00FA30B4">
        <w:t> </w:t>
      </w:r>
      <w:r>
        <w:t xml:space="preserve">P301 however, 22.1% of participants were at increased risk of severe COVID-19 due to at least one pre-existing medical condition (chronic lung disease, significant cardiac disease, severe obesity, diabetes, liver disease, or HIV infection). </w:t>
      </w:r>
    </w:p>
    <w:p w14:paraId="0764662F" w14:textId="60756980" w:rsidR="001816A8" w:rsidRDefault="001816A8" w:rsidP="001816A8">
      <w:r>
        <w:t xml:space="preserve">The noted differences in pre-existing medical conditions between </w:t>
      </w:r>
      <w:r w:rsidR="00351453">
        <w:t>S</w:t>
      </w:r>
      <w:r>
        <w:t xml:space="preserve">tudy P201 and </w:t>
      </w:r>
      <w:r w:rsidR="00351453">
        <w:t>S</w:t>
      </w:r>
      <w:r>
        <w:t>tudy</w:t>
      </w:r>
      <w:r w:rsidR="00FA30B4">
        <w:t> </w:t>
      </w:r>
      <w:r>
        <w:t xml:space="preserve">P301 populations </w:t>
      </w:r>
      <w:r w:rsidRPr="00D30EA8">
        <w:t xml:space="preserve">are considered unlikely to impact the conclusions of the primary analyses. Based on </w:t>
      </w:r>
      <w:r w:rsidR="00351453" w:rsidRPr="00D30EA8">
        <w:t xml:space="preserve">Study </w:t>
      </w:r>
      <w:r w:rsidRPr="00D30EA8">
        <w:t xml:space="preserve">P301 subgroup efficacy analyses </w:t>
      </w:r>
      <w:r w:rsidRPr="007A06D0">
        <w:t>conducted under the original provisional approval</w:t>
      </w:r>
      <w:r w:rsidR="00FA30B4">
        <w:t>;</w:t>
      </w:r>
      <w:r w:rsidR="00D30EA8" w:rsidRPr="007A06D0">
        <w:rPr>
          <w:rStyle w:val="FootnoteReference"/>
        </w:rPr>
        <w:footnoteReference w:id="28"/>
      </w:r>
      <w:r w:rsidRPr="00D30EA8">
        <w:t xml:space="preserve"> there were no clear differences in vaccine efficacy estimates between </w:t>
      </w:r>
      <w:r w:rsidR="00351453" w:rsidRPr="00D30EA8">
        <w:t>Study</w:t>
      </w:r>
      <w:r w:rsidR="00351453">
        <w:t xml:space="preserve"> </w:t>
      </w:r>
      <w:r>
        <w:t>P301 participants with a pre-existing condition (</w:t>
      </w:r>
      <w:r w:rsidR="00D30EA8">
        <w:t>that is,</w:t>
      </w:r>
      <w:r>
        <w:t xml:space="preserve"> chronic lung disease, significant cardiac disease, severe obesity (BMI ≥</w:t>
      </w:r>
      <w:r w:rsidR="00FA30B4">
        <w:t xml:space="preserve"> </w:t>
      </w:r>
      <w:r>
        <w:t>40 kg/m</w:t>
      </w:r>
      <w:r w:rsidRPr="007A06D0">
        <w:rPr>
          <w:vertAlign w:val="superscript"/>
        </w:rPr>
        <w:t>2</w:t>
      </w:r>
      <w:r>
        <w:t xml:space="preserve">), diabetes, liver disease and HIV infection) and the overall </w:t>
      </w:r>
      <w:r w:rsidR="00351453">
        <w:t xml:space="preserve">Study </w:t>
      </w:r>
      <w:r>
        <w:t>P301 per protocol population.</w:t>
      </w:r>
    </w:p>
    <w:p w14:paraId="327D5D60" w14:textId="79A6C881" w:rsidR="001816A8" w:rsidRDefault="001816A8" w:rsidP="009F47A5">
      <w:pPr>
        <w:pStyle w:val="TableTitle"/>
      </w:pPr>
      <w:r w:rsidRPr="001816A8">
        <w:lastRenderedPageBreak/>
        <w:t xml:space="preserve">Table </w:t>
      </w:r>
      <w:r w:rsidR="00351453">
        <w:t>8</w:t>
      </w:r>
      <w:r w:rsidR="00D30EA8">
        <w:t>:</w:t>
      </w:r>
      <w:r w:rsidRPr="001816A8">
        <w:t xml:space="preserve"> </w:t>
      </w:r>
      <w:r w:rsidR="00FA30B4" w:rsidRPr="001816A8">
        <w:t xml:space="preserve">Study P201 Part B </w:t>
      </w:r>
      <w:r w:rsidRPr="001816A8">
        <w:t xml:space="preserve">Demographic and </w:t>
      </w:r>
      <w:r w:rsidR="00351453">
        <w:t>b</w:t>
      </w:r>
      <w:r w:rsidRPr="001816A8">
        <w:t xml:space="preserve">aseline </w:t>
      </w:r>
      <w:r w:rsidR="00351453">
        <w:t>c</w:t>
      </w:r>
      <w:r w:rsidRPr="001816A8">
        <w:t>haracteristics,</w:t>
      </w:r>
      <w:r w:rsidR="00FA30B4">
        <w:t xml:space="preserve"> </w:t>
      </w:r>
      <w:r w:rsidRPr="001816A8">
        <w:t>(</w:t>
      </w:r>
      <w:r w:rsidR="00351453">
        <w:t>b</w:t>
      </w:r>
      <w:r w:rsidRPr="001816A8">
        <w:t xml:space="preserve">ooster; by </w:t>
      </w:r>
      <w:r w:rsidR="00351453">
        <w:t>p</w:t>
      </w:r>
      <w:r w:rsidRPr="001816A8">
        <w:t xml:space="preserve">rimary </w:t>
      </w:r>
      <w:r w:rsidR="00351453">
        <w:t>s</w:t>
      </w:r>
      <w:r w:rsidRPr="001816A8">
        <w:t xml:space="preserve">eries </w:t>
      </w:r>
      <w:r w:rsidR="00351453">
        <w:t>d</w:t>
      </w:r>
      <w:r w:rsidRPr="001816A8">
        <w:t xml:space="preserve">ose) and </w:t>
      </w:r>
      <w:r w:rsidR="00351453">
        <w:t>c</w:t>
      </w:r>
      <w:r w:rsidRPr="001816A8">
        <w:t xml:space="preserve">omparator </w:t>
      </w:r>
      <w:r w:rsidR="00351453">
        <w:t>g</w:t>
      </w:r>
      <w:r w:rsidRPr="001816A8">
        <w:t>roups (</w:t>
      </w:r>
      <w:r w:rsidR="00351453">
        <w:t>p</w:t>
      </w:r>
      <w:r w:rsidRPr="001816A8">
        <w:t xml:space="preserve">rimary </w:t>
      </w:r>
      <w:r w:rsidR="00351453">
        <w:t>s</w:t>
      </w:r>
      <w:r w:rsidRPr="001816A8">
        <w:t xml:space="preserve">eries </w:t>
      </w:r>
      <w:r w:rsidR="00351453">
        <w:t>o</w:t>
      </w:r>
      <w:r w:rsidRPr="001816A8">
        <w:t xml:space="preserve">nly), </w:t>
      </w:r>
      <w:r w:rsidR="00351453">
        <w:t>s</w:t>
      </w:r>
      <w:r w:rsidRPr="001816A8">
        <w:t xml:space="preserve">afety </w:t>
      </w:r>
      <w:r w:rsidR="00351453">
        <w:t>p</w:t>
      </w:r>
      <w:r w:rsidRPr="001816A8">
        <w:t>opulation</w:t>
      </w:r>
    </w:p>
    <w:p w14:paraId="145C8B89" w14:textId="6273DBC2" w:rsidR="001816A8" w:rsidRDefault="001816A8" w:rsidP="007A06D0">
      <w:r w:rsidRPr="000C412E">
        <w:rPr>
          <w:noProof/>
          <w:lang w:val="en-GB" w:eastAsia="en-GB"/>
        </w:rPr>
        <w:drawing>
          <wp:inline distT="0" distB="0" distL="0" distR="0" wp14:anchorId="777801AC" wp14:editId="2865E072">
            <wp:extent cx="5400040" cy="5785330"/>
            <wp:effectExtent l="0" t="0" r="0" b="6350"/>
            <wp:docPr id="27" name="Picture 27" descr="This table describes the demographic and baseline characteristics of Study P201 Par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table describes the demographic and baseline characteristics of Study P201 Part B."/>
                    <pic:cNvPicPr/>
                  </pic:nvPicPr>
                  <pic:blipFill>
                    <a:blip r:embed="rId25"/>
                    <a:stretch>
                      <a:fillRect/>
                    </a:stretch>
                  </pic:blipFill>
                  <pic:spPr>
                    <a:xfrm>
                      <a:off x="0" y="0"/>
                      <a:ext cx="5400040" cy="5785330"/>
                    </a:xfrm>
                    <a:prstGeom prst="rect">
                      <a:avLst/>
                    </a:prstGeom>
                  </pic:spPr>
                </pic:pic>
              </a:graphicData>
            </a:graphic>
          </wp:inline>
        </w:drawing>
      </w:r>
    </w:p>
    <w:p w14:paraId="78A5D202" w14:textId="61D85BE1" w:rsidR="001E2A89" w:rsidRPr="00174A91" w:rsidRDefault="001E2A89" w:rsidP="00174A91">
      <w:pPr>
        <w:pStyle w:val="TableTitle"/>
      </w:pPr>
      <w:r w:rsidRPr="00174A91">
        <w:lastRenderedPageBreak/>
        <w:t xml:space="preserve">Table </w:t>
      </w:r>
      <w:r w:rsidR="00351453" w:rsidRPr="00174A91">
        <w:t>9</w:t>
      </w:r>
      <w:r w:rsidR="00D30EA8">
        <w:t>:</w:t>
      </w:r>
      <w:r w:rsidRPr="00174A91">
        <w:t xml:space="preserve"> </w:t>
      </w:r>
      <w:r w:rsidR="00FA30B4" w:rsidRPr="00174A91">
        <w:t xml:space="preserve">Study P201 Part B (by primary series dose) and Study P301 </w:t>
      </w:r>
      <w:r w:rsidR="00FA30B4">
        <w:t>c</w:t>
      </w:r>
      <w:r w:rsidR="00FA30B4" w:rsidRPr="00174A91">
        <w:t>omparator group (primary series o</w:t>
      </w:r>
      <w:r w:rsidR="00FA30B4">
        <w:t>nly)</w:t>
      </w:r>
      <w:r w:rsidR="00FA30B4" w:rsidRPr="00174A91">
        <w:t xml:space="preserve"> </w:t>
      </w:r>
      <w:r w:rsidRPr="00174A91">
        <w:t xml:space="preserve">Demographic and </w:t>
      </w:r>
      <w:r w:rsidR="00351453" w:rsidRPr="00174A91">
        <w:t>b</w:t>
      </w:r>
      <w:r w:rsidRPr="00174A91">
        <w:t xml:space="preserve">aseline </w:t>
      </w:r>
      <w:r w:rsidR="00351453" w:rsidRPr="00174A91">
        <w:t>c</w:t>
      </w:r>
      <w:r w:rsidRPr="00174A91">
        <w:t xml:space="preserve">haracteristics, mRNA-1273 </w:t>
      </w:r>
      <w:r w:rsidR="00351453" w:rsidRPr="00174A91">
        <w:t>b</w:t>
      </w:r>
      <w:r w:rsidRPr="00174A91">
        <w:t xml:space="preserve">ooster </w:t>
      </w:r>
      <w:r w:rsidR="00351453" w:rsidRPr="00174A91">
        <w:t>d</w:t>
      </w:r>
      <w:r w:rsidRPr="00174A91">
        <w:t xml:space="preserve">ose </w:t>
      </w:r>
      <w:r w:rsidR="00351453" w:rsidRPr="00174A91">
        <w:t>r</w:t>
      </w:r>
      <w:r w:rsidRPr="00174A91">
        <w:t>ecipients</w:t>
      </w:r>
      <w:r w:rsidR="00FA30B4">
        <w:t xml:space="preserve">, </w:t>
      </w:r>
      <w:r w:rsidR="00351453" w:rsidRPr="00174A91">
        <w:t>p</w:t>
      </w:r>
      <w:r w:rsidRPr="00174A91">
        <w:t>er-</w:t>
      </w:r>
      <w:r w:rsidR="00351453" w:rsidRPr="00174A91">
        <w:t>p</w:t>
      </w:r>
      <w:r w:rsidRPr="00174A91">
        <w:t xml:space="preserve">rotocol </w:t>
      </w:r>
      <w:r w:rsidR="00351453" w:rsidRPr="00174A91">
        <w:t>i</w:t>
      </w:r>
      <w:r w:rsidRPr="00174A91">
        <w:t xml:space="preserve">mmunogenicity </w:t>
      </w:r>
      <w:r w:rsidR="00351453" w:rsidRPr="00174A91">
        <w:t>s</w:t>
      </w:r>
      <w:r w:rsidRPr="00174A91">
        <w:t>ubset</w:t>
      </w:r>
    </w:p>
    <w:p w14:paraId="53129FD0" w14:textId="58BF75AA" w:rsidR="001E2A89" w:rsidRPr="001E2A89" w:rsidRDefault="001E2A89" w:rsidP="001E2A89">
      <w:pPr>
        <w:rPr>
          <w:b/>
          <w:bCs/>
        </w:rPr>
      </w:pPr>
      <w:r w:rsidRPr="000C412E">
        <w:rPr>
          <w:rFonts w:asciiTheme="minorHAnsi" w:hAnsiTheme="minorHAnsi"/>
          <w:noProof/>
          <w:lang w:val="en-GB" w:eastAsia="en-GB"/>
        </w:rPr>
        <w:drawing>
          <wp:inline distT="0" distB="0" distL="0" distR="0" wp14:anchorId="7CF1934D" wp14:editId="6920F76C">
            <wp:extent cx="5400040" cy="5603454"/>
            <wp:effectExtent l="0" t="0" r="0" b="0"/>
            <wp:docPr id="28" name="Picture 28" descr="This table describes the demographic and baseline characteristics, mRNA-1273 booster dose recipients in Study P201 Part B and Study P301 Comparato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table describes the demographic and baseline characteristics, mRNA-1273 booster dose recipients in Study P201 Part B and Study P301 Comparator group."/>
                    <pic:cNvPicPr/>
                  </pic:nvPicPr>
                  <pic:blipFill>
                    <a:blip r:embed="rId26"/>
                    <a:stretch>
                      <a:fillRect/>
                    </a:stretch>
                  </pic:blipFill>
                  <pic:spPr>
                    <a:xfrm>
                      <a:off x="0" y="0"/>
                      <a:ext cx="5400040" cy="5603454"/>
                    </a:xfrm>
                    <a:prstGeom prst="rect">
                      <a:avLst/>
                    </a:prstGeom>
                  </pic:spPr>
                </pic:pic>
              </a:graphicData>
            </a:graphic>
          </wp:inline>
        </w:drawing>
      </w:r>
    </w:p>
    <w:p w14:paraId="3A7AB49C" w14:textId="77D24574" w:rsidR="001E2A89" w:rsidRPr="001E2A89" w:rsidRDefault="001E2A89" w:rsidP="00291659">
      <w:pPr>
        <w:pStyle w:val="Heading5"/>
      </w:pPr>
      <w:r w:rsidRPr="001E2A89">
        <w:t>Results</w:t>
      </w:r>
    </w:p>
    <w:p w14:paraId="2590F438" w14:textId="7DC27E96" w:rsidR="001E2A89" w:rsidRPr="00291659" w:rsidRDefault="001E2A89" w:rsidP="001E2A89">
      <w:r w:rsidRPr="001E2A89">
        <w:t>Among participants previously receiving 2</w:t>
      </w:r>
      <w:r w:rsidR="00D7030A">
        <w:t xml:space="preserve"> </w:t>
      </w:r>
      <w:r w:rsidRPr="001E2A89">
        <w:t xml:space="preserve">doses of 100 </w:t>
      </w:r>
      <w:proofErr w:type="spellStart"/>
      <w:r w:rsidRPr="001E2A89">
        <w:t>μg</w:t>
      </w:r>
      <w:proofErr w:type="spellEnd"/>
      <w:r w:rsidRPr="001E2A89">
        <w:t xml:space="preserve"> mRNA-1273, the 50 </w:t>
      </w:r>
      <w:proofErr w:type="spellStart"/>
      <w:r w:rsidRPr="001E2A89">
        <w:t>μg</w:t>
      </w:r>
      <w:proofErr w:type="spellEnd"/>
      <w:r w:rsidRPr="001E2A89">
        <w:t xml:space="preserve"> booster led to an increase in baseline </w:t>
      </w:r>
      <w:r w:rsidR="00524504">
        <w:t>titre</w:t>
      </w:r>
      <w:r w:rsidRPr="001E2A89">
        <w:t xml:space="preserve">s, geometric mean fold rise (GMFR) of 12.99 (95% CI: 11.04, 15.29). Among participants previously </w:t>
      </w:r>
      <w:proofErr w:type="gramStart"/>
      <w:r w:rsidRPr="001E2A89">
        <w:t xml:space="preserve">receiving </w:t>
      </w:r>
      <w:r w:rsidR="00D7030A">
        <w:t xml:space="preserve"> 2</w:t>
      </w:r>
      <w:proofErr w:type="gramEnd"/>
      <w:r w:rsidR="00D7030A">
        <w:t xml:space="preserve"> doses</w:t>
      </w:r>
      <w:r w:rsidRPr="001E2A89">
        <w:t xml:space="preserve"> of 50 </w:t>
      </w:r>
      <w:proofErr w:type="spellStart"/>
      <w:r w:rsidRPr="001E2A89">
        <w:t>μg</w:t>
      </w:r>
      <w:proofErr w:type="spellEnd"/>
      <w:r w:rsidRPr="001E2A89">
        <w:t xml:space="preserve"> of mRNA-1273, the 50 </w:t>
      </w:r>
      <w:proofErr w:type="spellStart"/>
      <w:r w:rsidRPr="001E2A89">
        <w:t>μg</w:t>
      </w:r>
      <w:proofErr w:type="spellEnd"/>
      <w:r w:rsidRPr="001E2A89">
        <w:t xml:space="preserve"> booster led to a similar increase in </w:t>
      </w:r>
      <w:r w:rsidR="00524504">
        <w:t>titre</w:t>
      </w:r>
      <w:r w:rsidR="00D95460">
        <w:t xml:space="preserve"> </w:t>
      </w:r>
      <w:r w:rsidRPr="001E2A89">
        <w:t xml:space="preserve">GMT, with GMFR of 17.53 (95% CI: 14.94, 20.56), although the pre-booster GMT was slightly lower numerically. In both prime series groups combined, the GMFR is 15.06 at Day 29. Table </w:t>
      </w:r>
      <w:r w:rsidR="00351453">
        <w:t>10</w:t>
      </w:r>
      <w:r w:rsidRPr="001E2A89">
        <w:t xml:space="preserve"> summari</w:t>
      </w:r>
      <w:r w:rsidR="00D30EA8">
        <w:t>s</w:t>
      </w:r>
      <w:r w:rsidRPr="001E2A89">
        <w:t xml:space="preserve">es serum </w:t>
      </w:r>
      <w:proofErr w:type="spellStart"/>
      <w:r w:rsidRPr="001E2A89">
        <w:t>nAb</w:t>
      </w:r>
      <w:proofErr w:type="spellEnd"/>
      <w:r w:rsidRPr="001E2A89">
        <w:t xml:space="preserve"> (</w:t>
      </w:r>
      <w:proofErr w:type="spellStart"/>
      <w:r w:rsidRPr="001E2A89">
        <w:t>PsVNA</w:t>
      </w:r>
      <w:proofErr w:type="spellEnd"/>
      <w:r w:rsidRPr="001E2A89">
        <w:t xml:space="preserve"> ID</w:t>
      </w:r>
      <w:r w:rsidRPr="007A06D0">
        <w:rPr>
          <w:vertAlign w:val="subscript"/>
        </w:rPr>
        <w:t>50</w:t>
      </w:r>
      <w:r w:rsidRPr="001E2A89">
        <w:t xml:space="preserve">, </w:t>
      </w:r>
      <w:bookmarkStart w:id="42" w:name="_Hlk88861004"/>
      <w:r w:rsidRPr="001E2A89">
        <w:t>WT</w:t>
      </w:r>
      <w:bookmarkEnd w:id="42"/>
      <w:r w:rsidRPr="001E2A89">
        <w:t xml:space="preserve">) </w:t>
      </w:r>
      <w:r w:rsidR="00524504">
        <w:t>titre</w:t>
      </w:r>
      <w:r w:rsidRPr="001E2A89">
        <w:t xml:space="preserve">s 28 days after the 50 </w:t>
      </w:r>
      <w:proofErr w:type="spellStart"/>
      <w:r w:rsidRPr="001E2A89">
        <w:t>μg</w:t>
      </w:r>
      <w:proofErr w:type="spellEnd"/>
      <w:r w:rsidRPr="001E2A89">
        <w:t xml:space="preserve"> booster in </w:t>
      </w:r>
      <w:r w:rsidR="00351453">
        <w:t xml:space="preserve">Study </w:t>
      </w:r>
      <w:r w:rsidRPr="001E2A89">
        <w:t>P201 Part B.</w:t>
      </w:r>
    </w:p>
    <w:p w14:paraId="44F5DA77" w14:textId="753AA3D6" w:rsidR="001E2A89" w:rsidRDefault="00291659" w:rsidP="00174A91">
      <w:pPr>
        <w:pStyle w:val="TableTitle"/>
      </w:pPr>
      <w:r w:rsidRPr="00291659">
        <w:lastRenderedPageBreak/>
        <w:t xml:space="preserve">Table </w:t>
      </w:r>
      <w:r w:rsidR="00351453">
        <w:t>10</w:t>
      </w:r>
      <w:r w:rsidR="00D30EA8">
        <w:t>:</w:t>
      </w:r>
      <w:r w:rsidRPr="00291659">
        <w:t xml:space="preserve"> </w:t>
      </w:r>
      <w:r w:rsidR="00416379">
        <w:t xml:space="preserve">Study 201 Part B </w:t>
      </w:r>
      <w:r w:rsidRPr="00291659">
        <w:t xml:space="preserve">Summary of </w:t>
      </w:r>
      <w:proofErr w:type="spellStart"/>
      <w:r w:rsidR="00351453">
        <w:t>p</w:t>
      </w:r>
      <w:r w:rsidRPr="00291659">
        <w:t>seudovirus</w:t>
      </w:r>
      <w:proofErr w:type="spellEnd"/>
      <w:r w:rsidRPr="00291659">
        <w:t xml:space="preserve"> </w:t>
      </w:r>
      <w:r w:rsidR="00351453">
        <w:t>n</w:t>
      </w:r>
      <w:r w:rsidRPr="00291659">
        <w:t>eutrali</w:t>
      </w:r>
      <w:r w:rsidR="00F90A76">
        <w:t>s</w:t>
      </w:r>
      <w:r w:rsidRPr="00291659">
        <w:t xml:space="preserve">ing </w:t>
      </w:r>
      <w:r w:rsidR="00351453">
        <w:t>a</w:t>
      </w:r>
      <w:r w:rsidRPr="00291659">
        <w:t xml:space="preserve">ntibody </w:t>
      </w:r>
      <w:r w:rsidR="00416379">
        <w:t xml:space="preserve">50% inhibitory dose </w:t>
      </w:r>
      <w:r w:rsidR="00524504">
        <w:t>titre</w:t>
      </w:r>
      <w:r w:rsidRPr="00291659">
        <w:t xml:space="preserve">s </w:t>
      </w:r>
      <w:r w:rsidR="00351453">
        <w:t>a</w:t>
      </w:r>
      <w:r w:rsidRPr="00291659">
        <w:t xml:space="preserve">fter 50 </w:t>
      </w:r>
      <w:proofErr w:type="spellStart"/>
      <w:r w:rsidRPr="00291659">
        <w:t>μg</w:t>
      </w:r>
      <w:proofErr w:type="spellEnd"/>
      <w:r w:rsidRPr="00291659">
        <w:t xml:space="preserve"> </w:t>
      </w:r>
      <w:r w:rsidR="00351453">
        <w:t>b</w:t>
      </w:r>
      <w:r w:rsidRPr="00291659">
        <w:t xml:space="preserve">ooster </w:t>
      </w:r>
      <w:r w:rsidR="00351453">
        <w:t>i</w:t>
      </w:r>
      <w:r w:rsidRPr="00291659">
        <w:t xml:space="preserve">njection (by </w:t>
      </w:r>
      <w:r w:rsidR="00351453">
        <w:t>p</w:t>
      </w:r>
      <w:r w:rsidRPr="00291659">
        <w:t xml:space="preserve">rime </w:t>
      </w:r>
      <w:r w:rsidR="00351453">
        <w:t>s</w:t>
      </w:r>
      <w:r w:rsidRPr="00291659">
        <w:t xml:space="preserve">eries </w:t>
      </w:r>
      <w:r w:rsidR="00351453">
        <w:t>g</w:t>
      </w:r>
      <w:r w:rsidRPr="00291659">
        <w:t>roups)</w:t>
      </w:r>
    </w:p>
    <w:p w14:paraId="0EBDA5F3" w14:textId="353BE1F5" w:rsidR="00291659" w:rsidRPr="00291659" w:rsidRDefault="00291659" w:rsidP="00291659">
      <w:pPr>
        <w:rPr>
          <w:b/>
          <w:bCs/>
        </w:rPr>
      </w:pPr>
      <w:r w:rsidRPr="007F5485">
        <w:rPr>
          <w:rFonts w:asciiTheme="minorHAnsi" w:hAnsiTheme="minorHAnsi"/>
          <w:b/>
          <w:bCs/>
          <w:noProof/>
          <w:lang w:val="en-GB" w:eastAsia="en-GB"/>
        </w:rPr>
        <w:drawing>
          <wp:inline distT="0" distB="0" distL="0" distR="0" wp14:anchorId="3FD8FD89" wp14:editId="4C4377D4">
            <wp:extent cx="5400040" cy="3636920"/>
            <wp:effectExtent l="0" t="0" r="0" b="1905"/>
            <wp:docPr id="29" name="Picture 29" descr="This table describes the summary of pseudovirus neutralising antibody ID50 titers after 50 micrograms booster in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table describes the summary of pseudovirus neutralising antibody ID50 titers after 50 micrograms booster injection."/>
                    <pic:cNvPicPr/>
                  </pic:nvPicPr>
                  <pic:blipFill>
                    <a:blip r:embed="rId27"/>
                    <a:stretch>
                      <a:fillRect/>
                    </a:stretch>
                  </pic:blipFill>
                  <pic:spPr>
                    <a:xfrm>
                      <a:off x="0" y="0"/>
                      <a:ext cx="5400040" cy="3636920"/>
                    </a:xfrm>
                    <a:prstGeom prst="rect">
                      <a:avLst/>
                    </a:prstGeom>
                  </pic:spPr>
                </pic:pic>
              </a:graphicData>
            </a:graphic>
          </wp:inline>
        </w:drawing>
      </w:r>
      <w:r>
        <w:rPr>
          <w:b/>
          <w:bCs/>
        </w:rPr>
        <w:t xml:space="preserve"> </w:t>
      </w:r>
    </w:p>
    <w:p w14:paraId="26CAE412" w14:textId="2BFC8E62" w:rsidR="001E2A89" w:rsidRDefault="00291659" w:rsidP="001E2A89">
      <w:pPr>
        <w:rPr>
          <w:b/>
          <w:bCs/>
        </w:rPr>
      </w:pPr>
      <w:r w:rsidRPr="007F5485">
        <w:rPr>
          <w:rFonts w:asciiTheme="minorHAnsi" w:hAnsiTheme="minorHAnsi"/>
          <w:b/>
          <w:bCs/>
          <w:noProof/>
          <w:lang w:val="en-GB" w:eastAsia="en-GB"/>
        </w:rPr>
        <w:drawing>
          <wp:inline distT="0" distB="0" distL="0" distR="0" wp14:anchorId="663480A3" wp14:editId="6B1C13BF">
            <wp:extent cx="5399083" cy="146506"/>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51015"/>
                    <a:stretch/>
                  </pic:blipFill>
                  <pic:spPr bwMode="auto">
                    <a:xfrm>
                      <a:off x="0" y="0"/>
                      <a:ext cx="5400040" cy="146532"/>
                    </a:xfrm>
                    <a:prstGeom prst="rect">
                      <a:avLst/>
                    </a:prstGeom>
                    <a:ln>
                      <a:noFill/>
                    </a:ln>
                    <a:extLst>
                      <a:ext uri="{53640926-AAD7-44D8-BBD7-CCE9431645EC}">
                        <a14:shadowObscured xmlns:a14="http://schemas.microsoft.com/office/drawing/2010/main"/>
                      </a:ext>
                    </a:extLst>
                  </pic:spPr>
                </pic:pic>
              </a:graphicData>
            </a:graphic>
          </wp:inline>
        </w:drawing>
      </w:r>
    </w:p>
    <w:p w14:paraId="12EF1BFF" w14:textId="2F0425A8" w:rsidR="00291659" w:rsidRPr="00291659" w:rsidRDefault="00291659" w:rsidP="0004151F">
      <w:pPr>
        <w:pStyle w:val="FigureTitle"/>
      </w:pPr>
      <w:r w:rsidRPr="00291659">
        <w:t>Figure 2</w:t>
      </w:r>
      <w:r w:rsidR="00C9051E">
        <w:t>:</w:t>
      </w:r>
      <w:r w:rsidRPr="00291659">
        <w:t xml:space="preserve"> </w:t>
      </w:r>
      <w:r w:rsidR="00416379">
        <w:t xml:space="preserve">Study 201 Part B </w:t>
      </w:r>
      <w:r w:rsidRPr="00291659">
        <w:t xml:space="preserve">Box </w:t>
      </w:r>
      <w:r w:rsidR="009831B6">
        <w:t>p</w:t>
      </w:r>
      <w:r w:rsidRPr="00291659">
        <w:t xml:space="preserve">lot </w:t>
      </w:r>
      <w:proofErr w:type="gramStart"/>
      <w:r w:rsidRPr="00291659">
        <w:t xml:space="preserve">of  </w:t>
      </w:r>
      <w:proofErr w:type="spellStart"/>
      <w:r w:rsidR="00416379">
        <w:t>p</w:t>
      </w:r>
      <w:r w:rsidR="00416379" w:rsidRPr="00291659">
        <w:t>seudovirus</w:t>
      </w:r>
      <w:proofErr w:type="spellEnd"/>
      <w:proofErr w:type="gramEnd"/>
      <w:r w:rsidR="00416379" w:rsidRPr="00291659">
        <w:t xml:space="preserve"> </w:t>
      </w:r>
      <w:r w:rsidR="00416379">
        <w:t>n</w:t>
      </w:r>
      <w:r w:rsidR="00416379" w:rsidRPr="00291659">
        <w:t>eutrali</w:t>
      </w:r>
      <w:r w:rsidR="00416379">
        <w:t>s</w:t>
      </w:r>
      <w:r w:rsidR="00416379" w:rsidRPr="00291659">
        <w:t xml:space="preserve">ing </w:t>
      </w:r>
      <w:r w:rsidR="00416379">
        <w:t>a</w:t>
      </w:r>
      <w:r w:rsidR="00416379" w:rsidRPr="00291659">
        <w:t xml:space="preserve">ntibody </w:t>
      </w:r>
      <w:r w:rsidR="00416379">
        <w:t xml:space="preserve">50% inhibitory dose </w:t>
      </w:r>
      <w:r w:rsidR="00524504">
        <w:t>titre</w:t>
      </w:r>
      <w:r w:rsidRPr="00291659">
        <w:t>s</w:t>
      </w:r>
      <w:r w:rsidR="00C9051E">
        <w:t>,</w:t>
      </w:r>
      <w:r w:rsidRPr="00291659">
        <w:t xml:space="preserve"> </w:t>
      </w:r>
      <w:r w:rsidR="00C9051E">
        <w:t>P</w:t>
      </w:r>
      <w:r w:rsidRPr="00291659">
        <w:t>er-</w:t>
      </w:r>
      <w:r w:rsidR="009831B6">
        <w:t>p</w:t>
      </w:r>
      <w:r w:rsidRPr="00291659">
        <w:t xml:space="preserve">rotocol </w:t>
      </w:r>
      <w:r w:rsidR="009831B6">
        <w:t>s</w:t>
      </w:r>
      <w:r w:rsidRPr="00291659">
        <w:t>et</w:t>
      </w:r>
    </w:p>
    <w:p w14:paraId="509C3C0A" w14:textId="3A325210" w:rsidR="001E2A89" w:rsidRDefault="00291659" w:rsidP="001E2A89">
      <w:pPr>
        <w:rPr>
          <w:b/>
          <w:bCs/>
        </w:rPr>
      </w:pPr>
      <w:r w:rsidRPr="007F5485">
        <w:rPr>
          <w:rFonts w:asciiTheme="minorHAnsi" w:hAnsiTheme="minorHAnsi"/>
          <w:b/>
          <w:bCs/>
          <w:noProof/>
          <w:lang w:val="en-GB" w:eastAsia="en-GB"/>
        </w:rPr>
        <w:drawing>
          <wp:inline distT="0" distB="0" distL="0" distR="0" wp14:anchorId="1EDE38A5" wp14:editId="1FEDA964">
            <wp:extent cx="5399528" cy="3379744"/>
            <wp:effectExtent l="0" t="0" r="0" b="0"/>
            <wp:docPr id="32" name="Picture 32" descr="This figure 2 describes box plot of PsVNA ID50 titers: per-protocol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figure 2 describes box plot of PsVNA ID50 titers: per-protocol set."/>
                    <pic:cNvPicPr/>
                  </pic:nvPicPr>
                  <pic:blipFill rotWithShape="1">
                    <a:blip r:embed="rId29"/>
                    <a:srcRect l="14" t="-1113" r="-14" b="7982"/>
                    <a:stretch/>
                  </pic:blipFill>
                  <pic:spPr bwMode="auto">
                    <a:xfrm>
                      <a:off x="0" y="0"/>
                      <a:ext cx="5400040" cy="3380064"/>
                    </a:xfrm>
                    <a:prstGeom prst="rect">
                      <a:avLst/>
                    </a:prstGeom>
                    <a:ln>
                      <a:noFill/>
                    </a:ln>
                    <a:extLst>
                      <a:ext uri="{53640926-AAD7-44D8-BBD7-CCE9431645EC}">
                        <a14:shadowObscured xmlns:a14="http://schemas.microsoft.com/office/drawing/2010/main"/>
                      </a:ext>
                    </a:extLst>
                  </pic:spPr>
                </pic:pic>
              </a:graphicData>
            </a:graphic>
          </wp:inline>
        </w:drawing>
      </w:r>
    </w:p>
    <w:p w14:paraId="3782FB31" w14:textId="52802313" w:rsidR="00291659" w:rsidRPr="001E2A89" w:rsidRDefault="00291659" w:rsidP="00291659">
      <w:r w:rsidRPr="00291659">
        <w:t xml:space="preserve">Subgroup analysis following stratification of the </w:t>
      </w:r>
      <w:proofErr w:type="spellStart"/>
      <w:r w:rsidRPr="00291659">
        <w:t>nAb</w:t>
      </w:r>
      <w:proofErr w:type="spellEnd"/>
      <w:r w:rsidRPr="00291659">
        <w:t xml:space="preserve"> response according to age groups and primary immuni</w:t>
      </w:r>
      <w:r w:rsidR="00F90A76">
        <w:t>s</w:t>
      </w:r>
      <w:r w:rsidRPr="00291659">
        <w:t xml:space="preserve">ation series is shown in Table </w:t>
      </w:r>
      <w:r w:rsidR="009831B6">
        <w:t>11</w:t>
      </w:r>
      <w:r w:rsidRPr="00291659">
        <w:t xml:space="preserve">. Generally, higher </w:t>
      </w:r>
      <w:proofErr w:type="spellStart"/>
      <w:r w:rsidRPr="00291659">
        <w:t>nAb</w:t>
      </w:r>
      <w:proofErr w:type="spellEnd"/>
      <w:r w:rsidRPr="00291659">
        <w:t xml:space="preserve"> responses (GMTs) are seen in the 18</w:t>
      </w:r>
      <w:r w:rsidR="00416379">
        <w:t xml:space="preserve"> to </w:t>
      </w:r>
      <w:r w:rsidRPr="00291659">
        <w:t>55 years age group compared to the age group of the 55</w:t>
      </w:r>
      <w:r w:rsidR="00416379">
        <w:t> </w:t>
      </w:r>
      <w:r w:rsidRPr="00291659">
        <w:t xml:space="preserve">years and older pre- and post-booster; however, a higher GMR is observed in subjects 55 years </w:t>
      </w:r>
      <w:r w:rsidRPr="00291659">
        <w:lastRenderedPageBreak/>
        <w:t>and older. No further subgroup analysis stratified according to other age groups (18</w:t>
      </w:r>
      <w:r w:rsidR="00416379">
        <w:t xml:space="preserve"> years and older up to and including 64 year </w:t>
      </w:r>
      <w:proofErr w:type="spellStart"/>
      <w:r w:rsidR="00416379">
        <w:t>olds</w:t>
      </w:r>
      <w:proofErr w:type="spellEnd"/>
      <w:r w:rsidR="00416379">
        <w:t xml:space="preserve"> or older; and </w:t>
      </w:r>
      <w:proofErr w:type="gramStart"/>
      <w:r w:rsidR="00416379">
        <w:t>those</w:t>
      </w:r>
      <w:r w:rsidRPr="00291659">
        <w:t xml:space="preserve"> </w:t>
      </w:r>
      <w:r w:rsidR="00416379">
        <w:t xml:space="preserve"> who</w:t>
      </w:r>
      <w:proofErr w:type="gramEnd"/>
      <w:r w:rsidR="00416379">
        <w:t xml:space="preserve"> were</w:t>
      </w:r>
      <w:r w:rsidRPr="00291659">
        <w:t xml:space="preserve">65 </w:t>
      </w:r>
      <w:r w:rsidR="00C9051E">
        <w:t>years old and above</w:t>
      </w:r>
      <w:r w:rsidRPr="00291659">
        <w:t>) and primary series were provided with this submission.</w:t>
      </w:r>
    </w:p>
    <w:p w14:paraId="11C287C2" w14:textId="68BD088D" w:rsidR="001816A8" w:rsidRDefault="00291659" w:rsidP="00174A91">
      <w:pPr>
        <w:pStyle w:val="TableTitle"/>
      </w:pPr>
      <w:r w:rsidRPr="00291659">
        <w:t xml:space="preserve">Table </w:t>
      </w:r>
      <w:r w:rsidR="009831B6">
        <w:t>11</w:t>
      </w:r>
      <w:r w:rsidR="00C9051E">
        <w:t>:</w:t>
      </w:r>
      <w:r w:rsidRPr="00291659">
        <w:t xml:space="preserve"> </w:t>
      </w:r>
      <w:r w:rsidR="00416379">
        <w:t xml:space="preserve">Study 201 </w:t>
      </w:r>
      <w:r w:rsidRPr="00291659">
        <w:t>Subgroup analysis stratified according to age group and priming group</w:t>
      </w:r>
    </w:p>
    <w:p w14:paraId="225F5D11" w14:textId="47F8E41D" w:rsidR="00291659" w:rsidRDefault="00291659" w:rsidP="00291659">
      <w:pPr>
        <w:rPr>
          <w:b/>
          <w:bCs/>
        </w:rPr>
      </w:pPr>
      <w:r w:rsidRPr="000F7A08">
        <w:rPr>
          <w:rFonts w:asciiTheme="minorHAnsi" w:hAnsiTheme="minorHAnsi"/>
          <w:noProof/>
          <w:lang w:val="en-GB" w:eastAsia="en-GB"/>
        </w:rPr>
        <w:drawing>
          <wp:inline distT="0" distB="0" distL="0" distR="0" wp14:anchorId="0E50FE7B" wp14:editId="433C72A4">
            <wp:extent cx="5400040" cy="2974629"/>
            <wp:effectExtent l="0" t="0" r="0" b="0"/>
            <wp:docPr id="33" name="Picture 33" descr="This table describes the subgroup analysis stratified according to age group and prim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table describes the subgroup analysis stratified according to age group and priming group."/>
                    <pic:cNvPicPr/>
                  </pic:nvPicPr>
                  <pic:blipFill>
                    <a:blip r:embed="rId30"/>
                    <a:stretch>
                      <a:fillRect/>
                    </a:stretch>
                  </pic:blipFill>
                  <pic:spPr>
                    <a:xfrm>
                      <a:off x="0" y="0"/>
                      <a:ext cx="5400040" cy="2974629"/>
                    </a:xfrm>
                    <a:prstGeom prst="rect">
                      <a:avLst/>
                    </a:prstGeom>
                  </pic:spPr>
                </pic:pic>
              </a:graphicData>
            </a:graphic>
          </wp:inline>
        </w:drawing>
      </w:r>
    </w:p>
    <w:p w14:paraId="3253FD89" w14:textId="2165E132" w:rsidR="00291659" w:rsidRDefault="00416379" w:rsidP="00291659">
      <w:pPr>
        <w:pStyle w:val="Heading4"/>
      </w:pPr>
      <w:r>
        <w:t>Neutralising antibody</w:t>
      </w:r>
      <w:r w:rsidR="00291659" w:rsidRPr="00291659">
        <w:t xml:space="preserve"> response against the Delta variant pre and post </w:t>
      </w:r>
      <w:r>
        <w:t>D</w:t>
      </w:r>
      <w:r w:rsidR="00291659" w:rsidRPr="00291659">
        <w:t>ose 3</w:t>
      </w:r>
    </w:p>
    <w:p w14:paraId="522BC08B" w14:textId="372068B4" w:rsidR="00291659" w:rsidRDefault="00291659" w:rsidP="00291659">
      <w:r>
        <w:t xml:space="preserve">The </w:t>
      </w:r>
      <w:proofErr w:type="spellStart"/>
      <w:r w:rsidR="00D95460">
        <w:t>n</w:t>
      </w:r>
      <w:r w:rsidR="00647D8C">
        <w:t>Abs</w:t>
      </w:r>
      <w:proofErr w:type="spellEnd"/>
      <w:r>
        <w:t xml:space="preserve"> response of all participants in </w:t>
      </w:r>
      <w:r w:rsidR="005A2739">
        <w:t>S</w:t>
      </w:r>
      <w:r>
        <w:t xml:space="preserve">tudy 201 Part B was determined by a validated assay using a </w:t>
      </w:r>
      <w:proofErr w:type="spellStart"/>
      <w:r>
        <w:t>pseudovirus</w:t>
      </w:r>
      <w:proofErr w:type="spellEnd"/>
      <w:r>
        <w:t xml:space="preserve"> based on the B.1.617.2 (Delta) variant. Serum samples were obtained from participants </w:t>
      </w:r>
      <w:r w:rsidR="00D72B76">
        <w:t>in Study</w:t>
      </w:r>
      <w:r w:rsidR="00D7030A">
        <w:t xml:space="preserve"> P201 Part B </w:t>
      </w:r>
      <w:r>
        <w:t xml:space="preserve">(at least 6 months after receiving two primary doses of either 50 or 100 </w:t>
      </w:r>
      <w:proofErr w:type="spellStart"/>
      <w:r>
        <w:t>μg</w:t>
      </w:r>
      <w:proofErr w:type="spellEnd"/>
      <w:r>
        <w:t xml:space="preserve"> of mRNA-1273) pre-booster and on Day 29 post booster. Results of the </w:t>
      </w:r>
      <w:proofErr w:type="spellStart"/>
      <w:r>
        <w:t>Pseudovirus</w:t>
      </w:r>
      <w:proofErr w:type="spellEnd"/>
      <w:r>
        <w:t xml:space="preserve"> </w:t>
      </w:r>
      <w:proofErr w:type="spellStart"/>
      <w:r>
        <w:t>nAb</w:t>
      </w:r>
      <w:proofErr w:type="spellEnd"/>
      <w:r>
        <w:t xml:space="preserve"> assay against the Delta variant (B.1.617.2) are presented in Table 1</w:t>
      </w:r>
      <w:r w:rsidR="005A2739">
        <w:t>2</w:t>
      </w:r>
      <w:r>
        <w:t>.</w:t>
      </w:r>
    </w:p>
    <w:p w14:paraId="738679DF" w14:textId="5C7D0FC2" w:rsidR="00291659" w:rsidRDefault="00291659" w:rsidP="00291659">
      <w:r>
        <w:t xml:space="preserve">Administration of the mRNA-1273 booster (50 </w:t>
      </w:r>
      <w:proofErr w:type="spellStart"/>
      <w:r>
        <w:t>μg</w:t>
      </w:r>
      <w:proofErr w:type="spellEnd"/>
      <w:r>
        <w:t>) induced an 18</w:t>
      </w:r>
      <w:r w:rsidR="00A51ED7">
        <w:t xml:space="preserve"> fold</w:t>
      </w:r>
      <w:r>
        <w:t>-rise in neutrali</w:t>
      </w:r>
      <w:r w:rsidR="00F90A76">
        <w:t>s</w:t>
      </w:r>
      <w:r>
        <w:t xml:space="preserve">ing </w:t>
      </w:r>
      <w:r w:rsidR="00524504">
        <w:t>titre</w:t>
      </w:r>
      <w:r>
        <w:t xml:space="preserve">s against the Delta variant compared to pre-booster levels in all participants combined (GMFR=18.97; 95% CI, 16.72, 21.53; overall group, n=295). In the overall </w:t>
      </w:r>
      <w:r w:rsidR="00D7030A">
        <w:t xml:space="preserve"> Study P201 Part</w:t>
      </w:r>
      <w:r w:rsidR="00416379">
        <w:t> </w:t>
      </w:r>
      <w:r w:rsidR="00D7030A">
        <w:t xml:space="preserve">B </w:t>
      </w:r>
      <w:r>
        <w:t xml:space="preserve">group (previously primed with 2 doses of either 50 or 100 </w:t>
      </w:r>
      <w:proofErr w:type="spellStart"/>
      <w:r>
        <w:t>μg</w:t>
      </w:r>
      <w:proofErr w:type="spellEnd"/>
      <w:r>
        <w:t xml:space="preserve"> mRNA-1273, n=293), the pre-booster </w:t>
      </w:r>
      <w:proofErr w:type="spellStart"/>
      <w:r>
        <w:t>nAb</w:t>
      </w:r>
      <w:proofErr w:type="spellEnd"/>
      <w:r>
        <w:t xml:space="preserve"> GMT (for the Delta variant) was 42.27 (95% CI, 37.19, 48.04; n=293) and 28 days post-booster the GMT was 803.51 (95% CI, 731.42, 882.70; n=295). Over 90% of booster recipients in the overall group (92.2%; 95% CI, 88.5-95.0%; n=293) met the definition of a </w:t>
      </w:r>
      <w:proofErr w:type="spellStart"/>
      <w:r>
        <w:t>sero</w:t>
      </w:r>
      <w:proofErr w:type="spellEnd"/>
      <w:r w:rsidR="00D95460">
        <w:t xml:space="preserve"> </w:t>
      </w:r>
      <w:r>
        <w:t>response for the Delta variant (using a four</w:t>
      </w:r>
      <w:r w:rsidR="00D95460">
        <w:t>-</w:t>
      </w:r>
      <w:r w:rsidR="00A51ED7">
        <w:t>fold</w:t>
      </w:r>
      <w:r>
        <w:t xml:space="preserve"> increase from pre-booster baseline).</w:t>
      </w:r>
    </w:p>
    <w:p w14:paraId="08FE5700" w14:textId="58B21166" w:rsidR="00291659" w:rsidRDefault="00291659" w:rsidP="00291659">
      <w:r>
        <w:t xml:space="preserve">Administration of the 50 </w:t>
      </w:r>
      <w:proofErr w:type="spellStart"/>
      <w:r>
        <w:t>μg</w:t>
      </w:r>
      <w:proofErr w:type="spellEnd"/>
      <w:r>
        <w:t xml:space="preserve"> mRNA-1273 prototype booster resulted in substantial increases in </w:t>
      </w:r>
      <w:proofErr w:type="spellStart"/>
      <w:r>
        <w:t>nAb</w:t>
      </w:r>
      <w:proofErr w:type="spellEnd"/>
      <w:r>
        <w:t xml:space="preserve"> responses against the Delta variant regardless of the priming dose. Participants primed with 50 </w:t>
      </w:r>
      <w:proofErr w:type="spellStart"/>
      <w:r>
        <w:t>μg</w:t>
      </w:r>
      <w:proofErr w:type="spellEnd"/>
      <w:r>
        <w:t xml:space="preserve"> had a GMFR of 20.89 (95% CI, 17.54, 24.87); those primed with 100 </w:t>
      </w:r>
      <w:proofErr w:type="spellStart"/>
      <w:r>
        <w:t>μg</w:t>
      </w:r>
      <w:proofErr w:type="spellEnd"/>
      <w:r>
        <w:t xml:space="preserve"> had a GMFR of 17.28 (95% CI, 14.38, 20.77). Numerically slightly lower GMTs pre and post </w:t>
      </w:r>
      <w:r w:rsidR="00D95460">
        <w:t>D</w:t>
      </w:r>
      <w:r>
        <w:t xml:space="preserve">ose 3 were reported in the 50 </w:t>
      </w:r>
      <w:proofErr w:type="spellStart"/>
      <w:r>
        <w:t>μg</w:t>
      </w:r>
      <w:proofErr w:type="spellEnd"/>
      <w:r>
        <w:t xml:space="preserve"> priming group compared to the 100 </w:t>
      </w:r>
      <w:proofErr w:type="spellStart"/>
      <w:r>
        <w:t>μg</w:t>
      </w:r>
      <w:proofErr w:type="spellEnd"/>
      <w:r>
        <w:t xml:space="preserve"> priming group.</w:t>
      </w:r>
    </w:p>
    <w:p w14:paraId="205C5F90" w14:textId="51FC7E6D" w:rsidR="00291659" w:rsidRPr="00174A91" w:rsidRDefault="00291659" w:rsidP="00174A91">
      <w:pPr>
        <w:pStyle w:val="TableTitle"/>
      </w:pPr>
      <w:r w:rsidRPr="00174A91">
        <w:lastRenderedPageBreak/>
        <w:t>Table 1</w:t>
      </w:r>
      <w:r w:rsidR="005A2739" w:rsidRPr="00174A91">
        <w:t>2</w:t>
      </w:r>
      <w:r w:rsidR="00C9051E">
        <w:t>:</w:t>
      </w:r>
      <w:r w:rsidR="00174A91" w:rsidRPr="00174A91">
        <w:t xml:space="preserve"> </w:t>
      </w:r>
      <w:r w:rsidR="00416379">
        <w:t xml:space="preserve">Study 201 Part B </w:t>
      </w:r>
      <w:r w:rsidRPr="00174A91">
        <w:t xml:space="preserve">Summary of </w:t>
      </w:r>
      <w:proofErr w:type="spellStart"/>
      <w:r w:rsidR="005A2739" w:rsidRPr="00174A91">
        <w:t>p</w:t>
      </w:r>
      <w:r w:rsidRPr="00174A91">
        <w:t>seudovirus</w:t>
      </w:r>
      <w:proofErr w:type="spellEnd"/>
      <w:r w:rsidRPr="00174A91">
        <w:t xml:space="preserve"> </w:t>
      </w:r>
      <w:r w:rsidR="005A2739" w:rsidRPr="00174A91">
        <w:t>n</w:t>
      </w:r>
      <w:r w:rsidRPr="00174A91">
        <w:t>eutrali</w:t>
      </w:r>
      <w:r w:rsidR="00F90A76">
        <w:t>s</w:t>
      </w:r>
      <w:r w:rsidRPr="00174A91">
        <w:t xml:space="preserve">ing </w:t>
      </w:r>
      <w:r w:rsidR="005A2739" w:rsidRPr="00174A91">
        <w:t>a</w:t>
      </w:r>
      <w:r w:rsidRPr="00174A91">
        <w:t xml:space="preserve">ntibody </w:t>
      </w:r>
      <w:r w:rsidR="00416379">
        <w:t xml:space="preserve">50% inhibitory </w:t>
      </w:r>
      <w:r w:rsidR="00524504">
        <w:t>titre</w:t>
      </w:r>
      <w:r w:rsidRPr="00174A91">
        <w:t xml:space="preserve">s </w:t>
      </w:r>
      <w:r w:rsidR="005A2739" w:rsidRPr="00174A91">
        <w:t>a</w:t>
      </w:r>
      <w:r w:rsidRPr="00174A91">
        <w:t xml:space="preserve">gainst </w:t>
      </w:r>
      <w:r w:rsidR="005A2739" w:rsidRPr="00174A91">
        <w:t>n</w:t>
      </w:r>
      <w:r w:rsidRPr="00174A91">
        <w:t xml:space="preserve">ew </w:t>
      </w:r>
      <w:r w:rsidR="005A2739" w:rsidRPr="00174A91">
        <w:t>v</w:t>
      </w:r>
      <w:r w:rsidRPr="00174A91">
        <w:t xml:space="preserve">ariant </w:t>
      </w:r>
      <w:r w:rsidR="005A2739" w:rsidRPr="00174A91">
        <w:t>s</w:t>
      </w:r>
      <w:r w:rsidRPr="00174A91">
        <w:t xml:space="preserve">train (B.1.617.2, Delta) </w:t>
      </w:r>
      <w:r w:rsidR="005A2739" w:rsidRPr="00174A91">
        <w:t>p</w:t>
      </w:r>
      <w:r w:rsidRPr="00174A91">
        <w:t>er-</w:t>
      </w:r>
      <w:r w:rsidR="005A2739" w:rsidRPr="00174A91">
        <w:t>p</w:t>
      </w:r>
      <w:r w:rsidRPr="00174A91">
        <w:t xml:space="preserve">rotocol </w:t>
      </w:r>
      <w:r w:rsidR="005A2739" w:rsidRPr="00174A91">
        <w:t>i</w:t>
      </w:r>
      <w:r w:rsidRPr="00174A91">
        <w:t xml:space="preserve">mmunogenicity </w:t>
      </w:r>
      <w:r w:rsidR="005A2739" w:rsidRPr="00174A91">
        <w:t>s</w:t>
      </w:r>
      <w:r w:rsidRPr="00174A91">
        <w:t>ubset</w:t>
      </w:r>
    </w:p>
    <w:p w14:paraId="6BD6E418" w14:textId="75EA2160" w:rsidR="00291659" w:rsidRDefault="00291659" w:rsidP="00291659">
      <w:pPr>
        <w:rPr>
          <w:b/>
          <w:bCs/>
        </w:rPr>
      </w:pPr>
      <w:r w:rsidRPr="000F7A08">
        <w:rPr>
          <w:rFonts w:asciiTheme="minorHAnsi" w:hAnsiTheme="minorHAnsi"/>
          <w:noProof/>
          <w:lang w:val="en-GB" w:eastAsia="en-GB"/>
        </w:rPr>
        <w:drawing>
          <wp:inline distT="0" distB="0" distL="0" distR="0" wp14:anchorId="37936F37" wp14:editId="4CE58FDA">
            <wp:extent cx="5400040" cy="4566641"/>
            <wp:effectExtent l="0" t="0" r="0" b="5715"/>
            <wp:docPr id="34" name="Picture 34" descr="This table describes the summary of pseudovirus neutralising antibody ID50 titers against new variant strain (B.1.617.2, Delta) per-protocol immunogenicity sub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table describes the summary of pseudovirus neutralising antibody ID50 titers against new variant strain (B.1.617.2, Delta) per-protocol immunogenicity subset."/>
                    <pic:cNvPicPr/>
                  </pic:nvPicPr>
                  <pic:blipFill>
                    <a:blip r:embed="rId31"/>
                    <a:stretch>
                      <a:fillRect/>
                    </a:stretch>
                  </pic:blipFill>
                  <pic:spPr>
                    <a:xfrm>
                      <a:off x="0" y="0"/>
                      <a:ext cx="5400040" cy="4566641"/>
                    </a:xfrm>
                    <a:prstGeom prst="rect">
                      <a:avLst/>
                    </a:prstGeom>
                  </pic:spPr>
                </pic:pic>
              </a:graphicData>
            </a:graphic>
          </wp:inline>
        </w:drawing>
      </w:r>
      <w:r w:rsidRPr="00E3267B">
        <w:rPr>
          <w:rFonts w:asciiTheme="minorHAnsi" w:hAnsiTheme="minorHAnsi"/>
          <w:noProof/>
          <w:lang w:val="en-GB" w:eastAsia="en-GB"/>
        </w:rPr>
        <w:drawing>
          <wp:inline distT="0" distB="0" distL="0" distR="0" wp14:anchorId="5A28E3A2" wp14:editId="6CE44D07">
            <wp:extent cx="5400040" cy="4217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421785"/>
                    </a:xfrm>
                    <a:prstGeom prst="rect">
                      <a:avLst/>
                    </a:prstGeom>
                  </pic:spPr>
                </pic:pic>
              </a:graphicData>
            </a:graphic>
          </wp:inline>
        </w:drawing>
      </w:r>
    </w:p>
    <w:p w14:paraId="18D5B042" w14:textId="2301FA20" w:rsidR="00291659" w:rsidRPr="00291659" w:rsidRDefault="00291659" w:rsidP="007A06D0">
      <w:r w:rsidRPr="00291659">
        <w:t xml:space="preserve">Additional analyses of Delta variant </w:t>
      </w:r>
      <w:proofErr w:type="spellStart"/>
      <w:r w:rsidRPr="00291659">
        <w:t>nAb</w:t>
      </w:r>
      <w:proofErr w:type="spellEnd"/>
      <w:r w:rsidRPr="00291659">
        <w:t xml:space="preserve"> GMT by age group based on all subjects included in the </w:t>
      </w:r>
      <w:r w:rsidR="00C9051E">
        <w:t>per protocol</w:t>
      </w:r>
      <w:r w:rsidRPr="00291659">
        <w:t xml:space="preserve"> set are provided in Table 11 and 12. </w:t>
      </w:r>
      <w:proofErr w:type="spellStart"/>
      <w:r w:rsidRPr="00291659">
        <w:t>nAb</w:t>
      </w:r>
      <w:proofErr w:type="spellEnd"/>
      <w:r w:rsidRPr="00291659">
        <w:t xml:space="preserve"> responses in older adults, defined either as ≥65 or ≥55 or years, are numerically similar to those observed in the younger groups </w:t>
      </w:r>
      <w:r w:rsidRPr="00BC39EC">
        <w:t>(Table 13 and Table 14</w:t>
      </w:r>
      <w:r w:rsidR="00D95460">
        <w:t>;</w:t>
      </w:r>
      <w:r w:rsidRPr="00BC39EC">
        <w:t xml:space="preserve"> 749.94 v</w:t>
      </w:r>
      <w:r w:rsidR="00C9051E">
        <w:t>ersu</w:t>
      </w:r>
      <w:r w:rsidRPr="00BC39EC">
        <w:t>s 822.98 and 758.68 v</w:t>
      </w:r>
      <w:r w:rsidR="00C9051E">
        <w:t>ersu</w:t>
      </w:r>
      <w:r w:rsidRPr="00BC39EC">
        <w:t>s 863.39, respectively).</w:t>
      </w:r>
      <w:r w:rsidRPr="00291659">
        <w:t xml:space="preserve"> No analyses according to primary vaccination series and age group were submitted.</w:t>
      </w:r>
    </w:p>
    <w:p w14:paraId="4E260896" w14:textId="2CE4ECDF" w:rsidR="00291659" w:rsidRPr="002A6693" w:rsidRDefault="002A6693" w:rsidP="00174A91">
      <w:pPr>
        <w:pStyle w:val="TableTitle"/>
      </w:pPr>
      <w:r w:rsidRPr="002A6693">
        <w:lastRenderedPageBreak/>
        <w:t>Table 1</w:t>
      </w:r>
      <w:r w:rsidR="00174A91">
        <w:t>3</w:t>
      </w:r>
      <w:r w:rsidR="00C9051E">
        <w:t>:</w:t>
      </w:r>
      <w:r w:rsidR="00174A91">
        <w:t xml:space="preserve"> </w:t>
      </w:r>
      <w:r w:rsidR="00416379">
        <w:t xml:space="preserve">Study 201 </w:t>
      </w:r>
      <w:r w:rsidRPr="002A6693">
        <w:t xml:space="preserve">Summary of </w:t>
      </w:r>
      <w:proofErr w:type="spellStart"/>
      <w:r w:rsidR="00FB50E5">
        <w:t>p</w:t>
      </w:r>
      <w:r w:rsidRPr="002A6693">
        <w:t>seudovirus</w:t>
      </w:r>
      <w:proofErr w:type="spellEnd"/>
      <w:r w:rsidRPr="002A6693">
        <w:t xml:space="preserve"> </w:t>
      </w:r>
      <w:r w:rsidR="00FB50E5">
        <w:t>n</w:t>
      </w:r>
      <w:r w:rsidRPr="002A6693">
        <w:t>eutrali</w:t>
      </w:r>
      <w:r w:rsidR="00F90A76">
        <w:t>s</w:t>
      </w:r>
      <w:r w:rsidRPr="002A6693">
        <w:t xml:space="preserve">ing </w:t>
      </w:r>
      <w:r w:rsidR="00FB50E5">
        <w:t>a</w:t>
      </w:r>
      <w:r w:rsidRPr="002A6693">
        <w:t xml:space="preserve">ntibody </w:t>
      </w:r>
      <w:r w:rsidR="00585246">
        <w:t>50% inhibitory</w:t>
      </w:r>
      <w:r w:rsidR="00585246" w:rsidRPr="002A6693">
        <w:t xml:space="preserve"> </w:t>
      </w:r>
      <w:r w:rsidR="00524504">
        <w:t>titre</w:t>
      </w:r>
      <w:r w:rsidRPr="002A6693">
        <w:t xml:space="preserve">s </w:t>
      </w:r>
      <w:r w:rsidR="00FB50E5">
        <w:t>a</w:t>
      </w:r>
      <w:r w:rsidRPr="002A6693">
        <w:t xml:space="preserve">gainst </w:t>
      </w:r>
      <w:r w:rsidR="00FB50E5">
        <w:t>n</w:t>
      </w:r>
      <w:r w:rsidRPr="002A6693">
        <w:t xml:space="preserve">ew </w:t>
      </w:r>
      <w:r w:rsidR="00FB50E5">
        <w:t>v</w:t>
      </w:r>
      <w:r w:rsidRPr="002A6693">
        <w:t xml:space="preserve">ariant </w:t>
      </w:r>
      <w:r w:rsidR="00FB50E5">
        <w:t>s</w:t>
      </w:r>
      <w:r w:rsidRPr="002A6693">
        <w:t>train (B.1.617.2)</w:t>
      </w:r>
      <w:r w:rsidR="00C9051E">
        <w:t>;</w:t>
      </w:r>
      <w:r w:rsidRPr="002A6693">
        <w:t xml:space="preserve"> </w:t>
      </w:r>
      <w:r w:rsidR="00FB50E5">
        <w:t>b</w:t>
      </w:r>
      <w:r w:rsidRPr="002A6693">
        <w:t xml:space="preserve">y </w:t>
      </w:r>
      <w:r w:rsidR="00FB50E5">
        <w:t>a</w:t>
      </w:r>
      <w:r w:rsidRPr="002A6693">
        <w:t xml:space="preserve">ge </w:t>
      </w:r>
      <w:r w:rsidR="00FB50E5">
        <w:t>g</w:t>
      </w:r>
      <w:r w:rsidRPr="002A6693">
        <w:t>roup (≥</w:t>
      </w:r>
      <w:r w:rsidR="00585246">
        <w:t xml:space="preserve"> </w:t>
      </w:r>
      <w:r w:rsidRPr="002A6693">
        <w:t>18 and &lt;</w:t>
      </w:r>
      <w:r w:rsidR="00585246">
        <w:t> </w:t>
      </w:r>
      <w:r w:rsidRPr="002A6693">
        <w:t>6</w:t>
      </w:r>
      <w:r w:rsidR="00585246">
        <w:t>5 </w:t>
      </w:r>
      <w:r w:rsidRPr="002A6693">
        <w:t>years old v</w:t>
      </w:r>
      <w:r w:rsidR="00C9051E">
        <w:t>ersu</w:t>
      </w:r>
      <w:r w:rsidRPr="002A6693">
        <w:t xml:space="preserve">s ≥65 years old) </w:t>
      </w:r>
      <w:r w:rsidR="00FB50E5">
        <w:t>p</w:t>
      </w:r>
      <w:r w:rsidRPr="002A6693">
        <w:t>er-</w:t>
      </w:r>
      <w:r w:rsidR="00FB50E5">
        <w:t>p</w:t>
      </w:r>
      <w:r w:rsidRPr="002A6693">
        <w:t xml:space="preserve">rotocol </w:t>
      </w:r>
      <w:r w:rsidR="00FB50E5">
        <w:t>i</w:t>
      </w:r>
      <w:r w:rsidRPr="002A6693">
        <w:t xml:space="preserve">mmunogenicity </w:t>
      </w:r>
      <w:r w:rsidR="00FB50E5">
        <w:t>s</w:t>
      </w:r>
      <w:r w:rsidRPr="002A6693">
        <w:t>ubset</w:t>
      </w:r>
    </w:p>
    <w:p w14:paraId="12CAD282" w14:textId="532468C1" w:rsidR="00291659" w:rsidRDefault="002A6693" w:rsidP="002A6693">
      <w:pPr>
        <w:rPr>
          <w:b/>
          <w:bCs/>
        </w:rPr>
      </w:pPr>
      <w:r w:rsidRPr="002B3643">
        <w:rPr>
          <w:rFonts w:asciiTheme="minorHAnsi" w:hAnsiTheme="minorHAnsi"/>
          <w:noProof/>
          <w:lang w:val="en-GB" w:eastAsia="en-GB"/>
        </w:rPr>
        <w:drawing>
          <wp:inline distT="0" distB="0" distL="0" distR="0" wp14:anchorId="18345E98" wp14:editId="65D43C49">
            <wp:extent cx="5378450" cy="4254018"/>
            <wp:effectExtent l="0" t="0" r="0" b="0"/>
            <wp:docPr id="37" name="Picture 37" descr="This table describes the summary of pseudovirus neutralising antibody ID50 titers against new variant strain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table describes the summary of pseudovirus neutralising antibody ID50 titers against new variant strain by age group."/>
                    <pic:cNvPicPr/>
                  </pic:nvPicPr>
                  <pic:blipFill>
                    <a:blip r:embed="rId33"/>
                    <a:stretch>
                      <a:fillRect/>
                    </a:stretch>
                  </pic:blipFill>
                  <pic:spPr>
                    <a:xfrm>
                      <a:off x="0" y="0"/>
                      <a:ext cx="5393677" cy="4266061"/>
                    </a:xfrm>
                    <a:prstGeom prst="rect">
                      <a:avLst/>
                    </a:prstGeom>
                  </pic:spPr>
                </pic:pic>
              </a:graphicData>
            </a:graphic>
          </wp:inline>
        </w:drawing>
      </w:r>
    </w:p>
    <w:p w14:paraId="36D39B4A" w14:textId="7E6E84D0" w:rsidR="002A6693" w:rsidRDefault="002A6693" w:rsidP="00174A91">
      <w:pPr>
        <w:pStyle w:val="TableTitle"/>
      </w:pPr>
      <w:r w:rsidRPr="002A6693">
        <w:lastRenderedPageBreak/>
        <w:t>Table 1</w:t>
      </w:r>
      <w:r w:rsidR="00174A91">
        <w:t>4</w:t>
      </w:r>
      <w:r w:rsidR="00C9051E">
        <w:t>:</w:t>
      </w:r>
      <w:r w:rsidR="00174A91">
        <w:t xml:space="preserve"> </w:t>
      </w:r>
      <w:r w:rsidR="00585246">
        <w:t xml:space="preserve">Study 201 </w:t>
      </w:r>
      <w:r w:rsidRPr="002A6693">
        <w:t xml:space="preserve">Summary of </w:t>
      </w:r>
      <w:proofErr w:type="spellStart"/>
      <w:r w:rsidR="0021744F">
        <w:t>p</w:t>
      </w:r>
      <w:r w:rsidRPr="002A6693">
        <w:t>seudovirus</w:t>
      </w:r>
      <w:proofErr w:type="spellEnd"/>
      <w:r w:rsidRPr="002A6693">
        <w:t xml:space="preserve"> </w:t>
      </w:r>
      <w:r w:rsidR="0021744F">
        <w:t>n</w:t>
      </w:r>
      <w:r w:rsidRPr="002A6693">
        <w:t>eutrali</w:t>
      </w:r>
      <w:r w:rsidR="00F90A76">
        <w:t>s</w:t>
      </w:r>
      <w:r w:rsidRPr="002A6693">
        <w:t xml:space="preserve">ing </w:t>
      </w:r>
      <w:r w:rsidR="0021744F">
        <w:t>a</w:t>
      </w:r>
      <w:r w:rsidRPr="002A6693">
        <w:t xml:space="preserve">ntibody </w:t>
      </w:r>
      <w:r w:rsidR="00585246">
        <w:t>50% inhibitory concentration</w:t>
      </w:r>
      <w:r w:rsidR="00585246" w:rsidRPr="002A6693">
        <w:t xml:space="preserve"> </w:t>
      </w:r>
      <w:r w:rsidR="00524504">
        <w:t>titre</w:t>
      </w:r>
      <w:r w:rsidRPr="002A6693">
        <w:t xml:space="preserve">s </w:t>
      </w:r>
      <w:r w:rsidR="0021744F">
        <w:t>a</w:t>
      </w:r>
      <w:r w:rsidRPr="002A6693">
        <w:t xml:space="preserve">gainst </w:t>
      </w:r>
      <w:r w:rsidR="0021744F">
        <w:t>n</w:t>
      </w:r>
      <w:r w:rsidRPr="002A6693">
        <w:t xml:space="preserve">ew </w:t>
      </w:r>
      <w:r w:rsidR="0021744F">
        <w:t>v</w:t>
      </w:r>
      <w:r w:rsidRPr="002A6693">
        <w:t xml:space="preserve">ariant </w:t>
      </w:r>
      <w:r w:rsidR="0021744F">
        <w:t>s</w:t>
      </w:r>
      <w:r w:rsidRPr="002A6693">
        <w:t xml:space="preserve">train (B.1.617.2) </w:t>
      </w:r>
      <w:r w:rsidR="0021744F">
        <w:t>b</w:t>
      </w:r>
      <w:r w:rsidRPr="002A6693">
        <w:t xml:space="preserve">y </w:t>
      </w:r>
      <w:r w:rsidR="0021744F">
        <w:t>a</w:t>
      </w:r>
      <w:r w:rsidRPr="002A6693">
        <w:t xml:space="preserve">ge </w:t>
      </w:r>
      <w:r w:rsidR="0021744F">
        <w:t>g</w:t>
      </w:r>
      <w:r w:rsidRPr="002A6693">
        <w:t>roup (≥</w:t>
      </w:r>
      <w:r w:rsidR="00585246">
        <w:t> </w:t>
      </w:r>
      <w:r w:rsidRPr="002A6693">
        <w:t>18 and &lt;</w:t>
      </w:r>
      <w:r w:rsidR="00585246">
        <w:t> </w:t>
      </w:r>
      <w:r w:rsidRPr="002A6693">
        <w:t>55 years old v</w:t>
      </w:r>
      <w:r w:rsidR="00C9051E">
        <w:t>ersu</w:t>
      </w:r>
      <w:r w:rsidRPr="002A6693">
        <w:t>s ≥</w:t>
      </w:r>
      <w:r w:rsidR="00585246">
        <w:t> </w:t>
      </w:r>
      <w:r w:rsidRPr="002A6693">
        <w:t xml:space="preserve">55 years old) </w:t>
      </w:r>
      <w:r w:rsidR="0021744F">
        <w:t>p</w:t>
      </w:r>
      <w:r w:rsidRPr="002A6693">
        <w:t>er-</w:t>
      </w:r>
      <w:r w:rsidR="0021744F">
        <w:t>p</w:t>
      </w:r>
      <w:r w:rsidRPr="002A6693">
        <w:t xml:space="preserve">rotocol </w:t>
      </w:r>
      <w:r w:rsidR="0021744F">
        <w:t>i</w:t>
      </w:r>
      <w:r w:rsidRPr="002A6693">
        <w:t xml:space="preserve">mmunogenicity </w:t>
      </w:r>
      <w:r w:rsidR="0021744F">
        <w:t>s</w:t>
      </w:r>
      <w:r w:rsidRPr="002A6693">
        <w:t>ubset</w:t>
      </w:r>
    </w:p>
    <w:p w14:paraId="124C4057" w14:textId="00357D07" w:rsidR="002A6693" w:rsidRDefault="002A6693" w:rsidP="002A6693">
      <w:pPr>
        <w:rPr>
          <w:b/>
          <w:bCs/>
        </w:rPr>
      </w:pPr>
      <w:r w:rsidRPr="002B3643">
        <w:rPr>
          <w:rFonts w:asciiTheme="minorHAnsi" w:hAnsiTheme="minorHAnsi"/>
          <w:noProof/>
          <w:lang w:val="en-GB" w:eastAsia="en-GB"/>
        </w:rPr>
        <w:drawing>
          <wp:inline distT="0" distB="0" distL="0" distR="0" wp14:anchorId="41D28B6F" wp14:editId="64E05F9D">
            <wp:extent cx="5254042" cy="3549650"/>
            <wp:effectExtent l="0" t="0" r="3810" b="0"/>
            <wp:docPr id="38" name="Picture 38" descr="This table describes the summary of pseudovirus neutralising antibody ID50 titers against new variant strain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is table describes the summary of pseudovirus neutralising antibody ID50 titers against new variant strain by age group."/>
                    <pic:cNvPicPr/>
                  </pic:nvPicPr>
                  <pic:blipFill>
                    <a:blip r:embed="rId34"/>
                    <a:stretch>
                      <a:fillRect/>
                    </a:stretch>
                  </pic:blipFill>
                  <pic:spPr>
                    <a:xfrm>
                      <a:off x="0" y="0"/>
                      <a:ext cx="5268093" cy="3559143"/>
                    </a:xfrm>
                    <a:prstGeom prst="rect">
                      <a:avLst/>
                    </a:prstGeom>
                  </pic:spPr>
                </pic:pic>
              </a:graphicData>
            </a:graphic>
          </wp:inline>
        </w:drawing>
      </w:r>
    </w:p>
    <w:p w14:paraId="42D0DE9C" w14:textId="13FFF201" w:rsidR="002A6693" w:rsidRPr="002A6693" w:rsidRDefault="002A6693" w:rsidP="002A6693">
      <w:pPr>
        <w:pStyle w:val="Heading4"/>
      </w:pPr>
      <w:r w:rsidRPr="002A6693">
        <w:t>Non-inferiority</w:t>
      </w:r>
      <w:r w:rsidR="00F90A76">
        <w:t xml:space="preserve"> </w:t>
      </w:r>
      <w:r w:rsidRPr="002A6693">
        <w:t xml:space="preserve">analysis to compare the immunogenicity results in </w:t>
      </w:r>
      <w:r w:rsidR="0021744F">
        <w:t>S</w:t>
      </w:r>
      <w:r w:rsidRPr="002A6693">
        <w:t xml:space="preserve">tudy P201 post </w:t>
      </w:r>
      <w:r w:rsidR="00D95460">
        <w:t>D</w:t>
      </w:r>
      <w:r w:rsidRPr="002A6693">
        <w:t xml:space="preserve">ose 3 (booster) to the results in efficacy </w:t>
      </w:r>
      <w:r w:rsidR="0021744F">
        <w:t>S</w:t>
      </w:r>
      <w:r w:rsidRPr="002A6693">
        <w:t xml:space="preserve">tudy P301 post </w:t>
      </w:r>
      <w:r w:rsidR="00FA5F41">
        <w:t>D</w:t>
      </w:r>
      <w:r w:rsidRPr="002A6693">
        <w:t>ose 2 after the primary series</w:t>
      </w:r>
    </w:p>
    <w:p w14:paraId="3D264C83" w14:textId="4C2A79DC" w:rsidR="002A6693" w:rsidRPr="002A6693" w:rsidRDefault="00585246" w:rsidP="002A6693">
      <w:pPr>
        <w:pStyle w:val="Heading5"/>
      </w:pPr>
      <w:r>
        <w:t>Geometric mean ratio</w:t>
      </w:r>
      <w:r w:rsidRPr="002A6693">
        <w:t xml:space="preserve"> </w:t>
      </w:r>
      <w:r w:rsidR="002A6693" w:rsidRPr="002A6693">
        <w:t xml:space="preserve">as </w:t>
      </w:r>
      <w:r w:rsidR="0021744F">
        <w:t>a</w:t>
      </w:r>
      <w:r w:rsidR="002A6693" w:rsidRPr="002A6693">
        <w:t xml:space="preserve">ssessed by </w:t>
      </w:r>
      <w:proofErr w:type="spellStart"/>
      <w:r>
        <w:t>pseudovirus</w:t>
      </w:r>
      <w:proofErr w:type="spellEnd"/>
      <w:r>
        <w:t xml:space="preserve"> neutralising antibody 50% inhibitory</w:t>
      </w:r>
      <w:r w:rsidR="002A6693" w:rsidRPr="002A6693">
        <w:t xml:space="preserve"> </w:t>
      </w:r>
      <w:r w:rsidR="00524504">
        <w:t>titre</w:t>
      </w:r>
      <w:r w:rsidR="002A6693" w:rsidRPr="002A6693">
        <w:t>s</w:t>
      </w:r>
    </w:p>
    <w:p w14:paraId="01522093" w14:textId="1491C6EA" w:rsidR="002A6693" w:rsidRPr="002A6693" w:rsidRDefault="002A6693" w:rsidP="002A6693">
      <w:r w:rsidRPr="002A6693">
        <w:t xml:space="preserve">The primary analysis population for this coprimary endpoint (in Study P201 Part B) included all </w:t>
      </w:r>
      <w:r w:rsidR="00C9051E">
        <w:t>per protocol</w:t>
      </w:r>
      <w:r w:rsidRPr="002A6693">
        <w:t xml:space="preserve"> participants who received a single booster dose of 50 </w:t>
      </w:r>
      <w:proofErr w:type="spellStart"/>
      <w:r w:rsidRPr="002A6693">
        <w:t>μg</w:t>
      </w:r>
      <w:proofErr w:type="spellEnd"/>
      <w:r w:rsidRPr="002A6693">
        <w:t xml:space="preserve"> mRNA</w:t>
      </w:r>
      <w:r w:rsidR="00585246">
        <w:noBreakHyphen/>
      </w:r>
      <w:r w:rsidRPr="002A6693">
        <w:t>1273 in Study P201 Part B (</w:t>
      </w:r>
      <w:r w:rsidR="00C9051E">
        <w:t>that is</w:t>
      </w:r>
      <w:r w:rsidRPr="002A6693">
        <w:t xml:space="preserve">, all participants combined regardless of whether they received 50 </w:t>
      </w:r>
      <w:proofErr w:type="spellStart"/>
      <w:r w:rsidRPr="002A6693">
        <w:t>μg</w:t>
      </w:r>
      <w:proofErr w:type="spellEnd"/>
      <w:r w:rsidRPr="002A6693">
        <w:t xml:space="preserve"> or 100 </w:t>
      </w:r>
      <w:proofErr w:type="spellStart"/>
      <w:r w:rsidRPr="002A6693">
        <w:t>μg</w:t>
      </w:r>
      <w:proofErr w:type="spellEnd"/>
      <w:r w:rsidRPr="002A6693">
        <w:t xml:space="preserve"> of mRNA-1273 in the primary series).</w:t>
      </w:r>
    </w:p>
    <w:p w14:paraId="1F0A1A8F" w14:textId="131166C4" w:rsidR="002A6693" w:rsidRPr="002A6693" w:rsidRDefault="002A6693" w:rsidP="002A6693">
      <w:r w:rsidRPr="002A6693">
        <w:t xml:space="preserve">In comparison to the peak </w:t>
      </w:r>
      <w:proofErr w:type="spellStart"/>
      <w:r w:rsidRPr="002A6693">
        <w:t>PsVNA</w:t>
      </w:r>
      <w:proofErr w:type="spellEnd"/>
      <w:r w:rsidRPr="002A6693">
        <w:t xml:space="preserve"> ID</w:t>
      </w:r>
      <w:r w:rsidRPr="007A06D0">
        <w:rPr>
          <w:vertAlign w:val="subscript"/>
        </w:rPr>
        <w:t>50</w:t>
      </w:r>
      <w:r w:rsidRPr="002A6693">
        <w:t xml:space="preserve"> </w:t>
      </w:r>
      <w:r w:rsidR="00524504">
        <w:t>titre</w:t>
      </w:r>
      <w:r w:rsidRPr="002A6693">
        <w:t xml:space="preserve">s in </w:t>
      </w:r>
      <w:r w:rsidR="0021744F">
        <w:t xml:space="preserve">Study </w:t>
      </w:r>
      <w:r w:rsidRPr="002A6693">
        <w:t xml:space="preserve">P301 Part A (Day 57, 28 days post </w:t>
      </w:r>
      <w:r w:rsidR="00FA5F41">
        <w:t>D</w:t>
      </w:r>
      <w:r w:rsidRPr="002A6693">
        <w:t>ose 2), where efficacy was demonstrated, the GMR (</w:t>
      </w:r>
      <w:r w:rsidR="0021744F">
        <w:t xml:space="preserve">Study </w:t>
      </w:r>
      <w:r w:rsidRPr="002A6693">
        <w:t>P201 Part B D</w:t>
      </w:r>
      <w:r w:rsidR="00585246">
        <w:t xml:space="preserve">ay </w:t>
      </w:r>
      <w:r w:rsidRPr="002A6693">
        <w:t>29 v</w:t>
      </w:r>
      <w:r w:rsidR="00C9051E">
        <w:t>ersu</w:t>
      </w:r>
      <w:r w:rsidRPr="002A6693">
        <w:t xml:space="preserve">s </w:t>
      </w:r>
      <w:r w:rsidR="0021744F">
        <w:t>Study</w:t>
      </w:r>
      <w:r w:rsidR="00585246">
        <w:t> </w:t>
      </w:r>
      <w:r w:rsidRPr="002A6693">
        <w:t>P301 D</w:t>
      </w:r>
      <w:r w:rsidR="00585246">
        <w:t xml:space="preserve">ay </w:t>
      </w:r>
      <w:r w:rsidRPr="002A6693">
        <w:t>57, against the original virus strain) was 1.71 (95% CI: 1.519, 1.929) (Table 1</w:t>
      </w:r>
      <w:r w:rsidR="004C64FE">
        <w:t>5</w:t>
      </w:r>
      <w:r w:rsidRPr="002A6693">
        <w:t xml:space="preserve">). The GMR estimate was 1.71 (above the prespecified threshold of 1.0), with the lower bound of the 95% CI greater than 0.67 (corresponding to </w:t>
      </w:r>
      <w:r w:rsidR="00F90A76">
        <w:t>noninferiority margin (</w:t>
      </w:r>
      <w:r w:rsidRPr="002A6693">
        <w:t>NIM</w:t>
      </w:r>
      <w:r w:rsidR="00F90A76">
        <w:t>)</w:t>
      </w:r>
      <w:r w:rsidRPr="002A6693">
        <w:t xml:space="preserve">=1.5). Hence, this </w:t>
      </w:r>
      <w:r w:rsidRPr="00F90A76">
        <w:t>GMR</w:t>
      </w:r>
      <w:r w:rsidRPr="002A6693">
        <w:t xml:space="preserve"> successfully met the prespecified NI criterion. A consistent trend to that observed from the analysis described above, with the 2 prime series groups combined, was also observed in the subgroup analysis (by prime series) (Table 1</w:t>
      </w:r>
      <w:r w:rsidR="004C64FE">
        <w:t>6</w:t>
      </w:r>
      <w:r w:rsidRPr="002A6693">
        <w:t xml:space="preserve">). The above suggests that the 50 </w:t>
      </w:r>
      <w:proofErr w:type="spellStart"/>
      <w:r w:rsidRPr="002A6693">
        <w:t>μg</w:t>
      </w:r>
      <w:proofErr w:type="spellEnd"/>
      <w:r w:rsidRPr="002A6693">
        <w:t xml:space="preserve"> booster increases </w:t>
      </w:r>
      <w:proofErr w:type="spellStart"/>
      <w:r w:rsidRPr="002A6693">
        <w:t>nAb</w:t>
      </w:r>
      <w:proofErr w:type="spellEnd"/>
      <w:r w:rsidRPr="002A6693">
        <w:t xml:space="preserve"> responses regardless of the dose (50</w:t>
      </w:r>
      <w:r w:rsidR="00585246">
        <w:t> </w:t>
      </w:r>
      <w:proofErr w:type="spellStart"/>
      <w:r w:rsidRPr="002A6693">
        <w:t>μg</w:t>
      </w:r>
      <w:proofErr w:type="spellEnd"/>
      <w:r w:rsidRPr="002A6693">
        <w:t xml:space="preserve"> v</w:t>
      </w:r>
      <w:r w:rsidR="00C9051E">
        <w:t>ersu</w:t>
      </w:r>
      <w:r w:rsidRPr="002A6693">
        <w:t xml:space="preserve">s 100 </w:t>
      </w:r>
      <w:proofErr w:type="spellStart"/>
      <w:r w:rsidRPr="002A6693">
        <w:t>μg</w:t>
      </w:r>
      <w:proofErr w:type="spellEnd"/>
      <w:r w:rsidRPr="002A6693">
        <w:t>) received in the primary series.</w:t>
      </w:r>
    </w:p>
    <w:p w14:paraId="09FA8BBD" w14:textId="229EB159" w:rsidR="00291659" w:rsidRPr="00174A91" w:rsidRDefault="002A6693" w:rsidP="00174A91">
      <w:pPr>
        <w:pStyle w:val="TableTitle"/>
      </w:pPr>
      <w:r w:rsidRPr="00174A91">
        <w:lastRenderedPageBreak/>
        <w:t>Table 1</w:t>
      </w:r>
      <w:r w:rsidR="00174A91" w:rsidRPr="00174A91">
        <w:t>5</w:t>
      </w:r>
      <w:r w:rsidR="00C9051E">
        <w:t>:</w:t>
      </w:r>
      <w:r w:rsidR="00174A91" w:rsidRPr="00174A91">
        <w:t xml:space="preserve"> </w:t>
      </w:r>
      <w:r w:rsidRPr="00174A91">
        <w:t xml:space="preserve">Analysis of </w:t>
      </w:r>
      <w:proofErr w:type="spellStart"/>
      <w:r w:rsidR="00585246">
        <w:t>p</w:t>
      </w:r>
      <w:r w:rsidR="00585246" w:rsidRPr="002A6693">
        <w:t>seudovirus</w:t>
      </w:r>
      <w:proofErr w:type="spellEnd"/>
      <w:r w:rsidR="00585246" w:rsidRPr="002A6693">
        <w:t xml:space="preserve"> </w:t>
      </w:r>
      <w:r w:rsidR="00585246">
        <w:t>n</w:t>
      </w:r>
      <w:r w:rsidR="00585246" w:rsidRPr="002A6693">
        <w:t>eutrali</w:t>
      </w:r>
      <w:r w:rsidR="00585246">
        <w:t>s</w:t>
      </w:r>
      <w:r w:rsidR="00585246" w:rsidRPr="002A6693">
        <w:t xml:space="preserve">ing </w:t>
      </w:r>
      <w:r w:rsidR="00585246">
        <w:t>a</w:t>
      </w:r>
      <w:r w:rsidR="00585246" w:rsidRPr="002A6693">
        <w:t xml:space="preserve">ntibody </w:t>
      </w:r>
      <w:r w:rsidR="00585246">
        <w:t>50% inhibitory concentration</w:t>
      </w:r>
      <w:r w:rsidRPr="00174A91">
        <w:t xml:space="preserve">: mRNA-1273 </w:t>
      </w:r>
      <w:r w:rsidR="0021744F" w:rsidRPr="00174A91">
        <w:t>p</w:t>
      </w:r>
      <w:r w:rsidRPr="00174A91">
        <w:t xml:space="preserve">ost-Dose 3 (all subjects) compared with the </w:t>
      </w:r>
      <w:r w:rsidR="0021744F" w:rsidRPr="00174A91">
        <w:t xml:space="preserve">Study </w:t>
      </w:r>
      <w:r w:rsidRPr="00174A91">
        <w:t xml:space="preserve">P301 primary series peak </w:t>
      </w:r>
      <w:r w:rsidR="00524504">
        <w:t>titre</w:t>
      </w:r>
      <w:r w:rsidRPr="00174A91">
        <w:t>s (</w:t>
      </w:r>
      <w:r w:rsidR="00F90A76">
        <w:t>per-protocol (</w:t>
      </w:r>
      <w:r w:rsidRPr="00174A91">
        <w:t>PP</w:t>
      </w:r>
      <w:r w:rsidR="00F90A76">
        <w:t>)</w:t>
      </w:r>
      <w:r w:rsidRPr="00174A91">
        <w:t xml:space="preserve"> </w:t>
      </w:r>
      <w:r w:rsidR="0021744F" w:rsidRPr="00174A91">
        <w:t>i</w:t>
      </w:r>
      <w:r w:rsidRPr="00174A91">
        <w:t xml:space="preserve">mmunogenicity </w:t>
      </w:r>
      <w:r w:rsidR="0021744F" w:rsidRPr="00174A91">
        <w:t>s</w:t>
      </w:r>
      <w:r w:rsidRPr="00174A91">
        <w:t>et)</w:t>
      </w:r>
    </w:p>
    <w:p w14:paraId="0551344D" w14:textId="32239A43" w:rsidR="00291659" w:rsidRPr="002A6693" w:rsidRDefault="002A6693" w:rsidP="002A6693">
      <w:pPr>
        <w:rPr>
          <w:b/>
          <w:bCs/>
        </w:rPr>
      </w:pPr>
      <w:r w:rsidRPr="007A3F90">
        <w:rPr>
          <w:noProof/>
          <w:lang w:val="en-GB" w:eastAsia="en-GB"/>
        </w:rPr>
        <w:drawing>
          <wp:inline distT="0" distB="0" distL="0" distR="0" wp14:anchorId="1AE1C673" wp14:editId="5DBD7D5D">
            <wp:extent cx="5422892" cy="2460291"/>
            <wp:effectExtent l="0" t="0" r="6985" b="0"/>
            <wp:docPr id="40" name="Picture 40" descr="This table describes the analysis of PsVNA ID50 ti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table describes the analysis of PsVNA ID50 titers."/>
                    <pic:cNvPicPr/>
                  </pic:nvPicPr>
                  <pic:blipFill rotWithShape="1">
                    <a:blip r:embed="rId35"/>
                    <a:srcRect b="4546"/>
                    <a:stretch/>
                  </pic:blipFill>
                  <pic:spPr bwMode="auto">
                    <a:xfrm>
                      <a:off x="0" y="0"/>
                      <a:ext cx="5464142" cy="2479006"/>
                    </a:xfrm>
                    <a:prstGeom prst="rect">
                      <a:avLst/>
                    </a:prstGeom>
                    <a:ln>
                      <a:noFill/>
                    </a:ln>
                    <a:extLst>
                      <a:ext uri="{53640926-AAD7-44D8-BBD7-CCE9431645EC}">
                        <a14:shadowObscured xmlns:a14="http://schemas.microsoft.com/office/drawing/2010/main"/>
                      </a:ext>
                    </a:extLst>
                  </pic:spPr>
                </pic:pic>
              </a:graphicData>
            </a:graphic>
          </wp:inline>
        </w:drawing>
      </w:r>
    </w:p>
    <w:p w14:paraId="320D6849" w14:textId="16A8C2D8" w:rsidR="002A6693" w:rsidRPr="00174A91" w:rsidRDefault="002A6693" w:rsidP="00174A91">
      <w:pPr>
        <w:pStyle w:val="TableTitle"/>
      </w:pPr>
      <w:r w:rsidRPr="00174A91">
        <w:t>Table 1</w:t>
      </w:r>
      <w:r w:rsidR="00174A91" w:rsidRPr="00174A91">
        <w:t>6</w:t>
      </w:r>
      <w:r w:rsidR="00C9051E">
        <w:t>:</w:t>
      </w:r>
      <w:r w:rsidR="00174A91" w:rsidRPr="00174A91">
        <w:t xml:space="preserve"> </w:t>
      </w:r>
      <w:r w:rsidRPr="00174A91">
        <w:t xml:space="preserve">Analysis of </w:t>
      </w:r>
      <w:proofErr w:type="spellStart"/>
      <w:r w:rsidR="00585246">
        <w:t>p</w:t>
      </w:r>
      <w:r w:rsidR="00585246" w:rsidRPr="002A6693">
        <w:t>seudovirus</w:t>
      </w:r>
      <w:proofErr w:type="spellEnd"/>
      <w:r w:rsidR="00585246" w:rsidRPr="002A6693">
        <w:t xml:space="preserve"> </w:t>
      </w:r>
      <w:r w:rsidR="00585246">
        <w:t>n</w:t>
      </w:r>
      <w:r w:rsidR="00585246" w:rsidRPr="002A6693">
        <w:t>eutrali</w:t>
      </w:r>
      <w:r w:rsidR="00585246">
        <w:t>s</w:t>
      </w:r>
      <w:r w:rsidR="00585246" w:rsidRPr="002A6693">
        <w:t xml:space="preserve">ing </w:t>
      </w:r>
      <w:r w:rsidR="00585246">
        <w:t>a</w:t>
      </w:r>
      <w:r w:rsidR="00585246" w:rsidRPr="002A6693">
        <w:t xml:space="preserve">ntibody </w:t>
      </w:r>
      <w:r w:rsidR="00585246">
        <w:t>50% inhibitory concentration</w:t>
      </w:r>
      <w:r w:rsidRPr="00174A91">
        <w:t xml:space="preserve">: mRNA-1273 </w:t>
      </w:r>
      <w:r w:rsidR="0021744F" w:rsidRPr="00174A91">
        <w:t>p</w:t>
      </w:r>
      <w:r w:rsidRPr="00174A91">
        <w:t>ost-</w:t>
      </w:r>
      <w:r w:rsidR="0021744F" w:rsidRPr="00174A91">
        <w:t>b</w:t>
      </w:r>
      <w:r w:rsidRPr="00174A91">
        <w:t xml:space="preserve">ooster </w:t>
      </w:r>
      <w:r w:rsidR="0021744F" w:rsidRPr="00174A91">
        <w:t>c</w:t>
      </w:r>
      <w:r w:rsidRPr="00174A91">
        <w:t xml:space="preserve">ompared with the </w:t>
      </w:r>
      <w:r w:rsidR="0021744F" w:rsidRPr="00174A91">
        <w:t>Study</w:t>
      </w:r>
      <w:r w:rsidR="00585246">
        <w:t> </w:t>
      </w:r>
      <w:r w:rsidRPr="00174A91">
        <w:t xml:space="preserve">P301 Primary </w:t>
      </w:r>
      <w:r w:rsidR="0021744F" w:rsidRPr="00174A91">
        <w:t>s</w:t>
      </w:r>
      <w:r w:rsidRPr="00174A91">
        <w:t xml:space="preserve">eries </w:t>
      </w:r>
      <w:r w:rsidR="0021744F" w:rsidRPr="00174A91">
        <w:t>p</w:t>
      </w:r>
      <w:r w:rsidRPr="00174A91">
        <w:t xml:space="preserve">eak </w:t>
      </w:r>
      <w:r w:rsidR="00524504">
        <w:t>titre</w:t>
      </w:r>
      <w:r w:rsidRPr="00174A91">
        <w:t>s</w:t>
      </w:r>
      <w:r w:rsidR="00C9051E">
        <w:t>,</w:t>
      </w:r>
      <w:r w:rsidRPr="00174A91">
        <w:t xml:space="preserve"> by </w:t>
      </w:r>
      <w:r w:rsidR="0021744F" w:rsidRPr="00174A91">
        <w:t>p</w:t>
      </w:r>
      <w:r w:rsidRPr="00174A91">
        <w:t xml:space="preserve">rimary </w:t>
      </w:r>
      <w:r w:rsidR="0021744F" w:rsidRPr="00174A91">
        <w:t>s</w:t>
      </w:r>
      <w:r w:rsidRPr="00174A91">
        <w:t xml:space="preserve">eries </w:t>
      </w:r>
      <w:r w:rsidR="0021744F" w:rsidRPr="00174A91">
        <w:t>g</w:t>
      </w:r>
      <w:r w:rsidRPr="00174A91">
        <w:t>roups (</w:t>
      </w:r>
      <w:r w:rsidR="008C3961">
        <w:t>per-protocol (</w:t>
      </w:r>
      <w:r w:rsidRPr="00174A91">
        <w:t>PP</w:t>
      </w:r>
      <w:r w:rsidR="008C3961">
        <w:t>)</w:t>
      </w:r>
      <w:r w:rsidRPr="00174A91">
        <w:t xml:space="preserve"> </w:t>
      </w:r>
      <w:r w:rsidR="0021744F" w:rsidRPr="00174A91">
        <w:t>i</w:t>
      </w:r>
      <w:r w:rsidRPr="00174A91">
        <w:t xml:space="preserve">mmunogenicity </w:t>
      </w:r>
      <w:r w:rsidR="0021744F" w:rsidRPr="00174A91">
        <w:t>s</w:t>
      </w:r>
      <w:r w:rsidRPr="00174A91">
        <w:t>et)</w:t>
      </w:r>
    </w:p>
    <w:p w14:paraId="435A787E" w14:textId="2EEAE505" w:rsidR="002A6693" w:rsidRDefault="002A6693" w:rsidP="002A6693">
      <w:pPr>
        <w:rPr>
          <w:b/>
          <w:bCs/>
        </w:rPr>
      </w:pPr>
      <w:r w:rsidRPr="00F34F17">
        <w:rPr>
          <w:b/>
          <w:bCs/>
          <w:noProof/>
          <w:lang w:val="en-GB" w:eastAsia="en-GB"/>
        </w:rPr>
        <w:drawing>
          <wp:inline distT="0" distB="0" distL="0" distR="0" wp14:anchorId="6D97400B" wp14:editId="572367D1">
            <wp:extent cx="5461477" cy="2851150"/>
            <wp:effectExtent l="0" t="0" r="6350" b="6350"/>
            <wp:docPr id="41" name="Picture 41" descr="This table describes the analysis of PsVNA ID50 ti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is table describes the analysis of PsVNA ID50 titers."/>
                    <pic:cNvPicPr/>
                  </pic:nvPicPr>
                  <pic:blipFill>
                    <a:blip r:embed="rId36"/>
                    <a:stretch>
                      <a:fillRect/>
                    </a:stretch>
                  </pic:blipFill>
                  <pic:spPr>
                    <a:xfrm>
                      <a:off x="0" y="0"/>
                      <a:ext cx="5544767" cy="2894631"/>
                    </a:xfrm>
                    <a:prstGeom prst="rect">
                      <a:avLst/>
                    </a:prstGeom>
                  </pic:spPr>
                </pic:pic>
              </a:graphicData>
            </a:graphic>
          </wp:inline>
        </w:drawing>
      </w:r>
    </w:p>
    <w:p w14:paraId="6454D1D9" w14:textId="1130C8B5" w:rsidR="002A6693" w:rsidRPr="002A6693" w:rsidRDefault="002A6693" w:rsidP="002A6693">
      <w:pPr>
        <w:pStyle w:val="Heading4"/>
      </w:pPr>
      <w:proofErr w:type="spellStart"/>
      <w:r w:rsidRPr="002A6693">
        <w:t>Seroresponse</w:t>
      </w:r>
      <w:proofErr w:type="spellEnd"/>
      <w:r w:rsidRPr="002A6693">
        <w:t xml:space="preserve"> rates as assessed by </w:t>
      </w:r>
      <w:proofErr w:type="spellStart"/>
      <w:r w:rsidR="00585246">
        <w:t>p</w:t>
      </w:r>
      <w:r w:rsidR="00585246" w:rsidRPr="002A6693">
        <w:t>seudovirus</w:t>
      </w:r>
      <w:proofErr w:type="spellEnd"/>
      <w:r w:rsidR="00585246" w:rsidRPr="002A6693">
        <w:t xml:space="preserve"> </w:t>
      </w:r>
      <w:r w:rsidR="00585246">
        <w:t>n</w:t>
      </w:r>
      <w:r w:rsidR="00585246" w:rsidRPr="002A6693">
        <w:t>eutrali</w:t>
      </w:r>
      <w:r w:rsidR="00585246">
        <w:t>s</w:t>
      </w:r>
      <w:r w:rsidR="00585246" w:rsidRPr="002A6693">
        <w:t xml:space="preserve">ing </w:t>
      </w:r>
      <w:r w:rsidR="00585246">
        <w:t>a</w:t>
      </w:r>
      <w:r w:rsidR="00585246" w:rsidRPr="002A6693">
        <w:t xml:space="preserve">ntibody </w:t>
      </w:r>
      <w:r w:rsidR="00585246">
        <w:t>50% inhibitory concentration</w:t>
      </w:r>
      <w:r w:rsidR="00585246" w:rsidRPr="002A6693">
        <w:t xml:space="preserve"> </w:t>
      </w:r>
      <w:r w:rsidR="00524504">
        <w:t>titre</w:t>
      </w:r>
      <w:r w:rsidRPr="002A6693">
        <w:t>s</w:t>
      </w:r>
    </w:p>
    <w:p w14:paraId="2503581C" w14:textId="58506771" w:rsidR="002A6693" w:rsidRPr="002A6693" w:rsidRDefault="002A6693" w:rsidP="002A6693">
      <w:r w:rsidRPr="002A6693">
        <w:t xml:space="preserve">The calculated </w:t>
      </w:r>
      <w:proofErr w:type="spellStart"/>
      <w:r w:rsidR="00585246">
        <w:t>s</w:t>
      </w:r>
      <w:r w:rsidR="00585246" w:rsidRPr="002A6693">
        <w:t>eroresponse</w:t>
      </w:r>
      <w:proofErr w:type="spellEnd"/>
      <w:r w:rsidR="00585246" w:rsidRPr="002A6693">
        <w:t xml:space="preserve"> rates </w:t>
      </w:r>
      <w:r w:rsidR="00585246">
        <w:t>(</w:t>
      </w:r>
      <w:r w:rsidRPr="00D95B85">
        <w:t>SRR</w:t>
      </w:r>
      <w:r w:rsidR="00585246">
        <w:t>)</w:t>
      </w:r>
      <w:r w:rsidRPr="002A6693">
        <w:t xml:space="preserve"> difference (for </w:t>
      </w:r>
      <w:proofErr w:type="spellStart"/>
      <w:r w:rsidRPr="002A6693">
        <w:t>PsVNA</w:t>
      </w:r>
      <w:proofErr w:type="spellEnd"/>
      <w:r w:rsidRPr="002A6693">
        <w:t xml:space="preserve"> ID</w:t>
      </w:r>
      <w:r w:rsidRPr="007A06D0">
        <w:rPr>
          <w:vertAlign w:val="subscript"/>
        </w:rPr>
        <w:t>50</w:t>
      </w:r>
      <w:r w:rsidRPr="002A6693">
        <w:t xml:space="preserve"> </w:t>
      </w:r>
      <w:r w:rsidR="00524504">
        <w:t>titre</w:t>
      </w:r>
      <w:r w:rsidRPr="002A6693">
        <w:t xml:space="preserve">s) between </w:t>
      </w:r>
      <w:r w:rsidR="0021744F">
        <w:t xml:space="preserve">Study </w:t>
      </w:r>
      <w:r w:rsidRPr="002A6693">
        <w:t xml:space="preserve">P201 Part B Day 29 post booster and </w:t>
      </w:r>
      <w:r w:rsidR="0021744F">
        <w:t xml:space="preserve">Study </w:t>
      </w:r>
      <w:r w:rsidRPr="002A6693">
        <w:t>P301 Part A Day 57 was assessed. This analysis was performed using 2 definitions of SRR: (</w:t>
      </w:r>
      <w:proofErr w:type="spellStart"/>
      <w:r w:rsidRPr="002A6693">
        <w:t>i</w:t>
      </w:r>
      <w:proofErr w:type="spellEnd"/>
      <w:r w:rsidRPr="002A6693">
        <w:t>) an assay-specific definition (</w:t>
      </w:r>
      <w:proofErr w:type="gramStart"/>
      <w:r w:rsidRPr="002A6693">
        <w:t>3.3</w:t>
      </w:r>
      <w:r w:rsidR="00A51ED7">
        <w:t xml:space="preserve"> fold</w:t>
      </w:r>
      <w:proofErr w:type="gramEnd"/>
      <w:r w:rsidRPr="002A6693">
        <w:t xml:space="preserve"> rise) proposed by the </w:t>
      </w:r>
      <w:r w:rsidR="0021744F">
        <w:t>s</w:t>
      </w:r>
      <w:r w:rsidRPr="002A6693">
        <w:t>ponsor, and (ii) a 4</w:t>
      </w:r>
      <w:r w:rsidR="00A51ED7">
        <w:t xml:space="preserve"> fold</w:t>
      </w:r>
      <w:r w:rsidRPr="002A6693">
        <w:t xml:space="preserve"> rise definition as a more conservative approach. The primary analysis used the </w:t>
      </w:r>
      <w:proofErr w:type="gramStart"/>
      <w:r w:rsidRPr="002A6693">
        <w:t>4</w:t>
      </w:r>
      <w:r w:rsidR="00A51ED7">
        <w:t xml:space="preserve"> fold</w:t>
      </w:r>
      <w:proofErr w:type="gramEnd"/>
      <w:r w:rsidRPr="002A6693">
        <w:t xml:space="preserve"> definition (ii).</w:t>
      </w:r>
    </w:p>
    <w:p w14:paraId="0C5801B1" w14:textId="17907251" w:rsidR="002A6693" w:rsidRPr="002A6693" w:rsidRDefault="002A6693" w:rsidP="002A6693">
      <w:r w:rsidRPr="002A6693">
        <w:t>Using the assay-specific definition (</w:t>
      </w:r>
      <w:proofErr w:type="gramStart"/>
      <w:r w:rsidRPr="002A6693">
        <w:t>3.3</w:t>
      </w:r>
      <w:r w:rsidR="00A51ED7">
        <w:t xml:space="preserve"> fold</w:t>
      </w:r>
      <w:proofErr w:type="gramEnd"/>
      <w:r w:rsidRPr="002A6693">
        <w:t xml:space="preserve"> rise), the calculated difference in SRR between </w:t>
      </w:r>
      <w:r w:rsidR="00D95B85" w:rsidRPr="00F90A76">
        <w:t xml:space="preserve">Study </w:t>
      </w:r>
      <w:r w:rsidRPr="00F90A76">
        <w:t xml:space="preserve">P201 Part B Day 29 post-boost and </w:t>
      </w:r>
      <w:r w:rsidR="00D95B85" w:rsidRPr="00F90A76">
        <w:t xml:space="preserve">Study </w:t>
      </w:r>
      <w:r w:rsidRPr="00F90A76">
        <w:t xml:space="preserve">P301 Part A Day 57 is -5.3% (95% CI: </w:t>
      </w:r>
      <w:r w:rsidR="00585246">
        <w:noBreakHyphen/>
      </w:r>
      <w:r w:rsidRPr="00F90A76">
        <w:t>8.8%, -2.9%) (Table 1</w:t>
      </w:r>
      <w:r w:rsidR="002E54E2" w:rsidRPr="00F90A76">
        <w:t>7</w:t>
      </w:r>
      <w:r w:rsidRPr="00F90A76">
        <w:t>).</w:t>
      </w:r>
      <w:r w:rsidRPr="002A6693">
        <w:t xml:space="preserve"> The lower bound of the 95% CI is -8.8%, meeting the prespecified success criterion of a NIM of 10%. </w:t>
      </w:r>
    </w:p>
    <w:p w14:paraId="27459CC6" w14:textId="1B7E477F" w:rsidR="002A6693" w:rsidRPr="002A6693" w:rsidRDefault="002A6693" w:rsidP="002A6693">
      <w:r w:rsidRPr="002A6693">
        <w:lastRenderedPageBreak/>
        <w:t xml:space="preserve">Using the </w:t>
      </w:r>
      <w:proofErr w:type="gramStart"/>
      <w:r w:rsidRPr="002A6693">
        <w:t>4</w:t>
      </w:r>
      <w:r w:rsidR="00A51ED7">
        <w:t xml:space="preserve"> fold</w:t>
      </w:r>
      <w:proofErr w:type="gramEnd"/>
      <w:r w:rsidRPr="002A6693">
        <w:t xml:space="preserve"> rise definition, the calculated difference in SRR </w:t>
      </w:r>
      <w:r w:rsidRPr="00F90A76">
        <w:t xml:space="preserve">between </w:t>
      </w:r>
      <w:r w:rsidR="00D95B85" w:rsidRPr="00F90A76">
        <w:t xml:space="preserve">Study </w:t>
      </w:r>
      <w:r w:rsidRPr="00F90A76">
        <w:t>P201 Part</w:t>
      </w:r>
      <w:r w:rsidR="00585246">
        <w:t> </w:t>
      </w:r>
      <w:r w:rsidRPr="00F90A76">
        <w:t xml:space="preserve">B Day 29 post-boost and </w:t>
      </w:r>
      <w:r w:rsidR="00D95B85" w:rsidRPr="00F90A76">
        <w:t xml:space="preserve">Study </w:t>
      </w:r>
      <w:r w:rsidRPr="00F90A76">
        <w:t>P301 Part A Day 57 is -8.2% (95% CI: -12.2%, -5.2%) (Table 1</w:t>
      </w:r>
      <w:r w:rsidR="00074738" w:rsidRPr="00F90A76">
        <w:t>7</w:t>
      </w:r>
      <w:r w:rsidRPr="00F90A76">
        <w:t>).</w:t>
      </w:r>
      <w:r w:rsidRPr="002A6693">
        <w:t xml:space="preserve"> The lower bound of the 95% CI is less than -10% (the prespecified NIM of 10%).</w:t>
      </w:r>
    </w:p>
    <w:p w14:paraId="349C179F" w14:textId="3AE241FE" w:rsidR="002A6693" w:rsidRDefault="002A6693" w:rsidP="002A6693">
      <w:r w:rsidRPr="002A6693">
        <w:t>In general, the subgroup analysis (by prime series) and the SAP</w:t>
      </w:r>
      <w:r w:rsidR="00FA5F41">
        <w:t xml:space="preserve"> </w:t>
      </w:r>
      <w:r w:rsidRPr="002A6693">
        <w:t>specified sensitivity analysis yielded similar results in confirming that the NIM of -10% was not met.</w:t>
      </w:r>
    </w:p>
    <w:p w14:paraId="17BC6A6F" w14:textId="796D739F" w:rsidR="002A6693" w:rsidRDefault="002A6693" w:rsidP="00174A91">
      <w:pPr>
        <w:pStyle w:val="TableTitle"/>
      </w:pPr>
      <w:r w:rsidRPr="002A6693">
        <w:t>Table 1</w:t>
      </w:r>
      <w:r w:rsidR="00174A91">
        <w:t>7</w:t>
      </w:r>
      <w:r w:rsidR="00FA5F41">
        <w:t>:</w:t>
      </w:r>
      <w:r w:rsidR="00174A91">
        <w:t xml:space="preserve"> </w:t>
      </w:r>
      <w:r w:rsidRPr="002A6693">
        <w:t xml:space="preserve">Analysis of </w:t>
      </w:r>
      <w:proofErr w:type="spellStart"/>
      <w:r w:rsidR="00585246">
        <w:t>seroresponse</w:t>
      </w:r>
      <w:proofErr w:type="spellEnd"/>
      <w:r w:rsidR="00585246">
        <w:t xml:space="preserve"> rates</w:t>
      </w:r>
      <w:r w:rsidR="00585246" w:rsidRPr="002A6693">
        <w:t xml:space="preserve"> </w:t>
      </w:r>
      <w:r w:rsidRPr="002A6693">
        <w:t xml:space="preserve">by </w:t>
      </w:r>
      <w:proofErr w:type="spellStart"/>
      <w:r w:rsidR="00585246">
        <w:t>p</w:t>
      </w:r>
      <w:r w:rsidR="00585246" w:rsidRPr="002A6693">
        <w:t>seudovirus</w:t>
      </w:r>
      <w:proofErr w:type="spellEnd"/>
      <w:r w:rsidR="00585246" w:rsidRPr="002A6693">
        <w:t xml:space="preserve"> </w:t>
      </w:r>
      <w:r w:rsidR="00585246">
        <w:t>n</w:t>
      </w:r>
      <w:r w:rsidR="00585246" w:rsidRPr="002A6693">
        <w:t>eutrali</w:t>
      </w:r>
      <w:r w:rsidR="00585246">
        <w:t>s</w:t>
      </w:r>
      <w:r w:rsidR="00585246" w:rsidRPr="002A6693">
        <w:t xml:space="preserve">ing </w:t>
      </w:r>
      <w:r w:rsidR="00585246">
        <w:t>a</w:t>
      </w:r>
      <w:r w:rsidR="00585246" w:rsidRPr="002A6693">
        <w:t xml:space="preserve">ntibody </w:t>
      </w:r>
      <w:r w:rsidR="00585246">
        <w:t>50% inhibitory concentration</w:t>
      </w:r>
      <w:r w:rsidR="00585246" w:rsidRPr="002A6693">
        <w:t xml:space="preserve"> </w:t>
      </w:r>
      <w:r w:rsidR="00D95B85">
        <w:t>a</w:t>
      </w:r>
      <w:r w:rsidRPr="002A6693">
        <w:t xml:space="preserve">ssay: mRNA-1273 </w:t>
      </w:r>
      <w:r w:rsidR="00D95B85">
        <w:t>p</w:t>
      </w:r>
      <w:r w:rsidRPr="002A6693">
        <w:t>ost-</w:t>
      </w:r>
      <w:r w:rsidR="00D95B85">
        <w:t>b</w:t>
      </w:r>
      <w:r w:rsidRPr="002A6693">
        <w:t xml:space="preserve">ooster </w:t>
      </w:r>
      <w:r w:rsidR="00D95B85">
        <w:t>c</w:t>
      </w:r>
      <w:r w:rsidRPr="002A6693">
        <w:t xml:space="preserve">ompared with the </w:t>
      </w:r>
      <w:r w:rsidR="00D95B85">
        <w:t xml:space="preserve">Study </w:t>
      </w:r>
      <w:r w:rsidRPr="002A6693">
        <w:t xml:space="preserve">P301 Primary </w:t>
      </w:r>
      <w:r w:rsidR="00D95B85">
        <w:t>s</w:t>
      </w:r>
      <w:r w:rsidRPr="002A6693">
        <w:t xml:space="preserve">eries </w:t>
      </w:r>
      <w:r w:rsidR="00D95B85">
        <w:t>p</w:t>
      </w:r>
      <w:r w:rsidRPr="002A6693">
        <w:t xml:space="preserve">eak </w:t>
      </w:r>
      <w:r w:rsidR="00524504">
        <w:t>titre</w:t>
      </w:r>
      <w:r w:rsidRPr="002A6693">
        <w:t>s</w:t>
      </w:r>
      <w:r w:rsidR="00FA5F41">
        <w:t>,</w:t>
      </w:r>
      <w:r w:rsidRPr="002A6693">
        <w:t xml:space="preserve"> by </w:t>
      </w:r>
      <w:r w:rsidR="00D95B85">
        <w:t>p</w:t>
      </w:r>
      <w:r w:rsidRPr="002A6693">
        <w:t xml:space="preserve">rime </w:t>
      </w:r>
      <w:r w:rsidR="00D95B85">
        <w:t>s</w:t>
      </w:r>
      <w:r w:rsidRPr="002A6693">
        <w:t xml:space="preserve">eries </w:t>
      </w:r>
      <w:r w:rsidR="00D95B85">
        <w:t>g</w:t>
      </w:r>
      <w:r w:rsidRPr="002A6693">
        <w:t>roups (</w:t>
      </w:r>
      <w:r w:rsidR="008C3961">
        <w:t>per-protocol (</w:t>
      </w:r>
      <w:r w:rsidRPr="002A6693">
        <w:t>PP</w:t>
      </w:r>
      <w:r w:rsidR="008C3961">
        <w:t>)</w:t>
      </w:r>
      <w:r w:rsidRPr="002A6693">
        <w:t xml:space="preserve"> </w:t>
      </w:r>
      <w:r w:rsidR="00D95B85">
        <w:t>i</w:t>
      </w:r>
      <w:r w:rsidRPr="002A6693">
        <w:t xml:space="preserve">mmunogenicity </w:t>
      </w:r>
      <w:r w:rsidR="00D95B85">
        <w:t>s</w:t>
      </w:r>
      <w:r w:rsidRPr="002A6693">
        <w:t xml:space="preserve">et) </w:t>
      </w:r>
    </w:p>
    <w:p w14:paraId="2799CB69" w14:textId="5F6B3A7C" w:rsidR="002A6693" w:rsidRDefault="002A6693" w:rsidP="002A6693">
      <w:pPr>
        <w:rPr>
          <w:b/>
          <w:bCs/>
        </w:rPr>
      </w:pPr>
      <w:r w:rsidRPr="00790716">
        <w:rPr>
          <w:rFonts w:asciiTheme="minorHAnsi" w:hAnsiTheme="minorHAnsi"/>
          <w:b/>
          <w:bCs/>
          <w:noProof/>
          <w:sz w:val="28"/>
          <w:szCs w:val="28"/>
          <w:lang w:val="en-GB" w:eastAsia="en-GB"/>
        </w:rPr>
        <w:drawing>
          <wp:inline distT="0" distB="0" distL="0" distR="0" wp14:anchorId="70B196A0" wp14:editId="46550799">
            <wp:extent cx="4031868" cy="2485965"/>
            <wp:effectExtent l="0" t="0" r="6985" b="0"/>
            <wp:docPr id="42" name="Picture 42" descr="This table describes the analysis of SRR by PsVNA ID50 as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is table describes the analysis of SRR by PsVNA ID50 assay."/>
                    <pic:cNvPicPr/>
                  </pic:nvPicPr>
                  <pic:blipFill rotWithShape="1">
                    <a:blip r:embed="rId37"/>
                    <a:srcRect b="3981"/>
                    <a:stretch/>
                  </pic:blipFill>
                  <pic:spPr bwMode="auto">
                    <a:xfrm>
                      <a:off x="0" y="0"/>
                      <a:ext cx="4070318" cy="2509672"/>
                    </a:xfrm>
                    <a:prstGeom prst="rect">
                      <a:avLst/>
                    </a:prstGeom>
                    <a:ln>
                      <a:noFill/>
                    </a:ln>
                    <a:extLst>
                      <a:ext uri="{53640926-AAD7-44D8-BBD7-CCE9431645EC}">
                        <a14:shadowObscured xmlns:a14="http://schemas.microsoft.com/office/drawing/2010/main"/>
                      </a:ext>
                    </a:extLst>
                  </pic:spPr>
                </pic:pic>
              </a:graphicData>
            </a:graphic>
          </wp:inline>
        </w:drawing>
      </w:r>
    </w:p>
    <w:p w14:paraId="2FAF9378" w14:textId="0B0AFC45" w:rsidR="002A6693" w:rsidRPr="002A6693" w:rsidRDefault="002A6693" w:rsidP="00174A91">
      <w:pPr>
        <w:pStyle w:val="TableTitle"/>
      </w:pPr>
      <w:r w:rsidRPr="002A6693">
        <w:t>Table 1</w:t>
      </w:r>
      <w:r w:rsidR="00174A91">
        <w:t>8</w:t>
      </w:r>
      <w:r w:rsidR="00FA5F41">
        <w:t>:</w:t>
      </w:r>
      <w:r w:rsidR="00174A91">
        <w:t xml:space="preserve"> </w:t>
      </w:r>
      <w:r w:rsidRPr="002A6693">
        <w:t xml:space="preserve">Analysis of </w:t>
      </w:r>
      <w:proofErr w:type="spellStart"/>
      <w:r w:rsidR="00D95B85">
        <w:t>s</w:t>
      </w:r>
      <w:r w:rsidRPr="002A6693">
        <w:t>eroresponse</w:t>
      </w:r>
      <w:proofErr w:type="spellEnd"/>
      <w:r w:rsidRPr="002A6693">
        <w:t xml:space="preserve"> based on </w:t>
      </w:r>
      <w:proofErr w:type="spellStart"/>
      <w:r w:rsidR="00D95B85">
        <w:t>p</w:t>
      </w:r>
      <w:r w:rsidRPr="002A6693">
        <w:t>seudovirus</w:t>
      </w:r>
      <w:proofErr w:type="spellEnd"/>
      <w:r w:rsidRPr="002A6693">
        <w:t xml:space="preserve"> </w:t>
      </w:r>
      <w:r w:rsidR="00D95B85">
        <w:t>n</w:t>
      </w:r>
      <w:r w:rsidRPr="002A6693">
        <w:t>eutrali</w:t>
      </w:r>
      <w:r w:rsidR="00FA5F41">
        <w:t>s</w:t>
      </w:r>
      <w:r w:rsidRPr="002A6693">
        <w:t xml:space="preserve">ing </w:t>
      </w:r>
      <w:r w:rsidR="00D95B85">
        <w:t>a</w:t>
      </w:r>
      <w:r w:rsidRPr="002A6693">
        <w:t xml:space="preserve">ntibody </w:t>
      </w:r>
      <w:r w:rsidR="00524504">
        <w:t>titre</w:t>
      </w:r>
      <w:r w:rsidRPr="002A6693">
        <w:t xml:space="preserve">s by </w:t>
      </w:r>
      <w:r w:rsidR="00D95B85">
        <w:t>p</w:t>
      </w:r>
      <w:r w:rsidRPr="002A6693">
        <w:t xml:space="preserve">riming groups and </w:t>
      </w:r>
      <w:proofErr w:type="gramStart"/>
      <w:r w:rsidRPr="002A6693">
        <w:t>4</w:t>
      </w:r>
      <w:r w:rsidR="00A51ED7">
        <w:t xml:space="preserve"> fold</w:t>
      </w:r>
      <w:proofErr w:type="gramEnd"/>
      <w:r w:rsidRPr="002A6693">
        <w:t xml:space="preserve"> definition of the </w:t>
      </w:r>
      <w:proofErr w:type="spellStart"/>
      <w:r w:rsidR="00585246">
        <w:t>seroresponse</w:t>
      </w:r>
      <w:proofErr w:type="spellEnd"/>
      <w:r w:rsidR="00585246" w:rsidRPr="002A6693">
        <w:t xml:space="preserve"> </w:t>
      </w:r>
      <w:r w:rsidRPr="002A6693">
        <w:t>(</w:t>
      </w:r>
      <w:r w:rsidR="00D95B85">
        <w:t>p</w:t>
      </w:r>
      <w:r w:rsidRPr="002A6693">
        <w:t>er-</w:t>
      </w:r>
      <w:r w:rsidR="00D95B85">
        <w:t>p</w:t>
      </w:r>
      <w:r w:rsidRPr="002A6693">
        <w:t xml:space="preserve">rotocol </w:t>
      </w:r>
      <w:r w:rsidR="00D95B85">
        <w:t>i</w:t>
      </w:r>
      <w:r w:rsidRPr="002A6693">
        <w:t xml:space="preserve">mmunogenicity </w:t>
      </w:r>
      <w:r w:rsidR="00D95B85">
        <w:t>s</w:t>
      </w:r>
      <w:r w:rsidRPr="002A6693">
        <w:t xml:space="preserve">ubset) </w:t>
      </w:r>
      <w:r w:rsidR="00D95B85">
        <w:t>a</w:t>
      </w:r>
      <w:r w:rsidRPr="002A6693">
        <w:t xml:space="preserve">ntibody: </w:t>
      </w:r>
      <w:proofErr w:type="spellStart"/>
      <w:r w:rsidR="00D95B85">
        <w:t>p</w:t>
      </w:r>
      <w:r w:rsidRPr="002A6693">
        <w:t>seudovirus</w:t>
      </w:r>
      <w:proofErr w:type="spellEnd"/>
      <w:r w:rsidRPr="002A6693">
        <w:t xml:space="preserve"> </w:t>
      </w:r>
      <w:r w:rsidR="00D95B85">
        <w:t>n</w:t>
      </w:r>
      <w:r w:rsidRPr="002A6693">
        <w:t>eutrali</w:t>
      </w:r>
      <w:r w:rsidR="008C3961">
        <w:t>s</w:t>
      </w:r>
      <w:r w:rsidRPr="002A6693">
        <w:t xml:space="preserve">ing </w:t>
      </w:r>
      <w:r w:rsidR="00D95B85">
        <w:t>a</w:t>
      </w:r>
      <w:r w:rsidRPr="002A6693">
        <w:t xml:space="preserve">ntibody </w:t>
      </w:r>
      <w:r w:rsidR="00585246">
        <w:t>50% inhibitory</w:t>
      </w:r>
      <w:r w:rsidR="00585246" w:rsidRPr="002A6693">
        <w:t xml:space="preserve"> </w:t>
      </w:r>
      <w:r w:rsidR="00524504">
        <w:t>titre</w:t>
      </w:r>
      <w:r w:rsidRPr="002A6693">
        <w:t>s</w:t>
      </w:r>
    </w:p>
    <w:p w14:paraId="39264711" w14:textId="4D0B7E86" w:rsidR="002A6693" w:rsidRPr="002A6693" w:rsidRDefault="002A6693" w:rsidP="002A6693">
      <w:pPr>
        <w:rPr>
          <w:b/>
          <w:bCs/>
        </w:rPr>
      </w:pPr>
      <w:r w:rsidRPr="0081510B">
        <w:rPr>
          <w:rFonts w:asciiTheme="minorHAnsi" w:hAnsiTheme="minorHAnsi"/>
          <w:b/>
          <w:bCs/>
          <w:noProof/>
          <w:lang w:val="en-GB" w:eastAsia="en-GB"/>
        </w:rPr>
        <w:drawing>
          <wp:inline distT="0" distB="0" distL="0" distR="0" wp14:anchorId="4D01AD53" wp14:editId="4A8F4081">
            <wp:extent cx="4903237" cy="1160350"/>
            <wp:effectExtent l="0" t="0" r="0" b="1905"/>
            <wp:docPr id="45" name="Picture 45" descr="This table describes the Analysis of seroresponse based on pseudovirus neutralising antibody titers by priming groups and 4-fold definition of the SSR (per-protocol immunogenicity subset) anti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is table describes the Analysis of seroresponse based on pseudovirus neutralising antibody titers by priming groups and 4-fold definition of the SSR (per-protocol immunogenicity subset) antibody."/>
                    <pic:cNvPicPr/>
                  </pic:nvPicPr>
                  <pic:blipFill>
                    <a:blip r:embed="rId38"/>
                    <a:stretch>
                      <a:fillRect/>
                    </a:stretch>
                  </pic:blipFill>
                  <pic:spPr>
                    <a:xfrm>
                      <a:off x="0" y="0"/>
                      <a:ext cx="4965188" cy="1175011"/>
                    </a:xfrm>
                    <a:prstGeom prst="rect">
                      <a:avLst/>
                    </a:prstGeom>
                  </pic:spPr>
                </pic:pic>
              </a:graphicData>
            </a:graphic>
          </wp:inline>
        </w:drawing>
      </w:r>
    </w:p>
    <w:p w14:paraId="0460C736" w14:textId="174A650B" w:rsidR="002A6693" w:rsidRPr="002A6693" w:rsidRDefault="002A6693" w:rsidP="002A6693">
      <w:r w:rsidRPr="0081510B">
        <w:rPr>
          <w:rFonts w:asciiTheme="minorHAnsi" w:hAnsiTheme="minorHAnsi"/>
          <w:b/>
          <w:bCs/>
          <w:noProof/>
          <w:lang w:val="en-GB" w:eastAsia="en-GB"/>
        </w:rPr>
        <w:drawing>
          <wp:inline distT="0" distB="0" distL="0" distR="0" wp14:anchorId="1C132766" wp14:editId="1BDB8980">
            <wp:extent cx="5704082" cy="660400"/>
            <wp:effectExtent l="0" t="0" r="0" b="6350"/>
            <wp:docPr id="46" name="Picture 46" descr="This table describes the Analysis of seroresponse based on pseudovirus neutralising antibody titers by priming groups and 4-fold definition of the SSR (per-protocol immunogenicity subset) anti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is table describes the Analysis of seroresponse based on pseudovirus neutralising antibody titers by priming groups and 4-fold definition of the SSR (per-protocol immunogenicity subset) antibody."/>
                    <pic:cNvPicPr/>
                  </pic:nvPicPr>
                  <pic:blipFill>
                    <a:blip r:embed="rId39"/>
                    <a:stretch>
                      <a:fillRect/>
                    </a:stretch>
                  </pic:blipFill>
                  <pic:spPr>
                    <a:xfrm>
                      <a:off x="0" y="0"/>
                      <a:ext cx="5739544" cy="664506"/>
                    </a:xfrm>
                    <a:prstGeom prst="rect">
                      <a:avLst/>
                    </a:prstGeom>
                  </pic:spPr>
                </pic:pic>
              </a:graphicData>
            </a:graphic>
          </wp:inline>
        </w:drawing>
      </w:r>
    </w:p>
    <w:p w14:paraId="588F860C" w14:textId="51A94EAC" w:rsidR="002A6693" w:rsidRDefault="002A6693">
      <w:r>
        <w:t xml:space="preserve">In summary, effectiveness of the booster dose against the </w:t>
      </w:r>
      <w:r w:rsidR="007179E9">
        <w:t>WT</w:t>
      </w:r>
      <w:r>
        <w:t xml:space="preserve"> SARS-CoV-2 is being inferred based on </w:t>
      </w:r>
      <w:proofErr w:type="spellStart"/>
      <w:r>
        <w:t>immunobridging</w:t>
      </w:r>
      <w:proofErr w:type="spellEnd"/>
      <w:r>
        <w:t xml:space="preserve"> to the 2</w:t>
      </w:r>
      <w:r w:rsidR="007179E9">
        <w:t xml:space="preserve"> </w:t>
      </w:r>
      <w:r>
        <w:t>dose primary series, as assessed by SARS</w:t>
      </w:r>
      <w:r w:rsidR="00585246">
        <w:noBreakHyphen/>
      </w:r>
      <w:r>
        <w:t>CoV</w:t>
      </w:r>
      <w:r w:rsidR="00585246">
        <w:noBreakHyphen/>
      </w:r>
      <w:r>
        <w:t>2 neutrali</w:t>
      </w:r>
      <w:r w:rsidR="008C3961">
        <w:t>s</w:t>
      </w:r>
      <w:r>
        <w:t xml:space="preserve">ing antibody </w:t>
      </w:r>
      <w:r w:rsidR="00524504">
        <w:t>titre</w:t>
      </w:r>
      <w:r>
        <w:t xml:space="preserve">s elicited by the vaccine. </w:t>
      </w:r>
      <w:proofErr w:type="spellStart"/>
      <w:r>
        <w:t>Immunobridging</w:t>
      </w:r>
      <w:proofErr w:type="spellEnd"/>
      <w:r>
        <w:t xml:space="preserve"> analyses against the </w:t>
      </w:r>
      <w:r w:rsidR="00FA5F41">
        <w:t>WT</w:t>
      </w:r>
      <w:r>
        <w:t xml:space="preserve"> SARS-CoV-2 met the pre-specified success criteria for the GMT ratio (</w:t>
      </w:r>
      <w:r w:rsidR="00D95B85">
        <w:t>Study</w:t>
      </w:r>
      <w:r w:rsidR="00585246">
        <w:t> </w:t>
      </w:r>
      <w:r>
        <w:t>P201</w:t>
      </w:r>
      <w:r w:rsidR="00585246">
        <w:t xml:space="preserve"> Part </w:t>
      </w:r>
      <w:r>
        <w:t>B/</w:t>
      </w:r>
      <w:r w:rsidR="00D95B85">
        <w:t xml:space="preserve">Study </w:t>
      </w:r>
      <w:r>
        <w:t xml:space="preserve">P301). The pre-specified success criterion for the difference in </w:t>
      </w:r>
      <w:proofErr w:type="spellStart"/>
      <w:r>
        <w:t>seroresponse</w:t>
      </w:r>
      <w:proofErr w:type="spellEnd"/>
      <w:r>
        <w:t xml:space="preserve"> rates after the booster dose compared to after </w:t>
      </w:r>
      <w:r w:rsidR="00FA5F41">
        <w:t>D</w:t>
      </w:r>
      <w:r>
        <w:t xml:space="preserve">ose 2, was not met. The lower limit of the 95% </w:t>
      </w:r>
      <w:r w:rsidR="00FA5F41">
        <w:t>CI</w:t>
      </w:r>
      <w:r>
        <w:t xml:space="preserve"> for the difference in </w:t>
      </w:r>
      <w:proofErr w:type="spellStart"/>
      <w:r>
        <w:t>seroresponse</w:t>
      </w:r>
      <w:proofErr w:type="spellEnd"/>
      <w:r>
        <w:t xml:space="preserve"> rate (</w:t>
      </w:r>
      <w:r w:rsidR="00D7030A">
        <w:t xml:space="preserve">Study P201 Part B </w:t>
      </w:r>
      <w:r>
        <w:t xml:space="preserve">booster dose – </w:t>
      </w:r>
      <w:r w:rsidR="00D95B85">
        <w:t xml:space="preserve">Study </w:t>
      </w:r>
      <w:r>
        <w:t>P301 primary series) was &lt;-10% (-16.7%). In post-hoc analyses, participants with lower pre-booster neutrali</w:t>
      </w:r>
      <w:r w:rsidR="008C3961">
        <w:t>s</w:t>
      </w:r>
      <w:r>
        <w:t xml:space="preserve">ing antibody </w:t>
      </w:r>
      <w:r w:rsidR="00524504">
        <w:t>titre</w:t>
      </w:r>
      <w:r>
        <w:t xml:space="preserve">s were more likely to achieve a </w:t>
      </w:r>
      <w:proofErr w:type="gramStart"/>
      <w:r>
        <w:t>4</w:t>
      </w:r>
      <w:r w:rsidR="00A51ED7">
        <w:t xml:space="preserve"> fold</w:t>
      </w:r>
      <w:proofErr w:type="gramEnd"/>
      <w:r>
        <w:t xml:space="preserve"> rise in neutrali</w:t>
      </w:r>
      <w:r w:rsidR="008C3961">
        <w:t>s</w:t>
      </w:r>
      <w:r>
        <w:t xml:space="preserve">ing antibody </w:t>
      </w:r>
      <w:r w:rsidR="00524504">
        <w:t>titre</w:t>
      </w:r>
      <w:r>
        <w:t>s after booster vaccination compared to participants with higher pre-booster neutrali</w:t>
      </w:r>
      <w:r w:rsidR="008C3961">
        <w:t>s</w:t>
      </w:r>
      <w:r>
        <w:t xml:space="preserve">ing antibody </w:t>
      </w:r>
      <w:r w:rsidR="00524504">
        <w:t>titre</w:t>
      </w:r>
      <w:r>
        <w:t>s.</w:t>
      </w:r>
    </w:p>
    <w:p w14:paraId="15167253" w14:textId="5A080449" w:rsidR="002A6693" w:rsidRDefault="002A6693">
      <w:r>
        <w:lastRenderedPageBreak/>
        <w:t xml:space="preserve">According to </w:t>
      </w:r>
      <w:r w:rsidRPr="008C3961">
        <w:t>the SAP,</w:t>
      </w:r>
      <w:r>
        <w:t xml:space="preserve"> both criteria on GMR and </w:t>
      </w:r>
      <w:proofErr w:type="spellStart"/>
      <w:r>
        <w:t>seroresponse</w:t>
      </w:r>
      <w:proofErr w:type="spellEnd"/>
      <w:r>
        <w:t xml:space="preserve"> needed to be demonstrated to conclude on non-inferiority of the booster dose in comparison to the primary vaccination series. No sequence of immunogenicity endpoints was defined in the SAP and the protocol considered the assessment of </w:t>
      </w:r>
      <w:proofErr w:type="spellStart"/>
      <w:r w:rsidRPr="008C3961">
        <w:t>bAb</w:t>
      </w:r>
      <w:proofErr w:type="spellEnd"/>
      <w:r>
        <w:t xml:space="preserve"> levels as primary objective followed by the assessment of </w:t>
      </w:r>
      <w:proofErr w:type="spellStart"/>
      <w:r w:rsidRPr="008C3961">
        <w:t>nAb</w:t>
      </w:r>
      <w:proofErr w:type="spellEnd"/>
      <w:r>
        <w:t xml:space="preserve"> levels. Non-inferiority was met for all assays based on the GMR. Non-inferiority was not formally met for the</w:t>
      </w:r>
      <w:r w:rsidR="008C3961">
        <w:t xml:space="preserve"> enzyme-linked immunosorbent </w:t>
      </w:r>
      <w:r w:rsidR="008C3961" w:rsidRPr="008C3961">
        <w:t>(</w:t>
      </w:r>
      <w:r w:rsidRPr="008C3961">
        <w:t>ELISA</w:t>
      </w:r>
      <w:r w:rsidR="008C3961" w:rsidRPr="008C3961">
        <w:t>)</w:t>
      </w:r>
      <w:r>
        <w:t xml:space="preserve"> assay and </w:t>
      </w:r>
      <w:proofErr w:type="spellStart"/>
      <w:r>
        <w:t>PsVNA</w:t>
      </w:r>
      <w:proofErr w:type="spellEnd"/>
      <w:r>
        <w:t xml:space="preserve"> ID</w:t>
      </w:r>
      <w:r w:rsidRPr="007A06D0">
        <w:rPr>
          <w:vertAlign w:val="subscript"/>
        </w:rPr>
        <w:t>50</w:t>
      </w:r>
      <w:r>
        <w:t xml:space="preserve"> in the 100</w:t>
      </w:r>
      <w:r w:rsidR="00EF0275">
        <w:t xml:space="preserve"> </w:t>
      </w:r>
      <w:proofErr w:type="spellStart"/>
      <w:r>
        <w:t>μg</w:t>
      </w:r>
      <w:proofErr w:type="spellEnd"/>
      <w:r>
        <w:t xml:space="preserve"> prime cohort, which is of primary interest. As especially the </w:t>
      </w:r>
      <w:proofErr w:type="spellStart"/>
      <w:r w:rsidR="00EF0275">
        <w:t>nAbs</w:t>
      </w:r>
      <w:proofErr w:type="spellEnd"/>
      <w:r>
        <w:t xml:space="preserve"> and the increase in antibody titres is considered of primary relevance for the assessment of the immunogenicity of the booster dose, the failure to prove non-inferiority in </w:t>
      </w:r>
      <w:proofErr w:type="spellStart"/>
      <w:r>
        <w:t>seroresponse</w:t>
      </w:r>
      <w:proofErr w:type="spellEnd"/>
      <w:r>
        <w:t xml:space="preserve"> after the booster dose in comparison to the primary vaccination series is not considered of critical importance. Possible explanation of lower SRR following a third dose can be explained by residual higher levels of </w:t>
      </w:r>
      <w:proofErr w:type="spellStart"/>
      <w:r>
        <w:t>nAbs</w:t>
      </w:r>
      <w:proofErr w:type="spellEnd"/>
      <w:r>
        <w:t xml:space="preserve"> pre booster in </w:t>
      </w:r>
      <w:r w:rsidR="00D95B85">
        <w:t>S</w:t>
      </w:r>
      <w:r>
        <w:t xml:space="preserve">tudy P201 and by the fact that the response rates following a booster dose were compared to peak levels after the primary series in </w:t>
      </w:r>
      <w:r w:rsidR="00D95B85">
        <w:t>S</w:t>
      </w:r>
      <w:r>
        <w:t xml:space="preserve">tudy P301. It should be noted that two different study populations were compared and the </w:t>
      </w:r>
      <w:proofErr w:type="spellStart"/>
      <w:r>
        <w:t>nAb</w:t>
      </w:r>
      <w:proofErr w:type="spellEnd"/>
      <w:r>
        <w:t xml:space="preserve"> levels reported in these populations post </w:t>
      </w:r>
      <w:r w:rsidR="00074738">
        <w:t>D</w:t>
      </w:r>
      <w:r>
        <w:t xml:space="preserve">ose 2 (GMT: </w:t>
      </w:r>
      <w:r w:rsidR="00D95B85">
        <w:t xml:space="preserve">Study </w:t>
      </w:r>
      <w:r>
        <w:t xml:space="preserve">P201 </w:t>
      </w:r>
      <w:r w:rsidR="005E3067">
        <w:t xml:space="preserve">approximately with </w:t>
      </w:r>
      <w:r>
        <w:t>1200 v</w:t>
      </w:r>
      <w:r w:rsidR="00FA5F41">
        <w:t>ersu</w:t>
      </w:r>
      <w:r>
        <w:t xml:space="preserve">s </w:t>
      </w:r>
      <w:r w:rsidR="00D95B85">
        <w:t xml:space="preserve">Study </w:t>
      </w:r>
      <w:r>
        <w:t>P301</w:t>
      </w:r>
      <w:r w:rsidR="005E3067">
        <w:t xml:space="preserve"> with approxumately</w:t>
      </w:r>
      <w:r>
        <w:t>1000) differ.</w:t>
      </w:r>
    </w:p>
    <w:p w14:paraId="192C8636" w14:textId="1311C46C" w:rsidR="002A6693" w:rsidRDefault="002A6693" w:rsidP="002A6693">
      <w:r>
        <w:t>Additionally, the sponsor proposes to infer effectiveness of the booster dose against the Delta variant from exploratory descriptive analyses of neutrali</w:t>
      </w:r>
      <w:r w:rsidR="008C3961">
        <w:t>s</w:t>
      </w:r>
      <w:r>
        <w:t xml:space="preserve">ing antibody </w:t>
      </w:r>
      <w:r w:rsidR="00524504">
        <w:t>titre</w:t>
      </w:r>
      <w:r>
        <w:t xml:space="preserve">s against this variant evaluated among booster dose recipients from </w:t>
      </w:r>
      <w:r w:rsidR="00D95B85">
        <w:t>S</w:t>
      </w:r>
      <w:r>
        <w:t>tudy P201 Part B.</w:t>
      </w:r>
    </w:p>
    <w:p w14:paraId="5C2597F6" w14:textId="2E057F1A" w:rsidR="002A6693" w:rsidRDefault="002A6693" w:rsidP="002A6693">
      <w:r>
        <w:t xml:space="preserve">In conclusion, a booster dose of 50 </w:t>
      </w:r>
      <w:proofErr w:type="spellStart"/>
      <w:r>
        <w:t>μg</w:t>
      </w:r>
      <w:proofErr w:type="spellEnd"/>
      <w:r>
        <w:t xml:space="preserve"> dose administered 6</w:t>
      </w:r>
      <w:r w:rsidR="00074738">
        <w:t xml:space="preserve"> to </w:t>
      </w:r>
      <w:r>
        <w:t xml:space="preserve">8 months after the primary vaccination series was shown to elevate the neutralising antibody responses significantly. The antibody levels determined 28 days post </w:t>
      </w:r>
      <w:r w:rsidR="00074738">
        <w:t>D</w:t>
      </w:r>
      <w:r>
        <w:t xml:space="preserve">ose 3 were higher when compared to peak antibody levels 28 days post </w:t>
      </w:r>
      <w:r w:rsidR="00074738">
        <w:t>D</w:t>
      </w:r>
      <w:r>
        <w:t>ose 2.</w:t>
      </w:r>
    </w:p>
    <w:p w14:paraId="0C940E98" w14:textId="77777777" w:rsidR="002A6693" w:rsidRDefault="002A6693" w:rsidP="002A6693">
      <w:pPr>
        <w:pStyle w:val="Heading4"/>
      </w:pPr>
      <w:r>
        <w:t>Safety</w:t>
      </w:r>
    </w:p>
    <w:p w14:paraId="27008FF2" w14:textId="77777777" w:rsidR="002A6693" w:rsidRDefault="002A6693" w:rsidP="002A6693">
      <w:r>
        <w:t>Safety analyses presented in this review are derived from:</w:t>
      </w:r>
    </w:p>
    <w:p w14:paraId="5B9F0FA1" w14:textId="593CB03D" w:rsidR="002A6693" w:rsidRDefault="002A6693" w:rsidP="002A6693">
      <w:pPr>
        <w:pStyle w:val="ListBullet"/>
      </w:pPr>
      <w:r>
        <w:t xml:space="preserve">Summary of solicited </w:t>
      </w:r>
      <w:r w:rsidR="008C3961">
        <w:t>adverse reactions (</w:t>
      </w:r>
      <w:r>
        <w:t>A</w:t>
      </w:r>
      <w:r w:rsidR="007179E9">
        <w:t>R</w:t>
      </w:r>
      <w:r w:rsidR="008C3961">
        <w:t>)</w:t>
      </w:r>
      <w:r>
        <w:t xml:space="preserve"> and unsolicited AEs up to study Day 29 for Study P201 Part B. For </w:t>
      </w:r>
      <w:r w:rsidR="00D95B85">
        <w:t xml:space="preserve">Study </w:t>
      </w:r>
      <w:r>
        <w:t>P201 Part B, results are provided for recipients of (</w:t>
      </w:r>
      <w:proofErr w:type="spellStart"/>
      <w:r>
        <w:t>i</w:t>
      </w:r>
      <w:proofErr w:type="spellEnd"/>
      <w:r>
        <w:t xml:space="preserve">) 100 </w:t>
      </w:r>
      <w:proofErr w:type="spellStart"/>
      <w:r>
        <w:t>μg</w:t>
      </w:r>
      <w:proofErr w:type="spellEnd"/>
      <w:r>
        <w:t xml:space="preserve"> Prime + 50 </w:t>
      </w:r>
      <w:proofErr w:type="spellStart"/>
      <w:r>
        <w:t>μg</w:t>
      </w:r>
      <w:proofErr w:type="spellEnd"/>
      <w:r>
        <w:t xml:space="preserve"> Boost and (ii) 50 </w:t>
      </w:r>
      <w:proofErr w:type="spellStart"/>
      <w:r>
        <w:t>μg</w:t>
      </w:r>
      <w:proofErr w:type="spellEnd"/>
      <w:r>
        <w:t xml:space="preserve"> Prime + 50 </w:t>
      </w:r>
      <w:proofErr w:type="spellStart"/>
      <w:r>
        <w:t>μg</w:t>
      </w:r>
      <w:proofErr w:type="spellEnd"/>
      <w:r>
        <w:t xml:space="preserve"> Boost; and (iii) the combined </w:t>
      </w:r>
      <w:r w:rsidR="005E3067">
        <w:t>‘</w:t>
      </w:r>
      <w:r>
        <w:t xml:space="preserve">50 + 100 </w:t>
      </w:r>
      <w:proofErr w:type="spellStart"/>
      <w:r>
        <w:t>μg</w:t>
      </w:r>
      <w:proofErr w:type="spellEnd"/>
      <w:r w:rsidR="005E3067">
        <w:t>’</w:t>
      </w:r>
      <w:r>
        <w:t xml:space="preserve"> Prime + 50 </w:t>
      </w:r>
      <w:proofErr w:type="spellStart"/>
      <w:r>
        <w:t>μg</w:t>
      </w:r>
      <w:proofErr w:type="spellEnd"/>
      <w:r>
        <w:t xml:space="preserve"> Boost. </w:t>
      </w:r>
    </w:p>
    <w:p w14:paraId="00276FBB" w14:textId="11C7AB0F" w:rsidR="002A6693" w:rsidRDefault="002A6693" w:rsidP="002A6693">
      <w:pPr>
        <w:pStyle w:val="ListBullet"/>
      </w:pPr>
      <w:r>
        <w:t>Solicited ARs (post</w:t>
      </w:r>
      <w:r w:rsidR="00EF0275">
        <w:t xml:space="preserve"> </w:t>
      </w:r>
      <w:r w:rsidR="00D95B85">
        <w:t>D</w:t>
      </w:r>
      <w:r>
        <w:t xml:space="preserve">ose 2) and </w:t>
      </w:r>
      <w:r w:rsidR="008C3961">
        <w:t>u</w:t>
      </w:r>
      <w:r>
        <w:t xml:space="preserve">nsolicited AEs for 28 days post any dose from </w:t>
      </w:r>
      <w:r w:rsidR="00D95B85">
        <w:t xml:space="preserve">Study </w:t>
      </w:r>
      <w:r>
        <w:t xml:space="preserve">P201 Part A (100 </w:t>
      </w:r>
      <w:proofErr w:type="spellStart"/>
      <w:r>
        <w:t>μg</w:t>
      </w:r>
      <w:proofErr w:type="spellEnd"/>
      <w:r>
        <w:t xml:space="preserve"> prime series group) and </w:t>
      </w:r>
      <w:r w:rsidR="00D95B85">
        <w:t xml:space="preserve">Study </w:t>
      </w:r>
      <w:r>
        <w:t xml:space="preserve">P301 Part </w:t>
      </w:r>
      <w:proofErr w:type="gramStart"/>
      <w:r>
        <w:t>A;</w:t>
      </w:r>
      <w:proofErr w:type="gramEnd"/>
    </w:p>
    <w:p w14:paraId="03F5FD0E" w14:textId="4C677F33" w:rsidR="002A6693" w:rsidRDefault="002A6693" w:rsidP="002A6693">
      <w:pPr>
        <w:pStyle w:val="ListBullet"/>
      </w:pPr>
      <w:r>
        <w:t xml:space="preserve">Summaries of solicited AR and unsolicited AE (up to study Day 7) for the supportive </w:t>
      </w:r>
      <w:r w:rsidR="00D95B85">
        <w:t>s</w:t>
      </w:r>
      <w:r>
        <w:t>tudy</w:t>
      </w:r>
      <w:r w:rsidR="00FA5F41">
        <w:t>,</w:t>
      </w:r>
      <w:r>
        <w:t xml:space="preserve"> DMID Study 21-0012.</w:t>
      </w:r>
    </w:p>
    <w:p w14:paraId="12F7EFF1" w14:textId="0841FA7A" w:rsidR="00CA034B" w:rsidRDefault="002A6693" w:rsidP="00CA034B">
      <w:pPr>
        <w:pStyle w:val="ListBullet"/>
      </w:pPr>
      <w:r>
        <w:t xml:space="preserve">Updated listings of cumulative unsolicited AEs, SAEs, and </w:t>
      </w:r>
      <w:r w:rsidR="008C3961">
        <w:t>medically-attended adverse events (</w:t>
      </w:r>
      <w:r>
        <w:t>MAAE</w:t>
      </w:r>
      <w:r w:rsidR="008C3961">
        <w:t>)</w:t>
      </w:r>
      <w:r>
        <w:t xml:space="preserve"> from participants who received a single booster dose in Study P201 Part B, generated from a live ongoing database (data subject to further cleaning; data snapshot date 16 August 2021).</w:t>
      </w:r>
    </w:p>
    <w:p w14:paraId="70904018" w14:textId="05BC078D" w:rsidR="00CA034B" w:rsidRDefault="00CA034B" w:rsidP="00CA034B">
      <w:pPr>
        <w:pStyle w:val="Heading5"/>
      </w:pPr>
      <w:r>
        <w:t xml:space="preserve">Summary of </w:t>
      </w:r>
      <w:r w:rsidR="0068177D">
        <w:t>s</w:t>
      </w:r>
      <w:r>
        <w:t xml:space="preserve">olicited </w:t>
      </w:r>
      <w:r w:rsidR="0068177D">
        <w:t>l</w:t>
      </w:r>
      <w:r>
        <w:t xml:space="preserve">ocal </w:t>
      </w:r>
      <w:r w:rsidR="0068177D">
        <w:t>a</w:t>
      </w:r>
      <w:r>
        <w:t xml:space="preserve">dverse </w:t>
      </w:r>
      <w:r w:rsidR="0068177D">
        <w:t>r</w:t>
      </w:r>
      <w:r>
        <w:t>eactions</w:t>
      </w:r>
    </w:p>
    <w:p w14:paraId="68F7CC7B" w14:textId="60AEC59B" w:rsidR="00CA034B" w:rsidRDefault="00CA034B" w:rsidP="00CA034B">
      <w:r>
        <w:t>The following local ARs were evaluated in each study within 7 days after injection: pain at injection site, erythema (redness) at injection site, swelling (hardness) at injection site, and locali</w:t>
      </w:r>
      <w:r w:rsidR="008C3961">
        <w:t>s</w:t>
      </w:r>
      <w:r>
        <w:t>ed axillary swelling or tenderness ipsilateral to the injection arm.</w:t>
      </w:r>
    </w:p>
    <w:p w14:paraId="056C7CF4" w14:textId="2F4AD9F9" w:rsidR="00CA034B" w:rsidRPr="002C560A" w:rsidRDefault="00CA034B" w:rsidP="00CA034B">
      <w:r>
        <w:t xml:space="preserve">The most common solicited AR </w:t>
      </w:r>
      <w:r w:rsidRPr="002C560A">
        <w:t xml:space="preserve">after the 50 </w:t>
      </w:r>
      <w:proofErr w:type="spellStart"/>
      <w:r w:rsidRPr="002C560A">
        <w:t>μg</w:t>
      </w:r>
      <w:proofErr w:type="spellEnd"/>
      <w:r w:rsidRPr="002C560A">
        <w:t xml:space="preserve"> booster </w:t>
      </w:r>
      <w:proofErr w:type="gramStart"/>
      <w:r w:rsidRPr="002C560A">
        <w:t>dose</w:t>
      </w:r>
      <w:proofErr w:type="gramEnd"/>
      <w:r w:rsidRPr="002C560A">
        <w:t xml:space="preserve"> was pain (Table 1</w:t>
      </w:r>
      <w:r w:rsidR="00074738" w:rsidRPr="002C560A">
        <w:t>9</w:t>
      </w:r>
      <w:r w:rsidRPr="002C560A">
        <w:t xml:space="preserve">). Most solicited local ARs were </w:t>
      </w:r>
      <w:r w:rsidR="00FA5F41" w:rsidRPr="002C560A">
        <w:t>G</w:t>
      </w:r>
      <w:r w:rsidRPr="002C560A">
        <w:t xml:space="preserve">rade 1 to </w:t>
      </w:r>
      <w:r w:rsidR="00FA5F41" w:rsidRPr="002C560A">
        <w:t>G</w:t>
      </w:r>
      <w:r w:rsidRPr="002C560A">
        <w:t xml:space="preserve">rade 2 in severity. Pain was the </w:t>
      </w:r>
      <w:proofErr w:type="gramStart"/>
      <w:r w:rsidRPr="002C560A">
        <w:t>most commonly reported</w:t>
      </w:r>
      <w:proofErr w:type="gramEnd"/>
      <w:r w:rsidRPr="002C560A">
        <w:t xml:space="preserve"> </w:t>
      </w:r>
      <w:r w:rsidR="00FA5F41" w:rsidRPr="002C560A">
        <w:t>G</w:t>
      </w:r>
      <w:r w:rsidRPr="002C560A">
        <w:t xml:space="preserve">rade 3 local AR in </w:t>
      </w:r>
      <w:r w:rsidR="003B1037" w:rsidRPr="002C560A">
        <w:t xml:space="preserve">Study </w:t>
      </w:r>
      <w:r w:rsidRPr="002C560A">
        <w:t xml:space="preserve">P201 Part B. No </w:t>
      </w:r>
      <w:r w:rsidR="00FA5F41" w:rsidRPr="002C560A">
        <w:t>G</w:t>
      </w:r>
      <w:r w:rsidRPr="002C560A">
        <w:t xml:space="preserve">rade 4 solicited local ARs were reported in either primary series group in </w:t>
      </w:r>
      <w:r w:rsidR="003B1037" w:rsidRPr="002C560A">
        <w:t xml:space="preserve">Study </w:t>
      </w:r>
      <w:r w:rsidRPr="002C560A">
        <w:t>P201</w:t>
      </w:r>
      <w:r w:rsidRPr="007A06D0">
        <w:t>.</w:t>
      </w:r>
      <w:r w:rsidRPr="002C560A">
        <w:t xml:space="preserve"> Local ARs were transient, and most resolved by Day 4</w:t>
      </w:r>
      <w:r w:rsidRPr="007A06D0">
        <w:t>.</w:t>
      </w:r>
      <w:r w:rsidRPr="002C560A">
        <w:t xml:space="preserve"> The frequency and severity of solicited local ARs was numerically comparable between age cohorts (18 to &lt;</w:t>
      </w:r>
      <w:r w:rsidR="005E3067">
        <w:t xml:space="preserve"> </w:t>
      </w:r>
      <w:r w:rsidRPr="002C560A">
        <w:t>55; ≥</w:t>
      </w:r>
      <w:r w:rsidR="005E3067">
        <w:t xml:space="preserve"> </w:t>
      </w:r>
      <w:r w:rsidRPr="002C560A">
        <w:t>55 years of age</w:t>
      </w:r>
      <w:r w:rsidRPr="007A06D0">
        <w:t>).</w:t>
      </w:r>
    </w:p>
    <w:p w14:paraId="2E025031" w14:textId="0A36CE62" w:rsidR="00CA034B" w:rsidRDefault="00CA034B" w:rsidP="00CA034B">
      <w:r w:rsidRPr="002C560A">
        <w:lastRenderedPageBreak/>
        <w:t>The frequencies of reported solicited local</w:t>
      </w:r>
      <w:r>
        <w:t xml:space="preserve"> ARs were comparable between booster doses both primarily vaccinated with 50 </w:t>
      </w:r>
      <w:proofErr w:type="spellStart"/>
      <w:r>
        <w:t>μg</w:t>
      </w:r>
      <w:proofErr w:type="spellEnd"/>
      <w:r>
        <w:t xml:space="preserve"> or 100 </w:t>
      </w:r>
      <w:proofErr w:type="spellStart"/>
      <w:r>
        <w:t>μg</w:t>
      </w:r>
      <w:proofErr w:type="spellEnd"/>
      <w:r>
        <w:t xml:space="preserve"> of </w:t>
      </w:r>
      <w:proofErr w:type="spellStart"/>
      <w:r>
        <w:t>Spikevax</w:t>
      </w:r>
      <w:proofErr w:type="spellEnd"/>
      <w:r>
        <w:t xml:space="preserve"> and comparable to the safety profile of primary vaccination schedules in </w:t>
      </w:r>
      <w:r w:rsidR="003B1037">
        <w:t xml:space="preserve">Study </w:t>
      </w:r>
      <w:r>
        <w:t xml:space="preserve">P201 Part A as well as to the safety profile of the primary vaccination schedule in the pivotal </w:t>
      </w:r>
      <w:r w:rsidR="00FA5F41">
        <w:t>S</w:t>
      </w:r>
      <w:r>
        <w:t>tudy P301. No safety data were provided for children aged 12 to 17 years. The frequencies of reported solicited local reactions were comparable between both age strata (18 to &lt;</w:t>
      </w:r>
      <w:r w:rsidR="005E3067">
        <w:t xml:space="preserve"> </w:t>
      </w:r>
      <w:r>
        <w:t>55; ≥</w:t>
      </w:r>
      <w:r w:rsidR="005E3067">
        <w:t xml:space="preserve"> </w:t>
      </w:r>
      <w:r>
        <w:t>55 years of age).</w:t>
      </w:r>
    </w:p>
    <w:p w14:paraId="140E701E" w14:textId="678029A2" w:rsidR="00CA034B" w:rsidRDefault="00CA034B" w:rsidP="00CA034B">
      <w:pPr>
        <w:pStyle w:val="Heading5"/>
      </w:pPr>
      <w:r>
        <w:t xml:space="preserve">Summary of </w:t>
      </w:r>
      <w:r w:rsidR="0068177D">
        <w:t>s</w:t>
      </w:r>
      <w:r>
        <w:t xml:space="preserve">olicited </w:t>
      </w:r>
      <w:r w:rsidR="0068177D">
        <w:t>s</w:t>
      </w:r>
      <w:r>
        <w:t xml:space="preserve">ystemic </w:t>
      </w:r>
      <w:r w:rsidR="0068177D">
        <w:t>a</w:t>
      </w:r>
      <w:r>
        <w:t xml:space="preserve">dverse </w:t>
      </w:r>
      <w:r w:rsidR="0068177D">
        <w:t>r</w:t>
      </w:r>
      <w:r>
        <w:t>eactions</w:t>
      </w:r>
    </w:p>
    <w:p w14:paraId="08EFDF15" w14:textId="77777777" w:rsidR="00CA034B" w:rsidRDefault="00CA034B" w:rsidP="00CA034B">
      <w:r>
        <w:t>The following systemic ARs were evaluated in each study: headache, fatigue, myalgia (muscle aches all over the body), arthralgia (aching in several joints), nausea/vomiting, fever, and chills.</w:t>
      </w:r>
    </w:p>
    <w:p w14:paraId="754DD43C" w14:textId="4AC1FAA7" w:rsidR="00CA034B" w:rsidRDefault="00CA034B" w:rsidP="00CA034B">
      <w:r>
        <w:t xml:space="preserve">Rash was a solicited systemic AR in Study P201 only; therefore, no comparison between </w:t>
      </w:r>
      <w:r w:rsidR="0068177D">
        <w:t xml:space="preserve">Study </w:t>
      </w:r>
      <w:r>
        <w:t xml:space="preserve">P201 and </w:t>
      </w:r>
      <w:r w:rsidR="0068177D">
        <w:t xml:space="preserve">Study </w:t>
      </w:r>
      <w:r>
        <w:t xml:space="preserve">P301 can be made (Table </w:t>
      </w:r>
      <w:r w:rsidR="00215836">
        <w:t>20</w:t>
      </w:r>
      <w:r>
        <w:t>).</w:t>
      </w:r>
    </w:p>
    <w:p w14:paraId="45D3F70F" w14:textId="4918D9BC" w:rsidR="00CA034B" w:rsidRDefault="00CA034B" w:rsidP="00CA034B">
      <w:r>
        <w:t xml:space="preserve">The frequencies of reported solicited systemic ARs were comparable for booster doses given to subjects after primary vaccination with either 50 </w:t>
      </w:r>
      <w:proofErr w:type="spellStart"/>
      <w:r>
        <w:t>μg</w:t>
      </w:r>
      <w:proofErr w:type="spellEnd"/>
      <w:r>
        <w:t xml:space="preserve"> or 100 </w:t>
      </w:r>
      <w:proofErr w:type="spellStart"/>
      <w:r>
        <w:t>μg</w:t>
      </w:r>
      <w:proofErr w:type="spellEnd"/>
      <w:r>
        <w:t xml:space="preserve"> of </w:t>
      </w:r>
      <w:proofErr w:type="spellStart"/>
      <w:r>
        <w:t>Spikevax</w:t>
      </w:r>
      <w:proofErr w:type="spellEnd"/>
      <w:r>
        <w:t xml:space="preserve"> and comparable to the safety profiles of primary vaccination schedules in </w:t>
      </w:r>
      <w:r w:rsidR="0068177D">
        <w:t xml:space="preserve">Study </w:t>
      </w:r>
      <w:r>
        <w:t xml:space="preserve">P201 Part A as well as to the safety profile of the primary vaccination schedule in the pivotal </w:t>
      </w:r>
      <w:r w:rsidR="0068177D">
        <w:t>S</w:t>
      </w:r>
      <w:r>
        <w:t xml:space="preserve">tudy P301. Reported frequencies of solicited systemic reactions were comparable between both age strata. The sponsor has applied for a booster indication for adolescents and adults aged 12 years and above. No data of solicited systemic ARs were provided by the </w:t>
      </w:r>
      <w:r w:rsidR="000E67D6">
        <w:t xml:space="preserve">sponsor </w:t>
      </w:r>
      <w:r>
        <w:t>for the age group of adolescents aged 12 to 17 years after a booster dose. Both age strata (18 to &lt;</w:t>
      </w:r>
      <w:r w:rsidR="005E3067">
        <w:t> </w:t>
      </w:r>
      <w:r>
        <w:t>55; ≥</w:t>
      </w:r>
      <w:r w:rsidR="005E3067">
        <w:t> </w:t>
      </w:r>
      <w:r>
        <w:t>55 years of age) took medication in comparable amounts to prevent pain around 8% and to prevent fever around 45%.</w:t>
      </w:r>
    </w:p>
    <w:p w14:paraId="6FB9DEA0" w14:textId="4D482DFE" w:rsidR="00CA034B" w:rsidRDefault="00CA034B" w:rsidP="00174A91">
      <w:pPr>
        <w:pStyle w:val="TableTitle"/>
      </w:pPr>
      <w:r w:rsidRPr="00CA034B">
        <w:t>Table 1</w:t>
      </w:r>
      <w:r w:rsidR="00174A91">
        <w:t>9</w:t>
      </w:r>
      <w:r w:rsidR="000E67D6">
        <w:t>:</w:t>
      </w:r>
      <w:r w:rsidR="00174A91">
        <w:t xml:space="preserve"> </w:t>
      </w:r>
      <w:r w:rsidR="005E3067">
        <w:t xml:space="preserve">Studies 201 and 301 </w:t>
      </w:r>
      <w:r w:rsidRPr="00CA034B">
        <w:t xml:space="preserve">Solicited </w:t>
      </w:r>
      <w:r w:rsidR="00B140B7">
        <w:t>l</w:t>
      </w:r>
      <w:r w:rsidRPr="00CA034B">
        <w:t xml:space="preserve">ocal </w:t>
      </w:r>
      <w:r w:rsidR="00B140B7">
        <w:t>a</w:t>
      </w:r>
      <w:r w:rsidRPr="00CA034B">
        <w:t xml:space="preserve">dverse </w:t>
      </w:r>
      <w:r w:rsidR="00B140B7">
        <w:t>r</w:t>
      </w:r>
      <w:r w:rsidRPr="00CA034B">
        <w:t>eactions</w:t>
      </w:r>
    </w:p>
    <w:p w14:paraId="210CDCA4" w14:textId="74C60714" w:rsidR="00CA034B" w:rsidRDefault="00CA034B" w:rsidP="00CA034B">
      <w:pPr>
        <w:rPr>
          <w:b/>
          <w:bCs/>
        </w:rPr>
      </w:pPr>
      <w:r w:rsidRPr="008E7402">
        <w:rPr>
          <w:noProof/>
          <w:lang w:val="en-GB" w:eastAsia="en-GB"/>
        </w:rPr>
        <w:drawing>
          <wp:inline distT="0" distB="0" distL="0" distR="0" wp14:anchorId="3674F26E" wp14:editId="6E498C58">
            <wp:extent cx="4439669" cy="4432041"/>
            <wp:effectExtent l="0" t="0" r="0" b="6985"/>
            <wp:docPr id="47" name="Picture 47" descr="This table describes the solicited local adverse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is table describes the solicited local adverse reactions."/>
                    <pic:cNvPicPr/>
                  </pic:nvPicPr>
                  <pic:blipFill rotWithShape="1">
                    <a:blip r:embed="rId40"/>
                    <a:srcRect b="2494"/>
                    <a:stretch/>
                  </pic:blipFill>
                  <pic:spPr bwMode="auto">
                    <a:xfrm>
                      <a:off x="0" y="0"/>
                      <a:ext cx="4478223" cy="4470529"/>
                    </a:xfrm>
                    <a:prstGeom prst="rect">
                      <a:avLst/>
                    </a:prstGeom>
                    <a:ln>
                      <a:noFill/>
                    </a:ln>
                    <a:extLst>
                      <a:ext uri="{53640926-AAD7-44D8-BBD7-CCE9431645EC}">
                        <a14:shadowObscured xmlns:a14="http://schemas.microsoft.com/office/drawing/2010/main"/>
                      </a:ext>
                    </a:extLst>
                  </pic:spPr>
                </pic:pic>
              </a:graphicData>
            </a:graphic>
          </wp:inline>
        </w:drawing>
      </w:r>
    </w:p>
    <w:p w14:paraId="6C0A6F7E" w14:textId="6394C8EB" w:rsidR="00CA034B" w:rsidRPr="008C20F8" w:rsidRDefault="008C20F8" w:rsidP="00174A91">
      <w:pPr>
        <w:pStyle w:val="FigureTitle"/>
      </w:pPr>
      <w:r w:rsidRPr="008C20F8">
        <w:lastRenderedPageBreak/>
        <w:t>Figure 3</w:t>
      </w:r>
      <w:r w:rsidR="000E67D6">
        <w:t>:</w:t>
      </w:r>
      <w:r w:rsidRPr="008C20F8">
        <w:t xml:space="preserve"> Solicited </w:t>
      </w:r>
      <w:r w:rsidR="00B140B7">
        <w:t>l</w:t>
      </w:r>
      <w:r w:rsidRPr="008C20F8">
        <w:t xml:space="preserve">ocal </w:t>
      </w:r>
      <w:r w:rsidR="00B140B7">
        <w:t>a</w:t>
      </w:r>
      <w:r w:rsidRPr="008C20F8">
        <w:t xml:space="preserve">dverse </w:t>
      </w:r>
      <w:r w:rsidR="00B140B7">
        <w:t>r</w:t>
      </w:r>
      <w:r w:rsidRPr="008C20F8">
        <w:t>eactions within 7 Days</w:t>
      </w:r>
    </w:p>
    <w:p w14:paraId="2D9F2FCF" w14:textId="0999C2A7" w:rsidR="00CA034B" w:rsidRDefault="008C20F8" w:rsidP="00CA034B">
      <w:r w:rsidRPr="00692331">
        <w:rPr>
          <w:noProof/>
          <w:lang w:val="en-GB" w:eastAsia="en-GB"/>
        </w:rPr>
        <w:drawing>
          <wp:inline distT="0" distB="0" distL="0" distR="0" wp14:anchorId="5C59919F" wp14:editId="6ACD36D7">
            <wp:extent cx="4274036" cy="2337318"/>
            <wp:effectExtent l="0" t="0" r="0" b="6350"/>
            <wp:docPr id="7" name="Picture 7" descr="This figure describes the solicited local adverse reactions within 7 days (ACIP, Octo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figure describes the solicited local adverse reactions within 7 days (ACIP, October 2021)"/>
                    <pic:cNvPicPr/>
                  </pic:nvPicPr>
                  <pic:blipFill>
                    <a:blip r:embed="rId41"/>
                    <a:stretch>
                      <a:fillRect/>
                    </a:stretch>
                  </pic:blipFill>
                  <pic:spPr>
                    <a:xfrm>
                      <a:off x="0" y="0"/>
                      <a:ext cx="4368117" cy="2388767"/>
                    </a:xfrm>
                    <a:prstGeom prst="rect">
                      <a:avLst/>
                    </a:prstGeom>
                  </pic:spPr>
                </pic:pic>
              </a:graphicData>
            </a:graphic>
          </wp:inline>
        </w:drawing>
      </w:r>
    </w:p>
    <w:p w14:paraId="60AE1BD6" w14:textId="28D3DD24" w:rsidR="00EF0275" w:rsidRDefault="00EF0275" w:rsidP="007A06D0">
      <w:pPr>
        <w:pStyle w:val="FigureDescription"/>
      </w:pPr>
      <w:r>
        <w:t>US CDC Advisory Committee on Immunization Practices (ACIP) October 2021.</w:t>
      </w:r>
    </w:p>
    <w:p w14:paraId="07FB4580" w14:textId="5DECD648" w:rsidR="008C20F8" w:rsidRDefault="008C20F8" w:rsidP="00174A91">
      <w:pPr>
        <w:pStyle w:val="TableTitle"/>
      </w:pPr>
      <w:r w:rsidRPr="002C560A">
        <w:t xml:space="preserve">Table </w:t>
      </w:r>
      <w:r w:rsidR="00174A91" w:rsidRPr="002C560A">
        <w:t>20</w:t>
      </w:r>
      <w:r w:rsidR="000E67D6" w:rsidRPr="002C560A">
        <w:t>:</w:t>
      </w:r>
      <w:r w:rsidR="00174A91" w:rsidRPr="002C560A">
        <w:t xml:space="preserve"> </w:t>
      </w:r>
      <w:r w:rsidRPr="002C560A">
        <w:t xml:space="preserve">Solicited </w:t>
      </w:r>
      <w:r w:rsidR="00B140B7" w:rsidRPr="002C560A">
        <w:t>s</w:t>
      </w:r>
      <w:r w:rsidRPr="002C560A">
        <w:t xml:space="preserve">ystemic </w:t>
      </w:r>
      <w:r w:rsidR="00B140B7" w:rsidRPr="002C560A">
        <w:t>a</w:t>
      </w:r>
      <w:r w:rsidRPr="002C560A">
        <w:t xml:space="preserve">dverse </w:t>
      </w:r>
      <w:r w:rsidR="00B140B7" w:rsidRPr="002C560A">
        <w:t>r</w:t>
      </w:r>
      <w:r w:rsidRPr="002C560A">
        <w:t>eactions</w:t>
      </w:r>
    </w:p>
    <w:p w14:paraId="2AD49316" w14:textId="0B1324BD" w:rsidR="002C560A" w:rsidRDefault="002C560A" w:rsidP="00617B12">
      <w:r>
        <w:rPr>
          <w:noProof/>
          <w:lang w:val="en-GB" w:eastAsia="en-GB"/>
        </w:rPr>
        <w:drawing>
          <wp:inline distT="0" distB="0" distL="0" distR="0" wp14:anchorId="78752839" wp14:editId="1705A123">
            <wp:extent cx="3620836" cy="54724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 b="466"/>
                    <a:stretch/>
                  </pic:blipFill>
                  <pic:spPr bwMode="auto">
                    <a:xfrm>
                      <a:off x="0" y="0"/>
                      <a:ext cx="3642784" cy="5505575"/>
                    </a:xfrm>
                    <a:prstGeom prst="rect">
                      <a:avLst/>
                    </a:prstGeom>
                    <a:ln>
                      <a:noFill/>
                    </a:ln>
                    <a:extLst>
                      <a:ext uri="{53640926-AAD7-44D8-BBD7-CCE9431645EC}">
                        <a14:shadowObscured xmlns:a14="http://schemas.microsoft.com/office/drawing/2010/main"/>
                      </a:ext>
                    </a:extLst>
                  </pic:spPr>
                </pic:pic>
              </a:graphicData>
            </a:graphic>
          </wp:inline>
        </w:drawing>
      </w:r>
    </w:p>
    <w:p w14:paraId="58C24F52" w14:textId="5965D66A" w:rsidR="008C20F8" w:rsidRDefault="008C20F8" w:rsidP="004E35CD">
      <w:pPr>
        <w:pStyle w:val="FigureTitle"/>
      </w:pPr>
      <w:r w:rsidRPr="008C20F8">
        <w:lastRenderedPageBreak/>
        <w:t>Figure 4</w:t>
      </w:r>
      <w:r w:rsidR="000E67D6">
        <w:t>:</w:t>
      </w:r>
      <w:r w:rsidRPr="008C20F8">
        <w:t xml:space="preserve"> </w:t>
      </w:r>
      <w:r w:rsidR="005E3067">
        <w:t xml:space="preserve">Studies 201B and Study 301 </w:t>
      </w:r>
      <w:r w:rsidRPr="008C20F8">
        <w:t xml:space="preserve">Solicited </w:t>
      </w:r>
      <w:r w:rsidR="00B140B7">
        <w:t>s</w:t>
      </w:r>
      <w:r w:rsidRPr="008C20F8">
        <w:t xml:space="preserve">ystemic </w:t>
      </w:r>
      <w:r w:rsidR="00B140B7">
        <w:t>a</w:t>
      </w:r>
      <w:r w:rsidRPr="008C20F8">
        <w:t xml:space="preserve">dverse </w:t>
      </w:r>
      <w:r w:rsidR="00B140B7">
        <w:t>r</w:t>
      </w:r>
      <w:r w:rsidRPr="008C20F8">
        <w:t>eactions within 7</w:t>
      </w:r>
      <w:r w:rsidR="005E3067">
        <w:t> </w:t>
      </w:r>
      <w:r w:rsidRPr="008C20F8">
        <w:t>Days</w:t>
      </w:r>
    </w:p>
    <w:p w14:paraId="11641D3C" w14:textId="071CA3AE" w:rsidR="008C20F8" w:rsidRDefault="008C20F8" w:rsidP="008C20F8">
      <w:pPr>
        <w:rPr>
          <w:b/>
          <w:bCs/>
        </w:rPr>
      </w:pPr>
      <w:r w:rsidRPr="00826A90">
        <w:rPr>
          <w:b/>
          <w:bCs/>
          <w:noProof/>
          <w:lang w:val="en-GB" w:eastAsia="en-GB"/>
        </w:rPr>
        <w:drawing>
          <wp:inline distT="0" distB="0" distL="0" distR="0" wp14:anchorId="0AECE111" wp14:editId="442C370E">
            <wp:extent cx="4276632" cy="2337318"/>
            <wp:effectExtent l="0" t="0" r="0" b="6350"/>
            <wp:docPr id="12" name="Picture 12" descr="This figure describes the solicited systemic adverse reactions within 7 days (ACIP, Octo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figure describes the solicited systemic adverse reactions within 7 days (ACIP, October 2021)."/>
                    <pic:cNvPicPr/>
                  </pic:nvPicPr>
                  <pic:blipFill>
                    <a:blip r:embed="rId43"/>
                    <a:stretch>
                      <a:fillRect/>
                    </a:stretch>
                  </pic:blipFill>
                  <pic:spPr>
                    <a:xfrm>
                      <a:off x="0" y="0"/>
                      <a:ext cx="4313835" cy="2357651"/>
                    </a:xfrm>
                    <a:prstGeom prst="rect">
                      <a:avLst/>
                    </a:prstGeom>
                  </pic:spPr>
                </pic:pic>
              </a:graphicData>
            </a:graphic>
          </wp:inline>
        </w:drawing>
      </w:r>
    </w:p>
    <w:p w14:paraId="70BFF0B9" w14:textId="0E82D0FC" w:rsidR="00E908F3" w:rsidRDefault="00E908F3" w:rsidP="007A06D0">
      <w:pPr>
        <w:pStyle w:val="FigureDescription"/>
        <w:rPr>
          <w:b/>
          <w:bCs/>
        </w:rPr>
      </w:pPr>
      <w:r>
        <w:t xml:space="preserve">US CDC Advisory Committee on Immunization Practices (ACIP) October </w:t>
      </w:r>
      <w:r w:rsidRPr="00856A35">
        <w:t>2021</w:t>
      </w:r>
    </w:p>
    <w:p w14:paraId="254B8F6B" w14:textId="3DBAC9D3" w:rsidR="008C20F8" w:rsidRPr="008C20F8" w:rsidRDefault="008C20F8" w:rsidP="008C20F8">
      <w:pPr>
        <w:pStyle w:val="Heading5"/>
      </w:pPr>
      <w:r w:rsidRPr="008C20F8">
        <w:t xml:space="preserve">Unsolicited </w:t>
      </w:r>
      <w:r w:rsidR="00B140B7">
        <w:t>a</w:t>
      </w:r>
      <w:r w:rsidRPr="008C20F8">
        <w:t xml:space="preserve">dverse </w:t>
      </w:r>
      <w:r w:rsidR="00B140B7">
        <w:t>r</w:t>
      </w:r>
      <w:r w:rsidRPr="008C20F8">
        <w:t>eactions</w:t>
      </w:r>
    </w:p>
    <w:p w14:paraId="6B8584D8" w14:textId="43EA0644" w:rsidR="008C20F8" w:rsidRPr="008C20F8" w:rsidRDefault="008C20F8" w:rsidP="008C20F8">
      <w:r w:rsidRPr="008C20F8">
        <w:t xml:space="preserve">In </w:t>
      </w:r>
      <w:r w:rsidR="00B140B7">
        <w:t xml:space="preserve">Study </w:t>
      </w:r>
      <w:r w:rsidRPr="008C20F8">
        <w:t xml:space="preserve">P201 Part B, unsolicited treatment-emergent adverse events (TEAEs) were systematically collected during the </w:t>
      </w:r>
      <w:proofErr w:type="gramStart"/>
      <w:r w:rsidRPr="008C20F8">
        <w:t>28</w:t>
      </w:r>
      <w:r w:rsidR="002C560A">
        <w:t xml:space="preserve"> </w:t>
      </w:r>
      <w:r w:rsidRPr="008C20F8">
        <w:t>day</w:t>
      </w:r>
      <w:proofErr w:type="gramEnd"/>
      <w:r w:rsidRPr="008C20F8">
        <w:t xml:space="preserve"> time</w:t>
      </w:r>
      <w:r w:rsidR="00E908F3">
        <w:t xml:space="preserve"> </w:t>
      </w:r>
      <w:r w:rsidRPr="008C20F8">
        <w:t>window after the booster dose.</w:t>
      </w:r>
    </w:p>
    <w:p w14:paraId="1DD7362B" w14:textId="32DF8789" w:rsidR="00CA034B" w:rsidRPr="00174A91" w:rsidRDefault="008C20F8" w:rsidP="00174A91">
      <w:pPr>
        <w:pStyle w:val="TableTitle"/>
      </w:pPr>
      <w:r w:rsidRPr="00174A91">
        <w:t xml:space="preserve">Table </w:t>
      </w:r>
      <w:r w:rsidR="00174A91" w:rsidRPr="00174A91">
        <w:t>21</w:t>
      </w:r>
      <w:r w:rsidR="000E67D6">
        <w:t>:</w:t>
      </w:r>
      <w:r w:rsidR="00174A91" w:rsidRPr="00174A91">
        <w:t xml:space="preserve"> </w:t>
      </w:r>
      <w:r w:rsidR="005E3067">
        <w:t xml:space="preserve">Studies P201 and P301 </w:t>
      </w:r>
      <w:r w:rsidRPr="00174A91">
        <w:t xml:space="preserve">Summary of unsolicited treatment-emergent adverse events up to 28 days after the booster in </w:t>
      </w:r>
      <w:r w:rsidR="00B140B7" w:rsidRPr="00174A91">
        <w:t xml:space="preserve">Study </w:t>
      </w:r>
      <w:r w:rsidRPr="00174A91">
        <w:t xml:space="preserve">P201 Part B or </w:t>
      </w:r>
      <w:r w:rsidR="00B140B7" w:rsidRPr="00174A91">
        <w:t>u</w:t>
      </w:r>
      <w:r w:rsidRPr="00174A91">
        <w:t xml:space="preserve">p to 28 </w:t>
      </w:r>
      <w:r w:rsidR="00B140B7" w:rsidRPr="00174A91">
        <w:t>d</w:t>
      </w:r>
      <w:r w:rsidRPr="00174A91">
        <w:t xml:space="preserve">ays </w:t>
      </w:r>
      <w:r w:rsidR="00B140B7" w:rsidRPr="00174A91">
        <w:t>a</w:t>
      </w:r>
      <w:r w:rsidRPr="00174A91">
        <w:t xml:space="preserve">fter </w:t>
      </w:r>
      <w:r w:rsidR="00B140B7" w:rsidRPr="00174A91">
        <w:t>a</w:t>
      </w:r>
      <w:r w:rsidRPr="00174A91">
        <w:t xml:space="preserve">ny </w:t>
      </w:r>
      <w:r w:rsidR="00B140B7" w:rsidRPr="00174A91">
        <w:t>i</w:t>
      </w:r>
      <w:r w:rsidRPr="00174A91">
        <w:t xml:space="preserve">njection in </w:t>
      </w:r>
      <w:r w:rsidR="00B140B7" w:rsidRPr="00174A91">
        <w:t xml:space="preserve">Study </w:t>
      </w:r>
      <w:r w:rsidRPr="00174A91">
        <w:t xml:space="preserve">P201 Part A and </w:t>
      </w:r>
      <w:r w:rsidR="00B140B7" w:rsidRPr="00174A91">
        <w:t xml:space="preserve">Study </w:t>
      </w:r>
      <w:r w:rsidRPr="00174A91">
        <w:t>P301</w:t>
      </w:r>
      <w:r w:rsidR="005E3067">
        <w:t>,</w:t>
      </w:r>
      <w:r w:rsidRPr="00174A91">
        <w:t xml:space="preserve"> Safety </w:t>
      </w:r>
      <w:r w:rsidR="00B140B7" w:rsidRPr="00174A91">
        <w:t>s</w:t>
      </w:r>
      <w:r w:rsidRPr="00174A91">
        <w:t>et</w:t>
      </w:r>
    </w:p>
    <w:p w14:paraId="164CB39F" w14:textId="3E3DB672" w:rsidR="008C20F8" w:rsidRDefault="008C20F8" w:rsidP="008C20F8">
      <w:pPr>
        <w:rPr>
          <w:b/>
          <w:bCs/>
        </w:rPr>
      </w:pPr>
      <w:r w:rsidRPr="00E969EB">
        <w:rPr>
          <w:noProof/>
          <w:lang w:val="en-GB" w:eastAsia="en-GB"/>
        </w:rPr>
        <w:drawing>
          <wp:inline distT="0" distB="0" distL="0" distR="0" wp14:anchorId="66E4F4BB" wp14:editId="7747107E">
            <wp:extent cx="4784943" cy="3536108"/>
            <wp:effectExtent l="0" t="0" r="0" b="7620"/>
            <wp:docPr id="50" name="Picture 50" descr="This table describes the Summary of unsolicited treatment-emergent adverse events up to 28 days after the booster in Study P201 Part B or up to 28 days after any injection in Study P201 Part A and Study P301: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table describes the Summary of unsolicited treatment-emergent adverse events up to 28 days after the booster in Study P201 Part B or up to 28 days after any injection in Study P201 Part A and Study P301: Safety set"/>
                    <pic:cNvPicPr/>
                  </pic:nvPicPr>
                  <pic:blipFill rotWithShape="1">
                    <a:blip r:embed="rId44"/>
                    <a:srcRect b="6237"/>
                    <a:stretch/>
                  </pic:blipFill>
                  <pic:spPr bwMode="auto">
                    <a:xfrm>
                      <a:off x="0" y="0"/>
                      <a:ext cx="4841809" cy="3578132"/>
                    </a:xfrm>
                    <a:prstGeom prst="rect">
                      <a:avLst/>
                    </a:prstGeom>
                    <a:ln>
                      <a:noFill/>
                    </a:ln>
                    <a:extLst>
                      <a:ext uri="{53640926-AAD7-44D8-BBD7-CCE9431645EC}">
                        <a14:shadowObscured xmlns:a14="http://schemas.microsoft.com/office/drawing/2010/main"/>
                      </a:ext>
                    </a:extLst>
                  </pic:spPr>
                </pic:pic>
              </a:graphicData>
            </a:graphic>
          </wp:inline>
        </w:drawing>
      </w:r>
    </w:p>
    <w:p w14:paraId="608CF8A5" w14:textId="1BE594EF" w:rsidR="008C20F8" w:rsidRDefault="008C20F8" w:rsidP="00174A91">
      <w:pPr>
        <w:pStyle w:val="TableTitle"/>
      </w:pPr>
      <w:r w:rsidRPr="002C560A">
        <w:lastRenderedPageBreak/>
        <w:t>Table 2</w:t>
      </w:r>
      <w:r w:rsidR="00174A91" w:rsidRPr="002C560A">
        <w:t>2</w:t>
      </w:r>
      <w:r w:rsidR="000E67D6" w:rsidRPr="002C560A">
        <w:t>:</w:t>
      </w:r>
      <w:r w:rsidR="00174A91" w:rsidRPr="002C560A">
        <w:t xml:space="preserve"> </w:t>
      </w:r>
      <w:r w:rsidRPr="002C560A">
        <w:t xml:space="preserve">Study P201 Part B Incidence of </w:t>
      </w:r>
      <w:r w:rsidR="00B140B7" w:rsidRPr="002C560A">
        <w:t>u</w:t>
      </w:r>
      <w:r w:rsidRPr="002C560A">
        <w:t xml:space="preserve">nsolicited </w:t>
      </w:r>
      <w:r w:rsidR="005E3067">
        <w:t>treatment emergent adverse events</w:t>
      </w:r>
      <w:r w:rsidR="005E3067" w:rsidRPr="002C560A">
        <w:t xml:space="preserve"> </w:t>
      </w:r>
      <w:r w:rsidRPr="002C560A">
        <w:t xml:space="preserve">by </w:t>
      </w:r>
      <w:r w:rsidR="005E3067">
        <w:t>P</w:t>
      </w:r>
      <w:r w:rsidRPr="002C560A">
        <w:t xml:space="preserve">referred </w:t>
      </w:r>
      <w:r w:rsidR="005E3067">
        <w:t>T</w:t>
      </w:r>
      <w:r w:rsidRPr="002C560A">
        <w:t xml:space="preserve">erm up to 28 </w:t>
      </w:r>
      <w:r w:rsidR="00B140B7" w:rsidRPr="002C560A">
        <w:t>d</w:t>
      </w:r>
      <w:r w:rsidRPr="002C560A">
        <w:t xml:space="preserve">ays </w:t>
      </w:r>
      <w:r w:rsidR="00B140B7" w:rsidRPr="002C560A">
        <w:t>a</w:t>
      </w:r>
      <w:r w:rsidRPr="002C560A">
        <w:t xml:space="preserve">fter </w:t>
      </w:r>
      <w:r w:rsidR="00B140B7" w:rsidRPr="002C560A">
        <w:t>b</w:t>
      </w:r>
      <w:r w:rsidRPr="002C560A">
        <w:t>ooster</w:t>
      </w:r>
      <w:r w:rsidR="005E3067">
        <w:t xml:space="preserve">, </w:t>
      </w:r>
      <w:r w:rsidR="000E67D6" w:rsidRPr="002C560A">
        <w:t>S</w:t>
      </w:r>
      <w:r w:rsidRPr="002C560A">
        <w:t xml:space="preserve">afety </w:t>
      </w:r>
      <w:r w:rsidR="00B140B7" w:rsidRPr="002C560A">
        <w:t>s</w:t>
      </w:r>
      <w:r w:rsidRPr="002C560A">
        <w:t>et</w:t>
      </w:r>
    </w:p>
    <w:p w14:paraId="32C2FFCD" w14:textId="63E0FB0B" w:rsidR="002C560A" w:rsidRPr="00174A91" w:rsidRDefault="002C560A" w:rsidP="00617B12">
      <w:r>
        <w:rPr>
          <w:noProof/>
          <w:lang w:val="en-GB" w:eastAsia="en-GB"/>
        </w:rPr>
        <w:drawing>
          <wp:inline distT="0" distB="0" distL="0" distR="0" wp14:anchorId="490BAF82" wp14:editId="0F3A33E5">
            <wp:extent cx="4906935" cy="5089849"/>
            <wp:effectExtent l="0" t="0" r="8255" b="0"/>
            <wp:docPr id="2" name="Picture 2" descr="Table 22: Study P201 Part B Incidence of unsolicited treatment emergent adverse events by Preferred Term up to 28 days after booster,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22: Study P201 Part B Incidence of unsolicited treatment emergent adverse events by Preferred Term up to 28 days after booster, Safety set"/>
                    <pic:cNvPicPr/>
                  </pic:nvPicPr>
                  <pic:blipFill>
                    <a:blip r:embed="rId45"/>
                    <a:stretch>
                      <a:fillRect/>
                    </a:stretch>
                  </pic:blipFill>
                  <pic:spPr>
                    <a:xfrm>
                      <a:off x="0" y="0"/>
                      <a:ext cx="4915630" cy="5098869"/>
                    </a:xfrm>
                    <a:prstGeom prst="rect">
                      <a:avLst/>
                    </a:prstGeom>
                  </pic:spPr>
                </pic:pic>
              </a:graphicData>
            </a:graphic>
          </wp:inline>
        </w:drawing>
      </w:r>
    </w:p>
    <w:p w14:paraId="0EF555D4" w14:textId="5AF4B650" w:rsidR="00DA4C2D" w:rsidRPr="008C20F8" w:rsidRDefault="00DA4C2D" w:rsidP="008C20F8">
      <w:pPr>
        <w:rPr>
          <w:b/>
          <w:bCs/>
        </w:rPr>
      </w:pPr>
      <w:r w:rsidRPr="00E61286">
        <w:rPr>
          <w:noProof/>
          <w:lang w:val="en-GB" w:eastAsia="en-GB"/>
        </w:rPr>
        <w:drawing>
          <wp:inline distT="0" distB="0" distL="0" distR="0" wp14:anchorId="2869C85D" wp14:editId="771C67F3">
            <wp:extent cx="4856584" cy="1942419"/>
            <wp:effectExtent l="0" t="0" r="1270" b="1270"/>
            <wp:docPr id="51" name="Picture 51" descr="This table describes the Study P201 Part B Incidence of unsolicited TEAE by preferred term up to 28 days after booster: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table describes the Study P201 Part B Incidence of unsolicited TEAE by preferred term up to 28 days after booster: safety set."/>
                    <pic:cNvPicPr/>
                  </pic:nvPicPr>
                  <pic:blipFill>
                    <a:blip r:embed="rId46"/>
                    <a:stretch>
                      <a:fillRect/>
                    </a:stretch>
                  </pic:blipFill>
                  <pic:spPr>
                    <a:xfrm>
                      <a:off x="0" y="0"/>
                      <a:ext cx="4881607" cy="1952427"/>
                    </a:xfrm>
                    <a:prstGeom prst="rect">
                      <a:avLst/>
                    </a:prstGeom>
                  </pic:spPr>
                </pic:pic>
              </a:graphicData>
            </a:graphic>
          </wp:inline>
        </w:drawing>
      </w:r>
    </w:p>
    <w:p w14:paraId="763E5357" w14:textId="698A30AF" w:rsidR="00DA4C2D" w:rsidRDefault="00DA4C2D" w:rsidP="00DA4C2D">
      <w:r>
        <w:t xml:space="preserve">Medically attended TEAEs seem to be slightly more frequent in the 100 </w:t>
      </w:r>
      <w:proofErr w:type="spellStart"/>
      <w:r>
        <w:t>μg</w:t>
      </w:r>
      <w:proofErr w:type="spellEnd"/>
      <w:r>
        <w:t xml:space="preserve"> priming cohort than in 50 </w:t>
      </w:r>
      <w:proofErr w:type="spellStart"/>
      <w:r>
        <w:t>μg</w:t>
      </w:r>
      <w:proofErr w:type="spellEnd"/>
      <w:r>
        <w:t xml:space="preserve"> cohort (n</w:t>
      </w:r>
      <w:r w:rsidR="005E3067">
        <w:t xml:space="preserve"> </w:t>
      </w:r>
      <w:r>
        <w:t>=</w:t>
      </w:r>
      <w:r w:rsidR="005E3067">
        <w:t xml:space="preserve"> </w:t>
      </w:r>
      <w:r>
        <w:t>12 v</w:t>
      </w:r>
      <w:r w:rsidR="000E67D6">
        <w:t>ersus</w:t>
      </w:r>
      <w:r>
        <w:t xml:space="preserve"> 8). However, since events like influenza, allergy to arthropod bite, vitamin D deficiency and anxiety were counted, this difference seems coincidental and it may be concluded that no difference has been observed between 100 and 50 </w:t>
      </w:r>
      <w:proofErr w:type="spellStart"/>
      <w:r>
        <w:t>μg</w:t>
      </w:r>
      <w:proofErr w:type="spellEnd"/>
      <w:r>
        <w:t xml:space="preserve"> cohorts if medically attended TEAEs are considered in general. </w:t>
      </w:r>
    </w:p>
    <w:p w14:paraId="16FFBAB4" w14:textId="5010215F" w:rsidR="001816A8" w:rsidRPr="00E908F3" w:rsidRDefault="00DA4C2D" w:rsidP="00DA4C2D">
      <w:r>
        <w:lastRenderedPageBreak/>
        <w:t xml:space="preserve">Unsolicited medically attended TEAEs up to 28 days were more frequent in subjects above 55 years old in 100 </w:t>
      </w:r>
      <w:proofErr w:type="spellStart"/>
      <w:r>
        <w:t>μg</w:t>
      </w:r>
      <w:proofErr w:type="spellEnd"/>
      <w:r>
        <w:t xml:space="preserve"> cohort (9 %) than in 50 </w:t>
      </w:r>
      <w:proofErr w:type="spellStart"/>
      <w:r>
        <w:t>μg</w:t>
      </w:r>
      <w:proofErr w:type="spellEnd"/>
      <w:r>
        <w:t xml:space="preserve"> cohort (4.3%). This effect was not </w:t>
      </w:r>
      <w:r w:rsidRPr="00E908F3">
        <w:t>observed in subjects younger than 55 years old.</w:t>
      </w:r>
    </w:p>
    <w:p w14:paraId="49C80F64" w14:textId="77777777" w:rsidR="00DA4C2D" w:rsidRPr="00E908F3" w:rsidRDefault="00DA4C2D" w:rsidP="00DA4C2D">
      <w:pPr>
        <w:pStyle w:val="Heading5"/>
      </w:pPr>
      <w:r w:rsidRPr="007A06D0">
        <w:t>Deaths</w:t>
      </w:r>
    </w:p>
    <w:p w14:paraId="1B035B3A" w14:textId="518F6645" w:rsidR="00DA4C2D" w:rsidRDefault="00DA4C2D" w:rsidP="00DA4C2D">
      <w:r w:rsidRPr="00E908F3">
        <w:t xml:space="preserve">No deaths were reported in Study P201 Part A or among </w:t>
      </w:r>
      <w:r w:rsidR="00B140B7" w:rsidRPr="00E908F3">
        <w:t xml:space="preserve">Study </w:t>
      </w:r>
      <w:r w:rsidRPr="00E908F3">
        <w:t>P201 Part B booster participants</w:t>
      </w:r>
      <w:r>
        <w:t>.</w:t>
      </w:r>
    </w:p>
    <w:p w14:paraId="0213A666" w14:textId="7F855AD1" w:rsidR="00DA4C2D" w:rsidRDefault="00DA4C2D" w:rsidP="00DA4C2D">
      <w:pPr>
        <w:pStyle w:val="Heading5"/>
      </w:pPr>
      <w:r>
        <w:t xml:space="preserve">Serious </w:t>
      </w:r>
      <w:r w:rsidR="00BD6EF8">
        <w:t>adverse events</w:t>
      </w:r>
    </w:p>
    <w:p w14:paraId="46E355FF" w14:textId="60F1675C" w:rsidR="00DA4C2D" w:rsidRDefault="00DA4C2D" w:rsidP="00DA4C2D">
      <w:r>
        <w:t xml:space="preserve">There were no SAEs reported within the </w:t>
      </w:r>
      <w:proofErr w:type="gramStart"/>
      <w:r>
        <w:t>28</w:t>
      </w:r>
      <w:r w:rsidR="000E67D6">
        <w:t xml:space="preserve"> </w:t>
      </w:r>
      <w:r>
        <w:t>day</w:t>
      </w:r>
      <w:proofErr w:type="gramEnd"/>
      <w:r>
        <w:t xml:space="preserve"> time window post-booster in </w:t>
      </w:r>
      <w:r w:rsidR="00BD6EF8">
        <w:t xml:space="preserve">Study </w:t>
      </w:r>
      <w:r>
        <w:t>P201 Part B or within the 28</w:t>
      </w:r>
      <w:r w:rsidR="00A765E2">
        <w:t xml:space="preserve"> </w:t>
      </w:r>
      <w:r>
        <w:t xml:space="preserve">day time window post any injection in </w:t>
      </w:r>
      <w:r w:rsidR="00BD6EF8">
        <w:t xml:space="preserve">Study </w:t>
      </w:r>
      <w:r>
        <w:t>P201 Part A.</w:t>
      </w:r>
    </w:p>
    <w:p w14:paraId="1A66E14C" w14:textId="3FADD53A" w:rsidR="00DA4C2D" w:rsidRDefault="00DA4C2D" w:rsidP="00DA4C2D">
      <w:r>
        <w:t xml:space="preserve">The review of cumulative SAEs among </w:t>
      </w:r>
      <w:r w:rsidR="00BD6EF8">
        <w:t xml:space="preserve">Study </w:t>
      </w:r>
      <w:r>
        <w:t xml:space="preserve">P201 Part B participants who received a booster in the live clinical database as of 16 August 2021 shows 5 SAEs, in 4 participants (2 in each of the 50 </w:t>
      </w:r>
      <w:proofErr w:type="spellStart"/>
      <w:r>
        <w:t>μg</w:t>
      </w:r>
      <w:proofErr w:type="spellEnd"/>
      <w:r>
        <w:t xml:space="preserve"> and 100 </w:t>
      </w:r>
      <w:proofErr w:type="spellStart"/>
      <w:r>
        <w:t>μg</w:t>
      </w:r>
      <w:proofErr w:type="spellEnd"/>
      <w:r>
        <w:t xml:space="preserve"> priming groups) were reported, and all were considered by the investigator to be not related to mRNA-1273.</w:t>
      </w:r>
    </w:p>
    <w:p w14:paraId="7964815D" w14:textId="05534FEB" w:rsidR="009125CE" w:rsidRDefault="009125CE" w:rsidP="009125CE">
      <w:pPr>
        <w:pStyle w:val="Heading5"/>
      </w:pPr>
      <w:r>
        <w:t>A</w:t>
      </w:r>
      <w:r w:rsidR="00BD6EF8">
        <w:t>dverse events</w:t>
      </w:r>
      <w:r>
        <w:t xml:space="preserve"> leading to discontinuation</w:t>
      </w:r>
    </w:p>
    <w:p w14:paraId="7C72939E" w14:textId="209936DA" w:rsidR="00DA4C2D" w:rsidRDefault="009125CE" w:rsidP="009125CE">
      <w:r>
        <w:t xml:space="preserve">There was no study discontinuation due to an adverse event in </w:t>
      </w:r>
      <w:r w:rsidR="00BD6EF8">
        <w:t xml:space="preserve">Study </w:t>
      </w:r>
      <w:r>
        <w:t>P201 Part B.</w:t>
      </w:r>
    </w:p>
    <w:p w14:paraId="5C874C65" w14:textId="3A0AF84D" w:rsidR="009125CE" w:rsidRDefault="009125CE" w:rsidP="009125CE">
      <w:pPr>
        <w:pStyle w:val="Heading5"/>
      </w:pPr>
      <w:r>
        <w:t>A</w:t>
      </w:r>
      <w:r w:rsidR="00BD6EF8">
        <w:t>dverse events</w:t>
      </w:r>
      <w:r>
        <w:t xml:space="preserve"> of clinical interest</w:t>
      </w:r>
    </w:p>
    <w:p w14:paraId="4D8AA27F" w14:textId="1F73A7BB" w:rsidR="009125CE" w:rsidRDefault="009125CE" w:rsidP="009125CE">
      <w:r>
        <w:t>Ad</w:t>
      </w:r>
      <w:r w:rsidR="00E908F3">
        <w:t xml:space="preserve"> </w:t>
      </w:r>
      <w:r>
        <w:t>hoc analyses of AEs of clinical interest were performed in Study P201 Part B up to Day 29 by searching the database using Standardi</w:t>
      </w:r>
      <w:r w:rsidR="00467218">
        <w:t>s</w:t>
      </w:r>
      <w:r>
        <w:t xml:space="preserve">ed Medical Dictionary for Regulatory Activities Queries (SMQs) for the following events of interest: angioedema, arthritis, cardiomyopathy, central nervous system (CNS) vascular disorders, convulsions, demyelination, embolic and thrombotic events, hearing and vestibular disorders, haematopoietic cytopenia, hypersensitivity, peripheral neuropathy, thrombophlebitis, and </w:t>
      </w:r>
      <w:r w:rsidRPr="00467218">
        <w:t>vasculitis.</w:t>
      </w:r>
    </w:p>
    <w:p w14:paraId="5A88B9E0" w14:textId="58BCD3E4" w:rsidR="009125CE" w:rsidRDefault="009125CE" w:rsidP="009125CE">
      <w:r>
        <w:t xml:space="preserve">In addition, given the newly identified risk of myocarditis/pericarditis, the </w:t>
      </w:r>
      <w:r w:rsidR="00BD6EF8">
        <w:t>s</w:t>
      </w:r>
      <w:r>
        <w:t>ponsor searched the live clinical database up to 16 August 2021 for reported cases of myocarditis and pericarditis and individual symptoms or abnormalities that may be associated with these events (</w:t>
      </w:r>
      <w:r w:rsidR="002754E2">
        <w:t>that is,</w:t>
      </w:r>
      <w:r>
        <w:t xml:space="preserve"> TEAEs of angina pectoris, chest pain, dyspn</w:t>
      </w:r>
      <w:r w:rsidR="005E3067">
        <w:t>o</w:t>
      </w:r>
      <w:r>
        <w:t>ea, palpitations, and syncope) as well as electrocardiogram (ECG) with ST</w:t>
      </w:r>
      <w:r w:rsidR="005E3067">
        <w:t>-</w:t>
      </w:r>
      <w:r>
        <w:t>elevation or PR</w:t>
      </w:r>
      <w:r w:rsidR="005E3067">
        <w:t>-</w:t>
      </w:r>
      <w:r>
        <w:t>depression, troponin elevation, pericardial rub on examination, and echocardiographic abnormalities.</w:t>
      </w:r>
    </w:p>
    <w:p w14:paraId="4A4FBB1D" w14:textId="3E8CF95D" w:rsidR="009125CE" w:rsidRDefault="009125CE" w:rsidP="009125CE">
      <w:r>
        <w:t>The results of this analysis showed that no participants had AEs of interest in the SMQs of vasculitis, peripheral neuropathy, demyelination, convulsions, CNS</w:t>
      </w:r>
      <w:r w:rsidRPr="00A765E2">
        <w:t xml:space="preserve"> haemorrhage and cerebrovascular conditions, embolic and thrombotic events, thrombophlebitis, h</w:t>
      </w:r>
      <w:r w:rsidR="005E3067">
        <w:t>a</w:t>
      </w:r>
      <w:r w:rsidRPr="00A765E2">
        <w:t xml:space="preserve">ematopoietic </w:t>
      </w:r>
      <w:proofErr w:type="spellStart"/>
      <w:r w:rsidRPr="00A765E2">
        <w:t>cytopenias</w:t>
      </w:r>
      <w:proofErr w:type="spellEnd"/>
      <w:r w:rsidRPr="00A765E2">
        <w:t xml:space="preserve">, or cardiomyopathy </w:t>
      </w:r>
      <w:r w:rsidRPr="007A06D0">
        <w:t>(</w:t>
      </w:r>
      <w:r w:rsidR="00BD6EF8" w:rsidRPr="007A06D0">
        <w:t xml:space="preserve">Study </w:t>
      </w:r>
      <w:r w:rsidRPr="007A06D0">
        <w:t>P201 Part B).</w:t>
      </w:r>
    </w:p>
    <w:p w14:paraId="6FCA2139" w14:textId="7662D639" w:rsidR="009125CE" w:rsidRDefault="009125CE" w:rsidP="009125CE">
      <w:r>
        <w:t xml:space="preserve">Within the </w:t>
      </w:r>
      <w:proofErr w:type="gramStart"/>
      <w:r>
        <w:t>28</w:t>
      </w:r>
      <w:r w:rsidR="005E3067">
        <w:t xml:space="preserve"> </w:t>
      </w:r>
      <w:r>
        <w:t>day</w:t>
      </w:r>
      <w:proofErr w:type="gramEnd"/>
      <w:r>
        <w:t xml:space="preserve"> time window post-booster in </w:t>
      </w:r>
      <w:r w:rsidR="00BD6EF8">
        <w:t xml:space="preserve">Study </w:t>
      </w:r>
      <w:r>
        <w:t>P201 Part B, no cases of myocarditis or pericarditis have been reported. No TEAEs were identified for the relevant clinical symptoms and abnormalities: chest pain, palpitations, dyspn</w:t>
      </w:r>
      <w:r w:rsidR="00D005CC">
        <w:t>o</w:t>
      </w:r>
      <w:r>
        <w:t>ea, syncope, troponin elevation, ECG with ST</w:t>
      </w:r>
      <w:r w:rsidR="005E3067">
        <w:t>-</w:t>
      </w:r>
      <w:r>
        <w:t>elevation or PR</w:t>
      </w:r>
      <w:r w:rsidR="005E3067">
        <w:t>-</w:t>
      </w:r>
      <w:r>
        <w:t>depression, pericardiac rub, or echocardiographic findings.</w:t>
      </w:r>
    </w:p>
    <w:p w14:paraId="386971CE" w14:textId="5BC4E24C" w:rsidR="009125CE" w:rsidRDefault="009125CE" w:rsidP="009125CE">
      <w:r>
        <w:t xml:space="preserve">In the live clinical database up to 16 August 2021 among </w:t>
      </w:r>
      <w:r w:rsidR="00BD6EF8">
        <w:t xml:space="preserve">Study </w:t>
      </w:r>
      <w:r>
        <w:t>P201 Part B participants who received a booster, review of SAEs and MAAEs as well as reported unsolicited AEs shows no myocarditis events. One SAE of pericarditis and AE of angina pectoris was reported</w:t>
      </w:r>
      <w:r w:rsidR="00E908F3">
        <w:t xml:space="preserve"> in a person over 85 years old</w:t>
      </w:r>
      <w:r>
        <w:t xml:space="preserve">; onset was 89 days after the booster </w:t>
      </w:r>
      <w:r w:rsidR="00E908F3">
        <w:t xml:space="preserve">for both events </w:t>
      </w:r>
      <w:r>
        <w:t xml:space="preserve">in the 50 </w:t>
      </w:r>
      <w:proofErr w:type="spellStart"/>
      <w:r>
        <w:t>μg</w:t>
      </w:r>
      <w:proofErr w:type="spellEnd"/>
      <w:r>
        <w:t xml:space="preserve"> prime group. The case was assessed as unrelated to mRNA-1273.</w:t>
      </w:r>
    </w:p>
    <w:p w14:paraId="5EF17E5B" w14:textId="392A1E36" w:rsidR="009125CE" w:rsidRDefault="009125CE" w:rsidP="009125CE">
      <w:r>
        <w:t xml:space="preserve">Two participants in the 50 </w:t>
      </w:r>
      <w:proofErr w:type="spellStart"/>
      <w:r>
        <w:t>μg</w:t>
      </w:r>
      <w:proofErr w:type="spellEnd"/>
      <w:r>
        <w:t xml:space="preserve"> prime group had adverse events mapping to relevant clinical symptoms for the evaluation of myocarditis or pericarditis; however, in both cases, the events occurred in participants &gt; 65 years old, beyond 7 days following the booster, and were not associated with other reported myocarditis/pericarditis symptoms as described above. The first case is a nonserious </w:t>
      </w:r>
      <w:r w:rsidR="002754E2">
        <w:t>G</w:t>
      </w:r>
      <w:r>
        <w:t xml:space="preserve">rade 2 </w:t>
      </w:r>
      <w:r w:rsidR="005E3067">
        <w:t>dyspnoea</w:t>
      </w:r>
      <w:r>
        <w:t xml:space="preserve"> on exertion in a </w:t>
      </w:r>
      <w:r w:rsidR="00E908F3">
        <w:t xml:space="preserve">person over 65 </w:t>
      </w:r>
      <w:r>
        <w:lastRenderedPageBreak/>
        <w:t>year</w:t>
      </w:r>
      <w:r w:rsidR="00E908F3">
        <w:t xml:space="preserve"> of age,</w:t>
      </w:r>
      <w:r>
        <w:t xml:space="preserve"> 78 days after the booster, which resolved 112 days after the booster dose. The second participant is a </w:t>
      </w:r>
      <w:r w:rsidR="00E908F3">
        <w:t>person over 70 years of age</w:t>
      </w:r>
      <w:r>
        <w:t xml:space="preserve"> with nonserious premature ventricular contractions, assessed as unrelated by the investigator to mRNA-1273, which started 92 days after the booster and were ongoing as of 16 August 2021.</w:t>
      </w:r>
    </w:p>
    <w:p w14:paraId="10BB32AE" w14:textId="77777777" w:rsidR="009125CE" w:rsidRDefault="009125CE" w:rsidP="009125CE">
      <w:pPr>
        <w:pStyle w:val="Heading5"/>
      </w:pPr>
      <w:r>
        <w:t>Pregnancies</w:t>
      </w:r>
    </w:p>
    <w:p w14:paraId="741503BF" w14:textId="510ED510" w:rsidR="009125CE" w:rsidRDefault="009125CE" w:rsidP="009125CE">
      <w:r>
        <w:t xml:space="preserve">There were no pregnancies reported following on-study testing in </w:t>
      </w:r>
      <w:r w:rsidR="00BD6EF8">
        <w:t xml:space="preserve">Study </w:t>
      </w:r>
      <w:r>
        <w:t xml:space="preserve">P201 Part B within the </w:t>
      </w:r>
      <w:proofErr w:type="gramStart"/>
      <w:r>
        <w:t>28</w:t>
      </w:r>
      <w:r w:rsidR="002754E2">
        <w:t xml:space="preserve"> </w:t>
      </w:r>
      <w:r>
        <w:t>day</w:t>
      </w:r>
      <w:proofErr w:type="gramEnd"/>
      <w:r>
        <w:t xml:space="preserve"> time window post-booster in </w:t>
      </w:r>
      <w:r w:rsidR="00BD6EF8">
        <w:t xml:space="preserve">Study </w:t>
      </w:r>
      <w:r>
        <w:t>P201 Part B or within the 28</w:t>
      </w:r>
      <w:r w:rsidR="002754E2">
        <w:t xml:space="preserve"> </w:t>
      </w:r>
      <w:r>
        <w:t xml:space="preserve">day time window post any injection in </w:t>
      </w:r>
      <w:r w:rsidR="00BD6EF8">
        <w:t xml:space="preserve">Study </w:t>
      </w:r>
      <w:r>
        <w:t>P201 Part A.</w:t>
      </w:r>
    </w:p>
    <w:p w14:paraId="455F5719" w14:textId="2FCB1E27" w:rsidR="009125CE" w:rsidRDefault="005E3067" w:rsidP="009125CE">
      <w:pPr>
        <w:pStyle w:val="Heading4"/>
      </w:pPr>
      <w:r>
        <w:t xml:space="preserve">Study </w:t>
      </w:r>
      <w:r w:rsidR="009125CE">
        <w:t xml:space="preserve">DMID 21-0012 </w:t>
      </w:r>
      <w:r w:rsidR="00D72B76">
        <w:t>s</w:t>
      </w:r>
      <w:r w:rsidR="009125CE">
        <w:t>afety</w:t>
      </w:r>
      <w:r w:rsidR="002754E2">
        <w:t xml:space="preserve"> results</w:t>
      </w:r>
    </w:p>
    <w:p w14:paraId="759D2887" w14:textId="4BCC3D05" w:rsidR="009125CE" w:rsidRDefault="009125CE" w:rsidP="009125CE">
      <w:r>
        <w:t xml:space="preserve">From the data </w:t>
      </w:r>
      <w:r w:rsidRPr="00E908F3">
        <w:t xml:space="preserve">available </w:t>
      </w:r>
      <w:r w:rsidR="002754E2" w:rsidRPr="00E908F3">
        <w:t>within</w:t>
      </w:r>
      <w:r w:rsidRPr="00E908F3">
        <w:t xml:space="preserve"> the data snapshot, the number and proportion of participants reporting severe local solicited events/symptoms (out of the total 154 enrolled in all 3 groups) is</w:t>
      </w:r>
      <w:r>
        <w:t xml:space="preserve"> as follows: 0 (0%) reported severe erythema/redness, 1 (0.6%) severe induration/swelling and 1 (0.6%) severe pain and/or tenderness. Most of the events were mild or moderate. There were no notable clinical differences between groups. Subjects reported with a higher frequency solicited local ARs after priming with Janssen-vaccine and boost with </w:t>
      </w:r>
      <w:proofErr w:type="spellStart"/>
      <w:r>
        <w:t>Spikevax</w:t>
      </w:r>
      <w:proofErr w:type="spellEnd"/>
      <w:r>
        <w:t xml:space="preserve"> compared to both other groups where priming and boost were administered mRNA-vaccines. Only induration was reported with a lower frequency in the Janssen group compared to the </w:t>
      </w:r>
      <w:proofErr w:type="spellStart"/>
      <w:r>
        <w:t>Comirnaty</w:t>
      </w:r>
      <w:proofErr w:type="spellEnd"/>
      <w:r>
        <w:t xml:space="preserve"> and </w:t>
      </w:r>
      <w:proofErr w:type="spellStart"/>
      <w:r>
        <w:t>Spikevax</w:t>
      </w:r>
      <w:proofErr w:type="spellEnd"/>
      <w:r>
        <w:t xml:space="preserve"> groups.</w:t>
      </w:r>
    </w:p>
    <w:p w14:paraId="2928CA11" w14:textId="3A816C8E" w:rsidR="009125CE" w:rsidRDefault="009125CE" w:rsidP="009125CE">
      <w:r>
        <w:t>From the data available up to the data snapshot, the number and proportion of participants reporting severe systemic solicited events/symptoms (out of the total 154</w:t>
      </w:r>
      <w:r w:rsidR="00874CCF">
        <w:t xml:space="preserve"> participants </w:t>
      </w:r>
      <w:r>
        <w:t>enrolled in all 3 groups) are as follows: 5 (3.2%) reported chills, 7</w:t>
      </w:r>
      <w:r w:rsidR="00874CCF">
        <w:t> </w:t>
      </w:r>
      <w:r>
        <w:t>(4.5%) malaise and/or fatigue, 3 (1.9%) myalgia, 2 (1.3%) headache, 1 (0.6%) nausea, 1</w:t>
      </w:r>
      <w:r w:rsidR="00874CCF">
        <w:t> </w:t>
      </w:r>
      <w:r>
        <w:t>(0.6%) arthralgia, and 2 (1.3%) fever (Table 5).</w:t>
      </w:r>
    </w:p>
    <w:p w14:paraId="1CDCADF1" w14:textId="122E5C61" w:rsidR="009125CE" w:rsidRDefault="009125CE" w:rsidP="009125CE">
      <w:r>
        <w:t>No potentially life-threatening systemic solicited events/symptoms have been reported (</w:t>
      </w:r>
      <w:r w:rsidR="00874CCF">
        <w:t xml:space="preserve">Study </w:t>
      </w:r>
      <w:r>
        <w:t xml:space="preserve">DMID 21-0012 Day 7 Safety Report). Other than fever, participants in the mRNA priming series groups (Dosed </w:t>
      </w:r>
      <w:proofErr w:type="spellStart"/>
      <w:r>
        <w:t>Moderna</w:t>
      </w:r>
      <w:proofErr w:type="spellEnd"/>
      <w:r>
        <w:t xml:space="preserve">, Boost </w:t>
      </w:r>
      <w:proofErr w:type="spellStart"/>
      <w:r>
        <w:t>Moderna</w:t>
      </w:r>
      <w:proofErr w:type="spellEnd"/>
      <w:r>
        <w:t xml:space="preserve"> and Dosed Pfizer/</w:t>
      </w:r>
      <w:proofErr w:type="spellStart"/>
      <w:r>
        <w:t>BioNTech</w:t>
      </w:r>
      <w:proofErr w:type="spellEnd"/>
      <w:r>
        <w:t xml:space="preserve">, Boost </w:t>
      </w:r>
      <w:proofErr w:type="spellStart"/>
      <w:r>
        <w:t>Moderna</w:t>
      </w:r>
      <w:proofErr w:type="spellEnd"/>
      <w:r>
        <w:t xml:space="preserve">) tended to report more solicited systemic AEs post vaccination compared with participants in the Dosed Janssen, Boost </w:t>
      </w:r>
      <w:proofErr w:type="spellStart"/>
      <w:r>
        <w:t>Moderna</w:t>
      </w:r>
      <w:proofErr w:type="spellEnd"/>
      <w:r>
        <w:t xml:space="preserve"> group.</w:t>
      </w:r>
    </w:p>
    <w:p w14:paraId="5909C021" w14:textId="77777777" w:rsidR="009125CE" w:rsidRDefault="009125CE" w:rsidP="009125CE">
      <w:r>
        <w:t>Most participants experienced mild or moderate AEs. The most common AE related to study vaccine was lymphadenopathy.</w:t>
      </w:r>
    </w:p>
    <w:p w14:paraId="661C9A10" w14:textId="754DBDB5" w:rsidR="009125CE" w:rsidRDefault="009125CE" w:rsidP="009125CE">
      <w:r>
        <w:t>No deaths</w:t>
      </w:r>
      <w:r w:rsidR="00E908F3">
        <w:t>,</w:t>
      </w:r>
      <w:r>
        <w:t xml:space="preserve"> SAEs or pregnancies have been reported. </w:t>
      </w:r>
    </w:p>
    <w:p w14:paraId="180F2425" w14:textId="6DC91DFE" w:rsidR="009125CE" w:rsidRDefault="009125CE" w:rsidP="009125CE">
      <w:pPr>
        <w:pStyle w:val="Heading4"/>
      </w:pPr>
      <w:r>
        <w:t xml:space="preserve">Use in </w:t>
      </w:r>
      <w:r w:rsidR="002754E2">
        <w:t>i</w:t>
      </w:r>
      <w:r>
        <w:t xml:space="preserve">mmunocompromised </w:t>
      </w:r>
      <w:r w:rsidR="002754E2">
        <w:t>p</w:t>
      </w:r>
      <w:r>
        <w:t>atients</w:t>
      </w:r>
    </w:p>
    <w:p w14:paraId="17EA5F5C" w14:textId="77777777" w:rsidR="009125CE" w:rsidRDefault="009125CE" w:rsidP="009125CE">
      <w:r>
        <w:t>The sponsor also seeks to extend the patient group and alter the dose regimen for immunocompromised patients, by including a recommendation for administration of a third dose administered at least 28 days following the first two doses of this vaccine in individuals at least 18 years of age who have undergone solid organ transplantation, or who are diagnosed with conditions that are considered to have an equivalent level of immunocompromise.</w:t>
      </w:r>
    </w:p>
    <w:p w14:paraId="1558FD94" w14:textId="48C135BA" w:rsidR="009125CE" w:rsidRDefault="009125CE" w:rsidP="009125CE">
      <w:r>
        <w:t xml:space="preserve">Primary evidence to support the dose regimen change is derived from independent sub study of the observational cohort </w:t>
      </w:r>
      <w:r w:rsidR="00215836">
        <w:t>s</w:t>
      </w:r>
      <w:r>
        <w:t xml:space="preserve">tudy </w:t>
      </w:r>
      <w:r w:rsidR="00BD6EF8">
        <w:t>‘</w:t>
      </w:r>
      <w:r>
        <w:t xml:space="preserve">The </w:t>
      </w:r>
      <w:proofErr w:type="spellStart"/>
      <w:r>
        <w:t>PREVent</w:t>
      </w:r>
      <w:proofErr w:type="spellEnd"/>
      <w:r>
        <w:t>-COVID</w:t>
      </w:r>
      <w:r w:rsidR="00BD6EF8">
        <w:t>’</w:t>
      </w:r>
      <w:r>
        <w:t xml:space="preserve"> </w:t>
      </w:r>
      <w:r w:rsidR="00874CCF">
        <w:t>s</w:t>
      </w:r>
      <w:r>
        <w:t>tudy</w:t>
      </w:r>
      <w:r w:rsidR="00647D8C" w:rsidRPr="007A06D0">
        <w:rPr>
          <w:vertAlign w:val="superscript"/>
        </w:rPr>
        <w:fldChar w:fldCharType="begin"/>
      </w:r>
      <w:r w:rsidR="00647D8C" w:rsidRPr="007A06D0">
        <w:rPr>
          <w:vertAlign w:val="superscript"/>
        </w:rPr>
        <w:instrText xml:space="preserve"> NOTEREF _Ref89022524 \h </w:instrText>
      </w:r>
      <w:r w:rsidR="00647D8C">
        <w:rPr>
          <w:vertAlign w:val="superscript"/>
        </w:rPr>
        <w:instrText xml:space="preserve"> \* MERGEFORMAT </w:instrText>
      </w:r>
      <w:r w:rsidR="00647D8C" w:rsidRPr="007A06D0">
        <w:rPr>
          <w:vertAlign w:val="superscript"/>
        </w:rPr>
      </w:r>
      <w:r w:rsidR="00647D8C" w:rsidRPr="007A06D0">
        <w:rPr>
          <w:vertAlign w:val="superscript"/>
        </w:rPr>
        <w:fldChar w:fldCharType="separate"/>
      </w:r>
      <w:r w:rsidR="00647D8C" w:rsidRPr="007A06D0">
        <w:rPr>
          <w:vertAlign w:val="superscript"/>
        </w:rPr>
        <w:t>30</w:t>
      </w:r>
      <w:r w:rsidR="00647D8C" w:rsidRPr="007A06D0">
        <w:rPr>
          <w:vertAlign w:val="superscript"/>
        </w:rPr>
        <w:fldChar w:fldCharType="end"/>
      </w:r>
      <w:r>
        <w:t xml:space="preserve">. It is a randomised, double-blind, placebo-controlled trial of 120 solid organ transplant recipients who were randomised in a 1:1 ratio to receive either a third 100 µg dose of mRNA-1273 (two months after Dose 2) or placebo. The description of statistical analyses in the protocol or SAP remains vague in many places and is not to the standard of pivotal </w:t>
      </w:r>
      <w:r w:rsidRPr="00647D8C">
        <w:t xml:space="preserve">trials usually submitted to the TGA. However, the conducted analyses seem acceptable for </w:t>
      </w:r>
      <w:r w:rsidRPr="007A06D0">
        <w:t>this application.</w:t>
      </w:r>
    </w:p>
    <w:p w14:paraId="1204D03D" w14:textId="17DCAB59" w:rsidR="009125CE" w:rsidRPr="00F92765" w:rsidRDefault="009125CE" w:rsidP="009125CE">
      <w:r w:rsidRPr="00BF4F79">
        <w:t xml:space="preserve">As </w:t>
      </w:r>
      <w:proofErr w:type="spellStart"/>
      <w:r w:rsidRPr="00BF4F79">
        <w:t>Elecsys</w:t>
      </w:r>
      <w:proofErr w:type="spellEnd"/>
      <w:r w:rsidRPr="00BF4F79">
        <w:t xml:space="preserve"> anti-SARS-CoV-2 S enzyme immunoassay was not employed in the clinical evaluation of the pivotal study for approval of </w:t>
      </w:r>
      <w:proofErr w:type="spellStart"/>
      <w:r w:rsidRPr="00BF4F79">
        <w:t>Spikevax</w:t>
      </w:r>
      <w:proofErr w:type="spellEnd"/>
      <w:r w:rsidRPr="00BF4F79">
        <w:t xml:space="preserve">, the study results do not allow the </w:t>
      </w:r>
      <w:r w:rsidRPr="00BF4F79">
        <w:lastRenderedPageBreak/>
        <w:t xml:space="preserve">drawing of any conclusions on the vaccine efficacy of a third dose of </w:t>
      </w:r>
      <w:proofErr w:type="spellStart"/>
      <w:r w:rsidRPr="00BF4F79">
        <w:t>Spikevax</w:t>
      </w:r>
      <w:proofErr w:type="spellEnd"/>
      <w:r w:rsidRPr="00BF4F79">
        <w:t xml:space="preserve"> in patients under immune suppression.</w:t>
      </w:r>
      <w:r>
        <w:t xml:space="preserve"> However, no internationally </w:t>
      </w:r>
      <w:r w:rsidRPr="00062484">
        <w:t xml:space="preserve">recognised immunological surrogate of protection is yet established. Published data by </w:t>
      </w:r>
      <w:proofErr w:type="spellStart"/>
      <w:r w:rsidRPr="00062484">
        <w:t>Riester</w:t>
      </w:r>
      <w:proofErr w:type="spellEnd"/>
      <w:r w:rsidRPr="00062484">
        <w:t xml:space="preserve"> </w:t>
      </w:r>
      <w:r w:rsidRPr="000A4174">
        <w:rPr>
          <w:i/>
          <w:iCs/>
        </w:rPr>
        <w:t>et al</w:t>
      </w:r>
      <w:r w:rsidRPr="000A4174">
        <w:t>, 2021</w:t>
      </w:r>
      <w:r w:rsidR="00062484" w:rsidRPr="007A06D0">
        <w:rPr>
          <w:rStyle w:val="FootnoteReference"/>
        </w:rPr>
        <w:footnoteReference w:id="29"/>
      </w:r>
      <w:r w:rsidRPr="00062484">
        <w:t xml:space="preserve"> on independent performance evaluation of the </w:t>
      </w:r>
      <w:proofErr w:type="spellStart"/>
      <w:r w:rsidRPr="00062484">
        <w:t>Elecsys</w:t>
      </w:r>
      <w:proofErr w:type="spellEnd"/>
      <w:r w:rsidRPr="00062484">
        <w:t xml:space="preserve"> anti-SARS-CoV-2 S enzyme immunoassay indicate a high sensitivit</w:t>
      </w:r>
      <w:r w:rsidRPr="00F92765">
        <w:t>y (97.92%; 95% CI: 95.21–99.32) and specificity (99.95%; 95% CI: 99.87–99.</w:t>
      </w:r>
      <w:r w:rsidRPr="00062484">
        <w:t>99) for the detection of anti-</w:t>
      </w:r>
      <w:r w:rsidR="00714FB4" w:rsidRPr="00062484">
        <w:t>s</w:t>
      </w:r>
      <w:r w:rsidRPr="00062484">
        <w:t xml:space="preserve">pike antibodies. Note that the </w:t>
      </w:r>
      <w:r w:rsidR="00647D8C" w:rsidRPr="007A06D0">
        <w:t>anti-receptor-binding domain (</w:t>
      </w:r>
      <w:r w:rsidRPr="00062484">
        <w:t>anti-RBD</w:t>
      </w:r>
      <w:r w:rsidR="00647D8C" w:rsidRPr="007A06D0">
        <w:t>)</w:t>
      </w:r>
      <w:r w:rsidRPr="00062484">
        <w:t xml:space="preserve"> assay used for the primary endpoint did not assess neutralising capacity.</w:t>
      </w:r>
    </w:p>
    <w:p w14:paraId="5DB573D9" w14:textId="68EAE622" w:rsidR="009125CE" w:rsidRPr="000A4174" w:rsidRDefault="009125CE" w:rsidP="009125CE">
      <w:r w:rsidRPr="00062484">
        <w:t xml:space="preserve">The </w:t>
      </w:r>
      <w:r w:rsidR="00215836" w:rsidRPr="00062484">
        <w:t>s</w:t>
      </w:r>
      <w:r w:rsidRPr="00062484">
        <w:t>tudy met its primary immunogenicity endpoint, with the analysis of anti-RBD antibodies one month after Dose 3 showing that the relative risk of being above the 100 U threshold in the mRNA-1273 group as compared with the placebo group was 3.1 (95%</w:t>
      </w:r>
      <w:r w:rsidR="00874CCF">
        <w:t> </w:t>
      </w:r>
      <w:r w:rsidRPr="00062484">
        <w:t>CI:</w:t>
      </w:r>
      <w:r w:rsidR="00874CCF">
        <w:t> </w:t>
      </w:r>
      <w:r w:rsidRPr="00062484">
        <w:t>1.7, 5.8; P&lt;0.001). Secondary endpoints were supportive of the immunogenicity of Dose 3 but were not controlled for multiplicity</w:t>
      </w:r>
      <w:r w:rsidRPr="007A06D0">
        <w:t>.</w:t>
      </w:r>
    </w:p>
    <w:p w14:paraId="0F38AF09" w14:textId="77777777" w:rsidR="009125CE" w:rsidRDefault="009125CE" w:rsidP="009125CE">
      <w:r>
        <w:t>The groups were not balanced with respect to time since transplantation. An influence on the outcome cannot be ruled out.</w:t>
      </w:r>
    </w:p>
    <w:p w14:paraId="0C9FAAD7" w14:textId="6D1ECF32" w:rsidR="009125CE" w:rsidRDefault="009125CE" w:rsidP="009125CE">
      <w:r>
        <w:t xml:space="preserve">No confirmatory clinical efficacy data were available (there was one case of COVID-19 in a patient in the placebo group). No data are available on persistence of the immune response </w:t>
      </w:r>
      <w:r w:rsidRPr="003C2642">
        <w:t xml:space="preserve">beyond </w:t>
      </w:r>
      <w:r w:rsidRPr="007A06D0">
        <w:t>Month 4.</w:t>
      </w:r>
    </w:p>
    <w:p w14:paraId="6469A0EB" w14:textId="51FFA753" w:rsidR="009125CE" w:rsidRDefault="009125CE" w:rsidP="009125CE">
      <w:r>
        <w:t>Note that the third mRNA-1273 dose in this study was administered two months following Dose 2, while the proposed dosing interval in the PI is ‘</w:t>
      </w:r>
      <w:r w:rsidRPr="007A06D0">
        <w:rPr>
          <w:i/>
          <w:iCs/>
        </w:rPr>
        <w:t xml:space="preserve">at least 28 days following the first two </w:t>
      </w:r>
      <w:proofErr w:type="gramStart"/>
      <w:r w:rsidRPr="007A06D0">
        <w:rPr>
          <w:i/>
          <w:iCs/>
        </w:rPr>
        <w:t>doses</w:t>
      </w:r>
      <w:r>
        <w:t>’</w:t>
      </w:r>
      <w:proofErr w:type="gramEnd"/>
      <w:r>
        <w:t xml:space="preserve">. Data were not available with a </w:t>
      </w:r>
      <w:proofErr w:type="gramStart"/>
      <w:r>
        <w:t>28</w:t>
      </w:r>
      <w:r w:rsidR="00062484">
        <w:t xml:space="preserve"> </w:t>
      </w:r>
      <w:r>
        <w:t>day</w:t>
      </w:r>
      <w:proofErr w:type="gramEnd"/>
      <w:r>
        <w:t xml:space="preserve"> dosing interval between Dose 2 and 3.</w:t>
      </w:r>
    </w:p>
    <w:p w14:paraId="434F34A8" w14:textId="45F71840" w:rsidR="009125CE" w:rsidRDefault="009125CE" w:rsidP="009125CE">
      <w:r>
        <w:t xml:space="preserve">No new safety signals were identified during the study. Local and systemic reactogenicity events were more frequently reported with Dose 3 than placebo but were mostly Grade 1. </w:t>
      </w:r>
    </w:p>
    <w:p w14:paraId="50A3F057" w14:textId="6FD2A833" w:rsidR="009125CE" w:rsidRDefault="009125CE" w:rsidP="004E35CD">
      <w:pPr>
        <w:pStyle w:val="FigureTitle"/>
      </w:pPr>
      <w:r w:rsidRPr="009125CE">
        <w:lastRenderedPageBreak/>
        <w:t>Figure 5</w:t>
      </w:r>
      <w:r w:rsidR="003C2642">
        <w:t>:</w:t>
      </w:r>
      <w:r w:rsidRPr="009125CE">
        <w:t xml:space="preserve"> Immune responses in transplant recipients who received </w:t>
      </w:r>
      <w:r w:rsidR="003C2642">
        <w:t>third</w:t>
      </w:r>
      <w:r w:rsidRPr="009125CE">
        <w:t xml:space="preserve"> dose mRNA-1273 or placebo</w:t>
      </w:r>
    </w:p>
    <w:p w14:paraId="14DAEAA1" w14:textId="7C75A4DA" w:rsidR="009125CE" w:rsidRPr="009125CE" w:rsidRDefault="009125CE" w:rsidP="009125CE">
      <w:pPr>
        <w:rPr>
          <w:b/>
          <w:bCs/>
        </w:rPr>
      </w:pPr>
      <w:r w:rsidRPr="007956B9">
        <w:rPr>
          <w:noProof/>
          <w:lang w:val="en-GB" w:eastAsia="en-GB"/>
        </w:rPr>
        <w:drawing>
          <wp:inline distT="0" distB="0" distL="0" distR="0" wp14:anchorId="48424A1D" wp14:editId="29C11245">
            <wp:extent cx="5448300" cy="5361380"/>
            <wp:effectExtent l="0" t="0" r="0" b="0"/>
            <wp:docPr id="4" name="Picture 4" descr="This figure describes the immune responses in transplant recipients who received 3rd dose mRNA-1273 or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figure describes the immune responses in transplant recipients who received 3rd dose mRNA-1273 or placebo."/>
                    <pic:cNvPicPr/>
                  </pic:nvPicPr>
                  <pic:blipFill>
                    <a:blip r:embed="rId47"/>
                    <a:stretch>
                      <a:fillRect/>
                    </a:stretch>
                  </pic:blipFill>
                  <pic:spPr>
                    <a:xfrm>
                      <a:off x="0" y="0"/>
                      <a:ext cx="5473789" cy="5386462"/>
                    </a:xfrm>
                    <a:prstGeom prst="rect">
                      <a:avLst/>
                    </a:prstGeom>
                  </pic:spPr>
                </pic:pic>
              </a:graphicData>
            </a:graphic>
          </wp:inline>
        </w:drawing>
      </w:r>
    </w:p>
    <w:p w14:paraId="33D12BC4" w14:textId="77777777" w:rsidR="009125CE" w:rsidRDefault="009125CE" w:rsidP="009125CE">
      <w:pPr>
        <w:pStyle w:val="TableDescription"/>
      </w:pPr>
      <w:r>
        <w:t>Solid horizontal lines = median values; dotted horizontal lines = pre-specified thresholds</w:t>
      </w:r>
    </w:p>
    <w:p w14:paraId="7A88C9A7" w14:textId="216B3A33" w:rsidR="009125CE" w:rsidRDefault="009125CE" w:rsidP="009125CE">
      <w:pPr>
        <w:pStyle w:val="TableDescription"/>
      </w:pPr>
      <w:r>
        <w:t>Source: Hall et al</w:t>
      </w:r>
      <w:r w:rsidR="00874CCF">
        <w:t>.,</w:t>
      </w:r>
      <w:r>
        <w:t xml:space="preserve"> Figure 1</w:t>
      </w:r>
      <w:r w:rsidR="00524504" w:rsidRPr="007A06D0">
        <w:rPr>
          <w:vertAlign w:val="superscript"/>
        </w:rPr>
        <w:fldChar w:fldCharType="begin"/>
      </w:r>
      <w:r w:rsidR="00524504" w:rsidRPr="007A06D0">
        <w:rPr>
          <w:vertAlign w:val="superscript"/>
        </w:rPr>
        <w:instrText xml:space="preserve"> NOTEREF _Ref89022524 \h </w:instrText>
      </w:r>
      <w:r w:rsidR="00524504">
        <w:rPr>
          <w:vertAlign w:val="superscript"/>
        </w:rPr>
        <w:instrText xml:space="preserve"> \* MERGEFORMAT </w:instrText>
      </w:r>
      <w:r w:rsidR="00524504" w:rsidRPr="007A06D0">
        <w:rPr>
          <w:vertAlign w:val="superscript"/>
        </w:rPr>
      </w:r>
      <w:r w:rsidR="00524504" w:rsidRPr="007A06D0">
        <w:rPr>
          <w:vertAlign w:val="superscript"/>
        </w:rPr>
        <w:fldChar w:fldCharType="separate"/>
      </w:r>
      <w:r w:rsidR="00524504" w:rsidRPr="007A06D0">
        <w:rPr>
          <w:vertAlign w:val="superscript"/>
        </w:rPr>
        <w:t>30</w:t>
      </w:r>
      <w:r w:rsidR="00524504" w:rsidRPr="007A06D0">
        <w:rPr>
          <w:vertAlign w:val="superscript"/>
        </w:rPr>
        <w:fldChar w:fldCharType="end"/>
      </w:r>
      <w:r>
        <w:t>.</w:t>
      </w:r>
    </w:p>
    <w:p w14:paraId="2819550E" w14:textId="3492547D" w:rsidR="007D53B6" w:rsidRDefault="00386150" w:rsidP="001A34A3">
      <w:pPr>
        <w:pStyle w:val="Heading3"/>
        <w:rPr>
          <w:lang w:eastAsia="en-AU"/>
        </w:rPr>
      </w:pPr>
      <w:bookmarkStart w:id="43" w:name="_Toc89950076"/>
      <w:r>
        <w:rPr>
          <w:lang w:eastAsia="en-AU"/>
        </w:rPr>
        <w:t>Risk m</w:t>
      </w:r>
      <w:r w:rsidR="008E7846">
        <w:rPr>
          <w:lang w:eastAsia="en-AU"/>
        </w:rPr>
        <w:t xml:space="preserve">anagement </w:t>
      </w:r>
      <w:r>
        <w:rPr>
          <w:lang w:eastAsia="en-AU"/>
        </w:rPr>
        <w:t>p</w:t>
      </w:r>
      <w:r w:rsidR="008E7846">
        <w:rPr>
          <w:lang w:eastAsia="en-AU"/>
        </w:rPr>
        <w:t>lan</w:t>
      </w:r>
      <w:bookmarkEnd w:id="41"/>
      <w:bookmarkEnd w:id="43"/>
    </w:p>
    <w:p w14:paraId="7C1238E2" w14:textId="18257D1B" w:rsidR="001A34A3" w:rsidRPr="001A34A3" w:rsidRDefault="001A34A3" w:rsidP="001A34A3">
      <w:pPr>
        <w:pStyle w:val="ListBullet"/>
      </w:pPr>
      <w:r>
        <w:t>The most recently evaluated EU-</w:t>
      </w:r>
      <w:r w:rsidR="003B65F8">
        <w:t>risk management plan (</w:t>
      </w:r>
      <w:r>
        <w:t>RMP</w:t>
      </w:r>
      <w:r w:rsidR="003B65F8">
        <w:t>)</w:t>
      </w:r>
      <w:r>
        <w:t xml:space="preserve"> was version 2.1 (date 15 July 2021; </w:t>
      </w:r>
      <w:r w:rsidR="003B65F8">
        <w:t>data lock point (</w:t>
      </w:r>
      <w:r>
        <w:t>DLP</w:t>
      </w:r>
      <w:r w:rsidR="003B65F8">
        <w:t>)</w:t>
      </w:r>
      <w:r>
        <w:t xml:space="preserve"> 31 May 2021) and </w:t>
      </w:r>
      <w:r w:rsidR="003B65F8">
        <w:t>Australia specific annex (</w:t>
      </w:r>
      <w:r>
        <w:t>ASA</w:t>
      </w:r>
      <w:r w:rsidR="003B65F8">
        <w:t>)</w:t>
      </w:r>
      <w:r>
        <w:t xml:space="preserve"> 0.3 (date 5 August 2021). In support of the current submission, the sponsor has provided EU-RMP version 2.3 (date 28 October 2021; DLP 30 June 2021) and ASA version 1.1 (date 5 November 2021).</w:t>
      </w:r>
    </w:p>
    <w:p w14:paraId="5F00819E" w14:textId="5F522B29" w:rsidR="005840A6" w:rsidRDefault="007D53B6" w:rsidP="00174A91">
      <w:pPr>
        <w:pStyle w:val="TableTitle"/>
      </w:pPr>
      <w:r>
        <w:lastRenderedPageBreak/>
        <w:t xml:space="preserve">The summary of safety concerns and their associated risk monitoring and mitigation strategies are summarised in Table </w:t>
      </w:r>
      <w:r w:rsidR="00174A91">
        <w:t>23</w:t>
      </w:r>
      <w:r>
        <w:t>.</w:t>
      </w:r>
      <w:r>
        <w:rPr>
          <w:rStyle w:val="FootnoteReference"/>
        </w:rPr>
        <w:footnoteReference w:id="30"/>
      </w:r>
      <w:r w:rsidR="00174A91">
        <w:t>Table 23</w:t>
      </w:r>
      <w:r w:rsidR="003C2642">
        <w:t>:</w:t>
      </w:r>
      <w:r w:rsidR="00174A91">
        <w:t xml:space="preserve"> Summary of safety concerns</w:t>
      </w:r>
    </w:p>
    <w:tbl>
      <w:tblPr>
        <w:tblStyle w:val="TableTGAblue"/>
        <w:tblW w:w="8090" w:type="dxa"/>
        <w:tblLayout w:type="fixed"/>
        <w:tblLook w:val="04A0" w:firstRow="1" w:lastRow="0" w:firstColumn="1" w:lastColumn="0" w:noHBand="0" w:noVBand="1"/>
      </w:tblPr>
      <w:tblGrid>
        <w:gridCol w:w="1550"/>
        <w:gridCol w:w="2162"/>
        <w:gridCol w:w="964"/>
        <w:gridCol w:w="1225"/>
        <w:gridCol w:w="964"/>
        <w:gridCol w:w="1225"/>
      </w:tblGrid>
      <w:tr w:rsidR="00B73842" w:rsidRPr="00BF52F4" w14:paraId="4AECCC3A" w14:textId="77777777" w:rsidTr="00D005CC">
        <w:trPr>
          <w:cnfStyle w:val="100000000000" w:firstRow="1" w:lastRow="0" w:firstColumn="0" w:lastColumn="0" w:oddVBand="0" w:evenVBand="0" w:oddHBand="0" w:evenHBand="0" w:firstRowFirstColumn="0" w:firstRowLastColumn="0" w:lastRowFirstColumn="0" w:lastRowLastColumn="0"/>
          <w:trHeight w:val="131"/>
        </w:trPr>
        <w:tc>
          <w:tcPr>
            <w:tcW w:w="3712" w:type="dxa"/>
            <w:gridSpan w:val="2"/>
            <w:vMerge w:val="restart"/>
          </w:tcPr>
          <w:p w14:paraId="205CEA7A" w14:textId="77777777" w:rsidR="00B73842" w:rsidRPr="00B80A0B" w:rsidRDefault="00B73842" w:rsidP="00D005CC">
            <w:pPr>
              <w:pStyle w:val="Tabletext"/>
              <w:ind w:left="0" w:right="0"/>
              <w:rPr>
                <w:bCs/>
              </w:rPr>
            </w:pPr>
            <w:r w:rsidRPr="00B80A0B">
              <w:rPr>
                <w:bCs/>
              </w:rPr>
              <w:t>Summary of safety concerns</w:t>
            </w:r>
          </w:p>
        </w:tc>
        <w:tc>
          <w:tcPr>
            <w:tcW w:w="2189" w:type="dxa"/>
            <w:gridSpan w:val="2"/>
          </w:tcPr>
          <w:p w14:paraId="279C139A" w14:textId="77777777" w:rsidR="00B73842" w:rsidRPr="00D005CC" w:rsidRDefault="00B73842" w:rsidP="00D005CC">
            <w:pPr>
              <w:pStyle w:val="Tabletext"/>
              <w:ind w:left="0" w:right="0"/>
              <w:rPr>
                <w:bCs/>
              </w:rPr>
            </w:pPr>
            <w:r w:rsidRPr="00D005CC">
              <w:rPr>
                <w:bCs/>
              </w:rPr>
              <w:t>Pharmacovigilance</w:t>
            </w:r>
          </w:p>
        </w:tc>
        <w:tc>
          <w:tcPr>
            <w:tcW w:w="2189" w:type="dxa"/>
            <w:gridSpan w:val="2"/>
          </w:tcPr>
          <w:p w14:paraId="29A8C726" w14:textId="77777777" w:rsidR="00B73842" w:rsidRPr="00D005CC" w:rsidRDefault="00B73842" w:rsidP="00D005CC">
            <w:pPr>
              <w:pStyle w:val="Tabletext"/>
              <w:ind w:left="0" w:right="0"/>
              <w:rPr>
                <w:bCs/>
              </w:rPr>
            </w:pPr>
            <w:r w:rsidRPr="00D005CC">
              <w:rPr>
                <w:bCs/>
              </w:rPr>
              <w:t>Risk Minimisation</w:t>
            </w:r>
          </w:p>
        </w:tc>
      </w:tr>
      <w:tr w:rsidR="00B80A0B" w:rsidRPr="00BF52F4" w14:paraId="2E7B6ED0" w14:textId="77777777" w:rsidTr="00D005CC">
        <w:trPr>
          <w:trHeight w:val="150"/>
        </w:trPr>
        <w:tc>
          <w:tcPr>
            <w:tcW w:w="3712" w:type="dxa"/>
            <w:gridSpan w:val="2"/>
            <w:vMerge/>
          </w:tcPr>
          <w:p w14:paraId="7963BB96" w14:textId="77777777" w:rsidR="00B73842" w:rsidRPr="00B73842" w:rsidRDefault="00B73842" w:rsidP="00D005CC">
            <w:pPr>
              <w:pStyle w:val="Tabletext"/>
              <w:ind w:left="0" w:right="0"/>
            </w:pPr>
          </w:p>
        </w:tc>
        <w:tc>
          <w:tcPr>
            <w:tcW w:w="964" w:type="dxa"/>
          </w:tcPr>
          <w:p w14:paraId="022066A0" w14:textId="77777777" w:rsidR="00B73842" w:rsidRPr="00D005CC" w:rsidRDefault="00B73842" w:rsidP="00D005CC">
            <w:pPr>
              <w:pStyle w:val="Tabletext"/>
              <w:ind w:left="0" w:right="0"/>
            </w:pPr>
            <w:r w:rsidRPr="00D005CC">
              <w:t>Routine</w:t>
            </w:r>
          </w:p>
        </w:tc>
        <w:tc>
          <w:tcPr>
            <w:tcW w:w="1225" w:type="dxa"/>
          </w:tcPr>
          <w:p w14:paraId="300DC8CA" w14:textId="77777777" w:rsidR="00B73842" w:rsidRPr="00D005CC" w:rsidRDefault="00B73842" w:rsidP="00D005CC">
            <w:pPr>
              <w:pStyle w:val="Tabletext"/>
              <w:ind w:left="0" w:right="0"/>
            </w:pPr>
            <w:r w:rsidRPr="00D005CC">
              <w:t>Additional</w:t>
            </w:r>
          </w:p>
        </w:tc>
        <w:tc>
          <w:tcPr>
            <w:tcW w:w="964" w:type="dxa"/>
          </w:tcPr>
          <w:p w14:paraId="1BDCBDDC" w14:textId="77777777" w:rsidR="00B73842" w:rsidRPr="00D005CC" w:rsidRDefault="00B73842" w:rsidP="00D005CC">
            <w:pPr>
              <w:pStyle w:val="Tabletext"/>
              <w:ind w:left="0" w:right="0"/>
            </w:pPr>
            <w:r w:rsidRPr="00D005CC">
              <w:t>Routine</w:t>
            </w:r>
          </w:p>
        </w:tc>
        <w:tc>
          <w:tcPr>
            <w:tcW w:w="1225" w:type="dxa"/>
          </w:tcPr>
          <w:p w14:paraId="7E6C6E8B" w14:textId="77777777" w:rsidR="00B73842" w:rsidRPr="00BF52F4" w:rsidRDefault="00B73842" w:rsidP="00D005CC">
            <w:pPr>
              <w:pStyle w:val="Tabletext"/>
              <w:ind w:left="0" w:right="0"/>
              <w:rPr>
                <w:sz w:val="18"/>
              </w:rPr>
            </w:pPr>
            <w:r w:rsidRPr="00BF52F4">
              <w:rPr>
                <w:sz w:val="18"/>
              </w:rPr>
              <w:t>Additional</w:t>
            </w:r>
          </w:p>
        </w:tc>
      </w:tr>
      <w:tr w:rsidR="00B80A0B" w:rsidRPr="00BF52F4" w14:paraId="573B377F" w14:textId="77777777" w:rsidTr="00D005CC">
        <w:trPr>
          <w:trHeight w:val="137"/>
        </w:trPr>
        <w:tc>
          <w:tcPr>
            <w:tcW w:w="1550" w:type="dxa"/>
            <w:vMerge w:val="restart"/>
          </w:tcPr>
          <w:p w14:paraId="5F4A7AE0" w14:textId="77777777" w:rsidR="00B73842" w:rsidRPr="00D005CC" w:rsidRDefault="00B73842" w:rsidP="00D005CC">
            <w:pPr>
              <w:pStyle w:val="Tabletext"/>
              <w:ind w:left="0" w:right="0"/>
            </w:pPr>
            <w:r w:rsidRPr="00D005CC">
              <w:t>Important identified risks</w:t>
            </w:r>
          </w:p>
        </w:tc>
        <w:tc>
          <w:tcPr>
            <w:tcW w:w="2162" w:type="dxa"/>
          </w:tcPr>
          <w:p w14:paraId="4758C83A" w14:textId="77777777" w:rsidR="00B73842" w:rsidRPr="00B73842" w:rsidRDefault="00B73842" w:rsidP="00D005CC">
            <w:pPr>
              <w:pStyle w:val="Tabletext"/>
              <w:ind w:left="0" w:right="0"/>
            </w:pPr>
            <w:r w:rsidRPr="00B73842">
              <w:t>Anaphylaxis</w:t>
            </w:r>
          </w:p>
        </w:tc>
        <w:tc>
          <w:tcPr>
            <w:tcW w:w="964" w:type="dxa"/>
          </w:tcPr>
          <w:p w14:paraId="340645A4" w14:textId="77777777" w:rsidR="00B73842" w:rsidRPr="00B73842" w:rsidRDefault="00B73842" w:rsidP="00D005CC">
            <w:pPr>
              <w:pStyle w:val="Tabletext"/>
              <w:ind w:left="0" w:right="0"/>
            </w:pPr>
            <w:r w:rsidRPr="00B73842">
              <w:sym w:font="Wingdings" w:char="F0FC"/>
            </w:r>
            <w:r w:rsidRPr="00D005CC">
              <w:rPr>
                <w:szCs w:val="22"/>
              </w:rPr>
              <w:t>*</w:t>
            </w:r>
          </w:p>
        </w:tc>
        <w:tc>
          <w:tcPr>
            <w:tcW w:w="1225" w:type="dxa"/>
          </w:tcPr>
          <w:p w14:paraId="6FAA85FB" w14:textId="77777777" w:rsidR="00B73842" w:rsidRPr="00B73842" w:rsidRDefault="00B73842" w:rsidP="00D005CC">
            <w:pPr>
              <w:pStyle w:val="Tabletext"/>
              <w:ind w:left="0" w:right="0"/>
            </w:pPr>
            <w:r w:rsidRPr="00B73842">
              <w:sym w:font="Wingdings" w:char="F0FC"/>
            </w:r>
            <w:r w:rsidRPr="00D005CC">
              <w:rPr>
                <w:szCs w:val="22"/>
              </w:rPr>
              <w:t>†</w:t>
            </w:r>
          </w:p>
        </w:tc>
        <w:tc>
          <w:tcPr>
            <w:tcW w:w="964" w:type="dxa"/>
          </w:tcPr>
          <w:p w14:paraId="7BE2F37A" w14:textId="77777777" w:rsidR="00B73842" w:rsidRPr="00B73842" w:rsidRDefault="00B73842" w:rsidP="00D005CC">
            <w:pPr>
              <w:pStyle w:val="Tabletext"/>
              <w:ind w:left="0" w:right="0"/>
            </w:pPr>
            <w:r w:rsidRPr="00B73842">
              <w:sym w:font="Wingdings" w:char="F0FC"/>
            </w:r>
          </w:p>
        </w:tc>
        <w:tc>
          <w:tcPr>
            <w:tcW w:w="1225" w:type="dxa"/>
          </w:tcPr>
          <w:p w14:paraId="4CA394EB" w14:textId="77777777" w:rsidR="00B73842" w:rsidRPr="00C25BED" w:rsidRDefault="00B73842" w:rsidP="00D005CC">
            <w:pPr>
              <w:pStyle w:val="Tabletext"/>
              <w:ind w:left="0" w:right="0"/>
              <w:jc w:val="center"/>
            </w:pPr>
            <w:r w:rsidRPr="00C25BED">
              <w:t>–</w:t>
            </w:r>
          </w:p>
        </w:tc>
      </w:tr>
      <w:tr w:rsidR="00B80A0B" w:rsidRPr="00BF52F4" w14:paraId="7B659F5C" w14:textId="77777777" w:rsidTr="00D005CC">
        <w:trPr>
          <w:trHeight w:val="94"/>
        </w:trPr>
        <w:tc>
          <w:tcPr>
            <w:tcW w:w="1550" w:type="dxa"/>
            <w:vMerge/>
          </w:tcPr>
          <w:p w14:paraId="7A00D314" w14:textId="77777777" w:rsidR="00B73842" w:rsidRPr="00D005CC" w:rsidRDefault="00B73842" w:rsidP="00D005CC">
            <w:pPr>
              <w:pStyle w:val="Tabletext"/>
              <w:ind w:left="0" w:right="0"/>
            </w:pPr>
          </w:p>
        </w:tc>
        <w:tc>
          <w:tcPr>
            <w:tcW w:w="2162" w:type="dxa"/>
          </w:tcPr>
          <w:p w14:paraId="0CAEB1B6" w14:textId="77777777" w:rsidR="00B73842" w:rsidRPr="00B73842" w:rsidRDefault="00B73842" w:rsidP="00D005CC">
            <w:pPr>
              <w:pStyle w:val="Tabletext"/>
              <w:ind w:left="0" w:right="0"/>
            </w:pPr>
            <w:r w:rsidRPr="00B73842">
              <w:t xml:space="preserve">Myocarditis </w:t>
            </w:r>
          </w:p>
        </w:tc>
        <w:tc>
          <w:tcPr>
            <w:tcW w:w="964" w:type="dxa"/>
          </w:tcPr>
          <w:p w14:paraId="24E447F2" w14:textId="77777777" w:rsidR="00B73842" w:rsidRPr="00B73842" w:rsidRDefault="00B73842" w:rsidP="00D005CC">
            <w:pPr>
              <w:pStyle w:val="Tabletext"/>
              <w:ind w:left="0" w:right="0"/>
            </w:pPr>
            <w:r w:rsidRPr="00B73842">
              <w:sym w:font="Wingdings" w:char="F0FC"/>
            </w:r>
            <w:r w:rsidRPr="00D005CC">
              <w:rPr>
                <w:szCs w:val="22"/>
              </w:rPr>
              <w:t>*</w:t>
            </w:r>
          </w:p>
        </w:tc>
        <w:tc>
          <w:tcPr>
            <w:tcW w:w="1225" w:type="dxa"/>
          </w:tcPr>
          <w:p w14:paraId="64A8C490" w14:textId="77777777" w:rsidR="00B73842" w:rsidRPr="00B73842" w:rsidRDefault="00B73842" w:rsidP="00D005CC">
            <w:pPr>
              <w:pStyle w:val="Tabletext"/>
              <w:ind w:left="0" w:right="0"/>
            </w:pPr>
            <w:r w:rsidRPr="00B73842">
              <w:sym w:font="Wingdings" w:char="F0FC"/>
            </w:r>
            <w:r w:rsidRPr="00D005CC">
              <w:rPr>
                <w:szCs w:val="22"/>
              </w:rPr>
              <w:t>†</w:t>
            </w:r>
          </w:p>
        </w:tc>
        <w:tc>
          <w:tcPr>
            <w:tcW w:w="964" w:type="dxa"/>
          </w:tcPr>
          <w:p w14:paraId="3989A440" w14:textId="77777777" w:rsidR="00B73842" w:rsidRPr="00B73842" w:rsidRDefault="00B73842" w:rsidP="00D005CC">
            <w:pPr>
              <w:pStyle w:val="Tabletext"/>
              <w:ind w:left="0" w:right="0"/>
            </w:pPr>
            <w:r w:rsidRPr="00B73842">
              <w:sym w:font="Wingdings" w:char="F0FC"/>
            </w:r>
          </w:p>
        </w:tc>
        <w:tc>
          <w:tcPr>
            <w:tcW w:w="1225" w:type="dxa"/>
          </w:tcPr>
          <w:p w14:paraId="706F0037" w14:textId="77777777" w:rsidR="00B73842" w:rsidRPr="00C25BED" w:rsidRDefault="00B73842" w:rsidP="00D005CC">
            <w:pPr>
              <w:pStyle w:val="Tabletext"/>
              <w:ind w:left="0" w:right="0"/>
              <w:jc w:val="center"/>
            </w:pPr>
            <w:r w:rsidRPr="00C25BED">
              <w:t>–</w:t>
            </w:r>
          </w:p>
        </w:tc>
      </w:tr>
      <w:tr w:rsidR="00B80A0B" w:rsidRPr="00BF52F4" w14:paraId="40744144" w14:textId="77777777" w:rsidTr="00D005CC">
        <w:trPr>
          <w:trHeight w:val="187"/>
        </w:trPr>
        <w:tc>
          <w:tcPr>
            <w:tcW w:w="1550" w:type="dxa"/>
            <w:vMerge/>
          </w:tcPr>
          <w:p w14:paraId="5309A41D" w14:textId="77777777" w:rsidR="00B73842" w:rsidRPr="00D005CC" w:rsidRDefault="00B73842" w:rsidP="00D005CC">
            <w:pPr>
              <w:pStyle w:val="Tabletext"/>
              <w:ind w:left="0" w:right="0"/>
            </w:pPr>
          </w:p>
        </w:tc>
        <w:tc>
          <w:tcPr>
            <w:tcW w:w="2162" w:type="dxa"/>
          </w:tcPr>
          <w:p w14:paraId="33E9CFD1" w14:textId="77777777" w:rsidR="00B73842" w:rsidRPr="00B73842" w:rsidRDefault="00B73842" w:rsidP="00D005CC">
            <w:pPr>
              <w:pStyle w:val="Tabletext"/>
              <w:ind w:left="0" w:right="0"/>
            </w:pPr>
            <w:r w:rsidRPr="00B73842">
              <w:t>Pericarditis</w:t>
            </w:r>
          </w:p>
        </w:tc>
        <w:tc>
          <w:tcPr>
            <w:tcW w:w="964" w:type="dxa"/>
          </w:tcPr>
          <w:p w14:paraId="2BD65241" w14:textId="77777777" w:rsidR="00B73842" w:rsidRPr="00B73842" w:rsidRDefault="00B73842" w:rsidP="00D005CC">
            <w:pPr>
              <w:pStyle w:val="Tabletext"/>
              <w:ind w:left="0" w:right="0"/>
            </w:pPr>
            <w:r w:rsidRPr="00B73842">
              <w:sym w:font="Wingdings" w:char="F0FC"/>
            </w:r>
            <w:r w:rsidRPr="00D005CC">
              <w:rPr>
                <w:szCs w:val="22"/>
              </w:rPr>
              <w:t>*</w:t>
            </w:r>
          </w:p>
        </w:tc>
        <w:tc>
          <w:tcPr>
            <w:tcW w:w="1225" w:type="dxa"/>
          </w:tcPr>
          <w:p w14:paraId="581E4C79" w14:textId="77777777" w:rsidR="00B73842" w:rsidRPr="00B73842" w:rsidRDefault="00B73842" w:rsidP="00D005CC">
            <w:pPr>
              <w:pStyle w:val="Tabletext"/>
              <w:ind w:left="0" w:right="0"/>
            </w:pPr>
            <w:r w:rsidRPr="00B73842">
              <w:sym w:font="Wingdings" w:char="F0FC"/>
            </w:r>
            <w:r w:rsidRPr="00D005CC">
              <w:rPr>
                <w:szCs w:val="22"/>
              </w:rPr>
              <w:t>†</w:t>
            </w:r>
          </w:p>
        </w:tc>
        <w:tc>
          <w:tcPr>
            <w:tcW w:w="964" w:type="dxa"/>
          </w:tcPr>
          <w:p w14:paraId="1D689507" w14:textId="77777777" w:rsidR="00B73842" w:rsidRPr="00B73842" w:rsidRDefault="00B73842" w:rsidP="00D005CC">
            <w:pPr>
              <w:pStyle w:val="Tabletext"/>
              <w:ind w:left="0" w:right="0"/>
            </w:pPr>
            <w:r w:rsidRPr="00B73842">
              <w:sym w:font="Wingdings" w:char="F0FC"/>
            </w:r>
          </w:p>
        </w:tc>
        <w:tc>
          <w:tcPr>
            <w:tcW w:w="1225" w:type="dxa"/>
          </w:tcPr>
          <w:p w14:paraId="5029E391" w14:textId="77777777" w:rsidR="00B73842" w:rsidRPr="00C25BED" w:rsidRDefault="00B73842" w:rsidP="00D005CC">
            <w:pPr>
              <w:pStyle w:val="Tabletext"/>
              <w:ind w:left="0" w:right="0"/>
              <w:jc w:val="center"/>
            </w:pPr>
            <w:r w:rsidRPr="00C25BED">
              <w:t>–</w:t>
            </w:r>
          </w:p>
        </w:tc>
      </w:tr>
      <w:tr w:rsidR="00B80A0B" w:rsidRPr="00BF52F4" w14:paraId="72186CEA" w14:textId="77777777" w:rsidTr="00D005CC">
        <w:trPr>
          <w:trHeight w:val="159"/>
        </w:trPr>
        <w:tc>
          <w:tcPr>
            <w:tcW w:w="1550" w:type="dxa"/>
          </w:tcPr>
          <w:p w14:paraId="52EBFB15" w14:textId="77777777" w:rsidR="00B73842" w:rsidRPr="00D005CC" w:rsidRDefault="00B73842" w:rsidP="00D005CC">
            <w:pPr>
              <w:pStyle w:val="Tabletext"/>
              <w:ind w:left="0" w:right="0"/>
            </w:pPr>
            <w:r w:rsidRPr="00D005CC">
              <w:t>Important potential risks</w:t>
            </w:r>
          </w:p>
        </w:tc>
        <w:tc>
          <w:tcPr>
            <w:tcW w:w="2162" w:type="dxa"/>
          </w:tcPr>
          <w:p w14:paraId="420C2FAB" w14:textId="77777777" w:rsidR="00B73842" w:rsidRPr="00B73842" w:rsidRDefault="00B73842" w:rsidP="00D005CC">
            <w:pPr>
              <w:pStyle w:val="Tabletext"/>
              <w:ind w:left="0" w:right="0"/>
            </w:pPr>
            <w:r w:rsidRPr="00B73842">
              <w:t>Vaccine-associated enhanced disease (VAED) including vaccine-associated enhanced respiratory disease (VAERD)</w:t>
            </w:r>
          </w:p>
        </w:tc>
        <w:tc>
          <w:tcPr>
            <w:tcW w:w="964" w:type="dxa"/>
          </w:tcPr>
          <w:p w14:paraId="688D8132" w14:textId="77777777" w:rsidR="00B73842" w:rsidRPr="00B73842" w:rsidRDefault="00B73842" w:rsidP="00D005CC">
            <w:pPr>
              <w:pStyle w:val="Tabletext"/>
              <w:ind w:left="0" w:right="0"/>
            </w:pPr>
            <w:r w:rsidRPr="00B73842">
              <w:sym w:font="Wingdings" w:char="F0FC"/>
            </w:r>
            <w:r w:rsidRPr="00D005CC">
              <w:rPr>
                <w:szCs w:val="22"/>
              </w:rPr>
              <w:t>*</w:t>
            </w:r>
          </w:p>
        </w:tc>
        <w:tc>
          <w:tcPr>
            <w:tcW w:w="1225" w:type="dxa"/>
          </w:tcPr>
          <w:p w14:paraId="17A23F59" w14:textId="77777777" w:rsidR="00B73842" w:rsidRPr="00B73842" w:rsidRDefault="00B73842" w:rsidP="00D005CC">
            <w:pPr>
              <w:pStyle w:val="Tabletext"/>
              <w:ind w:left="0" w:right="0"/>
            </w:pPr>
            <w:r w:rsidRPr="00B73842">
              <w:sym w:font="Wingdings" w:char="F0FC"/>
            </w:r>
            <w:r w:rsidRPr="00D005CC">
              <w:rPr>
                <w:szCs w:val="22"/>
              </w:rPr>
              <w:t>†</w:t>
            </w:r>
          </w:p>
        </w:tc>
        <w:tc>
          <w:tcPr>
            <w:tcW w:w="964" w:type="dxa"/>
          </w:tcPr>
          <w:p w14:paraId="4664E730" w14:textId="77777777" w:rsidR="00B73842" w:rsidRPr="00B73842" w:rsidRDefault="00B73842" w:rsidP="00D005CC">
            <w:pPr>
              <w:pStyle w:val="Tabletext"/>
              <w:ind w:left="0" w:right="0"/>
            </w:pPr>
            <w:r w:rsidRPr="00B73842">
              <w:t>–</w:t>
            </w:r>
          </w:p>
        </w:tc>
        <w:tc>
          <w:tcPr>
            <w:tcW w:w="1225" w:type="dxa"/>
          </w:tcPr>
          <w:p w14:paraId="2805FC93" w14:textId="77777777" w:rsidR="00B73842" w:rsidRPr="00C25BED" w:rsidRDefault="00B73842" w:rsidP="00D005CC">
            <w:pPr>
              <w:pStyle w:val="Tabletext"/>
              <w:ind w:left="0" w:right="0"/>
              <w:jc w:val="center"/>
            </w:pPr>
            <w:r w:rsidRPr="00C25BED">
              <w:t>–</w:t>
            </w:r>
          </w:p>
        </w:tc>
      </w:tr>
      <w:tr w:rsidR="00B80A0B" w:rsidRPr="00BF52F4" w14:paraId="4BA5FB0A" w14:textId="77777777" w:rsidTr="00D005CC">
        <w:trPr>
          <w:trHeight w:val="178"/>
        </w:trPr>
        <w:tc>
          <w:tcPr>
            <w:tcW w:w="1550" w:type="dxa"/>
            <w:vMerge w:val="restart"/>
          </w:tcPr>
          <w:p w14:paraId="7A69146F" w14:textId="77777777" w:rsidR="00B73842" w:rsidRPr="00D005CC" w:rsidRDefault="00B73842" w:rsidP="00D005CC">
            <w:pPr>
              <w:pStyle w:val="Tabletext"/>
              <w:ind w:left="0" w:right="0"/>
            </w:pPr>
            <w:r w:rsidRPr="00D005CC">
              <w:t>Missing information</w:t>
            </w:r>
          </w:p>
        </w:tc>
        <w:tc>
          <w:tcPr>
            <w:tcW w:w="2162" w:type="dxa"/>
          </w:tcPr>
          <w:p w14:paraId="2C41D405" w14:textId="77777777" w:rsidR="00B73842" w:rsidRPr="00B73842" w:rsidRDefault="00B73842" w:rsidP="00D005CC">
            <w:pPr>
              <w:pStyle w:val="Tabletext"/>
              <w:ind w:left="0" w:right="0"/>
            </w:pPr>
            <w:r w:rsidRPr="00B73842">
              <w:t>Use in pregnancy and while breast-feeding</w:t>
            </w:r>
          </w:p>
        </w:tc>
        <w:tc>
          <w:tcPr>
            <w:tcW w:w="964" w:type="dxa"/>
          </w:tcPr>
          <w:p w14:paraId="746F9AA8" w14:textId="77777777" w:rsidR="00B73842" w:rsidRPr="00B73842" w:rsidRDefault="00B73842" w:rsidP="00D005CC">
            <w:pPr>
              <w:pStyle w:val="Tabletext"/>
              <w:ind w:left="0" w:right="0"/>
            </w:pPr>
            <w:r w:rsidRPr="00B73842">
              <w:sym w:font="Wingdings" w:char="F0FC"/>
            </w:r>
          </w:p>
        </w:tc>
        <w:tc>
          <w:tcPr>
            <w:tcW w:w="1225" w:type="dxa"/>
          </w:tcPr>
          <w:p w14:paraId="788D0CDF" w14:textId="77777777" w:rsidR="00B73842" w:rsidRPr="00B73842" w:rsidRDefault="00B73842" w:rsidP="00D005CC">
            <w:pPr>
              <w:pStyle w:val="Tabletext"/>
              <w:ind w:left="0" w:right="0"/>
            </w:pPr>
            <w:r w:rsidRPr="00B73842">
              <w:sym w:font="Wingdings" w:char="F0FC"/>
            </w:r>
            <w:r w:rsidRPr="00D005CC">
              <w:rPr>
                <w:szCs w:val="22"/>
              </w:rPr>
              <w:t>†</w:t>
            </w:r>
          </w:p>
        </w:tc>
        <w:tc>
          <w:tcPr>
            <w:tcW w:w="964" w:type="dxa"/>
          </w:tcPr>
          <w:p w14:paraId="5633D24D" w14:textId="77777777" w:rsidR="00B73842" w:rsidRPr="00B73842" w:rsidRDefault="00B73842" w:rsidP="00D005CC">
            <w:pPr>
              <w:pStyle w:val="Tabletext"/>
              <w:ind w:left="0" w:right="0"/>
            </w:pPr>
            <w:r w:rsidRPr="00B73842">
              <w:sym w:font="Wingdings" w:char="F0FC"/>
            </w:r>
          </w:p>
        </w:tc>
        <w:tc>
          <w:tcPr>
            <w:tcW w:w="1225" w:type="dxa"/>
          </w:tcPr>
          <w:p w14:paraId="1D17C797" w14:textId="77777777" w:rsidR="00B73842" w:rsidRPr="00C25BED" w:rsidRDefault="00B73842" w:rsidP="00D005CC">
            <w:pPr>
              <w:pStyle w:val="Tabletext"/>
              <w:ind w:left="0" w:right="0"/>
              <w:jc w:val="center"/>
            </w:pPr>
            <w:r w:rsidRPr="00C25BED">
              <w:t>–</w:t>
            </w:r>
          </w:p>
        </w:tc>
      </w:tr>
      <w:tr w:rsidR="00B80A0B" w:rsidRPr="00BF52F4" w14:paraId="4EB7CC30" w14:textId="77777777" w:rsidTr="00D005CC">
        <w:trPr>
          <w:trHeight w:val="103"/>
        </w:trPr>
        <w:tc>
          <w:tcPr>
            <w:tcW w:w="1550" w:type="dxa"/>
            <w:vMerge/>
          </w:tcPr>
          <w:p w14:paraId="158CDF94" w14:textId="77777777" w:rsidR="00B73842" w:rsidRPr="00B73842" w:rsidRDefault="00B73842" w:rsidP="00D005CC">
            <w:pPr>
              <w:pStyle w:val="Tabletext"/>
              <w:ind w:left="0" w:right="0"/>
            </w:pPr>
          </w:p>
        </w:tc>
        <w:tc>
          <w:tcPr>
            <w:tcW w:w="2162" w:type="dxa"/>
          </w:tcPr>
          <w:p w14:paraId="5869E66A" w14:textId="77777777" w:rsidR="00B73842" w:rsidRPr="00B73842" w:rsidRDefault="00B73842" w:rsidP="00D005CC">
            <w:pPr>
              <w:pStyle w:val="Tabletext"/>
              <w:ind w:left="0" w:right="0"/>
            </w:pPr>
            <w:r w:rsidRPr="00B73842">
              <w:t>Long-term safety</w:t>
            </w:r>
          </w:p>
        </w:tc>
        <w:tc>
          <w:tcPr>
            <w:tcW w:w="964" w:type="dxa"/>
          </w:tcPr>
          <w:p w14:paraId="71B94C71" w14:textId="77777777" w:rsidR="00B73842" w:rsidRPr="00B73842" w:rsidRDefault="00B73842" w:rsidP="00D005CC">
            <w:pPr>
              <w:pStyle w:val="Tabletext"/>
              <w:ind w:left="0" w:right="0"/>
            </w:pPr>
            <w:r w:rsidRPr="00B73842">
              <w:sym w:font="Wingdings" w:char="F0FC"/>
            </w:r>
          </w:p>
        </w:tc>
        <w:tc>
          <w:tcPr>
            <w:tcW w:w="1225" w:type="dxa"/>
          </w:tcPr>
          <w:p w14:paraId="6CB68661" w14:textId="77777777" w:rsidR="00B73842" w:rsidRPr="00B73842" w:rsidRDefault="00B73842" w:rsidP="00D005CC">
            <w:pPr>
              <w:pStyle w:val="Tabletext"/>
              <w:ind w:left="0" w:right="0"/>
            </w:pPr>
            <w:r w:rsidRPr="00B73842">
              <w:sym w:font="Wingdings" w:char="F0FC"/>
            </w:r>
            <w:r w:rsidRPr="00D005CC">
              <w:rPr>
                <w:szCs w:val="22"/>
              </w:rPr>
              <w:t>†</w:t>
            </w:r>
          </w:p>
        </w:tc>
        <w:tc>
          <w:tcPr>
            <w:tcW w:w="964" w:type="dxa"/>
          </w:tcPr>
          <w:p w14:paraId="314E36D8" w14:textId="77777777" w:rsidR="00B73842" w:rsidRPr="00B73842" w:rsidRDefault="00B73842" w:rsidP="00D005CC">
            <w:pPr>
              <w:pStyle w:val="Tabletext"/>
              <w:ind w:left="0" w:right="0"/>
            </w:pPr>
            <w:r w:rsidRPr="00B73842">
              <w:t>–</w:t>
            </w:r>
          </w:p>
        </w:tc>
        <w:tc>
          <w:tcPr>
            <w:tcW w:w="1225" w:type="dxa"/>
          </w:tcPr>
          <w:p w14:paraId="209ABCD6" w14:textId="77777777" w:rsidR="00B73842" w:rsidRPr="00C25BED" w:rsidRDefault="00B73842" w:rsidP="00D005CC">
            <w:pPr>
              <w:pStyle w:val="Tabletext"/>
              <w:ind w:left="0" w:right="0"/>
              <w:jc w:val="center"/>
            </w:pPr>
            <w:r w:rsidRPr="00C25BED">
              <w:t>–</w:t>
            </w:r>
          </w:p>
        </w:tc>
      </w:tr>
      <w:tr w:rsidR="00B80A0B" w:rsidRPr="00BF52F4" w14:paraId="31CBE108" w14:textId="77777777" w:rsidTr="00D005CC">
        <w:trPr>
          <w:trHeight w:val="103"/>
        </w:trPr>
        <w:tc>
          <w:tcPr>
            <w:tcW w:w="1550" w:type="dxa"/>
            <w:vMerge/>
          </w:tcPr>
          <w:p w14:paraId="3A0B8114" w14:textId="77777777" w:rsidR="00B73842" w:rsidRPr="00B73842" w:rsidRDefault="00B73842" w:rsidP="00D005CC">
            <w:pPr>
              <w:pStyle w:val="Tabletext"/>
              <w:ind w:left="0" w:right="0"/>
            </w:pPr>
          </w:p>
        </w:tc>
        <w:tc>
          <w:tcPr>
            <w:tcW w:w="2162" w:type="dxa"/>
          </w:tcPr>
          <w:p w14:paraId="66639E47" w14:textId="77777777" w:rsidR="00B73842" w:rsidRPr="00B73842" w:rsidRDefault="00B73842" w:rsidP="00D005CC">
            <w:pPr>
              <w:pStyle w:val="Tabletext"/>
              <w:ind w:left="0" w:right="0"/>
            </w:pPr>
            <w:r w:rsidRPr="00B73842">
              <w:t>Use in immunocompromised subjects</w:t>
            </w:r>
          </w:p>
        </w:tc>
        <w:tc>
          <w:tcPr>
            <w:tcW w:w="964" w:type="dxa"/>
          </w:tcPr>
          <w:p w14:paraId="16BBE49C" w14:textId="77777777" w:rsidR="00B73842" w:rsidRPr="00B73842" w:rsidRDefault="00B73842" w:rsidP="00D005CC">
            <w:pPr>
              <w:pStyle w:val="Tabletext"/>
              <w:ind w:left="0" w:right="0"/>
            </w:pPr>
            <w:r w:rsidRPr="00B73842">
              <w:sym w:font="Wingdings" w:char="F0FC"/>
            </w:r>
          </w:p>
        </w:tc>
        <w:tc>
          <w:tcPr>
            <w:tcW w:w="1225" w:type="dxa"/>
          </w:tcPr>
          <w:p w14:paraId="413DEDD8" w14:textId="77777777" w:rsidR="00B73842" w:rsidRPr="00B73842" w:rsidRDefault="00B73842" w:rsidP="00D005CC">
            <w:pPr>
              <w:pStyle w:val="Tabletext"/>
              <w:ind w:left="0" w:right="0"/>
            </w:pPr>
            <w:r w:rsidRPr="00B73842">
              <w:sym w:font="Wingdings" w:char="F0FC"/>
            </w:r>
            <w:r w:rsidRPr="00D005CC">
              <w:rPr>
                <w:szCs w:val="22"/>
              </w:rPr>
              <w:t>†</w:t>
            </w:r>
          </w:p>
        </w:tc>
        <w:tc>
          <w:tcPr>
            <w:tcW w:w="964" w:type="dxa"/>
          </w:tcPr>
          <w:p w14:paraId="7FDA41A5" w14:textId="77777777" w:rsidR="00B73842" w:rsidRPr="00B73842" w:rsidRDefault="00B73842" w:rsidP="00D005CC">
            <w:pPr>
              <w:pStyle w:val="Tabletext"/>
              <w:ind w:left="0" w:right="0"/>
            </w:pPr>
            <w:r w:rsidRPr="00B73842">
              <w:sym w:font="Wingdings" w:char="F0FC"/>
            </w:r>
          </w:p>
        </w:tc>
        <w:tc>
          <w:tcPr>
            <w:tcW w:w="1225" w:type="dxa"/>
          </w:tcPr>
          <w:p w14:paraId="73155066" w14:textId="77777777" w:rsidR="00B73842" w:rsidRPr="00C25BED" w:rsidRDefault="00B73842" w:rsidP="00D005CC">
            <w:pPr>
              <w:pStyle w:val="Tabletext"/>
              <w:ind w:left="0" w:right="0"/>
              <w:jc w:val="center"/>
            </w:pPr>
            <w:r w:rsidRPr="00C25BED">
              <w:t>–</w:t>
            </w:r>
          </w:p>
        </w:tc>
      </w:tr>
      <w:tr w:rsidR="00B80A0B" w:rsidRPr="00BF52F4" w14:paraId="3C3B9C03" w14:textId="77777777" w:rsidTr="00D005CC">
        <w:trPr>
          <w:trHeight w:val="103"/>
        </w:trPr>
        <w:tc>
          <w:tcPr>
            <w:tcW w:w="1550" w:type="dxa"/>
            <w:vMerge/>
          </w:tcPr>
          <w:p w14:paraId="6BC8EFB5" w14:textId="77777777" w:rsidR="00B73842" w:rsidRPr="00B73842" w:rsidRDefault="00B73842" w:rsidP="00D005CC">
            <w:pPr>
              <w:pStyle w:val="Tabletext"/>
              <w:ind w:left="0" w:right="0"/>
            </w:pPr>
          </w:p>
        </w:tc>
        <w:tc>
          <w:tcPr>
            <w:tcW w:w="2162" w:type="dxa"/>
          </w:tcPr>
          <w:p w14:paraId="16A0EED7" w14:textId="77777777" w:rsidR="00B73842" w:rsidRPr="00B73842" w:rsidRDefault="00B73842" w:rsidP="00D005CC">
            <w:pPr>
              <w:pStyle w:val="Tabletext"/>
              <w:ind w:left="0" w:right="0"/>
            </w:pPr>
            <w:r w:rsidRPr="00B73842">
              <w:t>Interaction with other vaccines</w:t>
            </w:r>
          </w:p>
        </w:tc>
        <w:tc>
          <w:tcPr>
            <w:tcW w:w="964" w:type="dxa"/>
          </w:tcPr>
          <w:p w14:paraId="36F759CA" w14:textId="77777777" w:rsidR="00B73842" w:rsidRPr="00B73842" w:rsidRDefault="00B73842" w:rsidP="00D005CC">
            <w:pPr>
              <w:pStyle w:val="Tabletext"/>
              <w:ind w:left="0" w:right="0"/>
            </w:pPr>
            <w:r w:rsidRPr="00B73842">
              <w:sym w:font="Wingdings" w:char="F0FC"/>
            </w:r>
          </w:p>
        </w:tc>
        <w:tc>
          <w:tcPr>
            <w:tcW w:w="1225" w:type="dxa"/>
          </w:tcPr>
          <w:p w14:paraId="4A3C7040" w14:textId="77777777" w:rsidR="00B73842" w:rsidRPr="00B73842" w:rsidRDefault="00B73842" w:rsidP="00D005CC">
            <w:pPr>
              <w:pStyle w:val="Tabletext"/>
              <w:ind w:left="0" w:right="0"/>
            </w:pPr>
            <w:r w:rsidRPr="00B73842">
              <w:sym w:font="Wingdings" w:char="F0FC"/>
            </w:r>
            <w:r w:rsidRPr="00D005CC">
              <w:rPr>
                <w:szCs w:val="22"/>
              </w:rPr>
              <w:t>†</w:t>
            </w:r>
          </w:p>
        </w:tc>
        <w:tc>
          <w:tcPr>
            <w:tcW w:w="964" w:type="dxa"/>
          </w:tcPr>
          <w:p w14:paraId="0BAB273D" w14:textId="77777777" w:rsidR="00B73842" w:rsidRPr="00B73842" w:rsidRDefault="00B73842" w:rsidP="00D005CC">
            <w:pPr>
              <w:pStyle w:val="Tabletext"/>
              <w:ind w:left="0" w:right="0"/>
            </w:pPr>
            <w:r w:rsidRPr="00B73842">
              <w:sym w:font="Wingdings" w:char="F0FC"/>
            </w:r>
          </w:p>
        </w:tc>
        <w:tc>
          <w:tcPr>
            <w:tcW w:w="1225" w:type="dxa"/>
          </w:tcPr>
          <w:p w14:paraId="400CF66C" w14:textId="77777777" w:rsidR="00B73842" w:rsidRPr="00C25BED" w:rsidRDefault="00B73842" w:rsidP="00D005CC">
            <w:pPr>
              <w:pStyle w:val="Tabletext"/>
              <w:ind w:left="0" w:right="0"/>
              <w:jc w:val="center"/>
            </w:pPr>
            <w:r w:rsidRPr="00C25BED">
              <w:t>–</w:t>
            </w:r>
          </w:p>
        </w:tc>
      </w:tr>
      <w:tr w:rsidR="00B80A0B" w:rsidRPr="00BF52F4" w14:paraId="1E5C3F37" w14:textId="77777777" w:rsidTr="00D005CC">
        <w:trPr>
          <w:trHeight w:val="103"/>
        </w:trPr>
        <w:tc>
          <w:tcPr>
            <w:tcW w:w="1550" w:type="dxa"/>
            <w:vMerge/>
          </w:tcPr>
          <w:p w14:paraId="2AC589AE" w14:textId="77777777" w:rsidR="00B73842" w:rsidRPr="00B73842" w:rsidRDefault="00B73842" w:rsidP="00D005CC">
            <w:pPr>
              <w:pStyle w:val="Tabletext"/>
              <w:ind w:left="0" w:right="0"/>
            </w:pPr>
          </w:p>
        </w:tc>
        <w:tc>
          <w:tcPr>
            <w:tcW w:w="2162" w:type="dxa"/>
          </w:tcPr>
          <w:p w14:paraId="773F8FBB" w14:textId="77777777" w:rsidR="00B73842" w:rsidRPr="00B73842" w:rsidRDefault="00B73842" w:rsidP="00D005CC">
            <w:pPr>
              <w:pStyle w:val="Tabletext"/>
              <w:ind w:left="0" w:right="0"/>
            </w:pPr>
            <w:r w:rsidRPr="00B73842">
              <w:t>Use in frail subjects with unstable health conditions and co-morbidities (e.g. chronic obstructive pulmonary disease (COPD), diabetes, chronic neurological disease, cardiovascular disorders)</w:t>
            </w:r>
          </w:p>
        </w:tc>
        <w:tc>
          <w:tcPr>
            <w:tcW w:w="964" w:type="dxa"/>
          </w:tcPr>
          <w:p w14:paraId="5C79E9A0" w14:textId="77777777" w:rsidR="00B73842" w:rsidRPr="00B73842" w:rsidRDefault="00B73842" w:rsidP="00D005CC">
            <w:pPr>
              <w:pStyle w:val="Tabletext"/>
              <w:ind w:left="0" w:right="0"/>
            </w:pPr>
            <w:r w:rsidRPr="00B73842">
              <w:sym w:font="Wingdings" w:char="F0FC"/>
            </w:r>
          </w:p>
        </w:tc>
        <w:tc>
          <w:tcPr>
            <w:tcW w:w="1225" w:type="dxa"/>
          </w:tcPr>
          <w:p w14:paraId="4C048028" w14:textId="77777777" w:rsidR="00B73842" w:rsidRPr="00B73842" w:rsidRDefault="00B73842" w:rsidP="00D005CC">
            <w:pPr>
              <w:pStyle w:val="Tabletext"/>
              <w:ind w:left="0" w:right="0"/>
            </w:pPr>
            <w:r w:rsidRPr="00B73842">
              <w:sym w:font="Wingdings" w:char="F0FC"/>
            </w:r>
            <w:r w:rsidRPr="00D005CC">
              <w:rPr>
                <w:szCs w:val="22"/>
              </w:rPr>
              <w:t>†</w:t>
            </w:r>
          </w:p>
        </w:tc>
        <w:tc>
          <w:tcPr>
            <w:tcW w:w="964" w:type="dxa"/>
          </w:tcPr>
          <w:p w14:paraId="63B560FC" w14:textId="77777777" w:rsidR="00B73842" w:rsidRPr="00B73842" w:rsidRDefault="00B73842" w:rsidP="00D005CC">
            <w:pPr>
              <w:pStyle w:val="Tabletext"/>
              <w:ind w:left="0" w:right="0"/>
            </w:pPr>
            <w:r w:rsidRPr="00B73842">
              <w:sym w:font="Wingdings" w:char="F0FC"/>
            </w:r>
          </w:p>
        </w:tc>
        <w:tc>
          <w:tcPr>
            <w:tcW w:w="1225" w:type="dxa"/>
          </w:tcPr>
          <w:p w14:paraId="40569750" w14:textId="77777777" w:rsidR="00B73842" w:rsidRPr="00C25BED" w:rsidRDefault="00B73842" w:rsidP="00D005CC">
            <w:pPr>
              <w:pStyle w:val="Tabletext"/>
              <w:ind w:left="0" w:right="0"/>
              <w:jc w:val="center"/>
            </w:pPr>
            <w:r w:rsidRPr="00C25BED">
              <w:t>–</w:t>
            </w:r>
          </w:p>
        </w:tc>
      </w:tr>
      <w:tr w:rsidR="00B80A0B" w:rsidRPr="00BF52F4" w14:paraId="5538D076" w14:textId="77777777" w:rsidTr="00D005CC">
        <w:trPr>
          <w:trHeight w:val="140"/>
        </w:trPr>
        <w:tc>
          <w:tcPr>
            <w:tcW w:w="1550" w:type="dxa"/>
            <w:vMerge/>
          </w:tcPr>
          <w:p w14:paraId="3B5734C6" w14:textId="77777777" w:rsidR="00B73842" w:rsidRPr="00B73842" w:rsidRDefault="00B73842" w:rsidP="00D005CC">
            <w:pPr>
              <w:pStyle w:val="Tabletext"/>
              <w:ind w:left="0" w:right="0"/>
            </w:pPr>
          </w:p>
        </w:tc>
        <w:tc>
          <w:tcPr>
            <w:tcW w:w="2162" w:type="dxa"/>
          </w:tcPr>
          <w:p w14:paraId="1B906CB2" w14:textId="77777777" w:rsidR="00B73842" w:rsidRPr="00B73842" w:rsidRDefault="00B73842" w:rsidP="00D005CC">
            <w:pPr>
              <w:pStyle w:val="Tabletext"/>
              <w:ind w:left="0" w:right="0"/>
            </w:pPr>
            <w:r w:rsidRPr="00B73842">
              <w:t>Use in subjects with autoimmune or inflammatory disorders</w:t>
            </w:r>
          </w:p>
        </w:tc>
        <w:tc>
          <w:tcPr>
            <w:tcW w:w="964" w:type="dxa"/>
          </w:tcPr>
          <w:p w14:paraId="0EA69733" w14:textId="77777777" w:rsidR="00B73842" w:rsidRPr="00B73842" w:rsidRDefault="00B73842" w:rsidP="00D005CC">
            <w:pPr>
              <w:pStyle w:val="Tabletext"/>
              <w:ind w:left="0" w:right="0"/>
            </w:pPr>
            <w:r w:rsidRPr="00B73842">
              <w:sym w:font="Wingdings" w:char="F0FC"/>
            </w:r>
          </w:p>
        </w:tc>
        <w:tc>
          <w:tcPr>
            <w:tcW w:w="1225" w:type="dxa"/>
          </w:tcPr>
          <w:p w14:paraId="28032B4A" w14:textId="77777777" w:rsidR="00B73842" w:rsidRPr="00B73842" w:rsidRDefault="00B73842" w:rsidP="00D005CC">
            <w:pPr>
              <w:pStyle w:val="Tabletext"/>
              <w:ind w:left="0" w:right="0"/>
            </w:pPr>
            <w:r w:rsidRPr="00B73842">
              <w:sym w:font="Wingdings" w:char="F0FC"/>
            </w:r>
            <w:r w:rsidRPr="00D005CC">
              <w:rPr>
                <w:szCs w:val="22"/>
              </w:rPr>
              <w:t>†</w:t>
            </w:r>
          </w:p>
        </w:tc>
        <w:tc>
          <w:tcPr>
            <w:tcW w:w="964" w:type="dxa"/>
          </w:tcPr>
          <w:p w14:paraId="1CA06C5C" w14:textId="77777777" w:rsidR="00B73842" w:rsidRPr="00B73842" w:rsidRDefault="00B73842" w:rsidP="00D005CC">
            <w:pPr>
              <w:pStyle w:val="Tabletext"/>
              <w:ind w:left="0" w:right="0"/>
            </w:pPr>
            <w:r w:rsidRPr="00B73842">
              <w:sym w:font="Wingdings" w:char="F0FC"/>
            </w:r>
          </w:p>
        </w:tc>
        <w:tc>
          <w:tcPr>
            <w:tcW w:w="1225" w:type="dxa"/>
          </w:tcPr>
          <w:p w14:paraId="5169BAEC" w14:textId="77777777" w:rsidR="00B73842" w:rsidRPr="00C25BED" w:rsidRDefault="00B73842" w:rsidP="00D005CC">
            <w:pPr>
              <w:pStyle w:val="Tabletext"/>
              <w:ind w:left="0" w:right="0"/>
              <w:jc w:val="center"/>
            </w:pPr>
            <w:r w:rsidRPr="00C25BED">
              <w:t>–</w:t>
            </w:r>
          </w:p>
        </w:tc>
      </w:tr>
    </w:tbl>
    <w:p w14:paraId="44544F0E" w14:textId="56A057C1" w:rsidR="001A34A3" w:rsidRPr="007A06D0" w:rsidRDefault="00DE7CAC" w:rsidP="007A06D0">
      <w:pPr>
        <w:rPr>
          <w:sz w:val="20"/>
          <w:szCs w:val="20"/>
        </w:rPr>
      </w:pPr>
      <w:r w:rsidRPr="007A06D0">
        <w:rPr>
          <w:sz w:val="20"/>
          <w:szCs w:val="20"/>
        </w:rPr>
        <w:t>*Follow-up questionnaires</w:t>
      </w:r>
      <w:r w:rsidR="005840A6" w:rsidRPr="007A06D0">
        <w:rPr>
          <w:sz w:val="20"/>
          <w:szCs w:val="20"/>
        </w:rPr>
        <w:t xml:space="preserve">. </w:t>
      </w:r>
      <w:r w:rsidRPr="007A06D0">
        <w:rPr>
          <w:sz w:val="20"/>
          <w:szCs w:val="20"/>
        </w:rPr>
        <w:t>†Clinical studies</w:t>
      </w:r>
    </w:p>
    <w:p w14:paraId="4B9ABEC0" w14:textId="01193739" w:rsidR="00DE7CAC" w:rsidRDefault="00DE7CAC" w:rsidP="007A06D0">
      <w:pPr>
        <w:pStyle w:val="ListBullet"/>
        <w:ind w:left="357" w:hanging="357"/>
      </w:pPr>
      <w:r>
        <w:t xml:space="preserve">This summary of safety concerns is the same as the summary that was evaluated and considered acceptable for the previous submission </w:t>
      </w:r>
      <w:r w:rsidR="00363F89">
        <w:t xml:space="preserve">for </w:t>
      </w:r>
      <w:proofErr w:type="spellStart"/>
      <w:r w:rsidR="00363F89">
        <w:t>Spikevax</w:t>
      </w:r>
      <w:proofErr w:type="spellEnd"/>
      <w:r w:rsidR="003C2642">
        <w:t xml:space="preserve"> </w:t>
      </w:r>
      <w:r w:rsidR="00363F89">
        <w:t>(</w:t>
      </w:r>
      <w:proofErr w:type="spellStart"/>
      <w:r w:rsidR="00363F89">
        <w:t>elasomeran</w:t>
      </w:r>
      <w:proofErr w:type="spellEnd"/>
      <w:r w:rsidR="00363F89">
        <w:t>)</w:t>
      </w:r>
      <w:r>
        <w:t>.</w:t>
      </w:r>
      <w:r w:rsidR="00363F89">
        <w:rPr>
          <w:rStyle w:val="FootnoteReference"/>
        </w:rPr>
        <w:footnoteReference w:id="31"/>
      </w:r>
      <w:r>
        <w:t xml:space="preserve"> The changes proposed by the current submission do not warrant changes to the summary of safety concerns from an RMP perspective. </w:t>
      </w:r>
    </w:p>
    <w:p w14:paraId="0A94A046" w14:textId="52F7CA2C" w:rsidR="00DE7CAC" w:rsidRDefault="00DE7CAC" w:rsidP="00DE7CAC">
      <w:pPr>
        <w:pStyle w:val="ListBullet"/>
      </w:pPr>
      <w:r>
        <w:t>The pharmacovigilance plan was found to be acceptable during the previous evaluation and continues to be acceptable for the current submission. The acceptability of the clinical study plan submitted as part of the provisional approval pathway will be assessed by the clinical evaluator</w:t>
      </w:r>
      <w:r w:rsidR="00524504">
        <w:t xml:space="preserve"> or </w:t>
      </w:r>
      <w:r w:rsidR="003B65F8">
        <w:t>D</w:t>
      </w:r>
      <w:r>
        <w:t>elegate.</w:t>
      </w:r>
    </w:p>
    <w:p w14:paraId="22B4DA10" w14:textId="1863BA95" w:rsidR="00DE7CAC" w:rsidRDefault="00DE7CAC" w:rsidP="00DE7CAC">
      <w:pPr>
        <w:pStyle w:val="ListBullet"/>
      </w:pPr>
      <w:r>
        <w:t xml:space="preserve">Only routine risk minimisation measures are currently in place. This approach was deemed acceptable during the previous evaluation. </w:t>
      </w:r>
      <w:r w:rsidR="00DA3DCF">
        <w:t xml:space="preserve">The changes proposed by the current submission do not warrant additional risk minimisation measures as part of the RMP. </w:t>
      </w:r>
    </w:p>
    <w:p w14:paraId="762A4051" w14:textId="77777777" w:rsidR="008E7846" w:rsidRDefault="00AA0ED0" w:rsidP="008E7846">
      <w:pPr>
        <w:pStyle w:val="Heading3"/>
      </w:pPr>
      <w:bookmarkStart w:id="44" w:name="_Toc247691531"/>
      <w:bookmarkStart w:id="45" w:name="_Toc314842515"/>
      <w:bookmarkStart w:id="46" w:name="_Toc196046505"/>
      <w:bookmarkStart w:id="47" w:name="_Toc196046949"/>
      <w:bookmarkStart w:id="48" w:name="_Toc89950077"/>
      <w:r>
        <w:t>Risk-benefit a</w:t>
      </w:r>
      <w:r w:rsidR="008E7846">
        <w:t>nalysis</w:t>
      </w:r>
      <w:bookmarkEnd w:id="44"/>
      <w:bookmarkEnd w:id="45"/>
      <w:bookmarkEnd w:id="48"/>
    </w:p>
    <w:p w14:paraId="4DF24E46" w14:textId="77777777" w:rsidR="00D23139" w:rsidRDefault="007D53B6" w:rsidP="00D23139">
      <w:pPr>
        <w:pStyle w:val="Heading4"/>
      </w:pPr>
      <w:r>
        <w:t>Delegate’s considerations</w:t>
      </w:r>
    </w:p>
    <w:p w14:paraId="1513A310" w14:textId="5EF7B603" w:rsidR="003F2CBB" w:rsidRPr="003F2CBB" w:rsidRDefault="003F2CBB" w:rsidP="003F2CBB">
      <w:r w:rsidRPr="003F2CBB">
        <w:t xml:space="preserve">Recent evidence has raised concerns over the </w:t>
      </w:r>
      <w:r w:rsidRPr="00524504">
        <w:t xml:space="preserve">declining </w:t>
      </w:r>
      <w:r w:rsidRPr="007A06D0">
        <w:t>neutrali</w:t>
      </w:r>
      <w:r w:rsidR="004566DE" w:rsidRPr="007A06D0">
        <w:t>s</w:t>
      </w:r>
      <w:r w:rsidRPr="007A06D0">
        <w:t>ing antibody titres</w:t>
      </w:r>
      <w:r w:rsidRPr="00524504">
        <w:t xml:space="preserve"> or</w:t>
      </w:r>
      <w:r w:rsidRPr="003F2CBB">
        <w:t xml:space="preserve"> reduced effectiveness against symptomatic disease, which may significantly decrease the effectiveness against severe disease. In addition, emergence of the highly transmissible Delta variant of SARS-CoV-2 has resulted in a new wave of COVID-19 cases in many parts of the world, including the recent wave in Australia. It has led to considerations for administration of booster doses to individuals who received primary series of vaccines to enhance immunity, and thus sustain protection from COVID-19.</w:t>
      </w:r>
    </w:p>
    <w:p w14:paraId="2D635CE1" w14:textId="0713E37D" w:rsidR="003F2CBB" w:rsidRPr="003F2CBB" w:rsidRDefault="003F2CBB" w:rsidP="003F2CBB">
      <w:r w:rsidRPr="003F2CBB">
        <w:t>While currently authorised COVID-19 vaccines in Australia afford protection against severe COVID-19 and death, there are emerging data, primarily from observational studies, that suggest there is a decline in clinical efficacy (or efficacy v</w:t>
      </w:r>
      <w:r w:rsidR="003C2642">
        <w:t>ersu</w:t>
      </w:r>
      <w:r w:rsidRPr="003F2CBB">
        <w:t xml:space="preserve">s the </w:t>
      </w:r>
      <w:r w:rsidR="00524504">
        <w:t>D</w:t>
      </w:r>
      <w:r w:rsidRPr="003F2CBB">
        <w:t>elta variant) over time. An independent review of these data has not been conducted by the TGA.</w:t>
      </w:r>
    </w:p>
    <w:p w14:paraId="57EEE2D4" w14:textId="6B947E2B" w:rsidR="003F2CBB" w:rsidRPr="003F2CBB" w:rsidRDefault="003F2CBB" w:rsidP="003F2CBB">
      <w:r w:rsidRPr="003F2CBB">
        <w:t xml:space="preserve">The clinical data submitted in this application come from an ongoing </w:t>
      </w:r>
      <w:r w:rsidR="00363F89">
        <w:t>S</w:t>
      </w:r>
      <w:r w:rsidRPr="003F2CBB">
        <w:t>tudy P201 (Part A</w:t>
      </w:r>
      <w:r w:rsidR="003C2642">
        <w:t xml:space="preserve"> and </w:t>
      </w:r>
      <w:r w:rsidRPr="003F2CBB">
        <w:t xml:space="preserve">B) and </w:t>
      </w:r>
      <w:r w:rsidR="00363F89">
        <w:t xml:space="preserve">Study </w:t>
      </w:r>
      <w:r w:rsidRPr="003F2CBB">
        <w:t>P301, which is also the source of clinical data supporting the original approval of the 2</w:t>
      </w:r>
      <w:r w:rsidR="003C2642">
        <w:t xml:space="preserve"> </w:t>
      </w:r>
      <w:r w:rsidRPr="003F2CBB">
        <w:t xml:space="preserve">dose primary series for use in individuals 12 years of age and older. The results for a 50 </w:t>
      </w:r>
      <w:proofErr w:type="spellStart"/>
      <w:r w:rsidRPr="003F2CBB">
        <w:t>μg</w:t>
      </w:r>
      <w:proofErr w:type="spellEnd"/>
      <w:r w:rsidRPr="003F2CBB">
        <w:t xml:space="preserve"> booster dose of </w:t>
      </w:r>
      <w:proofErr w:type="spellStart"/>
      <w:r w:rsidRPr="003F2CBB">
        <w:t>S</w:t>
      </w:r>
      <w:r w:rsidR="00363F89">
        <w:t>pikevax</w:t>
      </w:r>
      <w:proofErr w:type="spellEnd"/>
      <w:r w:rsidRPr="003F2CBB">
        <w:t xml:space="preserve"> (mRNA-1273</w:t>
      </w:r>
      <w:r w:rsidR="00F24A0A">
        <w:t>/</w:t>
      </w:r>
      <w:proofErr w:type="spellStart"/>
      <w:r w:rsidR="00F24A0A">
        <w:t>elasomeran</w:t>
      </w:r>
      <w:proofErr w:type="spellEnd"/>
      <w:r w:rsidRPr="003F2CBB">
        <w:t>) given at approximately 6</w:t>
      </w:r>
      <w:r w:rsidR="00363F89">
        <w:t xml:space="preserve"> to </w:t>
      </w:r>
      <w:r w:rsidRPr="003F2CBB">
        <w:t xml:space="preserve">8 months after </w:t>
      </w:r>
      <w:r w:rsidR="00363F89">
        <w:t>D</w:t>
      </w:r>
      <w:r w:rsidRPr="003F2CBB">
        <w:t>ose 2 show that higher neutralising titres are obtained after the booster dose compared to the second dose.</w:t>
      </w:r>
    </w:p>
    <w:p w14:paraId="0280B69C" w14:textId="6CFBBE47" w:rsidR="003F2CBB" w:rsidRPr="003F2CBB" w:rsidRDefault="003F2CBB" w:rsidP="003F2CBB">
      <w:r w:rsidRPr="003F2CBB">
        <w:t>For the primary endpoints, there is statistically significant evidence of non-inferiority between geometric mean neutralising titres (as measured by geometric mean ratios)</w:t>
      </w:r>
      <w:r w:rsidR="00D7030A">
        <w:t xml:space="preserve"> </w:t>
      </w:r>
      <w:r w:rsidRPr="003F2CBB">
        <w:t xml:space="preserve">to the </w:t>
      </w:r>
      <w:r w:rsidR="003C2642">
        <w:t>WT</w:t>
      </w:r>
      <w:r w:rsidRPr="003F2CBB">
        <w:t xml:space="preserve"> SARS-CoV-2 at 28 days post-Dose 3 (</w:t>
      </w:r>
      <w:r w:rsidR="003C2642">
        <w:t>that is,</w:t>
      </w:r>
      <w:r w:rsidRPr="003F2CBB">
        <w:t xml:space="preserve"> following the booster) and </w:t>
      </w:r>
      <w:r w:rsidR="00363F89">
        <w:t>one</w:t>
      </w:r>
      <w:r w:rsidRPr="003F2CBB">
        <w:t xml:space="preserve"> month </w:t>
      </w:r>
      <w:r w:rsidRPr="003F2CBB">
        <w:lastRenderedPageBreak/>
        <w:t>post</w:t>
      </w:r>
      <w:r w:rsidR="00524504">
        <w:t xml:space="preserve"> </w:t>
      </w:r>
      <w:r w:rsidRPr="003F2CBB">
        <w:t>Dose 2 (</w:t>
      </w:r>
      <w:r w:rsidR="003C2642">
        <w:t>that is,</w:t>
      </w:r>
      <w:r w:rsidRPr="003F2CBB">
        <w:t xml:space="preserve"> following the primary 2 dose vaccination course). While 87.9% (95%</w:t>
      </w:r>
      <w:r w:rsidR="00F24A0A">
        <w:t> </w:t>
      </w:r>
      <w:r w:rsidRPr="003F2CBB">
        <w:t xml:space="preserve">CI 81.6, 92.7) of 100 </w:t>
      </w:r>
      <w:proofErr w:type="spellStart"/>
      <w:r w:rsidRPr="003F2CBB">
        <w:t>μg</w:t>
      </w:r>
      <w:proofErr w:type="spellEnd"/>
      <w:r w:rsidR="005840A6">
        <w:t xml:space="preserve"> </w:t>
      </w:r>
      <w:r w:rsidRPr="003F2CBB">
        <w:t xml:space="preserve">primed booster dose participants achieved at least a </w:t>
      </w:r>
      <w:proofErr w:type="gramStart"/>
      <w:r w:rsidRPr="003F2CBB">
        <w:t>4</w:t>
      </w:r>
      <w:r w:rsidR="00A51ED7">
        <w:t xml:space="preserve"> fold</w:t>
      </w:r>
      <w:proofErr w:type="gramEnd"/>
      <w:r w:rsidRPr="003F2CBB">
        <w:t xml:space="preserve"> rise </w:t>
      </w:r>
      <w:r w:rsidRPr="00524504">
        <w:t xml:space="preserve">in </w:t>
      </w:r>
      <w:r w:rsidRPr="007A06D0">
        <w:t>neutrali</w:t>
      </w:r>
      <w:r w:rsidR="004566DE" w:rsidRPr="007A06D0">
        <w:t>s</w:t>
      </w:r>
      <w:r w:rsidRPr="007A06D0">
        <w:t xml:space="preserve">ing antibody </w:t>
      </w:r>
      <w:r w:rsidR="00524504">
        <w:t>titre</w:t>
      </w:r>
      <w:r w:rsidRPr="007A06D0">
        <w:t>s</w:t>
      </w:r>
      <w:r w:rsidRPr="00524504">
        <w:t>,</w:t>
      </w:r>
      <w:r w:rsidRPr="003F2CBB">
        <w:t xml:space="preserve"> the difference in </w:t>
      </w:r>
      <w:proofErr w:type="spellStart"/>
      <w:r w:rsidRPr="003F2CBB">
        <w:t>seroresponse</w:t>
      </w:r>
      <w:proofErr w:type="spellEnd"/>
      <w:r w:rsidRPr="003F2CBB">
        <w:t xml:space="preserve"> rates (among 100 </w:t>
      </w:r>
      <w:proofErr w:type="spellStart"/>
      <w:r w:rsidRPr="003F2CBB">
        <w:t>μg</w:t>
      </w:r>
      <w:proofErr w:type="spellEnd"/>
      <w:r w:rsidRPr="003F2CBB">
        <w:t xml:space="preserve">-primed participants) did not meet the pre-specified </w:t>
      </w:r>
      <w:proofErr w:type="spellStart"/>
      <w:r w:rsidRPr="003F2CBB">
        <w:t>immunobridging</w:t>
      </w:r>
      <w:proofErr w:type="spellEnd"/>
      <w:r w:rsidRPr="003F2CBB">
        <w:t xml:space="preserve"> success criterion. The lower limit of the 95% confidence interval for the difference in </w:t>
      </w:r>
      <w:proofErr w:type="spellStart"/>
      <w:r w:rsidRPr="003F2CBB">
        <w:t>seroresponse</w:t>
      </w:r>
      <w:proofErr w:type="spellEnd"/>
      <w:r w:rsidRPr="003F2CBB">
        <w:t xml:space="preserve"> rate (booster dose – primary series) was &lt;-10% (-16.7% in those primed with 100</w:t>
      </w:r>
      <w:r w:rsidR="00647D8C">
        <w:t xml:space="preserve"> </w:t>
      </w:r>
      <w:r w:rsidRPr="003F2CBB">
        <w:t xml:space="preserve">µg). Possible explanation of lower SRR following a third dose can be explained by residual higher levels of </w:t>
      </w:r>
      <w:proofErr w:type="spellStart"/>
      <w:r w:rsidRPr="003F2CBB">
        <w:t>nAbs</w:t>
      </w:r>
      <w:proofErr w:type="spellEnd"/>
      <w:r w:rsidRPr="003F2CBB">
        <w:t xml:space="preserve"> pre booster in </w:t>
      </w:r>
      <w:r w:rsidR="00363F89">
        <w:t>S</w:t>
      </w:r>
      <w:r w:rsidRPr="003F2CBB">
        <w:t xml:space="preserve">tudy P201 and by the fact that the response rates following a booster dose were compared to peak levels after the primary series in </w:t>
      </w:r>
      <w:r w:rsidR="00363F89">
        <w:t>S</w:t>
      </w:r>
      <w:r w:rsidRPr="003F2CBB">
        <w:t>tudy</w:t>
      </w:r>
      <w:r w:rsidR="00F24A0A">
        <w:t> </w:t>
      </w:r>
      <w:r w:rsidRPr="003F2CBB">
        <w:t>P301.</w:t>
      </w:r>
    </w:p>
    <w:p w14:paraId="1EEA3F1D" w14:textId="2311D703" w:rsidR="003F2CBB" w:rsidRPr="003F2CBB" w:rsidRDefault="003F2CBB" w:rsidP="003F2CBB">
      <w:r w:rsidRPr="003F2CBB">
        <w:t xml:space="preserve">In </w:t>
      </w:r>
      <w:r w:rsidRPr="00D005CC">
        <w:rPr>
          <w:i/>
        </w:rPr>
        <w:t>post</w:t>
      </w:r>
      <w:r w:rsidR="005840A6" w:rsidRPr="00D005CC">
        <w:rPr>
          <w:i/>
        </w:rPr>
        <w:t xml:space="preserve"> </w:t>
      </w:r>
      <w:r w:rsidRPr="00D005CC">
        <w:rPr>
          <w:i/>
        </w:rPr>
        <w:t>hoc</w:t>
      </w:r>
      <w:r w:rsidRPr="003F2CBB">
        <w:t xml:space="preserve"> analyses, participants with lower pre-booster </w:t>
      </w:r>
      <w:proofErr w:type="spellStart"/>
      <w:r w:rsidR="005840A6">
        <w:t>nAbs</w:t>
      </w:r>
      <w:proofErr w:type="spellEnd"/>
      <w:r w:rsidRPr="003F2CBB">
        <w:t xml:space="preserve"> </w:t>
      </w:r>
      <w:r w:rsidR="00524504">
        <w:t>titre</w:t>
      </w:r>
      <w:r w:rsidRPr="003F2CBB">
        <w:t xml:space="preserve">s were more likely to achieve a </w:t>
      </w:r>
      <w:proofErr w:type="gramStart"/>
      <w:r w:rsidRPr="003F2CBB">
        <w:t>4</w:t>
      </w:r>
      <w:r w:rsidR="003C2642">
        <w:t xml:space="preserve"> </w:t>
      </w:r>
      <w:r w:rsidR="00A51ED7">
        <w:t>fold</w:t>
      </w:r>
      <w:proofErr w:type="gramEnd"/>
      <w:r w:rsidRPr="003F2CBB">
        <w:t xml:space="preserve"> rise in </w:t>
      </w:r>
      <w:proofErr w:type="spellStart"/>
      <w:r w:rsidR="005840A6">
        <w:t>nAbs</w:t>
      </w:r>
      <w:proofErr w:type="spellEnd"/>
      <w:r w:rsidRPr="003F2CBB">
        <w:t xml:space="preserve"> </w:t>
      </w:r>
      <w:r w:rsidR="00524504">
        <w:t>titre</w:t>
      </w:r>
      <w:r w:rsidRPr="003F2CBB">
        <w:t xml:space="preserve">s after booster vaccination compared to participants with higher pre-booster </w:t>
      </w:r>
      <w:proofErr w:type="spellStart"/>
      <w:r w:rsidR="005840A6">
        <w:t>nAbs</w:t>
      </w:r>
      <w:proofErr w:type="spellEnd"/>
      <w:r w:rsidRPr="003F2CBB">
        <w:t xml:space="preserve"> </w:t>
      </w:r>
      <w:r w:rsidR="00524504">
        <w:t>titre</w:t>
      </w:r>
      <w:r w:rsidRPr="003F2CBB">
        <w:t>s. Effectiveness of the booster dose against the Delta variant is inferred from exploratory descriptive analyses of ID</w:t>
      </w:r>
      <w:r w:rsidRPr="007A06D0">
        <w:rPr>
          <w:vertAlign w:val="subscript"/>
        </w:rPr>
        <w:t>50</w:t>
      </w:r>
      <w:r w:rsidRPr="003F2CBB">
        <w:t xml:space="preserve"> </w:t>
      </w:r>
      <w:r w:rsidR="00524504">
        <w:t>titre</w:t>
      </w:r>
      <w:r w:rsidRPr="003F2CBB">
        <w:t xml:space="preserve">s against this variant evaluated among booster dose recipients from </w:t>
      </w:r>
      <w:r w:rsidR="00363F89">
        <w:t>S</w:t>
      </w:r>
      <w:r w:rsidRPr="003F2CBB">
        <w:t>tudy P201 Part B.</w:t>
      </w:r>
    </w:p>
    <w:p w14:paraId="1B83F71C" w14:textId="10BFA461" w:rsidR="003F2CBB" w:rsidRPr="003F2CBB" w:rsidRDefault="003F2CBB" w:rsidP="003F2CBB">
      <w:r w:rsidRPr="003F2CBB">
        <w:t>Stratification according to age and primary vaccination dose reveals that lower antibody levels are elicited 28 days after booster in the age group ≥ 55 years compared to 18</w:t>
      </w:r>
      <w:r w:rsidR="00363F89">
        <w:t xml:space="preserve"> to </w:t>
      </w:r>
      <w:r w:rsidRPr="003F2CBB">
        <w:t>55</w:t>
      </w:r>
      <w:r w:rsidR="00617788">
        <w:t> </w:t>
      </w:r>
      <w:r w:rsidRPr="003F2CBB">
        <w:t>years (GMT 100</w:t>
      </w:r>
      <w:r w:rsidR="005840A6">
        <w:t xml:space="preserve"> </w:t>
      </w:r>
      <w:proofErr w:type="spellStart"/>
      <w:r w:rsidRPr="003F2CBB">
        <w:t>μg</w:t>
      </w:r>
      <w:proofErr w:type="spellEnd"/>
      <w:r w:rsidRPr="003F2CBB">
        <w:t>: 1670 v</w:t>
      </w:r>
      <w:r w:rsidR="003C2642">
        <w:t>ersu</w:t>
      </w:r>
      <w:r w:rsidRPr="003F2CBB">
        <w:t xml:space="preserve">s 2001) but that the increase in </w:t>
      </w:r>
      <w:proofErr w:type="spellStart"/>
      <w:r w:rsidRPr="003F2CBB">
        <w:t>nAb</w:t>
      </w:r>
      <w:proofErr w:type="spellEnd"/>
      <w:r w:rsidRPr="003F2CBB">
        <w:t xml:space="preserve"> levels from pre </w:t>
      </w:r>
      <w:r w:rsidR="00947C8C">
        <w:t>D</w:t>
      </w:r>
      <w:r w:rsidRPr="003F2CBB">
        <w:t xml:space="preserve">ose 3 to post </w:t>
      </w:r>
      <w:r w:rsidR="00947C8C">
        <w:t>D</w:t>
      </w:r>
      <w:r w:rsidRPr="003F2CBB">
        <w:t>ose 3 is higher for the older age cohort (GMR: 16.17 v</w:t>
      </w:r>
      <w:r w:rsidR="003C2642">
        <w:t>ersu</w:t>
      </w:r>
      <w:r w:rsidRPr="003F2CBB">
        <w:t xml:space="preserve">s 12.85). This demonstrates that the older age group might still benefit from a booster dose due to more pronounced waning and good </w:t>
      </w:r>
      <w:r w:rsidR="000A4174">
        <w:t xml:space="preserve">ability to </w:t>
      </w:r>
      <w:r w:rsidRPr="003F2CBB">
        <w:t xml:space="preserve">booster the </w:t>
      </w:r>
      <w:proofErr w:type="spellStart"/>
      <w:r w:rsidRPr="003F2CBB">
        <w:t>nAb</w:t>
      </w:r>
      <w:proofErr w:type="spellEnd"/>
      <w:r w:rsidRPr="003F2CBB">
        <w:t xml:space="preserve"> response. Data on persistence of the antibody response following a third dose of 50</w:t>
      </w:r>
      <w:r w:rsidR="003C2642">
        <w:t xml:space="preserve"> </w:t>
      </w:r>
      <w:proofErr w:type="spellStart"/>
      <w:r w:rsidRPr="003F2CBB">
        <w:t>μg</w:t>
      </w:r>
      <w:proofErr w:type="spellEnd"/>
      <w:r w:rsidRPr="003F2CBB">
        <w:t xml:space="preserve"> are missing to evaluate the durability of the lower booster dose.</w:t>
      </w:r>
    </w:p>
    <w:p w14:paraId="30ABA0CC" w14:textId="587BD0FB" w:rsidR="003F2CBB" w:rsidRPr="003F2CBB" w:rsidRDefault="003F2CBB" w:rsidP="003F2CBB">
      <w:r w:rsidRPr="003F2CBB">
        <w:t xml:space="preserve">There were also no data generated from participants &lt; 18 </w:t>
      </w:r>
      <w:r w:rsidR="00363F89">
        <w:t>years of age.</w:t>
      </w:r>
    </w:p>
    <w:p w14:paraId="434491B8" w14:textId="008C4661" w:rsidR="003F2CBB" w:rsidRPr="003F2CBB" w:rsidRDefault="003F2CBB" w:rsidP="003F2CBB">
      <w:r w:rsidRPr="003F2CBB">
        <w:t xml:space="preserve">As to the appropriateness of 50 </w:t>
      </w:r>
      <w:proofErr w:type="spellStart"/>
      <w:r w:rsidRPr="003F2CBB">
        <w:t>μg</w:t>
      </w:r>
      <w:proofErr w:type="spellEnd"/>
      <w:r w:rsidRPr="003F2CBB">
        <w:t xml:space="preserve"> booster dose, as part of initial dose ranging of mRNA</w:t>
      </w:r>
      <w:r w:rsidR="00617788">
        <w:noBreakHyphen/>
      </w:r>
      <w:r w:rsidRPr="003F2CBB">
        <w:t>1273 (</w:t>
      </w:r>
      <w:r w:rsidR="00363F89">
        <w:t xml:space="preserve">Study </w:t>
      </w:r>
      <w:r w:rsidRPr="003F2CBB">
        <w:t xml:space="preserve">P201 Part A), both 50 and 100 </w:t>
      </w:r>
      <w:proofErr w:type="spellStart"/>
      <w:r w:rsidRPr="003F2CBB">
        <w:t>μg</w:t>
      </w:r>
      <w:proofErr w:type="spellEnd"/>
      <w:r w:rsidRPr="003F2CBB">
        <w:t xml:space="preserve"> were evaluated. Both dosages induced substantial neutrali</w:t>
      </w:r>
      <w:r w:rsidR="00947C8C">
        <w:t>s</w:t>
      </w:r>
      <w:r w:rsidRPr="003F2CBB">
        <w:t xml:space="preserve">ing antibody. While the 100 </w:t>
      </w:r>
      <w:proofErr w:type="spellStart"/>
      <w:r w:rsidRPr="003F2CBB">
        <w:t>μg</w:t>
      </w:r>
      <w:proofErr w:type="spellEnd"/>
      <w:r w:rsidRPr="003F2CBB">
        <w:t xml:space="preserve"> dosage was advanced to the </w:t>
      </w:r>
      <w:r w:rsidRPr="004566DE">
        <w:t>pivotal trial (</w:t>
      </w:r>
      <w:r w:rsidR="007C5777" w:rsidRPr="004566DE">
        <w:t xml:space="preserve">Study </w:t>
      </w:r>
      <w:r w:rsidRPr="004566DE">
        <w:t>P301)</w:t>
      </w:r>
      <w:r w:rsidRPr="003F2CBB">
        <w:t xml:space="preserve">, it was postulated that a 50 </w:t>
      </w:r>
      <w:proofErr w:type="spellStart"/>
      <w:r w:rsidRPr="003F2CBB">
        <w:t>μg</w:t>
      </w:r>
      <w:proofErr w:type="spellEnd"/>
      <w:r w:rsidRPr="003F2CBB">
        <w:t xml:space="preserve"> booster dose would be effective in briskly activating recall responses. The trend toward lower reactogenicity observed for the 50 </w:t>
      </w:r>
      <w:proofErr w:type="spellStart"/>
      <w:r w:rsidRPr="003F2CBB">
        <w:t>μg</w:t>
      </w:r>
      <w:proofErr w:type="spellEnd"/>
      <w:r w:rsidRPr="003F2CBB">
        <w:t xml:space="preserve"> dose in </w:t>
      </w:r>
      <w:r w:rsidR="007C5777">
        <w:t xml:space="preserve">Study </w:t>
      </w:r>
      <w:r w:rsidRPr="003F2CBB">
        <w:t xml:space="preserve">P201 Part A also supported this selection. Finally, there is precedence for a booster dose to be lower than the priming vaccine dose. </w:t>
      </w:r>
      <w:r w:rsidRPr="00E934B3">
        <w:t>For exam</w:t>
      </w:r>
      <w:r w:rsidRPr="00F92765">
        <w:t xml:space="preserve">ple, </w:t>
      </w:r>
      <w:r w:rsidRPr="00E934B3">
        <w:t>Tdap</w:t>
      </w:r>
      <w:r w:rsidR="000A4174" w:rsidRPr="007A06D0">
        <w:t xml:space="preserve"> (</w:t>
      </w:r>
      <w:r w:rsidR="005840A6">
        <w:t>t</w:t>
      </w:r>
      <w:r w:rsidR="000A4174" w:rsidRPr="007A06D0">
        <w:t xml:space="preserve">etanus, </w:t>
      </w:r>
      <w:r w:rsidR="005840A6">
        <w:t>d</w:t>
      </w:r>
      <w:r w:rsidR="000A4174" w:rsidRPr="007A06D0">
        <w:t xml:space="preserve">iphtheria, </w:t>
      </w:r>
      <w:r w:rsidR="005840A6">
        <w:t>p</w:t>
      </w:r>
      <w:r w:rsidR="000A4174" w:rsidRPr="007A06D0">
        <w:t>ertussis) vaccine</w:t>
      </w:r>
      <w:r w:rsidRPr="00E934B3">
        <w:t xml:space="preserve">, the booster for the </w:t>
      </w:r>
      <w:r w:rsidR="000A4174" w:rsidRPr="007A06D0">
        <w:t>diphtheria, tetanus, and acellular pertussis (</w:t>
      </w:r>
      <w:r w:rsidRPr="00E934B3">
        <w:t>DTaP</w:t>
      </w:r>
      <w:r w:rsidR="000A4174" w:rsidRPr="00E934B3">
        <w:t>)</w:t>
      </w:r>
      <w:r w:rsidRPr="00E934B3">
        <w:t xml:space="preserve"> vaccine, has a reduced dose of the diphtheria and pertussis</w:t>
      </w:r>
      <w:r w:rsidRPr="003F2CBB">
        <w:t xml:space="preserve"> vaccines and is intended to boost the immunity that wanes after primary vaccination. The rationale to recommend the lower 50 </w:t>
      </w:r>
      <w:proofErr w:type="spellStart"/>
      <w:r w:rsidRPr="003F2CBB">
        <w:t>μg</w:t>
      </w:r>
      <w:proofErr w:type="spellEnd"/>
      <w:r w:rsidRPr="003F2CBB">
        <w:t xml:space="preserve"> dose for boosting seems to be supported also by the fact that this dose has had numerically better safety in </w:t>
      </w:r>
      <w:r w:rsidR="00617788">
        <w:t xml:space="preserve">the </w:t>
      </w:r>
      <w:r w:rsidRPr="003F2CBB">
        <w:t>elderly compar</w:t>
      </w:r>
      <w:r w:rsidR="00617788">
        <w:t>ed</w:t>
      </w:r>
      <w:r w:rsidRPr="003F2CBB">
        <w:t xml:space="preserve"> to 100 </w:t>
      </w:r>
      <w:proofErr w:type="spellStart"/>
      <w:r w:rsidRPr="003F2CBB">
        <w:t>μg</w:t>
      </w:r>
      <w:proofErr w:type="spellEnd"/>
      <w:r w:rsidRPr="003F2CBB">
        <w:t>.</w:t>
      </w:r>
    </w:p>
    <w:p w14:paraId="389710FE" w14:textId="0F5729DC" w:rsidR="003F2CBB" w:rsidRPr="003F2CBB" w:rsidRDefault="003F2CBB" w:rsidP="003F2CBB">
      <w:r w:rsidRPr="003F2CBB">
        <w:t xml:space="preserve">To date, the reactogenicity and safety profile of the booster seems to be consistent with that observed following the primary series in </w:t>
      </w:r>
      <w:r w:rsidR="007C5777">
        <w:t xml:space="preserve">Study </w:t>
      </w:r>
      <w:r w:rsidRPr="003F2CBB">
        <w:t xml:space="preserve">P301, which included more than 30,000 study participants, and </w:t>
      </w:r>
      <w:r w:rsidR="007C5777">
        <w:t xml:space="preserve">Study </w:t>
      </w:r>
      <w:r w:rsidRPr="003F2CBB">
        <w:t>P201 Part A. No new unexpected safety concerns have been identified from a booster dose. Slight imbalances however, in unsolicited AEs have been noted related to the priming dose. The submitted data is also limited in terms of the numbers of vaccinees included in the study and the duration of follow up does therefore not allow any firm conclusions regarding the pattern and incidence of uncommon or rare AEs/SAEs.</w:t>
      </w:r>
    </w:p>
    <w:p w14:paraId="1673AF40" w14:textId="20749849" w:rsidR="003F2CBB" w:rsidRPr="003F2CBB" w:rsidRDefault="003F2CBB" w:rsidP="003F2CBB">
      <w:r w:rsidRPr="003F2CBB">
        <w:t xml:space="preserve">Additional results from the ongoing Phase </w:t>
      </w:r>
      <w:r w:rsidR="00E934B3">
        <w:t>I</w:t>
      </w:r>
      <w:r w:rsidRPr="003F2CBB">
        <w:t xml:space="preserve"> DMID 21-0012 study, which has enrolled 154</w:t>
      </w:r>
      <w:r w:rsidR="00617788">
        <w:t> </w:t>
      </w:r>
      <w:r w:rsidRPr="003F2CBB">
        <w:t xml:space="preserve">participants who received heterologous prime series and a subsequent booster dose of 100 </w:t>
      </w:r>
      <w:proofErr w:type="spellStart"/>
      <w:r w:rsidRPr="003F2CBB">
        <w:t>μg</w:t>
      </w:r>
      <w:proofErr w:type="spellEnd"/>
      <w:r w:rsidRPr="003F2CBB">
        <w:t xml:space="preserve"> of mRNA-1273 further seem to support a similar reactogenicity and safety profile within the 7 days following the administration of the booster dose.</w:t>
      </w:r>
    </w:p>
    <w:p w14:paraId="6F16EEF5" w14:textId="1D8FD933" w:rsidR="003F2CBB" w:rsidRPr="003F2CBB" w:rsidRDefault="003F2CBB" w:rsidP="003F2CBB">
      <w:r w:rsidRPr="003F2CBB">
        <w:t>In the post-authori</w:t>
      </w:r>
      <w:r w:rsidR="00947C8C">
        <w:t>s</w:t>
      </w:r>
      <w:r w:rsidRPr="003F2CBB">
        <w:t>ation period, a total of 301,035,380 doses have been distributed worldwide. Rare cases of anaphylaxis, myocarditis, and pericarditis events have been reported during the post-authori</w:t>
      </w:r>
      <w:r w:rsidR="00947C8C">
        <w:t>s</w:t>
      </w:r>
      <w:r w:rsidRPr="003F2CBB">
        <w:t xml:space="preserve">ation period from healthcare professionals and </w:t>
      </w:r>
      <w:r w:rsidRPr="003F2CBB">
        <w:lastRenderedPageBreak/>
        <w:t>spontaneously reported from patients</w:t>
      </w:r>
      <w:r w:rsidRPr="00E934B3">
        <w:t xml:space="preserve">. </w:t>
      </w:r>
      <w:r w:rsidRPr="007A06D0">
        <w:t>The risk of these events after a booster dose cannot be determined due to the sample size that can be achieved prior to an approval.</w:t>
      </w:r>
    </w:p>
    <w:p w14:paraId="5DDA1C7F" w14:textId="7DFD3ED6" w:rsidR="003F2CBB" w:rsidRPr="003F2CBB" w:rsidRDefault="003F2CBB" w:rsidP="003F2CBB">
      <w:r w:rsidRPr="003F2CBB">
        <w:t xml:space="preserve">The </w:t>
      </w:r>
      <w:r w:rsidR="007C5777">
        <w:t>s</w:t>
      </w:r>
      <w:r w:rsidRPr="003F2CBB">
        <w:t>ponsor has committed to the European Medicines Agency to amend Study P301 (</w:t>
      </w:r>
      <w:r w:rsidR="00617788">
        <w:t xml:space="preserve">known as the </w:t>
      </w:r>
      <w:r w:rsidRPr="003F2CBB">
        <w:t>COVE</w:t>
      </w:r>
      <w:r w:rsidR="00617788">
        <w:t xml:space="preserve"> trial</w:t>
      </w:r>
      <w:r w:rsidRPr="003F2CBB">
        <w:t xml:space="preserve">, the pivotal efficacy and safety study) to administer the booster dose, after which participants will continue to be followed for breakthrough disease. The </w:t>
      </w:r>
      <w:r w:rsidR="007C5777">
        <w:t>s</w:t>
      </w:r>
      <w:r w:rsidRPr="003F2CBB">
        <w:t xml:space="preserve">ponsor would also amend Study P901, the effectiveness study that is currently ongoing to follow effectiveness after the booster dose, which will also contribute extensive information on future protection against </w:t>
      </w:r>
      <w:r w:rsidR="004566DE">
        <w:t>variant of concern (</w:t>
      </w:r>
      <w:r w:rsidRPr="003F2CBB">
        <w:t>VOC</w:t>
      </w:r>
      <w:r w:rsidR="004566DE">
        <w:t>)</w:t>
      </w:r>
      <w:r w:rsidRPr="003F2CBB">
        <w:t>.</w:t>
      </w:r>
    </w:p>
    <w:p w14:paraId="138418C5" w14:textId="5B722C3B" w:rsidR="003F2CBB" w:rsidRPr="003F2CBB" w:rsidRDefault="003F2CBB" w:rsidP="003F2CBB">
      <w:r w:rsidRPr="003F2CBB">
        <w:t xml:space="preserve">Immunogenicity of </w:t>
      </w:r>
      <w:proofErr w:type="spellStart"/>
      <w:r w:rsidRPr="003F2CBB">
        <w:t>Spikevax</w:t>
      </w:r>
      <w:proofErr w:type="spellEnd"/>
      <w:r w:rsidRPr="003F2CBB">
        <w:t xml:space="preserve"> in immunocompromised (IC) patients was assessed in a </w:t>
      </w:r>
      <w:r w:rsidRPr="00E934B3">
        <w:t>randomised, placebo-controlled trial conducted in Canada and the study results were published by Hall et al</w:t>
      </w:r>
      <w:r w:rsidR="00617788">
        <w:t>.</w:t>
      </w:r>
      <w:r w:rsidRPr="00E934B3">
        <w:t xml:space="preserve">, </w:t>
      </w:r>
      <w:r w:rsidR="00617788">
        <w:t>(</w:t>
      </w:r>
      <w:r w:rsidRPr="00E934B3">
        <w:t>2021</w:t>
      </w:r>
      <w:r w:rsidR="00617788">
        <w:t>)</w:t>
      </w:r>
      <w:r w:rsidRPr="00F92765">
        <w:t>.</w:t>
      </w:r>
      <w:r w:rsidR="00E934B3" w:rsidRPr="007A06D0">
        <w:rPr>
          <w:vertAlign w:val="superscript"/>
        </w:rPr>
        <w:fldChar w:fldCharType="begin"/>
      </w:r>
      <w:r w:rsidR="00E934B3" w:rsidRPr="007A06D0">
        <w:rPr>
          <w:vertAlign w:val="superscript"/>
        </w:rPr>
        <w:instrText xml:space="preserve"> NOTEREF _Ref89022524 \h </w:instrText>
      </w:r>
      <w:r w:rsidR="00E934B3" w:rsidRPr="00E934B3">
        <w:rPr>
          <w:vertAlign w:val="superscript"/>
        </w:rPr>
        <w:instrText xml:space="preserve"> \* MERGEFORMAT </w:instrText>
      </w:r>
      <w:r w:rsidR="00E934B3" w:rsidRPr="007A06D0">
        <w:rPr>
          <w:vertAlign w:val="superscript"/>
        </w:rPr>
      </w:r>
      <w:r w:rsidR="00E934B3" w:rsidRPr="007A06D0">
        <w:rPr>
          <w:vertAlign w:val="superscript"/>
        </w:rPr>
        <w:fldChar w:fldCharType="separate"/>
      </w:r>
      <w:r w:rsidR="00E934B3" w:rsidRPr="007A06D0">
        <w:rPr>
          <w:vertAlign w:val="superscript"/>
        </w:rPr>
        <w:t>31</w:t>
      </w:r>
      <w:r w:rsidR="00E934B3" w:rsidRPr="007A06D0">
        <w:rPr>
          <w:vertAlign w:val="superscript"/>
        </w:rPr>
        <w:fldChar w:fldCharType="end"/>
      </w:r>
      <w:r w:rsidRPr="00E934B3">
        <w:t xml:space="preserve"> In this study</w:t>
      </w:r>
      <w:r w:rsidR="007C5777" w:rsidRPr="00E934B3">
        <w:t>,</w:t>
      </w:r>
      <w:r w:rsidRPr="00F92765">
        <w:t xml:space="preserve"> 243 IC patien</w:t>
      </w:r>
      <w:r w:rsidRPr="00E934B3">
        <w:t xml:space="preserve">ts were enrolled and of those 120 randomised to receive either a third dose of </w:t>
      </w:r>
      <w:proofErr w:type="spellStart"/>
      <w:r w:rsidRPr="00E934B3">
        <w:t>Spikevax</w:t>
      </w:r>
      <w:proofErr w:type="spellEnd"/>
      <w:r w:rsidRPr="00E934B3">
        <w:t xml:space="preserve"> or placebo, respectively, within 2 months. No control arm of healthy individuals was included. The trial was not planned with the usual standards of pivotal trials but was conducted and analysed seemingly in an acceptable </w:t>
      </w:r>
      <w:r w:rsidRPr="00110569">
        <w:t>manner. Although no correlate of protection is yet established</w:t>
      </w:r>
      <w:r w:rsidR="00110569" w:rsidRPr="007A06D0">
        <w:t>,</w:t>
      </w:r>
      <w:r w:rsidRPr="00110569">
        <w:t xml:space="preserve"> the immunogenicity data reported by Hall et al</w:t>
      </w:r>
      <w:r w:rsidR="00617788">
        <w:t>.,</w:t>
      </w:r>
      <w:r w:rsidR="00E934B3" w:rsidRPr="007A06D0">
        <w:rPr>
          <w:vertAlign w:val="superscript"/>
        </w:rPr>
        <w:fldChar w:fldCharType="begin"/>
      </w:r>
      <w:r w:rsidR="00E934B3" w:rsidRPr="007A06D0">
        <w:rPr>
          <w:vertAlign w:val="superscript"/>
        </w:rPr>
        <w:instrText xml:space="preserve"> NOTEREF _Ref89022524 \h </w:instrText>
      </w:r>
      <w:r w:rsidR="00E934B3" w:rsidRPr="00110569">
        <w:rPr>
          <w:vertAlign w:val="superscript"/>
        </w:rPr>
        <w:instrText xml:space="preserve"> \* MERGEFORMAT </w:instrText>
      </w:r>
      <w:r w:rsidR="00E934B3" w:rsidRPr="007A06D0">
        <w:rPr>
          <w:vertAlign w:val="superscript"/>
        </w:rPr>
      </w:r>
      <w:r w:rsidR="00E934B3" w:rsidRPr="007A06D0">
        <w:rPr>
          <w:vertAlign w:val="superscript"/>
        </w:rPr>
        <w:fldChar w:fldCharType="separate"/>
      </w:r>
      <w:r w:rsidR="00E934B3" w:rsidRPr="007A06D0">
        <w:rPr>
          <w:vertAlign w:val="superscript"/>
        </w:rPr>
        <w:t>31</w:t>
      </w:r>
      <w:r w:rsidR="00E934B3" w:rsidRPr="007A06D0">
        <w:rPr>
          <w:vertAlign w:val="superscript"/>
        </w:rPr>
        <w:fldChar w:fldCharType="end"/>
      </w:r>
      <w:r w:rsidRPr="00110569">
        <w:t xml:space="preserve"> suggest that a third dose of </w:t>
      </w:r>
      <w:proofErr w:type="spellStart"/>
      <w:r w:rsidRPr="00110569">
        <w:t>Spikevax</w:t>
      </w:r>
      <w:proofErr w:type="spellEnd"/>
      <w:r w:rsidRPr="00110569">
        <w:t xml:space="preserve"> is able to elicit a pronounced antibody response</w:t>
      </w:r>
      <w:r w:rsidRPr="00E934B3">
        <w:t xml:space="preserve"> in a</w:t>
      </w:r>
      <w:r w:rsidRPr="00F92765">
        <w:t xml:space="preserve"> substantial</w:t>
      </w:r>
      <w:r w:rsidRPr="003F2CBB">
        <w:t xml:space="preserve"> number of IC patients at risk for severe COVID-19. IC patients having received a third dose of </w:t>
      </w:r>
      <w:proofErr w:type="spellStart"/>
      <w:r w:rsidRPr="003F2CBB">
        <w:t>Spikevax</w:t>
      </w:r>
      <w:proofErr w:type="spellEnd"/>
      <w:r w:rsidRPr="003F2CBB">
        <w:t xml:space="preserve"> were compared to IC patients treated with placebo. Prior to the third dose</w:t>
      </w:r>
      <w:r w:rsidR="007C5777">
        <w:t>,</w:t>
      </w:r>
      <w:r w:rsidRPr="003F2CBB">
        <w:t xml:space="preserve"> 11.7% in the vaccine group and 8.8% in the placebo group had anti-RBD-antibody </w:t>
      </w:r>
      <w:r w:rsidR="00524504">
        <w:t>titre</w:t>
      </w:r>
      <w:r w:rsidRPr="003F2CBB">
        <w:t>s ≥</w:t>
      </w:r>
      <w:r w:rsidR="00947C8C">
        <w:t xml:space="preserve"> </w:t>
      </w:r>
      <w:r w:rsidRPr="003F2CBB">
        <w:t>100 U/</w:t>
      </w:r>
      <w:r w:rsidR="00617788">
        <w:t>mL</w:t>
      </w:r>
      <w:r w:rsidRPr="003F2CBB">
        <w:t>, an antibody response considered by the investigators as seropositive. The median anti-RBD titre reported for both groups was low with 0.37 U/</w:t>
      </w:r>
      <w:r w:rsidR="00617788">
        <w:t>mL</w:t>
      </w:r>
      <w:r w:rsidRPr="003F2CBB">
        <w:t xml:space="preserve"> (IQR: 0.2-27.64) for the </w:t>
      </w:r>
      <w:proofErr w:type="spellStart"/>
      <w:r w:rsidRPr="003F2CBB">
        <w:t>Spikevax</w:t>
      </w:r>
      <w:proofErr w:type="spellEnd"/>
      <w:r w:rsidRPr="003F2CBB">
        <w:t xml:space="preserve"> group and 0.44 U/</w:t>
      </w:r>
      <w:r w:rsidR="00617788">
        <w:t>mL</w:t>
      </w:r>
      <w:r w:rsidRPr="003F2CBB">
        <w:t xml:space="preserve"> (IQR: 0.2-18.19) for the placebo group. Following administration of a third dose of </w:t>
      </w:r>
      <w:proofErr w:type="spellStart"/>
      <w:r w:rsidRPr="003F2CBB">
        <w:t>Spikevax</w:t>
      </w:r>
      <w:proofErr w:type="spellEnd"/>
      <w:r w:rsidRPr="003F2CBB">
        <w:t xml:space="preserve"> a significant rise in antibodies was observed with 55% of the IC patients showing at least an antibody </w:t>
      </w:r>
      <w:r w:rsidR="00524504">
        <w:t>titre</w:t>
      </w:r>
      <w:r w:rsidRPr="003F2CBB">
        <w:t xml:space="preserve"> of 100 U/</w:t>
      </w:r>
      <w:r w:rsidR="00617788">
        <w:t>mL</w:t>
      </w:r>
      <w:r w:rsidRPr="003F2CBB">
        <w:t xml:space="preserve"> </w:t>
      </w:r>
      <w:r w:rsidRPr="00E934B3">
        <w:t xml:space="preserve">with a calculated absolute mean anti-RBD </w:t>
      </w:r>
      <w:r w:rsidR="00524504" w:rsidRPr="00E934B3">
        <w:t>titre</w:t>
      </w:r>
      <w:r w:rsidRPr="00E934B3">
        <w:t xml:space="preserve"> of 3145 U/</w:t>
      </w:r>
      <w:r w:rsidR="00617788">
        <w:t>mL</w:t>
      </w:r>
      <w:r w:rsidRPr="00E934B3">
        <w:t xml:space="preserve"> (median: 313.8 U/</w:t>
      </w:r>
      <w:r w:rsidR="00617788">
        <w:t>mL</w:t>
      </w:r>
      <w:r w:rsidRPr="00E934B3">
        <w:t xml:space="preserve">, </w:t>
      </w:r>
      <w:r w:rsidR="00E934B3" w:rsidRPr="00E934B3">
        <w:rPr>
          <w:rFonts w:ascii="Arial" w:hAnsi="Arial" w:cs="Arial"/>
          <w:color w:val="202124"/>
          <w:shd w:val="clear" w:color="auto" w:fill="FFFFFF"/>
        </w:rPr>
        <w:t> </w:t>
      </w:r>
      <w:r w:rsidR="00E934B3" w:rsidRPr="007A06D0">
        <w:t>interquartile range (</w:t>
      </w:r>
      <w:r w:rsidRPr="00E934B3">
        <w:t>IQR</w:t>
      </w:r>
      <w:r w:rsidR="00E934B3" w:rsidRPr="00F92765">
        <w:t>)</w:t>
      </w:r>
      <w:r w:rsidRPr="00E934B3">
        <w:t>: 0.2-2191). In the placebo group only 17.5% of IC patients had antibodies ≥100 U/</w:t>
      </w:r>
      <w:r w:rsidR="00617788">
        <w:t>mL</w:t>
      </w:r>
      <w:r w:rsidRPr="00E934B3">
        <w:t xml:space="preserve"> and a GMC of 86 U/</w:t>
      </w:r>
      <w:r w:rsidR="00617788">
        <w:t>mL</w:t>
      </w:r>
      <w:r w:rsidRPr="00E934B3">
        <w:t xml:space="preserve"> (median: 1.19 U/</w:t>
      </w:r>
      <w:r w:rsidR="00617788">
        <w:t>mL</w:t>
      </w:r>
      <w:r w:rsidRPr="00E934B3">
        <w:t>, IQR: 0.2-63.4) was reported.</w:t>
      </w:r>
      <w:r w:rsidRPr="003F2CBB">
        <w:t xml:space="preserve"> </w:t>
      </w:r>
    </w:p>
    <w:p w14:paraId="4DB6EEDE" w14:textId="250DEF53" w:rsidR="003F2CBB" w:rsidRPr="003F2CBB" w:rsidRDefault="003F2CBB" w:rsidP="003F2CBB">
      <w:r w:rsidRPr="003F2CBB">
        <w:t xml:space="preserve">Overall, the data submitted in this submission has shown that a 50 </w:t>
      </w:r>
      <w:proofErr w:type="spellStart"/>
      <w:r w:rsidRPr="003F2CBB">
        <w:t>μg</w:t>
      </w:r>
      <w:proofErr w:type="spellEnd"/>
      <w:r w:rsidRPr="003F2CBB">
        <w:t xml:space="preserve"> booster dose of </w:t>
      </w:r>
      <w:proofErr w:type="spellStart"/>
      <w:r w:rsidRPr="003F2CBB">
        <w:t>S</w:t>
      </w:r>
      <w:r w:rsidR="007C5777">
        <w:t>pikevax</w:t>
      </w:r>
      <w:proofErr w:type="spellEnd"/>
      <w:r w:rsidRPr="003F2CBB">
        <w:t xml:space="preserve"> (mRNA-1273</w:t>
      </w:r>
      <w:r w:rsidR="00617788">
        <w:t>/</w:t>
      </w:r>
      <w:proofErr w:type="spellStart"/>
      <w:r w:rsidR="00617788">
        <w:t>elasomeran</w:t>
      </w:r>
      <w:proofErr w:type="spellEnd"/>
      <w:r w:rsidRPr="003F2CBB">
        <w:t xml:space="preserve">) given 6 months after the primary vaccination series restored waning neutralising titres against </w:t>
      </w:r>
      <w:r w:rsidR="00110569">
        <w:t>WT</w:t>
      </w:r>
      <w:r w:rsidRPr="003F2CBB">
        <w:t xml:space="preserve"> SARS-CoV-2 to significantly higher levels than seen following the primary vaccination course.</w:t>
      </w:r>
    </w:p>
    <w:p w14:paraId="7DF6A86A" w14:textId="5B6F1CFB" w:rsidR="003F2CBB" w:rsidRPr="003F2CBB" w:rsidRDefault="003F2CBB" w:rsidP="003F2CBB">
      <w:r w:rsidRPr="003F2CBB">
        <w:t xml:space="preserve">However, as there is no serological correlate of protection, the clinical relevance of restoring the waning titres is unknown. Therefore, while the immunogenicity and reactogenicity of a third dose have been appropriately characterised, the utility of a third dose has not been fully established. In addition, the </w:t>
      </w:r>
      <w:r w:rsidRPr="00E934B3">
        <w:t>risk of more rare and serious side effects suc</w:t>
      </w:r>
      <w:r w:rsidRPr="00F92765">
        <w:t>h as myocarditis remains uncharacterised</w:t>
      </w:r>
      <w:r w:rsidRPr="00E934B3">
        <w:t xml:space="preserve">. Hence, the decision to implement a 50 </w:t>
      </w:r>
      <w:proofErr w:type="spellStart"/>
      <w:r w:rsidRPr="00E934B3">
        <w:t>μg</w:t>
      </w:r>
      <w:proofErr w:type="spellEnd"/>
      <w:r w:rsidRPr="00E934B3">
        <w:t xml:space="preserve"> booster dose of </w:t>
      </w:r>
      <w:proofErr w:type="spellStart"/>
      <w:r w:rsidRPr="00E934B3">
        <w:t>S</w:t>
      </w:r>
      <w:r w:rsidR="007C5777" w:rsidRPr="00E934B3">
        <w:t>pikevax</w:t>
      </w:r>
      <w:proofErr w:type="spellEnd"/>
      <w:r w:rsidRPr="00E934B3">
        <w:t xml:space="preserve"> (mRNA-1273</w:t>
      </w:r>
      <w:r w:rsidR="00617788">
        <w:t>/</w:t>
      </w:r>
      <w:proofErr w:type="spellStart"/>
      <w:r w:rsidR="00617788">
        <w:t>elasomeran</w:t>
      </w:r>
      <w:proofErr w:type="spellEnd"/>
      <w:r w:rsidRPr="00E934B3">
        <w:t>) needs to be taken based on emerging epidemiological vaccine efficacy or effectiveness data</w:t>
      </w:r>
      <w:r w:rsidRPr="003F2CBB">
        <w:t xml:space="preserve"> in different age groups and given differing comorbidities, including immunosuppression.</w:t>
      </w:r>
    </w:p>
    <w:p w14:paraId="63B1AE2A" w14:textId="4617A76E" w:rsidR="00456765" w:rsidRPr="003F2CBB" w:rsidRDefault="003F2CBB" w:rsidP="003F2CBB">
      <w:pPr>
        <w:rPr>
          <w:i/>
        </w:rPr>
      </w:pPr>
      <w:r w:rsidRPr="003F2CBB">
        <w:t>The potential benefit in terms of increased duration of protection, and possibly increased protection against variants of concern has not been clearly demonstrated. However, in the view of the waning</w:t>
      </w:r>
      <w:r w:rsidR="00D7030A">
        <w:t xml:space="preserve"> </w:t>
      </w:r>
      <w:r w:rsidRPr="003F2CBB">
        <w:t xml:space="preserve">immune </w:t>
      </w:r>
      <w:r w:rsidR="00524504">
        <w:t>titre</w:t>
      </w:r>
      <w:r w:rsidRPr="003F2CBB">
        <w:t>s observed following the</w:t>
      </w:r>
      <w:r w:rsidR="00D7030A">
        <w:t xml:space="preserve"> </w:t>
      </w:r>
      <w:r w:rsidRPr="003F2CBB">
        <w:t>primary vaccination, it is likely</w:t>
      </w:r>
      <w:r w:rsidR="00D7030A">
        <w:t xml:space="preserve"> </w:t>
      </w:r>
      <w:r w:rsidR="00947C8C">
        <w:t xml:space="preserve"> </w:t>
      </w:r>
      <w:r w:rsidRPr="003F2CBB">
        <w:t xml:space="preserve">that a 50 </w:t>
      </w:r>
      <w:proofErr w:type="spellStart"/>
      <w:r w:rsidRPr="003F2CBB">
        <w:t>μg</w:t>
      </w:r>
      <w:proofErr w:type="spellEnd"/>
      <w:r w:rsidRPr="003F2CBB">
        <w:t xml:space="preserve"> booster dose of </w:t>
      </w:r>
      <w:proofErr w:type="spellStart"/>
      <w:r w:rsidRPr="003F2CBB">
        <w:t>S</w:t>
      </w:r>
      <w:r w:rsidR="00FB4449">
        <w:t>pikevax</w:t>
      </w:r>
      <w:proofErr w:type="spellEnd"/>
      <w:r w:rsidRPr="003F2CBB">
        <w:t xml:space="preserve"> (mRNA-1273</w:t>
      </w:r>
      <w:r w:rsidR="00617788">
        <w:t>/</w:t>
      </w:r>
      <w:proofErr w:type="spellStart"/>
      <w:r w:rsidR="00617788">
        <w:t>elasomeran</w:t>
      </w:r>
      <w:proofErr w:type="spellEnd"/>
      <w:r w:rsidRPr="003F2CBB">
        <w:t>) in individuals aged 18</w:t>
      </w:r>
      <w:r w:rsidR="00617788">
        <w:t> </w:t>
      </w:r>
      <w:r w:rsidRPr="003F2CBB">
        <w:t>years and older will provide longer term protection based on experience with other vaccines, and the immunogenicity data available. Duration of the antibody responses following a 50</w:t>
      </w:r>
      <w:r w:rsidR="00947C8C">
        <w:t xml:space="preserve"> </w:t>
      </w:r>
      <w:proofErr w:type="spellStart"/>
      <w:r w:rsidRPr="003F2CBB">
        <w:t>μg</w:t>
      </w:r>
      <w:proofErr w:type="spellEnd"/>
      <w:r w:rsidRPr="003F2CBB">
        <w:t xml:space="preserve"> booster dose and the level of long-term protection are currently not known.</w:t>
      </w:r>
    </w:p>
    <w:p w14:paraId="32738030" w14:textId="77777777" w:rsidR="00D23139" w:rsidRDefault="00D23139" w:rsidP="00D23139">
      <w:pPr>
        <w:pStyle w:val="Heading4"/>
      </w:pPr>
      <w:r w:rsidRPr="00D23139">
        <w:lastRenderedPageBreak/>
        <w:t>Proposed action</w:t>
      </w:r>
    </w:p>
    <w:p w14:paraId="65AB0944" w14:textId="42C3880B" w:rsidR="003F2CBB" w:rsidRPr="003F2CBB" w:rsidRDefault="003F2CBB" w:rsidP="003F2CBB">
      <w:r w:rsidRPr="003F2CBB">
        <w:t xml:space="preserve">In summary, the benefit risk profile of a 50 </w:t>
      </w:r>
      <w:proofErr w:type="spellStart"/>
      <w:r w:rsidRPr="003F2CBB">
        <w:t>μg</w:t>
      </w:r>
      <w:proofErr w:type="spellEnd"/>
      <w:r w:rsidRPr="003F2CBB">
        <w:t xml:space="preserve"> booster dose of </w:t>
      </w:r>
      <w:proofErr w:type="spellStart"/>
      <w:r w:rsidRPr="003F2CBB">
        <w:t>S</w:t>
      </w:r>
      <w:r w:rsidR="00FB4449">
        <w:t>pikevax</w:t>
      </w:r>
      <w:proofErr w:type="spellEnd"/>
      <w:r w:rsidRPr="003F2CBB">
        <w:t xml:space="preserve"> (mRNA-1273) in individuals aged 18 years and older appears positive, provided its implementation is guided by vaccine effectiveness data and considering limited safety data.</w:t>
      </w:r>
    </w:p>
    <w:p w14:paraId="725C0735" w14:textId="0AE60EBA" w:rsidR="008E7846" w:rsidRDefault="008E7846" w:rsidP="007D53B6">
      <w:pPr>
        <w:pStyle w:val="Heading4"/>
      </w:pPr>
      <w:r>
        <w:t xml:space="preserve">Advisory Committee </w:t>
      </w:r>
      <w:r w:rsidR="007D53B6">
        <w:t>c</w:t>
      </w:r>
      <w:r>
        <w:t>onsiderations</w:t>
      </w:r>
      <w:r w:rsidR="008E4F83">
        <w:rPr>
          <w:rStyle w:val="FootnoteReference"/>
        </w:rPr>
        <w:footnoteReference w:id="32"/>
      </w:r>
    </w:p>
    <w:p w14:paraId="4F8D7D21" w14:textId="11FF54E2" w:rsidR="00744121" w:rsidRDefault="00744121" w:rsidP="00744121">
      <w:pPr>
        <w:rPr>
          <w:bCs/>
        </w:rPr>
      </w:pPr>
      <w:bookmarkStart w:id="49" w:name="_Toc247691532"/>
      <w:bookmarkStart w:id="50" w:name="_Toc314842516"/>
      <w:bookmarkEnd w:id="30"/>
      <w:bookmarkEnd w:id="46"/>
      <w:bookmarkEnd w:id="47"/>
      <w:r w:rsidRPr="00456765">
        <w:rPr>
          <w:bCs/>
        </w:rPr>
        <w:t xml:space="preserve">The Advisory Committee on </w:t>
      </w:r>
      <w:r w:rsidR="00565FB5">
        <w:rPr>
          <w:bCs/>
        </w:rPr>
        <w:t>Vaccines</w:t>
      </w:r>
      <w:r w:rsidRPr="00456765">
        <w:rPr>
          <w:bCs/>
        </w:rPr>
        <w:t xml:space="preserve"> (AC</w:t>
      </w:r>
      <w:r w:rsidR="00565FB5">
        <w:rPr>
          <w:bCs/>
        </w:rPr>
        <w:t>V</w:t>
      </w:r>
      <w:r w:rsidRPr="00456765">
        <w:rPr>
          <w:bCs/>
        </w:rPr>
        <w:t xml:space="preserve">), having considered the evaluations and the Delegate’s overview, </w:t>
      </w:r>
      <w:r w:rsidRPr="00D005CC">
        <w:rPr>
          <w:bCs/>
        </w:rPr>
        <w:t>as well as the sponsor’s response to these documents</w:t>
      </w:r>
      <w:r w:rsidRPr="00A63EC1">
        <w:rPr>
          <w:bCs/>
        </w:rPr>
        <w:t>,</w:t>
      </w:r>
      <w:r w:rsidRPr="00456765">
        <w:rPr>
          <w:bCs/>
        </w:rPr>
        <w:t xml:space="preserve"> advised the following</w:t>
      </w:r>
      <w:r>
        <w:rPr>
          <w:bCs/>
        </w:rPr>
        <w:t>.</w:t>
      </w:r>
    </w:p>
    <w:p w14:paraId="02064504" w14:textId="77777777" w:rsidR="00744121" w:rsidRDefault="00744121" w:rsidP="00744121">
      <w:pPr>
        <w:pStyle w:val="Heading5"/>
      </w:pPr>
      <w:r>
        <w:t>Specific advice to the Delegate</w:t>
      </w:r>
    </w:p>
    <w:p w14:paraId="51BFA8B6" w14:textId="66B80600" w:rsidR="00DC1F0C" w:rsidRDefault="00DC1F0C" w:rsidP="00DC1F0C">
      <w:pPr>
        <w:pStyle w:val="Numberbullet0"/>
        <w:rPr>
          <w:b/>
          <w:bCs/>
          <w:i/>
          <w:iCs/>
        </w:rPr>
      </w:pPr>
      <w:r w:rsidRPr="00D005CC">
        <w:rPr>
          <w:b/>
          <w:bCs/>
          <w:i/>
          <w:iCs/>
        </w:rPr>
        <w:t xml:space="preserve">Does the ACV agree that the immunogenicity and safety data support the administration of a 50 </w:t>
      </w:r>
      <w:proofErr w:type="spellStart"/>
      <w:r w:rsidRPr="00D005CC">
        <w:rPr>
          <w:b/>
          <w:bCs/>
          <w:i/>
          <w:iCs/>
        </w:rPr>
        <w:t>μg</w:t>
      </w:r>
      <w:proofErr w:type="spellEnd"/>
      <w:r w:rsidRPr="00D005CC">
        <w:rPr>
          <w:b/>
          <w:bCs/>
          <w:i/>
          <w:iCs/>
        </w:rPr>
        <w:t xml:space="preserve"> booster dose for adults aged 18 years and older?</w:t>
      </w:r>
    </w:p>
    <w:p w14:paraId="2268624A" w14:textId="77777777" w:rsidR="00DC1F0C" w:rsidRPr="00DC1F0C" w:rsidRDefault="00DC1F0C" w:rsidP="00D005CC">
      <w:r w:rsidRPr="00DC1F0C">
        <w:t xml:space="preserve">The ACV advised that the current data support the administration of a 50 </w:t>
      </w:r>
      <w:proofErr w:type="spellStart"/>
      <w:r w:rsidRPr="00DC1F0C">
        <w:t>μg</w:t>
      </w:r>
      <w:proofErr w:type="spellEnd"/>
      <w:r w:rsidRPr="00DC1F0C">
        <w:t xml:space="preserve"> booster dose for adults aged 18 years and older.</w:t>
      </w:r>
    </w:p>
    <w:p w14:paraId="198F6A81" w14:textId="77777777" w:rsidR="00DC1F0C" w:rsidRPr="00DC1F0C" w:rsidRDefault="00DC1F0C" w:rsidP="00D005CC">
      <w:r w:rsidRPr="00DC1F0C">
        <w:t xml:space="preserve">The ACV commented that the submitted dataset is relatively limited and relies on </w:t>
      </w:r>
      <w:proofErr w:type="spellStart"/>
      <w:r w:rsidRPr="00DC1F0C">
        <w:t>immunobridging</w:t>
      </w:r>
      <w:proofErr w:type="spellEnd"/>
      <w:r w:rsidRPr="00DC1F0C">
        <w:t xml:space="preserve"> studies as a surrogate for efficacy.</w:t>
      </w:r>
    </w:p>
    <w:p w14:paraId="2DF5A47E" w14:textId="77777777" w:rsidR="00DC1F0C" w:rsidRPr="00DC1F0C" w:rsidRDefault="00DC1F0C" w:rsidP="00D005CC">
      <w:r w:rsidRPr="00DC1F0C">
        <w:t xml:space="preserve">The safety data provided by the sponsor were reassuring. The ACV noted higher reactogenicity observed with </w:t>
      </w:r>
      <w:proofErr w:type="spellStart"/>
      <w:r w:rsidRPr="00DC1F0C">
        <w:t>Spikevax</w:t>
      </w:r>
      <w:proofErr w:type="spellEnd"/>
      <w:r w:rsidRPr="00DC1F0C">
        <w:t xml:space="preserve"> compared to </w:t>
      </w:r>
      <w:proofErr w:type="spellStart"/>
      <w:r w:rsidRPr="00DC1F0C">
        <w:t>Comirnaty</w:t>
      </w:r>
      <w:proofErr w:type="spellEnd"/>
      <w:r w:rsidRPr="00DC1F0C">
        <w:t xml:space="preserve"> in US surveillance data. A higher rate of lymphadenopathy was observed in clinical trials of </w:t>
      </w:r>
      <w:proofErr w:type="spellStart"/>
      <w:r w:rsidRPr="00DC1F0C">
        <w:t>Spikevax</w:t>
      </w:r>
      <w:proofErr w:type="spellEnd"/>
      <w:r w:rsidRPr="00DC1F0C">
        <w:t xml:space="preserve"> than in the corresponding trials with </w:t>
      </w:r>
      <w:proofErr w:type="spellStart"/>
      <w:r w:rsidRPr="00DC1F0C">
        <w:t>Comirnaty</w:t>
      </w:r>
      <w:proofErr w:type="spellEnd"/>
      <w:r w:rsidRPr="00DC1F0C">
        <w:t xml:space="preserve">. While an independent study suggested higher rates of reactogenicity with </w:t>
      </w:r>
      <w:proofErr w:type="spellStart"/>
      <w:r w:rsidRPr="00DC1F0C">
        <w:t>Spikevax</w:t>
      </w:r>
      <w:proofErr w:type="spellEnd"/>
      <w:r w:rsidRPr="00DC1F0C">
        <w:t xml:space="preserve"> boosters compared with </w:t>
      </w:r>
      <w:proofErr w:type="spellStart"/>
      <w:r w:rsidRPr="00DC1F0C">
        <w:t>Comirnaty</w:t>
      </w:r>
      <w:proofErr w:type="spellEnd"/>
      <w:r w:rsidRPr="00DC1F0C">
        <w:t xml:space="preserve"> boosters, particularly following </w:t>
      </w:r>
      <w:proofErr w:type="spellStart"/>
      <w:r w:rsidRPr="00DC1F0C">
        <w:t>Comirnaty</w:t>
      </w:r>
      <w:proofErr w:type="spellEnd"/>
      <w:r w:rsidRPr="00DC1F0C">
        <w:t xml:space="preserve"> primary courses, this study did not use the selected (half) dose and the booster was administered between 12-20 weeks, shorter than the proposed booster interval.</w:t>
      </w:r>
    </w:p>
    <w:p w14:paraId="43B43025" w14:textId="77777777" w:rsidR="00DC1F0C" w:rsidRPr="00DC1F0C" w:rsidRDefault="00DC1F0C" w:rsidP="00D005CC">
      <w:r w:rsidRPr="00DC1F0C">
        <w:t xml:space="preserve">The ACV noted that the observed rate of myocarditis seen with </w:t>
      </w:r>
      <w:proofErr w:type="spellStart"/>
      <w:r w:rsidRPr="00DC1F0C">
        <w:t>Spikevax</w:t>
      </w:r>
      <w:proofErr w:type="spellEnd"/>
      <w:r w:rsidRPr="00DC1F0C">
        <w:t xml:space="preserve"> primary vaccination is higher in younger males than with </w:t>
      </w:r>
      <w:proofErr w:type="spellStart"/>
      <w:r w:rsidRPr="00DC1F0C">
        <w:t>Comirnaty</w:t>
      </w:r>
      <w:proofErr w:type="spellEnd"/>
      <w:r w:rsidRPr="00DC1F0C">
        <w:t xml:space="preserve"> in different surveillance systems. In this context, the ACV advised that close monitoring for myocarditis following a </w:t>
      </w:r>
      <w:proofErr w:type="spellStart"/>
      <w:r w:rsidRPr="00DC1F0C">
        <w:t>Spikevax</w:t>
      </w:r>
      <w:proofErr w:type="spellEnd"/>
      <w:r w:rsidRPr="00DC1F0C">
        <w:t xml:space="preserve"> booster will be important, </w:t>
      </w:r>
      <w:proofErr w:type="gramStart"/>
      <w:r w:rsidRPr="00DC1F0C">
        <w:t>in particular for</w:t>
      </w:r>
      <w:proofErr w:type="gramEnd"/>
      <w:r w:rsidRPr="00DC1F0C">
        <w:t xml:space="preserve"> young males and when using </w:t>
      </w:r>
      <w:proofErr w:type="spellStart"/>
      <w:r w:rsidRPr="00DC1F0C">
        <w:t>Spikevax</w:t>
      </w:r>
      <w:proofErr w:type="spellEnd"/>
      <w:r w:rsidRPr="00DC1F0C">
        <w:t xml:space="preserve"> as a booster following a </w:t>
      </w:r>
      <w:proofErr w:type="spellStart"/>
      <w:r w:rsidRPr="00DC1F0C">
        <w:t>Comirnaty</w:t>
      </w:r>
      <w:proofErr w:type="spellEnd"/>
      <w:r w:rsidRPr="00DC1F0C">
        <w:t xml:space="preserve"> primary course. As these data are rapidly accumulating, communications and guidance will need to be updated accordingly.</w:t>
      </w:r>
    </w:p>
    <w:p w14:paraId="3CCB21EA" w14:textId="3E560CA6" w:rsidR="00DC1F0C" w:rsidRDefault="00DC1F0C" w:rsidP="00DC1F0C">
      <w:r w:rsidRPr="00DC1F0C">
        <w:t xml:space="preserve">The ACV noted that the booster dose (50 </w:t>
      </w:r>
      <w:proofErr w:type="spellStart"/>
      <w:r w:rsidRPr="00DC1F0C">
        <w:t>μg</w:t>
      </w:r>
      <w:proofErr w:type="spellEnd"/>
      <w:r w:rsidRPr="00DC1F0C">
        <w:t xml:space="preserve">) is half the dose of the primary doses (100 </w:t>
      </w:r>
      <w:proofErr w:type="spellStart"/>
      <w:r w:rsidRPr="00DC1F0C">
        <w:t>μg</w:t>
      </w:r>
      <w:proofErr w:type="spellEnd"/>
      <w:r w:rsidRPr="00DC1F0C">
        <w:t>). The ACV strongly emphasised the importance of having clear communication regarding the different doses for the primary course (including third doses in immunocompromised individuals) compared with the booster dose in the labelling, prescribing software, product information and clinical guidance to avoid confusion.</w:t>
      </w:r>
    </w:p>
    <w:p w14:paraId="2334E8A6" w14:textId="77777777" w:rsidR="00DC1F0C" w:rsidRPr="00D005CC" w:rsidRDefault="00DC1F0C" w:rsidP="007F3668">
      <w:pPr>
        <w:pStyle w:val="Numberbullet0"/>
        <w:pageBreakBefore/>
        <w:rPr>
          <w:b/>
          <w:bCs/>
        </w:rPr>
      </w:pPr>
      <w:r w:rsidRPr="00D005CC">
        <w:rPr>
          <w:b/>
          <w:bCs/>
        </w:rPr>
        <w:lastRenderedPageBreak/>
        <w:t>Advice on the booster dosing wording in the PI.</w:t>
      </w:r>
    </w:p>
    <w:p w14:paraId="3FCDF1E2" w14:textId="3E16E15B" w:rsidR="00DC1F0C" w:rsidRPr="00D005CC" w:rsidRDefault="00DC1F0C" w:rsidP="00D005CC">
      <w:pPr>
        <w:pStyle w:val="Numberbullet2"/>
        <w:rPr>
          <w:b/>
          <w:bCs/>
          <w:i/>
          <w:iCs/>
        </w:rPr>
      </w:pPr>
      <w:r w:rsidRPr="00D005CC">
        <w:rPr>
          <w:b/>
          <w:bCs/>
          <w:i/>
          <w:iCs/>
        </w:rPr>
        <w:t>Booster Dose</w:t>
      </w:r>
    </w:p>
    <w:p w14:paraId="5AC5532D" w14:textId="77777777" w:rsidR="00DC1F0C" w:rsidRPr="00D005CC" w:rsidRDefault="00DC1F0C" w:rsidP="00D005CC">
      <w:pPr>
        <w:pStyle w:val="Numberbullet2"/>
        <w:numPr>
          <w:ilvl w:val="0"/>
          <w:numId w:val="0"/>
        </w:numPr>
        <w:ind w:left="851"/>
        <w:rPr>
          <w:b/>
          <w:bCs/>
          <w:i/>
          <w:iCs/>
        </w:rPr>
      </w:pPr>
      <w:r w:rsidRPr="00D005CC">
        <w:rPr>
          <w:b/>
          <w:bCs/>
          <w:i/>
          <w:iCs/>
        </w:rPr>
        <w:t>Individuals 18 years of age and older</w:t>
      </w:r>
    </w:p>
    <w:p w14:paraId="5F14CAA6" w14:textId="7859375E" w:rsidR="00DC1F0C" w:rsidRPr="00D005CC" w:rsidRDefault="00DC1F0C" w:rsidP="00D005CC">
      <w:pPr>
        <w:pStyle w:val="Numberbullet2"/>
        <w:numPr>
          <w:ilvl w:val="0"/>
          <w:numId w:val="0"/>
        </w:numPr>
        <w:ind w:left="851"/>
        <w:rPr>
          <w:b/>
          <w:bCs/>
          <w:i/>
          <w:iCs/>
        </w:rPr>
      </w:pPr>
      <w:proofErr w:type="spellStart"/>
      <w:r w:rsidRPr="00D005CC">
        <w:rPr>
          <w:b/>
          <w:bCs/>
          <w:i/>
          <w:iCs/>
        </w:rPr>
        <w:t>S</w:t>
      </w:r>
      <w:r w:rsidR="00510BD9">
        <w:rPr>
          <w:b/>
          <w:bCs/>
          <w:i/>
          <w:iCs/>
        </w:rPr>
        <w:t>pikevax</w:t>
      </w:r>
      <w:proofErr w:type="spellEnd"/>
      <w:r w:rsidRPr="00D005CC">
        <w:rPr>
          <w:b/>
          <w:bCs/>
          <w:i/>
          <w:iCs/>
        </w:rPr>
        <w:t xml:space="preserve"> is administered intramuscularly as a single dose (0.25 mL) at least 6 months after completing a primary series.</w:t>
      </w:r>
    </w:p>
    <w:p w14:paraId="3BAF3253" w14:textId="6CC8D650" w:rsidR="00DC1F0C" w:rsidRPr="00D005CC" w:rsidRDefault="00DC1F0C" w:rsidP="00D005CC">
      <w:pPr>
        <w:pStyle w:val="Numberbullet2"/>
        <w:rPr>
          <w:b/>
          <w:bCs/>
          <w:i/>
          <w:iCs/>
        </w:rPr>
      </w:pPr>
      <w:r w:rsidRPr="00D005CC">
        <w:rPr>
          <w:b/>
          <w:bCs/>
          <w:i/>
          <w:iCs/>
        </w:rPr>
        <w:t>Interchangeability</w:t>
      </w:r>
    </w:p>
    <w:p w14:paraId="4B2A62D5" w14:textId="77777777" w:rsidR="00DC1F0C" w:rsidRPr="00D005CC" w:rsidRDefault="00DC1F0C" w:rsidP="00D005CC">
      <w:pPr>
        <w:pStyle w:val="Numberbullet2"/>
        <w:numPr>
          <w:ilvl w:val="0"/>
          <w:numId w:val="0"/>
        </w:numPr>
        <w:ind w:left="851"/>
        <w:rPr>
          <w:b/>
          <w:bCs/>
          <w:i/>
          <w:iCs/>
        </w:rPr>
      </w:pPr>
      <w:r w:rsidRPr="00D005CC">
        <w:rPr>
          <w:b/>
          <w:bCs/>
          <w:i/>
          <w:iCs/>
        </w:rPr>
        <w:t>Primary series</w:t>
      </w:r>
    </w:p>
    <w:p w14:paraId="341E6690" w14:textId="40275FA8" w:rsidR="00DC1F0C" w:rsidRPr="00D005CC" w:rsidRDefault="00DC1F0C" w:rsidP="00D005CC">
      <w:pPr>
        <w:pStyle w:val="Numberbullet2"/>
        <w:numPr>
          <w:ilvl w:val="0"/>
          <w:numId w:val="0"/>
        </w:numPr>
        <w:ind w:left="851"/>
        <w:rPr>
          <w:b/>
          <w:bCs/>
          <w:i/>
          <w:iCs/>
        </w:rPr>
      </w:pPr>
      <w:r w:rsidRPr="00D005CC">
        <w:rPr>
          <w:b/>
          <w:bCs/>
          <w:i/>
          <w:iCs/>
        </w:rPr>
        <w:t xml:space="preserve">The interchangeability of </w:t>
      </w:r>
      <w:proofErr w:type="spellStart"/>
      <w:r w:rsidRPr="00D005CC">
        <w:rPr>
          <w:b/>
          <w:bCs/>
          <w:i/>
          <w:iCs/>
        </w:rPr>
        <w:t>S</w:t>
      </w:r>
      <w:r w:rsidR="00510BD9">
        <w:rPr>
          <w:b/>
          <w:bCs/>
          <w:i/>
          <w:iCs/>
        </w:rPr>
        <w:t>pikevax</w:t>
      </w:r>
      <w:proofErr w:type="spellEnd"/>
      <w:r w:rsidRPr="00D005CC">
        <w:rPr>
          <w:b/>
          <w:bCs/>
          <w:i/>
          <w:iCs/>
        </w:rPr>
        <w:t xml:space="preserve"> with other COVID-19 vaccines to complete the vaccination course has not been established.</w:t>
      </w:r>
    </w:p>
    <w:p w14:paraId="0D516C58" w14:textId="2B8D9300" w:rsidR="00DC1F0C" w:rsidRPr="00D005CC" w:rsidRDefault="00DC1F0C" w:rsidP="00D005CC">
      <w:pPr>
        <w:pStyle w:val="Numberbullet2"/>
        <w:numPr>
          <w:ilvl w:val="0"/>
          <w:numId w:val="0"/>
        </w:numPr>
        <w:ind w:left="851"/>
        <w:rPr>
          <w:b/>
          <w:bCs/>
          <w:i/>
          <w:iCs/>
        </w:rPr>
      </w:pPr>
      <w:r w:rsidRPr="00D005CC">
        <w:rPr>
          <w:b/>
          <w:bCs/>
          <w:i/>
          <w:iCs/>
        </w:rPr>
        <w:t xml:space="preserve">Individuals who have received one dose of </w:t>
      </w:r>
      <w:proofErr w:type="spellStart"/>
      <w:r w:rsidRPr="00D005CC">
        <w:rPr>
          <w:b/>
          <w:bCs/>
          <w:i/>
          <w:iCs/>
        </w:rPr>
        <w:t>S</w:t>
      </w:r>
      <w:r w:rsidR="00510BD9">
        <w:rPr>
          <w:b/>
          <w:bCs/>
          <w:i/>
          <w:iCs/>
        </w:rPr>
        <w:t>pikevax</w:t>
      </w:r>
      <w:proofErr w:type="spellEnd"/>
      <w:r w:rsidRPr="00D005CC">
        <w:rPr>
          <w:b/>
          <w:bCs/>
          <w:i/>
          <w:iCs/>
        </w:rPr>
        <w:t xml:space="preserve"> (0.5 mL, 100 micrograms) should receive the second dose of </w:t>
      </w:r>
      <w:proofErr w:type="spellStart"/>
      <w:r w:rsidRPr="00D005CC">
        <w:rPr>
          <w:b/>
          <w:bCs/>
          <w:i/>
          <w:iCs/>
        </w:rPr>
        <w:t>S</w:t>
      </w:r>
      <w:r w:rsidR="00510BD9">
        <w:rPr>
          <w:b/>
          <w:bCs/>
          <w:i/>
          <w:iCs/>
        </w:rPr>
        <w:t>pikevax</w:t>
      </w:r>
      <w:proofErr w:type="spellEnd"/>
      <w:r w:rsidRPr="00D005CC">
        <w:rPr>
          <w:b/>
          <w:bCs/>
          <w:i/>
          <w:iCs/>
        </w:rPr>
        <w:t xml:space="preserve"> (0.5 mL, 100 micrograms) to complete the vaccination course.</w:t>
      </w:r>
    </w:p>
    <w:p w14:paraId="07B63122" w14:textId="77777777" w:rsidR="00DC1F0C" w:rsidRPr="00D005CC" w:rsidRDefault="00DC1F0C" w:rsidP="00D005CC">
      <w:pPr>
        <w:pStyle w:val="Numberbullet2"/>
        <w:numPr>
          <w:ilvl w:val="0"/>
          <w:numId w:val="0"/>
        </w:numPr>
        <w:ind w:left="851"/>
        <w:rPr>
          <w:b/>
          <w:bCs/>
          <w:i/>
          <w:iCs/>
        </w:rPr>
      </w:pPr>
      <w:r w:rsidRPr="00D005CC">
        <w:rPr>
          <w:b/>
          <w:bCs/>
          <w:i/>
          <w:iCs/>
        </w:rPr>
        <w:t>Booster dose</w:t>
      </w:r>
    </w:p>
    <w:p w14:paraId="73878B90" w14:textId="20E331C9" w:rsidR="00DC1F0C" w:rsidRPr="00D005CC" w:rsidRDefault="00DC1F0C" w:rsidP="00D005CC">
      <w:pPr>
        <w:pStyle w:val="Numberbullet2"/>
        <w:numPr>
          <w:ilvl w:val="0"/>
          <w:numId w:val="0"/>
        </w:numPr>
        <w:ind w:left="851"/>
        <w:rPr>
          <w:b/>
          <w:bCs/>
          <w:i/>
          <w:iCs/>
        </w:rPr>
      </w:pPr>
      <w:r w:rsidRPr="00D005CC">
        <w:rPr>
          <w:b/>
          <w:bCs/>
          <w:i/>
          <w:iCs/>
        </w:rPr>
        <w:t xml:space="preserve">A single booster dose of </w:t>
      </w:r>
      <w:proofErr w:type="spellStart"/>
      <w:r w:rsidRPr="00D005CC">
        <w:rPr>
          <w:b/>
          <w:bCs/>
          <w:i/>
          <w:iCs/>
        </w:rPr>
        <w:t>S</w:t>
      </w:r>
      <w:r w:rsidR="00510BD9">
        <w:rPr>
          <w:b/>
          <w:bCs/>
          <w:i/>
          <w:iCs/>
        </w:rPr>
        <w:t>pikevax</w:t>
      </w:r>
      <w:proofErr w:type="spellEnd"/>
      <w:r w:rsidRPr="00D005CC">
        <w:rPr>
          <w:b/>
          <w:bCs/>
          <w:i/>
          <w:iCs/>
        </w:rPr>
        <w:t xml:space="preserve"> (0.25 mL) may be administered as a heterologous booster dose following completion of primary vaccination with another authorised or approved COVID-19 vaccine.</w:t>
      </w:r>
    </w:p>
    <w:p w14:paraId="06300297" w14:textId="33615D22" w:rsidR="00DC1F0C" w:rsidRDefault="00DC1F0C" w:rsidP="00DC1F0C">
      <w:pPr>
        <w:pStyle w:val="Numberbullet2"/>
        <w:numPr>
          <w:ilvl w:val="0"/>
          <w:numId w:val="0"/>
        </w:numPr>
        <w:ind w:left="851"/>
        <w:rPr>
          <w:b/>
          <w:bCs/>
          <w:i/>
          <w:iCs/>
        </w:rPr>
      </w:pPr>
      <w:r w:rsidRPr="00D005CC">
        <w:rPr>
          <w:b/>
          <w:bCs/>
          <w:i/>
          <w:iCs/>
        </w:rPr>
        <w:t xml:space="preserve">The eligible population(s) and dosing interval for the heterologous booster dose are the same as those authorised for a booster dose of </w:t>
      </w:r>
      <w:proofErr w:type="spellStart"/>
      <w:r w:rsidRPr="00D005CC">
        <w:rPr>
          <w:b/>
          <w:bCs/>
          <w:i/>
          <w:iCs/>
        </w:rPr>
        <w:t>S</w:t>
      </w:r>
      <w:r w:rsidR="00510BD9">
        <w:rPr>
          <w:b/>
          <w:bCs/>
          <w:i/>
          <w:iCs/>
        </w:rPr>
        <w:t>pikevax</w:t>
      </w:r>
      <w:proofErr w:type="spellEnd"/>
      <w:r w:rsidRPr="00D005CC">
        <w:rPr>
          <w:b/>
          <w:bCs/>
          <w:i/>
          <w:iCs/>
        </w:rPr>
        <w:t>.</w:t>
      </w:r>
    </w:p>
    <w:p w14:paraId="42116213" w14:textId="77777777" w:rsidR="00971664" w:rsidRPr="00971664" w:rsidRDefault="00971664" w:rsidP="00D005CC">
      <w:r w:rsidRPr="00971664">
        <w:t>The ACV recommended the following underlined modifications to the proposed PI wording for clarity and to align with other COVID-19 mRNA vaccines:</w:t>
      </w:r>
    </w:p>
    <w:p w14:paraId="2FEC3CA2" w14:textId="77777777" w:rsidR="00971664" w:rsidRPr="00971664" w:rsidRDefault="00971664" w:rsidP="00D005CC">
      <w:pPr>
        <w:pStyle w:val="Numberbullet2"/>
        <w:numPr>
          <w:ilvl w:val="0"/>
          <w:numId w:val="0"/>
        </w:numPr>
        <w:ind w:left="851"/>
      </w:pPr>
      <w:r w:rsidRPr="00971664">
        <w:t>Booster Dose</w:t>
      </w:r>
    </w:p>
    <w:p w14:paraId="14DEE281" w14:textId="77777777" w:rsidR="00971664" w:rsidRPr="00971664" w:rsidRDefault="00971664" w:rsidP="00D005CC">
      <w:pPr>
        <w:pStyle w:val="Numberbullet2"/>
        <w:numPr>
          <w:ilvl w:val="0"/>
          <w:numId w:val="0"/>
        </w:numPr>
        <w:ind w:left="851"/>
      </w:pPr>
      <w:r w:rsidRPr="00971664">
        <w:t>Individuals 18 years of age and older</w:t>
      </w:r>
    </w:p>
    <w:p w14:paraId="45A42590" w14:textId="1F5ECE4C" w:rsidR="00971664" w:rsidRPr="00971664" w:rsidRDefault="00971664" w:rsidP="00D005CC">
      <w:pPr>
        <w:pStyle w:val="Numberbullet2"/>
        <w:numPr>
          <w:ilvl w:val="0"/>
          <w:numId w:val="0"/>
        </w:numPr>
        <w:ind w:left="851"/>
      </w:pPr>
      <w:proofErr w:type="spellStart"/>
      <w:r w:rsidRPr="00971664">
        <w:t>S</w:t>
      </w:r>
      <w:r w:rsidR="00510BD9">
        <w:t>pikevax</w:t>
      </w:r>
      <w:proofErr w:type="spellEnd"/>
      <w:r w:rsidRPr="00971664">
        <w:t xml:space="preserve"> is administered intramuscularly as a single booster dose (0.25 mL; 50 micrograms) at least 6 months after completing a primary series.</w:t>
      </w:r>
    </w:p>
    <w:p w14:paraId="4541CFB7" w14:textId="7FD2D4FD" w:rsidR="00971664" w:rsidRPr="00971664" w:rsidRDefault="00971664" w:rsidP="00D005CC">
      <w:pPr>
        <w:pStyle w:val="Numberbullet2"/>
        <w:numPr>
          <w:ilvl w:val="0"/>
          <w:numId w:val="0"/>
        </w:numPr>
        <w:ind w:left="851"/>
      </w:pPr>
      <w:r w:rsidRPr="00971664">
        <w:t xml:space="preserve">The decision when and for whom to implement a booster (third dose) of </w:t>
      </w:r>
      <w:proofErr w:type="spellStart"/>
      <w:r w:rsidRPr="00971664">
        <w:t>S</w:t>
      </w:r>
      <w:r w:rsidR="00510BD9">
        <w:t>pikevax</w:t>
      </w:r>
      <w:proofErr w:type="spellEnd"/>
      <w:r w:rsidRPr="00971664">
        <w:t xml:space="preserve"> should be made based on available vaccine safety and effectiveness data (see sections 4.4 Special warning and precautions for use and 5.1 Pharmacodynamic properties), in accordance with official recommendations.</w:t>
      </w:r>
    </w:p>
    <w:p w14:paraId="08CA877C" w14:textId="77777777" w:rsidR="00971664" w:rsidRPr="00971664" w:rsidRDefault="00971664" w:rsidP="00D005CC">
      <w:pPr>
        <w:pStyle w:val="Numberbullet2"/>
        <w:numPr>
          <w:ilvl w:val="0"/>
          <w:numId w:val="0"/>
        </w:numPr>
        <w:ind w:left="851"/>
      </w:pPr>
      <w:r w:rsidRPr="00971664">
        <w:t>Interchangeability</w:t>
      </w:r>
    </w:p>
    <w:p w14:paraId="5CBC5804" w14:textId="77777777" w:rsidR="00971664" w:rsidRPr="00971664" w:rsidRDefault="00971664" w:rsidP="00D005CC">
      <w:pPr>
        <w:pStyle w:val="Numberbullet2"/>
        <w:numPr>
          <w:ilvl w:val="0"/>
          <w:numId w:val="0"/>
        </w:numPr>
        <w:ind w:left="851"/>
      </w:pPr>
      <w:r w:rsidRPr="00971664">
        <w:t>Primary series</w:t>
      </w:r>
    </w:p>
    <w:p w14:paraId="40898598" w14:textId="241B490A" w:rsidR="00971664" w:rsidRPr="00971664" w:rsidRDefault="00971664" w:rsidP="00D005CC">
      <w:pPr>
        <w:pStyle w:val="Numberbullet2"/>
        <w:numPr>
          <w:ilvl w:val="0"/>
          <w:numId w:val="0"/>
        </w:numPr>
        <w:ind w:left="851"/>
      </w:pPr>
      <w:r w:rsidRPr="00971664">
        <w:t xml:space="preserve">The interchangeability of </w:t>
      </w:r>
      <w:proofErr w:type="spellStart"/>
      <w:r w:rsidRPr="00971664">
        <w:t>S</w:t>
      </w:r>
      <w:r w:rsidR="00510BD9">
        <w:t>pikevax</w:t>
      </w:r>
      <w:proofErr w:type="spellEnd"/>
      <w:r w:rsidRPr="00971664">
        <w:t xml:space="preserve"> with other COVID-19 vaccines to complete the vaccination course has not been established.</w:t>
      </w:r>
    </w:p>
    <w:p w14:paraId="76D6E086" w14:textId="228A7478" w:rsidR="00971664" w:rsidRPr="00971664" w:rsidRDefault="00971664" w:rsidP="00D005CC">
      <w:pPr>
        <w:pStyle w:val="Numberbullet2"/>
        <w:numPr>
          <w:ilvl w:val="0"/>
          <w:numId w:val="0"/>
        </w:numPr>
        <w:ind w:left="851"/>
      </w:pPr>
      <w:r w:rsidRPr="00971664">
        <w:t xml:space="preserve">Individuals who have received one dose of </w:t>
      </w:r>
      <w:proofErr w:type="spellStart"/>
      <w:r w:rsidRPr="00971664">
        <w:t>S</w:t>
      </w:r>
      <w:r w:rsidR="00510BD9">
        <w:t>pikevax</w:t>
      </w:r>
      <w:proofErr w:type="spellEnd"/>
      <w:r w:rsidRPr="00971664">
        <w:t xml:space="preserve"> (0.5 mL, 100 micrograms) should receive the second dose of </w:t>
      </w:r>
      <w:proofErr w:type="spellStart"/>
      <w:r w:rsidRPr="00971664">
        <w:t>S</w:t>
      </w:r>
      <w:r w:rsidR="00510BD9">
        <w:t>pikevax</w:t>
      </w:r>
      <w:proofErr w:type="spellEnd"/>
      <w:r w:rsidRPr="00971664">
        <w:t xml:space="preserve"> (0.5 mL, 100 micrograms) to complete the vaccination course.</w:t>
      </w:r>
    </w:p>
    <w:p w14:paraId="2C705963" w14:textId="77777777" w:rsidR="00971664" w:rsidRPr="00971664" w:rsidRDefault="00971664" w:rsidP="00D005CC">
      <w:pPr>
        <w:pStyle w:val="Numberbullet2"/>
        <w:numPr>
          <w:ilvl w:val="0"/>
          <w:numId w:val="0"/>
        </w:numPr>
        <w:ind w:left="851"/>
      </w:pPr>
      <w:r w:rsidRPr="00971664">
        <w:t>Booster dose</w:t>
      </w:r>
    </w:p>
    <w:p w14:paraId="6D21E33C" w14:textId="12C7702D" w:rsidR="00971664" w:rsidRPr="00971664" w:rsidRDefault="00971664" w:rsidP="00D005CC">
      <w:pPr>
        <w:pStyle w:val="Numberbullet2"/>
        <w:numPr>
          <w:ilvl w:val="0"/>
          <w:numId w:val="0"/>
        </w:numPr>
        <w:ind w:left="851"/>
      </w:pPr>
      <w:r w:rsidRPr="00971664">
        <w:t xml:space="preserve">A single booster dose of </w:t>
      </w:r>
      <w:proofErr w:type="spellStart"/>
      <w:r w:rsidRPr="00971664">
        <w:t>S</w:t>
      </w:r>
      <w:r w:rsidR="00510BD9">
        <w:t>pikevax</w:t>
      </w:r>
      <w:proofErr w:type="spellEnd"/>
      <w:r w:rsidRPr="00971664">
        <w:t xml:space="preserve"> (0.25 mL; 50 micrograms) may be administered as a homologous (same brand) booster dose following completion of primary vaccination with </w:t>
      </w:r>
      <w:proofErr w:type="spellStart"/>
      <w:r w:rsidRPr="00971664">
        <w:t>S</w:t>
      </w:r>
      <w:r w:rsidR="00510BD9">
        <w:t>pikevax</w:t>
      </w:r>
      <w:proofErr w:type="spellEnd"/>
      <w:r w:rsidRPr="00971664">
        <w:t xml:space="preserve"> or as a heterologous booster dose following completion of primary vaccination with another authorised or approved COVID-19 vaccine.</w:t>
      </w:r>
    </w:p>
    <w:p w14:paraId="7E45210A" w14:textId="1CD567B0" w:rsidR="00DC1F0C" w:rsidRPr="00D005CC" w:rsidRDefault="00971664" w:rsidP="00D005CC">
      <w:pPr>
        <w:pStyle w:val="Numberbullet2"/>
        <w:numPr>
          <w:ilvl w:val="0"/>
          <w:numId w:val="0"/>
        </w:numPr>
        <w:ind w:left="851"/>
        <w:rPr>
          <w:strike/>
        </w:rPr>
      </w:pPr>
      <w:r w:rsidRPr="00D005CC">
        <w:rPr>
          <w:strike/>
        </w:rPr>
        <w:t xml:space="preserve">The eligible population(s) and dosing interval for the heterologous booster dose are the same as those authorised for a booster dose of </w:t>
      </w:r>
      <w:proofErr w:type="spellStart"/>
      <w:r w:rsidRPr="00D005CC">
        <w:rPr>
          <w:strike/>
        </w:rPr>
        <w:t>S</w:t>
      </w:r>
      <w:r w:rsidR="00510BD9">
        <w:rPr>
          <w:strike/>
        </w:rPr>
        <w:t>pikevax</w:t>
      </w:r>
      <w:proofErr w:type="spellEnd"/>
      <w:r w:rsidRPr="00D005CC">
        <w:rPr>
          <w:strike/>
        </w:rPr>
        <w:t>.</w:t>
      </w:r>
    </w:p>
    <w:p w14:paraId="54FF4E18" w14:textId="77777777" w:rsidR="00971664" w:rsidRPr="00D005CC" w:rsidRDefault="00971664" w:rsidP="00D005CC">
      <w:pPr>
        <w:pStyle w:val="Numberbullet0"/>
        <w:rPr>
          <w:b/>
          <w:bCs/>
          <w:i/>
          <w:iCs/>
        </w:rPr>
      </w:pPr>
      <w:r w:rsidRPr="00D005CC">
        <w:rPr>
          <w:b/>
          <w:bCs/>
          <w:i/>
          <w:iCs/>
        </w:rPr>
        <w:lastRenderedPageBreak/>
        <w:t>Does the ACV agree that data provided support the PI changes in relation to a third dose for immunocompromised patients at least 28 days after the primary series?</w:t>
      </w:r>
    </w:p>
    <w:p w14:paraId="6163D1C6" w14:textId="77777777" w:rsidR="00971664" w:rsidRPr="00D005CC" w:rsidRDefault="00971664" w:rsidP="00D005CC">
      <w:pPr>
        <w:pStyle w:val="Numberbullet2"/>
        <w:numPr>
          <w:ilvl w:val="0"/>
          <w:numId w:val="0"/>
        </w:numPr>
        <w:ind w:left="851"/>
        <w:rPr>
          <w:b/>
          <w:bCs/>
          <w:i/>
          <w:iCs/>
        </w:rPr>
      </w:pPr>
      <w:r w:rsidRPr="00D005CC">
        <w:rPr>
          <w:b/>
          <w:bCs/>
          <w:i/>
          <w:iCs/>
        </w:rPr>
        <w:t>Immunocompromised individuals</w:t>
      </w:r>
    </w:p>
    <w:p w14:paraId="63DBA886" w14:textId="4EAC7FC3" w:rsidR="00971664" w:rsidRDefault="00971664" w:rsidP="00971664">
      <w:pPr>
        <w:pStyle w:val="Numberbullet2"/>
        <w:numPr>
          <w:ilvl w:val="0"/>
          <w:numId w:val="0"/>
        </w:numPr>
        <w:ind w:left="851"/>
        <w:rPr>
          <w:b/>
          <w:bCs/>
          <w:i/>
          <w:iCs/>
        </w:rPr>
      </w:pPr>
      <w:r w:rsidRPr="00D005CC">
        <w:rPr>
          <w:b/>
          <w:bCs/>
          <w:i/>
          <w:iCs/>
        </w:rPr>
        <w:t xml:space="preserve">A third dose of </w:t>
      </w:r>
      <w:proofErr w:type="spellStart"/>
      <w:r w:rsidRPr="00D005CC">
        <w:rPr>
          <w:b/>
          <w:bCs/>
          <w:i/>
          <w:iCs/>
        </w:rPr>
        <w:t>S</w:t>
      </w:r>
      <w:r w:rsidR="00510BD9">
        <w:rPr>
          <w:b/>
          <w:bCs/>
          <w:i/>
          <w:iCs/>
        </w:rPr>
        <w:t>pikevax</w:t>
      </w:r>
      <w:proofErr w:type="spellEnd"/>
      <w:r w:rsidRPr="00D005CC">
        <w:rPr>
          <w:b/>
          <w:bCs/>
          <w:i/>
          <w:iCs/>
        </w:rPr>
        <w:t xml:space="preserve"> (0.5 mL) administered at least 28 days following the first two doses of this vaccine is authorised for administration to individuals who have undergone solid organ transplantation, or who are diagnosed with conditions that are considered to have an equivalent level of immunocompromise.</w:t>
      </w:r>
    </w:p>
    <w:p w14:paraId="65FC6FC7" w14:textId="77777777" w:rsidR="00971664" w:rsidRPr="00971664" w:rsidRDefault="00971664" w:rsidP="00D005CC">
      <w:r w:rsidRPr="00971664">
        <w:t>The ACV advised that the proposed wording in the PI regarding a third primary dose for immunocompromised patients is appropriate and reflects the evidence from the clinical trial in individuals who have undergone solid organ transplant. The ACV noted that the dose interval between the second and third primary doses was 2 months and noted the limited data in younger immunocompromised individuals. The generalisability of this trial to other individuals at a similar level of immunocompromise is felt to be appropriate.</w:t>
      </w:r>
    </w:p>
    <w:p w14:paraId="49576755" w14:textId="20592007" w:rsidR="00971664" w:rsidRPr="00971664" w:rsidRDefault="00971664" w:rsidP="00D005CC">
      <w:r w:rsidRPr="00971664">
        <w:t xml:space="preserve">The ACV advised that ‘100 </w:t>
      </w:r>
      <w:proofErr w:type="spellStart"/>
      <w:r w:rsidRPr="00971664">
        <w:t>μg</w:t>
      </w:r>
      <w:proofErr w:type="spellEnd"/>
      <w:r w:rsidRPr="00971664">
        <w:t>’ should be added after ‘0.5 mL’ to clearly highlight the different doses between the booster and the primary series.</w:t>
      </w:r>
    </w:p>
    <w:p w14:paraId="1B49E3B7" w14:textId="77777777" w:rsidR="00744121" w:rsidRDefault="00744121" w:rsidP="00744121">
      <w:pPr>
        <w:pStyle w:val="Heading5"/>
      </w:pPr>
      <w:r>
        <w:t>Conclusion</w:t>
      </w:r>
    </w:p>
    <w:p w14:paraId="217CA9D3" w14:textId="6EC5B6DA" w:rsidR="00971664" w:rsidRPr="00971664" w:rsidRDefault="00971664" w:rsidP="00D005CC">
      <w:r w:rsidRPr="00971664">
        <w:t xml:space="preserve">The ACV recommended the approval of changes to the Product Information of </w:t>
      </w:r>
      <w:proofErr w:type="spellStart"/>
      <w:r w:rsidRPr="00971664">
        <w:t>Spikevax</w:t>
      </w:r>
      <w:proofErr w:type="spellEnd"/>
      <w:r w:rsidRPr="00971664">
        <w:t xml:space="preserve"> to include a booster (third) dose for persons 18 years and older, and information on dosage for immunocompromised persons over 12 years of age.</w:t>
      </w:r>
    </w:p>
    <w:p w14:paraId="7168F03F" w14:textId="77777777" w:rsidR="008E7846" w:rsidRPr="002E238E" w:rsidRDefault="008E7846" w:rsidP="008E7846">
      <w:pPr>
        <w:pStyle w:val="Heading3"/>
      </w:pPr>
      <w:bookmarkStart w:id="51" w:name="_Toc89950078"/>
      <w:r>
        <w:t>Outcome</w:t>
      </w:r>
      <w:bookmarkEnd w:id="49"/>
      <w:bookmarkEnd w:id="50"/>
      <w:bookmarkEnd w:id="51"/>
    </w:p>
    <w:p w14:paraId="61D59EC4" w14:textId="577C3629" w:rsidR="00744121" w:rsidRDefault="00744121" w:rsidP="00744121">
      <w:bookmarkStart w:id="52" w:name="_Toc247691533"/>
      <w:bookmarkStart w:id="53" w:name="_Toc314842517"/>
      <w:r>
        <w:t xml:space="preserve">Based on a review of quality, </w:t>
      </w:r>
      <w:proofErr w:type="gramStart"/>
      <w:r>
        <w:t>safety</w:t>
      </w:r>
      <w:proofErr w:type="gramEnd"/>
      <w:r>
        <w:t xml:space="preserve"> and efficacy, the TGA approved the registration of </w:t>
      </w:r>
      <w:proofErr w:type="spellStart"/>
      <w:r w:rsidR="00565FB5">
        <w:t>Spikevax</w:t>
      </w:r>
      <w:proofErr w:type="spellEnd"/>
      <w:r w:rsidRPr="00250271">
        <w:t xml:space="preserve"> (</w:t>
      </w:r>
      <w:proofErr w:type="spellStart"/>
      <w:r w:rsidR="00565FB5">
        <w:t>elasomeran</w:t>
      </w:r>
      <w:proofErr w:type="spellEnd"/>
      <w:r w:rsidRPr="00250271">
        <w:t xml:space="preserve">) </w:t>
      </w:r>
      <w:r w:rsidR="00565FB5">
        <w:t>0.2 mg/mL</w:t>
      </w:r>
      <w:r w:rsidRPr="00250271">
        <w:t xml:space="preserve">, </w:t>
      </w:r>
      <w:r w:rsidR="00565FB5">
        <w:t>suspension for injection</w:t>
      </w:r>
      <w:r>
        <w:t xml:space="preserve">, </w:t>
      </w:r>
      <w:r w:rsidR="00565FB5">
        <w:t>vial</w:t>
      </w:r>
      <w:r>
        <w:t>, indicated for the following extension of indications:</w:t>
      </w:r>
    </w:p>
    <w:p w14:paraId="7F759ADA" w14:textId="540D60B5" w:rsidR="00D509C9" w:rsidRDefault="00D509C9" w:rsidP="00D509C9">
      <w:r>
        <w:t xml:space="preserve">The provisionally approved full indication for the </w:t>
      </w:r>
      <w:r w:rsidR="00510BD9">
        <w:t>n</w:t>
      </w:r>
      <w:r>
        <w:t xml:space="preserve">ew </w:t>
      </w:r>
      <w:proofErr w:type="spellStart"/>
      <w:r>
        <w:t>S</w:t>
      </w:r>
      <w:r w:rsidR="00510BD9">
        <w:t>pikevax</w:t>
      </w:r>
      <w:proofErr w:type="spellEnd"/>
      <w:r>
        <w:t xml:space="preserve"> </w:t>
      </w:r>
      <w:r w:rsidR="00510BD9">
        <w:t>m</w:t>
      </w:r>
      <w:r>
        <w:t xml:space="preserve">edicine, which is unchanged from that for the </w:t>
      </w:r>
      <w:r w:rsidR="00510BD9">
        <w:t>e</w:t>
      </w:r>
      <w:r>
        <w:t xml:space="preserve">xisting </w:t>
      </w:r>
      <w:proofErr w:type="spellStart"/>
      <w:r>
        <w:t>S</w:t>
      </w:r>
      <w:r w:rsidR="00510BD9">
        <w:t>pikevax</w:t>
      </w:r>
      <w:proofErr w:type="spellEnd"/>
      <w:r>
        <w:t xml:space="preserve"> </w:t>
      </w:r>
      <w:r w:rsidR="00510BD9">
        <w:t>m</w:t>
      </w:r>
      <w:r>
        <w:t>edicine is:</w:t>
      </w:r>
    </w:p>
    <w:p w14:paraId="3400B541" w14:textId="35874F8F" w:rsidR="00D509C9" w:rsidRPr="00D005CC" w:rsidRDefault="00D509C9" w:rsidP="00D005CC">
      <w:pPr>
        <w:ind w:left="720"/>
        <w:rPr>
          <w:i/>
          <w:iCs/>
        </w:rPr>
      </w:pPr>
      <w:proofErr w:type="spellStart"/>
      <w:r w:rsidRPr="00D005CC">
        <w:rPr>
          <w:i/>
          <w:iCs/>
        </w:rPr>
        <w:t>S</w:t>
      </w:r>
      <w:r w:rsidR="00510BD9">
        <w:rPr>
          <w:i/>
          <w:iCs/>
        </w:rPr>
        <w:t>pikevax</w:t>
      </w:r>
      <w:proofErr w:type="spellEnd"/>
      <w:r w:rsidRPr="00D005CC">
        <w:rPr>
          <w:i/>
          <w:iCs/>
        </w:rPr>
        <w:t xml:space="preserve"> (</w:t>
      </w:r>
      <w:proofErr w:type="spellStart"/>
      <w:r w:rsidRPr="00D005CC">
        <w:rPr>
          <w:i/>
          <w:iCs/>
        </w:rPr>
        <w:t>elasomeran</w:t>
      </w:r>
      <w:proofErr w:type="spellEnd"/>
      <w:r w:rsidRPr="00D005CC">
        <w:rPr>
          <w:i/>
          <w:iCs/>
        </w:rPr>
        <w:t>) COVID-19 Vaccine has provisional approval for the indication below:</w:t>
      </w:r>
    </w:p>
    <w:p w14:paraId="2ACAEBCC" w14:textId="2DECD9DB" w:rsidR="00D509C9" w:rsidRPr="00D005CC" w:rsidRDefault="00D509C9" w:rsidP="00D005CC">
      <w:pPr>
        <w:ind w:left="720"/>
        <w:rPr>
          <w:i/>
          <w:iCs/>
        </w:rPr>
      </w:pPr>
      <w:r w:rsidRPr="00D005CC">
        <w:rPr>
          <w:i/>
          <w:iCs/>
        </w:rPr>
        <w:t>Active immunisation to prevent coronavirus disease 2019 (COVID-19) caused by SARS-CoV-2 in individuals 12 years of age and older.</w:t>
      </w:r>
    </w:p>
    <w:p w14:paraId="7954DB8C" w14:textId="77777777" w:rsidR="00D005CC" w:rsidRPr="00D005CC" w:rsidRDefault="00D509C9" w:rsidP="00D005CC">
      <w:pPr>
        <w:pStyle w:val="Instructions"/>
        <w:ind w:left="720"/>
        <w:rPr>
          <w:iCs/>
          <w:color w:val="auto"/>
        </w:rPr>
      </w:pPr>
      <w:r w:rsidRPr="00D005CC">
        <w:rPr>
          <w:iCs/>
          <w:color w:val="auto"/>
        </w:rPr>
        <w:t xml:space="preserve">The use of this vaccine should be in accordance with official recommendations. </w:t>
      </w:r>
    </w:p>
    <w:p w14:paraId="18EAA2C4" w14:textId="52329397" w:rsidR="007D53B6" w:rsidRPr="00D005CC" w:rsidRDefault="00D509C9" w:rsidP="00D005CC">
      <w:pPr>
        <w:pStyle w:val="Instructions"/>
        <w:ind w:left="720"/>
        <w:rPr>
          <w:color w:val="auto"/>
        </w:rPr>
      </w:pPr>
      <w:r w:rsidRPr="00D005CC">
        <w:rPr>
          <w:iCs/>
          <w:color w:val="auto"/>
        </w:rPr>
        <w:t xml:space="preserve">The decision has been made </w:t>
      </w:r>
      <w:proofErr w:type="gramStart"/>
      <w:r w:rsidRPr="00D005CC">
        <w:rPr>
          <w:iCs/>
          <w:color w:val="auto"/>
        </w:rPr>
        <w:t>on the basis of</w:t>
      </w:r>
      <w:proofErr w:type="gramEnd"/>
      <w:r w:rsidRPr="00D005CC">
        <w:rPr>
          <w:iCs/>
          <w:color w:val="auto"/>
        </w:rPr>
        <w:t xml:space="preserve"> short-term efficacy and safety data. Continued approval depends on the evidence of </w:t>
      </w:r>
      <w:proofErr w:type="gramStart"/>
      <w:r w:rsidRPr="00D005CC">
        <w:rPr>
          <w:iCs/>
          <w:color w:val="auto"/>
        </w:rPr>
        <w:t>longer term</w:t>
      </w:r>
      <w:proofErr w:type="gramEnd"/>
      <w:r w:rsidRPr="00D005CC">
        <w:rPr>
          <w:iCs/>
          <w:color w:val="auto"/>
        </w:rPr>
        <w:t xml:space="preserve"> efficacy and safety from ongoing clinical trials and post-market assessment. </w:t>
      </w:r>
    </w:p>
    <w:p w14:paraId="6A022EC7" w14:textId="77777777" w:rsidR="00D23139" w:rsidRPr="00D23139" w:rsidRDefault="00D23139" w:rsidP="00D23139">
      <w:pPr>
        <w:pStyle w:val="Heading4"/>
      </w:pPr>
      <w:r w:rsidRPr="00D23139">
        <w:t>Specific conditions of registration applying to these goods</w:t>
      </w:r>
    </w:p>
    <w:p w14:paraId="33D163A4" w14:textId="114BBC5F" w:rsidR="00D509C9" w:rsidRDefault="00D509C9" w:rsidP="00D4350E">
      <w:pPr>
        <w:pStyle w:val="ListBullet"/>
      </w:pPr>
      <w:proofErr w:type="spellStart"/>
      <w:r>
        <w:t>Spikevax</w:t>
      </w:r>
      <w:proofErr w:type="spellEnd"/>
      <w:r>
        <w:t xml:space="preserve"> (</w:t>
      </w:r>
      <w:proofErr w:type="spellStart"/>
      <w:r>
        <w:t>elasomeran</w:t>
      </w:r>
      <w:proofErr w:type="spellEnd"/>
      <w:r>
        <w:t xml:space="preserve">) COVID-19 vaccine is to be included in the Black Triangle Scheme. The PI and CMI for </w:t>
      </w:r>
      <w:proofErr w:type="spellStart"/>
      <w:r>
        <w:t>Spikevax</w:t>
      </w:r>
      <w:proofErr w:type="spellEnd"/>
      <w:r>
        <w:t xml:space="preserve"> must include the </w:t>
      </w:r>
      <w:r w:rsidR="00D4350E">
        <w:t>B</w:t>
      </w:r>
      <w:r>
        <w:t>lack triangle symbol and mandatory accompanying text for the entire period of provisional registration.</w:t>
      </w:r>
    </w:p>
    <w:p w14:paraId="02E84733" w14:textId="4A1586D4" w:rsidR="00D509C9" w:rsidRDefault="00D509C9" w:rsidP="00D4350E">
      <w:pPr>
        <w:pStyle w:val="ListBullet"/>
      </w:pPr>
      <w:r>
        <w:t xml:space="preserve">The </w:t>
      </w:r>
      <w:proofErr w:type="spellStart"/>
      <w:r>
        <w:t>Spikevax</w:t>
      </w:r>
      <w:proofErr w:type="spellEnd"/>
      <w:r>
        <w:t xml:space="preserve"> European Union (EU)-Risk Management Plan (RMP) (version 2.3, date 28 October 2021; DLP 30 June 2021), with Australian Specific Annex (version 1.1, 5 November 2021), included with submission PM-2021-05131-1-2, and any subsequent revisions, as agreed with the TGA will be implemented in Australia. </w:t>
      </w:r>
    </w:p>
    <w:p w14:paraId="240020FB" w14:textId="77777777" w:rsidR="00D509C9" w:rsidRDefault="00D509C9" w:rsidP="00D4350E">
      <w:pPr>
        <w:ind w:left="360"/>
      </w:pPr>
      <w:r>
        <w:lastRenderedPageBreak/>
        <w:t>An obligatory component of risk management plans is routine pharmacovigilance. Routine pharmacovigilance includes the submission of periodic safety update reports (PSURs).</w:t>
      </w:r>
    </w:p>
    <w:p w14:paraId="33FE1288" w14:textId="77777777" w:rsidR="00D509C9" w:rsidRDefault="00D509C9" w:rsidP="00D4350E">
      <w:pPr>
        <w:ind w:left="360"/>
      </w:pPr>
      <w:r>
        <w:t>Reports are to be provided in line with the current published list of EU reference dates and frequency of submission of PSURs until the period covered by such reports is not less than three years from the date of this approval letter, or the entire period of provisional registration, whichever is longer.</w:t>
      </w:r>
    </w:p>
    <w:p w14:paraId="3519B19D" w14:textId="77777777" w:rsidR="00D509C9" w:rsidRDefault="00D509C9" w:rsidP="00D4350E">
      <w:pPr>
        <w:ind w:left="360"/>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35BFB571" w14:textId="77777777" w:rsidR="00D509C9" w:rsidRDefault="00D509C9" w:rsidP="00D4350E">
      <w:pPr>
        <w:ind w:left="360"/>
      </w:pPr>
      <w:r>
        <w:t xml:space="preserve">Additional to the routine submission of the routine PSURs, expedited monthly, </w:t>
      </w:r>
      <w:proofErr w:type="spellStart"/>
      <w:r>
        <w:t>Spikevax</w:t>
      </w:r>
      <w:proofErr w:type="spellEnd"/>
      <w:r>
        <w:t xml:space="preserve"> safety summary reports (including safety data for patients in Australia) are to be provided for the first 6 months post registration, and thereafter at intervals specified by the TGA.</w:t>
      </w:r>
    </w:p>
    <w:p w14:paraId="16A08EFD" w14:textId="20EDB347" w:rsidR="00D509C9" w:rsidRDefault="00D509C9" w:rsidP="00D4350E">
      <w:pPr>
        <w:pStyle w:val="ListBullet"/>
      </w:pPr>
      <w:r>
        <w:t>Clinical</w:t>
      </w:r>
    </w:p>
    <w:p w14:paraId="289A38B5" w14:textId="77777777" w:rsidR="00D509C9" w:rsidRDefault="00D509C9" w:rsidP="00D4350E">
      <w:pPr>
        <w:ind w:firstLine="360"/>
      </w:pPr>
      <w:r>
        <w:t>Existing Conditions for adolescent data</w:t>
      </w:r>
    </w:p>
    <w:p w14:paraId="3F7E4574" w14:textId="77777777" w:rsidR="00D509C9" w:rsidRDefault="00D509C9" w:rsidP="00D4350E">
      <w:pPr>
        <w:ind w:left="360"/>
      </w:pPr>
      <w:r>
        <w:t>The following reports/data will have to be submitted before a definitive authorisation can be considered:</w:t>
      </w:r>
    </w:p>
    <w:p w14:paraId="6A3B5AD7" w14:textId="3EA96C89" w:rsidR="00D509C9" w:rsidRDefault="00D4350E" w:rsidP="00D4350E">
      <w:pPr>
        <w:pStyle w:val="ListBullet2"/>
      </w:pPr>
      <w:r>
        <w:t>S</w:t>
      </w:r>
      <w:r w:rsidR="00D509C9">
        <w:t>ubmit safety data for all adolescents 12 to</w:t>
      </w:r>
      <w:r>
        <w:t xml:space="preserve"> </w:t>
      </w:r>
      <w:r w:rsidR="00D509C9">
        <w:t xml:space="preserve">17 years of age in </w:t>
      </w:r>
      <w:r w:rsidR="00F83149">
        <w:t>S</w:t>
      </w:r>
      <w:r w:rsidR="00D509C9">
        <w:t>tudy P203, 6</w:t>
      </w:r>
      <w:r>
        <w:t xml:space="preserve"> </w:t>
      </w:r>
      <w:r w:rsidR="00D509C9">
        <w:t>months post Dose 2, when the data become available.</w:t>
      </w:r>
    </w:p>
    <w:p w14:paraId="0218D2EF" w14:textId="784B5BF9" w:rsidR="00D509C9" w:rsidRDefault="00D4350E" w:rsidP="00D4350E">
      <w:pPr>
        <w:pStyle w:val="ListBullet2"/>
      </w:pPr>
      <w:r>
        <w:t>S</w:t>
      </w:r>
      <w:r w:rsidR="00D509C9">
        <w:t>ubmit clinical study report of Study P203 (interim and final), including data up to 24 months after Dose 2 in adolescents 12 to17 years of age, when the data become available.</w:t>
      </w:r>
    </w:p>
    <w:p w14:paraId="0D60D2B9" w14:textId="7FEBC94F" w:rsidR="00D509C9" w:rsidRDefault="00D4350E" w:rsidP="00D4350E">
      <w:pPr>
        <w:pStyle w:val="ListBullet2"/>
      </w:pPr>
      <w:r>
        <w:t>S</w:t>
      </w:r>
      <w:r w:rsidR="00D509C9">
        <w:t>ubmit safety data in relation to follow-up at 6 months post</w:t>
      </w:r>
      <w:r>
        <w:t xml:space="preserve"> </w:t>
      </w:r>
      <w:r w:rsidR="00D509C9">
        <w:t xml:space="preserve">Dose 2 for all original </w:t>
      </w:r>
      <w:proofErr w:type="spellStart"/>
      <w:r w:rsidR="00D509C9">
        <w:t>Spikevax</w:t>
      </w:r>
      <w:proofErr w:type="spellEnd"/>
      <w:r w:rsidR="00D509C9">
        <w:t xml:space="preserve"> recipients and at 6 months post</w:t>
      </w:r>
      <w:r>
        <w:t xml:space="preserve"> </w:t>
      </w:r>
      <w:r w:rsidR="00D509C9">
        <w:t xml:space="preserve">Dose 4 for original placebo recipients subsequently vaccinated with </w:t>
      </w:r>
      <w:proofErr w:type="spellStart"/>
      <w:r w:rsidR="00D509C9">
        <w:t>Spikevax</w:t>
      </w:r>
      <w:proofErr w:type="spellEnd"/>
      <w:r w:rsidR="00D509C9">
        <w:t>, when the analysis is available.</w:t>
      </w:r>
    </w:p>
    <w:p w14:paraId="5680CA04" w14:textId="77777777" w:rsidR="00D509C9" w:rsidRDefault="00D509C9" w:rsidP="00D4350E">
      <w:pPr>
        <w:ind w:firstLine="360"/>
      </w:pPr>
      <w:r>
        <w:t>Existing Conditions for adult data</w:t>
      </w:r>
    </w:p>
    <w:p w14:paraId="25D2DEE3" w14:textId="77777777" w:rsidR="00D509C9" w:rsidRDefault="00D509C9" w:rsidP="00D4350E">
      <w:pPr>
        <w:ind w:left="360"/>
      </w:pPr>
      <w:r>
        <w:t>The following reports/data will have to be submitted before a definitive authorisation can be considered:</w:t>
      </w:r>
    </w:p>
    <w:p w14:paraId="25BD5F5E" w14:textId="1563B649" w:rsidR="00D509C9" w:rsidRDefault="00D4350E" w:rsidP="00D4350E">
      <w:pPr>
        <w:pStyle w:val="ListBullet2"/>
      </w:pPr>
      <w:r>
        <w:t>S</w:t>
      </w:r>
      <w:r w:rsidR="00D509C9">
        <w:t>ubmit safety analysis at 6 months post Dose 2 from Study Phase 1 and, 2 Study when the analysis is available.</w:t>
      </w:r>
    </w:p>
    <w:p w14:paraId="6D0055C3" w14:textId="5045BE08" w:rsidR="00D509C9" w:rsidRDefault="00D4350E" w:rsidP="00D4350E">
      <w:pPr>
        <w:pStyle w:val="ListBullet2"/>
      </w:pPr>
      <w:r>
        <w:t>S</w:t>
      </w:r>
      <w:r w:rsidR="00D509C9">
        <w:t>ubmit the clinical study report for Study P301 (Phase 3) and Study P201 (Phase 2) when ready. Please also submit the final report for these studies with 24 months follow up duration when it became available.</w:t>
      </w:r>
    </w:p>
    <w:p w14:paraId="40E71805" w14:textId="726EAD33" w:rsidR="00D509C9" w:rsidRDefault="00D4350E" w:rsidP="00D4350E">
      <w:pPr>
        <w:pStyle w:val="ListBullet2"/>
      </w:pPr>
      <w:r>
        <w:t>Su</w:t>
      </w:r>
      <w:r w:rsidR="00D509C9">
        <w:t>bmit the immunogenicity data for Study 301.</w:t>
      </w:r>
    </w:p>
    <w:p w14:paraId="7C914D28" w14:textId="4FC36421" w:rsidR="00D509C9" w:rsidRDefault="00D509C9" w:rsidP="00D4350E">
      <w:pPr>
        <w:pStyle w:val="ListBullet"/>
      </w:pPr>
      <w:r>
        <w:t>When available, the sponsor to please provide:</w:t>
      </w:r>
    </w:p>
    <w:p w14:paraId="6D49F376" w14:textId="12D7901F" w:rsidR="00D509C9" w:rsidRDefault="00D509C9" w:rsidP="00D4350E">
      <w:pPr>
        <w:pStyle w:val="ListBullet2"/>
      </w:pPr>
      <w:r>
        <w:t>Further data relating to vaccine efficacy against asymptomatic disease, efficacy against SARS-CoV-2 transmission, vaccine efficacy in immunocompromised subjects, efficacy in subjects with autoimmune conditions, efficacy against variants of concern, pregnant women, lactating mothers, and information relating to post-market safety and effectiveness studies should be provided to the TGA to update the Product information.</w:t>
      </w:r>
    </w:p>
    <w:p w14:paraId="490DE07D" w14:textId="7BB0862F" w:rsidR="00D509C9" w:rsidRDefault="00D4350E" w:rsidP="00D4350E">
      <w:pPr>
        <w:pStyle w:val="ListBullet2"/>
      </w:pPr>
      <w:r>
        <w:t>P</w:t>
      </w:r>
      <w:r w:rsidR="00D509C9">
        <w:t>lease also provide Real world post market global/local efficacy data, when available.</w:t>
      </w:r>
    </w:p>
    <w:p w14:paraId="72FA2F72" w14:textId="77777777" w:rsidR="00D4350E" w:rsidRDefault="00D509C9" w:rsidP="00D509C9">
      <w:pPr>
        <w:pStyle w:val="ListBullet"/>
      </w:pPr>
      <w:r>
        <w:lastRenderedPageBreak/>
        <w:t>Confirmatory trial data (as identified in the sponsor’s plan to submit comprehensive clinical data on the safety and efficacy of the medicine before the end of the 6 years that would start on the day that registration would commence) must be provided.</w:t>
      </w:r>
    </w:p>
    <w:p w14:paraId="62AFCA5D" w14:textId="099D4F5C" w:rsidR="00D509C9" w:rsidRDefault="00D4350E" w:rsidP="00D4350E">
      <w:pPr>
        <w:pStyle w:val="ListBullet"/>
        <w:numPr>
          <w:ilvl w:val="0"/>
          <w:numId w:val="0"/>
        </w:numPr>
        <w:ind w:left="360"/>
      </w:pPr>
      <w:r>
        <w:t>F</w:t>
      </w:r>
      <w:r w:rsidR="00D509C9">
        <w:t>urther guidance for sponsors is available on the TGA website.</w:t>
      </w:r>
    </w:p>
    <w:p w14:paraId="0CF34973" w14:textId="71AED282" w:rsidR="00D509C9" w:rsidRDefault="00D509C9" w:rsidP="00D4350E">
      <w:pPr>
        <w:pStyle w:val="ListBullet"/>
      </w:pPr>
      <w:r>
        <w:t>Quality</w:t>
      </w:r>
    </w:p>
    <w:p w14:paraId="6C557753" w14:textId="77777777" w:rsidR="00D509C9" w:rsidRDefault="00D509C9" w:rsidP="00D4350E">
      <w:pPr>
        <w:ind w:left="360"/>
      </w:pPr>
      <w:r>
        <w:t>Batch release testing and compliance</w:t>
      </w:r>
    </w:p>
    <w:p w14:paraId="25CF8DFC" w14:textId="77777777" w:rsidR="00D509C9" w:rsidRDefault="00D509C9" w:rsidP="00D4350E">
      <w:pPr>
        <w:ind w:left="360"/>
      </w:pPr>
      <w:r>
        <w:t xml:space="preserve">Batch release testing and compliance with the certified product details conditions of provisional registration for </w:t>
      </w:r>
      <w:proofErr w:type="spellStart"/>
      <w:r>
        <w:t>Spikevax</w:t>
      </w:r>
      <w:proofErr w:type="spellEnd"/>
    </w:p>
    <w:p w14:paraId="2686C681" w14:textId="5828AF87" w:rsidR="00D509C9" w:rsidRDefault="00D509C9" w:rsidP="00D4350E">
      <w:pPr>
        <w:pStyle w:val="ListBullet2"/>
      </w:pPr>
      <w:r>
        <w:t xml:space="preserve">It is a condition of registration that all independent batches of </w:t>
      </w:r>
      <w:proofErr w:type="spellStart"/>
      <w:r>
        <w:t>S</w:t>
      </w:r>
      <w:r w:rsidR="00ED2004">
        <w:t>pikevax</w:t>
      </w:r>
      <w:proofErr w:type="spellEnd"/>
      <w:r>
        <w:t xml:space="preserve"> </w:t>
      </w:r>
      <w:proofErr w:type="spellStart"/>
      <w:r>
        <w:t>elasomeran</w:t>
      </w:r>
      <w:proofErr w:type="spellEnd"/>
      <w:r>
        <w:t xml:space="preserve"> COVID-19 VACCINE 0.2 mg/mL suspension for injection vial imported into Australia are not released for supply by or on behalf of the sponsor until samples and the manufacturer’s release data have been assessed and you have received notification acknowledging release from the Laboratories Branch, TGA.</w:t>
      </w:r>
    </w:p>
    <w:p w14:paraId="1B7A010E" w14:textId="2377027E" w:rsidR="00D509C9" w:rsidRDefault="00D509C9" w:rsidP="00D4350E">
      <w:pPr>
        <w:pStyle w:val="ListBullet2"/>
      </w:pPr>
      <w:r>
        <w:t xml:space="preserve">For each independent batch of the product imported into Australia, the </w:t>
      </w:r>
      <w:r w:rsidR="00D4350E">
        <w:t>s</w:t>
      </w:r>
      <w:r>
        <w:t>ponsor must supply the following:</w:t>
      </w:r>
    </w:p>
    <w:p w14:paraId="328746C9" w14:textId="77126603" w:rsidR="00D509C9" w:rsidRDefault="00D509C9" w:rsidP="00D4350E">
      <w:pPr>
        <w:pStyle w:val="ListBullet2"/>
      </w:pPr>
      <w:r>
        <w:t>A completed Request for Release Form, available from vaccines@health.gov.au.</w:t>
      </w:r>
    </w:p>
    <w:p w14:paraId="0AB3588D" w14:textId="1A45D200" w:rsidR="00D509C9" w:rsidRDefault="00D509C9" w:rsidP="00D4350E">
      <w:pPr>
        <w:pStyle w:val="ListBullet2"/>
      </w:pPr>
      <w:r>
        <w:t>Complete summary protocols for manufacture and QC, including all steps in production in the agreed format.</w:t>
      </w:r>
    </w:p>
    <w:p w14:paraId="1D58D04C" w14:textId="07E5D80E" w:rsidR="00D509C9" w:rsidRDefault="00D509C9" w:rsidP="00D4350E">
      <w:pPr>
        <w:pStyle w:val="ListBullet2"/>
      </w:pPr>
      <w:r>
        <w:t xml:space="preserve">At least 10 (ten) vials (Samples) of each manufacturing batch of </w:t>
      </w:r>
      <w:proofErr w:type="spellStart"/>
      <w:r>
        <w:t>S</w:t>
      </w:r>
      <w:r w:rsidR="00ED2004">
        <w:t>pikevax</w:t>
      </w:r>
      <w:proofErr w:type="spellEnd"/>
      <w:r w:rsidR="00ED2004">
        <w:t xml:space="preserve"> </w:t>
      </w:r>
      <w:proofErr w:type="spellStart"/>
      <w:r>
        <w:t>elasomeran</w:t>
      </w:r>
      <w:proofErr w:type="spellEnd"/>
      <w:r>
        <w:t xml:space="preserve"> 0.2 mg/mL suspension for injection vial with the Australian approved labels, PI and packaging (unless an exemption to supply these has been granted) representative of all batches of product seeking distribution in Australia.</w:t>
      </w:r>
    </w:p>
    <w:p w14:paraId="733BBA7D" w14:textId="53C9894C" w:rsidR="00D509C9" w:rsidRDefault="00D509C9" w:rsidP="00D4350E">
      <w:pPr>
        <w:pStyle w:val="ListBullet2"/>
      </w:pPr>
      <w:r>
        <w:t xml:space="preserve">At least 5 (five) vials (Samples) of any further consignments of a manufacturing batch of </w:t>
      </w:r>
      <w:proofErr w:type="spellStart"/>
      <w:r>
        <w:t>S</w:t>
      </w:r>
      <w:r w:rsidR="00ED2004">
        <w:t>pikevax</w:t>
      </w:r>
      <w:proofErr w:type="spellEnd"/>
      <w:r>
        <w:t xml:space="preserve"> </w:t>
      </w:r>
      <w:proofErr w:type="spellStart"/>
      <w:r>
        <w:t>elasomeran</w:t>
      </w:r>
      <w:proofErr w:type="spellEnd"/>
      <w:r>
        <w:t xml:space="preserve"> 0.2 mg/mL suspension for injection vial with the Australian approved labels, </w:t>
      </w:r>
      <w:proofErr w:type="gramStart"/>
      <w:r>
        <w:t>PI</w:t>
      </w:r>
      <w:proofErr w:type="gramEnd"/>
      <w:r>
        <w:t xml:space="preserve"> and packaging (unless an exemption to supply these has been granted). Further consignments cover batches previously supplied to TGA for the purposes of batch release testing but are seeking to be supplied again.</w:t>
      </w:r>
    </w:p>
    <w:p w14:paraId="556E472B" w14:textId="77E02E52" w:rsidR="00D509C9" w:rsidRDefault="00D509C9" w:rsidP="00D4350E">
      <w:pPr>
        <w:pStyle w:val="ListBullet2"/>
      </w:pPr>
      <w:r>
        <w:t>If the manufacturing batch has been released in Europe or United Kingdom a copy of the EU Official Control Authority Batch Release (OCABR) certificate (or equivalent from the UK) must be provided.</w:t>
      </w:r>
    </w:p>
    <w:p w14:paraId="02AD1CE8" w14:textId="242D47E3" w:rsidR="00D509C9" w:rsidRDefault="00D509C9" w:rsidP="00D4350E">
      <w:pPr>
        <w:pStyle w:val="ListBullet2"/>
      </w:pPr>
      <w:r>
        <w:t>Any reagents, reference material and standards required to undertake testing, as requested by Laboratories Branch, TGA.</w:t>
      </w:r>
    </w:p>
    <w:p w14:paraId="463AB36B" w14:textId="6E3F7778" w:rsidR="00D509C9" w:rsidRDefault="00D509C9" w:rsidP="00D4350E">
      <w:pPr>
        <w:pStyle w:val="ListBullet2"/>
      </w:pPr>
      <w:r>
        <w:t xml:space="preserve">The sponsors must provide all requested </w:t>
      </w:r>
      <w:r w:rsidR="00F83149">
        <w:t>s</w:t>
      </w:r>
      <w:r>
        <w:t>amples and data in sufficient time (at least 5 business days) prior to any distribution date to allow the TGA to perform testing and review. Distribution of each batch of vaccine is conditional upon fulfilment of these conditions and receipt of a letter from the Laboratories Branch acknowledging release.</w:t>
      </w:r>
    </w:p>
    <w:p w14:paraId="5501E01F" w14:textId="5921AF77" w:rsidR="00D509C9" w:rsidRDefault="00D509C9" w:rsidP="00D4350E">
      <w:pPr>
        <w:pStyle w:val="ListBullet2"/>
      </w:pPr>
      <w:r>
        <w:t>Samples and data should be forwarded to the Biotherapeutics Section, Laboratories Branch before release of each batch and with sufficient lead time to allow for Laboratories Branch testing. The address for courier delivery is:</w:t>
      </w:r>
    </w:p>
    <w:p w14:paraId="3F17DEA2" w14:textId="77777777" w:rsidR="00D509C9" w:rsidRDefault="00D509C9" w:rsidP="00D4350E">
      <w:pPr>
        <w:ind w:left="360"/>
      </w:pPr>
      <w:r>
        <w:t>Certified Product Details</w:t>
      </w:r>
    </w:p>
    <w:p w14:paraId="11C4D54E" w14:textId="77777777" w:rsidR="00D509C9" w:rsidRDefault="00D509C9" w:rsidP="00D4350E">
      <w:pPr>
        <w:ind w:left="360"/>
      </w:pPr>
      <w:r>
        <w:t xml:space="preserve">An electronic copy of the Certified Product Details (CPD) as described in Guidance 7: Certified Product Details of the Australian Regulatory Guidelines for Prescription Medicines (ARGPM) https://www.tga.gov.au/guidance-7-certified-product-details should be provided upon registration of the therapeutic good. In addition, an updated CPD, for the above products incorporating the approved changes is to be provided within one month of the date of approval letter. A template for preparation of CPD for </w:t>
      </w:r>
      <w:r>
        <w:lastRenderedPageBreak/>
        <w:t>biological prescription medicines and Vaccines can be obtained from the TGA website https://www.tga.gov.au/form/certified-product-details-cpd-biological-prescriptionmedicines]. The CPD should be sent as a single bookmarked PDF document to Vaccines@health.gov.au as soon as possible after registration/approval of the product or any subsequent changes as indicated above.</w:t>
      </w:r>
    </w:p>
    <w:p w14:paraId="7A56120B" w14:textId="6D4D6449" w:rsidR="00456765" w:rsidRDefault="00D509C9" w:rsidP="00D4350E">
      <w:pPr>
        <w:pStyle w:val="ListBullet"/>
      </w:pPr>
      <w:r>
        <w:t>For all injectable products the PI must be included with the product as a package insert.</w:t>
      </w:r>
    </w:p>
    <w:p w14:paraId="0796BCC2" w14:textId="77777777" w:rsidR="008E7846" w:rsidRDefault="00A80B5B" w:rsidP="00D23139">
      <w:pPr>
        <w:pStyle w:val="Heading2"/>
      </w:pPr>
      <w:bookmarkStart w:id="54" w:name="_Toc89950079"/>
      <w:r>
        <w:t xml:space="preserve">Attachment 1. </w:t>
      </w:r>
      <w:r w:rsidR="008E7846">
        <w:t xml:space="preserve">Product </w:t>
      </w:r>
      <w:r w:rsidR="00AA0ED0">
        <w:t>I</w:t>
      </w:r>
      <w:r w:rsidR="008E7846">
        <w:t>nformation</w:t>
      </w:r>
      <w:bookmarkEnd w:id="52"/>
      <w:bookmarkEnd w:id="53"/>
      <w:bookmarkEnd w:id="54"/>
    </w:p>
    <w:p w14:paraId="3CD40823" w14:textId="2A8A20F8" w:rsidR="00C80137" w:rsidRDefault="006136D7" w:rsidP="00C80137">
      <w:pPr>
        <w:rPr>
          <w:color w:val="000000"/>
          <w:lang w:eastAsia="en-AU"/>
        </w:rPr>
      </w:pPr>
      <w:r w:rsidRPr="002B3624">
        <w:t xml:space="preserve">The </w:t>
      </w:r>
      <w:r>
        <w:t>PI</w:t>
      </w:r>
      <w:r w:rsidRPr="002B3624">
        <w:t xml:space="preserve"> for </w:t>
      </w:r>
      <w:proofErr w:type="spellStart"/>
      <w:r w:rsidR="00684799">
        <w:t>Spikevax</w:t>
      </w:r>
      <w:proofErr w:type="spellEnd"/>
      <w:r w:rsidR="00684799">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 For the most recent </w:t>
      </w:r>
      <w:r>
        <w:t>PI,</w:t>
      </w:r>
      <w:r w:rsidRPr="002B3624">
        <w:t xml:space="preserve"> please refer to the </w:t>
      </w:r>
      <w:r w:rsidRPr="007C6B9B">
        <w:t xml:space="preserve">TGA website at </w:t>
      </w:r>
      <w:r w:rsidR="007C6B9B" w:rsidRPr="007C6B9B">
        <w:t>&lt;</w:t>
      </w:r>
      <w:hyperlink r:id="rId48" w:history="1">
        <w:r w:rsidR="007C6B9B" w:rsidRPr="007C6B9B">
          <w:rPr>
            <w:rStyle w:val="Hyperlink"/>
          </w:rPr>
          <w:t>https://www.tga.gov.au/product-information-pi</w:t>
        </w:r>
      </w:hyperlink>
      <w:r w:rsidR="007C6B9B" w:rsidRPr="007C6B9B">
        <w:t xml:space="preserve">&gt;. </w:t>
      </w:r>
    </w:p>
    <w:p w14:paraId="58CC2DDA" w14:textId="0718BEB4" w:rsidR="00C80137" w:rsidRPr="001D043B" w:rsidRDefault="008E7846" w:rsidP="003A7F6C">
      <w:pPr>
        <w:pStyle w:val="TableTitle"/>
        <w:sectPr w:rsidR="00C80137" w:rsidRPr="001D043B" w:rsidSect="00B452CE">
          <w:headerReference w:type="even" r:id="rId49"/>
          <w:headerReference w:type="default" r:id="rId50"/>
          <w:headerReference w:type="first" r:id="rId51"/>
          <w:footerReference w:type="first" r:id="rId52"/>
          <w:pgSz w:w="11906" w:h="16838" w:code="9"/>
          <w:pgMar w:top="834" w:right="1701" w:bottom="1191" w:left="1701" w:header="907" w:footer="216" w:gutter="0"/>
          <w:cols w:space="708"/>
          <w:docGrid w:linePitch="360"/>
        </w:sectPr>
      </w:pPr>
      <w:r w:rsidRPr="00C80137">
        <w:rPr>
          <w:b w:val="0"/>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464DC063" w14:textId="77777777" w:rsidTr="00A05FA4">
        <w:trPr>
          <w:trHeight w:hRule="exact" w:val="704"/>
        </w:trPr>
        <w:tc>
          <w:tcPr>
            <w:tcW w:w="9175" w:type="dxa"/>
          </w:tcPr>
          <w:p w14:paraId="2C07E7A0" w14:textId="77777777" w:rsidR="001C32CD" w:rsidRPr="00487162" w:rsidRDefault="001C32CD" w:rsidP="00A05FA4">
            <w:pPr>
              <w:pStyle w:val="TGASignoff"/>
            </w:pPr>
            <w:r w:rsidRPr="00487162">
              <w:lastRenderedPageBreak/>
              <w:t>Therapeutic Goods Administration</w:t>
            </w:r>
          </w:p>
        </w:tc>
      </w:tr>
      <w:tr w:rsidR="001C32CD" w:rsidRPr="004C239D" w14:paraId="4DF2936F" w14:textId="77777777" w:rsidTr="00A05FA4">
        <w:trPr>
          <w:trHeight w:val="1221"/>
        </w:trPr>
        <w:tc>
          <w:tcPr>
            <w:tcW w:w="9175" w:type="dxa"/>
            <w:tcMar>
              <w:top w:w="28" w:type="dxa"/>
            </w:tcMar>
          </w:tcPr>
          <w:p w14:paraId="2FDA78F2" w14:textId="77777777" w:rsidR="001C32CD" w:rsidRPr="00487162" w:rsidRDefault="001C32CD" w:rsidP="00A05FA4">
            <w:pPr>
              <w:pStyle w:val="Address"/>
            </w:pPr>
            <w:r w:rsidRPr="00487162">
              <w:t>PO Box 100 Woden ACT 2606 Australia</w:t>
            </w:r>
          </w:p>
          <w:p w14:paraId="6B5EB3BA" w14:textId="25462303" w:rsidR="001C32CD" w:rsidRPr="00487162" w:rsidRDefault="001C32CD" w:rsidP="00A05FA4">
            <w:pPr>
              <w:pStyle w:val="Address"/>
            </w:pPr>
            <w:r w:rsidRPr="00487162">
              <w:t xml:space="preserve">Email: </w:t>
            </w:r>
            <w:hyperlink r:id="rId53" w:history="1">
              <w:r w:rsidRPr="004C239D">
                <w:rPr>
                  <w:rStyle w:val="Hyperlink"/>
                </w:rPr>
                <w:t>info@tga.gov.au</w:t>
              </w:r>
            </w:hyperlink>
            <w:r w:rsidR="00D7030A">
              <w:t xml:space="preserve"> </w:t>
            </w:r>
            <w:r w:rsidRPr="00487162">
              <w:t>Phone: 1800 020 653</w:t>
            </w:r>
            <w:r w:rsidR="00D7030A">
              <w:t xml:space="preserve"> </w:t>
            </w:r>
            <w:r w:rsidRPr="00487162">
              <w:t>Fax: 02 6232 8605</w:t>
            </w:r>
          </w:p>
          <w:p w14:paraId="2B21E247" w14:textId="77777777" w:rsidR="001C32CD" w:rsidRPr="004C239D" w:rsidRDefault="00AF0921" w:rsidP="00A05FA4">
            <w:pPr>
              <w:pStyle w:val="Address"/>
              <w:spacing w:line="260" w:lineRule="atLeast"/>
              <w:rPr>
                <w:b/>
                <w:color w:val="0000FF"/>
                <w:u w:val="single"/>
              </w:rPr>
            </w:pPr>
            <w:hyperlink r:id="rId54" w:history="1">
              <w:r w:rsidR="007C6B9B" w:rsidRPr="007C6B9B">
                <w:rPr>
                  <w:rStyle w:val="Hyperlink"/>
                  <w:b/>
                </w:rPr>
                <w:t>https://www.tga.gov.au</w:t>
              </w:r>
            </w:hyperlink>
          </w:p>
        </w:tc>
      </w:tr>
    </w:tbl>
    <w:p w14:paraId="6E0EFAC3" w14:textId="77777777" w:rsidR="00774E1D" w:rsidRPr="008A5E0B" w:rsidRDefault="00774E1D" w:rsidP="004C239D"/>
    <w:sectPr w:rsidR="00774E1D" w:rsidRPr="008A5E0B" w:rsidSect="001C32CD">
      <w:headerReference w:type="even" r:id="rId55"/>
      <w:headerReference w:type="default" r:id="rId56"/>
      <w:footerReference w:type="default" r:id="rId57"/>
      <w:headerReference w:type="first" r:id="rId58"/>
      <w:footerReference w:type="first" r:id="rId59"/>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125008" w14:textId="77777777" w:rsidR="00AF0921" w:rsidRDefault="00AF0921" w:rsidP="00C40A36">
      <w:pPr>
        <w:spacing w:after="0"/>
      </w:pPr>
      <w:r>
        <w:separator/>
      </w:r>
    </w:p>
  </w:endnote>
  <w:endnote w:type="continuationSeparator" w:id="0">
    <w:p w14:paraId="78B97CDF" w14:textId="77777777" w:rsidR="00AF0921" w:rsidRDefault="00AF092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AE287" w14:textId="77777777" w:rsidR="00AF0921" w:rsidRDefault="00AF09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AF0921" w:rsidRPr="00487162" w14:paraId="5B14C81C" w14:textId="77777777" w:rsidTr="00DB750B">
      <w:trPr>
        <w:trHeight w:val="269"/>
      </w:trPr>
      <w:tc>
        <w:tcPr>
          <w:tcW w:w="7371" w:type="dxa"/>
          <w:tcMar>
            <w:top w:w="142" w:type="dxa"/>
            <w:bottom w:w="0" w:type="dxa"/>
          </w:tcMar>
        </w:tcPr>
        <w:p w14:paraId="31D5819D" w14:textId="57D32F85" w:rsidR="00AF0921" w:rsidRPr="00487162" w:rsidRDefault="00AF0921" w:rsidP="0080711D">
          <w:pPr>
            <w:pStyle w:val="Footer"/>
          </w:pPr>
          <w:proofErr w:type="spellStart"/>
          <w:r w:rsidRPr="00487162">
            <w:t>AusPA</w:t>
          </w:r>
          <w:r>
            <w:t>R</w:t>
          </w:r>
          <w:proofErr w:type="spellEnd"/>
          <w:r>
            <w:t xml:space="preserve"> - </w:t>
          </w:r>
          <w:proofErr w:type="spellStart"/>
          <w:r w:rsidRPr="00C97A40">
            <w:t>Spikevax</w:t>
          </w:r>
          <w:proofErr w:type="spellEnd"/>
          <w:r w:rsidRPr="00C97A40">
            <w:t xml:space="preserve"> </w:t>
          </w:r>
          <w:r>
            <w:t>–</w:t>
          </w:r>
          <w:r w:rsidRPr="00C97A40">
            <w:t xml:space="preserve"> </w:t>
          </w:r>
          <w:proofErr w:type="spellStart"/>
          <w:r w:rsidRPr="00C97A40">
            <w:t>elasomeran</w:t>
          </w:r>
          <w:proofErr w:type="spellEnd"/>
          <w:r>
            <w:t xml:space="preserve"> (</w:t>
          </w:r>
          <w:r w:rsidRPr="00F254F9">
            <w:t>mRNA-1273</w:t>
          </w:r>
          <w:r>
            <w:t>)</w:t>
          </w:r>
          <w:r w:rsidRPr="00C97A40">
            <w:t xml:space="preserve"> - </w:t>
          </w:r>
          <w:proofErr w:type="spellStart"/>
          <w:r w:rsidRPr="00C97A40">
            <w:t>Moderna</w:t>
          </w:r>
          <w:proofErr w:type="spellEnd"/>
          <w:r w:rsidRPr="00C97A40">
            <w:t xml:space="preserve"> Australia Pty Ltd-PM-2021-05131-1-2</w:t>
          </w:r>
          <w:r>
            <w:t>- Final 8 December 2021</w:t>
          </w:r>
        </w:p>
      </w:tc>
      <w:tc>
        <w:tcPr>
          <w:tcW w:w="1490" w:type="dxa"/>
          <w:tcMar>
            <w:top w:w="142" w:type="dxa"/>
            <w:bottom w:w="0" w:type="dxa"/>
          </w:tcMar>
        </w:tcPr>
        <w:p w14:paraId="66DA2D9D" w14:textId="49351FF4" w:rsidR="00AF0921" w:rsidRPr="00487162" w:rsidRDefault="00AF0921" w:rsidP="00DB750B">
          <w:pPr>
            <w:pStyle w:val="Footer"/>
            <w:jc w:val="right"/>
          </w:pPr>
          <w:r w:rsidRPr="00487162">
            <w:t xml:space="preserve">Page </w:t>
          </w:r>
          <w:r>
            <w:fldChar w:fldCharType="begin"/>
          </w:r>
          <w:r>
            <w:instrText xml:space="preserve"> PAGE  \* Arabic </w:instrText>
          </w:r>
          <w:r>
            <w:fldChar w:fldCharType="separate"/>
          </w:r>
          <w:r>
            <w:rPr>
              <w:noProof/>
            </w:rPr>
            <w:t>14</w:t>
          </w:r>
          <w:r>
            <w:fldChar w:fldCharType="end"/>
          </w:r>
          <w:r w:rsidRPr="00487162">
            <w:t xml:space="preserve"> of </w:t>
          </w:r>
          <w:fldSimple w:instr=" NUMPAGES  \* Arabic ">
            <w:r>
              <w:rPr>
                <w:noProof/>
              </w:rPr>
              <w:t>46</w:t>
            </w:r>
          </w:fldSimple>
        </w:p>
      </w:tc>
    </w:tr>
  </w:tbl>
  <w:p w14:paraId="474DBF7A" w14:textId="77777777" w:rsidR="00AF0921" w:rsidRPr="0080711D" w:rsidRDefault="00AF0921" w:rsidP="008071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5B9B1" w14:textId="77777777" w:rsidR="00AF0921" w:rsidRDefault="00AF09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F0921" w:rsidRPr="00487162" w14:paraId="14B2FD2C" w14:textId="77777777" w:rsidTr="00E45619">
      <w:trPr>
        <w:trHeight w:val="269"/>
      </w:trPr>
      <w:tc>
        <w:tcPr>
          <w:tcW w:w="4519" w:type="dxa"/>
          <w:tcBorders>
            <w:top w:val="single" w:sz="4" w:space="0" w:color="auto"/>
          </w:tcBorders>
          <w:tcMar>
            <w:top w:w="142" w:type="dxa"/>
            <w:bottom w:w="0" w:type="dxa"/>
          </w:tcMar>
        </w:tcPr>
        <w:p w14:paraId="1E3F799A" w14:textId="77777777" w:rsidR="00AF0921" w:rsidRPr="00487162" w:rsidRDefault="00AF0921" w:rsidP="00FE1DEE">
          <w:pPr>
            <w:pStyle w:val="Footer"/>
          </w:pPr>
          <w:r w:rsidRPr="00487162">
            <w:t>Document title, Part #, Section # - Section title</w:t>
          </w:r>
        </w:p>
        <w:p w14:paraId="0428BA07" w14:textId="77777777" w:rsidR="00AF0921" w:rsidRPr="00487162" w:rsidRDefault="00AF0921" w:rsidP="00FE1DEE">
          <w:pPr>
            <w:pStyle w:val="Footer"/>
          </w:pPr>
          <w:r w:rsidRPr="00487162">
            <w:t>V1.0 October 2010</w:t>
          </w:r>
        </w:p>
      </w:tc>
      <w:tc>
        <w:tcPr>
          <w:tcW w:w="4342" w:type="dxa"/>
          <w:tcBorders>
            <w:top w:val="single" w:sz="4" w:space="0" w:color="auto"/>
          </w:tcBorders>
          <w:tcMar>
            <w:top w:w="142" w:type="dxa"/>
            <w:bottom w:w="0" w:type="dxa"/>
          </w:tcMar>
        </w:tcPr>
        <w:p w14:paraId="2975510C" w14:textId="77777777" w:rsidR="00AF0921" w:rsidRPr="00487162" w:rsidRDefault="00AF092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21</w:t>
            </w:r>
          </w:fldSimple>
        </w:p>
      </w:tc>
    </w:tr>
  </w:tbl>
  <w:p w14:paraId="31A74339" w14:textId="77777777" w:rsidR="00AF0921" w:rsidRDefault="00AF092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5869A" w14:textId="77777777" w:rsidR="00AF0921" w:rsidRPr="001C32CD" w:rsidRDefault="00AF0921"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F0921" w14:paraId="0AC1F1E2" w14:textId="77777777" w:rsidTr="0010601F">
      <w:trPr>
        <w:trHeight w:val="108"/>
      </w:trPr>
      <w:tc>
        <w:tcPr>
          <w:tcW w:w="8875" w:type="dxa"/>
          <w:gridSpan w:val="2"/>
          <w:tcBorders>
            <w:bottom w:val="single" w:sz="4" w:space="0" w:color="auto"/>
          </w:tcBorders>
          <w:tcMar>
            <w:right w:w="284" w:type="dxa"/>
          </w:tcMar>
        </w:tcPr>
        <w:p w14:paraId="24163D49" w14:textId="77777777" w:rsidR="00AF0921" w:rsidRDefault="00AF0921" w:rsidP="006E08B3">
          <w:pPr>
            <w:pStyle w:val="Heading3"/>
          </w:pPr>
          <w:r>
            <w:t>Copyright</w:t>
          </w:r>
        </w:p>
        <w:p w14:paraId="0439EA25" w14:textId="77777777" w:rsidR="00AF0921" w:rsidRDefault="00AF0921" w:rsidP="006E08B3">
          <w:r>
            <w:rPr>
              <w:rFonts w:cs="Arial"/>
            </w:rPr>
            <w:t>©</w:t>
          </w:r>
          <w:r>
            <w:t xml:space="preserve"> Commonwealth of Australia [add year]</w:t>
          </w:r>
        </w:p>
        <w:p w14:paraId="3CD85200" w14:textId="77777777" w:rsidR="00AF0921" w:rsidRDefault="00AF0921" w:rsidP="006E08B3"/>
        <w:p w14:paraId="51CEAB8E" w14:textId="77777777" w:rsidR="00AF0921" w:rsidRDefault="00AF092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00985376" w14:textId="77777777" w:rsidR="00AF0921" w:rsidRDefault="00AF0921" w:rsidP="006E08B3"/>
        <w:p w14:paraId="6EC6866B" w14:textId="77777777" w:rsidR="00AF0921" w:rsidRDefault="00AF0921" w:rsidP="006E08B3">
          <w:pPr>
            <w:pStyle w:val="Heading3"/>
          </w:pPr>
          <w:r>
            <w:t>Confidentiality</w:t>
          </w:r>
        </w:p>
        <w:p w14:paraId="511FABAF" w14:textId="77777777" w:rsidR="00AF0921" w:rsidRDefault="00AF092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470A44D8" w14:textId="77777777" w:rsidR="00AF0921" w:rsidRDefault="00AF0921" w:rsidP="006E08B3"/>
        <w:p w14:paraId="6FFFFE5D" w14:textId="77777777" w:rsidR="00AF0921" w:rsidRDefault="00AF0921" w:rsidP="006E08B3">
          <w:r>
            <w:t>For submission made by individuals, all personal details, other than your name, will be removed from your submission before it is published on the TGA’s Internet site.</w:t>
          </w:r>
        </w:p>
        <w:p w14:paraId="4ACE2534" w14:textId="77777777" w:rsidR="00AF0921" w:rsidRDefault="00AF0921" w:rsidP="006E08B3"/>
        <w:p w14:paraId="617619A0" w14:textId="77777777" w:rsidR="00AF0921" w:rsidRDefault="00AF0921"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AF0921" w14:paraId="4482FE43" w14:textId="77777777" w:rsidTr="0010601F">
      <w:trPr>
        <w:trHeight w:val="417"/>
      </w:trPr>
      <w:tc>
        <w:tcPr>
          <w:tcW w:w="4519" w:type="dxa"/>
          <w:tcBorders>
            <w:top w:val="single" w:sz="4" w:space="0" w:color="auto"/>
          </w:tcBorders>
          <w:tcMar>
            <w:top w:w="142" w:type="dxa"/>
            <w:bottom w:w="0" w:type="dxa"/>
          </w:tcMar>
        </w:tcPr>
        <w:p w14:paraId="4D692E03" w14:textId="77777777" w:rsidR="00AF0921" w:rsidRDefault="00AF0921" w:rsidP="006E08B3">
          <w:r>
            <w:t>Document title, Part #, Section # - Section title</w:t>
          </w:r>
        </w:p>
        <w:p w14:paraId="57170ACC" w14:textId="77777777" w:rsidR="00AF0921" w:rsidRDefault="00AF0921" w:rsidP="006E08B3">
          <w:r>
            <w:t>V1.0 October 2010</w:t>
          </w:r>
        </w:p>
      </w:tc>
      <w:tc>
        <w:tcPr>
          <w:tcW w:w="4356" w:type="dxa"/>
          <w:tcBorders>
            <w:top w:val="single" w:sz="4" w:space="0" w:color="auto"/>
          </w:tcBorders>
          <w:tcMar>
            <w:top w:w="142" w:type="dxa"/>
            <w:bottom w:w="0" w:type="dxa"/>
          </w:tcMar>
        </w:tcPr>
        <w:p w14:paraId="2A06088E" w14:textId="77777777" w:rsidR="00AF0921" w:rsidRDefault="00AF092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21</w:t>
            </w:r>
          </w:fldSimple>
          <w:r>
            <w:t xml:space="preserve">  </w:t>
          </w:r>
        </w:p>
      </w:tc>
    </w:tr>
  </w:tbl>
  <w:p w14:paraId="70611F89" w14:textId="77777777" w:rsidR="00AF0921" w:rsidRDefault="00AF09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2A4119" w14:textId="77777777" w:rsidR="00AF0921" w:rsidRDefault="00AF0921" w:rsidP="00C40A36">
      <w:pPr>
        <w:spacing w:after="0"/>
      </w:pPr>
      <w:r>
        <w:separator/>
      </w:r>
    </w:p>
  </w:footnote>
  <w:footnote w:type="continuationSeparator" w:id="0">
    <w:p w14:paraId="68C6D4E0" w14:textId="77777777" w:rsidR="00AF0921" w:rsidRDefault="00AF0921" w:rsidP="00C40A36">
      <w:pPr>
        <w:spacing w:after="0"/>
      </w:pPr>
      <w:r>
        <w:continuationSeparator/>
      </w:r>
    </w:p>
  </w:footnote>
  <w:footnote w:id="1">
    <w:p w14:paraId="72D4B860" w14:textId="77777777" w:rsidR="00AF0921" w:rsidRDefault="00AF0921">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513910E5" w14:textId="6D790115" w:rsidR="00AF0921" w:rsidRDefault="00AF0921" w:rsidP="00CD15CB">
      <w:pPr>
        <w:pStyle w:val="FootnoteText"/>
      </w:pPr>
      <w:r>
        <w:rPr>
          <w:rStyle w:val="FootnoteReference"/>
        </w:rPr>
        <w:footnoteRef/>
      </w:r>
      <w:r>
        <w:t xml:space="preserve"> The </w:t>
      </w:r>
      <w:r w:rsidRPr="00CD15CB">
        <w:rPr>
          <w:b/>
          <w:bCs/>
        </w:rPr>
        <w:t>Product Information (PI)</w:t>
      </w:r>
      <w:r>
        <w:t xml:space="preserve"> document provides health professionals with a summary of the scientific information relevant to the safe and effective use of a prescription medicine. The information in a product information document has been written by the pharmaceutical company responsible for the medicine and has been approved by the TGA. It provides objective information about the quality, </w:t>
      </w:r>
      <w:proofErr w:type="gramStart"/>
      <w:r>
        <w:t>safety</w:t>
      </w:r>
      <w:proofErr w:type="gramEnd"/>
      <w:r>
        <w:t xml:space="preserve"> and effectiveness of the medicine, as demonstrated in the data provided to the TGA by the pharmaceutical company.</w:t>
      </w:r>
    </w:p>
    <w:p w14:paraId="3628A767" w14:textId="542A1CD1" w:rsidR="00AF0921" w:rsidRDefault="00AF0921" w:rsidP="00CD15CB">
      <w:pPr>
        <w:pStyle w:val="FootnoteText"/>
      </w:pPr>
      <w:r>
        <w:t xml:space="preserve">This information is intended to assist doctors, </w:t>
      </w:r>
      <w:proofErr w:type="gramStart"/>
      <w:r>
        <w:t>pharmacists</w:t>
      </w:r>
      <w:proofErr w:type="gramEnd"/>
      <w:r>
        <w:t xml:space="preserve"> and other health professionals in prescribing and dispensing medicines. In addition, this information can be used by health professionals in their consultations with patients, so that the patient can be better informed about their medicines. </w:t>
      </w:r>
    </w:p>
  </w:footnote>
  <w:footnote w:id="3">
    <w:p w14:paraId="77C50763" w14:textId="5BC765E9" w:rsidR="00AF0921" w:rsidRDefault="00AF0921">
      <w:pPr>
        <w:pStyle w:val="FootnoteText"/>
      </w:pPr>
      <w:r>
        <w:rPr>
          <w:rStyle w:val="FootnoteReference"/>
        </w:rPr>
        <w:footnoteRef/>
      </w:r>
      <w:r>
        <w:t xml:space="preserve"> Zhu, N. </w:t>
      </w:r>
      <w:r w:rsidRPr="00F70637">
        <w:rPr>
          <w:i/>
          <w:iCs/>
        </w:rPr>
        <w:t>et al.</w:t>
      </w:r>
      <w:r>
        <w:t xml:space="preserve"> A Novel Coronavirus from Patients with Pneumonia in China, 2019, </w:t>
      </w:r>
      <w:r w:rsidRPr="00F70637">
        <w:rPr>
          <w:i/>
          <w:iCs/>
        </w:rPr>
        <w:t>N. Engl. J</w:t>
      </w:r>
      <w:r>
        <w:t>. Med, 2020; 382(8): 727-733.</w:t>
      </w:r>
    </w:p>
  </w:footnote>
  <w:footnote w:id="4">
    <w:p w14:paraId="13D0F16B" w14:textId="6F664EBE" w:rsidR="00AF0921" w:rsidRDefault="00AF0921">
      <w:pPr>
        <w:pStyle w:val="FootnoteText"/>
      </w:pPr>
      <w:r>
        <w:rPr>
          <w:rStyle w:val="FootnoteReference"/>
        </w:rPr>
        <w:footnoteRef/>
      </w:r>
      <w:r>
        <w:t xml:space="preserve"> </w:t>
      </w:r>
      <w:hyperlink r:id="rId1" w:history="1">
        <w:r w:rsidRPr="003B3C53">
          <w:rPr>
            <w:rStyle w:val="Hyperlink"/>
          </w:rPr>
          <w:t>CDC</w:t>
        </w:r>
      </w:hyperlink>
      <w:r>
        <w:t>, 2020. (last viewed 8 November 2021)</w:t>
      </w:r>
    </w:p>
  </w:footnote>
  <w:footnote w:id="5">
    <w:p w14:paraId="55A8EABD" w14:textId="2B53321C" w:rsidR="00AF0921" w:rsidRPr="005A2D7D" w:rsidRDefault="00AF0921">
      <w:pPr>
        <w:pStyle w:val="FootnoteText"/>
      </w:pPr>
      <w:r>
        <w:rPr>
          <w:rStyle w:val="FootnoteReference"/>
        </w:rPr>
        <w:footnoteRef/>
      </w:r>
      <w:r>
        <w:t xml:space="preserve"> Li, Q., Guan, X, Wu, P., </w:t>
      </w:r>
      <w:r w:rsidRPr="00DC75CB">
        <w:rPr>
          <w:i/>
          <w:iCs/>
        </w:rPr>
        <w:t>et al</w:t>
      </w:r>
      <w:r>
        <w:t xml:space="preserve">. Early Transmissions Dynamics in Wuhan, China, of Novel Coronavirus-Infected Pneumonia. </w:t>
      </w:r>
      <w:r w:rsidRPr="00F70637">
        <w:rPr>
          <w:i/>
          <w:iCs/>
        </w:rPr>
        <w:t xml:space="preserve">N </w:t>
      </w:r>
      <w:proofErr w:type="spellStart"/>
      <w:r w:rsidRPr="00F70637">
        <w:rPr>
          <w:i/>
          <w:iCs/>
        </w:rPr>
        <w:t>Engl</w:t>
      </w:r>
      <w:proofErr w:type="spellEnd"/>
      <w:r w:rsidRPr="00F70637">
        <w:rPr>
          <w:i/>
          <w:iCs/>
        </w:rPr>
        <w:t xml:space="preserve"> J</w:t>
      </w:r>
      <w:r>
        <w:t xml:space="preserve"> Med 2020; 382:1199-1207</w:t>
      </w:r>
    </w:p>
  </w:footnote>
  <w:footnote w:id="6">
    <w:p w14:paraId="12292874" w14:textId="1081E01E" w:rsidR="00AF0921" w:rsidRDefault="00AF0921">
      <w:pPr>
        <w:pStyle w:val="FootnoteText"/>
      </w:pPr>
      <w:r>
        <w:rPr>
          <w:rStyle w:val="FootnoteReference"/>
        </w:rPr>
        <w:footnoteRef/>
      </w:r>
      <w:r>
        <w:t xml:space="preserve"> </w:t>
      </w:r>
      <w:r w:rsidRPr="00F70637">
        <w:t xml:space="preserve">Huang, C., Wang, Y., Li, X., </w:t>
      </w:r>
      <w:r w:rsidRPr="00F70637">
        <w:rPr>
          <w:i/>
          <w:iCs/>
        </w:rPr>
        <w:t>et al</w:t>
      </w:r>
      <w:r w:rsidRPr="00F70637">
        <w:t>. Clinical features of patients infected with 2019 novel coronavirus in Wuhan, China, Lancet 2020; 395: 497-506.</w:t>
      </w:r>
    </w:p>
  </w:footnote>
  <w:footnote w:id="7">
    <w:p w14:paraId="0B4BF6F4" w14:textId="65F1B7B2" w:rsidR="00AF0921" w:rsidRDefault="00AF0921">
      <w:pPr>
        <w:pStyle w:val="FootnoteText"/>
      </w:pPr>
      <w:r>
        <w:rPr>
          <w:rStyle w:val="FootnoteReference"/>
        </w:rPr>
        <w:footnoteRef/>
      </w:r>
      <w:r>
        <w:t xml:space="preserve"> WHO dashboard </w:t>
      </w:r>
      <w:r w:rsidRPr="001D68F0">
        <w:t>https://covid19.who.int/</w:t>
      </w:r>
    </w:p>
  </w:footnote>
  <w:footnote w:id="8">
    <w:p w14:paraId="34331B3F" w14:textId="07AFE774" w:rsidR="00AF0921" w:rsidRPr="00DC75CB" w:rsidRDefault="00AF0921">
      <w:pPr>
        <w:pStyle w:val="FootnoteText"/>
      </w:pPr>
      <w:r>
        <w:rPr>
          <w:rStyle w:val="FootnoteReference"/>
        </w:rPr>
        <w:footnoteRef/>
      </w:r>
      <w:r>
        <w:t xml:space="preserve"> Fang X, Li S, Yu H, </w:t>
      </w:r>
      <w:r w:rsidRPr="00DC75CB">
        <w:rPr>
          <w:i/>
          <w:iCs/>
        </w:rPr>
        <w:t>et al.</w:t>
      </w:r>
      <w:r>
        <w:rPr>
          <w:i/>
          <w:iCs/>
        </w:rPr>
        <w:t xml:space="preserve"> </w:t>
      </w:r>
      <w:r>
        <w:t xml:space="preserve">Epidemiological, comorbidity factors with severity and prognosis of COVID-19: a systematic review and meta-analysis. </w:t>
      </w:r>
      <w:r w:rsidRPr="00DC75CB">
        <w:rPr>
          <w:i/>
          <w:iCs/>
        </w:rPr>
        <w:t>Aging (Albany NY).</w:t>
      </w:r>
      <w:r>
        <w:rPr>
          <w:i/>
          <w:iCs/>
        </w:rPr>
        <w:t xml:space="preserve"> </w:t>
      </w:r>
      <w:r>
        <w:t>2020; 12 (13): 12493-503.</w:t>
      </w:r>
    </w:p>
  </w:footnote>
  <w:footnote w:id="9">
    <w:p w14:paraId="51B8EFC0" w14:textId="6349CF60" w:rsidR="00AF0921" w:rsidRDefault="00AF0921">
      <w:pPr>
        <w:pStyle w:val="FootnoteText"/>
      </w:pPr>
      <w:r>
        <w:rPr>
          <w:rStyle w:val="FootnoteReference"/>
        </w:rPr>
        <w:footnoteRef/>
      </w:r>
      <w:r>
        <w:t xml:space="preserve"> World Health Organisation (WHO;2020) WHO Director-General Speeches: WHO Director-General’s Opening Remarks at the Media Briefings on COVID-19- 11 March 2020. Accessed 28 October 2021. Available from the WHO website.</w:t>
      </w:r>
    </w:p>
  </w:footnote>
  <w:footnote w:id="10">
    <w:p w14:paraId="717CCA66" w14:textId="669F1D70" w:rsidR="00AF0921" w:rsidRDefault="00AF0921">
      <w:pPr>
        <w:pStyle w:val="FootnoteText"/>
      </w:pPr>
      <w:r>
        <w:rPr>
          <w:rStyle w:val="FootnoteReference"/>
        </w:rPr>
        <w:footnoteRef/>
      </w:r>
      <w:r>
        <w:t xml:space="preserve"> World Health Organisation (WHO), Coronavirus Disease (COVID-19) Dashboard. Accessed 8 December 2021. Available from the WHO website. </w:t>
      </w:r>
    </w:p>
  </w:footnote>
  <w:footnote w:id="11">
    <w:p w14:paraId="233F2EAB" w14:textId="02B92355" w:rsidR="00AF0921" w:rsidRDefault="00AF0921">
      <w:pPr>
        <w:pStyle w:val="FootnoteText"/>
      </w:pPr>
      <w:r>
        <w:rPr>
          <w:rStyle w:val="FootnoteReference"/>
        </w:rPr>
        <w:footnoteRef/>
      </w:r>
      <w:r>
        <w:t xml:space="preserve"> Australian Government, Department of Health (last updated 7 December 2021) Coronavirus (COVID-19) Case Numbers and Statistics. Accessed 8 December 2021. </w:t>
      </w:r>
    </w:p>
    <w:p w14:paraId="2C5E95F4" w14:textId="59063399" w:rsidR="00AF0921" w:rsidRDefault="00AF0921">
      <w:pPr>
        <w:pStyle w:val="FootnoteText"/>
      </w:pPr>
      <w:r>
        <w:t xml:space="preserve">Available at: </w:t>
      </w:r>
      <w:hyperlink r:id="rId2" w:history="1">
        <w:r w:rsidRPr="0041216C">
          <w:t>Coronavirus (COVID-19) case numbers and statistics | Australian Government Department of Health</w:t>
        </w:r>
      </w:hyperlink>
      <w:r>
        <w:rPr>
          <w:sz w:val="22"/>
          <w:szCs w:val="22"/>
        </w:rPr>
        <w:t xml:space="preserve"> </w:t>
      </w:r>
    </w:p>
  </w:footnote>
  <w:footnote w:id="12">
    <w:p w14:paraId="3619B411" w14:textId="6F4E494B" w:rsidR="00AF0921" w:rsidRDefault="00AF0921">
      <w:pPr>
        <w:pStyle w:val="FootnoteText"/>
      </w:pPr>
      <w:r>
        <w:rPr>
          <w:rStyle w:val="FootnoteReference"/>
        </w:rPr>
        <w:footnoteRef/>
      </w:r>
      <w:r>
        <w:t xml:space="preserve"> As part of the </w:t>
      </w:r>
      <w:r w:rsidRPr="00696406">
        <w:rPr>
          <w:b/>
          <w:bCs/>
        </w:rPr>
        <w:t>provisional approval pathway</w:t>
      </w:r>
      <w:r>
        <w:t xml:space="preserve">, the provisional registration process will allow certain medicines to be provisionally registered in the Australian Register of Therapeutic Goods (ARTG) for a limited duration. These medicines are registered </w:t>
      </w:r>
      <w:proofErr w:type="gramStart"/>
      <w:r>
        <w:t>on the basis of</w:t>
      </w:r>
      <w:proofErr w:type="gramEnd"/>
      <w:r>
        <w:t xml:space="preserve"> preliminary clinical data, where there is the potential for a substantial benefit to Australian patients. The TGA will re-assess risks related to the absence of evidence through data provided at a later stage, as part of the confirmatory data. Confirmatory data should confirm the relationship between outcomes predicted by the surrogate endpoint, or other preliminary data, and the clinical benefit as demonstrated by direct clinical outcomes. </w:t>
      </w:r>
    </w:p>
    <w:p w14:paraId="295EA501" w14:textId="19E63F89" w:rsidR="00AF0921" w:rsidRDefault="00AF0921">
      <w:pPr>
        <w:pStyle w:val="FootnoteText"/>
      </w:pPr>
      <w:r>
        <w:t>The sponsor may apply to transition to full registration at any time up until the provisional registration lapse date, once they have completed the obligations outlined for the provisional registration period and complete confirmatory data on safety and efficacy are available.</w:t>
      </w:r>
    </w:p>
  </w:footnote>
  <w:footnote w:id="13">
    <w:p w14:paraId="1EBAE8F7" w14:textId="393365DC" w:rsidR="00AF0921" w:rsidRDefault="00AF0921">
      <w:pPr>
        <w:pStyle w:val="FootnoteText"/>
      </w:pPr>
      <w:r>
        <w:rPr>
          <w:rStyle w:val="FootnoteReference"/>
        </w:rPr>
        <w:footnoteRef/>
      </w:r>
      <w:r>
        <w:t xml:space="preserve"> </w:t>
      </w:r>
      <w:proofErr w:type="spellStart"/>
      <w:r w:rsidRPr="00FD4E0E">
        <w:t>Comirnaty</w:t>
      </w:r>
      <w:proofErr w:type="spellEnd"/>
      <w:r w:rsidRPr="00FD4E0E">
        <w:t xml:space="preserve"> was first registered on the ARTG on 25 January 2021 (ARTG number: 346290).</w:t>
      </w:r>
      <w:r>
        <w:t xml:space="preserve"> </w:t>
      </w:r>
    </w:p>
  </w:footnote>
  <w:footnote w:id="14">
    <w:p w14:paraId="37DBE7A2" w14:textId="77777777" w:rsidR="00AF0921" w:rsidRDefault="00AF0921" w:rsidP="00FD4E0E">
      <w:pPr>
        <w:pStyle w:val="FootnoteText"/>
      </w:pPr>
      <w:r>
        <w:rPr>
          <w:rStyle w:val="FootnoteReference"/>
        </w:rPr>
        <w:footnoteRef/>
      </w:r>
      <w:r>
        <w:t xml:space="preserve"> </w:t>
      </w:r>
      <w:proofErr w:type="spellStart"/>
      <w:r>
        <w:t>AusPAR</w:t>
      </w:r>
      <w:proofErr w:type="spellEnd"/>
      <w:r>
        <w:t xml:space="preserve"> for </w:t>
      </w:r>
      <w:proofErr w:type="spellStart"/>
      <w:r>
        <w:t>Comirnaty</w:t>
      </w:r>
      <w:proofErr w:type="spellEnd"/>
      <w:r>
        <w:t xml:space="preserve"> (BNT162b2 (mRNA)) new biological entity, published on 25 January 2021. </w:t>
      </w:r>
    </w:p>
    <w:p w14:paraId="1D6A7404" w14:textId="5283BB80" w:rsidR="00AF0921" w:rsidRDefault="00AF0921" w:rsidP="00FD4E0E">
      <w:pPr>
        <w:pStyle w:val="FootnoteText"/>
      </w:pPr>
      <w:r>
        <w:t xml:space="preserve">Available at: </w:t>
      </w:r>
      <w:hyperlink r:id="rId3" w:history="1">
        <w:r w:rsidRPr="001613AA">
          <w:rPr>
            <w:rStyle w:val="Hyperlink"/>
          </w:rPr>
          <w:t>https://www.tga.gov.au/auspar/auspar-bnt162b2-mrna-comirnaty</w:t>
        </w:r>
      </w:hyperlink>
      <w:r>
        <w:t xml:space="preserve"> </w:t>
      </w:r>
    </w:p>
  </w:footnote>
  <w:footnote w:id="15">
    <w:p w14:paraId="12A47C01" w14:textId="77777777" w:rsidR="00AF0921" w:rsidRDefault="00AF0921" w:rsidP="00FD4E0E">
      <w:pPr>
        <w:pStyle w:val="FootnoteText"/>
      </w:pPr>
      <w:r>
        <w:rPr>
          <w:rStyle w:val="FootnoteReference"/>
        </w:rPr>
        <w:footnoteRef/>
      </w:r>
      <w:r>
        <w:t xml:space="preserve"> </w:t>
      </w:r>
      <w:proofErr w:type="spellStart"/>
      <w:r>
        <w:t>AusPAR</w:t>
      </w:r>
      <w:proofErr w:type="spellEnd"/>
      <w:r>
        <w:t xml:space="preserve"> for </w:t>
      </w:r>
      <w:proofErr w:type="spellStart"/>
      <w:r>
        <w:t>Comirnaty</w:t>
      </w:r>
      <w:proofErr w:type="spellEnd"/>
      <w:r>
        <w:t xml:space="preserve"> (BNT162b2 (mRNA)) extension of indications, published on 23 July 2021. </w:t>
      </w:r>
    </w:p>
    <w:p w14:paraId="3E36B55F" w14:textId="7497E934" w:rsidR="00AF0921" w:rsidRDefault="00AF0921" w:rsidP="00FD4E0E">
      <w:pPr>
        <w:pStyle w:val="FootnoteText"/>
      </w:pPr>
      <w:r>
        <w:t xml:space="preserve">Available at: </w:t>
      </w:r>
      <w:hyperlink r:id="rId4" w:history="1">
        <w:r w:rsidRPr="001613AA">
          <w:rPr>
            <w:rStyle w:val="Hyperlink"/>
          </w:rPr>
          <w:t>https://www.tga.gov.au/auspar/auspar-bnt162b2-mrna</w:t>
        </w:r>
      </w:hyperlink>
      <w:r>
        <w:t xml:space="preserve">. </w:t>
      </w:r>
    </w:p>
  </w:footnote>
  <w:footnote w:id="16">
    <w:p w14:paraId="38E78C12" w14:textId="77777777" w:rsidR="00AF0921" w:rsidRDefault="00AF0921" w:rsidP="00FD4E0E">
      <w:pPr>
        <w:pStyle w:val="FootnoteText"/>
      </w:pPr>
      <w:r>
        <w:rPr>
          <w:rStyle w:val="FootnoteReference"/>
        </w:rPr>
        <w:footnoteRef/>
      </w:r>
      <w:r>
        <w:t xml:space="preserve"> COVID-19 Vaccine AstraZeneca was first registered on the ARTG on 16 February 2021 </w:t>
      </w:r>
    </w:p>
    <w:p w14:paraId="14AD1F76" w14:textId="54614F83" w:rsidR="00AF0921" w:rsidRDefault="00AF0921" w:rsidP="00FD4E0E">
      <w:pPr>
        <w:pStyle w:val="FootnoteText"/>
      </w:pPr>
      <w:r>
        <w:t xml:space="preserve">(ARTG number: 349072). </w:t>
      </w:r>
    </w:p>
  </w:footnote>
  <w:footnote w:id="17">
    <w:p w14:paraId="63CE4A8D" w14:textId="77777777" w:rsidR="00AF0921" w:rsidRDefault="00AF0921" w:rsidP="00FD4E0E">
      <w:pPr>
        <w:pStyle w:val="FootnoteText"/>
      </w:pPr>
      <w:r>
        <w:rPr>
          <w:rStyle w:val="FootnoteReference"/>
        </w:rPr>
        <w:footnoteRef/>
      </w:r>
      <w:r>
        <w:t xml:space="preserve"> </w:t>
      </w:r>
      <w:proofErr w:type="spellStart"/>
      <w:r>
        <w:t>AusPAR</w:t>
      </w:r>
      <w:proofErr w:type="spellEnd"/>
      <w:r>
        <w:t xml:space="preserve"> for COVID-19 Vaccine AstraZeneca (ChAdOx1-S) new biological entity, published on </w:t>
      </w:r>
    </w:p>
    <w:p w14:paraId="1FDFB84B" w14:textId="2F7DE7E5" w:rsidR="00AF0921" w:rsidRDefault="00AF0921" w:rsidP="00FD4E0E">
      <w:pPr>
        <w:pStyle w:val="FootnoteText"/>
      </w:pPr>
      <w:r>
        <w:t xml:space="preserve">16 February 2021. Available at: </w:t>
      </w:r>
      <w:hyperlink r:id="rId5" w:history="1">
        <w:r w:rsidRPr="001613AA">
          <w:rPr>
            <w:rStyle w:val="Hyperlink"/>
          </w:rPr>
          <w:t>https://www.tga.gov.au/auspar/auspar-chadox1-s</w:t>
        </w:r>
      </w:hyperlink>
      <w:r>
        <w:t xml:space="preserve">. </w:t>
      </w:r>
    </w:p>
  </w:footnote>
  <w:footnote w:id="18">
    <w:p w14:paraId="210C084C" w14:textId="5EE433E7" w:rsidR="00AF0921" w:rsidRDefault="00AF0921">
      <w:pPr>
        <w:pStyle w:val="FootnoteText"/>
      </w:pPr>
      <w:r>
        <w:rPr>
          <w:rStyle w:val="FootnoteReference"/>
        </w:rPr>
        <w:footnoteRef/>
      </w:r>
      <w:r>
        <w:t xml:space="preserve"> </w:t>
      </w:r>
      <w:r w:rsidRPr="00B678CE">
        <w:t>COVID-19 Vaccine Janssen was first registered on the ARTG on 25 June 2021 (ARTG number: 350150).</w:t>
      </w:r>
      <w:r>
        <w:t xml:space="preserve"> </w:t>
      </w:r>
    </w:p>
  </w:footnote>
  <w:footnote w:id="19">
    <w:p w14:paraId="2E02F92D" w14:textId="77777777" w:rsidR="00AF0921" w:rsidRDefault="00AF0921" w:rsidP="00B678CE">
      <w:pPr>
        <w:pStyle w:val="FootnoteText"/>
      </w:pPr>
      <w:r>
        <w:rPr>
          <w:rStyle w:val="FootnoteReference"/>
        </w:rPr>
        <w:footnoteRef/>
      </w:r>
      <w:r>
        <w:t xml:space="preserve"> 7 </w:t>
      </w:r>
      <w:proofErr w:type="spellStart"/>
      <w:r>
        <w:t>AusPAR</w:t>
      </w:r>
      <w:proofErr w:type="spellEnd"/>
      <w:r>
        <w:t xml:space="preserve"> for COVID-19 Vaccine Janssen (Ad26.COV</w:t>
      </w:r>
      <w:proofErr w:type="gramStart"/>
      <w:r>
        <w:t>2.S</w:t>
      </w:r>
      <w:proofErr w:type="gramEnd"/>
      <w:r>
        <w:t xml:space="preserve">) new biological entity, published on 25 June 2021. </w:t>
      </w:r>
    </w:p>
    <w:p w14:paraId="20BC66CB" w14:textId="7E298526" w:rsidR="00AF0921" w:rsidRDefault="00AF0921" w:rsidP="00B678CE">
      <w:pPr>
        <w:pStyle w:val="FootnoteText"/>
      </w:pPr>
      <w:r>
        <w:t xml:space="preserve">Available at: </w:t>
      </w:r>
      <w:hyperlink r:id="rId6" w:history="1">
        <w:r w:rsidRPr="001613AA">
          <w:rPr>
            <w:rStyle w:val="Hyperlink"/>
          </w:rPr>
          <w:t>https://www.tga.gov.au/auspar/auspar-ad26cov2s</w:t>
        </w:r>
      </w:hyperlink>
      <w:r>
        <w:t xml:space="preserve">. </w:t>
      </w:r>
    </w:p>
  </w:footnote>
  <w:footnote w:id="20">
    <w:p w14:paraId="3952C3D8" w14:textId="6D722792" w:rsidR="00AF0921" w:rsidRDefault="00AF0921">
      <w:pPr>
        <w:pStyle w:val="FootnoteText"/>
      </w:pPr>
      <w:r>
        <w:rPr>
          <w:rStyle w:val="FootnoteReference"/>
        </w:rPr>
        <w:footnoteRef/>
      </w:r>
      <w:r>
        <w:t xml:space="preserve"> </w:t>
      </w:r>
      <w:proofErr w:type="spellStart"/>
      <w:r w:rsidRPr="00B678CE">
        <w:t>Spikevax</w:t>
      </w:r>
      <w:proofErr w:type="spellEnd"/>
      <w:r w:rsidRPr="00B678CE">
        <w:t xml:space="preserve"> was first registered on the ARTG on 9 August 2021 (ARTG number: 370599).</w:t>
      </w:r>
      <w:r>
        <w:t xml:space="preserve"> </w:t>
      </w:r>
    </w:p>
  </w:footnote>
  <w:footnote w:id="21">
    <w:p w14:paraId="611CCBA5" w14:textId="77777777" w:rsidR="00AF0921" w:rsidRDefault="00AF0921" w:rsidP="00B678CE">
      <w:pPr>
        <w:pStyle w:val="FootnoteText"/>
      </w:pPr>
      <w:r>
        <w:rPr>
          <w:rStyle w:val="FootnoteReference"/>
        </w:rPr>
        <w:footnoteRef/>
      </w:r>
      <w:r>
        <w:t xml:space="preserve"> </w:t>
      </w:r>
      <w:proofErr w:type="spellStart"/>
      <w:r>
        <w:t>AusPAR</w:t>
      </w:r>
      <w:proofErr w:type="spellEnd"/>
      <w:r>
        <w:t xml:space="preserve"> for </w:t>
      </w:r>
      <w:proofErr w:type="spellStart"/>
      <w:r>
        <w:t>Spikevax</w:t>
      </w:r>
      <w:proofErr w:type="spellEnd"/>
      <w:r>
        <w:t xml:space="preserve"> (</w:t>
      </w:r>
      <w:proofErr w:type="spellStart"/>
      <w:r>
        <w:t>elasomeran</w:t>
      </w:r>
      <w:proofErr w:type="spellEnd"/>
      <w:r>
        <w:t xml:space="preserve">) new biological entity, adult indication, published on 9 August 2021. </w:t>
      </w:r>
    </w:p>
    <w:p w14:paraId="4F01E64E" w14:textId="23DCD864" w:rsidR="00AF0921" w:rsidRDefault="00AF0921" w:rsidP="00B678CE">
      <w:pPr>
        <w:pStyle w:val="FootnoteText"/>
      </w:pPr>
      <w:r>
        <w:t xml:space="preserve">Available at: </w:t>
      </w:r>
      <w:hyperlink r:id="rId7" w:history="1">
        <w:r w:rsidRPr="001613AA">
          <w:rPr>
            <w:rStyle w:val="Hyperlink"/>
          </w:rPr>
          <w:t>https://www.tga.gov.au/auspar/auspar-elasomeran</w:t>
        </w:r>
      </w:hyperlink>
      <w:r>
        <w:t xml:space="preserve">. </w:t>
      </w:r>
    </w:p>
  </w:footnote>
  <w:footnote w:id="22">
    <w:p w14:paraId="68D77A03" w14:textId="77777777" w:rsidR="00AF0921" w:rsidRDefault="00AF0921" w:rsidP="00B678CE">
      <w:pPr>
        <w:pStyle w:val="FootnoteText"/>
      </w:pPr>
      <w:r>
        <w:rPr>
          <w:rStyle w:val="FootnoteReference"/>
        </w:rPr>
        <w:footnoteRef/>
      </w:r>
      <w:r>
        <w:t xml:space="preserve"> </w:t>
      </w:r>
      <w:proofErr w:type="spellStart"/>
      <w:r>
        <w:t>AusPAR</w:t>
      </w:r>
      <w:proofErr w:type="spellEnd"/>
      <w:r>
        <w:t xml:space="preserve"> for </w:t>
      </w:r>
      <w:proofErr w:type="spellStart"/>
      <w:r>
        <w:t>Spikevax</w:t>
      </w:r>
      <w:proofErr w:type="spellEnd"/>
      <w:r>
        <w:t xml:space="preserve"> (</w:t>
      </w:r>
      <w:proofErr w:type="spellStart"/>
      <w:r>
        <w:t>elasomeran</w:t>
      </w:r>
      <w:proofErr w:type="spellEnd"/>
      <w:r>
        <w:t xml:space="preserve">) new biological entity, paediatric indication, published on 4 September </w:t>
      </w:r>
    </w:p>
    <w:p w14:paraId="30D649F1" w14:textId="6E764B2C" w:rsidR="00AF0921" w:rsidRDefault="00AF0921" w:rsidP="00B678CE">
      <w:pPr>
        <w:pStyle w:val="FootnoteText"/>
      </w:pPr>
      <w:r>
        <w:t xml:space="preserve">2021. Available at: </w:t>
      </w:r>
      <w:hyperlink r:id="rId8" w:history="1">
        <w:r w:rsidRPr="001613AA">
          <w:rPr>
            <w:rStyle w:val="Hyperlink"/>
          </w:rPr>
          <w:t>https://www.tga.gov.au/auspar/auspar-elasomeran-0</w:t>
        </w:r>
      </w:hyperlink>
      <w:r>
        <w:t xml:space="preserve">. </w:t>
      </w:r>
    </w:p>
  </w:footnote>
  <w:footnote w:id="23">
    <w:p w14:paraId="0E1613A6" w14:textId="35464D71" w:rsidR="00AF0921" w:rsidRDefault="00AF0921">
      <w:pPr>
        <w:pStyle w:val="FootnoteText"/>
      </w:pPr>
      <w:r>
        <w:rPr>
          <w:rStyle w:val="FootnoteReference"/>
        </w:rPr>
        <w:footnoteRef/>
      </w:r>
      <w:r>
        <w:t xml:space="preserve"> Australian Government, Department of Health (last updated 24 November 2021) Coronavirus (COVID-19) Vaccination numbers and statistics. Accessed 24 November 2021.</w:t>
      </w:r>
    </w:p>
    <w:p w14:paraId="6515C4E3" w14:textId="4FFB025A" w:rsidR="00AF0921" w:rsidRDefault="00AF0921">
      <w:pPr>
        <w:pStyle w:val="FootnoteText"/>
      </w:pPr>
      <w:r>
        <w:t xml:space="preserve">Available at: </w:t>
      </w:r>
      <w:hyperlink r:id="rId9" w:history="1">
        <w:r w:rsidRPr="00F42639">
          <w:rPr>
            <w:rStyle w:val="Hyperlink"/>
          </w:rPr>
          <w:t>Vaccination numbers and statistics | Australian Government Department of Health</w:t>
        </w:r>
      </w:hyperlink>
      <w:r>
        <w:t xml:space="preserve"> </w:t>
      </w:r>
    </w:p>
  </w:footnote>
  <w:footnote w:id="24">
    <w:p w14:paraId="1E2F878C" w14:textId="001D8B9F" w:rsidR="00AF0921" w:rsidRDefault="00AF0921">
      <w:pPr>
        <w:pStyle w:val="FootnoteText"/>
      </w:pPr>
      <w:r>
        <w:rPr>
          <w:rStyle w:val="FootnoteReference"/>
        </w:rPr>
        <w:footnoteRef/>
      </w:r>
      <w:r>
        <w:t xml:space="preserve"> World Health Organisation (last updated 4 October 2021) Interim statement on booster doses for COVID-19 vaccination. Accessed 25 November 2021.</w:t>
      </w:r>
    </w:p>
    <w:p w14:paraId="0881F48F" w14:textId="2C9C1F8C" w:rsidR="00AF0921" w:rsidRDefault="00AF0921">
      <w:pPr>
        <w:pStyle w:val="FootnoteText"/>
      </w:pPr>
      <w:r>
        <w:t xml:space="preserve">Available at: </w:t>
      </w:r>
      <w:hyperlink r:id="rId10" w:history="1">
        <w:r w:rsidRPr="0062316E">
          <w:rPr>
            <w:rStyle w:val="Hyperlink"/>
          </w:rPr>
          <w:t>Interim statement on booster doses for COVID-19 vaccination (who.int)</w:t>
        </w:r>
      </w:hyperlink>
    </w:p>
  </w:footnote>
  <w:footnote w:id="25">
    <w:p w14:paraId="5A37D1C9" w14:textId="155E0D12" w:rsidR="00AF0921" w:rsidRDefault="00AF0921" w:rsidP="00D81614">
      <w:pPr>
        <w:pStyle w:val="FootnoteText"/>
      </w:pPr>
      <w:r>
        <w:rPr>
          <w:rStyle w:val="FootnoteReference"/>
        </w:rPr>
        <w:footnoteRef/>
      </w:r>
      <w:r>
        <w:t xml:space="preserve"> Therapeutic goods must be entered in the Australian Register of Therapeutic Goods (ARTG) before they  </w:t>
      </w:r>
    </w:p>
    <w:p w14:paraId="2A77EB8E" w14:textId="77777777" w:rsidR="00AF0921" w:rsidRDefault="00AF0921" w:rsidP="00D81614">
      <w:pPr>
        <w:pStyle w:val="FootnoteText"/>
      </w:pPr>
      <w:r>
        <w:t xml:space="preserve">can be lawfully supplied in or exported from Australia, unless exempt from being entered in the ARTG, or </w:t>
      </w:r>
    </w:p>
    <w:p w14:paraId="2CC994F4" w14:textId="69D45EFE" w:rsidR="00AF0921" w:rsidRDefault="00AF0921" w:rsidP="00D81614">
      <w:pPr>
        <w:pStyle w:val="FootnoteText"/>
      </w:pPr>
      <w:r>
        <w:t xml:space="preserve">otherwise authorised by the TGA. For further information visit: </w:t>
      </w:r>
      <w:hyperlink r:id="rId11" w:history="1">
        <w:r w:rsidRPr="0006630A">
          <w:rPr>
            <w:rStyle w:val="Hyperlink"/>
          </w:rPr>
          <w:t>Australian Register of Therapeutic Goods | Therapeutic Goods Administration (TGA)</w:t>
        </w:r>
      </w:hyperlink>
      <w:r>
        <w:t xml:space="preserve"> </w:t>
      </w:r>
    </w:p>
  </w:footnote>
  <w:footnote w:id="26">
    <w:p w14:paraId="4B3BD82B" w14:textId="28AAF7CD" w:rsidR="00AF0921" w:rsidRDefault="00AF0921">
      <w:pPr>
        <w:pStyle w:val="FootnoteText"/>
      </w:pPr>
      <w:r>
        <w:rPr>
          <w:rStyle w:val="FootnoteReference"/>
        </w:rPr>
        <w:footnoteRef/>
      </w:r>
      <w:r>
        <w:t xml:space="preserve"> </w:t>
      </w:r>
      <w:proofErr w:type="spellStart"/>
      <w:r>
        <w:t>AusPAR</w:t>
      </w:r>
      <w:proofErr w:type="spellEnd"/>
      <w:r>
        <w:t xml:space="preserve"> for </w:t>
      </w:r>
      <w:proofErr w:type="spellStart"/>
      <w:r>
        <w:t>Spikevax</w:t>
      </w:r>
      <w:proofErr w:type="spellEnd"/>
      <w:r>
        <w:t xml:space="preserve"> (</w:t>
      </w:r>
      <w:proofErr w:type="spellStart"/>
      <w:r>
        <w:t>elasomeran</w:t>
      </w:r>
      <w:proofErr w:type="spellEnd"/>
      <w:r>
        <w:t>) new biological entity, published on 9 August 2021. Available at:</w:t>
      </w:r>
    </w:p>
    <w:p w14:paraId="41F14059" w14:textId="2DDDC3D5" w:rsidR="00AF0921" w:rsidRDefault="00AF0921">
      <w:pPr>
        <w:pStyle w:val="FootnoteText"/>
      </w:pPr>
      <w:hyperlink r:id="rId12" w:history="1">
        <w:r w:rsidRPr="0018675E">
          <w:rPr>
            <w:rStyle w:val="Hyperlink"/>
          </w:rPr>
          <w:t xml:space="preserve">Australian public assessment report for </w:t>
        </w:r>
        <w:proofErr w:type="spellStart"/>
        <w:r w:rsidRPr="0018675E">
          <w:rPr>
            <w:rStyle w:val="Hyperlink"/>
          </w:rPr>
          <w:t>Elasomeran</w:t>
        </w:r>
        <w:proofErr w:type="spellEnd"/>
        <w:r w:rsidRPr="0018675E">
          <w:rPr>
            <w:rStyle w:val="Hyperlink"/>
          </w:rPr>
          <w:t xml:space="preserve"> (tga.gov.au)</w:t>
        </w:r>
      </w:hyperlink>
      <w:r>
        <w:t xml:space="preserve"> </w:t>
      </w:r>
    </w:p>
  </w:footnote>
  <w:footnote w:id="27">
    <w:p w14:paraId="798BF45F" w14:textId="0EB9EFA0" w:rsidR="00AF0921" w:rsidRDefault="00AF0921">
      <w:pPr>
        <w:pStyle w:val="FootnoteText"/>
      </w:pPr>
      <w:r>
        <w:rPr>
          <w:rStyle w:val="FootnoteReference"/>
        </w:rPr>
        <w:footnoteRef/>
      </w:r>
      <w:r>
        <w:t xml:space="preserve">mRNA-1273 refers to the vaccine development name for the </w:t>
      </w:r>
      <w:proofErr w:type="spellStart"/>
      <w:r>
        <w:t>Moderna</w:t>
      </w:r>
      <w:proofErr w:type="spellEnd"/>
      <w:r>
        <w:t xml:space="preserve"> </w:t>
      </w:r>
      <w:proofErr w:type="spellStart"/>
      <w:r>
        <w:t>Spikevax</w:t>
      </w:r>
      <w:proofErr w:type="spellEnd"/>
      <w:r>
        <w:t xml:space="preserve"> (</w:t>
      </w:r>
      <w:proofErr w:type="spellStart"/>
      <w:r>
        <w:t>elasomeran</w:t>
      </w:r>
      <w:proofErr w:type="spellEnd"/>
      <w:r>
        <w:t xml:space="preserve">) COVID-19 vaccine </w:t>
      </w:r>
    </w:p>
  </w:footnote>
  <w:footnote w:id="28">
    <w:p w14:paraId="6C102981" w14:textId="4A25DF99" w:rsidR="00AF0921" w:rsidRDefault="00AF0921">
      <w:pPr>
        <w:pStyle w:val="FootnoteText"/>
      </w:pPr>
      <w:r>
        <w:rPr>
          <w:rStyle w:val="FootnoteReference"/>
        </w:rPr>
        <w:footnoteRef/>
      </w:r>
      <w:r>
        <w:t xml:space="preserve"> </w:t>
      </w:r>
      <w:proofErr w:type="spellStart"/>
      <w:r>
        <w:t>Spikevax</w:t>
      </w:r>
      <w:proofErr w:type="spellEnd"/>
      <w:r>
        <w:t xml:space="preserve"> (</w:t>
      </w:r>
      <w:proofErr w:type="spellStart"/>
      <w:r>
        <w:t>elasomeran</w:t>
      </w:r>
      <w:proofErr w:type="spellEnd"/>
      <w:r>
        <w:t xml:space="preserve">) </w:t>
      </w:r>
      <w:proofErr w:type="spellStart"/>
      <w:r>
        <w:t>AusPAR</w:t>
      </w:r>
      <w:proofErr w:type="spellEnd"/>
      <w:r>
        <w:t xml:space="preserve"> </w:t>
      </w:r>
      <w:r w:rsidRPr="00D30EA8">
        <w:t>https://www.tga.gov.au/auspar/auspar-elasomeran</w:t>
      </w:r>
    </w:p>
  </w:footnote>
  <w:footnote w:id="29">
    <w:p w14:paraId="29067371" w14:textId="0EEB02AE" w:rsidR="00AF0921" w:rsidRPr="007A06D0" w:rsidRDefault="00AF0921" w:rsidP="007A06D0">
      <w:pPr>
        <w:pStyle w:val="FootnoteText"/>
      </w:pPr>
      <w:r w:rsidRPr="00856A35">
        <w:rPr>
          <w:rStyle w:val="FootnoteReference"/>
        </w:rPr>
        <w:footnoteRef/>
      </w:r>
      <w:hyperlink r:id="rId13" w:history="1">
        <w:proofErr w:type="spellStart"/>
        <w:r w:rsidRPr="007A06D0">
          <w:rPr>
            <w:rStyle w:val="Hyperlink"/>
            <w:color w:val="auto"/>
            <w:u w:val="none"/>
          </w:rPr>
          <w:t>Riester</w:t>
        </w:r>
        <w:proofErr w:type="spellEnd"/>
      </w:hyperlink>
      <w:r w:rsidRPr="007A06D0">
        <w:rPr>
          <w:rStyle w:val="authors-list-item"/>
        </w:rPr>
        <w:t>, E</w:t>
      </w:r>
      <w:r w:rsidRPr="007A06D0">
        <w:rPr>
          <w:rStyle w:val="author-sup-separator"/>
        </w:rPr>
        <w:t> </w:t>
      </w:r>
      <w:r w:rsidRPr="007A06D0">
        <w:rPr>
          <w:rStyle w:val="comma"/>
        </w:rPr>
        <w:t>,</w:t>
      </w:r>
      <w:hyperlink r:id="rId14" w:history="1">
        <w:r w:rsidRPr="007A06D0">
          <w:rPr>
            <w:rStyle w:val="Hyperlink"/>
            <w:color w:val="auto"/>
            <w:u w:val="none"/>
          </w:rPr>
          <w:t>Majchrzak</w:t>
        </w:r>
      </w:hyperlink>
      <w:r w:rsidRPr="007A06D0">
        <w:rPr>
          <w:rStyle w:val="authors-list-item"/>
        </w:rPr>
        <w:t xml:space="preserve">, M, </w:t>
      </w:r>
      <w:hyperlink r:id="rId15" w:history="1">
        <w:proofErr w:type="spellStart"/>
        <w:r w:rsidRPr="007A06D0">
          <w:rPr>
            <w:rStyle w:val="Hyperlink"/>
            <w:color w:val="auto"/>
            <w:u w:val="none"/>
          </w:rPr>
          <w:t>Mühlbacher</w:t>
        </w:r>
        <w:proofErr w:type="spellEnd"/>
      </w:hyperlink>
      <w:r w:rsidRPr="007A06D0">
        <w:rPr>
          <w:rStyle w:val="authors-list-item"/>
        </w:rPr>
        <w:t xml:space="preserve"> A et al (2021). </w:t>
      </w:r>
      <w:r w:rsidRPr="007A06D0">
        <w:t xml:space="preserve">Multicentre Performance Evaluation of the </w:t>
      </w:r>
      <w:proofErr w:type="spellStart"/>
      <w:r w:rsidRPr="007A06D0">
        <w:t>Elecsys</w:t>
      </w:r>
      <w:proofErr w:type="spellEnd"/>
      <w:r w:rsidRPr="007A06D0">
        <w:t xml:space="preserve"> Anti-SARS-CoV-2 Immunoassay as an Aid in Determining Previous Exposure to SARS-CoV-2</w:t>
      </w:r>
    </w:p>
    <w:p w14:paraId="4F722187" w14:textId="108313A2" w:rsidR="00AF0921" w:rsidRPr="000A4174" w:rsidRDefault="00AF0921" w:rsidP="000A4174">
      <w:pPr>
        <w:pStyle w:val="FootnoteText"/>
      </w:pPr>
      <w:r w:rsidRPr="000A4174">
        <w:t xml:space="preserve">Infect Dis </w:t>
      </w:r>
      <w:proofErr w:type="spellStart"/>
      <w:r w:rsidRPr="000A4174">
        <w:t>Ther</w:t>
      </w:r>
      <w:proofErr w:type="spellEnd"/>
      <w:r w:rsidRPr="00F92765">
        <w:t xml:space="preserve"> </w:t>
      </w:r>
      <w:r w:rsidRPr="007A06D0">
        <w:rPr>
          <w:rStyle w:val="cit"/>
        </w:rPr>
        <w:t>2021 Dec;10(4):2381-2397.</w:t>
      </w:r>
      <w:r w:rsidRPr="007A06D0">
        <w:rPr>
          <w:rStyle w:val="secondary-date"/>
        </w:rPr>
        <w:t>Epub 2021 Aug 9.</w:t>
      </w:r>
    </w:p>
  </w:footnote>
  <w:footnote w:id="30">
    <w:p w14:paraId="65B22CFD" w14:textId="77777777" w:rsidR="00AF0921" w:rsidRDefault="00AF0921" w:rsidP="007A06D0">
      <w:pPr>
        <w:pStyle w:val="FootnoteText"/>
        <w:keepNext/>
        <w:keepLines/>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7F74D852" w14:textId="77777777" w:rsidR="00AF0921" w:rsidRDefault="00AF0921" w:rsidP="007A06D0">
      <w:pPr>
        <w:pStyle w:val="FootnoteText"/>
        <w:keepNext/>
        <w:keepLines/>
      </w:pPr>
      <w:r w:rsidRPr="007D53B6">
        <w:rPr>
          <w:i/>
        </w:rPr>
        <w:t>Routine pharmacovigilance</w:t>
      </w:r>
      <w:r>
        <w:t xml:space="preserve"> practices involve the following activities:</w:t>
      </w:r>
    </w:p>
    <w:p w14:paraId="409BD001" w14:textId="77777777" w:rsidR="00AF0921" w:rsidRDefault="00AF0921" w:rsidP="007A06D0">
      <w:pPr>
        <w:pStyle w:val="FootnoteText"/>
        <w:keepNext/>
        <w:keepLines/>
        <w:numPr>
          <w:ilvl w:val="0"/>
          <w:numId w:val="32"/>
        </w:numPr>
        <w:ind w:left="284" w:hanging="284"/>
      </w:pPr>
      <w:r>
        <w:t xml:space="preserve">All suspected adverse reactions that are reported to the personnel of the company are collected and collated in an accessible </w:t>
      </w:r>
      <w:proofErr w:type="gramStart"/>
      <w:r>
        <w:t>manner;</w:t>
      </w:r>
      <w:proofErr w:type="gramEnd"/>
    </w:p>
    <w:p w14:paraId="348786EA" w14:textId="77777777" w:rsidR="00AF0921" w:rsidRDefault="00AF0921" w:rsidP="007A06D0">
      <w:pPr>
        <w:pStyle w:val="FootnoteText"/>
        <w:keepNext/>
        <w:keepLines/>
        <w:numPr>
          <w:ilvl w:val="0"/>
          <w:numId w:val="32"/>
        </w:numPr>
        <w:ind w:left="284" w:hanging="284"/>
      </w:pPr>
      <w:r>
        <w:t xml:space="preserve">Reporting to regulatory </w:t>
      </w:r>
      <w:proofErr w:type="gramStart"/>
      <w:r>
        <w:t>authorities;</w:t>
      </w:r>
      <w:proofErr w:type="gramEnd"/>
    </w:p>
    <w:p w14:paraId="4E4F7C99" w14:textId="77777777" w:rsidR="00AF0921" w:rsidRDefault="00AF0921" w:rsidP="007A06D0">
      <w:pPr>
        <w:pStyle w:val="FootnoteText"/>
        <w:keepNext/>
        <w:keepLines/>
        <w:numPr>
          <w:ilvl w:val="0"/>
          <w:numId w:val="32"/>
        </w:numPr>
        <w:ind w:left="284" w:hanging="284"/>
      </w:pPr>
      <w:r>
        <w:t xml:space="preserve">Continuous monitoring of the safety profiles of approved products including signal detection and updating of </w:t>
      </w:r>
      <w:proofErr w:type="gramStart"/>
      <w:r>
        <w:t>labelling;</w:t>
      </w:r>
      <w:proofErr w:type="gramEnd"/>
    </w:p>
    <w:p w14:paraId="5A6BDF42" w14:textId="77777777" w:rsidR="00AF0921" w:rsidRDefault="00AF0921" w:rsidP="007A06D0">
      <w:pPr>
        <w:pStyle w:val="FootnoteText"/>
        <w:keepNext/>
        <w:keepLines/>
        <w:numPr>
          <w:ilvl w:val="0"/>
          <w:numId w:val="32"/>
        </w:numPr>
        <w:ind w:left="284" w:hanging="284"/>
      </w:pPr>
      <w:r>
        <w:t xml:space="preserve">Submission of </w:t>
      </w:r>
      <w:proofErr w:type="gramStart"/>
      <w:r>
        <w:t>PSURs;</w:t>
      </w:r>
      <w:proofErr w:type="gramEnd"/>
    </w:p>
    <w:p w14:paraId="7760D378" w14:textId="77777777" w:rsidR="00AF0921" w:rsidRDefault="00AF0921" w:rsidP="007A06D0">
      <w:pPr>
        <w:pStyle w:val="FootnoteText"/>
        <w:keepNext/>
        <w:keepLines/>
        <w:numPr>
          <w:ilvl w:val="0"/>
          <w:numId w:val="32"/>
        </w:numPr>
        <w:ind w:left="284" w:hanging="284"/>
      </w:pPr>
      <w:r>
        <w:t>Meeting other local regulatory agency requirements.</w:t>
      </w:r>
    </w:p>
  </w:footnote>
  <w:footnote w:id="31">
    <w:p w14:paraId="65DD66C0" w14:textId="748A0D57" w:rsidR="00AF0921" w:rsidRDefault="00AF0921">
      <w:pPr>
        <w:pStyle w:val="FootnoteText"/>
      </w:pPr>
      <w:r>
        <w:rPr>
          <w:rStyle w:val="FootnoteReference"/>
        </w:rPr>
        <w:footnoteRef/>
      </w:r>
      <w:r>
        <w:t xml:space="preserve"> </w:t>
      </w:r>
      <w:proofErr w:type="spellStart"/>
      <w:r>
        <w:t>AusPAR</w:t>
      </w:r>
      <w:proofErr w:type="spellEnd"/>
      <w:r>
        <w:t xml:space="preserve"> for </w:t>
      </w:r>
      <w:proofErr w:type="spellStart"/>
      <w:r>
        <w:t>Spikevax</w:t>
      </w:r>
      <w:proofErr w:type="spellEnd"/>
      <w:r>
        <w:t xml:space="preserve"> (</w:t>
      </w:r>
      <w:proofErr w:type="spellStart"/>
      <w:r>
        <w:t>elasomeran</w:t>
      </w:r>
      <w:proofErr w:type="spellEnd"/>
      <w:r>
        <w:t>) new biological entity, published on 4 September 2021. Available at:</w:t>
      </w:r>
    </w:p>
    <w:p w14:paraId="6F2EAC2D" w14:textId="62B6D704" w:rsidR="00AF0921" w:rsidRDefault="00AF0921">
      <w:pPr>
        <w:pStyle w:val="FootnoteText"/>
      </w:pPr>
      <w:hyperlink r:id="rId16" w:history="1">
        <w:r w:rsidRPr="00363F89">
          <w:rPr>
            <w:rStyle w:val="Hyperlink"/>
          </w:rPr>
          <w:t xml:space="preserve">Australian Public Assessment Report for </w:t>
        </w:r>
        <w:proofErr w:type="spellStart"/>
        <w:r w:rsidRPr="00363F89">
          <w:rPr>
            <w:rStyle w:val="Hyperlink"/>
          </w:rPr>
          <w:t>Elasomeran</w:t>
        </w:r>
        <w:proofErr w:type="spellEnd"/>
        <w:r w:rsidRPr="00363F89">
          <w:rPr>
            <w:rStyle w:val="Hyperlink"/>
          </w:rPr>
          <w:t xml:space="preserve"> (tga.gov.au)</w:t>
        </w:r>
      </w:hyperlink>
      <w:r>
        <w:t xml:space="preserve"> </w:t>
      </w:r>
    </w:p>
  </w:footnote>
  <w:footnote w:id="32">
    <w:p w14:paraId="0B125365" w14:textId="77777777" w:rsidR="00AF0921" w:rsidRDefault="00AF0921" w:rsidP="008E4F83">
      <w:pPr>
        <w:pStyle w:val="FootnoteText"/>
      </w:pPr>
      <w:r>
        <w:rPr>
          <w:rStyle w:val="FootnoteReference"/>
        </w:rPr>
        <w:footnoteRef/>
      </w:r>
      <w:r>
        <w:t xml:space="preserve"> The Advisory Committee on Vaccines (ACV) provides independent medical and scientific advice to the </w:t>
      </w:r>
    </w:p>
    <w:p w14:paraId="5916070E" w14:textId="77777777" w:rsidR="00AF0921" w:rsidRDefault="00AF0921" w:rsidP="008E4F83">
      <w:pPr>
        <w:pStyle w:val="FootnoteText"/>
      </w:pPr>
      <w:r>
        <w:t xml:space="preserve">Minister for Health and the Therapeutic Goods Administration (TGA) on issues relating to the safety, quality </w:t>
      </w:r>
    </w:p>
    <w:p w14:paraId="3D199B39" w14:textId="77777777" w:rsidR="00AF0921" w:rsidRDefault="00AF0921" w:rsidP="008E4F83">
      <w:pPr>
        <w:pStyle w:val="FootnoteText"/>
      </w:pPr>
      <w:r>
        <w:t xml:space="preserve">and efficacy of vaccines supplied in Australia including issues relating to pre-market assessment, post-market </w:t>
      </w:r>
    </w:p>
    <w:p w14:paraId="1A64AC35" w14:textId="77777777" w:rsidR="00AF0921" w:rsidRDefault="00AF0921" w:rsidP="008E4F83">
      <w:pPr>
        <w:pStyle w:val="FootnoteText"/>
      </w:pPr>
      <w:r>
        <w:t>monitoring and safe use in national immunisation programs.</w:t>
      </w:r>
    </w:p>
    <w:p w14:paraId="232F2035" w14:textId="77777777" w:rsidR="00AF0921" w:rsidRDefault="00AF0921" w:rsidP="008E4F83">
      <w:pPr>
        <w:pStyle w:val="FootnoteText"/>
      </w:pPr>
      <w:r>
        <w:t xml:space="preserve">The Committee is established under Regulation 39F of the Therapeutic Goods Regulations 1990 and the </w:t>
      </w:r>
    </w:p>
    <w:p w14:paraId="61F35882" w14:textId="77777777" w:rsidR="00AF0921" w:rsidRDefault="00AF0921" w:rsidP="008E4F83">
      <w:pPr>
        <w:pStyle w:val="FootnoteText"/>
      </w:pPr>
      <w:r>
        <w:t>members are appointed by the Minister for Health.</w:t>
      </w:r>
    </w:p>
    <w:p w14:paraId="4F976976" w14:textId="77777777" w:rsidR="00AF0921" w:rsidRDefault="00AF0921" w:rsidP="008E4F83">
      <w:pPr>
        <w:pStyle w:val="FootnoteText"/>
      </w:pPr>
      <w:r>
        <w:t xml:space="preserve">The ACV was established in January 2017, following consolidation of previous functions of the Advisory </w:t>
      </w:r>
    </w:p>
    <w:p w14:paraId="7EB5C5D4" w14:textId="77777777" w:rsidR="00AF0921" w:rsidRDefault="00AF0921" w:rsidP="008E4F83">
      <w:pPr>
        <w:pStyle w:val="FootnoteText"/>
      </w:pPr>
      <w:r>
        <w:t xml:space="preserve">Committee on the Safety of Vaccines (ACSOV) and the pre-market functions for vaccines of the Advisory </w:t>
      </w:r>
    </w:p>
    <w:p w14:paraId="1E7360C9" w14:textId="77777777" w:rsidR="00AF0921" w:rsidRDefault="00AF0921" w:rsidP="008E4F83">
      <w:pPr>
        <w:pStyle w:val="FootnoteText"/>
      </w:pPr>
      <w:r>
        <w:t>Committee on Prescription Medicines (ACPM).</w:t>
      </w:r>
    </w:p>
    <w:p w14:paraId="4B54C1C8" w14:textId="77777777" w:rsidR="00AF0921" w:rsidRDefault="00AF0921" w:rsidP="008E4F83">
      <w:pPr>
        <w:pStyle w:val="FootnoteText"/>
      </w:pPr>
      <w:r>
        <w:t xml:space="preserve">Membership comprises professionals with expertise in specific scientific, </w:t>
      </w:r>
      <w:proofErr w:type="gramStart"/>
      <w:r>
        <w:t>medical</w:t>
      </w:r>
      <w:proofErr w:type="gramEnd"/>
      <w:r>
        <w:t xml:space="preserve"> or clinical fields, or </w:t>
      </w:r>
    </w:p>
    <w:p w14:paraId="36CFA381" w14:textId="0AF9D74A" w:rsidR="00AF0921" w:rsidRDefault="00AF0921" w:rsidP="008E4F83">
      <w:pPr>
        <w:pStyle w:val="FootnoteText"/>
      </w:pPr>
      <w:r>
        <w:t xml:space="preserve">consumer health issues.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DFD65" w14:textId="77777777" w:rsidR="00AF0921" w:rsidRDefault="00AF09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851F2" w14:textId="77777777" w:rsidR="00AF0921" w:rsidRDefault="00AF0921"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F637F" w14:textId="77777777" w:rsidR="00AF0921" w:rsidRDefault="00AF0921">
    <w:pPr>
      <w:rPr>
        <w:noProof/>
        <w:lang w:eastAsia="en-AU"/>
      </w:rPr>
    </w:pPr>
    <w:r w:rsidRPr="00347824">
      <w:rPr>
        <w:noProof/>
        <w:lang w:val="en-GB" w:eastAsia="en-GB"/>
      </w:rPr>
      <w:drawing>
        <wp:anchor distT="0" distB="0" distL="114300" distR="114300" simplePos="0" relativeHeight="251659264" behindDoc="1" locked="0" layoutInCell="1" allowOverlap="1" wp14:anchorId="089C81B6" wp14:editId="7728C9DA">
          <wp:simplePos x="0" y="0"/>
          <wp:positionH relativeFrom="column">
            <wp:posOffset>-1089660</wp:posOffset>
          </wp:positionH>
          <wp:positionV relativeFrom="paragraph">
            <wp:posOffset>-585470</wp:posOffset>
          </wp:positionV>
          <wp:extent cx="7572375" cy="10706100"/>
          <wp:effectExtent l="19050" t="0" r="0" b="0"/>
          <wp:wrapNone/>
          <wp:docPr id="9"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A6906AE" w14:textId="77777777" w:rsidR="00AF0921" w:rsidRDefault="00AF0921"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78818" w14:textId="77777777" w:rsidR="00AF0921" w:rsidRDefault="00AF092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579C9" w14:textId="77777777" w:rsidR="00AF0921" w:rsidRDefault="00AF0921">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3673F" w14:textId="77777777" w:rsidR="00AF0921" w:rsidRDefault="00AF0921">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157FC" w14:textId="77777777" w:rsidR="00AF0921" w:rsidRDefault="00AF092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D1877" w14:textId="77777777" w:rsidR="00AF0921" w:rsidRDefault="00AF0921"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5AEA0" w14:textId="77777777" w:rsidR="00AF0921" w:rsidRDefault="00AF0921" w:rsidP="006E08B3">
    <w:r>
      <w:t>Therapeutic Goods Administration</w:t>
    </w:r>
  </w:p>
  <w:p w14:paraId="21C8DC69" w14:textId="77777777" w:rsidR="00AF0921" w:rsidRDefault="00AF0921"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B0FAEF9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F13E9"/>
    <w:multiLevelType w:val="multilevel"/>
    <w:tmpl w:val="BF9EB11A"/>
    <w:styleLink w:val="ListBullets"/>
    <w:lvl w:ilvl="0">
      <w:start w:val="1"/>
      <w:numFmt w:val="bullet"/>
      <w:pStyle w:val="ListBullet"/>
      <w:lvlText w:val="•"/>
      <w:lvlJc w:val="left"/>
      <w:pPr>
        <w:ind w:left="360" w:hanging="360"/>
      </w:pPr>
      <w:rPr>
        <w:rFonts w:ascii="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38D504A7"/>
    <w:multiLevelType w:val="multilevel"/>
    <w:tmpl w:val="6002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3E707DF"/>
    <w:multiLevelType w:val="hybridMultilevel"/>
    <w:tmpl w:val="554CD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DB9413D"/>
    <w:multiLevelType w:val="hybridMultilevel"/>
    <w:tmpl w:val="1BB8C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8D83AF3"/>
    <w:multiLevelType w:val="hybridMultilevel"/>
    <w:tmpl w:val="8204661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0"/>
  </w:num>
  <w:num w:numId="28">
    <w:abstractNumId w:val="14"/>
  </w:num>
  <w:num w:numId="29">
    <w:abstractNumId w:val="6"/>
  </w:num>
  <w:num w:numId="30">
    <w:abstractNumId w:val="9"/>
  </w:num>
  <w:num w:numId="31">
    <w:abstractNumId w:val="4"/>
  </w:num>
  <w:num w:numId="32">
    <w:abstractNumId w:val="11"/>
  </w:num>
  <w:num w:numId="33">
    <w:abstractNumId w:val="8"/>
  </w:num>
  <w:num w:numId="34">
    <w:abstractNumId w:val="13"/>
  </w:num>
  <w:num w:numId="35">
    <w:abstractNumId w:val="15"/>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3CB"/>
    <w:rsid w:val="00002031"/>
    <w:rsid w:val="00004734"/>
    <w:rsid w:val="00006B22"/>
    <w:rsid w:val="00006FAB"/>
    <w:rsid w:val="0001276A"/>
    <w:rsid w:val="00024621"/>
    <w:rsid w:val="000246AE"/>
    <w:rsid w:val="00025C67"/>
    <w:rsid w:val="00034531"/>
    <w:rsid w:val="0004151F"/>
    <w:rsid w:val="00044772"/>
    <w:rsid w:val="0004541C"/>
    <w:rsid w:val="00050202"/>
    <w:rsid w:val="000513CB"/>
    <w:rsid w:val="0005559E"/>
    <w:rsid w:val="000574CC"/>
    <w:rsid w:val="000604D6"/>
    <w:rsid w:val="00062484"/>
    <w:rsid w:val="0006630A"/>
    <w:rsid w:val="000734D8"/>
    <w:rsid w:val="0007452C"/>
    <w:rsid w:val="00074738"/>
    <w:rsid w:val="00077775"/>
    <w:rsid w:val="00077CB9"/>
    <w:rsid w:val="0008787B"/>
    <w:rsid w:val="00090471"/>
    <w:rsid w:val="00096AA7"/>
    <w:rsid w:val="000A3AED"/>
    <w:rsid w:val="000A4174"/>
    <w:rsid w:val="000A41B4"/>
    <w:rsid w:val="000A62FE"/>
    <w:rsid w:val="000A7D96"/>
    <w:rsid w:val="000B3532"/>
    <w:rsid w:val="000B3A75"/>
    <w:rsid w:val="000B5C78"/>
    <w:rsid w:val="000C00C2"/>
    <w:rsid w:val="000C61F1"/>
    <w:rsid w:val="000C690F"/>
    <w:rsid w:val="000D0F07"/>
    <w:rsid w:val="000D1295"/>
    <w:rsid w:val="000D1637"/>
    <w:rsid w:val="000D391B"/>
    <w:rsid w:val="000D3D6D"/>
    <w:rsid w:val="000D4FC7"/>
    <w:rsid w:val="000E6196"/>
    <w:rsid w:val="000E67D6"/>
    <w:rsid w:val="000F4869"/>
    <w:rsid w:val="000F5B42"/>
    <w:rsid w:val="000F6E6F"/>
    <w:rsid w:val="0010601F"/>
    <w:rsid w:val="0010788A"/>
    <w:rsid w:val="00107966"/>
    <w:rsid w:val="00107A31"/>
    <w:rsid w:val="00110569"/>
    <w:rsid w:val="00110EA5"/>
    <w:rsid w:val="00112F56"/>
    <w:rsid w:val="00113525"/>
    <w:rsid w:val="00115010"/>
    <w:rsid w:val="0012197B"/>
    <w:rsid w:val="00122C2E"/>
    <w:rsid w:val="00124ACD"/>
    <w:rsid w:val="00125318"/>
    <w:rsid w:val="001258EF"/>
    <w:rsid w:val="001305A2"/>
    <w:rsid w:val="00133238"/>
    <w:rsid w:val="00133A1B"/>
    <w:rsid w:val="0014197B"/>
    <w:rsid w:val="001447CD"/>
    <w:rsid w:val="001516B1"/>
    <w:rsid w:val="00154EBB"/>
    <w:rsid w:val="00156316"/>
    <w:rsid w:val="00161181"/>
    <w:rsid w:val="001620C8"/>
    <w:rsid w:val="00162D14"/>
    <w:rsid w:val="00163780"/>
    <w:rsid w:val="00165389"/>
    <w:rsid w:val="00174A91"/>
    <w:rsid w:val="001753E4"/>
    <w:rsid w:val="0017693F"/>
    <w:rsid w:val="0018110E"/>
    <w:rsid w:val="00181684"/>
    <w:rsid w:val="001816A8"/>
    <w:rsid w:val="001843C6"/>
    <w:rsid w:val="001850E0"/>
    <w:rsid w:val="0018675E"/>
    <w:rsid w:val="00186DD9"/>
    <w:rsid w:val="001A03AF"/>
    <w:rsid w:val="001A2158"/>
    <w:rsid w:val="001A34A3"/>
    <w:rsid w:val="001A525F"/>
    <w:rsid w:val="001B09F9"/>
    <w:rsid w:val="001B4923"/>
    <w:rsid w:val="001B5C90"/>
    <w:rsid w:val="001B6448"/>
    <w:rsid w:val="001B7280"/>
    <w:rsid w:val="001C2B4A"/>
    <w:rsid w:val="001C32CD"/>
    <w:rsid w:val="001D2984"/>
    <w:rsid w:val="001D68F0"/>
    <w:rsid w:val="001E07CF"/>
    <w:rsid w:val="001E2A89"/>
    <w:rsid w:val="001E59F1"/>
    <w:rsid w:val="001F1FDD"/>
    <w:rsid w:val="001F2CEE"/>
    <w:rsid w:val="001F49EB"/>
    <w:rsid w:val="001F531D"/>
    <w:rsid w:val="001F6CBA"/>
    <w:rsid w:val="00201D4E"/>
    <w:rsid w:val="002076C9"/>
    <w:rsid w:val="0021546E"/>
    <w:rsid w:val="00215836"/>
    <w:rsid w:val="0021744F"/>
    <w:rsid w:val="00217DA4"/>
    <w:rsid w:val="00220B8A"/>
    <w:rsid w:val="002257F3"/>
    <w:rsid w:val="002308FC"/>
    <w:rsid w:val="00233456"/>
    <w:rsid w:val="002339A5"/>
    <w:rsid w:val="00235E83"/>
    <w:rsid w:val="0023785F"/>
    <w:rsid w:val="0024102A"/>
    <w:rsid w:val="00250271"/>
    <w:rsid w:val="0025159B"/>
    <w:rsid w:val="00255745"/>
    <w:rsid w:val="00257848"/>
    <w:rsid w:val="002578E8"/>
    <w:rsid w:val="00260E48"/>
    <w:rsid w:val="00264A2A"/>
    <w:rsid w:val="0027084A"/>
    <w:rsid w:val="002754E2"/>
    <w:rsid w:val="00280265"/>
    <w:rsid w:val="00280861"/>
    <w:rsid w:val="00286434"/>
    <w:rsid w:val="00286C59"/>
    <w:rsid w:val="00287342"/>
    <w:rsid w:val="00290AD3"/>
    <w:rsid w:val="00291659"/>
    <w:rsid w:val="00291957"/>
    <w:rsid w:val="00293B2C"/>
    <w:rsid w:val="002942D1"/>
    <w:rsid w:val="0029501A"/>
    <w:rsid w:val="002A1785"/>
    <w:rsid w:val="002A31D3"/>
    <w:rsid w:val="002A3721"/>
    <w:rsid w:val="002A6693"/>
    <w:rsid w:val="002A66C5"/>
    <w:rsid w:val="002B0BAF"/>
    <w:rsid w:val="002B1638"/>
    <w:rsid w:val="002B3624"/>
    <w:rsid w:val="002B6243"/>
    <w:rsid w:val="002C3EB0"/>
    <w:rsid w:val="002C560A"/>
    <w:rsid w:val="002C6F49"/>
    <w:rsid w:val="002D0952"/>
    <w:rsid w:val="002D0C3A"/>
    <w:rsid w:val="002D256B"/>
    <w:rsid w:val="002E40B3"/>
    <w:rsid w:val="002E4C9A"/>
    <w:rsid w:val="002E54E2"/>
    <w:rsid w:val="002E7B34"/>
    <w:rsid w:val="002F11F8"/>
    <w:rsid w:val="002F3F56"/>
    <w:rsid w:val="002F44B5"/>
    <w:rsid w:val="002F46A2"/>
    <w:rsid w:val="002F5122"/>
    <w:rsid w:val="002F69A0"/>
    <w:rsid w:val="002F6F2D"/>
    <w:rsid w:val="0030718C"/>
    <w:rsid w:val="00311AC0"/>
    <w:rsid w:val="003176FC"/>
    <w:rsid w:val="00324E45"/>
    <w:rsid w:val="0032583B"/>
    <w:rsid w:val="00327883"/>
    <w:rsid w:val="00335504"/>
    <w:rsid w:val="00340662"/>
    <w:rsid w:val="00340C18"/>
    <w:rsid w:val="00342147"/>
    <w:rsid w:val="003442FD"/>
    <w:rsid w:val="00347824"/>
    <w:rsid w:val="00350567"/>
    <w:rsid w:val="00351453"/>
    <w:rsid w:val="003521E8"/>
    <w:rsid w:val="00363F89"/>
    <w:rsid w:val="003703CB"/>
    <w:rsid w:val="00370CE3"/>
    <w:rsid w:val="003728F3"/>
    <w:rsid w:val="003735BC"/>
    <w:rsid w:val="0037496E"/>
    <w:rsid w:val="00383221"/>
    <w:rsid w:val="00385162"/>
    <w:rsid w:val="00386150"/>
    <w:rsid w:val="003874CE"/>
    <w:rsid w:val="00390900"/>
    <w:rsid w:val="003919EE"/>
    <w:rsid w:val="0039605C"/>
    <w:rsid w:val="003A5608"/>
    <w:rsid w:val="003A7F6C"/>
    <w:rsid w:val="003B08EA"/>
    <w:rsid w:val="003B1037"/>
    <w:rsid w:val="003B2923"/>
    <w:rsid w:val="003B2CE2"/>
    <w:rsid w:val="003B3C53"/>
    <w:rsid w:val="003B4B83"/>
    <w:rsid w:val="003B4D60"/>
    <w:rsid w:val="003B65F8"/>
    <w:rsid w:val="003B7E39"/>
    <w:rsid w:val="003C2642"/>
    <w:rsid w:val="003C58DC"/>
    <w:rsid w:val="003D0748"/>
    <w:rsid w:val="003D1E62"/>
    <w:rsid w:val="003E0B99"/>
    <w:rsid w:val="003E2486"/>
    <w:rsid w:val="003E3208"/>
    <w:rsid w:val="003E42BA"/>
    <w:rsid w:val="003F0B04"/>
    <w:rsid w:val="003F2CBB"/>
    <w:rsid w:val="0040134E"/>
    <w:rsid w:val="0041216C"/>
    <w:rsid w:val="00416379"/>
    <w:rsid w:val="004334C7"/>
    <w:rsid w:val="00440A2D"/>
    <w:rsid w:val="00441C3F"/>
    <w:rsid w:val="00444D1A"/>
    <w:rsid w:val="00446CBC"/>
    <w:rsid w:val="0045186A"/>
    <w:rsid w:val="00452802"/>
    <w:rsid w:val="004564A7"/>
    <w:rsid w:val="004566DE"/>
    <w:rsid w:val="00456765"/>
    <w:rsid w:val="00460036"/>
    <w:rsid w:val="004617BF"/>
    <w:rsid w:val="00463658"/>
    <w:rsid w:val="004637A0"/>
    <w:rsid w:val="00466514"/>
    <w:rsid w:val="00467218"/>
    <w:rsid w:val="00470B43"/>
    <w:rsid w:val="004722CC"/>
    <w:rsid w:val="004734E7"/>
    <w:rsid w:val="00481F4C"/>
    <w:rsid w:val="0048346F"/>
    <w:rsid w:val="00490483"/>
    <w:rsid w:val="00492975"/>
    <w:rsid w:val="004936E4"/>
    <w:rsid w:val="00494E60"/>
    <w:rsid w:val="00497487"/>
    <w:rsid w:val="004A2771"/>
    <w:rsid w:val="004A6189"/>
    <w:rsid w:val="004A7390"/>
    <w:rsid w:val="004B0EE3"/>
    <w:rsid w:val="004B7B76"/>
    <w:rsid w:val="004C239D"/>
    <w:rsid w:val="004C2DCA"/>
    <w:rsid w:val="004C4D57"/>
    <w:rsid w:val="004C4FBE"/>
    <w:rsid w:val="004C61D2"/>
    <w:rsid w:val="004C64FE"/>
    <w:rsid w:val="004D7C14"/>
    <w:rsid w:val="004E35CD"/>
    <w:rsid w:val="004E450F"/>
    <w:rsid w:val="004E697C"/>
    <w:rsid w:val="004F0C4A"/>
    <w:rsid w:val="004F0F38"/>
    <w:rsid w:val="004F44CE"/>
    <w:rsid w:val="004F47D6"/>
    <w:rsid w:val="004F4C27"/>
    <w:rsid w:val="00500337"/>
    <w:rsid w:val="00501921"/>
    <w:rsid w:val="00510BD9"/>
    <w:rsid w:val="005157C9"/>
    <w:rsid w:val="005172DB"/>
    <w:rsid w:val="00520A44"/>
    <w:rsid w:val="00523FD3"/>
    <w:rsid w:val="00524504"/>
    <w:rsid w:val="005252B2"/>
    <w:rsid w:val="00525E2A"/>
    <w:rsid w:val="00530354"/>
    <w:rsid w:val="0053625B"/>
    <w:rsid w:val="005434C6"/>
    <w:rsid w:val="00543B39"/>
    <w:rsid w:val="00545964"/>
    <w:rsid w:val="00546154"/>
    <w:rsid w:val="00550096"/>
    <w:rsid w:val="00555280"/>
    <w:rsid w:val="00557FF9"/>
    <w:rsid w:val="00562327"/>
    <w:rsid w:val="00562A80"/>
    <w:rsid w:val="00565FB5"/>
    <w:rsid w:val="0057104B"/>
    <w:rsid w:val="005711D5"/>
    <w:rsid w:val="00571247"/>
    <w:rsid w:val="00572CA2"/>
    <w:rsid w:val="00576378"/>
    <w:rsid w:val="00577130"/>
    <w:rsid w:val="00577945"/>
    <w:rsid w:val="00577E38"/>
    <w:rsid w:val="005840A6"/>
    <w:rsid w:val="00585246"/>
    <w:rsid w:val="00585322"/>
    <w:rsid w:val="005857C6"/>
    <w:rsid w:val="00586553"/>
    <w:rsid w:val="00592F6E"/>
    <w:rsid w:val="00593AD1"/>
    <w:rsid w:val="00593FC1"/>
    <w:rsid w:val="005948D6"/>
    <w:rsid w:val="005A2739"/>
    <w:rsid w:val="005A2D7D"/>
    <w:rsid w:val="005A68B6"/>
    <w:rsid w:val="005B5AD4"/>
    <w:rsid w:val="005C48A5"/>
    <w:rsid w:val="005C5570"/>
    <w:rsid w:val="005C5B66"/>
    <w:rsid w:val="005C79A4"/>
    <w:rsid w:val="005C7C7E"/>
    <w:rsid w:val="005D4B1F"/>
    <w:rsid w:val="005D5442"/>
    <w:rsid w:val="005E02BD"/>
    <w:rsid w:val="005E0E5B"/>
    <w:rsid w:val="005E3067"/>
    <w:rsid w:val="00600B98"/>
    <w:rsid w:val="00603762"/>
    <w:rsid w:val="00603F32"/>
    <w:rsid w:val="00605AD4"/>
    <w:rsid w:val="00611F71"/>
    <w:rsid w:val="006136D7"/>
    <w:rsid w:val="006151F1"/>
    <w:rsid w:val="00617788"/>
    <w:rsid w:val="00617B12"/>
    <w:rsid w:val="00620707"/>
    <w:rsid w:val="006212EC"/>
    <w:rsid w:val="0062316E"/>
    <w:rsid w:val="00625A6E"/>
    <w:rsid w:val="00632398"/>
    <w:rsid w:val="00640FC3"/>
    <w:rsid w:val="00642020"/>
    <w:rsid w:val="006430EE"/>
    <w:rsid w:val="00647D8C"/>
    <w:rsid w:val="00647E3E"/>
    <w:rsid w:val="00650C6C"/>
    <w:rsid w:val="0065337B"/>
    <w:rsid w:val="0065419D"/>
    <w:rsid w:val="006603BC"/>
    <w:rsid w:val="006604D8"/>
    <w:rsid w:val="00662159"/>
    <w:rsid w:val="00663C29"/>
    <w:rsid w:val="00664A5B"/>
    <w:rsid w:val="0066735C"/>
    <w:rsid w:val="006763D2"/>
    <w:rsid w:val="00680C08"/>
    <w:rsid w:val="0068177D"/>
    <w:rsid w:val="00684632"/>
    <w:rsid w:val="00684799"/>
    <w:rsid w:val="006916A0"/>
    <w:rsid w:val="006931B1"/>
    <w:rsid w:val="00696406"/>
    <w:rsid w:val="006A15C0"/>
    <w:rsid w:val="006A3DA3"/>
    <w:rsid w:val="006A58A8"/>
    <w:rsid w:val="006A6381"/>
    <w:rsid w:val="006A763D"/>
    <w:rsid w:val="006C3E2A"/>
    <w:rsid w:val="006C642F"/>
    <w:rsid w:val="006D03E5"/>
    <w:rsid w:val="006D5D3E"/>
    <w:rsid w:val="006E08B3"/>
    <w:rsid w:val="006E2146"/>
    <w:rsid w:val="006E776B"/>
    <w:rsid w:val="006F17AC"/>
    <w:rsid w:val="006F25B8"/>
    <w:rsid w:val="006F43A4"/>
    <w:rsid w:val="006F572E"/>
    <w:rsid w:val="007046D6"/>
    <w:rsid w:val="00705DB0"/>
    <w:rsid w:val="0071271D"/>
    <w:rsid w:val="00714FB4"/>
    <w:rsid w:val="007179E9"/>
    <w:rsid w:val="00722B57"/>
    <w:rsid w:val="00723BAA"/>
    <w:rsid w:val="00730F8A"/>
    <w:rsid w:val="00735088"/>
    <w:rsid w:val="00735A8C"/>
    <w:rsid w:val="0074253D"/>
    <w:rsid w:val="00744121"/>
    <w:rsid w:val="0074429B"/>
    <w:rsid w:val="007615BC"/>
    <w:rsid w:val="00762F05"/>
    <w:rsid w:val="007652FF"/>
    <w:rsid w:val="00770CAC"/>
    <w:rsid w:val="00770EF1"/>
    <w:rsid w:val="007714C9"/>
    <w:rsid w:val="00771E57"/>
    <w:rsid w:val="00772E0B"/>
    <w:rsid w:val="00773EF7"/>
    <w:rsid w:val="00774E1D"/>
    <w:rsid w:val="007765D8"/>
    <w:rsid w:val="0077675A"/>
    <w:rsid w:val="00780355"/>
    <w:rsid w:val="007819FD"/>
    <w:rsid w:val="00782B2C"/>
    <w:rsid w:val="0078441C"/>
    <w:rsid w:val="00785717"/>
    <w:rsid w:val="00785721"/>
    <w:rsid w:val="00793A59"/>
    <w:rsid w:val="00796140"/>
    <w:rsid w:val="007972CA"/>
    <w:rsid w:val="007A06D0"/>
    <w:rsid w:val="007A46F5"/>
    <w:rsid w:val="007A6505"/>
    <w:rsid w:val="007B6132"/>
    <w:rsid w:val="007B6318"/>
    <w:rsid w:val="007B69AE"/>
    <w:rsid w:val="007B6E9F"/>
    <w:rsid w:val="007C1216"/>
    <w:rsid w:val="007C1AF7"/>
    <w:rsid w:val="007C3A36"/>
    <w:rsid w:val="007C5777"/>
    <w:rsid w:val="007C6B9B"/>
    <w:rsid w:val="007D440F"/>
    <w:rsid w:val="007D53B6"/>
    <w:rsid w:val="007E47B5"/>
    <w:rsid w:val="007E7342"/>
    <w:rsid w:val="007F18E1"/>
    <w:rsid w:val="007F3668"/>
    <w:rsid w:val="007F3ACA"/>
    <w:rsid w:val="007F3DA2"/>
    <w:rsid w:val="00805D27"/>
    <w:rsid w:val="0080672C"/>
    <w:rsid w:val="00806DCB"/>
    <w:rsid w:val="0080711D"/>
    <w:rsid w:val="00821776"/>
    <w:rsid w:val="008321F5"/>
    <w:rsid w:val="00832369"/>
    <w:rsid w:val="00834660"/>
    <w:rsid w:val="00836BC2"/>
    <w:rsid w:val="008465C1"/>
    <w:rsid w:val="0085156D"/>
    <w:rsid w:val="00852B28"/>
    <w:rsid w:val="0085641B"/>
    <w:rsid w:val="00856A35"/>
    <w:rsid w:val="00857136"/>
    <w:rsid w:val="00861748"/>
    <w:rsid w:val="00871ED7"/>
    <w:rsid w:val="00873A4C"/>
    <w:rsid w:val="00873C59"/>
    <w:rsid w:val="00874CCF"/>
    <w:rsid w:val="00875408"/>
    <w:rsid w:val="00875A6B"/>
    <w:rsid w:val="0087656B"/>
    <w:rsid w:val="00885B11"/>
    <w:rsid w:val="00886D15"/>
    <w:rsid w:val="00887DD8"/>
    <w:rsid w:val="00891BA9"/>
    <w:rsid w:val="00896018"/>
    <w:rsid w:val="008960DD"/>
    <w:rsid w:val="0089635C"/>
    <w:rsid w:val="008A2B9D"/>
    <w:rsid w:val="008A3D9F"/>
    <w:rsid w:val="008A5E0B"/>
    <w:rsid w:val="008A6D59"/>
    <w:rsid w:val="008A6F27"/>
    <w:rsid w:val="008B4B03"/>
    <w:rsid w:val="008B596F"/>
    <w:rsid w:val="008C159F"/>
    <w:rsid w:val="008C1623"/>
    <w:rsid w:val="008C1850"/>
    <w:rsid w:val="008C20F8"/>
    <w:rsid w:val="008C3961"/>
    <w:rsid w:val="008C51A9"/>
    <w:rsid w:val="008E4F83"/>
    <w:rsid w:val="008E7846"/>
    <w:rsid w:val="008F02E5"/>
    <w:rsid w:val="008F1CCC"/>
    <w:rsid w:val="008F2967"/>
    <w:rsid w:val="008F6197"/>
    <w:rsid w:val="008F6943"/>
    <w:rsid w:val="00902A21"/>
    <w:rsid w:val="00911780"/>
    <w:rsid w:val="009125CE"/>
    <w:rsid w:val="00913942"/>
    <w:rsid w:val="0091523F"/>
    <w:rsid w:val="00915F48"/>
    <w:rsid w:val="00920330"/>
    <w:rsid w:val="009219D7"/>
    <w:rsid w:val="00922D53"/>
    <w:rsid w:val="00923B70"/>
    <w:rsid w:val="00924482"/>
    <w:rsid w:val="00925A7E"/>
    <w:rsid w:val="00930237"/>
    <w:rsid w:val="00930C6E"/>
    <w:rsid w:val="00937C17"/>
    <w:rsid w:val="00940A89"/>
    <w:rsid w:val="00941F77"/>
    <w:rsid w:val="00946EA5"/>
    <w:rsid w:val="00947C8C"/>
    <w:rsid w:val="00953E73"/>
    <w:rsid w:val="00957B3D"/>
    <w:rsid w:val="00960520"/>
    <w:rsid w:val="00963C08"/>
    <w:rsid w:val="00971664"/>
    <w:rsid w:val="009752A5"/>
    <w:rsid w:val="009831B6"/>
    <w:rsid w:val="0098335D"/>
    <w:rsid w:val="0098585A"/>
    <w:rsid w:val="009952DA"/>
    <w:rsid w:val="00995399"/>
    <w:rsid w:val="009A4CED"/>
    <w:rsid w:val="009A690D"/>
    <w:rsid w:val="009B1D12"/>
    <w:rsid w:val="009B2234"/>
    <w:rsid w:val="009B311B"/>
    <w:rsid w:val="009B416B"/>
    <w:rsid w:val="009B6A9A"/>
    <w:rsid w:val="009C1246"/>
    <w:rsid w:val="009C1AD6"/>
    <w:rsid w:val="009C4BD5"/>
    <w:rsid w:val="009C7B2E"/>
    <w:rsid w:val="009D0510"/>
    <w:rsid w:val="009D4477"/>
    <w:rsid w:val="009D7B77"/>
    <w:rsid w:val="009E063D"/>
    <w:rsid w:val="009E0BB0"/>
    <w:rsid w:val="009E3FBB"/>
    <w:rsid w:val="009E7CFA"/>
    <w:rsid w:val="009F47A5"/>
    <w:rsid w:val="009F7353"/>
    <w:rsid w:val="00A033BA"/>
    <w:rsid w:val="00A04F85"/>
    <w:rsid w:val="00A05FA4"/>
    <w:rsid w:val="00A102E4"/>
    <w:rsid w:val="00A1219C"/>
    <w:rsid w:val="00A12C42"/>
    <w:rsid w:val="00A1379C"/>
    <w:rsid w:val="00A14DF7"/>
    <w:rsid w:val="00A21AFD"/>
    <w:rsid w:val="00A21BE4"/>
    <w:rsid w:val="00A22D57"/>
    <w:rsid w:val="00A26305"/>
    <w:rsid w:val="00A26CA8"/>
    <w:rsid w:val="00A3246D"/>
    <w:rsid w:val="00A337EF"/>
    <w:rsid w:val="00A353A6"/>
    <w:rsid w:val="00A36FA7"/>
    <w:rsid w:val="00A41694"/>
    <w:rsid w:val="00A43982"/>
    <w:rsid w:val="00A44DDB"/>
    <w:rsid w:val="00A475B7"/>
    <w:rsid w:val="00A47AF7"/>
    <w:rsid w:val="00A47C3E"/>
    <w:rsid w:val="00A50226"/>
    <w:rsid w:val="00A511F3"/>
    <w:rsid w:val="00A51ED7"/>
    <w:rsid w:val="00A60BAD"/>
    <w:rsid w:val="00A63EC1"/>
    <w:rsid w:val="00A654BA"/>
    <w:rsid w:val="00A725ED"/>
    <w:rsid w:val="00A765E2"/>
    <w:rsid w:val="00A76F2F"/>
    <w:rsid w:val="00A77F87"/>
    <w:rsid w:val="00A80B5B"/>
    <w:rsid w:val="00A81FA0"/>
    <w:rsid w:val="00A84E36"/>
    <w:rsid w:val="00A90315"/>
    <w:rsid w:val="00A94EBB"/>
    <w:rsid w:val="00A964D1"/>
    <w:rsid w:val="00AA0ED0"/>
    <w:rsid w:val="00AB333C"/>
    <w:rsid w:val="00AC2B40"/>
    <w:rsid w:val="00AC2BB2"/>
    <w:rsid w:val="00AC2C3C"/>
    <w:rsid w:val="00AC39C5"/>
    <w:rsid w:val="00AC512D"/>
    <w:rsid w:val="00AD0083"/>
    <w:rsid w:val="00AD3875"/>
    <w:rsid w:val="00AD3935"/>
    <w:rsid w:val="00AD49EE"/>
    <w:rsid w:val="00AE26BB"/>
    <w:rsid w:val="00AE64E5"/>
    <w:rsid w:val="00AE65EB"/>
    <w:rsid w:val="00AE67A7"/>
    <w:rsid w:val="00AF0921"/>
    <w:rsid w:val="00AF1D94"/>
    <w:rsid w:val="00AF2B74"/>
    <w:rsid w:val="00AF494C"/>
    <w:rsid w:val="00AF60C5"/>
    <w:rsid w:val="00AF7F22"/>
    <w:rsid w:val="00B009C6"/>
    <w:rsid w:val="00B01548"/>
    <w:rsid w:val="00B05686"/>
    <w:rsid w:val="00B130C5"/>
    <w:rsid w:val="00B13EBD"/>
    <w:rsid w:val="00B140B7"/>
    <w:rsid w:val="00B1602B"/>
    <w:rsid w:val="00B21D29"/>
    <w:rsid w:val="00B25034"/>
    <w:rsid w:val="00B25860"/>
    <w:rsid w:val="00B300BB"/>
    <w:rsid w:val="00B30514"/>
    <w:rsid w:val="00B33588"/>
    <w:rsid w:val="00B33863"/>
    <w:rsid w:val="00B37D17"/>
    <w:rsid w:val="00B4175E"/>
    <w:rsid w:val="00B41C85"/>
    <w:rsid w:val="00B452CE"/>
    <w:rsid w:val="00B457E6"/>
    <w:rsid w:val="00B54C25"/>
    <w:rsid w:val="00B575BC"/>
    <w:rsid w:val="00B639BF"/>
    <w:rsid w:val="00B678CE"/>
    <w:rsid w:val="00B72C7A"/>
    <w:rsid w:val="00B73842"/>
    <w:rsid w:val="00B753ED"/>
    <w:rsid w:val="00B76B91"/>
    <w:rsid w:val="00B77EB1"/>
    <w:rsid w:val="00B80A0B"/>
    <w:rsid w:val="00B811C6"/>
    <w:rsid w:val="00B855B0"/>
    <w:rsid w:val="00B860F6"/>
    <w:rsid w:val="00B87891"/>
    <w:rsid w:val="00B92E08"/>
    <w:rsid w:val="00B95BBF"/>
    <w:rsid w:val="00BA638C"/>
    <w:rsid w:val="00BA6D19"/>
    <w:rsid w:val="00BC0CA5"/>
    <w:rsid w:val="00BC39EC"/>
    <w:rsid w:val="00BC622A"/>
    <w:rsid w:val="00BC6791"/>
    <w:rsid w:val="00BD05E7"/>
    <w:rsid w:val="00BD0701"/>
    <w:rsid w:val="00BD1F85"/>
    <w:rsid w:val="00BD6EF8"/>
    <w:rsid w:val="00BE0A78"/>
    <w:rsid w:val="00BE39E7"/>
    <w:rsid w:val="00BE6DA5"/>
    <w:rsid w:val="00BE79F0"/>
    <w:rsid w:val="00BF046D"/>
    <w:rsid w:val="00BF1190"/>
    <w:rsid w:val="00BF3774"/>
    <w:rsid w:val="00BF4F79"/>
    <w:rsid w:val="00BF5D04"/>
    <w:rsid w:val="00BF6879"/>
    <w:rsid w:val="00C009AA"/>
    <w:rsid w:val="00C05519"/>
    <w:rsid w:val="00C1164D"/>
    <w:rsid w:val="00C148E6"/>
    <w:rsid w:val="00C16687"/>
    <w:rsid w:val="00C16861"/>
    <w:rsid w:val="00C346AB"/>
    <w:rsid w:val="00C3534F"/>
    <w:rsid w:val="00C404A6"/>
    <w:rsid w:val="00C40A36"/>
    <w:rsid w:val="00C44419"/>
    <w:rsid w:val="00C45E7B"/>
    <w:rsid w:val="00C471B1"/>
    <w:rsid w:val="00C47DE6"/>
    <w:rsid w:val="00C525A2"/>
    <w:rsid w:val="00C52E24"/>
    <w:rsid w:val="00C5718C"/>
    <w:rsid w:val="00C6316B"/>
    <w:rsid w:val="00C634A9"/>
    <w:rsid w:val="00C64586"/>
    <w:rsid w:val="00C70A36"/>
    <w:rsid w:val="00C70D53"/>
    <w:rsid w:val="00C73D0B"/>
    <w:rsid w:val="00C74F5C"/>
    <w:rsid w:val="00C75526"/>
    <w:rsid w:val="00C75912"/>
    <w:rsid w:val="00C772FF"/>
    <w:rsid w:val="00C80137"/>
    <w:rsid w:val="00C801AF"/>
    <w:rsid w:val="00C80256"/>
    <w:rsid w:val="00C9051E"/>
    <w:rsid w:val="00C94CD4"/>
    <w:rsid w:val="00C96A25"/>
    <w:rsid w:val="00C9747E"/>
    <w:rsid w:val="00C97A40"/>
    <w:rsid w:val="00CA034B"/>
    <w:rsid w:val="00CA0C88"/>
    <w:rsid w:val="00CA48B1"/>
    <w:rsid w:val="00CB6BC0"/>
    <w:rsid w:val="00CC1B7C"/>
    <w:rsid w:val="00CC727F"/>
    <w:rsid w:val="00CD15CB"/>
    <w:rsid w:val="00CD2C00"/>
    <w:rsid w:val="00CD78C0"/>
    <w:rsid w:val="00CF15C3"/>
    <w:rsid w:val="00CF2B6F"/>
    <w:rsid w:val="00CF2F3E"/>
    <w:rsid w:val="00CF58B6"/>
    <w:rsid w:val="00CF5DAD"/>
    <w:rsid w:val="00D005CC"/>
    <w:rsid w:val="00D0062D"/>
    <w:rsid w:val="00D017ED"/>
    <w:rsid w:val="00D040D3"/>
    <w:rsid w:val="00D04C65"/>
    <w:rsid w:val="00D111DD"/>
    <w:rsid w:val="00D153D8"/>
    <w:rsid w:val="00D200A5"/>
    <w:rsid w:val="00D201D2"/>
    <w:rsid w:val="00D223DC"/>
    <w:rsid w:val="00D224FE"/>
    <w:rsid w:val="00D23139"/>
    <w:rsid w:val="00D30EA8"/>
    <w:rsid w:val="00D425BB"/>
    <w:rsid w:val="00D4350E"/>
    <w:rsid w:val="00D453FA"/>
    <w:rsid w:val="00D47241"/>
    <w:rsid w:val="00D509C9"/>
    <w:rsid w:val="00D6493E"/>
    <w:rsid w:val="00D665A5"/>
    <w:rsid w:val="00D7030A"/>
    <w:rsid w:val="00D7195D"/>
    <w:rsid w:val="00D72868"/>
    <w:rsid w:val="00D72B76"/>
    <w:rsid w:val="00D7301E"/>
    <w:rsid w:val="00D81614"/>
    <w:rsid w:val="00D83AE1"/>
    <w:rsid w:val="00D855D4"/>
    <w:rsid w:val="00D902C9"/>
    <w:rsid w:val="00D90B6D"/>
    <w:rsid w:val="00D93466"/>
    <w:rsid w:val="00D95460"/>
    <w:rsid w:val="00D95B85"/>
    <w:rsid w:val="00DA1124"/>
    <w:rsid w:val="00DA18E9"/>
    <w:rsid w:val="00DA3009"/>
    <w:rsid w:val="00DA3DCF"/>
    <w:rsid w:val="00DA4687"/>
    <w:rsid w:val="00DA4C2D"/>
    <w:rsid w:val="00DA5A59"/>
    <w:rsid w:val="00DA64CB"/>
    <w:rsid w:val="00DB06B8"/>
    <w:rsid w:val="00DB321B"/>
    <w:rsid w:val="00DB6124"/>
    <w:rsid w:val="00DB750B"/>
    <w:rsid w:val="00DB75B7"/>
    <w:rsid w:val="00DC0A2F"/>
    <w:rsid w:val="00DC1948"/>
    <w:rsid w:val="00DC1F0C"/>
    <w:rsid w:val="00DC5A25"/>
    <w:rsid w:val="00DC6E02"/>
    <w:rsid w:val="00DC75CB"/>
    <w:rsid w:val="00DD28CD"/>
    <w:rsid w:val="00DE02AE"/>
    <w:rsid w:val="00DE1D46"/>
    <w:rsid w:val="00DE39D1"/>
    <w:rsid w:val="00DE595F"/>
    <w:rsid w:val="00DE7CAC"/>
    <w:rsid w:val="00DF1D7F"/>
    <w:rsid w:val="00DF4BE4"/>
    <w:rsid w:val="00E02382"/>
    <w:rsid w:val="00E02FB4"/>
    <w:rsid w:val="00E13FC7"/>
    <w:rsid w:val="00E167EF"/>
    <w:rsid w:val="00E20571"/>
    <w:rsid w:val="00E235F7"/>
    <w:rsid w:val="00E23659"/>
    <w:rsid w:val="00E239D4"/>
    <w:rsid w:val="00E26130"/>
    <w:rsid w:val="00E31B40"/>
    <w:rsid w:val="00E33D42"/>
    <w:rsid w:val="00E40B22"/>
    <w:rsid w:val="00E44ED1"/>
    <w:rsid w:val="00E45619"/>
    <w:rsid w:val="00E4588F"/>
    <w:rsid w:val="00E45AF5"/>
    <w:rsid w:val="00E464C4"/>
    <w:rsid w:val="00E46DA3"/>
    <w:rsid w:val="00E47071"/>
    <w:rsid w:val="00E51BB1"/>
    <w:rsid w:val="00E538E6"/>
    <w:rsid w:val="00E55CB0"/>
    <w:rsid w:val="00E56FB3"/>
    <w:rsid w:val="00E624A5"/>
    <w:rsid w:val="00E64BA4"/>
    <w:rsid w:val="00E708BC"/>
    <w:rsid w:val="00E7344E"/>
    <w:rsid w:val="00E82665"/>
    <w:rsid w:val="00E84CE3"/>
    <w:rsid w:val="00E908F3"/>
    <w:rsid w:val="00E934B3"/>
    <w:rsid w:val="00EB0798"/>
    <w:rsid w:val="00EB40AD"/>
    <w:rsid w:val="00EB586E"/>
    <w:rsid w:val="00EB5BA6"/>
    <w:rsid w:val="00EB5FC8"/>
    <w:rsid w:val="00EC0B0E"/>
    <w:rsid w:val="00EC463D"/>
    <w:rsid w:val="00EC7A85"/>
    <w:rsid w:val="00ED2004"/>
    <w:rsid w:val="00ED2922"/>
    <w:rsid w:val="00ED3CAD"/>
    <w:rsid w:val="00ED5A41"/>
    <w:rsid w:val="00ED65D0"/>
    <w:rsid w:val="00EE1DE8"/>
    <w:rsid w:val="00EE27C2"/>
    <w:rsid w:val="00EF0275"/>
    <w:rsid w:val="00EF4BAD"/>
    <w:rsid w:val="00EF59DC"/>
    <w:rsid w:val="00EF69E7"/>
    <w:rsid w:val="00EF6E1F"/>
    <w:rsid w:val="00F02CEB"/>
    <w:rsid w:val="00F033EC"/>
    <w:rsid w:val="00F0456E"/>
    <w:rsid w:val="00F04F68"/>
    <w:rsid w:val="00F07AF3"/>
    <w:rsid w:val="00F12670"/>
    <w:rsid w:val="00F13CA3"/>
    <w:rsid w:val="00F14B27"/>
    <w:rsid w:val="00F14B8E"/>
    <w:rsid w:val="00F24A0A"/>
    <w:rsid w:val="00F254F9"/>
    <w:rsid w:val="00F3148D"/>
    <w:rsid w:val="00F325C5"/>
    <w:rsid w:val="00F32FE0"/>
    <w:rsid w:val="00F35298"/>
    <w:rsid w:val="00F42639"/>
    <w:rsid w:val="00F429E3"/>
    <w:rsid w:val="00F47333"/>
    <w:rsid w:val="00F47E37"/>
    <w:rsid w:val="00F5026A"/>
    <w:rsid w:val="00F5177A"/>
    <w:rsid w:val="00F53C07"/>
    <w:rsid w:val="00F54B65"/>
    <w:rsid w:val="00F63DBF"/>
    <w:rsid w:val="00F640B6"/>
    <w:rsid w:val="00F66DF2"/>
    <w:rsid w:val="00F70637"/>
    <w:rsid w:val="00F74961"/>
    <w:rsid w:val="00F80E40"/>
    <w:rsid w:val="00F83149"/>
    <w:rsid w:val="00F848D9"/>
    <w:rsid w:val="00F90A76"/>
    <w:rsid w:val="00F92765"/>
    <w:rsid w:val="00FA30B4"/>
    <w:rsid w:val="00FA5069"/>
    <w:rsid w:val="00FA5B82"/>
    <w:rsid w:val="00FA5F41"/>
    <w:rsid w:val="00FA639E"/>
    <w:rsid w:val="00FB369D"/>
    <w:rsid w:val="00FB3DC5"/>
    <w:rsid w:val="00FB4449"/>
    <w:rsid w:val="00FB50E5"/>
    <w:rsid w:val="00FC1FCA"/>
    <w:rsid w:val="00FC25E4"/>
    <w:rsid w:val="00FC4EF7"/>
    <w:rsid w:val="00FD0824"/>
    <w:rsid w:val="00FD119B"/>
    <w:rsid w:val="00FD1EDC"/>
    <w:rsid w:val="00FD4E0E"/>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595665"/>
  <w15:docId w15:val="{64B12B54-8423-4223-9084-39180FC56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A76F2F"/>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UnresolvedMention1">
    <w:name w:val="Unresolved Mention1"/>
    <w:basedOn w:val="DefaultParagraphFont"/>
    <w:uiPriority w:val="99"/>
    <w:unhideWhenUsed/>
    <w:rsid w:val="00FB369D"/>
    <w:rPr>
      <w:color w:val="605E5C"/>
      <w:shd w:val="clear" w:color="auto" w:fill="E1DFDD"/>
    </w:rPr>
  </w:style>
  <w:style w:type="character" w:customStyle="1" w:styleId="TabletextChar">
    <w:name w:val="Table text Char"/>
    <w:basedOn w:val="DefaultParagraphFont"/>
    <w:link w:val="Tabletext"/>
    <w:rsid w:val="001A34A3"/>
    <w:rPr>
      <w:rFonts w:ascii="Cambria" w:eastAsia="Cambria" w:hAnsi="Cambria" w:cs="Times New Roman"/>
      <w:sz w:val="19"/>
    </w:rPr>
  </w:style>
  <w:style w:type="character" w:styleId="Emphasis">
    <w:name w:val="Emphasis"/>
    <w:basedOn w:val="DefaultParagraphFont"/>
    <w:uiPriority w:val="20"/>
    <w:qFormat/>
    <w:rsid w:val="00647D8C"/>
    <w:rPr>
      <w:i/>
      <w:iCs/>
    </w:rPr>
  </w:style>
  <w:style w:type="character" w:customStyle="1" w:styleId="period">
    <w:name w:val="period"/>
    <w:basedOn w:val="DefaultParagraphFont"/>
    <w:rsid w:val="00062484"/>
  </w:style>
  <w:style w:type="character" w:customStyle="1" w:styleId="cit">
    <w:name w:val="cit"/>
    <w:basedOn w:val="DefaultParagraphFont"/>
    <w:rsid w:val="00062484"/>
  </w:style>
  <w:style w:type="character" w:customStyle="1" w:styleId="citation-doi">
    <w:name w:val="citation-doi"/>
    <w:basedOn w:val="DefaultParagraphFont"/>
    <w:rsid w:val="00062484"/>
  </w:style>
  <w:style w:type="character" w:customStyle="1" w:styleId="secondary-date">
    <w:name w:val="secondary-date"/>
    <w:basedOn w:val="DefaultParagraphFont"/>
    <w:rsid w:val="00062484"/>
  </w:style>
  <w:style w:type="character" w:customStyle="1" w:styleId="authors-list-item">
    <w:name w:val="authors-list-item"/>
    <w:basedOn w:val="DefaultParagraphFont"/>
    <w:rsid w:val="00062484"/>
  </w:style>
  <w:style w:type="character" w:customStyle="1" w:styleId="author-sup-separator">
    <w:name w:val="author-sup-separator"/>
    <w:basedOn w:val="DefaultParagraphFont"/>
    <w:rsid w:val="00062484"/>
  </w:style>
  <w:style w:type="character" w:customStyle="1" w:styleId="comma">
    <w:name w:val="comma"/>
    <w:basedOn w:val="DefaultParagraphFont"/>
    <w:rsid w:val="00062484"/>
  </w:style>
  <w:style w:type="paragraph" w:styleId="ListParagraph">
    <w:name w:val="List Paragraph"/>
    <w:basedOn w:val="Normal"/>
    <w:uiPriority w:val="1"/>
    <w:qFormat/>
    <w:rsid w:val="00F92765"/>
    <w:pPr>
      <w:ind w:left="720"/>
      <w:contextualSpacing/>
    </w:pPr>
  </w:style>
  <w:style w:type="table" w:customStyle="1" w:styleId="TableGrid1">
    <w:name w:val="Table Grid1"/>
    <w:basedOn w:val="TableNormal"/>
    <w:next w:val="TableGrid"/>
    <w:uiPriority w:val="59"/>
    <w:rsid w:val="00B73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0428339">
      <w:bodyDiv w:val="1"/>
      <w:marLeft w:val="0"/>
      <w:marRight w:val="0"/>
      <w:marTop w:val="0"/>
      <w:marBottom w:val="0"/>
      <w:divBdr>
        <w:top w:val="none" w:sz="0" w:space="0" w:color="auto"/>
        <w:left w:val="none" w:sz="0" w:space="0" w:color="auto"/>
        <w:bottom w:val="none" w:sz="0" w:space="0" w:color="auto"/>
        <w:right w:val="none" w:sz="0" w:space="0" w:color="auto"/>
      </w:divBdr>
      <w:divsChild>
        <w:div w:id="1159733648">
          <w:marLeft w:val="0"/>
          <w:marRight w:val="0"/>
          <w:marTop w:val="0"/>
          <w:marBottom w:val="0"/>
          <w:divBdr>
            <w:top w:val="none" w:sz="0" w:space="0" w:color="auto"/>
            <w:left w:val="none" w:sz="0" w:space="0" w:color="auto"/>
            <w:bottom w:val="none" w:sz="0" w:space="0" w:color="auto"/>
            <w:right w:val="none" w:sz="0" w:space="0" w:color="auto"/>
          </w:divBdr>
          <w:divsChild>
            <w:div w:id="611010316">
              <w:marLeft w:val="0"/>
              <w:marRight w:val="0"/>
              <w:marTop w:val="0"/>
              <w:marBottom w:val="0"/>
              <w:divBdr>
                <w:top w:val="none" w:sz="0" w:space="0" w:color="auto"/>
                <w:left w:val="none" w:sz="0" w:space="0" w:color="auto"/>
                <w:bottom w:val="none" w:sz="0" w:space="0" w:color="auto"/>
                <w:right w:val="none" w:sz="0" w:space="0" w:color="auto"/>
              </w:divBdr>
              <w:divsChild>
                <w:div w:id="445122962">
                  <w:marLeft w:val="0"/>
                  <w:marRight w:val="0"/>
                  <w:marTop w:val="0"/>
                  <w:marBottom w:val="0"/>
                  <w:divBdr>
                    <w:top w:val="none" w:sz="0" w:space="0" w:color="auto"/>
                    <w:left w:val="none" w:sz="0" w:space="0" w:color="auto"/>
                    <w:bottom w:val="none" w:sz="0" w:space="0" w:color="auto"/>
                    <w:right w:val="none" w:sz="0" w:space="0" w:color="auto"/>
                  </w:divBdr>
                  <w:divsChild>
                    <w:div w:id="66867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346308">
          <w:marLeft w:val="0"/>
          <w:marRight w:val="0"/>
          <w:marTop w:val="0"/>
          <w:marBottom w:val="0"/>
          <w:divBdr>
            <w:top w:val="none" w:sz="0" w:space="0" w:color="auto"/>
            <w:left w:val="none" w:sz="0" w:space="0" w:color="auto"/>
            <w:bottom w:val="none" w:sz="0" w:space="0" w:color="auto"/>
            <w:right w:val="none" w:sz="0" w:space="0" w:color="auto"/>
          </w:divBdr>
          <w:divsChild>
            <w:div w:id="1025327312">
              <w:marLeft w:val="0"/>
              <w:marRight w:val="0"/>
              <w:marTop w:val="0"/>
              <w:marBottom w:val="0"/>
              <w:divBdr>
                <w:top w:val="none" w:sz="0" w:space="0" w:color="auto"/>
                <w:left w:val="none" w:sz="0" w:space="0" w:color="auto"/>
                <w:bottom w:val="none" w:sz="0" w:space="0" w:color="auto"/>
                <w:right w:val="none" w:sz="0" w:space="0" w:color="auto"/>
              </w:divBdr>
              <w:divsChild>
                <w:div w:id="73447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header" Target="header5.xml"/><Relationship Id="rId55"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mailto:info@tga.gov.au" TargetMode="External"/><Relationship Id="rId58"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eader" Target="header4.xml"/><Relationship Id="rId57" Type="http://schemas.openxmlformats.org/officeDocument/2006/relationships/footer" Target="footer5.xml"/><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footer" Target="footer4.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tga.gov.au/product-information-pi" TargetMode="External"/><Relationship Id="rId56" Type="http://schemas.openxmlformats.org/officeDocument/2006/relationships/header" Target="header8.xml"/><Relationship Id="rId8" Type="http://schemas.openxmlformats.org/officeDocument/2006/relationships/hyperlink" Target="https://www.tga.gov.au" TargetMode="Externa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footer" Target="footer6.xml"/></Relationships>
</file>

<file path=word/_rels/footnotes.xml.rels><?xml version="1.0" encoding="UTF-8" standalone="yes"?>
<Relationships xmlns="http://schemas.openxmlformats.org/package/2006/relationships"><Relationship Id="rId8" Type="http://schemas.openxmlformats.org/officeDocument/2006/relationships/hyperlink" Target="https://www.tga.gov.au/auspar/auspar-elasomeran-0" TargetMode="External"/><Relationship Id="rId13" Type="http://schemas.openxmlformats.org/officeDocument/2006/relationships/hyperlink" Target="https://pubmed.ncbi.nlm.nih.gov/?term=Riester+E&amp;cauthor_id=34368915" TargetMode="External"/><Relationship Id="rId3" Type="http://schemas.openxmlformats.org/officeDocument/2006/relationships/hyperlink" Target="https://www.tga.gov.au/auspar/auspar-bnt162b2-mrna-comirnaty" TargetMode="External"/><Relationship Id="rId7" Type="http://schemas.openxmlformats.org/officeDocument/2006/relationships/hyperlink" Target="https://www.tga.gov.au/auspar/auspar-elasomeran" TargetMode="External"/><Relationship Id="rId12" Type="http://schemas.openxmlformats.org/officeDocument/2006/relationships/hyperlink" Target="https://www.tga.gov.au/sites/default/files/auspar-elasomeran.pdf" TargetMode="External"/><Relationship Id="rId2" Type="http://schemas.openxmlformats.org/officeDocument/2006/relationships/hyperlink" Target="https://www.health.gov.au/news/health-alerts/novel-coronavirus-2019-ncov-health-alert/coronavirus-covid-19-case-numbers-and-statistics" TargetMode="External"/><Relationship Id="rId16" Type="http://schemas.openxmlformats.org/officeDocument/2006/relationships/hyperlink" Target="https://www.tga.gov.au/sites/default/files/auspar-elasomeran-210903.pdf" TargetMode="External"/><Relationship Id="rId1" Type="http://schemas.openxmlformats.org/officeDocument/2006/relationships/hyperlink" Target="https://www.cdc.gov/coronavirus/2019-ncov/science/science-briefs/sars-cov-2-transmission.html?CDC_AA_refVal=https%3A%2F%2Fwww.cdc.gov%2Fcoronavirus%2F2019-ncov%2Fscience%2Fscience-briefs%2Fscientific-brief-sars-cov-2.html" TargetMode="External"/><Relationship Id="rId6" Type="http://schemas.openxmlformats.org/officeDocument/2006/relationships/hyperlink" Target="https://www.tga.gov.au/auspar/auspar-ad26cov2s" TargetMode="External"/><Relationship Id="rId11" Type="http://schemas.openxmlformats.org/officeDocument/2006/relationships/hyperlink" Target="https://www.tga.gov.au/australian-register-therapeutic-goods" TargetMode="External"/><Relationship Id="rId5" Type="http://schemas.openxmlformats.org/officeDocument/2006/relationships/hyperlink" Target="https://www.tga.gov.au/auspar/auspar-chadox1-s" TargetMode="External"/><Relationship Id="rId15" Type="http://schemas.openxmlformats.org/officeDocument/2006/relationships/hyperlink" Target="https://pubmed.ncbi.nlm.nih.gov/?term=M%C3%BChlbacher+A&amp;cauthor_id=34368915" TargetMode="External"/><Relationship Id="rId10" Type="http://schemas.openxmlformats.org/officeDocument/2006/relationships/hyperlink" Target="https://www.who.int/news/item/04-10-2021-interim-statement-on-booster-doses-for-covid-19-vaccination" TargetMode="External"/><Relationship Id="rId4" Type="http://schemas.openxmlformats.org/officeDocument/2006/relationships/hyperlink" Target="https://www.tga.gov.au/auspar/auspar-bnt162b2-mrna" TargetMode="External"/><Relationship Id="rId9" Type="http://schemas.openxmlformats.org/officeDocument/2006/relationships/hyperlink" Target="https://www.health.gov.au/initiatives-and-programs/covid-19-vaccines/numbers-statistics" TargetMode="External"/><Relationship Id="rId14" Type="http://schemas.openxmlformats.org/officeDocument/2006/relationships/hyperlink" Target="https://pubmed.ncbi.nlm.nih.gov/?term=Majchrzak+M&amp;cauthor_id=34368915"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C4110-B223-4FB4-94AF-75C31C073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50</Pages>
  <Words>13033</Words>
  <Characters>74292</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Australian public assessment report for Elasomeran (mRNA-1273)</vt:lpstr>
    </vt:vector>
  </TitlesOfParts>
  <Company>Department of Health Therapeutic Goods Administration</Company>
  <LinksUpToDate>false</LinksUpToDate>
  <CharactersWithSpaces>87151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Elasomeran (mRNA-1273)</dc:title>
  <dc:subject>prescription medicines</dc:subject>
  <dc:creator>Therapeutic Goods Administration</dc:creator>
  <cp:keywords/>
  <cp:lastModifiedBy>LACK, Janet</cp:lastModifiedBy>
  <cp:revision>3</cp:revision>
  <cp:lastPrinted>2019-08-14T04:30:00Z</cp:lastPrinted>
  <dcterms:created xsi:type="dcterms:W3CDTF">2021-12-09T02:34:00Z</dcterms:created>
  <dcterms:modified xsi:type="dcterms:W3CDTF">2021-12-09T02:47:00Z</dcterms:modified>
  <cp:category/>
</cp:coreProperties>
</file>