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7F5CC" w14:textId="5552D4D3" w:rsidR="00375DF3" w:rsidRPr="00375DF3" w:rsidRDefault="00375DF3" w:rsidP="006018AE">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2D62C179" wp14:editId="40A4FA27">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35127" w14:textId="77777777" w:rsidR="00562765" w:rsidRPr="00BE2A26" w:rsidRDefault="00562765"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2D62C179"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45035127" w14:textId="77777777" w:rsidR="00562765" w:rsidRPr="00BE2A26" w:rsidRDefault="00562765"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w:t>
      </w:r>
      <w:r w:rsidR="00631360">
        <w:rPr>
          <w:rFonts w:asciiTheme="majorHAnsi" w:hAnsiTheme="majorHAnsi"/>
        </w:rPr>
        <w:t xml:space="preserve">vaccine </w:t>
      </w:r>
      <w:r w:rsidR="001A3992" w:rsidRPr="001A3992">
        <w:rPr>
          <w:rFonts w:asciiTheme="majorHAnsi" w:hAnsiTheme="majorHAnsi"/>
        </w:rPr>
        <w:t xml:space="preserve">is subject to additional monitoring in Australia. This will allow quick identification of new safety information. Healthcare professionals are asked to report any suspected adverse events at </w:t>
      </w:r>
      <w:hyperlink r:id="rId11" w:history="1">
        <w:r w:rsidRPr="00375DF3">
          <w:rPr>
            <w:rStyle w:val="Hyperlink"/>
            <w:rFonts w:asciiTheme="majorHAnsi" w:hAnsiTheme="majorHAnsi"/>
          </w:rPr>
          <w:t>www.tga.gov.au/reporting-problems</w:t>
        </w:r>
      </w:hyperlink>
      <w:r w:rsidRPr="00375DF3">
        <w:rPr>
          <w:rFonts w:asciiTheme="majorHAnsi" w:hAnsiTheme="majorHAnsi"/>
        </w:rPr>
        <w:t>.</w:t>
      </w:r>
    </w:p>
    <w:p w14:paraId="775D6B5F" w14:textId="5E19BEF1" w:rsidR="006018AE" w:rsidRPr="009C133A" w:rsidRDefault="006018AE" w:rsidP="0027766D">
      <w:pPr>
        <w:pStyle w:val="Heading1"/>
        <w:numPr>
          <w:ilvl w:val="0"/>
          <w:numId w:val="0"/>
        </w:numPr>
      </w:pPr>
      <w:r w:rsidRPr="009C133A">
        <w:t>Australian P</w:t>
      </w:r>
      <w:r w:rsidR="0021200F">
        <w:t xml:space="preserve">roduct </w:t>
      </w:r>
      <w:r w:rsidRPr="009C133A">
        <w:t>I</w:t>
      </w:r>
      <w:r w:rsidR="0021200F">
        <w:t>nformation</w:t>
      </w:r>
      <w:r>
        <w:t xml:space="preserve"> – </w:t>
      </w:r>
      <w:r w:rsidR="0076036F">
        <w:t>SPIKEVAX</w:t>
      </w:r>
      <w:r w:rsidR="00DD4BE6">
        <w:t xml:space="preserve"> </w:t>
      </w:r>
      <w:r>
        <w:t>(</w:t>
      </w:r>
      <w:r w:rsidR="003763DB">
        <w:t>Elasomeran</w:t>
      </w:r>
      <w:r>
        <w:t>)</w:t>
      </w:r>
      <w:r w:rsidR="00A64655">
        <w:t xml:space="preserve"> </w:t>
      </w:r>
      <w:r w:rsidR="005F49F9">
        <w:t xml:space="preserve">COVID-19 VACCINE </w:t>
      </w:r>
    </w:p>
    <w:p w14:paraId="55ED1AAA" w14:textId="57E8C6EB" w:rsidR="001A3992" w:rsidRDefault="001A3992" w:rsidP="000A640E">
      <w:pPr>
        <w:pStyle w:val="Heading1"/>
      </w:pPr>
      <w:r w:rsidRPr="00035C95">
        <w:t>Name of the medicine</w:t>
      </w:r>
    </w:p>
    <w:p w14:paraId="182419E3" w14:textId="4BCD6AF4" w:rsidR="008C442D" w:rsidRPr="008C442D" w:rsidRDefault="003A31BB" w:rsidP="008C442D">
      <w:r>
        <w:t>Elasomeran</w:t>
      </w:r>
    </w:p>
    <w:p w14:paraId="0424CF0B" w14:textId="77777777" w:rsidR="001A3992" w:rsidRPr="000A640E" w:rsidRDefault="001A3992" w:rsidP="000A640E">
      <w:pPr>
        <w:pStyle w:val="Heading1"/>
      </w:pPr>
      <w:r w:rsidRPr="000A640E">
        <w:t>Qualitative and quantitative composition</w:t>
      </w:r>
    </w:p>
    <w:p w14:paraId="7B622B21" w14:textId="0A8AFDEA" w:rsidR="008C442D" w:rsidRPr="00594C02" w:rsidRDefault="008C442D" w:rsidP="005B2812">
      <w:pPr>
        <w:rPr>
          <w:rFonts w:cstheme="minorHAnsi"/>
        </w:rPr>
      </w:pPr>
      <w:r w:rsidRPr="00594C02">
        <w:rPr>
          <w:rFonts w:cstheme="minorHAnsi"/>
        </w:rPr>
        <w:t>This is a multidose vial which contains 10</w:t>
      </w:r>
      <w:r w:rsidR="003763DB" w:rsidRPr="00594C02">
        <w:rPr>
          <w:rFonts w:cstheme="minorHAnsi"/>
        </w:rPr>
        <w:t xml:space="preserve"> </w:t>
      </w:r>
      <w:r w:rsidR="00463D72">
        <w:rPr>
          <w:rFonts w:cstheme="minorHAnsi"/>
        </w:rPr>
        <w:t>doses</w:t>
      </w:r>
      <w:r w:rsidR="006E7B16">
        <w:rPr>
          <w:rFonts w:cstheme="minorHAnsi"/>
        </w:rPr>
        <w:t xml:space="preserve"> </w:t>
      </w:r>
      <w:r w:rsidRPr="00594C02">
        <w:rPr>
          <w:rFonts w:cstheme="minorHAnsi"/>
        </w:rPr>
        <w:t>of 0.5 mL</w:t>
      </w:r>
      <w:r w:rsidR="00193D3E">
        <w:rPr>
          <w:rFonts w:cstheme="minorHAnsi"/>
        </w:rPr>
        <w:t xml:space="preserve"> each or a maximum of 20 doses of 0.25 mL each.  </w:t>
      </w:r>
    </w:p>
    <w:p w14:paraId="6877F10E" w14:textId="5930A252" w:rsidR="003B5E00" w:rsidRDefault="008C442D" w:rsidP="005B2812">
      <w:pPr>
        <w:rPr>
          <w:rFonts w:cstheme="minorHAnsi"/>
        </w:rPr>
      </w:pPr>
      <w:r w:rsidRPr="00594C02">
        <w:rPr>
          <w:rFonts w:cstheme="minorHAnsi"/>
        </w:rPr>
        <w:t xml:space="preserve">One dose (0.5 mL) </w:t>
      </w:r>
      <w:r w:rsidR="00CF4A60">
        <w:rPr>
          <w:rFonts w:cstheme="minorHAnsi"/>
        </w:rPr>
        <w:t xml:space="preserve">of the primary series </w:t>
      </w:r>
      <w:r w:rsidRPr="00594C02">
        <w:rPr>
          <w:rFonts w:cstheme="minorHAnsi"/>
        </w:rPr>
        <w:t xml:space="preserve">contains 100 micrograms of messenger RNA (mRNA) (embedded in SM-102 lipid nanoparticles). </w:t>
      </w:r>
    </w:p>
    <w:p w14:paraId="0C6C58B3" w14:textId="24E4AF4E" w:rsidR="003B5E00" w:rsidRDefault="003B5E00" w:rsidP="005B2812">
      <w:pPr>
        <w:rPr>
          <w:rFonts w:cstheme="minorHAnsi"/>
        </w:rPr>
      </w:pPr>
      <w:r>
        <w:rPr>
          <w:rFonts w:cstheme="minorHAnsi"/>
        </w:rPr>
        <w:t xml:space="preserve">One dose (0.25 mL) of the booster contains 50 micrograms of messenger RNA (mRNA) (embedded in SM-102 lipid nanoparticles).  </w:t>
      </w:r>
    </w:p>
    <w:p w14:paraId="46C197F5" w14:textId="5C679281" w:rsidR="008C442D" w:rsidRDefault="008C442D" w:rsidP="005B2812">
      <w:pPr>
        <w:rPr>
          <w:rFonts w:cstheme="minorHAnsi"/>
        </w:rPr>
      </w:pPr>
      <w:r w:rsidRPr="00594C02">
        <w:rPr>
          <w:rFonts w:cstheme="minorHAnsi"/>
        </w:rPr>
        <w:t>Single-stranded, 5’-capped messenger RNA (mRNA) produced using a cell-free in vitro transcription from the corresponding DNA templates, encoding the viral spike (S) protein of SARS-CoV-2</w:t>
      </w:r>
      <w:r w:rsidR="004264B7">
        <w:rPr>
          <w:rFonts w:cstheme="minorHAnsi"/>
        </w:rPr>
        <w:t>.</w:t>
      </w:r>
    </w:p>
    <w:p w14:paraId="13277FF6" w14:textId="41CA0EFF" w:rsidR="005B2812" w:rsidRPr="00594C02" w:rsidRDefault="005B2812" w:rsidP="005B2812">
      <w:pPr>
        <w:rPr>
          <w:rFonts w:cstheme="minorHAnsi"/>
        </w:rPr>
      </w:pPr>
      <w:r w:rsidRPr="00594C02">
        <w:rPr>
          <w:rFonts w:cstheme="minorHAnsi"/>
          <w:lang w:val="en"/>
        </w:rPr>
        <w:t>For the full list of excipients, see Section 6.1 List of excipients</w:t>
      </w:r>
      <w:r w:rsidR="00004874" w:rsidRPr="00594C02">
        <w:rPr>
          <w:rFonts w:cstheme="minorHAnsi"/>
          <w:lang w:val="en"/>
        </w:rPr>
        <w:t>.</w:t>
      </w:r>
    </w:p>
    <w:p w14:paraId="6D64C539" w14:textId="2B846A66" w:rsidR="001A3992" w:rsidRDefault="001A3992" w:rsidP="000A640E">
      <w:pPr>
        <w:pStyle w:val="Heading1"/>
      </w:pPr>
      <w:r w:rsidRPr="00035C95">
        <w:t>Pharmaceutical form</w:t>
      </w:r>
    </w:p>
    <w:p w14:paraId="53DEAA6D" w14:textId="77777777" w:rsidR="00F50E76" w:rsidRDefault="00F50E76" w:rsidP="008C442D">
      <w:r>
        <w:t>Suspension</w:t>
      </w:r>
      <w:r w:rsidR="008C442D">
        <w:t xml:space="preserve"> for injection</w:t>
      </w:r>
      <w:r>
        <w:t>.</w:t>
      </w:r>
    </w:p>
    <w:p w14:paraId="11F29277" w14:textId="46415820" w:rsidR="008C442D" w:rsidRPr="008C442D" w:rsidRDefault="008C442D" w:rsidP="008C442D">
      <w:r>
        <w:t xml:space="preserve">White to off white </w:t>
      </w:r>
      <w:r w:rsidR="00F50E76">
        <w:t>suspension</w:t>
      </w:r>
      <w:r>
        <w:t>.</w:t>
      </w:r>
    </w:p>
    <w:p w14:paraId="4DEF1923" w14:textId="77777777" w:rsidR="001A3992" w:rsidRDefault="001A3992" w:rsidP="000A640E">
      <w:pPr>
        <w:pStyle w:val="Heading1"/>
      </w:pPr>
      <w:r w:rsidRPr="00035C95">
        <w:t>Clinical particulars</w:t>
      </w:r>
    </w:p>
    <w:p w14:paraId="68A43040" w14:textId="6F1904CC" w:rsidR="001A3992" w:rsidRDefault="001A3992" w:rsidP="001A3992">
      <w:pPr>
        <w:pStyle w:val="Heading2"/>
        <w:spacing w:before="0" w:after="120"/>
      </w:pPr>
      <w:r>
        <w:t xml:space="preserve">Therapeutic indications </w:t>
      </w:r>
    </w:p>
    <w:p w14:paraId="2DDA0B09" w14:textId="4D57CECB" w:rsidR="004A0D71" w:rsidRPr="004A0D71" w:rsidRDefault="005F49F9" w:rsidP="004A0D71">
      <w:bookmarkStart w:id="0" w:name="_Hlk79072585"/>
      <w:r>
        <w:t xml:space="preserve">SPIKEVAX </w:t>
      </w:r>
      <w:r w:rsidR="004A0D71">
        <w:t>(</w:t>
      </w:r>
      <w:r w:rsidR="007E5607">
        <w:t>e</w:t>
      </w:r>
      <w:r w:rsidR="004A0D71">
        <w:t xml:space="preserve">lasomeran) COVID-19 </w:t>
      </w:r>
      <w:r w:rsidR="00BC38A7">
        <w:t>Vaccine</w:t>
      </w:r>
      <w:r>
        <w:t xml:space="preserve"> </w:t>
      </w:r>
      <w:r w:rsidR="004A0D71">
        <w:t xml:space="preserve">has </w:t>
      </w:r>
      <w:r w:rsidR="004A0D71" w:rsidRPr="004A0D71">
        <w:rPr>
          <w:b/>
          <w:bCs/>
        </w:rPr>
        <w:t>provisional approval</w:t>
      </w:r>
      <w:r w:rsidR="004A0D71">
        <w:t xml:space="preserve"> for the indication below:</w:t>
      </w:r>
    </w:p>
    <w:p w14:paraId="5DB3F976" w14:textId="3D20FD14" w:rsidR="00CB565B" w:rsidRDefault="009736BB" w:rsidP="008C442D">
      <w:r>
        <w:t>A</w:t>
      </w:r>
      <w:r w:rsidR="008C442D">
        <w:t xml:space="preserve">ctive immunisation to prevent </w:t>
      </w:r>
      <w:r w:rsidR="004A2DAC" w:rsidRPr="004A2DAC">
        <w:t xml:space="preserve">coronavirus disease 2019 </w:t>
      </w:r>
      <w:r w:rsidR="004A2DAC">
        <w:t>(</w:t>
      </w:r>
      <w:r w:rsidR="008C442D">
        <w:t>COVID-19</w:t>
      </w:r>
      <w:r w:rsidR="004A2DAC">
        <w:t>)</w:t>
      </w:r>
      <w:r w:rsidR="008C442D">
        <w:t xml:space="preserve"> caused by SARS-CoV-2 in individuals </w:t>
      </w:r>
      <w:r w:rsidR="000838E5">
        <w:t xml:space="preserve">12 </w:t>
      </w:r>
      <w:r w:rsidR="008C442D">
        <w:t>years of age and older.</w:t>
      </w:r>
    </w:p>
    <w:p w14:paraId="1E6453CF" w14:textId="70FE3EFD" w:rsidR="008C442D" w:rsidRDefault="008C442D" w:rsidP="008C442D">
      <w:r>
        <w:t>The use of this vaccine should be in accordance with official recommendations.</w:t>
      </w:r>
    </w:p>
    <w:p w14:paraId="64C36240" w14:textId="68093872" w:rsidR="004A0D71" w:rsidRDefault="004A0D71" w:rsidP="008C442D">
      <w:r>
        <w:lastRenderedPageBreak/>
        <w:t xml:space="preserve">The decision has been made </w:t>
      </w:r>
      <w:proofErr w:type="gramStart"/>
      <w:r>
        <w:t>on the basis of</w:t>
      </w:r>
      <w:proofErr w:type="gramEnd"/>
      <w:r>
        <w:t xml:space="preserve"> short</w:t>
      </w:r>
      <w:r w:rsidR="004A2DAC">
        <w:t>-</w:t>
      </w:r>
      <w:r>
        <w:t xml:space="preserve">term efficacy and safety data. Continued approval depends on the evidence of </w:t>
      </w:r>
      <w:proofErr w:type="gramStart"/>
      <w:r>
        <w:t>longer</w:t>
      </w:r>
      <w:r w:rsidR="00CD51C8">
        <w:t xml:space="preserve"> </w:t>
      </w:r>
      <w:r>
        <w:t>term</w:t>
      </w:r>
      <w:proofErr w:type="gramEnd"/>
      <w:r>
        <w:t xml:space="preserve"> efficacy and safety from ongoing </w:t>
      </w:r>
      <w:r w:rsidR="004A2DAC">
        <w:t xml:space="preserve">clinical trials </w:t>
      </w:r>
      <w:r>
        <w:t>and post-market assessment.</w:t>
      </w:r>
      <w:bookmarkEnd w:id="0"/>
      <w:r>
        <w:t xml:space="preserve">  </w:t>
      </w:r>
    </w:p>
    <w:p w14:paraId="01DF2CA0" w14:textId="77777777" w:rsidR="002E5BB1" w:rsidRDefault="001A3992" w:rsidP="001A3992">
      <w:pPr>
        <w:pStyle w:val="Heading2"/>
        <w:spacing w:before="0" w:after="120"/>
      </w:pPr>
      <w:r>
        <w:t>Dose and method of administration</w:t>
      </w:r>
    </w:p>
    <w:p w14:paraId="7DDBED99" w14:textId="4E8A7646" w:rsidR="001A3992" w:rsidRDefault="002E5BB1" w:rsidP="002E5BB1">
      <w:pPr>
        <w:pStyle w:val="Heading3"/>
      </w:pPr>
      <w:r>
        <w:t>Dose</w:t>
      </w:r>
    </w:p>
    <w:p w14:paraId="28197E0B" w14:textId="6D2F5D81" w:rsidR="00127BF0" w:rsidRPr="00127BF0" w:rsidRDefault="00127BF0" w:rsidP="00127BF0">
      <w:pPr>
        <w:pStyle w:val="Heading4"/>
        <w:rPr>
          <w:rStyle w:val="Heading4Char"/>
        </w:rPr>
      </w:pPr>
      <w:r w:rsidRPr="00127BF0">
        <w:rPr>
          <w:rStyle w:val="Heading4Char"/>
        </w:rPr>
        <w:t>Primary Series</w:t>
      </w:r>
    </w:p>
    <w:p w14:paraId="5D4A1990" w14:textId="7BA11992" w:rsidR="009920F5" w:rsidRDefault="005F49F9" w:rsidP="009920F5">
      <w:r>
        <w:t>SPIKEVAX</w:t>
      </w:r>
      <w:r w:rsidR="009920F5">
        <w:t xml:space="preserve"> is administered as a course of 2 doses (0.5 mL each). It is recommended to administer the second dose 28 days after the first dose (see section 4.4</w:t>
      </w:r>
      <w:r w:rsidR="004264B7">
        <w:t xml:space="preserve"> </w:t>
      </w:r>
      <w:r w:rsidR="004264B7" w:rsidRPr="004264B7">
        <w:t>S</w:t>
      </w:r>
      <w:r w:rsidR="004264B7">
        <w:t>pe</w:t>
      </w:r>
      <w:r w:rsidR="004264B7" w:rsidRPr="004264B7">
        <w:t xml:space="preserve">cial Warnings </w:t>
      </w:r>
      <w:r w:rsidR="004264B7">
        <w:t>a</w:t>
      </w:r>
      <w:r w:rsidR="004264B7" w:rsidRPr="004264B7">
        <w:t>nd Precautions for Use</w:t>
      </w:r>
      <w:r w:rsidR="009920F5">
        <w:t xml:space="preserve"> and</w:t>
      </w:r>
      <w:r w:rsidR="004264B7">
        <w:t xml:space="preserve"> section</w:t>
      </w:r>
      <w:r w:rsidR="009920F5">
        <w:t xml:space="preserve"> 5.1</w:t>
      </w:r>
      <w:r w:rsidR="004264B7">
        <w:t xml:space="preserve"> Pharmacodynamic Properties</w:t>
      </w:r>
      <w:r w:rsidR="009920F5">
        <w:t>).</w:t>
      </w:r>
    </w:p>
    <w:p w14:paraId="7F095CC0" w14:textId="081869E6" w:rsidR="0017068F" w:rsidRPr="00633F2F" w:rsidRDefault="0017068F" w:rsidP="00633F2F">
      <w:pPr>
        <w:pStyle w:val="Heading5"/>
        <w:rPr>
          <w:rStyle w:val="Heading4Char"/>
          <w:u w:val="none"/>
        </w:rPr>
      </w:pPr>
      <w:r w:rsidRPr="00633F2F">
        <w:rPr>
          <w:rStyle w:val="Heading4Char"/>
          <w:u w:val="none"/>
        </w:rPr>
        <w:t>Immunocompromised individuals</w:t>
      </w:r>
    </w:p>
    <w:p w14:paraId="0362C417" w14:textId="3AE95BEF" w:rsidR="0017068F" w:rsidRDefault="0017068F" w:rsidP="0017068F">
      <w:pPr>
        <w:spacing w:after="0" w:line="240" w:lineRule="auto"/>
      </w:pPr>
      <w:r>
        <w:t>A third dose of SPIKEVAX (0.5 mL) administered at least 28 days following the first two doses of this vaccine is authorised for administration to individuals who have undergone solid organ transplantation, or who are diagnosed with conditions that are considered to have an equivalent level of immunocompromise.</w:t>
      </w:r>
    </w:p>
    <w:p w14:paraId="4F4029B2" w14:textId="77777777" w:rsidR="00127BF0" w:rsidRDefault="00127BF0" w:rsidP="0017068F">
      <w:pPr>
        <w:spacing w:after="0" w:line="240" w:lineRule="auto"/>
      </w:pPr>
    </w:p>
    <w:p w14:paraId="123EACD2" w14:textId="1BC64704" w:rsidR="00127BF0" w:rsidRDefault="00127BF0" w:rsidP="00127BF0">
      <w:pPr>
        <w:pStyle w:val="Heading4"/>
      </w:pPr>
      <w:r>
        <w:t>Booster Dose</w:t>
      </w:r>
    </w:p>
    <w:p w14:paraId="209F2472" w14:textId="3D3E639C" w:rsidR="00633F2F" w:rsidRPr="00633F2F" w:rsidRDefault="00633F2F" w:rsidP="00D17580">
      <w:pPr>
        <w:pStyle w:val="Heading5"/>
      </w:pPr>
      <w:r>
        <w:t>Individuals 18 years of age and older</w:t>
      </w:r>
    </w:p>
    <w:p w14:paraId="7A3ABC95" w14:textId="07889FF1" w:rsidR="00EA4736" w:rsidRDefault="00127BF0" w:rsidP="00EA4736">
      <w:r>
        <w:t xml:space="preserve">SPIKEVAX </w:t>
      </w:r>
      <w:r w:rsidR="00EA4736">
        <w:t xml:space="preserve">is administered intramuscularly as a single </w:t>
      </w:r>
      <w:r w:rsidR="00182A41">
        <w:t xml:space="preserve">booster </w:t>
      </w:r>
      <w:r w:rsidR="00EA4736">
        <w:t>dose (0.25 mL</w:t>
      </w:r>
      <w:r w:rsidR="00182A41">
        <w:t>; 50 micrograms</w:t>
      </w:r>
      <w:r w:rsidR="00EA4736">
        <w:t>) at least 6 months after completing a primary series.</w:t>
      </w:r>
    </w:p>
    <w:p w14:paraId="1F6CA497" w14:textId="325A6370" w:rsidR="00182A41" w:rsidRDefault="00182A41" w:rsidP="00EA4736">
      <w:r w:rsidRPr="00182A41">
        <w:t>The decision when and for whom to implement a booster (third dose) of SPIKEVAX should be made based on available vaccine safety and effectiveness data (see sections 4.4 Special warning and precautions for use and 5.1 Pharmacodynamic properties), in accordance with official recommendations.</w:t>
      </w:r>
    </w:p>
    <w:p w14:paraId="7F4BD01C" w14:textId="0BDB9FF7" w:rsidR="00127BF0" w:rsidRDefault="00127BF0" w:rsidP="00127BF0">
      <w:pPr>
        <w:pStyle w:val="Heading4"/>
      </w:pPr>
      <w:r>
        <w:t>Interchangeability</w:t>
      </w:r>
    </w:p>
    <w:p w14:paraId="039487D9" w14:textId="0C05EED1" w:rsidR="006216CC" w:rsidRPr="006216CC" w:rsidRDefault="006216CC" w:rsidP="00BA2DE9">
      <w:pPr>
        <w:pStyle w:val="Heading5"/>
      </w:pPr>
      <w:r w:rsidRPr="00127BF0">
        <w:t>Primary series</w:t>
      </w:r>
    </w:p>
    <w:p w14:paraId="55A375E1" w14:textId="3CAB9AFE" w:rsidR="006216CC" w:rsidRDefault="00127BF0" w:rsidP="00127BF0">
      <w:r>
        <w:t>The interchangeability of SPIKEVAX with other COVID-19 vaccines to complete the vaccination course</w:t>
      </w:r>
      <w:r w:rsidR="006216CC">
        <w:t xml:space="preserve"> has not been established</w:t>
      </w:r>
      <w:r>
        <w:t>.</w:t>
      </w:r>
    </w:p>
    <w:p w14:paraId="3187687F" w14:textId="1E65C82F" w:rsidR="00127BF0" w:rsidRDefault="00127BF0" w:rsidP="00127BF0">
      <w:r>
        <w:t xml:space="preserve">Individuals who have received </w:t>
      </w:r>
      <w:r w:rsidR="006216CC">
        <w:t>one</w:t>
      </w:r>
      <w:r>
        <w:t xml:space="preserve"> dose of SPIKEVAX </w:t>
      </w:r>
      <w:r w:rsidR="006216CC" w:rsidRPr="006216CC">
        <w:t>(0.5 mL, 100 micrograms)</w:t>
      </w:r>
      <w:r w:rsidR="006216CC">
        <w:t xml:space="preserve"> </w:t>
      </w:r>
      <w:r>
        <w:t xml:space="preserve">should receive the second dose of SPIKEVAX </w:t>
      </w:r>
      <w:r w:rsidR="006216CC" w:rsidRPr="006216CC">
        <w:t xml:space="preserve">(0.5 mL, 100 micrograms) </w:t>
      </w:r>
      <w:r>
        <w:t>to complete the vaccination course.</w:t>
      </w:r>
    </w:p>
    <w:p w14:paraId="5423A8F8" w14:textId="3EAF5793" w:rsidR="006216CC" w:rsidRDefault="006216CC" w:rsidP="00BA2DE9">
      <w:pPr>
        <w:pStyle w:val="Heading5"/>
      </w:pPr>
      <w:r w:rsidRPr="00147F67">
        <w:t xml:space="preserve">Booster </w:t>
      </w:r>
      <w:r w:rsidR="00851774">
        <w:t>dose</w:t>
      </w:r>
    </w:p>
    <w:p w14:paraId="67BF6FA7" w14:textId="3A5FA4C8" w:rsidR="009D49BA" w:rsidRPr="009D49BA" w:rsidRDefault="009D49BA" w:rsidP="00C306FD">
      <w:r>
        <w:t>There are limited data</w:t>
      </w:r>
      <w:r w:rsidR="00C306FD" w:rsidRPr="00C1427C">
        <w:rPr>
          <w:rFonts w:cstheme="minorHAnsi"/>
        </w:rPr>
        <w:t xml:space="preserve"> </w:t>
      </w:r>
      <w:r>
        <w:t>on the interchangeability of SPIKEVAX with other COVID-19 vaccines as a booster dose</w:t>
      </w:r>
      <w:r w:rsidR="0059132A">
        <w:t xml:space="preserve"> (0.25 </w:t>
      </w:r>
      <w:proofErr w:type="gramStart"/>
      <w:r w:rsidR="0059132A">
        <w:t>mL;</w:t>
      </w:r>
      <w:proofErr w:type="gramEnd"/>
      <w:r w:rsidR="0059132A">
        <w:t xml:space="preserve"> 50 micrograms)</w:t>
      </w:r>
      <w:r>
        <w:t>.</w:t>
      </w:r>
      <w:r w:rsidR="00C306FD">
        <w:rPr>
          <w:rFonts w:cstheme="minorHAnsi"/>
        </w:rPr>
        <w:t xml:space="preserve"> S</w:t>
      </w:r>
      <w:r w:rsidR="00C306FD" w:rsidRPr="00C1427C">
        <w:rPr>
          <w:rFonts w:cstheme="minorHAnsi"/>
        </w:rPr>
        <w:t>ee sections 4.8 Adverse Effects (Undesirable Effects) and 5.1 Pharmacodynamic properties</w:t>
      </w:r>
      <w:r w:rsidR="00C306FD">
        <w:rPr>
          <w:rFonts w:cstheme="minorHAnsi"/>
        </w:rPr>
        <w:t>.</w:t>
      </w:r>
    </w:p>
    <w:p w14:paraId="0B5BC27B" w14:textId="77777777" w:rsidR="009D49BA" w:rsidRDefault="00EA4736" w:rsidP="009D49BA">
      <w:r w:rsidRPr="00EA4736">
        <w:t xml:space="preserve">A single booster dose of </w:t>
      </w:r>
      <w:r w:rsidR="006216CC" w:rsidRPr="006216CC">
        <w:t xml:space="preserve">SPIKEVAX </w:t>
      </w:r>
      <w:r w:rsidRPr="00EA4736">
        <w:t>(0.25 mL</w:t>
      </w:r>
      <w:r w:rsidR="00182A41">
        <w:t>; 50 micrograms</w:t>
      </w:r>
      <w:r w:rsidRPr="00EA4736">
        <w:t xml:space="preserve">) may be administered </w:t>
      </w:r>
      <w:r w:rsidR="00182A41" w:rsidRPr="00182A41">
        <w:t xml:space="preserve">as a homologous (same brand) booster dose following completion of primary vaccination with SPIKEVAX </w:t>
      </w:r>
      <w:r w:rsidR="00182A41">
        <w:t xml:space="preserve">or </w:t>
      </w:r>
      <w:r w:rsidRPr="00EA4736">
        <w:t xml:space="preserve">as a </w:t>
      </w:r>
      <w:r w:rsidRPr="00EA4736">
        <w:lastRenderedPageBreak/>
        <w:t>heterologous booster dose following completion of primary vaccination with another authorised or approved COVID-19 vaccine</w:t>
      </w:r>
      <w:r w:rsidR="009D49BA">
        <w:t xml:space="preserve">, </w:t>
      </w:r>
      <w:r w:rsidR="009D49BA" w:rsidRPr="00182A41">
        <w:t>in accordance with official recommendations.</w:t>
      </w:r>
    </w:p>
    <w:p w14:paraId="46DAFFDC" w14:textId="081C0830" w:rsidR="009920F5" w:rsidRPr="00C306FD" w:rsidRDefault="009920F5" w:rsidP="00C306FD">
      <w:pPr>
        <w:pStyle w:val="Heading4"/>
      </w:pPr>
      <w:r w:rsidRPr="00C306FD">
        <w:t xml:space="preserve">Paediatric population </w:t>
      </w:r>
    </w:p>
    <w:p w14:paraId="586935C1" w14:textId="1CE9D6CC" w:rsidR="009920F5" w:rsidRDefault="009920F5" w:rsidP="009920F5">
      <w:r w:rsidRPr="00DD4BE6">
        <w:t xml:space="preserve">The safety and efficacy of </w:t>
      </w:r>
      <w:r w:rsidR="005F49F9">
        <w:t>SPIKEVAX</w:t>
      </w:r>
      <w:r w:rsidRPr="00DD4BE6">
        <w:t xml:space="preserve"> in children and adolescents less than </w:t>
      </w:r>
      <w:r w:rsidR="00D23866">
        <w:t>12</w:t>
      </w:r>
      <w:r w:rsidR="00D23866" w:rsidRPr="00DD4BE6">
        <w:t xml:space="preserve"> </w:t>
      </w:r>
      <w:r w:rsidRPr="00DD4BE6">
        <w:t>years of age have not yet been established. No data are available.</w:t>
      </w:r>
      <w:r>
        <w:t xml:space="preserve">  </w:t>
      </w:r>
    </w:p>
    <w:p w14:paraId="6CD4FA3B" w14:textId="6F0E05AC" w:rsidR="009920F5" w:rsidRPr="009920F5" w:rsidRDefault="009920F5" w:rsidP="000A640E">
      <w:pPr>
        <w:pStyle w:val="Heading4"/>
      </w:pPr>
      <w:r w:rsidRPr="009920F5">
        <w:t>Elderly population</w:t>
      </w:r>
    </w:p>
    <w:p w14:paraId="6427D6C9" w14:textId="562D6203" w:rsidR="009920F5" w:rsidRDefault="009920F5" w:rsidP="009920F5">
      <w:r>
        <w:t xml:space="preserve">No dosage adjustment is required in elderly individuals ≥65 years of age. </w:t>
      </w:r>
    </w:p>
    <w:p w14:paraId="16344A2B" w14:textId="77777777" w:rsidR="009920F5" w:rsidRPr="004B19C8" w:rsidRDefault="009920F5" w:rsidP="000A640E">
      <w:pPr>
        <w:pStyle w:val="Heading3"/>
      </w:pPr>
      <w:r w:rsidRPr="004B19C8">
        <w:t xml:space="preserve">Method of administration </w:t>
      </w:r>
    </w:p>
    <w:p w14:paraId="15CEDBED" w14:textId="77777777" w:rsidR="004B19C8" w:rsidRDefault="009920F5" w:rsidP="009920F5">
      <w:r>
        <w:t>The vaccine should be administered intramuscularly.</w:t>
      </w:r>
    </w:p>
    <w:p w14:paraId="6308E31F" w14:textId="0155DDDF" w:rsidR="004B19C8" w:rsidRDefault="009920F5" w:rsidP="009920F5">
      <w:r>
        <w:t xml:space="preserve">The preferred site is the deltoid muscle of the upper arm. </w:t>
      </w:r>
    </w:p>
    <w:p w14:paraId="388F0CD7" w14:textId="77777777" w:rsidR="004B19C8" w:rsidRDefault="009920F5" w:rsidP="009920F5">
      <w:r>
        <w:t xml:space="preserve">Do not administer this vaccine intravascularly, subcutaneously or intradermally. </w:t>
      </w:r>
    </w:p>
    <w:p w14:paraId="23E96716" w14:textId="3F0A771D" w:rsidR="004B19C8" w:rsidRDefault="009920F5" w:rsidP="009920F5">
      <w:r>
        <w:t>The vaccine should not be mixed in the same syringe with any other vaccines or medicinal products. For precautions to be taken before administering the vaccine, see section 4.4</w:t>
      </w:r>
      <w:r w:rsidR="00406C76">
        <w:t xml:space="preserve"> </w:t>
      </w:r>
      <w:r w:rsidR="00406C76" w:rsidRPr="004264B7">
        <w:t>S</w:t>
      </w:r>
      <w:r w:rsidR="00406C76">
        <w:t>pe</w:t>
      </w:r>
      <w:r w:rsidR="00406C76" w:rsidRPr="004264B7">
        <w:t xml:space="preserve">cial Warnings </w:t>
      </w:r>
      <w:r w:rsidR="00406C76">
        <w:t>a</w:t>
      </w:r>
      <w:r w:rsidR="00406C76" w:rsidRPr="004264B7">
        <w:t>nd Precautions for Use</w:t>
      </w:r>
      <w:r>
        <w:t>.</w:t>
      </w:r>
    </w:p>
    <w:p w14:paraId="7D9FA726" w14:textId="77777777" w:rsidR="00497DB2" w:rsidRDefault="00497DB2" w:rsidP="00497DB2">
      <w:r>
        <w:t xml:space="preserve">The vaccine should be prepared and administered by a trained healthcare professional using aseptic techniques to ensure sterility of the suspension. </w:t>
      </w:r>
    </w:p>
    <w:p w14:paraId="70DC66E5" w14:textId="77777777" w:rsidR="00497DB2" w:rsidRDefault="00497DB2" w:rsidP="00497DB2">
      <w:r>
        <w:t xml:space="preserve">The vaccine comes ready to use once thawed. </w:t>
      </w:r>
    </w:p>
    <w:p w14:paraId="52645667" w14:textId="77777777" w:rsidR="00497DB2" w:rsidRDefault="00497DB2" w:rsidP="00497DB2">
      <w:r>
        <w:t xml:space="preserve">Do not shake or dilute. </w:t>
      </w:r>
    </w:p>
    <w:p w14:paraId="6E5386F4" w14:textId="77777777" w:rsidR="00497DB2" w:rsidRDefault="00497DB2" w:rsidP="00497DB2">
      <w:r>
        <w:t xml:space="preserve">Swirl the vial gently after thawing and before each withdrawal. </w:t>
      </w:r>
    </w:p>
    <w:p w14:paraId="156D412B" w14:textId="77777777" w:rsidR="00497DB2" w:rsidRDefault="00497DB2" w:rsidP="00497DB2">
      <w:r w:rsidRPr="004370C6">
        <w:t xml:space="preserve">Inspect </w:t>
      </w:r>
      <w:r>
        <w:t>SPIKEVAX</w:t>
      </w:r>
      <w:r w:rsidRPr="004370C6">
        <w:t xml:space="preserve"> vials visually for foreign particulate matter and/or discoloration prior to administration. If either of these conditions exists, the vaccine should not be administered.</w:t>
      </w:r>
    </w:p>
    <w:p w14:paraId="1B69D249" w14:textId="77777777" w:rsidR="00497DB2" w:rsidRDefault="00497DB2" w:rsidP="00497DB2">
      <w:r>
        <w:t xml:space="preserve">SPIKEVAX vials are multidose. Ten (10) doses of 0.5 mL volume each or a maximum of twenty (20) doses of 0.25 mL volume can be withdrawn from each vial. Pierce the stopper preferably at a different site each time. </w:t>
      </w:r>
    </w:p>
    <w:p w14:paraId="493ABFE3" w14:textId="77777777" w:rsidR="00497DB2" w:rsidRDefault="00497DB2" w:rsidP="00497DB2">
      <w:r>
        <w:t>Thawed vials and filled syringes can be handled in room light conditions.</w:t>
      </w:r>
    </w:p>
    <w:p w14:paraId="6DE039E2" w14:textId="77777777" w:rsidR="00497DB2" w:rsidRDefault="00497DB2" w:rsidP="00497DB2">
      <w:r>
        <w:t>For practical reasons, if the contents of the vial are to be used within a short period of time, drawing up the content in multiple syringes at once may be considered.</w:t>
      </w:r>
    </w:p>
    <w:p w14:paraId="4E198BCF" w14:textId="620E311B" w:rsidR="00497DB2" w:rsidRPr="00E475ED" w:rsidRDefault="002E5BB1" w:rsidP="002E5BB1">
      <w:r>
        <w:rPr>
          <w:noProof/>
        </w:rPr>
        <w:lastRenderedPageBreak/>
        <w:drawing>
          <wp:inline distT="0" distB="0" distL="0" distR="0" wp14:anchorId="20B35C20" wp14:editId="676C47BF">
            <wp:extent cx="5555411" cy="5793784"/>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562826" cy="5801517"/>
                    </a:xfrm>
                    <a:prstGeom prst="rect">
                      <a:avLst/>
                    </a:prstGeom>
                    <a:noFill/>
                  </pic:spPr>
                </pic:pic>
              </a:graphicData>
            </a:graphic>
          </wp:inline>
        </w:drawing>
      </w:r>
    </w:p>
    <w:p w14:paraId="45157604" w14:textId="1A05D6C5" w:rsidR="00497DB2" w:rsidRDefault="002E5BB1" w:rsidP="002E5BB1">
      <w:r>
        <w:rPr>
          <w:noProof/>
        </w:rPr>
        <w:lastRenderedPageBreak/>
        <w:drawing>
          <wp:inline distT="0" distB="0" distL="0" distR="0" wp14:anchorId="55FEB7B5" wp14:editId="487EF00B">
            <wp:extent cx="5571761" cy="2788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3811" cy="2789670"/>
                    </a:xfrm>
                    <a:prstGeom prst="rect">
                      <a:avLst/>
                    </a:prstGeom>
                    <a:noFill/>
                  </pic:spPr>
                </pic:pic>
              </a:graphicData>
            </a:graphic>
          </wp:inline>
        </w:drawing>
      </w:r>
    </w:p>
    <w:p w14:paraId="0F885E8B" w14:textId="77777777" w:rsidR="00497DB2" w:rsidRDefault="00497DB2" w:rsidP="009920F5"/>
    <w:p w14:paraId="0276FCC5" w14:textId="2CBFC2F5" w:rsidR="009920F5" w:rsidRPr="009920F5" w:rsidRDefault="009920F5" w:rsidP="009920F5">
      <w:r w:rsidRPr="002E5BB1">
        <w:t xml:space="preserve">For instructions </w:t>
      </w:r>
      <w:r w:rsidR="00D33447" w:rsidRPr="002E5BB1">
        <w:t>on</w:t>
      </w:r>
      <w:r w:rsidRPr="002E5BB1">
        <w:t xml:space="preserve"> disposal of the vaccine, see section 6.6</w:t>
      </w:r>
      <w:r w:rsidR="00406C76" w:rsidRPr="002E5BB1">
        <w:t xml:space="preserve"> Special Precautions for Disposal</w:t>
      </w:r>
      <w:r w:rsidRPr="002E5BB1">
        <w:t>.</w:t>
      </w:r>
    </w:p>
    <w:p w14:paraId="79370B6D" w14:textId="4C24878A" w:rsidR="001A3992" w:rsidRDefault="001A3992" w:rsidP="001A3992">
      <w:pPr>
        <w:pStyle w:val="Heading2"/>
        <w:spacing w:before="0" w:after="120"/>
      </w:pPr>
      <w:r>
        <w:t>Contraindications</w:t>
      </w:r>
    </w:p>
    <w:p w14:paraId="30709D17" w14:textId="719C22DB" w:rsidR="004B19C8" w:rsidRPr="004B19C8" w:rsidRDefault="004B19C8" w:rsidP="004B19C8">
      <w:r>
        <w:t>Hypersensitivity to the active substance or to any of the excipients listed in section 6.1</w:t>
      </w:r>
      <w:r w:rsidR="00406C76">
        <w:t xml:space="preserve"> List of Excipients</w:t>
      </w:r>
      <w:r w:rsidR="002E6C82">
        <w:t xml:space="preserve"> or in individuals with </w:t>
      </w:r>
      <w:r w:rsidR="002E6C82" w:rsidRPr="002E6C82">
        <w:t xml:space="preserve">known severe allergic reactions (e.g., anaphylaxis) to a previous dose of </w:t>
      </w:r>
      <w:r w:rsidR="002E6C82">
        <w:t>SPIKEVAX</w:t>
      </w:r>
      <w:r>
        <w:t>.</w:t>
      </w:r>
    </w:p>
    <w:p w14:paraId="4FBE56BF" w14:textId="77777777" w:rsidR="001A3992" w:rsidRDefault="00E74A56" w:rsidP="001A3992">
      <w:pPr>
        <w:pStyle w:val="Heading2"/>
        <w:spacing w:before="0" w:after="120"/>
      </w:pPr>
      <w:r>
        <w:t>Special warnings and p</w:t>
      </w:r>
      <w:r w:rsidR="001A3992">
        <w:t xml:space="preserve">recautions </w:t>
      </w:r>
      <w:r>
        <w:t>for use</w:t>
      </w:r>
    </w:p>
    <w:p w14:paraId="0A98204B" w14:textId="77777777" w:rsidR="004B19C8" w:rsidRPr="004B19C8" w:rsidRDefault="004B19C8" w:rsidP="000A640E">
      <w:pPr>
        <w:pStyle w:val="Heading4"/>
      </w:pPr>
      <w:r w:rsidRPr="004B19C8">
        <w:t xml:space="preserve">Traceability </w:t>
      </w:r>
    </w:p>
    <w:p w14:paraId="022713E6" w14:textId="77777777" w:rsidR="004B19C8" w:rsidRDefault="004B19C8" w:rsidP="004B19C8">
      <w:proofErr w:type="gramStart"/>
      <w:r>
        <w:t>In order to</w:t>
      </w:r>
      <w:proofErr w:type="gramEnd"/>
      <w:r>
        <w:t xml:space="preserve"> improve the traceability of biological medicinal products, the name and the batch number of the administered product should be clearly recorded. </w:t>
      </w:r>
    </w:p>
    <w:p w14:paraId="335B822B" w14:textId="1A0FF07A" w:rsidR="004B19C8" w:rsidRPr="004B19C8" w:rsidRDefault="004B19C8" w:rsidP="000A640E">
      <w:pPr>
        <w:pStyle w:val="Heading4"/>
      </w:pPr>
      <w:r w:rsidRPr="004B19C8">
        <w:t xml:space="preserve">Hypersensitivity and anaphylaxis </w:t>
      </w:r>
    </w:p>
    <w:p w14:paraId="29EB6185" w14:textId="24D29F00" w:rsidR="004B19C8" w:rsidRDefault="004B19C8" w:rsidP="004B19C8">
      <w:r>
        <w:t>Anaphylaxis has been reported</w:t>
      </w:r>
      <w:r w:rsidR="00B8032C">
        <w:t xml:space="preserve"> </w:t>
      </w:r>
      <w:r w:rsidR="00B8032C" w:rsidRPr="00B8032C">
        <w:t xml:space="preserve">in individuals who have received </w:t>
      </w:r>
      <w:r w:rsidR="005F49F9">
        <w:t>SPIKEVAX</w:t>
      </w:r>
      <w:r>
        <w:t xml:space="preserve">. Appropriate medical treatment and supervision should always be readily available in case of an anaphylactic reaction following administration of the vaccine. </w:t>
      </w:r>
    </w:p>
    <w:p w14:paraId="155C322B" w14:textId="77777777" w:rsidR="00510A07" w:rsidRPr="00510A07" w:rsidRDefault="00510A07" w:rsidP="00510A07">
      <w:pPr>
        <w:spacing w:after="0" w:line="240" w:lineRule="auto"/>
        <w:rPr>
          <w:lang w:val="en-US"/>
        </w:rPr>
      </w:pPr>
      <w:r w:rsidRPr="00510A07">
        <w:rPr>
          <w:lang w:val="en-US"/>
        </w:rPr>
        <w:t>Close observation is recommended following vaccination as follows:</w:t>
      </w:r>
    </w:p>
    <w:p w14:paraId="0CFD461C" w14:textId="77777777" w:rsidR="00510A07" w:rsidRPr="00510A07" w:rsidRDefault="00510A07" w:rsidP="00510A07">
      <w:pPr>
        <w:numPr>
          <w:ilvl w:val="0"/>
          <w:numId w:val="11"/>
        </w:numPr>
        <w:spacing w:after="0" w:line="240" w:lineRule="auto"/>
        <w:rPr>
          <w:lang w:val="en-US"/>
        </w:rPr>
      </w:pPr>
      <w:bookmarkStart w:id="1" w:name="_Hlk71013886"/>
      <w:r w:rsidRPr="00510A07">
        <w:rPr>
          <w:lang w:val="en-US"/>
        </w:rPr>
        <w:t>30 minutes:</w:t>
      </w:r>
    </w:p>
    <w:bookmarkEnd w:id="1"/>
    <w:p w14:paraId="6B775345" w14:textId="77777777" w:rsidR="00510A07" w:rsidRPr="00510A07" w:rsidRDefault="00510A07" w:rsidP="00510A07">
      <w:pPr>
        <w:numPr>
          <w:ilvl w:val="1"/>
          <w:numId w:val="11"/>
        </w:numPr>
        <w:spacing w:after="0" w:line="240" w:lineRule="auto"/>
        <w:rPr>
          <w:lang w:val="en-US"/>
        </w:rPr>
      </w:pPr>
      <w:r w:rsidRPr="00510A07">
        <w:rPr>
          <w:lang w:val="en-US"/>
        </w:rPr>
        <w:t>People with a history of an immediate allergic reaction of any severity to another vaccine or injectable therapy.</w:t>
      </w:r>
    </w:p>
    <w:p w14:paraId="5BC2799F" w14:textId="77777777" w:rsidR="00510A07" w:rsidRPr="00510A07" w:rsidRDefault="00510A07" w:rsidP="00510A07">
      <w:pPr>
        <w:numPr>
          <w:ilvl w:val="1"/>
          <w:numId w:val="11"/>
        </w:numPr>
        <w:spacing w:after="0" w:line="240" w:lineRule="auto"/>
        <w:rPr>
          <w:lang w:val="en-US"/>
        </w:rPr>
      </w:pPr>
      <w:r w:rsidRPr="00510A07">
        <w:rPr>
          <w:lang w:val="en-US"/>
        </w:rPr>
        <w:t>People with a history of anaphylaxis due to any cause.</w:t>
      </w:r>
    </w:p>
    <w:p w14:paraId="4EC0B6D5" w14:textId="77777777" w:rsidR="00510A07" w:rsidRPr="00510A07" w:rsidRDefault="00510A07" w:rsidP="00510A07">
      <w:pPr>
        <w:numPr>
          <w:ilvl w:val="0"/>
          <w:numId w:val="11"/>
        </w:numPr>
        <w:spacing w:after="0" w:line="240" w:lineRule="auto"/>
        <w:rPr>
          <w:lang w:val="en-US"/>
        </w:rPr>
      </w:pPr>
      <w:r w:rsidRPr="00510A07">
        <w:rPr>
          <w:lang w:val="en-US"/>
        </w:rPr>
        <w:t>15 minutes:</w:t>
      </w:r>
    </w:p>
    <w:p w14:paraId="5232DCB3" w14:textId="77777777" w:rsidR="00510A07" w:rsidRPr="00510A07" w:rsidRDefault="00510A07" w:rsidP="00510A07">
      <w:pPr>
        <w:numPr>
          <w:ilvl w:val="1"/>
          <w:numId w:val="11"/>
        </w:numPr>
        <w:spacing w:after="0" w:line="240" w:lineRule="auto"/>
        <w:rPr>
          <w:lang w:val="en-US"/>
        </w:rPr>
      </w:pPr>
      <w:r w:rsidRPr="00510A07">
        <w:rPr>
          <w:lang w:val="en-US"/>
        </w:rPr>
        <w:t xml:space="preserve"> All other persons.</w:t>
      </w:r>
    </w:p>
    <w:p w14:paraId="34F161BD" w14:textId="77777777" w:rsidR="00510A07" w:rsidRDefault="00510A07" w:rsidP="00162F0C">
      <w:pPr>
        <w:spacing w:after="0" w:line="240" w:lineRule="auto"/>
      </w:pPr>
    </w:p>
    <w:p w14:paraId="622ECBAD" w14:textId="53A70140" w:rsidR="004B19C8" w:rsidRDefault="00D33447" w:rsidP="001D044F">
      <w:r>
        <w:t>Subsequent</w:t>
      </w:r>
      <w:r w:rsidR="004B19C8">
        <w:t xml:space="preserve"> dose</w:t>
      </w:r>
      <w:r>
        <w:t>s</w:t>
      </w:r>
      <w:r w:rsidR="004B19C8">
        <w:t xml:space="preserve"> of the vaccine should not be given to those who have experienced anaphylaxis to the first dose of </w:t>
      </w:r>
      <w:r w:rsidR="005F49F9">
        <w:t>SPIKEVAX</w:t>
      </w:r>
      <w:r>
        <w:t>, see Section 4.3 Contraindications</w:t>
      </w:r>
      <w:r w:rsidR="004B19C8">
        <w:t>.</w:t>
      </w:r>
    </w:p>
    <w:p w14:paraId="5CA1CBC2" w14:textId="77777777" w:rsidR="00C20F97" w:rsidRDefault="00C20F97" w:rsidP="000A640E">
      <w:pPr>
        <w:pStyle w:val="Heading4"/>
      </w:pPr>
      <w:r>
        <w:lastRenderedPageBreak/>
        <w:t>Myocarditis and pericarditis</w:t>
      </w:r>
    </w:p>
    <w:p w14:paraId="6BD293BB" w14:textId="0B91234E" w:rsidR="00882175" w:rsidRDefault="00C20F97" w:rsidP="00D67EB5">
      <w:r w:rsidRPr="00162F0C">
        <w:t xml:space="preserve">There </w:t>
      </w:r>
      <w:r w:rsidR="00882175" w:rsidRPr="00882175">
        <w:t xml:space="preserve">is an increased risk for </w:t>
      </w:r>
      <w:r w:rsidRPr="00DC2361">
        <w:t>myocarditis and pericarditis</w:t>
      </w:r>
      <w:r w:rsidRPr="00162F0C">
        <w:t xml:space="preserve"> </w:t>
      </w:r>
      <w:r w:rsidR="00882175">
        <w:t xml:space="preserve">following </w:t>
      </w:r>
      <w:r w:rsidRPr="00162F0C">
        <w:t xml:space="preserve">vaccination with </w:t>
      </w:r>
      <w:r w:rsidR="005F49F9">
        <w:t>SPIKEVAX</w:t>
      </w:r>
      <w:r w:rsidRPr="00162F0C">
        <w:t xml:space="preserve">. </w:t>
      </w:r>
    </w:p>
    <w:p w14:paraId="7C61A994" w14:textId="6C1D9CDE" w:rsidR="00882175" w:rsidRDefault="00A130F0" w:rsidP="00D67EB5">
      <w:r>
        <w:t xml:space="preserve">These </w:t>
      </w:r>
      <w:r w:rsidR="00882175" w:rsidRPr="00882175">
        <w:t xml:space="preserve">conditions can develop within just a few days after </w:t>
      </w:r>
      <w:proofErr w:type="gramStart"/>
      <w:r w:rsidR="00882175" w:rsidRPr="00882175">
        <w:t>vaccination, and</w:t>
      </w:r>
      <w:proofErr w:type="gramEnd"/>
      <w:r w:rsidR="00882175" w:rsidRPr="00882175">
        <w:t xml:space="preserve"> </w:t>
      </w:r>
      <w:r>
        <w:t>have primarily occurred within 14 days</w:t>
      </w:r>
      <w:r w:rsidR="00882175">
        <w:t>.</w:t>
      </w:r>
      <w:r>
        <w:t xml:space="preserve"> </w:t>
      </w:r>
      <w:r w:rsidR="00882175" w:rsidRPr="00882175">
        <w:t xml:space="preserve">They have been observed </w:t>
      </w:r>
      <w:r>
        <w:t xml:space="preserve">more often after the second dose, and more often in </w:t>
      </w:r>
      <w:r w:rsidR="007215FC">
        <w:t>adolescent and young adult males</w:t>
      </w:r>
      <w:r>
        <w:t xml:space="preserve">. </w:t>
      </w:r>
    </w:p>
    <w:p w14:paraId="01EBAB8F" w14:textId="15FF40B2" w:rsidR="00A130F0" w:rsidRPr="00D67EB5" w:rsidRDefault="00A130F0" w:rsidP="00D67EB5">
      <w:r w:rsidRPr="00D67EB5">
        <w:t xml:space="preserve">Available data suggest that the course of myocarditis and pericarditis following vaccination is not different from myocarditis or pericarditis in general. </w:t>
      </w:r>
      <w:r w:rsidR="007215FC" w:rsidRPr="007215FC">
        <w:t>Available short-term follow-up data suggest that the symptoms resolve in most individuals, but information on long-term sequelae is lacking.</w:t>
      </w:r>
    </w:p>
    <w:p w14:paraId="49214D50" w14:textId="144842A1" w:rsidR="00A130F0" w:rsidRPr="00D67EB5" w:rsidRDefault="00A130F0" w:rsidP="00D67EB5">
      <w:r w:rsidRPr="00D67EB5">
        <w:t>Healthcare professionals should be alert to the signs and symptoms of myocarditis and pericarditis.</w:t>
      </w:r>
    </w:p>
    <w:p w14:paraId="1D9FD108" w14:textId="7376E199" w:rsidR="00A130F0" w:rsidRPr="00D67EB5" w:rsidRDefault="00A130F0" w:rsidP="00D67EB5">
      <w:r w:rsidRPr="00D67EB5">
        <w:t xml:space="preserve">Vaccine recipients should be instructed to seek immediate medical attention if they develop symptoms indicative of myocarditis or pericarditis such as (acute and persisting) chest pain, shortness of breath, or palpitations following vaccination. Healthcare professionals should consult guidance and/or specialists to diagnose and treat this condition. </w:t>
      </w:r>
    </w:p>
    <w:p w14:paraId="7B83E8E0" w14:textId="58A781C6" w:rsidR="00C20F97" w:rsidRDefault="00A130F0" w:rsidP="001D044F">
      <w:r w:rsidRPr="00D67EB5">
        <w:t>For further details, please refer to the relevant clinical guidelines developed by the Australian Technical Advisory Group on Immunisation.</w:t>
      </w:r>
    </w:p>
    <w:p w14:paraId="1E6607B7" w14:textId="7CFC5904" w:rsidR="00012336" w:rsidRDefault="00012336" w:rsidP="00896233">
      <w:pPr>
        <w:pStyle w:val="Heading4"/>
      </w:pPr>
      <w:r>
        <w:t>Altered immunocompetence</w:t>
      </w:r>
    </w:p>
    <w:p w14:paraId="6B437CCC" w14:textId="0F91F21E" w:rsidR="00012336" w:rsidRPr="00012336" w:rsidRDefault="00012336" w:rsidP="001D044F">
      <w:pPr>
        <w:rPr>
          <w:u w:val="single"/>
        </w:rPr>
      </w:pPr>
      <w:r>
        <w:t>If SPIKEVAX is administered to immunocompromised persons, including those receiving immunosuppressive therapy, the immune response</w:t>
      </w:r>
      <w:r w:rsidR="00896233">
        <w:t xml:space="preserve"> to the vaccine</w:t>
      </w:r>
      <w:r>
        <w:t xml:space="preserve"> may be diminished.</w:t>
      </w:r>
    </w:p>
    <w:p w14:paraId="553434F5" w14:textId="22107C24" w:rsidR="004B19C8" w:rsidRPr="004B19C8" w:rsidRDefault="004B19C8" w:rsidP="000A640E">
      <w:pPr>
        <w:pStyle w:val="Heading4"/>
      </w:pPr>
      <w:r w:rsidRPr="004B19C8">
        <w:t xml:space="preserve">Anxiety-related reactions </w:t>
      </w:r>
    </w:p>
    <w:p w14:paraId="1453EF9E" w14:textId="7588DED1" w:rsidR="004B19C8" w:rsidRDefault="004B19C8" w:rsidP="004B19C8">
      <w:r>
        <w:t xml:space="preserve">Anxiety-related reactions, including vasovagal reactions (syncope), hyperventilation or stress‐related reactions may occur in association with vaccination as a psychogenic response to the needle injection. It is important that precautions are in place to avoid injury from fainting. </w:t>
      </w:r>
    </w:p>
    <w:p w14:paraId="1ED8F835" w14:textId="1026B757" w:rsidR="00091557" w:rsidRDefault="00091557" w:rsidP="004B19C8">
      <w:r w:rsidRPr="00091557">
        <w:t>Some individuals may have stress-related responses associated with the process of vaccination itself. Stress-related responses are temporary and resolve on their own. They may include dizziness, fainting, palpitations, increases in heart rate, alterations in blood pressure, feeling short of breath, tingling sensations, sweating and/or anxiety. Individuals should be advised to bring symptoms to the attention of the vaccination provider for evaluation and precautions should be in place to avoid injury from fainting</w:t>
      </w:r>
      <w:r>
        <w:t>.</w:t>
      </w:r>
    </w:p>
    <w:p w14:paraId="1D4F3AEB" w14:textId="77777777" w:rsidR="004B19C8" w:rsidRPr="004B19C8" w:rsidRDefault="004B19C8" w:rsidP="000A640E">
      <w:pPr>
        <w:pStyle w:val="Heading4"/>
      </w:pPr>
      <w:r w:rsidRPr="004B19C8">
        <w:t xml:space="preserve">Concurrent illness </w:t>
      </w:r>
    </w:p>
    <w:p w14:paraId="61C4C691" w14:textId="77777777" w:rsidR="004B19C8" w:rsidRDefault="004B19C8" w:rsidP="004B19C8">
      <w:r>
        <w:t xml:space="preserve">Vaccination should be postponed in individuals suffering from acute severe febrile illness or acute infection. The presence of a minor infection and/or low-grade fever should not delay vaccination. </w:t>
      </w:r>
    </w:p>
    <w:p w14:paraId="60D95FA2" w14:textId="313DD620" w:rsidR="004B19C8" w:rsidRPr="004B19C8" w:rsidRDefault="004B19C8" w:rsidP="000A640E">
      <w:pPr>
        <w:pStyle w:val="Heading4"/>
      </w:pPr>
      <w:r w:rsidRPr="004B19C8">
        <w:lastRenderedPageBreak/>
        <w:t>Thrombocytopenia and coagulation disorders</w:t>
      </w:r>
    </w:p>
    <w:p w14:paraId="65D2D9B0" w14:textId="03161B24" w:rsidR="004B19C8" w:rsidRDefault="004B19C8" w:rsidP="004B19C8">
      <w:r>
        <w:t>As with other intramuscular injections, the vaccine should be given with caution in individuals receiving anticoagulant therapy or those with thrombocytopenia or any coagulation disorder (such as haemophilia) because bleeding or bruising may occur following an intramuscular administration in these individuals.</w:t>
      </w:r>
    </w:p>
    <w:p w14:paraId="1D17A3EE" w14:textId="4B3CFBDE" w:rsidR="004B19C8" w:rsidRPr="004B19C8" w:rsidRDefault="004B19C8" w:rsidP="000A640E">
      <w:pPr>
        <w:pStyle w:val="Heading4"/>
      </w:pPr>
      <w:r w:rsidRPr="004B19C8">
        <w:t>Duration of protection</w:t>
      </w:r>
    </w:p>
    <w:p w14:paraId="1367D67D" w14:textId="2615F389" w:rsidR="004B19C8" w:rsidRDefault="004B19C8" w:rsidP="004B19C8">
      <w:r>
        <w:t>The duration of protection afforded by the vaccine is unknown as it is still being determined by ongoing clinical trials.</w:t>
      </w:r>
    </w:p>
    <w:p w14:paraId="31C5D75E" w14:textId="332C89E4" w:rsidR="004B19C8" w:rsidRPr="004B19C8" w:rsidRDefault="004B19C8" w:rsidP="000A640E">
      <w:pPr>
        <w:pStyle w:val="Heading4"/>
      </w:pPr>
      <w:r w:rsidRPr="004B19C8">
        <w:t xml:space="preserve">Limitations of vaccine effectiveness </w:t>
      </w:r>
    </w:p>
    <w:p w14:paraId="7F194E01" w14:textId="6C90276E" w:rsidR="004B19C8" w:rsidRDefault="004B19C8" w:rsidP="004B19C8">
      <w:r>
        <w:t xml:space="preserve">Individuals may not be fully protected until 14 days after their second dose. As with all vaccines, vaccination with </w:t>
      </w:r>
      <w:r w:rsidR="005F49F9">
        <w:t>SPIKEVAX</w:t>
      </w:r>
      <w:r>
        <w:t xml:space="preserve"> may not protect all vaccine recipients.</w:t>
      </w:r>
    </w:p>
    <w:p w14:paraId="0BE250F2" w14:textId="4EB2AF5E" w:rsidR="004B19C8" w:rsidRPr="004B19C8" w:rsidRDefault="004B19C8" w:rsidP="000A640E">
      <w:pPr>
        <w:pStyle w:val="Heading4"/>
      </w:pPr>
      <w:r w:rsidRPr="004B19C8">
        <w:t xml:space="preserve">Excipients with known effect </w:t>
      </w:r>
    </w:p>
    <w:p w14:paraId="52D4C999" w14:textId="37FE8430" w:rsidR="004B19C8" w:rsidRPr="004B19C8" w:rsidRDefault="004B19C8" w:rsidP="004B19C8">
      <w:r>
        <w:t>Sodium</w:t>
      </w:r>
      <w:r w:rsidR="00B56B78">
        <w:t>:</w:t>
      </w:r>
      <w:r>
        <w:t xml:space="preserve"> This vaccine contains less than 1 mmol sodium (23 mg) per 0.5 mL dose</w:t>
      </w:r>
      <w:proofErr w:type="gramStart"/>
      <w:r>
        <w:t>, that is to say, essentially</w:t>
      </w:r>
      <w:proofErr w:type="gramEnd"/>
      <w:r>
        <w:t xml:space="preserve"> ‘sodium-free’.</w:t>
      </w:r>
    </w:p>
    <w:p w14:paraId="369834EF" w14:textId="44959E0D" w:rsidR="001A3992" w:rsidRPr="00DD7C09" w:rsidRDefault="001A3992" w:rsidP="00DD7C09">
      <w:pPr>
        <w:pStyle w:val="Heading3"/>
      </w:pPr>
      <w:r w:rsidRPr="00DD7C09">
        <w:t>Use in the elderly</w:t>
      </w:r>
    </w:p>
    <w:p w14:paraId="3ADD3629" w14:textId="39AF5A92" w:rsidR="0076036F" w:rsidRDefault="005F49F9" w:rsidP="0076036F">
      <w:r>
        <w:t>SPIKEVAX</w:t>
      </w:r>
      <w:r w:rsidR="0076036F">
        <w:t xml:space="preserve"> was assessed in individuals </w:t>
      </w:r>
      <w:r w:rsidR="00C3687F">
        <w:t xml:space="preserve">12 </w:t>
      </w:r>
      <w:r w:rsidR="0076036F">
        <w:t xml:space="preserve">years of age and older, including 3,768 subjects 65 years of age and older. The efficacy of </w:t>
      </w:r>
      <w:r>
        <w:t>SPIKEVAX</w:t>
      </w:r>
      <w:r w:rsidR="0076036F">
        <w:t xml:space="preserve"> was consistent between elderly (≥65 years) and younger adult subjects (</w:t>
      </w:r>
      <w:r w:rsidR="00C3687F">
        <w:t>12</w:t>
      </w:r>
      <w:r w:rsidR="0076036F">
        <w:t>-64 years).</w:t>
      </w:r>
    </w:p>
    <w:p w14:paraId="490BDA46" w14:textId="08616F97" w:rsidR="009736BB" w:rsidRDefault="009736BB" w:rsidP="009736BB">
      <w:pPr>
        <w:pStyle w:val="Heading3"/>
      </w:pPr>
      <w:r>
        <w:t>Paediatric use</w:t>
      </w:r>
    </w:p>
    <w:p w14:paraId="1D02B6B2" w14:textId="17326264" w:rsidR="009736BB" w:rsidRDefault="009736BB" w:rsidP="0076036F">
      <w:r w:rsidRPr="009736BB">
        <w:t xml:space="preserve">The safety and efficacy of </w:t>
      </w:r>
      <w:r w:rsidR="005F49F9">
        <w:t>SPIKEVAX</w:t>
      </w:r>
      <w:r w:rsidRPr="009736BB">
        <w:t xml:space="preserve"> in children and adolescents less than </w:t>
      </w:r>
      <w:r w:rsidR="00D83EFC">
        <w:t>12</w:t>
      </w:r>
      <w:r w:rsidR="00D83EFC" w:rsidRPr="009736BB">
        <w:t xml:space="preserve"> </w:t>
      </w:r>
      <w:r w:rsidRPr="009736BB">
        <w:t>years of age have not yet been established. No data are available.</w:t>
      </w:r>
    </w:p>
    <w:p w14:paraId="080B4EF0" w14:textId="22900FB7" w:rsidR="004A0D71" w:rsidRPr="004A0D71" w:rsidRDefault="004A0D71" w:rsidP="009736BB">
      <w:pPr>
        <w:pStyle w:val="Heading3"/>
      </w:pPr>
      <w:r w:rsidRPr="004A0D71">
        <w:t>Effects on laboratory tests</w:t>
      </w:r>
    </w:p>
    <w:p w14:paraId="0BB7B234" w14:textId="78BA96B6" w:rsidR="004A0D71" w:rsidRPr="0076036F" w:rsidRDefault="004A0D71" w:rsidP="0076036F">
      <w:r>
        <w:t>No data available</w:t>
      </w:r>
      <w:r w:rsidR="009736BB">
        <w:t>.</w:t>
      </w:r>
    </w:p>
    <w:p w14:paraId="7A310594" w14:textId="0447FA22" w:rsidR="001A3992" w:rsidRDefault="001A3992" w:rsidP="001A3992">
      <w:pPr>
        <w:pStyle w:val="Heading2"/>
        <w:keepNext/>
        <w:keepLines/>
        <w:spacing w:before="0" w:after="120"/>
      </w:pPr>
      <w:r>
        <w:t>Interactions with other medicines and other forms of interactions</w:t>
      </w:r>
    </w:p>
    <w:p w14:paraId="58538FE4" w14:textId="0328E364" w:rsidR="004B19C8" w:rsidRPr="004B19C8" w:rsidRDefault="004B19C8" w:rsidP="004B19C8">
      <w:r>
        <w:t xml:space="preserve">No interaction studies have been performed. Concomitant administration of </w:t>
      </w:r>
      <w:r w:rsidR="005F49F9">
        <w:t>SPIKEVAX</w:t>
      </w:r>
      <w:r>
        <w:t xml:space="preserve"> with other vaccines has not been studied.</w:t>
      </w:r>
    </w:p>
    <w:p w14:paraId="45AFEC63" w14:textId="77777777" w:rsidR="001A3992" w:rsidRDefault="001A3992" w:rsidP="001A3992">
      <w:pPr>
        <w:pStyle w:val="Heading2"/>
        <w:spacing w:before="0" w:after="120"/>
      </w:pPr>
      <w:r>
        <w:t xml:space="preserve">Fertility, pregnancy and lactation </w:t>
      </w:r>
    </w:p>
    <w:p w14:paraId="090C61EB" w14:textId="3C5097A6" w:rsidR="001A3992" w:rsidRPr="00DD7C09" w:rsidRDefault="001A3992" w:rsidP="00DD7C09">
      <w:pPr>
        <w:pStyle w:val="Heading3"/>
      </w:pPr>
      <w:r w:rsidRPr="00DD7C09">
        <w:t>Effects on fertility</w:t>
      </w:r>
    </w:p>
    <w:p w14:paraId="7AD689FA" w14:textId="20C66CA5" w:rsidR="004B19C8" w:rsidRDefault="004B19C8" w:rsidP="004B19C8">
      <w:r>
        <w:t>Animal studies do not indicate direct or indirect harmful effects with respect to reproductive toxicity</w:t>
      </w:r>
      <w:r w:rsidR="00CB5B94">
        <w:t xml:space="preserve"> in females</w:t>
      </w:r>
      <w:r w:rsidR="00C77BD0">
        <w:t>.</w:t>
      </w:r>
    </w:p>
    <w:p w14:paraId="36878DA8" w14:textId="0ECEAC6E" w:rsidR="00834307" w:rsidRPr="00BD599F" w:rsidRDefault="00834307" w:rsidP="00834307">
      <w:r>
        <w:t xml:space="preserve">In a combined fertility and developmental toxicity study, </w:t>
      </w:r>
      <w:r w:rsidR="00F864FA" w:rsidRPr="00F864FA">
        <w:t>100 micrograms of mRNA (elasomeran)</w:t>
      </w:r>
      <w:r>
        <w:t xml:space="preserve"> and other ingredients included in a single human dose of </w:t>
      </w:r>
      <w:r w:rsidR="005F49F9">
        <w:t>SPIKEVAX</w:t>
      </w:r>
      <w:r>
        <w:t xml:space="preserve"> was administered to female rats by </w:t>
      </w:r>
      <w:r>
        <w:lastRenderedPageBreak/>
        <w:t>the intramuscular route on four occasions: 28 and 14</w:t>
      </w:r>
      <w:r w:rsidR="0042696A">
        <w:t> </w:t>
      </w:r>
      <w:r>
        <w:t xml:space="preserve">days prior to mating, and on gestation days 1 and 13. SARS-CoV-2 antibody responses were present in </w:t>
      </w:r>
      <w:r w:rsidR="00C77BD0">
        <w:t>dams</w:t>
      </w:r>
      <w:r>
        <w:t xml:space="preserve"> from prior to mating to the end of the study on lactation day 21 as well as in fetuses and offspring. There were no vaccine-related adverse effects on female fertility, pregnancy, embryofetal or offspring development or postnatal development. No data are available o</w:t>
      </w:r>
      <w:r w:rsidR="00C77BD0">
        <w:t>n</w:t>
      </w:r>
      <w:r>
        <w:t xml:space="preserve"> </w:t>
      </w:r>
      <w:r w:rsidR="005F49F9">
        <w:t>SPIKEVAX</w:t>
      </w:r>
      <w:r>
        <w:t xml:space="preserve"> vaccine placental transfer or excretion in milk. The effect on male fertility has not been determined.</w:t>
      </w:r>
    </w:p>
    <w:p w14:paraId="3B152094" w14:textId="7786655D" w:rsidR="001A3992" w:rsidRDefault="001A3992" w:rsidP="00DD7C09">
      <w:pPr>
        <w:pStyle w:val="Heading3"/>
      </w:pPr>
      <w:r w:rsidRPr="00B878CC">
        <w:t xml:space="preserve">Use in pregnancy </w:t>
      </w:r>
      <w:r w:rsidR="005B2812" w:rsidRPr="00497C85">
        <w:t xml:space="preserve">– Pregnancy Category </w:t>
      </w:r>
      <w:r w:rsidR="00DA0A41">
        <w:t>B1</w:t>
      </w:r>
    </w:p>
    <w:p w14:paraId="4A6357F7" w14:textId="6B62E9B9" w:rsidR="00AB3618" w:rsidRDefault="007B79C4" w:rsidP="004B19C8">
      <w:r w:rsidRPr="007B79C4">
        <w:t xml:space="preserve">No adequate and well-controlled studies of </w:t>
      </w:r>
      <w:r>
        <w:t>SPIKEVAX</w:t>
      </w:r>
      <w:r w:rsidRPr="007B79C4">
        <w:t xml:space="preserve"> use in pregnant women have been conducted. Available data on </w:t>
      </w:r>
      <w:r>
        <w:t>SPIKEVAX</w:t>
      </w:r>
      <w:r w:rsidRPr="007B79C4">
        <w:t xml:space="preserve"> administered to pregnant women are insufficient to inform vaccine-associated risks in pregnancy.</w:t>
      </w:r>
    </w:p>
    <w:p w14:paraId="641F0E31" w14:textId="5123EE2E" w:rsidR="00AB3618" w:rsidRDefault="008C0AEC" w:rsidP="004B19C8">
      <w:r>
        <w:t>A combined fertility and development toxicity study in rats did not show vaccine-related harmful effects on embryofetal development</w:t>
      </w:r>
      <w:r w:rsidR="00292F02">
        <w:t xml:space="preserve"> (see Effects on </w:t>
      </w:r>
      <w:r w:rsidR="00AB3618">
        <w:t>f</w:t>
      </w:r>
      <w:r w:rsidR="00292F02">
        <w:t>ertility)</w:t>
      </w:r>
      <w:r>
        <w:t>.</w:t>
      </w:r>
    </w:p>
    <w:p w14:paraId="42FEC05B" w14:textId="29B99F60" w:rsidR="004B19C8" w:rsidRPr="004B19C8" w:rsidRDefault="004B19C8" w:rsidP="004B19C8">
      <w:r>
        <w:t xml:space="preserve">Administration of </w:t>
      </w:r>
      <w:r w:rsidR="005F49F9">
        <w:t>SPIKEVAX</w:t>
      </w:r>
      <w:r>
        <w:t xml:space="preserve"> in pregnancy should only be considered when the potential benefits outweigh any potential risks for the mother and fetus.</w:t>
      </w:r>
    </w:p>
    <w:p w14:paraId="348FAE0D" w14:textId="3FE251A2" w:rsidR="001A3992" w:rsidRDefault="001A3992" w:rsidP="00DD7C09">
      <w:pPr>
        <w:pStyle w:val="Heading3"/>
      </w:pPr>
      <w:r w:rsidRPr="00B878CC">
        <w:t>Use in</w:t>
      </w:r>
      <w:r w:rsidRPr="00164864">
        <w:t xml:space="preserve"> lactation</w:t>
      </w:r>
    </w:p>
    <w:p w14:paraId="1626DAF4" w14:textId="76AD1C8B" w:rsidR="00AB3618" w:rsidRDefault="004B19C8" w:rsidP="000008C4">
      <w:r>
        <w:t xml:space="preserve">It is unknown whether </w:t>
      </w:r>
      <w:r w:rsidR="005F49F9">
        <w:t>SPIKEVAX</w:t>
      </w:r>
      <w:r>
        <w:t xml:space="preserve"> is excreted in human </w:t>
      </w:r>
      <w:r w:rsidR="00E531D3">
        <w:t>milk.</w:t>
      </w:r>
      <w:r w:rsidR="000371EF">
        <w:t xml:space="preserve"> A combined fertility and developmental toxicity study in rats did not show harmful effects on offspring development before weaning</w:t>
      </w:r>
      <w:r w:rsidR="00D81058">
        <w:t xml:space="preserve"> (see Effects of </w:t>
      </w:r>
      <w:r w:rsidR="00AB3618">
        <w:t>f</w:t>
      </w:r>
      <w:r w:rsidR="00D81058">
        <w:t>ertility)</w:t>
      </w:r>
      <w:r w:rsidR="00AD1677">
        <w:t>.</w:t>
      </w:r>
      <w:r w:rsidR="007B79C4">
        <w:t xml:space="preserve"> </w:t>
      </w:r>
      <w:r w:rsidR="007B79C4" w:rsidRPr="007B79C4">
        <w:t xml:space="preserve">Data are not available to assess the effects of </w:t>
      </w:r>
      <w:r w:rsidR="007B79C4">
        <w:t>SPIKEVAX</w:t>
      </w:r>
      <w:r w:rsidR="007B79C4" w:rsidRPr="007B79C4">
        <w:t xml:space="preserve"> on the breastfed infant or on milk production/excretion. Therefore, use of </w:t>
      </w:r>
      <w:r w:rsidR="007B79C4">
        <w:t>SPIKEVAX</w:t>
      </w:r>
      <w:r w:rsidR="007B79C4" w:rsidRPr="007B79C4">
        <w:t xml:space="preserve"> is not recommended in breastfeeding mothers.</w:t>
      </w:r>
    </w:p>
    <w:p w14:paraId="0714EBDD" w14:textId="0AFF8C80" w:rsidR="001A3992" w:rsidRPr="000008C4" w:rsidRDefault="001A3992" w:rsidP="000008C4">
      <w:pPr>
        <w:pStyle w:val="Heading2"/>
      </w:pPr>
      <w:r w:rsidRPr="000008C4">
        <w:t xml:space="preserve">Effects on ability to drive and use machines </w:t>
      </w:r>
    </w:p>
    <w:p w14:paraId="48A9272B" w14:textId="355D2A14" w:rsidR="005B2812" w:rsidRPr="005B2812" w:rsidRDefault="005F49F9" w:rsidP="005B2812">
      <w:r>
        <w:t>SPIKEVAX</w:t>
      </w:r>
      <w:r w:rsidR="004B19C8">
        <w:t xml:space="preserve"> has no or negligible influence on the ability to drive and use machines. However, some of the effects mentioned under section 4.8</w:t>
      </w:r>
      <w:r w:rsidR="008F77E2" w:rsidRPr="008F77E2">
        <w:t xml:space="preserve"> Adverse Effects (Undesirable Effects)</w:t>
      </w:r>
      <w:r w:rsidR="008F77E2">
        <w:t xml:space="preserve"> </w:t>
      </w:r>
      <w:r w:rsidR="004B19C8">
        <w:t>may temporarily affect the ability to drive or use machines.</w:t>
      </w:r>
    </w:p>
    <w:p w14:paraId="1C508B11" w14:textId="2624982B" w:rsidR="001A3992" w:rsidRDefault="001A3992" w:rsidP="009B748C">
      <w:pPr>
        <w:pStyle w:val="Heading2"/>
        <w:keepNext/>
        <w:keepLines/>
        <w:spacing w:before="0" w:after="120"/>
      </w:pPr>
      <w:r>
        <w:t>Adverse effects (Undesirable effects)</w:t>
      </w:r>
    </w:p>
    <w:p w14:paraId="7F3E2871" w14:textId="65F7E26B" w:rsidR="00D83EFC" w:rsidRPr="000210A4" w:rsidRDefault="00D83EFC" w:rsidP="000210A4">
      <w:pPr>
        <w:pStyle w:val="Heading3"/>
      </w:pPr>
      <w:r w:rsidRPr="000210A4">
        <w:t>Participants 18 years of age and older</w:t>
      </w:r>
    </w:p>
    <w:p w14:paraId="608E0326" w14:textId="105F7218" w:rsidR="00AC655D" w:rsidRDefault="00AC655D" w:rsidP="005B2812">
      <w:r>
        <w:t xml:space="preserve">The safety of </w:t>
      </w:r>
      <w:r w:rsidR="005F49F9">
        <w:t>SPIKEVAX</w:t>
      </w:r>
      <w:r>
        <w:t xml:space="preserve"> was evaluated in an ongoing Phase 3 randomised, placebo-controlled, observer-blind clinical </w:t>
      </w:r>
      <w:r w:rsidR="00C20C0B">
        <w:t xml:space="preserve">study </w:t>
      </w:r>
      <w:r>
        <w:t xml:space="preserve">conducted in the United States involving 30,351 participants 18 years of age and older who received at least one dose of </w:t>
      </w:r>
      <w:r w:rsidR="005F49F9">
        <w:t>SPIKEVAX</w:t>
      </w:r>
      <w:r>
        <w:t xml:space="preserve"> (n=15,185) or placebo (n=15,166) (</w:t>
      </w:r>
      <w:r w:rsidR="002A1724">
        <w:t xml:space="preserve">Study P301, </w:t>
      </w:r>
      <w:r>
        <w:t xml:space="preserve">NCT04470427). At the time of vaccination, the mean age of the population was 52 years (range 18-95); 22,831 (75.2%) of participants were 18 to 64 years of age and 7,520 (24.8%) of participants were 65 years of age and older. </w:t>
      </w:r>
    </w:p>
    <w:p w14:paraId="1ADE9034" w14:textId="261A92E6" w:rsidR="00AC655D" w:rsidRDefault="009B730D" w:rsidP="005B2812">
      <w:r w:rsidRPr="009B730D">
        <w:t>Solicited adverse reactions were reported more frequently among vaccine participants than placebo</w:t>
      </w:r>
      <w:r>
        <w:t>.</w:t>
      </w:r>
      <w:r w:rsidRPr="009B730D">
        <w:t xml:space="preserve"> </w:t>
      </w:r>
      <w:r w:rsidR="00AC655D">
        <w:t xml:space="preserve">The most frequently reported adverse reactions were pain at the injection site (92%), fatigue (70%), headache (64.7%), myalgia (61.5%), arthralgia (46.4%), chills (45.4%), nausea/vomiting (23%), axillary swelling/tenderness (19.8%), fever (15.5%), injection site swelling (14.7%) and redness (10%). </w:t>
      </w:r>
      <w:r w:rsidR="00AC655D">
        <w:lastRenderedPageBreak/>
        <w:t xml:space="preserve">Adverse reactions were usually mild or moderate in intensity and resolved within a few days after vaccination. A slightly lower frequency of reactogenicity events was associated with greater age. </w:t>
      </w:r>
    </w:p>
    <w:p w14:paraId="1D47526B" w14:textId="17160D30" w:rsidR="00A31655" w:rsidRPr="00D67EB5" w:rsidRDefault="00A31655" w:rsidP="00D67EB5">
      <w:r w:rsidRPr="00D67EB5">
        <w:t>Delayed injection site reactions that began &gt;7 days after vaccination were reported in 1.2% of vaccine recipients and 0.4% of placebo recipients. Delayed injection site reactions included pain, erythema, and swelling</w:t>
      </w:r>
      <w:r w:rsidR="009736BB" w:rsidRPr="00D67EB5">
        <w:t>,</w:t>
      </w:r>
      <w:r w:rsidRPr="00D67EB5">
        <w:t xml:space="preserve"> and are likely related to vaccination.</w:t>
      </w:r>
    </w:p>
    <w:p w14:paraId="58E4B490" w14:textId="79886BF5" w:rsidR="00AC655D" w:rsidRDefault="00AC655D" w:rsidP="005B2812">
      <w:r>
        <w:t>Overall, there was a higher incidence of some adverse reactions in younger age groups: the incidence of axillary swelling/tenderness, fatigue, headache, myalgia, arthralgia, chills, nausea/</w:t>
      </w:r>
      <w:r w:rsidR="00E531D3">
        <w:t>vomiting,</w:t>
      </w:r>
      <w:r>
        <w:t xml:space="preserve"> and fever was higher in adults aged 18 to &lt; 65 years than in those aged 65 years and above. </w:t>
      </w:r>
      <w:r w:rsidR="009B730D" w:rsidRPr="009B730D">
        <w:t xml:space="preserve">Grade 3 solicited local adverse reactions were more frequently reported after Dose 2 than after Dose 1. </w:t>
      </w:r>
      <w:r w:rsidR="009B730D">
        <w:t>S</w:t>
      </w:r>
      <w:r w:rsidR="009B730D" w:rsidRPr="009B730D">
        <w:t>ystemic adverse reactions were reported more frequently by vaccine participants after Dose 2 than after Dose 1. Grade 3 systemic adverse reactions (fatigue, myalgia, arthralgia, and headache) were reported more frequently after Dose 2 than after Dose 1</w:t>
      </w:r>
      <w:r w:rsidR="009B730D">
        <w:t>.</w:t>
      </w:r>
    </w:p>
    <w:p w14:paraId="3A2F692F" w14:textId="504E0843" w:rsidR="00AC655D" w:rsidRDefault="00AC655D" w:rsidP="005B2812">
      <w:r>
        <w:t xml:space="preserve">The safety profile presented below is based on data generated in a placebo-controlled clinical study on 30,351 adults ≥ 18 years of age. </w:t>
      </w:r>
    </w:p>
    <w:p w14:paraId="6A9E9796" w14:textId="77777777" w:rsidR="00AC655D" w:rsidRDefault="00AC655D" w:rsidP="005B2812">
      <w:r>
        <w:t xml:space="preserve">Adverse reactions reported are listed according to the following frequency convention: </w:t>
      </w:r>
    </w:p>
    <w:p w14:paraId="2B8EB43B" w14:textId="77777777" w:rsidR="00AC655D" w:rsidRDefault="00AC655D" w:rsidP="005B2812">
      <w:r>
        <w:t>Very common (≥1/10)</w:t>
      </w:r>
    </w:p>
    <w:p w14:paraId="616EBD33" w14:textId="77777777" w:rsidR="00AC655D" w:rsidRDefault="00AC655D" w:rsidP="00AC655D">
      <w:r>
        <w:t xml:space="preserve">Common (≥1/100 to &lt;1/10) </w:t>
      </w:r>
    </w:p>
    <w:p w14:paraId="705D3261" w14:textId="77777777" w:rsidR="00AC655D" w:rsidRDefault="00AC655D" w:rsidP="00AC655D">
      <w:r>
        <w:t xml:space="preserve">Uncommon (≥1/1,000 to &lt;1/100) </w:t>
      </w:r>
    </w:p>
    <w:p w14:paraId="42629FCF" w14:textId="77777777" w:rsidR="00AC655D" w:rsidRDefault="00AC655D" w:rsidP="00AC655D">
      <w:r>
        <w:t xml:space="preserve">Rare (≥1/10,000 to &lt;1/1,000) </w:t>
      </w:r>
    </w:p>
    <w:p w14:paraId="5C99A9AE" w14:textId="77777777" w:rsidR="00AC655D" w:rsidRDefault="00AC655D" w:rsidP="00AC655D">
      <w:r>
        <w:t xml:space="preserve">Very rare (&lt;1/10,000) </w:t>
      </w:r>
    </w:p>
    <w:p w14:paraId="59CB6CC6" w14:textId="7E9A5992" w:rsidR="00AC655D" w:rsidRDefault="00AC655D" w:rsidP="00AC655D">
      <w:r>
        <w:t>Not known (cannot be estimated from the available data)</w:t>
      </w:r>
    </w:p>
    <w:p w14:paraId="551F3144" w14:textId="157292E2" w:rsidR="0042635C" w:rsidRDefault="00AC655D" w:rsidP="00405DC5">
      <w:r>
        <w:t>Within each frequency grouping, adverse reactions are presented in order of decreasing seriousness</w:t>
      </w:r>
      <w:r w:rsidR="00446D74">
        <w:t xml:space="preserve"> (Table 1)</w:t>
      </w:r>
      <w:r>
        <w:t>.</w:t>
      </w:r>
    </w:p>
    <w:p w14:paraId="7D20FA72" w14:textId="14F5B29F" w:rsidR="00405DC5" w:rsidRPr="009B748C" w:rsidRDefault="00405DC5" w:rsidP="009B748C">
      <w:pPr>
        <w:keepNext/>
        <w:spacing w:line="240" w:lineRule="auto"/>
        <w:rPr>
          <w:b/>
          <w:bCs/>
        </w:rPr>
      </w:pPr>
      <w:r w:rsidRPr="009B748C">
        <w:rPr>
          <w:b/>
          <w:bCs/>
        </w:rPr>
        <w:lastRenderedPageBreak/>
        <w:t>Table 1:  Tabulated list of adverse reactions</w:t>
      </w:r>
      <w:r w:rsidR="00411933" w:rsidRPr="009B748C">
        <w:rPr>
          <w:b/>
          <w:bCs/>
        </w:rPr>
        <w:t xml:space="preserve"> for </w:t>
      </w:r>
      <w:r w:rsidR="005F49F9">
        <w:rPr>
          <w:b/>
          <w:bCs/>
        </w:rPr>
        <w:t>SPIKEVAX</w:t>
      </w:r>
    </w:p>
    <w:tbl>
      <w:tblPr>
        <w:tblStyle w:val="TableGrid"/>
        <w:tblW w:w="0" w:type="auto"/>
        <w:tblLook w:val="04A0" w:firstRow="1" w:lastRow="0" w:firstColumn="1" w:lastColumn="0" w:noHBand="0" w:noVBand="1"/>
      </w:tblPr>
      <w:tblGrid>
        <w:gridCol w:w="3005"/>
        <w:gridCol w:w="3005"/>
        <w:gridCol w:w="3006"/>
      </w:tblGrid>
      <w:tr w:rsidR="00AC655D" w14:paraId="0AD162D2" w14:textId="77777777" w:rsidTr="008F77E2">
        <w:trPr>
          <w:tblHeader/>
        </w:trPr>
        <w:tc>
          <w:tcPr>
            <w:tcW w:w="3005" w:type="dxa"/>
          </w:tcPr>
          <w:p w14:paraId="2F000AA9" w14:textId="02D1BB78" w:rsidR="00AC655D" w:rsidRPr="00AC655D" w:rsidRDefault="00AC655D" w:rsidP="009B748C">
            <w:pPr>
              <w:keepNext/>
              <w:rPr>
                <w:b/>
                <w:bCs/>
              </w:rPr>
            </w:pPr>
            <w:r w:rsidRPr="00AC655D">
              <w:rPr>
                <w:b/>
                <w:bCs/>
              </w:rPr>
              <w:t xml:space="preserve">MedDRA System Organ Class </w:t>
            </w:r>
          </w:p>
        </w:tc>
        <w:tc>
          <w:tcPr>
            <w:tcW w:w="3005" w:type="dxa"/>
          </w:tcPr>
          <w:p w14:paraId="2FA5BEE7" w14:textId="34125097" w:rsidR="00AC655D" w:rsidRPr="00AC655D" w:rsidRDefault="00AC655D" w:rsidP="009B748C">
            <w:pPr>
              <w:keepNext/>
              <w:rPr>
                <w:b/>
                <w:bCs/>
              </w:rPr>
            </w:pPr>
            <w:r w:rsidRPr="00AC655D">
              <w:rPr>
                <w:b/>
                <w:bCs/>
              </w:rPr>
              <w:t>Frequency</w:t>
            </w:r>
          </w:p>
        </w:tc>
        <w:tc>
          <w:tcPr>
            <w:tcW w:w="3006" w:type="dxa"/>
          </w:tcPr>
          <w:p w14:paraId="04995EAA" w14:textId="788C7D62" w:rsidR="00AC655D" w:rsidRPr="00AC655D" w:rsidRDefault="00AC655D" w:rsidP="009B748C">
            <w:pPr>
              <w:keepNext/>
              <w:rPr>
                <w:b/>
                <w:bCs/>
              </w:rPr>
            </w:pPr>
            <w:r w:rsidRPr="00AC655D">
              <w:rPr>
                <w:b/>
                <w:bCs/>
              </w:rPr>
              <w:t>Adverse reaction</w:t>
            </w:r>
          </w:p>
        </w:tc>
      </w:tr>
      <w:tr w:rsidR="00AC655D" w14:paraId="35E5636F" w14:textId="77777777" w:rsidTr="00AC655D">
        <w:tc>
          <w:tcPr>
            <w:tcW w:w="3005" w:type="dxa"/>
          </w:tcPr>
          <w:p w14:paraId="1DC8DB92" w14:textId="4B9F54BE" w:rsidR="00AC655D" w:rsidRDefault="00AC655D" w:rsidP="009B748C">
            <w:pPr>
              <w:keepNext/>
            </w:pPr>
            <w:r>
              <w:t>Blood and lymphatic system disorders</w:t>
            </w:r>
          </w:p>
        </w:tc>
        <w:tc>
          <w:tcPr>
            <w:tcW w:w="3005" w:type="dxa"/>
          </w:tcPr>
          <w:p w14:paraId="3D9C3C3E" w14:textId="03EC5BBA" w:rsidR="00AC655D" w:rsidRDefault="00AC655D" w:rsidP="009B748C">
            <w:pPr>
              <w:keepNext/>
            </w:pPr>
            <w:r>
              <w:t>Very common</w:t>
            </w:r>
          </w:p>
        </w:tc>
        <w:tc>
          <w:tcPr>
            <w:tcW w:w="3006" w:type="dxa"/>
          </w:tcPr>
          <w:p w14:paraId="2DBFE5F3" w14:textId="363D620B" w:rsidR="00AC655D" w:rsidRDefault="00AC655D" w:rsidP="009B748C">
            <w:pPr>
              <w:keepNext/>
            </w:pPr>
            <w:r>
              <w:t>Lymphadenopathy*</w:t>
            </w:r>
          </w:p>
        </w:tc>
      </w:tr>
      <w:tr w:rsidR="00AC655D" w14:paraId="5941731B" w14:textId="77777777" w:rsidTr="00AC655D">
        <w:tc>
          <w:tcPr>
            <w:tcW w:w="3005" w:type="dxa"/>
          </w:tcPr>
          <w:p w14:paraId="3C247017" w14:textId="1EF2EF44" w:rsidR="00AC655D" w:rsidRDefault="00AC655D" w:rsidP="009B748C">
            <w:pPr>
              <w:keepNext/>
            </w:pPr>
            <w:r>
              <w:t>Immune system disorders</w:t>
            </w:r>
          </w:p>
        </w:tc>
        <w:tc>
          <w:tcPr>
            <w:tcW w:w="3005" w:type="dxa"/>
          </w:tcPr>
          <w:p w14:paraId="5CED093B" w14:textId="7119118E" w:rsidR="00AC655D" w:rsidRDefault="00AC655D" w:rsidP="009B748C">
            <w:pPr>
              <w:keepNext/>
            </w:pPr>
            <w:r>
              <w:t>Not known</w:t>
            </w:r>
          </w:p>
        </w:tc>
        <w:tc>
          <w:tcPr>
            <w:tcW w:w="3006" w:type="dxa"/>
          </w:tcPr>
          <w:p w14:paraId="57E12A76" w14:textId="77777777" w:rsidR="00AC655D" w:rsidRDefault="00AC655D" w:rsidP="009B748C">
            <w:pPr>
              <w:keepNext/>
            </w:pPr>
            <w:r>
              <w:t>Anaphylaxis</w:t>
            </w:r>
          </w:p>
          <w:p w14:paraId="0C880556" w14:textId="2F700705" w:rsidR="00AC655D" w:rsidRDefault="00AC655D" w:rsidP="009B748C">
            <w:pPr>
              <w:keepNext/>
            </w:pPr>
            <w:r>
              <w:t>Hypersensitivity</w:t>
            </w:r>
          </w:p>
        </w:tc>
      </w:tr>
      <w:tr w:rsidR="00AC655D" w14:paraId="51F4E401" w14:textId="77777777" w:rsidTr="00AC655D">
        <w:tc>
          <w:tcPr>
            <w:tcW w:w="3005" w:type="dxa"/>
            <w:vMerge w:val="restart"/>
          </w:tcPr>
          <w:p w14:paraId="3EE9BBDC" w14:textId="447A8A6C" w:rsidR="00AC655D" w:rsidRDefault="00AC655D" w:rsidP="009B748C">
            <w:pPr>
              <w:keepNext/>
            </w:pPr>
            <w:r>
              <w:t>Nervous system disorders</w:t>
            </w:r>
          </w:p>
        </w:tc>
        <w:tc>
          <w:tcPr>
            <w:tcW w:w="3005" w:type="dxa"/>
          </w:tcPr>
          <w:p w14:paraId="27D8B3BA" w14:textId="163990EA" w:rsidR="00AC655D" w:rsidRDefault="00AC655D" w:rsidP="009B748C">
            <w:pPr>
              <w:keepNext/>
            </w:pPr>
            <w:r>
              <w:t>Very common</w:t>
            </w:r>
          </w:p>
        </w:tc>
        <w:tc>
          <w:tcPr>
            <w:tcW w:w="3006" w:type="dxa"/>
          </w:tcPr>
          <w:p w14:paraId="3F73A104" w14:textId="608DDAAC" w:rsidR="00AC655D" w:rsidRDefault="00AC655D" w:rsidP="009B748C">
            <w:pPr>
              <w:keepNext/>
            </w:pPr>
            <w:r>
              <w:t>Headache</w:t>
            </w:r>
          </w:p>
        </w:tc>
      </w:tr>
      <w:tr w:rsidR="00AC655D" w14:paraId="0DD0B06B" w14:textId="77777777" w:rsidTr="00AC655D">
        <w:tc>
          <w:tcPr>
            <w:tcW w:w="3005" w:type="dxa"/>
            <w:vMerge/>
          </w:tcPr>
          <w:p w14:paraId="3ADBD421" w14:textId="77777777" w:rsidR="00AC655D" w:rsidRDefault="00AC655D" w:rsidP="009B748C">
            <w:pPr>
              <w:keepNext/>
            </w:pPr>
          </w:p>
        </w:tc>
        <w:tc>
          <w:tcPr>
            <w:tcW w:w="3005" w:type="dxa"/>
          </w:tcPr>
          <w:p w14:paraId="1E65C0B2" w14:textId="718E4AC2" w:rsidR="00AC655D" w:rsidRDefault="00AC655D" w:rsidP="009B748C">
            <w:pPr>
              <w:keepNext/>
            </w:pPr>
            <w:r>
              <w:t>Rare</w:t>
            </w:r>
          </w:p>
        </w:tc>
        <w:tc>
          <w:tcPr>
            <w:tcW w:w="3006" w:type="dxa"/>
          </w:tcPr>
          <w:p w14:paraId="409E23D0" w14:textId="7BFA17B4" w:rsidR="00AC655D" w:rsidRDefault="00AC655D" w:rsidP="009B748C">
            <w:pPr>
              <w:keepNext/>
            </w:pPr>
            <w:r>
              <w:t>Acute peripheral facial paralysis**</w:t>
            </w:r>
          </w:p>
        </w:tc>
      </w:tr>
      <w:tr w:rsidR="00A93AE7" w14:paraId="23AD171C" w14:textId="77777777" w:rsidTr="00AC655D">
        <w:tc>
          <w:tcPr>
            <w:tcW w:w="3005" w:type="dxa"/>
          </w:tcPr>
          <w:p w14:paraId="4F45EC0D" w14:textId="2E2AEEC0" w:rsidR="00A93AE7" w:rsidRDefault="00A93AE7" w:rsidP="009B748C">
            <w:pPr>
              <w:keepNext/>
            </w:pPr>
            <w:r>
              <w:t>Cardiac disorders</w:t>
            </w:r>
          </w:p>
        </w:tc>
        <w:tc>
          <w:tcPr>
            <w:tcW w:w="3005" w:type="dxa"/>
          </w:tcPr>
          <w:p w14:paraId="487D8663" w14:textId="0FD972A8" w:rsidR="00A93AE7" w:rsidRDefault="00A93AE7" w:rsidP="009B748C">
            <w:pPr>
              <w:keepNext/>
            </w:pPr>
            <w:r>
              <w:t>Not known</w:t>
            </w:r>
          </w:p>
        </w:tc>
        <w:tc>
          <w:tcPr>
            <w:tcW w:w="3006" w:type="dxa"/>
          </w:tcPr>
          <w:p w14:paraId="57EB210D" w14:textId="77777777" w:rsidR="00A93AE7" w:rsidRDefault="00A93AE7" w:rsidP="009B748C">
            <w:pPr>
              <w:keepNext/>
            </w:pPr>
            <w:r>
              <w:t>Myocarditis</w:t>
            </w:r>
          </w:p>
          <w:p w14:paraId="129971BD" w14:textId="504D5931" w:rsidR="00A93AE7" w:rsidRDefault="00A93AE7" w:rsidP="009B748C">
            <w:pPr>
              <w:keepNext/>
            </w:pPr>
            <w:r>
              <w:t>Pericarditis</w:t>
            </w:r>
          </w:p>
        </w:tc>
      </w:tr>
      <w:tr w:rsidR="00AC655D" w14:paraId="2764F4C0" w14:textId="77777777" w:rsidTr="00AC655D">
        <w:tc>
          <w:tcPr>
            <w:tcW w:w="3005" w:type="dxa"/>
          </w:tcPr>
          <w:p w14:paraId="1A0CA1C9" w14:textId="564A0E5E" w:rsidR="00AC655D" w:rsidRDefault="00AC655D" w:rsidP="009B748C">
            <w:pPr>
              <w:keepNext/>
            </w:pPr>
            <w:r>
              <w:t>Gastrointestinal disorders</w:t>
            </w:r>
          </w:p>
        </w:tc>
        <w:tc>
          <w:tcPr>
            <w:tcW w:w="3005" w:type="dxa"/>
          </w:tcPr>
          <w:p w14:paraId="71A7563C" w14:textId="1E9887A5" w:rsidR="00AC655D" w:rsidRDefault="00AC655D" w:rsidP="009B748C">
            <w:pPr>
              <w:keepNext/>
            </w:pPr>
            <w:r>
              <w:t>Very common</w:t>
            </w:r>
          </w:p>
        </w:tc>
        <w:tc>
          <w:tcPr>
            <w:tcW w:w="3006" w:type="dxa"/>
          </w:tcPr>
          <w:p w14:paraId="3BA4412B" w14:textId="3A5A82CB" w:rsidR="00AC655D" w:rsidRDefault="00AC655D" w:rsidP="009B748C">
            <w:pPr>
              <w:keepNext/>
            </w:pPr>
            <w:r>
              <w:t>Nausea/Vomiting</w:t>
            </w:r>
          </w:p>
        </w:tc>
      </w:tr>
      <w:tr w:rsidR="00AC655D" w14:paraId="7C07898C" w14:textId="77777777" w:rsidTr="00AC655D">
        <w:tc>
          <w:tcPr>
            <w:tcW w:w="3005" w:type="dxa"/>
          </w:tcPr>
          <w:p w14:paraId="670E3354" w14:textId="6C53EDA5" w:rsidR="00AC655D" w:rsidRDefault="00AC655D" w:rsidP="009B748C">
            <w:pPr>
              <w:keepNext/>
            </w:pPr>
            <w:r>
              <w:t>Skin and subcutaneous tissue disorders</w:t>
            </w:r>
          </w:p>
        </w:tc>
        <w:tc>
          <w:tcPr>
            <w:tcW w:w="3005" w:type="dxa"/>
          </w:tcPr>
          <w:p w14:paraId="26D40598" w14:textId="39F414B7" w:rsidR="00AC655D" w:rsidRDefault="00AC655D" w:rsidP="009B748C">
            <w:pPr>
              <w:keepNext/>
            </w:pPr>
            <w:r>
              <w:t>Common</w:t>
            </w:r>
          </w:p>
        </w:tc>
        <w:tc>
          <w:tcPr>
            <w:tcW w:w="3006" w:type="dxa"/>
          </w:tcPr>
          <w:p w14:paraId="2EE75729" w14:textId="2C252FCB" w:rsidR="00AC655D" w:rsidRDefault="00AC655D" w:rsidP="009B748C">
            <w:pPr>
              <w:keepNext/>
            </w:pPr>
            <w:r>
              <w:t>Rash</w:t>
            </w:r>
          </w:p>
        </w:tc>
      </w:tr>
      <w:tr w:rsidR="00AC655D" w14:paraId="6BBA9142" w14:textId="77777777" w:rsidTr="00AC655D">
        <w:tc>
          <w:tcPr>
            <w:tcW w:w="3005" w:type="dxa"/>
          </w:tcPr>
          <w:p w14:paraId="4834AEE7" w14:textId="49E6DB94" w:rsidR="00AC655D" w:rsidRDefault="00AC655D" w:rsidP="009B748C">
            <w:pPr>
              <w:keepNext/>
            </w:pPr>
            <w:r>
              <w:t>Musculoskeletal and connective tissue disorders</w:t>
            </w:r>
          </w:p>
        </w:tc>
        <w:tc>
          <w:tcPr>
            <w:tcW w:w="3005" w:type="dxa"/>
          </w:tcPr>
          <w:p w14:paraId="2826B540" w14:textId="7C013061" w:rsidR="00AC655D" w:rsidRDefault="00AC655D" w:rsidP="009B748C">
            <w:pPr>
              <w:keepNext/>
            </w:pPr>
            <w:r>
              <w:t>Very common</w:t>
            </w:r>
          </w:p>
        </w:tc>
        <w:tc>
          <w:tcPr>
            <w:tcW w:w="3006" w:type="dxa"/>
          </w:tcPr>
          <w:p w14:paraId="55E11389" w14:textId="511A0CBD" w:rsidR="00AC655D" w:rsidRDefault="00AC655D" w:rsidP="009B748C">
            <w:pPr>
              <w:keepNext/>
            </w:pPr>
            <w:r>
              <w:t>My</w:t>
            </w:r>
            <w:r w:rsidR="00E531D3">
              <w:t>al</w:t>
            </w:r>
            <w:r>
              <w:t>gia</w:t>
            </w:r>
          </w:p>
          <w:p w14:paraId="70043037" w14:textId="43DCD9DA" w:rsidR="00AC655D" w:rsidRDefault="00DB6CFB" w:rsidP="009B748C">
            <w:pPr>
              <w:keepNext/>
            </w:pPr>
            <w:r>
              <w:t>Arthralgia</w:t>
            </w:r>
          </w:p>
        </w:tc>
      </w:tr>
      <w:tr w:rsidR="00AC655D" w14:paraId="7A2BE642" w14:textId="77777777" w:rsidTr="00AC655D">
        <w:tc>
          <w:tcPr>
            <w:tcW w:w="3005" w:type="dxa"/>
            <w:vMerge w:val="restart"/>
          </w:tcPr>
          <w:p w14:paraId="09F85AC3" w14:textId="3D66234B" w:rsidR="00AC655D" w:rsidRDefault="00AC655D" w:rsidP="009B748C">
            <w:pPr>
              <w:keepNext/>
            </w:pPr>
            <w:r>
              <w:t>General disorders and administration site conditions</w:t>
            </w:r>
          </w:p>
        </w:tc>
        <w:tc>
          <w:tcPr>
            <w:tcW w:w="3005" w:type="dxa"/>
          </w:tcPr>
          <w:p w14:paraId="17BEACDB" w14:textId="2E00029C" w:rsidR="00AC655D" w:rsidRDefault="00AC655D" w:rsidP="009B748C">
            <w:pPr>
              <w:keepNext/>
            </w:pPr>
            <w:r>
              <w:t>Very common</w:t>
            </w:r>
          </w:p>
        </w:tc>
        <w:tc>
          <w:tcPr>
            <w:tcW w:w="3006" w:type="dxa"/>
          </w:tcPr>
          <w:p w14:paraId="13475016" w14:textId="77777777" w:rsidR="00AC655D" w:rsidRDefault="00AC655D" w:rsidP="009B748C">
            <w:pPr>
              <w:keepNext/>
            </w:pPr>
            <w:r>
              <w:t xml:space="preserve">Injection site pain </w:t>
            </w:r>
          </w:p>
          <w:p w14:paraId="499F7736" w14:textId="77777777" w:rsidR="00AC655D" w:rsidRDefault="00AC655D" w:rsidP="009B748C">
            <w:pPr>
              <w:keepNext/>
            </w:pPr>
            <w:r>
              <w:t>Fatigue</w:t>
            </w:r>
          </w:p>
          <w:p w14:paraId="62413723" w14:textId="7AED1B7E" w:rsidR="00AC655D" w:rsidRDefault="00AC655D" w:rsidP="009B748C">
            <w:pPr>
              <w:keepNext/>
            </w:pPr>
            <w:r>
              <w:t xml:space="preserve">Chills </w:t>
            </w:r>
          </w:p>
          <w:p w14:paraId="678295C6" w14:textId="77777777" w:rsidR="00AC655D" w:rsidRDefault="00AC655D" w:rsidP="009B748C">
            <w:pPr>
              <w:keepNext/>
            </w:pPr>
            <w:r>
              <w:t xml:space="preserve">Pyrexia </w:t>
            </w:r>
          </w:p>
          <w:p w14:paraId="08FA0203" w14:textId="7544B28C" w:rsidR="00AC655D" w:rsidRDefault="00AC655D" w:rsidP="009B748C">
            <w:pPr>
              <w:keepNext/>
            </w:pPr>
            <w:r>
              <w:t>Injection site swelling</w:t>
            </w:r>
          </w:p>
        </w:tc>
      </w:tr>
      <w:tr w:rsidR="00AC655D" w14:paraId="6B2E9B8F" w14:textId="77777777" w:rsidTr="00AC655D">
        <w:tc>
          <w:tcPr>
            <w:tcW w:w="3005" w:type="dxa"/>
            <w:vMerge/>
          </w:tcPr>
          <w:p w14:paraId="178731B1" w14:textId="77777777" w:rsidR="00AC655D" w:rsidRDefault="00AC655D" w:rsidP="009B748C">
            <w:pPr>
              <w:keepNext/>
            </w:pPr>
          </w:p>
        </w:tc>
        <w:tc>
          <w:tcPr>
            <w:tcW w:w="3005" w:type="dxa"/>
          </w:tcPr>
          <w:p w14:paraId="388A0B46" w14:textId="567A4903" w:rsidR="00AC655D" w:rsidRDefault="00AC655D" w:rsidP="009B748C">
            <w:pPr>
              <w:keepNext/>
            </w:pPr>
            <w:r>
              <w:t>Common</w:t>
            </w:r>
          </w:p>
        </w:tc>
        <w:tc>
          <w:tcPr>
            <w:tcW w:w="3006" w:type="dxa"/>
          </w:tcPr>
          <w:p w14:paraId="6E1FA4DA" w14:textId="5C9FD0E6" w:rsidR="007B5F93" w:rsidRDefault="00AC655D" w:rsidP="009B748C">
            <w:pPr>
              <w:keepNext/>
            </w:pPr>
            <w:r>
              <w:t>Injection site erythema Injection site urticaria</w:t>
            </w:r>
          </w:p>
          <w:p w14:paraId="11C51618" w14:textId="7A1DEA3B" w:rsidR="00AC655D" w:rsidRDefault="00AC655D" w:rsidP="009B748C">
            <w:pPr>
              <w:keepNext/>
            </w:pPr>
            <w:r>
              <w:t>Injection site rash</w:t>
            </w:r>
          </w:p>
          <w:p w14:paraId="22DF4A35" w14:textId="7BC81EAC" w:rsidR="00F5209A" w:rsidRDefault="00F5209A" w:rsidP="009B748C">
            <w:pPr>
              <w:keepNext/>
            </w:pPr>
            <w:r>
              <w:t>Delayed injection site reaction****</w:t>
            </w:r>
          </w:p>
        </w:tc>
      </w:tr>
      <w:tr w:rsidR="00AC655D" w14:paraId="0AE28CE5" w14:textId="77777777" w:rsidTr="00AC655D">
        <w:tc>
          <w:tcPr>
            <w:tcW w:w="3005" w:type="dxa"/>
            <w:vMerge/>
          </w:tcPr>
          <w:p w14:paraId="02B59827" w14:textId="77777777" w:rsidR="00AC655D" w:rsidRDefault="00AC655D" w:rsidP="009B748C">
            <w:pPr>
              <w:keepNext/>
            </w:pPr>
          </w:p>
        </w:tc>
        <w:tc>
          <w:tcPr>
            <w:tcW w:w="3005" w:type="dxa"/>
          </w:tcPr>
          <w:p w14:paraId="0B9AC0CD" w14:textId="049E2C9E" w:rsidR="00AC655D" w:rsidRDefault="00AC655D" w:rsidP="009B748C">
            <w:pPr>
              <w:keepNext/>
            </w:pPr>
            <w:r>
              <w:t>Uncommon</w:t>
            </w:r>
          </w:p>
        </w:tc>
        <w:tc>
          <w:tcPr>
            <w:tcW w:w="3006" w:type="dxa"/>
          </w:tcPr>
          <w:p w14:paraId="4AE33E87" w14:textId="5C491E72" w:rsidR="00AC655D" w:rsidRDefault="00AC655D" w:rsidP="009B748C">
            <w:pPr>
              <w:keepNext/>
            </w:pPr>
            <w:r>
              <w:t>Injection site pruritus</w:t>
            </w:r>
          </w:p>
        </w:tc>
      </w:tr>
      <w:tr w:rsidR="00AC655D" w14:paraId="3D275447" w14:textId="77777777" w:rsidTr="00AC655D">
        <w:tc>
          <w:tcPr>
            <w:tcW w:w="3005" w:type="dxa"/>
            <w:vMerge/>
          </w:tcPr>
          <w:p w14:paraId="763D7EFE" w14:textId="77777777" w:rsidR="00AC655D" w:rsidRDefault="00AC655D" w:rsidP="009B748C">
            <w:pPr>
              <w:keepNext/>
            </w:pPr>
          </w:p>
        </w:tc>
        <w:tc>
          <w:tcPr>
            <w:tcW w:w="3005" w:type="dxa"/>
          </w:tcPr>
          <w:p w14:paraId="303DCBB0" w14:textId="68AFE21A" w:rsidR="00AC655D" w:rsidRDefault="00AC655D" w:rsidP="009B748C">
            <w:pPr>
              <w:keepNext/>
            </w:pPr>
            <w:r w:rsidRPr="00016A1C">
              <w:t xml:space="preserve">Rare </w:t>
            </w:r>
          </w:p>
        </w:tc>
        <w:tc>
          <w:tcPr>
            <w:tcW w:w="3006" w:type="dxa"/>
          </w:tcPr>
          <w:p w14:paraId="4DBBEAB1" w14:textId="3E81E546" w:rsidR="00AC655D" w:rsidRDefault="00AC655D" w:rsidP="009B748C">
            <w:pPr>
              <w:keepNext/>
            </w:pPr>
            <w:r w:rsidRPr="00016A1C">
              <w:t>Facial swelling***</w:t>
            </w:r>
          </w:p>
        </w:tc>
      </w:tr>
    </w:tbl>
    <w:p w14:paraId="66655B69" w14:textId="77777777" w:rsidR="00AC655D" w:rsidRDefault="00AC655D" w:rsidP="00AC655D">
      <w:pPr>
        <w:spacing w:after="0"/>
        <w:rPr>
          <w:sz w:val="18"/>
          <w:szCs w:val="18"/>
        </w:rPr>
      </w:pPr>
      <w:r w:rsidRPr="00AC655D">
        <w:rPr>
          <w:sz w:val="18"/>
          <w:szCs w:val="18"/>
        </w:rPr>
        <w:t>*Lymphadenopathy was captured as axillary lymphadenopathy on the same side as the injection site.</w:t>
      </w:r>
    </w:p>
    <w:p w14:paraId="573BA6BE" w14:textId="30D24A1D" w:rsidR="00AC655D" w:rsidRDefault="00AC655D" w:rsidP="00AC655D">
      <w:pPr>
        <w:spacing w:after="0"/>
        <w:rPr>
          <w:sz w:val="18"/>
          <w:szCs w:val="18"/>
        </w:rPr>
      </w:pPr>
      <w:r w:rsidRPr="00AC655D">
        <w:rPr>
          <w:sz w:val="18"/>
          <w:szCs w:val="18"/>
        </w:rPr>
        <w:t xml:space="preserve"> **Throughout the safety follow-up period, acute peripheral facial paralysis (or palsy) was reported by three participants in the </w:t>
      </w:r>
      <w:r w:rsidR="005F49F9">
        <w:rPr>
          <w:sz w:val="18"/>
          <w:szCs w:val="18"/>
        </w:rPr>
        <w:t>SPIKEVAX</w:t>
      </w:r>
      <w:r w:rsidRPr="00AC655D">
        <w:rPr>
          <w:sz w:val="18"/>
          <w:szCs w:val="18"/>
        </w:rPr>
        <w:t xml:space="preserve"> group and one participant in the placebo group. Onset in the vaccine group participants was 22 days, 28 days, and 32 days after Dose 2. </w:t>
      </w:r>
    </w:p>
    <w:p w14:paraId="3C85F142" w14:textId="1354A279" w:rsidR="00AC655D" w:rsidRDefault="00AC655D" w:rsidP="00AC655D">
      <w:pPr>
        <w:spacing w:after="0"/>
        <w:rPr>
          <w:sz w:val="18"/>
          <w:szCs w:val="18"/>
        </w:rPr>
      </w:pPr>
      <w:r w:rsidRPr="00AC655D">
        <w:rPr>
          <w:sz w:val="18"/>
          <w:szCs w:val="18"/>
        </w:rPr>
        <w:t xml:space="preserve">***There were two serious adverse events of facial swelling in vaccine recipients with a history of injection of dermatological fillers. The onset of swelling was reported </w:t>
      </w:r>
      <w:r w:rsidR="006C6D56">
        <w:rPr>
          <w:sz w:val="18"/>
          <w:szCs w:val="18"/>
        </w:rPr>
        <w:t xml:space="preserve">on Day </w:t>
      </w:r>
      <w:r w:rsidRPr="00AC655D">
        <w:rPr>
          <w:sz w:val="18"/>
          <w:szCs w:val="18"/>
        </w:rPr>
        <w:t xml:space="preserve">1 and </w:t>
      </w:r>
      <w:r w:rsidR="006C6D56">
        <w:rPr>
          <w:sz w:val="18"/>
          <w:szCs w:val="18"/>
        </w:rPr>
        <w:t>D</w:t>
      </w:r>
      <w:r w:rsidRPr="00AC655D">
        <w:rPr>
          <w:sz w:val="18"/>
          <w:szCs w:val="18"/>
        </w:rPr>
        <w:t>ay</w:t>
      </w:r>
      <w:r w:rsidR="006C6D56">
        <w:rPr>
          <w:sz w:val="18"/>
          <w:szCs w:val="18"/>
        </w:rPr>
        <w:t xml:space="preserve"> 3</w:t>
      </w:r>
      <w:r w:rsidRPr="00AC655D">
        <w:rPr>
          <w:sz w:val="18"/>
          <w:szCs w:val="18"/>
        </w:rPr>
        <w:t xml:space="preserve">, respectively, </w:t>
      </w:r>
      <w:r w:rsidR="000A324B">
        <w:rPr>
          <w:sz w:val="18"/>
          <w:szCs w:val="18"/>
        </w:rPr>
        <w:t xml:space="preserve">relative </w:t>
      </w:r>
      <w:proofErr w:type="gramStart"/>
      <w:r w:rsidR="000A324B">
        <w:rPr>
          <w:sz w:val="18"/>
          <w:szCs w:val="18"/>
        </w:rPr>
        <w:t>to day</w:t>
      </w:r>
      <w:proofErr w:type="gramEnd"/>
      <w:r w:rsidR="000A324B">
        <w:rPr>
          <w:sz w:val="18"/>
          <w:szCs w:val="18"/>
        </w:rPr>
        <w:t xml:space="preserve"> of </w:t>
      </w:r>
      <w:r w:rsidR="00E531D3" w:rsidRPr="00AC655D">
        <w:rPr>
          <w:sz w:val="18"/>
          <w:szCs w:val="18"/>
        </w:rPr>
        <w:t>vaccination.</w:t>
      </w:r>
      <w:r w:rsidRPr="00AC655D">
        <w:rPr>
          <w:sz w:val="18"/>
          <w:szCs w:val="18"/>
        </w:rPr>
        <w:t xml:space="preserve"> </w:t>
      </w:r>
    </w:p>
    <w:p w14:paraId="6AD06F60" w14:textId="109A8521" w:rsidR="006C6D56" w:rsidRPr="006C6D56" w:rsidRDefault="00F5209A" w:rsidP="006C6D56">
      <w:pPr>
        <w:spacing w:after="0"/>
        <w:rPr>
          <w:sz w:val="18"/>
          <w:szCs w:val="18"/>
          <w:lang w:val="en-US"/>
        </w:rPr>
      </w:pPr>
      <w:r>
        <w:rPr>
          <w:sz w:val="18"/>
          <w:szCs w:val="18"/>
        </w:rPr>
        <w:t>****</w:t>
      </w:r>
      <w:r w:rsidR="006C6D56" w:rsidRPr="006C6D56">
        <w:rPr>
          <w:rFonts w:ascii="Times New Roman" w:eastAsia="Times New Roman" w:hAnsi="Times New Roman" w:cs="Times New Roman"/>
          <w:kern w:val="24"/>
          <w:sz w:val="18"/>
          <w:szCs w:val="18"/>
          <w:lang w:val="en-US" w:eastAsia="ja-JP"/>
        </w:rPr>
        <w:t xml:space="preserve"> </w:t>
      </w:r>
      <w:r w:rsidR="006C6D56" w:rsidRPr="006C6D56">
        <w:rPr>
          <w:sz w:val="18"/>
          <w:szCs w:val="18"/>
          <w:lang w:val="en-US"/>
        </w:rPr>
        <w:t>Delayed injection site reactions included pain, erythema and swelling.</w:t>
      </w:r>
    </w:p>
    <w:p w14:paraId="2E98E9AA" w14:textId="77777777" w:rsidR="00375F16" w:rsidRPr="009B748C" w:rsidRDefault="00375F16" w:rsidP="009B748C"/>
    <w:p w14:paraId="42F8C02F" w14:textId="1FA207E0" w:rsidR="00882175" w:rsidRDefault="00AC655D" w:rsidP="00882175">
      <w:r>
        <w:t xml:space="preserve">The reactogenicity and safety profile in 343 subjects receiving </w:t>
      </w:r>
      <w:r w:rsidR="005F49F9">
        <w:t>SPIKEVAX</w:t>
      </w:r>
      <w:r>
        <w:t xml:space="preserve">, </w:t>
      </w:r>
      <w:r w:rsidR="00EC2FAA">
        <w:t xml:space="preserve">who </w:t>
      </w:r>
      <w:r>
        <w:t>were seropositive for SARS-CoV-2 at baseline, was comparable to that in subjects seronegative for SARS-CoV-2 at baseline.</w:t>
      </w:r>
    </w:p>
    <w:p w14:paraId="32F4D64C" w14:textId="77777777" w:rsidR="00D83EFC" w:rsidRPr="00726CAF" w:rsidRDefault="00D83EFC" w:rsidP="000210A4">
      <w:pPr>
        <w:pStyle w:val="Heading3"/>
        <w:rPr>
          <w:lang w:val="en-US" w:eastAsia="ja-JP"/>
        </w:rPr>
      </w:pPr>
      <w:r w:rsidRPr="00726CAF">
        <w:rPr>
          <w:lang w:val="en-US" w:eastAsia="ja-JP"/>
        </w:rPr>
        <w:t xml:space="preserve">Adolescents 12 </w:t>
      </w:r>
      <w:r>
        <w:rPr>
          <w:lang w:val="en-US" w:eastAsia="ja-JP"/>
        </w:rPr>
        <w:t>-</w:t>
      </w:r>
      <w:r w:rsidRPr="00726CAF">
        <w:rPr>
          <w:lang w:val="en-US" w:eastAsia="ja-JP"/>
        </w:rPr>
        <w:t>17 years of age</w:t>
      </w:r>
    </w:p>
    <w:p w14:paraId="102F19A9" w14:textId="77777777" w:rsidR="00D25C2A" w:rsidRDefault="00D83EFC" w:rsidP="00D83EFC">
      <w:pPr>
        <w:spacing w:line="240" w:lineRule="auto"/>
        <w:rPr>
          <w:rFonts w:cstheme="minorHAnsi"/>
          <w:kern w:val="24"/>
          <w:lang w:val="en-US" w:eastAsia="ja-JP"/>
        </w:rPr>
      </w:pPr>
      <w:r w:rsidRPr="00C20C0B">
        <w:rPr>
          <w:rFonts w:cstheme="minorHAnsi"/>
        </w:rPr>
        <w:t xml:space="preserve">Safety data for </w:t>
      </w:r>
      <w:r w:rsidR="001C0A66">
        <w:rPr>
          <w:rFonts w:cstheme="minorHAnsi"/>
        </w:rPr>
        <w:t>SPIKEVAX</w:t>
      </w:r>
      <w:r w:rsidRPr="00C20C0B">
        <w:rPr>
          <w:rFonts w:cstheme="minorHAnsi"/>
        </w:rPr>
        <w:t xml:space="preserve"> in adolescents were collected in an ongoing Phase 2/3 randomised, placebo-controlled, observer-blind clinical study conducted in the United States involving </w:t>
      </w:r>
      <w:r w:rsidRPr="00C20C0B">
        <w:rPr>
          <w:rFonts w:cstheme="minorHAnsi"/>
          <w:kern w:val="24"/>
          <w:lang w:val="en-US" w:eastAsia="ja-JP"/>
        </w:rPr>
        <w:t xml:space="preserve">3,726 participants 12 through 17 years of age who received at least one dose of </w:t>
      </w:r>
      <w:r w:rsidR="001C0A66">
        <w:rPr>
          <w:rFonts w:cstheme="minorHAnsi"/>
          <w:kern w:val="24"/>
          <w:lang w:val="en-US" w:eastAsia="ja-JP"/>
        </w:rPr>
        <w:t xml:space="preserve">SPIKEVAX </w:t>
      </w:r>
      <w:r w:rsidRPr="00C20C0B">
        <w:rPr>
          <w:rFonts w:cstheme="minorHAnsi"/>
          <w:kern w:val="24"/>
          <w:lang w:val="en-US" w:eastAsia="ja-JP"/>
        </w:rPr>
        <w:t>(n=2,486) or placebo (n=1,240) (</w:t>
      </w:r>
      <w:r w:rsidR="002A1724">
        <w:rPr>
          <w:rFonts w:cstheme="minorHAnsi"/>
          <w:kern w:val="24"/>
          <w:lang w:val="en-US" w:eastAsia="ja-JP"/>
        </w:rPr>
        <w:t xml:space="preserve">Study P203, </w:t>
      </w:r>
      <w:r w:rsidRPr="00C20C0B">
        <w:rPr>
          <w:rFonts w:cstheme="minorHAnsi"/>
        </w:rPr>
        <w:t>NCT04649151</w:t>
      </w:r>
      <w:r w:rsidRPr="00A947DD">
        <w:rPr>
          <w:rFonts w:cstheme="minorHAnsi"/>
          <w:kern w:val="24"/>
          <w:lang w:val="en-US" w:eastAsia="ja-JP"/>
        </w:rPr>
        <w:t xml:space="preserve">). </w:t>
      </w:r>
      <w:r w:rsidR="00D25C2A" w:rsidRPr="00D25C2A">
        <w:rPr>
          <w:rFonts w:cstheme="minorHAnsi"/>
          <w:kern w:val="24"/>
          <w:lang w:val="en-US" w:eastAsia="ja-JP"/>
        </w:rPr>
        <w:t xml:space="preserve">Overall, 51.4% were male, 48.6% were female, 11.6% were Hispanic or Latino, 83.9% were White, 3.4% were African American, 5.9% were Asian, 0.5% were American Indian or Alaska Native, &lt;0.1% were Native Hawaiian or Pacific Islander, 1.0% </w:t>
      </w:r>
      <w:r w:rsidR="00D25C2A" w:rsidRPr="00D25C2A">
        <w:rPr>
          <w:rFonts w:cstheme="minorHAnsi"/>
          <w:kern w:val="24"/>
          <w:lang w:val="en-US" w:eastAsia="ja-JP"/>
        </w:rPr>
        <w:lastRenderedPageBreak/>
        <w:t>were other races, and 4.5% were multiracial.</w:t>
      </w:r>
      <w:r w:rsidR="00D25C2A">
        <w:rPr>
          <w:rFonts w:cstheme="minorHAnsi"/>
          <w:kern w:val="24"/>
          <w:lang w:val="en-US" w:eastAsia="ja-JP"/>
        </w:rPr>
        <w:t xml:space="preserve"> </w:t>
      </w:r>
      <w:r w:rsidR="00D25C2A" w:rsidRPr="00A947DD">
        <w:rPr>
          <w:rFonts w:cstheme="minorHAnsi"/>
          <w:kern w:val="24"/>
          <w:lang w:val="en-US" w:eastAsia="ja-JP"/>
        </w:rPr>
        <w:t xml:space="preserve">Demographic characteristics were similar among participants who received </w:t>
      </w:r>
      <w:r w:rsidR="00D25C2A">
        <w:rPr>
          <w:rFonts w:cstheme="minorHAnsi"/>
          <w:kern w:val="24"/>
          <w:lang w:val="en-US" w:eastAsia="ja-JP"/>
        </w:rPr>
        <w:t xml:space="preserve">SPIKEVAX </w:t>
      </w:r>
      <w:r w:rsidR="00D25C2A" w:rsidRPr="002112DD">
        <w:rPr>
          <w:rFonts w:cstheme="minorHAnsi"/>
          <w:kern w:val="24"/>
          <w:lang w:val="en-US" w:eastAsia="ja-JP"/>
        </w:rPr>
        <w:t>and those who received placebo.</w:t>
      </w:r>
    </w:p>
    <w:p w14:paraId="75CDE38B" w14:textId="43118EEF" w:rsidR="00D83EFC" w:rsidRDefault="00F52B1B" w:rsidP="00D83EFC">
      <w:pPr>
        <w:spacing w:line="240" w:lineRule="auto"/>
        <w:rPr>
          <w:rFonts w:cstheme="minorHAnsi"/>
          <w:kern w:val="24"/>
          <w:lang w:val="en-US" w:eastAsia="ja-JP"/>
        </w:rPr>
      </w:pPr>
      <w:r w:rsidRPr="00F52B1B">
        <w:rPr>
          <w:rFonts w:cstheme="minorHAnsi"/>
          <w:kern w:val="24"/>
          <w:lang w:val="en-US" w:eastAsia="ja-JP"/>
        </w:rPr>
        <w:t xml:space="preserve">In the </w:t>
      </w:r>
      <w:r w:rsidR="009701D1">
        <w:rPr>
          <w:rFonts w:cstheme="minorHAnsi"/>
          <w:kern w:val="24"/>
          <w:lang w:val="en-US" w:eastAsia="ja-JP"/>
        </w:rPr>
        <w:t>SPIKEVAX</w:t>
      </w:r>
      <w:r w:rsidRPr="00F52B1B">
        <w:rPr>
          <w:rFonts w:cstheme="minorHAnsi"/>
          <w:kern w:val="24"/>
          <w:lang w:val="en-US" w:eastAsia="ja-JP"/>
        </w:rPr>
        <w:t xml:space="preserve"> group and the placebo group, the median follow-up time after the second injection was 53 days and 51 days</w:t>
      </w:r>
      <w:r w:rsidR="00406284">
        <w:rPr>
          <w:rFonts w:cstheme="minorHAnsi"/>
          <w:kern w:val="24"/>
          <w:lang w:val="en-US" w:eastAsia="ja-JP"/>
        </w:rPr>
        <w:t>, respectively</w:t>
      </w:r>
      <w:r w:rsidR="00CE68BD">
        <w:rPr>
          <w:rFonts w:cstheme="minorHAnsi"/>
          <w:kern w:val="24"/>
          <w:lang w:val="en-US" w:eastAsia="ja-JP"/>
        </w:rPr>
        <w:t>.</w:t>
      </w:r>
      <w:r w:rsidRPr="00F52B1B">
        <w:rPr>
          <w:rFonts w:cstheme="minorHAnsi"/>
          <w:kern w:val="24"/>
          <w:lang w:val="en-US" w:eastAsia="ja-JP"/>
        </w:rPr>
        <w:t xml:space="preserve"> </w:t>
      </w:r>
    </w:p>
    <w:p w14:paraId="531F0851" w14:textId="13A54457" w:rsidR="006B19C0" w:rsidRPr="00C20C0B" w:rsidRDefault="00D25C2A" w:rsidP="00D83EFC">
      <w:pPr>
        <w:spacing w:line="240" w:lineRule="auto"/>
        <w:rPr>
          <w:rFonts w:cstheme="minorHAnsi"/>
        </w:rPr>
      </w:pPr>
      <w:r>
        <w:rPr>
          <w:rFonts w:cstheme="minorHAnsi"/>
        </w:rPr>
        <w:t>In a clinical study, t</w:t>
      </w:r>
      <w:r w:rsidR="006B19C0" w:rsidRPr="006B19C0">
        <w:rPr>
          <w:rFonts w:cstheme="minorHAnsi"/>
        </w:rPr>
        <w:t>he most frequent adverse reactions in adolescents 12 to 17 years of age were injection site pain (97%), headache (78%), fatigue (75%), myalgia (54%), chills (49%), axillary swelling/tenderness (35%), arthralgia (35%), nausea/vomiting (29%), injection site swelling (28%), injection site erythema (26%), and fever (14%).</w:t>
      </w:r>
    </w:p>
    <w:p w14:paraId="769F45B3" w14:textId="77777777" w:rsidR="00D83EFC" w:rsidRPr="00DB2276" w:rsidRDefault="00D83EFC" w:rsidP="00D83EFC">
      <w:pPr>
        <w:keepNext/>
        <w:spacing w:line="240" w:lineRule="auto"/>
      </w:pPr>
      <w:r w:rsidRPr="00DB2276">
        <w:t xml:space="preserve">Adverse reactions reported are listed </w:t>
      </w:r>
      <w:r>
        <w:t xml:space="preserve">in Table 2 </w:t>
      </w:r>
      <w:r w:rsidRPr="00DB2276">
        <w:t>according to the following frequency convention: </w:t>
      </w:r>
    </w:p>
    <w:p w14:paraId="5741EE1E" w14:textId="77777777" w:rsidR="00D83EFC" w:rsidRPr="00DB2276" w:rsidRDefault="00D83EFC" w:rsidP="00D83EFC">
      <w:pPr>
        <w:spacing w:line="240" w:lineRule="auto"/>
      </w:pPr>
      <w:r w:rsidRPr="00DB2276">
        <w:t>Very common (≥1/10) </w:t>
      </w:r>
    </w:p>
    <w:p w14:paraId="1758EC1D" w14:textId="77777777" w:rsidR="00D83EFC" w:rsidRPr="00DB2276" w:rsidRDefault="00D83EFC" w:rsidP="00D83EFC">
      <w:pPr>
        <w:spacing w:line="240" w:lineRule="auto"/>
      </w:pPr>
      <w:r w:rsidRPr="00DB2276">
        <w:t>Common (≥1/100 to &lt;1/10) </w:t>
      </w:r>
    </w:p>
    <w:p w14:paraId="4966C7A3" w14:textId="77777777" w:rsidR="00D83EFC" w:rsidRPr="00DB2276" w:rsidRDefault="00D83EFC" w:rsidP="00D83EFC">
      <w:pPr>
        <w:spacing w:line="240" w:lineRule="auto"/>
      </w:pPr>
      <w:r w:rsidRPr="00DB2276">
        <w:t>Uncommon (≥1/1,000 to &lt;1/100) </w:t>
      </w:r>
    </w:p>
    <w:p w14:paraId="07058D6A" w14:textId="77777777" w:rsidR="00D83EFC" w:rsidRPr="00DB2276" w:rsidRDefault="00D83EFC" w:rsidP="00D83EFC">
      <w:pPr>
        <w:spacing w:line="240" w:lineRule="auto"/>
      </w:pPr>
      <w:r w:rsidRPr="00DB2276">
        <w:t>Rare (≥1/10,000 to &lt;1/1,000) </w:t>
      </w:r>
    </w:p>
    <w:p w14:paraId="7B0EBCC6" w14:textId="77777777" w:rsidR="00D83EFC" w:rsidRDefault="00D83EFC" w:rsidP="00D83EFC">
      <w:pPr>
        <w:spacing w:line="240" w:lineRule="auto"/>
      </w:pPr>
      <w:r w:rsidRPr="00DB2276">
        <w:t>Very rare (&lt;1/10,000) </w:t>
      </w:r>
    </w:p>
    <w:p w14:paraId="7F6CEAA4" w14:textId="77777777" w:rsidR="00D83EFC" w:rsidRPr="00DB2276" w:rsidRDefault="00D83EFC" w:rsidP="00D83EFC">
      <w:pPr>
        <w:spacing w:line="240" w:lineRule="auto"/>
      </w:pPr>
      <w:r>
        <w:t>Not known (cannot be estimated from the available data)</w:t>
      </w:r>
    </w:p>
    <w:p w14:paraId="10729961" w14:textId="77777777" w:rsidR="00D83EFC" w:rsidRDefault="00D83EFC" w:rsidP="00D83EFC">
      <w:pPr>
        <w:spacing w:line="240" w:lineRule="auto"/>
      </w:pPr>
      <w:r w:rsidRPr="00DB2276">
        <w:t>Within each frequency grouping, adverse reactions are presented in order of decreasing seriousness</w:t>
      </w:r>
      <w:r>
        <w:t xml:space="preserve"> (Table 2)</w:t>
      </w:r>
      <w:r w:rsidRPr="00DB2276">
        <w:t>. </w:t>
      </w:r>
    </w:p>
    <w:p w14:paraId="1772E533" w14:textId="77777777" w:rsidR="00D83EFC" w:rsidRDefault="00D83EFC" w:rsidP="00D83EFC">
      <w:pPr>
        <w:spacing w:line="240" w:lineRule="auto"/>
        <w:rPr>
          <w:b/>
          <w:bCs/>
        </w:rPr>
      </w:pPr>
      <w:r w:rsidRPr="08F323C1">
        <w:rPr>
          <w:b/>
          <w:bCs/>
        </w:rPr>
        <w:t xml:space="preserve">Table </w:t>
      </w:r>
      <w:r>
        <w:rPr>
          <w:b/>
          <w:bCs/>
        </w:rPr>
        <w:t>2</w:t>
      </w:r>
      <w:r w:rsidRPr="08F323C1">
        <w:rPr>
          <w:b/>
          <w:bCs/>
        </w:rPr>
        <w:t xml:space="preserve">: </w:t>
      </w:r>
      <w:bookmarkStart w:id="2" w:name="_Hlk72861833"/>
      <w:r w:rsidRPr="08F323C1">
        <w:rPr>
          <w:b/>
          <w:bCs/>
        </w:rPr>
        <w:t xml:space="preserve">Adverse </w:t>
      </w:r>
      <w:r>
        <w:rPr>
          <w:b/>
          <w:bCs/>
        </w:rPr>
        <w:t>r</w:t>
      </w:r>
      <w:r w:rsidRPr="08F323C1">
        <w:rPr>
          <w:b/>
          <w:bCs/>
        </w:rPr>
        <w:t xml:space="preserve">eactions </w:t>
      </w:r>
      <w:r>
        <w:rPr>
          <w:b/>
          <w:bCs/>
        </w:rPr>
        <w:t>l</w:t>
      </w:r>
      <w:r w:rsidRPr="08F323C1">
        <w:rPr>
          <w:b/>
          <w:bCs/>
        </w:rPr>
        <w:t xml:space="preserve">isted </w:t>
      </w:r>
      <w:r>
        <w:rPr>
          <w:b/>
          <w:bCs/>
        </w:rPr>
        <w:t>a</w:t>
      </w:r>
      <w:r w:rsidRPr="08F323C1">
        <w:rPr>
          <w:b/>
          <w:bCs/>
        </w:rPr>
        <w:t xml:space="preserve">ccording to </w:t>
      </w:r>
      <w:r>
        <w:rPr>
          <w:b/>
          <w:bCs/>
        </w:rPr>
        <w:t>f</w:t>
      </w:r>
      <w:r w:rsidRPr="08F323C1">
        <w:rPr>
          <w:b/>
          <w:bCs/>
        </w:rPr>
        <w:t>requency</w:t>
      </w:r>
      <w:bookmarkEnd w:id="2"/>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87"/>
        <w:gridCol w:w="1791"/>
        <w:gridCol w:w="3493"/>
      </w:tblGrid>
      <w:tr w:rsidR="00D83EFC" w14:paraId="6D2CE209" w14:textId="77777777" w:rsidTr="003C3B7F">
        <w:trPr>
          <w:trHeight w:val="480"/>
        </w:trPr>
        <w:tc>
          <w:tcPr>
            <w:tcW w:w="1988" w:type="pct"/>
            <w:shd w:val="clear" w:color="auto" w:fill="auto"/>
            <w:hideMark/>
          </w:tcPr>
          <w:p w14:paraId="2DCF8987" w14:textId="77777777" w:rsidR="00D83EFC" w:rsidRPr="00A855FF" w:rsidRDefault="00D83EFC" w:rsidP="003C3B7F">
            <w:pPr>
              <w:spacing w:line="240" w:lineRule="auto"/>
              <w:rPr>
                <w:b/>
                <w:bCs/>
              </w:rPr>
            </w:pPr>
            <w:r w:rsidRPr="00A855FF">
              <w:rPr>
                <w:b/>
                <w:bCs/>
              </w:rPr>
              <w:t xml:space="preserve">MedDRA </w:t>
            </w:r>
            <w:r>
              <w:rPr>
                <w:b/>
                <w:bCs/>
              </w:rPr>
              <w:t>s</w:t>
            </w:r>
            <w:r w:rsidRPr="00A855FF">
              <w:rPr>
                <w:b/>
                <w:bCs/>
              </w:rPr>
              <w:t xml:space="preserve">ystem </w:t>
            </w:r>
            <w:r>
              <w:rPr>
                <w:b/>
                <w:bCs/>
              </w:rPr>
              <w:t>o</w:t>
            </w:r>
            <w:r w:rsidRPr="00A855FF">
              <w:rPr>
                <w:b/>
                <w:bCs/>
              </w:rPr>
              <w:t xml:space="preserve">rgan </w:t>
            </w:r>
            <w:r>
              <w:rPr>
                <w:b/>
                <w:bCs/>
              </w:rPr>
              <w:t>c</w:t>
            </w:r>
            <w:r w:rsidRPr="00A855FF">
              <w:rPr>
                <w:b/>
                <w:bCs/>
              </w:rPr>
              <w:t>lass</w:t>
            </w:r>
            <w:r w:rsidRPr="00A855FF">
              <w:rPr>
                <w:b/>
                <w:bCs/>
                <w:vertAlign w:val="superscript"/>
              </w:rPr>
              <w:t> </w:t>
            </w:r>
          </w:p>
        </w:tc>
        <w:tc>
          <w:tcPr>
            <w:tcW w:w="1021" w:type="pct"/>
            <w:shd w:val="clear" w:color="auto" w:fill="auto"/>
            <w:hideMark/>
          </w:tcPr>
          <w:p w14:paraId="0DDBDC22" w14:textId="77777777" w:rsidR="00D83EFC" w:rsidRPr="00AB179E" w:rsidRDefault="00D83EFC" w:rsidP="003C3B7F">
            <w:pPr>
              <w:spacing w:line="240" w:lineRule="auto"/>
              <w:rPr>
                <w:b/>
                <w:bCs/>
              </w:rPr>
            </w:pPr>
            <w:r w:rsidRPr="00AB179E">
              <w:rPr>
                <w:b/>
                <w:bCs/>
              </w:rPr>
              <w:t>Frequency </w:t>
            </w:r>
          </w:p>
        </w:tc>
        <w:tc>
          <w:tcPr>
            <w:tcW w:w="1991" w:type="pct"/>
            <w:shd w:val="clear" w:color="auto" w:fill="auto"/>
            <w:hideMark/>
          </w:tcPr>
          <w:p w14:paraId="4698C0E5" w14:textId="77777777" w:rsidR="00D83EFC" w:rsidRPr="009F745F" w:rsidRDefault="00D83EFC" w:rsidP="003C3B7F">
            <w:pPr>
              <w:spacing w:line="240" w:lineRule="auto"/>
              <w:rPr>
                <w:b/>
                <w:bCs/>
              </w:rPr>
            </w:pPr>
            <w:r w:rsidRPr="009F745F">
              <w:rPr>
                <w:b/>
                <w:bCs/>
              </w:rPr>
              <w:t>Adverse reaction</w:t>
            </w:r>
            <w:r>
              <w:rPr>
                <w:b/>
                <w:bCs/>
              </w:rPr>
              <w:t>(</w:t>
            </w:r>
            <w:r w:rsidRPr="009F745F">
              <w:rPr>
                <w:b/>
                <w:bCs/>
              </w:rPr>
              <w:t>s</w:t>
            </w:r>
            <w:r>
              <w:rPr>
                <w:b/>
                <w:bCs/>
              </w:rPr>
              <w:t>)</w:t>
            </w:r>
            <w:r w:rsidRPr="009F745F">
              <w:rPr>
                <w:b/>
                <w:bCs/>
              </w:rPr>
              <w:t> </w:t>
            </w:r>
          </w:p>
        </w:tc>
      </w:tr>
      <w:tr w:rsidR="00D83EFC" w14:paraId="3ABB279A" w14:textId="77777777" w:rsidTr="003C3B7F">
        <w:trPr>
          <w:trHeight w:val="305"/>
        </w:trPr>
        <w:tc>
          <w:tcPr>
            <w:tcW w:w="1988" w:type="pct"/>
            <w:shd w:val="clear" w:color="auto" w:fill="auto"/>
            <w:hideMark/>
          </w:tcPr>
          <w:p w14:paraId="6DE87318" w14:textId="77777777" w:rsidR="00D83EFC" w:rsidRPr="00A855FF" w:rsidRDefault="00D83EFC" w:rsidP="003C3B7F">
            <w:pPr>
              <w:spacing w:line="240" w:lineRule="auto"/>
              <w:rPr>
                <w:b/>
                <w:bCs/>
              </w:rPr>
            </w:pPr>
            <w:r w:rsidRPr="00A855FF">
              <w:rPr>
                <w:b/>
                <w:bCs/>
              </w:rPr>
              <w:t>Nervous system disorders </w:t>
            </w:r>
          </w:p>
        </w:tc>
        <w:tc>
          <w:tcPr>
            <w:tcW w:w="1021" w:type="pct"/>
            <w:shd w:val="clear" w:color="auto" w:fill="auto"/>
          </w:tcPr>
          <w:p w14:paraId="09945B6E" w14:textId="77777777" w:rsidR="00D83EFC" w:rsidRPr="00AB179E" w:rsidRDefault="00D83EFC" w:rsidP="003C3B7F">
            <w:pPr>
              <w:spacing w:line="240" w:lineRule="auto"/>
            </w:pPr>
            <w:r w:rsidRPr="00AB179E">
              <w:t>Very common </w:t>
            </w:r>
          </w:p>
        </w:tc>
        <w:tc>
          <w:tcPr>
            <w:tcW w:w="1991" w:type="pct"/>
            <w:shd w:val="clear" w:color="auto" w:fill="auto"/>
          </w:tcPr>
          <w:p w14:paraId="1B843A3E" w14:textId="77777777" w:rsidR="00D83EFC" w:rsidRPr="009F745F" w:rsidRDefault="00D83EFC" w:rsidP="003C3B7F">
            <w:pPr>
              <w:spacing w:line="240" w:lineRule="auto"/>
            </w:pPr>
            <w:r w:rsidRPr="009F745F">
              <w:t>Headache</w:t>
            </w:r>
          </w:p>
        </w:tc>
      </w:tr>
      <w:tr w:rsidR="00D83EFC" w14:paraId="121E1889" w14:textId="77777777" w:rsidTr="003C3B7F">
        <w:trPr>
          <w:trHeight w:val="233"/>
        </w:trPr>
        <w:tc>
          <w:tcPr>
            <w:tcW w:w="1988" w:type="pct"/>
            <w:shd w:val="clear" w:color="auto" w:fill="auto"/>
            <w:hideMark/>
          </w:tcPr>
          <w:p w14:paraId="2E28686F" w14:textId="6DA9C8C0" w:rsidR="00D83EFC" w:rsidRPr="00AB179E" w:rsidRDefault="00D83EFC" w:rsidP="003C3B7F">
            <w:pPr>
              <w:spacing w:line="240" w:lineRule="auto"/>
              <w:rPr>
                <w:b/>
                <w:bCs/>
              </w:rPr>
            </w:pPr>
            <w:r w:rsidRPr="00A855FF">
              <w:rPr>
                <w:b/>
                <w:bCs/>
              </w:rPr>
              <w:t>Gastrointestinal disorders </w:t>
            </w:r>
          </w:p>
        </w:tc>
        <w:tc>
          <w:tcPr>
            <w:tcW w:w="1021" w:type="pct"/>
            <w:shd w:val="clear" w:color="auto" w:fill="auto"/>
          </w:tcPr>
          <w:p w14:paraId="5F3B3B78" w14:textId="77777777" w:rsidR="00D83EFC" w:rsidRPr="009F745F" w:rsidRDefault="00D83EFC" w:rsidP="003C3B7F">
            <w:pPr>
              <w:spacing w:line="240" w:lineRule="auto"/>
            </w:pPr>
            <w:r w:rsidRPr="009F745F">
              <w:t>Very common</w:t>
            </w:r>
          </w:p>
        </w:tc>
        <w:tc>
          <w:tcPr>
            <w:tcW w:w="1991" w:type="pct"/>
            <w:shd w:val="clear" w:color="auto" w:fill="auto"/>
          </w:tcPr>
          <w:p w14:paraId="7E655FEE" w14:textId="77777777" w:rsidR="00D83EFC" w:rsidRPr="00D02971" w:rsidRDefault="00D83EFC" w:rsidP="003C3B7F">
            <w:pPr>
              <w:spacing w:line="240" w:lineRule="auto"/>
            </w:pPr>
            <w:r w:rsidRPr="00984DDC">
              <w:t>Nausea/vomiting</w:t>
            </w:r>
          </w:p>
        </w:tc>
      </w:tr>
      <w:tr w:rsidR="00D83EFC" w14:paraId="5ABC3532" w14:textId="77777777" w:rsidTr="003C3B7F">
        <w:trPr>
          <w:trHeight w:val="494"/>
        </w:trPr>
        <w:tc>
          <w:tcPr>
            <w:tcW w:w="1988" w:type="pct"/>
            <w:shd w:val="clear" w:color="auto" w:fill="auto"/>
            <w:hideMark/>
          </w:tcPr>
          <w:p w14:paraId="4185240E" w14:textId="5572B3E7" w:rsidR="00D83EFC" w:rsidRPr="009F745F" w:rsidRDefault="00D83EFC" w:rsidP="003C3B7F">
            <w:pPr>
              <w:spacing w:line="240" w:lineRule="auto"/>
              <w:rPr>
                <w:b/>
                <w:bCs/>
              </w:rPr>
            </w:pPr>
            <w:r w:rsidRPr="00A855FF">
              <w:rPr>
                <w:b/>
                <w:bCs/>
              </w:rPr>
              <w:t>Musculoskeletal and connective tissue disorders </w:t>
            </w:r>
          </w:p>
        </w:tc>
        <w:tc>
          <w:tcPr>
            <w:tcW w:w="1021" w:type="pct"/>
            <w:shd w:val="clear" w:color="auto" w:fill="auto"/>
          </w:tcPr>
          <w:p w14:paraId="2BC500A2" w14:textId="77777777" w:rsidR="00D83EFC" w:rsidRPr="00984DDC" w:rsidRDefault="00D83EFC" w:rsidP="003C3B7F">
            <w:pPr>
              <w:spacing w:line="240" w:lineRule="auto"/>
            </w:pPr>
            <w:r w:rsidRPr="00984DDC">
              <w:t>Very common</w:t>
            </w:r>
          </w:p>
        </w:tc>
        <w:tc>
          <w:tcPr>
            <w:tcW w:w="1991" w:type="pct"/>
            <w:shd w:val="clear" w:color="auto" w:fill="auto"/>
          </w:tcPr>
          <w:p w14:paraId="3FB60EA2" w14:textId="77777777" w:rsidR="00D83EFC" w:rsidRPr="00D02971" w:rsidRDefault="00D83EFC" w:rsidP="003C3B7F">
            <w:pPr>
              <w:spacing w:line="240" w:lineRule="auto"/>
            </w:pPr>
            <w:r w:rsidRPr="00D02971">
              <w:t>Myalgia</w:t>
            </w:r>
          </w:p>
          <w:p w14:paraId="465C3724" w14:textId="77777777" w:rsidR="00D83EFC" w:rsidRPr="00894B69" w:rsidRDefault="00D83EFC" w:rsidP="003C3B7F">
            <w:pPr>
              <w:spacing w:line="240" w:lineRule="auto"/>
            </w:pPr>
            <w:r w:rsidRPr="008D0513">
              <w:t>Arthralgia</w:t>
            </w:r>
          </w:p>
        </w:tc>
      </w:tr>
      <w:tr w:rsidR="00D83EFC" w14:paraId="05014573" w14:textId="77777777" w:rsidTr="003C3B7F">
        <w:trPr>
          <w:trHeight w:val="1259"/>
        </w:trPr>
        <w:tc>
          <w:tcPr>
            <w:tcW w:w="1988" w:type="pct"/>
            <w:shd w:val="clear" w:color="auto" w:fill="auto"/>
          </w:tcPr>
          <w:p w14:paraId="0151A632" w14:textId="77777777" w:rsidR="00D83EFC" w:rsidRPr="00AB179E" w:rsidRDefault="00D83EFC" w:rsidP="003C3B7F">
            <w:pPr>
              <w:spacing w:line="240" w:lineRule="auto"/>
              <w:rPr>
                <w:b/>
                <w:bCs/>
              </w:rPr>
            </w:pPr>
            <w:r w:rsidRPr="00A855FF">
              <w:rPr>
                <w:b/>
                <w:bCs/>
              </w:rPr>
              <w:t>General disorders and administration site conditions </w:t>
            </w:r>
          </w:p>
        </w:tc>
        <w:tc>
          <w:tcPr>
            <w:tcW w:w="1021" w:type="pct"/>
            <w:shd w:val="clear" w:color="auto" w:fill="auto"/>
          </w:tcPr>
          <w:p w14:paraId="34617646" w14:textId="77777777" w:rsidR="00D83EFC" w:rsidRPr="00984DDC" w:rsidRDefault="00D83EFC" w:rsidP="003C3B7F">
            <w:pPr>
              <w:spacing w:line="240" w:lineRule="auto"/>
            </w:pPr>
            <w:r w:rsidRPr="009F745F">
              <w:t xml:space="preserve">Very </w:t>
            </w:r>
            <w:r w:rsidRPr="004E3CC7">
              <w:t>common </w:t>
            </w:r>
          </w:p>
        </w:tc>
        <w:tc>
          <w:tcPr>
            <w:tcW w:w="1991" w:type="pct"/>
            <w:shd w:val="clear" w:color="auto" w:fill="auto"/>
          </w:tcPr>
          <w:p w14:paraId="1A03386B" w14:textId="77777777" w:rsidR="00D83EFC" w:rsidRPr="00A855FF" w:rsidRDefault="00D83EFC" w:rsidP="003C3B7F">
            <w:pPr>
              <w:spacing w:line="240" w:lineRule="auto"/>
              <w:rPr>
                <w:lang w:val="fr-FR"/>
              </w:rPr>
            </w:pPr>
            <w:r w:rsidRPr="00D02971">
              <w:rPr>
                <w:lang w:val="fr-FR"/>
              </w:rPr>
              <w:t>Injection site pain</w:t>
            </w:r>
          </w:p>
          <w:p w14:paraId="08982FD0" w14:textId="77777777" w:rsidR="00D83EFC" w:rsidRPr="00B077BA" w:rsidRDefault="00D83EFC" w:rsidP="003C3B7F">
            <w:pPr>
              <w:spacing w:line="240" w:lineRule="auto"/>
              <w:rPr>
                <w:lang w:val="fr-FR"/>
              </w:rPr>
            </w:pPr>
            <w:r w:rsidRPr="00AB179E">
              <w:rPr>
                <w:lang w:val="fr-FR"/>
              </w:rPr>
              <w:t>Fatigue</w:t>
            </w:r>
          </w:p>
          <w:p w14:paraId="516EEC9B" w14:textId="77777777" w:rsidR="00D83EFC" w:rsidRPr="004E3CC7" w:rsidRDefault="00D83EFC" w:rsidP="003C3B7F">
            <w:pPr>
              <w:spacing w:line="240" w:lineRule="auto"/>
              <w:rPr>
                <w:lang w:val="fr-FR"/>
              </w:rPr>
            </w:pPr>
            <w:proofErr w:type="spellStart"/>
            <w:r w:rsidRPr="009F745F">
              <w:rPr>
                <w:lang w:val="fr-FR"/>
              </w:rPr>
              <w:t>Chills</w:t>
            </w:r>
            <w:proofErr w:type="spellEnd"/>
          </w:p>
          <w:p w14:paraId="2777D4AF" w14:textId="77777777" w:rsidR="00D83EFC" w:rsidRPr="00D02971" w:rsidRDefault="00D83EFC" w:rsidP="003C3B7F">
            <w:pPr>
              <w:spacing w:line="240" w:lineRule="auto"/>
            </w:pPr>
            <w:r w:rsidRPr="00984DDC">
              <w:t>Axillary swelling/tenderness</w:t>
            </w:r>
          </w:p>
          <w:p w14:paraId="3B26FB9E" w14:textId="77777777" w:rsidR="00D83EFC" w:rsidRPr="00894B69" w:rsidRDefault="00D83EFC" w:rsidP="003C3B7F">
            <w:pPr>
              <w:spacing w:line="240" w:lineRule="auto"/>
              <w:rPr>
                <w:lang w:val="fr-FR"/>
              </w:rPr>
            </w:pPr>
            <w:r w:rsidRPr="008D0513">
              <w:rPr>
                <w:lang w:val="fr-FR"/>
              </w:rPr>
              <w:t xml:space="preserve">Injection site </w:t>
            </w:r>
            <w:proofErr w:type="spellStart"/>
            <w:r w:rsidRPr="008D0513">
              <w:rPr>
                <w:lang w:val="fr-FR"/>
              </w:rPr>
              <w:t>swelling</w:t>
            </w:r>
            <w:proofErr w:type="spellEnd"/>
          </w:p>
          <w:p w14:paraId="618F9F28" w14:textId="77777777" w:rsidR="00D83EFC" w:rsidRPr="00224F46" w:rsidRDefault="00D83EFC" w:rsidP="003C3B7F">
            <w:pPr>
              <w:spacing w:line="240" w:lineRule="auto"/>
              <w:rPr>
                <w:lang w:val="fr-FR"/>
              </w:rPr>
            </w:pPr>
            <w:r w:rsidRPr="00057E63">
              <w:rPr>
                <w:lang w:val="fr-FR"/>
              </w:rPr>
              <w:t xml:space="preserve">Injection site </w:t>
            </w:r>
            <w:proofErr w:type="spellStart"/>
            <w:r w:rsidRPr="00057E63">
              <w:rPr>
                <w:lang w:val="fr-FR"/>
              </w:rPr>
              <w:t>erythema</w:t>
            </w:r>
            <w:proofErr w:type="spellEnd"/>
          </w:p>
          <w:p w14:paraId="5DD9BBAA" w14:textId="77777777" w:rsidR="00D83EFC" w:rsidRPr="0097260F" w:rsidRDefault="00D83EFC" w:rsidP="003C3B7F">
            <w:pPr>
              <w:spacing w:line="240" w:lineRule="auto"/>
              <w:rPr>
                <w:lang w:val="fr-FR"/>
              </w:rPr>
            </w:pPr>
            <w:proofErr w:type="spellStart"/>
            <w:r>
              <w:rPr>
                <w:lang w:val="fr-FR"/>
              </w:rPr>
              <w:t>Pyrexia</w:t>
            </w:r>
            <w:proofErr w:type="spellEnd"/>
          </w:p>
        </w:tc>
      </w:tr>
    </w:tbl>
    <w:p w14:paraId="03028DC7" w14:textId="77777777" w:rsidR="00374713" w:rsidRPr="00186D46" w:rsidRDefault="00374713" w:rsidP="00186D46">
      <w:pPr>
        <w:spacing w:after="0" w:line="240" w:lineRule="auto"/>
        <w:rPr>
          <w:lang w:val="en-US"/>
        </w:rPr>
      </w:pPr>
    </w:p>
    <w:p w14:paraId="596B0CC8" w14:textId="3ACFE6D1" w:rsidR="005A18FE" w:rsidRDefault="005A18FE" w:rsidP="000210A4">
      <w:pPr>
        <w:pStyle w:val="Heading3"/>
      </w:pPr>
      <w:r>
        <w:lastRenderedPageBreak/>
        <w:t>I</w:t>
      </w:r>
      <w:bookmarkStart w:id="3" w:name="_Hlk87888333"/>
      <w:r>
        <w:t>mmunocompromised participants 18 years of age and older</w:t>
      </w:r>
      <w:bookmarkEnd w:id="3"/>
    </w:p>
    <w:p w14:paraId="724CF8B9" w14:textId="1F7FAA2F" w:rsidR="005A18FE" w:rsidRPr="00F315DE" w:rsidRDefault="005A18FE" w:rsidP="000210A4">
      <w:pPr>
        <w:spacing w:line="240" w:lineRule="auto"/>
        <w:rPr>
          <w:rFonts w:cstheme="minorHAnsi"/>
        </w:rPr>
      </w:pPr>
      <w:r w:rsidRPr="00F315DE">
        <w:rPr>
          <w:rFonts w:cstheme="minorHAnsi"/>
          <w:lang w:val="en-US"/>
        </w:rPr>
        <w:t>From an independent report (</w:t>
      </w:r>
      <w:r w:rsidRPr="00F315DE">
        <w:rPr>
          <w:rFonts w:cstheme="minorHAnsi"/>
          <w:i/>
          <w:iCs/>
          <w:lang w:val="en-US"/>
        </w:rPr>
        <w:t>Hall VG, Ferreira VH, Ku T et al. Randomized Trial of a Third Dose of mRNA-1273 Vaccine in Transplant Recipients. N Engl J Med</w:t>
      </w:r>
      <w:r w:rsidRPr="00F315DE">
        <w:rPr>
          <w:rFonts w:cstheme="minorHAnsi"/>
          <w:lang w:val="en-US"/>
        </w:rPr>
        <w:t xml:space="preserve">) </w:t>
      </w:r>
      <w:r w:rsidRPr="00F315DE">
        <w:rPr>
          <w:rFonts w:cstheme="minorHAnsi"/>
        </w:rPr>
        <w:t>in 60 participants who had undergone various solid organ transplant procedures (heart, kidney, kidney-pancreas, liver, lung, pancreas) a median of 3.57 years previously (range 1.99-6.75 years) who received a third vaccine dose, the adverse event profile was similar to that after the second dose and no grade 3 or grade 4 events were reported.</w:t>
      </w:r>
    </w:p>
    <w:p w14:paraId="447378E7" w14:textId="60863603" w:rsidR="0017068F" w:rsidRPr="00DE1DD7" w:rsidRDefault="0017068F" w:rsidP="0017068F">
      <w:pPr>
        <w:pStyle w:val="Heading3"/>
      </w:pPr>
      <w:r w:rsidRPr="00DE1DD7">
        <w:t>Booster dose participants</w:t>
      </w:r>
    </w:p>
    <w:p w14:paraId="1CF206FE" w14:textId="2BFF37E9" w:rsidR="0017068F" w:rsidRDefault="0017068F" w:rsidP="0017068F">
      <w:pPr>
        <w:spacing w:line="240" w:lineRule="auto"/>
        <w:rPr>
          <w:lang w:val="en-US"/>
        </w:rPr>
      </w:pPr>
      <w:r w:rsidRPr="000924AA">
        <w:rPr>
          <w:lang w:val="en-US"/>
        </w:rPr>
        <w:t xml:space="preserve">Study </w:t>
      </w:r>
      <w:r>
        <w:rPr>
          <w:lang w:val="en-US"/>
        </w:rPr>
        <w:t>3</w:t>
      </w:r>
      <w:r w:rsidRPr="000924AA">
        <w:rPr>
          <w:lang w:val="en-US"/>
        </w:rPr>
        <w:t xml:space="preserve"> is an ongoing Phase 2, </w:t>
      </w:r>
      <w:proofErr w:type="spellStart"/>
      <w:r w:rsidRPr="000924AA">
        <w:rPr>
          <w:lang w:val="en-US"/>
        </w:rPr>
        <w:t>randomi</w:t>
      </w:r>
      <w:r>
        <w:rPr>
          <w:lang w:val="en-US"/>
        </w:rPr>
        <w:t>s</w:t>
      </w:r>
      <w:r w:rsidRPr="000924AA">
        <w:rPr>
          <w:lang w:val="en-US"/>
        </w:rPr>
        <w:t>ed</w:t>
      </w:r>
      <w:proofErr w:type="spellEnd"/>
      <w:r w:rsidRPr="000924AA">
        <w:rPr>
          <w:lang w:val="en-US"/>
        </w:rPr>
        <w:t xml:space="preserve">, observer-blind, placebo-controlled, dose-confirmation study to evaluate the safety, reactogenicity, and immunogenicity of </w:t>
      </w:r>
      <w:bookmarkStart w:id="4" w:name="_Hlk86923121"/>
      <w:r>
        <w:rPr>
          <w:lang w:val="en-US"/>
        </w:rPr>
        <w:t>SPIKEVAX</w:t>
      </w:r>
      <w:r w:rsidRPr="000924AA">
        <w:rPr>
          <w:lang w:val="en-US"/>
        </w:rPr>
        <w:t xml:space="preserve"> </w:t>
      </w:r>
      <w:bookmarkEnd w:id="4"/>
      <w:r w:rsidRPr="000924AA">
        <w:rPr>
          <w:lang w:val="en-US"/>
        </w:rPr>
        <w:t>in participants 18 year</w:t>
      </w:r>
      <w:r>
        <w:rPr>
          <w:lang w:val="en-US"/>
        </w:rPr>
        <w:t>s</w:t>
      </w:r>
      <w:r w:rsidRPr="000924AA">
        <w:rPr>
          <w:lang w:val="en-US"/>
        </w:rPr>
        <w:t xml:space="preserve"> of age and older (NCT04405076). In </w:t>
      </w:r>
      <w:r>
        <w:rPr>
          <w:lang w:val="en-US"/>
        </w:rPr>
        <w:t>this</w:t>
      </w:r>
      <w:r w:rsidRPr="000924AA">
        <w:rPr>
          <w:lang w:val="en-US"/>
        </w:rPr>
        <w:t xml:space="preserve"> study, </w:t>
      </w:r>
      <w:r>
        <w:rPr>
          <w:lang w:val="en-US"/>
        </w:rPr>
        <w:t>198 </w:t>
      </w:r>
      <w:r w:rsidRPr="000924AA">
        <w:rPr>
          <w:lang w:val="en-US"/>
        </w:rPr>
        <w:t xml:space="preserve">participants received two doses (0.5 mL 1 </w:t>
      </w:r>
      <w:r w:rsidRPr="000210A4">
        <w:rPr>
          <w:rFonts w:cstheme="minorHAnsi"/>
        </w:rPr>
        <w:t>month</w:t>
      </w:r>
      <w:r w:rsidRPr="000924AA">
        <w:rPr>
          <w:lang w:val="en-US"/>
        </w:rPr>
        <w:t xml:space="preserve"> apart) of </w:t>
      </w:r>
      <w:r>
        <w:rPr>
          <w:lang w:val="en-US"/>
        </w:rPr>
        <w:t>SPIKEVAX</w:t>
      </w:r>
      <w:r w:rsidRPr="000924AA">
        <w:rPr>
          <w:lang w:val="en-US"/>
        </w:rPr>
        <w:t xml:space="preserve"> </w:t>
      </w:r>
      <w:r>
        <w:rPr>
          <w:lang w:val="en-US"/>
        </w:rPr>
        <w:t>(</w:t>
      </w:r>
      <w:r w:rsidRPr="000924AA">
        <w:rPr>
          <w:lang w:val="en-US"/>
        </w:rPr>
        <w:t>primary series</w:t>
      </w:r>
      <w:r>
        <w:rPr>
          <w:lang w:val="en-US"/>
        </w:rPr>
        <w:t>)</w:t>
      </w:r>
      <w:r w:rsidRPr="000924AA">
        <w:rPr>
          <w:lang w:val="en-US"/>
        </w:rPr>
        <w:t xml:space="preserve">. </w:t>
      </w:r>
      <w:r>
        <w:rPr>
          <w:lang w:val="en-US"/>
        </w:rPr>
        <w:t>In an open-label phase of this study</w:t>
      </w:r>
      <w:r w:rsidRPr="000924AA">
        <w:rPr>
          <w:lang w:val="en-US"/>
        </w:rPr>
        <w:t xml:space="preserve">, </w:t>
      </w:r>
      <w:r>
        <w:rPr>
          <w:lang w:val="en-US"/>
        </w:rPr>
        <w:t xml:space="preserve">167 of those </w:t>
      </w:r>
      <w:r w:rsidRPr="000924AA">
        <w:rPr>
          <w:lang w:val="en-US"/>
        </w:rPr>
        <w:t xml:space="preserve">participants received a single booster dose (0.25 mL) at least 6 months after receiving the second dose of the primary series. The </w:t>
      </w:r>
      <w:r>
        <w:rPr>
          <w:lang w:val="en-US"/>
        </w:rPr>
        <w:t>solicited adverse reaction profile</w:t>
      </w:r>
      <w:r w:rsidRPr="000924AA">
        <w:rPr>
          <w:lang w:val="en-US"/>
        </w:rPr>
        <w:t xml:space="preserve"> </w:t>
      </w:r>
      <w:r>
        <w:rPr>
          <w:lang w:val="en-US"/>
        </w:rPr>
        <w:t xml:space="preserve">for </w:t>
      </w:r>
      <w:r w:rsidRPr="000924AA">
        <w:rPr>
          <w:lang w:val="en-US"/>
        </w:rPr>
        <w:t xml:space="preserve">the booster dose </w:t>
      </w:r>
      <w:r>
        <w:rPr>
          <w:lang w:val="en-US"/>
        </w:rPr>
        <w:t>was</w:t>
      </w:r>
      <w:r w:rsidRPr="000924AA">
        <w:rPr>
          <w:lang w:val="en-US"/>
        </w:rPr>
        <w:t xml:space="preserve"> </w:t>
      </w:r>
      <w:proofErr w:type="gramStart"/>
      <w:r w:rsidRPr="000924AA">
        <w:rPr>
          <w:lang w:val="en-US"/>
        </w:rPr>
        <w:t>similar to</w:t>
      </w:r>
      <w:proofErr w:type="gramEnd"/>
      <w:r w:rsidRPr="000924AA">
        <w:rPr>
          <w:lang w:val="en-US"/>
        </w:rPr>
        <w:t xml:space="preserve"> </w:t>
      </w:r>
      <w:r>
        <w:rPr>
          <w:lang w:val="en-US"/>
        </w:rPr>
        <w:t>that</w:t>
      </w:r>
      <w:r w:rsidRPr="000924AA">
        <w:rPr>
          <w:lang w:val="en-US"/>
        </w:rPr>
        <w:t xml:space="preserve"> after the second dose in </w:t>
      </w:r>
      <w:r>
        <w:rPr>
          <w:lang w:val="en-US"/>
        </w:rPr>
        <w:t xml:space="preserve">the </w:t>
      </w:r>
      <w:r w:rsidRPr="000924AA">
        <w:rPr>
          <w:lang w:val="en-US"/>
        </w:rPr>
        <w:t>primary series.</w:t>
      </w:r>
    </w:p>
    <w:p w14:paraId="119A74B7" w14:textId="77777777" w:rsidR="00DF643E" w:rsidRPr="0039547D" w:rsidRDefault="00DF643E" w:rsidP="0039547D">
      <w:pPr>
        <w:pStyle w:val="Heading3"/>
      </w:pPr>
      <w:bookmarkStart w:id="5" w:name="_Hlk87888494"/>
      <w:r w:rsidRPr="0039547D">
        <w:t>Booster dose following primary vaccination with another authorised or approved COVID</w:t>
      </w:r>
      <w:r w:rsidRPr="0039547D">
        <w:noBreakHyphen/>
        <w:t>19 vaccine</w:t>
      </w:r>
      <w:bookmarkEnd w:id="5"/>
      <w:r w:rsidRPr="0039547D">
        <w:t xml:space="preserve"> </w:t>
      </w:r>
    </w:p>
    <w:p w14:paraId="46FAD172" w14:textId="42E74C6F" w:rsidR="00D0636A" w:rsidRDefault="00DF643E" w:rsidP="00DF643E">
      <w:pPr>
        <w:spacing w:after="0" w:line="240" w:lineRule="auto"/>
        <w:rPr>
          <w:lang w:val="en-GB"/>
        </w:rPr>
      </w:pPr>
      <w:r w:rsidRPr="00374713">
        <w:rPr>
          <w:lang w:val="en-GB"/>
        </w:rPr>
        <w:t xml:space="preserve">The safety of a </w:t>
      </w:r>
      <w:r w:rsidR="0039547D" w:rsidRPr="0039547D">
        <w:rPr>
          <w:lang w:val="en-GB"/>
        </w:rPr>
        <w:t>SPIKEVAX</w:t>
      </w:r>
      <w:r w:rsidRPr="00374713">
        <w:rPr>
          <w:lang w:val="en-GB"/>
        </w:rPr>
        <w:t xml:space="preserve"> (0.25 mL) booster dose in individuals who completed primary vaccination with another authorised or approved COVID-19 Vaccine (heterologous booster dose) is inferred from the safety of a </w:t>
      </w:r>
      <w:r w:rsidR="0039547D" w:rsidRPr="0039547D">
        <w:rPr>
          <w:lang w:val="en-GB"/>
        </w:rPr>
        <w:t xml:space="preserve">SPIKEVAX </w:t>
      </w:r>
      <w:r w:rsidRPr="00374713">
        <w:rPr>
          <w:lang w:val="en-GB"/>
        </w:rPr>
        <w:t>(0.25 mL) booster dose administered following completion of a Moderna COVID-19 Vaccine primary series (homologous booster dose) and from data from an independent Phase 1/2 open</w:t>
      </w:r>
      <w:r w:rsidRPr="00374713">
        <w:rPr>
          <w:lang w:val="en-GB"/>
        </w:rPr>
        <w:noBreakHyphen/>
        <w:t xml:space="preserve">label clinical trial (NCT04889209) conducted in the United States that evaluated a heterologous booster dose (0.5 mL) of </w:t>
      </w:r>
      <w:r w:rsidR="0039547D" w:rsidRPr="0039547D">
        <w:rPr>
          <w:lang w:val="en-GB"/>
        </w:rPr>
        <w:t>SPIKEVAX</w:t>
      </w:r>
      <w:r w:rsidRPr="00374713">
        <w:rPr>
          <w:lang w:val="en-GB"/>
        </w:rPr>
        <w:t xml:space="preserve">. In this study, adults who had completed primary vaccination with a </w:t>
      </w:r>
      <w:r w:rsidR="0039547D" w:rsidRPr="0039547D">
        <w:rPr>
          <w:lang w:val="en-GB"/>
        </w:rPr>
        <w:t xml:space="preserve">SPIKEVAX </w:t>
      </w:r>
      <w:r w:rsidRPr="00374713">
        <w:rPr>
          <w:lang w:val="en-GB"/>
        </w:rPr>
        <w:t xml:space="preserve">2-dose series (N=151), a </w:t>
      </w:r>
      <w:r w:rsidR="00E15CD5" w:rsidRPr="00E15CD5">
        <w:rPr>
          <w:lang w:val="en-GB"/>
        </w:rPr>
        <w:t>COVID-19 Vaccine Janssen</w:t>
      </w:r>
      <w:r w:rsidR="00E15CD5" w:rsidRPr="00E15CD5" w:rsidDel="00E15CD5">
        <w:rPr>
          <w:lang w:val="en-GB"/>
        </w:rPr>
        <w:t xml:space="preserve"> </w:t>
      </w:r>
      <w:r w:rsidRPr="00374713">
        <w:rPr>
          <w:lang w:val="en-GB"/>
        </w:rPr>
        <w:t xml:space="preserve">single dose (N=156), or a </w:t>
      </w:r>
      <w:r w:rsidR="00E15CD5">
        <w:rPr>
          <w:lang w:val="en-GB"/>
        </w:rPr>
        <w:t>COMIRNATY</w:t>
      </w:r>
      <w:r w:rsidRPr="00374713">
        <w:rPr>
          <w:lang w:val="en-GB"/>
        </w:rPr>
        <w:t xml:space="preserve"> 2-dose series (N=151) at least 12 weeks prior to enrolment and who reported no history of SARS</w:t>
      </w:r>
      <w:r w:rsidR="00681D64">
        <w:rPr>
          <w:lang w:val="en-GB"/>
        </w:rPr>
        <w:t>-</w:t>
      </w:r>
      <w:r w:rsidRPr="00374713">
        <w:rPr>
          <w:lang w:val="en-GB"/>
        </w:rPr>
        <w:t xml:space="preserve">CoV-2 infection were randomised 1:1:1 to receive a booster dose of one of three vaccines: </w:t>
      </w:r>
      <w:r w:rsidR="0039547D" w:rsidRPr="0039547D">
        <w:rPr>
          <w:lang w:val="en-GB"/>
        </w:rPr>
        <w:t xml:space="preserve">SPIKEVAX </w:t>
      </w:r>
      <w:r w:rsidRPr="00374713">
        <w:rPr>
          <w:lang w:val="en-GB"/>
        </w:rPr>
        <w:t xml:space="preserve">(0.5 mL), </w:t>
      </w:r>
      <w:r w:rsidR="00E15CD5" w:rsidRPr="00E15CD5">
        <w:rPr>
          <w:lang w:val="en-GB"/>
        </w:rPr>
        <w:t>COVID-19 Vaccine Janssen</w:t>
      </w:r>
      <w:r w:rsidRPr="00374713">
        <w:rPr>
          <w:lang w:val="en-GB"/>
        </w:rPr>
        <w:t xml:space="preserve">, or </w:t>
      </w:r>
      <w:r w:rsidR="00E15CD5">
        <w:rPr>
          <w:lang w:val="en-GB"/>
        </w:rPr>
        <w:t>COMIRNATY</w:t>
      </w:r>
      <w:r w:rsidRPr="00374713">
        <w:rPr>
          <w:lang w:val="en-GB"/>
        </w:rPr>
        <w:t xml:space="preserve">. Adverse events were assessed through 28 days after the booster dose. An overall review of adverse reactions reported following the </w:t>
      </w:r>
      <w:r w:rsidR="0039547D" w:rsidRPr="0039547D">
        <w:rPr>
          <w:lang w:val="en-GB"/>
        </w:rPr>
        <w:t>SPIKEVAX</w:t>
      </w:r>
      <w:r w:rsidR="001A5D10">
        <w:rPr>
          <w:lang w:val="en-GB"/>
        </w:rPr>
        <w:t>,</w:t>
      </w:r>
      <w:r w:rsidR="0039547D" w:rsidRPr="0039547D">
        <w:rPr>
          <w:lang w:val="en-GB"/>
        </w:rPr>
        <w:t xml:space="preserve"> </w:t>
      </w:r>
      <w:r w:rsidRPr="00374713">
        <w:rPr>
          <w:lang w:val="en-GB"/>
        </w:rPr>
        <w:t xml:space="preserve">heterologous booster dose (0.5 mL) did not identify any new safety concerns, as compared with adverse reactions reported following </w:t>
      </w:r>
      <w:r w:rsidR="0039547D" w:rsidRPr="0039547D">
        <w:rPr>
          <w:lang w:val="en-GB"/>
        </w:rPr>
        <w:t xml:space="preserve">SPIKEVAX </w:t>
      </w:r>
      <w:r w:rsidRPr="00374713">
        <w:rPr>
          <w:lang w:val="en-GB"/>
        </w:rPr>
        <w:t>primary series doses or homologous booster dose (0.25 mL).</w:t>
      </w:r>
      <w:r w:rsidR="0059132A">
        <w:t xml:space="preserve"> </w:t>
      </w:r>
    </w:p>
    <w:p w14:paraId="13663CBD" w14:textId="77777777" w:rsidR="00DF643E" w:rsidRPr="00D0636A" w:rsidRDefault="00DF643E" w:rsidP="00DF643E">
      <w:pPr>
        <w:spacing w:after="0" w:line="240" w:lineRule="auto"/>
        <w:rPr>
          <w:lang w:val="en-GB"/>
        </w:rPr>
      </w:pPr>
    </w:p>
    <w:p w14:paraId="26CB307D" w14:textId="77777777" w:rsidR="00917260" w:rsidRDefault="00917260" w:rsidP="00917260">
      <w:pPr>
        <w:pStyle w:val="Heading3"/>
      </w:pPr>
      <w:r>
        <w:t>Post-marketing experience</w:t>
      </w:r>
    </w:p>
    <w:p w14:paraId="5C0FEC99" w14:textId="3E6C26B3" w:rsidR="00917260" w:rsidRDefault="00917260" w:rsidP="00917260">
      <w:r>
        <w:t xml:space="preserve">Although the events listed in Table 3 were not observed in the clinical trials, they are considered adverse drug reactions for </w:t>
      </w:r>
      <w:r w:rsidR="001C0A66">
        <w:t>SPIKEVAX</w:t>
      </w:r>
      <w:r>
        <w:t xml:space="preserve"> as they were reported in the post-marketing experience. </w:t>
      </w:r>
      <w:r w:rsidR="00AD4D05">
        <w:t xml:space="preserve">Unless otherwise noted in Table 3, </w:t>
      </w:r>
      <w:r>
        <w:t>these reactions were derived from spontaneous reports, the frequencies could not be determined and are thus considered as not known.</w:t>
      </w:r>
    </w:p>
    <w:p w14:paraId="69F48478" w14:textId="0CE0E9A3" w:rsidR="00917260" w:rsidRPr="00917260" w:rsidRDefault="00917260" w:rsidP="00073981">
      <w:pPr>
        <w:keepNext/>
        <w:pageBreakBefore/>
        <w:spacing w:line="240" w:lineRule="auto"/>
        <w:rPr>
          <w:b/>
          <w:bCs/>
        </w:rPr>
      </w:pPr>
      <w:r w:rsidRPr="00917260">
        <w:rPr>
          <w:b/>
          <w:bCs/>
        </w:rPr>
        <w:lastRenderedPageBreak/>
        <w:t xml:space="preserve">Table 3: Adverse reactions from </w:t>
      </w:r>
      <w:r w:rsidR="001C0A66">
        <w:rPr>
          <w:b/>
          <w:bCs/>
        </w:rPr>
        <w:t>SPIKEVAX</w:t>
      </w:r>
      <w:r w:rsidRPr="00917260">
        <w:rPr>
          <w:b/>
          <w:bCs/>
        </w:rPr>
        <w:t xml:space="preserve"> post marketing experience</w:t>
      </w:r>
    </w:p>
    <w:tbl>
      <w:tblPr>
        <w:tblStyle w:val="TableGrid"/>
        <w:tblW w:w="0" w:type="auto"/>
        <w:tblLook w:val="04A0" w:firstRow="1" w:lastRow="0" w:firstColumn="1" w:lastColumn="0" w:noHBand="0" w:noVBand="1"/>
      </w:tblPr>
      <w:tblGrid>
        <w:gridCol w:w="2689"/>
        <w:gridCol w:w="2409"/>
        <w:gridCol w:w="3918"/>
      </w:tblGrid>
      <w:tr w:rsidR="00872843" w:rsidRPr="00AC655D" w14:paraId="63F5E75A" w14:textId="77777777" w:rsidTr="00E91818">
        <w:trPr>
          <w:tblHeader/>
        </w:trPr>
        <w:tc>
          <w:tcPr>
            <w:tcW w:w="2689" w:type="dxa"/>
          </w:tcPr>
          <w:p w14:paraId="02012AD6" w14:textId="68698969" w:rsidR="00872843" w:rsidRPr="00AC655D" w:rsidRDefault="00872843" w:rsidP="00AC63E5">
            <w:pPr>
              <w:spacing w:after="120"/>
              <w:rPr>
                <w:b/>
                <w:bCs/>
              </w:rPr>
            </w:pPr>
            <w:r w:rsidRPr="00AC655D">
              <w:rPr>
                <w:b/>
                <w:bCs/>
              </w:rPr>
              <w:t>System Organ Class</w:t>
            </w:r>
          </w:p>
        </w:tc>
        <w:tc>
          <w:tcPr>
            <w:tcW w:w="2409" w:type="dxa"/>
          </w:tcPr>
          <w:p w14:paraId="6C75D79F" w14:textId="0B8A73CA" w:rsidR="00872843" w:rsidRDefault="00872843" w:rsidP="00AC63E5">
            <w:pPr>
              <w:spacing w:after="120"/>
              <w:rPr>
                <w:b/>
                <w:bCs/>
              </w:rPr>
            </w:pPr>
            <w:r w:rsidRPr="00AB179E">
              <w:rPr>
                <w:b/>
                <w:bCs/>
              </w:rPr>
              <w:t>Frequency</w:t>
            </w:r>
          </w:p>
        </w:tc>
        <w:tc>
          <w:tcPr>
            <w:tcW w:w="3918" w:type="dxa"/>
          </w:tcPr>
          <w:p w14:paraId="01D5038D" w14:textId="1CA476FF" w:rsidR="00872843" w:rsidRPr="00AC655D" w:rsidRDefault="00872843" w:rsidP="00AC63E5">
            <w:pPr>
              <w:spacing w:after="120"/>
              <w:rPr>
                <w:b/>
                <w:bCs/>
              </w:rPr>
            </w:pPr>
            <w:r>
              <w:rPr>
                <w:b/>
                <w:bCs/>
              </w:rPr>
              <w:t>Adverse Drug Reaction</w:t>
            </w:r>
          </w:p>
        </w:tc>
      </w:tr>
      <w:tr w:rsidR="00872843" w:rsidRPr="00917260" w14:paraId="0AE98E2E" w14:textId="77777777" w:rsidTr="00E91818">
        <w:trPr>
          <w:trHeight w:val="404"/>
        </w:trPr>
        <w:tc>
          <w:tcPr>
            <w:tcW w:w="2689" w:type="dxa"/>
          </w:tcPr>
          <w:p w14:paraId="6BB96232" w14:textId="24627B67" w:rsidR="00872843" w:rsidRPr="00917260" w:rsidRDefault="00872843" w:rsidP="00AC63E5">
            <w:pPr>
              <w:spacing w:after="120"/>
            </w:pPr>
            <w:r>
              <w:t>Immune system disorders</w:t>
            </w:r>
          </w:p>
        </w:tc>
        <w:tc>
          <w:tcPr>
            <w:tcW w:w="2409" w:type="dxa"/>
          </w:tcPr>
          <w:p w14:paraId="7C9EB415" w14:textId="2EEEC9E6" w:rsidR="00872843" w:rsidRDefault="00E91818" w:rsidP="00AC63E5">
            <w:pPr>
              <w:spacing w:after="120"/>
            </w:pPr>
            <w:r>
              <w:t xml:space="preserve">Not </w:t>
            </w:r>
            <w:r w:rsidR="00872843">
              <w:t>known</w:t>
            </w:r>
          </w:p>
        </w:tc>
        <w:tc>
          <w:tcPr>
            <w:tcW w:w="3918" w:type="dxa"/>
          </w:tcPr>
          <w:p w14:paraId="0158569D" w14:textId="7FDDD76F" w:rsidR="00872843" w:rsidRDefault="00872843" w:rsidP="00AC63E5">
            <w:pPr>
              <w:spacing w:after="120"/>
            </w:pPr>
            <w:r>
              <w:t>Anaphylaxis</w:t>
            </w:r>
          </w:p>
          <w:p w14:paraId="41F9100D" w14:textId="2B089BB5" w:rsidR="00872843" w:rsidRPr="00917260" w:rsidRDefault="00872843" w:rsidP="00AC63E5">
            <w:pPr>
              <w:spacing w:after="120"/>
            </w:pPr>
            <w:r w:rsidRPr="00AC63E5">
              <w:t xml:space="preserve">Hypersensitivity reactions (e.g. erythema multiforme) </w:t>
            </w:r>
          </w:p>
        </w:tc>
      </w:tr>
      <w:tr w:rsidR="00872843" w:rsidRPr="00917260" w14:paraId="3DAB3056" w14:textId="77777777" w:rsidTr="00E91818">
        <w:tc>
          <w:tcPr>
            <w:tcW w:w="2689" w:type="dxa"/>
          </w:tcPr>
          <w:p w14:paraId="4CD91211" w14:textId="72BB4A0A" w:rsidR="00872843" w:rsidRPr="00917260" w:rsidRDefault="00872843" w:rsidP="00AC63E5">
            <w:pPr>
              <w:spacing w:after="120"/>
            </w:pPr>
            <w:r>
              <w:t>Cardiac disorders</w:t>
            </w:r>
          </w:p>
        </w:tc>
        <w:tc>
          <w:tcPr>
            <w:tcW w:w="2409" w:type="dxa"/>
          </w:tcPr>
          <w:p w14:paraId="2477C898" w14:textId="7CC6826C" w:rsidR="00872843" w:rsidRDefault="00872843" w:rsidP="00AC63E5">
            <w:pPr>
              <w:spacing w:after="120"/>
            </w:pPr>
            <w:r>
              <w:t>Very rare</w:t>
            </w:r>
          </w:p>
        </w:tc>
        <w:tc>
          <w:tcPr>
            <w:tcW w:w="3918" w:type="dxa"/>
          </w:tcPr>
          <w:p w14:paraId="70AC2739" w14:textId="6F6F8615" w:rsidR="00872843" w:rsidRDefault="00872843" w:rsidP="00AC63E5">
            <w:pPr>
              <w:spacing w:after="120"/>
            </w:pPr>
            <w:r>
              <w:t>Myocarditis</w:t>
            </w:r>
          </w:p>
          <w:p w14:paraId="3E96E3BA" w14:textId="16144823" w:rsidR="00872843" w:rsidRPr="00917260" w:rsidRDefault="00872843" w:rsidP="00AC63E5">
            <w:pPr>
              <w:spacing w:after="120"/>
            </w:pPr>
            <w:r>
              <w:t>Pericarditis</w:t>
            </w:r>
          </w:p>
        </w:tc>
      </w:tr>
      <w:tr w:rsidR="00E91818" w:rsidRPr="00917260" w14:paraId="21EBCD26" w14:textId="77777777" w:rsidTr="00E91818">
        <w:trPr>
          <w:trHeight w:val="420"/>
        </w:trPr>
        <w:tc>
          <w:tcPr>
            <w:tcW w:w="2689" w:type="dxa"/>
            <w:vMerge w:val="restart"/>
          </w:tcPr>
          <w:p w14:paraId="7BAF553A" w14:textId="12AD0FEA" w:rsidR="00E91818" w:rsidRDefault="00E91818" w:rsidP="00AC63E5">
            <w:pPr>
              <w:spacing w:after="120"/>
            </w:pPr>
            <w:r w:rsidRPr="00AC63E5">
              <w:t>Nervous system disorders</w:t>
            </w:r>
          </w:p>
        </w:tc>
        <w:tc>
          <w:tcPr>
            <w:tcW w:w="2409" w:type="dxa"/>
          </w:tcPr>
          <w:p w14:paraId="06F9F463" w14:textId="4EF02D13" w:rsidR="00E91818" w:rsidRDefault="00485F16" w:rsidP="00AC63E5">
            <w:pPr>
              <w:spacing w:after="120"/>
            </w:pPr>
            <w:r>
              <w:t>Rare</w:t>
            </w:r>
          </w:p>
        </w:tc>
        <w:tc>
          <w:tcPr>
            <w:tcW w:w="3918" w:type="dxa"/>
          </w:tcPr>
          <w:p w14:paraId="106586A9" w14:textId="217730EA" w:rsidR="00E91818" w:rsidRDefault="00E91818" w:rsidP="00AC63E5">
            <w:pPr>
              <w:spacing w:after="120"/>
            </w:pPr>
            <w:r>
              <w:t>Paraesthesia</w:t>
            </w:r>
          </w:p>
        </w:tc>
      </w:tr>
      <w:tr w:rsidR="00E91818" w:rsidRPr="00917260" w14:paraId="677E8596" w14:textId="77777777" w:rsidTr="00E91818">
        <w:trPr>
          <w:trHeight w:val="360"/>
        </w:trPr>
        <w:tc>
          <w:tcPr>
            <w:tcW w:w="2689" w:type="dxa"/>
            <w:vMerge/>
          </w:tcPr>
          <w:p w14:paraId="6405986A" w14:textId="77777777" w:rsidR="00E91818" w:rsidRPr="00AC63E5" w:rsidRDefault="00E91818" w:rsidP="00AC63E5">
            <w:pPr>
              <w:spacing w:after="120"/>
            </w:pPr>
          </w:p>
        </w:tc>
        <w:tc>
          <w:tcPr>
            <w:tcW w:w="2409" w:type="dxa"/>
          </w:tcPr>
          <w:p w14:paraId="45B504E8" w14:textId="7B95EE62" w:rsidR="00E91818" w:rsidRDefault="00E91818" w:rsidP="00AC63E5">
            <w:pPr>
              <w:spacing w:after="120"/>
            </w:pPr>
            <w:r>
              <w:t>Rare</w:t>
            </w:r>
          </w:p>
        </w:tc>
        <w:tc>
          <w:tcPr>
            <w:tcW w:w="3918" w:type="dxa"/>
          </w:tcPr>
          <w:p w14:paraId="4C8A0F6C" w14:textId="6D8180D1" w:rsidR="00E91818" w:rsidRDefault="00E91818" w:rsidP="00AC63E5">
            <w:pPr>
              <w:spacing w:after="120"/>
            </w:pPr>
            <w:proofErr w:type="spellStart"/>
            <w:r>
              <w:t>Hypoaesthesia</w:t>
            </w:r>
            <w:proofErr w:type="spellEnd"/>
          </w:p>
        </w:tc>
      </w:tr>
    </w:tbl>
    <w:p w14:paraId="07912AC7" w14:textId="27AEF8B3" w:rsidR="00917260" w:rsidRDefault="00917260" w:rsidP="00917260"/>
    <w:p w14:paraId="7E87A22C" w14:textId="6672A406" w:rsidR="00872843" w:rsidRPr="00E91818" w:rsidRDefault="00872843" w:rsidP="00AD4D05">
      <w:pPr>
        <w:pStyle w:val="Heading3"/>
      </w:pPr>
      <w:r w:rsidRPr="00E91818">
        <w:t>Selected adverse reactions</w:t>
      </w:r>
    </w:p>
    <w:p w14:paraId="107D68A0" w14:textId="77777777" w:rsidR="00E97A25" w:rsidRPr="00313AC3" w:rsidRDefault="00E97A25" w:rsidP="00E97A25">
      <w:pPr>
        <w:pStyle w:val="Heading4"/>
      </w:pPr>
      <w:r w:rsidRPr="00313AC3">
        <w:t>Myocarditis</w:t>
      </w:r>
    </w:p>
    <w:p w14:paraId="362374A1" w14:textId="77777777" w:rsidR="00E97A25" w:rsidRDefault="00E97A25" w:rsidP="00E97A25">
      <w:r>
        <w:t>The increased risk of myocarditis after vaccination with Spikevax is highest in younger males (see section 4.4).</w:t>
      </w:r>
    </w:p>
    <w:p w14:paraId="093E084D" w14:textId="77777777" w:rsidR="00E97A25" w:rsidRDefault="00E97A25" w:rsidP="00E97A25">
      <w:r>
        <w:t xml:space="preserve">Two large European </w:t>
      </w:r>
      <w:proofErr w:type="spellStart"/>
      <w:r>
        <w:t>pharmacoepidemiological</w:t>
      </w:r>
      <w:proofErr w:type="spellEnd"/>
      <w:r>
        <w:t xml:space="preserve"> studies have estimated the excess risk in younger males following the second dose of Spikevax. One study showed that in a period of 7 days after the second dose, there were about 1.316 (95% CI 1.299 – 1.333) extra cases of myocarditis in 12 to </w:t>
      </w:r>
      <w:proofErr w:type="gramStart"/>
      <w:r>
        <w:t>29 year old</w:t>
      </w:r>
      <w:proofErr w:type="gramEnd"/>
      <w:r>
        <w:t xml:space="preserve"> males per 10,000 compared to unexposed persons. In another study, in a period of 28 days after the second dose, there were 1.88 (95% CI 0.956 – 2.804) extra cases of myocarditis in 16 to </w:t>
      </w:r>
      <w:proofErr w:type="gramStart"/>
      <w:r>
        <w:t>24 year old</w:t>
      </w:r>
      <w:proofErr w:type="gramEnd"/>
      <w:r>
        <w:t xml:space="preserve"> males per 10,000 compared to unexposed persons.</w:t>
      </w:r>
    </w:p>
    <w:p w14:paraId="0C7D44EB" w14:textId="4F8D2FA2" w:rsidR="003962B7" w:rsidRPr="00594C02" w:rsidRDefault="003962B7" w:rsidP="00DD7C09">
      <w:pPr>
        <w:pStyle w:val="Heading3"/>
      </w:pPr>
      <w:r w:rsidRPr="00594C02">
        <w:t>Reporting suspected adverse effects</w:t>
      </w:r>
    </w:p>
    <w:p w14:paraId="3CC99B53" w14:textId="77777777" w:rsidR="003962B7" w:rsidRPr="00594C02" w:rsidRDefault="003962B7" w:rsidP="003962B7">
      <w:pPr>
        <w:rPr>
          <w:rFonts w:cstheme="minorHAnsi"/>
          <w:lang w:val="en"/>
        </w:rPr>
      </w:pPr>
      <w:r w:rsidRPr="00594C02">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4" w:history="1">
        <w:r w:rsidRPr="00594C02">
          <w:rPr>
            <w:rStyle w:val="Hyperlink"/>
            <w:rFonts w:cstheme="minorHAnsi"/>
            <w:lang w:val="en"/>
          </w:rPr>
          <w:t>www.tga.gov.au/reporting-problems</w:t>
        </w:r>
      </w:hyperlink>
      <w:r w:rsidRPr="00594C02">
        <w:rPr>
          <w:rFonts w:cstheme="minorHAnsi"/>
          <w:lang w:val="en"/>
        </w:rPr>
        <w:t>.</w:t>
      </w:r>
    </w:p>
    <w:p w14:paraId="7687E3AA" w14:textId="77777777" w:rsidR="001A3992" w:rsidRDefault="001A3992" w:rsidP="001A3992">
      <w:pPr>
        <w:pStyle w:val="Heading2"/>
        <w:keepNext/>
        <w:keepLines/>
        <w:spacing w:before="0" w:after="120"/>
      </w:pPr>
      <w:r>
        <w:t>Overdose</w:t>
      </w:r>
    </w:p>
    <w:p w14:paraId="113278CA" w14:textId="4387CCC5" w:rsidR="00AC655D" w:rsidRDefault="00AC655D" w:rsidP="005B2812">
      <w:r>
        <w:t>No case of overdose has been reported.</w:t>
      </w:r>
    </w:p>
    <w:p w14:paraId="5635D982" w14:textId="75324883" w:rsidR="005B2812" w:rsidRDefault="005B2812" w:rsidP="005B2812">
      <w:pPr>
        <w:rPr>
          <w:rFonts w:asciiTheme="majorHAnsi" w:hAnsiTheme="majorHAnsi" w:cstheme="minorHAnsi"/>
          <w:lang w:val="en"/>
        </w:rPr>
      </w:pPr>
      <w:r w:rsidRPr="002506EC">
        <w:rPr>
          <w:rFonts w:cstheme="minorHAnsi"/>
          <w:lang w:val="en"/>
        </w:rPr>
        <w:t>For information on the management of overdose, contact the Poisons Information Centre on 13 11 26 (Australia</w:t>
      </w:r>
      <w:r w:rsidRPr="00497C85">
        <w:rPr>
          <w:rFonts w:asciiTheme="majorHAnsi" w:hAnsiTheme="majorHAnsi" w:cstheme="minorHAnsi"/>
          <w:lang w:val="en"/>
        </w:rPr>
        <w:t>).</w:t>
      </w:r>
    </w:p>
    <w:p w14:paraId="6AE627AA" w14:textId="77777777" w:rsidR="001A3992" w:rsidRDefault="001A3992" w:rsidP="000A640E">
      <w:pPr>
        <w:pStyle w:val="Heading1"/>
        <w:rPr>
          <w:lang w:val="en-US"/>
        </w:rPr>
      </w:pPr>
      <w:r w:rsidRPr="00035C95">
        <w:rPr>
          <w:lang w:val="en-US"/>
        </w:rPr>
        <w:t>Pharmacolog</w:t>
      </w:r>
      <w:r>
        <w:rPr>
          <w:lang w:val="en-US"/>
        </w:rPr>
        <w:t>ical properties</w:t>
      </w:r>
    </w:p>
    <w:p w14:paraId="1A8CA3FD" w14:textId="5850914F" w:rsidR="001A3992" w:rsidRDefault="001A3992" w:rsidP="001A3992">
      <w:pPr>
        <w:pStyle w:val="Heading2"/>
        <w:spacing w:before="0" w:after="120"/>
        <w:rPr>
          <w:lang w:val="en-US"/>
        </w:rPr>
      </w:pPr>
      <w:r w:rsidRPr="00EC3C40">
        <w:rPr>
          <w:lang w:val="en-US"/>
        </w:rPr>
        <w:t xml:space="preserve">Pharmacodynamic properties </w:t>
      </w:r>
    </w:p>
    <w:p w14:paraId="25E36452" w14:textId="783B1B14" w:rsidR="00AC655D" w:rsidRPr="00AC655D" w:rsidRDefault="00AC655D" w:rsidP="00AC655D">
      <w:pPr>
        <w:rPr>
          <w:lang w:val="en-US"/>
        </w:rPr>
      </w:pPr>
      <w:r>
        <w:t>Pharmacotherapeutic group: Vaccine, other viral vaccines, ATC code: J07BX03</w:t>
      </w:r>
    </w:p>
    <w:p w14:paraId="207BE4DF" w14:textId="20436416" w:rsidR="001A3992" w:rsidRDefault="001A3992" w:rsidP="00DD7C09">
      <w:pPr>
        <w:pStyle w:val="Heading3"/>
      </w:pPr>
      <w:r w:rsidRPr="00B878CC">
        <w:lastRenderedPageBreak/>
        <w:t>Mechanism of action</w:t>
      </w:r>
    </w:p>
    <w:p w14:paraId="5463557D" w14:textId="4A0B9278" w:rsidR="009C5B4F" w:rsidRDefault="005F49F9" w:rsidP="009C5B4F">
      <w:r>
        <w:t>SPIKEVAX</w:t>
      </w:r>
      <w:r w:rsidR="009C5B4F">
        <w:t xml:space="preserve"> contains mRNA encapsulated in lipid nanoparticles. The mRNA encodes for the full-length SARS-CoV-2 spike protein modified with 2 proline substitutions within the heptad repeat 1 domain (S-2P) to stabilise the spike protein into a prefusion conformation. After intramuscular injection, cells at the injection site and the draining lymph nodes take up the lipid nanoparticle, effectively delivering the mRNA sequence into cells for translation into viral </w:t>
      </w:r>
      <w:r w:rsidR="00E475ED">
        <w:t xml:space="preserve">spike </w:t>
      </w:r>
      <w:r w:rsidR="009C5B4F">
        <w:t>protein. The delivered mRNA does not enter the cellular nucleus or interact with the genome, is nonreplicating, and is expressed transiently mainly by dendritic cells and subcapsular sinus macrophages. The expressed, membrane-bound spike protein of SARS-CoV-2 is then recognised by immune cells as a foreign antigen. This elicits both T-cell and B-cell responses to generate neutralising antibodies, which may contribute to protection against COVID-19.</w:t>
      </w:r>
    </w:p>
    <w:p w14:paraId="3EC25B11" w14:textId="4D5BB57C" w:rsidR="001A33BA" w:rsidRDefault="001A33BA" w:rsidP="00DD7C09">
      <w:pPr>
        <w:pStyle w:val="Heading3"/>
      </w:pPr>
      <w:r>
        <w:t xml:space="preserve">Clinical </w:t>
      </w:r>
      <w:r w:rsidR="0027766D">
        <w:t>t</w:t>
      </w:r>
      <w:r>
        <w:t>rials</w:t>
      </w:r>
    </w:p>
    <w:p w14:paraId="524E23E6" w14:textId="24EE1E4F" w:rsidR="00707C6A" w:rsidRPr="00707C6A" w:rsidRDefault="00707C6A" w:rsidP="0051292C">
      <w:pPr>
        <w:pStyle w:val="Heading4"/>
      </w:pPr>
      <w:r>
        <w:t>Clinical efficacy in adults</w:t>
      </w:r>
    </w:p>
    <w:p w14:paraId="4B77D51F" w14:textId="5CC5ACC6" w:rsidR="00A947DD" w:rsidRDefault="00A947DD" w:rsidP="00597DA5">
      <w:r>
        <w:t xml:space="preserve">Study </w:t>
      </w:r>
      <w:r w:rsidR="006B19C0">
        <w:t>P301</w:t>
      </w:r>
      <w:r>
        <w:t xml:space="preserve"> was a </w:t>
      </w:r>
      <w:r w:rsidR="00597DA5">
        <w:t xml:space="preserve">randomised, placebo-controlled, observer-blind Phase 3 clinical study (NCT04470427) </w:t>
      </w:r>
      <w:r>
        <w:t xml:space="preserve">that </w:t>
      </w:r>
      <w:r w:rsidR="00597DA5">
        <w:t xml:space="preserve">excluded individuals who were immunocompromised or </w:t>
      </w:r>
      <w:r w:rsidR="003A78C9">
        <w:t xml:space="preserve">who </w:t>
      </w:r>
      <w:r w:rsidR="00597DA5">
        <w:t xml:space="preserve">had received immunosuppressants within 6 months, as well as participants who were pregnant, or with a known history of SARS-CoV-2 infection. Participants with stable HIV disease were not excluded. Influenza vaccines could be administered 14 days before or 14 days after any dose of </w:t>
      </w:r>
      <w:r w:rsidR="005F49F9">
        <w:t>SPIKEVAX</w:t>
      </w:r>
      <w:r w:rsidR="00597DA5">
        <w:t xml:space="preserve">. Participants were also required to observe a minimum interval of 3 months after receipt of blood/plasma products or immunoglobulins prior to the study </w:t>
      </w:r>
      <w:proofErr w:type="gramStart"/>
      <w:r w:rsidR="00597DA5">
        <w:t>in order to</w:t>
      </w:r>
      <w:proofErr w:type="gramEnd"/>
      <w:r w:rsidR="00597DA5">
        <w:t xml:space="preserve"> receive either placebo or </w:t>
      </w:r>
      <w:r w:rsidR="005F49F9">
        <w:t>SPIKEVAX</w:t>
      </w:r>
      <w:r w:rsidR="00597DA5">
        <w:t xml:space="preserve">. </w:t>
      </w:r>
    </w:p>
    <w:p w14:paraId="30773645" w14:textId="1E1FEF56" w:rsidR="00A947DD" w:rsidRDefault="00597DA5" w:rsidP="00597DA5">
      <w:r>
        <w:t xml:space="preserve">A total of 30,351 subjects were followed for a median of 92 days (range: 1-122) for the development of COVID-19 disease. </w:t>
      </w:r>
    </w:p>
    <w:p w14:paraId="71D335D7" w14:textId="77777777" w:rsidR="00331B38" w:rsidRPr="00331B38" w:rsidRDefault="00331B38" w:rsidP="00331B38">
      <w:pPr>
        <w:rPr>
          <w:bCs/>
          <w:lang w:val="en-GB"/>
        </w:rPr>
      </w:pPr>
      <w:r w:rsidRPr="00331B38">
        <w:rPr>
          <w:bCs/>
          <w:lang w:val="en-GB"/>
        </w:rPr>
        <w:t>COVID-19 was defined as symptomatic COVID-19 requiring positive RT-PCR result and at least 2 systemic symptoms or 1 respiratory symptom. Cases starting 14 days after the second dose. </w:t>
      </w:r>
    </w:p>
    <w:p w14:paraId="3B52C2C6" w14:textId="26820EF5" w:rsidR="00597DA5" w:rsidRDefault="00597DA5" w:rsidP="00597DA5">
      <w:r>
        <w:t xml:space="preserve">The primary efficacy analysis population (referred to as the Per Protocol Set or PPS), included 28,207 subjects who received either </w:t>
      </w:r>
      <w:r w:rsidR="005F49F9">
        <w:t>SPIKEVAX</w:t>
      </w:r>
      <w:r>
        <w:t xml:space="preserve"> (n=14,134) or placebo (n=14,073) and had a negative baseline SARS-CoV-2 status. The PPS study population included 47.4% female, 52.6% male, 79.5% White, 9.7% African American, 4.6% Asian, and 6.2% other. 19.7% of participants identified as Hispanic or Latino. The median age of subjects was 53 years (range 18-94). A dosing window of –7 to +14 days for administration of the second dose (scheduled at day 29) was allowed for inclusion in the PPS. 98% of vaccine recipients received the second dose 25 days to 35 days after dose 1 (corresponding to -3 to +7 days around the interval of 28 days). COVID-19 cases were confirmed by Reverse Transcriptase Polymerase Chain Reaction (RT PCR) and by a Clinical Adjudication Committee. Vaccine efficacy overall and by key age groups are presented in Table </w:t>
      </w:r>
      <w:r w:rsidR="0017400E">
        <w:t>4</w:t>
      </w:r>
      <w:r>
        <w:t>.</w:t>
      </w:r>
    </w:p>
    <w:p w14:paraId="4BEAEAB6" w14:textId="77777777" w:rsidR="00C8636E" w:rsidRDefault="00C8636E" w:rsidP="001D044F">
      <w:pPr>
        <w:spacing w:line="240" w:lineRule="auto"/>
        <w:rPr>
          <w:b/>
          <w:bCs/>
        </w:rPr>
        <w:sectPr w:rsidR="00C8636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279FA0AF" w14:textId="089A2E4F" w:rsidR="00597DA5" w:rsidRPr="001D044F" w:rsidRDefault="00597DA5" w:rsidP="001D044F">
      <w:pPr>
        <w:spacing w:line="240" w:lineRule="auto"/>
        <w:rPr>
          <w:b/>
          <w:bCs/>
        </w:rPr>
      </w:pPr>
      <w:r w:rsidRPr="001D044F">
        <w:rPr>
          <w:b/>
          <w:bCs/>
        </w:rPr>
        <w:lastRenderedPageBreak/>
        <w:t xml:space="preserve">Table </w:t>
      </w:r>
      <w:r w:rsidR="00917260">
        <w:rPr>
          <w:b/>
          <w:bCs/>
        </w:rPr>
        <w:t>4</w:t>
      </w:r>
      <w:r w:rsidRPr="001D044F">
        <w:rPr>
          <w:b/>
          <w:bCs/>
        </w:rPr>
        <w:t xml:space="preserve">: Vaccine </w:t>
      </w:r>
      <w:r w:rsidR="00A947DD" w:rsidRPr="001D044F">
        <w:rPr>
          <w:b/>
          <w:bCs/>
        </w:rPr>
        <w:t>e</w:t>
      </w:r>
      <w:r w:rsidRPr="001D044F">
        <w:rPr>
          <w:b/>
          <w:bCs/>
        </w:rPr>
        <w:t xml:space="preserve">fficacy </w:t>
      </w:r>
      <w:r w:rsidR="00A947DD" w:rsidRPr="001D044F">
        <w:rPr>
          <w:b/>
          <w:bCs/>
        </w:rPr>
        <w:t>a</w:t>
      </w:r>
      <w:r w:rsidRPr="001D044F">
        <w:rPr>
          <w:b/>
          <w:bCs/>
        </w:rPr>
        <w:t xml:space="preserve">nalysis: confirmed COVID-19# regardless of severity starting 14 days after the 2nd dose – </w:t>
      </w:r>
      <w:r w:rsidR="00A947DD" w:rsidRPr="001D044F">
        <w:rPr>
          <w:b/>
          <w:bCs/>
        </w:rPr>
        <w:t>p</w:t>
      </w:r>
      <w:r w:rsidRPr="001D044F">
        <w:rPr>
          <w:b/>
          <w:bCs/>
        </w:rPr>
        <w:t>er-</w:t>
      </w:r>
      <w:r w:rsidR="00A947DD" w:rsidRPr="001D044F">
        <w:rPr>
          <w:b/>
          <w:bCs/>
        </w:rPr>
        <w:t>p</w:t>
      </w:r>
      <w:r w:rsidRPr="001D044F">
        <w:rPr>
          <w:b/>
          <w:bCs/>
        </w:rPr>
        <w:t xml:space="preserve">rotocol </w:t>
      </w:r>
      <w:r w:rsidR="00A947DD" w:rsidRPr="001D044F">
        <w:rPr>
          <w:b/>
          <w:bCs/>
        </w:rPr>
        <w:t>s</w:t>
      </w:r>
      <w:r w:rsidRPr="001D044F">
        <w:rPr>
          <w:b/>
          <w:bCs/>
        </w:rPr>
        <w:t xml:space="preserve">et </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8A3EC8" w14:paraId="71E3347A" w14:textId="77777777" w:rsidTr="003C3B7F">
        <w:tc>
          <w:tcPr>
            <w:tcW w:w="1127" w:type="dxa"/>
            <w:vMerge w:val="restart"/>
            <w:vAlign w:val="center"/>
          </w:tcPr>
          <w:p w14:paraId="721393FB" w14:textId="60000A88" w:rsidR="008A3EC8" w:rsidRDefault="008A3EC8" w:rsidP="000A640E">
            <w:pPr>
              <w:jc w:val="center"/>
              <w:rPr>
                <w:lang w:val="en-US"/>
              </w:rPr>
            </w:pPr>
            <w:r>
              <w:rPr>
                <w:lang w:val="en-US"/>
              </w:rPr>
              <w:t>Age group</w:t>
            </w:r>
          </w:p>
          <w:p w14:paraId="64F7E003" w14:textId="7CA0EBB4" w:rsidR="008A3EC8" w:rsidRDefault="008A3EC8" w:rsidP="000A640E">
            <w:pPr>
              <w:jc w:val="center"/>
              <w:rPr>
                <w:lang w:val="en-US"/>
              </w:rPr>
            </w:pPr>
            <w:r>
              <w:rPr>
                <w:lang w:val="en-US"/>
              </w:rPr>
              <w:t>(years)</w:t>
            </w:r>
          </w:p>
        </w:tc>
        <w:tc>
          <w:tcPr>
            <w:tcW w:w="3381" w:type="dxa"/>
            <w:gridSpan w:val="3"/>
            <w:vAlign w:val="center"/>
          </w:tcPr>
          <w:p w14:paraId="4547B956" w14:textId="157638AB" w:rsidR="008A3EC8" w:rsidRDefault="005F49F9" w:rsidP="008A3EC8">
            <w:pPr>
              <w:jc w:val="center"/>
              <w:rPr>
                <w:lang w:val="en-US"/>
              </w:rPr>
            </w:pPr>
            <w:r>
              <w:rPr>
                <w:lang w:val="en-US"/>
              </w:rPr>
              <w:t>SPIKEVAX</w:t>
            </w:r>
          </w:p>
        </w:tc>
        <w:tc>
          <w:tcPr>
            <w:tcW w:w="3381" w:type="dxa"/>
            <w:gridSpan w:val="3"/>
            <w:vAlign w:val="center"/>
          </w:tcPr>
          <w:p w14:paraId="674A5135" w14:textId="48ED43DB" w:rsidR="008A3EC8" w:rsidRDefault="008A3EC8" w:rsidP="008A3EC8">
            <w:pPr>
              <w:jc w:val="center"/>
              <w:rPr>
                <w:lang w:val="en-US"/>
              </w:rPr>
            </w:pPr>
            <w:r>
              <w:rPr>
                <w:lang w:val="en-US"/>
              </w:rPr>
              <w:t>Placebo</w:t>
            </w:r>
          </w:p>
        </w:tc>
        <w:tc>
          <w:tcPr>
            <w:tcW w:w="1127" w:type="dxa"/>
            <w:vMerge w:val="restart"/>
            <w:vAlign w:val="center"/>
          </w:tcPr>
          <w:p w14:paraId="52E9BFE7" w14:textId="77777777" w:rsidR="008A3EC8" w:rsidRDefault="008A3EC8" w:rsidP="000A640E">
            <w:pPr>
              <w:jc w:val="center"/>
              <w:rPr>
                <w:lang w:val="en-US"/>
              </w:rPr>
            </w:pPr>
            <w:r>
              <w:rPr>
                <w:lang w:val="en-US"/>
              </w:rPr>
              <w:t>% Vaccine</w:t>
            </w:r>
          </w:p>
          <w:p w14:paraId="6C73CFF7" w14:textId="77777777" w:rsidR="008A3EC8" w:rsidRDefault="008A3EC8" w:rsidP="000A640E">
            <w:pPr>
              <w:jc w:val="center"/>
              <w:rPr>
                <w:lang w:val="en-US"/>
              </w:rPr>
            </w:pPr>
            <w:r>
              <w:rPr>
                <w:lang w:val="en-US"/>
              </w:rPr>
              <w:t>efficacy</w:t>
            </w:r>
          </w:p>
          <w:p w14:paraId="291A52B2" w14:textId="31FE28C6" w:rsidR="008A3EC8" w:rsidRDefault="008A3EC8" w:rsidP="000A640E">
            <w:pPr>
              <w:jc w:val="center"/>
              <w:rPr>
                <w:lang w:val="en-US"/>
              </w:rPr>
            </w:pPr>
            <w:r>
              <w:rPr>
                <w:lang w:val="en-US"/>
              </w:rPr>
              <w:t xml:space="preserve">(95% </w:t>
            </w:r>
            <w:proofErr w:type="gramStart"/>
            <w:r>
              <w:rPr>
                <w:lang w:val="en-US"/>
              </w:rPr>
              <w:t>CI)*</w:t>
            </w:r>
            <w:proofErr w:type="gramEnd"/>
          </w:p>
        </w:tc>
      </w:tr>
      <w:tr w:rsidR="008A3EC8" w14:paraId="08AD948F" w14:textId="77777777" w:rsidTr="003C3B7F">
        <w:tc>
          <w:tcPr>
            <w:tcW w:w="1127" w:type="dxa"/>
            <w:vMerge/>
            <w:vAlign w:val="center"/>
          </w:tcPr>
          <w:p w14:paraId="6D120D53" w14:textId="6E007435" w:rsidR="008A3EC8" w:rsidRDefault="008A3EC8" w:rsidP="000A640E">
            <w:pPr>
              <w:jc w:val="center"/>
              <w:rPr>
                <w:lang w:val="en-US"/>
              </w:rPr>
            </w:pPr>
          </w:p>
        </w:tc>
        <w:tc>
          <w:tcPr>
            <w:tcW w:w="1127" w:type="dxa"/>
            <w:vAlign w:val="center"/>
          </w:tcPr>
          <w:p w14:paraId="3AC28C92" w14:textId="77777777" w:rsidR="008A3EC8" w:rsidRDefault="008A3EC8" w:rsidP="000A640E">
            <w:pPr>
              <w:jc w:val="center"/>
              <w:rPr>
                <w:lang w:val="en-US"/>
              </w:rPr>
            </w:pPr>
            <w:r>
              <w:rPr>
                <w:lang w:val="en-US"/>
              </w:rPr>
              <w:t>Subjects</w:t>
            </w:r>
          </w:p>
          <w:p w14:paraId="68960E87" w14:textId="54979A66" w:rsidR="008A3EC8" w:rsidRDefault="008A3EC8" w:rsidP="000A640E">
            <w:pPr>
              <w:jc w:val="center"/>
              <w:rPr>
                <w:lang w:val="en-US"/>
              </w:rPr>
            </w:pPr>
            <w:r>
              <w:rPr>
                <w:lang w:val="en-US"/>
              </w:rPr>
              <w:t>N</w:t>
            </w:r>
          </w:p>
        </w:tc>
        <w:tc>
          <w:tcPr>
            <w:tcW w:w="1127" w:type="dxa"/>
            <w:vAlign w:val="center"/>
          </w:tcPr>
          <w:p w14:paraId="06401FA5" w14:textId="447F5299" w:rsidR="008A3EC8" w:rsidRDefault="008A3EC8" w:rsidP="000A640E">
            <w:pPr>
              <w:jc w:val="center"/>
              <w:rPr>
                <w:lang w:val="en-US"/>
              </w:rPr>
            </w:pPr>
            <w:r>
              <w:rPr>
                <w:lang w:val="en-US"/>
              </w:rPr>
              <w:t>COVID-19 cases</w:t>
            </w:r>
          </w:p>
          <w:p w14:paraId="5FB8481A" w14:textId="650AB85C" w:rsidR="008A3EC8" w:rsidRDefault="008A3EC8" w:rsidP="000A640E">
            <w:pPr>
              <w:jc w:val="center"/>
              <w:rPr>
                <w:lang w:val="en-US"/>
              </w:rPr>
            </w:pPr>
            <w:r>
              <w:rPr>
                <w:lang w:val="en-US"/>
              </w:rPr>
              <w:t>N</w:t>
            </w:r>
          </w:p>
        </w:tc>
        <w:tc>
          <w:tcPr>
            <w:tcW w:w="1127" w:type="dxa"/>
            <w:vAlign w:val="center"/>
          </w:tcPr>
          <w:p w14:paraId="3BB2FF56" w14:textId="3596103D" w:rsidR="008A3EC8" w:rsidRDefault="008A3EC8" w:rsidP="000A640E">
            <w:pPr>
              <w:jc w:val="center"/>
              <w:rPr>
                <w:lang w:val="en-US"/>
              </w:rPr>
            </w:pPr>
            <w:r>
              <w:rPr>
                <w:lang w:val="en-US"/>
              </w:rPr>
              <w:t>Incidence rate of COVID-19 per 1000 person-years</w:t>
            </w:r>
          </w:p>
        </w:tc>
        <w:tc>
          <w:tcPr>
            <w:tcW w:w="1127" w:type="dxa"/>
            <w:vAlign w:val="center"/>
          </w:tcPr>
          <w:p w14:paraId="2B42C9CB" w14:textId="77777777" w:rsidR="008A3EC8" w:rsidRDefault="008A3EC8" w:rsidP="000A640E">
            <w:pPr>
              <w:jc w:val="center"/>
              <w:rPr>
                <w:lang w:val="en-US"/>
              </w:rPr>
            </w:pPr>
            <w:r>
              <w:rPr>
                <w:lang w:val="en-US"/>
              </w:rPr>
              <w:t>Subjects</w:t>
            </w:r>
          </w:p>
          <w:p w14:paraId="5CFA63AD" w14:textId="3C4441E5" w:rsidR="008A3EC8" w:rsidRDefault="008A3EC8" w:rsidP="000A640E">
            <w:pPr>
              <w:jc w:val="center"/>
              <w:rPr>
                <w:lang w:val="en-US"/>
              </w:rPr>
            </w:pPr>
            <w:r>
              <w:rPr>
                <w:lang w:val="en-US"/>
              </w:rPr>
              <w:t>N</w:t>
            </w:r>
          </w:p>
        </w:tc>
        <w:tc>
          <w:tcPr>
            <w:tcW w:w="1127" w:type="dxa"/>
            <w:vAlign w:val="center"/>
          </w:tcPr>
          <w:p w14:paraId="01AFDA3F" w14:textId="58F9CD79" w:rsidR="008A3EC8" w:rsidRDefault="008A3EC8" w:rsidP="000A640E">
            <w:pPr>
              <w:jc w:val="center"/>
              <w:rPr>
                <w:lang w:val="en-US"/>
              </w:rPr>
            </w:pPr>
            <w:r>
              <w:rPr>
                <w:lang w:val="en-US"/>
              </w:rPr>
              <w:t>COVIV-19 cases</w:t>
            </w:r>
          </w:p>
          <w:p w14:paraId="0CCED119" w14:textId="52544A13" w:rsidR="008A3EC8" w:rsidRDefault="008A3EC8" w:rsidP="000A640E">
            <w:pPr>
              <w:jc w:val="center"/>
              <w:rPr>
                <w:lang w:val="en-US"/>
              </w:rPr>
            </w:pPr>
            <w:r>
              <w:rPr>
                <w:lang w:val="en-US"/>
              </w:rPr>
              <w:t>N</w:t>
            </w:r>
          </w:p>
        </w:tc>
        <w:tc>
          <w:tcPr>
            <w:tcW w:w="1127" w:type="dxa"/>
            <w:vAlign w:val="center"/>
          </w:tcPr>
          <w:p w14:paraId="7538591C" w14:textId="6EE8102E" w:rsidR="008A3EC8" w:rsidRDefault="008A3EC8" w:rsidP="000A640E">
            <w:pPr>
              <w:jc w:val="center"/>
              <w:rPr>
                <w:lang w:val="en-US"/>
              </w:rPr>
            </w:pPr>
            <w:r>
              <w:rPr>
                <w:lang w:val="en-US"/>
              </w:rPr>
              <w:t>Incidence rate of COVID-19 per 1000 person-years</w:t>
            </w:r>
          </w:p>
        </w:tc>
        <w:tc>
          <w:tcPr>
            <w:tcW w:w="1127" w:type="dxa"/>
            <w:vMerge/>
            <w:vAlign w:val="center"/>
          </w:tcPr>
          <w:p w14:paraId="0DBF8DBF" w14:textId="3E580CA4" w:rsidR="008A3EC8" w:rsidRDefault="008A3EC8" w:rsidP="000A640E">
            <w:pPr>
              <w:jc w:val="center"/>
              <w:rPr>
                <w:lang w:val="en-US"/>
              </w:rPr>
            </w:pPr>
          </w:p>
        </w:tc>
      </w:tr>
      <w:tr w:rsidR="00597DA5" w14:paraId="52BE7ECF" w14:textId="77777777" w:rsidTr="000A640E">
        <w:tc>
          <w:tcPr>
            <w:tcW w:w="1127" w:type="dxa"/>
          </w:tcPr>
          <w:p w14:paraId="3D00D198" w14:textId="77777777" w:rsidR="00597DA5" w:rsidRDefault="00597DA5" w:rsidP="00597DA5">
            <w:pPr>
              <w:rPr>
                <w:lang w:val="en-US"/>
              </w:rPr>
            </w:pPr>
            <w:r>
              <w:rPr>
                <w:lang w:val="en-US"/>
              </w:rPr>
              <w:t>Overall</w:t>
            </w:r>
          </w:p>
          <w:p w14:paraId="0628DFF6" w14:textId="5413C31E" w:rsidR="00597DA5" w:rsidRDefault="00597DA5" w:rsidP="00597DA5">
            <w:pPr>
              <w:rPr>
                <w:lang w:val="en-US"/>
              </w:rPr>
            </w:pPr>
            <w:r>
              <w:rPr>
                <w:lang w:val="en-US"/>
              </w:rPr>
              <w:t>(</w:t>
            </w:r>
            <w:r>
              <w:rPr>
                <w:rFonts w:cstheme="minorHAnsi"/>
                <w:lang w:val="en-US"/>
              </w:rPr>
              <w:t>≥</w:t>
            </w:r>
            <w:r>
              <w:rPr>
                <w:lang w:val="en-US"/>
              </w:rPr>
              <w:t>18)</w:t>
            </w:r>
          </w:p>
        </w:tc>
        <w:tc>
          <w:tcPr>
            <w:tcW w:w="1127" w:type="dxa"/>
          </w:tcPr>
          <w:p w14:paraId="692481B5" w14:textId="032343B2" w:rsidR="00597DA5" w:rsidRDefault="00597DA5" w:rsidP="000A640E">
            <w:pPr>
              <w:jc w:val="center"/>
              <w:rPr>
                <w:lang w:val="en-US"/>
              </w:rPr>
            </w:pPr>
            <w:r>
              <w:rPr>
                <w:lang w:val="en-US"/>
              </w:rPr>
              <w:t>14,134</w:t>
            </w:r>
          </w:p>
        </w:tc>
        <w:tc>
          <w:tcPr>
            <w:tcW w:w="1127" w:type="dxa"/>
          </w:tcPr>
          <w:p w14:paraId="3890F670" w14:textId="4BF7BB10" w:rsidR="00597DA5" w:rsidRDefault="00597DA5" w:rsidP="000A640E">
            <w:pPr>
              <w:jc w:val="center"/>
              <w:rPr>
                <w:lang w:val="en-US"/>
              </w:rPr>
            </w:pPr>
            <w:r>
              <w:rPr>
                <w:lang w:val="en-US"/>
              </w:rPr>
              <w:t>11</w:t>
            </w:r>
          </w:p>
        </w:tc>
        <w:tc>
          <w:tcPr>
            <w:tcW w:w="1127" w:type="dxa"/>
          </w:tcPr>
          <w:p w14:paraId="2C4AFFEE" w14:textId="72BB3D4A" w:rsidR="00597DA5" w:rsidRDefault="00597DA5" w:rsidP="000A640E">
            <w:pPr>
              <w:jc w:val="center"/>
              <w:rPr>
                <w:lang w:val="en-US"/>
              </w:rPr>
            </w:pPr>
            <w:r>
              <w:rPr>
                <w:lang w:val="en-US"/>
              </w:rPr>
              <w:t>3.328</w:t>
            </w:r>
          </w:p>
        </w:tc>
        <w:tc>
          <w:tcPr>
            <w:tcW w:w="1127" w:type="dxa"/>
          </w:tcPr>
          <w:p w14:paraId="54490DC0" w14:textId="6EC2A95A" w:rsidR="00597DA5" w:rsidRDefault="00597DA5" w:rsidP="000A640E">
            <w:pPr>
              <w:jc w:val="center"/>
              <w:rPr>
                <w:lang w:val="en-US"/>
              </w:rPr>
            </w:pPr>
            <w:r>
              <w:rPr>
                <w:lang w:val="en-US"/>
              </w:rPr>
              <w:t>14,073</w:t>
            </w:r>
          </w:p>
        </w:tc>
        <w:tc>
          <w:tcPr>
            <w:tcW w:w="1127" w:type="dxa"/>
          </w:tcPr>
          <w:p w14:paraId="11A152BF" w14:textId="20E17A06" w:rsidR="00597DA5" w:rsidRDefault="00597DA5" w:rsidP="000A640E">
            <w:pPr>
              <w:jc w:val="center"/>
              <w:rPr>
                <w:lang w:val="en-US"/>
              </w:rPr>
            </w:pPr>
            <w:r>
              <w:rPr>
                <w:lang w:val="en-US"/>
              </w:rPr>
              <w:t>185</w:t>
            </w:r>
          </w:p>
        </w:tc>
        <w:tc>
          <w:tcPr>
            <w:tcW w:w="1127" w:type="dxa"/>
          </w:tcPr>
          <w:p w14:paraId="74F0349D" w14:textId="575FA1B6" w:rsidR="00597DA5" w:rsidRDefault="00597DA5" w:rsidP="000A640E">
            <w:pPr>
              <w:jc w:val="center"/>
              <w:rPr>
                <w:lang w:val="en-US"/>
              </w:rPr>
            </w:pPr>
            <w:r>
              <w:rPr>
                <w:lang w:val="en-US"/>
              </w:rPr>
              <w:t>56.510</w:t>
            </w:r>
          </w:p>
        </w:tc>
        <w:tc>
          <w:tcPr>
            <w:tcW w:w="1127" w:type="dxa"/>
          </w:tcPr>
          <w:p w14:paraId="5DAA8632" w14:textId="77777777" w:rsidR="00597DA5" w:rsidRDefault="00597DA5" w:rsidP="000A640E">
            <w:pPr>
              <w:jc w:val="center"/>
              <w:rPr>
                <w:lang w:val="en-US"/>
              </w:rPr>
            </w:pPr>
            <w:r>
              <w:rPr>
                <w:lang w:val="en-US"/>
              </w:rPr>
              <w:t>94.1</w:t>
            </w:r>
          </w:p>
          <w:p w14:paraId="3E1F52F6" w14:textId="2E2A8DAE" w:rsidR="00597DA5" w:rsidRDefault="00597DA5" w:rsidP="000A640E">
            <w:pPr>
              <w:jc w:val="center"/>
              <w:rPr>
                <w:lang w:val="en-US"/>
              </w:rPr>
            </w:pPr>
            <w:r>
              <w:rPr>
                <w:lang w:val="en-US"/>
              </w:rPr>
              <w:t xml:space="preserve">(89.3, </w:t>
            </w:r>
            <w:proofErr w:type="gramStart"/>
            <w:r>
              <w:rPr>
                <w:lang w:val="en-US"/>
              </w:rPr>
              <w:t>96.8)*</w:t>
            </w:r>
            <w:proofErr w:type="gramEnd"/>
            <w:r>
              <w:rPr>
                <w:lang w:val="en-US"/>
              </w:rPr>
              <w:t>*</w:t>
            </w:r>
          </w:p>
        </w:tc>
      </w:tr>
      <w:tr w:rsidR="00597DA5" w14:paraId="737D147E" w14:textId="77777777" w:rsidTr="000A640E">
        <w:tc>
          <w:tcPr>
            <w:tcW w:w="1127" w:type="dxa"/>
          </w:tcPr>
          <w:p w14:paraId="7113A410" w14:textId="41952D0F" w:rsidR="00597DA5" w:rsidRDefault="00597DA5" w:rsidP="00597DA5">
            <w:pPr>
              <w:rPr>
                <w:lang w:val="en-US"/>
              </w:rPr>
            </w:pPr>
            <w:r>
              <w:rPr>
                <w:lang w:val="en-US"/>
              </w:rPr>
              <w:t>18 to &lt;65</w:t>
            </w:r>
          </w:p>
        </w:tc>
        <w:tc>
          <w:tcPr>
            <w:tcW w:w="1127" w:type="dxa"/>
          </w:tcPr>
          <w:p w14:paraId="1989E3FD" w14:textId="253FBF0D" w:rsidR="00597DA5" w:rsidRDefault="00597DA5" w:rsidP="000A640E">
            <w:pPr>
              <w:jc w:val="center"/>
              <w:rPr>
                <w:lang w:val="en-US"/>
              </w:rPr>
            </w:pPr>
            <w:r>
              <w:rPr>
                <w:lang w:val="en-US"/>
              </w:rPr>
              <w:t>10,551</w:t>
            </w:r>
          </w:p>
        </w:tc>
        <w:tc>
          <w:tcPr>
            <w:tcW w:w="1127" w:type="dxa"/>
          </w:tcPr>
          <w:p w14:paraId="59FC2338" w14:textId="19911138" w:rsidR="00597DA5" w:rsidRDefault="00597DA5" w:rsidP="000A640E">
            <w:pPr>
              <w:jc w:val="center"/>
              <w:rPr>
                <w:lang w:val="en-US"/>
              </w:rPr>
            </w:pPr>
            <w:r>
              <w:rPr>
                <w:lang w:val="en-US"/>
              </w:rPr>
              <w:t>7</w:t>
            </w:r>
          </w:p>
        </w:tc>
        <w:tc>
          <w:tcPr>
            <w:tcW w:w="1127" w:type="dxa"/>
          </w:tcPr>
          <w:p w14:paraId="38E01208" w14:textId="32621C2B" w:rsidR="00597DA5" w:rsidRDefault="00597DA5" w:rsidP="000A640E">
            <w:pPr>
              <w:jc w:val="center"/>
              <w:rPr>
                <w:lang w:val="en-US"/>
              </w:rPr>
            </w:pPr>
            <w:r>
              <w:rPr>
                <w:lang w:val="en-US"/>
              </w:rPr>
              <w:t>2.875</w:t>
            </w:r>
          </w:p>
        </w:tc>
        <w:tc>
          <w:tcPr>
            <w:tcW w:w="1127" w:type="dxa"/>
          </w:tcPr>
          <w:p w14:paraId="07208BF6" w14:textId="4BBF1C57" w:rsidR="00597DA5" w:rsidRDefault="00597DA5" w:rsidP="000A640E">
            <w:pPr>
              <w:jc w:val="center"/>
              <w:rPr>
                <w:lang w:val="en-US"/>
              </w:rPr>
            </w:pPr>
            <w:r>
              <w:rPr>
                <w:lang w:val="en-US"/>
              </w:rPr>
              <w:t>10.521</w:t>
            </w:r>
          </w:p>
        </w:tc>
        <w:tc>
          <w:tcPr>
            <w:tcW w:w="1127" w:type="dxa"/>
          </w:tcPr>
          <w:p w14:paraId="06A601AF" w14:textId="10898869" w:rsidR="00597DA5" w:rsidRDefault="00597DA5" w:rsidP="000A640E">
            <w:pPr>
              <w:jc w:val="center"/>
              <w:rPr>
                <w:lang w:val="en-US"/>
              </w:rPr>
            </w:pPr>
            <w:r>
              <w:rPr>
                <w:lang w:val="en-US"/>
              </w:rPr>
              <w:t>156</w:t>
            </w:r>
          </w:p>
        </w:tc>
        <w:tc>
          <w:tcPr>
            <w:tcW w:w="1127" w:type="dxa"/>
          </w:tcPr>
          <w:p w14:paraId="299B5B96" w14:textId="0E12DCEC" w:rsidR="00597DA5" w:rsidRDefault="00597DA5" w:rsidP="000A640E">
            <w:pPr>
              <w:jc w:val="center"/>
              <w:rPr>
                <w:lang w:val="en-US"/>
              </w:rPr>
            </w:pPr>
            <w:r>
              <w:rPr>
                <w:lang w:val="en-US"/>
              </w:rPr>
              <w:t>64.625</w:t>
            </w:r>
          </w:p>
        </w:tc>
        <w:tc>
          <w:tcPr>
            <w:tcW w:w="1127" w:type="dxa"/>
          </w:tcPr>
          <w:p w14:paraId="227E6B67" w14:textId="77777777" w:rsidR="00597DA5" w:rsidRDefault="00597DA5" w:rsidP="000A640E">
            <w:pPr>
              <w:jc w:val="center"/>
              <w:rPr>
                <w:lang w:val="en-US"/>
              </w:rPr>
            </w:pPr>
            <w:r>
              <w:rPr>
                <w:lang w:val="en-US"/>
              </w:rPr>
              <w:t>95.6</w:t>
            </w:r>
          </w:p>
          <w:p w14:paraId="48154822" w14:textId="53A1E23B" w:rsidR="00597DA5" w:rsidRDefault="00597DA5" w:rsidP="000A640E">
            <w:pPr>
              <w:jc w:val="center"/>
              <w:rPr>
                <w:lang w:val="en-US"/>
              </w:rPr>
            </w:pPr>
            <w:r>
              <w:rPr>
                <w:lang w:val="en-US"/>
              </w:rPr>
              <w:t>(90.6, 97.9)</w:t>
            </w:r>
          </w:p>
        </w:tc>
      </w:tr>
      <w:tr w:rsidR="00597DA5" w14:paraId="66C14635" w14:textId="77777777" w:rsidTr="000A640E">
        <w:tc>
          <w:tcPr>
            <w:tcW w:w="1127" w:type="dxa"/>
          </w:tcPr>
          <w:p w14:paraId="2088254E" w14:textId="2D3F4B7F" w:rsidR="00597DA5" w:rsidRDefault="00597DA5" w:rsidP="00597DA5">
            <w:pPr>
              <w:rPr>
                <w:lang w:val="en-US"/>
              </w:rPr>
            </w:pPr>
            <w:r>
              <w:rPr>
                <w:rFonts w:cstheme="minorHAnsi"/>
                <w:lang w:val="en-US"/>
              </w:rPr>
              <w:t>≥</w:t>
            </w:r>
            <w:r>
              <w:rPr>
                <w:lang w:val="en-US"/>
              </w:rPr>
              <w:t>65</w:t>
            </w:r>
          </w:p>
        </w:tc>
        <w:tc>
          <w:tcPr>
            <w:tcW w:w="1127" w:type="dxa"/>
          </w:tcPr>
          <w:p w14:paraId="220BDACF" w14:textId="079187EC" w:rsidR="00597DA5" w:rsidRDefault="00597DA5" w:rsidP="000A640E">
            <w:pPr>
              <w:jc w:val="center"/>
              <w:rPr>
                <w:lang w:val="en-US"/>
              </w:rPr>
            </w:pPr>
            <w:r>
              <w:rPr>
                <w:lang w:val="en-US"/>
              </w:rPr>
              <w:t>3,583</w:t>
            </w:r>
          </w:p>
        </w:tc>
        <w:tc>
          <w:tcPr>
            <w:tcW w:w="1127" w:type="dxa"/>
          </w:tcPr>
          <w:p w14:paraId="3BD5F6E4" w14:textId="75181218" w:rsidR="00597DA5" w:rsidRDefault="00597DA5" w:rsidP="000A640E">
            <w:pPr>
              <w:jc w:val="center"/>
              <w:rPr>
                <w:lang w:val="en-US"/>
              </w:rPr>
            </w:pPr>
            <w:r>
              <w:rPr>
                <w:lang w:val="en-US"/>
              </w:rPr>
              <w:t>4</w:t>
            </w:r>
          </w:p>
        </w:tc>
        <w:tc>
          <w:tcPr>
            <w:tcW w:w="1127" w:type="dxa"/>
          </w:tcPr>
          <w:p w14:paraId="1A6D4B71" w14:textId="3178C2D5" w:rsidR="00597DA5" w:rsidRDefault="00597DA5" w:rsidP="000A640E">
            <w:pPr>
              <w:jc w:val="center"/>
              <w:rPr>
                <w:lang w:val="en-US"/>
              </w:rPr>
            </w:pPr>
            <w:r>
              <w:rPr>
                <w:lang w:val="en-US"/>
              </w:rPr>
              <w:t>4.595</w:t>
            </w:r>
          </w:p>
        </w:tc>
        <w:tc>
          <w:tcPr>
            <w:tcW w:w="1127" w:type="dxa"/>
          </w:tcPr>
          <w:p w14:paraId="6DF3F3E2" w14:textId="07D1743F" w:rsidR="00597DA5" w:rsidRDefault="00597DA5" w:rsidP="000A640E">
            <w:pPr>
              <w:jc w:val="center"/>
              <w:rPr>
                <w:lang w:val="en-US"/>
              </w:rPr>
            </w:pPr>
            <w:r>
              <w:rPr>
                <w:lang w:val="en-US"/>
              </w:rPr>
              <w:t>3,552</w:t>
            </w:r>
          </w:p>
        </w:tc>
        <w:tc>
          <w:tcPr>
            <w:tcW w:w="1127" w:type="dxa"/>
          </w:tcPr>
          <w:p w14:paraId="42E00A08" w14:textId="0EC0DC03" w:rsidR="00597DA5" w:rsidRDefault="00597DA5" w:rsidP="000A640E">
            <w:pPr>
              <w:jc w:val="center"/>
              <w:rPr>
                <w:lang w:val="en-US"/>
              </w:rPr>
            </w:pPr>
            <w:r>
              <w:rPr>
                <w:lang w:val="en-US"/>
              </w:rPr>
              <w:t>29</w:t>
            </w:r>
          </w:p>
        </w:tc>
        <w:tc>
          <w:tcPr>
            <w:tcW w:w="1127" w:type="dxa"/>
          </w:tcPr>
          <w:p w14:paraId="27EDA229" w14:textId="60B879ED" w:rsidR="00597DA5" w:rsidRDefault="00597DA5" w:rsidP="000A640E">
            <w:pPr>
              <w:jc w:val="center"/>
              <w:rPr>
                <w:lang w:val="en-US"/>
              </w:rPr>
            </w:pPr>
            <w:r>
              <w:rPr>
                <w:lang w:val="en-US"/>
              </w:rPr>
              <w:t>33.728</w:t>
            </w:r>
          </w:p>
        </w:tc>
        <w:tc>
          <w:tcPr>
            <w:tcW w:w="1127" w:type="dxa"/>
          </w:tcPr>
          <w:p w14:paraId="6272BCC9" w14:textId="3AA1E4EB" w:rsidR="00597DA5" w:rsidRDefault="00597DA5" w:rsidP="000A640E">
            <w:pPr>
              <w:jc w:val="center"/>
              <w:rPr>
                <w:lang w:val="en-US"/>
              </w:rPr>
            </w:pPr>
            <w:r>
              <w:rPr>
                <w:lang w:val="en-US"/>
              </w:rPr>
              <w:t>86.4 (61.4, 95.2)</w:t>
            </w:r>
          </w:p>
        </w:tc>
      </w:tr>
      <w:tr w:rsidR="00597DA5" w14:paraId="374DB466" w14:textId="77777777" w:rsidTr="000A640E">
        <w:tc>
          <w:tcPr>
            <w:tcW w:w="1127" w:type="dxa"/>
          </w:tcPr>
          <w:p w14:paraId="1FAF3B45" w14:textId="647BB032" w:rsidR="00597DA5" w:rsidRDefault="00597DA5" w:rsidP="00597DA5">
            <w:pPr>
              <w:rPr>
                <w:lang w:val="en-US"/>
              </w:rPr>
            </w:pPr>
            <w:r>
              <w:rPr>
                <w:rFonts w:cstheme="minorHAnsi"/>
                <w:lang w:val="en-US"/>
              </w:rPr>
              <w:t>≥</w:t>
            </w:r>
            <w:r>
              <w:rPr>
                <w:lang w:val="en-US"/>
              </w:rPr>
              <w:t>65 to &lt;75</w:t>
            </w:r>
          </w:p>
        </w:tc>
        <w:tc>
          <w:tcPr>
            <w:tcW w:w="1127" w:type="dxa"/>
          </w:tcPr>
          <w:p w14:paraId="20817BA4" w14:textId="0435E2C9" w:rsidR="00597DA5" w:rsidRDefault="00597DA5" w:rsidP="000A640E">
            <w:pPr>
              <w:jc w:val="center"/>
              <w:rPr>
                <w:lang w:val="en-US"/>
              </w:rPr>
            </w:pPr>
            <w:r>
              <w:rPr>
                <w:lang w:val="en-US"/>
              </w:rPr>
              <w:t>2,953</w:t>
            </w:r>
          </w:p>
        </w:tc>
        <w:tc>
          <w:tcPr>
            <w:tcW w:w="1127" w:type="dxa"/>
          </w:tcPr>
          <w:p w14:paraId="2271178D" w14:textId="2249E1B5" w:rsidR="00597DA5" w:rsidRDefault="00597DA5" w:rsidP="000A640E">
            <w:pPr>
              <w:jc w:val="center"/>
              <w:rPr>
                <w:lang w:val="en-US"/>
              </w:rPr>
            </w:pPr>
            <w:r>
              <w:rPr>
                <w:lang w:val="en-US"/>
              </w:rPr>
              <w:t>4</w:t>
            </w:r>
          </w:p>
        </w:tc>
        <w:tc>
          <w:tcPr>
            <w:tcW w:w="1127" w:type="dxa"/>
          </w:tcPr>
          <w:p w14:paraId="67A12EF2" w14:textId="2945880E" w:rsidR="00597DA5" w:rsidRDefault="00597DA5" w:rsidP="000A640E">
            <w:pPr>
              <w:jc w:val="center"/>
              <w:rPr>
                <w:lang w:val="en-US"/>
              </w:rPr>
            </w:pPr>
            <w:r>
              <w:rPr>
                <w:lang w:val="en-US"/>
              </w:rPr>
              <w:t>5.586</w:t>
            </w:r>
          </w:p>
        </w:tc>
        <w:tc>
          <w:tcPr>
            <w:tcW w:w="1127" w:type="dxa"/>
          </w:tcPr>
          <w:p w14:paraId="2D92F8FE" w14:textId="3FF7C70B" w:rsidR="00597DA5" w:rsidRDefault="00597DA5" w:rsidP="000A640E">
            <w:pPr>
              <w:jc w:val="center"/>
              <w:rPr>
                <w:lang w:val="en-US"/>
              </w:rPr>
            </w:pPr>
            <w:r>
              <w:rPr>
                <w:lang w:val="en-US"/>
              </w:rPr>
              <w:t>2,864</w:t>
            </w:r>
          </w:p>
        </w:tc>
        <w:tc>
          <w:tcPr>
            <w:tcW w:w="1127" w:type="dxa"/>
          </w:tcPr>
          <w:p w14:paraId="7A670482" w14:textId="354B963A" w:rsidR="00597DA5" w:rsidRDefault="00597DA5" w:rsidP="000A640E">
            <w:pPr>
              <w:jc w:val="center"/>
              <w:rPr>
                <w:lang w:val="en-US"/>
              </w:rPr>
            </w:pPr>
            <w:r>
              <w:rPr>
                <w:lang w:val="en-US"/>
              </w:rPr>
              <w:t>22</w:t>
            </w:r>
          </w:p>
        </w:tc>
        <w:tc>
          <w:tcPr>
            <w:tcW w:w="1127" w:type="dxa"/>
          </w:tcPr>
          <w:p w14:paraId="5D24E011" w14:textId="185A0B09" w:rsidR="00597DA5" w:rsidRDefault="00597DA5" w:rsidP="000A640E">
            <w:pPr>
              <w:jc w:val="center"/>
              <w:rPr>
                <w:lang w:val="en-US"/>
              </w:rPr>
            </w:pPr>
            <w:r>
              <w:rPr>
                <w:lang w:val="en-US"/>
              </w:rPr>
              <w:t>31.744</w:t>
            </w:r>
          </w:p>
        </w:tc>
        <w:tc>
          <w:tcPr>
            <w:tcW w:w="1127" w:type="dxa"/>
          </w:tcPr>
          <w:p w14:paraId="6AB4DB4B" w14:textId="21C509BC" w:rsidR="00597DA5" w:rsidRDefault="00597DA5" w:rsidP="000A640E">
            <w:pPr>
              <w:jc w:val="center"/>
              <w:rPr>
                <w:lang w:val="en-US"/>
              </w:rPr>
            </w:pPr>
            <w:r>
              <w:rPr>
                <w:lang w:val="en-US"/>
              </w:rPr>
              <w:t>82.4% (48.6, 93.9)</w:t>
            </w:r>
          </w:p>
        </w:tc>
      </w:tr>
      <w:tr w:rsidR="00597DA5" w14:paraId="3156BAF6" w14:textId="77777777" w:rsidTr="000A640E">
        <w:tc>
          <w:tcPr>
            <w:tcW w:w="1127" w:type="dxa"/>
          </w:tcPr>
          <w:p w14:paraId="3B0E72F7" w14:textId="742C7F83" w:rsidR="00597DA5" w:rsidRDefault="00597DA5" w:rsidP="00597DA5">
            <w:pPr>
              <w:rPr>
                <w:lang w:val="en-US"/>
              </w:rPr>
            </w:pPr>
            <w:r>
              <w:rPr>
                <w:rFonts w:cstheme="minorHAnsi"/>
                <w:lang w:val="en-US"/>
              </w:rPr>
              <w:t>≥</w:t>
            </w:r>
            <w:r>
              <w:rPr>
                <w:lang w:val="en-US"/>
              </w:rPr>
              <w:t>75</w:t>
            </w:r>
          </w:p>
        </w:tc>
        <w:tc>
          <w:tcPr>
            <w:tcW w:w="1127" w:type="dxa"/>
          </w:tcPr>
          <w:p w14:paraId="345D3344" w14:textId="285A9BF2" w:rsidR="00597DA5" w:rsidRDefault="00597DA5" w:rsidP="000A640E">
            <w:pPr>
              <w:jc w:val="center"/>
              <w:rPr>
                <w:lang w:val="en-US"/>
              </w:rPr>
            </w:pPr>
            <w:r>
              <w:rPr>
                <w:lang w:val="en-US"/>
              </w:rPr>
              <w:t>630</w:t>
            </w:r>
          </w:p>
        </w:tc>
        <w:tc>
          <w:tcPr>
            <w:tcW w:w="1127" w:type="dxa"/>
          </w:tcPr>
          <w:p w14:paraId="768480C1" w14:textId="371D4C89" w:rsidR="00597DA5" w:rsidRDefault="00597DA5" w:rsidP="000A640E">
            <w:pPr>
              <w:jc w:val="center"/>
              <w:rPr>
                <w:lang w:val="en-US"/>
              </w:rPr>
            </w:pPr>
            <w:r>
              <w:rPr>
                <w:lang w:val="en-US"/>
              </w:rPr>
              <w:t>0</w:t>
            </w:r>
          </w:p>
        </w:tc>
        <w:tc>
          <w:tcPr>
            <w:tcW w:w="1127" w:type="dxa"/>
          </w:tcPr>
          <w:p w14:paraId="544C7023" w14:textId="7A0DF164" w:rsidR="00597DA5" w:rsidRDefault="00597DA5" w:rsidP="000A640E">
            <w:pPr>
              <w:jc w:val="center"/>
              <w:rPr>
                <w:lang w:val="en-US"/>
              </w:rPr>
            </w:pPr>
            <w:r>
              <w:rPr>
                <w:lang w:val="en-US"/>
              </w:rPr>
              <w:t>0</w:t>
            </w:r>
          </w:p>
        </w:tc>
        <w:tc>
          <w:tcPr>
            <w:tcW w:w="1127" w:type="dxa"/>
          </w:tcPr>
          <w:p w14:paraId="1376CAA8" w14:textId="6494DE77" w:rsidR="00597DA5" w:rsidRDefault="00597DA5" w:rsidP="000A640E">
            <w:pPr>
              <w:jc w:val="center"/>
              <w:rPr>
                <w:lang w:val="en-US"/>
              </w:rPr>
            </w:pPr>
            <w:r>
              <w:rPr>
                <w:lang w:val="en-US"/>
              </w:rPr>
              <w:t>688</w:t>
            </w:r>
          </w:p>
        </w:tc>
        <w:tc>
          <w:tcPr>
            <w:tcW w:w="1127" w:type="dxa"/>
          </w:tcPr>
          <w:p w14:paraId="4F493DA3" w14:textId="3E2767CD" w:rsidR="00597DA5" w:rsidRDefault="00597DA5" w:rsidP="000A640E">
            <w:pPr>
              <w:jc w:val="center"/>
              <w:rPr>
                <w:lang w:val="en-US"/>
              </w:rPr>
            </w:pPr>
            <w:r>
              <w:rPr>
                <w:lang w:val="en-US"/>
              </w:rPr>
              <w:t>7</w:t>
            </w:r>
          </w:p>
        </w:tc>
        <w:tc>
          <w:tcPr>
            <w:tcW w:w="1127" w:type="dxa"/>
          </w:tcPr>
          <w:p w14:paraId="47CE6F4E" w14:textId="6F697D7C" w:rsidR="00597DA5" w:rsidRDefault="00597DA5" w:rsidP="000A640E">
            <w:pPr>
              <w:jc w:val="center"/>
              <w:rPr>
                <w:lang w:val="en-US"/>
              </w:rPr>
            </w:pPr>
            <w:r>
              <w:rPr>
                <w:lang w:val="en-US"/>
              </w:rPr>
              <w:t>41.968</w:t>
            </w:r>
          </w:p>
        </w:tc>
        <w:tc>
          <w:tcPr>
            <w:tcW w:w="1127" w:type="dxa"/>
          </w:tcPr>
          <w:p w14:paraId="6B602018" w14:textId="6EE1ABC8" w:rsidR="00597DA5" w:rsidRDefault="00597DA5" w:rsidP="000A640E">
            <w:pPr>
              <w:jc w:val="center"/>
              <w:rPr>
                <w:lang w:val="en-US"/>
              </w:rPr>
            </w:pPr>
            <w:r>
              <w:rPr>
                <w:lang w:val="en-US"/>
              </w:rPr>
              <w:t>100%</w:t>
            </w:r>
          </w:p>
          <w:p w14:paraId="5590DC0D" w14:textId="716E5962" w:rsidR="00597DA5" w:rsidRDefault="00597DA5" w:rsidP="000A640E">
            <w:pPr>
              <w:jc w:val="center"/>
              <w:rPr>
                <w:lang w:val="en-US"/>
              </w:rPr>
            </w:pPr>
            <w:r>
              <w:rPr>
                <w:lang w:val="en-US"/>
              </w:rPr>
              <w:t>(NE, 100)</w:t>
            </w:r>
          </w:p>
        </w:tc>
      </w:tr>
    </w:tbl>
    <w:p w14:paraId="78FF1F52" w14:textId="77777777" w:rsidR="00B40EFA" w:rsidRPr="00AE1A15" w:rsidRDefault="00597DA5" w:rsidP="00DD4BE6">
      <w:pPr>
        <w:spacing w:after="0" w:line="240" w:lineRule="auto"/>
        <w:rPr>
          <w:sz w:val="18"/>
          <w:szCs w:val="18"/>
        </w:rPr>
      </w:pPr>
      <w:r w:rsidRPr="00AE1A15">
        <w:rPr>
          <w:sz w:val="18"/>
          <w:szCs w:val="18"/>
        </w:rPr>
        <w:t xml:space="preserve"># COVID-19: symptomatic COVID-19 requiring positive RT-PCR result and at least 2 systemic symptoms or 1 respiratory symptom. Cases starting 14 days after the 2nd dose. </w:t>
      </w:r>
    </w:p>
    <w:p w14:paraId="470C10AB" w14:textId="3BFB7C34" w:rsidR="00597DA5" w:rsidRPr="00AE1A15" w:rsidRDefault="00597DA5" w:rsidP="00187642">
      <w:pPr>
        <w:spacing w:after="0" w:line="240" w:lineRule="auto"/>
        <w:rPr>
          <w:sz w:val="18"/>
          <w:szCs w:val="18"/>
        </w:rPr>
      </w:pPr>
      <w:r w:rsidRPr="00AE1A15">
        <w:rPr>
          <w:sz w:val="18"/>
          <w:szCs w:val="18"/>
        </w:rPr>
        <w:t>*Vaccine efficacy and 95% confidence interval (CI) from the stratified Cox proportional hazard model ** CI not adjusted for multiplicity. Multiplicity adjusted statistical analyses were carried out in an interim analysis based on less COVID-19 cases, not reported here.</w:t>
      </w:r>
    </w:p>
    <w:p w14:paraId="39D8AD49" w14:textId="77777777" w:rsidR="00187642" w:rsidRDefault="00187642" w:rsidP="00DD4BE6">
      <w:pPr>
        <w:spacing w:after="0" w:line="240" w:lineRule="auto"/>
      </w:pPr>
    </w:p>
    <w:p w14:paraId="610A46E1" w14:textId="5D4C2209" w:rsidR="00597DA5" w:rsidRDefault="00597DA5" w:rsidP="00597DA5">
      <w:r>
        <w:t xml:space="preserve">Among all subjects in the PPS, no cases of severe COVID-19 were reported in the vaccine group compared with 30 of 185 (16%) cases reported in the placebo group. Of the 30 participants with severe disease, 9 were hospitalised, 2 of which were admitted to an intensive care unit. </w:t>
      </w:r>
      <w:proofErr w:type="gramStart"/>
      <w:r>
        <w:t>The majority of</w:t>
      </w:r>
      <w:proofErr w:type="gramEnd"/>
      <w:r>
        <w:t xml:space="preserve"> the remaining severe cases fulfilled only the oxygen saturation (SpO2) criterion for severe disease (≤ 93% on room air). </w:t>
      </w:r>
    </w:p>
    <w:p w14:paraId="5DEB1D1E" w14:textId="7368C55F" w:rsidR="009352D5" w:rsidRDefault="00597DA5" w:rsidP="00597DA5">
      <w:r>
        <w:t xml:space="preserve">The vaccine efficacy of </w:t>
      </w:r>
      <w:r w:rsidR="005F49F9">
        <w:t>SPIKEVAX</w:t>
      </w:r>
      <w:r>
        <w:t xml:space="preserve"> to prevent COVID-19, regardless of prior SARS-CoV-2 infection (determined by baseline serology and nasopharyngeal swab sample testing) from 14 days after Dose 2 was 93.6% (95% confidence interval 88.5, 96.4%). </w:t>
      </w:r>
    </w:p>
    <w:p w14:paraId="00C735EE" w14:textId="7BD0C2FC" w:rsidR="00597DA5" w:rsidRDefault="00597DA5" w:rsidP="00597DA5">
      <w:r>
        <w:t>Additionally, subgroup analyses of the primary efficacy endpoint showed similar efficacy point estimates across genders, ethnic groups, and participants with medical comorbidities associated with high risk of severe COVID-19.</w:t>
      </w:r>
    </w:p>
    <w:p w14:paraId="1938E5E0" w14:textId="77777777" w:rsidR="00563EAA" w:rsidRPr="001A33BA" w:rsidRDefault="00563EAA" w:rsidP="0051292C">
      <w:pPr>
        <w:pStyle w:val="Heading4"/>
      </w:pPr>
      <w:r w:rsidRPr="001A33BA">
        <w:t>Clinical efficacy in adolescents 12 through 17 years of age</w:t>
      </w:r>
    </w:p>
    <w:p w14:paraId="36D792D9" w14:textId="2AFAB1DC" w:rsidR="00563EAA" w:rsidRPr="00B60F81" w:rsidRDefault="00563EAA" w:rsidP="00563EAA">
      <w:pPr>
        <w:rPr>
          <w:rFonts w:cs="Arial"/>
          <w:bCs/>
        </w:rPr>
      </w:pPr>
      <w:r w:rsidRPr="001A33BA">
        <w:t>Study</w:t>
      </w:r>
      <w:r w:rsidRPr="00B60F81">
        <w:rPr>
          <w:rFonts w:cs="Arial"/>
          <w:bCs/>
        </w:rPr>
        <w:t xml:space="preserve"> </w:t>
      </w:r>
      <w:bookmarkStart w:id="7" w:name="_Hlk80000158"/>
      <w:r w:rsidR="006B19C0">
        <w:rPr>
          <w:rFonts w:cs="Arial"/>
          <w:bCs/>
        </w:rPr>
        <w:t>P203</w:t>
      </w:r>
      <w:bookmarkEnd w:id="7"/>
      <w:r w:rsidRPr="00B60F81">
        <w:rPr>
          <w:rFonts w:cs="Arial"/>
          <w:bCs/>
        </w:rPr>
        <w:t xml:space="preserve"> is an ongoing Phase 2/3 randomi</w:t>
      </w:r>
      <w:r>
        <w:rPr>
          <w:rFonts w:cs="Arial"/>
          <w:bCs/>
        </w:rPr>
        <w:t>s</w:t>
      </w:r>
      <w:r w:rsidRPr="00B60F81">
        <w:rPr>
          <w:rFonts w:cs="Arial"/>
          <w:bCs/>
        </w:rPr>
        <w:t xml:space="preserve">ed, placebo-controlled, observer-blind, clinical </w:t>
      </w:r>
      <w:r>
        <w:rPr>
          <w:rFonts w:cs="Arial"/>
          <w:bCs/>
        </w:rPr>
        <w:t>study</w:t>
      </w:r>
      <w:r w:rsidRPr="00B60F81">
        <w:rPr>
          <w:rFonts w:cs="Arial"/>
          <w:bCs/>
        </w:rPr>
        <w:t xml:space="preserve"> </w:t>
      </w:r>
      <w:r>
        <w:rPr>
          <w:rFonts w:asciiTheme="majorBidi" w:hAnsiTheme="majorBidi" w:cstheme="majorBidi"/>
        </w:rPr>
        <w:t>(</w:t>
      </w:r>
      <w:r w:rsidRPr="004C79A3">
        <w:t>NCT04649151</w:t>
      </w:r>
      <w:r>
        <w:rPr>
          <w:rFonts w:asciiTheme="majorBidi" w:hAnsiTheme="majorBidi" w:cstheme="majorBidi"/>
        </w:rPr>
        <w:t xml:space="preserve">) </w:t>
      </w:r>
      <w:r w:rsidRPr="00B60F81">
        <w:rPr>
          <w:rFonts w:cs="Arial"/>
          <w:bCs/>
        </w:rPr>
        <w:t xml:space="preserve">to evaluate the safety, reactogenicity, and effectiveness of </w:t>
      </w:r>
      <w:r w:rsidR="001C0A66">
        <w:rPr>
          <w:rFonts w:cs="Arial"/>
          <w:bCs/>
        </w:rPr>
        <w:t>SPIKEVAX</w:t>
      </w:r>
      <w:r>
        <w:rPr>
          <w:rFonts w:cs="Arial"/>
          <w:bCs/>
        </w:rPr>
        <w:t xml:space="preserve"> </w:t>
      </w:r>
      <w:r w:rsidRPr="00B60F81">
        <w:rPr>
          <w:rFonts w:cs="Arial"/>
          <w:bCs/>
        </w:rPr>
        <w:t xml:space="preserve">in adolescents </w:t>
      </w:r>
      <w:r w:rsidRPr="001A33BA">
        <w:t>ages</w:t>
      </w:r>
      <w:r w:rsidRPr="00B60F81">
        <w:rPr>
          <w:rFonts w:cs="Arial"/>
          <w:bCs/>
        </w:rPr>
        <w:t xml:space="preserve"> 12 to 17 years in the United States. Participants with a known history of SARS-CoV-2 infection </w:t>
      </w:r>
      <w:r w:rsidRPr="00B60F81">
        <w:rPr>
          <w:rFonts w:cs="Arial"/>
          <w:bCs/>
        </w:rPr>
        <w:lastRenderedPageBreak/>
        <w:t>were excluded from the study. A total of 3,73</w:t>
      </w:r>
      <w:r>
        <w:rPr>
          <w:rFonts w:cs="Arial"/>
          <w:bCs/>
        </w:rPr>
        <w:t>2</w:t>
      </w:r>
      <w:r w:rsidRPr="00B60F81">
        <w:rPr>
          <w:rFonts w:cs="Arial"/>
          <w:bCs/>
        </w:rPr>
        <w:t xml:space="preserve"> participants were randomi</w:t>
      </w:r>
      <w:r>
        <w:rPr>
          <w:rFonts w:cs="Arial"/>
          <w:bCs/>
        </w:rPr>
        <w:t>s</w:t>
      </w:r>
      <w:r w:rsidRPr="00B60F81">
        <w:rPr>
          <w:rFonts w:cs="Arial"/>
          <w:bCs/>
        </w:rPr>
        <w:t xml:space="preserve">ed 2:1 to receive 2 doses of </w:t>
      </w:r>
      <w:r w:rsidR="001C0A66">
        <w:rPr>
          <w:rFonts w:cs="Arial"/>
          <w:bCs/>
        </w:rPr>
        <w:t>SPIKEVAX</w:t>
      </w:r>
      <w:r>
        <w:rPr>
          <w:rFonts w:cs="Arial"/>
          <w:bCs/>
        </w:rPr>
        <w:t xml:space="preserve"> </w:t>
      </w:r>
      <w:r w:rsidRPr="00B60F81">
        <w:rPr>
          <w:rFonts w:cs="Arial"/>
          <w:bCs/>
        </w:rPr>
        <w:t xml:space="preserve">or saline placebo 1 month apart. Participants will be followed for efficacy and safety until 1 year after the second dose. </w:t>
      </w:r>
    </w:p>
    <w:p w14:paraId="07296BD2" w14:textId="64F13C96" w:rsidR="00563EAA" w:rsidRPr="00B60F81" w:rsidRDefault="00563EAA" w:rsidP="00563EAA">
      <w:pPr>
        <w:rPr>
          <w:rFonts w:cs="Arial"/>
          <w:bCs/>
        </w:rPr>
      </w:pPr>
      <w:r w:rsidRPr="00B60F81">
        <w:rPr>
          <w:rFonts w:cs="Arial"/>
          <w:bCs/>
        </w:rPr>
        <w:t>A</w:t>
      </w:r>
      <w:r w:rsidR="0017400E">
        <w:rPr>
          <w:rFonts w:cs="Arial"/>
          <w:bCs/>
        </w:rPr>
        <w:t xml:space="preserve"> secondary</w:t>
      </w:r>
      <w:r>
        <w:rPr>
          <w:rFonts w:cs="Arial"/>
          <w:bCs/>
        </w:rPr>
        <w:t xml:space="preserve"> </w:t>
      </w:r>
      <w:r w:rsidRPr="00B60F81">
        <w:rPr>
          <w:rFonts w:cs="Arial"/>
          <w:bCs/>
        </w:rPr>
        <w:t xml:space="preserve">efficacy analysis was </w:t>
      </w:r>
      <w:r w:rsidRPr="00F34099">
        <w:rPr>
          <w:rFonts w:cs="Arial"/>
          <w:bCs/>
        </w:rPr>
        <w:t>performed in 3,236 participants who received at least Dose 1 of either</w:t>
      </w:r>
      <w:r>
        <w:rPr>
          <w:rFonts w:cs="Arial"/>
          <w:bCs/>
        </w:rPr>
        <w:t xml:space="preserve"> </w:t>
      </w:r>
      <w:r w:rsidR="001C0A66">
        <w:rPr>
          <w:rFonts w:cs="Arial"/>
          <w:bCs/>
        </w:rPr>
        <w:t>SPIKEVAX</w:t>
      </w:r>
      <w:r w:rsidRPr="00F34099">
        <w:rPr>
          <w:rFonts w:cs="Arial"/>
          <w:bCs/>
        </w:rPr>
        <w:t xml:space="preserve"> (n=2,163) or placebo (n=1,073), and had a negative baseline SARS-CoV-2 status (referred to as the modified Intent-to-Treat Set). In the </w:t>
      </w:r>
      <w:proofErr w:type="spellStart"/>
      <w:r w:rsidRPr="00F34099">
        <w:rPr>
          <w:rFonts w:cs="Arial"/>
          <w:bCs/>
        </w:rPr>
        <w:t>mITT</w:t>
      </w:r>
      <w:proofErr w:type="spellEnd"/>
      <w:r w:rsidRPr="00F34099">
        <w:rPr>
          <w:rFonts w:cs="Arial"/>
          <w:bCs/>
        </w:rPr>
        <w:t xml:space="preserve"> set, </w:t>
      </w:r>
      <w:r>
        <w:rPr>
          <w:rFonts w:cs="Arial"/>
          <w:bCs/>
        </w:rPr>
        <w:t>48.5</w:t>
      </w:r>
      <w:r w:rsidRPr="00F34099">
        <w:rPr>
          <w:rFonts w:cs="Arial"/>
          <w:bCs/>
        </w:rPr>
        <w:t xml:space="preserve">% were female, </w:t>
      </w:r>
      <w:r>
        <w:rPr>
          <w:rFonts w:cs="Arial"/>
          <w:bCs/>
        </w:rPr>
        <w:t>11.2</w:t>
      </w:r>
      <w:r w:rsidRPr="00F34099">
        <w:rPr>
          <w:rFonts w:cs="Arial"/>
          <w:bCs/>
        </w:rPr>
        <w:t>% were Hispanic or Latino</w:t>
      </w:r>
      <w:r>
        <w:rPr>
          <w:rFonts w:cs="Arial"/>
          <w:bCs/>
        </w:rPr>
        <w:t>,</w:t>
      </w:r>
      <w:r w:rsidRPr="00F34099">
        <w:rPr>
          <w:rFonts w:cs="Arial"/>
          <w:bCs/>
        </w:rPr>
        <w:t xml:space="preserve"> </w:t>
      </w:r>
      <w:r>
        <w:rPr>
          <w:rFonts w:cs="Arial"/>
          <w:bCs/>
        </w:rPr>
        <w:t>83.9</w:t>
      </w:r>
      <w:r w:rsidRPr="00F34099">
        <w:rPr>
          <w:rFonts w:cs="Arial"/>
          <w:bCs/>
        </w:rPr>
        <w:t xml:space="preserve">% were White, </w:t>
      </w:r>
      <w:r>
        <w:rPr>
          <w:rFonts w:cs="Arial"/>
          <w:bCs/>
        </w:rPr>
        <w:t>2.8</w:t>
      </w:r>
      <w:r w:rsidRPr="00F34099">
        <w:rPr>
          <w:rFonts w:cs="Arial"/>
          <w:bCs/>
        </w:rPr>
        <w:t xml:space="preserve">% were African American, </w:t>
      </w:r>
      <w:r>
        <w:rPr>
          <w:rFonts w:cs="Arial"/>
          <w:bCs/>
        </w:rPr>
        <w:t>6.3</w:t>
      </w:r>
      <w:r w:rsidRPr="00F34099">
        <w:rPr>
          <w:rFonts w:cs="Arial"/>
          <w:bCs/>
        </w:rPr>
        <w:t xml:space="preserve">% were Asian, and </w:t>
      </w:r>
      <w:r>
        <w:rPr>
          <w:rFonts w:cs="Arial"/>
          <w:bCs/>
        </w:rPr>
        <w:t>0.9</w:t>
      </w:r>
      <w:r w:rsidRPr="00F34099">
        <w:rPr>
          <w:rFonts w:cs="Arial"/>
          <w:bCs/>
        </w:rPr>
        <w:t>% other races. Between participants</w:t>
      </w:r>
      <w:r w:rsidRPr="00B60F81">
        <w:rPr>
          <w:rFonts w:cs="Arial"/>
          <w:bCs/>
        </w:rPr>
        <w:t xml:space="preserve"> who received </w:t>
      </w:r>
      <w:r w:rsidR="001C0A66">
        <w:rPr>
          <w:rFonts w:cs="Arial"/>
          <w:bCs/>
        </w:rPr>
        <w:t>SPIKEVAX</w:t>
      </w:r>
      <w:r>
        <w:rPr>
          <w:rFonts w:cs="Arial"/>
          <w:bCs/>
        </w:rPr>
        <w:t xml:space="preserve"> </w:t>
      </w:r>
      <w:r w:rsidRPr="00B60F81">
        <w:rPr>
          <w:rFonts w:cs="Arial"/>
          <w:bCs/>
        </w:rPr>
        <w:t>and those who received placebo, there were no notable differences in demographics or pre-existing medical conditions.</w:t>
      </w:r>
    </w:p>
    <w:p w14:paraId="5B1A1AB9" w14:textId="77777777" w:rsidR="00563EAA" w:rsidRPr="00B60F81" w:rsidRDefault="00563EAA" w:rsidP="00563EAA">
      <w:pPr>
        <w:rPr>
          <w:rFonts w:cs="Arial"/>
          <w:bCs/>
        </w:rPr>
      </w:pPr>
      <w:r w:rsidRPr="001A33BA">
        <w:t>COVID</w:t>
      </w:r>
      <w:r w:rsidRPr="00B60F81">
        <w:rPr>
          <w:rFonts w:cs="Arial"/>
          <w:bCs/>
        </w:rPr>
        <w:t xml:space="preserve">-19 was defined as the presence of at least one symptom from a list of COVID-19 symptoms occurring at least 14 days after Dose 1 </w:t>
      </w:r>
      <w:bookmarkStart w:id="8" w:name="_Hlk70434448"/>
      <w:r w:rsidRPr="00B60F81">
        <w:rPr>
          <w:rFonts w:cs="Arial"/>
          <w:bCs/>
        </w:rPr>
        <w:t xml:space="preserve">and a positive </w:t>
      </w:r>
      <w:r w:rsidRPr="00CB7568">
        <w:rPr>
          <w:shd w:val="clear" w:color="auto" w:fill="FFFFFF"/>
        </w:rPr>
        <w:t>nasopharyngeal</w:t>
      </w:r>
      <w:r>
        <w:rPr>
          <w:shd w:val="clear" w:color="auto" w:fill="FFFFFF"/>
        </w:rPr>
        <w:t xml:space="preserve"> (NP)</w:t>
      </w:r>
      <w:r w:rsidRPr="00B60F81">
        <w:rPr>
          <w:rFonts w:cs="Arial"/>
          <w:bCs/>
        </w:rPr>
        <w:t xml:space="preserve"> swab or saliva sample for SARS-CoV-2 by RT-</w:t>
      </w:r>
      <w:r w:rsidRPr="003B3917">
        <w:rPr>
          <w:rFonts w:cs="Arial"/>
          <w:bCs/>
        </w:rPr>
        <w:t>PCR</w:t>
      </w:r>
      <w:bookmarkEnd w:id="8"/>
      <w:r w:rsidRPr="003B3917">
        <w:rPr>
          <w:rFonts w:cs="Arial"/>
          <w:bCs/>
        </w:rPr>
        <w:t xml:space="preserve"> (</w:t>
      </w:r>
      <w:r w:rsidRPr="00CB7568">
        <w:rPr>
          <w:shd w:val="clear" w:color="auto" w:fill="FFFFFF"/>
        </w:rPr>
        <w:t>reverse transcription-polymerase chain reaction)</w:t>
      </w:r>
      <w:r w:rsidRPr="003B3917">
        <w:rPr>
          <w:rFonts w:cs="Arial"/>
          <w:bCs/>
        </w:rPr>
        <w:t>. Listed</w:t>
      </w:r>
      <w:r w:rsidRPr="00B60F81">
        <w:rPr>
          <w:rFonts w:cs="Arial"/>
          <w:bCs/>
        </w:rPr>
        <w:t xml:space="preserve"> symptoms were fever (temperature &gt; 38ºC/≥ 100.4ºF), or chills, cough, shortness of breath or difficulty breathing, fatigue, muscle aches, or body aches, headache, new loss of taste or smell, sore throat, congestion or runny nose, nausea, or vomiting or diarrh</w:t>
      </w:r>
      <w:r>
        <w:rPr>
          <w:rFonts w:cs="Arial"/>
          <w:bCs/>
        </w:rPr>
        <w:t>o</w:t>
      </w:r>
      <w:r w:rsidRPr="00B60F81">
        <w:rPr>
          <w:rFonts w:cs="Arial"/>
          <w:bCs/>
        </w:rPr>
        <w:t xml:space="preserve">ea. </w:t>
      </w:r>
    </w:p>
    <w:p w14:paraId="13801755" w14:textId="14825E76" w:rsidR="00563EAA" w:rsidRPr="00FD5F13" w:rsidRDefault="00563EAA" w:rsidP="00563EAA">
      <w:pPr>
        <w:rPr>
          <w:rFonts w:cs="Arial"/>
          <w:bCs/>
        </w:rPr>
      </w:pPr>
      <w:r w:rsidRPr="00FD5F13">
        <w:rPr>
          <w:rFonts w:cs="Arial"/>
          <w:bCs/>
        </w:rPr>
        <w:t xml:space="preserve">There were 2 COVID-19 cases in the </w:t>
      </w:r>
      <w:r w:rsidR="001C0A66">
        <w:rPr>
          <w:rFonts w:cs="Arial"/>
          <w:bCs/>
        </w:rPr>
        <w:t>SPIKEVAX</w:t>
      </w:r>
      <w:r>
        <w:rPr>
          <w:rFonts w:cs="Arial"/>
          <w:bCs/>
        </w:rPr>
        <w:t xml:space="preserve"> </w:t>
      </w:r>
      <w:r w:rsidRPr="00FD5F13">
        <w:rPr>
          <w:rFonts w:cs="Arial"/>
          <w:bCs/>
        </w:rPr>
        <w:t xml:space="preserve">group and 13 cases in the placebo group, with a </w:t>
      </w:r>
      <w:r w:rsidRPr="001A33BA">
        <w:t>vaccine</w:t>
      </w:r>
      <w:r w:rsidRPr="00FD5F13">
        <w:rPr>
          <w:rFonts w:cs="Arial"/>
          <w:bCs/>
        </w:rPr>
        <w:t xml:space="preserve"> efficacy of </w:t>
      </w:r>
      <w:bookmarkStart w:id="9" w:name="_Hlk70411767"/>
      <w:r w:rsidRPr="00FD5F13">
        <w:rPr>
          <w:rFonts w:cs="Arial"/>
          <w:bCs/>
        </w:rPr>
        <w:t>92.7% (95% confidence interval of 67.8% to 99.2%)</w:t>
      </w:r>
      <w:bookmarkEnd w:id="9"/>
      <w:r w:rsidRPr="00FD5F13">
        <w:rPr>
          <w:rFonts w:cs="Arial"/>
          <w:bCs/>
        </w:rPr>
        <w:t>.</w:t>
      </w:r>
    </w:p>
    <w:p w14:paraId="21830F5B" w14:textId="77777777" w:rsidR="00563EAA" w:rsidRPr="00CE00DF" w:rsidRDefault="00563EAA" w:rsidP="00CE00DF">
      <w:pPr>
        <w:pStyle w:val="Heading4"/>
      </w:pPr>
      <w:r w:rsidRPr="00CE00DF">
        <w:t>Immunogenicity in adolescents 12 through 17 years of age</w:t>
      </w:r>
    </w:p>
    <w:p w14:paraId="3BF0D393" w14:textId="076BD5F9" w:rsidR="00563EAA" w:rsidRDefault="00563EAA" w:rsidP="00407072">
      <w:pPr>
        <w:rPr>
          <w:rFonts w:cstheme="minorHAnsi"/>
        </w:rPr>
      </w:pPr>
      <w:r>
        <w:t xml:space="preserve">In Study </w:t>
      </w:r>
      <w:r w:rsidR="00124B3A">
        <w:rPr>
          <w:rFonts w:cs="Arial"/>
          <w:bCs/>
        </w:rPr>
        <w:t>P203</w:t>
      </w:r>
      <w:r w:rsidR="00896233">
        <w:rPr>
          <w:rFonts w:cs="Arial"/>
          <w:bCs/>
        </w:rPr>
        <w:t xml:space="preserve"> </w:t>
      </w:r>
      <w:r w:rsidR="00896233" w:rsidRPr="00896233">
        <w:rPr>
          <w:rFonts w:cs="Arial"/>
          <w:bCs/>
        </w:rPr>
        <w:t>(NCT04649151)</w:t>
      </w:r>
      <w:r>
        <w:t xml:space="preserve">, an analysis was conducted of SARS-CoV-2 50% neutralising titers and seroresponse rates 28 days after Dose 2 in a subset of adolescents aged 12 through 17 in Study </w:t>
      </w:r>
      <w:r w:rsidR="00124B3A">
        <w:rPr>
          <w:rFonts w:cs="Arial"/>
          <w:bCs/>
        </w:rPr>
        <w:t>P203</w:t>
      </w:r>
      <w:r>
        <w:t xml:space="preserve"> and in participants aged 18 through 25 in Study </w:t>
      </w:r>
      <w:r w:rsidR="00124B3A">
        <w:t>P301</w:t>
      </w:r>
      <w:r>
        <w:t xml:space="preserve"> who had no immunologic or virologic evidence of prior COVID-19 at baseline. Noninferior immune responses and seroresponse rates were demonstrated in a comparison of adolescents aged 12 through 17 years to participants aged 18 through 25</w:t>
      </w:r>
      <w:r w:rsidRPr="00E279BA">
        <w:t xml:space="preserve"> </w:t>
      </w:r>
      <w:r w:rsidRPr="00CD7180">
        <w:rPr>
          <w:rFonts w:cstheme="minorHAnsi"/>
        </w:rPr>
        <w:t>(Table 5).</w:t>
      </w:r>
    </w:p>
    <w:p w14:paraId="20F18D1D" w14:textId="7E1005A9" w:rsidR="00563EAA" w:rsidRPr="001D044F" w:rsidRDefault="00563EAA" w:rsidP="00563EAA">
      <w:pPr>
        <w:keepNext/>
        <w:spacing w:line="240" w:lineRule="auto"/>
        <w:rPr>
          <w:b/>
          <w:bCs/>
        </w:rPr>
      </w:pPr>
      <w:r w:rsidRPr="001A33BA">
        <w:rPr>
          <w:b/>
          <w:bCs/>
        </w:rPr>
        <w:lastRenderedPageBreak/>
        <w:t>Table 5: Summary of geometric mean titer and seroresponse rate – comparison of adolescents 12 through 17 years of age to participants 18 through 25 years of age – per-protocol immunogenicity subset</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63EAA" w:rsidRPr="0017400E" w14:paraId="192F20C0" w14:textId="77777777" w:rsidTr="003C3B7F">
        <w:tc>
          <w:tcPr>
            <w:tcW w:w="1502" w:type="dxa"/>
            <w:vMerge w:val="restart"/>
            <w:vAlign w:val="center"/>
          </w:tcPr>
          <w:p w14:paraId="6DBF5BC9" w14:textId="77777777" w:rsidR="00563EAA" w:rsidRPr="00124B3A" w:rsidRDefault="00563EAA" w:rsidP="003C3B7F">
            <w:pPr>
              <w:keepNext/>
              <w:rPr>
                <w:rFonts w:cstheme="minorHAnsi"/>
                <w:b/>
                <w:bCs/>
              </w:rPr>
            </w:pPr>
            <w:r w:rsidRPr="00124B3A">
              <w:rPr>
                <w:rFonts w:cstheme="minorHAnsi"/>
                <w:b/>
                <w:bCs/>
              </w:rPr>
              <w:t>Assay</w:t>
            </w:r>
          </w:p>
        </w:tc>
        <w:tc>
          <w:tcPr>
            <w:tcW w:w="1502" w:type="dxa"/>
            <w:vMerge w:val="restart"/>
            <w:vAlign w:val="center"/>
          </w:tcPr>
          <w:p w14:paraId="61312E72" w14:textId="77777777" w:rsidR="00563EAA" w:rsidRPr="00124B3A" w:rsidRDefault="00563EAA" w:rsidP="003C3B7F">
            <w:pPr>
              <w:keepNext/>
              <w:rPr>
                <w:rFonts w:cstheme="minorHAnsi"/>
                <w:b/>
                <w:bCs/>
              </w:rPr>
            </w:pPr>
            <w:r w:rsidRPr="00124B3A">
              <w:rPr>
                <w:rFonts w:cstheme="minorHAnsi"/>
                <w:b/>
                <w:bCs/>
              </w:rPr>
              <w:t>Time point</w:t>
            </w:r>
          </w:p>
        </w:tc>
        <w:tc>
          <w:tcPr>
            <w:tcW w:w="3006" w:type="dxa"/>
            <w:gridSpan w:val="2"/>
          </w:tcPr>
          <w:p w14:paraId="36CFB224" w14:textId="76776AF8" w:rsidR="00563EAA" w:rsidRPr="00917260" w:rsidRDefault="001C0A66" w:rsidP="003C3B7F">
            <w:pPr>
              <w:keepNext/>
              <w:jc w:val="center"/>
              <w:rPr>
                <w:rFonts w:cstheme="minorHAnsi"/>
                <w:b/>
                <w:bCs/>
              </w:rPr>
            </w:pPr>
            <w:r>
              <w:rPr>
                <w:rFonts w:cstheme="minorHAnsi"/>
                <w:b/>
                <w:bCs/>
              </w:rPr>
              <w:t>SPIKEVAX</w:t>
            </w:r>
          </w:p>
        </w:tc>
        <w:tc>
          <w:tcPr>
            <w:tcW w:w="3006" w:type="dxa"/>
            <w:gridSpan w:val="2"/>
            <w:vMerge w:val="restart"/>
          </w:tcPr>
          <w:p w14:paraId="58F1EA0A" w14:textId="77777777" w:rsidR="00563EAA" w:rsidRPr="00917260" w:rsidRDefault="00563EAA" w:rsidP="003C3B7F">
            <w:pPr>
              <w:keepNext/>
              <w:jc w:val="center"/>
              <w:rPr>
                <w:rFonts w:cstheme="minorHAnsi"/>
                <w:b/>
                <w:bCs/>
              </w:rPr>
            </w:pPr>
          </w:p>
          <w:p w14:paraId="53AC6F1A" w14:textId="77777777" w:rsidR="00563EAA" w:rsidRPr="00917260" w:rsidRDefault="00563EAA" w:rsidP="003C3B7F">
            <w:pPr>
              <w:keepNext/>
              <w:jc w:val="center"/>
              <w:rPr>
                <w:rFonts w:cstheme="minorHAnsi"/>
                <w:b/>
                <w:bCs/>
              </w:rPr>
            </w:pPr>
            <w:r w:rsidRPr="00917260">
              <w:rPr>
                <w:rFonts w:cstheme="minorHAnsi"/>
                <w:b/>
                <w:bCs/>
              </w:rPr>
              <w:t>12-17 years/18-25 years</w:t>
            </w:r>
          </w:p>
        </w:tc>
      </w:tr>
      <w:tr w:rsidR="00563EAA" w:rsidRPr="0017400E" w14:paraId="0C7D1B52" w14:textId="77777777" w:rsidTr="003C3B7F">
        <w:tc>
          <w:tcPr>
            <w:tcW w:w="1502" w:type="dxa"/>
            <w:vMerge/>
          </w:tcPr>
          <w:p w14:paraId="4008133B" w14:textId="77777777" w:rsidR="00563EAA" w:rsidRPr="0017400E" w:rsidRDefault="00563EAA" w:rsidP="003C3B7F">
            <w:pPr>
              <w:keepNext/>
              <w:rPr>
                <w:rFonts w:cstheme="minorHAnsi"/>
              </w:rPr>
            </w:pPr>
          </w:p>
        </w:tc>
        <w:tc>
          <w:tcPr>
            <w:tcW w:w="1502" w:type="dxa"/>
            <w:vMerge/>
          </w:tcPr>
          <w:p w14:paraId="10D6A217" w14:textId="77777777" w:rsidR="00563EAA" w:rsidRPr="0017400E" w:rsidRDefault="00563EAA" w:rsidP="003C3B7F">
            <w:pPr>
              <w:keepNext/>
              <w:rPr>
                <w:rFonts w:cstheme="minorHAnsi"/>
              </w:rPr>
            </w:pPr>
          </w:p>
        </w:tc>
        <w:tc>
          <w:tcPr>
            <w:tcW w:w="1503" w:type="dxa"/>
          </w:tcPr>
          <w:p w14:paraId="1515162A" w14:textId="77777777" w:rsidR="00563EAA" w:rsidRPr="0017400E" w:rsidRDefault="00563EAA" w:rsidP="003C3B7F">
            <w:pPr>
              <w:keepNext/>
              <w:jc w:val="center"/>
              <w:rPr>
                <w:rFonts w:cstheme="minorHAnsi"/>
              </w:rPr>
            </w:pPr>
            <w:r w:rsidRPr="0017400E">
              <w:rPr>
                <w:rFonts w:cstheme="minorHAnsi"/>
              </w:rPr>
              <w:t>12 – 17 years</w:t>
            </w:r>
          </w:p>
          <w:p w14:paraId="64FFF982" w14:textId="77777777" w:rsidR="00563EAA" w:rsidRPr="0017400E" w:rsidRDefault="00563EAA" w:rsidP="003C3B7F">
            <w:pPr>
              <w:keepNext/>
              <w:jc w:val="center"/>
              <w:rPr>
                <w:rFonts w:cstheme="minorHAnsi"/>
              </w:rPr>
            </w:pPr>
            <w:r w:rsidRPr="0017400E">
              <w:rPr>
                <w:rFonts w:cstheme="minorHAnsi"/>
              </w:rPr>
              <w:t>N=340</w:t>
            </w:r>
          </w:p>
        </w:tc>
        <w:tc>
          <w:tcPr>
            <w:tcW w:w="1503" w:type="dxa"/>
          </w:tcPr>
          <w:p w14:paraId="4B13EF88" w14:textId="77777777" w:rsidR="00563EAA" w:rsidRPr="0017400E" w:rsidRDefault="00563EAA" w:rsidP="003C3B7F">
            <w:pPr>
              <w:keepNext/>
              <w:jc w:val="center"/>
              <w:rPr>
                <w:rFonts w:cstheme="minorHAnsi"/>
              </w:rPr>
            </w:pPr>
            <w:r w:rsidRPr="0017400E">
              <w:rPr>
                <w:rFonts w:cstheme="minorHAnsi"/>
              </w:rPr>
              <w:t>18-25 years</w:t>
            </w:r>
          </w:p>
          <w:p w14:paraId="56D8FF2F" w14:textId="77777777" w:rsidR="00563EAA" w:rsidRPr="0017400E" w:rsidRDefault="00563EAA" w:rsidP="003C3B7F">
            <w:pPr>
              <w:keepNext/>
              <w:jc w:val="center"/>
              <w:rPr>
                <w:rFonts w:cstheme="minorHAnsi"/>
              </w:rPr>
            </w:pPr>
            <w:r w:rsidRPr="0017400E">
              <w:rPr>
                <w:rFonts w:cstheme="minorHAnsi"/>
              </w:rPr>
              <w:t>N=305</w:t>
            </w:r>
          </w:p>
        </w:tc>
        <w:tc>
          <w:tcPr>
            <w:tcW w:w="3006" w:type="dxa"/>
            <w:gridSpan w:val="2"/>
            <w:vMerge/>
          </w:tcPr>
          <w:p w14:paraId="5DC2928D" w14:textId="77777777" w:rsidR="00563EAA" w:rsidRPr="0017400E" w:rsidRDefault="00563EAA" w:rsidP="003C3B7F">
            <w:pPr>
              <w:keepNext/>
              <w:rPr>
                <w:rFonts w:cstheme="minorHAnsi"/>
              </w:rPr>
            </w:pPr>
          </w:p>
        </w:tc>
      </w:tr>
      <w:tr w:rsidR="00563EAA" w:rsidRPr="0017400E" w14:paraId="0781183A" w14:textId="77777777" w:rsidTr="003C3B7F">
        <w:tc>
          <w:tcPr>
            <w:tcW w:w="1502" w:type="dxa"/>
            <w:vMerge/>
          </w:tcPr>
          <w:p w14:paraId="368DC213" w14:textId="77777777" w:rsidR="00563EAA" w:rsidRPr="0017400E" w:rsidRDefault="00563EAA" w:rsidP="003C3B7F">
            <w:pPr>
              <w:keepNext/>
              <w:rPr>
                <w:rFonts w:cstheme="minorHAnsi"/>
              </w:rPr>
            </w:pPr>
          </w:p>
        </w:tc>
        <w:tc>
          <w:tcPr>
            <w:tcW w:w="1502" w:type="dxa"/>
            <w:vMerge/>
          </w:tcPr>
          <w:p w14:paraId="775B2FF6" w14:textId="77777777" w:rsidR="00563EAA" w:rsidRPr="0017400E" w:rsidRDefault="00563EAA" w:rsidP="003C3B7F">
            <w:pPr>
              <w:keepNext/>
              <w:rPr>
                <w:rFonts w:cstheme="minorHAnsi"/>
              </w:rPr>
            </w:pPr>
          </w:p>
        </w:tc>
        <w:tc>
          <w:tcPr>
            <w:tcW w:w="1503" w:type="dxa"/>
          </w:tcPr>
          <w:p w14:paraId="004BE123" w14:textId="77777777" w:rsidR="00563EAA" w:rsidRPr="0017400E" w:rsidRDefault="00563EAA" w:rsidP="003C3B7F">
            <w:pPr>
              <w:keepNext/>
              <w:jc w:val="center"/>
              <w:rPr>
                <w:rFonts w:cstheme="minorHAnsi"/>
              </w:rPr>
            </w:pPr>
            <w:r w:rsidRPr="0017400E">
              <w:rPr>
                <w:rFonts w:cstheme="minorHAnsi"/>
              </w:rPr>
              <w:t>GLSM</w:t>
            </w:r>
          </w:p>
          <w:p w14:paraId="7A08BD6C" w14:textId="77777777" w:rsidR="00563EAA" w:rsidRPr="0017400E" w:rsidRDefault="00563EAA" w:rsidP="003C3B7F">
            <w:pPr>
              <w:keepNext/>
              <w:jc w:val="center"/>
              <w:rPr>
                <w:rFonts w:cstheme="minorHAnsi"/>
              </w:rPr>
            </w:pPr>
            <w:r w:rsidRPr="0017400E">
              <w:rPr>
                <w:rFonts w:cstheme="minorHAnsi"/>
              </w:rPr>
              <w:t xml:space="preserve">(95% </w:t>
            </w:r>
            <w:proofErr w:type="gramStart"/>
            <w:r w:rsidRPr="0017400E">
              <w:rPr>
                <w:rFonts w:cstheme="minorHAnsi"/>
              </w:rPr>
              <w:t>CI)*</w:t>
            </w:r>
            <w:proofErr w:type="gramEnd"/>
          </w:p>
        </w:tc>
        <w:tc>
          <w:tcPr>
            <w:tcW w:w="1503" w:type="dxa"/>
          </w:tcPr>
          <w:p w14:paraId="3C57E3E7" w14:textId="77777777" w:rsidR="00563EAA" w:rsidRPr="0017400E" w:rsidRDefault="00563EAA" w:rsidP="003C3B7F">
            <w:pPr>
              <w:keepNext/>
              <w:jc w:val="center"/>
              <w:rPr>
                <w:rFonts w:cstheme="minorHAnsi"/>
              </w:rPr>
            </w:pPr>
            <w:r w:rsidRPr="0017400E">
              <w:rPr>
                <w:rFonts w:cstheme="minorHAnsi"/>
              </w:rPr>
              <w:t>GLSM</w:t>
            </w:r>
          </w:p>
          <w:p w14:paraId="12CEECF6" w14:textId="77777777" w:rsidR="00563EAA" w:rsidRPr="0017400E" w:rsidRDefault="00563EAA" w:rsidP="003C3B7F">
            <w:pPr>
              <w:keepNext/>
              <w:jc w:val="center"/>
              <w:rPr>
                <w:rFonts w:cstheme="minorHAnsi"/>
              </w:rPr>
            </w:pPr>
            <w:r w:rsidRPr="0017400E">
              <w:rPr>
                <w:rFonts w:cstheme="minorHAnsi"/>
              </w:rPr>
              <w:t xml:space="preserve">(95% </w:t>
            </w:r>
            <w:proofErr w:type="gramStart"/>
            <w:r w:rsidRPr="0017400E">
              <w:rPr>
                <w:rFonts w:cstheme="minorHAnsi"/>
              </w:rPr>
              <w:t>CI)*</w:t>
            </w:r>
            <w:proofErr w:type="gramEnd"/>
          </w:p>
        </w:tc>
        <w:tc>
          <w:tcPr>
            <w:tcW w:w="1503" w:type="dxa"/>
          </w:tcPr>
          <w:p w14:paraId="27655D41" w14:textId="77777777" w:rsidR="00563EAA" w:rsidRPr="0017400E" w:rsidRDefault="00563EAA" w:rsidP="003C3B7F">
            <w:pPr>
              <w:keepNext/>
              <w:jc w:val="center"/>
              <w:rPr>
                <w:rFonts w:cstheme="minorHAnsi"/>
              </w:rPr>
            </w:pPr>
            <w:r w:rsidRPr="0017400E">
              <w:rPr>
                <w:rFonts w:cstheme="minorHAnsi"/>
              </w:rPr>
              <w:t>GMR</w:t>
            </w:r>
          </w:p>
          <w:p w14:paraId="76B74FD1" w14:textId="77777777" w:rsidR="00563EAA" w:rsidRPr="0017400E" w:rsidRDefault="00563EAA" w:rsidP="003C3B7F">
            <w:pPr>
              <w:keepNext/>
              <w:jc w:val="center"/>
              <w:rPr>
                <w:rFonts w:cstheme="minorHAnsi"/>
              </w:rPr>
            </w:pPr>
            <w:r w:rsidRPr="0017400E">
              <w:rPr>
                <w:rFonts w:cstheme="minorHAnsi"/>
              </w:rPr>
              <w:t xml:space="preserve">(95% </w:t>
            </w:r>
            <w:proofErr w:type="gramStart"/>
            <w:r w:rsidRPr="0017400E">
              <w:rPr>
                <w:rFonts w:cstheme="minorHAnsi"/>
              </w:rPr>
              <w:t>CI)*</w:t>
            </w:r>
            <w:proofErr w:type="gramEnd"/>
            <w:r w:rsidRPr="0017400E">
              <w:rPr>
                <w:rFonts w:cstheme="minorHAnsi"/>
              </w:rPr>
              <w:t>*</w:t>
            </w:r>
          </w:p>
        </w:tc>
        <w:tc>
          <w:tcPr>
            <w:tcW w:w="1503" w:type="dxa"/>
          </w:tcPr>
          <w:p w14:paraId="717DF085" w14:textId="77777777" w:rsidR="00563EAA" w:rsidRPr="0017400E" w:rsidRDefault="00563EAA" w:rsidP="003C3B7F">
            <w:pPr>
              <w:keepNext/>
              <w:jc w:val="center"/>
              <w:rPr>
                <w:rFonts w:cstheme="minorHAnsi"/>
              </w:rPr>
            </w:pPr>
            <w:r w:rsidRPr="0017400E">
              <w:rPr>
                <w:rFonts w:cstheme="minorHAnsi"/>
              </w:rPr>
              <w:t>Met noninferiority objective (Y/</w:t>
            </w:r>
            <w:proofErr w:type="gramStart"/>
            <w:r w:rsidRPr="0017400E">
              <w:rPr>
                <w:rFonts w:cstheme="minorHAnsi"/>
              </w:rPr>
              <w:t>N)*</w:t>
            </w:r>
            <w:proofErr w:type="gramEnd"/>
            <w:r w:rsidRPr="0017400E">
              <w:rPr>
                <w:rFonts w:cstheme="minorHAnsi"/>
              </w:rPr>
              <w:t>**</w:t>
            </w:r>
          </w:p>
        </w:tc>
      </w:tr>
      <w:tr w:rsidR="00563EAA" w:rsidRPr="00124B3A" w14:paraId="7F6596D4" w14:textId="77777777" w:rsidTr="003C3B7F">
        <w:tc>
          <w:tcPr>
            <w:tcW w:w="1502" w:type="dxa"/>
          </w:tcPr>
          <w:p w14:paraId="7E8B30EC" w14:textId="552B34D1" w:rsidR="00563EAA" w:rsidRPr="00124B3A" w:rsidRDefault="00563EAA" w:rsidP="003C3B7F">
            <w:pPr>
              <w:keepNext/>
              <w:rPr>
                <w:rFonts w:cstheme="minorHAnsi"/>
              </w:rPr>
            </w:pPr>
            <w:r w:rsidRPr="00A060EE">
              <w:rPr>
                <w:rFonts w:cstheme="minorHAnsi"/>
              </w:rPr>
              <w:t>SARS-CoV-2 neutralisation assay – ID50 (titer)****</w:t>
            </w:r>
          </w:p>
        </w:tc>
        <w:tc>
          <w:tcPr>
            <w:tcW w:w="1502" w:type="dxa"/>
          </w:tcPr>
          <w:p w14:paraId="3CE0D55B" w14:textId="77777777" w:rsidR="00563EAA" w:rsidRPr="00124B3A" w:rsidRDefault="00563EAA" w:rsidP="003C3B7F">
            <w:pPr>
              <w:keepNext/>
              <w:rPr>
                <w:rFonts w:cstheme="minorHAnsi"/>
              </w:rPr>
            </w:pPr>
            <w:r w:rsidRPr="00A060EE">
              <w:rPr>
                <w:rFonts w:cstheme="minorHAnsi"/>
              </w:rPr>
              <w:t>28 days after Dose 2</w:t>
            </w:r>
          </w:p>
        </w:tc>
        <w:tc>
          <w:tcPr>
            <w:tcW w:w="1503" w:type="dxa"/>
          </w:tcPr>
          <w:p w14:paraId="1865D535" w14:textId="77777777" w:rsidR="00563EAA" w:rsidRPr="00124B3A" w:rsidRDefault="00563EAA" w:rsidP="003C3B7F">
            <w:pPr>
              <w:keepNext/>
              <w:jc w:val="center"/>
              <w:rPr>
                <w:rFonts w:cstheme="minorHAnsi"/>
              </w:rPr>
            </w:pPr>
            <w:r w:rsidRPr="00124B3A">
              <w:rPr>
                <w:rFonts w:cstheme="minorHAnsi"/>
              </w:rPr>
              <w:t>1401.7</w:t>
            </w:r>
          </w:p>
          <w:p w14:paraId="15B1213B" w14:textId="77777777" w:rsidR="00563EAA" w:rsidRPr="00917260" w:rsidRDefault="00563EAA" w:rsidP="003C3B7F">
            <w:pPr>
              <w:keepNext/>
              <w:jc w:val="center"/>
              <w:rPr>
                <w:rFonts w:cstheme="minorHAnsi"/>
              </w:rPr>
            </w:pPr>
            <w:r w:rsidRPr="00917260">
              <w:rPr>
                <w:rFonts w:cstheme="minorHAnsi"/>
              </w:rPr>
              <w:t>(1276.3, 1539.4)</w:t>
            </w:r>
          </w:p>
        </w:tc>
        <w:tc>
          <w:tcPr>
            <w:tcW w:w="1503" w:type="dxa"/>
          </w:tcPr>
          <w:p w14:paraId="47549925" w14:textId="77777777" w:rsidR="00563EAA" w:rsidRPr="00917260" w:rsidRDefault="00563EAA" w:rsidP="003C3B7F">
            <w:pPr>
              <w:keepNext/>
              <w:jc w:val="center"/>
              <w:rPr>
                <w:rFonts w:cstheme="minorHAnsi"/>
              </w:rPr>
            </w:pPr>
            <w:r w:rsidRPr="00917260">
              <w:rPr>
                <w:rFonts w:cstheme="minorHAnsi"/>
              </w:rPr>
              <w:t>1301.3 (1177.0, 1438.8)</w:t>
            </w:r>
          </w:p>
        </w:tc>
        <w:tc>
          <w:tcPr>
            <w:tcW w:w="1503" w:type="dxa"/>
          </w:tcPr>
          <w:p w14:paraId="1383E993" w14:textId="77777777" w:rsidR="00563EAA" w:rsidRPr="00917260" w:rsidRDefault="00563EAA" w:rsidP="003C3B7F">
            <w:pPr>
              <w:keepNext/>
              <w:rPr>
                <w:rFonts w:cstheme="minorHAnsi"/>
              </w:rPr>
            </w:pPr>
            <w:r w:rsidRPr="00917260">
              <w:rPr>
                <w:rFonts w:cstheme="minorHAnsi"/>
              </w:rPr>
              <w:t xml:space="preserve">1.08 </w:t>
            </w:r>
          </w:p>
          <w:p w14:paraId="46A46AAB" w14:textId="77777777" w:rsidR="00563EAA" w:rsidRPr="00917260" w:rsidRDefault="00563EAA" w:rsidP="003C3B7F">
            <w:pPr>
              <w:keepNext/>
              <w:rPr>
                <w:rFonts w:cstheme="minorHAnsi"/>
              </w:rPr>
            </w:pPr>
            <w:r w:rsidRPr="00917260">
              <w:rPr>
                <w:rFonts w:cstheme="minorHAnsi"/>
              </w:rPr>
              <w:t>(0.94, 1.24)</w:t>
            </w:r>
          </w:p>
        </w:tc>
        <w:tc>
          <w:tcPr>
            <w:tcW w:w="1503" w:type="dxa"/>
            <w:vMerge w:val="restart"/>
          </w:tcPr>
          <w:p w14:paraId="2C9CF9CA" w14:textId="77777777" w:rsidR="00563EAA" w:rsidRPr="0017400E" w:rsidRDefault="00563EAA" w:rsidP="003C3B7F">
            <w:pPr>
              <w:keepNext/>
              <w:jc w:val="center"/>
              <w:rPr>
                <w:rFonts w:cstheme="minorHAnsi"/>
              </w:rPr>
            </w:pPr>
          </w:p>
          <w:p w14:paraId="1D2781CB" w14:textId="77777777" w:rsidR="00563EAA" w:rsidRPr="0017400E" w:rsidRDefault="00563EAA" w:rsidP="003C3B7F">
            <w:pPr>
              <w:keepNext/>
              <w:jc w:val="center"/>
              <w:rPr>
                <w:rFonts w:cstheme="minorHAnsi"/>
              </w:rPr>
            </w:pPr>
          </w:p>
          <w:p w14:paraId="0FAB0032" w14:textId="77777777" w:rsidR="00563EAA" w:rsidRPr="0017400E" w:rsidRDefault="00563EAA" w:rsidP="003C3B7F">
            <w:pPr>
              <w:keepNext/>
              <w:jc w:val="center"/>
              <w:rPr>
                <w:rFonts w:cstheme="minorHAnsi"/>
              </w:rPr>
            </w:pPr>
          </w:p>
          <w:p w14:paraId="2E334187" w14:textId="77777777" w:rsidR="00563EAA" w:rsidRPr="0017400E" w:rsidRDefault="00563EAA" w:rsidP="003C3B7F">
            <w:pPr>
              <w:keepNext/>
              <w:jc w:val="center"/>
              <w:rPr>
                <w:rFonts w:cstheme="minorHAnsi"/>
              </w:rPr>
            </w:pPr>
            <w:r w:rsidRPr="0017400E">
              <w:rPr>
                <w:rFonts w:cstheme="minorHAnsi"/>
              </w:rPr>
              <w:t>Y</w:t>
            </w:r>
          </w:p>
        </w:tc>
      </w:tr>
      <w:tr w:rsidR="00563EAA" w:rsidRPr="00124B3A" w14:paraId="5BA8702A" w14:textId="77777777" w:rsidTr="003C3B7F">
        <w:tc>
          <w:tcPr>
            <w:tcW w:w="1502" w:type="dxa"/>
          </w:tcPr>
          <w:p w14:paraId="77584B75" w14:textId="77777777" w:rsidR="00563EAA" w:rsidRPr="001C0A66" w:rsidRDefault="00563EAA" w:rsidP="003C3B7F">
            <w:pPr>
              <w:keepNext/>
              <w:rPr>
                <w:rFonts w:cstheme="minorHAnsi"/>
              </w:rPr>
            </w:pPr>
          </w:p>
        </w:tc>
        <w:tc>
          <w:tcPr>
            <w:tcW w:w="1502" w:type="dxa"/>
          </w:tcPr>
          <w:p w14:paraId="1153BEDE" w14:textId="77777777" w:rsidR="00563EAA" w:rsidRPr="001C0A66" w:rsidRDefault="00563EAA" w:rsidP="003C3B7F">
            <w:pPr>
              <w:keepNext/>
              <w:rPr>
                <w:rFonts w:cstheme="minorHAnsi"/>
              </w:rPr>
            </w:pPr>
          </w:p>
        </w:tc>
        <w:tc>
          <w:tcPr>
            <w:tcW w:w="1503" w:type="dxa"/>
          </w:tcPr>
          <w:p w14:paraId="54CE0BC3" w14:textId="77777777" w:rsidR="00563EAA" w:rsidRPr="001C0A66" w:rsidRDefault="00563EAA" w:rsidP="003C3B7F">
            <w:pPr>
              <w:keepNext/>
              <w:jc w:val="center"/>
              <w:rPr>
                <w:rFonts w:cstheme="minorHAnsi"/>
                <w:b/>
                <w:bCs/>
              </w:rPr>
            </w:pPr>
            <w:r w:rsidRPr="001C0A66">
              <w:rPr>
                <w:rFonts w:cstheme="minorHAnsi"/>
                <w:b/>
                <w:bCs/>
              </w:rPr>
              <w:t>Seroresponse %</w:t>
            </w:r>
          </w:p>
          <w:p w14:paraId="7FA60BC2" w14:textId="77777777" w:rsidR="00563EAA" w:rsidRPr="00EF6086" w:rsidRDefault="00563EAA" w:rsidP="003C3B7F">
            <w:pPr>
              <w:keepNext/>
              <w:jc w:val="center"/>
              <w:rPr>
                <w:rFonts w:cstheme="minorHAnsi"/>
              </w:rPr>
            </w:pPr>
            <w:r w:rsidRPr="00EF6086">
              <w:rPr>
                <w:rFonts w:cstheme="minorHAnsi"/>
              </w:rPr>
              <w:t xml:space="preserve">(95% </w:t>
            </w:r>
            <w:proofErr w:type="gramStart"/>
            <w:r w:rsidRPr="00EF6086">
              <w:rPr>
                <w:rFonts w:cstheme="minorHAnsi"/>
              </w:rPr>
              <w:t>CI)*</w:t>
            </w:r>
            <w:proofErr w:type="gramEnd"/>
          </w:p>
          <w:p w14:paraId="201DFC1A" w14:textId="77777777" w:rsidR="00563EAA" w:rsidRPr="00FD457A" w:rsidRDefault="00563EAA" w:rsidP="003C3B7F">
            <w:pPr>
              <w:keepNext/>
              <w:jc w:val="center"/>
              <w:rPr>
                <w:rFonts w:cstheme="minorHAnsi"/>
              </w:rPr>
            </w:pPr>
            <w:r w:rsidRPr="00FD457A">
              <w:rPr>
                <w:rFonts w:cstheme="minorHAnsi"/>
              </w:rPr>
              <w:t>98.8</w:t>
            </w:r>
          </w:p>
          <w:p w14:paraId="395D3734" w14:textId="77777777" w:rsidR="00563EAA" w:rsidRPr="00124B3A" w:rsidRDefault="00563EAA" w:rsidP="003C3B7F">
            <w:pPr>
              <w:keepNext/>
              <w:jc w:val="center"/>
              <w:rPr>
                <w:rFonts w:cstheme="minorHAnsi"/>
              </w:rPr>
            </w:pPr>
            <w:r w:rsidRPr="00FD457A">
              <w:rPr>
                <w:rFonts w:cstheme="minorHAnsi"/>
              </w:rPr>
              <w:t>(97.0, 99.7)</w:t>
            </w:r>
            <w:r w:rsidRPr="00A060EE">
              <w:rPr>
                <w:rFonts w:cstheme="minorHAnsi"/>
                <w:vertAlign w:val="superscript"/>
              </w:rPr>
              <w:t xml:space="preserve"> ¶</w:t>
            </w:r>
          </w:p>
        </w:tc>
        <w:tc>
          <w:tcPr>
            <w:tcW w:w="1503" w:type="dxa"/>
          </w:tcPr>
          <w:p w14:paraId="481BA3DA" w14:textId="77777777" w:rsidR="00563EAA" w:rsidRPr="00917260" w:rsidRDefault="00563EAA" w:rsidP="003C3B7F">
            <w:pPr>
              <w:keepNext/>
              <w:jc w:val="center"/>
              <w:rPr>
                <w:rFonts w:cstheme="minorHAnsi"/>
                <w:b/>
                <w:bCs/>
              </w:rPr>
            </w:pPr>
            <w:r w:rsidRPr="00124B3A">
              <w:rPr>
                <w:rFonts w:cstheme="minorHAnsi"/>
                <w:b/>
                <w:bCs/>
              </w:rPr>
              <w:t>Seroresponse %</w:t>
            </w:r>
          </w:p>
          <w:p w14:paraId="6769B37E" w14:textId="77777777" w:rsidR="00563EAA" w:rsidRPr="00917260" w:rsidRDefault="00563EAA" w:rsidP="003C3B7F">
            <w:pPr>
              <w:keepNext/>
              <w:jc w:val="center"/>
              <w:rPr>
                <w:rFonts w:cstheme="minorHAnsi"/>
              </w:rPr>
            </w:pPr>
            <w:r w:rsidRPr="00917260">
              <w:rPr>
                <w:rFonts w:cstheme="minorHAnsi"/>
              </w:rPr>
              <w:t xml:space="preserve">(95% </w:t>
            </w:r>
            <w:proofErr w:type="gramStart"/>
            <w:r w:rsidRPr="00917260">
              <w:rPr>
                <w:rFonts w:cstheme="minorHAnsi"/>
              </w:rPr>
              <w:t>CI)*</w:t>
            </w:r>
            <w:proofErr w:type="gramEnd"/>
          </w:p>
          <w:p w14:paraId="5D17C5AF" w14:textId="77777777" w:rsidR="00563EAA" w:rsidRPr="00917260" w:rsidRDefault="00563EAA" w:rsidP="003C3B7F">
            <w:pPr>
              <w:keepNext/>
              <w:jc w:val="center"/>
              <w:rPr>
                <w:rFonts w:cstheme="minorHAnsi"/>
              </w:rPr>
            </w:pPr>
            <w:r w:rsidRPr="00917260">
              <w:rPr>
                <w:rFonts w:cstheme="minorHAnsi"/>
              </w:rPr>
              <w:t>98.6</w:t>
            </w:r>
          </w:p>
          <w:p w14:paraId="7407AD67" w14:textId="77777777" w:rsidR="00563EAA" w:rsidRPr="00124B3A" w:rsidRDefault="00563EAA" w:rsidP="003C3B7F">
            <w:pPr>
              <w:keepNext/>
              <w:jc w:val="center"/>
              <w:rPr>
                <w:rFonts w:cstheme="minorHAnsi"/>
              </w:rPr>
            </w:pPr>
            <w:r w:rsidRPr="00917260">
              <w:rPr>
                <w:rFonts w:cstheme="minorHAnsi"/>
              </w:rPr>
              <w:t>(96.6, 99.6)</w:t>
            </w:r>
            <w:r w:rsidRPr="00A060EE">
              <w:rPr>
                <w:rFonts w:cstheme="minorHAnsi"/>
                <w:vertAlign w:val="superscript"/>
              </w:rPr>
              <w:t xml:space="preserve"> ¶</w:t>
            </w:r>
          </w:p>
        </w:tc>
        <w:tc>
          <w:tcPr>
            <w:tcW w:w="1503" w:type="dxa"/>
          </w:tcPr>
          <w:p w14:paraId="659438A9" w14:textId="77777777" w:rsidR="00563EAA" w:rsidRPr="00917260" w:rsidRDefault="00563EAA" w:rsidP="003C3B7F">
            <w:pPr>
              <w:keepNext/>
              <w:jc w:val="center"/>
              <w:rPr>
                <w:rFonts w:cstheme="minorHAnsi"/>
                <w:b/>
                <w:bCs/>
              </w:rPr>
            </w:pPr>
            <w:r w:rsidRPr="00124B3A">
              <w:rPr>
                <w:rFonts w:cstheme="minorHAnsi"/>
                <w:b/>
                <w:bCs/>
              </w:rPr>
              <w:t>Difference in seroresponse rate %</w:t>
            </w:r>
          </w:p>
          <w:p w14:paraId="024E8922" w14:textId="77777777" w:rsidR="00563EAA" w:rsidRPr="00124B3A" w:rsidRDefault="00563EAA" w:rsidP="003C3B7F">
            <w:pPr>
              <w:keepNext/>
              <w:jc w:val="center"/>
              <w:rPr>
                <w:rFonts w:cstheme="minorHAnsi"/>
              </w:rPr>
            </w:pPr>
            <w:r w:rsidRPr="00917260">
              <w:rPr>
                <w:rFonts w:cstheme="minorHAnsi"/>
              </w:rPr>
              <w:t>(95% CI)</w:t>
            </w:r>
            <w:r w:rsidRPr="00A060EE">
              <w:rPr>
                <w:rFonts w:cstheme="minorHAnsi"/>
                <w:vertAlign w:val="superscript"/>
              </w:rPr>
              <w:t xml:space="preserve"> #</w:t>
            </w:r>
          </w:p>
          <w:p w14:paraId="19EF99BF" w14:textId="77777777" w:rsidR="00563EAA" w:rsidRPr="00124B3A" w:rsidRDefault="00563EAA" w:rsidP="003C3B7F">
            <w:pPr>
              <w:keepNext/>
              <w:jc w:val="center"/>
              <w:rPr>
                <w:rFonts w:cstheme="minorHAnsi"/>
              </w:rPr>
            </w:pPr>
            <w:r w:rsidRPr="00124B3A">
              <w:rPr>
                <w:rFonts w:cstheme="minorHAnsi"/>
              </w:rPr>
              <w:t>0.2</w:t>
            </w:r>
          </w:p>
          <w:p w14:paraId="17E9F74E" w14:textId="77777777" w:rsidR="00563EAA" w:rsidRPr="00124B3A" w:rsidRDefault="00563EAA" w:rsidP="003C3B7F">
            <w:pPr>
              <w:keepNext/>
              <w:jc w:val="center"/>
              <w:rPr>
                <w:rFonts w:cstheme="minorHAnsi"/>
              </w:rPr>
            </w:pPr>
            <w:r w:rsidRPr="00124B3A">
              <w:rPr>
                <w:rFonts w:cstheme="minorHAnsi"/>
              </w:rPr>
              <w:t>(-1.8, 2.4)</w:t>
            </w:r>
          </w:p>
        </w:tc>
        <w:tc>
          <w:tcPr>
            <w:tcW w:w="1503" w:type="dxa"/>
            <w:vMerge/>
          </w:tcPr>
          <w:p w14:paraId="05C11753" w14:textId="77777777" w:rsidR="00563EAA" w:rsidRPr="00A060EE" w:rsidRDefault="00563EAA" w:rsidP="003C3B7F">
            <w:pPr>
              <w:keepNext/>
              <w:rPr>
                <w:rFonts w:cstheme="minorHAnsi"/>
              </w:rPr>
            </w:pPr>
          </w:p>
        </w:tc>
      </w:tr>
    </w:tbl>
    <w:p w14:paraId="67E3F11E" w14:textId="77777777" w:rsidR="00563EAA" w:rsidRPr="001B5E83" w:rsidRDefault="00563EAA" w:rsidP="00563EAA">
      <w:pPr>
        <w:spacing w:after="0" w:line="240" w:lineRule="auto"/>
        <w:rPr>
          <w:sz w:val="20"/>
        </w:rPr>
      </w:pPr>
      <w:r w:rsidRPr="001B5E83">
        <w:rPr>
          <w:sz w:val="20"/>
        </w:rPr>
        <w:t>GLSM = Geometric least squares mean</w:t>
      </w:r>
    </w:p>
    <w:p w14:paraId="2EA60163" w14:textId="77777777" w:rsidR="00563EAA" w:rsidRPr="001B5E83" w:rsidRDefault="00563EAA" w:rsidP="00563EAA">
      <w:pPr>
        <w:spacing w:after="0" w:line="240" w:lineRule="auto"/>
        <w:rPr>
          <w:sz w:val="20"/>
        </w:rPr>
      </w:pPr>
      <w:r w:rsidRPr="001B5E83">
        <w:rPr>
          <w:sz w:val="20"/>
        </w:rPr>
        <w:t>GMR = Geometric mean ratio</w:t>
      </w:r>
    </w:p>
    <w:p w14:paraId="3190059D" w14:textId="77777777" w:rsidR="00563EAA" w:rsidRPr="001B5E83" w:rsidRDefault="00563EAA" w:rsidP="00563EAA">
      <w:pPr>
        <w:spacing w:after="0" w:line="240" w:lineRule="auto"/>
        <w:rPr>
          <w:sz w:val="20"/>
        </w:rPr>
      </w:pPr>
      <w:r w:rsidRPr="001B5E83">
        <w:rPr>
          <w:sz w:val="20"/>
        </w:rPr>
        <w:t>n = Number of subjects with non-missing data at the corresponding timepoint</w:t>
      </w:r>
    </w:p>
    <w:p w14:paraId="7D3418EB" w14:textId="77777777" w:rsidR="00563EAA" w:rsidRPr="001B5E83" w:rsidRDefault="00563EAA" w:rsidP="00563EAA">
      <w:pPr>
        <w:spacing w:after="0" w:line="240" w:lineRule="auto"/>
        <w:rPr>
          <w:sz w:val="20"/>
        </w:rPr>
      </w:pPr>
      <w:r w:rsidRPr="001B5E83">
        <w:rPr>
          <w:sz w:val="20"/>
        </w:rPr>
        <w:t>* Antibody values reported as below the lower limit of quantification (LLOQ) are replaced by 0.5 x LLOQ. Values greater than the upper limit of quantification (ULOQ) are replaced by the ULOQ if actual values are not available.</w:t>
      </w:r>
    </w:p>
    <w:p w14:paraId="52ACFB1D" w14:textId="2E197965" w:rsidR="00563EAA" w:rsidRPr="001B5E83" w:rsidRDefault="00563EAA" w:rsidP="00563EAA">
      <w:pPr>
        <w:spacing w:after="0" w:line="240" w:lineRule="auto"/>
        <w:rPr>
          <w:sz w:val="20"/>
        </w:rPr>
      </w:pPr>
      <w:r>
        <w:rPr>
          <w:sz w:val="20"/>
        </w:rPr>
        <w:t>**</w:t>
      </w:r>
      <w:r w:rsidRPr="001B5E83">
        <w:rPr>
          <w:sz w:val="20"/>
        </w:rPr>
        <w:t xml:space="preserve"> The log-transformed antibody levels are analy</w:t>
      </w:r>
      <w:r>
        <w:rPr>
          <w:sz w:val="20"/>
        </w:rPr>
        <w:t>s</w:t>
      </w:r>
      <w:r w:rsidRPr="001B5E83">
        <w:rPr>
          <w:sz w:val="20"/>
        </w:rPr>
        <w:t xml:space="preserve">ed using an analysis of covariance (ANCOVA) model with the group variable (adolescents in Study </w:t>
      </w:r>
      <w:r w:rsidR="00124B3A" w:rsidRPr="00124B3A">
        <w:rPr>
          <w:sz w:val="20"/>
        </w:rPr>
        <w:t>P203</w:t>
      </w:r>
      <w:r w:rsidRPr="001B5E83">
        <w:rPr>
          <w:sz w:val="20"/>
        </w:rPr>
        <w:t xml:space="preserve"> and young adults in Study </w:t>
      </w:r>
      <w:r w:rsidR="00124B3A">
        <w:rPr>
          <w:sz w:val="20"/>
        </w:rPr>
        <w:t>P301</w:t>
      </w:r>
      <w:r w:rsidRPr="001B5E83">
        <w:rPr>
          <w:sz w:val="20"/>
        </w:rPr>
        <w:t>) as fixed effect. The resulted LS means, difference of LS means, and 95% CI are back transformed to the original scale for presentation.</w:t>
      </w:r>
    </w:p>
    <w:p w14:paraId="512A583B" w14:textId="77777777" w:rsidR="00563EAA" w:rsidRPr="001B5E83" w:rsidRDefault="00563EAA" w:rsidP="00563EAA">
      <w:pPr>
        <w:spacing w:after="0" w:line="240" w:lineRule="auto"/>
        <w:rPr>
          <w:sz w:val="20"/>
        </w:rPr>
      </w:pPr>
      <w:r>
        <w:rPr>
          <w:sz w:val="20"/>
        </w:rPr>
        <w:t>***</w:t>
      </w:r>
      <w:r w:rsidRPr="001B5E83">
        <w:rPr>
          <w:sz w:val="20"/>
        </w:rPr>
        <w:t xml:space="preserve"> </w:t>
      </w:r>
      <w:r w:rsidRPr="006C2568">
        <w:rPr>
          <w:sz w:val="20"/>
        </w:rPr>
        <w:t>Noninferiority is declared if the lower bound of the 2-sided 95% CI for the GMR is greater than 0</w:t>
      </w:r>
      <w:r w:rsidRPr="00D350B6">
        <w:rPr>
          <w:sz w:val="20"/>
        </w:rPr>
        <w:t>.67 and</w:t>
      </w:r>
      <w:r>
        <w:rPr>
          <w:sz w:val="20"/>
        </w:rPr>
        <w:t xml:space="preserve"> the lower bound of the 2-sided 95% CI for difference in seroresponse rate is greater than -10%.</w:t>
      </w:r>
    </w:p>
    <w:p w14:paraId="6087C153" w14:textId="0C48BCF3" w:rsidR="00563EAA" w:rsidRPr="00ED142F" w:rsidRDefault="00563EAA" w:rsidP="00563EAA">
      <w:pPr>
        <w:spacing w:after="0" w:line="240" w:lineRule="auto"/>
        <w:rPr>
          <w:sz w:val="20"/>
        </w:rPr>
      </w:pPr>
      <w:r>
        <w:rPr>
          <w:sz w:val="20"/>
        </w:rPr>
        <w:t>****</w:t>
      </w:r>
      <w:r w:rsidRPr="001B5E83">
        <w:rPr>
          <w:sz w:val="20"/>
        </w:rPr>
        <w:t xml:space="preserve"> </w:t>
      </w:r>
      <w:r w:rsidRPr="009F1D15">
        <w:rPr>
          <w:sz w:val="20"/>
          <w:lang w:val="en-US"/>
        </w:rPr>
        <w:t xml:space="preserve">SARS-CoV-2 50% inhibitory dose (ID50) </w:t>
      </w:r>
      <w:proofErr w:type="spellStart"/>
      <w:r w:rsidRPr="009F1D15">
        <w:rPr>
          <w:sz w:val="20"/>
          <w:lang w:val="en-US"/>
        </w:rPr>
        <w:t>neutrali</w:t>
      </w:r>
      <w:r>
        <w:rPr>
          <w:sz w:val="20"/>
          <w:lang w:val="en-US"/>
        </w:rPr>
        <w:t>s</w:t>
      </w:r>
      <w:r w:rsidRPr="009F1D15">
        <w:rPr>
          <w:sz w:val="20"/>
          <w:lang w:val="en-US"/>
        </w:rPr>
        <w:t>ation</w:t>
      </w:r>
      <w:proofErr w:type="spellEnd"/>
      <w:r w:rsidRPr="009F1D15">
        <w:rPr>
          <w:sz w:val="20"/>
          <w:lang w:val="en-US"/>
        </w:rPr>
        <w:t xml:space="preserve"> titers were determined using a SARS-CoV-2 Spike-</w:t>
      </w:r>
      <w:proofErr w:type="spellStart"/>
      <w:r w:rsidRPr="009F1D15">
        <w:rPr>
          <w:sz w:val="20"/>
          <w:lang w:val="en-US"/>
        </w:rPr>
        <w:t>Pseudotyped</w:t>
      </w:r>
      <w:proofErr w:type="spellEnd"/>
      <w:r w:rsidRPr="009F1D15">
        <w:rPr>
          <w:sz w:val="20"/>
          <w:lang w:val="en-US"/>
        </w:rPr>
        <w:t xml:space="preserve"> Virus </w:t>
      </w:r>
      <w:proofErr w:type="spellStart"/>
      <w:r w:rsidRPr="009F1D15">
        <w:rPr>
          <w:sz w:val="20"/>
          <w:lang w:val="en-US"/>
        </w:rPr>
        <w:t>Neutrali</w:t>
      </w:r>
      <w:r>
        <w:rPr>
          <w:sz w:val="20"/>
          <w:lang w:val="en-US"/>
        </w:rPr>
        <w:t>s</w:t>
      </w:r>
      <w:r w:rsidRPr="009F1D15">
        <w:rPr>
          <w:sz w:val="20"/>
          <w:lang w:val="en-US"/>
        </w:rPr>
        <w:t>ation</w:t>
      </w:r>
      <w:proofErr w:type="spellEnd"/>
      <w:r w:rsidRPr="009F1D15">
        <w:rPr>
          <w:sz w:val="20"/>
          <w:lang w:val="en-US"/>
        </w:rPr>
        <w:t xml:space="preserve"> Assay. Quantification of SARS-CoV-2 </w:t>
      </w:r>
      <w:proofErr w:type="spellStart"/>
      <w:r w:rsidRPr="009F1D15">
        <w:rPr>
          <w:sz w:val="20"/>
          <w:lang w:val="en-US"/>
        </w:rPr>
        <w:t>neutrali</w:t>
      </w:r>
      <w:r>
        <w:rPr>
          <w:sz w:val="20"/>
          <w:lang w:val="en-US"/>
        </w:rPr>
        <w:t>s</w:t>
      </w:r>
      <w:r w:rsidRPr="009F1D15">
        <w:rPr>
          <w:sz w:val="20"/>
          <w:lang w:val="en-US"/>
        </w:rPr>
        <w:t>ing</w:t>
      </w:r>
      <w:proofErr w:type="spellEnd"/>
      <w:r w:rsidRPr="009F1D15">
        <w:rPr>
          <w:sz w:val="20"/>
          <w:lang w:val="en-US"/>
        </w:rPr>
        <w:t xml:space="preserve"> antibodies </w:t>
      </w:r>
      <w:proofErr w:type="spellStart"/>
      <w:r w:rsidRPr="009F1D15">
        <w:rPr>
          <w:sz w:val="20"/>
          <w:lang w:val="en-US"/>
        </w:rPr>
        <w:t>utili</w:t>
      </w:r>
      <w:r>
        <w:rPr>
          <w:sz w:val="20"/>
          <w:lang w:val="en-US"/>
        </w:rPr>
        <w:t>s</w:t>
      </w:r>
      <w:r w:rsidRPr="009F1D15">
        <w:rPr>
          <w:sz w:val="20"/>
          <w:lang w:val="en-US"/>
        </w:rPr>
        <w:t>es</w:t>
      </w:r>
      <w:proofErr w:type="spellEnd"/>
      <w:r w:rsidRPr="009F1D15">
        <w:rPr>
          <w:sz w:val="20"/>
          <w:lang w:val="en-US"/>
        </w:rPr>
        <w:t xml:space="preserve"> lentivirus particles expressing SARS-CoV-2 Spike protein on their surface and contains a firefly luciferase (Luc) reporter gene for quantitative measurements of infection by relative luminescence units (RLU). </w:t>
      </w:r>
      <w:proofErr w:type="spellStart"/>
      <w:r w:rsidRPr="009F1D15">
        <w:rPr>
          <w:sz w:val="20"/>
          <w:lang w:val="en-US"/>
        </w:rPr>
        <w:t>Neutrali</w:t>
      </w:r>
      <w:r>
        <w:rPr>
          <w:sz w:val="20"/>
          <w:lang w:val="en-US"/>
        </w:rPr>
        <w:t>s</w:t>
      </w:r>
      <w:r w:rsidRPr="009F1D15">
        <w:rPr>
          <w:sz w:val="20"/>
          <w:lang w:val="en-US"/>
        </w:rPr>
        <w:t>ation</w:t>
      </w:r>
      <w:proofErr w:type="spellEnd"/>
      <w:r w:rsidRPr="009F1D15">
        <w:rPr>
          <w:sz w:val="20"/>
          <w:lang w:val="en-US"/>
        </w:rPr>
        <w:t xml:space="preserve"> is measured as the serum dilution at which RLU is reduced by 50% (ID50) relative to mean RLU in virus control wells virus but after subtraction of mean RLU in cell control wells.</w:t>
      </w:r>
    </w:p>
    <w:p w14:paraId="53106A96" w14:textId="5D857943" w:rsidR="00563EAA" w:rsidRPr="00136F1B" w:rsidRDefault="00563EAA" w:rsidP="00563EAA">
      <w:pPr>
        <w:spacing w:after="0" w:line="240" w:lineRule="auto"/>
        <w:rPr>
          <w:sz w:val="20"/>
          <w:lang w:val="en-US"/>
        </w:rPr>
      </w:pPr>
      <w:r w:rsidRPr="00136F1B">
        <w:rPr>
          <w:sz w:val="20"/>
          <w:lang w:val="en-US"/>
        </w:rPr>
        <w:t xml:space="preserve">¶ Seroresponse due to vaccination specific to </w:t>
      </w:r>
      <w:proofErr w:type="spellStart"/>
      <w:r w:rsidRPr="00136F1B">
        <w:rPr>
          <w:sz w:val="20"/>
          <w:lang w:val="en-US"/>
        </w:rPr>
        <w:t>pseudovirus</w:t>
      </w:r>
      <w:proofErr w:type="spellEnd"/>
      <w:r w:rsidRPr="00136F1B">
        <w:rPr>
          <w:sz w:val="20"/>
          <w:lang w:val="en-US"/>
        </w:rPr>
        <w:t xml:space="preserve"> </w:t>
      </w:r>
      <w:proofErr w:type="spellStart"/>
      <w:r w:rsidRPr="00136F1B">
        <w:rPr>
          <w:sz w:val="20"/>
          <w:lang w:val="en-US"/>
        </w:rPr>
        <w:t>neutrali</w:t>
      </w:r>
      <w:r>
        <w:rPr>
          <w:sz w:val="20"/>
          <w:lang w:val="en-US"/>
        </w:rPr>
        <w:t>s</w:t>
      </w:r>
      <w:r w:rsidRPr="00136F1B">
        <w:rPr>
          <w:sz w:val="20"/>
          <w:lang w:val="en-US"/>
        </w:rPr>
        <w:t>ing</w:t>
      </w:r>
      <w:proofErr w:type="spellEnd"/>
      <w:r w:rsidRPr="00136F1B">
        <w:rPr>
          <w:sz w:val="20"/>
          <w:lang w:val="en-US"/>
        </w:rPr>
        <w:t xml:space="preserve"> antibody ID50 titer at a subject level is defined as a change from below LLOQ to equal or above LLOQ, or at least a 3.3-fold rise if baseline is equal to or above LLOQ.</w:t>
      </w:r>
    </w:p>
    <w:p w14:paraId="37D5E9BD" w14:textId="35D559B4" w:rsidR="00563EAA" w:rsidRDefault="00563EAA" w:rsidP="00563EAA">
      <w:pPr>
        <w:spacing w:after="0" w:line="240" w:lineRule="auto"/>
        <w:rPr>
          <w:sz w:val="20"/>
          <w:lang w:val="en-US"/>
        </w:rPr>
      </w:pPr>
      <w:r w:rsidRPr="00136F1B">
        <w:rPr>
          <w:sz w:val="20"/>
          <w:lang w:val="en-US"/>
        </w:rPr>
        <w:t># Difference in seroresponse rate 95% CI is calculated using the Miettinen-Nurminen (score) confidence limits.</w:t>
      </w:r>
    </w:p>
    <w:p w14:paraId="54DF0ED4" w14:textId="77777777" w:rsidR="00CE00DF" w:rsidRPr="00136F1B" w:rsidRDefault="00CE00DF" w:rsidP="00563EAA">
      <w:pPr>
        <w:spacing w:after="0" w:line="240" w:lineRule="auto"/>
        <w:rPr>
          <w:sz w:val="20"/>
          <w:lang w:val="en-US"/>
        </w:rPr>
      </w:pPr>
    </w:p>
    <w:p w14:paraId="06918E3C" w14:textId="08DE077A" w:rsidR="00296302" w:rsidRDefault="00296302" w:rsidP="00CE00DF">
      <w:pPr>
        <w:pStyle w:val="Heading4"/>
      </w:pPr>
      <w:r>
        <w:t>Immunogenicity in immunocompromised recipients</w:t>
      </w:r>
    </w:p>
    <w:p w14:paraId="449F8CF6" w14:textId="04F4B38C" w:rsidR="00296302" w:rsidRDefault="00296302" w:rsidP="00407072">
      <w:pPr>
        <w:rPr>
          <w:rFonts w:cs="Arial"/>
          <w:bCs/>
        </w:rPr>
      </w:pPr>
      <w:r w:rsidRPr="00E10F09">
        <w:rPr>
          <w:lang w:val="en-US"/>
        </w:rPr>
        <w:t>From an independent report (</w:t>
      </w:r>
      <w:r w:rsidRPr="00E10F09">
        <w:rPr>
          <w:i/>
          <w:iCs/>
          <w:lang w:val="en-US"/>
        </w:rPr>
        <w:t>Hall VG, Ferreira VH, Ku T et al. Randomized Trial of a Third Dose of mRNA-1273 Vaccine in Transplant Recipients. N Engl J Med</w:t>
      </w:r>
      <w:r w:rsidRPr="00E10F09">
        <w:rPr>
          <w:lang w:val="en-US"/>
        </w:rPr>
        <w:t xml:space="preserve">), </w:t>
      </w:r>
      <w:r>
        <w:t xml:space="preserve">a separate randomised controlled study has been conducted in 120 participants who had undergone various solid organ transplant procedures (heart, kidney, kidney-pancreas, liver, lung, pancreas) a median of 3.57 years previously (range 1.99-6.75 years). A third dose (0.5 mL) of </w:t>
      </w:r>
      <w:r w:rsidR="00DE1DD7">
        <w:rPr>
          <w:rFonts w:cs="Arial"/>
          <w:bCs/>
        </w:rPr>
        <w:t>SPIKEVAX</w:t>
      </w:r>
      <w:r>
        <w:rPr>
          <w:rFonts w:cs="Arial"/>
          <w:bCs/>
        </w:rPr>
        <w:t xml:space="preserve"> was administered to 60 participants approximately 2 months after they had received a second dose; saline placebo was given to 60 </w:t>
      </w:r>
      <w:r>
        <w:rPr>
          <w:rFonts w:cs="Arial"/>
          <w:bCs/>
        </w:rPr>
        <w:lastRenderedPageBreak/>
        <w:t>individuals for comparison</w:t>
      </w:r>
      <w:r w:rsidR="00896233">
        <w:rPr>
          <w:rFonts w:cs="Arial"/>
          <w:bCs/>
        </w:rPr>
        <w:t xml:space="preserve"> (</w:t>
      </w:r>
      <w:r w:rsidR="00896233" w:rsidRPr="7CDE0494">
        <w:t>NCT04885907</w:t>
      </w:r>
      <w:r w:rsidR="00896233">
        <w:t>)</w:t>
      </w:r>
      <w:r>
        <w:rPr>
          <w:rFonts w:cs="Arial"/>
          <w:bCs/>
        </w:rPr>
        <w:t xml:space="preserve">. Significant increases in levels of SARS-CoV-2 antibodies occurred four weeks after the third dose in 55.0% of participants in the </w:t>
      </w:r>
      <w:r w:rsidR="00DE1DD7">
        <w:rPr>
          <w:rFonts w:cs="Arial"/>
          <w:bCs/>
        </w:rPr>
        <w:t>SPIKEVAX</w:t>
      </w:r>
      <w:r>
        <w:rPr>
          <w:rFonts w:cs="Arial"/>
          <w:bCs/>
        </w:rPr>
        <w:t xml:space="preserve"> group (33 of 60) and 17.5% of participants in the placebo group (10 of 57).</w:t>
      </w:r>
    </w:p>
    <w:p w14:paraId="3A98A4B4" w14:textId="77777777" w:rsidR="0017068F" w:rsidRDefault="0017068F" w:rsidP="00296302">
      <w:pPr>
        <w:spacing w:after="0" w:line="240" w:lineRule="auto"/>
        <w:rPr>
          <w:rFonts w:cs="Arial"/>
          <w:bCs/>
        </w:rPr>
      </w:pPr>
    </w:p>
    <w:p w14:paraId="042031EC" w14:textId="120CD851" w:rsidR="0017068F" w:rsidRDefault="0017068F" w:rsidP="0017068F">
      <w:pPr>
        <w:pStyle w:val="Heading4"/>
      </w:pPr>
      <w:r>
        <w:t>Immunogenicity in participants</w:t>
      </w:r>
      <w:r w:rsidR="001B7785">
        <w:t xml:space="preserve"> </w:t>
      </w:r>
      <w:r w:rsidR="001B7785" w:rsidRPr="001B7785">
        <w:t>18 years of age and older – after booster dose (0.25 mL, 50 micrograms)</w:t>
      </w:r>
    </w:p>
    <w:p w14:paraId="6227E4E1" w14:textId="26FBB902" w:rsidR="0017068F" w:rsidRDefault="0017068F" w:rsidP="00407072">
      <w:pPr>
        <w:rPr>
          <w:lang w:val="en-US"/>
        </w:rPr>
      </w:pPr>
      <w:r w:rsidRPr="008A2428">
        <w:rPr>
          <w:lang w:val="en-US"/>
        </w:rPr>
        <w:t xml:space="preserve">Study </w:t>
      </w:r>
      <w:r>
        <w:rPr>
          <w:lang w:val="en-US"/>
        </w:rPr>
        <w:t xml:space="preserve">3 </w:t>
      </w:r>
      <w:r w:rsidRPr="008A2428">
        <w:rPr>
          <w:lang w:val="en-US"/>
        </w:rPr>
        <w:t xml:space="preserve">is an ongoing Phase 2, </w:t>
      </w:r>
      <w:proofErr w:type="spellStart"/>
      <w:r w:rsidRPr="008A2428">
        <w:rPr>
          <w:lang w:val="en-US"/>
        </w:rPr>
        <w:t>randomi</w:t>
      </w:r>
      <w:r>
        <w:rPr>
          <w:lang w:val="en-US"/>
        </w:rPr>
        <w:t>s</w:t>
      </w:r>
      <w:r w:rsidRPr="008A2428">
        <w:rPr>
          <w:lang w:val="en-US"/>
        </w:rPr>
        <w:t>ed</w:t>
      </w:r>
      <w:proofErr w:type="spellEnd"/>
      <w:r w:rsidRPr="008A2428">
        <w:rPr>
          <w:lang w:val="en-US"/>
        </w:rPr>
        <w:t xml:space="preserve">, observer-blind, placebo-controlled, dose-confirmation study to evaluate the safety, reactogenicity, and immunogenicity of </w:t>
      </w:r>
      <w:r>
        <w:rPr>
          <w:lang w:val="en-US"/>
        </w:rPr>
        <w:t>SPIKEVAX</w:t>
      </w:r>
      <w:r w:rsidRPr="008A2428">
        <w:rPr>
          <w:lang w:val="en-US"/>
        </w:rPr>
        <w:t xml:space="preserve"> in participants 18 year</w:t>
      </w:r>
      <w:r>
        <w:rPr>
          <w:lang w:val="en-US"/>
        </w:rPr>
        <w:t>s</w:t>
      </w:r>
      <w:r w:rsidRPr="008A2428">
        <w:rPr>
          <w:lang w:val="en-US"/>
        </w:rPr>
        <w:t xml:space="preserve"> of age and older (NCT04405076). In </w:t>
      </w:r>
      <w:r>
        <w:rPr>
          <w:lang w:val="en-US"/>
        </w:rPr>
        <w:t>this</w:t>
      </w:r>
      <w:r w:rsidRPr="008A2428">
        <w:rPr>
          <w:lang w:val="en-US"/>
        </w:rPr>
        <w:t xml:space="preserve"> study, </w:t>
      </w:r>
      <w:r>
        <w:rPr>
          <w:lang w:val="en-US"/>
        </w:rPr>
        <w:t>198 </w:t>
      </w:r>
      <w:r w:rsidRPr="008A2428">
        <w:rPr>
          <w:lang w:val="en-US"/>
        </w:rPr>
        <w:t xml:space="preserve">participants received two doses (0.5 mL 1 month apart) of </w:t>
      </w:r>
      <w:r>
        <w:rPr>
          <w:lang w:val="en-US"/>
        </w:rPr>
        <w:t>SPIKEVAX (</w:t>
      </w:r>
      <w:r w:rsidRPr="008A2428">
        <w:rPr>
          <w:lang w:val="en-US"/>
        </w:rPr>
        <w:t>primary series</w:t>
      </w:r>
      <w:r>
        <w:rPr>
          <w:lang w:val="en-US"/>
        </w:rPr>
        <w:t>)</w:t>
      </w:r>
      <w:r w:rsidRPr="008A2428">
        <w:rPr>
          <w:lang w:val="en-US"/>
        </w:rPr>
        <w:t>.</w:t>
      </w:r>
      <w:r>
        <w:rPr>
          <w:rStyle w:val="EndnoteReference"/>
          <w:lang w:val="en-US"/>
        </w:rPr>
        <w:t xml:space="preserve"> </w:t>
      </w:r>
      <w:r w:rsidRPr="008A2428">
        <w:rPr>
          <w:lang w:val="en-US"/>
        </w:rPr>
        <w:t xml:space="preserve">In </w:t>
      </w:r>
      <w:r>
        <w:rPr>
          <w:lang w:val="en-US"/>
        </w:rPr>
        <w:t xml:space="preserve">an </w:t>
      </w:r>
      <w:r w:rsidRPr="008A2428">
        <w:rPr>
          <w:lang w:val="en-US"/>
        </w:rPr>
        <w:t xml:space="preserve">open-label phase, </w:t>
      </w:r>
      <w:r>
        <w:rPr>
          <w:lang w:val="en-US"/>
        </w:rPr>
        <w:t xml:space="preserve">149 of those </w:t>
      </w:r>
      <w:r w:rsidRPr="008A2428">
        <w:rPr>
          <w:lang w:val="en-US"/>
        </w:rPr>
        <w:t xml:space="preserve">participants </w:t>
      </w:r>
      <w:r>
        <w:rPr>
          <w:lang w:val="en-US"/>
        </w:rPr>
        <w:t xml:space="preserve">(Per-Protocol Set) </w:t>
      </w:r>
      <w:r w:rsidRPr="008A2428">
        <w:rPr>
          <w:lang w:val="en-US"/>
        </w:rPr>
        <w:t xml:space="preserve">received a single booster dose (0.25 mL) at least 6 months after receiving the second dose in the primary series. A single booster dose (0.25 mL) was shown to </w:t>
      </w:r>
      <w:r w:rsidR="0014269B" w:rsidRPr="0014269B">
        <w:rPr>
          <w:lang w:val="en-US"/>
        </w:rPr>
        <w:t xml:space="preserve">result in a geometric mean fold rise (GMFR) of 12.99 (95% CI: 11.04, 15.29) in </w:t>
      </w:r>
      <w:proofErr w:type="spellStart"/>
      <w:r w:rsidR="0014269B" w:rsidRPr="0014269B">
        <w:rPr>
          <w:lang w:val="en-US"/>
        </w:rPr>
        <w:t>neutralising</w:t>
      </w:r>
      <w:proofErr w:type="spellEnd"/>
      <w:r w:rsidR="0014269B" w:rsidRPr="0014269B">
        <w:rPr>
          <w:lang w:val="en-US"/>
        </w:rPr>
        <w:t xml:space="preserve"> antibodies from pre-booster compared to 28 days after the booster dose. The GMFR in </w:t>
      </w:r>
      <w:proofErr w:type="spellStart"/>
      <w:r w:rsidR="0014269B" w:rsidRPr="0014269B">
        <w:rPr>
          <w:lang w:val="en-US"/>
        </w:rPr>
        <w:t>neutralising</w:t>
      </w:r>
      <w:proofErr w:type="spellEnd"/>
      <w:r w:rsidR="0014269B" w:rsidRPr="0014269B">
        <w:rPr>
          <w:lang w:val="en-US"/>
        </w:rPr>
        <w:t xml:space="preserve"> antibodies was 1.53 (95% CI: 1.32, 1.77) when compared 28 days post dose 2 (primary series) to 28 days after the booster dose</w:t>
      </w:r>
      <w:r w:rsidRPr="008A2428">
        <w:rPr>
          <w:lang w:val="en-US"/>
        </w:rPr>
        <w:t>.</w:t>
      </w:r>
    </w:p>
    <w:p w14:paraId="7B40C51B" w14:textId="42FF2152" w:rsidR="00296302" w:rsidRDefault="00296302" w:rsidP="00CE00DF">
      <w:pPr>
        <w:spacing w:after="0" w:line="240" w:lineRule="auto"/>
        <w:rPr>
          <w:rFonts w:cs="Arial"/>
          <w:bCs/>
          <w:lang w:val="en-US"/>
        </w:rPr>
      </w:pPr>
    </w:p>
    <w:p w14:paraId="47A4C3C2" w14:textId="616F92C7" w:rsidR="00173960" w:rsidRPr="00E15CD5" w:rsidRDefault="00173960" w:rsidP="00E15CD5">
      <w:pPr>
        <w:pStyle w:val="Heading4"/>
      </w:pPr>
      <w:bookmarkStart w:id="10" w:name="_Hlk87889382"/>
      <w:r w:rsidRPr="00E15CD5">
        <w:t>Immunogenicity of a booster dose following primary vaccination with another authorised or approved COVID-19 vaccine in adults 18 years of age and older</w:t>
      </w:r>
    </w:p>
    <w:bookmarkEnd w:id="10"/>
    <w:p w14:paraId="16F6BB73" w14:textId="57113910" w:rsidR="00173960" w:rsidRPr="00173960" w:rsidRDefault="00173960" w:rsidP="00407072">
      <w:pPr>
        <w:rPr>
          <w:rFonts w:cs="Arial"/>
          <w:bCs/>
          <w:lang w:val="en-US"/>
        </w:rPr>
      </w:pPr>
      <w:r w:rsidRPr="00173960">
        <w:rPr>
          <w:rFonts w:cs="Arial"/>
          <w:bCs/>
          <w:lang w:val="en-US"/>
        </w:rPr>
        <w:t xml:space="preserve">Effectiveness of a </w:t>
      </w:r>
      <w:r w:rsidR="0039547D" w:rsidRPr="0039547D">
        <w:rPr>
          <w:rFonts w:cs="Arial"/>
          <w:bCs/>
          <w:lang w:val="en-US"/>
        </w:rPr>
        <w:t xml:space="preserve">SPIKEVAX </w:t>
      </w:r>
      <w:r w:rsidRPr="00173960">
        <w:rPr>
          <w:rFonts w:cs="Arial"/>
          <w:bCs/>
          <w:lang w:val="en-US"/>
        </w:rPr>
        <w:t xml:space="preserve">(0.25 mL) booster dose in individuals who completed primary vaccination with another </w:t>
      </w:r>
      <w:proofErr w:type="spellStart"/>
      <w:r w:rsidRPr="00173960">
        <w:rPr>
          <w:rFonts w:cs="Arial"/>
          <w:bCs/>
          <w:lang w:val="en-US"/>
        </w:rPr>
        <w:t>authorised</w:t>
      </w:r>
      <w:proofErr w:type="spellEnd"/>
      <w:r w:rsidRPr="00173960">
        <w:rPr>
          <w:rFonts w:cs="Arial"/>
          <w:bCs/>
          <w:lang w:val="en-US"/>
        </w:rPr>
        <w:t xml:space="preserve"> or approved COVID-19 Vaccine (heterologous booster dose) is inferred from immunogenicity data supporting effectiveness of a </w:t>
      </w:r>
      <w:r w:rsidR="0039547D" w:rsidRPr="0039547D">
        <w:rPr>
          <w:rFonts w:cs="Arial"/>
          <w:bCs/>
          <w:lang w:val="en-US"/>
        </w:rPr>
        <w:t xml:space="preserve">SPIKEVAX </w:t>
      </w:r>
      <w:r w:rsidRPr="00173960">
        <w:rPr>
          <w:rFonts w:cs="Arial"/>
          <w:bCs/>
          <w:lang w:val="en-US"/>
        </w:rPr>
        <w:t xml:space="preserve">(0.25 mL) booster dose administered following completion of a </w:t>
      </w:r>
      <w:r w:rsidR="0039547D" w:rsidRPr="0039547D">
        <w:rPr>
          <w:rFonts w:cs="Arial"/>
          <w:bCs/>
          <w:lang w:val="en-US"/>
        </w:rPr>
        <w:t xml:space="preserve">SPIKEVAX </w:t>
      </w:r>
      <w:r w:rsidRPr="00173960">
        <w:rPr>
          <w:rFonts w:cs="Arial"/>
          <w:bCs/>
          <w:lang w:val="en-US"/>
        </w:rPr>
        <w:t xml:space="preserve">primary series and from immunogenicity data from an independent Phase 1/2 open-label clinical trial (NCT04889209) conducted in the United States that evaluated a heterologous booster dose (0.5 mL) of </w:t>
      </w:r>
      <w:r w:rsidR="0039547D" w:rsidRPr="0039547D">
        <w:rPr>
          <w:rFonts w:cs="Arial"/>
          <w:bCs/>
          <w:lang w:val="en-US"/>
        </w:rPr>
        <w:t>SPIKEVAX</w:t>
      </w:r>
      <w:r w:rsidRPr="00173960">
        <w:rPr>
          <w:rFonts w:cs="Arial"/>
          <w:bCs/>
          <w:lang w:val="en-US"/>
        </w:rPr>
        <w:t xml:space="preserve">. In this study, adults who had completed primary vaccination with a </w:t>
      </w:r>
      <w:r w:rsidR="0039547D" w:rsidRPr="0039547D">
        <w:rPr>
          <w:rFonts w:cs="Arial"/>
          <w:bCs/>
          <w:lang w:val="en-US"/>
        </w:rPr>
        <w:t xml:space="preserve">SPIKEVAX </w:t>
      </w:r>
      <w:r w:rsidRPr="00173960">
        <w:rPr>
          <w:rFonts w:cs="Arial"/>
          <w:bCs/>
          <w:lang w:val="en-US"/>
        </w:rPr>
        <w:t xml:space="preserve">2-dose series (N=151), a </w:t>
      </w:r>
      <w:r w:rsidR="00E15CD5" w:rsidRPr="00E15CD5">
        <w:rPr>
          <w:rFonts w:cs="Arial"/>
          <w:bCs/>
          <w:lang w:val="en-US"/>
        </w:rPr>
        <w:t>COVID-19 Vaccine Janssen</w:t>
      </w:r>
      <w:r w:rsidR="00E15CD5" w:rsidRPr="00E15CD5" w:rsidDel="00E15CD5">
        <w:rPr>
          <w:rFonts w:cs="Arial"/>
          <w:bCs/>
          <w:lang w:val="en-US"/>
        </w:rPr>
        <w:t xml:space="preserve"> </w:t>
      </w:r>
      <w:r w:rsidRPr="00173960">
        <w:rPr>
          <w:rFonts w:cs="Arial"/>
          <w:bCs/>
          <w:lang w:val="en-US"/>
        </w:rPr>
        <w:t>single dose (N=</w:t>
      </w:r>
      <w:r w:rsidRPr="00407072">
        <w:rPr>
          <w:lang w:val="en-US"/>
        </w:rPr>
        <w:t>156</w:t>
      </w:r>
      <w:r w:rsidRPr="00173960">
        <w:rPr>
          <w:rFonts w:cs="Arial"/>
          <w:bCs/>
          <w:lang w:val="en-US"/>
        </w:rPr>
        <w:t xml:space="preserve">), or a </w:t>
      </w:r>
      <w:r w:rsidR="00E15CD5">
        <w:rPr>
          <w:rFonts w:cs="Arial"/>
          <w:bCs/>
          <w:lang w:val="en-US"/>
        </w:rPr>
        <w:t>COMIRNATY</w:t>
      </w:r>
      <w:r w:rsidRPr="00173960">
        <w:rPr>
          <w:rFonts w:cs="Arial"/>
          <w:bCs/>
          <w:lang w:val="en-US"/>
        </w:rPr>
        <w:t xml:space="preserve"> 2-dose series (N=151) at least 12 weeks prior to enrollment and who reported no history of SARS-CoV-2 infection were randomized 1:1:1 to receive a booster dose of one of three vaccines: </w:t>
      </w:r>
      <w:r w:rsidR="0039547D" w:rsidRPr="0039547D">
        <w:rPr>
          <w:rFonts w:cs="Arial"/>
          <w:bCs/>
          <w:lang w:val="en-US"/>
        </w:rPr>
        <w:t>SPIKEVAX</w:t>
      </w:r>
      <w:r w:rsidRPr="00173960">
        <w:rPr>
          <w:rFonts w:cs="Arial"/>
          <w:bCs/>
          <w:lang w:val="en-US"/>
        </w:rPr>
        <w:t xml:space="preserve">, </w:t>
      </w:r>
      <w:bookmarkStart w:id="11" w:name="_Hlk86924229"/>
      <w:r w:rsidR="00E15CD5" w:rsidRPr="00E15CD5">
        <w:rPr>
          <w:rFonts w:cs="Arial"/>
          <w:bCs/>
          <w:lang w:val="en-US"/>
        </w:rPr>
        <w:t>COVID-19 Vaccine Janssen</w:t>
      </w:r>
      <w:bookmarkEnd w:id="11"/>
      <w:r w:rsidRPr="00173960">
        <w:rPr>
          <w:rFonts w:cs="Arial"/>
          <w:bCs/>
          <w:lang w:val="en-US"/>
        </w:rPr>
        <w:t xml:space="preserve">, or </w:t>
      </w:r>
      <w:r w:rsidR="00E15CD5">
        <w:rPr>
          <w:rFonts w:cs="Arial"/>
          <w:bCs/>
          <w:lang w:val="en-US"/>
        </w:rPr>
        <w:t>COMIRNATY</w:t>
      </w:r>
      <w:r w:rsidRPr="00173960">
        <w:rPr>
          <w:rFonts w:cs="Arial"/>
          <w:bCs/>
          <w:lang w:val="en-US"/>
        </w:rPr>
        <w:t xml:space="preserve">. Neutralizing antibody titers, as measured by a pseudovirus neutralization assay using a lentivirus expressing the SARS-CoV-2 Spike protein with D614G mutation, were assessed on Day 1 prior to administration of the booster dose and on Day 15 after the booster dose. A booster response to </w:t>
      </w:r>
      <w:r w:rsidR="0039547D" w:rsidRPr="0039547D">
        <w:rPr>
          <w:rFonts w:cs="Arial"/>
          <w:bCs/>
          <w:lang w:val="en-US"/>
        </w:rPr>
        <w:t xml:space="preserve">SPIKEVAX </w:t>
      </w:r>
      <w:r w:rsidRPr="00173960">
        <w:rPr>
          <w:rFonts w:cs="Arial"/>
          <w:bCs/>
          <w:lang w:val="en-US"/>
        </w:rPr>
        <w:t>(0.5 mL) was demonstrated regardless of primary vaccination.</w:t>
      </w:r>
    </w:p>
    <w:p w14:paraId="50AE0EA5" w14:textId="77777777" w:rsidR="00173960" w:rsidRPr="0017068F" w:rsidRDefault="00173960" w:rsidP="00CE00DF">
      <w:pPr>
        <w:spacing w:after="0" w:line="240" w:lineRule="auto"/>
        <w:rPr>
          <w:rFonts w:cs="Arial"/>
          <w:bCs/>
          <w:lang w:val="en-US"/>
        </w:rPr>
      </w:pPr>
    </w:p>
    <w:p w14:paraId="6C3B658C" w14:textId="03293C46" w:rsidR="001A3992" w:rsidRDefault="001A3992" w:rsidP="001A3992">
      <w:pPr>
        <w:pStyle w:val="Heading2"/>
        <w:keepNext/>
        <w:spacing w:before="0" w:after="120"/>
        <w:rPr>
          <w:lang w:val="en-US"/>
        </w:rPr>
      </w:pPr>
      <w:r w:rsidRPr="00EC3C40">
        <w:rPr>
          <w:lang w:val="en-US"/>
        </w:rPr>
        <w:t xml:space="preserve">Pharmacokinetic properties </w:t>
      </w:r>
    </w:p>
    <w:p w14:paraId="68BC7B1F" w14:textId="694B89FF" w:rsidR="00597DA5" w:rsidRPr="00597DA5" w:rsidRDefault="00DE1B60" w:rsidP="00597DA5">
      <w:pPr>
        <w:rPr>
          <w:lang w:val="en-US"/>
        </w:rPr>
      </w:pPr>
      <w:r>
        <w:rPr>
          <w:lang w:val="en-US"/>
        </w:rPr>
        <w:t>No</w:t>
      </w:r>
      <w:r w:rsidR="005A2B7E">
        <w:rPr>
          <w:lang w:val="en-US"/>
        </w:rPr>
        <w:t>t</w:t>
      </w:r>
      <w:r>
        <w:rPr>
          <w:lang w:val="en-US"/>
        </w:rPr>
        <w:t xml:space="preserve"> applicable</w:t>
      </w:r>
    </w:p>
    <w:p w14:paraId="489BC19C" w14:textId="7583B895" w:rsidR="001A3992" w:rsidRDefault="001A3992" w:rsidP="001A3992">
      <w:pPr>
        <w:pStyle w:val="Heading2"/>
        <w:spacing w:before="0" w:after="120"/>
        <w:rPr>
          <w:lang w:val="en-US"/>
        </w:rPr>
      </w:pPr>
      <w:r w:rsidRPr="00EC3C40">
        <w:rPr>
          <w:lang w:val="en-US"/>
        </w:rPr>
        <w:t>Preclinical safety data</w:t>
      </w:r>
    </w:p>
    <w:p w14:paraId="47544800" w14:textId="16F61E9B" w:rsidR="00406C76" w:rsidRDefault="001A3992" w:rsidP="00DD7C09">
      <w:pPr>
        <w:pStyle w:val="Heading3"/>
      </w:pPr>
      <w:r w:rsidRPr="00B878CC">
        <w:lastRenderedPageBreak/>
        <w:t>Genotoxicity</w:t>
      </w:r>
    </w:p>
    <w:p w14:paraId="7B00CFBC" w14:textId="18077E89" w:rsidR="00630365" w:rsidRPr="00630365" w:rsidRDefault="00630365" w:rsidP="00407072">
      <w:r>
        <w:t>The novel lipid components SM-102 and PEG-2000-DMG of the vaccine were negative in the bacterial reverse mutation Ames test and in vitro micronucleus test in human peripheral blood lymphocytes. A luciferase mRNA in SM102-containing lipid nanoparticles was negative in a rat bone marrow micronucleus assay (IV dose of SM-102 28.5 mg/kg, PEG-2000-DMG 2.8 mg/kg), whilst a surrogate ZIKA mRNA-based vaccine formulated in SM-102-containing lipid nanoparticles induced micronuclei in male rats, but not in females (IV dose of SM-102 60 mg/kg, PEG-2000-DMG 6 mg/kg). The weight of evidence suggests the genotoxicity potential of the novel lipid components SM-102 and PEG-2000-DMG is very low. The other components of SPIKEVAX (other lipids and mRNA) are not expected to be genotoxic.</w:t>
      </w:r>
    </w:p>
    <w:p w14:paraId="1A5F5A36" w14:textId="684F5A9E" w:rsidR="001A3992" w:rsidRDefault="00BD599F" w:rsidP="00DD7C09">
      <w:pPr>
        <w:pStyle w:val="Heading3"/>
      </w:pPr>
      <w:r>
        <w:t>Carcinogenicity</w:t>
      </w:r>
    </w:p>
    <w:p w14:paraId="78D2C495" w14:textId="7F6DDAC3" w:rsidR="00BD599F" w:rsidRDefault="00BD599F" w:rsidP="00407072">
      <w:r>
        <w:t>Carcinogenicity studies were not performed.</w:t>
      </w:r>
      <w:r w:rsidR="00630365">
        <w:t xml:space="preserve"> The components of the vaccine (lipids and mRNA) are not expected to have carcinogenic potential.</w:t>
      </w:r>
    </w:p>
    <w:p w14:paraId="49EFDDCB" w14:textId="77777777" w:rsidR="001A3992" w:rsidRPr="000A640E" w:rsidRDefault="001A3992" w:rsidP="000A640E">
      <w:pPr>
        <w:pStyle w:val="Heading1"/>
      </w:pPr>
      <w:r w:rsidRPr="000A640E">
        <w:t>Pharmaceutical particulars</w:t>
      </w:r>
    </w:p>
    <w:p w14:paraId="121C9076" w14:textId="7EA5E4C3" w:rsidR="005B2812" w:rsidRPr="000A640E" w:rsidRDefault="005B2812" w:rsidP="000A640E">
      <w:pPr>
        <w:pStyle w:val="Heading2"/>
      </w:pPr>
      <w:r w:rsidRPr="000A640E">
        <w:t xml:space="preserve">List of excipients </w:t>
      </w:r>
    </w:p>
    <w:p w14:paraId="2EC4396F" w14:textId="41A3E830" w:rsidR="00681900" w:rsidRDefault="00153F16" w:rsidP="00B56B78">
      <w:pPr>
        <w:spacing w:after="0"/>
      </w:pPr>
      <w:r>
        <w:t>H</w:t>
      </w:r>
      <w:r w:rsidR="00B56B78">
        <w:t>eptadecan-9-yl 8-[2-hydroxyethyl-(6-oxo-6-</w:t>
      </w:r>
      <w:proofErr w:type="gramStart"/>
      <w:r w:rsidR="00B56B78">
        <w:t>undecoxyhexyl)amino</w:t>
      </w:r>
      <w:proofErr w:type="gramEnd"/>
      <w:r w:rsidR="00B56B78">
        <w:t>]octanoate</w:t>
      </w:r>
    </w:p>
    <w:p w14:paraId="19C75F05" w14:textId="234D42AE" w:rsidR="00CE2A49" w:rsidRDefault="00CE2A49" w:rsidP="00F511AB">
      <w:pPr>
        <w:spacing w:after="0"/>
      </w:pPr>
      <w:r>
        <w:t>Cholesterol</w:t>
      </w:r>
    </w:p>
    <w:p w14:paraId="4EF41D87" w14:textId="3A444D01" w:rsidR="00815A3E" w:rsidRDefault="00815A3E" w:rsidP="00FD04F9">
      <w:pPr>
        <w:spacing w:after="0"/>
      </w:pPr>
      <w:r w:rsidRPr="005B55F8">
        <w:t>D</w:t>
      </w:r>
      <w:r w:rsidR="005B55F8" w:rsidRPr="005B55F8">
        <w:t>istearoylphosphatidylcholine</w:t>
      </w:r>
    </w:p>
    <w:p w14:paraId="6D94CF6D" w14:textId="1D9F5E64" w:rsidR="00FD04F9" w:rsidRPr="008A3511" w:rsidRDefault="00952542" w:rsidP="00FD04F9">
      <w:pPr>
        <w:spacing w:after="0"/>
        <w:rPr>
          <w:lang w:val="en-US"/>
        </w:rPr>
      </w:pPr>
      <w:r>
        <w:rPr>
          <w:rFonts w:ascii="Calibri" w:hAnsi="Calibri" w:cs="Calibri"/>
          <w:lang w:eastAsia="ja-JP"/>
        </w:rPr>
        <w:t>1,</w:t>
      </w:r>
      <w:r w:rsidR="00B56B78">
        <w:rPr>
          <w:rFonts w:ascii="Calibri" w:hAnsi="Calibri" w:cs="Calibri"/>
          <w:lang w:eastAsia="ja-JP"/>
        </w:rPr>
        <w:t>2-dimyristoyl-rac-glycero-3-methoxypolyethylene glycol-2000</w:t>
      </w:r>
    </w:p>
    <w:p w14:paraId="3D461104" w14:textId="51881B86" w:rsidR="00CE2A49" w:rsidRDefault="00633ABF" w:rsidP="00F511AB">
      <w:pPr>
        <w:spacing w:after="0"/>
      </w:pPr>
      <w:r>
        <w:t>Trometamol</w:t>
      </w:r>
    </w:p>
    <w:p w14:paraId="74ED61C8" w14:textId="71F09036" w:rsidR="00CE2A49" w:rsidRDefault="00633ABF" w:rsidP="00F511AB">
      <w:pPr>
        <w:spacing w:after="0"/>
      </w:pPr>
      <w:r>
        <w:t xml:space="preserve">Trometamol </w:t>
      </w:r>
      <w:r w:rsidR="00CE2A49">
        <w:t>hydrochloride</w:t>
      </w:r>
    </w:p>
    <w:p w14:paraId="455F0FB6" w14:textId="74EA01CE" w:rsidR="00CE2A49" w:rsidRDefault="00CE2A49" w:rsidP="00F511AB">
      <w:pPr>
        <w:spacing w:after="0"/>
      </w:pPr>
      <w:r>
        <w:t>Acetic acid</w:t>
      </w:r>
    </w:p>
    <w:p w14:paraId="43093EB4" w14:textId="4914AE73" w:rsidR="00CE2A49" w:rsidRDefault="00CE2A49" w:rsidP="00F511AB">
      <w:pPr>
        <w:spacing w:after="0"/>
      </w:pPr>
      <w:r>
        <w:t>Sodium acetate trihydrate</w:t>
      </w:r>
    </w:p>
    <w:p w14:paraId="34054147" w14:textId="50543226" w:rsidR="00633ABF" w:rsidRDefault="00CE2A49" w:rsidP="00F511AB">
      <w:pPr>
        <w:spacing w:after="0"/>
      </w:pPr>
      <w:r>
        <w:t>Sucrose</w:t>
      </w:r>
    </w:p>
    <w:p w14:paraId="11BCB8FB" w14:textId="0D073FFC" w:rsidR="00974154" w:rsidRPr="00CE2A49" w:rsidRDefault="00CE2A49" w:rsidP="00F511AB">
      <w:pPr>
        <w:spacing w:after="0"/>
        <w:rPr>
          <w:lang w:val="en-US"/>
        </w:rPr>
      </w:pPr>
      <w:r>
        <w:t>Water for injections</w:t>
      </w:r>
    </w:p>
    <w:p w14:paraId="384F95EA" w14:textId="77777777" w:rsidR="005B2812" w:rsidRPr="000A640E" w:rsidRDefault="005B2812" w:rsidP="000A640E">
      <w:pPr>
        <w:pStyle w:val="Heading2"/>
      </w:pPr>
      <w:r w:rsidRPr="000A640E">
        <w:t xml:space="preserve">Incompatibilities </w:t>
      </w:r>
    </w:p>
    <w:p w14:paraId="603709BF" w14:textId="435F8638" w:rsidR="005B2812" w:rsidRPr="00037552" w:rsidRDefault="000B3560" w:rsidP="005B2812">
      <w:pPr>
        <w:rPr>
          <w:rFonts w:cstheme="minorHAnsi"/>
          <w:lang w:val="en-US"/>
        </w:rPr>
      </w:pPr>
      <w:r w:rsidRPr="00037552">
        <w:rPr>
          <w:rFonts w:cstheme="minorHAnsi"/>
          <w:lang w:val="en"/>
        </w:rPr>
        <w:t xml:space="preserve">This medicinal product </w:t>
      </w:r>
      <w:r w:rsidRPr="00037552">
        <w:rPr>
          <w:rFonts w:cstheme="minorHAnsi"/>
        </w:rPr>
        <w:t>must not be mixed with other medicinal products or diluted.</w:t>
      </w:r>
    </w:p>
    <w:p w14:paraId="3A7DD920" w14:textId="77777777" w:rsidR="005B2812" w:rsidRPr="000A640E" w:rsidRDefault="005B2812" w:rsidP="000A640E">
      <w:pPr>
        <w:pStyle w:val="Heading2"/>
      </w:pPr>
      <w:r w:rsidRPr="000A640E">
        <w:t xml:space="preserve">Shelf life </w:t>
      </w:r>
    </w:p>
    <w:p w14:paraId="08FF7A51" w14:textId="1D7DB78D" w:rsidR="005B2812" w:rsidRPr="00786C37" w:rsidRDefault="005B2812" w:rsidP="005B2812">
      <w:pPr>
        <w:rPr>
          <w:rFonts w:cstheme="minorHAnsi"/>
          <w:lang w:val="en"/>
        </w:rPr>
      </w:pPr>
      <w:r w:rsidRPr="00786C37">
        <w:rPr>
          <w:rFonts w:cstheme="minorHAnsi"/>
          <w:lang w:val="en"/>
        </w:rPr>
        <w:t xml:space="preserve">In Australia, information on the shelf life can be found on the public summary of the Australian Register of Therapeutic Goods (ARTG). The expiry date can be found on the packaging. </w:t>
      </w:r>
    </w:p>
    <w:p w14:paraId="66A94E85" w14:textId="77777777" w:rsidR="003C440D" w:rsidRPr="000A640E" w:rsidRDefault="00BF665F" w:rsidP="000A640E">
      <w:pPr>
        <w:pStyle w:val="Heading4"/>
      </w:pPr>
      <w:r w:rsidRPr="000A640E">
        <w:t xml:space="preserve">Unopened vial: </w:t>
      </w:r>
    </w:p>
    <w:p w14:paraId="4B55628F" w14:textId="083627FA" w:rsidR="00A93A80" w:rsidRDefault="00BF665F" w:rsidP="005B2812">
      <w:r>
        <w:t xml:space="preserve">The unopened vaccine may be stored refrigerated at 2°C to 8°C, protected from light, for maximum 30 days. Once thawed the vaccine should not be re-frozen. </w:t>
      </w:r>
    </w:p>
    <w:p w14:paraId="450730D5" w14:textId="73D082DD" w:rsidR="003C440D" w:rsidRDefault="00BF665F" w:rsidP="005B2812">
      <w:r>
        <w:lastRenderedPageBreak/>
        <w:t xml:space="preserve">The unopened vaccine may be stored at 8°C to 25°C up to </w:t>
      </w:r>
      <w:r w:rsidR="00FA2A49">
        <w:t xml:space="preserve">24 </w:t>
      </w:r>
      <w:r>
        <w:t xml:space="preserve">hours after removal from refrigerated conditions. </w:t>
      </w:r>
    </w:p>
    <w:p w14:paraId="709A37CA" w14:textId="0CF253E0" w:rsidR="003C440D" w:rsidRDefault="00BF665F" w:rsidP="000A640E">
      <w:pPr>
        <w:pStyle w:val="Heading4"/>
      </w:pPr>
      <w:r w:rsidRPr="003C440D">
        <w:t xml:space="preserve">Punctured </w:t>
      </w:r>
      <w:r w:rsidR="00153F16">
        <w:t>v</w:t>
      </w:r>
      <w:r w:rsidRPr="003C440D">
        <w:t>ial:</w:t>
      </w:r>
      <w:r>
        <w:t xml:space="preserve"> </w:t>
      </w:r>
    </w:p>
    <w:p w14:paraId="7A52CC0B" w14:textId="296A24FE" w:rsidR="00BF665F" w:rsidRPr="00497C85" w:rsidRDefault="00BF665F" w:rsidP="005B2812">
      <w:pPr>
        <w:rPr>
          <w:rFonts w:asciiTheme="majorHAnsi" w:hAnsiTheme="majorHAnsi" w:cstheme="minorHAnsi"/>
          <w:lang w:val="en-US"/>
        </w:rPr>
      </w:pPr>
      <w:r>
        <w:t xml:space="preserve">Chemical and physical in-use stability has been demonstrated for </w:t>
      </w:r>
      <w:r w:rsidR="00697283">
        <w:t xml:space="preserve">19 </w:t>
      </w:r>
      <w:r>
        <w:t>hours at 2°C to 25</w:t>
      </w:r>
      <w:r w:rsidR="000A6F66">
        <w:rPr>
          <w:rFonts w:cstheme="minorHAnsi"/>
        </w:rPr>
        <w:t>°</w:t>
      </w:r>
      <w:r>
        <w:t>C after initial puncture</w:t>
      </w:r>
      <w:r w:rsidR="00A564E5">
        <w:t xml:space="preserve"> </w:t>
      </w:r>
      <w:r w:rsidR="00A564E5" w:rsidRPr="00A564E5">
        <w:rPr>
          <w:lang w:val="en-US"/>
        </w:rPr>
        <w:t>(within the allowed use period of 30 days at 2°C to 8</w:t>
      </w:r>
      <w:r w:rsidR="00A564E5">
        <w:rPr>
          <w:rFonts w:cstheme="minorHAnsi"/>
          <w:lang w:val="en-US"/>
        </w:rPr>
        <w:t>°</w:t>
      </w:r>
      <w:r w:rsidR="00A564E5" w:rsidRPr="00A564E5">
        <w:rPr>
          <w:lang w:val="en-US"/>
        </w:rPr>
        <w:t>C and 24 hours at 8°C to 25</w:t>
      </w:r>
      <w:r w:rsidR="00A564E5">
        <w:rPr>
          <w:rFonts w:cstheme="minorHAnsi"/>
          <w:lang w:val="en-US"/>
        </w:rPr>
        <w:t>°</w:t>
      </w:r>
      <w:r w:rsidR="00A564E5" w:rsidRPr="00A564E5">
        <w:rPr>
          <w:lang w:val="en-US"/>
        </w:rPr>
        <w:t>C)</w:t>
      </w:r>
      <w:r>
        <w:t>.</w:t>
      </w:r>
      <w:r w:rsidR="000C3943">
        <w:t xml:space="preserve"> Contains no antimicrobial preservative. </w:t>
      </w:r>
      <w:r>
        <w:t xml:space="preserve">From a microbiological point of view, the product should be used immediately. </w:t>
      </w:r>
      <w:r w:rsidR="00E673BC" w:rsidRPr="00E673BC">
        <w:t xml:space="preserve"> Do not refreeze.</w:t>
      </w:r>
    </w:p>
    <w:p w14:paraId="4C043929" w14:textId="5D40C68C" w:rsidR="005B2812" w:rsidRPr="000A640E" w:rsidRDefault="005B2812" w:rsidP="000A640E">
      <w:pPr>
        <w:pStyle w:val="Heading2"/>
      </w:pPr>
      <w:r w:rsidRPr="000A640E">
        <w:t xml:space="preserve">Special precautions for storage </w:t>
      </w:r>
    </w:p>
    <w:p w14:paraId="54531B33" w14:textId="1E893209" w:rsidR="00BF665F" w:rsidRDefault="00BF665F" w:rsidP="003C440D">
      <w:pPr>
        <w:spacing w:after="120"/>
      </w:pPr>
      <w:r>
        <w:t>Store frozen between -25</w:t>
      </w:r>
      <w:r w:rsidR="008670FB">
        <w:rPr>
          <w:rFonts w:cstheme="minorHAnsi"/>
        </w:rPr>
        <w:t>°</w:t>
      </w:r>
      <w:r>
        <w:t>C to -15</w:t>
      </w:r>
      <w:r w:rsidR="008670FB">
        <w:rPr>
          <w:rFonts w:cstheme="minorHAnsi"/>
        </w:rPr>
        <w:t>°</w:t>
      </w:r>
      <w:r>
        <w:t xml:space="preserve">C. </w:t>
      </w:r>
    </w:p>
    <w:p w14:paraId="31646157" w14:textId="77777777" w:rsidR="00BF665F" w:rsidRDefault="00BF665F" w:rsidP="003C440D">
      <w:pPr>
        <w:spacing w:after="120"/>
      </w:pPr>
      <w:r>
        <w:t xml:space="preserve">Store in the original carton to protect from light. </w:t>
      </w:r>
    </w:p>
    <w:p w14:paraId="0A4BEDA1" w14:textId="7D33D437" w:rsidR="00BF665F" w:rsidRDefault="00BF665F" w:rsidP="003C440D">
      <w:pPr>
        <w:spacing w:after="120"/>
      </w:pPr>
      <w:r>
        <w:t>Do not store on dry ice or below -</w:t>
      </w:r>
      <w:r w:rsidR="00F32DCE">
        <w:t>50</w:t>
      </w:r>
      <w:r w:rsidR="008670FB">
        <w:rPr>
          <w:rFonts w:cstheme="minorHAnsi"/>
        </w:rPr>
        <w:t>°</w:t>
      </w:r>
      <w:r>
        <w:t xml:space="preserve">C. </w:t>
      </w:r>
    </w:p>
    <w:p w14:paraId="190DBF41" w14:textId="7BD70543" w:rsidR="00BF665F" w:rsidRDefault="00BF665F" w:rsidP="00A573D2">
      <w:pPr>
        <w:spacing w:after="0" w:line="240" w:lineRule="auto"/>
      </w:pPr>
      <w:r>
        <w:t>For storage conditions after thawing and first opening see section 6.3.</w:t>
      </w:r>
    </w:p>
    <w:p w14:paraId="68F45A7C" w14:textId="77777777" w:rsidR="00F32DCE" w:rsidRDefault="00F32DCE" w:rsidP="00F32DCE">
      <w:pPr>
        <w:spacing w:after="0" w:line="240" w:lineRule="auto"/>
        <w:rPr>
          <w:u w:val="single"/>
          <w:lang w:val="en-US"/>
        </w:rPr>
      </w:pPr>
    </w:p>
    <w:p w14:paraId="112C1036" w14:textId="4136A8BE" w:rsidR="00F32DCE" w:rsidRPr="00A573D2" w:rsidRDefault="00F32DCE" w:rsidP="000A640E">
      <w:pPr>
        <w:pStyle w:val="Heading4"/>
        <w:rPr>
          <w:lang w:val="en-US"/>
        </w:rPr>
      </w:pPr>
      <w:r w:rsidRPr="00A573D2">
        <w:rPr>
          <w:lang w:val="en-US"/>
        </w:rPr>
        <w:t>Transportation of thawed vials in liquid state at 2°C to 8°C</w:t>
      </w:r>
    </w:p>
    <w:p w14:paraId="47DB3DE6" w14:textId="48614B79" w:rsidR="00F94E53" w:rsidRPr="00BF665F" w:rsidRDefault="00F32DCE" w:rsidP="000A640E">
      <w:pPr>
        <w:rPr>
          <w:lang w:val="en-US"/>
        </w:rPr>
      </w:pPr>
      <w:r w:rsidRPr="00F32DCE">
        <w:rPr>
          <w:lang w:val="en-US"/>
        </w:rPr>
        <w:t>If transport at -50°C to -15°C is not feasible, available data support transportation of one or more</w:t>
      </w:r>
      <w:r w:rsidR="001D044F">
        <w:rPr>
          <w:lang w:val="en-US"/>
        </w:rPr>
        <w:t xml:space="preserve"> </w:t>
      </w:r>
      <w:r w:rsidRPr="00F32DCE">
        <w:rPr>
          <w:lang w:val="en-US"/>
        </w:rPr>
        <w:t>thawed vials in liquid state for up to 12 hours at 2°C to 8°C (within the 30 days shelf life at 2°C to</w:t>
      </w:r>
      <w:r w:rsidR="001D044F">
        <w:rPr>
          <w:lang w:val="en-US"/>
        </w:rPr>
        <w:t xml:space="preserve"> </w:t>
      </w:r>
      <w:r w:rsidRPr="00F32DCE">
        <w:rPr>
          <w:lang w:val="en-US"/>
        </w:rPr>
        <w:t>8°C). Once thawed and transported in liquid state at 2°C to 8°C, vials should not be refrozen and</w:t>
      </w:r>
      <w:r w:rsidR="001D044F">
        <w:rPr>
          <w:lang w:val="en-US"/>
        </w:rPr>
        <w:t xml:space="preserve"> </w:t>
      </w:r>
      <w:r w:rsidRPr="00F32DCE">
        <w:rPr>
          <w:lang w:val="en-US"/>
        </w:rPr>
        <w:t>should be stored at 2°C to 8°C until use.</w:t>
      </w:r>
    </w:p>
    <w:p w14:paraId="5911BB86" w14:textId="1DE7ECF7" w:rsidR="005B2812" w:rsidRPr="000A640E" w:rsidRDefault="005B2812" w:rsidP="000A640E">
      <w:pPr>
        <w:pStyle w:val="Heading2"/>
      </w:pPr>
      <w:r w:rsidRPr="000A640E">
        <w:t xml:space="preserve">Nature and contents of container </w:t>
      </w:r>
    </w:p>
    <w:p w14:paraId="56BACF77" w14:textId="48F5CA69" w:rsidR="00BF665F" w:rsidRDefault="00BF665F" w:rsidP="00BF665F">
      <w:r>
        <w:t>5 m</w:t>
      </w:r>
      <w:r w:rsidR="00B56B78">
        <w:t xml:space="preserve">L </w:t>
      </w:r>
      <w:r w:rsidR="00F50E76">
        <w:t>suspension</w:t>
      </w:r>
      <w:r>
        <w:t xml:space="preserve"> in a vial (type 1 or type 1 equivalent glass) with a stopper (</w:t>
      </w:r>
      <w:proofErr w:type="spellStart"/>
      <w:r>
        <w:t>chlorobutyl</w:t>
      </w:r>
      <w:proofErr w:type="spellEnd"/>
      <w:r>
        <w:t xml:space="preserve"> rubber) and a flip-off plastic cap with seal (aluminium seal). </w:t>
      </w:r>
    </w:p>
    <w:p w14:paraId="79FEC391" w14:textId="2469AA14" w:rsidR="00BF665F" w:rsidRDefault="00BF665F" w:rsidP="00BF665F">
      <w:r>
        <w:t xml:space="preserve">Each vial contains </w:t>
      </w:r>
      <w:r w:rsidR="00144D3E">
        <w:t>5</w:t>
      </w:r>
      <w:r w:rsidR="00124F8A">
        <w:t xml:space="preserve"> </w:t>
      </w:r>
      <w:r w:rsidR="00144D3E">
        <w:t xml:space="preserve">mL </w:t>
      </w:r>
      <w:r w:rsidR="00DE1F10">
        <w:t xml:space="preserve">of </w:t>
      </w:r>
      <w:r w:rsidR="00DE1F10" w:rsidRPr="00DE1F10">
        <w:t>SPIKEVAX (elasomeran) COVID-19 Vaccine</w:t>
      </w:r>
      <w:r w:rsidR="00DE1F10">
        <w:t>.</w:t>
      </w:r>
      <w:r>
        <w:t xml:space="preserve"> </w:t>
      </w:r>
    </w:p>
    <w:p w14:paraId="657A9166" w14:textId="57B5F181" w:rsidR="00BF665F" w:rsidRPr="00BF665F" w:rsidRDefault="00BF665F" w:rsidP="00BF665F">
      <w:pPr>
        <w:rPr>
          <w:lang w:val="en-US"/>
        </w:rPr>
      </w:pPr>
      <w:r>
        <w:t>Pack size: 10 multidose vials</w:t>
      </w:r>
    </w:p>
    <w:p w14:paraId="1853F786" w14:textId="77777777" w:rsidR="005B2812" w:rsidRPr="000A640E" w:rsidRDefault="005B2812" w:rsidP="000A640E">
      <w:pPr>
        <w:pStyle w:val="Heading2"/>
      </w:pPr>
      <w:r w:rsidRPr="000A640E">
        <w:t xml:space="preserve">Special precautions for disposal </w:t>
      </w:r>
    </w:p>
    <w:p w14:paraId="32E5335C" w14:textId="7ADAB248" w:rsidR="005B2812" w:rsidRDefault="0021200F" w:rsidP="0021200F">
      <w:pPr>
        <w:rPr>
          <w:rFonts w:cstheme="minorHAnsi"/>
          <w:lang w:val="en"/>
        </w:rPr>
      </w:pPr>
      <w:r w:rsidRPr="00253028">
        <w:rPr>
          <w:rFonts w:cstheme="minorHAnsi"/>
          <w:lang w:val="en"/>
        </w:rPr>
        <w:t xml:space="preserve">In Australia, any unused medicine or waste material should be disposed of in accordance with local requirements. </w:t>
      </w:r>
    </w:p>
    <w:p w14:paraId="1DF02D8F" w14:textId="77777777" w:rsidR="001A3992" w:rsidRPr="000A640E" w:rsidRDefault="001A3992" w:rsidP="000A640E">
      <w:pPr>
        <w:pStyle w:val="Heading2"/>
      </w:pPr>
      <w:r w:rsidRPr="000A640E">
        <w:t>Physicochemical properties</w:t>
      </w:r>
    </w:p>
    <w:p w14:paraId="71B065AA" w14:textId="3CE6899F" w:rsidR="001A3992" w:rsidRDefault="001A3992" w:rsidP="00DD7C09">
      <w:pPr>
        <w:pStyle w:val="Heading3"/>
        <w:rPr>
          <w:lang w:val="en-US"/>
        </w:rPr>
      </w:pPr>
      <w:r w:rsidRPr="00EC3C40">
        <w:rPr>
          <w:lang w:val="en-US"/>
        </w:rPr>
        <w:t>CAS number</w:t>
      </w:r>
    </w:p>
    <w:p w14:paraId="733A7BF7" w14:textId="1033D378" w:rsidR="00594C02" w:rsidRPr="00594C02" w:rsidRDefault="00B56B78" w:rsidP="00594C02">
      <w:pPr>
        <w:rPr>
          <w:lang w:val="en-US"/>
        </w:rPr>
      </w:pPr>
      <w:r w:rsidRPr="00B56B78">
        <w:rPr>
          <w:lang w:val="en-US"/>
        </w:rPr>
        <w:t>2457298-05-2</w:t>
      </w:r>
    </w:p>
    <w:p w14:paraId="17392FD5" w14:textId="44C5F358" w:rsidR="001A3992" w:rsidRPr="000A640E" w:rsidRDefault="001A3992" w:rsidP="000A640E">
      <w:pPr>
        <w:pStyle w:val="Heading1"/>
      </w:pPr>
      <w:r w:rsidRPr="000A640E">
        <w:t>Medicine schedule (Poisons Standard)</w:t>
      </w:r>
    </w:p>
    <w:p w14:paraId="791553A7" w14:textId="6F229A13" w:rsidR="007F228F" w:rsidRPr="007F228F" w:rsidRDefault="00307CE3" w:rsidP="000A640E">
      <w:pPr>
        <w:rPr>
          <w:lang w:val="en-US"/>
        </w:rPr>
      </w:pPr>
      <w:r>
        <w:rPr>
          <w:lang w:val="en-US"/>
        </w:rPr>
        <w:t>Prescription only medicine (Schedule 4)</w:t>
      </w:r>
    </w:p>
    <w:p w14:paraId="07ECC8A3" w14:textId="26AA6F5A" w:rsidR="00285173" w:rsidRPr="000A640E" w:rsidRDefault="001A3992" w:rsidP="000A640E">
      <w:pPr>
        <w:pStyle w:val="Heading1"/>
      </w:pPr>
      <w:r w:rsidRPr="000A640E">
        <w:lastRenderedPageBreak/>
        <w:t>Sponsor</w:t>
      </w:r>
      <w:r w:rsidR="00285173" w:rsidRPr="000A640E">
        <w:t xml:space="preserve"> </w:t>
      </w:r>
    </w:p>
    <w:p w14:paraId="737E88B7" w14:textId="10B74AC4" w:rsidR="007F228F" w:rsidRDefault="00DE64E8" w:rsidP="00594C02">
      <w:pPr>
        <w:spacing w:after="0"/>
        <w:rPr>
          <w:lang w:val="en-US"/>
        </w:rPr>
      </w:pPr>
      <w:r>
        <w:rPr>
          <w:lang w:val="en-US"/>
        </w:rPr>
        <w:t>Moderna Australia Pty Ltd</w:t>
      </w:r>
    </w:p>
    <w:p w14:paraId="62BBEE4F" w14:textId="60EAB479" w:rsidR="00DE64E8" w:rsidRDefault="00DE64E8" w:rsidP="00594C02">
      <w:pPr>
        <w:spacing w:after="0"/>
        <w:rPr>
          <w:lang w:val="en-US"/>
        </w:rPr>
      </w:pPr>
      <w:r>
        <w:rPr>
          <w:lang w:val="en-US"/>
        </w:rPr>
        <w:t>Level 6, 60 Martin Place</w:t>
      </w:r>
    </w:p>
    <w:p w14:paraId="271A65A4" w14:textId="34AF27F4" w:rsidR="00DE64E8" w:rsidRDefault="00DE64E8" w:rsidP="00594C02">
      <w:pPr>
        <w:spacing w:after="0"/>
        <w:rPr>
          <w:lang w:val="en-US"/>
        </w:rPr>
      </w:pPr>
      <w:r>
        <w:rPr>
          <w:lang w:val="en-US"/>
        </w:rPr>
        <w:t xml:space="preserve">Sydney </w:t>
      </w:r>
    </w:p>
    <w:p w14:paraId="7967159D" w14:textId="4DED2AC8" w:rsidR="00A651E3" w:rsidRDefault="00DE64E8" w:rsidP="00594C02">
      <w:pPr>
        <w:spacing w:after="0"/>
        <w:rPr>
          <w:lang w:val="en-US"/>
        </w:rPr>
      </w:pPr>
      <w:r>
        <w:rPr>
          <w:lang w:val="en-US"/>
        </w:rPr>
        <w:t>NSW, 2000</w:t>
      </w:r>
    </w:p>
    <w:p w14:paraId="1E8F0669" w14:textId="226E8F0C" w:rsidR="00D447BC" w:rsidRDefault="00D447BC" w:rsidP="00594C02">
      <w:pPr>
        <w:spacing w:after="0"/>
        <w:rPr>
          <w:lang w:val="en-US"/>
        </w:rPr>
      </w:pPr>
      <w:r w:rsidRPr="00D447BC">
        <w:rPr>
          <w:lang w:val="en-US"/>
        </w:rPr>
        <w:t>www.modernacovid19global.com/au/</w:t>
      </w:r>
    </w:p>
    <w:p w14:paraId="45FC1470" w14:textId="7307D592" w:rsidR="004A2DAC" w:rsidRDefault="00F864FA" w:rsidP="00594C02">
      <w:pPr>
        <w:spacing w:after="0"/>
      </w:pPr>
      <w:r w:rsidRPr="00F864FA">
        <w:rPr>
          <w:lang w:val="en-US"/>
        </w:rPr>
        <w:t xml:space="preserve">Phone: </w:t>
      </w:r>
      <w:r w:rsidR="00F2704D" w:rsidRPr="00F2704D">
        <w:t>1800</w:t>
      </w:r>
      <w:r w:rsidR="008447AC">
        <w:t xml:space="preserve"> </w:t>
      </w:r>
      <w:r w:rsidR="00F2704D" w:rsidRPr="00F2704D">
        <w:t>344</w:t>
      </w:r>
      <w:r w:rsidR="008447AC">
        <w:t xml:space="preserve"> </w:t>
      </w:r>
      <w:r w:rsidR="00F2704D" w:rsidRPr="00F2704D">
        <w:t>018</w:t>
      </w:r>
    </w:p>
    <w:p w14:paraId="0E9939C7" w14:textId="31EF466A" w:rsidR="00D447BC" w:rsidRDefault="00D447BC" w:rsidP="00594C02">
      <w:pPr>
        <w:spacing w:after="0"/>
        <w:rPr>
          <w:lang w:val="en-US"/>
        </w:rPr>
      </w:pPr>
      <w:r>
        <w:t xml:space="preserve">Email address: </w:t>
      </w:r>
      <w:hyperlink r:id="rId21" w:history="1">
        <w:r>
          <w:rPr>
            <w:rStyle w:val="Hyperlink"/>
            <w:lang w:val="en-US"/>
          </w:rPr>
          <w:t>apacmedinfo@modernatx.com</w:t>
        </w:r>
      </w:hyperlink>
    </w:p>
    <w:p w14:paraId="21D9C8EB" w14:textId="52B415D3" w:rsidR="00285173" w:rsidRDefault="00285173" w:rsidP="000A640E">
      <w:pPr>
        <w:pStyle w:val="Heading1"/>
        <w:rPr>
          <w:lang w:val="en-US"/>
        </w:rPr>
      </w:pPr>
      <w:r w:rsidRPr="007D497E">
        <w:rPr>
          <w:lang w:val="en-US"/>
        </w:rPr>
        <w:t xml:space="preserve">Date of first </w:t>
      </w:r>
      <w:r>
        <w:rPr>
          <w:lang w:val="en-US"/>
        </w:rPr>
        <w:t>approval</w:t>
      </w:r>
    </w:p>
    <w:p w14:paraId="434D658B" w14:textId="06492AAA" w:rsidR="00CA55F1" w:rsidRPr="00CA55F1" w:rsidRDefault="00101FC2" w:rsidP="00CA55F1">
      <w:pPr>
        <w:rPr>
          <w:lang w:val="en-US"/>
        </w:rPr>
      </w:pPr>
      <w:r>
        <w:rPr>
          <w:lang w:val="en-US"/>
        </w:rPr>
        <w:t>09 August 2021</w:t>
      </w:r>
    </w:p>
    <w:p w14:paraId="3AFD9F96" w14:textId="7FCCE66A" w:rsidR="00285173" w:rsidRPr="000A640E" w:rsidRDefault="00285173" w:rsidP="000A640E">
      <w:pPr>
        <w:pStyle w:val="Heading1"/>
      </w:pPr>
      <w:r w:rsidRPr="000A640E">
        <w:t xml:space="preserve">Date of revision </w:t>
      </w:r>
    </w:p>
    <w:p w14:paraId="72B06C49" w14:textId="5F862BCD" w:rsidR="00CA55F1" w:rsidRPr="00CA55F1" w:rsidRDefault="00A013D1" w:rsidP="00CA55F1">
      <w:pPr>
        <w:rPr>
          <w:lang w:val="en-US"/>
        </w:rPr>
      </w:pPr>
      <w:r>
        <w:rPr>
          <w:lang w:val="en-US"/>
        </w:rPr>
        <w:t>0</w:t>
      </w:r>
      <w:r w:rsidR="00EC5792">
        <w:rPr>
          <w:lang w:val="en-US"/>
        </w:rPr>
        <w:t>9</w:t>
      </w:r>
      <w:r>
        <w:rPr>
          <w:lang w:val="en-US"/>
        </w:rPr>
        <w:t xml:space="preserve"> December 2021</w:t>
      </w:r>
    </w:p>
    <w:p w14:paraId="2EE00A85" w14:textId="77777777" w:rsidR="00285173" w:rsidRDefault="00285173" w:rsidP="00285173">
      <w:pPr>
        <w:pStyle w:val="Heading2"/>
        <w:numPr>
          <w:ilvl w:val="0"/>
          <w:numId w:val="0"/>
        </w:numPr>
        <w:spacing w:before="0" w:after="120"/>
        <w:rPr>
          <w:lang w:val="en-US"/>
        </w:rPr>
      </w:pPr>
      <w:r w:rsidRPr="007D497E">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5173" w14:paraId="55DD8596" w14:textId="77777777" w:rsidTr="00396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64005FAA" w14:textId="77777777" w:rsidR="00285173" w:rsidRPr="002E277D" w:rsidRDefault="00285173" w:rsidP="003C3B7F">
            <w:pPr>
              <w:rPr>
                <w:sz w:val="20"/>
                <w:lang w:val="en-US"/>
              </w:rPr>
            </w:pPr>
            <w:r w:rsidRPr="002E277D">
              <w:rPr>
                <w:sz w:val="20"/>
                <w:lang w:val="en-US"/>
              </w:rPr>
              <w:t>Section Changed</w:t>
            </w:r>
          </w:p>
        </w:tc>
        <w:tc>
          <w:tcPr>
            <w:tcW w:w="7635" w:type="dxa"/>
            <w:shd w:val="clear" w:color="auto" w:fill="F2F2F2" w:themeFill="background1" w:themeFillShade="F2"/>
            <w:vAlign w:val="center"/>
          </w:tcPr>
          <w:p w14:paraId="7D62E44E" w14:textId="77777777" w:rsidR="00285173" w:rsidRPr="002E277D" w:rsidRDefault="00285173" w:rsidP="003C3B7F">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9D622F" w:rsidRPr="008F77E2" w:rsidDel="00D447BC" w14:paraId="67EED22E" w14:textId="77777777" w:rsidTr="007215FC">
        <w:tblPrEx>
          <w:tblCellMar>
            <w:top w:w="0" w:type="dxa"/>
            <w:bottom w:w="0"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tcPr>
          <w:p w14:paraId="25563A94" w14:textId="5BEF12B8" w:rsidR="009D622F" w:rsidRPr="003F43F1" w:rsidDel="003F43F1" w:rsidRDefault="009D622F" w:rsidP="009D622F">
            <w:pPr>
              <w:rPr>
                <w:lang w:val="en-US"/>
              </w:rPr>
            </w:pPr>
            <w:r w:rsidRPr="003F43F1">
              <w:t>2</w:t>
            </w:r>
          </w:p>
        </w:tc>
        <w:tc>
          <w:tcPr>
            <w:tcW w:w="7635" w:type="dxa"/>
          </w:tcPr>
          <w:p w14:paraId="78120FA3" w14:textId="7197BD04" w:rsidR="009D622F" w:rsidRPr="003F43F1" w:rsidDel="003F43F1" w:rsidRDefault="00BA7C9F" w:rsidP="009D622F">
            <w:pPr>
              <w:cnfStyle w:val="000000100000" w:firstRow="0" w:lastRow="0" w:firstColumn="0" w:lastColumn="0" w:oddVBand="0" w:evenVBand="0" w:oddHBand="1" w:evenHBand="0" w:firstRowFirstColumn="0" w:firstRowLastColumn="0" w:lastRowFirstColumn="0" w:lastRowLastColumn="0"/>
              <w:rPr>
                <w:lang w:val="en-US"/>
              </w:rPr>
            </w:pPr>
            <w:r>
              <w:t>Update</w:t>
            </w:r>
            <w:r w:rsidR="009D622F" w:rsidRPr="003F43F1">
              <w:t xml:space="preserve"> to include booster dose</w:t>
            </w:r>
          </w:p>
        </w:tc>
      </w:tr>
      <w:tr w:rsidR="009D622F" w:rsidRPr="008F77E2" w:rsidDel="00D447BC" w14:paraId="6AAEA6D5" w14:textId="77777777" w:rsidTr="007215FC">
        <w:tblPrEx>
          <w:tblCellMar>
            <w:top w:w="0" w:type="dxa"/>
            <w:bottom w:w="0" w:type="dxa"/>
          </w:tblCellMar>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tcPr>
          <w:p w14:paraId="362B8C99" w14:textId="7DBCE628" w:rsidR="009D622F" w:rsidRPr="003F43F1" w:rsidDel="003F43F1" w:rsidRDefault="009D622F" w:rsidP="009D622F">
            <w:pPr>
              <w:rPr>
                <w:lang w:val="en-US"/>
              </w:rPr>
            </w:pPr>
            <w:r w:rsidRPr="003F43F1">
              <w:t>4.2</w:t>
            </w:r>
          </w:p>
        </w:tc>
        <w:tc>
          <w:tcPr>
            <w:tcW w:w="7635" w:type="dxa"/>
          </w:tcPr>
          <w:p w14:paraId="3FBDAD50" w14:textId="7FA1D560" w:rsidR="009D622F" w:rsidRPr="003F43F1" w:rsidDel="003F43F1" w:rsidRDefault="009D622F" w:rsidP="009D622F">
            <w:pPr>
              <w:cnfStyle w:val="000000010000" w:firstRow="0" w:lastRow="0" w:firstColumn="0" w:lastColumn="0" w:oddVBand="0" w:evenVBand="0" w:oddHBand="0" w:evenHBand="1" w:firstRowFirstColumn="0" w:firstRowLastColumn="0" w:lastRowFirstColumn="0" w:lastRowLastColumn="0"/>
              <w:rPr>
                <w:lang w:val="en-US"/>
              </w:rPr>
            </w:pPr>
            <w:r w:rsidRPr="003F43F1">
              <w:t xml:space="preserve">Update to include </w:t>
            </w:r>
            <w:r w:rsidR="003B5254">
              <w:t xml:space="preserve">booster </w:t>
            </w:r>
            <w:r w:rsidRPr="003F43F1">
              <w:t xml:space="preserve">dose </w:t>
            </w:r>
            <w:r w:rsidR="003B5254">
              <w:t xml:space="preserve">information and a third dose </w:t>
            </w:r>
            <w:r w:rsidRPr="003F43F1">
              <w:t xml:space="preserve">for </w:t>
            </w:r>
            <w:r w:rsidR="003B5254">
              <w:t>i</w:t>
            </w:r>
            <w:r w:rsidRPr="003F43F1">
              <w:t>mmunocompromised patients</w:t>
            </w:r>
            <w:r w:rsidR="00BA7C9F">
              <w:t>, editorial changes</w:t>
            </w:r>
          </w:p>
        </w:tc>
      </w:tr>
      <w:tr w:rsidR="00BA7C9F" w:rsidRPr="008F77E2" w:rsidDel="00D447BC" w14:paraId="7BFFCA02" w14:textId="77777777" w:rsidTr="007215FC">
        <w:tblPrEx>
          <w:tblCellMar>
            <w:top w:w="0" w:type="dxa"/>
            <w:bottom w:w="0"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tcPr>
          <w:p w14:paraId="333D94CA" w14:textId="1926CE31" w:rsidR="00BA7C9F" w:rsidRPr="003F43F1" w:rsidRDefault="00BA7C9F" w:rsidP="009D622F">
            <w:r>
              <w:t>4.3</w:t>
            </w:r>
          </w:p>
        </w:tc>
        <w:tc>
          <w:tcPr>
            <w:tcW w:w="7635" w:type="dxa"/>
          </w:tcPr>
          <w:p w14:paraId="5C81D61C" w14:textId="4B9BB4E3" w:rsidR="00BA7C9F" w:rsidRPr="003F43F1" w:rsidRDefault="00BA7C9F" w:rsidP="009D622F">
            <w:pPr>
              <w:cnfStyle w:val="000000100000" w:firstRow="0" w:lastRow="0" w:firstColumn="0" w:lastColumn="0" w:oddVBand="0" w:evenVBand="0" w:oddHBand="1" w:evenHBand="0" w:firstRowFirstColumn="0" w:firstRowLastColumn="0" w:lastRowFirstColumn="0" w:lastRowLastColumn="0"/>
            </w:pPr>
            <w:r>
              <w:t>Added safety information regarding severe allergic reactions</w:t>
            </w:r>
          </w:p>
        </w:tc>
      </w:tr>
      <w:tr w:rsidR="00BA7C9F" w:rsidRPr="008F77E2" w:rsidDel="00D447BC" w14:paraId="1CCAFE0C" w14:textId="77777777" w:rsidTr="007215FC">
        <w:tblPrEx>
          <w:tblCellMar>
            <w:top w:w="0" w:type="dxa"/>
            <w:bottom w:w="0" w:type="dxa"/>
          </w:tblCellMar>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tcPr>
          <w:p w14:paraId="53BA4571" w14:textId="5F25530B" w:rsidR="00BA7C9F" w:rsidRDefault="00BA7C9F" w:rsidP="00BA7C9F">
            <w:r>
              <w:t>4.4</w:t>
            </w:r>
          </w:p>
        </w:tc>
        <w:tc>
          <w:tcPr>
            <w:tcW w:w="7635" w:type="dxa"/>
          </w:tcPr>
          <w:p w14:paraId="2C06D2A0" w14:textId="4F4E0850" w:rsidR="00BA7C9F" w:rsidRDefault="00BA7C9F" w:rsidP="00BA7C9F">
            <w:pPr>
              <w:cnfStyle w:val="000000010000" w:firstRow="0" w:lastRow="0" w:firstColumn="0" w:lastColumn="0" w:oddVBand="0" w:evenVBand="0" w:oddHBand="0" w:evenHBand="1" w:firstRowFirstColumn="0" w:firstRowLastColumn="0" w:lastRowFirstColumn="0" w:lastRowLastColumn="0"/>
            </w:pPr>
            <w:r w:rsidRPr="003F43F1">
              <w:t xml:space="preserve">Update to include </w:t>
            </w:r>
            <w:r>
              <w:t>i</w:t>
            </w:r>
            <w:r w:rsidRPr="003F43F1">
              <w:t>mmunocompromised patients</w:t>
            </w:r>
            <w:r>
              <w:t>, editorial changes</w:t>
            </w:r>
          </w:p>
        </w:tc>
      </w:tr>
      <w:tr w:rsidR="00BA7C9F" w:rsidRPr="008F77E2" w:rsidDel="00D447BC" w14:paraId="376648C3" w14:textId="77777777" w:rsidTr="007215FC">
        <w:tblPrEx>
          <w:tblCellMar>
            <w:top w:w="0" w:type="dxa"/>
            <w:bottom w:w="0"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tcPr>
          <w:p w14:paraId="64DD233A" w14:textId="72478C26" w:rsidR="00BA7C9F" w:rsidRDefault="00BA7C9F" w:rsidP="00BA7C9F">
            <w:r>
              <w:t>4.6</w:t>
            </w:r>
          </w:p>
        </w:tc>
        <w:tc>
          <w:tcPr>
            <w:tcW w:w="7635" w:type="dxa"/>
          </w:tcPr>
          <w:p w14:paraId="129D4B81" w14:textId="22368685" w:rsidR="00BA7C9F" w:rsidRPr="003F43F1" w:rsidRDefault="00BA7C9F" w:rsidP="00BA7C9F">
            <w:pPr>
              <w:cnfStyle w:val="000000100000" w:firstRow="0" w:lastRow="0" w:firstColumn="0" w:lastColumn="0" w:oddVBand="0" w:evenVBand="0" w:oddHBand="1" w:evenHBand="0" w:firstRowFirstColumn="0" w:firstRowLastColumn="0" w:lastRowFirstColumn="0" w:lastRowLastColumn="0"/>
            </w:pPr>
            <w:r>
              <w:t>Added safety information regarding pregnancy and lactation</w:t>
            </w:r>
          </w:p>
        </w:tc>
      </w:tr>
      <w:tr w:rsidR="00BA7C9F" w:rsidRPr="008F77E2" w:rsidDel="00D447BC" w14:paraId="54E7B88B" w14:textId="77777777" w:rsidTr="007215FC">
        <w:tblPrEx>
          <w:tblCellMar>
            <w:top w:w="0" w:type="dxa"/>
            <w:bottom w:w="0" w:type="dxa"/>
          </w:tblCellMar>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tcPr>
          <w:p w14:paraId="45BC9BD8" w14:textId="36E8055B" w:rsidR="00BA7C9F" w:rsidRPr="003F43F1" w:rsidDel="003F43F1" w:rsidRDefault="00BA7C9F" w:rsidP="00BA7C9F">
            <w:pPr>
              <w:rPr>
                <w:lang w:val="en-US"/>
              </w:rPr>
            </w:pPr>
            <w:r w:rsidRPr="003F43F1">
              <w:t>4.8</w:t>
            </w:r>
          </w:p>
        </w:tc>
        <w:tc>
          <w:tcPr>
            <w:tcW w:w="7635" w:type="dxa"/>
          </w:tcPr>
          <w:p w14:paraId="6FB3844F" w14:textId="5779CC8D" w:rsidR="00BA7C9F" w:rsidRPr="003F43F1" w:rsidDel="003F43F1" w:rsidRDefault="00BA7C9F" w:rsidP="00BA7C9F">
            <w:pPr>
              <w:cnfStyle w:val="000000010000" w:firstRow="0" w:lastRow="0" w:firstColumn="0" w:lastColumn="0" w:oddVBand="0" w:evenVBand="0" w:oddHBand="0" w:evenHBand="1" w:firstRowFirstColumn="0" w:firstRowLastColumn="0" w:lastRowFirstColumn="0" w:lastRowLastColumn="0"/>
              <w:rPr>
                <w:lang w:val="en-US"/>
              </w:rPr>
            </w:pPr>
            <w:r w:rsidRPr="003F43F1">
              <w:t xml:space="preserve">Update </w:t>
            </w:r>
            <w:r>
              <w:t>to include safety</w:t>
            </w:r>
            <w:r w:rsidRPr="003F43F1">
              <w:t xml:space="preserve"> information </w:t>
            </w:r>
            <w:r>
              <w:t xml:space="preserve">for </w:t>
            </w:r>
            <w:r w:rsidRPr="003B5254">
              <w:t xml:space="preserve">booster dose and </w:t>
            </w:r>
            <w:r>
              <w:t>i</w:t>
            </w:r>
            <w:r w:rsidRPr="003B5254">
              <w:t>mmunocompromised patients</w:t>
            </w:r>
            <w:r>
              <w:t>, editorial changes</w:t>
            </w:r>
          </w:p>
        </w:tc>
      </w:tr>
      <w:tr w:rsidR="00BA7C9F" w:rsidRPr="008F77E2" w:rsidDel="00D447BC" w14:paraId="40FD539C" w14:textId="77777777" w:rsidTr="007215FC">
        <w:tblPrEx>
          <w:tblCellMar>
            <w:top w:w="0" w:type="dxa"/>
            <w:bottom w:w="0"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tcPr>
          <w:p w14:paraId="16F6B0F3" w14:textId="02DFDB94" w:rsidR="00BA7C9F" w:rsidRPr="003F43F1" w:rsidDel="003F43F1" w:rsidRDefault="00BA7C9F" w:rsidP="00BA7C9F">
            <w:pPr>
              <w:rPr>
                <w:lang w:val="en-US"/>
              </w:rPr>
            </w:pPr>
            <w:r w:rsidRPr="003F43F1">
              <w:t>5.1</w:t>
            </w:r>
          </w:p>
        </w:tc>
        <w:tc>
          <w:tcPr>
            <w:tcW w:w="7635" w:type="dxa"/>
          </w:tcPr>
          <w:p w14:paraId="10EF2223" w14:textId="06045949" w:rsidR="00BA7C9F" w:rsidRPr="003F43F1" w:rsidDel="003F43F1" w:rsidRDefault="00BA7C9F" w:rsidP="00BA7C9F">
            <w:pPr>
              <w:cnfStyle w:val="000000100000" w:firstRow="0" w:lastRow="0" w:firstColumn="0" w:lastColumn="0" w:oddVBand="0" w:evenVBand="0" w:oddHBand="1" w:evenHBand="0" w:firstRowFirstColumn="0" w:firstRowLastColumn="0" w:lastRowFirstColumn="0" w:lastRowLastColumn="0"/>
              <w:rPr>
                <w:lang w:val="en-US"/>
              </w:rPr>
            </w:pPr>
            <w:r w:rsidRPr="003F43F1">
              <w:t xml:space="preserve">Update to include </w:t>
            </w:r>
            <w:r>
              <w:t xml:space="preserve">immunogenicity </w:t>
            </w:r>
            <w:r w:rsidRPr="003F43F1">
              <w:t xml:space="preserve">data </w:t>
            </w:r>
            <w:r>
              <w:t xml:space="preserve">for </w:t>
            </w:r>
            <w:r w:rsidRPr="003B5254">
              <w:t xml:space="preserve">booster dose and </w:t>
            </w:r>
            <w:r>
              <w:t>i</w:t>
            </w:r>
            <w:r w:rsidRPr="003B5254">
              <w:t>mmunocompromised patients</w:t>
            </w:r>
          </w:p>
        </w:tc>
      </w:tr>
      <w:tr w:rsidR="00BA7C9F" w:rsidRPr="008F77E2" w:rsidDel="00D447BC" w14:paraId="4C73087E" w14:textId="77777777" w:rsidTr="007215FC">
        <w:tblPrEx>
          <w:tblCellMar>
            <w:top w:w="0" w:type="dxa"/>
            <w:bottom w:w="0" w:type="dxa"/>
          </w:tblCellMar>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tcPr>
          <w:p w14:paraId="387739CC" w14:textId="16605F5F" w:rsidR="00BA7C9F" w:rsidRPr="003F43F1" w:rsidRDefault="00BA7C9F" w:rsidP="00BA7C9F">
            <w:r>
              <w:t>6.3</w:t>
            </w:r>
          </w:p>
        </w:tc>
        <w:tc>
          <w:tcPr>
            <w:tcW w:w="7635" w:type="dxa"/>
          </w:tcPr>
          <w:p w14:paraId="50F119AE" w14:textId="08DADC9C" w:rsidR="00BA7C9F" w:rsidRPr="003F43F1" w:rsidRDefault="00BA7C9F" w:rsidP="00BA7C9F">
            <w:pPr>
              <w:cnfStyle w:val="000000010000" w:firstRow="0" w:lastRow="0" w:firstColumn="0" w:lastColumn="0" w:oddVBand="0" w:evenVBand="0" w:oddHBand="0" w:evenHBand="1" w:firstRowFirstColumn="0" w:firstRowLastColumn="0" w:lastRowFirstColumn="0" w:lastRowLastColumn="0"/>
            </w:pPr>
            <w:r>
              <w:t>Added safety information related to refreezing</w:t>
            </w:r>
          </w:p>
        </w:tc>
      </w:tr>
      <w:tr w:rsidR="00BA7C9F" w:rsidRPr="008F77E2" w:rsidDel="00D447BC" w14:paraId="52656E48" w14:textId="77777777" w:rsidTr="007215FC">
        <w:tblPrEx>
          <w:tblCellMar>
            <w:top w:w="0" w:type="dxa"/>
            <w:bottom w:w="0"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tcPr>
          <w:p w14:paraId="5280ABE4" w14:textId="0FDEC919" w:rsidR="00BA7C9F" w:rsidRPr="003F43F1" w:rsidDel="003F43F1" w:rsidRDefault="00BA7C9F" w:rsidP="00BA7C9F">
            <w:pPr>
              <w:rPr>
                <w:lang w:val="en-US"/>
              </w:rPr>
            </w:pPr>
            <w:r>
              <w:rPr>
                <w:rFonts w:cstheme="minorHAnsi"/>
                <w:lang w:val="en-US"/>
              </w:rPr>
              <w:t>6.5</w:t>
            </w:r>
          </w:p>
        </w:tc>
        <w:tc>
          <w:tcPr>
            <w:tcW w:w="7635" w:type="dxa"/>
          </w:tcPr>
          <w:p w14:paraId="2D4F3307" w14:textId="70D577EE" w:rsidR="00BA7C9F" w:rsidRPr="003F43F1" w:rsidDel="003F43F1" w:rsidRDefault="00BA7C9F" w:rsidP="00BA7C9F">
            <w:pPr>
              <w:cnfStyle w:val="000000100000" w:firstRow="0" w:lastRow="0" w:firstColumn="0" w:lastColumn="0" w:oddVBand="0" w:evenVBand="0" w:oddHBand="1" w:evenHBand="0" w:firstRowFirstColumn="0" w:firstRowLastColumn="0" w:lastRowFirstColumn="0" w:lastRowLastColumn="0"/>
              <w:rPr>
                <w:lang w:val="en-US"/>
              </w:rPr>
            </w:pPr>
            <w:r>
              <w:rPr>
                <w:rFonts w:cstheme="minorHAnsi"/>
                <w:lang w:val="en-US"/>
              </w:rPr>
              <w:t>Update to reflect total vial dosage</w:t>
            </w:r>
          </w:p>
        </w:tc>
      </w:tr>
    </w:tbl>
    <w:p w14:paraId="1B692FFD" w14:textId="77777777" w:rsidR="00960CD5" w:rsidRDefault="00960CD5" w:rsidP="008F77E2"/>
    <w:sectPr w:rsidR="00960C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DE85D" w14:textId="77777777" w:rsidR="00961BA3" w:rsidRDefault="00961BA3" w:rsidP="001A3992">
      <w:pPr>
        <w:spacing w:after="0" w:line="240" w:lineRule="auto"/>
      </w:pPr>
      <w:r>
        <w:separator/>
      </w:r>
    </w:p>
    <w:p w14:paraId="7BB7DFB8" w14:textId="77777777" w:rsidR="00961BA3" w:rsidRDefault="00961BA3"/>
    <w:p w14:paraId="580E8EED" w14:textId="77777777" w:rsidR="00961BA3" w:rsidRDefault="00961BA3" w:rsidP="001A3992">
      <w:pPr>
        <w:spacing w:after="0" w:line="240" w:lineRule="auto"/>
      </w:pPr>
      <w:r>
        <w:continuationSeparator/>
      </w:r>
    </w:p>
    <w:p w14:paraId="418E0851" w14:textId="77777777" w:rsidR="00961BA3" w:rsidRDefault="00961BA3"/>
    <w:p w14:paraId="00E1ECB0" w14:textId="77777777" w:rsidR="00961BA3" w:rsidRDefault="00961BA3">
      <w:pPr>
        <w:pStyle w:val="Header"/>
      </w:pPr>
    </w:p>
    <w:p w14:paraId="7641C692" w14:textId="77777777" w:rsidR="00961BA3" w:rsidRDefault="00961BA3"/>
    <w:p w14:paraId="546BB671" w14:textId="77777777" w:rsidR="00961BA3" w:rsidRDefault="00961BA3">
      <w:pPr>
        <w:pStyle w:val="Header"/>
      </w:pPr>
    </w:p>
    <w:p w14:paraId="4342E58B" w14:textId="77777777" w:rsidR="00961BA3" w:rsidRDefault="00961BA3"/>
    <w:p w14:paraId="786CCCD3" w14:textId="77777777" w:rsidR="00961BA3" w:rsidRDefault="00961BA3">
      <w:pPr>
        <w:pStyle w:val="Footer"/>
      </w:pPr>
    </w:p>
    <w:p w14:paraId="00FAB7DD" w14:textId="77777777" w:rsidR="00961BA3" w:rsidRDefault="00961BA3"/>
    <w:sdt>
      <w:sdtPr>
        <w:rPr>
          <w:rFonts w:asciiTheme="minorHAnsi" w:hAnsiTheme="minorHAnsi" w:cstheme="minorHAnsi"/>
        </w:rPr>
        <w:id w:val="1070933440"/>
        <w:docPartObj>
          <w:docPartGallery w:val="Page Numbers (Bottom of Page)"/>
          <w:docPartUnique/>
        </w:docPartObj>
      </w:sdtPr>
      <w:sdtEndPr>
        <w:rPr>
          <w:noProof/>
        </w:rPr>
      </w:sdtEndPr>
      <w:sdtContent>
        <w:p w14:paraId="2D6C3A7B" w14:textId="77777777" w:rsidR="00961BA3" w:rsidRPr="000A640E" w:rsidRDefault="00961BA3" w:rsidP="004264B7">
          <w:pPr>
            <w:pStyle w:val="Footer"/>
            <w:rPr>
              <w:rFonts w:asciiTheme="minorHAnsi" w:hAnsiTheme="minorHAnsi" w:cstheme="minorHAnsi"/>
            </w:rPr>
          </w:pPr>
          <w:r>
            <w:rPr>
              <w:rFonts w:asciiTheme="minorHAnsi" w:hAnsiTheme="minorHAnsi" w:cstheme="minorHAnsi"/>
            </w:rPr>
            <w:t>SPIKEVAX 18yrs+</w:t>
          </w:r>
          <w:r w:rsidRPr="000A640E">
            <w:rPr>
              <w:rFonts w:asciiTheme="minorHAnsi" w:hAnsiTheme="minorHAnsi" w:cstheme="minorHAnsi"/>
            </w:rPr>
            <w:t>_PI_</w:t>
          </w:r>
          <w:r>
            <w:rPr>
              <w:rFonts w:asciiTheme="minorHAnsi" w:hAnsiTheme="minorHAnsi" w:cstheme="minorHAnsi"/>
            </w:rPr>
            <w:t>4.0</w:t>
          </w:r>
          <w:r w:rsidRPr="000A640E">
            <w:rPr>
              <w:rFonts w:asciiTheme="minorHAnsi" w:hAnsiTheme="minorHAnsi" w:cstheme="minorHAnsi"/>
            </w:rPr>
            <w:t>_</w:t>
          </w:r>
          <w:r>
            <w:rPr>
              <w:rFonts w:asciiTheme="minorHAnsi" w:hAnsiTheme="minorHAnsi" w:cstheme="minorHAnsi"/>
            </w:rPr>
            <w:t>20</w:t>
          </w:r>
          <w:r w:rsidRPr="000A640E">
            <w:rPr>
              <w:rFonts w:asciiTheme="minorHAnsi" w:hAnsiTheme="minorHAnsi" w:cstheme="minorHAnsi"/>
            </w:rPr>
            <w:t>July21</w:t>
          </w:r>
          <w:r w:rsidRPr="000A640E">
            <w:rPr>
              <w:rFonts w:asciiTheme="minorHAnsi" w:hAnsiTheme="minorHAnsi" w:cstheme="minorHAnsi"/>
            </w:rPr>
            <w:tab/>
          </w:r>
          <w:r w:rsidRPr="000A640E">
            <w:rPr>
              <w:rFonts w:asciiTheme="minorHAnsi" w:hAnsiTheme="minorHAnsi" w:cstheme="minorHAnsi"/>
            </w:rPr>
            <w:tab/>
          </w:r>
          <w:r w:rsidRPr="000A640E">
            <w:rPr>
              <w:rFonts w:asciiTheme="minorHAnsi" w:hAnsiTheme="minorHAnsi" w:cstheme="minorHAnsi"/>
            </w:rPr>
            <w:fldChar w:fldCharType="begin"/>
          </w:r>
          <w:r w:rsidRPr="00AE1A15">
            <w:rPr>
              <w:rFonts w:asciiTheme="minorHAnsi" w:hAnsiTheme="minorHAnsi" w:cstheme="minorHAnsi"/>
            </w:rPr>
            <w:instrText xml:space="preserve"> PAGE   \* MERGEFORMAT </w:instrText>
          </w:r>
          <w:r w:rsidRPr="000A640E">
            <w:rPr>
              <w:rFonts w:asciiTheme="minorHAnsi" w:hAnsiTheme="minorHAnsi" w:cstheme="minorHAnsi"/>
            </w:rPr>
            <w:fldChar w:fldCharType="separate"/>
          </w:r>
          <w:r w:rsidRPr="00AE1A15">
            <w:rPr>
              <w:rFonts w:asciiTheme="minorHAnsi" w:hAnsiTheme="minorHAnsi" w:cstheme="minorHAnsi"/>
              <w:noProof/>
            </w:rPr>
            <w:t>1</w:t>
          </w:r>
          <w:r w:rsidRPr="000A640E">
            <w:rPr>
              <w:rFonts w:asciiTheme="minorHAnsi" w:hAnsiTheme="minorHAnsi" w:cstheme="minorHAnsi"/>
              <w:noProof/>
            </w:rPr>
            <w:fldChar w:fldCharType="end"/>
          </w:r>
        </w:p>
      </w:sdtContent>
    </w:sdt>
  </w:endnote>
  <w:endnote w:type="continuationSeparator" w:id="0">
    <w:p w14:paraId="6DE8E728" w14:textId="77777777" w:rsidR="00961BA3" w:rsidRDefault="00961BA3" w:rsidP="001A3992">
      <w:pPr>
        <w:spacing w:after="0" w:line="240" w:lineRule="auto"/>
      </w:pPr>
      <w:r>
        <w:continuationSeparator/>
      </w:r>
    </w:p>
  </w:endnote>
  <w:endnote w:type="continuationNotice" w:id="1">
    <w:p w14:paraId="586CA71D" w14:textId="77777777" w:rsidR="00961BA3" w:rsidRDefault="00961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17193" w14:textId="77777777" w:rsidR="007D0EAA" w:rsidRDefault="007D0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593163430"/>
      <w:docPartObj>
        <w:docPartGallery w:val="Page Numbers (Bottom of Page)"/>
        <w:docPartUnique/>
      </w:docPartObj>
    </w:sdtPr>
    <w:sdtEndPr>
      <w:rPr>
        <w:noProof/>
      </w:rPr>
    </w:sdtEndPr>
    <w:sdtContent>
      <w:p w14:paraId="1111C1B7" w14:textId="2CA22093" w:rsidR="00562765" w:rsidRPr="000A640E" w:rsidRDefault="00562765" w:rsidP="004264B7">
        <w:pPr>
          <w:pStyle w:val="Footer"/>
          <w:rPr>
            <w:rFonts w:asciiTheme="minorHAnsi" w:hAnsiTheme="minorHAnsi" w:cstheme="minorHAnsi"/>
          </w:rPr>
        </w:pPr>
        <w:r>
          <w:rPr>
            <w:rFonts w:asciiTheme="minorHAnsi" w:hAnsiTheme="minorHAnsi" w:cstheme="minorHAnsi"/>
          </w:rPr>
          <w:t>SPIKEVAX 12yrs+</w:t>
        </w:r>
        <w:r w:rsidRPr="000A640E">
          <w:rPr>
            <w:rFonts w:asciiTheme="minorHAnsi" w:hAnsiTheme="minorHAnsi" w:cstheme="minorHAnsi"/>
          </w:rPr>
          <w:t>_PI_</w:t>
        </w:r>
        <w:r>
          <w:rPr>
            <w:rFonts w:asciiTheme="minorHAnsi" w:hAnsiTheme="minorHAnsi" w:cstheme="minorHAnsi"/>
          </w:rPr>
          <w:t>4.</w:t>
        </w:r>
        <w:r w:rsidR="00D14773">
          <w:rPr>
            <w:rFonts w:asciiTheme="minorHAnsi" w:hAnsiTheme="minorHAnsi" w:cstheme="minorHAnsi"/>
          </w:rPr>
          <w:t>1</w:t>
        </w:r>
        <w:r w:rsidR="00470F03">
          <w:rPr>
            <w:rFonts w:asciiTheme="minorHAnsi" w:hAnsiTheme="minorHAnsi" w:cstheme="minorHAnsi"/>
          </w:rPr>
          <w:t>2</w:t>
        </w:r>
        <w:r>
          <w:rPr>
            <w:rFonts w:asciiTheme="minorHAnsi" w:hAnsiTheme="minorHAnsi" w:cstheme="minorHAnsi"/>
          </w:rPr>
          <w:t>_0</w:t>
        </w:r>
        <w:r w:rsidR="00470F03">
          <w:rPr>
            <w:rFonts w:asciiTheme="minorHAnsi" w:hAnsiTheme="minorHAnsi" w:cstheme="minorHAnsi"/>
          </w:rPr>
          <w:t>9</w:t>
        </w:r>
        <w:r>
          <w:rPr>
            <w:rFonts w:asciiTheme="minorHAnsi" w:hAnsiTheme="minorHAnsi" w:cstheme="minorHAnsi"/>
          </w:rPr>
          <w:t>Dec</w:t>
        </w:r>
        <w:r w:rsidRPr="000A640E">
          <w:rPr>
            <w:rFonts w:asciiTheme="minorHAnsi" w:hAnsiTheme="minorHAnsi" w:cstheme="minorHAnsi"/>
          </w:rPr>
          <w:t>21</w:t>
        </w:r>
        <w:r w:rsidRPr="000A640E">
          <w:rPr>
            <w:rFonts w:asciiTheme="minorHAnsi" w:hAnsiTheme="minorHAnsi" w:cstheme="minorHAnsi"/>
          </w:rPr>
          <w:tab/>
        </w:r>
        <w:r w:rsidRPr="000A640E">
          <w:rPr>
            <w:rFonts w:asciiTheme="minorHAnsi" w:hAnsiTheme="minorHAnsi" w:cstheme="minorHAnsi"/>
          </w:rPr>
          <w:tab/>
        </w:r>
        <w:r w:rsidRPr="000A640E">
          <w:rPr>
            <w:rFonts w:asciiTheme="minorHAnsi" w:hAnsiTheme="minorHAnsi" w:cstheme="minorHAnsi"/>
          </w:rPr>
          <w:fldChar w:fldCharType="begin"/>
        </w:r>
        <w:r w:rsidRPr="00AE1A15">
          <w:rPr>
            <w:rFonts w:asciiTheme="minorHAnsi" w:hAnsiTheme="minorHAnsi" w:cstheme="minorHAnsi"/>
          </w:rPr>
          <w:instrText xml:space="preserve"> PAGE   \* MERGEFORMAT </w:instrText>
        </w:r>
        <w:r w:rsidRPr="000A640E">
          <w:rPr>
            <w:rFonts w:asciiTheme="minorHAnsi" w:hAnsiTheme="minorHAnsi" w:cstheme="minorHAnsi"/>
          </w:rPr>
          <w:fldChar w:fldCharType="separate"/>
        </w:r>
        <w:r w:rsidRPr="00AE1A15">
          <w:rPr>
            <w:rFonts w:asciiTheme="minorHAnsi" w:hAnsiTheme="minorHAnsi" w:cstheme="minorHAnsi"/>
            <w:noProof/>
          </w:rPr>
          <w:t>1</w:t>
        </w:r>
        <w:r w:rsidRPr="000A640E">
          <w:rPr>
            <w:rFonts w:asciiTheme="minorHAnsi" w:hAnsiTheme="minorHAnsi" w:cs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43F59" w14:textId="77777777" w:rsidR="007D0EAA" w:rsidRDefault="007D0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6219F" w14:textId="77777777" w:rsidR="00961BA3" w:rsidRDefault="00961BA3" w:rsidP="001A3992">
      <w:pPr>
        <w:spacing w:after="0" w:line="240" w:lineRule="auto"/>
      </w:pPr>
      <w:r>
        <w:separator/>
      </w:r>
    </w:p>
  </w:footnote>
  <w:footnote w:type="continuationSeparator" w:id="0">
    <w:p w14:paraId="278114AF" w14:textId="77777777" w:rsidR="00961BA3" w:rsidRDefault="00961BA3" w:rsidP="001A3992">
      <w:pPr>
        <w:spacing w:after="0" w:line="240" w:lineRule="auto"/>
      </w:pPr>
      <w:r>
        <w:continuationSeparator/>
      </w:r>
    </w:p>
  </w:footnote>
  <w:footnote w:type="continuationNotice" w:id="1">
    <w:p w14:paraId="00C7747C" w14:textId="77777777" w:rsidR="00961BA3" w:rsidRDefault="00961B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9A07D" w14:textId="77777777" w:rsidR="007D0EAA" w:rsidRDefault="007D0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16"/>
    </w:tblGrid>
    <w:tr w:rsidR="007D0EAA" w:rsidRPr="000B2145" w14:paraId="524ACB4F" w14:textId="77777777" w:rsidTr="00BA38C9">
      <w:trPr>
        <w:trHeight w:val="1012"/>
      </w:trPr>
      <w:tc>
        <w:tcPr>
          <w:tcW w:w="9039" w:type="dxa"/>
          <w:shd w:val="clear" w:color="auto" w:fill="E4F2E0"/>
        </w:tcPr>
        <w:p w14:paraId="339ABCD3" w14:textId="77777777" w:rsidR="007D0EAA" w:rsidRPr="000E4791" w:rsidRDefault="007D0EAA" w:rsidP="007D0EAA">
          <w:pPr>
            <w:pStyle w:val="Footer"/>
            <w:rPr>
              <w:b/>
              <w:sz w:val="18"/>
              <w:szCs w:val="18"/>
            </w:rPr>
          </w:pPr>
          <w:bookmarkStart w:id="6" w:name="_Hlk80611440"/>
          <w:r w:rsidRPr="000E4791">
            <w:rPr>
              <w:b/>
              <w:sz w:val="18"/>
              <w:szCs w:val="18"/>
            </w:rPr>
            <w:t>Attachment 1</w:t>
          </w:r>
          <w:r>
            <w:t xml:space="preserve"> </w:t>
          </w:r>
          <w:proofErr w:type="spellStart"/>
          <w:r w:rsidRPr="00A12B85">
            <w:rPr>
              <w:b/>
              <w:sz w:val="18"/>
              <w:szCs w:val="18"/>
            </w:rPr>
            <w:t>AusPAR</w:t>
          </w:r>
          <w:proofErr w:type="spellEnd"/>
          <w:r w:rsidRPr="00A12B85">
            <w:rPr>
              <w:b/>
              <w:sz w:val="18"/>
              <w:szCs w:val="18"/>
            </w:rPr>
            <w:t xml:space="preserve"> - </w:t>
          </w:r>
          <w:proofErr w:type="spellStart"/>
          <w:r w:rsidRPr="00A12B85">
            <w:rPr>
              <w:b/>
              <w:sz w:val="18"/>
              <w:szCs w:val="18"/>
            </w:rPr>
            <w:t>Spikevax</w:t>
          </w:r>
          <w:proofErr w:type="spellEnd"/>
          <w:r w:rsidRPr="00A12B85">
            <w:rPr>
              <w:b/>
              <w:sz w:val="18"/>
              <w:szCs w:val="18"/>
            </w:rPr>
            <w:t xml:space="preserve"> – </w:t>
          </w:r>
          <w:proofErr w:type="spellStart"/>
          <w:r w:rsidRPr="00A12B85">
            <w:rPr>
              <w:b/>
              <w:sz w:val="18"/>
              <w:szCs w:val="18"/>
            </w:rPr>
            <w:t>elasomeran</w:t>
          </w:r>
          <w:proofErr w:type="spellEnd"/>
          <w:r w:rsidRPr="00A12B85">
            <w:rPr>
              <w:b/>
              <w:sz w:val="18"/>
              <w:szCs w:val="18"/>
            </w:rPr>
            <w:t xml:space="preserve"> (mRNA-1273) - </w:t>
          </w:r>
          <w:proofErr w:type="spellStart"/>
          <w:r w:rsidRPr="00A12B85">
            <w:rPr>
              <w:b/>
              <w:sz w:val="18"/>
              <w:szCs w:val="18"/>
            </w:rPr>
            <w:t>Moderna</w:t>
          </w:r>
          <w:proofErr w:type="spellEnd"/>
          <w:r w:rsidRPr="00A12B85">
            <w:rPr>
              <w:b/>
              <w:sz w:val="18"/>
              <w:szCs w:val="18"/>
            </w:rPr>
            <w:t xml:space="preserve"> Australia Pty Ltd-PM-2021-05131-1-2- Final 8 December 2021</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6"/>
  </w:tbl>
  <w:p w14:paraId="54FCB6DA" w14:textId="77777777" w:rsidR="007D0EAA" w:rsidRDefault="007D0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29E9D" w14:textId="77777777" w:rsidR="007D0EAA" w:rsidRDefault="007D0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468D6"/>
    <w:multiLevelType w:val="hybridMultilevel"/>
    <w:tmpl w:val="C5EEA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8E575E"/>
    <w:multiLevelType w:val="hybridMultilevel"/>
    <w:tmpl w:val="2D50B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3602FA"/>
    <w:multiLevelType w:val="hybridMultilevel"/>
    <w:tmpl w:val="3668AD9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332797"/>
    <w:multiLevelType w:val="multilevel"/>
    <w:tmpl w:val="28302500"/>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6"/>
  </w:num>
  <w:num w:numId="5">
    <w:abstractNumId w:val="13"/>
  </w:num>
  <w:num w:numId="6">
    <w:abstractNumId w:val="11"/>
  </w:num>
  <w:num w:numId="7">
    <w:abstractNumId w:val="9"/>
  </w:num>
  <w:num w:numId="8">
    <w:abstractNumId w:val="12"/>
  </w:num>
  <w:num w:numId="9">
    <w:abstractNumId w:val="5"/>
  </w:num>
  <w:num w:numId="10">
    <w:abstractNumId w:val="8"/>
  </w:num>
  <w:num w:numId="11">
    <w:abstractNumId w:val="4"/>
  </w:num>
  <w:num w:numId="12">
    <w:abstractNumId w:val="0"/>
    <w:lvlOverride w:ilvl="0">
      <w:lvl w:ilvl="0">
        <w:start w:val="1"/>
        <w:numFmt w:val="bullet"/>
        <w:lvlText w:val="-"/>
        <w:lvlJc w:val="left"/>
        <w:pPr>
          <w:tabs>
            <w:tab w:val="num" w:pos="360"/>
          </w:tabs>
          <w:ind w:left="360" w:hanging="360"/>
        </w:pPr>
      </w:lvl>
    </w:lvlOverride>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2D"/>
    <w:rsid w:val="000008C4"/>
    <w:rsid w:val="00004874"/>
    <w:rsid w:val="00012336"/>
    <w:rsid w:val="0001509B"/>
    <w:rsid w:val="00017C3E"/>
    <w:rsid w:val="000210A4"/>
    <w:rsid w:val="000229A7"/>
    <w:rsid w:val="00023D88"/>
    <w:rsid w:val="00027006"/>
    <w:rsid w:val="000371EF"/>
    <w:rsid w:val="00037552"/>
    <w:rsid w:val="00040122"/>
    <w:rsid w:val="000408C5"/>
    <w:rsid w:val="00042302"/>
    <w:rsid w:val="00053E91"/>
    <w:rsid w:val="00063449"/>
    <w:rsid w:val="00064A7E"/>
    <w:rsid w:val="00065F6D"/>
    <w:rsid w:val="000661F3"/>
    <w:rsid w:val="00072728"/>
    <w:rsid w:val="00073981"/>
    <w:rsid w:val="0007430D"/>
    <w:rsid w:val="000775C8"/>
    <w:rsid w:val="00081B0A"/>
    <w:rsid w:val="00081D1F"/>
    <w:rsid w:val="000838E5"/>
    <w:rsid w:val="000847FB"/>
    <w:rsid w:val="00091557"/>
    <w:rsid w:val="000954CD"/>
    <w:rsid w:val="00096C87"/>
    <w:rsid w:val="000A324B"/>
    <w:rsid w:val="000A374B"/>
    <w:rsid w:val="000A3A9F"/>
    <w:rsid w:val="000A460E"/>
    <w:rsid w:val="000A640E"/>
    <w:rsid w:val="000A6F66"/>
    <w:rsid w:val="000B1042"/>
    <w:rsid w:val="000B3560"/>
    <w:rsid w:val="000B5FDF"/>
    <w:rsid w:val="000C1896"/>
    <w:rsid w:val="000C1E84"/>
    <w:rsid w:val="000C3943"/>
    <w:rsid w:val="000C59E3"/>
    <w:rsid w:val="000D0C1A"/>
    <w:rsid w:val="000F1D31"/>
    <w:rsid w:val="000F39BD"/>
    <w:rsid w:val="00101FC2"/>
    <w:rsid w:val="001155DE"/>
    <w:rsid w:val="00124B3A"/>
    <w:rsid w:val="00124F8A"/>
    <w:rsid w:val="00125E47"/>
    <w:rsid w:val="00127BF0"/>
    <w:rsid w:val="001313A9"/>
    <w:rsid w:val="00132014"/>
    <w:rsid w:val="00132BA7"/>
    <w:rsid w:val="00140C59"/>
    <w:rsid w:val="00140D80"/>
    <w:rsid w:val="00142491"/>
    <w:rsid w:val="0014269B"/>
    <w:rsid w:val="00144D3E"/>
    <w:rsid w:val="00150325"/>
    <w:rsid w:val="00153F16"/>
    <w:rsid w:val="00155E8B"/>
    <w:rsid w:val="00160E48"/>
    <w:rsid w:val="00160FB8"/>
    <w:rsid w:val="00162F0C"/>
    <w:rsid w:val="00170492"/>
    <w:rsid w:val="0017068F"/>
    <w:rsid w:val="00173960"/>
    <w:rsid w:val="0017400E"/>
    <w:rsid w:val="00174C63"/>
    <w:rsid w:val="0017716C"/>
    <w:rsid w:val="00177366"/>
    <w:rsid w:val="00177932"/>
    <w:rsid w:val="00182A41"/>
    <w:rsid w:val="00186D46"/>
    <w:rsid w:val="00187396"/>
    <w:rsid w:val="00187642"/>
    <w:rsid w:val="00187A74"/>
    <w:rsid w:val="00193D3E"/>
    <w:rsid w:val="001A33BA"/>
    <w:rsid w:val="001A3992"/>
    <w:rsid w:val="001A5D10"/>
    <w:rsid w:val="001B2B9D"/>
    <w:rsid w:val="001B2D90"/>
    <w:rsid w:val="001B7785"/>
    <w:rsid w:val="001B7FF6"/>
    <w:rsid w:val="001C0A66"/>
    <w:rsid w:val="001C1619"/>
    <w:rsid w:val="001C1C6E"/>
    <w:rsid w:val="001C45F1"/>
    <w:rsid w:val="001D044F"/>
    <w:rsid w:val="001D3305"/>
    <w:rsid w:val="001D47D9"/>
    <w:rsid w:val="001D5A32"/>
    <w:rsid w:val="001F03CC"/>
    <w:rsid w:val="001F4FDC"/>
    <w:rsid w:val="00210A00"/>
    <w:rsid w:val="002112DD"/>
    <w:rsid w:val="0021200F"/>
    <w:rsid w:val="002233D8"/>
    <w:rsid w:val="00223E9F"/>
    <w:rsid w:val="002248EB"/>
    <w:rsid w:val="00225162"/>
    <w:rsid w:val="00231CB2"/>
    <w:rsid w:val="00242B98"/>
    <w:rsid w:val="00242E1D"/>
    <w:rsid w:val="002506EC"/>
    <w:rsid w:val="00253028"/>
    <w:rsid w:val="002532E4"/>
    <w:rsid w:val="002534EF"/>
    <w:rsid w:val="00270160"/>
    <w:rsid w:val="0027766D"/>
    <w:rsid w:val="00277A51"/>
    <w:rsid w:val="0028018D"/>
    <w:rsid w:val="00282607"/>
    <w:rsid w:val="00285173"/>
    <w:rsid w:val="0028524F"/>
    <w:rsid w:val="00292F02"/>
    <w:rsid w:val="00296302"/>
    <w:rsid w:val="002965E6"/>
    <w:rsid w:val="002A1724"/>
    <w:rsid w:val="002A4FFE"/>
    <w:rsid w:val="002B0528"/>
    <w:rsid w:val="002B26E2"/>
    <w:rsid w:val="002C0E70"/>
    <w:rsid w:val="002D2959"/>
    <w:rsid w:val="002D5E6E"/>
    <w:rsid w:val="002D685E"/>
    <w:rsid w:val="002E01B3"/>
    <w:rsid w:val="002E277D"/>
    <w:rsid w:val="002E5193"/>
    <w:rsid w:val="002E5BB1"/>
    <w:rsid w:val="002E6C82"/>
    <w:rsid w:val="002E70F2"/>
    <w:rsid w:val="002E7515"/>
    <w:rsid w:val="002F6C1B"/>
    <w:rsid w:val="003003B7"/>
    <w:rsid w:val="00302DF7"/>
    <w:rsid w:val="00304759"/>
    <w:rsid w:val="00305E27"/>
    <w:rsid w:val="00306647"/>
    <w:rsid w:val="00307CE3"/>
    <w:rsid w:val="00313BB3"/>
    <w:rsid w:val="00315EF5"/>
    <w:rsid w:val="00325529"/>
    <w:rsid w:val="0033151F"/>
    <w:rsid w:val="00331B38"/>
    <w:rsid w:val="00334958"/>
    <w:rsid w:val="0034088D"/>
    <w:rsid w:val="00341208"/>
    <w:rsid w:val="003547EB"/>
    <w:rsid w:val="00354ECA"/>
    <w:rsid w:val="00356647"/>
    <w:rsid w:val="00371E8D"/>
    <w:rsid w:val="00374713"/>
    <w:rsid w:val="00375250"/>
    <w:rsid w:val="00375DF3"/>
    <w:rsid w:val="00375F16"/>
    <w:rsid w:val="003763DB"/>
    <w:rsid w:val="00377C49"/>
    <w:rsid w:val="00383A8E"/>
    <w:rsid w:val="00386CFB"/>
    <w:rsid w:val="00393BEE"/>
    <w:rsid w:val="0039547D"/>
    <w:rsid w:val="003962B7"/>
    <w:rsid w:val="0039694E"/>
    <w:rsid w:val="00396EB7"/>
    <w:rsid w:val="003A0171"/>
    <w:rsid w:val="003A23D3"/>
    <w:rsid w:val="003A31BB"/>
    <w:rsid w:val="003A4AFA"/>
    <w:rsid w:val="003A78C9"/>
    <w:rsid w:val="003B5254"/>
    <w:rsid w:val="003B5ACB"/>
    <w:rsid w:val="003B5E00"/>
    <w:rsid w:val="003C3B7F"/>
    <w:rsid w:val="003C440D"/>
    <w:rsid w:val="003C5807"/>
    <w:rsid w:val="003F43F1"/>
    <w:rsid w:val="003F5346"/>
    <w:rsid w:val="003F717A"/>
    <w:rsid w:val="003F784F"/>
    <w:rsid w:val="00405DC5"/>
    <w:rsid w:val="00406284"/>
    <w:rsid w:val="00406C76"/>
    <w:rsid w:val="00407072"/>
    <w:rsid w:val="00411311"/>
    <w:rsid w:val="00411933"/>
    <w:rsid w:val="00414629"/>
    <w:rsid w:val="00414DB0"/>
    <w:rsid w:val="00416690"/>
    <w:rsid w:val="004166C0"/>
    <w:rsid w:val="00422148"/>
    <w:rsid w:val="0042333F"/>
    <w:rsid w:val="00423B38"/>
    <w:rsid w:val="0042566E"/>
    <w:rsid w:val="0042635C"/>
    <w:rsid w:val="004264B7"/>
    <w:rsid w:val="0042696A"/>
    <w:rsid w:val="004277C1"/>
    <w:rsid w:val="0043063E"/>
    <w:rsid w:val="00431ACD"/>
    <w:rsid w:val="00432B47"/>
    <w:rsid w:val="004370C6"/>
    <w:rsid w:val="0043762C"/>
    <w:rsid w:val="00441B4C"/>
    <w:rsid w:val="00446D74"/>
    <w:rsid w:val="00450B0E"/>
    <w:rsid w:val="00451AD6"/>
    <w:rsid w:val="004529A7"/>
    <w:rsid w:val="004633F7"/>
    <w:rsid w:val="00463D72"/>
    <w:rsid w:val="00464AC9"/>
    <w:rsid w:val="004671F7"/>
    <w:rsid w:val="00470F03"/>
    <w:rsid w:val="00472803"/>
    <w:rsid w:val="00472FFA"/>
    <w:rsid w:val="00477B01"/>
    <w:rsid w:val="004805DB"/>
    <w:rsid w:val="00485F16"/>
    <w:rsid w:val="004913FD"/>
    <w:rsid w:val="00493CD5"/>
    <w:rsid w:val="0049513E"/>
    <w:rsid w:val="0049610D"/>
    <w:rsid w:val="00497DB2"/>
    <w:rsid w:val="004A0D71"/>
    <w:rsid w:val="004A2DAC"/>
    <w:rsid w:val="004B0AF8"/>
    <w:rsid w:val="004B19C8"/>
    <w:rsid w:val="004B3815"/>
    <w:rsid w:val="004B3C4F"/>
    <w:rsid w:val="004B6B19"/>
    <w:rsid w:val="004C0237"/>
    <w:rsid w:val="004C34B1"/>
    <w:rsid w:val="004C417D"/>
    <w:rsid w:val="004C612A"/>
    <w:rsid w:val="004C78F2"/>
    <w:rsid w:val="004D1AB3"/>
    <w:rsid w:val="004D5400"/>
    <w:rsid w:val="004D5C83"/>
    <w:rsid w:val="004E2622"/>
    <w:rsid w:val="004E5708"/>
    <w:rsid w:val="004F3DA6"/>
    <w:rsid w:val="004F5859"/>
    <w:rsid w:val="00500646"/>
    <w:rsid w:val="0050327A"/>
    <w:rsid w:val="0051026D"/>
    <w:rsid w:val="00510A07"/>
    <w:rsid w:val="0051292C"/>
    <w:rsid w:val="005132EA"/>
    <w:rsid w:val="00513621"/>
    <w:rsid w:val="00514477"/>
    <w:rsid w:val="00517A40"/>
    <w:rsid w:val="00524D54"/>
    <w:rsid w:val="005375D0"/>
    <w:rsid w:val="00540B6B"/>
    <w:rsid w:val="005417AF"/>
    <w:rsid w:val="00543053"/>
    <w:rsid w:val="005502E3"/>
    <w:rsid w:val="0055051E"/>
    <w:rsid w:val="00562765"/>
    <w:rsid w:val="00563EAA"/>
    <w:rsid w:val="0056726A"/>
    <w:rsid w:val="00571FB8"/>
    <w:rsid w:val="00574B17"/>
    <w:rsid w:val="0058043D"/>
    <w:rsid w:val="00581F69"/>
    <w:rsid w:val="00586A80"/>
    <w:rsid w:val="0059132A"/>
    <w:rsid w:val="00594C02"/>
    <w:rsid w:val="0059548F"/>
    <w:rsid w:val="00597DA5"/>
    <w:rsid w:val="005A06EA"/>
    <w:rsid w:val="005A18FE"/>
    <w:rsid w:val="005A203F"/>
    <w:rsid w:val="005A2B7E"/>
    <w:rsid w:val="005B2812"/>
    <w:rsid w:val="005B3314"/>
    <w:rsid w:val="005B55F8"/>
    <w:rsid w:val="005B78EB"/>
    <w:rsid w:val="005C3A9A"/>
    <w:rsid w:val="005C56A2"/>
    <w:rsid w:val="005C71BE"/>
    <w:rsid w:val="005D49D5"/>
    <w:rsid w:val="005D7B07"/>
    <w:rsid w:val="005E07C3"/>
    <w:rsid w:val="005E179B"/>
    <w:rsid w:val="005E1D84"/>
    <w:rsid w:val="005E7435"/>
    <w:rsid w:val="005E77C6"/>
    <w:rsid w:val="005F32B3"/>
    <w:rsid w:val="005F365D"/>
    <w:rsid w:val="005F49F9"/>
    <w:rsid w:val="006018AE"/>
    <w:rsid w:val="0061010C"/>
    <w:rsid w:val="00610DE5"/>
    <w:rsid w:val="00610F6B"/>
    <w:rsid w:val="006216CC"/>
    <w:rsid w:val="0062417F"/>
    <w:rsid w:val="0062573D"/>
    <w:rsid w:val="00630365"/>
    <w:rsid w:val="00631360"/>
    <w:rsid w:val="00633471"/>
    <w:rsid w:val="00633ABF"/>
    <w:rsid w:val="00633F2F"/>
    <w:rsid w:val="006342EF"/>
    <w:rsid w:val="0064675A"/>
    <w:rsid w:val="0066069A"/>
    <w:rsid w:val="006637BC"/>
    <w:rsid w:val="00664631"/>
    <w:rsid w:val="00666340"/>
    <w:rsid w:val="0066677B"/>
    <w:rsid w:val="00666AEF"/>
    <w:rsid w:val="00672F1C"/>
    <w:rsid w:val="00681900"/>
    <w:rsid w:val="006819B4"/>
    <w:rsid w:val="00681D64"/>
    <w:rsid w:val="006820DF"/>
    <w:rsid w:val="006852B2"/>
    <w:rsid w:val="00690C5C"/>
    <w:rsid w:val="00697283"/>
    <w:rsid w:val="006A3EA3"/>
    <w:rsid w:val="006A77C5"/>
    <w:rsid w:val="006B19C0"/>
    <w:rsid w:val="006B5662"/>
    <w:rsid w:val="006B6AD3"/>
    <w:rsid w:val="006C052C"/>
    <w:rsid w:val="006C0D1A"/>
    <w:rsid w:val="006C6D56"/>
    <w:rsid w:val="006D1E0E"/>
    <w:rsid w:val="006D2828"/>
    <w:rsid w:val="006E7B16"/>
    <w:rsid w:val="006F20FE"/>
    <w:rsid w:val="006F4F85"/>
    <w:rsid w:val="006F5334"/>
    <w:rsid w:val="00703278"/>
    <w:rsid w:val="00707C6A"/>
    <w:rsid w:val="007215FC"/>
    <w:rsid w:val="007220FA"/>
    <w:rsid w:val="00726CAF"/>
    <w:rsid w:val="00730EF7"/>
    <w:rsid w:val="00742897"/>
    <w:rsid w:val="00745FB2"/>
    <w:rsid w:val="007553A3"/>
    <w:rsid w:val="0076036F"/>
    <w:rsid w:val="0076586C"/>
    <w:rsid w:val="00777BC8"/>
    <w:rsid w:val="00781FA8"/>
    <w:rsid w:val="00782D69"/>
    <w:rsid w:val="00785524"/>
    <w:rsid w:val="00786C37"/>
    <w:rsid w:val="00787D93"/>
    <w:rsid w:val="007A1045"/>
    <w:rsid w:val="007A53E1"/>
    <w:rsid w:val="007B0284"/>
    <w:rsid w:val="007B39BC"/>
    <w:rsid w:val="007B5F93"/>
    <w:rsid w:val="007B79C4"/>
    <w:rsid w:val="007C5BC0"/>
    <w:rsid w:val="007C6222"/>
    <w:rsid w:val="007C66C8"/>
    <w:rsid w:val="007D0EAA"/>
    <w:rsid w:val="007D6DA7"/>
    <w:rsid w:val="007E166C"/>
    <w:rsid w:val="007E5607"/>
    <w:rsid w:val="007E64E0"/>
    <w:rsid w:val="007F228F"/>
    <w:rsid w:val="007F363C"/>
    <w:rsid w:val="00801AC9"/>
    <w:rsid w:val="00806FAF"/>
    <w:rsid w:val="00815A3E"/>
    <w:rsid w:val="00824CEA"/>
    <w:rsid w:val="00834307"/>
    <w:rsid w:val="00834C23"/>
    <w:rsid w:val="008447AC"/>
    <w:rsid w:val="00846DEB"/>
    <w:rsid w:val="00851774"/>
    <w:rsid w:val="00863BBF"/>
    <w:rsid w:val="008640A8"/>
    <w:rsid w:val="00864AB4"/>
    <w:rsid w:val="008670FB"/>
    <w:rsid w:val="0086797A"/>
    <w:rsid w:val="00872773"/>
    <w:rsid w:val="00872843"/>
    <w:rsid w:val="00875648"/>
    <w:rsid w:val="00880B3E"/>
    <w:rsid w:val="00880B67"/>
    <w:rsid w:val="00882175"/>
    <w:rsid w:val="00891500"/>
    <w:rsid w:val="00892399"/>
    <w:rsid w:val="00892CBC"/>
    <w:rsid w:val="00896233"/>
    <w:rsid w:val="008A3511"/>
    <w:rsid w:val="008A3EC8"/>
    <w:rsid w:val="008A4DBA"/>
    <w:rsid w:val="008A6020"/>
    <w:rsid w:val="008B5797"/>
    <w:rsid w:val="008C0AEC"/>
    <w:rsid w:val="008C442D"/>
    <w:rsid w:val="008C529E"/>
    <w:rsid w:val="008C5974"/>
    <w:rsid w:val="008E0BEC"/>
    <w:rsid w:val="008F360D"/>
    <w:rsid w:val="008F6BDB"/>
    <w:rsid w:val="008F77E2"/>
    <w:rsid w:val="00905FE6"/>
    <w:rsid w:val="00907F55"/>
    <w:rsid w:val="009128E0"/>
    <w:rsid w:val="00916AD2"/>
    <w:rsid w:val="00917260"/>
    <w:rsid w:val="00917EF8"/>
    <w:rsid w:val="009348D7"/>
    <w:rsid w:val="009352D5"/>
    <w:rsid w:val="00935B25"/>
    <w:rsid w:val="009445A8"/>
    <w:rsid w:val="009445C3"/>
    <w:rsid w:val="00946245"/>
    <w:rsid w:val="00946CA1"/>
    <w:rsid w:val="0094715F"/>
    <w:rsid w:val="00952542"/>
    <w:rsid w:val="00954E46"/>
    <w:rsid w:val="00955155"/>
    <w:rsid w:val="00955BFE"/>
    <w:rsid w:val="00956DA5"/>
    <w:rsid w:val="00957F79"/>
    <w:rsid w:val="00960048"/>
    <w:rsid w:val="00960325"/>
    <w:rsid w:val="00960CD5"/>
    <w:rsid w:val="00961BA3"/>
    <w:rsid w:val="00964494"/>
    <w:rsid w:val="00965C6D"/>
    <w:rsid w:val="009679C4"/>
    <w:rsid w:val="009701D1"/>
    <w:rsid w:val="009736BB"/>
    <w:rsid w:val="00974154"/>
    <w:rsid w:val="0097495C"/>
    <w:rsid w:val="0098525F"/>
    <w:rsid w:val="009858B2"/>
    <w:rsid w:val="00985FBD"/>
    <w:rsid w:val="009910F6"/>
    <w:rsid w:val="00991E9C"/>
    <w:rsid w:val="009920F5"/>
    <w:rsid w:val="009A1509"/>
    <w:rsid w:val="009A6396"/>
    <w:rsid w:val="009A7A03"/>
    <w:rsid w:val="009B11A6"/>
    <w:rsid w:val="009B247B"/>
    <w:rsid w:val="009B730D"/>
    <w:rsid w:val="009B748C"/>
    <w:rsid w:val="009C29FA"/>
    <w:rsid w:val="009C2DBE"/>
    <w:rsid w:val="009C5B4F"/>
    <w:rsid w:val="009D111F"/>
    <w:rsid w:val="009D49BA"/>
    <w:rsid w:val="009D622F"/>
    <w:rsid w:val="009D709E"/>
    <w:rsid w:val="009E3546"/>
    <w:rsid w:val="009F048F"/>
    <w:rsid w:val="009F35E6"/>
    <w:rsid w:val="00A013D1"/>
    <w:rsid w:val="00A01A24"/>
    <w:rsid w:val="00A04D76"/>
    <w:rsid w:val="00A060EE"/>
    <w:rsid w:val="00A114C6"/>
    <w:rsid w:val="00A130F0"/>
    <w:rsid w:val="00A1691E"/>
    <w:rsid w:val="00A25B55"/>
    <w:rsid w:val="00A302C1"/>
    <w:rsid w:val="00A30534"/>
    <w:rsid w:val="00A31655"/>
    <w:rsid w:val="00A4650F"/>
    <w:rsid w:val="00A46E03"/>
    <w:rsid w:val="00A471C1"/>
    <w:rsid w:val="00A564E5"/>
    <w:rsid w:val="00A573D2"/>
    <w:rsid w:val="00A61E86"/>
    <w:rsid w:val="00A64655"/>
    <w:rsid w:val="00A651E3"/>
    <w:rsid w:val="00A7318D"/>
    <w:rsid w:val="00A7355A"/>
    <w:rsid w:val="00A762F9"/>
    <w:rsid w:val="00A91495"/>
    <w:rsid w:val="00A93A80"/>
    <w:rsid w:val="00A93AE7"/>
    <w:rsid w:val="00A947DD"/>
    <w:rsid w:val="00A95416"/>
    <w:rsid w:val="00AA1865"/>
    <w:rsid w:val="00AA1EAA"/>
    <w:rsid w:val="00AA61FF"/>
    <w:rsid w:val="00AB3618"/>
    <w:rsid w:val="00AB7D36"/>
    <w:rsid w:val="00AC2272"/>
    <w:rsid w:val="00AC4EA4"/>
    <w:rsid w:val="00AC63E5"/>
    <w:rsid w:val="00AC655D"/>
    <w:rsid w:val="00AD1677"/>
    <w:rsid w:val="00AD1901"/>
    <w:rsid w:val="00AD4A7F"/>
    <w:rsid w:val="00AD4D05"/>
    <w:rsid w:val="00AE1A15"/>
    <w:rsid w:val="00AE4C91"/>
    <w:rsid w:val="00AF238D"/>
    <w:rsid w:val="00AF7F56"/>
    <w:rsid w:val="00B036DD"/>
    <w:rsid w:val="00B0709F"/>
    <w:rsid w:val="00B1703F"/>
    <w:rsid w:val="00B208E2"/>
    <w:rsid w:val="00B20EF0"/>
    <w:rsid w:val="00B24B33"/>
    <w:rsid w:val="00B27AA4"/>
    <w:rsid w:val="00B3138A"/>
    <w:rsid w:val="00B357DD"/>
    <w:rsid w:val="00B366EF"/>
    <w:rsid w:val="00B40EFA"/>
    <w:rsid w:val="00B5188A"/>
    <w:rsid w:val="00B55CF3"/>
    <w:rsid w:val="00B56B78"/>
    <w:rsid w:val="00B60EF9"/>
    <w:rsid w:val="00B6430E"/>
    <w:rsid w:val="00B73D62"/>
    <w:rsid w:val="00B75246"/>
    <w:rsid w:val="00B8032C"/>
    <w:rsid w:val="00B853C8"/>
    <w:rsid w:val="00B9274B"/>
    <w:rsid w:val="00B94204"/>
    <w:rsid w:val="00B94B88"/>
    <w:rsid w:val="00BA1DBC"/>
    <w:rsid w:val="00BA2DE9"/>
    <w:rsid w:val="00BA7C9F"/>
    <w:rsid w:val="00BB2742"/>
    <w:rsid w:val="00BB55DD"/>
    <w:rsid w:val="00BC1FD1"/>
    <w:rsid w:val="00BC38A7"/>
    <w:rsid w:val="00BD599F"/>
    <w:rsid w:val="00BD7934"/>
    <w:rsid w:val="00BE1F0A"/>
    <w:rsid w:val="00BE2A26"/>
    <w:rsid w:val="00BE7768"/>
    <w:rsid w:val="00BF4495"/>
    <w:rsid w:val="00BF665F"/>
    <w:rsid w:val="00C0641B"/>
    <w:rsid w:val="00C06DD2"/>
    <w:rsid w:val="00C20C0B"/>
    <w:rsid w:val="00C20F97"/>
    <w:rsid w:val="00C306FD"/>
    <w:rsid w:val="00C332B1"/>
    <w:rsid w:val="00C34CFC"/>
    <w:rsid w:val="00C35D71"/>
    <w:rsid w:val="00C3631A"/>
    <w:rsid w:val="00C3687F"/>
    <w:rsid w:val="00C507AA"/>
    <w:rsid w:val="00C51607"/>
    <w:rsid w:val="00C629D3"/>
    <w:rsid w:val="00C65B13"/>
    <w:rsid w:val="00C67042"/>
    <w:rsid w:val="00C77BD0"/>
    <w:rsid w:val="00C81009"/>
    <w:rsid w:val="00C81EF6"/>
    <w:rsid w:val="00C8636E"/>
    <w:rsid w:val="00C9035C"/>
    <w:rsid w:val="00C9044F"/>
    <w:rsid w:val="00C92F69"/>
    <w:rsid w:val="00C96D11"/>
    <w:rsid w:val="00CA1A6B"/>
    <w:rsid w:val="00CA55F1"/>
    <w:rsid w:val="00CA7198"/>
    <w:rsid w:val="00CB565B"/>
    <w:rsid w:val="00CB5B94"/>
    <w:rsid w:val="00CB61AD"/>
    <w:rsid w:val="00CC2EE0"/>
    <w:rsid w:val="00CC3E56"/>
    <w:rsid w:val="00CD0EF2"/>
    <w:rsid w:val="00CD51C8"/>
    <w:rsid w:val="00CD7180"/>
    <w:rsid w:val="00CE00DF"/>
    <w:rsid w:val="00CE0A77"/>
    <w:rsid w:val="00CE0F47"/>
    <w:rsid w:val="00CE2A49"/>
    <w:rsid w:val="00CE67EF"/>
    <w:rsid w:val="00CE68BD"/>
    <w:rsid w:val="00CF4535"/>
    <w:rsid w:val="00CF4A60"/>
    <w:rsid w:val="00D039CB"/>
    <w:rsid w:val="00D0636A"/>
    <w:rsid w:val="00D07303"/>
    <w:rsid w:val="00D14773"/>
    <w:rsid w:val="00D17580"/>
    <w:rsid w:val="00D22AFD"/>
    <w:rsid w:val="00D23866"/>
    <w:rsid w:val="00D23FFD"/>
    <w:rsid w:val="00D25C2A"/>
    <w:rsid w:val="00D32B32"/>
    <w:rsid w:val="00D33447"/>
    <w:rsid w:val="00D416B2"/>
    <w:rsid w:val="00D432A9"/>
    <w:rsid w:val="00D447BC"/>
    <w:rsid w:val="00D459BC"/>
    <w:rsid w:val="00D46AAC"/>
    <w:rsid w:val="00D5097D"/>
    <w:rsid w:val="00D62513"/>
    <w:rsid w:val="00D667C4"/>
    <w:rsid w:val="00D67EB5"/>
    <w:rsid w:val="00D75738"/>
    <w:rsid w:val="00D76C1E"/>
    <w:rsid w:val="00D81058"/>
    <w:rsid w:val="00D82EE8"/>
    <w:rsid w:val="00D83EFC"/>
    <w:rsid w:val="00D84D65"/>
    <w:rsid w:val="00D87EAA"/>
    <w:rsid w:val="00D93FE9"/>
    <w:rsid w:val="00D957D4"/>
    <w:rsid w:val="00D9767F"/>
    <w:rsid w:val="00DA0A41"/>
    <w:rsid w:val="00DA1553"/>
    <w:rsid w:val="00DA3BB5"/>
    <w:rsid w:val="00DB6CFB"/>
    <w:rsid w:val="00DB7191"/>
    <w:rsid w:val="00DC2361"/>
    <w:rsid w:val="00DC2F43"/>
    <w:rsid w:val="00DC765D"/>
    <w:rsid w:val="00DD0AF9"/>
    <w:rsid w:val="00DD0F9F"/>
    <w:rsid w:val="00DD10B5"/>
    <w:rsid w:val="00DD383E"/>
    <w:rsid w:val="00DD4001"/>
    <w:rsid w:val="00DD4BE6"/>
    <w:rsid w:val="00DD5330"/>
    <w:rsid w:val="00DD7C09"/>
    <w:rsid w:val="00DE1B60"/>
    <w:rsid w:val="00DE1DD7"/>
    <w:rsid w:val="00DE1F10"/>
    <w:rsid w:val="00DE64E8"/>
    <w:rsid w:val="00DF39A5"/>
    <w:rsid w:val="00DF415E"/>
    <w:rsid w:val="00DF507A"/>
    <w:rsid w:val="00DF643E"/>
    <w:rsid w:val="00DF7F90"/>
    <w:rsid w:val="00E059E6"/>
    <w:rsid w:val="00E05D87"/>
    <w:rsid w:val="00E07A83"/>
    <w:rsid w:val="00E10535"/>
    <w:rsid w:val="00E14638"/>
    <w:rsid w:val="00E15CD5"/>
    <w:rsid w:val="00E266B6"/>
    <w:rsid w:val="00E26F8E"/>
    <w:rsid w:val="00E356CC"/>
    <w:rsid w:val="00E432BB"/>
    <w:rsid w:val="00E438D5"/>
    <w:rsid w:val="00E46D90"/>
    <w:rsid w:val="00E475ED"/>
    <w:rsid w:val="00E531D3"/>
    <w:rsid w:val="00E673BC"/>
    <w:rsid w:val="00E67620"/>
    <w:rsid w:val="00E7081C"/>
    <w:rsid w:val="00E732BB"/>
    <w:rsid w:val="00E74A56"/>
    <w:rsid w:val="00E75099"/>
    <w:rsid w:val="00E82077"/>
    <w:rsid w:val="00E83701"/>
    <w:rsid w:val="00E84AC1"/>
    <w:rsid w:val="00E91818"/>
    <w:rsid w:val="00E91E75"/>
    <w:rsid w:val="00E92660"/>
    <w:rsid w:val="00E92CCB"/>
    <w:rsid w:val="00E97A25"/>
    <w:rsid w:val="00EA003E"/>
    <w:rsid w:val="00EA0DA1"/>
    <w:rsid w:val="00EA4736"/>
    <w:rsid w:val="00EB065F"/>
    <w:rsid w:val="00EB3D6F"/>
    <w:rsid w:val="00EC1058"/>
    <w:rsid w:val="00EC2FAA"/>
    <w:rsid w:val="00EC5792"/>
    <w:rsid w:val="00ED2626"/>
    <w:rsid w:val="00EE6E30"/>
    <w:rsid w:val="00EF126B"/>
    <w:rsid w:val="00EF6086"/>
    <w:rsid w:val="00EF6E8D"/>
    <w:rsid w:val="00F04BEF"/>
    <w:rsid w:val="00F0690F"/>
    <w:rsid w:val="00F1060A"/>
    <w:rsid w:val="00F11ADD"/>
    <w:rsid w:val="00F120B5"/>
    <w:rsid w:val="00F15C8B"/>
    <w:rsid w:val="00F20654"/>
    <w:rsid w:val="00F20DC9"/>
    <w:rsid w:val="00F2704D"/>
    <w:rsid w:val="00F270A2"/>
    <w:rsid w:val="00F30BC8"/>
    <w:rsid w:val="00F315DE"/>
    <w:rsid w:val="00F32DCE"/>
    <w:rsid w:val="00F32F9B"/>
    <w:rsid w:val="00F36271"/>
    <w:rsid w:val="00F41148"/>
    <w:rsid w:val="00F41D9E"/>
    <w:rsid w:val="00F457EA"/>
    <w:rsid w:val="00F50E76"/>
    <w:rsid w:val="00F511AB"/>
    <w:rsid w:val="00F51656"/>
    <w:rsid w:val="00F5209A"/>
    <w:rsid w:val="00F52B1B"/>
    <w:rsid w:val="00F60B2A"/>
    <w:rsid w:val="00F613F8"/>
    <w:rsid w:val="00F62D87"/>
    <w:rsid w:val="00F738B3"/>
    <w:rsid w:val="00F74801"/>
    <w:rsid w:val="00F75937"/>
    <w:rsid w:val="00F81F4C"/>
    <w:rsid w:val="00F85EDB"/>
    <w:rsid w:val="00F864FA"/>
    <w:rsid w:val="00F9110B"/>
    <w:rsid w:val="00F924B9"/>
    <w:rsid w:val="00F94449"/>
    <w:rsid w:val="00F94E53"/>
    <w:rsid w:val="00FA2A49"/>
    <w:rsid w:val="00FA360C"/>
    <w:rsid w:val="00FB0268"/>
    <w:rsid w:val="00FB0780"/>
    <w:rsid w:val="00FB1290"/>
    <w:rsid w:val="00FB49CC"/>
    <w:rsid w:val="00FC419C"/>
    <w:rsid w:val="00FD04F9"/>
    <w:rsid w:val="00FD37E8"/>
    <w:rsid w:val="00FD457A"/>
    <w:rsid w:val="00FD6507"/>
    <w:rsid w:val="00FD7A82"/>
    <w:rsid w:val="00FE07D7"/>
    <w:rsid w:val="00FE33B4"/>
    <w:rsid w:val="00FF007F"/>
    <w:rsid w:val="00FF263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0577"/>
  <w15:docId w15:val="{0B46CCAE-222A-402E-9487-3411767C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66D"/>
    <w:pPr>
      <w:keepNext/>
      <w:keepLines/>
      <w:numPr>
        <w:numId w:val="1"/>
      </w:numPr>
      <w:spacing w:before="240" w:after="240"/>
      <w:ind w:left="431" w:hanging="431"/>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DD7C09"/>
    <w:pPr>
      <w:keepNext/>
      <w:keepLines/>
      <w:spacing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7766D"/>
    <w:pPr>
      <w:keepNext/>
      <w:outlineLvl w:val="3"/>
    </w:pPr>
    <w:rPr>
      <w:u w:val="single"/>
    </w:rPr>
  </w:style>
  <w:style w:type="paragraph" w:styleId="Heading5">
    <w:name w:val="heading 5"/>
    <w:basedOn w:val="Normal"/>
    <w:next w:val="Normal"/>
    <w:link w:val="Heading5Char"/>
    <w:uiPriority w:val="9"/>
    <w:unhideWhenUsed/>
    <w:qFormat/>
    <w:rsid w:val="00BA2DE9"/>
    <w:pPr>
      <w:keepNext/>
      <w:keepLines/>
      <w:spacing w:before="200" w:after="0"/>
      <w:outlineLvl w:val="4"/>
    </w:pPr>
    <w:rPr>
      <w:rFonts w:eastAsiaTheme="majorEastAsia" w:cstheme="minorHAnsi"/>
      <w:i/>
      <w:iCs/>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66D"/>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DD7C0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7766D"/>
    <w:rPr>
      <w:u w:val="single"/>
    </w:rPr>
  </w:style>
  <w:style w:type="character" w:customStyle="1" w:styleId="Heading5Char">
    <w:name w:val="Heading 5 Char"/>
    <w:basedOn w:val="DefaultParagraphFont"/>
    <w:link w:val="Heading5"/>
    <w:uiPriority w:val="9"/>
    <w:rsid w:val="00BA2DE9"/>
    <w:rPr>
      <w:rFonts w:eastAsiaTheme="majorEastAsia" w:cstheme="minorHAnsi"/>
      <w:i/>
      <w:iCs/>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table" w:styleId="TableGrid">
    <w:name w:val="Table Grid"/>
    <w:basedOn w:val="TableNormal"/>
    <w:uiPriority w:val="59"/>
    <w:unhideWhenUsed/>
    <w:rsid w:val="00AC6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E2A49"/>
    <w:rPr>
      <w:rFonts w:asciiTheme="minorHAnsi" w:hAnsiTheme="minorHAnsi"/>
      <w:b/>
      <w:bCs/>
    </w:rPr>
  </w:style>
  <w:style w:type="character" w:customStyle="1" w:styleId="CommentSubjectChar">
    <w:name w:val="Comment Subject Char"/>
    <w:basedOn w:val="CommentTextChar"/>
    <w:link w:val="CommentSubject"/>
    <w:uiPriority w:val="99"/>
    <w:semiHidden/>
    <w:rsid w:val="00CE2A49"/>
    <w:rPr>
      <w:rFonts w:ascii="Cambria" w:hAnsi="Cambria"/>
      <w:b/>
      <w:bCs/>
      <w:sz w:val="20"/>
      <w:szCs w:val="20"/>
    </w:rPr>
  </w:style>
  <w:style w:type="paragraph" w:styleId="Header">
    <w:name w:val="header"/>
    <w:basedOn w:val="Normal"/>
    <w:link w:val="HeaderChar"/>
    <w:uiPriority w:val="99"/>
    <w:unhideWhenUsed/>
    <w:rsid w:val="00426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4B7"/>
  </w:style>
  <w:style w:type="paragraph" w:styleId="Revision">
    <w:name w:val="Revision"/>
    <w:hidden/>
    <w:uiPriority w:val="99"/>
    <w:semiHidden/>
    <w:rsid w:val="00AD4A7F"/>
    <w:pPr>
      <w:spacing w:after="0" w:line="240" w:lineRule="auto"/>
    </w:pPr>
  </w:style>
  <w:style w:type="paragraph" w:customStyle="1" w:styleId="TableParagraph">
    <w:name w:val="Table Paragraph"/>
    <w:basedOn w:val="Normal"/>
    <w:uiPriority w:val="1"/>
    <w:qFormat/>
    <w:rsid w:val="00065F6D"/>
    <w:pPr>
      <w:widowControl w:val="0"/>
      <w:autoSpaceDE w:val="0"/>
      <w:autoSpaceDN w:val="0"/>
      <w:spacing w:after="0" w:line="240" w:lineRule="auto"/>
      <w:jc w:val="center"/>
    </w:pPr>
    <w:rPr>
      <w:rFonts w:ascii="Times New Roman" w:eastAsia="Times New Roman" w:hAnsi="Times New Roman" w:cs="Times New Roman"/>
      <w:lang w:val="en-US"/>
    </w:rPr>
  </w:style>
  <w:style w:type="character" w:styleId="UnresolvedMention">
    <w:name w:val="Unresolved Mention"/>
    <w:basedOn w:val="DefaultParagraphFont"/>
    <w:uiPriority w:val="99"/>
    <w:unhideWhenUsed/>
    <w:rsid w:val="00E432BB"/>
    <w:rPr>
      <w:color w:val="605E5C"/>
      <w:shd w:val="clear" w:color="auto" w:fill="E1DFDD"/>
    </w:rPr>
  </w:style>
  <w:style w:type="character" w:styleId="FollowedHyperlink">
    <w:name w:val="FollowedHyperlink"/>
    <w:basedOn w:val="DefaultParagraphFont"/>
    <w:uiPriority w:val="99"/>
    <w:semiHidden/>
    <w:unhideWhenUsed/>
    <w:rsid w:val="00D447BC"/>
    <w:rPr>
      <w:color w:val="800080" w:themeColor="followedHyperlink"/>
      <w:u w:val="single"/>
    </w:rPr>
  </w:style>
  <w:style w:type="paragraph" w:styleId="BodyText">
    <w:name w:val="Body Text"/>
    <w:basedOn w:val="Normal"/>
    <w:link w:val="BodyTextChar"/>
    <w:uiPriority w:val="1"/>
    <w:rsid w:val="005A18FE"/>
    <w:pPr>
      <w:widowControl w:val="0"/>
      <w:spacing w:after="0" w:line="240" w:lineRule="auto"/>
      <w:ind w:left="100"/>
    </w:pPr>
    <w:rPr>
      <w:rFonts w:ascii="Times New Roman" w:eastAsia="Times New Roman" w:hAnsi="Times New Roman" w:cs="Times New Roman"/>
      <w:kern w:val="24"/>
      <w:sz w:val="24"/>
      <w:szCs w:val="24"/>
      <w:lang w:val="en-GB" w:eastAsia="ja-JP"/>
    </w:rPr>
  </w:style>
  <w:style w:type="character" w:customStyle="1" w:styleId="BodyTextChar">
    <w:name w:val="Body Text Char"/>
    <w:basedOn w:val="DefaultParagraphFont"/>
    <w:link w:val="BodyText"/>
    <w:uiPriority w:val="1"/>
    <w:rsid w:val="005A18FE"/>
    <w:rPr>
      <w:rFonts w:ascii="Times New Roman" w:eastAsia="Times New Roman" w:hAnsi="Times New Roman" w:cs="Times New Roman"/>
      <w:kern w:val="24"/>
      <w:sz w:val="24"/>
      <w:szCs w:val="24"/>
      <w:lang w:val="en-GB" w:eastAsia="ja-JP"/>
    </w:rPr>
  </w:style>
  <w:style w:type="paragraph" w:styleId="EndnoteText">
    <w:name w:val="endnote text"/>
    <w:basedOn w:val="Normal"/>
    <w:link w:val="EndnoteTextChar"/>
    <w:uiPriority w:val="99"/>
    <w:unhideWhenUsed/>
    <w:rsid w:val="00296302"/>
    <w:pPr>
      <w:spacing w:after="0" w:line="240" w:lineRule="auto"/>
    </w:pPr>
    <w:rPr>
      <w:rFonts w:ascii="Times New Roman" w:eastAsia="Times New Roman" w:hAnsi="Times New Roman" w:cs="Times New Roman"/>
      <w:kern w:val="24"/>
      <w:sz w:val="20"/>
      <w:szCs w:val="20"/>
      <w:lang w:val="en-GB" w:eastAsia="ja-JP"/>
    </w:rPr>
  </w:style>
  <w:style w:type="character" w:customStyle="1" w:styleId="EndnoteTextChar">
    <w:name w:val="Endnote Text Char"/>
    <w:basedOn w:val="DefaultParagraphFont"/>
    <w:link w:val="EndnoteText"/>
    <w:uiPriority w:val="99"/>
    <w:rsid w:val="00296302"/>
    <w:rPr>
      <w:rFonts w:ascii="Times New Roman" w:eastAsia="Times New Roman" w:hAnsi="Times New Roman" w:cs="Times New Roman"/>
      <w:kern w:val="24"/>
      <w:sz w:val="20"/>
      <w:szCs w:val="20"/>
      <w:lang w:val="en-GB" w:eastAsia="ja-JP"/>
    </w:rPr>
  </w:style>
  <w:style w:type="character" w:styleId="EndnoteReference">
    <w:name w:val="endnote reference"/>
    <w:basedOn w:val="DefaultParagraphFont"/>
    <w:uiPriority w:val="99"/>
    <w:semiHidden/>
    <w:unhideWhenUsed/>
    <w:rsid w:val="00296302"/>
    <w:rPr>
      <w:vertAlign w:val="superscript"/>
    </w:rPr>
  </w:style>
  <w:style w:type="paragraph" w:styleId="NormalWeb">
    <w:name w:val="Normal (Web)"/>
    <w:basedOn w:val="Normal"/>
    <w:uiPriority w:val="99"/>
    <w:unhideWhenUsed/>
    <w:rsid w:val="006216CC"/>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Default">
    <w:name w:val="Default"/>
    <w:rsid w:val="00AC63E5"/>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25290">
      <w:bodyDiv w:val="1"/>
      <w:marLeft w:val="0"/>
      <w:marRight w:val="0"/>
      <w:marTop w:val="0"/>
      <w:marBottom w:val="0"/>
      <w:divBdr>
        <w:top w:val="none" w:sz="0" w:space="0" w:color="auto"/>
        <w:left w:val="none" w:sz="0" w:space="0" w:color="auto"/>
        <w:bottom w:val="none" w:sz="0" w:space="0" w:color="auto"/>
        <w:right w:val="none" w:sz="0" w:space="0" w:color="auto"/>
      </w:divBdr>
    </w:div>
    <w:div w:id="788815722">
      <w:bodyDiv w:val="1"/>
      <w:marLeft w:val="0"/>
      <w:marRight w:val="0"/>
      <w:marTop w:val="0"/>
      <w:marBottom w:val="0"/>
      <w:divBdr>
        <w:top w:val="none" w:sz="0" w:space="0" w:color="auto"/>
        <w:left w:val="none" w:sz="0" w:space="0" w:color="auto"/>
        <w:bottom w:val="none" w:sz="0" w:space="0" w:color="auto"/>
        <w:right w:val="none" w:sz="0" w:space="0" w:color="auto"/>
      </w:divBdr>
    </w:div>
    <w:div w:id="21313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pacmedinfo@modernatx.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ga.gov.au/reporting-problem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Folders\MTI%20Moderna\04%20Apps\04%20Cat%201%20NCE%20Subm\_PPF\Draft\pi_vaccine_v0.1_26_05_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64D399F4736C4D9B6F283F847AB432" ma:contentTypeVersion="11" ma:contentTypeDescription="Create a new document." ma:contentTypeScope="" ma:versionID="135d7a8346beb25eb33f9857ce55f3da">
  <xsd:schema xmlns:xsd="http://www.w3.org/2001/XMLSchema" xmlns:xs="http://www.w3.org/2001/XMLSchema" xmlns:p="http://schemas.microsoft.com/office/2006/metadata/properties" xmlns:ns2="111f1e70-0153-4e54-8d3e-906f2243415c" xmlns:ns3="95f7cf60-9940-4c99-afcc-83b6217af917" targetNamespace="http://schemas.microsoft.com/office/2006/metadata/properties" ma:root="true" ma:fieldsID="b572f99d7405882eae4d84c180ce1983" ns2:_="" ns3:_="">
    <xsd:import namespace="111f1e70-0153-4e54-8d3e-906f2243415c"/>
    <xsd:import namespace="95f7cf60-9940-4c99-afcc-83b6217af9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1e70-0153-4e54-8d3e-906f22434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f7cf60-9940-4c99-afcc-83b6217af9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6BA60-C62A-439A-9140-FF0BA450E18A}">
  <ds:schemaRefs>
    <ds:schemaRef ds:uri="http://schemas.microsoft.com/sharepoint/v3/contenttype/forms"/>
  </ds:schemaRefs>
</ds:datastoreItem>
</file>

<file path=customXml/itemProps2.xml><?xml version="1.0" encoding="utf-8"?>
<ds:datastoreItem xmlns:ds="http://schemas.openxmlformats.org/officeDocument/2006/customXml" ds:itemID="{2B7933EF-D4C8-42A3-83E2-E4BAC3090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f1e70-0153-4e54-8d3e-906f2243415c"/>
    <ds:schemaRef ds:uri="95f7cf60-9940-4c99-afcc-83b6217af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4541E-7623-4BA6-BBEE-9B203A700057}">
  <ds:schemaRefs>
    <ds:schemaRef ds:uri="http://schemas.openxmlformats.org/officeDocument/2006/bibliography"/>
  </ds:schemaRefs>
</ds:datastoreItem>
</file>

<file path=customXml/itemProps4.xml><?xml version="1.0" encoding="utf-8"?>
<ds:datastoreItem xmlns:ds="http://schemas.openxmlformats.org/officeDocument/2006/customXml" ds:itemID="{E4EB7CEB-8B7A-40BA-AD82-54FA5CB6E1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pi_vaccine_v0.1_26_05_21.dotx</Template>
  <TotalTime>5</TotalTime>
  <Pages>21</Pages>
  <Words>6210</Words>
  <Characters>35402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Elasomeran (mRNA-1273)</dc:title>
  <dc:subject>prescription medicines</dc:subject>
  <dc:creator>Moderna Australia Pty Ltd</dc:creator>
  <cp:lastPrinted>2021-08-11T08:05:00Z</cp:lastPrinted>
  <dcterms:created xsi:type="dcterms:W3CDTF">2021-12-12T20:58:00Z</dcterms:created>
  <dcterms:modified xsi:type="dcterms:W3CDTF">2021-12-12T21:05:00Z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0x0101005364D399F4736C4D9B6F283F847AB432</vt:lpwstr>
  </property>
</Properties>
</file>