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0349EF" w14:paraId="35DA5934" w14:textId="77777777" w:rsidTr="00BF1190">
        <w:trPr>
          <w:trHeight w:val="1863"/>
        </w:trPr>
        <w:tc>
          <w:tcPr>
            <w:tcW w:w="3652" w:type="dxa"/>
            <w:tcBorders>
              <w:top w:val="nil"/>
              <w:left w:val="nil"/>
              <w:bottom w:val="nil"/>
              <w:right w:val="nil"/>
            </w:tcBorders>
          </w:tcPr>
          <w:p w14:paraId="214A2E2E" w14:textId="07DAF6D1" w:rsidR="008E7846" w:rsidRPr="000349EF" w:rsidRDefault="00C1062E" w:rsidP="00096AA7">
            <w:pPr>
              <w:rPr>
                <w:rFonts w:ascii="Arial" w:hAnsi="Arial" w:cs="Arial"/>
                <w:b/>
                <w:color w:val="002C47"/>
                <w:sz w:val="36"/>
                <w:szCs w:val="36"/>
              </w:rPr>
            </w:pPr>
            <w:r w:rsidRPr="000349EF">
              <w:rPr>
                <w:rFonts w:ascii="Arial" w:hAnsi="Arial" w:cs="Arial"/>
                <w:b/>
                <w:color w:val="002C47"/>
                <w:sz w:val="36"/>
                <w:szCs w:val="36"/>
              </w:rPr>
              <w:t>February</w:t>
            </w:r>
            <w:r w:rsidR="0051166E" w:rsidRPr="000349EF">
              <w:rPr>
                <w:rFonts w:ascii="Arial" w:hAnsi="Arial" w:cs="Arial"/>
                <w:b/>
                <w:color w:val="002C47"/>
                <w:sz w:val="36"/>
                <w:szCs w:val="36"/>
              </w:rPr>
              <w:t xml:space="preserve"> 202</w:t>
            </w:r>
            <w:r w:rsidR="008C1E85" w:rsidRPr="000349EF">
              <w:rPr>
                <w:rFonts w:ascii="Arial" w:hAnsi="Arial" w:cs="Arial"/>
                <w:b/>
                <w:color w:val="002C47"/>
                <w:sz w:val="36"/>
                <w:szCs w:val="36"/>
              </w:rPr>
              <w:t>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0349EF" w14:paraId="62342E7D" w14:textId="77777777" w:rsidTr="0032583B">
        <w:trPr>
          <w:trHeight w:val="868"/>
        </w:trPr>
        <w:tc>
          <w:tcPr>
            <w:tcW w:w="9079" w:type="dxa"/>
          </w:tcPr>
          <w:p w14:paraId="149CE61A" w14:textId="5AD707FB" w:rsidR="0032583B" w:rsidRPr="000349EF" w:rsidRDefault="0032583B" w:rsidP="00460036">
            <w:pPr>
              <w:pStyle w:val="Title"/>
              <w:rPr>
                <w:color w:val="FFFFFF" w:themeColor="background1"/>
              </w:rPr>
            </w:pPr>
            <w:r w:rsidRPr="000349EF">
              <w:rPr>
                <w:color w:val="FFFFFF" w:themeColor="background1"/>
              </w:rPr>
              <w:t xml:space="preserve">Australian Public Assessment Report for </w:t>
            </w:r>
            <w:r w:rsidR="0051166E" w:rsidRPr="000349EF">
              <w:rPr>
                <w:color w:val="FFFFFF" w:themeColor="background1"/>
              </w:rPr>
              <w:t>Elasomeran</w:t>
            </w:r>
          </w:p>
        </w:tc>
      </w:tr>
      <w:tr w:rsidR="0032583B" w:rsidRPr="000349EF" w14:paraId="195F1F21" w14:textId="77777777" w:rsidTr="0032583B">
        <w:tc>
          <w:tcPr>
            <w:tcW w:w="9079" w:type="dxa"/>
          </w:tcPr>
          <w:p w14:paraId="06E85059" w14:textId="32801010" w:rsidR="0032583B" w:rsidRPr="000349EF" w:rsidRDefault="0032583B" w:rsidP="00460036">
            <w:pPr>
              <w:pStyle w:val="Subtitle"/>
              <w:rPr>
                <w:color w:val="FFFFFF" w:themeColor="background1"/>
              </w:rPr>
            </w:pPr>
            <w:r w:rsidRPr="000349EF">
              <w:rPr>
                <w:color w:val="FFFFFF" w:themeColor="background1"/>
              </w:rPr>
              <w:t xml:space="preserve">Proprietary Product Name: </w:t>
            </w:r>
            <w:r w:rsidR="0051166E" w:rsidRPr="000349EF">
              <w:rPr>
                <w:color w:val="FFFFFF" w:themeColor="background1"/>
              </w:rPr>
              <w:t>Spikevax</w:t>
            </w:r>
          </w:p>
        </w:tc>
      </w:tr>
      <w:tr w:rsidR="0032583B" w:rsidRPr="000349EF" w14:paraId="598601A3" w14:textId="77777777" w:rsidTr="0032583B">
        <w:trPr>
          <w:trHeight w:val="486"/>
        </w:trPr>
        <w:tc>
          <w:tcPr>
            <w:tcW w:w="9079" w:type="dxa"/>
          </w:tcPr>
          <w:p w14:paraId="713A02B0" w14:textId="7457878C" w:rsidR="0032583B" w:rsidRPr="000349EF" w:rsidRDefault="00460036" w:rsidP="0032583B">
            <w:pPr>
              <w:pStyle w:val="Subtitle"/>
              <w:rPr>
                <w:color w:val="FFFFFF" w:themeColor="background1"/>
              </w:rPr>
            </w:pPr>
            <w:r w:rsidRPr="000349EF">
              <w:rPr>
                <w:color w:val="FFFFFF" w:themeColor="background1"/>
              </w:rPr>
              <w:t xml:space="preserve">Sponsor: </w:t>
            </w:r>
            <w:r w:rsidR="0051166E" w:rsidRPr="000349EF">
              <w:rPr>
                <w:color w:val="FFFFFF" w:themeColor="background1"/>
              </w:rPr>
              <w:t>Moderna Australia Pty Ltd</w:t>
            </w:r>
          </w:p>
        </w:tc>
      </w:tr>
    </w:tbl>
    <w:p w14:paraId="04F9B30B" w14:textId="77777777" w:rsidR="008E7846" w:rsidRPr="000349EF" w:rsidRDefault="008E7846" w:rsidP="0085156D">
      <w:r w:rsidRPr="000349EF">
        <w:br w:type="page"/>
      </w:r>
    </w:p>
    <w:p w14:paraId="7A5664E4" w14:textId="77777777" w:rsidR="008E7846" w:rsidRPr="000349EF" w:rsidRDefault="008E7846" w:rsidP="008E7846">
      <w:pPr>
        <w:pStyle w:val="NonTOCHeading2"/>
      </w:pPr>
      <w:r w:rsidRPr="000349EF">
        <w:lastRenderedPageBreak/>
        <w:t>About the Therapeutic Goods Administration (TGA)</w:t>
      </w:r>
    </w:p>
    <w:p w14:paraId="5F696BFF" w14:textId="77777777" w:rsidR="008E7846" w:rsidRPr="000349EF" w:rsidRDefault="008E7846" w:rsidP="008E7846">
      <w:pPr>
        <w:pStyle w:val="ListBullet"/>
        <w:numPr>
          <w:ilvl w:val="0"/>
          <w:numId w:val="3"/>
        </w:numPr>
        <w:ind w:left="357" w:hanging="357"/>
      </w:pPr>
      <w:r w:rsidRPr="000349EF">
        <w:t xml:space="preserve">The Therapeutic Goods Administration (TGA) is </w:t>
      </w:r>
      <w:r w:rsidR="00E624A5" w:rsidRPr="000349EF">
        <w:t xml:space="preserve">part </w:t>
      </w:r>
      <w:r w:rsidRPr="000349EF">
        <w:t>of the Australian Government Department of Health and is responsible for regulating medicines and medical devices.</w:t>
      </w:r>
    </w:p>
    <w:p w14:paraId="6A610880" w14:textId="77777777" w:rsidR="008E7846" w:rsidRPr="000349EF" w:rsidRDefault="00C80137" w:rsidP="008E7846">
      <w:pPr>
        <w:pStyle w:val="ListBullet"/>
        <w:numPr>
          <w:ilvl w:val="0"/>
          <w:numId w:val="3"/>
        </w:numPr>
        <w:ind w:left="357" w:hanging="357"/>
      </w:pPr>
      <w:r w:rsidRPr="000349EF">
        <w:t xml:space="preserve">The </w:t>
      </w:r>
      <w:r w:rsidR="008E7846" w:rsidRPr="000349EF">
        <w:t xml:space="preserve">TGA administers the </w:t>
      </w:r>
      <w:r w:rsidR="008E7846" w:rsidRPr="000349EF">
        <w:rPr>
          <w:i/>
        </w:rPr>
        <w:t>Therapeutic Goods Act 1989</w:t>
      </w:r>
      <w:r w:rsidR="00785717" w:rsidRPr="000349EF">
        <w:rPr>
          <w:i/>
        </w:rPr>
        <w:t xml:space="preserve"> </w:t>
      </w:r>
      <w:r w:rsidR="00785717" w:rsidRPr="000349EF">
        <w:t>(the Act)</w:t>
      </w:r>
      <w:r w:rsidR="008E7846" w:rsidRPr="000349EF">
        <w:t xml:space="preserve">, applying a risk management approach designed to ensure therapeutic goods supplied in Australia meet acceptable standards of quality, </w:t>
      </w:r>
      <w:proofErr w:type="gramStart"/>
      <w:r w:rsidR="008E7846" w:rsidRPr="000349EF">
        <w:t>safety</w:t>
      </w:r>
      <w:proofErr w:type="gramEnd"/>
      <w:r w:rsidR="008E7846" w:rsidRPr="000349EF">
        <w:t xml:space="preserve"> and efficacy (performance) when necessary.</w:t>
      </w:r>
    </w:p>
    <w:p w14:paraId="279001CD" w14:textId="77777777" w:rsidR="008E7846" w:rsidRPr="000349EF" w:rsidRDefault="008E7846" w:rsidP="008E7846">
      <w:pPr>
        <w:pStyle w:val="ListBullet"/>
        <w:numPr>
          <w:ilvl w:val="0"/>
          <w:numId w:val="3"/>
        </w:numPr>
        <w:ind w:left="357" w:hanging="357"/>
      </w:pPr>
      <w:r w:rsidRPr="000349EF">
        <w:t>The work of the TGA is based on applying scientific and clinical expertise to decision-making, to ensure that the benefits to consumers outweigh any risks associated with the use of medicines and medical devices.</w:t>
      </w:r>
    </w:p>
    <w:p w14:paraId="5AA1CD25" w14:textId="77777777" w:rsidR="008E7846" w:rsidRPr="000349EF" w:rsidRDefault="008E7846" w:rsidP="008E7846">
      <w:pPr>
        <w:pStyle w:val="ListBullet"/>
        <w:numPr>
          <w:ilvl w:val="0"/>
          <w:numId w:val="3"/>
        </w:numPr>
        <w:ind w:left="357" w:hanging="357"/>
      </w:pPr>
      <w:r w:rsidRPr="000349EF">
        <w:t>The TGA relies on the public, healthcare professionals and industry to report problems with medicines or medical devices. TGA investigates reports received by it to determine any necessary regulatory action.</w:t>
      </w:r>
    </w:p>
    <w:p w14:paraId="0C47DCB6" w14:textId="566E2728" w:rsidR="00441C3F" w:rsidRPr="000349EF" w:rsidRDefault="008E7846" w:rsidP="00441C3F">
      <w:pPr>
        <w:pStyle w:val="ListBullet"/>
        <w:numPr>
          <w:ilvl w:val="0"/>
          <w:numId w:val="3"/>
        </w:numPr>
        <w:ind w:left="357" w:hanging="357"/>
      </w:pPr>
      <w:r w:rsidRPr="000349EF">
        <w:t xml:space="preserve">To report a problem with a medicine or medical device, please see the information on </w:t>
      </w:r>
      <w:r w:rsidR="00441C3F" w:rsidRPr="000349EF">
        <w:t>the TGA website &lt;</w:t>
      </w:r>
      <w:hyperlink r:id="rId11" w:history="1">
        <w:r w:rsidR="00441C3F" w:rsidRPr="000349EF">
          <w:rPr>
            <w:rStyle w:val="Hyperlink"/>
          </w:rPr>
          <w:t>https://www.tga.gov.au</w:t>
        </w:r>
      </w:hyperlink>
      <w:r w:rsidR="00441C3F" w:rsidRPr="000349EF">
        <w:t>&gt;.</w:t>
      </w:r>
    </w:p>
    <w:p w14:paraId="3BEAE48B" w14:textId="77777777" w:rsidR="008E7846" w:rsidRPr="000349EF" w:rsidRDefault="008E7846" w:rsidP="00875A6B">
      <w:pPr>
        <w:pStyle w:val="NonTOCHeading2"/>
      </w:pPr>
      <w:r w:rsidRPr="000349EF">
        <w:t>About AusPARs</w:t>
      </w:r>
    </w:p>
    <w:p w14:paraId="3D4E8BB4" w14:textId="77777777" w:rsidR="008E7846" w:rsidRPr="000349EF" w:rsidRDefault="008E7846" w:rsidP="008E7846">
      <w:pPr>
        <w:pStyle w:val="ListBullet"/>
        <w:numPr>
          <w:ilvl w:val="0"/>
          <w:numId w:val="3"/>
        </w:numPr>
        <w:ind w:left="357" w:hanging="357"/>
      </w:pPr>
      <w:r w:rsidRPr="000349EF">
        <w:t>An Australian Public Assessment Re</w:t>
      </w:r>
      <w:r w:rsidR="00133A1B" w:rsidRPr="000349EF">
        <w:t>port</w:t>
      </w:r>
      <w:r w:rsidRPr="000349EF">
        <w:t xml:space="preserve"> (AusPAR) provides information about the evaluation of a prescription medicine and the considerations that led the TGA to approve or not approve a pr</w:t>
      </w:r>
      <w:r w:rsidR="00441C3F" w:rsidRPr="000349EF">
        <w:t>escription medicine submission.</w:t>
      </w:r>
    </w:p>
    <w:p w14:paraId="09523EC1" w14:textId="77777777" w:rsidR="008E7846" w:rsidRPr="000349EF" w:rsidRDefault="008E7846" w:rsidP="008E7846">
      <w:pPr>
        <w:pStyle w:val="ListBullet"/>
        <w:numPr>
          <w:ilvl w:val="0"/>
          <w:numId w:val="3"/>
        </w:numPr>
        <w:ind w:left="357" w:hanging="357"/>
      </w:pPr>
      <w:r w:rsidRPr="000349EF">
        <w:t>AusPARs are prepared and published by the TGA.</w:t>
      </w:r>
    </w:p>
    <w:p w14:paraId="333E14BB" w14:textId="77777777" w:rsidR="008E7846" w:rsidRPr="000349EF" w:rsidRDefault="008E7846" w:rsidP="008E7846">
      <w:pPr>
        <w:pStyle w:val="ListBullet"/>
        <w:numPr>
          <w:ilvl w:val="0"/>
          <w:numId w:val="3"/>
        </w:numPr>
        <w:ind w:left="357" w:hanging="357"/>
      </w:pPr>
      <w:r w:rsidRPr="000349EF">
        <w:t xml:space="preserve">An AusPAR is prepared for submissions that relate to new chemical entities, generic medicines, major </w:t>
      </w:r>
      <w:proofErr w:type="gramStart"/>
      <w:r w:rsidRPr="000349EF">
        <w:t>variations</w:t>
      </w:r>
      <w:proofErr w:type="gramEnd"/>
      <w:r w:rsidRPr="000349EF">
        <w:t xml:space="preserve"> and extensions of indications.</w:t>
      </w:r>
    </w:p>
    <w:p w14:paraId="6FAE209F" w14:textId="77777777" w:rsidR="008E7846" w:rsidRPr="000349EF" w:rsidRDefault="008E7846" w:rsidP="008E7846">
      <w:pPr>
        <w:pStyle w:val="ListBullet"/>
        <w:numPr>
          <w:ilvl w:val="0"/>
          <w:numId w:val="3"/>
        </w:numPr>
        <w:ind w:left="357" w:hanging="357"/>
      </w:pPr>
      <w:r w:rsidRPr="000349EF">
        <w:t>An AusPAR is a static document</w:t>
      </w:r>
      <w:r w:rsidR="00133A1B" w:rsidRPr="000349EF">
        <w:t>;</w:t>
      </w:r>
      <w:r w:rsidRPr="000349EF">
        <w:t xml:space="preserve"> it provide</w:t>
      </w:r>
      <w:r w:rsidR="00133A1B" w:rsidRPr="000349EF">
        <w:t>s</w:t>
      </w:r>
      <w:r w:rsidRPr="000349EF">
        <w:t xml:space="preserve"> information that relates to a submission at a particular point in time.</w:t>
      </w:r>
    </w:p>
    <w:p w14:paraId="06267A09" w14:textId="77777777" w:rsidR="00B452CE" w:rsidRPr="000349EF" w:rsidRDefault="008E7846" w:rsidP="00FF5755">
      <w:pPr>
        <w:pStyle w:val="ListBullet"/>
        <w:numPr>
          <w:ilvl w:val="0"/>
          <w:numId w:val="3"/>
        </w:numPr>
        <w:ind w:left="357" w:hanging="357"/>
      </w:pPr>
      <w:r w:rsidRPr="000349EF">
        <w:t>A new AusPAR will be developed to reflect changes to indications and/or major variations to a prescription medicine subject to evaluation by the TGA.</w:t>
      </w:r>
    </w:p>
    <w:p w14:paraId="0D2471EE" w14:textId="77777777" w:rsidR="00924482" w:rsidRPr="000349EF" w:rsidRDefault="00924482" w:rsidP="00F54B65">
      <w:pPr>
        <w:pStyle w:val="LegalSubheading"/>
        <w:spacing w:before="3120"/>
      </w:pPr>
      <w:r w:rsidRPr="000349EF">
        <w:t>Copyright</w:t>
      </w:r>
    </w:p>
    <w:p w14:paraId="4A3375F3" w14:textId="5AE0FCA0" w:rsidR="00924482" w:rsidRPr="000349EF" w:rsidRDefault="00924482" w:rsidP="00924482">
      <w:pPr>
        <w:pStyle w:val="LegalCopy"/>
      </w:pPr>
      <w:r w:rsidRPr="000349EF">
        <w:rPr>
          <w:rFonts w:cs="Arial"/>
          <w:lang w:val="en-GB"/>
        </w:rPr>
        <w:t>© Commonwealth of Australia 20</w:t>
      </w:r>
      <w:r w:rsidR="00460036" w:rsidRPr="000349EF">
        <w:rPr>
          <w:rFonts w:cs="Arial"/>
          <w:lang w:val="en-GB"/>
        </w:rPr>
        <w:t>2</w:t>
      </w:r>
      <w:r w:rsidR="001C4C70" w:rsidRPr="000349EF">
        <w:rPr>
          <w:rFonts w:cs="Arial"/>
          <w:lang w:val="en-GB"/>
        </w:rPr>
        <w:t>2</w:t>
      </w:r>
      <w:r w:rsidRPr="000349EF">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349EF">
        <w:rPr>
          <w:rFonts w:cs="Arial"/>
          <w:i/>
          <w:lang w:val="en-GB"/>
        </w:rPr>
        <w:t>Copyright Act 1968</w:t>
      </w:r>
      <w:r w:rsidRPr="000349EF">
        <w:rPr>
          <w:rFonts w:cs="Arial"/>
          <w:lang w:val="en-GB"/>
        </w:rPr>
        <w:t xml:space="preserve"> or allowed by this copyright notice, all other rights are </w:t>
      </w:r>
      <w:proofErr w:type="gramStart"/>
      <w:r w:rsidRPr="000349EF">
        <w:rPr>
          <w:rFonts w:cs="Arial"/>
          <w:lang w:val="en-GB"/>
        </w:rPr>
        <w:t>reserved</w:t>
      </w:r>
      <w:proofErr w:type="gramEnd"/>
      <w:r w:rsidRPr="000349EF">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0349EF">
        <w:rPr>
          <w:rFonts w:cs="Arial"/>
          <w:lang w:val="en-GB"/>
        </w:rPr>
        <w:t>Woden</w:t>
      </w:r>
      <w:proofErr w:type="spellEnd"/>
      <w:r w:rsidRPr="000349EF">
        <w:rPr>
          <w:rFonts w:cs="Arial"/>
          <w:lang w:val="en-GB"/>
        </w:rPr>
        <w:t xml:space="preserve"> ACT 2606 or emailed to &lt;</w:t>
      </w:r>
      <w:hyperlink r:id="rId12" w:history="1">
        <w:r w:rsidRPr="000349EF">
          <w:rPr>
            <w:rStyle w:val="Hyperlink"/>
            <w:rFonts w:cs="Arial"/>
            <w:lang w:val="en-GB"/>
          </w:rPr>
          <w:t>tga.copyright@tga.gov.au</w:t>
        </w:r>
      </w:hyperlink>
      <w:r w:rsidRPr="000349EF">
        <w:rPr>
          <w:rFonts w:cs="Arial"/>
        </w:rPr>
        <w:t>&gt;.</w:t>
      </w:r>
    </w:p>
    <w:p w14:paraId="3340D7D9" w14:textId="77777777" w:rsidR="00924482" w:rsidRPr="000349EF" w:rsidRDefault="00924482" w:rsidP="00924482">
      <w:pPr>
        <w:pStyle w:val="LegalCopy"/>
        <w:sectPr w:rsidR="00924482" w:rsidRPr="000349EF"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9A5813D" w14:textId="77777777" w:rsidR="0089635C" w:rsidRPr="000349EF" w:rsidRDefault="0089635C" w:rsidP="0010788A">
          <w:pPr>
            <w:pStyle w:val="Contents"/>
          </w:pPr>
          <w:r w:rsidRPr="000349EF">
            <w:t>Contents</w:t>
          </w:r>
        </w:p>
        <w:p w14:paraId="48A7C150" w14:textId="488B65EC" w:rsidR="00B03B45" w:rsidRDefault="00C525A2">
          <w:pPr>
            <w:pStyle w:val="TOC1"/>
            <w:rPr>
              <w:rFonts w:asciiTheme="minorHAnsi" w:eastAsiaTheme="minorEastAsia" w:hAnsiTheme="minorHAnsi" w:cstheme="minorBidi"/>
              <w:b w:val="0"/>
              <w:noProof/>
              <w:sz w:val="22"/>
              <w:lang w:eastAsia="en-AU"/>
            </w:rPr>
          </w:pPr>
          <w:r w:rsidRPr="000349EF">
            <w:fldChar w:fldCharType="begin"/>
          </w:r>
          <w:r w:rsidRPr="000349EF">
            <w:instrText xml:space="preserve"> TOC \h \z \t "Heading 2,1,Heading 3,2" </w:instrText>
          </w:r>
          <w:r w:rsidRPr="000349EF">
            <w:fldChar w:fldCharType="separate"/>
          </w:r>
          <w:hyperlink w:anchor="_Toc96518174" w:history="1">
            <w:r w:rsidR="00B03B45" w:rsidRPr="00C927B7">
              <w:rPr>
                <w:rStyle w:val="Hyperlink"/>
                <w:noProof/>
              </w:rPr>
              <w:t>List of abbreviations</w:t>
            </w:r>
            <w:r w:rsidR="00B03B45">
              <w:rPr>
                <w:noProof/>
                <w:webHidden/>
              </w:rPr>
              <w:tab/>
            </w:r>
            <w:r w:rsidR="00B03B45">
              <w:rPr>
                <w:noProof/>
                <w:webHidden/>
              </w:rPr>
              <w:fldChar w:fldCharType="begin"/>
            </w:r>
            <w:r w:rsidR="00B03B45">
              <w:rPr>
                <w:noProof/>
                <w:webHidden/>
              </w:rPr>
              <w:instrText xml:space="preserve"> PAGEREF _Toc96518174 \h </w:instrText>
            </w:r>
            <w:r w:rsidR="00B03B45">
              <w:rPr>
                <w:noProof/>
                <w:webHidden/>
              </w:rPr>
            </w:r>
            <w:r w:rsidR="00B03B45">
              <w:rPr>
                <w:noProof/>
                <w:webHidden/>
              </w:rPr>
              <w:fldChar w:fldCharType="separate"/>
            </w:r>
            <w:r w:rsidR="00B03B45">
              <w:rPr>
                <w:noProof/>
                <w:webHidden/>
              </w:rPr>
              <w:t>4</w:t>
            </w:r>
            <w:r w:rsidR="00B03B45">
              <w:rPr>
                <w:noProof/>
                <w:webHidden/>
              </w:rPr>
              <w:fldChar w:fldCharType="end"/>
            </w:r>
          </w:hyperlink>
        </w:p>
        <w:p w14:paraId="66B003A2" w14:textId="78966FA1" w:rsidR="00B03B45" w:rsidRDefault="00571D7C">
          <w:pPr>
            <w:pStyle w:val="TOC1"/>
            <w:rPr>
              <w:rFonts w:asciiTheme="minorHAnsi" w:eastAsiaTheme="minorEastAsia" w:hAnsiTheme="minorHAnsi" w:cstheme="minorBidi"/>
              <w:b w:val="0"/>
              <w:noProof/>
              <w:sz w:val="22"/>
              <w:lang w:eastAsia="en-AU"/>
            </w:rPr>
          </w:pPr>
          <w:hyperlink w:anchor="_Toc96518175" w:history="1">
            <w:r w:rsidR="00B03B45" w:rsidRPr="00C927B7">
              <w:rPr>
                <w:rStyle w:val="Hyperlink"/>
                <w:noProof/>
              </w:rPr>
              <w:t>I. Introduction to product submission</w:t>
            </w:r>
            <w:r w:rsidR="00B03B45">
              <w:rPr>
                <w:noProof/>
                <w:webHidden/>
              </w:rPr>
              <w:tab/>
            </w:r>
            <w:r w:rsidR="00B03B45">
              <w:rPr>
                <w:noProof/>
                <w:webHidden/>
              </w:rPr>
              <w:fldChar w:fldCharType="begin"/>
            </w:r>
            <w:r w:rsidR="00B03B45">
              <w:rPr>
                <w:noProof/>
                <w:webHidden/>
              </w:rPr>
              <w:instrText xml:space="preserve"> PAGEREF _Toc96518175 \h </w:instrText>
            </w:r>
            <w:r w:rsidR="00B03B45">
              <w:rPr>
                <w:noProof/>
                <w:webHidden/>
              </w:rPr>
            </w:r>
            <w:r w:rsidR="00B03B45">
              <w:rPr>
                <w:noProof/>
                <w:webHidden/>
              </w:rPr>
              <w:fldChar w:fldCharType="separate"/>
            </w:r>
            <w:r w:rsidR="00B03B45">
              <w:rPr>
                <w:noProof/>
                <w:webHidden/>
              </w:rPr>
              <w:t>7</w:t>
            </w:r>
            <w:r w:rsidR="00B03B45">
              <w:rPr>
                <w:noProof/>
                <w:webHidden/>
              </w:rPr>
              <w:fldChar w:fldCharType="end"/>
            </w:r>
          </w:hyperlink>
        </w:p>
        <w:p w14:paraId="09885B6F" w14:textId="5BA1F02A" w:rsidR="00B03B45" w:rsidRDefault="00571D7C">
          <w:pPr>
            <w:pStyle w:val="TOC2"/>
            <w:rPr>
              <w:rFonts w:asciiTheme="minorHAnsi" w:eastAsiaTheme="minorEastAsia" w:hAnsiTheme="minorHAnsi" w:cstheme="minorBidi"/>
              <w:b w:val="0"/>
              <w:noProof/>
              <w:sz w:val="22"/>
              <w:lang w:eastAsia="en-AU"/>
            </w:rPr>
          </w:pPr>
          <w:hyperlink w:anchor="_Toc96518176" w:history="1">
            <w:r w:rsidR="00B03B45" w:rsidRPr="00C927B7">
              <w:rPr>
                <w:rStyle w:val="Hyperlink"/>
                <w:noProof/>
                <w:lang w:eastAsia="en-AU"/>
              </w:rPr>
              <w:t>Submission details</w:t>
            </w:r>
            <w:r w:rsidR="00B03B45">
              <w:rPr>
                <w:noProof/>
                <w:webHidden/>
              </w:rPr>
              <w:tab/>
            </w:r>
            <w:r w:rsidR="00B03B45">
              <w:rPr>
                <w:noProof/>
                <w:webHidden/>
              </w:rPr>
              <w:fldChar w:fldCharType="begin"/>
            </w:r>
            <w:r w:rsidR="00B03B45">
              <w:rPr>
                <w:noProof/>
                <w:webHidden/>
              </w:rPr>
              <w:instrText xml:space="preserve"> PAGEREF _Toc96518176 \h </w:instrText>
            </w:r>
            <w:r w:rsidR="00B03B45">
              <w:rPr>
                <w:noProof/>
                <w:webHidden/>
              </w:rPr>
            </w:r>
            <w:r w:rsidR="00B03B45">
              <w:rPr>
                <w:noProof/>
                <w:webHidden/>
              </w:rPr>
              <w:fldChar w:fldCharType="separate"/>
            </w:r>
            <w:r w:rsidR="00B03B45">
              <w:rPr>
                <w:noProof/>
                <w:webHidden/>
              </w:rPr>
              <w:t>7</w:t>
            </w:r>
            <w:r w:rsidR="00B03B45">
              <w:rPr>
                <w:noProof/>
                <w:webHidden/>
              </w:rPr>
              <w:fldChar w:fldCharType="end"/>
            </w:r>
          </w:hyperlink>
        </w:p>
        <w:p w14:paraId="4F287549" w14:textId="0CF17317" w:rsidR="00B03B45" w:rsidRDefault="00571D7C">
          <w:pPr>
            <w:pStyle w:val="TOC2"/>
            <w:rPr>
              <w:rFonts w:asciiTheme="minorHAnsi" w:eastAsiaTheme="minorEastAsia" w:hAnsiTheme="minorHAnsi" w:cstheme="minorBidi"/>
              <w:b w:val="0"/>
              <w:noProof/>
              <w:sz w:val="22"/>
              <w:lang w:eastAsia="en-AU"/>
            </w:rPr>
          </w:pPr>
          <w:hyperlink w:anchor="_Toc96518177" w:history="1">
            <w:r w:rsidR="00B03B45" w:rsidRPr="00C927B7">
              <w:rPr>
                <w:rStyle w:val="Hyperlink"/>
                <w:noProof/>
              </w:rPr>
              <w:t>Product background</w:t>
            </w:r>
            <w:r w:rsidR="00B03B45">
              <w:rPr>
                <w:noProof/>
                <w:webHidden/>
              </w:rPr>
              <w:tab/>
            </w:r>
            <w:r w:rsidR="00B03B45">
              <w:rPr>
                <w:noProof/>
                <w:webHidden/>
              </w:rPr>
              <w:fldChar w:fldCharType="begin"/>
            </w:r>
            <w:r w:rsidR="00B03B45">
              <w:rPr>
                <w:noProof/>
                <w:webHidden/>
              </w:rPr>
              <w:instrText xml:space="preserve"> PAGEREF _Toc96518177 \h </w:instrText>
            </w:r>
            <w:r w:rsidR="00B03B45">
              <w:rPr>
                <w:noProof/>
                <w:webHidden/>
              </w:rPr>
            </w:r>
            <w:r w:rsidR="00B03B45">
              <w:rPr>
                <w:noProof/>
                <w:webHidden/>
              </w:rPr>
              <w:fldChar w:fldCharType="separate"/>
            </w:r>
            <w:r w:rsidR="00B03B45">
              <w:rPr>
                <w:noProof/>
                <w:webHidden/>
              </w:rPr>
              <w:t>9</w:t>
            </w:r>
            <w:r w:rsidR="00B03B45">
              <w:rPr>
                <w:noProof/>
                <w:webHidden/>
              </w:rPr>
              <w:fldChar w:fldCharType="end"/>
            </w:r>
          </w:hyperlink>
        </w:p>
        <w:p w14:paraId="5E2841B1" w14:textId="53AC2BF8" w:rsidR="00B03B45" w:rsidRDefault="00571D7C">
          <w:pPr>
            <w:pStyle w:val="TOC2"/>
            <w:rPr>
              <w:rFonts w:asciiTheme="minorHAnsi" w:eastAsiaTheme="minorEastAsia" w:hAnsiTheme="minorHAnsi" w:cstheme="minorBidi"/>
              <w:b w:val="0"/>
              <w:noProof/>
              <w:sz w:val="22"/>
              <w:lang w:eastAsia="en-AU"/>
            </w:rPr>
          </w:pPr>
          <w:hyperlink w:anchor="_Toc96518178" w:history="1">
            <w:r w:rsidR="00B03B45" w:rsidRPr="00C927B7">
              <w:rPr>
                <w:rStyle w:val="Hyperlink"/>
                <w:noProof/>
              </w:rPr>
              <w:t>Regulatory status</w:t>
            </w:r>
            <w:r w:rsidR="00B03B45">
              <w:rPr>
                <w:noProof/>
                <w:webHidden/>
              </w:rPr>
              <w:tab/>
            </w:r>
            <w:r w:rsidR="00B03B45">
              <w:rPr>
                <w:noProof/>
                <w:webHidden/>
              </w:rPr>
              <w:fldChar w:fldCharType="begin"/>
            </w:r>
            <w:r w:rsidR="00B03B45">
              <w:rPr>
                <w:noProof/>
                <w:webHidden/>
              </w:rPr>
              <w:instrText xml:space="preserve"> PAGEREF _Toc96518178 \h </w:instrText>
            </w:r>
            <w:r w:rsidR="00B03B45">
              <w:rPr>
                <w:noProof/>
                <w:webHidden/>
              </w:rPr>
            </w:r>
            <w:r w:rsidR="00B03B45">
              <w:rPr>
                <w:noProof/>
                <w:webHidden/>
              </w:rPr>
              <w:fldChar w:fldCharType="separate"/>
            </w:r>
            <w:r w:rsidR="00B03B45">
              <w:rPr>
                <w:noProof/>
                <w:webHidden/>
              </w:rPr>
              <w:t>11</w:t>
            </w:r>
            <w:r w:rsidR="00B03B45">
              <w:rPr>
                <w:noProof/>
                <w:webHidden/>
              </w:rPr>
              <w:fldChar w:fldCharType="end"/>
            </w:r>
          </w:hyperlink>
        </w:p>
        <w:p w14:paraId="496D0AC7" w14:textId="7FAA8DC2" w:rsidR="00B03B45" w:rsidRDefault="00571D7C">
          <w:pPr>
            <w:pStyle w:val="TOC2"/>
            <w:rPr>
              <w:rFonts w:asciiTheme="minorHAnsi" w:eastAsiaTheme="minorEastAsia" w:hAnsiTheme="minorHAnsi" w:cstheme="minorBidi"/>
              <w:b w:val="0"/>
              <w:noProof/>
              <w:sz w:val="22"/>
              <w:lang w:eastAsia="en-AU"/>
            </w:rPr>
          </w:pPr>
          <w:hyperlink w:anchor="_Toc96518179" w:history="1">
            <w:r w:rsidR="00B03B45" w:rsidRPr="00C927B7">
              <w:rPr>
                <w:rStyle w:val="Hyperlink"/>
                <w:noProof/>
              </w:rPr>
              <w:t>Product Information</w:t>
            </w:r>
            <w:r w:rsidR="00B03B45">
              <w:rPr>
                <w:noProof/>
                <w:webHidden/>
              </w:rPr>
              <w:tab/>
            </w:r>
            <w:r w:rsidR="00B03B45">
              <w:rPr>
                <w:noProof/>
                <w:webHidden/>
              </w:rPr>
              <w:fldChar w:fldCharType="begin"/>
            </w:r>
            <w:r w:rsidR="00B03B45">
              <w:rPr>
                <w:noProof/>
                <w:webHidden/>
              </w:rPr>
              <w:instrText xml:space="preserve"> PAGEREF _Toc96518179 \h </w:instrText>
            </w:r>
            <w:r w:rsidR="00B03B45">
              <w:rPr>
                <w:noProof/>
                <w:webHidden/>
              </w:rPr>
            </w:r>
            <w:r w:rsidR="00B03B45">
              <w:rPr>
                <w:noProof/>
                <w:webHidden/>
              </w:rPr>
              <w:fldChar w:fldCharType="separate"/>
            </w:r>
            <w:r w:rsidR="00B03B45">
              <w:rPr>
                <w:noProof/>
                <w:webHidden/>
              </w:rPr>
              <w:t>11</w:t>
            </w:r>
            <w:r w:rsidR="00B03B45">
              <w:rPr>
                <w:noProof/>
                <w:webHidden/>
              </w:rPr>
              <w:fldChar w:fldCharType="end"/>
            </w:r>
          </w:hyperlink>
        </w:p>
        <w:p w14:paraId="77434836" w14:textId="7188FF73" w:rsidR="00B03B45" w:rsidRDefault="00571D7C">
          <w:pPr>
            <w:pStyle w:val="TOC1"/>
            <w:rPr>
              <w:rFonts w:asciiTheme="minorHAnsi" w:eastAsiaTheme="minorEastAsia" w:hAnsiTheme="minorHAnsi" w:cstheme="minorBidi"/>
              <w:b w:val="0"/>
              <w:noProof/>
              <w:sz w:val="22"/>
              <w:lang w:eastAsia="en-AU"/>
            </w:rPr>
          </w:pPr>
          <w:hyperlink w:anchor="_Toc96518180" w:history="1">
            <w:r w:rsidR="00B03B45" w:rsidRPr="00C927B7">
              <w:rPr>
                <w:rStyle w:val="Hyperlink"/>
                <w:noProof/>
              </w:rPr>
              <w:t>II. Registration timeline</w:t>
            </w:r>
            <w:r w:rsidR="00B03B45">
              <w:rPr>
                <w:noProof/>
                <w:webHidden/>
              </w:rPr>
              <w:tab/>
            </w:r>
            <w:r w:rsidR="00B03B45">
              <w:rPr>
                <w:noProof/>
                <w:webHidden/>
              </w:rPr>
              <w:fldChar w:fldCharType="begin"/>
            </w:r>
            <w:r w:rsidR="00B03B45">
              <w:rPr>
                <w:noProof/>
                <w:webHidden/>
              </w:rPr>
              <w:instrText xml:space="preserve"> PAGEREF _Toc96518180 \h </w:instrText>
            </w:r>
            <w:r w:rsidR="00B03B45">
              <w:rPr>
                <w:noProof/>
                <w:webHidden/>
              </w:rPr>
            </w:r>
            <w:r w:rsidR="00B03B45">
              <w:rPr>
                <w:noProof/>
                <w:webHidden/>
              </w:rPr>
              <w:fldChar w:fldCharType="separate"/>
            </w:r>
            <w:r w:rsidR="00B03B45">
              <w:rPr>
                <w:noProof/>
                <w:webHidden/>
              </w:rPr>
              <w:t>11</w:t>
            </w:r>
            <w:r w:rsidR="00B03B45">
              <w:rPr>
                <w:noProof/>
                <w:webHidden/>
              </w:rPr>
              <w:fldChar w:fldCharType="end"/>
            </w:r>
          </w:hyperlink>
        </w:p>
        <w:p w14:paraId="6B362A3D" w14:textId="5BCA6253" w:rsidR="00B03B45" w:rsidRDefault="00571D7C">
          <w:pPr>
            <w:pStyle w:val="TOC1"/>
            <w:rPr>
              <w:rFonts w:asciiTheme="minorHAnsi" w:eastAsiaTheme="minorEastAsia" w:hAnsiTheme="minorHAnsi" w:cstheme="minorBidi"/>
              <w:b w:val="0"/>
              <w:noProof/>
              <w:sz w:val="22"/>
              <w:lang w:eastAsia="en-AU"/>
            </w:rPr>
          </w:pPr>
          <w:hyperlink w:anchor="_Toc96518181" w:history="1">
            <w:r w:rsidR="00B03B45" w:rsidRPr="00C927B7">
              <w:rPr>
                <w:rStyle w:val="Hyperlink"/>
                <w:noProof/>
              </w:rPr>
              <w:t>III. Submission overview and risk/benefit assessment</w:t>
            </w:r>
            <w:r w:rsidR="00B03B45">
              <w:rPr>
                <w:noProof/>
                <w:webHidden/>
              </w:rPr>
              <w:tab/>
            </w:r>
            <w:r w:rsidR="00B03B45">
              <w:rPr>
                <w:noProof/>
                <w:webHidden/>
              </w:rPr>
              <w:fldChar w:fldCharType="begin"/>
            </w:r>
            <w:r w:rsidR="00B03B45">
              <w:rPr>
                <w:noProof/>
                <w:webHidden/>
              </w:rPr>
              <w:instrText xml:space="preserve"> PAGEREF _Toc96518181 \h </w:instrText>
            </w:r>
            <w:r w:rsidR="00B03B45">
              <w:rPr>
                <w:noProof/>
                <w:webHidden/>
              </w:rPr>
            </w:r>
            <w:r w:rsidR="00B03B45">
              <w:rPr>
                <w:noProof/>
                <w:webHidden/>
              </w:rPr>
              <w:fldChar w:fldCharType="separate"/>
            </w:r>
            <w:r w:rsidR="00B03B45">
              <w:rPr>
                <w:noProof/>
                <w:webHidden/>
              </w:rPr>
              <w:t>12</w:t>
            </w:r>
            <w:r w:rsidR="00B03B45">
              <w:rPr>
                <w:noProof/>
                <w:webHidden/>
              </w:rPr>
              <w:fldChar w:fldCharType="end"/>
            </w:r>
          </w:hyperlink>
        </w:p>
        <w:p w14:paraId="17FF5249" w14:textId="3A847E6C" w:rsidR="00B03B45" w:rsidRDefault="00571D7C">
          <w:pPr>
            <w:pStyle w:val="TOC2"/>
            <w:rPr>
              <w:rFonts w:asciiTheme="minorHAnsi" w:eastAsiaTheme="minorEastAsia" w:hAnsiTheme="minorHAnsi" w:cstheme="minorBidi"/>
              <w:b w:val="0"/>
              <w:noProof/>
              <w:sz w:val="22"/>
              <w:lang w:eastAsia="en-AU"/>
            </w:rPr>
          </w:pPr>
          <w:hyperlink w:anchor="_Toc96518182" w:history="1">
            <w:r w:rsidR="00B03B45" w:rsidRPr="00C927B7">
              <w:rPr>
                <w:rStyle w:val="Hyperlink"/>
                <w:noProof/>
              </w:rPr>
              <w:t>Quality</w:t>
            </w:r>
            <w:r w:rsidR="00B03B45">
              <w:rPr>
                <w:noProof/>
                <w:webHidden/>
              </w:rPr>
              <w:tab/>
            </w:r>
            <w:r w:rsidR="00B03B45">
              <w:rPr>
                <w:noProof/>
                <w:webHidden/>
              </w:rPr>
              <w:fldChar w:fldCharType="begin"/>
            </w:r>
            <w:r w:rsidR="00B03B45">
              <w:rPr>
                <w:noProof/>
                <w:webHidden/>
              </w:rPr>
              <w:instrText xml:space="preserve"> PAGEREF _Toc96518182 \h </w:instrText>
            </w:r>
            <w:r w:rsidR="00B03B45">
              <w:rPr>
                <w:noProof/>
                <w:webHidden/>
              </w:rPr>
            </w:r>
            <w:r w:rsidR="00B03B45">
              <w:rPr>
                <w:noProof/>
                <w:webHidden/>
              </w:rPr>
              <w:fldChar w:fldCharType="separate"/>
            </w:r>
            <w:r w:rsidR="00B03B45">
              <w:rPr>
                <w:noProof/>
                <w:webHidden/>
              </w:rPr>
              <w:t>13</w:t>
            </w:r>
            <w:r w:rsidR="00B03B45">
              <w:rPr>
                <w:noProof/>
                <w:webHidden/>
              </w:rPr>
              <w:fldChar w:fldCharType="end"/>
            </w:r>
          </w:hyperlink>
        </w:p>
        <w:p w14:paraId="39047231" w14:textId="13641725" w:rsidR="00B03B45" w:rsidRDefault="00571D7C">
          <w:pPr>
            <w:pStyle w:val="TOC2"/>
            <w:rPr>
              <w:rFonts w:asciiTheme="minorHAnsi" w:eastAsiaTheme="minorEastAsia" w:hAnsiTheme="minorHAnsi" w:cstheme="minorBidi"/>
              <w:b w:val="0"/>
              <w:noProof/>
              <w:sz w:val="22"/>
              <w:lang w:eastAsia="en-AU"/>
            </w:rPr>
          </w:pPr>
          <w:hyperlink w:anchor="_Toc96518183" w:history="1">
            <w:r w:rsidR="00B03B45" w:rsidRPr="00C927B7">
              <w:rPr>
                <w:rStyle w:val="Hyperlink"/>
                <w:noProof/>
              </w:rPr>
              <w:t>Nonclinical</w:t>
            </w:r>
            <w:r w:rsidR="00B03B45">
              <w:rPr>
                <w:noProof/>
                <w:webHidden/>
              </w:rPr>
              <w:tab/>
            </w:r>
            <w:r w:rsidR="00B03B45">
              <w:rPr>
                <w:noProof/>
                <w:webHidden/>
              </w:rPr>
              <w:fldChar w:fldCharType="begin"/>
            </w:r>
            <w:r w:rsidR="00B03B45">
              <w:rPr>
                <w:noProof/>
                <w:webHidden/>
              </w:rPr>
              <w:instrText xml:space="preserve"> PAGEREF _Toc96518183 \h </w:instrText>
            </w:r>
            <w:r w:rsidR="00B03B45">
              <w:rPr>
                <w:noProof/>
                <w:webHidden/>
              </w:rPr>
            </w:r>
            <w:r w:rsidR="00B03B45">
              <w:rPr>
                <w:noProof/>
                <w:webHidden/>
              </w:rPr>
              <w:fldChar w:fldCharType="separate"/>
            </w:r>
            <w:r w:rsidR="00B03B45">
              <w:rPr>
                <w:noProof/>
                <w:webHidden/>
              </w:rPr>
              <w:t>13</w:t>
            </w:r>
            <w:r w:rsidR="00B03B45">
              <w:rPr>
                <w:noProof/>
                <w:webHidden/>
              </w:rPr>
              <w:fldChar w:fldCharType="end"/>
            </w:r>
          </w:hyperlink>
        </w:p>
        <w:p w14:paraId="7A9D9A10" w14:textId="2AF097E4" w:rsidR="00B03B45" w:rsidRDefault="00571D7C">
          <w:pPr>
            <w:pStyle w:val="TOC2"/>
            <w:rPr>
              <w:rFonts w:asciiTheme="minorHAnsi" w:eastAsiaTheme="minorEastAsia" w:hAnsiTheme="minorHAnsi" w:cstheme="minorBidi"/>
              <w:b w:val="0"/>
              <w:noProof/>
              <w:sz w:val="22"/>
              <w:lang w:eastAsia="en-AU"/>
            </w:rPr>
          </w:pPr>
          <w:hyperlink w:anchor="_Toc96518184" w:history="1">
            <w:r w:rsidR="00B03B45" w:rsidRPr="00C927B7">
              <w:rPr>
                <w:rStyle w:val="Hyperlink"/>
                <w:noProof/>
              </w:rPr>
              <w:t>Clinical</w:t>
            </w:r>
            <w:r w:rsidR="00B03B45">
              <w:rPr>
                <w:noProof/>
                <w:webHidden/>
              </w:rPr>
              <w:tab/>
            </w:r>
            <w:r w:rsidR="00B03B45">
              <w:rPr>
                <w:noProof/>
                <w:webHidden/>
              </w:rPr>
              <w:fldChar w:fldCharType="begin"/>
            </w:r>
            <w:r w:rsidR="00B03B45">
              <w:rPr>
                <w:noProof/>
                <w:webHidden/>
              </w:rPr>
              <w:instrText xml:space="preserve"> PAGEREF _Toc96518184 \h </w:instrText>
            </w:r>
            <w:r w:rsidR="00B03B45">
              <w:rPr>
                <w:noProof/>
                <w:webHidden/>
              </w:rPr>
            </w:r>
            <w:r w:rsidR="00B03B45">
              <w:rPr>
                <w:noProof/>
                <w:webHidden/>
              </w:rPr>
              <w:fldChar w:fldCharType="separate"/>
            </w:r>
            <w:r w:rsidR="00B03B45">
              <w:rPr>
                <w:noProof/>
                <w:webHidden/>
              </w:rPr>
              <w:t>13</w:t>
            </w:r>
            <w:r w:rsidR="00B03B45">
              <w:rPr>
                <w:noProof/>
                <w:webHidden/>
              </w:rPr>
              <w:fldChar w:fldCharType="end"/>
            </w:r>
          </w:hyperlink>
        </w:p>
        <w:p w14:paraId="0B2C56F8" w14:textId="13E31FC8" w:rsidR="00B03B45" w:rsidRDefault="00571D7C">
          <w:pPr>
            <w:pStyle w:val="TOC2"/>
            <w:rPr>
              <w:rFonts w:asciiTheme="minorHAnsi" w:eastAsiaTheme="minorEastAsia" w:hAnsiTheme="minorHAnsi" w:cstheme="minorBidi"/>
              <w:b w:val="0"/>
              <w:noProof/>
              <w:sz w:val="22"/>
              <w:lang w:eastAsia="en-AU"/>
            </w:rPr>
          </w:pPr>
          <w:hyperlink w:anchor="_Toc96518185" w:history="1">
            <w:r w:rsidR="00B03B45" w:rsidRPr="00C927B7">
              <w:rPr>
                <w:rStyle w:val="Hyperlink"/>
                <w:noProof/>
                <w:lang w:eastAsia="en-AU"/>
              </w:rPr>
              <w:t>Risk management plan</w:t>
            </w:r>
            <w:r w:rsidR="00B03B45">
              <w:rPr>
                <w:noProof/>
                <w:webHidden/>
              </w:rPr>
              <w:tab/>
            </w:r>
            <w:r w:rsidR="00B03B45">
              <w:rPr>
                <w:noProof/>
                <w:webHidden/>
              </w:rPr>
              <w:fldChar w:fldCharType="begin"/>
            </w:r>
            <w:r w:rsidR="00B03B45">
              <w:rPr>
                <w:noProof/>
                <w:webHidden/>
              </w:rPr>
              <w:instrText xml:space="preserve"> PAGEREF _Toc96518185 \h </w:instrText>
            </w:r>
            <w:r w:rsidR="00B03B45">
              <w:rPr>
                <w:noProof/>
                <w:webHidden/>
              </w:rPr>
            </w:r>
            <w:r w:rsidR="00B03B45">
              <w:rPr>
                <w:noProof/>
                <w:webHidden/>
              </w:rPr>
              <w:fldChar w:fldCharType="separate"/>
            </w:r>
            <w:r w:rsidR="00B03B45">
              <w:rPr>
                <w:noProof/>
                <w:webHidden/>
              </w:rPr>
              <w:t>40</w:t>
            </w:r>
            <w:r w:rsidR="00B03B45">
              <w:rPr>
                <w:noProof/>
                <w:webHidden/>
              </w:rPr>
              <w:fldChar w:fldCharType="end"/>
            </w:r>
          </w:hyperlink>
        </w:p>
        <w:p w14:paraId="3F112503" w14:textId="609E67D1" w:rsidR="00B03B45" w:rsidRDefault="00571D7C">
          <w:pPr>
            <w:pStyle w:val="TOC2"/>
            <w:rPr>
              <w:rFonts w:asciiTheme="minorHAnsi" w:eastAsiaTheme="minorEastAsia" w:hAnsiTheme="minorHAnsi" w:cstheme="minorBidi"/>
              <w:b w:val="0"/>
              <w:noProof/>
              <w:sz w:val="22"/>
              <w:lang w:eastAsia="en-AU"/>
            </w:rPr>
          </w:pPr>
          <w:hyperlink w:anchor="_Toc96518186" w:history="1">
            <w:r w:rsidR="00B03B45" w:rsidRPr="00C927B7">
              <w:rPr>
                <w:rStyle w:val="Hyperlink"/>
                <w:noProof/>
              </w:rPr>
              <w:t>Risk-benefit analysis</w:t>
            </w:r>
            <w:r w:rsidR="00B03B45">
              <w:rPr>
                <w:noProof/>
                <w:webHidden/>
              </w:rPr>
              <w:tab/>
            </w:r>
            <w:r w:rsidR="00B03B45">
              <w:rPr>
                <w:noProof/>
                <w:webHidden/>
              </w:rPr>
              <w:fldChar w:fldCharType="begin"/>
            </w:r>
            <w:r w:rsidR="00B03B45">
              <w:rPr>
                <w:noProof/>
                <w:webHidden/>
              </w:rPr>
              <w:instrText xml:space="preserve"> PAGEREF _Toc96518186 \h </w:instrText>
            </w:r>
            <w:r w:rsidR="00B03B45">
              <w:rPr>
                <w:noProof/>
                <w:webHidden/>
              </w:rPr>
            </w:r>
            <w:r w:rsidR="00B03B45">
              <w:rPr>
                <w:noProof/>
                <w:webHidden/>
              </w:rPr>
              <w:fldChar w:fldCharType="separate"/>
            </w:r>
            <w:r w:rsidR="00B03B45">
              <w:rPr>
                <w:noProof/>
                <w:webHidden/>
              </w:rPr>
              <w:t>42</w:t>
            </w:r>
            <w:r w:rsidR="00B03B45">
              <w:rPr>
                <w:noProof/>
                <w:webHidden/>
              </w:rPr>
              <w:fldChar w:fldCharType="end"/>
            </w:r>
          </w:hyperlink>
        </w:p>
        <w:p w14:paraId="0FC5B16B" w14:textId="361FCFC9" w:rsidR="00B03B45" w:rsidRDefault="00571D7C">
          <w:pPr>
            <w:pStyle w:val="TOC2"/>
            <w:rPr>
              <w:rFonts w:asciiTheme="minorHAnsi" w:eastAsiaTheme="minorEastAsia" w:hAnsiTheme="minorHAnsi" w:cstheme="minorBidi"/>
              <w:b w:val="0"/>
              <w:noProof/>
              <w:sz w:val="22"/>
              <w:lang w:eastAsia="en-AU"/>
            </w:rPr>
          </w:pPr>
          <w:hyperlink w:anchor="_Toc96518187" w:history="1">
            <w:r w:rsidR="00B03B45" w:rsidRPr="00C927B7">
              <w:rPr>
                <w:rStyle w:val="Hyperlink"/>
                <w:noProof/>
              </w:rPr>
              <w:t>Outcome</w:t>
            </w:r>
            <w:r w:rsidR="00B03B45">
              <w:rPr>
                <w:noProof/>
                <w:webHidden/>
              </w:rPr>
              <w:tab/>
            </w:r>
            <w:r w:rsidR="00B03B45">
              <w:rPr>
                <w:noProof/>
                <w:webHidden/>
              </w:rPr>
              <w:fldChar w:fldCharType="begin"/>
            </w:r>
            <w:r w:rsidR="00B03B45">
              <w:rPr>
                <w:noProof/>
                <w:webHidden/>
              </w:rPr>
              <w:instrText xml:space="preserve"> PAGEREF _Toc96518187 \h </w:instrText>
            </w:r>
            <w:r w:rsidR="00B03B45">
              <w:rPr>
                <w:noProof/>
                <w:webHidden/>
              </w:rPr>
            </w:r>
            <w:r w:rsidR="00B03B45">
              <w:rPr>
                <w:noProof/>
                <w:webHidden/>
              </w:rPr>
              <w:fldChar w:fldCharType="separate"/>
            </w:r>
            <w:r w:rsidR="00B03B45">
              <w:rPr>
                <w:noProof/>
                <w:webHidden/>
              </w:rPr>
              <w:t>63</w:t>
            </w:r>
            <w:r w:rsidR="00B03B45">
              <w:rPr>
                <w:noProof/>
                <w:webHidden/>
              </w:rPr>
              <w:fldChar w:fldCharType="end"/>
            </w:r>
          </w:hyperlink>
        </w:p>
        <w:p w14:paraId="2E341ABB" w14:textId="6BB27952" w:rsidR="00B03B45" w:rsidRDefault="00571D7C">
          <w:pPr>
            <w:pStyle w:val="TOC1"/>
            <w:rPr>
              <w:rFonts w:asciiTheme="minorHAnsi" w:eastAsiaTheme="minorEastAsia" w:hAnsiTheme="minorHAnsi" w:cstheme="minorBidi"/>
              <w:b w:val="0"/>
              <w:noProof/>
              <w:sz w:val="22"/>
              <w:lang w:eastAsia="en-AU"/>
            </w:rPr>
          </w:pPr>
          <w:hyperlink w:anchor="_Toc96518188" w:history="1">
            <w:r w:rsidR="00B03B45" w:rsidRPr="00C927B7">
              <w:rPr>
                <w:rStyle w:val="Hyperlink"/>
                <w:noProof/>
              </w:rPr>
              <w:t>Attachment 1. Product Information</w:t>
            </w:r>
            <w:r w:rsidR="00B03B45">
              <w:rPr>
                <w:noProof/>
                <w:webHidden/>
              </w:rPr>
              <w:tab/>
            </w:r>
            <w:r w:rsidR="00B03B45">
              <w:rPr>
                <w:noProof/>
                <w:webHidden/>
              </w:rPr>
              <w:fldChar w:fldCharType="begin"/>
            </w:r>
            <w:r w:rsidR="00B03B45">
              <w:rPr>
                <w:noProof/>
                <w:webHidden/>
              </w:rPr>
              <w:instrText xml:space="preserve"> PAGEREF _Toc96518188 \h </w:instrText>
            </w:r>
            <w:r w:rsidR="00B03B45">
              <w:rPr>
                <w:noProof/>
                <w:webHidden/>
              </w:rPr>
            </w:r>
            <w:r w:rsidR="00B03B45">
              <w:rPr>
                <w:noProof/>
                <w:webHidden/>
              </w:rPr>
              <w:fldChar w:fldCharType="separate"/>
            </w:r>
            <w:r w:rsidR="00B03B45">
              <w:rPr>
                <w:noProof/>
                <w:webHidden/>
              </w:rPr>
              <w:t>64</w:t>
            </w:r>
            <w:r w:rsidR="00B03B45">
              <w:rPr>
                <w:noProof/>
                <w:webHidden/>
              </w:rPr>
              <w:fldChar w:fldCharType="end"/>
            </w:r>
          </w:hyperlink>
        </w:p>
        <w:p w14:paraId="20F79651" w14:textId="1FF24F01" w:rsidR="003A7F6C" w:rsidRPr="000349EF" w:rsidRDefault="00C525A2" w:rsidP="00B811C6">
          <w:pPr>
            <w:pStyle w:val="TOC2"/>
          </w:pPr>
          <w:r w:rsidRPr="000349EF">
            <w:fldChar w:fldCharType="end"/>
          </w:r>
        </w:p>
      </w:sdtContent>
    </w:sdt>
    <w:bookmarkStart w:id="2" w:name="_Toc314842482" w:displacedByCustomXml="prev"/>
    <w:p w14:paraId="554E6276" w14:textId="77777777" w:rsidR="00FD119B" w:rsidRPr="000349EF" w:rsidRDefault="00FD119B">
      <w:pPr>
        <w:spacing w:before="0" w:after="200" w:line="0" w:lineRule="auto"/>
      </w:pPr>
      <w:r w:rsidRPr="000349EF">
        <w:br w:type="page"/>
      </w:r>
    </w:p>
    <w:p w14:paraId="3B243C2F" w14:textId="77777777" w:rsidR="00FD119B" w:rsidRPr="000349EF" w:rsidRDefault="00324E45" w:rsidP="004F0C4A">
      <w:pPr>
        <w:pStyle w:val="Heading2"/>
      </w:pPr>
      <w:bookmarkStart w:id="3" w:name="_Toc351716269"/>
      <w:bookmarkStart w:id="4" w:name="_Toc351718881"/>
      <w:bookmarkStart w:id="5" w:name="_Toc355338616"/>
      <w:bookmarkStart w:id="6" w:name="_Toc356306144"/>
      <w:bookmarkStart w:id="7" w:name="_Toc96518174"/>
      <w:r w:rsidRPr="000349EF">
        <w:lastRenderedPageBreak/>
        <w:t>List of</w:t>
      </w:r>
      <w:r w:rsidR="00FD119B" w:rsidRPr="000349EF">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694"/>
        <w:gridCol w:w="6660"/>
      </w:tblGrid>
      <w:tr w:rsidR="00FD119B" w:rsidRPr="000349EF" w14:paraId="698C60CB" w14:textId="77777777" w:rsidTr="009629EC">
        <w:trPr>
          <w:cnfStyle w:val="100000000000" w:firstRow="1" w:lastRow="0" w:firstColumn="0" w:lastColumn="0" w:oddVBand="0" w:evenVBand="0" w:oddHBand="0" w:evenHBand="0" w:firstRowFirstColumn="0" w:firstRowLastColumn="0" w:lastRowFirstColumn="0" w:lastRowLastColumn="0"/>
        </w:trPr>
        <w:tc>
          <w:tcPr>
            <w:tcW w:w="1694" w:type="dxa"/>
          </w:tcPr>
          <w:p w14:paraId="566310D0" w14:textId="77777777" w:rsidR="00FD119B" w:rsidRPr="000349EF" w:rsidRDefault="00FD119B" w:rsidP="00965856">
            <w:pPr>
              <w:keepNext w:val="0"/>
              <w:ind w:left="144" w:right="0"/>
              <w:rPr>
                <w:szCs w:val="22"/>
                <w:lang w:eastAsia="en-US"/>
              </w:rPr>
            </w:pPr>
            <w:r w:rsidRPr="000349EF">
              <w:rPr>
                <w:szCs w:val="22"/>
                <w:lang w:eastAsia="en-US"/>
              </w:rPr>
              <w:t>Abbreviation</w:t>
            </w:r>
          </w:p>
        </w:tc>
        <w:tc>
          <w:tcPr>
            <w:tcW w:w="6660" w:type="dxa"/>
          </w:tcPr>
          <w:p w14:paraId="3188D627" w14:textId="77777777" w:rsidR="00FD119B" w:rsidRPr="000349EF" w:rsidRDefault="00FD119B" w:rsidP="00965856">
            <w:pPr>
              <w:keepNext w:val="0"/>
              <w:ind w:left="144" w:right="0"/>
              <w:rPr>
                <w:szCs w:val="22"/>
                <w:lang w:eastAsia="en-US"/>
              </w:rPr>
            </w:pPr>
            <w:r w:rsidRPr="000349EF">
              <w:rPr>
                <w:szCs w:val="22"/>
                <w:lang w:eastAsia="en-US"/>
              </w:rPr>
              <w:t>Meaning</w:t>
            </w:r>
          </w:p>
        </w:tc>
      </w:tr>
      <w:tr w:rsidR="0051166E" w:rsidRPr="000349EF" w14:paraId="698F627A" w14:textId="77777777" w:rsidTr="009629EC">
        <w:tc>
          <w:tcPr>
            <w:tcW w:w="1694" w:type="dxa"/>
          </w:tcPr>
          <w:p w14:paraId="496A48A7" w14:textId="2C166987" w:rsidR="0051166E" w:rsidRPr="000349EF" w:rsidRDefault="0051166E" w:rsidP="00965856">
            <w:pPr>
              <w:ind w:left="144" w:right="0"/>
            </w:pPr>
            <w:r w:rsidRPr="000349EF">
              <w:t>ACIP</w:t>
            </w:r>
          </w:p>
        </w:tc>
        <w:tc>
          <w:tcPr>
            <w:tcW w:w="6660" w:type="dxa"/>
          </w:tcPr>
          <w:p w14:paraId="0D7200A5" w14:textId="72DB2F17" w:rsidR="0051166E" w:rsidRPr="000349EF" w:rsidRDefault="0051166E" w:rsidP="00965856">
            <w:pPr>
              <w:ind w:left="144" w:right="0"/>
            </w:pPr>
            <w:r w:rsidRPr="000349EF">
              <w:t>Advisory Committee on Immunization Practices (United States of America)</w:t>
            </w:r>
          </w:p>
        </w:tc>
      </w:tr>
      <w:tr w:rsidR="0051166E" w:rsidRPr="000349EF" w14:paraId="45213916" w14:textId="77777777" w:rsidTr="009629EC">
        <w:tc>
          <w:tcPr>
            <w:tcW w:w="1694" w:type="dxa"/>
          </w:tcPr>
          <w:p w14:paraId="3CC1C66D" w14:textId="5DAA7765" w:rsidR="0051166E" w:rsidRPr="000349EF" w:rsidRDefault="0051166E" w:rsidP="00965856">
            <w:pPr>
              <w:ind w:left="144" w:right="0"/>
            </w:pPr>
            <w:r w:rsidRPr="000349EF">
              <w:t>ACV</w:t>
            </w:r>
          </w:p>
        </w:tc>
        <w:tc>
          <w:tcPr>
            <w:tcW w:w="6660" w:type="dxa"/>
          </w:tcPr>
          <w:p w14:paraId="70E610D9" w14:textId="6FB34936" w:rsidR="0051166E" w:rsidRPr="000349EF" w:rsidRDefault="0051166E" w:rsidP="00965856">
            <w:pPr>
              <w:ind w:left="144" w:right="0"/>
            </w:pPr>
            <w:r w:rsidRPr="000349EF">
              <w:t>Advisory Committee on Vaccines</w:t>
            </w:r>
          </w:p>
        </w:tc>
      </w:tr>
      <w:tr w:rsidR="0051166E" w:rsidRPr="000349EF" w14:paraId="4B09E4ED" w14:textId="77777777" w:rsidTr="009629EC">
        <w:tc>
          <w:tcPr>
            <w:tcW w:w="1694" w:type="dxa"/>
          </w:tcPr>
          <w:p w14:paraId="2697DC55" w14:textId="4C0C8F8F" w:rsidR="0051166E" w:rsidRPr="000349EF" w:rsidRDefault="0051166E" w:rsidP="00965856">
            <w:pPr>
              <w:ind w:left="144" w:right="0"/>
              <w:rPr>
                <w:color w:val="auto"/>
                <w:szCs w:val="22"/>
                <w:lang w:eastAsia="en-US"/>
              </w:rPr>
            </w:pPr>
            <w:r w:rsidRPr="000349EF">
              <w:t>AE</w:t>
            </w:r>
          </w:p>
        </w:tc>
        <w:tc>
          <w:tcPr>
            <w:tcW w:w="6660" w:type="dxa"/>
          </w:tcPr>
          <w:p w14:paraId="2AEC6C77" w14:textId="18EC2D01" w:rsidR="0051166E" w:rsidRPr="000349EF" w:rsidRDefault="0051166E" w:rsidP="00965856">
            <w:pPr>
              <w:ind w:left="144" w:right="0"/>
              <w:rPr>
                <w:color w:val="auto"/>
                <w:szCs w:val="22"/>
                <w:lang w:eastAsia="en-US"/>
              </w:rPr>
            </w:pPr>
            <w:r w:rsidRPr="000349EF">
              <w:t>Adverse event</w:t>
            </w:r>
          </w:p>
        </w:tc>
      </w:tr>
      <w:tr w:rsidR="0051166E" w:rsidRPr="000349EF" w14:paraId="16693254" w14:textId="77777777" w:rsidTr="009629EC">
        <w:tc>
          <w:tcPr>
            <w:tcW w:w="1694" w:type="dxa"/>
          </w:tcPr>
          <w:p w14:paraId="55A02DD1" w14:textId="378740DA" w:rsidR="0051166E" w:rsidRPr="000349EF" w:rsidRDefault="0051166E" w:rsidP="00965856">
            <w:pPr>
              <w:ind w:left="144" w:right="0"/>
              <w:rPr>
                <w:color w:val="auto"/>
                <w:szCs w:val="22"/>
                <w:lang w:eastAsia="en-US"/>
              </w:rPr>
            </w:pPr>
            <w:r w:rsidRPr="000349EF">
              <w:t>AESI</w:t>
            </w:r>
          </w:p>
        </w:tc>
        <w:tc>
          <w:tcPr>
            <w:tcW w:w="6660" w:type="dxa"/>
          </w:tcPr>
          <w:p w14:paraId="7D0A7CF8" w14:textId="5ACFBB98" w:rsidR="0051166E" w:rsidRPr="000349EF" w:rsidRDefault="0051166E" w:rsidP="00965856">
            <w:pPr>
              <w:ind w:left="144" w:right="0"/>
              <w:rPr>
                <w:color w:val="auto"/>
                <w:szCs w:val="22"/>
                <w:lang w:eastAsia="en-US"/>
              </w:rPr>
            </w:pPr>
            <w:r w:rsidRPr="000349EF">
              <w:t>Adverse event of special interest</w:t>
            </w:r>
          </w:p>
        </w:tc>
      </w:tr>
      <w:tr w:rsidR="008E4D88" w:rsidRPr="000349EF" w14:paraId="5F2647A3" w14:textId="77777777" w:rsidTr="009629EC">
        <w:tc>
          <w:tcPr>
            <w:tcW w:w="1694" w:type="dxa"/>
          </w:tcPr>
          <w:p w14:paraId="1A6E9E21" w14:textId="7581BC5E" w:rsidR="008E4D88" w:rsidRPr="000349EF" w:rsidRDefault="008E4D88" w:rsidP="00965856">
            <w:pPr>
              <w:ind w:left="144"/>
            </w:pPr>
            <w:r w:rsidRPr="000349EF">
              <w:t>AR</w:t>
            </w:r>
          </w:p>
        </w:tc>
        <w:tc>
          <w:tcPr>
            <w:tcW w:w="6660" w:type="dxa"/>
          </w:tcPr>
          <w:p w14:paraId="20B51D00" w14:textId="75EC760D" w:rsidR="008E4D88" w:rsidRPr="000349EF" w:rsidRDefault="008E4D88" w:rsidP="00965856">
            <w:pPr>
              <w:ind w:left="144"/>
            </w:pPr>
            <w:r w:rsidRPr="000349EF">
              <w:t>Adverse reaction</w:t>
            </w:r>
          </w:p>
        </w:tc>
      </w:tr>
      <w:tr w:rsidR="0051166E" w:rsidRPr="000349EF" w14:paraId="057A55E4" w14:textId="77777777" w:rsidTr="009629EC">
        <w:tc>
          <w:tcPr>
            <w:tcW w:w="1694" w:type="dxa"/>
          </w:tcPr>
          <w:p w14:paraId="2106A34E" w14:textId="413DBCC2" w:rsidR="0051166E" w:rsidRPr="000349EF" w:rsidRDefault="0051166E" w:rsidP="00965856">
            <w:pPr>
              <w:ind w:left="144"/>
            </w:pPr>
            <w:r w:rsidRPr="000349EF">
              <w:t>ARTG</w:t>
            </w:r>
          </w:p>
        </w:tc>
        <w:tc>
          <w:tcPr>
            <w:tcW w:w="6660" w:type="dxa"/>
          </w:tcPr>
          <w:p w14:paraId="16B3A980" w14:textId="787F2967" w:rsidR="0051166E" w:rsidRPr="000349EF" w:rsidRDefault="0051166E" w:rsidP="00965856">
            <w:pPr>
              <w:ind w:left="144"/>
            </w:pPr>
            <w:r w:rsidRPr="000349EF">
              <w:t>Australian Register of Therapeutic Goods</w:t>
            </w:r>
          </w:p>
        </w:tc>
      </w:tr>
      <w:tr w:rsidR="00065E3F" w:rsidRPr="000349EF" w14:paraId="51D08F37" w14:textId="77777777" w:rsidTr="00065165">
        <w:tc>
          <w:tcPr>
            <w:tcW w:w="1694" w:type="dxa"/>
          </w:tcPr>
          <w:p w14:paraId="1BA8A9FC" w14:textId="4C350118" w:rsidR="00065E3F" w:rsidRPr="000349EF" w:rsidRDefault="00065E3F" w:rsidP="00965856">
            <w:pPr>
              <w:ind w:left="144"/>
            </w:pPr>
            <w:r w:rsidRPr="000349EF">
              <w:t>ASA</w:t>
            </w:r>
          </w:p>
        </w:tc>
        <w:tc>
          <w:tcPr>
            <w:tcW w:w="6660" w:type="dxa"/>
          </w:tcPr>
          <w:p w14:paraId="308DFA85" w14:textId="2AB01021" w:rsidR="00065E3F" w:rsidRPr="000349EF" w:rsidRDefault="00065E3F" w:rsidP="00965856">
            <w:pPr>
              <w:ind w:left="144"/>
            </w:pPr>
            <w:r w:rsidRPr="000349EF">
              <w:t>Australia specific annex</w:t>
            </w:r>
          </w:p>
        </w:tc>
      </w:tr>
      <w:tr w:rsidR="007E048E" w:rsidRPr="000349EF" w14:paraId="69C0631E" w14:textId="77777777" w:rsidTr="00065165">
        <w:tc>
          <w:tcPr>
            <w:tcW w:w="1694" w:type="dxa"/>
          </w:tcPr>
          <w:p w14:paraId="76539FD5" w14:textId="6E7D0574" w:rsidR="007E048E" w:rsidRPr="000349EF" w:rsidRDefault="007E048E" w:rsidP="00965856">
            <w:pPr>
              <w:ind w:left="144"/>
            </w:pPr>
            <w:r w:rsidRPr="000349EF">
              <w:t>ATAGI</w:t>
            </w:r>
          </w:p>
        </w:tc>
        <w:tc>
          <w:tcPr>
            <w:tcW w:w="6660" w:type="dxa"/>
          </w:tcPr>
          <w:p w14:paraId="0127AA64" w14:textId="73CC7D90" w:rsidR="007E048E" w:rsidRPr="000349EF" w:rsidRDefault="007E048E" w:rsidP="00965856">
            <w:pPr>
              <w:ind w:left="144"/>
            </w:pPr>
            <w:r w:rsidRPr="000349EF">
              <w:t>Australian Technical Advisory Group on Immunisation</w:t>
            </w:r>
          </w:p>
        </w:tc>
      </w:tr>
      <w:tr w:rsidR="00BF3AFA" w:rsidRPr="000349EF" w14:paraId="7DBED7DB" w14:textId="77777777" w:rsidTr="009629EC">
        <w:tc>
          <w:tcPr>
            <w:tcW w:w="1694" w:type="dxa"/>
          </w:tcPr>
          <w:p w14:paraId="1FBCC781" w14:textId="4B352AA0" w:rsidR="00BF3AFA" w:rsidRPr="000349EF" w:rsidRDefault="00BF3AFA" w:rsidP="00965856">
            <w:pPr>
              <w:ind w:left="144"/>
            </w:pPr>
            <w:proofErr w:type="spellStart"/>
            <w:r w:rsidRPr="000349EF">
              <w:t>bAb</w:t>
            </w:r>
            <w:proofErr w:type="spellEnd"/>
          </w:p>
        </w:tc>
        <w:tc>
          <w:tcPr>
            <w:tcW w:w="6660" w:type="dxa"/>
          </w:tcPr>
          <w:p w14:paraId="283E6BEB" w14:textId="06971789" w:rsidR="00BF3AFA" w:rsidRPr="000349EF" w:rsidRDefault="00BF3AFA" w:rsidP="00965856">
            <w:pPr>
              <w:ind w:left="144"/>
            </w:pPr>
            <w:r w:rsidRPr="000349EF">
              <w:t>Binding antibody</w:t>
            </w:r>
          </w:p>
        </w:tc>
      </w:tr>
      <w:tr w:rsidR="004832C5" w:rsidRPr="000349EF" w14:paraId="55C1DC1C" w14:textId="77777777" w:rsidTr="009629EC">
        <w:tc>
          <w:tcPr>
            <w:tcW w:w="1694" w:type="dxa"/>
          </w:tcPr>
          <w:p w14:paraId="213DF9C3" w14:textId="63B0AE7E" w:rsidR="004832C5" w:rsidRPr="000349EF" w:rsidRDefault="004832C5" w:rsidP="00965856">
            <w:pPr>
              <w:ind w:left="144"/>
            </w:pPr>
            <w:r w:rsidRPr="000349EF">
              <w:t>CBER</w:t>
            </w:r>
          </w:p>
        </w:tc>
        <w:tc>
          <w:tcPr>
            <w:tcW w:w="6660" w:type="dxa"/>
          </w:tcPr>
          <w:p w14:paraId="61A36E0D" w14:textId="0FE95130" w:rsidR="004832C5" w:rsidRPr="000349EF" w:rsidRDefault="004832C5" w:rsidP="00965856">
            <w:pPr>
              <w:ind w:left="144"/>
            </w:pPr>
            <w:r w:rsidRPr="000349EF">
              <w:t>Center for Biologics Evaluation and Research (United States of America)</w:t>
            </w:r>
          </w:p>
        </w:tc>
      </w:tr>
      <w:tr w:rsidR="0051166E" w:rsidRPr="000349EF" w14:paraId="5605E0E4" w14:textId="77777777" w:rsidTr="009629EC">
        <w:tc>
          <w:tcPr>
            <w:tcW w:w="1694" w:type="dxa"/>
          </w:tcPr>
          <w:p w14:paraId="7B738D2E" w14:textId="3A916A4A" w:rsidR="0051166E" w:rsidRPr="000349EF" w:rsidRDefault="0051166E" w:rsidP="00965856">
            <w:pPr>
              <w:ind w:left="144"/>
            </w:pPr>
            <w:r w:rsidRPr="000349EF">
              <w:t>CDC</w:t>
            </w:r>
          </w:p>
        </w:tc>
        <w:tc>
          <w:tcPr>
            <w:tcW w:w="6660" w:type="dxa"/>
          </w:tcPr>
          <w:p w14:paraId="1AFC2436" w14:textId="77A75C17" w:rsidR="0051166E" w:rsidRPr="000349EF" w:rsidRDefault="0051166E" w:rsidP="00965856">
            <w:pPr>
              <w:ind w:left="144"/>
            </w:pPr>
            <w:proofErr w:type="spellStart"/>
            <w:r w:rsidRPr="000349EF">
              <w:t>Centers</w:t>
            </w:r>
            <w:proofErr w:type="spellEnd"/>
            <w:r w:rsidRPr="000349EF">
              <w:t xml:space="preserve"> for Disease Control and Prevention (United States of America)</w:t>
            </w:r>
          </w:p>
        </w:tc>
      </w:tr>
      <w:tr w:rsidR="0051166E" w:rsidRPr="000349EF" w14:paraId="25BC1888" w14:textId="77777777" w:rsidTr="009629EC">
        <w:tc>
          <w:tcPr>
            <w:tcW w:w="1694" w:type="dxa"/>
          </w:tcPr>
          <w:p w14:paraId="548763FA" w14:textId="3C05DDAB" w:rsidR="0051166E" w:rsidRPr="000349EF" w:rsidRDefault="0051166E" w:rsidP="00965856">
            <w:pPr>
              <w:ind w:left="144"/>
            </w:pPr>
            <w:r w:rsidRPr="000349EF">
              <w:t>CHMP</w:t>
            </w:r>
          </w:p>
        </w:tc>
        <w:tc>
          <w:tcPr>
            <w:tcW w:w="6660" w:type="dxa"/>
          </w:tcPr>
          <w:p w14:paraId="6913554B" w14:textId="4D0F7C4D" w:rsidR="0051166E" w:rsidRPr="000349EF" w:rsidRDefault="0051166E" w:rsidP="00965856">
            <w:pPr>
              <w:ind w:left="144"/>
            </w:pPr>
            <w:r w:rsidRPr="000349EF">
              <w:t>Committee for Medicinal Products for Human Use</w:t>
            </w:r>
            <w:r w:rsidR="00221451" w:rsidRPr="000349EF">
              <w:t xml:space="preserve"> </w:t>
            </w:r>
            <w:r w:rsidRPr="000349EF">
              <w:t>(European Union)</w:t>
            </w:r>
          </w:p>
        </w:tc>
      </w:tr>
      <w:tr w:rsidR="0051166E" w:rsidRPr="000349EF" w14:paraId="7DE04535" w14:textId="77777777" w:rsidTr="009629EC">
        <w:tc>
          <w:tcPr>
            <w:tcW w:w="1694" w:type="dxa"/>
          </w:tcPr>
          <w:p w14:paraId="007BF3DE" w14:textId="1FCC10A8" w:rsidR="0051166E" w:rsidRPr="000349EF" w:rsidRDefault="0051166E" w:rsidP="00965856">
            <w:pPr>
              <w:ind w:left="144"/>
            </w:pPr>
            <w:r w:rsidRPr="000349EF">
              <w:t>CI</w:t>
            </w:r>
          </w:p>
        </w:tc>
        <w:tc>
          <w:tcPr>
            <w:tcW w:w="6660" w:type="dxa"/>
          </w:tcPr>
          <w:p w14:paraId="2E473C47" w14:textId="72A7CBC7" w:rsidR="0051166E" w:rsidRPr="000349EF" w:rsidRDefault="0051166E" w:rsidP="00965856">
            <w:pPr>
              <w:ind w:left="144"/>
            </w:pPr>
            <w:r w:rsidRPr="000349EF">
              <w:t>Confidence interval</w:t>
            </w:r>
          </w:p>
        </w:tc>
      </w:tr>
      <w:tr w:rsidR="006C7349" w:rsidRPr="000349EF" w14:paraId="0A7A63A6" w14:textId="77777777" w:rsidTr="009629EC">
        <w:tc>
          <w:tcPr>
            <w:tcW w:w="1694" w:type="dxa"/>
          </w:tcPr>
          <w:p w14:paraId="187084DE" w14:textId="13784494" w:rsidR="006C7349" w:rsidRPr="000349EF" w:rsidRDefault="006C7349" w:rsidP="00965856">
            <w:pPr>
              <w:ind w:left="144"/>
            </w:pPr>
            <w:r w:rsidRPr="000349EF">
              <w:t>CMI</w:t>
            </w:r>
          </w:p>
        </w:tc>
        <w:tc>
          <w:tcPr>
            <w:tcW w:w="6660" w:type="dxa"/>
          </w:tcPr>
          <w:p w14:paraId="2FA5E622" w14:textId="66E97171" w:rsidR="006C7349" w:rsidRPr="000349EF" w:rsidRDefault="006C7349" w:rsidP="00965856">
            <w:pPr>
              <w:ind w:left="144"/>
            </w:pPr>
            <w:r w:rsidRPr="000349EF">
              <w:t>Consumer Medicines Information</w:t>
            </w:r>
          </w:p>
        </w:tc>
      </w:tr>
      <w:tr w:rsidR="0051166E" w:rsidRPr="000349EF" w14:paraId="3936E7E9" w14:textId="77777777" w:rsidTr="009629EC">
        <w:tc>
          <w:tcPr>
            <w:tcW w:w="1694" w:type="dxa"/>
          </w:tcPr>
          <w:p w14:paraId="156F43C6" w14:textId="0A6BB09C" w:rsidR="0051166E" w:rsidRPr="000349EF" w:rsidRDefault="0051166E" w:rsidP="00965856">
            <w:pPr>
              <w:ind w:left="144"/>
            </w:pPr>
            <w:r w:rsidRPr="000349EF">
              <w:t>COVID-19</w:t>
            </w:r>
          </w:p>
        </w:tc>
        <w:tc>
          <w:tcPr>
            <w:tcW w:w="6660" w:type="dxa"/>
          </w:tcPr>
          <w:p w14:paraId="6887B4FB" w14:textId="606317C7" w:rsidR="0051166E" w:rsidRPr="000349EF" w:rsidRDefault="0051166E" w:rsidP="00965856">
            <w:pPr>
              <w:ind w:left="144"/>
            </w:pPr>
            <w:r w:rsidRPr="000349EF">
              <w:t>Coronavirus disease 2019</w:t>
            </w:r>
          </w:p>
        </w:tc>
      </w:tr>
      <w:tr w:rsidR="00065E3F" w:rsidRPr="000349EF" w14:paraId="3567F0EE" w14:textId="77777777" w:rsidTr="00065165">
        <w:tc>
          <w:tcPr>
            <w:tcW w:w="1694" w:type="dxa"/>
          </w:tcPr>
          <w:p w14:paraId="5BEF6E68" w14:textId="43947A99" w:rsidR="00065E3F" w:rsidRPr="000349EF" w:rsidRDefault="00065E3F" w:rsidP="00965856">
            <w:pPr>
              <w:ind w:left="144"/>
            </w:pPr>
            <w:r w:rsidRPr="000349EF">
              <w:t>DLP</w:t>
            </w:r>
          </w:p>
        </w:tc>
        <w:tc>
          <w:tcPr>
            <w:tcW w:w="6660" w:type="dxa"/>
          </w:tcPr>
          <w:p w14:paraId="0B6B7B5A" w14:textId="621E9B8E" w:rsidR="00065E3F" w:rsidRPr="000349EF" w:rsidRDefault="00065E3F" w:rsidP="00965856">
            <w:pPr>
              <w:ind w:left="144"/>
            </w:pPr>
            <w:r w:rsidRPr="000349EF">
              <w:t>Data lock point</w:t>
            </w:r>
          </w:p>
        </w:tc>
      </w:tr>
      <w:tr w:rsidR="00DD7DB2" w:rsidRPr="000349EF" w14:paraId="032BAF31" w14:textId="77777777" w:rsidTr="009629EC">
        <w:tc>
          <w:tcPr>
            <w:tcW w:w="1694" w:type="dxa"/>
          </w:tcPr>
          <w:p w14:paraId="25C5EF9F" w14:textId="0C5597DA" w:rsidR="00DD7DB2" w:rsidRPr="000349EF" w:rsidRDefault="00DD7DB2" w:rsidP="00965856">
            <w:pPr>
              <w:ind w:left="144"/>
            </w:pPr>
            <w:r w:rsidRPr="000349EF">
              <w:t>DSMB</w:t>
            </w:r>
          </w:p>
        </w:tc>
        <w:tc>
          <w:tcPr>
            <w:tcW w:w="6660" w:type="dxa"/>
          </w:tcPr>
          <w:p w14:paraId="35867B0F" w14:textId="074D2765" w:rsidR="00DD7DB2" w:rsidRPr="000349EF" w:rsidRDefault="00DD7DB2" w:rsidP="00965856">
            <w:pPr>
              <w:ind w:left="144"/>
            </w:pPr>
            <w:r w:rsidRPr="000349EF">
              <w:t xml:space="preserve">Data </w:t>
            </w:r>
            <w:r w:rsidR="001C4C70" w:rsidRPr="000349EF">
              <w:t>s</w:t>
            </w:r>
            <w:r w:rsidRPr="000349EF">
              <w:t xml:space="preserve">afety </w:t>
            </w:r>
            <w:r w:rsidR="001C4C70" w:rsidRPr="000349EF">
              <w:t>m</w:t>
            </w:r>
            <w:r w:rsidRPr="000349EF">
              <w:t xml:space="preserve">onitoring </w:t>
            </w:r>
            <w:r w:rsidR="001C4C70" w:rsidRPr="000349EF">
              <w:t>b</w:t>
            </w:r>
            <w:r w:rsidRPr="000349EF">
              <w:t>oard</w:t>
            </w:r>
          </w:p>
        </w:tc>
      </w:tr>
      <w:tr w:rsidR="0051166E" w:rsidRPr="000349EF" w14:paraId="3C6CEB90" w14:textId="77777777" w:rsidTr="009629EC">
        <w:tc>
          <w:tcPr>
            <w:tcW w:w="1694" w:type="dxa"/>
          </w:tcPr>
          <w:p w14:paraId="24F6974A" w14:textId="3995B58D" w:rsidR="0051166E" w:rsidRPr="000349EF" w:rsidRDefault="0051166E" w:rsidP="00965856">
            <w:pPr>
              <w:ind w:left="144"/>
            </w:pPr>
            <w:r w:rsidRPr="000349EF">
              <w:t>EMA</w:t>
            </w:r>
          </w:p>
        </w:tc>
        <w:tc>
          <w:tcPr>
            <w:tcW w:w="6660" w:type="dxa"/>
          </w:tcPr>
          <w:p w14:paraId="2316CAC0" w14:textId="3F62AB94" w:rsidR="0051166E" w:rsidRPr="000349EF" w:rsidRDefault="0051166E" w:rsidP="00965856">
            <w:pPr>
              <w:ind w:left="144"/>
            </w:pPr>
            <w:r w:rsidRPr="000349EF">
              <w:t>European Medicines Agency (European Union)</w:t>
            </w:r>
          </w:p>
        </w:tc>
      </w:tr>
      <w:tr w:rsidR="00A0355F" w:rsidRPr="000349EF" w14:paraId="74D597FC" w14:textId="77777777" w:rsidTr="009629EC">
        <w:tc>
          <w:tcPr>
            <w:tcW w:w="1694" w:type="dxa"/>
          </w:tcPr>
          <w:p w14:paraId="2FF699A7" w14:textId="046C93F9" w:rsidR="00A0355F" w:rsidRPr="000349EF" w:rsidRDefault="00A0355F" w:rsidP="00965856">
            <w:pPr>
              <w:ind w:left="144"/>
            </w:pPr>
            <w:r w:rsidRPr="000349EF">
              <w:t>EMEA</w:t>
            </w:r>
          </w:p>
        </w:tc>
        <w:tc>
          <w:tcPr>
            <w:tcW w:w="6660" w:type="dxa"/>
          </w:tcPr>
          <w:p w14:paraId="22716FAA" w14:textId="60E40ADA" w:rsidR="00A0355F" w:rsidRPr="000349EF" w:rsidRDefault="00A0355F" w:rsidP="00965856">
            <w:pPr>
              <w:ind w:left="144"/>
            </w:pPr>
            <w:r w:rsidRPr="000349EF">
              <w:t>European Medicines Evaluation Agency (European Union)</w:t>
            </w:r>
          </w:p>
        </w:tc>
      </w:tr>
      <w:tr w:rsidR="0051166E" w:rsidRPr="000349EF" w14:paraId="040D8C89" w14:textId="77777777" w:rsidTr="009629EC">
        <w:tc>
          <w:tcPr>
            <w:tcW w:w="1694" w:type="dxa"/>
          </w:tcPr>
          <w:p w14:paraId="5E4B0986" w14:textId="16D52808" w:rsidR="0051166E" w:rsidRPr="000349EF" w:rsidRDefault="0051166E" w:rsidP="00965856">
            <w:pPr>
              <w:ind w:left="144"/>
            </w:pPr>
            <w:r w:rsidRPr="000349EF">
              <w:t>FDA</w:t>
            </w:r>
          </w:p>
        </w:tc>
        <w:tc>
          <w:tcPr>
            <w:tcW w:w="6660" w:type="dxa"/>
          </w:tcPr>
          <w:p w14:paraId="7FB95562" w14:textId="0A6D8098" w:rsidR="0051166E" w:rsidRPr="000349EF" w:rsidRDefault="0051166E" w:rsidP="00965856">
            <w:pPr>
              <w:ind w:left="144"/>
            </w:pPr>
            <w:r w:rsidRPr="000349EF">
              <w:t>Food and Drug Administration (United States of America)</w:t>
            </w:r>
          </w:p>
        </w:tc>
      </w:tr>
      <w:tr w:rsidR="007D2188" w:rsidRPr="000349EF" w14:paraId="6C1F3700" w14:textId="77777777" w:rsidTr="009629EC">
        <w:tc>
          <w:tcPr>
            <w:tcW w:w="1694" w:type="dxa"/>
          </w:tcPr>
          <w:p w14:paraId="027B27B8" w14:textId="6B40EAEB" w:rsidR="007D2188" w:rsidRPr="000349EF" w:rsidRDefault="007D2188" w:rsidP="00965856">
            <w:pPr>
              <w:ind w:left="144"/>
            </w:pPr>
            <w:r w:rsidRPr="000349EF">
              <w:t>GCP</w:t>
            </w:r>
          </w:p>
        </w:tc>
        <w:tc>
          <w:tcPr>
            <w:tcW w:w="6660" w:type="dxa"/>
          </w:tcPr>
          <w:p w14:paraId="49AF7B6F" w14:textId="54B94B1F" w:rsidR="007D2188" w:rsidRPr="000349EF" w:rsidRDefault="007D2188" w:rsidP="00965856">
            <w:pPr>
              <w:ind w:left="144"/>
            </w:pPr>
            <w:r w:rsidRPr="000349EF">
              <w:t>Good Clinical Practice</w:t>
            </w:r>
          </w:p>
        </w:tc>
      </w:tr>
      <w:tr w:rsidR="0051166E" w:rsidRPr="000349EF" w14:paraId="0368A000" w14:textId="77777777" w:rsidTr="009629EC">
        <w:tc>
          <w:tcPr>
            <w:tcW w:w="1694" w:type="dxa"/>
          </w:tcPr>
          <w:p w14:paraId="3CC314C9" w14:textId="5FCED559" w:rsidR="0051166E" w:rsidRPr="000349EF" w:rsidRDefault="0051166E" w:rsidP="00965856">
            <w:pPr>
              <w:ind w:left="144"/>
            </w:pPr>
            <w:r w:rsidRPr="000349EF">
              <w:t>GM</w:t>
            </w:r>
          </w:p>
        </w:tc>
        <w:tc>
          <w:tcPr>
            <w:tcW w:w="6660" w:type="dxa"/>
          </w:tcPr>
          <w:p w14:paraId="23014960" w14:textId="1CDB9DC3" w:rsidR="0051166E" w:rsidRPr="000349EF" w:rsidRDefault="0051166E" w:rsidP="00965856">
            <w:pPr>
              <w:ind w:left="144"/>
            </w:pPr>
            <w:r w:rsidRPr="000349EF">
              <w:t>Geometric mean</w:t>
            </w:r>
          </w:p>
        </w:tc>
      </w:tr>
      <w:tr w:rsidR="00FC063B" w:rsidRPr="000349EF" w14:paraId="6BECE678" w14:textId="77777777" w:rsidTr="009629EC">
        <w:tc>
          <w:tcPr>
            <w:tcW w:w="1694" w:type="dxa"/>
          </w:tcPr>
          <w:p w14:paraId="494F995E" w14:textId="4751DCD4" w:rsidR="00FC063B" w:rsidRPr="000349EF" w:rsidRDefault="00FC063B" w:rsidP="00965856">
            <w:pPr>
              <w:ind w:left="144"/>
            </w:pPr>
            <w:r w:rsidRPr="000349EF">
              <w:t>GMFR</w:t>
            </w:r>
          </w:p>
        </w:tc>
        <w:tc>
          <w:tcPr>
            <w:tcW w:w="6660" w:type="dxa"/>
          </w:tcPr>
          <w:p w14:paraId="0DBB77BB" w14:textId="16C2E1E9" w:rsidR="00FC063B" w:rsidRPr="000349EF" w:rsidRDefault="00FC063B" w:rsidP="00965856">
            <w:pPr>
              <w:ind w:left="144"/>
            </w:pPr>
            <w:r w:rsidRPr="000349EF">
              <w:t>Geometric mean fold rise</w:t>
            </w:r>
          </w:p>
        </w:tc>
      </w:tr>
      <w:tr w:rsidR="0051166E" w:rsidRPr="000349EF" w14:paraId="2E419306" w14:textId="77777777" w:rsidTr="009629EC">
        <w:tc>
          <w:tcPr>
            <w:tcW w:w="1694" w:type="dxa"/>
          </w:tcPr>
          <w:p w14:paraId="513A1386" w14:textId="24B20F7E" w:rsidR="0051166E" w:rsidRPr="000349EF" w:rsidRDefault="0051166E" w:rsidP="00965856">
            <w:pPr>
              <w:ind w:left="144"/>
            </w:pPr>
            <w:r w:rsidRPr="000349EF">
              <w:lastRenderedPageBreak/>
              <w:t>GMT</w:t>
            </w:r>
          </w:p>
        </w:tc>
        <w:tc>
          <w:tcPr>
            <w:tcW w:w="6660" w:type="dxa"/>
          </w:tcPr>
          <w:p w14:paraId="3C0BDD9D" w14:textId="5E092518" w:rsidR="0051166E" w:rsidRPr="000349EF" w:rsidRDefault="0051166E" w:rsidP="00965856">
            <w:pPr>
              <w:ind w:left="144"/>
            </w:pPr>
            <w:r w:rsidRPr="000349EF">
              <w:t>Geometric mean titre</w:t>
            </w:r>
          </w:p>
        </w:tc>
      </w:tr>
      <w:tr w:rsidR="0051166E" w:rsidRPr="000349EF" w14:paraId="4B12373C" w14:textId="77777777" w:rsidTr="009629EC">
        <w:tc>
          <w:tcPr>
            <w:tcW w:w="1694" w:type="dxa"/>
          </w:tcPr>
          <w:p w14:paraId="7D5102E9" w14:textId="14DDD1F7" w:rsidR="0051166E" w:rsidRPr="000349EF" w:rsidRDefault="0051166E" w:rsidP="00965856">
            <w:pPr>
              <w:ind w:left="144"/>
            </w:pPr>
            <w:r w:rsidRPr="000349EF">
              <w:t>GMR</w:t>
            </w:r>
          </w:p>
        </w:tc>
        <w:tc>
          <w:tcPr>
            <w:tcW w:w="6660" w:type="dxa"/>
          </w:tcPr>
          <w:p w14:paraId="27E9B003" w14:textId="1CCCAA0E" w:rsidR="0051166E" w:rsidRPr="000349EF" w:rsidRDefault="0051166E" w:rsidP="00965856">
            <w:pPr>
              <w:ind w:left="144"/>
            </w:pPr>
            <w:r w:rsidRPr="000349EF">
              <w:t>Geometric mean ratio</w:t>
            </w:r>
          </w:p>
        </w:tc>
      </w:tr>
      <w:tr w:rsidR="00715E59" w:rsidRPr="000349EF" w14:paraId="7FEF557F" w14:textId="77777777" w:rsidTr="00065165">
        <w:tc>
          <w:tcPr>
            <w:tcW w:w="1694" w:type="dxa"/>
          </w:tcPr>
          <w:p w14:paraId="3530F279" w14:textId="7B44C1D2" w:rsidR="00715E59" w:rsidRPr="000349EF" w:rsidRDefault="00715E59" w:rsidP="00965856">
            <w:pPr>
              <w:ind w:left="144"/>
            </w:pPr>
            <w:r w:rsidRPr="000349EF">
              <w:t>GVP</w:t>
            </w:r>
          </w:p>
        </w:tc>
        <w:tc>
          <w:tcPr>
            <w:tcW w:w="6660" w:type="dxa"/>
          </w:tcPr>
          <w:p w14:paraId="31D2D2D7" w14:textId="5D7CB858" w:rsidR="00715E59" w:rsidRPr="000349EF" w:rsidRDefault="00715E59" w:rsidP="00965856">
            <w:pPr>
              <w:ind w:left="144"/>
            </w:pPr>
            <w:r w:rsidRPr="000349EF">
              <w:t>Good Pharmacovigilance Practices</w:t>
            </w:r>
          </w:p>
        </w:tc>
      </w:tr>
      <w:tr w:rsidR="00537B3C" w:rsidRPr="000349EF" w14:paraId="0708FC3D" w14:textId="77777777" w:rsidTr="009629EC">
        <w:tc>
          <w:tcPr>
            <w:tcW w:w="1694" w:type="dxa"/>
          </w:tcPr>
          <w:p w14:paraId="0C6517BA" w14:textId="04F8CA1B" w:rsidR="00537B3C" w:rsidRPr="000349EF" w:rsidRDefault="00537B3C" w:rsidP="00965856">
            <w:pPr>
              <w:ind w:left="144"/>
            </w:pPr>
            <w:r w:rsidRPr="000349EF">
              <w:t>ICH</w:t>
            </w:r>
          </w:p>
        </w:tc>
        <w:tc>
          <w:tcPr>
            <w:tcW w:w="6660" w:type="dxa"/>
          </w:tcPr>
          <w:p w14:paraId="1D4BFBD6" w14:textId="6C311034" w:rsidR="00537B3C" w:rsidRPr="000349EF" w:rsidRDefault="00537B3C" w:rsidP="00965856">
            <w:pPr>
              <w:ind w:left="144"/>
            </w:pPr>
            <w:r w:rsidRPr="000349EF">
              <w:t>International Council for Harmonisation</w:t>
            </w:r>
          </w:p>
        </w:tc>
      </w:tr>
      <w:tr w:rsidR="0051166E" w:rsidRPr="000349EF" w14:paraId="1415166B" w14:textId="77777777" w:rsidTr="009629EC">
        <w:tc>
          <w:tcPr>
            <w:tcW w:w="1694" w:type="dxa"/>
          </w:tcPr>
          <w:p w14:paraId="35EC83B5" w14:textId="0809B2B5" w:rsidR="0051166E" w:rsidRPr="000349EF" w:rsidRDefault="0051166E" w:rsidP="00965856">
            <w:pPr>
              <w:ind w:left="144"/>
            </w:pPr>
            <w:r w:rsidRPr="000349EF">
              <w:t>ICU</w:t>
            </w:r>
          </w:p>
        </w:tc>
        <w:tc>
          <w:tcPr>
            <w:tcW w:w="6660" w:type="dxa"/>
          </w:tcPr>
          <w:p w14:paraId="4D857638" w14:textId="77198731" w:rsidR="0051166E" w:rsidRPr="000349EF" w:rsidRDefault="0051166E" w:rsidP="00965856">
            <w:pPr>
              <w:ind w:left="144"/>
            </w:pPr>
            <w:r w:rsidRPr="000349EF">
              <w:t>Intensive care unit</w:t>
            </w:r>
          </w:p>
        </w:tc>
      </w:tr>
      <w:tr w:rsidR="0051166E" w:rsidRPr="000349EF" w14:paraId="11734B63" w14:textId="77777777" w:rsidTr="009629EC">
        <w:tc>
          <w:tcPr>
            <w:tcW w:w="1694" w:type="dxa"/>
          </w:tcPr>
          <w:p w14:paraId="45CC5097" w14:textId="0F1FDEEC" w:rsidR="0051166E" w:rsidRPr="000349EF" w:rsidRDefault="0051166E" w:rsidP="00965856">
            <w:pPr>
              <w:ind w:left="144"/>
            </w:pPr>
            <w:r w:rsidRPr="000349EF">
              <w:t>ID</w:t>
            </w:r>
            <w:r w:rsidRPr="000349EF">
              <w:rPr>
                <w:vertAlign w:val="subscript"/>
              </w:rPr>
              <w:t>50</w:t>
            </w:r>
          </w:p>
        </w:tc>
        <w:tc>
          <w:tcPr>
            <w:tcW w:w="6660" w:type="dxa"/>
          </w:tcPr>
          <w:p w14:paraId="4A3C96D5" w14:textId="54B7C1ED" w:rsidR="0051166E" w:rsidRPr="000349EF" w:rsidRDefault="0051166E" w:rsidP="00965856">
            <w:pPr>
              <w:ind w:left="144"/>
            </w:pPr>
            <w:bookmarkStart w:id="8" w:name="_Hlk80611318"/>
            <w:r w:rsidRPr="000349EF">
              <w:t>50% inhibitory dose</w:t>
            </w:r>
            <w:bookmarkEnd w:id="8"/>
          </w:p>
        </w:tc>
      </w:tr>
      <w:tr w:rsidR="006C7349" w:rsidRPr="000349EF" w14:paraId="3AE5D1AF" w14:textId="77777777" w:rsidTr="009629EC">
        <w:tc>
          <w:tcPr>
            <w:tcW w:w="1694" w:type="dxa"/>
          </w:tcPr>
          <w:p w14:paraId="58E5C00A" w14:textId="64DD24C1" w:rsidR="006C7349" w:rsidRPr="000349EF" w:rsidRDefault="006C7349" w:rsidP="00965856">
            <w:pPr>
              <w:ind w:left="144"/>
            </w:pPr>
            <w:r w:rsidRPr="000349EF">
              <w:t>IL-2</w:t>
            </w:r>
          </w:p>
        </w:tc>
        <w:tc>
          <w:tcPr>
            <w:tcW w:w="6660" w:type="dxa"/>
          </w:tcPr>
          <w:p w14:paraId="0105143B" w14:textId="580CA03D" w:rsidR="006C7349" w:rsidRPr="000349EF" w:rsidRDefault="006C7349" w:rsidP="00965856">
            <w:pPr>
              <w:ind w:left="144"/>
            </w:pPr>
            <w:r w:rsidRPr="000349EF">
              <w:t>Interleukin 2</w:t>
            </w:r>
          </w:p>
        </w:tc>
      </w:tr>
      <w:tr w:rsidR="00DD7DB2" w:rsidRPr="000349EF" w14:paraId="267E7F7C" w14:textId="77777777" w:rsidTr="009629EC">
        <w:tc>
          <w:tcPr>
            <w:tcW w:w="1694" w:type="dxa"/>
          </w:tcPr>
          <w:p w14:paraId="5C0D497B" w14:textId="668F8464" w:rsidR="00DD7DB2" w:rsidRPr="000349EF" w:rsidRDefault="00DD7DB2" w:rsidP="00965856">
            <w:pPr>
              <w:ind w:left="144"/>
              <w:rPr>
                <w:szCs w:val="28"/>
              </w:rPr>
            </w:pPr>
            <w:r w:rsidRPr="000349EF">
              <w:rPr>
                <w:szCs w:val="28"/>
              </w:rPr>
              <w:t>IP</w:t>
            </w:r>
          </w:p>
        </w:tc>
        <w:tc>
          <w:tcPr>
            <w:tcW w:w="6660" w:type="dxa"/>
          </w:tcPr>
          <w:p w14:paraId="04C8CD74" w14:textId="7892123D" w:rsidR="00DD7DB2" w:rsidRPr="000349EF" w:rsidRDefault="00DD7DB2" w:rsidP="00965856">
            <w:pPr>
              <w:ind w:left="144"/>
              <w:rPr>
                <w:szCs w:val="28"/>
              </w:rPr>
            </w:pPr>
            <w:r w:rsidRPr="000349EF">
              <w:rPr>
                <w:szCs w:val="28"/>
              </w:rPr>
              <w:t xml:space="preserve">Investigational </w:t>
            </w:r>
            <w:r w:rsidR="001C4C70" w:rsidRPr="000349EF">
              <w:rPr>
                <w:szCs w:val="28"/>
              </w:rPr>
              <w:t>p</w:t>
            </w:r>
            <w:r w:rsidRPr="000349EF">
              <w:rPr>
                <w:szCs w:val="28"/>
              </w:rPr>
              <w:t>roduct</w:t>
            </w:r>
          </w:p>
        </w:tc>
      </w:tr>
      <w:tr w:rsidR="0051166E" w:rsidRPr="000349EF" w14:paraId="65589D35" w14:textId="77777777" w:rsidTr="009629EC">
        <w:tc>
          <w:tcPr>
            <w:tcW w:w="1694" w:type="dxa"/>
          </w:tcPr>
          <w:p w14:paraId="401B3931" w14:textId="1393DE23" w:rsidR="0051166E" w:rsidRPr="000349EF" w:rsidRDefault="0051166E" w:rsidP="00965856">
            <w:pPr>
              <w:ind w:left="144"/>
              <w:rPr>
                <w:szCs w:val="28"/>
              </w:rPr>
            </w:pPr>
            <w:r w:rsidRPr="000349EF">
              <w:t>LLOQ</w:t>
            </w:r>
          </w:p>
        </w:tc>
        <w:tc>
          <w:tcPr>
            <w:tcW w:w="6660" w:type="dxa"/>
          </w:tcPr>
          <w:p w14:paraId="6F6DE0DE" w14:textId="2ABD9D10" w:rsidR="0051166E" w:rsidRPr="000349EF" w:rsidRDefault="0051166E" w:rsidP="00965856">
            <w:pPr>
              <w:ind w:left="144"/>
              <w:rPr>
                <w:szCs w:val="28"/>
              </w:rPr>
            </w:pPr>
            <w:r w:rsidRPr="000349EF">
              <w:t>Lower limit of quantification</w:t>
            </w:r>
          </w:p>
        </w:tc>
      </w:tr>
      <w:tr w:rsidR="0051166E" w:rsidRPr="000349EF" w14:paraId="6EEAD349" w14:textId="77777777" w:rsidTr="009629EC">
        <w:tc>
          <w:tcPr>
            <w:tcW w:w="1694" w:type="dxa"/>
          </w:tcPr>
          <w:p w14:paraId="5D8AD9BC" w14:textId="41B87F12" w:rsidR="0051166E" w:rsidRPr="000349EF" w:rsidRDefault="0051166E" w:rsidP="00965856">
            <w:pPr>
              <w:ind w:left="144"/>
            </w:pPr>
            <w:r w:rsidRPr="000349EF">
              <w:t>MAAE</w:t>
            </w:r>
          </w:p>
        </w:tc>
        <w:tc>
          <w:tcPr>
            <w:tcW w:w="6660" w:type="dxa"/>
          </w:tcPr>
          <w:p w14:paraId="32CFF4B0" w14:textId="5DEFB093" w:rsidR="0051166E" w:rsidRPr="000349EF" w:rsidRDefault="0051166E" w:rsidP="00965856">
            <w:pPr>
              <w:ind w:left="144"/>
            </w:pPr>
            <w:r w:rsidRPr="000349EF">
              <w:t>Medically attended adverse event</w:t>
            </w:r>
          </w:p>
        </w:tc>
      </w:tr>
      <w:tr w:rsidR="0051166E" w:rsidRPr="000349EF" w14:paraId="345EBC4F" w14:textId="77777777" w:rsidTr="009629EC">
        <w:tc>
          <w:tcPr>
            <w:tcW w:w="1694" w:type="dxa"/>
          </w:tcPr>
          <w:p w14:paraId="3A9773BD" w14:textId="316AFB31" w:rsidR="0051166E" w:rsidRPr="000349EF" w:rsidRDefault="0051166E" w:rsidP="00965856">
            <w:pPr>
              <w:ind w:left="144"/>
            </w:pPr>
            <w:r w:rsidRPr="000349EF">
              <w:t>MedDRA</w:t>
            </w:r>
          </w:p>
        </w:tc>
        <w:tc>
          <w:tcPr>
            <w:tcW w:w="6660" w:type="dxa"/>
          </w:tcPr>
          <w:p w14:paraId="5F3FF9CB" w14:textId="70334E21" w:rsidR="0051166E" w:rsidRPr="000349EF" w:rsidRDefault="0051166E" w:rsidP="00965856">
            <w:pPr>
              <w:ind w:left="144"/>
            </w:pPr>
            <w:r w:rsidRPr="000349EF">
              <w:t>Medical Dictionary for Regulatory Activities</w:t>
            </w:r>
          </w:p>
        </w:tc>
      </w:tr>
      <w:tr w:rsidR="0051166E" w:rsidRPr="000349EF" w14:paraId="2D6D463A" w14:textId="77777777" w:rsidTr="009629EC">
        <w:tc>
          <w:tcPr>
            <w:tcW w:w="1694" w:type="dxa"/>
          </w:tcPr>
          <w:p w14:paraId="54B34C4E" w14:textId="542BDB3D" w:rsidR="0051166E" w:rsidRPr="000349EF" w:rsidRDefault="0051166E" w:rsidP="00965856">
            <w:pPr>
              <w:ind w:left="144"/>
            </w:pPr>
            <w:r w:rsidRPr="000349EF">
              <w:t>MIS-C</w:t>
            </w:r>
          </w:p>
        </w:tc>
        <w:tc>
          <w:tcPr>
            <w:tcW w:w="6660" w:type="dxa"/>
          </w:tcPr>
          <w:p w14:paraId="7D8333F5" w14:textId="31868788" w:rsidR="0051166E" w:rsidRPr="000349EF" w:rsidRDefault="0051166E" w:rsidP="00965856">
            <w:pPr>
              <w:ind w:left="144"/>
            </w:pPr>
            <w:r w:rsidRPr="000349EF">
              <w:t>Multisystem inflammatory syndrome in children</w:t>
            </w:r>
          </w:p>
        </w:tc>
      </w:tr>
      <w:tr w:rsidR="0051166E" w:rsidRPr="000349EF" w14:paraId="374F69D6" w14:textId="77777777" w:rsidTr="009629EC">
        <w:tc>
          <w:tcPr>
            <w:tcW w:w="1694" w:type="dxa"/>
          </w:tcPr>
          <w:p w14:paraId="32331DCD" w14:textId="45D74E4D" w:rsidR="0051166E" w:rsidRPr="000349EF" w:rsidRDefault="0051166E" w:rsidP="00965856">
            <w:pPr>
              <w:ind w:left="144"/>
            </w:pPr>
            <w:r w:rsidRPr="000349EF">
              <w:t>mITT</w:t>
            </w:r>
            <w:r w:rsidR="009B2147" w:rsidRPr="000349EF">
              <w:t>1</w:t>
            </w:r>
          </w:p>
        </w:tc>
        <w:tc>
          <w:tcPr>
            <w:tcW w:w="6660" w:type="dxa"/>
          </w:tcPr>
          <w:p w14:paraId="6E0B01C2" w14:textId="10505BBC" w:rsidR="0051166E" w:rsidRPr="000349EF" w:rsidRDefault="0051166E" w:rsidP="00965856">
            <w:pPr>
              <w:ind w:left="144"/>
            </w:pPr>
            <w:bookmarkStart w:id="9" w:name="_Hlk90919075"/>
            <w:r w:rsidRPr="000349EF">
              <w:t>Modified intent-to-treat</w:t>
            </w:r>
            <w:bookmarkEnd w:id="9"/>
            <w:r w:rsidR="009B2147" w:rsidRPr="000349EF">
              <w:t> 1</w:t>
            </w:r>
          </w:p>
        </w:tc>
      </w:tr>
      <w:tr w:rsidR="0051166E" w:rsidRPr="000349EF" w14:paraId="383918D5" w14:textId="77777777" w:rsidTr="009629EC">
        <w:tc>
          <w:tcPr>
            <w:tcW w:w="1694" w:type="dxa"/>
          </w:tcPr>
          <w:p w14:paraId="75A695C1" w14:textId="017A798D" w:rsidR="0051166E" w:rsidRPr="000349EF" w:rsidRDefault="0051166E" w:rsidP="00965856">
            <w:pPr>
              <w:ind w:left="144"/>
            </w:pPr>
            <w:r w:rsidRPr="000349EF">
              <w:t>mRNA</w:t>
            </w:r>
          </w:p>
        </w:tc>
        <w:tc>
          <w:tcPr>
            <w:tcW w:w="6660" w:type="dxa"/>
          </w:tcPr>
          <w:p w14:paraId="12CC071A" w14:textId="5295C55A" w:rsidR="0051166E" w:rsidRPr="000349EF" w:rsidRDefault="0051166E" w:rsidP="00965856">
            <w:pPr>
              <w:ind w:left="144"/>
            </w:pPr>
            <w:r w:rsidRPr="000349EF">
              <w:t>Messenger ribonucleic acid</w:t>
            </w:r>
          </w:p>
        </w:tc>
      </w:tr>
      <w:tr w:rsidR="0051166E" w:rsidRPr="000349EF" w14:paraId="6E41EA2B" w14:textId="77777777" w:rsidTr="009629EC">
        <w:tc>
          <w:tcPr>
            <w:tcW w:w="1694" w:type="dxa"/>
          </w:tcPr>
          <w:p w14:paraId="5DA4A48C" w14:textId="71C15939" w:rsidR="0051166E" w:rsidRPr="000349EF" w:rsidRDefault="0051166E" w:rsidP="00965856">
            <w:pPr>
              <w:ind w:left="144"/>
            </w:pPr>
            <w:r w:rsidRPr="000349EF">
              <w:t>mRNA-1273</w:t>
            </w:r>
          </w:p>
        </w:tc>
        <w:tc>
          <w:tcPr>
            <w:tcW w:w="6660" w:type="dxa"/>
          </w:tcPr>
          <w:p w14:paraId="10497CB5" w14:textId="4F4DC5EB" w:rsidR="0051166E" w:rsidRPr="000349EF" w:rsidRDefault="0051166E" w:rsidP="00965856">
            <w:pPr>
              <w:ind w:left="144"/>
            </w:pPr>
            <w:r w:rsidRPr="000349EF">
              <w:t>Spikevax (elasomeran) COVID-19 vaccine drug development</w:t>
            </w:r>
            <w:r w:rsidR="007D2188" w:rsidRPr="000349EF">
              <w:t xml:space="preserve"> </w:t>
            </w:r>
            <w:r w:rsidRPr="000349EF">
              <w:t>name</w:t>
            </w:r>
          </w:p>
        </w:tc>
      </w:tr>
      <w:tr w:rsidR="0051166E" w:rsidRPr="000349EF" w14:paraId="1F4F0843" w14:textId="77777777" w:rsidTr="009629EC">
        <w:tc>
          <w:tcPr>
            <w:tcW w:w="1694" w:type="dxa"/>
          </w:tcPr>
          <w:p w14:paraId="3DF984DB" w14:textId="35FCABD0" w:rsidR="0051166E" w:rsidRPr="000349EF" w:rsidRDefault="0051166E" w:rsidP="00965856">
            <w:pPr>
              <w:ind w:left="144"/>
            </w:pPr>
            <w:r w:rsidRPr="000349EF">
              <w:rPr>
                <w:szCs w:val="28"/>
              </w:rPr>
              <w:t>MSD</w:t>
            </w:r>
          </w:p>
        </w:tc>
        <w:tc>
          <w:tcPr>
            <w:tcW w:w="6660" w:type="dxa"/>
          </w:tcPr>
          <w:p w14:paraId="286AABD6" w14:textId="39580A41" w:rsidR="0051166E" w:rsidRPr="000349EF" w:rsidRDefault="0051166E" w:rsidP="00965856">
            <w:pPr>
              <w:ind w:left="144"/>
            </w:pPr>
            <w:r w:rsidRPr="000349EF">
              <w:rPr>
                <w:szCs w:val="28"/>
              </w:rPr>
              <w:t>Meso Scale Discovery</w:t>
            </w:r>
          </w:p>
        </w:tc>
      </w:tr>
      <w:tr w:rsidR="00377336" w:rsidRPr="000349EF" w14:paraId="2F57E57D" w14:textId="77777777" w:rsidTr="009629EC">
        <w:tc>
          <w:tcPr>
            <w:tcW w:w="1694" w:type="dxa"/>
          </w:tcPr>
          <w:p w14:paraId="26B79086" w14:textId="5A0BBC0F" w:rsidR="00377336" w:rsidRPr="000349EF" w:rsidRDefault="00377336" w:rsidP="00965856">
            <w:pPr>
              <w:ind w:left="144"/>
              <w:rPr>
                <w:szCs w:val="28"/>
              </w:rPr>
            </w:pPr>
            <w:r w:rsidRPr="000349EF">
              <w:rPr>
                <w:szCs w:val="28"/>
              </w:rPr>
              <w:t>N</w:t>
            </w:r>
          </w:p>
        </w:tc>
        <w:tc>
          <w:tcPr>
            <w:tcW w:w="6660" w:type="dxa"/>
          </w:tcPr>
          <w:p w14:paraId="6B3019BA" w14:textId="6C80FE2D" w:rsidR="00377336" w:rsidRPr="000349EF" w:rsidRDefault="00377336" w:rsidP="00965856">
            <w:pPr>
              <w:ind w:left="144"/>
              <w:rPr>
                <w:szCs w:val="28"/>
              </w:rPr>
            </w:pPr>
            <w:r w:rsidRPr="000349EF">
              <w:rPr>
                <w:szCs w:val="28"/>
              </w:rPr>
              <w:t>N-terminal</w:t>
            </w:r>
          </w:p>
        </w:tc>
      </w:tr>
      <w:tr w:rsidR="006D4C18" w:rsidRPr="000349EF" w14:paraId="295880C6" w14:textId="77777777" w:rsidTr="009629EC">
        <w:tc>
          <w:tcPr>
            <w:tcW w:w="1694" w:type="dxa"/>
          </w:tcPr>
          <w:p w14:paraId="7BF76F9B" w14:textId="03BAC80E" w:rsidR="006D4C18" w:rsidRPr="000349EF" w:rsidRDefault="006D4C18" w:rsidP="00965856">
            <w:pPr>
              <w:ind w:left="144"/>
              <w:rPr>
                <w:szCs w:val="28"/>
              </w:rPr>
            </w:pPr>
            <w:proofErr w:type="spellStart"/>
            <w:r w:rsidRPr="000349EF">
              <w:t>nAb</w:t>
            </w:r>
            <w:proofErr w:type="spellEnd"/>
          </w:p>
        </w:tc>
        <w:tc>
          <w:tcPr>
            <w:tcW w:w="6660" w:type="dxa"/>
          </w:tcPr>
          <w:p w14:paraId="5E8181AC" w14:textId="37DD92C9" w:rsidR="006D4C18" w:rsidRPr="000349EF" w:rsidRDefault="006D4C18" w:rsidP="00965856">
            <w:pPr>
              <w:ind w:left="144"/>
              <w:rPr>
                <w:szCs w:val="28"/>
              </w:rPr>
            </w:pPr>
            <w:r w:rsidRPr="000349EF">
              <w:t>Neutralising antibody</w:t>
            </w:r>
          </w:p>
        </w:tc>
      </w:tr>
      <w:tr w:rsidR="007D2188" w:rsidRPr="000349EF" w14:paraId="6B060052" w14:textId="77777777" w:rsidTr="009629EC">
        <w:tc>
          <w:tcPr>
            <w:tcW w:w="1694" w:type="dxa"/>
          </w:tcPr>
          <w:p w14:paraId="57C2C4CF" w14:textId="3576F86B" w:rsidR="007D2188" w:rsidRPr="000349EF" w:rsidRDefault="007D2188" w:rsidP="00965856">
            <w:pPr>
              <w:ind w:left="144"/>
            </w:pPr>
            <w:r w:rsidRPr="000349EF">
              <w:t>PEG</w:t>
            </w:r>
          </w:p>
        </w:tc>
        <w:tc>
          <w:tcPr>
            <w:tcW w:w="6660" w:type="dxa"/>
          </w:tcPr>
          <w:p w14:paraId="66050E64" w14:textId="31772B60" w:rsidR="007D2188" w:rsidRPr="000349EF" w:rsidRDefault="007D2188" w:rsidP="00965856">
            <w:pPr>
              <w:ind w:left="144"/>
            </w:pPr>
            <w:r w:rsidRPr="000349EF">
              <w:t>Polyethylene glycol</w:t>
            </w:r>
          </w:p>
        </w:tc>
      </w:tr>
      <w:tr w:rsidR="0051166E" w:rsidRPr="000349EF" w14:paraId="31D3FDEC" w14:textId="77777777" w:rsidTr="009629EC">
        <w:tc>
          <w:tcPr>
            <w:tcW w:w="1694" w:type="dxa"/>
          </w:tcPr>
          <w:p w14:paraId="45AC0E61" w14:textId="2CC106CD" w:rsidR="0051166E" w:rsidRPr="000349EF" w:rsidRDefault="0051166E" w:rsidP="00965856">
            <w:pPr>
              <w:ind w:left="144"/>
            </w:pPr>
            <w:r w:rsidRPr="000349EF">
              <w:t>PI</w:t>
            </w:r>
          </w:p>
        </w:tc>
        <w:tc>
          <w:tcPr>
            <w:tcW w:w="6660" w:type="dxa"/>
          </w:tcPr>
          <w:p w14:paraId="74B07DB8" w14:textId="042EA591" w:rsidR="0051166E" w:rsidRPr="000349EF" w:rsidRDefault="0051166E" w:rsidP="00965856">
            <w:pPr>
              <w:ind w:left="144"/>
            </w:pPr>
            <w:r w:rsidRPr="000349EF">
              <w:t>Product Information</w:t>
            </w:r>
          </w:p>
        </w:tc>
      </w:tr>
      <w:tr w:rsidR="009B5C29" w:rsidRPr="000349EF" w14:paraId="62BF94C2" w14:textId="77777777" w:rsidTr="00065165">
        <w:tc>
          <w:tcPr>
            <w:tcW w:w="1694" w:type="dxa"/>
          </w:tcPr>
          <w:p w14:paraId="7D4FA5BC" w14:textId="465B6719" w:rsidR="009B5C29" w:rsidRPr="000349EF" w:rsidRDefault="009B5C29" w:rsidP="00965856">
            <w:pPr>
              <w:ind w:left="144"/>
            </w:pPr>
            <w:r w:rsidRPr="000349EF">
              <w:t>PIMS-TS</w:t>
            </w:r>
          </w:p>
        </w:tc>
        <w:tc>
          <w:tcPr>
            <w:tcW w:w="6660" w:type="dxa"/>
          </w:tcPr>
          <w:p w14:paraId="73962969" w14:textId="44B453E8" w:rsidR="009B5C29" w:rsidRPr="000349EF" w:rsidRDefault="009B5C29" w:rsidP="00965856">
            <w:pPr>
              <w:ind w:left="144"/>
            </w:pPr>
            <w:r w:rsidRPr="000349EF">
              <w:t>Paediatric multisystem inflammatory syndrome - temporally associated with SARS-CoV-2</w:t>
            </w:r>
          </w:p>
        </w:tc>
      </w:tr>
      <w:tr w:rsidR="0051166E" w:rsidRPr="000349EF" w14:paraId="58E70178" w14:textId="77777777" w:rsidTr="009629EC">
        <w:tc>
          <w:tcPr>
            <w:tcW w:w="1694" w:type="dxa"/>
          </w:tcPr>
          <w:p w14:paraId="2940FC75" w14:textId="31303847" w:rsidR="0051166E" w:rsidRPr="000349EF" w:rsidRDefault="0051166E" w:rsidP="00965856">
            <w:pPr>
              <w:ind w:left="144"/>
            </w:pPr>
            <w:r w:rsidRPr="000349EF">
              <w:t>PP</w:t>
            </w:r>
          </w:p>
        </w:tc>
        <w:tc>
          <w:tcPr>
            <w:tcW w:w="6660" w:type="dxa"/>
          </w:tcPr>
          <w:p w14:paraId="3D21E8A6" w14:textId="21EBD3E9" w:rsidR="0051166E" w:rsidRPr="000349EF" w:rsidRDefault="0051166E" w:rsidP="00965856">
            <w:pPr>
              <w:ind w:left="144"/>
            </w:pPr>
            <w:bookmarkStart w:id="10" w:name="_Hlk94551339"/>
            <w:r w:rsidRPr="000349EF">
              <w:t>Per-protocol</w:t>
            </w:r>
            <w:bookmarkEnd w:id="10"/>
          </w:p>
        </w:tc>
      </w:tr>
      <w:tr w:rsidR="0051166E" w:rsidRPr="000349EF" w14:paraId="270C84EB" w14:textId="77777777" w:rsidTr="009629EC">
        <w:tc>
          <w:tcPr>
            <w:tcW w:w="1694" w:type="dxa"/>
          </w:tcPr>
          <w:p w14:paraId="1F59C341" w14:textId="2653E1EC" w:rsidR="0051166E" w:rsidRPr="000349EF" w:rsidRDefault="0051166E" w:rsidP="00965856">
            <w:pPr>
              <w:ind w:left="144"/>
            </w:pPr>
            <w:r w:rsidRPr="000349EF">
              <w:t>PT</w:t>
            </w:r>
          </w:p>
        </w:tc>
        <w:tc>
          <w:tcPr>
            <w:tcW w:w="6660" w:type="dxa"/>
          </w:tcPr>
          <w:p w14:paraId="51A44C36" w14:textId="7B0ED733" w:rsidR="0051166E" w:rsidRPr="000349EF" w:rsidRDefault="0051166E" w:rsidP="00965856">
            <w:pPr>
              <w:ind w:left="144"/>
            </w:pPr>
            <w:r w:rsidRPr="000349EF">
              <w:t>Preferred Term</w:t>
            </w:r>
          </w:p>
        </w:tc>
      </w:tr>
      <w:tr w:rsidR="00715E59" w:rsidRPr="000349EF" w14:paraId="1BBFB5A0" w14:textId="77777777" w:rsidTr="00065165">
        <w:tc>
          <w:tcPr>
            <w:tcW w:w="1694" w:type="dxa"/>
          </w:tcPr>
          <w:p w14:paraId="67D48295" w14:textId="452B4A34" w:rsidR="00715E59" w:rsidRPr="000349EF" w:rsidRDefault="00715E59" w:rsidP="00965856">
            <w:pPr>
              <w:ind w:left="144"/>
            </w:pPr>
            <w:r w:rsidRPr="000349EF">
              <w:t>PSUR</w:t>
            </w:r>
          </w:p>
        </w:tc>
        <w:tc>
          <w:tcPr>
            <w:tcW w:w="6660" w:type="dxa"/>
          </w:tcPr>
          <w:p w14:paraId="5EA28470" w14:textId="4C98E3A1" w:rsidR="00715E59" w:rsidRPr="000349EF" w:rsidRDefault="00715E59" w:rsidP="00965856">
            <w:pPr>
              <w:ind w:left="144"/>
            </w:pPr>
            <w:r w:rsidRPr="000349EF">
              <w:t>Periodic safety update report</w:t>
            </w:r>
          </w:p>
        </w:tc>
      </w:tr>
      <w:tr w:rsidR="0051166E" w:rsidRPr="000349EF" w14:paraId="76FCE9FD" w14:textId="77777777" w:rsidTr="009629EC">
        <w:tc>
          <w:tcPr>
            <w:tcW w:w="1694" w:type="dxa"/>
          </w:tcPr>
          <w:p w14:paraId="734C8E75" w14:textId="5FA98EBC" w:rsidR="0051166E" w:rsidRPr="000349EF" w:rsidRDefault="0051166E" w:rsidP="00965856">
            <w:pPr>
              <w:ind w:left="144"/>
            </w:pPr>
            <w:proofErr w:type="spellStart"/>
            <w:r w:rsidRPr="000349EF">
              <w:t>PsVNA</w:t>
            </w:r>
            <w:proofErr w:type="spellEnd"/>
          </w:p>
        </w:tc>
        <w:tc>
          <w:tcPr>
            <w:tcW w:w="6660" w:type="dxa"/>
          </w:tcPr>
          <w:p w14:paraId="5B020168" w14:textId="06D5BE02" w:rsidR="0051166E" w:rsidRPr="000349EF" w:rsidRDefault="0051166E" w:rsidP="00965856">
            <w:pPr>
              <w:ind w:left="144"/>
            </w:pPr>
            <w:proofErr w:type="spellStart"/>
            <w:r w:rsidRPr="000349EF">
              <w:t>Pseudotyped</w:t>
            </w:r>
            <w:proofErr w:type="spellEnd"/>
            <w:r w:rsidRPr="000349EF">
              <w:t xml:space="preserve"> virus neutralisation assay</w:t>
            </w:r>
          </w:p>
        </w:tc>
      </w:tr>
      <w:tr w:rsidR="007E0AF7" w:rsidRPr="000349EF" w14:paraId="5CD895FD" w14:textId="77777777" w:rsidTr="009629EC">
        <w:tc>
          <w:tcPr>
            <w:tcW w:w="1694" w:type="dxa"/>
          </w:tcPr>
          <w:p w14:paraId="6D09195A" w14:textId="026D1FD6" w:rsidR="007E0AF7" w:rsidRPr="000349EF" w:rsidRDefault="007E0AF7" w:rsidP="00965856">
            <w:pPr>
              <w:ind w:left="144"/>
            </w:pPr>
            <w:r w:rsidRPr="000349EF">
              <w:lastRenderedPageBreak/>
              <w:t>PRAC</w:t>
            </w:r>
          </w:p>
        </w:tc>
        <w:tc>
          <w:tcPr>
            <w:tcW w:w="6660" w:type="dxa"/>
          </w:tcPr>
          <w:p w14:paraId="111E9220" w14:textId="6C0395FC" w:rsidR="007E0AF7" w:rsidRPr="000349EF" w:rsidRDefault="007E0AF7" w:rsidP="00965856">
            <w:pPr>
              <w:ind w:left="144"/>
            </w:pPr>
            <w:r w:rsidRPr="000349EF">
              <w:t>Pharmacovigilance Risk Assessment Committee (European</w:t>
            </w:r>
            <w:r w:rsidR="001C4C70" w:rsidRPr="000349EF">
              <w:t> </w:t>
            </w:r>
            <w:r w:rsidRPr="000349EF">
              <w:t>Union)</w:t>
            </w:r>
          </w:p>
        </w:tc>
      </w:tr>
      <w:tr w:rsidR="00377336" w:rsidRPr="000349EF" w14:paraId="2D14DF3F" w14:textId="77777777" w:rsidTr="009629EC">
        <w:tc>
          <w:tcPr>
            <w:tcW w:w="1694" w:type="dxa"/>
          </w:tcPr>
          <w:p w14:paraId="7343EEA0" w14:textId="2107C940" w:rsidR="00377336" w:rsidRPr="000349EF" w:rsidRDefault="00377336" w:rsidP="00965856">
            <w:pPr>
              <w:ind w:left="144"/>
            </w:pPr>
            <w:r w:rsidRPr="000349EF">
              <w:rPr>
                <w:szCs w:val="28"/>
              </w:rPr>
              <w:t>RBD</w:t>
            </w:r>
          </w:p>
        </w:tc>
        <w:tc>
          <w:tcPr>
            <w:tcW w:w="6660" w:type="dxa"/>
          </w:tcPr>
          <w:p w14:paraId="10266C49" w14:textId="22034625" w:rsidR="00377336" w:rsidRPr="000349EF" w:rsidRDefault="00377336" w:rsidP="00965856">
            <w:pPr>
              <w:ind w:left="144"/>
            </w:pPr>
            <w:r w:rsidRPr="000349EF">
              <w:rPr>
                <w:szCs w:val="28"/>
              </w:rPr>
              <w:t>Receptor binding domain</w:t>
            </w:r>
          </w:p>
        </w:tc>
      </w:tr>
      <w:tr w:rsidR="00065E3F" w:rsidRPr="000349EF" w14:paraId="1E72F0E6" w14:textId="77777777" w:rsidTr="00065165">
        <w:tc>
          <w:tcPr>
            <w:tcW w:w="1694" w:type="dxa"/>
          </w:tcPr>
          <w:p w14:paraId="2320C20D" w14:textId="3AF0865C" w:rsidR="00065E3F" w:rsidRPr="000349EF" w:rsidRDefault="00065E3F" w:rsidP="00965856">
            <w:pPr>
              <w:ind w:left="144"/>
              <w:rPr>
                <w:szCs w:val="28"/>
              </w:rPr>
            </w:pPr>
            <w:r w:rsidRPr="000349EF">
              <w:t>RMP</w:t>
            </w:r>
          </w:p>
        </w:tc>
        <w:tc>
          <w:tcPr>
            <w:tcW w:w="6660" w:type="dxa"/>
          </w:tcPr>
          <w:p w14:paraId="3AC12345" w14:textId="7093668D" w:rsidR="00065E3F" w:rsidRPr="000349EF" w:rsidRDefault="00065E3F" w:rsidP="00965856">
            <w:pPr>
              <w:ind w:left="144"/>
              <w:rPr>
                <w:szCs w:val="28"/>
              </w:rPr>
            </w:pPr>
            <w:r w:rsidRPr="000349EF">
              <w:t>Risk management plan</w:t>
            </w:r>
          </w:p>
        </w:tc>
      </w:tr>
      <w:tr w:rsidR="0051166E" w:rsidRPr="000349EF" w14:paraId="5AA66933" w14:textId="77777777" w:rsidTr="009629EC">
        <w:tc>
          <w:tcPr>
            <w:tcW w:w="1694" w:type="dxa"/>
          </w:tcPr>
          <w:p w14:paraId="50C8FB40" w14:textId="3D1EAE4E" w:rsidR="0051166E" w:rsidRPr="000349EF" w:rsidRDefault="0051166E" w:rsidP="00965856">
            <w:pPr>
              <w:ind w:left="144"/>
            </w:pPr>
            <w:r w:rsidRPr="000349EF">
              <w:t>RT-PCR</w:t>
            </w:r>
          </w:p>
        </w:tc>
        <w:tc>
          <w:tcPr>
            <w:tcW w:w="6660" w:type="dxa"/>
          </w:tcPr>
          <w:p w14:paraId="495B9D17" w14:textId="4E8AE4B3" w:rsidR="0051166E" w:rsidRPr="000349EF" w:rsidRDefault="0051166E" w:rsidP="00965856">
            <w:pPr>
              <w:ind w:left="144"/>
            </w:pPr>
            <w:bookmarkStart w:id="11" w:name="_Hlk80801579"/>
            <w:r w:rsidRPr="000349EF">
              <w:t>Reverse transcription</w:t>
            </w:r>
            <w:r w:rsidR="001C4C70" w:rsidRPr="000349EF">
              <w:t>-</w:t>
            </w:r>
            <w:r w:rsidRPr="000349EF">
              <w:t>polymerase chain reaction</w:t>
            </w:r>
            <w:bookmarkEnd w:id="11"/>
          </w:p>
        </w:tc>
      </w:tr>
      <w:tr w:rsidR="00377336" w:rsidRPr="000349EF" w14:paraId="6A198AAF" w14:textId="77777777" w:rsidTr="009629EC">
        <w:tc>
          <w:tcPr>
            <w:tcW w:w="1694" w:type="dxa"/>
          </w:tcPr>
          <w:p w14:paraId="5C8D0EED" w14:textId="70EA4FEF" w:rsidR="00377336" w:rsidRPr="000349EF" w:rsidRDefault="00377336" w:rsidP="00965856">
            <w:pPr>
              <w:ind w:left="144"/>
            </w:pPr>
            <w:r w:rsidRPr="000349EF">
              <w:t>S</w:t>
            </w:r>
          </w:p>
        </w:tc>
        <w:tc>
          <w:tcPr>
            <w:tcW w:w="6660" w:type="dxa"/>
          </w:tcPr>
          <w:p w14:paraId="2A8276EF" w14:textId="3ADDC505" w:rsidR="00377336" w:rsidRPr="000349EF" w:rsidRDefault="00377336" w:rsidP="00965856">
            <w:pPr>
              <w:ind w:left="144"/>
            </w:pPr>
            <w:r w:rsidRPr="000349EF">
              <w:t>Spike</w:t>
            </w:r>
          </w:p>
        </w:tc>
      </w:tr>
      <w:tr w:rsidR="0051166E" w:rsidRPr="000349EF" w14:paraId="0238F2FB" w14:textId="77777777" w:rsidTr="009629EC">
        <w:tc>
          <w:tcPr>
            <w:tcW w:w="1694" w:type="dxa"/>
          </w:tcPr>
          <w:p w14:paraId="0C8D5451" w14:textId="5DCE34E3" w:rsidR="0051166E" w:rsidRPr="000349EF" w:rsidRDefault="0051166E" w:rsidP="00965856">
            <w:pPr>
              <w:ind w:left="144"/>
            </w:pPr>
            <w:r w:rsidRPr="000349EF">
              <w:t>SAE</w:t>
            </w:r>
          </w:p>
        </w:tc>
        <w:tc>
          <w:tcPr>
            <w:tcW w:w="6660" w:type="dxa"/>
          </w:tcPr>
          <w:p w14:paraId="24E8635F" w14:textId="4ACFE107" w:rsidR="0051166E" w:rsidRPr="000349EF" w:rsidRDefault="0051166E" w:rsidP="00965856">
            <w:pPr>
              <w:ind w:left="144"/>
            </w:pPr>
            <w:r w:rsidRPr="000349EF">
              <w:t>Serious adverse event</w:t>
            </w:r>
          </w:p>
        </w:tc>
      </w:tr>
      <w:tr w:rsidR="007156F1" w:rsidRPr="000349EF" w14:paraId="16207277" w14:textId="77777777" w:rsidTr="009629EC">
        <w:tc>
          <w:tcPr>
            <w:tcW w:w="1694" w:type="dxa"/>
          </w:tcPr>
          <w:p w14:paraId="1D5DC342" w14:textId="071F3956" w:rsidR="007156F1" w:rsidRPr="000349EF" w:rsidRDefault="007156F1" w:rsidP="00965856">
            <w:pPr>
              <w:ind w:left="144"/>
            </w:pPr>
            <w:r w:rsidRPr="000349EF">
              <w:t>SAP</w:t>
            </w:r>
          </w:p>
        </w:tc>
        <w:tc>
          <w:tcPr>
            <w:tcW w:w="6660" w:type="dxa"/>
          </w:tcPr>
          <w:p w14:paraId="31188E86" w14:textId="41747ADF" w:rsidR="007156F1" w:rsidRPr="000349EF" w:rsidRDefault="007156F1" w:rsidP="00965856">
            <w:pPr>
              <w:ind w:left="144"/>
            </w:pPr>
            <w:r w:rsidRPr="000349EF">
              <w:t>Statistical analys</w:t>
            </w:r>
            <w:r w:rsidR="001C4C70" w:rsidRPr="000349EF">
              <w:t>is</w:t>
            </w:r>
            <w:r w:rsidRPr="000349EF">
              <w:t xml:space="preserve"> plan</w:t>
            </w:r>
          </w:p>
        </w:tc>
      </w:tr>
      <w:tr w:rsidR="0051166E" w:rsidRPr="000349EF" w14:paraId="34F43D7C" w14:textId="77777777" w:rsidTr="009629EC">
        <w:tc>
          <w:tcPr>
            <w:tcW w:w="1694" w:type="dxa"/>
          </w:tcPr>
          <w:p w14:paraId="310569B4" w14:textId="18E79724" w:rsidR="0051166E" w:rsidRPr="000349EF" w:rsidRDefault="0051166E" w:rsidP="00965856">
            <w:pPr>
              <w:ind w:left="144"/>
            </w:pPr>
            <w:r w:rsidRPr="000349EF">
              <w:t>SARS-CoV-2</w:t>
            </w:r>
          </w:p>
        </w:tc>
        <w:tc>
          <w:tcPr>
            <w:tcW w:w="6660" w:type="dxa"/>
          </w:tcPr>
          <w:p w14:paraId="37B4FA54" w14:textId="079DF26F" w:rsidR="0051166E" w:rsidRPr="000349EF" w:rsidRDefault="0051166E" w:rsidP="00965856">
            <w:pPr>
              <w:ind w:left="144"/>
            </w:pPr>
            <w:r w:rsidRPr="000349EF">
              <w:t>Severe acute respiratory syndrome coronavirus 2</w:t>
            </w:r>
          </w:p>
        </w:tc>
      </w:tr>
      <w:tr w:rsidR="006C7349" w:rsidRPr="000349EF" w14:paraId="7C33B877" w14:textId="77777777" w:rsidTr="009629EC">
        <w:tc>
          <w:tcPr>
            <w:tcW w:w="1694" w:type="dxa"/>
          </w:tcPr>
          <w:p w14:paraId="09701C1B" w14:textId="268B946E" w:rsidR="006C7349" w:rsidRPr="000349EF" w:rsidRDefault="006C7349" w:rsidP="00965856">
            <w:pPr>
              <w:ind w:left="144"/>
            </w:pPr>
            <w:r w:rsidRPr="000349EF">
              <w:t>SFU</w:t>
            </w:r>
          </w:p>
        </w:tc>
        <w:tc>
          <w:tcPr>
            <w:tcW w:w="6660" w:type="dxa"/>
          </w:tcPr>
          <w:p w14:paraId="2CF2DDCC" w14:textId="0FEC98C0" w:rsidR="006C7349" w:rsidRPr="000349EF" w:rsidRDefault="006C7349" w:rsidP="00965856">
            <w:pPr>
              <w:ind w:left="144"/>
            </w:pPr>
            <w:r w:rsidRPr="000349EF">
              <w:t>Spot-forming units</w:t>
            </w:r>
          </w:p>
        </w:tc>
      </w:tr>
      <w:tr w:rsidR="00D750D0" w:rsidRPr="000349EF" w14:paraId="58C691A3" w14:textId="77777777" w:rsidTr="009629EC">
        <w:tc>
          <w:tcPr>
            <w:tcW w:w="1694" w:type="dxa"/>
          </w:tcPr>
          <w:p w14:paraId="19A38140" w14:textId="1969586E" w:rsidR="00D750D0" w:rsidRPr="000349EF" w:rsidRDefault="00D750D0" w:rsidP="00965856">
            <w:pPr>
              <w:ind w:left="144"/>
            </w:pPr>
            <w:r w:rsidRPr="000349EF">
              <w:t>SMQ</w:t>
            </w:r>
          </w:p>
        </w:tc>
        <w:tc>
          <w:tcPr>
            <w:tcW w:w="6660" w:type="dxa"/>
          </w:tcPr>
          <w:p w14:paraId="30A22DDF" w14:textId="6030E5D0" w:rsidR="00D750D0" w:rsidRPr="000349EF" w:rsidRDefault="00D750D0" w:rsidP="00965856">
            <w:pPr>
              <w:ind w:left="144"/>
            </w:pPr>
            <w:r w:rsidRPr="000349EF">
              <w:t>Standardised Medical Dictionary for Regulatory Activities Queries</w:t>
            </w:r>
          </w:p>
        </w:tc>
      </w:tr>
      <w:tr w:rsidR="0051166E" w:rsidRPr="000349EF" w14:paraId="43FBABBD" w14:textId="77777777" w:rsidTr="009629EC">
        <w:tc>
          <w:tcPr>
            <w:tcW w:w="1694" w:type="dxa"/>
          </w:tcPr>
          <w:p w14:paraId="171B3A56" w14:textId="28F858B0" w:rsidR="0051166E" w:rsidRPr="000349EF" w:rsidRDefault="0051166E" w:rsidP="00965856">
            <w:pPr>
              <w:ind w:left="144"/>
            </w:pPr>
            <w:r w:rsidRPr="000349EF">
              <w:t>SOC</w:t>
            </w:r>
          </w:p>
        </w:tc>
        <w:tc>
          <w:tcPr>
            <w:tcW w:w="6660" w:type="dxa"/>
          </w:tcPr>
          <w:p w14:paraId="0A99A92C" w14:textId="5A6F2869" w:rsidR="0051166E" w:rsidRPr="000349EF" w:rsidRDefault="0051166E" w:rsidP="00965856">
            <w:pPr>
              <w:ind w:left="144"/>
            </w:pPr>
            <w:r w:rsidRPr="000349EF">
              <w:t>System Organ Class</w:t>
            </w:r>
          </w:p>
        </w:tc>
      </w:tr>
      <w:tr w:rsidR="00F53E66" w:rsidRPr="000349EF" w14:paraId="3449311A" w14:textId="77777777" w:rsidTr="009629EC">
        <w:tc>
          <w:tcPr>
            <w:tcW w:w="1694" w:type="dxa"/>
          </w:tcPr>
          <w:p w14:paraId="45B2392E" w14:textId="715DECB9" w:rsidR="00F53E66" w:rsidRPr="000349EF" w:rsidRDefault="00F53E66" w:rsidP="00965856">
            <w:pPr>
              <w:ind w:left="144"/>
            </w:pPr>
            <w:r w:rsidRPr="000349EF">
              <w:t>SRR</w:t>
            </w:r>
          </w:p>
        </w:tc>
        <w:tc>
          <w:tcPr>
            <w:tcW w:w="6660" w:type="dxa"/>
          </w:tcPr>
          <w:p w14:paraId="614878A5" w14:textId="4BC06B56" w:rsidR="00F53E66" w:rsidRPr="000349EF" w:rsidRDefault="00F53E66" w:rsidP="00965856">
            <w:pPr>
              <w:ind w:left="144"/>
            </w:pPr>
            <w:r w:rsidRPr="000349EF">
              <w:t>Seroresponse rate</w:t>
            </w:r>
          </w:p>
        </w:tc>
      </w:tr>
      <w:tr w:rsidR="0051166E" w:rsidRPr="000349EF" w14:paraId="4050F419" w14:textId="77777777" w:rsidTr="009629EC">
        <w:tc>
          <w:tcPr>
            <w:tcW w:w="1694" w:type="dxa"/>
          </w:tcPr>
          <w:p w14:paraId="2B9424B1" w14:textId="7CB13EB7" w:rsidR="0051166E" w:rsidRPr="000349EF" w:rsidRDefault="0051166E" w:rsidP="00965856">
            <w:pPr>
              <w:ind w:left="144"/>
            </w:pPr>
            <w:r w:rsidRPr="000349EF">
              <w:t>Study P203</w:t>
            </w:r>
          </w:p>
        </w:tc>
        <w:tc>
          <w:tcPr>
            <w:tcW w:w="6660" w:type="dxa"/>
          </w:tcPr>
          <w:p w14:paraId="6D506574" w14:textId="36BFF84E" w:rsidR="0051166E" w:rsidRPr="000349EF" w:rsidRDefault="0051166E" w:rsidP="00965856">
            <w:pPr>
              <w:ind w:left="144"/>
            </w:pPr>
            <w:r w:rsidRPr="000349EF">
              <w:t>Study mRNA-1273-P203</w:t>
            </w:r>
          </w:p>
        </w:tc>
      </w:tr>
      <w:tr w:rsidR="00537B3C" w:rsidRPr="000349EF" w14:paraId="6ECBC05D" w14:textId="77777777" w:rsidTr="009629EC">
        <w:tc>
          <w:tcPr>
            <w:tcW w:w="1694" w:type="dxa"/>
          </w:tcPr>
          <w:p w14:paraId="5E9AEED8" w14:textId="790CDC37" w:rsidR="00537B3C" w:rsidRPr="000349EF" w:rsidRDefault="00537B3C" w:rsidP="00965856">
            <w:pPr>
              <w:ind w:left="144"/>
            </w:pPr>
            <w:r w:rsidRPr="000349EF">
              <w:t>Study P204</w:t>
            </w:r>
          </w:p>
        </w:tc>
        <w:tc>
          <w:tcPr>
            <w:tcW w:w="6660" w:type="dxa"/>
          </w:tcPr>
          <w:p w14:paraId="78C9BFB0" w14:textId="3CDCE57C" w:rsidR="00537B3C" w:rsidRPr="000349EF" w:rsidRDefault="00537B3C" w:rsidP="00965856">
            <w:pPr>
              <w:ind w:left="144"/>
            </w:pPr>
            <w:r w:rsidRPr="000349EF">
              <w:t>Study mRNA-1273-P204</w:t>
            </w:r>
          </w:p>
        </w:tc>
      </w:tr>
      <w:tr w:rsidR="0051166E" w:rsidRPr="000349EF" w14:paraId="04FE41AC" w14:textId="77777777" w:rsidTr="009629EC">
        <w:tc>
          <w:tcPr>
            <w:tcW w:w="1694" w:type="dxa"/>
          </w:tcPr>
          <w:p w14:paraId="6BAB0428" w14:textId="292A1CE2" w:rsidR="0051166E" w:rsidRPr="000349EF" w:rsidRDefault="0051166E" w:rsidP="00965856">
            <w:pPr>
              <w:ind w:left="144"/>
            </w:pPr>
            <w:r w:rsidRPr="000349EF">
              <w:t>Study P301</w:t>
            </w:r>
          </w:p>
        </w:tc>
        <w:tc>
          <w:tcPr>
            <w:tcW w:w="6660" w:type="dxa"/>
          </w:tcPr>
          <w:p w14:paraId="1ACB5165" w14:textId="4FA2C2D2" w:rsidR="0051166E" w:rsidRPr="000349EF" w:rsidRDefault="0051166E" w:rsidP="00965856">
            <w:pPr>
              <w:ind w:left="144"/>
            </w:pPr>
            <w:r w:rsidRPr="000349EF">
              <w:t>Study mRNA-1273-P301</w:t>
            </w:r>
          </w:p>
        </w:tc>
      </w:tr>
      <w:tr w:rsidR="0051166E" w:rsidRPr="000349EF" w14:paraId="54D23236" w14:textId="77777777" w:rsidTr="009629EC">
        <w:tc>
          <w:tcPr>
            <w:tcW w:w="1694" w:type="dxa"/>
          </w:tcPr>
          <w:p w14:paraId="20507DB0" w14:textId="1EDD2A4B" w:rsidR="0051166E" w:rsidRPr="000349EF" w:rsidRDefault="0051166E" w:rsidP="00965856">
            <w:pPr>
              <w:ind w:left="144"/>
            </w:pPr>
            <w:r w:rsidRPr="000349EF">
              <w:t>TEAE</w:t>
            </w:r>
          </w:p>
        </w:tc>
        <w:tc>
          <w:tcPr>
            <w:tcW w:w="6660" w:type="dxa"/>
          </w:tcPr>
          <w:p w14:paraId="4AF28481" w14:textId="25AC4F92" w:rsidR="0051166E" w:rsidRPr="000349EF" w:rsidRDefault="0051166E" w:rsidP="00965856">
            <w:pPr>
              <w:ind w:left="144"/>
            </w:pPr>
            <w:r w:rsidRPr="000349EF">
              <w:t>Treatment emergent adverse event</w:t>
            </w:r>
          </w:p>
        </w:tc>
      </w:tr>
      <w:tr w:rsidR="004E2AA6" w:rsidRPr="000349EF" w14:paraId="2AA1038A" w14:textId="77777777" w:rsidTr="009629EC">
        <w:tc>
          <w:tcPr>
            <w:tcW w:w="1694" w:type="dxa"/>
          </w:tcPr>
          <w:p w14:paraId="5D308BB7" w14:textId="6C0A0E0B" w:rsidR="004E2AA6" w:rsidRPr="000349EF" w:rsidRDefault="004E2AA6" w:rsidP="00965856">
            <w:pPr>
              <w:ind w:left="144"/>
            </w:pPr>
            <w:r w:rsidRPr="000349EF">
              <w:t>TGA</w:t>
            </w:r>
          </w:p>
        </w:tc>
        <w:tc>
          <w:tcPr>
            <w:tcW w:w="6660" w:type="dxa"/>
          </w:tcPr>
          <w:p w14:paraId="2A6CCA7E" w14:textId="5B5DEC04" w:rsidR="004E2AA6" w:rsidRPr="000349EF" w:rsidRDefault="004E2AA6" w:rsidP="00965856">
            <w:pPr>
              <w:ind w:left="144"/>
            </w:pPr>
            <w:r w:rsidRPr="000349EF">
              <w:t>Therapeutic Goods Administration</w:t>
            </w:r>
          </w:p>
        </w:tc>
      </w:tr>
      <w:tr w:rsidR="0051166E" w:rsidRPr="000349EF" w14:paraId="568D9A2F" w14:textId="77777777" w:rsidTr="009629EC">
        <w:tc>
          <w:tcPr>
            <w:tcW w:w="1694" w:type="dxa"/>
          </w:tcPr>
          <w:p w14:paraId="157A8F15" w14:textId="1160D69E" w:rsidR="0051166E" w:rsidRPr="000349EF" w:rsidRDefault="0051166E" w:rsidP="00965856">
            <w:pPr>
              <w:ind w:left="144"/>
            </w:pPr>
            <w:r w:rsidRPr="000349EF">
              <w:t>US(A)</w:t>
            </w:r>
          </w:p>
        </w:tc>
        <w:tc>
          <w:tcPr>
            <w:tcW w:w="6660" w:type="dxa"/>
          </w:tcPr>
          <w:p w14:paraId="19CFDE3D" w14:textId="4B162132" w:rsidR="0051166E" w:rsidRPr="000349EF" w:rsidRDefault="0051166E" w:rsidP="00965856">
            <w:pPr>
              <w:ind w:left="144"/>
            </w:pPr>
            <w:r w:rsidRPr="000349EF">
              <w:t>United States (of America)</w:t>
            </w:r>
          </w:p>
        </w:tc>
      </w:tr>
      <w:tr w:rsidR="008E4D88" w:rsidRPr="000349EF" w14:paraId="1BAF9411" w14:textId="77777777" w:rsidTr="009629EC">
        <w:tc>
          <w:tcPr>
            <w:tcW w:w="1694" w:type="dxa"/>
          </w:tcPr>
          <w:p w14:paraId="383F0F96" w14:textId="199FA4CA" w:rsidR="008E4D88" w:rsidRPr="000349EF" w:rsidRDefault="008E4D88" w:rsidP="00965856">
            <w:pPr>
              <w:ind w:left="144"/>
            </w:pPr>
            <w:r w:rsidRPr="000349EF">
              <w:t>VE</w:t>
            </w:r>
          </w:p>
        </w:tc>
        <w:tc>
          <w:tcPr>
            <w:tcW w:w="6660" w:type="dxa"/>
          </w:tcPr>
          <w:p w14:paraId="6645B7F8" w14:textId="79C8392B" w:rsidR="008E4D88" w:rsidRPr="000349EF" w:rsidRDefault="008E4D88" w:rsidP="00965856">
            <w:pPr>
              <w:ind w:left="144"/>
            </w:pPr>
            <w:r w:rsidRPr="000349EF">
              <w:t>Vaccine efficacy</w:t>
            </w:r>
          </w:p>
        </w:tc>
      </w:tr>
      <w:tr w:rsidR="007E0AF7" w:rsidRPr="000349EF" w14:paraId="31009954" w14:textId="77777777" w:rsidTr="009629EC">
        <w:tc>
          <w:tcPr>
            <w:tcW w:w="1694" w:type="dxa"/>
          </w:tcPr>
          <w:p w14:paraId="6E3FFBEB" w14:textId="2134514E" w:rsidR="007E0AF7" w:rsidRPr="000349EF" w:rsidRDefault="007E0AF7" w:rsidP="00965856">
            <w:pPr>
              <w:ind w:left="144"/>
            </w:pPr>
            <w:r w:rsidRPr="000349EF">
              <w:rPr>
                <w:lang w:val="en-US" w:eastAsia="ja-JP"/>
              </w:rPr>
              <w:t>VRBPAC</w:t>
            </w:r>
          </w:p>
        </w:tc>
        <w:tc>
          <w:tcPr>
            <w:tcW w:w="6660" w:type="dxa"/>
          </w:tcPr>
          <w:p w14:paraId="27B04981" w14:textId="22873237" w:rsidR="007E0AF7" w:rsidRPr="000349EF" w:rsidRDefault="007E0AF7" w:rsidP="00965856">
            <w:pPr>
              <w:ind w:left="144"/>
            </w:pPr>
            <w:r w:rsidRPr="000349EF">
              <w:rPr>
                <w:lang w:val="en-US" w:eastAsia="ja-JP"/>
              </w:rPr>
              <w:t xml:space="preserve">Vaccines and Related Biological Products Advisory Committee </w:t>
            </w:r>
            <w:r w:rsidRPr="000349EF">
              <w:t>(United States of America)</w:t>
            </w:r>
          </w:p>
        </w:tc>
      </w:tr>
      <w:tr w:rsidR="0051166E" w:rsidRPr="000349EF" w14:paraId="402524A1" w14:textId="77777777" w:rsidTr="009629EC">
        <w:tc>
          <w:tcPr>
            <w:tcW w:w="1694" w:type="dxa"/>
          </w:tcPr>
          <w:p w14:paraId="6E988C42" w14:textId="6BFB10B9" w:rsidR="0051166E" w:rsidRPr="000349EF" w:rsidRDefault="0051166E" w:rsidP="00965856">
            <w:pPr>
              <w:ind w:left="144"/>
            </w:pPr>
            <w:r w:rsidRPr="000349EF">
              <w:t>WHO</w:t>
            </w:r>
          </w:p>
        </w:tc>
        <w:tc>
          <w:tcPr>
            <w:tcW w:w="6660" w:type="dxa"/>
          </w:tcPr>
          <w:p w14:paraId="6D49B802" w14:textId="19BD7A0D" w:rsidR="0051166E" w:rsidRPr="000349EF" w:rsidRDefault="0051166E" w:rsidP="00965856">
            <w:pPr>
              <w:ind w:left="144"/>
            </w:pPr>
            <w:r w:rsidRPr="000349EF">
              <w:t>World Health Organization</w:t>
            </w:r>
          </w:p>
        </w:tc>
      </w:tr>
    </w:tbl>
    <w:p w14:paraId="45AC1E15" w14:textId="77777777" w:rsidR="00FD119B" w:rsidRPr="000349EF" w:rsidRDefault="00FD119B" w:rsidP="00FD119B">
      <w:pPr>
        <w:spacing w:before="0" w:after="200" w:line="0" w:lineRule="auto"/>
        <w:rPr>
          <w:b/>
          <w:i/>
          <w:sz w:val="24"/>
          <w:szCs w:val="24"/>
        </w:rPr>
      </w:pPr>
      <w:r w:rsidRPr="000349EF">
        <w:rPr>
          <w:b/>
          <w:i/>
          <w:sz w:val="24"/>
          <w:szCs w:val="24"/>
        </w:rPr>
        <w:br w:type="page"/>
      </w:r>
    </w:p>
    <w:p w14:paraId="77DE4097" w14:textId="77777777" w:rsidR="008E7846" w:rsidRPr="000349EF" w:rsidRDefault="00F53C07" w:rsidP="008E7846">
      <w:pPr>
        <w:pStyle w:val="Heading2"/>
      </w:pPr>
      <w:bookmarkStart w:id="12" w:name="_Toc96518175"/>
      <w:r w:rsidRPr="000349EF">
        <w:lastRenderedPageBreak/>
        <w:t>I.</w:t>
      </w:r>
      <w:r w:rsidR="008E7846" w:rsidRPr="000349EF">
        <w:t xml:space="preserve"> Introduction to product submission</w:t>
      </w:r>
      <w:bookmarkEnd w:id="12"/>
      <w:bookmarkEnd w:id="2"/>
      <w:bookmarkEnd w:id="0"/>
    </w:p>
    <w:p w14:paraId="2460DE10" w14:textId="77777777" w:rsidR="008E7846" w:rsidRPr="000349EF" w:rsidRDefault="008E7846" w:rsidP="008E7846">
      <w:pPr>
        <w:pStyle w:val="Heading3"/>
        <w:rPr>
          <w:lang w:eastAsia="en-AU"/>
        </w:rPr>
      </w:pPr>
      <w:bookmarkStart w:id="13" w:name="_Toc247691502"/>
      <w:bookmarkStart w:id="14" w:name="_Toc314842483"/>
      <w:bookmarkStart w:id="15" w:name="_Toc96518176"/>
      <w:r w:rsidRPr="000349EF">
        <w:rPr>
          <w:lang w:eastAsia="en-AU"/>
        </w:rPr>
        <w:t>Submission details</w:t>
      </w:r>
      <w:bookmarkEnd w:id="13"/>
      <w:bookmarkEnd w:id="14"/>
      <w:bookmarkEnd w:id="15"/>
    </w:p>
    <w:tbl>
      <w:tblPr>
        <w:tblW w:w="9214" w:type="dxa"/>
        <w:tblInd w:w="108" w:type="dxa"/>
        <w:tblLook w:val="01E0" w:firstRow="1" w:lastRow="1" w:firstColumn="1" w:lastColumn="1" w:noHBand="0" w:noVBand="0"/>
      </w:tblPr>
      <w:tblGrid>
        <w:gridCol w:w="2907"/>
        <w:gridCol w:w="6307"/>
      </w:tblGrid>
      <w:tr w:rsidR="008E7846" w:rsidRPr="000349EF" w14:paraId="599C3AAC" w14:textId="77777777" w:rsidTr="003735BC">
        <w:tc>
          <w:tcPr>
            <w:tcW w:w="2907" w:type="dxa"/>
          </w:tcPr>
          <w:p w14:paraId="3333D35F" w14:textId="77777777" w:rsidR="008E7846" w:rsidRPr="000349EF" w:rsidRDefault="001B5C90" w:rsidP="001B5C90">
            <w:pPr>
              <w:rPr>
                <w:i/>
              </w:rPr>
            </w:pPr>
            <w:r w:rsidRPr="000349EF">
              <w:rPr>
                <w:i/>
              </w:rPr>
              <w:t>Type of s</w:t>
            </w:r>
            <w:r w:rsidR="008E7846" w:rsidRPr="000349EF">
              <w:rPr>
                <w:i/>
              </w:rPr>
              <w:t>ubmission</w:t>
            </w:r>
            <w:r w:rsidRPr="000349EF">
              <w:rPr>
                <w:i/>
              </w:rPr>
              <w:t>:</w:t>
            </w:r>
          </w:p>
        </w:tc>
        <w:tc>
          <w:tcPr>
            <w:tcW w:w="6307" w:type="dxa"/>
          </w:tcPr>
          <w:p w14:paraId="6640A8E5" w14:textId="1A312901" w:rsidR="008E7846" w:rsidRPr="000349EF" w:rsidRDefault="0051166E" w:rsidP="001B5C90">
            <w:r w:rsidRPr="000349EF">
              <w:t>Extension of indications</w:t>
            </w:r>
          </w:p>
        </w:tc>
      </w:tr>
      <w:tr w:rsidR="00460036" w:rsidRPr="000349EF" w14:paraId="5E186F70" w14:textId="77777777" w:rsidTr="003735BC">
        <w:tc>
          <w:tcPr>
            <w:tcW w:w="2907" w:type="dxa"/>
          </w:tcPr>
          <w:p w14:paraId="5983BE63" w14:textId="5BF0876A" w:rsidR="00460036" w:rsidRPr="000349EF" w:rsidRDefault="00460036" w:rsidP="003D1E62">
            <w:pPr>
              <w:rPr>
                <w:i/>
              </w:rPr>
            </w:pPr>
            <w:r w:rsidRPr="000349EF">
              <w:rPr>
                <w:i/>
              </w:rPr>
              <w:t>Product name:</w:t>
            </w:r>
          </w:p>
        </w:tc>
        <w:tc>
          <w:tcPr>
            <w:tcW w:w="6307" w:type="dxa"/>
          </w:tcPr>
          <w:p w14:paraId="2E2BB701" w14:textId="1728866E" w:rsidR="00460036" w:rsidRPr="000349EF" w:rsidRDefault="0051166E" w:rsidP="001B5C90">
            <w:r w:rsidRPr="000349EF">
              <w:t>Spikevax</w:t>
            </w:r>
          </w:p>
        </w:tc>
      </w:tr>
      <w:tr w:rsidR="0051166E" w:rsidRPr="000349EF" w14:paraId="42F713C8" w14:textId="77777777" w:rsidTr="003735BC">
        <w:tc>
          <w:tcPr>
            <w:tcW w:w="2907" w:type="dxa"/>
          </w:tcPr>
          <w:p w14:paraId="6A77FFDD" w14:textId="569FE2A2" w:rsidR="0051166E" w:rsidRPr="000349EF" w:rsidRDefault="0051166E" w:rsidP="0051166E">
            <w:pPr>
              <w:rPr>
                <w:i/>
              </w:rPr>
            </w:pPr>
            <w:r w:rsidRPr="000349EF">
              <w:rPr>
                <w:i/>
              </w:rPr>
              <w:t>Active ingredient:</w:t>
            </w:r>
          </w:p>
        </w:tc>
        <w:tc>
          <w:tcPr>
            <w:tcW w:w="6307" w:type="dxa"/>
          </w:tcPr>
          <w:p w14:paraId="189FBBDF" w14:textId="5D13E7A8" w:rsidR="0051166E" w:rsidRPr="000349EF" w:rsidRDefault="0051166E" w:rsidP="00531709">
            <w:r w:rsidRPr="000349EF">
              <w:t>Elasomeran</w:t>
            </w:r>
          </w:p>
        </w:tc>
      </w:tr>
      <w:tr w:rsidR="008E7846" w:rsidRPr="000349EF" w14:paraId="369B7813" w14:textId="77777777" w:rsidTr="003735BC">
        <w:tc>
          <w:tcPr>
            <w:tcW w:w="2907" w:type="dxa"/>
          </w:tcPr>
          <w:p w14:paraId="1BBEBB39" w14:textId="77777777" w:rsidR="008E7846" w:rsidRPr="000349EF" w:rsidRDefault="008E7846" w:rsidP="003D1E62">
            <w:r w:rsidRPr="000349EF">
              <w:rPr>
                <w:i/>
              </w:rPr>
              <w:t>Decision</w:t>
            </w:r>
            <w:r w:rsidRPr="000349EF">
              <w:t>:</w:t>
            </w:r>
          </w:p>
        </w:tc>
        <w:tc>
          <w:tcPr>
            <w:tcW w:w="6307" w:type="dxa"/>
          </w:tcPr>
          <w:p w14:paraId="7F212BD5" w14:textId="2B310D16" w:rsidR="008E7846" w:rsidRPr="000349EF" w:rsidRDefault="0051166E" w:rsidP="001B5C90">
            <w:r w:rsidRPr="000349EF">
              <w:t>Approved for provisional registration</w:t>
            </w:r>
          </w:p>
        </w:tc>
      </w:tr>
      <w:tr w:rsidR="008E7846" w:rsidRPr="000349EF" w14:paraId="71A8F66D" w14:textId="77777777" w:rsidTr="003735BC">
        <w:tc>
          <w:tcPr>
            <w:tcW w:w="2907" w:type="dxa"/>
          </w:tcPr>
          <w:p w14:paraId="055A47C0" w14:textId="77777777" w:rsidR="008E7846" w:rsidRPr="000349EF" w:rsidRDefault="008E7846" w:rsidP="001B5C90">
            <w:pPr>
              <w:rPr>
                <w:i/>
              </w:rPr>
            </w:pPr>
            <w:r w:rsidRPr="000349EF">
              <w:rPr>
                <w:i/>
              </w:rPr>
              <w:t xml:space="preserve">Date of </w:t>
            </w:r>
            <w:r w:rsidR="001B5C90" w:rsidRPr="000349EF">
              <w:rPr>
                <w:i/>
              </w:rPr>
              <w:t>d</w:t>
            </w:r>
            <w:r w:rsidRPr="000349EF">
              <w:rPr>
                <w:i/>
              </w:rPr>
              <w:t>ecision:</w:t>
            </w:r>
          </w:p>
        </w:tc>
        <w:tc>
          <w:tcPr>
            <w:tcW w:w="6307" w:type="dxa"/>
          </w:tcPr>
          <w:p w14:paraId="737F31DE" w14:textId="617990DC" w:rsidR="008E7846" w:rsidRPr="000349EF" w:rsidRDefault="00556333" w:rsidP="001B5C90">
            <w:r w:rsidRPr="000349EF">
              <w:rPr>
                <w:color w:val="000000" w:themeColor="text1"/>
              </w:rPr>
              <w:t>17 February 2022</w:t>
            </w:r>
          </w:p>
        </w:tc>
      </w:tr>
      <w:tr w:rsidR="00ED2922" w:rsidRPr="000349EF" w14:paraId="4A49847B" w14:textId="77777777" w:rsidTr="003735BC">
        <w:tc>
          <w:tcPr>
            <w:tcW w:w="2907" w:type="dxa"/>
          </w:tcPr>
          <w:p w14:paraId="7A029946" w14:textId="77777777" w:rsidR="00ED2922" w:rsidRPr="000349EF" w:rsidRDefault="00ED2922" w:rsidP="001B5C90">
            <w:pPr>
              <w:rPr>
                <w:i/>
              </w:rPr>
            </w:pPr>
            <w:r w:rsidRPr="000349EF">
              <w:rPr>
                <w:i/>
              </w:rPr>
              <w:t>Date of entry onto ARTG</w:t>
            </w:r>
            <w:r w:rsidR="00500337" w:rsidRPr="000349EF">
              <w:rPr>
                <w:i/>
              </w:rPr>
              <w:t>:</w:t>
            </w:r>
          </w:p>
        </w:tc>
        <w:tc>
          <w:tcPr>
            <w:tcW w:w="6307" w:type="dxa"/>
          </w:tcPr>
          <w:p w14:paraId="50BEFF00" w14:textId="79A152CE" w:rsidR="00ED2922" w:rsidRPr="00110F57" w:rsidRDefault="00110F57" w:rsidP="00110F57">
            <w:r w:rsidRPr="00110F57">
              <w:t>22 February 2022</w:t>
            </w:r>
          </w:p>
        </w:tc>
      </w:tr>
      <w:tr w:rsidR="00500337" w:rsidRPr="000349EF" w14:paraId="7CC1987B" w14:textId="77777777" w:rsidTr="003735BC">
        <w:tc>
          <w:tcPr>
            <w:tcW w:w="2907" w:type="dxa"/>
          </w:tcPr>
          <w:p w14:paraId="016C4897" w14:textId="4372F52F" w:rsidR="00500337" w:rsidRPr="000349EF" w:rsidRDefault="00500337" w:rsidP="001B5C90">
            <w:pPr>
              <w:rPr>
                <w:i/>
              </w:rPr>
            </w:pPr>
            <w:r w:rsidRPr="000349EF">
              <w:rPr>
                <w:i/>
              </w:rPr>
              <w:t>ARTG number:</w:t>
            </w:r>
          </w:p>
        </w:tc>
        <w:tc>
          <w:tcPr>
            <w:tcW w:w="6307" w:type="dxa"/>
          </w:tcPr>
          <w:p w14:paraId="32297D88" w14:textId="4D411FB5" w:rsidR="00500337" w:rsidRPr="000349EF" w:rsidRDefault="0051166E" w:rsidP="005C1AF7">
            <w:r w:rsidRPr="000349EF">
              <w:t>370599</w:t>
            </w:r>
          </w:p>
        </w:tc>
      </w:tr>
      <w:tr w:rsidR="003735BC" w:rsidRPr="000349EF" w14:paraId="3075AB36" w14:textId="77777777" w:rsidTr="003735BC">
        <w:tc>
          <w:tcPr>
            <w:tcW w:w="2907" w:type="dxa"/>
          </w:tcPr>
          <w:p w14:paraId="2A03965E" w14:textId="77777777" w:rsidR="003735BC" w:rsidRPr="000349EF" w:rsidRDefault="00FA5069" w:rsidP="001B5C90">
            <w:pPr>
              <w:rPr>
                <w:i/>
              </w:rPr>
            </w:pPr>
            <w:r w:rsidRPr="000349EF">
              <w:rPr>
                <w:rFonts w:ascii="Wingdings 3" w:hAnsi="Wingdings 3"/>
                <w:sz w:val="34"/>
                <w:szCs w:val="34"/>
                <w:lang w:eastAsia="en-AU"/>
              </w:rPr>
              <w:t></w:t>
            </w:r>
            <w:r w:rsidR="003735BC" w:rsidRPr="000349EF">
              <w:rPr>
                <w:i/>
              </w:rPr>
              <w:t>Black Triangle Scheme</w:t>
            </w:r>
            <w:r w:rsidR="004C4FBE" w:rsidRPr="000349EF">
              <w:rPr>
                <w:i/>
              </w:rPr>
              <w:t>:</w:t>
            </w:r>
            <w:r w:rsidR="00460036" w:rsidRPr="000349EF">
              <w:rPr>
                <w:rStyle w:val="FootnoteReference"/>
                <w:i/>
              </w:rPr>
              <w:footnoteReference w:id="2"/>
            </w:r>
          </w:p>
        </w:tc>
        <w:tc>
          <w:tcPr>
            <w:tcW w:w="6307" w:type="dxa"/>
          </w:tcPr>
          <w:p w14:paraId="53C54C39" w14:textId="77777777" w:rsidR="0051166E" w:rsidRPr="000349EF" w:rsidRDefault="003735BC" w:rsidP="0051166E">
            <w:r w:rsidRPr="000349EF">
              <w:t>Yes</w:t>
            </w:r>
            <w:r w:rsidR="0051166E" w:rsidRPr="000349EF">
              <w:t>.</w:t>
            </w:r>
          </w:p>
          <w:p w14:paraId="0ABDDA8B" w14:textId="46476FA8" w:rsidR="003735BC" w:rsidRPr="000349EF" w:rsidRDefault="003735BC" w:rsidP="0051166E">
            <w:r w:rsidRPr="000349EF">
              <w:t>As a provisionally registered product, this medicine will remain in the Black Triangle Scheme for the duration of its provisional registration</w:t>
            </w:r>
            <w:r w:rsidR="005C1AF7" w:rsidRPr="000349EF">
              <w:t>.</w:t>
            </w:r>
          </w:p>
        </w:tc>
      </w:tr>
      <w:tr w:rsidR="008E7846" w:rsidRPr="000349EF" w14:paraId="081E964B" w14:textId="77777777" w:rsidTr="00BF1190">
        <w:tc>
          <w:tcPr>
            <w:tcW w:w="2907" w:type="dxa"/>
          </w:tcPr>
          <w:p w14:paraId="0E27E9EC" w14:textId="77777777" w:rsidR="008E7846" w:rsidRPr="000349EF" w:rsidRDefault="008E7846" w:rsidP="001B5C90">
            <w:pPr>
              <w:rPr>
                <w:i/>
              </w:rPr>
            </w:pPr>
            <w:r w:rsidRPr="000349EF">
              <w:rPr>
                <w:i/>
              </w:rPr>
              <w:t xml:space="preserve">Sponsor’s </w:t>
            </w:r>
            <w:r w:rsidR="001B5C90" w:rsidRPr="000349EF">
              <w:rPr>
                <w:i/>
              </w:rPr>
              <w:t>n</w:t>
            </w:r>
            <w:r w:rsidRPr="000349EF">
              <w:rPr>
                <w:i/>
              </w:rPr>
              <w:t xml:space="preserve">ame and </w:t>
            </w:r>
            <w:r w:rsidR="001B5C90" w:rsidRPr="000349EF">
              <w:rPr>
                <w:i/>
              </w:rPr>
              <w:t>a</w:t>
            </w:r>
            <w:r w:rsidRPr="000349EF">
              <w:rPr>
                <w:i/>
              </w:rPr>
              <w:t>ddress:</w:t>
            </w:r>
          </w:p>
        </w:tc>
        <w:tc>
          <w:tcPr>
            <w:tcW w:w="6307" w:type="dxa"/>
          </w:tcPr>
          <w:p w14:paraId="2F9F86AA" w14:textId="77777777" w:rsidR="0051166E" w:rsidRPr="000349EF" w:rsidRDefault="0051166E" w:rsidP="0051166E">
            <w:r w:rsidRPr="000349EF">
              <w:t>Moderna Australia Pty Ltd</w:t>
            </w:r>
          </w:p>
          <w:p w14:paraId="15FDF550" w14:textId="77777777" w:rsidR="0051166E" w:rsidRPr="000349EF" w:rsidRDefault="0051166E" w:rsidP="0051166E">
            <w:r w:rsidRPr="000349EF">
              <w:t>Level 6, 60 Martin Place</w:t>
            </w:r>
          </w:p>
          <w:p w14:paraId="2C45AD85" w14:textId="4AB8B177" w:rsidR="008E7846" w:rsidRPr="000349EF" w:rsidRDefault="0051166E" w:rsidP="0051166E">
            <w:r w:rsidRPr="000349EF">
              <w:t>Sydney, NSW, 2000</w:t>
            </w:r>
          </w:p>
        </w:tc>
      </w:tr>
      <w:tr w:rsidR="008E7846" w:rsidRPr="000349EF" w14:paraId="426C33FB" w14:textId="77777777" w:rsidTr="00BF1190">
        <w:tc>
          <w:tcPr>
            <w:tcW w:w="2907" w:type="dxa"/>
          </w:tcPr>
          <w:p w14:paraId="18787FF5" w14:textId="2BF17702" w:rsidR="008E7846" w:rsidRPr="000349EF" w:rsidRDefault="001B5C90" w:rsidP="00E45619">
            <w:pPr>
              <w:rPr>
                <w:i/>
              </w:rPr>
            </w:pPr>
            <w:r w:rsidRPr="000349EF">
              <w:rPr>
                <w:i/>
              </w:rPr>
              <w:t>Dose form:</w:t>
            </w:r>
          </w:p>
        </w:tc>
        <w:tc>
          <w:tcPr>
            <w:tcW w:w="6307" w:type="dxa"/>
          </w:tcPr>
          <w:p w14:paraId="61D1A322" w14:textId="41B9BE91" w:rsidR="008E7846" w:rsidRPr="000349EF" w:rsidRDefault="0051166E" w:rsidP="00E45619">
            <w:r w:rsidRPr="000349EF">
              <w:t>Suspension for injection</w:t>
            </w:r>
          </w:p>
        </w:tc>
      </w:tr>
      <w:tr w:rsidR="0051166E" w:rsidRPr="000349EF" w14:paraId="3CC86EC2" w14:textId="77777777" w:rsidTr="00BF1190">
        <w:tc>
          <w:tcPr>
            <w:tcW w:w="2907" w:type="dxa"/>
          </w:tcPr>
          <w:p w14:paraId="4C12FBD9" w14:textId="01B65684" w:rsidR="0051166E" w:rsidRPr="000349EF" w:rsidRDefault="0051166E" w:rsidP="0051166E">
            <w:pPr>
              <w:rPr>
                <w:i/>
              </w:rPr>
            </w:pPr>
            <w:r w:rsidRPr="000349EF">
              <w:rPr>
                <w:i/>
              </w:rPr>
              <w:t>Strength:</w:t>
            </w:r>
          </w:p>
        </w:tc>
        <w:tc>
          <w:tcPr>
            <w:tcW w:w="6307" w:type="dxa"/>
          </w:tcPr>
          <w:p w14:paraId="0F54A19B" w14:textId="5AFC79E3" w:rsidR="0051166E" w:rsidRPr="000349EF" w:rsidRDefault="0051166E" w:rsidP="0051166E">
            <w:r w:rsidRPr="000349EF">
              <w:t>0.2</w:t>
            </w:r>
            <w:r w:rsidR="005C1AF7" w:rsidRPr="000349EF">
              <w:t> </w:t>
            </w:r>
            <w:r w:rsidRPr="000349EF">
              <w:t>mg/mL</w:t>
            </w:r>
          </w:p>
        </w:tc>
      </w:tr>
      <w:tr w:rsidR="0051166E" w:rsidRPr="000349EF" w14:paraId="37FBF46C" w14:textId="77777777" w:rsidTr="00BF1190">
        <w:tc>
          <w:tcPr>
            <w:tcW w:w="2907" w:type="dxa"/>
          </w:tcPr>
          <w:p w14:paraId="704DCBD6" w14:textId="36608D2E" w:rsidR="0051166E" w:rsidRPr="000349EF" w:rsidRDefault="0051166E" w:rsidP="0051166E">
            <w:pPr>
              <w:rPr>
                <w:i/>
              </w:rPr>
            </w:pPr>
            <w:r w:rsidRPr="000349EF">
              <w:rPr>
                <w:i/>
              </w:rPr>
              <w:t>Container:</w:t>
            </w:r>
          </w:p>
        </w:tc>
        <w:tc>
          <w:tcPr>
            <w:tcW w:w="6307" w:type="dxa"/>
          </w:tcPr>
          <w:p w14:paraId="7391B5E4" w14:textId="76D57058" w:rsidR="0051166E" w:rsidRPr="000349EF" w:rsidRDefault="0051166E" w:rsidP="0051166E">
            <w:r w:rsidRPr="000349EF">
              <w:t>Vial</w:t>
            </w:r>
          </w:p>
        </w:tc>
      </w:tr>
      <w:tr w:rsidR="0051166E" w:rsidRPr="000349EF" w14:paraId="08C0985C" w14:textId="77777777" w:rsidTr="00BF1190">
        <w:tc>
          <w:tcPr>
            <w:tcW w:w="2907" w:type="dxa"/>
          </w:tcPr>
          <w:p w14:paraId="57DCB22B" w14:textId="6CA82D75" w:rsidR="0051166E" w:rsidRPr="000349EF" w:rsidRDefault="0051166E" w:rsidP="0051166E">
            <w:pPr>
              <w:rPr>
                <w:i/>
              </w:rPr>
            </w:pPr>
            <w:r w:rsidRPr="000349EF">
              <w:rPr>
                <w:i/>
              </w:rPr>
              <w:t>Pack size:</w:t>
            </w:r>
          </w:p>
        </w:tc>
        <w:tc>
          <w:tcPr>
            <w:tcW w:w="6307" w:type="dxa"/>
          </w:tcPr>
          <w:p w14:paraId="48ABFAC8" w14:textId="02554356" w:rsidR="0051166E" w:rsidRPr="000349EF" w:rsidRDefault="005C1AF7" w:rsidP="005C1AF7">
            <w:r w:rsidRPr="000349EF">
              <w:t xml:space="preserve">10 x </w:t>
            </w:r>
            <w:r w:rsidR="005E16B2" w:rsidRPr="000349EF">
              <w:t>5 mL</w:t>
            </w:r>
            <w:r w:rsidRPr="000349EF">
              <w:t>-dose vials</w:t>
            </w:r>
          </w:p>
        </w:tc>
      </w:tr>
      <w:tr w:rsidR="0051166E" w:rsidRPr="000349EF" w14:paraId="74D5E93B" w14:textId="77777777" w:rsidTr="00BF1190">
        <w:tc>
          <w:tcPr>
            <w:tcW w:w="2907" w:type="dxa"/>
          </w:tcPr>
          <w:p w14:paraId="5FA1C2C2" w14:textId="77777777" w:rsidR="0051166E" w:rsidRPr="000349EF" w:rsidRDefault="0051166E" w:rsidP="0051166E">
            <w:pPr>
              <w:rPr>
                <w:i/>
              </w:rPr>
            </w:pPr>
            <w:r w:rsidRPr="000349EF">
              <w:rPr>
                <w:i/>
              </w:rPr>
              <w:t>Approved therapeutic use:</w:t>
            </w:r>
          </w:p>
        </w:tc>
        <w:tc>
          <w:tcPr>
            <w:tcW w:w="6307" w:type="dxa"/>
          </w:tcPr>
          <w:p w14:paraId="016EFBB9" w14:textId="6D7E2BA1" w:rsidR="00556333" w:rsidRPr="000349EF" w:rsidRDefault="00556333" w:rsidP="0028643E">
            <w:pPr>
              <w:rPr>
                <w:i/>
                <w:iCs/>
              </w:rPr>
            </w:pPr>
            <w:r w:rsidRPr="000349EF">
              <w:rPr>
                <w:i/>
                <w:iCs/>
              </w:rPr>
              <w:t>Spikevax (elasomeran) COVID-19 vaccine has provisional approval for the indication below:</w:t>
            </w:r>
          </w:p>
          <w:p w14:paraId="19BB8E0C" w14:textId="6BDE5276" w:rsidR="00556333" w:rsidRPr="000349EF" w:rsidRDefault="00556333" w:rsidP="0028643E">
            <w:pPr>
              <w:ind w:left="720"/>
              <w:rPr>
                <w:i/>
                <w:iCs/>
              </w:rPr>
            </w:pPr>
            <w:r w:rsidRPr="000349EF">
              <w:rPr>
                <w:i/>
                <w:iCs/>
              </w:rPr>
              <w:t>Active immunisation to prevent coronavirus disease 2019 (COVID-19) caused by SARS-CoV-2 in individuals 6 years of age and older.</w:t>
            </w:r>
          </w:p>
          <w:p w14:paraId="4B4531C9" w14:textId="4B0E7912" w:rsidR="00556333" w:rsidRPr="000349EF" w:rsidRDefault="00556333" w:rsidP="0028643E">
            <w:pPr>
              <w:ind w:left="720"/>
              <w:rPr>
                <w:i/>
                <w:iCs/>
              </w:rPr>
            </w:pPr>
            <w:r w:rsidRPr="000349EF">
              <w:rPr>
                <w:i/>
                <w:iCs/>
              </w:rPr>
              <w:t>The use of this vaccine should be in accordance with official recommendations.</w:t>
            </w:r>
          </w:p>
          <w:p w14:paraId="5BB9754D" w14:textId="3893BFAE" w:rsidR="0051166E" w:rsidRPr="000349EF" w:rsidRDefault="00556333">
            <w:pPr>
              <w:rPr>
                <w:rFonts w:eastAsia="MS Mincho"/>
                <w:i/>
                <w:iCs/>
                <w:lang w:eastAsia="ja-JP"/>
              </w:rPr>
            </w:pPr>
            <w:r w:rsidRPr="000349EF">
              <w:rPr>
                <w:i/>
                <w:iCs/>
              </w:rPr>
              <w:t xml:space="preserve">The decision has been made </w:t>
            </w:r>
            <w:proofErr w:type="gramStart"/>
            <w:r w:rsidRPr="000349EF">
              <w:rPr>
                <w:i/>
                <w:iCs/>
              </w:rPr>
              <w:t>on the basis of</w:t>
            </w:r>
            <w:proofErr w:type="gramEnd"/>
            <w:r w:rsidRPr="000349EF">
              <w:rPr>
                <w:i/>
                <w:iCs/>
              </w:rPr>
              <w:t xml:space="preserve"> short-term efficacy and safety data. Continued approval depends on the evidence of longer </w:t>
            </w:r>
            <w:r w:rsidRPr="000349EF">
              <w:rPr>
                <w:i/>
                <w:iCs/>
              </w:rPr>
              <w:lastRenderedPageBreak/>
              <w:t>term efficacy and safety from ongoing clinical trials and post-market assessment.</w:t>
            </w:r>
          </w:p>
        </w:tc>
      </w:tr>
      <w:tr w:rsidR="0051166E" w:rsidRPr="000349EF" w14:paraId="53268F7F" w14:textId="77777777" w:rsidTr="00BF1190">
        <w:tc>
          <w:tcPr>
            <w:tcW w:w="2907" w:type="dxa"/>
          </w:tcPr>
          <w:p w14:paraId="4D61699B" w14:textId="030BB837" w:rsidR="0051166E" w:rsidRPr="000349EF" w:rsidRDefault="0051166E" w:rsidP="0051166E">
            <w:pPr>
              <w:rPr>
                <w:i/>
              </w:rPr>
            </w:pPr>
            <w:r w:rsidRPr="000349EF">
              <w:rPr>
                <w:i/>
              </w:rPr>
              <w:lastRenderedPageBreak/>
              <w:t>Route of administration:</w:t>
            </w:r>
          </w:p>
        </w:tc>
        <w:tc>
          <w:tcPr>
            <w:tcW w:w="6307" w:type="dxa"/>
          </w:tcPr>
          <w:p w14:paraId="2D1D2BD0" w14:textId="53A65FFE" w:rsidR="0051166E" w:rsidRPr="000349EF" w:rsidRDefault="0051166E" w:rsidP="0051166E">
            <w:r w:rsidRPr="000349EF">
              <w:t>Intramuscular</w:t>
            </w:r>
          </w:p>
        </w:tc>
      </w:tr>
      <w:tr w:rsidR="0051166E" w:rsidRPr="000349EF" w14:paraId="3E1B3FD7" w14:textId="77777777" w:rsidTr="00BF1190">
        <w:tc>
          <w:tcPr>
            <w:tcW w:w="2907" w:type="dxa"/>
          </w:tcPr>
          <w:p w14:paraId="095BD92D" w14:textId="77777777" w:rsidR="0051166E" w:rsidRPr="000349EF" w:rsidRDefault="0051166E" w:rsidP="0051166E">
            <w:pPr>
              <w:rPr>
                <w:i/>
              </w:rPr>
            </w:pPr>
            <w:r w:rsidRPr="000349EF">
              <w:rPr>
                <w:i/>
              </w:rPr>
              <w:t>Dosage:</w:t>
            </w:r>
          </w:p>
        </w:tc>
        <w:tc>
          <w:tcPr>
            <w:tcW w:w="6307" w:type="dxa"/>
          </w:tcPr>
          <w:p w14:paraId="5B7C3318" w14:textId="01158092" w:rsidR="00556333" w:rsidRPr="000349EF" w:rsidRDefault="00556333" w:rsidP="0028643E">
            <w:pPr>
              <w:rPr>
                <w:b/>
                <w:bCs/>
              </w:rPr>
            </w:pPr>
            <w:r w:rsidRPr="000349EF">
              <w:rPr>
                <w:b/>
                <w:bCs/>
              </w:rPr>
              <w:t>Primary series</w:t>
            </w:r>
          </w:p>
          <w:p w14:paraId="46C10027" w14:textId="4DF648D3" w:rsidR="00556333" w:rsidRPr="000349EF" w:rsidRDefault="00556333" w:rsidP="0028643E">
            <w:pPr>
              <w:rPr>
                <w:i/>
                <w:iCs/>
              </w:rPr>
            </w:pPr>
            <w:r w:rsidRPr="000349EF">
              <w:rPr>
                <w:i/>
                <w:iCs/>
              </w:rPr>
              <w:t>Individuals 12 years of age and older</w:t>
            </w:r>
          </w:p>
          <w:p w14:paraId="752FA93D" w14:textId="73A17CF9" w:rsidR="00556333" w:rsidRPr="000349EF" w:rsidRDefault="00556333" w:rsidP="0028643E">
            <w:r w:rsidRPr="000349EF">
              <w:t>Spikevax is administered as a course of 2 doses (0.5 mL each).</w:t>
            </w:r>
          </w:p>
          <w:p w14:paraId="407C7788" w14:textId="0C3965A6" w:rsidR="00556333" w:rsidRPr="000349EF" w:rsidRDefault="00556333" w:rsidP="0028643E">
            <w:pPr>
              <w:rPr>
                <w:i/>
                <w:iCs/>
              </w:rPr>
            </w:pPr>
            <w:r w:rsidRPr="000349EF">
              <w:rPr>
                <w:i/>
                <w:iCs/>
              </w:rPr>
              <w:t>Individuals 6 through 11 years of age</w:t>
            </w:r>
          </w:p>
          <w:p w14:paraId="02026551" w14:textId="36240501" w:rsidR="00556333" w:rsidRPr="000349EF" w:rsidRDefault="00AB1C91" w:rsidP="0028643E">
            <w:r w:rsidRPr="000349EF">
              <w:t xml:space="preserve">Spikevax </w:t>
            </w:r>
            <w:r w:rsidR="00556333" w:rsidRPr="000349EF">
              <w:t>is administered as a course of 2 doses (0.25 mL each).</w:t>
            </w:r>
          </w:p>
          <w:p w14:paraId="30F57DCA" w14:textId="70ADD06B" w:rsidR="00556333" w:rsidRPr="000349EF" w:rsidRDefault="00556333" w:rsidP="0028643E">
            <w:r w:rsidRPr="000349EF">
              <w:t xml:space="preserve">It is recommended to administer the second dose 28 days after the first dose (see </w:t>
            </w:r>
            <w:r w:rsidR="00AB1C91" w:rsidRPr="000349EF">
              <w:t>S</w:t>
            </w:r>
            <w:r w:rsidRPr="000349EF">
              <w:t xml:space="preserve">ection 4.4 Special </w:t>
            </w:r>
            <w:r w:rsidR="00AB1C91" w:rsidRPr="000349EF">
              <w:t>warnings and precautions for use and</w:t>
            </w:r>
            <w:r w:rsidRPr="000349EF">
              <w:t xml:space="preserve"> </w:t>
            </w:r>
            <w:r w:rsidR="00AB1C91" w:rsidRPr="000349EF">
              <w:t>S</w:t>
            </w:r>
            <w:r w:rsidRPr="000349EF">
              <w:t xml:space="preserve">ection 5.1 Pharmacodynamic </w:t>
            </w:r>
            <w:r w:rsidR="00AB1C91" w:rsidRPr="000349EF">
              <w:t>properties</w:t>
            </w:r>
            <w:r w:rsidR="00790A4F" w:rsidRPr="000349EF">
              <w:t xml:space="preserve"> of the Product Information</w:t>
            </w:r>
            <w:r w:rsidRPr="000349EF">
              <w:t>).</w:t>
            </w:r>
          </w:p>
          <w:p w14:paraId="54E76C0D" w14:textId="1EFA9A87" w:rsidR="00556333" w:rsidRPr="000349EF" w:rsidRDefault="00556333" w:rsidP="0028643E">
            <w:pPr>
              <w:rPr>
                <w:i/>
                <w:iCs/>
              </w:rPr>
            </w:pPr>
            <w:r w:rsidRPr="000349EF">
              <w:rPr>
                <w:i/>
                <w:iCs/>
              </w:rPr>
              <w:t>Immunocompromised individuals</w:t>
            </w:r>
          </w:p>
          <w:p w14:paraId="69588538" w14:textId="131BA1EA" w:rsidR="00556333" w:rsidRPr="000349EF" w:rsidRDefault="00556333">
            <w:r w:rsidRPr="000349EF">
              <w:t xml:space="preserve">A third dose of </w:t>
            </w:r>
            <w:r w:rsidR="00790A4F" w:rsidRPr="000349EF">
              <w:t xml:space="preserve">Spikevax </w:t>
            </w:r>
            <w:r w:rsidRPr="000349EF">
              <w:t>(0.5 mL) administered at least 28</w:t>
            </w:r>
            <w:r w:rsidR="00790A4F" w:rsidRPr="000349EF">
              <w:t> </w:t>
            </w:r>
            <w:r w:rsidRPr="000349EF">
              <w:t>days following the first two doses of this vaccine is authorised for</w:t>
            </w:r>
            <w:r w:rsidR="00790A4F" w:rsidRPr="000349EF">
              <w:t xml:space="preserve"> </w:t>
            </w:r>
            <w:r w:rsidRPr="000349EF">
              <w:t>administration to individuals who have undergone solid organ transplantation, or who are diagnosed with conditions that are considered to have an equivalent level of immunocompromise.</w:t>
            </w:r>
          </w:p>
          <w:p w14:paraId="39022B2A" w14:textId="6888BBEF" w:rsidR="00556333" w:rsidRPr="000349EF" w:rsidRDefault="00556333" w:rsidP="0028643E">
            <w:pPr>
              <w:rPr>
                <w:b/>
                <w:bCs/>
              </w:rPr>
            </w:pPr>
            <w:r w:rsidRPr="000349EF">
              <w:rPr>
                <w:b/>
                <w:bCs/>
              </w:rPr>
              <w:t xml:space="preserve">Booster </w:t>
            </w:r>
            <w:r w:rsidR="00790A4F" w:rsidRPr="000349EF">
              <w:rPr>
                <w:b/>
                <w:bCs/>
              </w:rPr>
              <w:t>d</w:t>
            </w:r>
            <w:r w:rsidRPr="000349EF">
              <w:rPr>
                <w:b/>
                <w:bCs/>
              </w:rPr>
              <w:t>ose</w:t>
            </w:r>
          </w:p>
          <w:p w14:paraId="233EC96B" w14:textId="609EB7A3" w:rsidR="00556333" w:rsidRPr="000349EF" w:rsidRDefault="00556333" w:rsidP="0028643E">
            <w:pPr>
              <w:rPr>
                <w:i/>
                <w:iCs/>
              </w:rPr>
            </w:pPr>
            <w:r w:rsidRPr="000349EF">
              <w:rPr>
                <w:i/>
                <w:iCs/>
              </w:rPr>
              <w:t>Individuals 18 years of age and older</w:t>
            </w:r>
          </w:p>
          <w:p w14:paraId="3AC1DB93" w14:textId="2410C341" w:rsidR="00556333" w:rsidRPr="000349EF" w:rsidRDefault="00790A4F" w:rsidP="0028643E">
            <w:r w:rsidRPr="000349EF">
              <w:t xml:space="preserve">Spikevax </w:t>
            </w:r>
            <w:r w:rsidR="00556333" w:rsidRPr="000349EF">
              <w:t xml:space="preserve">is administered intramuscularly as a single booster dose (0.25 mL; 50 </w:t>
            </w:r>
            <w:r w:rsidRPr="000349EF">
              <w:t>µ</w:t>
            </w:r>
            <w:r w:rsidR="00556333" w:rsidRPr="000349EF">
              <w:t>g</w:t>
            </w:r>
            <w:r w:rsidRPr="000349EF">
              <w:t>)</w:t>
            </w:r>
            <w:r w:rsidR="00556333" w:rsidRPr="000349EF">
              <w:t xml:space="preserve"> at least 6 months after completing a primary series.</w:t>
            </w:r>
          </w:p>
          <w:p w14:paraId="6A764D45" w14:textId="4A5D1FE0" w:rsidR="00556333" w:rsidRPr="000349EF" w:rsidRDefault="00556333">
            <w:r w:rsidRPr="000349EF">
              <w:t xml:space="preserve">The decision when and for whom to implement a booster (third dose) of </w:t>
            </w:r>
            <w:r w:rsidR="00790A4F" w:rsidRPr="000349EF">
              <w:t xml:space="preserve">Spikevax </w:t>
            </w:r>
            <w:r w:rsidRPr="000349EF">
              <w:t xml:space="preserve">should be made based on available vaccine safety and effectiveness data (see </w:t>
            </w:r>
            <w:r w:rsidR="00790A4F" w:rsidRPr="000349EF">
              <w:t>S</w:t>
            </w:r>
            <w:r w:rsidRPr="000349EF">
              <w:t xml:space="preserve">ections 4.4 Special warning and precautions for use and </w:t>
            </w:r>
            <w:r w:rsidR="00790A4F" w:rsidRPr="000349EF">
              <w:t xml:space="preserve">Section </w:t>
            </w:r>
            <w:r w:rsidRPr="000349EF">
              <w:t>5.1 Pharmacodynamic properties</w:t>
            </w:r>
            <w:r w:rsidR="00F35D0C" w:rsidRPr="000349EF">
              <w:t xml:space="preserve"> of the Product Information</w:t>
            </w:r>
            <w:r w:rsidRPr="000349EF">
              <w:t>), in accordance with official recommendations.</w:t>
            </w:r>
          </w:p>
          <w:p w14:paraId="6318810A" w14:textId="5AFD9319" w:rsidR="0051166E" w:rsidRPr="000349EF" w:rsidRDefault="0051166E">
            <w:r w:rsidRPr="000349EF">
              <w:t>For further information regarding dosage</w:t>
            </w:r>
            <w:r w:rsidR="00F35D0C" w:rsidRPr="000349EF">
              <w:t xml:space="preserve"> (including the interchangeability of Spikevax with other COVID-19 vaccines)</w:t>
            </w:r>
            <w:r w:rsidRPr="000349EF">
              <w:t>, refer to the Product Information.</w:t>
            </w:r>
          </w:p>
        </w:tc>
      </w:tr>
      <w:tr w:rsidR="0051166E" w:rsidRPr="000349EF" w14:paraId="1C226BDF" w14:textId="77777777" w:rsidTr="00BF1190">
        <w:tc>
          <w:tcPr>
            <w:tcW w:w="2907" w:type="dxa"/>
          </w:tcPr>
          <w:p w14:paraId="366CE177" w14:textId="77777777" w:rsidR="0051166E" w:rsidRPr="000349EF" w:rsidRDefault="0051166E" w:rsidP="0051166E">
            <w:pPr>
              <w:rPr>
                <w:i/>
              </w:rPr>
            </w:pPr>
            <w:r w:rsidRPr="000349EF">
              <w:rPr>
                <w:i/>
              </w:rPr>
              <w:t>Pregnancy category:</w:t>
            </w:r>
          </w:p>
        </w:tc>
        <w:tc>
          <w:tcPr>
            <w:tcW w:w="6307" w:type="dxa"/>
          </w:tcPr>
          <w:p w14:paraId="3633E8C1" w14:textId="77777777" w:rsidR="0051166E" w:rsidRPr="000349EF" w:rsidRDefault="0051166E" w:rsidP="0051166E">
            <w:r w:rsidRPr="000349EF">
              <w:t>B1</w:t>
            </w:r>
          </w:p>
          <w:p w14:paraId="00750CFC" w14:textId="77777777" w:rsidR="0051166E" w:rsidRPr="000349EF" w:rsidRDefault="0051166E" w:rsidP="0051166E">
            <w:r w:rsidRPr="000349EF">
              <w:t>Drugs which have been taken by only a limited number of pregnant women and women of childbearing age, without an increase in the frequency of malformation or other direct or indirect harmful effects on the human fetus having been observed.</w:t>
            </w:r>
          </w:p>
          <w:p w14:paraId="257FBCFF" w14:textId="77777777" w:rsidR="0051166E" w:rsidRPr="000349EF" w:rsidRDefault="0051166E" w:rsidP="0051166E">
            <w:r w:rsidRPr="000349EF">
              <w:t>Studies in animals have not shown evidence of an increased occurrence of fetal damage.</w:t>
            </w:r>
          </w:p>
          <w:p w14:paraId="2ABC7D5F" w14:textId="21D82855" w:rsidR="0051166E" w:rsidRPr="000349EF" w:rsidRDefault="0051166E" w:rsidP="0051166E">
            <w:r w:rsidRPr="000349EF">
              <w:t xml:space="preserve">The use of any medicine during pregnancy requires careful consideration of both risks and benefits by the treating health professional. This must not be used as the sole basis of decision making in the use of medicines during pregnancy. The TGA does </w:t>
            </w:r>
            <w:r w:rsidRPr="000349EF">
              <w:lastRenderedPageBreak/>
              <w:t>not provide advice on the use of medicines in pregnancy for specific cases. More information is available from obstetric drug information services in your State or Territory.</w:t>
            </w:r>
          </w:p>
        </w:tc>
      </w:tr>
    </w:tbl>
    <w:p w14:paraId="6F9112FD" w14:textId="77777777" w:rsidR="008E7846" w:rsidRPr="000349EF" w:rsidRDefault="008E7846" w:rsidP="008E7846">
      <w:pPr>
        <w:pStyle w:val="Heading3"/>
      </w:pPr>
      <w:bookmarkStart w:id="16" w:name="_Toc247691503"/>
      <w:bookmarkStart w:id="17" w:name="_Toc314842484"/>
      <w:bookmarkStart w:id="18" w:name="_Toc96518177"/>
      <w:r w:rsidRPr="000349EF">
        <w:lastRenderedPageBreak/>
        <w:t>Product background</w:t>
      </w:r>
      <w:bookmarkEnd w:id="16"/>
      <w:bookmarkEnd w:id="17"/>
      <w:bookmarkEnd w:id="18"/>
    </w:p>
    <w:p w14:paraId="2B9270F8" w14:textId="54EDBFE0" w:rsidR="008E7846" w:rsidRPr="000349EF" w:rsidRDefault="00250271" w:rsidP="00940A89">
      <w:r w:rsidRPr="000349EF">
        <w:t xml:space="preserve">This AusPAR describes the application by </w:t>
      </w:r>
      <w:r w:rsidR="0051166E" w:rsidRPr="000349EF">
        <w:t xml:space="preserve">Moderna Australia Pty Ltd </w:t>
      </w:r>
      <w:r w:rsidRPr="000349EF">
        <w:t xml:space="preserve">(the sponsor) to register </w:t>
      </w:r>
      <w:r w:rsidR="0051166E" w:rsidRPr="000349EF">
        <w:t xml:space="preserve">Spikevax </w:t>
      </w:r>
      <w:r w:rsidRPr="000349EF">
        <w:t>(</w:t>
      </w:r>
      <w:r w:rsidR="009E455F" w:rsidRPr="000349EF">
        <w:t>elasomeran)</w:t>
      </w:r>
      <w:r w:rsidR="0051166E" w:rsidRPr="000349EF">
        <w:t xml:space="preserve"> COVID-19 vaccine</w:t>
      </w:r>
      <w:r w:rsidR="009E455F" w:rsidRPr="000349EF">
        <w:t xml:space="preserve">, </w:t>
      </w:r>
      <w:r w:rsidR="0051166E" w:rsidRPr="000349EF">
        <w:t>0.2 mg/mL, suspension for injection</w:t>
      </w:r>
      <w:r w:rsidRPr="000349EF">
        <w:t xml:space="preserve"> for the following proposed extension of indications</w:t>
      </w:r>
      <w:r w:rsidR="00CF5DAD" w:rsidRPr="000349EF">
        <w:t>:</w:t>
      </w:r>
    </w:p>
    <w:p w14:paraId="68B38E9B" w14:textId="5D8EC194" w:rsidR="009E455F" w:rsidRPr="000349EF" w:rsidRDefault="009E455F" w:rsidP="009E455F">
      <w:pPr>
        <w:ind w:left="720"/>
        <w:rPr>
          <w:i/>
          <w:iCs/>
        </w:rPr>
      </w:pPr>
      <w:r w:rsidRPr="000349EF">
        <w:rPr>
          <w:i/>
          <w:iCs/>
        </w:rPr>
        <w:t xml:space="preserve">Spikevax (elasomeran) COVID-19 </w:t>
      </w:r>
      <w:r w:rsidR="00A23298" w:rsidRPr="000349EF">
        <w:rPr>
          <w:i/>
          <w:iCs/>
        </w:rPr>
        <w:t>v</w:t>
      </w:r>
      <w:r w:rsidRPr="000349EF">
        <w:rPr>
          <w:i/>
          <w:iCs/>
        </w:rPr>
        <w:t>accine has provisional approval for the indication below:</w:t>
      </w:r>
    </w:p>
    <w:p w14:paraId="3FE6CC1E" w14:textId="6D4CE368" w:rsidR="009E455F" w:rsidRPr="000349EF" w:rsidRDefault="009E455F" w:rsidP="009E455F">
      <w:pPr>
        <w:ind w:left="720"/>
        <w:rPr>
          <w:i/>
          <w:iCs/>
        </w:rPr>
      </w:pPr>
      <w:r w:rsidRPr="000349EF">
        <w:rPr>
          <w:i/>
          <w:iCs/>
        </w:rPr>
        <w:t>Active immunisation to prevent coronavirus disease 2019 (COVID-19) caused by SARS-CoV-2 in individuals 6 years of age and older.</w:t>
      </w:r>
    </w:p>
    <w:p w14:paraId="59A2C78E" w14:textId="22C2329E" w:rsidR="009E455F" w:rsidRPr="000349EF" w:rsidRDefault="009E455F" w:rsidP="009E455F">
      <w:pPr>
        <w:ind w:left="720"/>
        <w:rPr>
          <w:i/>
          <w:iCs/>
        </w:rPr>
      </w:pPr>
      <w:r w:rsidRPr="000349EF">
        <w:rPr>
          <w:i/>
          <w:iCs/>
        </w:rPr>
        <w:t>The use of this vaccine should be in accordance with official recommendations.</w:t>
      </w:r>
    </w:p>
    <w:p w14:paraId="46A07C1E" w14:textId="449671DC" w:rsidR="009E455F" w:rsidRPr="000349EF" w:rsidRDefault="009E455F" w:rsidP="009E455F">
      <w:pPr>
        <w:ind w:left="720"/>
        <w:rPr>
          <w:i/>
          <w:iCs/>
        </w:rPr>
      </w:pPr>
      <w:r w:rsidRPr="000349EF">
        <w:rPr>
          <w:i/>
          <w:iCs/>
        </w:rPr>
        <w:t xml:space="preserve">The decision has been made </w:t>
      </w:r>
      <w:proofErr w:type="gramStart"/>
      <w:r w:rsidRPr="000349EF">
        <w:rPr>
          <w:i/>
          <w:iCs/>
        </w:rPr>
        <w:t>on the basis of</w:t>
      </w:r>
      <w:proofErr w:type="gramEnd"/>
      <w:r w:rsidRPr="000349EF">
        <w:rPr>
          <w:i/>
          <w:iCs/>
        </w:rPr>
        <w:t xml:space="preserve"> </w:t>
      </w:r>
      <w:r w:rsidRPr="000349EF">
        <w:rPr>
          <w:i/>
        </w:rPr>
        <w:t>short-term efficacy</w:t>
      </w:r>
      <w:r w:rsidRPr="000349EF">
        <w:rPr>
          <w:i/>
          <w:iCs/>
        </w:rPr>
        <w:t xml:space="preserve"> and safety data. Continued approval depends on the evidence of </w:t>
      </w:r>
      <w:r w:rsidRPr="000349EF">
        <w:rPr>
          <w:i/>
        </w:rPr>
        <w:t>longer term efficacy</w:t>
      </w:r>
      <w:r w:rsidRPr="000349EF">
        <w:rPr>
          <w:i/>
          <w:iCs/>
        </w:rPr>
        <w:t xml:space="preserve"> and safety from ongoing clinical trials and post-market assessment.</w:t>
      </w:r>
    </w:p>
    <w:p w14:paraId="0D4FA9AD" w14:textId="59C96203" w:rsidR="006F322A" w:rsidRPr="000349EF" w:rsidRDefault="005C1AF7" w:rsidP="006F322A">
      <w:r w:rsidRPr="000349EF">
        <w:t>Severe acute respiratory syndrome coronavirus 2 (</w:t>
      </w:r>
      <w:r w:rsidR="006F322A" w:rsidRPr="000349EF">
        <w:t>SARS-CoV-2</w:t>
      </w:r>
      <w:r w:rsidRPr="000349EF">
        <w:t>)</w:t>
      </w:r>
      <w:r w:rsidR="006F322A" w:rsidRPr="000349EF">
        <w:t xml:space="preserve"> is an enveloped, positive</w:t>
      </w:r>
      <w:r w:rsidR="0040408D" w:rsidRPr="000349EF">
        <w:t xml:space="preserve"> </w:t>
      </w:r>
      <w:r w:rsidR="006F322A" w:rsidRPr="000349EF">
        <w:t>sense, single</w:t>
      </w:r>
      <w:r w:rsidR="0040408D" w:rsidRPr="000349EF">
        <w:t xml:space="preserve"> </w:t>
      </w:r>
      <w:r w:rsidR="006F322A" w:rsidRPr="000349EF">
        <w:t xml:space="preserve">stranded </w:t>
      </w:r>
      <w:r w:rsidR="0040408D" w:rsidRPr="000349EF">
        <w:t>ribonucleic acid</w:t>
      </w:r>
      <w:r w:rsidR="006F322A" w:rsidRPr="000349EF">
        <w:t xml:space="preserve"> beta</w:t>
      </w:r>
      <w:r w:rsidR="0040408D" w:rsidRPr="000349EF">
        <w:t>-</w:t>
      </w:r>
      <w:r w:rsidR="006F322A" w:rsidRPr="000349EF">
        <w:t xml:space="preserve">coronavirus. SARS-CoV-2 has spread globally since its emergence, causing </w:t>
      </w:r>
      <w:r w:rsidR="0040408D" w:rsidRPr="000349EF">
        <w:t>coronavirus disease 2019 (</w:t>
      </w:r>
      <w:r w:rsidR="006F322A" w:rsidRPr="000349EF">
        <w:t>COVID-19</w:t>
      </w:r>
      <w:r w:rsidR="0040408D" w:rsidRPr="000349EF">
        <w:t>)</w:t>
      </w:r>
      <w:r w:rsidR="006F322A" w:rsidRPr="000349EF">
        <w:t>. The World Health Organization (WHO) declared that the outbreak constituted a public health emergency of international concern on 30 January 2020</w:t>
      </w:r>
      <w:r w:rsidR="00D6308D" w:rsidRPr="000349EF">
        <w:t>;</w:t>
      </w:r>
      <w:r w:rsidR="00D6308D" w:rsidRPr="000349EF">
        <w:rPr>
          <w:rStyle w:val="FootnoteReference"/>
        </w:rPr>
        <w:footnoteReference w:id="3"/>
      </w:r>
      <w:r w:rsidR="006F322A" w:rsidRPr="000349EF">
        <w:t xml:space="preserve"> and declared the outbreak to be a pandemic on 11 March 2020.</w:t>
      </w:r>
      <w:r w:rsidR="00D6308D" w:rsidRPr="000349EF">
        <w:rPr>
          <w:rStyle w:val="FootnoteReference"/>
        </w:rPr>
        <w:footnoteReference w:id="4"/>
      </w:r>
      <w:r w:rsidR="006F322A" w:rsidRPr="000349EF">
        <w:t xml:space="preserve"> COVID-19 is predominantly a </w:t>
      </w:r>
      <w:r w:rsidR="00FA483D" w:rsidRPr="000349EF">
        <w:t xml:space="preserve">disease affecting the </w:t>
      </w:r>
      <w:r w:rsidR="006F322A" w:rsidRPr="000349EF">
        <w:t xml:space="preserve">respiratory </w:t>
      </w:r>
      <w:proofErr w:type="gramStart"/>
      <w:r w:rsidR="00FA483D" w:rsidRPr="000349EF">
        <w:t>system, but</w:t>
      </w:r>
      <w:proofErr w:type="gramEnd"/>
      <w:r w:rsidR="006F322A" w:rsidRPr="000349EF">
        <w:t xml:space="preserve"> can affect other organ</w:t>
      </w:r>
      <w:r w:rsidR="00FA483D" w:rsidRPr="000349EF">
        <w:t xml:space="preserve"> systems</w:t>
      </w:r>
      <w:r w:rsidR="006F322A" w:rsidRPr="000349EF">
        <w:t xml:space="preserve">. People with COVID-19 have reported a wide range of symptoms, ranging from mild symptoms to severe illness. Symptoms may appear </w:t>
      </w:r>
      <w:r w:rsidR="00FA483D" w:rsidRPr="000349EF">
        <w:t xml:space="preserve">between </w:t>
      </w:r>
      <w:r w:rsidR="006F322A" w:rsidRPr="000349EF">
        <w:t>2</w:t>
      </w:r>
      <w:r w:rsidR="00D6308D" w:rsidRPr="000349EF">
        <w:t xml:space="preserve"> to </w:t>
      </w:r>
      <w:r w:rsidR="006F322A" w:rsidRPr="000349EF">
        <w:t>14 days after exposure to the virus</w:t>
      </w:r>
      <w:r w:rsidR="00FA483D" w:rsidRPr="000349EF">
        <w:t xml:space="preserve"> and </w:t>
      </w:r>
      <w:r w:rsidR="006F322A" w:rsidRPr="000349EF">
        <w:t xml:space="preserve">may include </w:t>
      </w:r>
      <w:r w:rsidR="00FA483D" w:rsidRPr="000349EF">
        <w:t xml:space="preserve">any combination of the following: </w:t>
      </w:r>
      <w:r w:rsidR="006F322A" w:rsidRPr="000349EF">
        <w:t xml:space="preserve">fever or chills; cough; shortness of breath; fatigue; muscle or body aches; headache; new loss of taste or smell; sore throat; congestion or runny nose; nausea or vomiting; </w:t>
      </w:r>
      <w:r w:rsidR="00FA483D" w:rsidRPr="000349EF">
        <w:t xml:space="preserve">or </w:t>
      </w:r>
      <w:r w:rsidR="006F322A" w:rsidRPr="000349EF">
        <w:t>diarrhoea.</w:t>
      </w:r>
    </w:p>
    <w:p w14:paraId="442D1343" w14:textId="77315036" w:rsidR="006F322A" w:rsidRPr="000349EF" w:rsidRDefault="006F322A" w:rsidP="006F322A">
      <w:r w:rsidRPr="000349EF">
        <w:t>Severe illness requiring hospitali</w:t>
      </w:r>
      <w:r w:rsidR="00A23298" w:rsidRPr="000349EF">
        <w:t>s</w:t>
      </w:r>
      <w:r w:rsidRPr="000349EF">
        <w:t xml:space="preserve">ation, admission to the intensive care unit (ICU), </w:t>
      </w:r>
      <w:r w:rsidR="00FA483D" w:rsidRPr="000349EF">
        <w:t xml:space="preserve">the need for </w:t>
      </w:r>
      <w:r w:rsidRPr="000349EF">
        <w:t>intubation</w:t>
      </w:r>
      <w:r w:rsidR="00FA483D" w:rsidRPr="000349EF">
        <w:t xml:space="preserve"> or</w:t>
      </w:r>
      <w:r w:rsidRPr="000349EF">
        <w:t xml:space="preserve"> mechanical </w:t>
      </w:r>
      <w:r w:rsidR="00D6308D" w:rsidRPr="000349EF">
        <w:t>ventilation,</w:t>
      </w:r>
      <w:r w:rsidRPr="000349EF">
        <w:t xml:space="preserve"> or death, can occur in adults of any age with COVID-19. Adults of any age with certain underlying comorbidities such as cancer, chronic kidney disease, chronic obstructive pulmonary disease, obesity, </w:t>
      </w:r>
      <w:r w:rsidR="006277A6" w:rsidRPr="000349EF">
        <w:t>Type 2</w:t>
      </w:r>
      <w:r w:rsidRPr="000349EF">
        <w:t xml:space="preserve"> diabetes, and immunocompromised states</w:t>
      </w:r>
      <w:r w:rsidR="006156CF" w:rsidRPr="000349EF">
        <w:t>, as well as women who are pregnant,</w:t>
      </w:r>
      <w:r w:rsidRPr="000349EF">
        <w:t xml:space="preserve"> are at increased risk for developing severe illness from the virus that causes COVID-19. Other medical conditions or factors also make certain individuals at high risk for progression to severe disease.</w:t>
      </w:r>
    </w:p>
    <w:p w14:paraId="1048BAC6" w14:textId="3FA70934" w:rsidR="006F322A" w:rsidRPr="000349EF" w:rsidRDefault="006F322A" w:rsidP="006F322A">
      <w:r w:rsidRPr="000349EF">
        <w:t xml:space="preserve">Following suppression of the initial outbreak in early 2020, the situation in Australia has been characterised by periods of zero community transmission, interspersed with sporadic outbreaks caused by escape of the virus from the hotel quarantine system that </w:t>
      </w:r>
      <w:r w:rsidRPr="000349EF">
        <w:lastRenderedPageBreak/>
        <w:t>has been used for returning overseas travellers.</w:t>
      </w:r>
      <w:r w:rsidR="00FB2805" w:rsidRPr="000349EF">
        <w:t xml:space="preserve"> In Australia, there have been </w:t>
      </w:r>
      <w:r w:rsidR="000E6EA0" w:rsidRPr="000349EF">
        <w:t>over 2.</w:t>
      </w:r>
      <w:r w:rsidR="0058785A">
        <w:t>6</w:t>
      </w:r>
      <w:r w:rsidR="003B69A1">
        <w:t> </w:t>
      </w:r>
      <w:r w:rsidR="000E6EA0" w:rsidRPr="000349EF">
        <w:t xml:space="preserve">million </w:t>
      </w:r>
      <w:r w:rsidR="00FB2805" w:rsidRPr="000349EF">
        <w:t xml:space="preserve">cases and </w:t>
      </w:r>
      <w:r w:rsidR="0058785A">
        <w:t>4</w:t>
      </w:r>
      <w:r w:rsidR="000E6EA0" w:rsidRPr="000349EF">
        <w:t>,9</w:t>
      </w:r>
      <w:r w:rsidR="0058785A">
        <w:t>13</w:t>
      </w:r>
      <w:r w:rsidR="00FB2805" w:rsidRPr="000349EF">
        <w:t xml:space="preserve"> deaths reported in Australia as of </w:t>
      </w:r>
      <w:r w:rsidR="0058785A">
        <w:t>20</w:t>
      </w:r>
      <w:r w:rsidR="000E6EA0" w:rsidRPr="000349EF">
        <w:t xml:space="preserve"> February 2022</w:t>
      </w:r>
      <w:r w:rsidR="00FB2805" w:rsidRPr="000349EF">
        <w:t>.</w:t>
      </w:r>
      <w:r w:rsidR="00FB2805" w:rsidRPr="000349EF">
        <w:rPr>
          <w:rStyle w:val="FootnoteReference"/>
        </w:rPr>
        <w:footnoteReference w:id="5"/>
      </w:r>
    </w:p>
    <w:p w14:paraId="0D6AD54E" w14:textId="730C98A6" w:rsidR="000E6EA0" w:rsidRPr="000349EF" w:rsidRDefault="006F322A" w:rsidP="000E6EA0">
      <w:r w:rsidRPr="000349EF">
        <w:t xml:space="preserve">In Australia, as </w:t>
      </w:r>
      <w:proofErr w:type="gramStart"/>
      <w:r w:rsidR="000E6EA0" w:rsidRPr="000349EF">
        <w:t>at</w:t>
      </w:r>
      <w:proofErr w:type="gramEnd"/>
      <w:r w:rsidRPr="000349EF">
        <w:t xml:space="preserve"> </w:t>
      </w:r>
      <w:r w:rsidR="000E6EA0" w:rsidRPr="000349EF">
        <w:t>16 January 2022</w:t>
      </w:r>
      <w:r w:rsidRPr="000349EF">
        <w:t xml:space="preserve">, there had been </w:t>
      </w:r>
      <w:r w:rsidR="000E6EA0" w:rsidRPr="000349EF">
        <w:t xml:space="preserve">45,954,013 </w:t>
      </w:r>
      <w:r w:rsidRPr="000349EF">
        <w:t xml:space="preserve">doses of COVID-19 vaccine administered in Australia. Nationally, </w:t>
      </w:r>
      <w:r w:rsidR="000E6EA0" w:rsidRPr="000349EF">
        <w:t xml:space="preserve">19,597,960 </w:t>
      </w:r>
      <w:r w:rsidRPr="000349EF">
        <w:t>people aged 16 years or over (</w:t>
      </w:r>
      <w:r w:rsidR="009F5E2E" w:rsidRPr="000349EF">
        <w:t xml:space="preserve">92.9%) </w:t>
      </w:r>
      <w:r w:rsidRPr="000349EF">
        <w:t xml:space="preserve">had received at least one dose, including </w:t>
      </w:r>
      <w:r w:rsidR="000E6EA0" w:rsidRPr="000349EF">
        <w:t xml:space="preserve">19,082,286 </w:t>
      </w:r>
      <w:r w:rsidRPr="000349EF">
        <w:t>people aged 16 and over (</w:t>
      </w:r>
      <w:r w:rsidR="000E6EA0" w:rsidRPr="000349EF">
        <w:t>92.5%</w:t>
      </w:r>
      <w:r w:rsidRPr="000349EF">
        <w:t>) who were fully vaccinated.</w:t>
      </w:r>
      <w:r w:rsidR="009F5E2E" w:rsidRPr="000349EF">
        <w:rPr>
          <w:vertAlign w:val="superscript"/>
        </w:rPr>
        <w:footnoteReference w:id="6"/>
      </w:r>
      <w:r w:rsidRPr="000349EF">
        <w:t xml:space="preserve"> However, the vaccine rollout for younger individuals have been limited as the vaccine rollout to &lt; 12 years old </w:t>
      </w:r>
      <w:r w:rsidR="000E6EA0" w:rsidRPr="000349EF">
        <w:t xml:space="preserve">has only </w:t>
      </w:r>
      <w:r w:rsidRPr="000349EF">
        <w:t>start</w:t>
      </w:r>
      <w:r w:rsidR="000E6EA0" w:rsidRPr="000349EF">
        <w:t>ed</w:t>
      </w:r>
      <w:r w:rsidRPr="000349EF">
        <w:t xml:space="preserve"> from January 2022.</w:t>
      </w:r>
      <w:r w:rsidR="000E6EA0" w:rsidRPr="000349EF">
        <w:t xml:space="preserve"> As </w:t>
      </w:r>
      <w:proofErr w:type="gramStart"/>
      <w:r w:rsidR="000E6EA0" w:rsidRPr="000349EF">
        <w:t>at</w:t>
      </w:r>
      <w:proofErr w:type="gramEnd"/>
      <w:r w:rsidR="000E6EA0" w:rsidRPr="000349EF">
        <w:t xml:space="preserve"> 16 January 2022, among people aged 12 to 15 years, 1,012,626 people (81.4%) had received at least one dose, including 933,566 (75%) who were fully vaccinated. Among people aged 5 to 11 years, 295,106 (12.9%) had received at least one dose.</w:t>
      </w:r>
    </w:p>
    <w:p w14:paraId="56A97371" w14:textId="7F817EE4" w:rsidR="006F322A" w:rsidRPr="000349EF" w:rsidRDefault="006F322A" w:rsidP="006F322A">
      <w:r w:rsidRPr="000349EF">
        <w:t xml:space="preserve">There are currently four vaccines on the </w:t>
      </w:r>
      <w:r w:rsidR="006156CF" w:rsidRPr="000349EF">
        <w:t>Australian Register of Therapeutic Goods (</w:t>
      </w:r>
      <w:r w:rsidRPr="000349EF">
        <w:t>ARTG</w:t>
      </w:r>
      <w:r w:rsidR="006156CF" w:rsidRPr="000349EF">
        <w:t>)</w:t>
      </w:r>
      <w:r w:rsidRPr="000349EF">
        <w:t>, and all are approved under the provisional pathway:</w:t>
      </w:r>
      <w:bookmarkStart w:id="19" w:name="_Ref91015597"/>
      <w:r w:rsidR="007E0AF7" w:rsidRPr="000349EF">
        <w:rPr>
          <w:rStyle w:val="FootnoteReference"/>
        </w:rPr>
        <w:footnoteReference w:id="7"/>
      </w:r>
      <w:bookmarkEnd w:id="19"/>
    </w:p>
    <w:p w14:paraId="082B3D16" w14:textId="263BA17D" w:rsidR="00FB2805" w:rsidRPr="000349EF" w:rsidRDefault="00FB2805" w:rsidP="00FB2805">
      <w:pPr>
        <w:pStyle w:val="ListBullet2"/>
        <w:numPr>
          <w:ilvl w:val="1"/>
          <w:numId w:val="3"/>
        </w:numPr>
      </w:pPr>
      <w:r w:rsidRPr="000349EF">
        <w:t>Comirnaty (</w:t>
      </w:r>
      <w:r w:rsidR="00CF3F28" w:rsidRPr="000349EF">
        <w:t xml:space="preserve">BNT162b2 (mRNA) or </w:t>
      </w:r>
      <w:r w:rsidRPr="000349EF">
        <w:t>tozinameran)</w:t>
      </w:r>
      <w:r w:rsidRPr="000349EF">
        <w:rPr>
          <w:rStyle w:val="FootnoteReference"/>
        </w:rPr>
        <w:footnoteReference w:id="8"/>
      </w:r>
      <w:r w:rsidRPr="000349EF">
        <w:t xml:space="preserve">, the Pfizer/BioNTech </w:t>
      </w:r>
      <w:r w:rsidR="00973C4A" w:rsidRPr="000349EF">
        <w:t xml:space="preserve">messenger ribonucleic acid (mRNA) </w:t>
      </w:r>
      <w:r w:rsidRPr="000349EF">
        <w:t>vaccine, provisionally approved for active immunisation to prevent COVID-19 caused by SARS-CoV-2, in individuals 5 years of age and older.</w:t>
      </w:r>
      <w:bookmarkStart w:id="20" w:name="_Ref90999008"/>
      <w:r w:rsidRPr="000349EF">
        <w:rPr>
          <w:rStyle w:val="FootnoteReference"/>
        </w:rPr>
        <w:footnoteReference w:id="9"/>
      </w:r>
      <w:bookmarkEnd w:id="20"/>
      <w:r w:rsidRPr="000349EF">
        <w:rPr>
          <w:vertAlign w:val="superscript"/>
        </w:rPr>
        <w:t>,</w:t>
      </w:r>
      <w:r w:rsidRPr="000349EF">
        <w:rPr>
          <w:rStyle w:val="FootnoteReference"/>
        </w:rPr>
        <w:footnoteReference w:id="10"/>
      </w:r>
      <w:r w:rsidRPr="000349EF">
        <w:rPr>
          <w:vertAlign w:val="superscript"/>
        </w:rPr>
        <w:t>,</w:t>
      </w:r>
      <w:r w:rsidRPr="000349EF">
        <w:rPr>
          <w:rStyle w:val="FootnoteReference"/>
        </w:rPr>
        <w:footnoteReference w:id="11"/>
      </w:r>
      <w:r w:rsidRPr="000349EF">
        <w:rPr>
          <w:vertAlign w:val="superscript"/>
        </w:rPr>
        <w:t>,</w:t>
      </w:r>
      <w:r w:rsidRPr="000349EF">
        <w:rPr>
          <w:rStyle w:val="FootnoteReference"/>
        </w:rPr>
        <w:footnoteReference w:id="12"/>
      </w:r>
    </w:p>
    <w:p w14:paraId="7DD33940" w14:textId="3BC6F004" w:rsidR="00FB2805" w:rsidRPr="000349EF" w:rsidRDefault="00FB2805" w:rsidP="00A0355F">
      <w:pPr>
        <w:pStyle w:val="ListBullet2"/>
        <w:numPr>
          <w:ilvl w:val="1"/>
          <w:numId w:val="3"/>
        </w:numPr>
      </w:pPr>
      <w:r w:rsidRPr="000349EF">
        <w:t xml:space="preserve">COVID-19 Vaccine AstraZeneca (ChAdOx1-S), an adenoviral vectored vaccine, provisionally approved for active immunisation </w:t>
      </w:r>
      <w:r w:rsidR="00CF3F28" w:rsidRPr="000349EF">
        <w:t xml:space="preserve">to prevent COVID-19 caused by SARS-CoV-2, in </w:t>
      </w:r>
      <w:r w:rsidRPr="000349EF">
        <w:t xml:space="preserve">individuals 18 years </w:t>
      </w:r>
      <w:r w:rsidR="00CF3F28" w:rsidRPr="000349EF">
        <w:t xml:space="preserve">of age and </w:t>
      </w:r>
      <w:r w:rsidRPr="000349EF">
        <w:t>old</w:t>
      </w:r>
      <w:r w:rsidR="00CF3F28" w:rsidRPr="000349EF">
        <w:t>er</w:t>
      </w:r>
      <w:r w:rsidRPr="000349EF">
        <w:t>.</w:t>
      </w:r>
      <w:r w:rsidRPr="000349EF">
        <w:rPr>
          <w:rStyle w:val="FootnoteReference"/>
        </w:rPr>
        <w:footnoteReference w:id="13"/>
      </w:r>
      <w:r w:rsidRPr="000349EF">
        <w:rPr>
          <w:vertAlign w:val="superscript"/>
        </w:rPr>
        <w:t>,</w:t>
      </w:r>
      <w:r w:rsidRPr="000349EF">
        <w:rPr>
          <w:rStyle w:val="FootnoteReference"/>
        </w:rPr>
        <w:footnoteReference w:id="14"/>
      </w:r>
    </w:p>
    <w:p w14:paraId="2B48384C" w14:textId="69B8FC34" w:rsidR="00FB2805" w:rsidRPr="000349EF" w:rsidRDefault="00FB2805" w:rsidP="00FB2805">
      <w:pPr>
        <w:pStyle w:val="ListBullet2"/>
        <w:numPr>
          <w:ilvl w:val="1"/>
          <w:numId w:val="3"/>
        </w:numPr>
      </w:pPr>
      <w:r w:rsidRPr="000349EF">
        <w:lastRenderedPageBreak/>
        <w:t>COVID-19 Vaccine Janssen (Ad26.COV</w:t>
      </w:r>
      <w:proofErr w:type="gramStart"/>
      <w:r w:rsidRPr="000349EF">
        <w:t>2.S</w:t>
      </w:r>
      <w:proofErr w:type="gramEnd"/>
      <w:r w:rsidRPr="000349EF">
        <w:t>), an adenoviral vectored vaccine, provisionally approved for active immunisation to prevent COVID-19 caused by SARS-CoV-2</w:t>
      </w:r>
      <w:r w:rsidR="00973C4A" w:rsidRPr="000349EF">
        <w:t>,</w:t>
      </w:r>
      <w:r w:rsidRPr="000349EF">
        <w:t xml:space="preserve"> in individuals 18 years of age and older.</w:t>
      </w:r>
      <w:r w:rsidRPr="000349EF">
        <w:rPr>
          <w:rStyle w:val="FootnoteReference"/>
        </w:rPr>
        <w:footnoteReference w:id="15"/>
      </w:r>
      <w:r w:rsidRPr="000349EF">
        <w:rPr>
          <w:vertAlign w:val="superscript"/>
        </w:rPr>
        <w:t>,</w:t>
      </w:r>
      <w:r w:rsidRPr="000349EF">
        <w:rPr>
          <w:rStyle w:val="FootnoteReference"/>
        </w:rPr>
        <w:footnoteReference w:id="16"/>
      </w:r>
    </w:p>
    <w:p w14:paraId="4C8906BA" w14:textId="29B4CCD3" w:rsidR="00FB2805" w:rsidRPr="000349EF" w:rsidRDefault="00FB2805" w:rsidP="006F322A">
      <w:pPr>
        <w:pStyle w:val="ListBullet2"/>
        <w:numPr>
          <w:ilvl w:val="1"/>
          <w:numId w:val="3"/>
        </w:numPr>
      </w:pPr>
      <w:r w:rsidRPr="000349EF">
        <w:t xml:space="preserve">Spikevax (elasomeran) COVID-19 vaccine, the Moderna </w:t>
      </w:r>
      <w:r w:rsidR="00973C4A" w:rsidRPr="000349EF">
        <w:t xml:space="preserve">mRNA </w:t>
      </w:r>
      <w:r w:rsidRPr="000349EF">
        <w:t>vaccine, provisionally approv</w:t>
      </w:r>
      <w:r w:rsidR="00973C4A" w:rsidRPr="000349EF">
        <w:t>ed</w:t>
      </w:r>
      <w:r w:rsidRPr="000349EF">
        <w:t xml:space="preserve"> for active immunisation to prevent COVID-19 caused by SARS-CoV-2</w:t>
      </w:r>
      <w:r w:rsidR="00973C4A" w:rsidRPr="000349EF">
        <w:t>,</w:t>
      </w:r>
      <w:r w:rsidRPr="000349EF">
        <w:t xml:space="preserve"> in individuals 1</w:t>
      </w:r>
      <w:r w:rsidR="00973C4A" w:rsidRPr="000349EF">
        <w:t>2</w:t>
      </w:r>
      <w:r w:rsidRPr="000349EF">
        <w:t xml:space="preserve"> years of age and older.</w:t>
      </w:r>
      <w:r w:rsidRPr="000349EF">
        <w:rPr>
          <w:rStyle w:val="FootnoteReference"/>
        </w:rPr>
        <w:footnoteReference w:id="17"/>
      </w:r>
      <w:r w:rsidRPr="000349EF">
        <w:rPr>
          <w:vertAlign w:val="superscript"/>
        </w:rPr>
        <w:t>,</w:t>
      </w:r>
      <w:r w:rsidRPr="000349EF">
        <w:rPr>
          <w:rStyle w:val="FootnoteReference"/>
        </w:rPr>
        <w:footnoteReference w:id="18"/>
      </w:r>
      <w:r w:rsidRPr="000349EF">
        <w:rPr>
          <w:vertAlign w:val="superscript"/>
        </w:rPr>
        <w:t>,</w:t>
      </w:r>
      <w:r w:rsidRPr="000349EF">
        <w:rPr>
          <w:rStyle w:val="FootnoteReference"/>
        </w:rPr>
        <w:footnoteReference w:id="19"/>
      </w:r>
    </w:p>
    <w:p w14:paraId="28DDB89F" w14:textId="5A52F75F" w:rsidR="007060C3" w:rsidRPr="000349EF" w:rsidRDefault="007060C3" w:rsidP="006F322A">
      <w:r w:rsidRPr="000349EF">
        <w:t>Spikevax (elasomeran) COVID-19 vaccine is comprised of synthetic mRNA encoding the full</w:t>
      </w:r>
      <w:r w:rsidRPr="000349EF">
        <w:noBreakHyphen/>
        <w:t xml:space="preserve">length SARS-CoV-2 spike protein modified with </w:t>
      </w:r>
      <w:r w:rsidR="008D4B9A">
        <w:t>two</w:t>
      </w:r>
      <w:r w:rsidRPr="000349EF">
        <w:t xml:space="preserve"> proline substitutions within the heptad repeat 1 domain to stabilise the spike protein into a prefusion conformation. The mRNA is encapsulated in lipid nanoparticles, </w:t>
      </w:r>
      <w:r w:rsidR="0064176E" w:rsidRPr="000349EF">
        <w:t xml:space="preserve">a </w:t>
      </w:r>
      <w:r w:rsidR="002634DE" w:rsidRPr="000349EF">
        <w:t xml:space="preserve">delivery </w:t>
      </w:r>
      <w:r w:rsidR="0064176E" w:rsidRPr="000349EF">
        <w:t xml:space="preserve">system that </w:t>
      </w:r>
      <w:r w:rsidRPr="000349EF">
        <w:t xml:space="preserve">enables </w:t>
      </w:r>
      <w:r w:rsidR="0064176E" w:rsidRPr="000349EF">
        <w:t xml:space="preserve">the mRNA to </w:t>
      </w:r>
      <w:proofErr w:type="gramStart"/>
      <w:r w:rsidR="002634DE" w:rsidRPr="000349EF">
        <w:t>enter</w:t>
      </w:r>
      <w:r w:rsidRPr="000349EF">
        <w:t xml:space="preserve"> into</w:t>
      </w:r>
      <w:proofErr w:type="gramEnd"/>
      <w:r w:rsidRPr="000349EF">
        <w:t xml:space="preserve"> host cells. Once </w:t>
      </w:r>
      <w:r w:rsidR="002634DE" w:rsidRPr="000349EF">
        <w:t xml:space="preserve">the vaccine is </w:t>
      </w:r>
      <w:r w:rsidRPr="000349EF">
        <w:t xml:space="preserve">injected, cells at the injection site and the draining lymph nodes take up the lipid nanoparticle containing the mRNA and deliver it into </w:t>
      </w:r>
      <w:r w:rsidR="002634DE" w:rsidRPr="000349EF">
        <w:t xml:space="preserve">host </w:t>
      </w:r>
      <w:r w:rsidRPr="000349EF">
        <w:t xml:space="preserve">cells for expression into </w:t>
      </w:r>
      <w:r w:rsidR="002634DE" w:rsidRPr="000349EF">
        <w:t>a protein chain that resembles the virus’</w:t>
      </w:r>
      <w:r w:rsidRPr="000349EF">
        <w:t xml:space="preserve"> spike protein. This elicits </w:t>
      </w:r>
      <w:r w:rsidR="005268E2" w:rsidRPr="000349EF">
        <w:t xml:space="preserve">host’s </w:t>
      </w:r>
      <w:r w:rsidRPr="000349EF">
        <w:t>antibody and cellular immune responses, which may contribute to protection against COVID-19.</w:t>
      </w:r>
    </w:p>
    <w:p w14:paraId="6BEF3ED8" w14:textId="77777777" w:rsidR="008E7846" w:rsidRPr="000349EF" w:rsidRDefault="00386150" w:rsidP="008E7846">
      <w:pPr>
        <w:pStyle w:val="Heading3"/>
      </w:pPr>
      <w:bookmarkStart w:id="21" w:name="_Toc314842485"/>
      <w:bookmarkStart w:id="22" w:name="_Toc247691504"/>
      <w:bookmarkStart w:id="23" w:name="_Toc96518178"/>
      <w:r w:rsidRPr="000349EF">
        <w:t>Regulatory s</w:t>
      </w:r>
      <w:r w:rsidR="008E7846" w:rsidRPr="000349EF">
        <w:t>tatus</w:t>
      </w:r>
      <w:bookmarkEnd w:id="21"/>
      <w:bookmarkEnd w:id="22"/>
      <w:bookmarkEnd w:id="23"/>
    </w:p>
    <w:p w14:paraId="1FBC0B84" w14:textId="2D4E7EA1" w:rsidR="00441B62" w:rsidRPr="000349EF" w:rsidRDefault="000B2AF9" w:rsidP="000B2AF9">
      <w:bookmarkStart w:id="24" w:name="_Toc247691505"/>
      <w:bookmarkStart w:id="25" w:name="_Toc314842486"/>
      <w:r w:rsidRPr="000349EF">
        <w:t>The product received initial registration on the Australian Register of Therapeutic Goods (ARTG) on 9 August 2021 for the below indication.</w:t>
      </w:r>
    </w:p>
    <w:p w14:paraId="6D9636E8" w14:textId="77777777" w:rsidR="000B2AF9" w:rsidRPr="000349EF" w:rsidRDefault="000B2AF9" w:rsidP="000B2AF9">
      <w:pPr>
        <w:ind w:left="720"/>
        <w:rPr>
          <w:i/>
          <w:iCs/>
        </w:rPr>
      </w:pPr>
      <w:r w:rsidRPr="000349EF">
        <w:rPr>
          <w:i/>
          <w:iCs/>
        </w:rPr>
        <w:t>Spikevax (elasomeran) COVID-19 vaccine has provisional approval for the indication below:</w:t>
      </w:r>
    </w:p>
    <w:p w14:paraId="36C55064" w14:textId="205B0E95" w:rsidR="000B2AF9" w:rsidRPr="000349EF" w:rsidRDefault="000B2AF9" w:rsidP="000B2AF9">
      <w:pPr>
        <w:ind w:left="720"/>
        <w:rPr>
          <w:i/>
          <w:iCs/>
        </w:rPr>
      </w:pPr>
      <w:r w:rsidRPr="000349EF">
        <w:rPr>
          <w:i/>
          <w:iCs/>
        </w:rPr>
        <w:t>Active immunisation to prevent coronavirus disease 2019 (COVID-19) caused by SARS-CoV-2 in individuals 18 years of age and older.</w:t>
      </w:r>
    </w:p>
    <w:p w14:paraId="4AA9E711" w14:textId="77777777" w:rsidR="000B2AF9" w:rsidRPr="000349EF" w:rsidRDefault="000B2AF9" w:rsidP="000B2AF9">
      <w:pPr>
        <w:ind w:left="720"/>
        <w:rPr>
          <w:i/>
          <w:iCs/>
        </w:rPr>
      </w:pPr>
      <w:r w:rsidRPr="000349EF">
        <w:rPr>
          <w:i/>
          <w:iCs/>
        </w:rPr>
        <w:t>The use of this vaccine should be in accordance with official recommendations.</w:t>
      </w:r>
    </w:p>
    <w:p w14:paraId="73124FBD" w14:textId="77777777" w:rsidR="000B2AF9" w:rsidRPr="000349EF" w:rsidRDefault="000B2AF9" w:rsidP="000B2AF9">
      <w:pPr>
        <w:ind w:left="720"/>
      </w:pPr>
      <w:r w:rsidRPr="000349EF">
        <w:rPr>
          <w:i/>
          <w:iCs/>
        </w:rPr>
        <w:t xml:space="preserve">The decision has been made </w:t>
      </w:r>
      <w:proofErr w:type="gramStart"/>
      <w:r w:rsidRPr="000349EF">
        <w:rPr>
          <w:i/>
          <w:iCs/>
        </w:rPr>
        <w:t>on the basis of</w:t>
      </w:r>
      <w:proofErr w:type="gramEnd"/>
      <w:r w:rsidRPr="000349EF">
        <w:rPr>
          <w:i/>
          <w:iCs/>
        </w:rPr>
        <w:t xml:space="preserve"> short-term efficacy and safety data. Continued approval depends on the evidence of longer term efficacy and safety from ongoing clinical trials and post-market assessment.</w:t>
      </w:r>
    </w:p>
    <w:p w14:paraId="1995A7F8" w14:textId="7E0054CA" w:rsidR="00006FAB" w:rsidRPr="000349EF" w:rsidRDefault="00006FAB" w:rsidP="00006FAB">
      <w:r w:rsidRPr="000349EF">
        <w:t xml:space="preserve">At the time the TGA considered this application, a similar application was under consideration in </w:t>
      </w:r>
      <w:r w:rsidR="00BD11AC" w:rsidRPr="000349EF">
        <w:t xml:space="preserve">the European Union </w:t>
      </w:r>
      <w:r w:rsidRPr="000349EF">
        <w:t>(</w:t>
      </w:r>
      <w:r w:rsidR="00BD11AC" w:rsidRPr="000349EF">
        <w:t>submitted on 8 November 2021</w:t>
      </w:r>
      <w:r w:rsidRPr="000349EF">
        <w:t>).</w:t>
      </w:r>
    </w:p>
    <w:p w14:paraId="197CCB0B" w14:textId="58A4437F" w:rsidR="008E7846" w:rsidRPr="000349EF" w:rsidRDefault="008E7846" w:rsidP="00940A89">
      <w:pPr>
        <w:pStyle w:val="Heading3"/>
      </w:pPr>
      <w:bookmarkStart w:id="26" w:name="_Toc96518179"/>
      <w:r w:rsidRPr="000349EF">
        <w:t>Product Information</w:t>
      </w:r>
      <w:bookmarkEnd w:id="24"/>
      <w:bookmarkEnd w:id="25"/>
      <w:bookmarkEnd w:id="26"/>
    </w:p>
    <w:p w14:paraId="638612C7" w14:textId="6D2772A1" w:rsidR="00940A89" w:rsidRPr="000349EF" w:rsidRDefault="006136D7" w:rsidP="00940A89">
      <w:bookmarkStart w:id="27" w:name="_Toc247691506"/>
      <w:bookmarkStart w:id="28" w:name="_Toc314842487"/>
      <w:r w:rsidRPr="000349EF">
        <w:t xml:space="preserve">The Product Information (PI) approved with the submission which is described in this AusPAR can be found as Attachment 1. For the most recent PI, please refer to the TGA website at </w:t>
      </w:r>
      <w:r w:rsidR="00441C3F" w:rsidRPr="000349EF">
        <w:t>&lt;</w:t>
      </w:r>
      <w:hyperlink r:id="rId19" w:history="1">
        <w:r w:rsidR="009F5E2E" w:rsidRPr="000349EF">
          <w:rPr>
            <w:rStyle w:val="Hyperlink"/>
          </w:rPr>
          <w:t>https://www.tga.gov.au/product-information-pi</w:t>
        </w:r>
      </w:hyperlink>
      <w:r w:rsidR="00441C3F" w:rsidRPr="000349EF">
        <w:t>&gt;</w:t>
      </w:r>
      <w:r w:rsidR="00940A89" w:rsidRPr="000349EF">
        <w:t>.</w:t>
      </w:r>
    </w:p>
    <w:p w14:paraId="5C8EA930" w14:textId="77777777" w:rsidR="00500337" w:rsidRPr="000349EF" w:rsidRDefault="00500337" w:rsidP="00500337">
      <w:pPr>
        <w:pStyle w:val="Heading2"/>
      </w:pPr>
      <w:bookmarkStart w:id="29" w:name="_Toc504480011"/>
      <w:bookmarkStart w:id="30" w:name="_Toc96518180"/>
      <w:r w:rsidRPr="000349EF">
        <w:t>II. Registration timeline</w:t>
      </w:r>
      <w:bookmarkEnd w:id="29"/>
      <w:bookmarkEnd w:id="30"/>
    </w:p>
    <w:p w14:paraId="67FD6E8D" w14:textId="77777777" w:rsidR="00500337" w:rsidRPr="000349EF" w:rsidRDefault="00500337" w:rsidP="00500337">
      <w:r w:rsidRPr="000349EF">
        <w:t xml:space="preserve">The following table captures the key steps and dates for this </w:t>
      </w:r>
      <w:proofErr w:type="gramStart"/>
      <w:r w:rsidRPr="000349EF">
        <w:t>application</w:t>
      </w:r>
      <w:proofErr w:type="gramEnd"/>
      <w:r w:rsidRPr="000349EF">
        <w:t xml:space="preserve"> and which are detailed and discussed in this AusPAR.</w:t>
      </w:r>
    </w:p>
    <w:p w14:paraId="12A4AEE5" w14:textId="7F53365E" w:rsidR="00172ACC" w:rsidRPr="000349EF" w:rsidRDefault="00172ACC" w:rsidP="00172ACC">
      <w:r w:rsidRPr="000349EF">
        <w:lastRenderedPageBreak/>
        <w:t xml:space="preserve">Data were provided as </w:t>
      </w:r>
      <w:r w:rsidR="006156CF" w:rsidRPr="000349EF">
        <w:t xml:space="preserve">part of </w:t>
      </w:r>
      <w:r w:rsidRPr="000349EF">
        <w:t xml:space="preserve">a rolling submission. Under normal circumstances, </w:t>
      </w:r>
      <w:r w:rsidR="006156CF" w:rsidRPr="000349EF">
        <w:t xml:space="preserve">the </w:t>
      </w:r>
      <w:r w:rsidRPr="000349EF">
        <w:t>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comes to hand.</w:t>
      </w:r>
    </w:p>
    <w:p w14:paraId="3659B34D" w14:textId="57E603BE" w:rsidR="00AD5E5D" w:rsidRPr="000349EF" w:rsidRDefault="00AD5E5D" w:rsidP="00172ACC">
      <w:r w:rsidRPr="000349EF">
        <w:t>In the assessment of the application described in this report, consideration for approval was discussed in two separate meetings of Advisory Committee for Vaccines (ACV).</w:t>
      </w:r>
      <w:r w:rsidR="005004C0" w:rsidRPr="000349EF">
        <w:rPr>
          <w:vertAlign w:val="superscript"/>
        </w:rPr>
        <w:fldChar w:fldCharType="begin"/>
      </w:r>
      <w:r w:rsidR="005004C0" w:rsidRPr="000349EF">
        <w:rPr>
          <w:vertAlign w:val="superscript"/>
        </w:rPr>
        <w:instrText xml:space="preserve"> NOTEREF _Ref91005193 \h  \* MERGEFORMAT </w:instrText>
      </w:r>
      <w:r w:rsidR="005004C0" w:rsidRPr="000349EF">
        <w:rPr>
          <w:vertAlign w:val="superscript"/>
        </w:rPr>
      </w:r>
      <w:r w:rsidR="005004C0" w:rsidRPr="000349EF">
        <w:rPr>
          <w:vertAlign w:val="superscript"/>
        </w:rPr>
        <w:fldChar w:fldCharType="separate"/>
      </w:r>
      <w:r w:rsidR="00235E4B">
        <w:rPr>
          <w:vertAlign w:val="superscript"/>
        </w:rPr>
        <w:t>35</w:t>
      </w:r>
      <w:r w:rsidR="005004C0" w:rsidRPr="000349EF">
        <w:rPr>
          <w:vertAlign w:val="superscript"/>
        </w:rPr>
        <w:fldChar w:fldCharType="end"/>
      </w:r>
      <w:r w:rsidRPr="000349EF">
        <w:t xml:space="preserve"> As a result of being discussed in these two ACV meetings, two Delegate’s Overviews were prepared, one for each meeting.</w:t>
      </w:r>
    </w:p>
    <w:p w14:paraId="575B9C22" w14:textId="027EEC17" w:rsidR="006A58A8" w:rsidRPr="000349EF" w:rsidRDefault="00306132" w:rsidP="00306132">
      <w:pPr>
        <w:pStyle w:val="TableTitle"/>
      </w:pPr>
      <w:r w:rsidRPr="000349EF">
        <w:t xml:space="preserve">Table </w:t>
      </w:r>
      <w:r w:rsidR="00571D7C">
        <w:fldChar w:fldCharType="begin"/>
      </w:r>
      <w:r w:rsidR="00571D7C">
        <w:instrText xml:space="preserve"> SEQ Table \* ARABIC </w:instrText>
      </w:r>
      <w:r w:rsidR="00571D7C">
        <w:fldChar w:fldCharType="separate"/>
      </w:r>
      <w:r w:rsidR="00235E4B">
        <w:rPr>
          <w:noProof/>
        </w:rPr>
        <w:t>1</w:t>
      </w:r>
      <w:r w:rsidR="00571D7C">
        <w:rPr>
          <w:noProof/>
        </w:rPr>
        <w:fldChar w:fldCharType="end"/>
      </w:r>
      <w:r w:rsidR="00006FAB" w:rsidRPr="000349EF">
        <w:t>:</w:t>
      </w:r>
      <w:r w:rsidR="006A58A8" w:rsidRPr="000349EF">
        <w:t xml:space="preserve"> Timeline for Submission PM-</w:t>
      </w:r>
      <w:r w:rsidR="00221451" w:rsidRPr="000349EF">
        <w:t>2021-05269-1-2</w:t>
      </w:r>
    </w:p>
    <w:tbl>
      <w:tblPr>
        <w:tblStyle w:val="TableTGAblue"/>
        <w:tblW w:w="8495" w:type="dxa"/>
        <w:tblLook w:val="04A0" w:firstRow="1" w:lastRow="0" w:firstColumn="1" w:lastColumn="0" w:noHBand="0" w:noVBand="1"/>
      </w:tblPr>
      <w:tblGrid>
        <w:gridCol w:w="6086"/>
        <w:gridCol w:w="2409"/>
      </w:tblGrid>
      <w:tr w:rsidR="00500337" w:rsidRPr="000349EF" w14:paraId="395F4D6B" w14:textId="77777777" w:rsidTr="0028643E">
        <w:trPr>
          <w:cnfStyle w:val="100000000000" w:firstRow="1" w:lastRow="0" w:firstColumn="0" w:lastColumn="0" w:oddVBand="0" w:evenVBand="0" w:oddHBand="0" w:evenHBand="0" w:firstRowFirstColumn="0" w:firstRowLastColumn="0" w:lastRowFirstColumn="0" w:lastRowLastColumn="0"/>
        </w:trPr>
        <w:tc>
          <w:tcPr>
            <w:tcW w:w="6086" w:type="dxa"/>
          </w:tcPr>
          <w:p w14:paraId="18EB6D62" w14:textId="77777777" w:rsidR="00500337" w:rsidRPr="000349EF" w:rsidRDefault="00500337" w:rsidP="00500337">
            <w:pPr>
              <w:ind w:left="0" w:right="0"/>
            </w:pPr>
            <w:r w:rsidRPr="000349EF">
              <w:t>Description</w:t>
            </w:r>
          </w:p>
        </w:tc>
        <w:tc>
          <w:tcPr>
            <w:tcW w:w="2409" w:type="dxa"/>
          </w:tcPr>
          <w:p w14:paraId="1AD00512" w14:textId="77777777" w:rsidR="00500337" w:rsidRPr="000349EF" w:rsidRDefault="00500337" w:rsidP="00500337">
            <w:pPr>
              <w:ind w:left="0" w:right="0"/>
            </w:pPr>
            <w:r w:rsidRPr="000349EF">
              <w:t>Date</w:t>
            </w:r>
          </w:p>
        </w:tc>
      </w:tr>
      <w:tr w:rsidR="00500337" w:rsidRPr="000349EF" w14:paraId="3A721B4E" w14:textId="77777777" w:rsidTr="0028643E">
        <w:tc>
          <w:tcPr>
            <w:tcW w:w="6086" w:type="dxa"/>
          </w:tcPr>
          <w:p w14:paraId="1829DF76" w14:textId="15C9FEC5" w:rsidR="00500337" w:rsidRPr="000349EF" w:rsidRDefault="00965856" w:rsidP="00500337">
            <w:pPr>
              <w:ind w:left="0" w:right="0"/>
            </w:pPr>
            <w:r w:rsidRPr="000349EF">
              <w:t>Determination</w:t>
            </w:r>
            <w:r w:rsidR="00500337" w:rsidRPr="000349EF">
              <w:t xml:space="preserve"> (Provisional)</w:t>
            </w:r>
            <w:r w:rsidR="007E0AF7" w:rsidRPr="000349EF">
              <w:rPr>
                <w:vertAlign w:val="superscript"/>
              </w:rPr>
              <w:fldChar w:fldCharType="begin"/>
            </w:r>
            <w:r w:rsidR="007E0AF7" w:rsidRPr="000349EF">
              <w:rPr>
                <w:vertAlign w:val="superscript"/>
              </w:rPr>
              <w:instrText xml:space="preserve"> NOTEREF _Ref91015597 \h  \* MERGEFORMAT </w:instrText>
            </w:r>
            <w:r w:rsidR="007E0AF7" w:rsidRPr="000349EF">
              <w:rPr>
                <w:vertAlign w:val="superscript"/>
              </w:rPr>
            </w:r>
            <w:r w:rsidR="007E0AF7" w:rsidRPr="000349EF">
              <w:rPr>
                <w:vertAlign w:val="superscript"/>
              </w:rPr>
              <w:fldChar w:fldCharType="separate"/>
            </w:r>
            <w:r w:rsidR="00235E4B">
              <w:rPr>
                <w:vertAlign w:val="superscript"/>
              </w:rPr>
              <w:t>6</w:t>
            </w:r>
            <w:r w:rsidR="007E0AF7" w:rsidRPr="000349EF">
              <w:rPr>
                <w:vertAlign w:val="superscript"/>
              </w:rPr>
              <w:fldChar w:fldCharType="end"/>
            </w:r>
          </w:p>
        </w:tc>
        <w:tc>
          <w:tcPr>
            <w:tcW w:w="2409" w:type="dxa"/>
          </w:tcPr>
          <w:p w14:paraId="196E6053" w14:textId="5E8202EB" w:rsidR="00500337" w:rsidRPr="000349EF" w:rsidRDefault="00BD11AC" w:rsidP="00500337">
            <w:pPr>
              <w:ind w:left="0" w:right="0"/>
            </w:pPr>
            <w:r w:rsidRPr="000349EF">
              <w:t>9 November 2021</w:t>
            </w:r>
          </w:p>
        </w:tc>
      </w:tr>
      <w:tr w:rsidR="00500337" w:rsidRPr="000349EF" w14:paraId="292315D2" w14:textId="77777777" w:rsidTr="0028643E">
        <w:tc>
          <w:tcPr>
            <w:tcW w:w="6086" w:type="dxa"/>
          </w:tcPr>
          <w:p w14:paraId="468E604B" w14:textId="77777777" w:rsidR="00500337" w:rsidRPr="000349EF" w:rsidRDefault="00500337" w:rsidP="00500337">
            <w:pPr>
              <w:ind w:left="0" w:right="0"/>
            </w:pPr>
            <w:r w:rsidRPr="000349EF">
              <w:t>Submission dossier accepted and first round evaluation commenced</w:t>
            </w:r>
          </w:p>
        </w:tc>
        <w:tc>
          <w:tcPr>
            <w:tcW w:w="2409" w:type="dxa"/>
          </w:tcPr>
          <w:p w14:paraId="5F10F8BB" w14:textId="47244887" w:rsidR="00500337" w:rsidRPr="000349EF" w:rsidRDefault="00BD11AC" w:rsidP="00500337">
            <w:pPr>
              <w:ind w:left="0" w:right="0"/>
            </w:pPr>
            <w:r w:rsidRPr="000349EF">
              <w:t>25 November 2021</w:t>
            </w:r>
          </w:p>
        </w:tc>
      </w:tr>
      <w:tr w:rsidR="00500337" w:rsidRPr="000349EF" w14:paraId="202A63C7" w14:textId="77777777" w:rsidTr="0028643E">
        <w:tc>
          <w:tcPr>
            <w:tcW w:w="6086" w:type="dxa"/>
          </w:tcPr>
          <w:p w14:paraId="4208E4BE" w14:textId="77777777" w:rsidR="00500337" w:rsidRPr="000349EF" w:rsidRDefault="00500337" w:rsidP="00500337">
            <w:pPr>
              <w:ind w:left="0" w:right="0"/>
            </w:pPr>
            <w:r w:rsidRPr="000349EF">
              <w:t>Evaluation completed</w:t>
            </w:r>
          </w:p>
        </w:tc>
        <w:tc>
          <w:tcPr>
            <w:tcW w:w="2409" w:type="dxa"/>
          </w:tcPr>
          <w:p w14:paraId="6A3C237D" w14:textId="4CC88EBD" w:rsidR="00500337" w:rsidRPr="000349EF" w:rsidRDefault="00F35D0C" w:rsidP="0028643E">
            <w:pPr>
              <w:ind w:left="0"/>
            </w:pPr>
            <w:r w:rsidRPr="000349EF">
              <w:t>17 December 2021</w:t>
            </w:r>
          </w:p>
        </w:tc>
      </w:tr>
      <w:tr w:rsidR="00500337" w:rsidRPr="000349EF" w14:paraId="66ED1884" w14:textId="77777777" w:rsidTr="0028643E">
        <w:tc>
          <w:tcPr>
            <w:tcW w:w="6086" w:type="dxa"/>
          </w:tcPr>
          <w:p w14:paraId="15429C51" w14:textId="261C2AF2" w:rsidR="00500337" w:rsidRPr="000349EF" w:rsidRDefault="00324E45" w:rsidP="00500337">
            <w:pPr>
              <w:ind w:left="0" w:right="0"/>
            </w:pPr>
            <w:r w:rsidRPr="000349EF">
              <w:t>Delegate’s Overall benefit-risk assessment and request for Advisory Committee advice</w:t>
            </w:r>
          </w:p>
        </w:tc>
        <w:tc>
          <w:tcPr>
            <w:tcW w:w="2409" w:type="dxa"/>
          </w:tcPr>
          <w:p w14:paraId="59382823" w14:textId="77777777" w:rsidR="00500337" w:rsidRPr="000349EF" w:rsidRDefault="00BD11AC" w:rsidP="00500337">
            <w:pPr>
              <w:ind w:left="0" w:right="0"/>
            </w:pPr>
            <w:r w:rsidRPr="000349EF">
              <w:t>17 December 2021</w:t>
            </w:r>
          </w:p>
          <w:p w14:paraId="37738CCB" w14:textId="5CDBFC5D" w:rsidR="005004C0" w:rsidRPr="000349EF" w:rsidRDefault="005004C0" w:rsidP="00500337">
            <w:pPr>
              <w:ind w:left="0" w:right="0"/>
            </w:pPr>
            <w:r w:rsidRPr="000349EF">
              <w:t>28 January 2022</w:t>
            </w:r>
          </w:p>
        </w:tc>
      </w:tr>
      <w:tr w:rsidR="00500337" w:rsidRPr="000349EF" w14:paraId="429C2AFF" w14:textId="77777777" w:rsidTr="0028643E">
        <w:tc>
          <w:tcPr>
            <w:tcW w:w="6086" w:type="dxa"/>
          </w:tcPr>
          <w:p w14:paraId="30D278D0" w14:textId="77777777" w:rsidR="00500337" w:rsidRPr="000349EF" w:rsidRDefault="00500337" w:rsidP="00500337">
            <w:pPr>
              <w:ind w:left="0" w:right="0"/>
            </w:pPr>
            <w:r w:rsidRPr="000349EF">
              <w:t>Sponsor’s pre-Advisory Committee response</w:t>
            </w:r>
          </w:p>
        </w:tc>
        <w:tc>
          <w:tcPr>
            <w:tcW w:w="2409" w:type="dxa"/>
          </w:tcPr>
          <w:p w14:paraId="7F71C127" w14:textId="77777777" w:rsidR="00500337" w:rsidRPr="000349EF" w:rsidRDefault="005004C0" w:rsidP="00500337">
            <w:pPr>
              <w:ind w:left="0" w:right="0"/>
            </w:pPr>
            <w:r w:rsidRPr="000349EF">
              <w:t>20 December 2021</w:t>
            </w:r>
          </w:p>
          <w:p w14:paraId="15719CE1" w14:textId="32C468CF" w:rsidR="005004C0" w:rsidRPr="000349EF" w:rsidRDefault="00440AD9" w:rsidP="00500337">
            <w:pPr>
              <w:ind w:left="0" w:right="0"/>
            </w:pPr>
            <w:r w:rsidRPr="000349EF">
              <w:t>3 February 2022</w:t>
            </w:r>
          </w:p>
        </w:tc>
      </w:tr>
      <w:tr w:rsidR="00500337" w:rsidRPr="000349EF" w14:paraId="32645D48" w14:textId="77777777" w:rsidTr="0028643E">
        <w:tc>
          <w:tcPr>
            <w:tcW w:w="6086" w:type="dxa"/>
          </w:tcPr>
          <w:p w14:paraId="7C2A4882" w14:textId="77777777" w:rsidR="00500337" w:rsidRPr="000349EF" w:rsidRDefault="00500337" w:rsidP="00500337">
            <w:pPr>
              <w:ind w:left="0" w:right="0"/>
            </w:pPr>
            <w:r w:rsidRPr="000349EF">
              <w:t>Advisory Committee meeting</w:t>
            </w:r>
          </w:p>
        </w:tc>
        <w:tc>
          <w:tcPr>
            <w:tcW w:w="2409" w:type="dxa"/>
          </w:tcPr>
          <w:p w14:paraId="59DC4B92" w14:textId="4826958F" w:rsidR="00500337" w:rsidRPr="000349EF" w:rsidRDefault="00531709" w:rsidP="00500337">
            <w:pPr>
              <w:ind w:left="0" w:right="0"/>
              <w:rPr>
                <w:color w:val="000000"/>
              </w:rPr>
            </w:pPr>
            <w:r w:rsidRPr="000349EF">
              <w:rPr>
                <w:color w:val="000000"/>
              </w:rPr>
              <w:t>22 December 2021</w:t>
            </w:r>
          </w:p>
          <w:p w14:paraId="7D2C9530" w14:textId="4518C62C" w:rsidR="005004C0" w:rsidRPr="000349EF" w:rsidRDefault="00F35D0C" w:rsidP="0028643E">
            <w:pPr>
              <w:ind w:left="0"/>
            </w:pPr>
            <w:r w:rsidRPr="000349EF">
              <w:t>8 February 2022</w:t>
            </w:r>
          </w:p>
        </w:tc>
      </w:tr>
      <w:tr w:rsidR="00500337" w:rsidRPr="000349EF" w14:paraId="4279DF7D" w14:textId="77777777" w:rsidTr="0028643E">
        <w:tc>
          <w:tcPr>
            <w:tcW w:w="6086" w:type="dxa"/>
          </w:tcPr>
          <w:p w14:paraId="4F5B5CF6" w14:textId="77777777" w:rsidR="00500337" w:rsidRPr="000349EF" w:rsidRDefault="00500337" w:rsidP="00500337">
            <w:pPr>
              <w:ind w:left="0" w:right="0"/>
            </w:pPr>
            <w:r w:rsidRPr="000349EF">
              <w:t>Registration decision (Outcome)</w:t>
            </w:r>
          </w:p>
        </w:tc>
        <w:tc>
          <w:tcPr>
            <w:tcW w:w="2409" w:type="dxa"/>
          </w:tcPr>
          <w:p w14:paraId="7F0A1FFB" w14:textId="627753D5" w:rsidR="00500337" w:rsidRPr="000349EF" w:rsidRDefault="00F35D0C" w:rsidP="0028643E">
            <w:pPr>
              <w:ind w:left="0"/>
            </w:pPr>
            <w:r w:rsidRPr="000349EF">
              <w:t>17 February 2022</w:t>
            </w:r>
          </w:p>
        </w:tc>
      </w:tr>
      <w:tr w:rsidR="00500337" w:rsidRPr="000349EF" w14:paraId="36279CFE" w14:textId="77777777" w:rsidTr="0028643E">
        <w:tc>
          <w:tcPr>
            <w:tcW w:w="6086" w:type="dxa"/>
          </w:tcPr>
          <w:p w14:paraId="587F8943" w14:textId="77777777" w:rsidR="00500337" w:rsidRPr="000349EF" w:rsidRDefault="00500337" w:rsidP="00500337">
            <w:pPr>
              <w:ind w:left="0" w:right="0"/>
            </w:pPr>
            <w:r w:rsidRPr="000349EF">
              <w:t xml:space="preserve">Completion of administrative activities and registration on </w:t>
            </w:r>
            <w:r w:rsidR="00006FAB" w:rsidRPr="000349EF">
              <w:t xml:space="preserve">the </w:t>
            </w:r>
            <w:r w:rsidRPr="000349EF">
              <w:t>ARTG</w:t>
            </w:r>
          </w:p>
        </w:tc>
        <w:tc>
          <w:tcPr>
            <w:tcW w:w="2409" w:type="dxa"/>
          </w:tcPr>
          <w:p w14:paraId="2FC1BACA" w14:textId="0371554D" w:rsidR="00500337" w:rsidRPr="000349EF" w:rsidRDefault="00110F57" w:rsidP="00500337">
            <w:pPr>
              <w:ind w:left="0" w:right="0"/>
            </w:pPr>
            <w:r w:rsidRPr="00110F57">
              <w:t>22 February 2022</w:t>
            </w:r>
          </w:p>
        </w:tc>
      </w:tr>
      <w:tr w:rsidR="00500337" w:rsidRPr="000349EF" w14:paraId="2AE6A2F8" w14:textId="77777777" w:rsidTr="0028643E">
        <w:tc>
          <w:tcPr>
            <w:tcW w:w="6086" w:type="dxa"/>
          </w:tcPr>
          <w:p w14:paraId="28BE8C4C" w14:textId="77777777" w:rsidR="00500337" w:rsidRPr="000349EF" w:rsidRDefault="00500337" w:rsidP="00500337">
            <w:pPr>
              <w:ind w:left="0" w:right="0"/>
            </w:pPr>
            <w:r w:rsidRPr="000349EF">
              <w:t>Number of working days from submission dossier acceptance to registration decision*</w:t>
            </w:r>
          </w:p>
        </w:tc>
        <w:tc>
          <w:tcPr>
            <w:tcW w:w="2409" w:type="dxa"/>
          </w:tcPr>
          <w:p w14:paraId="31191926" w14:textId="16D80805" w:rsidR="00500337" w:rsidRPr="000349EF" w:rsidRDefault="00F35D0C" w:rsidP="0028643E">
            <w:pPr>
              <w:ind w:left="0"/>
            </w:pPr>
            <w:r w:rsidRPr="000349EF">
              <w:t>54</w:t>
            </w:r>
          </w:p>
        </w:tc>
      </w:tr>
    </w:tbl>
    <w:p w14:paraId="21A84F59" w14:textId="77777777" w:rsidR="00172ACC" w:rsidRPr="000349EF" w:rsidRDefault="00172ACC" w:rsidP="00172ACC">
      <w:pPr>
        <w:pStyle w:val="TableDescription"/>
      </w:pPr>
      <w:r w:rsidRPr="000349EF">
        <w:t>*Statutory timeframe for standard applications is 255 working days</w:t>
      </w:r>
    </w:p>
    <w:p w14:paraId="38245209" w14:textId="77777777" w:rsidR="008E7846" w:rsidRPr="000349EF" w:rsidRDefault="00456765" w:rsidP="008E7846">
      <w:pPr>
        <w:pStyle w:val="Heading2"/>
      </w:pPr>
      <w:bookmarkStart w:id="31" w:name="_Toc196046504"/>
      <w:bookmarkStart w:id="32" w:name="_Toc247691527"/>
      <w:bookmarkStart w:id="33" w:name="_Toc314842510"/>
      <w:bookmarkStart w:id="34" w:name="_Toc96518181"/>
      <w:bookmarkStart w:id="35" w:name="_Toc163441390"/>
      <w:bookmarkEnd w:id="27"/>
      <w:bookmarkEnd w:id="28"/>
      <w:bookmarkEnd w:id="1"/>
      <w:r w:rsidRPr="000349EF">
        <w:t>I</w:t>
      </w:r>
      <w:r w:rsidR="00DA64CB" w:rsidRPr="000349EF">
        <w:t>I</w:t>
      </w:r>
      <w:r w:rsidR="008E7846" w:rsidRPr="000349EF">
        <w:t xml:space="preserve">I. </w:t>
      </w:r>
      <w:r w:rsidR="00006FAB" w:rsidRPr="000349EF">
        <w:t xml:space="preserve">Submission overview </w:t>
      </w:r>
      <w:r w:rsidR="008E7846" w:rsidRPr="000349EF">
        <w:t>and risk/benefit assessment</w:t>
      </w:r>
      <w:bookmarkEnd w:id="31"/>
      <w:bookmarkEnd w:id="32"/>
      <w:bookmarkEnd w:id="33"/>
      <w:bookmarkEnd w:id="34"/>
    </w:p>
    <w:p w14:paraId="646BFD1B" w14:textId="77777777" w:rsidR="00006FAB" w:rsidRPr="000349EF" w:rsidRDefault="00006FAB" w:rsidP="00006FAB">
      <w:bookmarkStart w:id="36" w:name="_Toc247691528"/>
      <w:r w:rsidRPr="000349EF">
        <w:t>The submission was summarised in the following Delegate’s overview and recommendations.</w:t>
      </w:r>
    </w:p>
    <w:p w14:paraId="0500CB6A" w14:textId="77777777" w:rsidR="00BD11AC" w:rsidRPr="000349EF" w:rsidRDefault="00BD11AC" w:rsidP="00BD11AC">
      <w:r w:rsidRPr="000349EF">
        <w:t>Relevant guidelines or guidance documents referred to by the Delegate are listed below:</w:t>
      </w:r>
    </w:p>
    <w:p w14:paraId="03EBD253" w14:textId="09031481" w:rsidR="00BD11AC" w:rsidRPr="000349EF" w:rsidRDefault="00A0355F" w:rsidP="00A0355F">
      <w:pPr>
        <w:pStyle w:val="ListBullet"/>
      </w:pPr>
      <w:r w:rsidRPr="000349EF">
        <w:t xml:space="preserve">European Medicines Evaluation Agency (EMEA), Committee for Medicinal Products for Human Use (CHMP), </w:t>
      </w:r>
      <w:r w:rsidR="00BD11AC" w:rsidRPr="000349EF">
        <w:t>Guideline on Clinical Evaluation of New Vaccines</w:t>
      </w:r>
      <w:r w:rsidRPr="000349EF">
        <w:t>,</w:t>
      </w:r>
      <w:r w:rsidR="00BD11AC" w:rsidRPr="000349EF">
        <w:t xml:space="preserve"> EMEA/CHMP/VMP/164653/2005</w:t>
      </w:r>
      <w:r w:rsidRPr="000349EF">
        <w:t>, 18 October 2006.</w:t>
      </w:r>
    </w:p>
    <w:p w14:paraId="08F0743A" w14:textId="013F7C0D" w:rsidR="00BD11AC" w:rsidRPr="000349EF" w:rsidRDefault="00A0355F" w:rsidP="00BD11AC">
      <w:pPr>
        <w:pStyle w:val="ListBullet"/>
      </w:pPr>
      <w:r w:rsidRPr="000349EF">
        <w:t xml:space="preserve">Therapeutic Goods Administration (TGA) (2021) </w:t>
      </w:r>
      <w:r w:rsidR="00BD11AC" w:rsidRPr="000349EF">
        <w:t xml:space="preserve">Access Consortium </w:t>
      </w:r>
      <w:r w:rsidRPr="000349EF">
        <w:t xml:space="preserve">Statement </w:t>
      </w:r>
      <w:r w:rsidR="00BD11AC" w:rsidRPr="000349EF">
        <w:t xml:space="preserve">on COVID-19 </w:t>
      </w:r>
      <w:r w:rsidRPr="000349EF">
        <w:t xml:space="preserve">Vaccines Evidence. Available at: </w:t>
      </w:r>
      <w:hyperlink r:id="rId20" w:history="1">
        <w:r w:rsidR="00BD11AC" w:rsidRPr="000349EF">
          <w:rPr>
            <w:rStyle w:val="Hyperlink"/>
          </w:rPr>
          <w:t>https://www.tga.gov.au/access-consortium-statement-covid-19-vaccines-evidence</w:t>
        </w:r>
      </w:hyperlink>
      <w:r w:rsidRPr="000349EF">
        <w:rPr>
          <w:rStyle w:val="Hyperlink"/>
        </w:rPr>
        <w:t xml:space="preserve"> </w:t>
      </w:r>
      <w:r w:rsidRPr="000349EF">
        <w:t>(accessed 21 December 2021).</w:t>
      </w:r>
    </w:p>
    <w:p w14:paraId="25357133" w14:textId="5DE69664" w:rsidR="00A0355F" w:rsidRPr="000349EF" w:rsidRDefault="00A0355F" w:rsidP="00A0355F">
      <w:pPr>
        <w:pStyle w:val="ListBullet"/>
      </w:pPr>
      <w:r w:rsidRPr="000349EF">
        <w:lastRenderedPageBreak/>
        <w:t>Food and Drug Administration (</w:t>
      </w:r>
      <w:r w:rsidR="00BD11AC" w:rsidRPr="000349EF">
        <w:t>FDA</w:t>
      </w:r>
      <w:r w:rsidRPr="000349EF">
        <w:t>), Center for Biologics Evaluation and Research (CBER),</w:t>
      </w:r>
      <w:r w:rsidR="00BD11AC" w:rsidRPr="000349EF">
        <w:t xml:space="preserve"> </w:t>
      </w:r>
      <w:r w:rsidRPr="000349EF">
        <w:t xml:space="preserve">Emergency Use Authorization for Vaccines to Prevent COVID-19, Guidance for Industry, </w:t>
      </w:r>
      <w:r w:rsidR="004E2AA6" w:rsidRPr="000349EF">
        <w:t>February 2021.</w:t>
      </w:r>
      <w:r w:rsidRPr="000349EF">
        <w:t xml:space="preserve"> Available from the FDA website.</w:t>
      </w:r>
    </w:p>
    <w:p w14:paraId="7DD1A890" w14:textId="77927DB8" w:rsidR="004E2AA6" w:rsidRPr="000349EF" w:rsidRDefault="004E2AA6" w:rsidP="004E2AA6">
      <w:pPr>
        <w:pStyle w:val="ListBullet"/>
      </w:pPr>
      <w:r w:rsidRPr="000349EF">
        <w:t>Food and Drug Administration (FDA), Center for Biologics Evaluation and Research (CBER), Development and Licensure of Vaccines to Prevent COVID-19, Guidance for Industry,</w:t>
      </w:r>
      <w:r w:rsidR="00BD11AC" w:rsidRPr="000349EF">
        <w:t xml:space="preserve"> June 2020</w:t>
      </w:r>
      <w:r w:rsidRPr="000349EF">
        <w:t>. Available from the FDA website.</w:t>
      </w:r>
    </w:p>
    <w:p w14:paraId="33DDE3AA" w14:textId="08B308FA" w:rsidR="00BD11AC" w:rsidRPr="000349EF" w:rsidRDefault="004E2AA6" w:rsidP="00CB62AE">
      <w:pPr>
        <w:pStyle w:val="ListBullet"/>
      </w:pPr>
      <w:r w:rsidRPr="000349EF">
        <w:t>European Medicines Agency (EMA), Committee for human medicinal products (CHMP), EMA considerations on COVID-19 vaccine approval, EMA/592928/2020, 16 November 2020.</w:t>
      </w:r>
    </w:p>
    <w:p w14:paraId="73E794B3" w14:textId="77777777" w:rsidR="008E7846" w:rsidRPr="000349EF" w:rsidRDefault="008E7846" w:rsidP="008E7846">
      <w:pPr>
        <w:pStyle w:val="Heading3"/>
      </w:pPr>
      <w:bookmarkStart w:id="37" w:name="_Toc314842511"/>
      <w:bookmarkStart w:id="38" w:name="_Toc96518182"/>
      <w:r w:rsidRPr="000349EF">
        <w:t>Quality</w:t>
      </w:r>
      <w:bookmarkEnd w:id="36"/>
      <w:bookmarkEnd w:id="37"/>
      <w:bookmarkEnd w:id="38"/>
    </w:p>
    <w:p w14:paraId="5AD28F31" w14:textId="31FA0C9F" w:rsidR="00E45619" w:rsidRPr="000349EF" w:rsidRDefault="00006FAB" w:rsidP="00006FAB">
      <w:r w:rsidRPr="000349EF">
        <w:t>There was no requirement for a quality evaluation in a submission of this type.</w:t>
      </w:r>
    </w:p>
    <w:p w14:paraId="60C2FBE3" w14:textId="4D58696D" w:rsidR="0082189B" w:rsidRPr="000349EF" w:rsidRDefault="0082189B" w:rsidP="00006FAB">
      <w:r w:rsidRPr="000349EF">
        <w:t>A full quality evaluation was conducted at the time this product received initial registration.</w:t>
      </w:r>
    </w:p>
    <w:p w14:paraId="5ACC2649" w14:textId="77777777" w:rsidR="008E7846" w:rsidRPr="000349EF" w:rsidRDefault="008E7846" w:rsidP="008E7846">
      <w:pPr>
        <w:pStyle w:val="Heading3"/>
      </w:pPr>
      <w:bookmarkStart w:id="39" w:name="_Toc314842512"/>
      <w:bookmarkStart w:id="40" w:name="_Toc96518183"/>
      <w:r w:rsidRPr="000349EF">
        <w:t>Nonclinical</w:t>
      </w:r>
      <w:bookmarkEnd w:id="39"/>
      <w:bookmarkEnd w:id="40"/>
    </w:p>
    <w:p w14:paraId="4484F744" w14:textId="35F612D9" w:rsidR="008E7846" w:rsidRPr="000349EF" w:rsidRDefault="00006FAB" w:rsidP="00006FAB">
      <w:r w:rsidRPr="000349EF">
        <w:t>There was no requirement for a nonclinical evaluation in a submission of this type.</w:t>
      </w:r>
    </w:p>
    <w:p w14:paraId="3C3DEED1" w14:textId="4476E632" w:rsidR="0082189B" w:rsidRPr="000349EF" w:rsidRDefault="0082189B" w:rsidP="00006FAB">
      <w:r w:rsidRPr="000349EF">
        <w:t>A full nonclinical evaluation was conducted at the time this product received initial registration.</w:t>
      </w:r>
    </w:p>
    <w:p w14:paraId="3C0EB6B5" w14:textId="77777777" w:rsidR="008E7846" w:rsidRPr="000349EF" w:rsidRDefault="008E7846" w:rsidP="008E7846">
      <w:pPr>
        <w:pStyle w:val="Heading3"/>
      </w:pPr>
      <w:bookmarkStart w:id="41" w:name="_Toc247691530"/>
      <w:bookmarkStart w:id="42" w:name="_Toc314842513"/>
      <w:bookmarkStart w:id="43" w:name="_Toc96518184"/>
      <w:r w:rsidRPr="000349EF">
        <w:t>Clinical</w:t>
      </w:r>
      <w:bookmarkEnd w:id="41"/>
      <w:bookmarkEnd w:id="42"/>
      <w:bookmarkEnd w:id="43"/>
    </w:p>
    <w:p w14:paraId="6CC089E4" w14:textId="5495D247" w:rsidR="00172ACC" w:rsidRPr="000349EF" w:rsidRDefault="00172ACC" w:rsidP="00172ACC">
      <w:bookmarkStart w:id="44" w:name="_Toc314842514"/>
      <w:r w:rsidRPr="000349EF">
        <w:t xml:space="preserve">The current application is to extend the </w:t>
      </w:r>
      <w:r w:rsidR="00B2799D" w:rsidRPr="000349EF">
        <w:t xml:space="preserve">current </w:t>
      </w:r>
      <w:r w:rsidRPr="000349EF">
        <w:t xml:space="preserve">indication to include children </w:t>
      </w:r>
      <w:r w:rsidR="00B2799D" w:rsidRPr="000349EF">
        <w:t xml:space="preserve">between the ages of 6 </w:t>
      </w:r>
      <w:r w:rsidR="00D0038A" w:rsidRPr="000349EF">
        <w:t xml:space="preserve">through </w:t>
      </w:r>
      <w:r w:rsidR="00B2799D" w:rsidRPr="000349EF">
        <w:t>11</w:t>
      </w:r>
      <w:r w:rsidR="006D76BC" w:rsidRPr="000349EF">
        <w:t xml:space="preserve"> years</w:t>
      </w:r>
      <w:r w:rsidRPr="000349EF">
        <w:t xml:space="preserve">. To support this </w:t>
      </w:r>
      <w:r w:rsidR="00965856" w:rsidRPr="000349EF">
        <w:t>extended</w:t>
      </w:r>
      <w:r w:rsidR="00B2799D" w:rsidRPr="000349EF">
        <w:t xml:space="preserve"> population</w:t>
      </w:r>
      <w:r w:rsidRPr="000349EF">
        <w:t xml:space="preserve">, the sponsor submitted </w:t>
      </w:r>
      <w:r w:rsidR="0082189B" w:rsidRPr="000349EF">
        <w:t xml:space="preserve">a </w:t>
      </w:r>
      <w:r w:rsidR="00537B3C" w:rsidRPr="000349EF">
        <w:t>clinical overview</w:t>
      </w:r>
      <w:r w:rsidRPr="000349EF">
        <w:t xml:space="preserve">, the study protocol with </w:t>
      </w:r>
      <w:proofErr w:type="gramStart"/>
      <w:r w:rsidRPr="000349EF">
        <w:t>a number of</w:t>
      </w:r>
      <w:proofErr w:type="gramEnd"/>
      <w:r w:rsidRPr="000349EF">
        <w:t xml:space="preserve"> amendments, </w:t>
      </w:r>
      <w:r w:rsidR="0082189B" w:rsidRPr="000349EF">
        <w:t xml:space="preserve">a </w:t>
      </w:r>
      <w:r w:rsidRPr="000349EF">
        <w:t>statistical analysis plan, tables and figures from Study</w:t>
      </w:r>
      <w:r w:rsidR="00B2799D" w:rsidRPr="000349EF">
        <w:t> </w:t>
      </w:r>
      <w:r w:rsidRPr="000349EF">
        <w:t>mRNA</w:t>
      </w:r>
      <w:r w:rsidR="00A4402A" w:rsidRPr="000349EF">
        <w:noBreakHyphen/>
      </w:r>
      <w:r w:rsidRPr="000349EF">
        <w:t>1273</w:t>
      </w:r>
      <w:r w:rsidR="00A4402A" w:rsidRPr="000349EF">
        <w:noBreakHyphen/>
      </w:r>
      <w:r w:rsidRPr="000349EF">
        <w:t>P204 with the data snapshot date of 6</w:t>
      </w:r>
      <w:r w:rsidR="00537B3C" w:rsidRPr="000349EF">
        <w:t> </w:t>
      </w:r>
      <w:r w:rsidRPr="000349EF">
        <w:t>October</w:t>
      </w:r>
      <w:r w:rsidR="00B2799D" w:rsidRPr="000349EF">
        <w:t> </w:t>
      </w:r>
      <w:r w:rsidRPr="000349EF">
        <w:t>2021. The data package submitted to</w:t>
      </w:r>
      <w:r w:rsidR="00537B3C" w:rsidRPr="000349EF">
        <w:t xml:space="preserve"> the</w:t>
      </w:r>
      <w:r w:rsidRPr="000349EF">
        <w:t xml:space="preserve"> TGA is identical to that submitted to the EMA on </w:t>
      </w:r>
      <w:r w:rsidR="00537B3C" w:rsidRPr="000349EF">
        <w:t xml:space="preserve">9 </w:t>
      </w:r>
      <w:r w:rsidRPr="000349EF">
        <w:t>November 2021.</w:t>
      </w:r>
    </w:p>
    <w:p w14:paraId="3176D19C" w14:textId="34CA52B3" w:rsidR="00172ACC" w:rsidRPr="000349EF" w:rsidRDefault="00172ACC" w:rsidP="00172ACC">
      <w:r w:rsidRPr="000349EF">
        <w:t xml:space="preserve">The sponsor stated in the </w:t>
      </w:r>
      <w:r w:rsidR="00537B3C" w:rsidRPr="000349EF">
        <w:t>clinical overview tha</w:t>
      </w:r>
      <w:r w:rsidRPr="000349EF">
        <w:t>t the clinical protocol and study design elements of Study</w:t>
      </w:r>
      <w:r w:rsidR="00537B3C" w:rsidRPr="000349EF">
        <w:t> </w:t>
      </w:r>
      <w:r w:rsidR="00B2799D" w:rsidRPr="000349EF">
        <w:t>mRNA 1273-</w:t>
      </w:r>
      <w:r w:rsidRPr="000349EF">
        <w:t xml:space="preserve">P204 were developed in collaboration with the </w:t>
      </w:r>
      <w:r w:rsidR="00537B3C" w:rsidRPr="000349EF">
        <w:t>United States (</w:t>
      </w:r>
      <w:r w:rsidRPr="000349EF">
        <w:t>US</w:t>
      </w:r>
      <w:r w:rsidR="00537B3C" w:rsidRPr="000349EF">
        <w:t>)</w:t>
      </w:r>
      <w:r w:rsidRPr="000349EF">
        <w:t xml:space="preserve"> National Institutes of Health and conducted in accordance with consensus ethical principles derived from international guidelines including principles provided by the </w:t>
      </w:r>
      <w:r w:rsidR="00537B3C" w:rsidRPr="000349EF">
        <w:t xml:space="preserve">World Medical Association </w:t>
      </w:r>
      <w:r w:rsidRPr="000349EF">
        <w:t>Declaration of Helsinki, as well as guidelines described in the Council for International Organizations of Medical Sciences International Ethical Guidelines and applicable International Council for Harmonisation</w:t>
      </w:r>
      <w:r w:rsidR="00537B3C" w:rsidRPr="000349EF">
        <w:t xml:space="preserve"> (ICH);</w:t>
      </w:r>
      <w:r w:rsidR="00537B3C" w:rsidRPr="000349EF">
        <w:rPr>
          <w:rStyle w:val="FootnoteReference"/>
        </w:rPr>
        <w:footnoteReference w:id="20"/>
      </w:r>
      <w:r w:rsidRPr="000349EF">
        <w:t xml:space="preserve"> Good Clinical Practice</w:t>
      </w:r>
      <w:r w:rsidR="00537B3C" w:rsidRPr="000349EF">
        <w:t xml:space="preserve"> (GCP);</w:t>
      </w:r>
      <w:r w:rsidR="00537B3C" w:rsidRPr="000349EF">
        <w:rPr>
          <w:rStyle w:val="FootnoteReference"/>
        </w:rPr>
        <w:footnoteReference w:id="21"/>
      </w:r>
      <w:r w:rsidRPr="000349EF">
        <w:t xml:space="preserve"> Guidelines.</w:t>
      </w:r>
    </w:p>
    <w:p w14:paraId="36542929" w14:textId="76AEDFE2" w:rsidR="00172ACC" w:rsidRPr="000349EF" w:rsidRDefault="00172ACC" w:rsidP="00172ACC">
      <w:r w:rsidRPr="000349EF">
        <w:t xml:space="preserve">Contrary to </w:t>
      </w:r>
      <w:r w:rsidR="00B2799D" w:rsidRPr="000349EF">
        <w:t xml:space="preserve">the </w:t>
      </w:r>
      <w:proofErr w:type="spellStart"/>
      <w:r w:rsidRPr="000349EF">
        <w:t>Comirnaty</w:t>
      </w:r>
      <w:proofErr w:type="spellEnd"/>
      <w:r w:rsidR="0044794A" w:rsidRPr="000349EF">
        <w:t xml:space="preserve"> (Pfizer/BioNTech)</w:t>
      </w:r>
      <w:r w:rsidR="0082189B" w:rsidRPr="000349EF">
        <w:t xml:space="preserve"> vaccine</w:t>
      </w:r>
      <w:r w:rsidRPr="000349EF">
        <w:t>,</w:t>
      </w:r>
      <w:r w:rsidR="007D2188" w:rsidRPr="000349EF">
        <w:rPr>
          <w:vertAlign w:val="superscript"/>
        </w:rPr>
        <w:fldChar w:fldCharType="begin"/>
      </w:r>
      <w:r w:rsidR="007D2188" w:rsidRPr="000349EF">
        <w:rPr>
          <w:vertAlign w:val="superscript"/>
        </w:rPr>
        <w:instrText xml:space="preserve"> NOTEREF _Ref90999008 \h  \* MERGEFORMAT </w:instrText>
      </w:r>
      <w:r w:rsidR="007D2188" w:rsidRPr="000349EF">
        <w:rPr>
          <w:vertAlign w:val="superscript"/>
        </w:rPr>
      </w:r>
      <w:r w:rsidR="007D2188" w:rsidRPr="000349EF">
        <w:rPr>
          <w:vertAlign w:val="superscript"/>
        </w:rPr>
        <w:fldChar w:fldCharType="separate"/>
      </w:r>
      <w:r w:rsidR="00235E4B">
        <w:rPr>
          <w:vertAlign w:val="superscript"/>
        </w:rPr>
        <w:t>8</w:t>
      </w:r>
      <w:r w:rsidR="007D2188" w:rsidRPr="000349EF">
        <w:rPr>
          <w:vertAlign w:val="superscript"/>
        </w:rPr>
        <w:fldChar w:fldCharType="end"/>
      </w:r>
      <w:r w:rsidRPr="000349EF">
        <w:t xml:space="preserve"> </w:t>
      </w:r>
      <w:proofErr w:type="spellStart"/>
      <w:r w:rsidRPr="000349EF">
        <w:t>Spikevax</w:t>
      </w:r>
      <w:proofErr w:type="spellEnd"/>
      <w:r w:rsidRPr="000349EF">
        <w:t xml:space="preserve"> has the same formulation for adults and children </w:t>
      </w:r>
      <w:r w:rsidR="00B2799D" w:rsidRPr="000349EF">
        <w:t xml:space="preserve">between </w:t>
      </w:r>
      <w:r w:rsidRPr="000349EF">
        <w:t>6 to &lt;</w:t>
      </w:r>
      <w:r w:rsidR="007D2188" w:rsidRPr="000349EF">
        <w:t> </w:t>
      </w:r>
      <w:r w:rsidRPr="000349EF">
        <w:t xml:space="preserve">12 years old. The dose chosen for </w:t>
      </w:r>
      <w:r w:rsidR="00B2799D" w:rsidRPr="000349EF">
        <w:t xml:space="preserve">those aged </w:t>
      </w:r>
      <w:r w:rsidR="00A4402A" w:rsidRPr="000349EF">
        <w:t xml:space="preserve">between </w:t>
      </w:r>
      <w:r w:rsidRPr="000349EF">
        <w:t>6</w:t>
      </w:r>
      <w:r w:rsidR="00B2799D" w:rsidRPr="000349EF">
        <w:t> </w:t>
      </w:r>
      <w:r w:rsidRPr="000349EF">
        <w:t xml:space="preserve">to &lt; 12 years is the same as the booster dose with no dilution required. Using </w:t>
      </w:r>
      <w:r w:rsidRPr="000349EF">
        <w:lastRenderedPageBreak/>
        <w:t xml:space="preserve">half </w:t>
      </w:r>
      <w:r w:rsidR="007D2188" w:rsidRPr="000349EF">
        <w:t xml:space="preserve">of </w:t>
      </w:r>
      <w:r w:rsidRPr="000349EF">
        <w:t>the regular adult dose with the same formulation means that 20 doses (instead of 10) can be pulled out of one vial.</w:t>
      </w:r>
    </w:p>
    <w:p w14:paraId="55BBDB6A" w14:textId="24610319" w:rsidR="00172ACC" w:rsidRPr="000349EF" w:rsidRDefault="00172ACC" w:rsidP="006B4B52">
      <w:pPr>
        <w:pStyle w:val="Heading4"/>
      </w:pPr>
      <w:bookmarkStart w:id="45" w:name="_Toc87980869"/>
      <w:r w:rsidRPr="000349EF">
        <w:t xml:space="preserve">Study </w:t>
      </w:r>
      <w:bookmarkEnd w:id="45"/>
      <w:r w:rsidR="00B2799D" w:rsidRPr="000349EF">
        <w:t>mRNA 1273</w:t>
      </w:r>
      <w:r w:rsidR="00B2799D" w:rsidRPr="000349EF">
        <w:noBreakHyphen/>
      </w:r>
      <w:r w:rsidRPr="000349EF">
        <w:t>P204</w:t>
      </w:r>
    </w:p>
    <w:p w14:paraId="22DD6353" w14:textId="4D82DD97" w:rsidR="00172ACC" w:rsidRPr="000349EF" w:rsidRDefault="00172ACC" w:rsidP="006B4B52">
      <w:pPr>
        <w:pStyle w:val="Heading5"/>
        <w:rPr>
          <w:rFonts w:eastAsiaTheme="minorHAnsi"/>
        </w:rPr>
      </w:pPr>
      <w:bookmarkStart w:id="46" w:name="_Toc87980870"/>
      <w:r w:rsidRPr="000349EF">
        <w:rPr>
          <w:rFonts w:eastAsiaTheme="minorHAnsi"/>
        </w:rPr>
        <w:t xml:space="preserve">Overall </w:t>
      </w:r>
      <w:r w:rsidR="006B4B52" w:rsidRPr="000349EF">
        <w:rPr>
          <w:rFonts w:eastAsiaTheme="minorHAnsi"/>
        </w:rPr>
        <w:t>study design</w:t>
      </w:r>
      <w:bookmarkEnd w:id="46"/>
    </w:p>
    <w:p w14:paraId="22383D9F" w14:textId="3BE8DF96" w:rsidR="00172ACC" w:rsidRPr="000349EF" w:rsidRDefault="00172ACC" w:rsidP="00172ACC">
      <w:r w:rsidRPr="000349EF">
        <w:t xml:space="preserve">Study </w:t>
      </w:r>
      <w:r w:rsidR="00835396" w:rsidRPr="000349EF">
        <w:t>mRNA 1273</w:t>
      </w:r>
      <w:r w:rsidR="00835396" w:rsidRPr="000349EF">
        <w:noBreakHyphen/>
      </w:r>
      <w:r w:rsidRPr="000349EF">
        <w:t>P204</w:t>
      </w:r>
      <w:r w:rsidR="00835396" w:rsidRPr="000349EF">
        <w:t xml:space="preserve"> (hereafter referred to as Study P204)</w:t>
      </w:r>
      <w:r w:rsidRPr="000349EF">
        <w:t xml:space="preserve"> is a Phase </w:t>
      </w:r>
      <w:r w:rsidR="00614801" w:rsidRPr="000349EF">
        <w:t>II</w:t>
      </w:r>
      <w:r w:rsidRPr="000349EF">
        <w:t>/</w:t>
      </w:r>
      <w:r w:rsidR="00614801" w:rsidRPr="000349EF">
        <w:t>III</w:t>
      </w:r>
      <w:r w:rsidRPr="000349EF">
        <w:t>, two-part, open</w:t>
      </w:r>
      <w:r w:rsidR="007D2188" w:rsidRPr="000349EF">
        <w:t xml:space="preserve"> </w:t>
      </w:r>
      <w:r w:rsidRPr="000349EF">
        <w:t>label, dose</w:t>
      </w:r>
      <w:r w:rsidR="007D2188" w:rsidRPr="000349EF">
        <w:t xml:space="preserve"> </w:t>
      </w:r>
      <w:r w:rsidRPr="000349EF">
        <w:t>escalation, age de-escalation, randomi</w:t>
      </w:r>
      <w:r w:rsidR="00A23298" w:rsidRPr="000349EF">
        <w:t>s</w:t>
      </w:r>
      <w:r w:rsidRPr="000349EF">
        <w:t>ed, observer</w:t>
      </w:r>
      <w:r w:rsidR="007D2188" w:rsidRPr="000349EF">
        <w:t xml:space="preserve"> </w:t>
      </w:r>
      <w:r w:rsidRPr="000349EF">
        <w:t>blind, placebo</w:t>
      </w:r>
      <w:r w:rsidR="007D2188" w:rsidRPr="000349EF">
        <w:t xml:space="preserve"> </w:t>
      </w:r>
      <w:r w:rsidRPr="000349EF">
        <w:t>controlled, expansion study intended to infer the effectiveness of mRNA-1273</w:t>
      </w:r>
      <w:r w:rsidR="007D2188" w:rsidRPr="000349EF">
        <w:t xml:space="preserve"> (</w:t>
      </w:r>
      <w:r w:rsidR="004D3583" w:rsidRPr="000349EF">
        <w:t xml:space="preserve">the </w:t>
      </w:r>
      <w:r w:rsidR="007D2188" w:rsidRPr="000349EF">
        <w:t>Spikevax (elasomeran) COVID-19 vaccine drug development name)</w:t>
      </w:r>
      <w:r w:rsidRPr="000349EF">
        <w:t xml:space="preserve"> in children aged </w:t>
      </w:r>
      <w:r w:rsidR="00835396" w:rsidRPr="000349EF">
        <w:t xml:space="preserve">from </w:t>
      </w:r>
      <w:r w:rsidRPr="000349EF">
        <w:t>6 months to &lt; 12 years. The study population is divided into 3 age groups (6 to &lt; 12 years</w:t>
      </w:r>
      <w:r w:rsidR="004D3583" w:rsidRPr="000349EF">
        <w:t>;</w:t>
      </w:r>
      <w:r w:rsidRPr="000349EF">
        <w:t xml:space="preserve"> 2 to </w:t>
      </w:r>
      <w:r w:rsidR="00EC79E7" w:rsidRPr="000349EF">
        <w:t>&lt; 6</w:t>
      </w:r>
      <w:r w:rsidRPr="000349EF">
        <w:t xml:space="preserve"> years</w:t>
      </w:r>
      <w:r w:rsidR="004D3583" w:rsidRPr="000349EF">
        <w:t>;</w:t>
      </w:r>
      <w:r w:rsidRPr="000349EF">
        <w:t xml:space="preserve"> and 6 months to &lt; 2 years</w:t>
      </w:r>
      <w:r w:rsidR="004D3583" w:rsidRPr="000349EF">
        <w:t xml:space="preserve"> of age</w:t>
      </w:r>
      <w:r w:rsidRPr="000349EF">
        <w:t>). For the current submission, the available data on the 6 to &lt; 12 years of age cohort is submitted.</w:t>
      </w:r>
    </w:p>
    <w:p w14:paraId="62A0C7C3" w14:textId="0E98F5C4" w:rsidR="00172ACC" w:rsidRPr="000349EF" w:rsidRDefault="00172ACC" w:rsidP="00172ACC">
      <w:r w:rsidRPr="000349EF">
        <w:t xml:space="preserve">Study P204 is being conducted in </w:t>
      </w:r>
      <w:r w:rsidR="00C55650">
        <w:t>two</w:t>
      </w:r>
      <w:r w:rsidRPr="000349EF">
        <w:t xml:space="preserve"> parts. In Part 1, participants received mRNA-1273 in an open</w:t>
      </w:r>
      <w:r w:rsidR="00DD7DB2" w:rsidRPr="000349EF">
        <w:t xml:space="preserve"> </w:t>
      </w:r>
      <w:r w:rsidRPr="000349EF">
        <w:t>label and dose</w:t>
      </w:r>
      <w:r w:rsidR="00DD7DB2" w:rsidRPr="000349EF">
        <w:t xml:space="preserve"> </w:t>
      </w:r>
      <w:r w:rsidRPr="000349EF">
        <w:t>escalation fashion. Safety and immunogenicity data from Part 1 for each age group are reviewed to select the preferred dose for each age group (50</w:t>
      </w:r>
      <w:r w:rsidR="00DD7DB2" w:rsidRPr="000349EF">
        <w:t> </w:t>
      </w:r>
      <w:proofErr w:type="spellStart"/>
      <w:r w:rsidRPr="000349EF">
        <w:t>μg</w:t>
      </w:r>
      <w:proofErr w:type="spellEnd"/>
      <w:r w:rsidRPr="000349EF">
        <w:t xml:space="preserve"> and 100</w:t>
      </w:r>
      <w:r w:rsidR="00DD7DB2" w:rsidRPr="000349EF">
        <w:t> </w:t>
      </w:r>
      <w:proofErr w:type="spellStart"/>
      <w:r w:rsidRPr="000349EF">
        <w:t>μg</w:t>
      </w:r>
      <w:proofErr w:type="spellEnd"/>
      <w:r w:rsidRPr="000349EF">
        <w:t xml:space="preserve"> dose levels were explored in children 6 to &lt;</w:t>
      </w:r>
      <w:r w:rsidR="00DD7DB2" w:rsidRPr="000349EF">
        <w:t xml:space="preserve"> </w:t>
      </w:r>
      <w:r w:rsidRPr="000349EF">
        <w:t xml:space="preserve">12 </w:t>
      </w:r>
      <w:r w:rsidR="003E53F0" w:rsidRPr="000349EF">
        <w:t>years of age</w:t>
      </w:r>
      <w:r w:rsidRPr="000349EF">
        <w:t>). Part 2 of the study is a placebo controlled, observer</w:t>
      </w:r>
      <w:r w:rsidR="00DD7DB2" w:rsidRPr="000349EF">
        <w:t xml:space="preserve"> </w:t>
      </w:r>
      <w:r w:rsidRPr="000349EF">
        <w:t>blind, randomi</w:t>
      </w:r>
      <w:r w:rsidR="00A23298" w:rsidRPr="000349EF">
        <w:t>s</w:t>
      </w:r>
      <w:r w:rsidRPr="000349EF">
        <w:t>ed (</w:t>
      </w:r>
      <w:r w:rsidR="00FF0359" w:rsidRPr="000349EF">
        <w:t xml:space="preserve">in a </w:t>
      </w:r>
      <w:r w:rsidRPr="000349EF">
        <w:t>3:1, mRNA-1273</w:t>
      </w:r>
      <w:r w:rsidR="008E4D88" w:rsidRPr="000349EF">
        <w:t xml:space="preserve"> to </w:t>
      </w:r>
      <w:r w:rsidRPr="000349EF">
        <w:t>placebo</w:t>
      </w:r>
      <w:r w:rsidR="008E4D88" w:rsidRPr="000349EF">
        <w:t xml:space="preserve"> ratio</w:t>
      </w:r>
      <w:r w:rsidRPr="000349EF">
        <w:t xml:space="preserve">) evaluation of the selected dose in up to 4000 participants in each of the </w:t>
      </w:r>
      <w:r w:rsidR="00C55650">
        <w:t>three</w:t>
      </w:r>
      <w:r w:rsidRPr="000349EF">
        <w:t xml:space="preserve"> age groups (for a total of up to 12,000 children in Study</w:t>
      </w:r>
      <w:r w:rsidR="00DD7DB2" w:rsidRPr="000349EF">
        <w:t> </w:t>
      </w:r>
      <w:r w:rsidRPr="000349EF">
        <w:t>P204). No participants in Part</w:t>
      </w:r>
      <w:r w:rsidR="00DD7DB2" w:rsidRPr="000349EF">
        <w:t> </w:t>
      </w:r>
      <w:r w:rsidRPr="000349EF">
        <w:t>1 will participate in Part</w:t>
      </w:r>
      <w:r w:rsidR="00DD7DB2" w:rsidRPr="000349EF">
        <w:t> </w:t>
      </w:r>
      <w:r w:rsidRPr="000349EF">
        <w:t>2 of the study.</w:t>
      </w:r>
    </w:p>
    <w:p w14:paraId="4D1C7D39" w14:textId="1D1928F6" w:rsidR="00172ACC" w:rsidRPr="000349EF" w:rsidRDefault="00172ACC" w:rsidP="00172ACC">
      <w:r w:rsidRPr="000349EF">
        <w:t>The study begins with the oldest age group (6 to &lt; 12 years) and</w:t>
      </w:r>
      <w:r w:rsidR="00FF0359" w:rsidRPr="000349EF">
        <w:t xml:space="preserve"> </w:t>
      </w:r>
      <w:r w:rsidR="00835396" w:rsidRPr="000349EF">
        <w:t xml:space="preserve">the </w:t>
      </w:r>
      <w:r w:rsidR="00FF0359" w:rsidRPr="000349EF">
        <w:t>age groups subsequently</w:t>
      </w:r>
      <w:r w:rsidRPr="000349EF">
        <w:t xml:space="preserve"> de-escalate. Each age group will begin with Part 1 and advance to Part 2 after dose selection in Part 1 is done. The mRNA-1273 vaccine or placebo will be given as </w:t>
      </w:r>
      <w:r w:rsidR="00C55650">
        <w:t>two</w:t>
      </w:r>
      <w:r w:rsidR="00FF0359" w:rsidRPr="000349EF">
        <w:t> </w:t>
      </w:r>
      <w:r w:rsidR="005C1AF7" w:rsidRPr="000349EF">
        <w:t xml:space="preserve">intramuscular </w:t>
      </w:r>
      <w:r w:rsidRPr="000349EF">
        <w:t>injections approximately 28 days apart.</w:t>
      </w:r>
    </w:p>
    <w:p w14:paraId="58FCD76F" w14:textId="05D20114" w:rsidR="00172ACC" w:rsidRPr="000349EF" w:rsidRDefault="00172ACC" w:rsidP="00172ACC">
      <w:r w:rsidRPr="000349EF">
        <w:t xml:space="preserve">The mRNA-1273 dose levels that will be evaluated in each age group in Part 1 and Part 2 are given in </w:t>
      </w:r>
      <w:r w:rsidR="00DD7DB2" w:rsidRPr="000349EF">
        <w:fldChar w:fldCharType="begin"/>
      </w:r>
      <w:r w:rsidR="00DD7DB2" w:rsidRPr="000349EF">
        <w:instrText xml:space="preserve"> REF _Ref90999925 \h </w:instrText>
      </w:r>
      <w:r w:rsidR="008C1E85" w:rsidRPr="000349EF">
        <w:instrText xml:space="preserve"> \* MERGEFORMAT </w:instrText>
      </w:r>
      <w:r w:rsidR="00DD7DB2" w:rsidRPr="000349EF">
        <w:fldChar w:fldCharType="separate"/>
      </w:r>
      <w:r w:rsidR="00235E4B" w:rsidRPr="000349EF">
        <w:t xml:space="preserve">Table </w:t>
      </w:r>
      <w:r w:rsidR="00235E4B">
        <w:rPr>
          <w:noProof/>
        </w:rPr>
        <w:t>2</w:t>
      </w:r>
      <w:r w:rsidR="00DD7DB2" w:rsidRPr="000349EF">
        <w:fldChar w:fldCharType="end"/>
      </w:r>
      <w:r w:rsidRPr="000349EF">
        <w:t xml:space="preserve"> below.</w:t>
      </w:r>
      <w:r w:rsidR="006501D1" w:rsidRPr="000349EF">
        <w:t xml:space="preserve"> Both the </w:t>
      </w:r>
      <w:r w:rsidR="00E34E0B" w:rsidRPr="000349EF">
        <w:t>2 to &lt;6 year and 6</w:t>
      </w:r>
      <w:r w:rsidR="00C55650">
        <w:t xml:space="preserve"> </w:t>
      </w:r>
      <w:r w:rsidR="00E34E0B" w:rsidRPr="000349EF">
        <w:t>m</w:t>
      </w:r>
      <w:r w:rsidR="00C55650">
        <w:t>onths</w:t>
      </w:r>
      <w:r w:rsidR="00E34E0B" w:rsidRPr="000349EF">
        <w:t xml:space="preserve"> to &lt;</w:t>
      </w:r>
      <w:r w:rsidR="00C55650">
        <w:t xml:space="preserve"> </w:t>
      </w:r>
      <w:r w:rsidR="00E34E0B" w:rsidRPr="000349EF">
        <w:t>2</w:t>
      </w:r>
      <w:r w:rsidR="003167C2">
        <w:t xml:space="preserve"> </w:t>
      </w:r>
      <w:r w:rsidR="00E34E0B" w:rsidRPr="000349EF">
        <w:t>year</w:t>
      </w:r>
      <w:r w:rsidR="00A217FF" w:rsidRPr="000349EF">
        <w:t xml:space="preserve"> </w:t>
      </w:r>
      <w:r w:rsidRPr="000349EF">
        <w:t>age group will receive the 25</w:t>
      </w:r>
      <w:r w:rsidR="00DD7DB2" w:rsidRPr="000349EF">
        <w:t> </w:t>
      </w:r>
      <w:proofErr w:type="spellStart"/>
      <w:r w:rsidRPr="000349EF">
        <w:t>μg</w:t>
      </w:r>
      <w:proofErr w:type="spellEnd"/>
      <w:r w:rsidRPr="000349EF">
        <w:t xml:space="preserve"> dose.</w:t>
      </w:r>
    </w:p>
    <w:p w14:paraId="4BD4E55D" w14:textId="59335376" w:rsidR="00172ACC" w:rsidRPr="000349EF" w:rsidRDefault="00D7275D" w:rsidP="00D7275D">
      <w:pPr>
        <w:pStyle w:val="TableTitle"/>
      </w:pPr>
      <w:bookmarkStart w:id="47" w:name="_Ref90999925"/>
      <w:r w:rsidRPr="000349EF">
        <w:t xml:space="preserve">Table </w:t>
      </w:r>
      <w:r w:rsidR="00571D7C">
        <w:fldChar w:fldCharType="begin"/>
      </w:r>
      <w:r w:rsidR="00571D7C">
        <w:instrText xml:space="preserve"> SEQ Table \* ARABIC </w:instrText>
      </w:r>
      <w:r w:rsidR="00571D7C">
        <w:fldChar w:fldCharType="separate"/>
      </w:r>
      <w:r w:rsidR="00235E4B">
        <w:rPr>
          <w:noProof/>
        </w:rPr>
        <w:t>2</w:t>
      </w:r>
      <w:r w:rsidR="00571D7C">
        <w:rPr>
          <w:noProof/>
        </w:rPr>
        <w:fldChar w:fldCharType="end"/>
      </w:r>
      <w:bookmarkEnd w:id="47"/>
      <w:r w:rsidRPr="000349EF">
        <w:t>:</w:t>
      </w:r>
      <w:r w:rsidR="00172ACC" w:rsidRPr="000349EF">
        <w:t xml:space="preserve"> </w:t>
      </w:r>
      <w:r w:rsidR="005D6530" w:rsidRPr="000349EF">
        <w:t xml:space="preserve">Study P204 Part 1 and Part 2 </w:t>
      </w:r>
      <w:r w:rsidR="00172ACC" w:rsidRPr="000349EF">
        <w:t>Planned age groups and mRNA-1273 dose levels</w:t>
      </w:r>
    </w:p>
    <w:p w14:paraId="3A89D236" w14:textId="0406DCFF" w:rsidR="002C634F" w:rsidRPr="000349EF" w:rsidRDefault="002C634F" w:rsidP="00B03B45">
      <w:r w:rsidRPr="000349EF">
        <w:rPr>
          <w:noProof/>
        </w:rPr>
        <w:drawing>
          <wp:inline distT="0" distB="0" distL="0" distR="0" wp14:anchorId="1658C87A" wp14:editId="690756E7">
            <wp:extent cx="5400040" cy="1641475"/>
            <wp:effectExtent l="0" t="0" r="0" b="0"/>
            <wp:docPr id="9" name="Picture 9" descr="Table 2: Study P204 Part 1 and Part 2 Planned age groups and mRNA-1273 dos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2: Study P204 Part 1 and Part 2 Planned age groups and mRNA-1273 dose levels"/>
                    <pic:cNvPicPr/>
                  </pic:nvPicPr>
                  <pic:blipFill>
                    <a:blip r:embed="rId21"/>
                    <a:stretch>
                      <a:fillRect/>
                    </a:stretch>
                  </pic:blipFill>
                  <pic:spPr>
                    <a:xfrm>
                      <a:off x="0" y="0"/>
                      <a:ext cx="5400040" cy="1641475"/>
                    </a:xfrm>
                    <a:prstGeom prst="rect">
                      <a:avLst/>
                    </a:prstGeom>
                  </pic:spPr>
                </pic:pic>
              </a:graphicData>
            </a:graphic>
          </wp:inline>
        </w:drawing>
      </w:r>
    </w:p>
    <w:p w14:paraId="42F97F2E" w14:textId="7ADEDB96" w:rsidR="005D6530" w:rsidRPr="000349EF" w:rsidRDefault="005D6530" w:rsidP="00E80F11">
      <w:pPr>
        <w:pStyle w:val="TableDescription"/>
        <w:rPr>
          <w:rFonts w:ascii="Times New Roman" w:eastAsiaTheme="minorHAnsi" w:hAnsi="Times New Roman"/>
          <w:sz w:val="24"/>
          <w:szCs w:val="24"/>
        </w:rPr>
      </w:pPr>
      <w:bookmarkStart w:id="48" w:name="_Hlk94798151"/>
      <w:r w:rsidRPr="000349EF">
        <w:rPr>
          <w:lang w:val="en-GB"/>
        </w:rPr>
        <w:t>mRNA-1273 = Spikevax COVID-19 vaccine</w:t>
      </w:r>
      <w:bookmarkEnd w:id="48"/>
      <w:r w:rsidR="008B723B" w:rsidRPr="000349EF">
        <w:rPr>
          <w:lang w:val="en-GB"/>
        </w:rPr>
        <w:t>; n = sample size.</w:t>
      </w:r>
    </w:p>
    <w:p w14:paraId="6A81F927" w14:textId="1CFBEF71" w:rsidR="00172ACC" w:rsidRPr="000349EF" w:rsidRDefault="00172ACC" w:rsidP="00172ACC">
      <w:r w:rsidRPr="000349EF">
        <w:t xml:space="preserve">Investigational </w:t>
      </w:r>
      <w:r w:rsidR="00FF0359" w:rsidRPr="000349EF">
        <w:t>p</w:t>
      </w:r>
      <w:r w:rsidRPr="000349EF">
        <w:t>roduct (IP) refers to mRNA-1273 (25, 50, and 100</w:t>
      </w:r>
      <w:r w:rsidR="00DD7DB2" w:rsidRPr="000349EF">
        <w:t> </w:t>
      </w:r>
      <w:proofErr w:type="spellStart"/>
      <w:r w:rsidRPr="000349EF">
        <w:t>μg</w:t>
      </w:r>
      <w:proofErr w:type="spellEnd"/>
      <w:r w:rsidRPr="000349EF">
        <w:t xml:space="preserve">) vaccine </w:t>
      </w:r>
      <w:r w:rsidR="00554BFA" w:rsidRPr="000349EF">
        <w:t xml:space="preserve">(the study vaccine) </w:t>
      </w:r>
      <w:r w:rsidRPr="000349EF">
        <w:t xml:space="preserve">or placebo (0.9% sodium chloride) in this study. Each participant will receive </w:t>
      </w:r>
      <w:r w:rsidR="00C55650">
        <w:t>two</w:t>
      </w:r>
      <w:r w:rsidR="00554BFA" w:rsidRPr="000349EF">
        <w:t> </w:t>
      </w:r>
      <w:r w:rsidRPr="000349EF">
        <w:t xml:space="preserve">doses of </w:t>
      </w:r>
      <w:r w:rsidR="00554BFA" w:rsidRPr="000349EF">
        <w:t xml:space="preserve">the study vaccine </w:t>
      </w:r>
      <w:r w:rsidRPr="000349EF">
        <w:t xml:space="preserve">by </w:t>
      </w:r>
      <w:r w:rsidR="005C1AF7" w:rsidRPr="000349EF">
        <w:t xml:space="preserve">intramuscular </w:t>
      </w:r>
      <w:r w:rsidRPr="000349EF">
        <w:t>injection approximately 28 days apart (Day</w:t>
      </w:r>
      <w:r w:rsidR="00DD7DB2" w:rsidRPr="000349EF">
        <w:t> </w:t>
      </w:r>
      <w:r w:rsidRPr="000349EF">
        <w:t>1 and Day</w:t>
      </w:r>
      <w:r w:rsidR="00DD7DB2" w:rsidRPr="000349EF">
        <w:t> </w:t>
      </w:r>
      <w:r w:rsidRPr="000349EF">
        <w:t>29) into the deltoid muscle or anterolateral thigh (per investigator’s discretion).</w:t>
      </w:r>
    </w:p>
    <w:p w14:paraId="16D41EFB" w14:textId="4A65C60F" w:rsidR="00172ACC" w:rsidRPr="000349EF" w:rsidRDefault="00172ACC" w:rsidP="00172ACC">
      <w:r w:rsidRPr="000349EF">
        <w:t>The original protocol is dated 24 Feb</w:t>
      </w:r>
      <w:r w:rsidR="005C1AF7" w:rsidRPr="000349EF">
        <w:t>ruary</w:t>
      </w:r>
      <w:r w:rsidRPr="000349EF">
        <w:t xml:space="preserve"> 2021. There have been five study amendments.</w:t>
      </w:r>
      <w:bookmarkStart w:id="49" w:name="_Ref91001002"/>
      <w:r w:rsidR="006D4C18" w:rsidRPr="000349EF">
        <w:rPr>
          <w:rStyle w:val="FootnoteReference"/>
        </w:rPr>
        <w:footnoteReference w:id="22"/>
      </w:r>
      <w:bookmarkEnd w:id="49"/>
      <w:r w:rsidRPr="000349EF">
        <w:t xml:space="preserve"> These amendments were considered not of a nature to impact the study </w:t>
      </w:r>
      <w:r w:rsidRPr="000349EF">
        <w:lastRenderedPageBreak/>
        <w:t xml:space="preserve">results. Main changes included additional </w:t>
      </w:r>
      <w:r w:rsidR="00FF0359" w:rsidRPr="000349EF">
        <w:t>d</w:t>
      </w:r>
      <w:r w:rsidR="00DD7DB2" w:rsidRPr="000349EF">
        <w:t xml:space="preserve">ata </w:t>
      </w:r>
      <w:r w:rsidR="00FF0359" w:rsidRPr="000349EF">
        <w:t>s</w:t>
      </w:r>
      <w:r w:rsidR="00DD7DB2" w:rsidRPr="000349EF">
        <w:t xml:space="preserve">afety </w:t>
      </w:r>
      <w:r w:rsidR="00FF0359" w:rsidRPr="000349EF">
        <w:t>m</w:t>
      </w:r>
      <w:r w:rsidR="00DD7DB2" w:rsidRPr="000349EF">
        <w:t xml:space="preserve">onitoring </w:t>
      </w:r>
      <w:r w:rsidR="00FF0359" w:rsidRPr="000349EF">
        <w:t>b</w:t>
      </w:r>
      <w:r w:rsidR="00DD7DB2" w:rsidRPr="000349EF">
        <w:t>oard (</w:t>
      </w:r>
      <w:r w:rsidRPr="000349EF">
        <w:t>DSMB</w:t>
      </w:r>
      <w:r w:rsidR="00DD7DB2" w:rsidRPr="000349EF">
        <w:t>)</w:t>
      </w:r>
      <w:r w:rsidRPr="000349EF">
        <w:t xml:space="preserve"> requirements for children under 6 </w:t>
      </w:r>
      <w:r w:rsidR="006D4C18" w:rsidRPr="000349EF">
        <w:t xml:space="preserve">years of age </w:t>
      </w:r>
      <w:r w:rsidRPr="000349EF">
        <w:t>and an increase in sample sizes to detect adverse events</w:t>
      </w:r>
      <w:r w:rsidR="00D23AE4" w:rsidRPr="000349EF">
        <w:t xml:space="preserve"> (AEs)</w:t>
      </w:r>
      <w:r w:rsidRPr="000349EF">
        <w:t xml:space="preserve"> that are less frequent.</w:t>
      </w:r>
    </w:p>
    <w:p w14:paraId="61545125" w14:textId="77777777" w:rsidR="00172ACC" w:rsidRPr="000349EF" w:rsidRDefault="00172ACC" w:rsidP="006B4B52">
      <w:pPr>
        <w:pStyle w:val="Heading5"/>
        <w:rPr>
          <w:rFonts w:eastAsiaTheme="minorHAnsi"/>
        </w:rPr>
      </w:pPr>
      <w:bookmarkStart w:id="50" w:name="_Toc87980871"/>
      <w:r w:rsidRPr="000349EF">
        <w:rPr>
          <w:rFonts w:eastAsiaTheme="minorHAnsi"/>
        </w:rPr>
        <w:t>Study objectives</w:t>
      </w:r>
      <w:bookmarkEnd w:id="50"/>
    </w:p>
    <w:p w14:paraId="7AB9E65C" w14:textId="7DEE9E9A" w:rsidR="00172ACC" w:rsidRPr="000349EF" w:rsidRDefault="00172ACC" w:rsidP="00172ACC">
      <w:r w:rsidRPr="000349EF">
        <w:t xml:space="preserve">The primary objectives of </w:t>
      </w:r>
      <w:r w:rsidR="005C1AF7" w:rsidRPr="000349EF">
        <w:t xml:space="preserve">Study </w:t>
      </w:r>
      <w:r w:rsidRPr="000349EF">
        <w:t>P204 are:</w:t>
      </w:r>
    </w:p>
    <w:p w14:paraId="1F68AA41" w14:textId="3D6BFADA" w:rsidR="00172ACC" w:rsidRPr="000349EF" w:rsidRDefault="006D4C18" w:rsidP="006D4C18">
      <w:pPr>
        <w:pStyle w:val="ListBullet"/>
      </w:pPr>
      <w:r w:rsidRPr="000349EF">
        <w:t xml:space="preserve">to </w:t>
      </w:r>
      <w:r w:rsidR="00172ACC" w:rsidRPr="000349EF">
        <w:t>evaluate the safety and reactogenicity of 2 doses of mRNA-1273</w:t>
      </w:r>
      <w:r w:rsidRPr="000349EF">
        <w:t>,</w:t>
      </w:r>
      <w:r w:rsidR="00172ACC" w:rsidRPr="000349EF">
        <w:t xml:space="preserve"> 28 days apart in each age </w:t>
      </w:r>
      <w:proofErr w:type="gramStart"/>
      <w:r w:rsidR="00172ACC" w:rsidRPr="000349EF">
        <w:t>group</w:t>
      </w:r>
      <w:r w:rsidR="00E21201" w:rsidRPr="000349EF">
        <w:t>;</w:t>
      </w:r>
      <w:proofErr w:type="gramEnd"/>
      <w:r w:rsidR="00172ACC" w:rsidRPr="000349EF">
        <w:t xml:space="preserve"> and</w:t>
      </w:r>
    </w:p>
    <w:p w14:paraId="0D584D18" w14:textId="014FEDCF" w:rsidR="00172ACC" w:rsidRPr="000349EF" w:rsidRDefault="006D4C18" w:rsidP="006D4C18">
      <w:pPr>
        <w:pStyle w:val="ListBullet"/>
      </w:pPr>
      <w:r w:rsidRPr="000349EF">
        <w:t xml:space="preserve">to </w:t>
      </w:r>
      <w:r w:rsidR="00172ACC" w:rsidRPr="000349EF">
        <w:t>infer the effectiveness of the selected dose level in each age group based on noninferiority of neutrali</w:t>
      </w:r>
      <w:r w:rsidR="00A23298" w:rsidRPr="000349EF">
        <w:t>s</w:t>
      </w:r>
      <w:r w:rsidR="00172ACC" w:rsidRPr="000349EF">
        <w:t>ing antibody (</w:t>
      </w:r>
      <w:proofErr w:type="spellStart"/>
      <w:r w:rsidR="00172ACC" w:rsidRPr="000349EF">
        <w:t>nAb</w:t>
      </w:r>
      <w:proofErr w:type="spellEnd"/>
      <w:r w:rsidR="00172ACC" w:rsidRPr="000349EF">
        <w:t xml:space="preserve">) responses compared with those of young adults (18 to 25 years in the pivotal efficacy </w:t>
      </w:r>
      <w:r w:rsidRPr="000349EF">
        <w:t>S</w:t>
      </w:r>
      <w:r w:rsidR="00172ACC" w:rsidRPr="000349EF">
        <w:t xml:space="preserve">tudy mRNA-1273-P301 </w:t>
      </w:r>
      <w:r w:rsidR="00A23298" w:rsidRPr="000349EF">
        <w:t>(</w:t>
      </w:r>
      <w:r w:rsidRPr="000349EF">
        <w:t>refer</w:t>
      </w:r>
      <w:r w:rsidR="00E21201" w:rsidRPr="000349EF">
        <w:t>red to</w:t>
      </w:r>
      <w:r w:rsidRPr="000349EF">
        <w:t xml:space="preserve"> as Study </w:t>
      </w:r>
      <w:r w:rsidR="00172ACC" w:rsidRPr="000349EF">
        <w:t>P301</w:t>
      </w:r>
      <w:r w:rsidRPr="000349EF">
        <w:t xml:space="preserve"> hereafter</w:t>
      </w:r>
      <w:r w:rsidR="00A23298" w:rsidRPr="000349EF">
        <w:t>)</w:t>
      </w:r>
      <w:r w:rsidR="00172ACC" w:rsidRPr="000349EF">
        <w:t>).</w:t>
      </w:r>
    </w:p>
    <w:p w14:paraId="78672CFD" w14:textId="67442CC1" w:rsidR="00172ACC" w:rsidRPr="000349EF" w:rsidRDefault="00172ACC" w:rsidP="00172ACC">
      <w:r w:rsidRPr="000349EF">
        <w:t xml:space="preserve">Secondary objectives are to evaluate the persistence of immune response, the incidence of SARS-CoV-2 infection regardless of symptoms, the incidence of asymptomatic SARS-CoV-2 infection and the incidence of COVID-19 (defined as clinical symptoms consistent with COVID-19 and positive </w:t>
      </w:r>
      <w:r w:rsidR="006D4C18" w:rsidRPr="000349EF">
        <w:t>reverse transcription polymerase chain reaction (</w:t>
      </w:r>
      <w:r w:rsidRPr="000349EF">
        <w:t>RT-PCR</w:t>
      </w:r>
      <w:r w:rsidR="006D4C18" w:rsidRPr="000349EF">
        <w:t>)</w:t>
      </w:r>
      <w:r w:rsidRPr="000349EF">
        <w:t xml:space="preserve"> for SARS</w:t>
      </w:r>
      <w:r w:rsidR="006D4C18" w:rsidRPr="000349EF">
        <w:noBreakHyphen/>
      </w:r>
      <w:r w:rsidRPr="000349EF">
        <w:t>CoV-2) after receipt of mRNA-1273 or placebo.</w:t>
      </w:r>
    </w:p>
    <w:p w14:paraId="14483298" w14:textId="01C647BC" w:rsidR="00172ACC" w:rsidRPr="000349EF" w:rsidRDefault="00172ACC" w:rsidP="006B4B52">
      <w:pPr>
        <w:pStyle w:val="Heading5"/>
        <w:rPr>
          <w:rFonts w:eastAsiaTheme="minorHAnsi"/>
        </w:rPr>
      </w:pPr>
      <w:r w:rsidRPr="000349EF">
        <w:rPr>
          <w:rFonts w:eastAsiaTheme="minorHAnsi"/>
        </w:rPr>
        <w:t>Inclusion and exclusion criteria</w:t>
      </w:r>
    </w:p>
    <w:p w14:paraId="30C9B5B4" w14:textId="2238E30E" w:rsidR="00172ACC" w:rsidRPr="000349EF" w:rsidRDefault="007156F1" w:rsidP="00172ACC">
      <w:r w:rsidRPr="000349EF">
        <w:t>The</w:t>
      </w:r>
      <w:r w:rsidR="00172ACC" w:rsidRPr="000349EF">
        <w:t xml:space="preserve"> detailed inclusion and exclusion criteria</w:t>
      </w:r>
      <w:r w:rsidRPr="000349EF">
        <w:t xml:space="preserve"> are not included in this AusPAR.</w:t>
      </w:r>
      <w:r w:rsidRPr="000349EF">
        <w:rPr>
          <w:rFonts w:eastAsiaTheme="minorHAnsi"/>
          <w:vertAlign w:val="superscript"/>
        </w:rPr>
        <w:fldChar w:fldCharType="begin"/>
      </w:r>
      <w:r w:rsidRPr="000349EF">
        <w:rPr>
          <w:rFonts w:eastAsiaTheme="minorHAnsi"/>
          <w:vertAlign w:val="superscript"/>
        </w:rPr>
        <w:instrText xml:space="preserve"> NOTEREF _Ref91001002 \h  \* MERGEFORMAT </w:instrText>
      </w:r>
      <w:r w:rsidRPr="000349EF">
        <w:rPr>
          <w:rFonts w:eastAsiaTheme="minorHAnsi"/>
          <w:vertAlign w:val="superscript"/>
        </w:rPr>
      </w:r>
      <w:r w:rsidRPr="000349EF">
        <w:rPr>
          <w:rFonts w:eastAsiaTheme="minorHAnsi"/>
          <w:vertAlign w:val="superscript"/>
        </w:rPr>
        <w:fldChar w:fldCharType="separate"/>
      </w:r>
      <w:r w:rsidR="00235E4B">
        <w:rPr>
          <w:rFonts w:eastAsiaTheme="minorHAnsi"/>
          <w:vertAlign w:val="superscript"/>
        </w:rPr>
        <w:t>21</w:t>
      </w:r>
      <w:r w:rsidRPr="000349EF">
        <w:rPr>
          <w:rFonts w:eastAsiaTheme="minorHAnsi"/>
          <w:vertAlign w:val="superscript"/>
        </w:rPr>
        <w:fldChar w:fldCharType="end"/>
      </w:r>
    </w:p>
    <w:p w14:paraId="454C94FB" w14:textId="34EC12BD" w:rsidR="00172ACC" w:rsidRPr="000349EF" w:rsidRDefault="00172ACC" w:rsidP="006B4B52">
      <w:pPr>
        <w:pStyle w:val="Heading5"/>
      </w:pPr>
      <w:bookmarkStart w:id="51" w:name="_Toc87980872"/>
      <w:r w:rsidRPr="000349EF">
        <w:t>Analysis sets</w:t>
      </w:r>
      <w:bookmarkEnd w:id="51"/>
    </w:p>
    <w:p w14:paraId="25FC2BD0" w14:textId="0A1A5C30" w:rsidR="00172ACC" w:rsidRPr="000349EF" w:rsidRDefault="00172ACC" w:rsidP="00172ACC">
      <w:r w:rsidRPr="000349EF">
        <w:t>The analysis sets defined in the study protocol are as follows:</w:t>
      </w:r>
    </w:p>
    <w:p w14:paraId="0FA8B6A7" w14:textId="26EDA660" w:rsidR="00172ACC" w:rsidRPr="000349EF" w:rsidRDefault="00D7275D" w:rsidP="00B03B45">
      <w:pPr>
        <w:pStyle w:val="TableTitle"/>
      </w:pPr>
      <w:r w:rsidRPr="000349EF">
        <w:lastRenderedPageBreak/>
        <w:t xml:space="preserve">Table </w:t>
      </w:r>
      <w:r w:rsidR="00571D7C">
        <w:fldChar w:fldCharType="begin"/>
      </w:r>
      <w:r w:rsidR="00571D7C">
        <w:instrText xml:space="preserve"> SEQ Table \* ARABIC </w:instrText>
      </w:r>
      <w:r w:rsidR="00571D7C">
        <w:fldChar w:fldCharType="separate"/>
      </w:r>
      <w:r w:rsidR="00235E4B">
        <w:rPr>
          <w:noProof/>
        </w:rPr>
        <w:t>3</w:t>
      </w:r>
      <w:r w:rsidR="00571D7C">
        <w:rPr>
          <w:noProof/>
        </w:rPr>
        <w:fldChar w:fldCharType="end"/>
      </w:r>
      <w:r w:rsidR="00172ACC" w:rsidRPr="000349EF">
        <w:t xml:space="preserve">: </w:t>
      </w:r>
      <w:r w:rsidR="005D6530" w:rsidRPr="000349EF">
        <w:t xml:space="preserve">Study P204 </w:t>
      </w:r>
      <w:r w:rsidR="00172ACC" w:rsidRPr="000349EF">
        <w:t xml:space="preserve">Analysis </w:t>
      </w:r>
      <w:r w:rsidR="005D6530" w:rsidRPr="000349EF">
        <w:t>s</w:t>
      </w:r>
      <w:r w:rsidR="00172ACC" w:rsidRPr="000349EF">
        <w:t>ets</w:t>
      </w:r>
    </w:p>
    <w:p w14:paraId="58B44D95" w14:textId="0220D0FB" w:rsidR="008B723B" w:rsidRPr="000349EF" w:rsidRDefault="008B723B" w:rsidP="008B723B">
      <w:r w:rsidRPr="000349EF">
        <w:rPr>
          <w:noProof/>
          <w:lang w:val="en-GB" w:eastAsia="en-GB"/>
        </w:rPr>
        <w:drawing>
          <wp:inline distT="0" distB="0" distL="0" distR="0" wp14:anchorId="118E8060" wp14:editId="5ACEBCAE">
            <wp:extent cx="5400040" cy="6337935"/>
            <wp:effectExtent l="0" t="0" r="0" b="5715"/>
            <wp:docPr id="30" name="Picture 30" descr="Table 3: Study P204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3: Study P204 Analysis sets"/>
                    <pic:cNvPicPr/>
                  </pic:nvPicPr>
                  <pic:blipFill>
                    <a:blip r:embed="rId22"/>
                    <a:stretch>
                      <a:fillRect/>
                    </a:stretch>
                  </pic:blipFill>
                  <pic:spPr>
                    <a:xfrm>
                      <a:off x="0" y="0"/>
                      <a:ext cx="5400040" cy="6337935"/>
                    </a:xfrm>
                    <a:prstGeom prst="rect">
                      <a:avLst/>
                    </a:prstGeom>
                  </pic:spPr>
                </pic:pic>
              </a:graphicData>
            </a:graphic>
          </wp:inline>
        </w:drawing>
      </w:r>
    </w:p>
    <w:p w14:paraId="5629A11B" w14:textId="49FC13EF" w:rsidR="00172ACC" w:rsidRPr="000349EF" w:rsidRDefault="008B723B" w:rsidP="008B723B">
      <w:pPr>
        <w:pStyle w:val="TableDescription"/>
      </w:pPr>
      <w:r w:rsidRPr="000349EF">
        <w:t xml:space="preserve">Ab = antibody; AR = adverse reaction; </w:t>
      </w:r>
      <w:proofErr w:type="spellStart"/>
      <w:r w:rsidRPr="000349EF">
        <w:t>bAb</w:t>
      </w:r>
      <w:proofErr w:type="spellEnd"/>
      <w:r w:rsidRPr="000349EF">
        <w:t xml:space="preserve"> = binding antibody; FAS = full analysis set; HAART = highly active anti-retroviral therapy; HIV = human immunodeficiency virus; IP = investigational product; </w:t>
      </w:r>
      <w:proofErr w:type="spellStart"/>
      <w:r w:rsidRPr="000349EF">
        <w:t>mITT</w:t>
      </w:r>
      <w:proofErr w:type="spellEnd"/>
      <w:r w:rsidR="00E21201" w:rsidRPr="000349EF">
        <w:t> </w:t>
      </w:r>
      <w:r w:rsidRPr="000349EF">
        <w:t>= modified intent-to-treat; RT-PCR = reverse transcription polymerase chain reaction; SARS</w:t>
      </w:r>
      <w:r w:rsidR="00E21201" w:rsidRPr="000349EF">
        <w:noBreakHyphen/>
      </w:r>
      <w:r w:rsidRPr="000349EF">
        <w:t>CoV</w:t>
      </w:r>
      <w:r w:rsidR="00E21201" w:rsidRPr="000349EF">
        <w:noBreakHyphen/>
      </w:r>
      <w:r w:rsidRPr="000349EF">
        <w:t>2</w:t>
      </w:r>
      <w:r w:rsidR="00E21201" w:rsidRPr="000349EF">
        <w:t> </w:t>
      </w:r>
      <w:r w:rsidRPr="000349EF">
        <w:t>=</w:t>
      </w:r>
      <w:r w:rsidR="00E21201" w:rsidRPr="000349EF">
        <w:t> </w:t>
      </w:r>
      <w:r w:rsidRPr="000349EF">
        <w:t>severe acute respiratory syndrome coronavirus 2.</w:t>
      </w:r>
    </w:p>
    <w:p w14:paraId="16165AC8" w14:textId="19DDF502" w:rsidR="00172ACC" w:rsidRPr="000349EF" w:rsidRDefault="00172ACC" w:rsidP="006B4B52">
      <w:pPr>
        <w:pStyle w:val="Heading5"/>
        <w:rPr>
          <w:rFonts w:eastAsiaTheme="minorHAnsi"/>
        </w:rPr>
      </w:pPr>
      <w:bookmarkStart w:id="52" w:name="_Toc87980873"/>
      <w:r w:rsidRPr="000349EF">
        <w:rPr>
          <w:rFonts w:eastAsiaTheme="minorHAnsi"/>
        </w:rPr>
        <w:t xml:space="preserve">Statistical </w:t>
      </w:r>
      <w:r w:rsidR="006B4B52" w:rsidRPr="000349EF">
        <w:rPr>
          <w:rFonts w:eastAsiaTheme="minorHAnsi"/>
        </w:rPr>
        <w:t>m</w:t>
      </w:r>
      <w:r w:rsidRPr="000349EF">
        <w:rPr>
          <w:rFonts w:eastAsiaTheme="minorHAnsi"/>
        </w:rPr>
        <w:t>ethods</w:t>
      </w:r>
      <w:bookmarkEnd w:id="52"/>
    </w:p>
    <w:p w14:paraId="72A5798E" w14:textId="6695951C" w:rsidR="00172ACC" w:rsidRPr="000349EF" w:rsidRDefault="00172ACC" w:rsidP="00172ACC">
      <w:r w:rsidRPr="000349EF">
        <w:t xml:space="preserve">The statistical methods are provided in the </w:t>
      </w:r>
      <w:r w:rsidR="007156F1" w:rsidRPr="000349EF">
        <w:t>statistical analy</w:t>
      </w:r>
      <w:r w:rsidR="00554BFA" w:rsidRPr="000349EF">
        <w:t>sis</w:t>
      </w:r>
      <w:r w:rsidR="007156F1" w:rsidRPr="000349EF">
        <w:t xml:space="preserve"> plan </w:t>
      </w:r>
      <w:r w:rsidRPr="000349EF">
        <w:t>(SAP</w:t>
      </w:r>
      <w:r w:rsidR="007156F1" w:rsidRPr="000349EF">
        <w:t>,</w:t>
      </w:r>
      <w:r w:rsidRPr="000349EF">
        <w:t xml:space="preserve"> version 2.0, 22</w:t>
      </w:r>
      <w:r w:rsidR="007156F1" w:rsidRPr="000349EF">
        <w:t> </w:t>
      </w:r>
      <w:r w:rsidRPr="000349EF">
        <w:t>September 2021). In the study protocol, it is stated that the primary immunogenicity objective is to infer the effectiveness of mRNA-1273 based on the primary endpoint of either:</w:t>
      </w:r>
    </w:p>
    <w:p w14:paraId="7E33F38C" w14:textId="042378EA" w:rsidR="00172ACC" w:rsidRPr="000349EF" w:rsidRDefault="007156F1" w:rsidP="007156F1">
      <w:pPr>
        <w:pStyle w:val="ListBullet"/>
      </w:pPr>
      <w:r w:rsidRPr="000349EF">
        <w:t>t</w:t>
      </w:r>
      <w:r w:rsidR="00172ACC" w:rsidRPr="000349EF">
        <w:t xml:space="preserve">he proportion of participants with a serum </w:t>
      </w:r>
      <w:r w:rsidRPr="000349EF">
        <w:t>antibody</w:t>
      </w:r>
      <w:r w:rsidR="00172ACC" w:rsidRPr="000349EF">
        <w:t xml:space="preserve"> level at Day</w:t>
      </w:r>
      <w:r w:rsidRPr="000349EF">
        <w:t> </w:t>
      </w:r>
      <w:r w:rsidR="00172ACC" w:rsidRPr="000349EF">
        <w:t xml:space="preserve">57 </w:t>
      </w:r>
      <w:r w:rsidRPr="000349EF">
        <w:t>greater than or equal to</w:t>
      </w:r>
      <w:r w:rsidR="00172ACC" w:rsidRPr="000349EF">
        <w:t xml:space="preserve"> </w:t>
      </w:r>
      <w:r w:rsidRPr="000349EF">
        <w:t>antibody</w:t>
      </w:r>
      <w:r w:rsidR="00172ACC" w:rsidRPr="000349EF">
        <w:t xml:space="preserve"> threshold of protection if an acceptable threshold of protection has been established.</w:t>
      </w:r>
    </w:p>
    <w:p w14:paraId="4169BFA8" w14:textId="17091979" w:rsidR="00172ACC" w:rsidRPr="000349EF" w:rsidRDefault="007156F1" w:rsidP="007156F1">
      <w:pPr>
        <w:pStyle w:val="ListBullet"/>
      </w:pPr>
      <w:r w:rsidRPr="000349EF">
        <w:lastRenderedPageBreak/>
        <w:t>i</w:t>
      </w:r>
      <w:r w:rsidR="00172ACC" w:rsidRPr="000349EF">
        <w:t xml:space="preserve">f an acceptable threshold of protection has not been established, the </w:t>
      </w:r>
      <w:r w:rsidR="00B52F4B" w:rsidRPr="000349EF">
        <w:t>geometric mean (</w:t>
      </w:r>
      <w:r w:rsidR="00172ACC" w:rsidRPr="000349EF">
        <w:t>GM</w:t>
      </w:r>
      <w:r w:rsidR="00B52F4B" w:rsidRPr="000349EF">
        <w:t>)</w:t>
      </w:r>
      <w:r w:rsidR="00172ACC" w:rsidRPr="000349EF">
        <w:t xml:space="preserve"> value of serum </w:t>
      </w:r>
      <w:r w:rsidRPr="000349EF">
        <w:t>antibody</w:t>
      </w:r>
      <w:r w:rsidR="00172ACC" w:rsidRPr="000349EF">
        <w:t xml:space="preserve"> level and seroresponse rate from Study</w:t>
      </w:r>
      <w:r w:rsidR="00B52F4B" w:rsidRPr="000349EF">
        <w:t> </w:t>
      </w:r>
      <w:r w:rsidR="00172ACC" w:rsidRPr="000349EF">
        <w:t>P204 vaccine recipients at Day</w:t>
      </w:r>
      <w:r w:rsidR="00B52F4B" w:rsidRPr="000349EF">
        <w:t> </w:t>
      </w:r>
      <w:r w:rsidR="00172ACC" w:rsidRPr="000349EF">
        <w:t>57 compared with those from young adult (18 to 25 years of age) vaccine recipients (Day</w:t>
      </w:r>
      <w:r w:rsidR="00B52F4B" w:rsidRPr="000349EF">
        <w:t> </w:t>
      </w:r>
      <w:r w:rsidR="00172ACC" w:rsidRPr="000349EF">
        <w:t>57) in the clinical endpoint efficacy trial (Study</w:t>
      </w:r>
      <w:r w:rsidR="00B52F4B" w:rsidRPr="000349EF">
        <w:t> </w:t>
      </w:r>
      <w:r w:rsidR="00172ACC" w:rsidRPr="000349EF">
        <w:t>P301).</w:t>
      </w:r>
    </w:p>
    <w:p w14:paraId="0E5665E2" w14:textId="081D8797" w:rsidR="00172ACC" w:rsidRPr="000349EF" w:rsidRDefault="00172ACC" w:rsidP="00172ACC">
      <w:r w:rsidRPr="000349EF">
        <w:t xml:space="preserve">At the time of this submission, a serum </w:t>
      </w:r>
      <w:r w:rsidR="007156F1" w:rsidRPr="000349EF">
        <w:t>antibody</w:t>
      </w:r>
      <w:r w:rsidRPr="000349EF">
        <w:t xml:space="preserve"> threshold of protection against COVID</w:t>
      </w:r>
      <w:r w:rsidR="00B52F4B" w:rsidRPr="000349EF">
        <w:noBreakHyphen/>
      </w:r>
      <w:r w:rsidRPr="000349EF">
        <w:t xml:space="preserve">19 had not been established. Therefore, the primary objective to infer the effectiveness of mRNA-1273 was evaluated by comparing the GM value of serum </w:t>
      </w:r>
      <w:r w:rsidR="007156F1" w:rsidRPr="000349EF">
        <w:t>antibody</w:t>
      </w:r>
      <w:r w:rsidRPr="000349EF">
        <w:t xml:space="preserve"> level and seroresponse rates (</w:t>
      </w:r>
      <w:r w:rsidR="00C55650">
        <w:t>two</w:t>
      </w:r>
      <w:r w:rsidRPr="000349EF">
        <w:t xml:space="preserve"> coprimary endpoints) from Study</w:t>
      </w:r>
      <w:r w:rsidR="00B52F4B" w:rsidRPr="000349EF">
        <w:t> </w:t>
      </w:r>
      <w:r w:rsidRPr="000349EF">
        <w:t>P204 vaccine recipients at Day</w:t>
      </w:r>
      <w:r w:rsidR="00B52F4B" w:rsidRPr="000349EF">
        <w:t> </w:t>
      </w:r>
      <w:r w:rsidRPr="000349EF">
        <w:t>57 to those obtained from young adult (18 to 25 years of age) vaccine recipients (Day</w:t>
      </w:r>
      <w:r w:rsidR="00B52F4B" w:rsidRPr="000349EF">
        <w:t xml:space="preserve"> </w:t>
      </w:r>
      <w:r w:rsidRPr="000349EF">
        <w:t>57) in the pivotal study (Study</w:t>
      </w:r>
      <w:r w:rsidR="00B52F4B" w:rsidRPr="000349EF">
        <w:t> </w:t>
      </w:r>
      <w:r w:rsidRPr="000349EF">
        <w:t>P301), which established the efficacy of mRNA-1273.</w:t>
      </w:r>
    </w:p>
    <w:p w14:paraId="495BE08D" w14:textId="6FE74E8B" w:rsidR="00172ACC" w:rsidRPr="000349EF" w:rsidRDefault="00172ACC" w:rsidP="00172ACC">
      <w:r w:rsidRPr="000349EF">
        <w:t xml:space="preserve">The noninferiority of </w:t>
      </w:r>
      <w:r w:rsidR="00B52F4B" w:rsidRPr="000349EF">
        <w:t>geometric mean titre (</w:t>
      </w:r>
      <w:r w:rsidRPr="000349EF">
        <w:t>GMT</w:t>
      </w:r>
      <w:r w:rsidR="00B52F4B" w:rsidRPr="000349EF">
        <w:t>)</w:t>
      </w:r>
      <w:r w:rsidRPr="000349EF">
        <w:t xml:space="preserve"> in 6 to &lt;</w:t>
      </w:r>
      <w:r w:rsidR="00B52F4B" w:rsidRPr="000349EF">
        <w:t> </w:t>
      </w:r>
      <w:r w:rsidRPr="000349EF">
        <w:t>12</w:t>
      </w:r>
      <w:r w:rsidR="00A217FF" w:rsidRPr="000349EF">
        <w:t>-</w:t>
      </w:r>
      <w:r w:rsidRPr="000349EF">
        <w:t xml:space="preserve">year age group is considered demonstrated if the lower bound of the 95% </w:t>
      </w:r>
      <w:r w:rsidR="00B52F4B" w:rsidRPr="000349EF">
        <w:t>confidence interval (</w:t>
      </w:r>
      <w:r w:rsidRPr="000349EF">
        <w:t>CI</w:t>
      </w:r>
      <w:r w:rsidR="00B52F4B" w:rsidRPr="000349EF">
        <w:t>)</w:t>
      </w:r>
      <w:r w:rsidRPr="000349EF">
        <w:t xml:space="preserve"> of the </w:t>
      </w:r>
      <w:r w:rsidR="00B52F4B" w:rsidRPr="000349EF">
        <w:t>geometric mean ratio (</w:t>
      </w:r>
      <w:r w:rsidRPr="000349EF">
        <w:t>GMR</w:t>
      </w:r>
      <w:r w:rsidR="00B52F4B" w:rsidRPr="000349EF">
        <w:t>)</w:t>
      </w:r>
      <w:r w:rsidRPr="000349EF">
        <w:t xml:space="preserve"> is ≥</w:t>
      </w:r>
      <w:r w:rsidR="00B52F4B" w:rsidRPr="000349EF">
        <w:t> </w:t>
      </w:r>
      <w:r w:rsidRPr="000349EF">
        <w:t>0.67 based on the noninferiority margin of 1.5. In addition, the GMR point estimate &gt;</w:t>
      </w:r>
      <w:r w:rsidR="00B52F4B" w:rsidRPr="000349EF">
        <w:t> </w:t>
      </w:r>
      <w:r w:rsidRPr="000349EF">
        <w:t xml:space="preserve">0.8 (minimum threshold) is required for the success criteria of the immunogenicity objective based on GMT. In addition, </w:t>
      </w:r>
      <w:r w:rsidR="00554BFA" w:rsidRPr="000349EF">
        <w:t xml:space="preserve">the </w:t>
      </w:r>
      <w:r w:rsidRPr="000349EF">
        <w:t>GMR with 95% CI</w:t>
      </w:r>
      <w:r w:rsidR="00554BFA" w:rsidRPr="000349EF">
        <w:t>s</w:t>
      </w:r>
      <w:r w:rsidRPr="000349EF">
        <w:t xml:space="preserve"> calculated using </w:t>
      </w:r>
      <w:r w:rsidRPr="000349EF">
        <w:rPr>
          <w:i/>
        </w:rPr>
        <w:t>t</w:t>
      </w:r>
      <w:r w:rsidR="00B52F4B" w:rsidRPr="000349EF">
        <w:noBreakHyphen/>
      </w:r>
      <w:r w:rsidRPr="000349EF">
        <w:t xml:space="preserve">distribution was provided to assess if the </w:t>
      </w:r>
      <w:r w:rsidR="00C55650">
        <w:t>two</w:t>
      </w:r>
      <w:r w:rsidRPr="000349EF">
        <w:t xml:space="preserve"> methods are consistent in the analysis results.</w:t>
      </w:r>
    </w:p>
    <w:p w14:paraId="0E93ED58" w14:textId="3A0C2F5C" w:rsidR="00172ACC" w:rsidRPr="000349EF" w:rsidRDefault="00172ACC" w:rsidP="00172ACC">
      <w:r w:rsidRPr="000349EF">
        <w:t xml:space="preserve">The noninferiority of seroresponse rate in </w:t>
      </w:r>
      <w:r w:rsidR="00554BFA" w:rsidRPr="000349EF">
        <w:t xml:space="preserve">the </w:t>
      </w:r>
      <w:r w:rsidRPr="000349EF">
        <w:t>6 to &lt;</w:t>
      </w:r>
      <w:r w:rsidR="00B52F4B" w:rsidRPr="000349EF">
        <w:t xml:space="preserve"> </w:t>
      </w:r>
      <w:r w:rsidRPr="000349EF">
        <w:t>12</w:t>
      </w:r>
      <w:r w:rsidR="00A217FF" w:rsidRPr="000349EF">
        <w:t>-</w:t>
      </w:r>
      <w:r w:rsidRPr="000349EF">
        <w:t>year</w:t>
      </w:r>
      <w:r w:rsidR="00554BFA" w:rsidRPr="000349EF">
        <w:t>s of</w:t>
      </w:r>
      <w:r w:rsidRPr="000349EF">
        <w:t xml:space="preserve"> age group is considered demonstrated if the lower bound of the 95% CI of the seroresponse rate difference is &gt;</w:t>
      </w:r>
      <w:r w:rsidR="00B52F4B" w:rsidRPr="000349EF">
        <w:t> </w:t>
      </w:r>
      <w:r w:rsidR="00B52F4B" w:rsidRPr="000349EF">
        <w:noBreakHyphen/>
      </w:r>
      <w:r w:rsidRPr="000349EF">
        <w:t>10% based on the noninferiority margin of 10% and the seroresponse rate difference point estimate &gt;</w:t>
      </w:r>
      <w:r w:rsidR="00B52F4B" w:rsidRPr="000349EF">
        <w:t> </w:t>
      </w:r>
      <w:r w:rsidR="00B52F4B" w:rsidRPr="000349EF">
        <w:noBreakHyphen/>
      </w:r>
      <w:r w:rsidRPr="000349EF">
        <w:t>5% (minimum threshold).</w:t>
      </w:r>
    </w:p>
    <w:p w14:paraId="4480E82B" w14:textId="06B89591" w:rsidR="00172ACC" w:rsidRPr="000349EF" w:rsidRDefault="00172ACC" w:rsidP="00172ACC">
      <w:r w:rsidRPr="000349EF">
        <w:t>Secondary objectives include evaluation of the incidence of SARS-CoV-2 infection, the incidence of asymptomatic SARS-CoV-2 infection, and the incidence of COVID-19 after vaccination with mRNA-1273 or placebo. The incidence rate was calculated as the number of cases divided by the total person-time. The 95% CI</w:t>
      </w:r>
      <w:r w:rsidR="00554BFA" w:rsidRPr="000349EF">
        <w:t>s</w:t>
      </w:r>
      <w:r w:rsidRPr="000349EF">
        <w:t xml:space="preserve"> of the incidence rate was calculated using the exact method (Poisson distribution) and adjusted by person-time. Participants in Part</w:t>
      </w:r>
      <w:r w:rsidR="00B52F4B" w:rsidRPr="000349EF">
        <w:t> </w:t>
      </w:r>
      <w:r w:rsidRPr="000349EF">
        <w:t>1 and Part</w:t>
      </w:r>
      <w:r w:rsidR="00B52F4B" w:rsidRPr="000349EF">
        <w:t> </w:t>
      </w:r>
      <w:r w:rsidRPr="000349EF">
        <w:t>2 of the study and in different age groups who receive the same mRNA</w:t>
      </w:r>
      <w:r w:rsidR="00B52F4B" w:rsidRPr="000349EF">
        <w:noBreakHyphen/>
      </w:r>
      <w:r w:rsidRPr="000349EF">
        <w:t>1273 dose level (if applicable) is combined in the analysis. For serologically confirmed SARS-CoV-2 infection or COVID-19, regardless of symptomatology or severity, infection rate is provided by vaccination group, dose level, and age group. The same analysis is conducted for asymptomatic SARS-CoV-2 infection.</w:t>
      </w:r>
    </w:p>
    <w:p w14:paraId="57DE28C6" w14:textId="5BAFAA84" w:rsidR="00172ACC" w:rsidRPr="000349EF" w:rsidRDefault="00172ACC" w:rsidP="00172ACC">
      <w:r w:rsidRPr="000349EF">
        <w:t xml:space="preserve">The COVID-19 case definitions used in Study P204 is presented in </w:t>
      </w:r>
      <w:r w:rsidR="00A217FF" w:rsidRPr="000349EF">
        <w:fldChar w:fldCharType="begin"/>
      </w:r>
      <w:r w:rsidR="00A217FF" w:rsidRPr="000349EF">
        <w:instrText xml:space="preserve"> REF _Ref91002269 \h </w:instrText>
      </w:r>
      <w:r w:rsidR="008C1E85" w:rsidRPr="000349EF">
        <w:instrText xml:space="preserve"> \* MERGEFORMAT </w:instrText>
      </w:r>
      <w:r w:rsidR="00A217FF" w:rsidRPr="000349EF">
        <w:fldChar w:fldCharType="separate"/>
      </w:r>
      <w:r w:rsidR="00235E4B" w:rsidRPr="000349EF">
        <w:t xml:space="preserve">Table </w:t>
      </w:r>
      <w:r w:rsidR="00235E4B">
        <w:rPr>
          <w:noProof/>
        </w:rPr>
        <w:t>4</w:t>
      </w:r>
      <w:r w:rsidR="00A217FF" w:rsidRPr="000349EF">
        <w:fldChar w:fldCharType="end"/>
      </w:r>
      <w:r w:rsidR="00A217FF" w:rsidRPr="000349EF">
        <w:t xml:space="preserve"> </w:t>
      </w:r>
      <w:r w:rsidRPr="000349EF">
        <w:t>below.</w:t>
      </w:r>
    </w:p>
    <w:p w14:paraId="25BCC8CC" w14:textId="7F53E431" w:rsidR="00172ACC" w:rsidRPr="000349EF" w:rsidRDefault="00D7275D" w:rsidP="00B03B45">
      <w:pPr>
        <w:pStyle w:val="TableTitle"/>
      </w:pPr>
      <w:bookmarkStart w:id="53" w:name="_Ref91002269"/>
      <w:r w:rsidRPr="000349EF">
        <w:lastRenderedPageBreak/>
        <w:t xml:space="preserve">Table </w:t>
      </w:r>
      <w:r w:rsidR="00571D7C">
        <w:fldChar w:fldCharType="begin"/>
      </w:r>
      <w:r w:rsidR="00571D7C">
        <w:instrText xml:space="preserve"> SEQ Table \* ARABIC </w:instrText>
      </w:r>
      <w:r w:rsidR="00571D7C">
        <w:fldChar w:fldCharType="separate"/>
      </w:r>
      <w:r w:rsidR="00235E4B">
        <w:rPr>
          <w:noProof/>
        </w:rPr>
        <w:t>4</w:t>
      </w:r>
      <w:r w:rsidR="00571D7C">
        <w:rPr>
          <w:noProof/>
        </w:rPr>
        <w:fldChar w:fldCharType="end"/>
      </w:r>
      <w:bookmarkEnd w:id="53"/>
      <w:r w:rsidR="00172ACC" w:rsidRPr="000349EF">
        <w:t xml:space="preserve">: </w:t>
      </w:r>
      <w:r w:rsidR="005D6530" w:rsidRPr="000349EF">
        <w:t>Study</w:t>
      </w:r>
      <w:r w:rsidR="00A217FF" w:rsidRPr="000349EF">
        <w:t> </w:t>
      </w:r>
      <w:r w:rsidR="00614801" w:rsidRPr="000349EF">
        <w:t>P</w:t>
      </w:r>
      <w:r w:rsidR="005D6530" w:rsidRPr="000349EF">
        <w:t xml:space="preserve">204 </w:t>
      </w:r>
      <w:r w:rsidR="00172ACC" w:rsidRPr="000349EF">
        <w:t>COVID-19 case definitions</w:t>
      </w:r>
    </w:p>
    <w:p w14:paraId="24A55427" w14:textId="7D7579D7" w:rsidR="008B723B" w:rsidRPr="000349EF" w:rsidRDefault="008B723B" w:rsidP="008B723B">
      <w:r w:rsidRPr="000349EF">
        <w:rPr>
          <w:noProof/>
          <w:lang w:val="en-GB" w:eastAsia="en-GB"/>
        </w:rPr>
        <w:drawing>
          <wp:inline distT="0" distB="0" distL="0" distR="0" wp14:anchorId="1ED03447" wp14:editId="0386A9CA">
            <wp:extent cx="5400040" cy="4221480"/>
            <wp:effectExtent l="0" t="0" r="0" b="7620"/>
            <wp:docPr id="33" name="Picture 33" descr="Table 4: Study P204 COVID-19 case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4: Study P204 COVID-19 case definitions"/>
                    <pic:cNvPicPr/>
                  </pic:nvPicPr>
                  <pic:blipFill>
                    <a:blip r:embed="rId23"/>
                    <a:stretch>
                      <a:fillRect/>
                    </a:stretch>
                  </pic:blipFill>
                  <pic:spPr>
                    <a:xfrm>
                      <a:off x="0" y="0"/>
                      <a:ext cx="5400040" cy="4221480"/>
                    </a:xfrm>
                    <a:prstGeom prst="rect">
                      <a:avLst/>
                    </a:prstGeom>
                  </pic:spPr>
                </pic:pic>
              </a:graphicData>
            </a:graphic>
          </wp:inline>
        </w:drawing>
      </w:r>
    </w:p>
    <w:p w14:paraId="566FF634" w14:textId="627E1FF2" w:rsidR="00172ACC" w:rsidRPr="000349EF" w:rsidRDefault="008B723B" w:rsidP="004F3A5D">
      <w:pPr>
        <w:pStyle w:val="TableDescription"/>
      </w:pPr>
      <w:proofErr w:type="spellStart"/>
      <w:r w:rsidRPr="000349EF">
        <w:t>bAb</w:t>
      </w:r>
      <w:proofErr w:type="spellEnd"/>
      <w:r w:rsidRPr="000349EF">
        <w:t xml:space="preserve"> = binding antibody; CDC = </w:t>
      </w:r>
      <w:proofErr w:type="spellStart"/>
      <w:r w:rsidRPr="000349EF">
        <w:t>Centers</w:t>
      </w:r>
      <w:proofErr w:type="spellEnd"/>
      <w:r w:rsidRPr="000349EF">
        <w:t xml:space="preserve"> for Disease Control and Prevention; COVID-19 = coronavirus disease 19; PCR = polymerase chain reaction; RT-PCR = reverse-transcriptase polymerase chain reaction; SARS-CoV-2 = severe acute respiratory syndrome coronavirus</w:t>
      </w:r>
      <w:r w:rsidR="0040408D" w:rsidRPr="000349EF">
        <w:t> </w:t>
      </w:r>
      <w:r w:rsidRPr="000349EF">
        <w:t>2.</w:t>
      </w:r>
    </w:p>
    <w:p w14:paraId="6D1E04FF" w14:textId="77777777" w:rsidR="00172ACC" w:rsidRPr="000349EF" w:rsidRDefault="00172ACC" w:rsidP="00172ACC">
      <w:r w:rsidRPr="000349EF">
        <w:t>The planned interim and final analyses stated in the SAP are as follows:</w:t>
      </w:r>
    </w:p>
    <w:p w14:paraId="53579A7A" w14:textId="7265C3B9" w:rsidR="00A217FF" w:rsidRPr="000349EF" w:rsidRDefault="00A217FF" w:rsidP="00A217FF">
      <w:pPr>
        <w:pStyle w:val="Heading6"/>
      </w:pPr>
      <w:r w:rsidRPr="000349EF">
        <w:t xml:space="preserve">Study P204 </w:t>
      </w:r>
      <w:r w:rsidR="00172ACC" w:rsidRPr="000349EF">
        <w:t>Part</w:t>
      </w:r>
      <w:r w:rsidRPr="000349EF">
        <w:t> </w:t>
      </w:r>
      <w:r w:rsidR="00172ACC" w:rsidRPr="000349EF">
        <w:t>1</w:t>
      </w:r>
    </w:p>
    <w:p w14:paraId="3BB2B739" w14:textId="4FAE8041" w:rsidR="00172ACC" w:rsidRPr="000349EF" w:rsidRDefault="00172ACC" w:rsidP="00172ACC">
      <w:r w:rsidRPr="000349EF">
        <w:t>Interim analyses may be performed after all or a subset of participants (with</w:t>
      </w:r>
      <w:r w:rsidR="00A217FF" w:rsidRPr="000349EF">
        <w:t xml:space="preserve"> </w:t>
      </w:r>
      <w:r w:rsidRPr="000349EF">
        <w:t>immunogenicity samples collected for D</w:t>
      </w:r>
      <w:r w:rsidR="00A217FF" w:rsidRPr="000349EF">
        <w:t>ay </w:t>
      </w:r>
      <w:r w:rsidRPr="000349EF">
        <w:t>1 and D</w:t>
      </w:r>
      <w:r w:rsidR="00A217FF" w:rsidRPr="000349EF">
        <w:t>ay </w:t>
      </w:r>
      <w:r w:rsidRPr="000349EF">
        <w:t>57) have completed Day</w:t>
      </w:r>
      <w:r w:rsidR="00A217FF" w:rsidRPr="000349EF">
        <w:t> </w:t>
      </w:r>
      <w:r w:rsidRPr="000349EF">
        <w:t>57 within an age group in Part</w:t>
      </w:r>
      <w:r w:rsidR="00A217FF" w:rsidRPr="000349EF">
        <w:t> </w:t>
      </w:r>
      <w:r w:rsidRPr="000349EF">
        <w:t xml:space="preserve">1 (one optional interim analysis for each age group, </w:t>
      </w:r>
      <w:r w:rsidR="00C55650">
        <w:t>three</w:t>
      </w:r>
      <w:r w:rsidRPr="000349EF">
        <w:t xml:space="preserve"> interim analyses total for the </w:t>
      </w:r>
      <w:r w:rsidR="00C55650">
        <w:t>three</w:t>
      </w:r>
      <w:r w:rsidRPr="000349EF">
        <w:t xml:space="preserve"> age groups in Part</w:t>
      </w:r>
      <w:r w:rsidR="00A217FF" w:rsidRPr="000349EF">
        <w:t> </w:t>
      </w:r>
      <w:r w:rsidRPr="000349EF">
        <w:t>1). Analyses of safety and immunogenicity may be conducted at each interim analysis.</w:t>
      </w:r>
    </w:p>
    <w:p w14:paraId="2B2CA53C" w14:textId="02F64D53" w:rsidR="00A217FF" w:rsidRPr="000349EF" w:rsidRDefault="00A217FF" w:rsidP="00A217FF">
      <w:pPr>
        <w:pStyle w:val="Heading6"/>
      </w:pPr>
      <w:r w:rsidRPr="000349EF">
        <w:t xml:space="preserve">Study P204 </w:t>
      </w:r>
      <w:r w:rsidR="00172ACC" w:rsidRPr="000349EF">
        <w:t>Part</w:t>
      </w:r>
      <w:r w:rsidRPr="000349EF">
        <w:t> </w:t>
      </w:r>
      <w:r w:rsidR="00172ACC" w:rsidRPr="000349EF">
        <w:t>2</w:t>
      </w:r>
    </w:p>
    <w:p w14:paraId="522BCFCF" w14:textId="36C25F72" w:rsidR="00172ACC" w:rsidRPr="000349EF" w:rsidRDefault="00172ACC" w:rsidP="00172ACC">
      <w:r w:rsidRPr="000349EF">
        <w:t>An interim analysis of immunogenicity and safety will be performed after all or a subset of participants have completed Day</w:t>
      </w:r>
      <w:r w:rsidR="00A217FF" w:rsidRPr="000349EF">
        <w:t> </w:t>
      </w:r>
      <w:r w:rsidRPr="000349EF">
        <w:t>57 (</w:t>
      </w:r>
      <w:r w:rsidR="00A217FF" w:rsidRPr="000349EF">
        <w:t>one</w:t>
      </w:r>
      <w:r w:rsidRPr="000349EF">
        <w:t xml:space="preserve"> month after the second dose) in Part</w:t>
      </w:r>
      <w:r w:rsidR="00A217FF" w:rsidRPr="000349EF">
        <w:t> </w:t>
      </w:r>
      <w:r w:rsidRPr="000349EF">
        <w:t>1 or Part</w:t>
      </w:r>
      <w:r w:rsidR="00A217FF" w:rsidRPr="000349EF">
        <w:t> </w:t>
      </w:r>
      <w:r w:rsidRPr="000349EF">
        <w:t>2 within an age group. This interim analysis will be considered the primary analysis of immunogenicity for a given age group. Another interim analysis on safety may be performed after a different subset or all participants have completed Day</w:t>
      </w:r>
      <w:r w:rsidR="00A217FF" w:rsidRPr="000349EF">
        <w:t> </w:t>
      </w:r>
      <w:r w:rsidRPr="000349EF">
        <w:t>57 in an age group.</w:t>
      </w:r>
    </w:p>
    <w:p w14:paraId="75D02AB0" w14:textId="47B3A8A2" w:rsidR="00172ACC" w:rsidRPr="000349EF" w:rsidRDefault="00172ACC" w:rsidP="00172ACC">
      <w:r w:rsidRPr="000349EF">
        <w:t xml:space="preserve">The final analysis of all endpoints will be performed after participants have completed all planned study procedures. Results of this analysis will be presented in a final </w:t>
      </w:r>
      <w:r w:rsidR="00A217FF" w:rsidRPr="000349EF">
        <w:t>clinical study report</w:t>
      </w:r>
      <w:r w:rsidRPr="000349EF">
        <w:t>, including individual listings.</w:t>
      </w:r>
    </w:p>
    <w:p w14:paraId="53782ED4" w14:textId="4299557D" w:rsidR="00172ACC" w:rsidRPr="000349EF" w:rsidRDefault="00172ACC" w:rsidP="00172ACC">
      <w:r w:rsidRPr="000349EF">
        <w:t>It is noted that the safety analysis on the cut-off date of 6 Oct</w:t>
      </w:r>
      <w:r w:rsidR="00A217FF" w:rsidRPr="000349EF">
        <w:t>ober</w:t>
      </w:r>
      <w:r w:rsidRPr="000349EF">
        <w:t xml:space="preserve"> 2021 is not a pre</w:t>
      </w:r>
      <w:r w:rsidR="00A217FF" w:rsidRPr="000349EF">
        <w:noBreakHyphen/>
      </w:r>
      <w:r w:rsidRPr="000349EF">
        <w:t>specified and planned analysis. The study plan for interim and final immunogenicity analyses is very vaguely stated in the SAP.</w:t>
      </w:r>
    </w:p>
    <w:p w14:paraId="2FB04127" w14:textId="74000BA5" w:rsidR="00172ACC" w:rsidRPr="000349EF" w:rsidRDefault="006B4B52" w:rsidP="006B4B52">
      <w:pPr>
        <w:pStyle w:val="Heading4"/>
      </w:pPr>
      <w:bookmarkStart w:id="54" w:name="_Toc87980874"/>
      <w:r w:rsidRPr="000349EF">
        <w:rPr>
          <w:rFonts w:eastAsiaTheme="minorHAnsi"/>
        </w:rPr>
        <w:lastRenderedPageBreak/>
        <w:t>I</w:t>
      </w:r>
      <w:r w:rsidR="00172ACC" w:rsidRPr="000349EF">
        <w:t>mmunogenicity and efficacy</w:t>
      </w:r>
      <w:bookmarkEnd w:id="54"/>
    </w:p>
    <w:p w14:paraId="17C04CB0" w14:textId="77777777" w:rsidR="00172ACC" w:rsidRPr="000349EF" w:rsidRDefault="00172ACC" w:rsidP="006B4B52">
      <w:pPr>
        <w:pStyle w:val="Heading5"/>
        <w:rPr>
          <w:rFonts w:eastAsiaTheme="minorHAnsi"/>
        </w:rPr>
      </w:pPr>
      <w:bookmarkStart w:id="55" w:name="_Toc87980875"/>
      <w:r w:rsidRPr="000349EF">
        <w:rPr>
          <w:rFonts w:eastAsiaTheme="minorHAnsi"/>
        </w:rPr>
        <w:t>Dose selection</w:t>
      </w:r>
      <w:bookmarkEnd w:id="55"/>
    </w:p>
    <w:p w14:paraId="474AB568" w14:textId="1CD1D6E6" w:rsidR="00172ACC" w:rsidRPr="000349EF" w:rsidRDefault="00172ACC" w:rsidP="00172ACC">
      <w:r w:rsidRPr="000349EF">
        <w:t>The study started with dosing the 6 years to &lt; 12</w:t>
      </w:r>
      <w:r w:rsidR="00A217FF" w:rsidRPr="000349EF">
        <w:t>-</w:t>
      </w:r>
      <w:r w:rsidRPr="000349EF">
        <w:t>year</w:t>
      </w:r>
      <w:r w:rsidR="00554BFA" w:rsidRPr="000349EF">
        <w:t>s</w:t>
      </w:r>
      <w:r w:rsidR="00A217FF" w:rsidRPr="000349EF">
        <w:t xml:space="preserve"> </w:t>
      </w:r>
      <w:r w:rsidRPr="000349EF">
        <w:t>age group in Part</w:t>
      </w:r>
      <w:r w:rsidR="00A217FF" w:rsidRPr="000349EF">
        <w:t> </w:t>
      </w:r>
      <w:r w:rsidRPr="000349EF">
        <w:t>1 with 50</w:t>
      </w:r>
      <w:r w:rsidR="00A217FF" w:rsidRPr="000349EF">
        <w:t> </w:t>
      </w:r>
      <w:proofErr w:type="spellStart"/>
      <w:r w:rsidRPr="000349EF">
        <w:t>μg</w:t>
      </w:r>
      <w:proofErr w:type="spellEnd"/>
      <w:r w:rsidRPr="000349EF">
        <w:t xml:space="preserve"> of mRNA-1273. After at least 75 participants had completed Day</w:t>
      </w:r>
      <w:r w:rsidR="00A217FF" w:rsidRPr="000349EF">
        <w:t> </w:t>
      </w:r>
      <w:r w:rsidRPr="000349EF">
        <w:t>8, an internal safety team reviewed the available safety data and agreed with the pre</w:t>
      </w:r>
      <w:r w:rsidR="009B2147" w:rsidRPr="000349EF">
        <w:t>-</w:t>
      </w:r>
      <w:r w:rsidRPr="000349EF">
        <w:t>specified protocol plans to proceed with the 100</w:t>
      </w:r>
      <w:r w:rsidR="00A217FF" w:rsidRPr="000349EF">
        <w:t> </w:t>
      </w:r>
      <w:proofErr w:type="spellStart"/>
      <w:r w:rsidRPr="000349EF">
        <w:t>μg</w:t>
      </w:r>
      <w:proofErr w:type="spellEnd"/>
      <w:r w:rsidRPr="000349EF">
        <w:t xml:space="preserve"> arm in Part 1 in the 6 years to &lt; 12</w:t>
      </w:r>
      <w:r w:rsidR="00A217FF" w:rsidRPr="000349EF">
        <w:t>-</w:t>
      </w:r>
      <w:r w:rsidRPr="000349EF">
        <w:t>year age group. Review of the reactogenicity profile of the 50</w:t>
      </w:r>
      <w:r w:rsidR="00A217FF" w:rsidRPr="000349EF">
        <w:t> </w:t>
      </w:r>
      <w:proofErr w:type="spellStart"/>
      <w:r w:rsidRPr="000349EF">
        <w:t>μg</w:t>
      </w:r>
      <w:proofErr w:type="spellEnd"/>
      <w:r w:rsidRPr="000349EF">
        <w:t xml:space="preserve"> dose was comparable to what had been observed young adults (18 to 25</w:t>
      </w:r>
      <w:r w:rsidR="00A217FF" w:rsidRPr="000349EF">
        <w:t xml:space="preserve"> </w:t>
      </w:r>
      <w:r w:rsidRPr="000349EF">
        <w:t>year</w:t>
      </w:r>
      <w:r w:rsidR="00A217FF" w:rsidRPr="000349EF">
        <w:t>s of age</w:t>
      </w:r>
      <w:r w:rsidRPr="000349EF">
        <w:t>) who had received 100</w:t>
      </w:r>
      <w:r w:rsidR="00CB62AE" w:rsidRPr="000349EF">
        <w:t> </w:t>
      </w:r>
      <w:proofErr w:type="spellStart"/>
      <w:r w:rsidRPr="000349EF">
        <w:t>μg</w:t>
      </w:r>
      <w:proofErr w:type="spellEnd"/>
      <w:r w:rsidRPr="000349EF">
        <w:t xml:space="preserve"> in Study</w:t>
      </w:r>
      <w:r w:rsidR="00CB62AE" w:rsidRPr="000349EF">
        <w:t> </w:t>
      </w:r>
      <w:r w:rsidRPr="000349EF">
        <w:t>P301. The 100</w:t>
      </w:r>
      <w:r w:rsidR="00CB62AE" w:rsidRPr="000349EF">
        <w:t> </w:t>
      </w:r>
      <w:proofErr w:type="spellStart"/>
      <w:r w:rsidRPr="000349EF">
        <w:t>μg</w:t>
      </w:r>
      <w:proofErr w:type="spellEnd"/>
      <w:r w:rsidRPr="000349EF">
        <w:t xml:space="preserve"> dose was more reactogenic in </w:t>
      </w:r>
      <w:r w:rsidR="00554BFA" w:rsidRPr="000349EF">
        <w:t xml:space="preserve">the </w:t>
      </w:r>
      <w:r w:rsidRPr="000349EF">
        <w:t>6 to &lt; 12</w:t>
      </w:r>
      <w:r w:rsidR="00A217FF" w:rsidRPr="000349EF">
        <w:t>-</w:t>
      </w:r>
      <w:r w:rsidR="003E53F0" w:rsidRPr="000349EF">
        <w:t>year</w:t>
      </w:r>
      <w:r w:rsidR="00554BFA" w:rsidRPr="000349EF">
        <w:t>s</w:t>
      </w:r>
      <w:r w:rsidR="003E53F0" w:rsidRPr="000349EF">
        <w:t xml:space="preserve"> age</w:t>
      </w:r>
      <w:r w:rsidRPr="000349EF">
        <w:t xml:space="preserve"> group than in older populations as evidenced by an increased fever rate. A pre</w:t>
      </w:r>
      <w:r w:rsidR="00CB62AE" w:rsidRPr="000349EF">
        <w:noBreakHyphen/>
      </w:r>
      <w:r w:rsidRPr="000349EF">
        <w:t xml:space="preserve">planned immunogenicity data review compared the </w:t>
      </w:r>
      <w:r w:rsidR="00723098" w:rsidRPr="000349EF">
        <w:t xml:space="preserve">geometric mean </w:t>
      </w:r>
      <w:r w:rsidR="00723098">
        <w:t>(</w:t>
      </w:r>
      <w:r w:rsidRPr="000349EF">
        <w:t>GM</w:t>
      </w:r>
      <w:r w:rsidR="00723098">
        <w:t>)</w:t>
      </w:r>
      <w:r w:rsidRPr="000349EF">
        <w:t xml:space="preserve"> </w:t>
      </w:r>
      <w:r w:rsidR="00723098" w:rsidRPr="000349EF">
        <w:t>n</w:t>
      </w:r>
      <w:r w:rsidR="00723098">
        <w:t>eutralising antibodies</w:t>
      </w:r>
      <w:r w:rsidRPr="000349EF">
        <w:t xml:space="preserve"> and seroresponse rate of the 6 to &lt;</w:t>
      </w:r>
      <w:r w:rsidR="00DD7DB2" w:rsidRPr="000349EF">
        <w:t xml:space="preserve"> </w:t>
      </w:r>
      <w:r w:rsidRPr="000349EF">
        <w:t xml:space="preserve">12 years of age </w:t>
      </w:r>
      <w:r w:rsidR="00CB62AE" w:rsidRPr="000349EF">
        <w:t>dose selection per-protocol (</w:t>
      </w:r>
      <w:r w:rsidRPr="000349EF">
        <w:t>PP</w:t>
      </w:r>
      <w:r w:rsidR="00CB62AE" w:rsidRPr="000349EF">
        <w:t>)</w:t>
      </w:r>
      <w:r w:rsidR="00D750D0" w:rsidRPr="000349EF">
        <w:rPr>
          <w:rStyle w:val="FootnoteReference"/>
        </w:rPr>
        <w:footnoteReference w:id="23"/>
      </w:r>
      <w:r w:rsidRPr="000349EF">
        <w:t xml:space="preserve"> </w:t>
      </w:r>
      <w:r w:rsidR="00CB62AE" w:rsidRPr="000349EF">
        <w:t xml:space="preserve">immunogenicity subset </w:t>
      </w:r>
      <w:r w:rsidRPr="000349EF">
        <w:t>50</w:t>
      </w:r>
      <w:r w:rsidR="00CB62AE" w:rsidRPr="000349EF">
        <w:t> </w:t>
      </w:r>
      <w:proofErr w:type="spellStart"/>
      <w:r w:rsidRPr="000349EF">
        <w:t>μg</w:t>
      </w:r>
      <w:proofErr w:type="spellEnd"/>
      <w:r w:rsidRPr="000349EF">
        <w:t xml:space="preserve"> </w:t>
      </w:r>
      <w:r w:rsidR="00CB62AE" w:rsidRPr="000349EF">
        <w:t>g</w:t>
      </w:r>
      <w:r w:rsidRPr="000349EF">
        <w:t>roup in Study</w:t>
      </w:r>
      <w:r w:rsidR="00CB62AE" w:rsidRPr="000349EF">
        <w:t> </w:t>
      </w:r>
      <w:r w:rsidRPr="000349EF">
        <w:t>P204 with those from the results of the immunogenicity subset of 18- to 25-year-old participants in Study</w:t>
      </w:r>
      <w:r w:rsidR="00CB62AE" w:rsidRPr="000349EF">
        <w:t> </w:t>
      </w:r>
      <w:r w:rsidRPr="000349EF">
        <w:t>P301. In children (6 to &lt;</w:t>
      </w:r>
      <w:r w:rsidR="00CB62AE" w:rsidRPr="000349EF">
        <w:t> </w:t>
      </w:r>
      <w:r w:rsidRPr="000349EF">
        <w:t>12</w:t>
      </w:r>
      <w:r w:rsidR="00CB62AE" w:rsidRPr="000349EF">
        <w:t xml:space="preserve"> years of age</w:t>
      </w:r>
      <w:r w:rsidRPr="000349EF">
        <w:t xml:space="preserve">) in the immunogenicity subset, the </w:t>
      </w:r>
      <w:proofErr w:type="spellStart"/>
      <w:r w:rsidRPr="000349EF">
        <w:t>nAb</w:t>
      </w:r>
      <w:proofErr w:type="spellEnd"/>
      <w:r w:rsidRPr="000349EF">
        <w:t xml:space="preserve"> GMT (measured by </w:t>
      </w:r>
      <w:proofErr w:type="spellStart"/>
      <w:r w:rsidR="00CB62AE" w:rsidRPr="000349EF">
        <w:t>pseudotyped</w:t>
      </w:r>
      <w:proofErr w:type="spellEnd"/>
      <w:r w:rsidR="00CB62AE" w:rsidRPr="000349EF">
        <w:t xml:space="preserve"> virus neutralisation assay (</w:t>
      </w:r>
      <w:proofErr w:type="spellStart"/>
      <w:r w:rsidRPr="000349EF">
        <w:t>PsVNA</w:t>
      </w:r>
      <w:proofErr w:type="spellEnd"/>
      <w:r w:rsidR="00CB62AE" w:rsidRPr="000349EF">
        <w:t>)</w:t>
      </w:r>
      <w:r w:rsidRPr="000349EF">
        <w:t xml:space="preserve"> </w:t>
      </w:r>
      <w:r w:rsidR="00CB62AE" w:rsidRPr="000349EF">
        <w:t>50% inhibitory dose (</w:t>
      </w:r>
      <w:r w:rsidRPr="000349EF">
        <w:t>ID</w:t>
      </w:r>
      <w:r w:rsidRPr="000349EF">
        <w:rPr>
          <w:vertAlign w:val="subscript"/>
        </w:rPr>
        <w:t>50</w:t>
      </w:r>
      <w:r w:rsidR="00CB62AE" w:rsidRPr="000349EF">
        <w:t>)</w:t>
      </w:r>
      <w:r w:rsidRPr="000349EF">
        <w:t>) was 1204.647 at Day</w:t>
      </w:r>
      <w:r w:rsidR="00CB62AE" w:rsidRPr="000349EF">
        <w:t> </w:t>
      </w:r>
      <w:r w:rsidRPr="000349EF">
        <w:t xml:space="preserve">57 (28 days </w:t>
      </w:r>
      <w:r w:rsidR="0077374E" w:rsidRPr="000349EF">
        <w:t>post-</w:t>
      </w:r>
      <w:r w:rsidR="00614801" w:rsidRPr="000349EF">
        <w:t>D</w:t>
      </w:r>
      <w:r w:rsidRPr="000349EF">
        <w:t>ose</w:t>
      </w:r>
      <w:r w:rsidR="00CB62AE" w:rsidRPr="000349EF">
        <w:t> </w:t>
      </w:r>
      <w:r w:rsidR="00614801" w:rsidRPr="000349EF">
        <w:t>2</w:t>
      </w:r>
      <w:r w:rsidRPr="000349EF">
        <w:t xml:space="preserve">). All children achieved </w:t>
      </w:r>
      <w:proofErr w:type="spellStart"/>
      <w:r w:rsidRPr="000349EF">
        <w:t>seroresponse</w:t>
      </w:r>
      <w:proofErr w:type="spellEnd"/>
      <w:r w:rsidRPr="000349EF">
        <w:t xml:space="preserve"> (</w:t>
      </w:r>
      <w:r w:rsidR="00CB62AE" w:rsidRPr="000349EF">
        <w:fldChar w:fldCharType="begin"/>
      </w:r>
      <w:r w:rsidR="00CB62AE" w:rsidRPr="000349EF">
        <w:instrText xml:space="preserve"> REF _Ref91003517 \h </w:instrText>
      </w:r>
      <w:r w:rsidR="008C1E85" w:rsidRPr="000349EF">
        <w:instrText xml:space="preserve"> \* MERGEFORMAT </w:instrText>
      </w:r>
      <w:r w:rsidR="00CB62AE" w:rsidRPr="000349EF">
        <w:fldChar w:fldCharType="separate"/>
      </w:r>
      <w:r w:rsidR="00235E4B" w:rsidRPr="000349EF">
        <w:t xml:space="preserve">Table </w:t>
      </w:r>
      <w:r w:rsidR="00235E4B">
        <w:rPr>
          <w:noProof/>
        </w:rPr>
        <w:t>5</w:t>
      </w:r>
      <w:r w:rsidR="00CB62AE" w:rsidRPr="000349EF">
        <w:fldChar w:fldCharType="end"/>
      </w:r>
      <w:r w:rsidRPr="000349EF">
        <w:t xml:space="preserve">). The immunogenicity from the </w:t>
      </w:r>
      <w:r w:rsidR="00CB62AE" w:rsidRPr="000349EF">
        <w:t xml:space="preserve">dose selection </w:t>
      </w:r>
      <w:r w:rsidRPr="000349EF">
        <w:t xml:space="preserve">PP </w:t>
      </w:r>
      <w:r w:rsidR="00CB62AE" w:rsidRPr="000349EF">
        <w:t>immunogenicity subset</w:t>
      </w:r>
      <w:r w:rsidRPr="000349EF">
        <w:t xml:space="preserve"> 50</w:t>
      </w:r>
      <w:r w:rsidR="00CB62AE" w:rsidRPr="000349EF">
        <w:t> </w:t>
      </w:r>
      <w:proofErr w:type="spellStart"/>
      <w:r w:rsidRPr="000349EF">
        <w:t>μg</w:t>
      </w:r>
      <w:proofErr w:type="spellEnd"/>
      <w:r w:rsidRPr="000349EF">
        <w:t xml:space="preserve"> </w:t>
      </w:r>
      <w:r w:rsidR="00CB62AE" w:rsidRPr="000349EF">
        <w:t>g</w:t>
      </w:r>
      <w:r w:rsidRPr="000349EF">
        <w:t>roup of Study</w:t>
      </w:r>
      <w:r w:rsidR="00CB62AE" w:rsidRPr="000349EF">
        <w:t> </w:t>
      </w:r>
      <w:r w:rsidRPr="000349EF">
        <w:t xml:space="preserve">P204 were </w:t>
      </w:r>
      <w:proofErr w:type="gramStart"/>
      <w:r w:rsidRPr="000349EF">
        <w:t>similar to</w:t>
      </w:r>
      <w:proofErr w:type="gramEnd"/>
      <w:r w:rsidRPr="000349EF">
        <w:t xml:space="preserve"> those of Study</w:t>
      </w:r>
      <w:r w:rsidR="00CB62AE" w:rsidRPr="000349EF">
        <w:t> </w:t>
      </w:r>
      <w:r w:rsidRPr="000349EF">
        <w:t>P301 immunogenicity subset.</w:t>
      </w:r>
    </w:p>
    <w:p w14:paraId="18EBC80B" w14:textId="0784BE7F" w:rsidR="004F3A5D" w:rsidRPr="000349EF" w:rsidRDefault="00D7275D" w:rsidP="00D7275D">
      <w:pPr>
        <w:pStyle w:val="TableTitle"/>
      </w:pPr>
      <w:bookmarkStart w:id="56" w:name="_Ref91003517"/>
      <w:r w:rsidRPr="000349EF">
        <w:t xml:space="preserve">Table </w:t>
      </w:r>
      <w:r w:rsidR="00571D7C">
        <w:fldChar w:fldCharType="begin"/>
      </w:r>
      <w:r w:rsidR="00571D7C">
        <w:instrText xml:space="preserve"> SEQ Table \* ARABIC </w:instrText>
      </w:r>
      <w:r w:rsidR="00571D7C">
        <w:fldChar w:fldCharType="separate"/>
      </w:r>
      <w:r w:rsidR="00235E4B">
        <w:rPr>
          <w:noProof/>
        </w:rPr>
        <w:t>5</w:t>
      </w:r>
      <w:r w:rsidR="00571D7C">
        <w:rPr>
          <w:noProof/>
        </w:rPr>
        <w:fldChar w:fldCharType="end"/>
      </w:r>
      <w:bookmarkEnd w:id="56"/>
      <w:r w:rsidR="00172ACC" w:rsidRPr="000349EF">
        <w:t xml:space="preserve">: </w:t>
      </w:r>
      <w:r w:rsidR="005D6530" w:rsidRPr="000349EF">
        <w:t xml:space="preserve">Study P204 </w:t>
      </w:r>
      <w:r w:rsidR="00172ACC" w:rsidRPr="000349EF">
        <w:t xml:space="preserve">Part 1 dose finding analysis of </w:t>
      </w:r>
      <w:proofErr w:type="spellStart"/>
      <w:r w:rsidR="00172ACC" w:rsidRPr="000349EF">
        <w:t>pseudovirus</w:t>
      </w:r>
      <w:proofErr w:type="spellEnd"/>
      <w:r w:rsidR="00172ACC" w:rsidRPr="000349EF">
        <w:t xml:space="preserve"> </w:t>
      </w:r>
      <w:r w:rsidR="005D6530" w:rsidRPr="000349EF">
        <w:t xml:space="preserve">neutralising antibody </w:t>
      </w:r>
      <w:r w:rsidR="00172ACC" w:rsidRPr="000349EF">
        <w:t xml:space="preserve">level and seroresponse rate at Day 57 by </w:t>
      </w:r>
      <w:proofErr w:type="spellStart"/>
      <w:r w:rsidRPr="000349EF">
        <w:t>p</w:t>
      </w:r>
      <w:r w:rsidR="00172ACC" w:rsidRPr="000349EF">
        <w:t>seudovirus</w:t>
      </w:r>
      <w:proofErr w:type="spellEnd"/>
      <w:r w:rsidR="00172ACC" w:rsidRPr="000349EF">
        <w:t xml:space="preserve"> </w:t>
      </w:r>
      <w:r w:rsidR="005D6530" w:rsidRPr="000349EF">
        <w:t xml:space="preserve">neutralising antibody </w:t>
      </w:r>
      <w:r w:rsidR="00172ACC" w:rsidRPr="000349EF">
        <w:t>assay (</w:t>
      </w:r>
      <w:r w:rsidR="005D6530" w:rsidRPr="000349EF">
        <w:t>50% inhibitory dose</w:t>
      </w:r>
      <w:r w:rsidR="00172ACC" w:rsidRPr="000349EF">
        <w:t>) (</w:t>
      </w:r>
      <w:r w:rsidRPr="000349EF">
        <w:t>d</w:t>
      </w:r>
      <w:r w:rsidR="00172ACC" w:rsidRPr="000349EF">
        <w:t xml:space="preserve">ose selection </w:t>
      </w:r>
      <w:r w:rsidR="005D6530" w:rsidRPr="000349EF">
        <w:t xml:space="preserve">per-protocol </w:t>
      </w:r>
      <w:r w:rsidR="00172ACC" w:rsidRPr="000349EF">
        <w:t>immunogenicity subset 50</w:t>
      </w:r>
      <w:r w:rsidR="005D6530" w:rsidRPr="000349EF">
        <w:t> </w:t>
      </w:r>
      <w:proofErr w:type="spellStart"/>
      <w:r w:rsidR="00172ACC" w:rsidRPr="000349EF">
        <w:t>μg</w:t>
      </w:r>
      <w:proofErr w:type="spellEnd"/>
      <w:r w:rsidR="00172ACC" w:rsidRPr="000349EF">
        <w:t xml:space="preserve"> </w:t>
      </w:r>
      <w:r w:rsidRPr="000349EF">
        <w:t>g</w:t>
      </w:r>
      <w:r w:rsidR="00172ACC" w:rsidRPr="000349EF">
        <w:t>roup)</w:t>
      </w:r>
    </w:p>
    <w:p w14:paraId="181E3CD6" w14:textId="34DFA006" w:rsidR="00172ACC" w:rsidRPr="000349EF" w:rsidRDefault="004F3A5D" w:rsidP="004F3A5D">
      <w:r w:rsidRPr="000349EF">
        <w:rPr>
          <w:noProof/>
          <w:lang w:val="en-GB" w:eastAsia="en-GB"/>
        </w:rPr>
        <w:drawing>
          <wp:inline distT="0" distB="0" distL="0" distR="0" wp14:anchorId="210D8D88" wp14:editId="293F6803">
            <wp:extent cx="5400040" cy="1934210"/>
            <wp:effectExtent l="0" t="0" r="0" b="8890"/>
            <wp:docPr id="34" name="Picture 34" descr="Table 5: Study P204 Part 1 dose finding analysis of pseudovirus neutralising antibody level and seroresponse rate at Day 57 by pseudovirus neutralising antibody assay (50% inhibitory dose) (dose selection per-protocol immunogenicity subset 50 μ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5: Study P204 Part 1 dose finding analysis of pseudovirus neutralising antibody level and seroresponse rate at Day 57 by pseudovirus neutralising antibody assay (50% inhibitory dose) (dose selection per-protocol immunogenicity subset 50 μg group)"/>
                    <pic:cNvPicPr/>
                  </pic:nvPicPr>
                  <pic:blipFill>
                    <a:blip r:embed="rId24"/>
                    <a:stretch>
                      <a:fillRect/>
                    </a:stretch>
                  </pic:blipFill>
                  <pic:spPr>
                    <a:xfrm>
                      <a:off x="0" y="0"/>
                      <a:ext cx="5400040" cy="1934210"/>
                    </a:xfrm>
                    <a:prstGeom prst="rect">
                      <a:avLst/>
                    </a:prstGeom>
                  </pic:spPr>
                </pic:pic>
              </a:graphicData>
            </a:graphic>
          </wp:inline>
        </w:drawing>
      </w:r>
    </w:p>
    <w:p w14:paraId="12131974" w14:textId="2BEB219D" w:rsidR="004F3A5D" w:rsidRPr="000349EF" w:rsidRDefault="004F3A5D" w:rsidP="004F3A5D">
      <w:pPr>
        <w:pStyle w:val="TableDescription"/>
      </w:pPr>
      <w:r w:rsidRPr="000349EF">
        <w:t xml:space="preserve">ANCOVA = analysis of covariance; CI = confidence interval; GMFR = geometric mean fold </w:t>
      </w:r>
      <w:r w:rsidR="00FC063B" w:rsidRPr="000349EF">
        <w:t>rise</w:t>
      </w:r>
      <w:r w:rsidRPr="000349EF">
        <w:t>; GMR</w:t>
      </w:r>
      <w:r w:rsidR="00B15DBA" w:rsidRPr="000349EF">
        <w:t> </w:t>
      </w:r>
      <w:r w:rsidRPr="000349EF">
        <w:t>=</w:t>
      </w:r>
      <w:r w:rsidR="00B15DBA" w:rsidRPr="000349EF">
        <w:t> </w:t>
      </w:r>
      <w:r w:rsidRPr="000349EF">
        <w:t xml:space="preserve">geometric mean ratio; GMT = geometric mean </w:t>
      </w:r>
      <w:r w:rsidR="00B52F4B" w:rsidRPr="000349EF">
        <w:t>titre</w:t>
      </w:r>
      <w:r w:rsidRPr="000349EF">
        <w:t xml:space="preserve"> (noted as observed or model based, which is </w:t>
      </w:r>
      <w:proofErr w:type="spellStart"/>
      <w:r w:rsidRPr="000349EF">
        <w:t>stimated</w:t>
      </w:r>
      <w:proofErr w:type="spellEnd"/>
      <w:r w:rsidRPr="000349EF">
        <w:t xml:space="preserve"> by geometric least squares mean); ID</w:t>
      </w:r>
      <w:r w:rsidRPr="000349EF">
        <w:rPr>
          <w:vertAlign w:val="subscript"/>
        </w:rPr>
        <w:t>50</w:t>
      </w:r>
      <w:r w:rsidRPr="000349EF">
        <w:t xml:space="preserve"> = 50% inhibitory dose; LLOQ = lower limit of quantification; LS = least squares; mRNA-1273 = Spikevax COVID-19 vaccine;</w:t>
      </w:r>
      <w:r w:rsidR="00004149" w:rsidRPr="000349EF">
        <w:t xml:space="preserve"> N</w:t>
      </w:r>
      <w:r w:rsidR="00B15DBA" w:rsidRPr="000349EF">
        <w:t> </w:t>
      </w:r>
      <w:r w:rsidR="00004149" w:rsidRPr="000349EF">
        <w:t>=</w:t>
      </w:r>
      <w:r w:rsidR="00B15DBA" w:rsidRPr="000349EF">
        <w:t> </w:t>
      </w:r>
      <w:r w:rsidR="00004149" w:rsidRPr="000349EF">
        <w:t>population size;</w:t>
      </w:r>
      <w:r w:rsidRPr="000349EF">
        <w:t xml:space="preserve"> </w:t>
      </w:r>
      <w:r w:rsidR="00004149" w:rsidRPr="000349EF">
        <w:t xml:space="preserve">P204 = Study P204; P301 = Study P301; </w:t>
      </w:r>
      <w:r w:rsidRPr="000349EF">
        <w:t>PP = per-protocol; ULOQ = upper limit of quantification.</w:t>
      </w:r>
    </w:p>
    <w:p w14:paraId="5EE2E9B7" w14:textId="50A0BBBD" w:rsidR="004F3A5D" w:rsidRPr="000349EF" w:rsidRDefault="004F3A5D" w:rsidP="004F3A5D">
      <w:pPr>
        <w:pStyle w:val="TableDescription"/>
      </w:pPr>
      <w:r w:rsidRPr="000349EF">
        <w:t>Antibody values reported as below the LLOQ are replaced by 0.5 × LLOQ. Values greater than ULOQ are replaced by the ULOQ if actual values are not available.</w:t>
      </w:r>
    </w:p>
    <w:p w14:paraId="422D0B17" w14:textId="6B642DA5" w:rsidR="004F3A5D" w:rsidRPr="000349EF" w:rsidRDefault="004F3A5D" w:rsidP="004F3A5D">
      <w:pPr>
        <w:pStyle w:val="TableDescription"/>
      </w:pPr>
      <w:r w:rsidRPr="000349EF">
        <w:t>Study</w:t>
      </w:r>
      <w:r w:rsidR="00CB62AE" w:rsidRPr="000349EF">
        <w:t> </w:t>
      </w:r>
      <w:r w:rsidRPr="000349EF">
        <w:t>P301 mRNA-1273 group includes young adults (18 to 25 years of age).</w:t>
      </w:r>
    </w:p>
    <w:p w14:paraId="550F5AA1" w14:textId="1C30D942" w:rsidR="004F3A5D" w:rsidRPr="000349EF" w:rsidRDefault="004F3A5D" w:rsidP="004F3A5D">
      <w:pPr>
        <w:pStyle w:val="TableDescription"/>
      </w:pPr>
      <w:r w:rsidRPr="000349EF">
        <w:t>The ULOQ for selected Study P301 participants tested previously was different.</w:t>
      </w:r>
    </w:p>
    <w:p w14:paraId="281B766A" w14:textId="4B5DD284" w:rsidR="004F3A5D" w:rsidRPr="000349EF" w:rsidRDefault="004F3A5D" w:rsidP="004F3A5D">
      <w:pPr>
        <w:pStyle w:val="TableDescription"/>
      </w:pPr>
      <w:r w:rsidRPr="000349EF">
        <w:t xml:space="preserve">Of note, one Study P301 participant had human immunodeficiency virus (HIV) and was included in the Study P301 young adults </w:t>
      </w:r>
      <w:r w:rsidR="00CB62AE" w:rsidRPr="000349EF">
        <w:t>PP</w:t>
      </w:r>
      <w:r w:rsidRPr="000349EF">
        <w:t xml:space="preserve"> immunogenicity subset (n = 296). High apparent </w:t>
      </w:r>
      <w:r w:rsidR="00F53E66" w:rsidRPr="000349EF">
        <w:t>Baseline</w:t>
      </w:r>
      <w:r w:rsidRPr="000349EF">
        <w:t xml:space="preserve"> and post-immunisations values in the </w:t>
      </w:r>
      <w:proofErr w:type="spellStart"/>
      <w:r w:rsidRPr="000349EF">
        <w:t>pseudotyped</w:t>
      </w:r>
      <w:proofErr w:type="spellEnd"/>
      <w:r w:rsidRPr="000349EF">
        <w:t xml:space="preserve"> virus neutralisation assay (</w:t>
      </w:r>
      <w:proofErr w:type="spellStart"/>
      <w:r w:rsidRPr="000349EF">
        <w:t>PsVNA</w:t>
      </w:r>
      <w:proofErr w:type="spellEnd"/>
      <w:r w:rsidRPr="000349EF">
        <w:t>) ID</w:t>
      </w:r>
      <w:r w:rsidRPr="000349EF">
        <w:rPr>
          <w:vertAlign w:val="subscript"/>
        </w:rPr>
        <w:t>50</w:t>
      </w:r>
      <w:r w:rsidRPr="000349EF">
        <w:t xml:space="preserve"> are uninterpretable, likely due to highly active antiretroviral therapy. For this reason, HIV+ individuals were excluded from immunogenicity analysis by </w:t>
      </w:r>
      <w:proofErr w:type="spellStart"/>
      <w:r w:rsidRPr="000349EF">
        <w:t>PsVNA</w:t>
      </w:r>
      <w:proofErr w:type="spellEnd"/>
      <w:r w:rsidRPr="000349EF">
        <w:t xml:space="preserve"> in Study </w:t>
      </w:r>
      <w:r w:rsidR="00515CC4">
        <w:t>P</w:t>
      </w:r>
      <w:r w:rsidRPr="000349EF">
        <w:t>301 and will be excluded in future analyses.</w:t>
      </w:r>
    </w:p>
    <w:p w14:paraId="0151D15C" w14:textId="33A94B84" w:rsidR="004F3A5D" w:rsidRPr="000349EF" w:rsidRDefault="004F3A5D" w:rsidP="004F3A5D">
      <w:pPr>
        <w:pStyle w:val="TableDescription"/>
      </w:pPr>
      <w:r w:rsidRPr="000349EF">
        <w:lastRenderedPageBreak/>
        <w:t>a. 95% CI is calculated based on the t-distribution of the log transformed values or the difference in the log transformed values for GMT and GMFR, respectively, then back transformed to the original scale for presentation.</w:t>
      </w:r>
    </w:p>
    <w:p w14:paraId="4D5E19E4" w14:textId="16576E9C" w:rsidR="004F3A5D" w:rsidRPr="000349EF" w:rsidRDefault="004F3A5D" w:rsidP="004F3A5D">
      <w:pPr>
        <w:pStyle w:val="TableDescription"/>
      </w:pPr>
      <w:r w:rsidRPr="000349EF">
        <w:t>b. The log transformed antibody levels are analysed using an ANCOVA model with the group variable (children in Study P204 and young adults in Study P301) as fixed effect. The resulted LS means, difference of LS means, and 95% CI are back transformed to the original scale for presentation.</w:t>
      </w:r>
    </w:p>
    <w:p w14:paraId="442721A4" w14:textId="5DC7ED04" w:rsidR="004F3A5D" w:rsidRPr="000349EF" w:rsidRDefault="004F3A5D" w:rsidP="004F3A5D">
      <w:pPr>
        <w:pStyle w:val="TableDescription"/>
      </w:pPr>
      <w:r w:rsidRPr="000349EF">
        <w:t xml:space="preserve">c. Seroresponse at a participant level is defined as a change from below the LLOQ to equal or above 4 × LLOQ, or at least a 4-fold rise if </w:t>
      </w:r>
      <w:r w:rsidR="00F53E66" w:rsidRPr="000349EF">
        <w:t>Baseline</w:t>
      </w:r>
      <w:r w:rsidRPr="000349EF">
        <w:t xml:space="preserve"> is equal to or above the LLOQ. Percentages are based on the number of participants with non-missing data at </w:t>
      </w:r>
      <w:r w:rsidR="00F53E66" w:rsidRPr="000349EF">
        <w:t>Baseline</w:t>
      </w:r>
      <w:r w:rsidRPr="000349EF">
        <w:t xml:space="preserve"> and the corresponding timepoint.</w:t>
      </w:r>
    </w:p>
    <w:p w14:paraId="2C427462" w14:textId="77777777" w:rsidR="004F3A5D" w:rsidRPr="000349EF" w:rsidRDefault="004F3A5D" w:rsidP="004F3A5D">
      <w:pPr>
        <w:pStyle w:val="TableDescription"/>
      </w:pPr>
      <w:r w:rsidRPr="000349EF">
        <w:t>d. 95% CI is calculated using the Clopper-Pearson method.</w:t>
      </w:r>
    </w:p>
    <w:p w14:paraId="766D7F7A" w14:textId="0C77AB59" w:rsidR="004F3A5D" w:rsidRPr="000349EF" w:rsidRDefault="004F3A5D" w:rsidP="004F3A5D">
      <w:pPr>
        <w:pStyle w:val="TableDescription"/>
      </w:pPr>
      <w:r w:rsidRPr="000349EF">
        <w:t>e. 95% CI is calculated using the Miettinen-</w:t>
      </w:r>
      <w:proofErr w:type="spellStart"/>
      <w:r w:rsidRPr="000349EF">
        <w:t>Nurminen</w:t>
      </w:r>
      <w:proofErr w:type="spellEnd"/>
      <w:r w:rsidRPr="000349EF">
        <w:t xml:space="preserve"> (score) confidence limits.</w:t>
      </w:r>
    </w:p>
    <w:p w14:paraId="27E488E5" w14:textId="42711163" w:rsidR="00172ACC" w:rsidRPr="000349EF" w:rsidRDefault="00172ACC" w:rsidP="00172ACC">
      <w:r w:rsidRPr="000349EF">
        <w:t>Based on the assessments of safety and immunogenicity, the 50</w:t>
      </w:r>
      <w:r w:rsidR="00CB62AE" w:rsidRPr="000349EF">
        <w:t> </w:t>
      </w:r>
      <w:proofErr w:type="spellStart"/>
      <w:r w:rsidRPr="000349EF">
        <w:t>μg</w:t>
      </w:r>
      <w:proofErr w:type="spellEnd"/>
      <w:r w:rsidRPr="000349EF">
        <w:t xml:space="preserve"> dose was selected for evaluation in Part</w:t>
      </w:r>
      <w:r w:rsidR="00CB62AE" w:rsidRPr="000349EF">
        <w:t> </w:t>
      </w:r>
      <w:r w:rsidRPr="000349EF">
        <w:t>2 of Study</w:t>
      </w:r>
      <w:r w:rsidR="00CB62AE" w:rsidRPr="000349EF">
        <w:t> </w:t>
      </w:r>
      <w:r w:rsidRPr="000349EF">
        <w:t>P204 in the 6 years to &lt; 12-year age group.</w:t>
      </w:r>
    </w:p>
    <w:p w14:paraId="21C71420" w14:textId="79D4E8F3" w:rsidR="00BF3AFA" w:rsidRPr="000349EF" w:rsidRDefault="00172ACC" w:rsidP="00172ACC">
      <w:r w:rsidRPr="000349EF">
        <w:t xml:space="preserve">In the submitted </w:t>
      </w:r>
      <w:r w:rsidR="00CB62AE" w:rsidRPr="000349EF">
        <w:t>clinical overview</w:t>
      </w:r>
      <w:r w:rsidRPr="000349EF">
        <w:t xml:space="preserve">, </w:t>
      </w:r>
      <w:r w:rsidR="00B15DBA" w:rsidRPr="000349EF">
        <w:t xml:space="preserve">the </w:t>
      </w:r>
      <w:r w:rsidR="008028EF" w:rsidRPr="000349EF">
        <w:t>sponsor</w:t>
      </w:r>
      <w:r w:rsidRPr="000349EF">
        <w:t xml:space="preserve"> states that the immunoassays for Study</w:t>
      </w:r>
      <w:r w:rsidR="00CB62AE" w:rsidRPr="000349EF">
        <w:t> </w:t>
      </w:r>
      <w:r w:rsidRPr="000349EF">
        <w:t xml:space="preserve">P204 were validated for use in the assessment of clinical samples, and in </w:t>
      </w:r>
      <w:r w:rsidR="00BF3AFA" w:rsidRPr="000349EF">
        <w:t>Study </w:t>
      </w:r>
      <w:r w:rsidRPr="000349EF">
        <w:t>P204 as well as</w:t>
      </w:r>
      <w:r w:rsidR="00BF3AFA" w:rsidRPr="000349EF">
        <w:t xml:space="preserve"> Study </w:t>
      </w:r>
      <w:r w:rsidRPr="000349EF">
        <w:t xml:space="preserve">P301 and </w:t>
      </w:r>
      <w:r w:rsidR="00BF3AFA" w:rsidRPr="000349EF">
        <w:t>Study mRNA-1273-P203 (Study </w:t>
      </w:r>
      <w:r w:rsidRPr="000349EF">
        <w:t>P203</w:t>
      </w:r>
      <w:r w:rsidR="00BF3AFA" w:rsidRPr="000349EF">
        <w:t>)</w:t>
      </w:r>
      <w:r w:rsidR="00B15DBA" w:rsidRPr="000349EF">
        <w:t>.</w:t>
      </w:r>
      <w:r w:rsidRPr="000349EF">
        <w:t xml:space="preserve"> </w:t>
      </w:r>
      <w:r w:rsidR="00B15DBA" w:rsidRPr="000349EF">
        <w:t>T</w:t>
      </w:r>
      <w:r w:rsidRPr="000349EF">
        <w:t>wo assays were employed:</w:t>
      </w:r>
    </w:p>
    <w:p w14:paraId="758DB29B" w14:textId="21A84461" w:rsidR="00BF3AFA" w:rsidRPr="000349EF" w:rsidRDefault="00554BFA" w:rsidP="00BF3AFA">
      <w:pPr>
        <w:pStyle w:val="ListBullet"/>
      </w:pPr>
      <w:r w:rsidRPr="000349EF">
        <w:t xml:space="preserve">the </w:t>
      </w:r>
      <w:proofErr w:type="spellStart"/>
      <w:r w:rsidRPr="000349EF">
        <w:t>p</w:t>
      </w:r>
      <w:r w:rsidR="00BF3AFA" w:rsidRPr="000349EF">
        <w:t>seudotyped</w:t>
      </w:r>
      <w:proofErr w:type="spellEnd"/>
      <w:r w:rsidR="00BF3AFA" w:rsidRPr="000349EF">
        <w:t xml:space="preserve"> virus neutralisation assay (</w:t>
      </w:r>
      <w:proofErr w:type="spellStart"/>
      <w:r w:rsidR="00172ACC" w:rsidRPr="000349EF">
        <w:t>PsVNA</w:t>
      </w:r>
      <w:proofErr w:type="spellEnd"/>
      <w:r w:rsidR="00BF3AFA" w:rsidRPr="000349EF">
        <w:t>)</w:t>
      </w:r>
      <w:r w:rsidR="00172ACC" w:rsidRPr="000349EF">
        <w:t xml:space="preserve"> for measure of functional </w:t>
      </w:r>
      <w:proofErr w:type="spellStart"/>
      <w:r w:rsidR="00172ACC" w:rsidRPr="000349EF">
        <w:t>nAb</w:t>
      </w:r>
      <w:proofErr w:type="spellEnd"/>
      <w:r w:rsidRPr="000349EF">
        <w:t>;</w:t>
      </w:r>
      <w:r w:rsidR="00172ACC" w:rsidRPr="000349EF">
        <w:t xml:space="preserve"> and</w:t>
      </w:r>
    </w:p>
    <w:p w14:paraId="77CDE648" w14:textId="0DFC5583" w:rsidR="00BF3AFA" w:rsidRPr="000349EF" w:rsidRDefault="00172ACC" w:rsidP="00BF3AFA">
      <w:pPr>
        <w:pStyle w:val="ListBullet"/>
      </w:pPr>
      <w:r w:rsidRPr="000349EF">
        <w:t>Meso</w:t>
      </w:r>
      <w:r w:rsidR="00BF3AFA" w:rsidRPr="000349EF">
        <w:t xml:space="preserve"> </w:t>
      </w:r>
      <w:r w:rsidRPr="000349EF">
        <w:t>Scale Discovery (MSD) Multiplex (</w:t>
      </w:r>
      <w:r w:rsidR="00377336" w:rsidRPr="000349EF">
        <w:t>spike (</w:t>
      </w:r>
      <w:r w:rsidRPr="000349EF">
        <w:t>S</w:t>
      </w:r>
      <w:r w:rsidR="00377336" w:rsidRPr="000349EF">
        <w:t>)</w:t>
      </w:r>
      <w:r w:rsidRPr="000349EF">
        <w:t xml:space="preserve">, </w:t>
      </w:r>
      <w:r w:rsidR="00377336" w:rsidRPr="000349EF">
        <w:t>N-terminal (</w:t>
      </w:r>
      <w:r w:rsidRPr="000349EF">
        <w:t>N</w:t>
      </w:r>
      <w:r w:rsidR="00377336" w:rsidRPr="000349EF">
        <w:t>)</w:t>
      </w:r>
      <w:r w:rsidRPr="000349EF">
        <w:t xml:space="preserve">, </w:t>
      </w:r>
      <w:r w:rsidR="00377336" w:rsidRPr="000349EF">
        <w:t>receptor binding domain (</w:t>
      </w:r>
      <w:r w:rsidRPr="000349EF">
        <w:t>RBD</w:t>
      </w:r>
      <w:r w:rsidR="00377336" w:rsidRPr="000349EF">
        <w:t>)</w:t>
      </w:r>
      <w:r w:rsidRPr="000349EF">
        <w:t>) for measure of binding antibody (</w:t>
      </w:r>
      <w:proofErr w:type="spellStart"/>
      <w:r w:rsidRPr="000349EF">
        <w:t>bAb</w:t>
      </w:r>
      <w:proofErr w:type="spellEnd"/>
      <w:r w:rsidRPr="000349EF">
        <w:t>).</w:t>
      </w:r>
    </w:p>
    <w:p w14:paraId="056477C3" w14:textId="379E6910" w:rsidR="00172ACC" w:rsidRPr="000349EF" w:rsidRDefault="00172ACC" w:rsidP="00BF3AFA">
      <w:r w:rsidRPr="000349EF">
        <w:t xml:space="preserve">Both assays were validated and considered acceptable for use in the assessment of clinical samples. </w:t>
      </w:r>
      <w:bookmarkStart w:id="57" w:name="_Toc87980876"/>
      <w:r w:rsidR="00100B02" w:rsidRPr="000349EF">
        <w:t xml:space="preserve">In response to questions raised by </w:t>
      </w:r>
      <w:r w:rsidR="00B15DBA" w:rsidRPr="000349EF">
        <w:t xml:space="preserve">the </w:t>
      </w:r>
      <w:r w:rsidR="00100B02" w:rsidRPr="000349EF">
        <w:t>TGA, t</w:t>
      </w:r>
      <w:r w:rsidRPr="000349EF">
        <w:t xml:space="preserve">he </w:t>
      </w:r>
      <w:r w:rsidR="008028EF" w:rsidRPr="000349EF">
        <w:t>sponsor</w:t>
      </w:r>
      <w:r w:rsidRPr="000349EF">
        <w:t xml:space="preserve"> confirms that the immunoassays used in Study</w:t>
      </w:r>
      <w:r w:rsidR="00BF3AFA" w:rsidRPr="000349EF">
        <w:t> </w:t>
      </w:r>
      <w:r w:rsidRPr="000349EF">
        <w:t>P204 are the same as those used for the Study</w:t>
      </w:r>
      <w:r w:rsidR="00BF3AFA" w:rsidRPr="000349EF">
        <w:t> </w:t>
      </w:r>
      <w:r w:rsidRPr="000349EF">
        <w:t>P301 (young adults,</w:t>
      </w:r>
      <w:r w:rsidR="00554BFA" w:rsidRPr="000349EF">
        <w:t xml:space="preserve"> from</w:t>
      </w:r>
      <w:r w:rsidRPr="000349EF">
        <w:t xml:space="preserve"> 18 to 25 years of age) comparator used for immunobridging.</w:t>
      </w:r>
    </w:p>
    <w:p w14:paraId="613255F4" w14:textId="59F11EB5" w:rsidR="00172ACC" w:rsidRPr="000349EF" w:rsidRDefault="00172ACC" w:rsidP="006B4B52">
      <w:pPr>
        <w:pStyle w:val="Heading5"/>
        <w:rPr>
          <w:rFonts w:eastAsiaTheme="minorHAnsi"/>
        </w:rPr>
      </w:pPr>
      <w:r w:rsidRPr="000349EF">
        <w:rPr>
          <w:rFonts w:asciiTheme="minorHAnsi" w:eastAsia="TimesNewRomanPSMT" w:hAnsiTheme="minorHAnsi" w:cs="TimesNewRomanPSMT"/>
          <w:color w:val="000000"/>
        </w:rPr>
        <w:t>Noninferiority</w:t>
      </w:r>
      <w:r w:rsidRPr="000349EF">
        <w:rPr>
          <w:rFonts w:eastAsiaTheme="minorHAnsi"/>
        </w:rPr>
        <w:t xml:space="preserve"> immunogenicity analysis</w:t>
      </w:r>
      <w:bookmarkEnd w:id="57"/>
    </w:p>
    <w:p w14:paraId="36E935C9" w14:textId="7E88FD7B" w:rsidR="00172ACC" w:rsidRPr="000349EF" w:rsidRDefault="00172ACC" w:rsidP="00172ACC">
      <w:r w:rsidRPr="000349EF">
        <w:t>The number of participants in each analysis set for Part</w:t>
      </w:r>
      <w:r w:rsidR="00BF3AFA" w:rsidRPr="000349EF">
        <w:t> </w:t>
      </w:r>
      <w:r w:rsidRPr="000349EF">
        <w:t xml:space="preserve">1 and reasons for exclusions from the PP </w:t>
      </w:r>
      <w:r w:rsidR="00CB62AE" w:rsidRPr="000349EF">
        <w:t>immunogenicity subset</w:t>
      </w:r>
      <w:r w:rsidRPr="000349EF">
        <w:t xml:space="preserve"> are presented in </w:t>
      </w:r>
      <w:r w:rsidR="00BF3AFA" w:rsidRPr="000349EF">
        <w:fldChar w:fldCharType="begin"/>
      </w:r>
      <w:r w:rsidR="00BF3AFA" w:rsidRPr="000349EF">
        <w:instrText xml:space="preserve"> REF _Ref91004055 \h </w:instrText>
      </w:r>
      <w:r w:rsidR="008C1E85" w:rsidRPr="000349EF">
        <w:instrText xml:space="preserve"> \* MERGEFORMAT </w:instrText>
      </w:r>
      <w:r w:rsidR="00BF3AFA" w:rsidRPr="000349EF">
        <w:fldChar w:fldCharType="separate"/>
      </w:r>
      <w:r w:rsidR="00235E4B" w:rsidRPr="000349EF">
        <w:t xml:space="preserve">Table </w:t>
      </w:r>
      <w:r w:rsidR="00235E4B">
        <w:rPr>
          <w:noProof/>
        </w:rPr>
        <w:t>6</w:t>
      </w:r>
      <w:r w:rsidR="00BF3AFA" w:rsidRPr="000349EF">
        <w:fldChar w:fldCharType="end"/>
      </w:r>
      <w:r w:rsidRPr="000349EF">
        <w:t xml:space="preserve"> below. Of note, the PP </w:t>
      </w:r>
      <w:r w:rsidR="00CB62AE" w:rsidRPr="000349EF">
        <w:t>immunogenicity subset</w:t>
      </w:r>
      <w:r w:rsidRPr="000349EF">
        <w:t xml:space="preserve"> used for immunogenicity analyses to assess noninferiority in this submission excludes participants whose data were used for dose selection.</w:t>
      </w:r>
    </w:p>
    <w:p w14:paraId="2F0EFC02" w14:textId="1AB99DD9" w:rsidR="00172ACC" w:rsidRPr="000349EF" w:rsidRDefault="00D7275D" w:rsidP="00D7275D">
      <w:pPr>
        <w:pStyle w:val="TableTitle"/>
      </w:pPr>
      <w:bookmarkStart w:id="58" w:name="_Ref91004055"/>
      <w:r w:rsidRPr="000349EF">
        <w:t xml:space="preserve">Table </w:t>
      </w:r>
      <w:r w:rsidR="00571D7C">
        <w:fldChar w:fldCharType="begin"/>
      </w:r>
      <w:r w:rsidR="00571D7C">
        <w:instrText xml:space="preserve"> SEQ Table \* ARABIC </w:instrText>
      </w:r>
      <w:r w:rsidR="00571D7C">
        <w:fldChar w:fldCharType="separate"/>
      </w:r>
      <w:r w:rsidR="00235E4B">
        <w:rPr>
          <w:noProof/>
        </w:rPr>
        <w:t>6</w:t>
      </w:r>
      <w:r w:rsidR="00571D7C">
        <w:rPr>
          <w:noProof/>
        </w:rPr>
        <w:fldChar w:fldCharType="end"/>
      </w:r>
      <w:bookmarkEnd w:id="58"/>
      <w:r w:rsidR="00172ACC" w:rsidRPr="000349EF">
        <w:t xml:space="preserve">: </w:t>
      </w:r>
      <w:r w:rsidR="005D6530" w:rsidRPr="000349EF">
        <w:t xml:space="preserve">Study P204 Part 1 </w:t>
      </w:r>
      <w:r w:rsidR="00172ACC" w:rsidRPr="000349EF">
        <w:t>Number of participants in each analysis set by dose level (</w:t>
      </w:r>
      <w:r w:rsidR="005D6530" w:rsidRPr="000349EF">
        <w:t>full analysis set</w:t>
      </w:r>
      <w:r w:rsidR="00172ACC" w:rsidRPr="000349EF">
        <w:t>)</w:t>
      </w:r>
    </w:p>
    <w:p w14:paraId="7CB61CF8" w14:textId="43DECE3C" w:rsidR="00E8248C" w:rsidRPr="000349EF" w:rsidRDefault="00E8248C" w:rsidP="00E8248C">
      <w:r w:rsidRPr="000349EF">
        <w:rPr>
          <w:noProof/>
          <w:lang w:val="en-GB" w:eastAsia="en-GB"/>
        </w:rPr>
        <w:drawing>
          <wp:inline distT="0" distB="0" distL="0" distR="0" wp14:anchorId="36204228" wp14:editId="5B5AC358">
            <wp:extent cx="5400040" cy="1677035"/>
            <wp:effectExtent l="0" t="0" r="0" b="0"/>
            <wp:docPr id="35" name="Picture 35" descr="Table 6: Study P204 Part 1 Number of participants in each analysis set by dose lev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6: Study P204 Part 1 Number of participants in each analysis set by dose level (full analysis set)"/>
                    <pic:cNvPicPr/>
                  </pic:nvPicPr>
                  <pic:blipFill>
                    <a:blip r:embed="rId25"/>
                    <a:stretch>
                      <a:fillRect/>
                    </a:stretch>
                  </pic:blipFill>
                  <pic:spPr>
                    <a:xfrm>
                      <a:off x="0" y="0"/>
                      <a:ext cx="5400040" cy="1677035"/>
                    </a:xfrm>
                    <a:prstGeom prst="rect">
                      <a:avLst/>
                    </a:prstGeom>
                  </pic:spPr>
                </pic:pic>
              </a:graphicData>
            </a:graphic>
          </wp:inline>
        </w:drawing>
      </w:r>
    </w:p>
    <w:p w14:paraId="439DACDE" w14:textId="0437134F" w:rsidR="00E8248C" w:rsidRPr="000349EF" w:rsidRDefault="00E8248C" w:rsidP="00B15DBA">
      <w:pPr>
        <w:pStyle w:val="TableDescription"/>
      </w:pPr>
      <w:r w:rsidRPr="000349EF">
        <w:t xml:space="preserve">FAS = full analysis set; </w:t>
      </w:r>
      <w:r w:rsidR="00164050" w:rsidRPr="000349EF">
        <w:rPr>
          <w:lang w:val="en-GB"/>
        </w:rPr>
        <w:t>mRNA-1273 = Spikevax COVID-19 vaccine</w:t>
      </w:r>
      <w:r w:rsidR="00263540" w:rsidRPr="000349EF">
        <w:t xml:space="preserve">; n = sample size; </w:t>
      </w:r>
      <w:r w:rsidRPr="000349EF">
        <w:t>PP</w:t>
      </w:r>
      <w:r w:rsidR="00B15DBA" w:rsidRPr="000349EF">
        <w:t> </w:t>
      </w:r>
      <w:r w:rsidRPr="000349EF">
        <w:t>=</w:t>
      </w:r>
      <w:r w:rsidR="00B15DBA" w:rsidRPr="000349EF">
        <w:t> </w:t>
      </w:r>
      <w:r w:rsidRPr="000349EF">
        <w:t>per</w:t>
      </w:r>
      <w:r w:rsidR="00CB62AE" w:rsidRPr="000349EF">
        <w:noBreakHyphen/>
      </w:r>
      <w:r w:rsidRPr="000349EF">
        <w:t>protocol; SARS</w:t>
      </w:r>
      <w:r w:rsidRPr="000349EF">
        <w:noBreakHyphen/>
        <w:t>CoV-2 = severe acute respiratory syndrome coronavirus 2.</w:t>
      </w:r>
    </w:p>
    <w:p w14:paraId="12FD898F" w14:textId="77777777" w:rsidR="00E8248C" w:rsidRPr="000349EF" w:rsidRDefault="00E8248C" w:rsidP="00E8248C">
      <w:pPr>
        <w:pStyle w:val="TableDescription"/>
      </w:pPr>
      <w:r w:rsidRPr="000349EF">
        <w:t>a. Numbers are based on planned treatment group.</w:t>
      </w:r>
    </w:p>
    <w:p w14:paraId="541AA6BA" w14:textId="5BDFF833" w:rsidR="00E8248C" w:rsidRPr="000349EF" w:rsidRDefault="00E8248C" w:rsidP="00E8248C">
      <w:pPr>
        <w:pStyle w:val="TableDescription"/>
      </w:pPr>
      <w:r w:rsidRPr="000349EF">
        <w:t>b. Numbers are based on planned treatment group, and percentages are based on the number of participants in the immunogenicity subset, which includes participants in Part 1 whose data were not used in dose selection.</w:t>
      </w:r>
    </w:p>
    <w:p w14:paraId="1D7B1A38" w14:textId="77777777" w:rsidR="00E8248C" w:rsidRPr="000349EF" w:rsidRDefault="00E8248C" w:rsidP="00E8248C">
      <w:pPr>
        <w:pStyle w:val="TableDescription"/>
      </w:pPr>
      <w:r w:rsidRPr="000349EF">
        <w:t>c. A participant who has multiple reasons for exclusion is listed under the reason that appears earliest.</w:t>
      </w:r>
    </w:p>
    <w:p w14:paraId="559AB5BA" w14:textId="16A9985C" w:rsidR="00E8248C" w:rsidRPr="000349EF" w:rsidRDefault="00E8248C" w:rsidP="00E8248C">
      <w:pPr>
        <w:pStyle w:val="TableDescription"/>
      </w:pPr>
      <w:r w:rsidRPr="000349EF">
        <w:lastRenderedPageBreak/>
        <w:t>d. Numbers are based on actual treatment group, and percentages are based on the number of safety participants.</w:t>
      </w:r>
    </w:p>
    <w:p w14:paraId="656CE2AF" w14:textId="3E3009B5" w:rsidR="00172ACC" w:rsidRPr="000349EF" w:rsidRDefault="00D7275D" w:rsidP="00B03B45">
      <w:pPr>
        <w:pStyle w:val="TableTitle"/>
      </w:pPr>
      <w:r w:rsidRPr="000349EF">
        <w:t xml:space="preserve">Table </w:t>
      </w:r>
      <w:r w:rsidR="00571D7C">
        <w:fldChar w:fldCharType="begin"/>
      </w:r>
      <w:r w:rsidR="00571D7C">
        <w:instrText xml:space="preserve"> SEQ Table \* ARABIC </w:instrText>
      </w:r>
      <w:r w:rsidR="00571D7C">
        <w:fldChar w:fldCharType="separate"/>
      </w:r>
      <w:r w:rsidR="00235E4B">
        <w:rPr>
          <w:noProof/>
        </w:rPr>
        <w:t>7</w:t>
      </w:r>
      <w:r w:rsidR="00571D7C">
        <w:rPr>
          <w:noProof/>
        </w:rPr>
        <w:fldChar w:fldCharType="end"/>
      </w:r>
      <w:r w:rsidR="00172ACC" w:rsidRPr="000349EF">
        <w:t xml:space="preserve">: </w:t>
      </w:r>
      <w:r w:rsidR="005D6530" w:rsidRPr="000349EF">
        <w:t xml:space="preserve">Study P204 Part 1 </w:t>
      </w:r>
      <w:r w:rsidR="00172ACC" w:rsidRPr="000349EF">
        <w:t>Participant disposition by dose level (</w:t>
      </w:r>
      <w:r w:rsidR="005D6530" w:rsidRPr="000349EF">
        <w:t>full analysis set</w:t>
      </w:r>
      <w:r w:rsidR="00172ACC" w:rsidRPr="000349EF">
        <w:t>)</w:t>
      </w:r>
    </w:p>
    <w:p w14:paraId="0E8328C2" w14:textId="3594DC51" w:rsidR="00263540" w:rsidRPr="000349EF" w:rsidRDefault="00263540" w:rsidP="00263540">
      <w:r w:rsidRPr="000349EF">
        <w:rPr>
          <w:noProof/>
          <w:lang w:val="en-GB" w:eastAsia="en-GB"/>
        </w:rPr>
        <w:drawing>
          <wp:inline distT="0" distB="0" distL="0" distR="0" wp14:anchorId="38B5340E" wp14:editId="12265E43">
            <wp:extent cx="5400040" cy="2102485"/>
            <wp:effectExtent l="0" t="0" r="0" b="0"/>
            <wp:docPr id="23" name="Picture 23" descr="Table 7: Study P204 Part 1 Participant disposition by dose lev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7: Study P204 Part 1 Participant disposition by dose level (full analysis set)"/>
                    <pic:cNvPicPr/>
                  </pic:nvPicPr>
                  <pic:blipFill>
                    <a:blip r:embed="rId26"/>
                    <a:stretch>
                      <a:fillRect/>
                    </a:stretch>
                  </pic:blipFill>
                  <pic:spPr>
                    <a:xfrm>
                      <a:off x="0" y="0"/>
                      <a:ext cx="5400040" cy="2102485"/>
                    </a:xfrm>
                    <a:prstGeom prst="rect">
                      <a:avLst/>
                    </a:prstGeom>
                  </pic:spPr>
                </pic:pic>
              </a:graphicData>
            </a:graphic>
          </wp:inline>
        </w:drawing>
      </w:r>
    </w:p>
    <w:p w14:paraId="7BF4627A" w14:textId="3BB0692D" w:rsidR="00263540" w:rsidRPr="000349EF" w:rsidRDefault="00263540" w:rsidP="00263540">
      <w:pPr>
        <w:pStyle w:val="TableDescription"/>
      </w:pPr>
      <w:r w:rsidRPr="000349EF">
        <w:t xml:space="preserve">FAS = full analysis set; </w:t>
      </w:r>
      <w:r w:rsidR="00164050" w:rsidRPr="000349EF">
        <w:rPr>
          <w:lang w:val="en-GB"/>
        </w:rPr>
        <w:t>mRNA-1273 = Spikevax COVID-19 vaccine</w:t>
      </w:r>
      <w:r w:rsidRPr="000349EF">
        <w:t>; N = population size; n</w:t>
      </w:r>
      <w:r w:rsidR="00554BFA" w:rsidRPr="000349EF">
        <w:t> </w:t>
      </w:r>
      <w:r w:rsidRPr="000349EF">
        <w:t>=</w:t>
      </w:r>
      <w:r w:rsidR="00554BFA" w:rsidRPr="000349EF">
        <w:t> </w:t>
      </w:r>
      <w:r w:rsidRPr="000349EF">
        <w:t>sample size</w:t>
      </w:r>
      <w:r w:rsidR="00004149" w:rsidRPr="000349EF">
        <w:t>; n = sample size</w:t>
      </w:r>
      <w:r w:rsidRPr="000349EF">
        <w:t>.</w:t>
      </w:r>
    </w:p>
    <w:p w14:paraId="0935AEF4" w14:textId="65711FCE" w:rsidR="00263540" w:rsidRPr="000349EF" w:rsidRDefault="00263540" w:rsidP="00263540">
      <w:pPr>
        <w:pStyle w:val="TableDescription"/>
      </w:pPr>
      <w:r w:rsidRPr="000349EF">
        <w:t>Percentages are based on the number of participants enrolled in Part 1 who receive at least one injection of study investigational product.</w:t>
      </w:r>
    </w:p>
    <w:p w14:paraId="7BA79730" w14:textId="0915FA8B" w:rsidR="00263540" w:rsidRPr="000349EF" w:rsidRDefault="00263540" w:rsidP="00263540">
      <w:pPr>
        <w:pStyle w:val="TableDescription"/>
      </w:pPr>
      <w:r w:rsidRPr="000349EF">
        <w:t>a. Study vaccine discontinuation is defined as a participant who received the first injection but did not receive the second injection.</w:t>
      </w:r>
    </w:p>
    <w:p w14:paraId="682B5FD8" w14:textId="2336746A" w:rsidR="00263540" w:rsidRPr="000349EF" w:rsidRDefault="00263540" w:rsidP="00263540">
      <w:pPr>
        <w:pStyle w:val="TableDescription"/>
      </w:pPr>
      <w:r w:rsidRPr="000349EF">
        <w:t xml:space="preserve">b. One participant had an adverse event of urticaria </w:t>
      </w:r>
      <w:proofErr w:type="spellStart"/>
      <w:r w:rsidRPr="000349EF">
        <w:t>papular</w:t>
      </w:r>
      <w:proofErr w:type="spellEnd"/>
      <w:r w:rsidRPr="000349EF">
        <w:t xml:space="preserve"> (verbatim term: delayed skin reaction, </w:t>
      </w:r>
      <w:proofErr w:type="spellStart"/>
      <w:r w:rsidRPr="000349EF">
        <w:t>urticaric</w:t>
      </w:r>
      <w:proofErr w:type="spellEnd"/>
      <w:r w:rsidRPr="000349EF">
        <w:t xml:space="preserve"> and </w:t>
      </w:r>
      <w:proofErr w:type="spellStart"/>
      <w:r w:rsidRPr="000349EF">
        <w:t>papular</w:t>
      </w:r>
      <w:proofErr w:type="spellEnd"/>
      <w:r w:rsidRPr="000349EF">
        <w:t xml:space="preserve"> rash; left arm, elbows, </w:t>
      </w:r>
      <w:proofErr w:type="gramStart"/>
      <w:r w:rsidRPr="000349EF">
        <w:t>feet</w:t>
      </w:r>
      <w:proofErr w:type="gramEnd"/>
      <w:r w:rsidRPr="000349EF">
        <w:t xml:space="preserve"> and hands) on Day 9 following Dose 1.</w:t>
      </w:r>
    </w:p>
    <w:p w14:paraId="2AD4CE11" w14:textId="18F80022" w:rsidR="00263540" w:rsidRPr="000349EF" w:rsidRDefault="00263540" w:rsidP="00263540">
      <w:pPr>
        <w:pStyle w:val="TableDescription"/>
      </w:pPr>
      <w:r w:rsidRPr="000349EF">
        <w:t>c. Study completion is defined as a participant who completed 12 months of follow-up after the last injection received, included participants who complete the first injection but not second injection. The study is ongoing; no participants have completed 12 months of follow-up.</w:t>
      </w:r>
    </w:p>
    <w:p w14:paraId="18DE52EB" w14:textId="2399B3B3" w:rsidR="00172ACC" w:rsidRPr="000349EF" w:rsidRDefault="00172ACC" w:rsidP="00172ACC">
      <w:r w:rsidRPr="000349EF">
        <w:t xml:space="preserve">Immunogenicity analysis results are provided for the PP </w:t>
      </w:r>
      <w:r w:rsidR="00CB62AE" w:rsidRPr="000349EF">
        <w:t>immunogenicity subset</w:t>
      </w:r>
      <w:r w:rsidRPr="000349EF">
        <w:t xml:space="preserve"> for the 50</w:t>
      </w:r>
      <w:r w:rsidR="00BF3AFA" w:rsidRPr="000349EF">
        <w:t> </w:t>
      </w:r>
      <w:proofErr w:type="spellStart"/>
      <w:r w:rsidRPr="000349EF">
        <w:t>μg</w:t>
      </w:r>
      <w:proofErr w:type="spellEnd"/>
      <w:r w:rsidRPr="000349EF">
        <w:t xml:space="preserve"> group from Part</w:t>
      </w:r>
      <w:r w:rsidR="00BF3AFA" w:rsidRPr="000349EF">
        <w:t> </w:t>
      </w:r>
      <w:r w:rsidRPr="000349EF">
        <w:t xml:space="preserve">1 using the validated </w:t>
      </w:r>
      <w:proofErr w:type="spellStart"/>
      <w:r w:rsidRPr="000349EF">
        <w:t>PsVNA</w:t>
      </w:r>
      <w:proofErr w:type="spellEnd"/>
      <w:r w:rsidRPr="000349EF">
        <w:t xml:space="preserve">. </w:t>
      </w:r>
      <w:r w:rsidR="00BF3AFA" w:rsidRPr="000349EF">
        <w:fldChar w:fldCharType="begin"/>
      </w:r>
      <w:r w:rsidR="00BF3AFA" w:rsidRPr="000349EF">
        <w:instrText xml:space="preserve"> REF _Ref91004117 \h </w:instrText>
      </w:r>
      <w:r w:rsidR="008C1E85" w:rsidRPr="000349EF">
        <w:instrText xml:space="preserve"> \* MERGEFORMAT </w:instrText>
      </w:r>
      <w:r w:rsidR="00BF3AFA" w:rsidRPr="000349EF">
        <w:fldChar w:fldCharType="separate"/>
      </w:r>
      <w:r w:rsidR="00235E4B" w:rsidRPr="000349EF">
        <w:t xml:space="preserve">Table </w:t>
      </w:r>
      <w:r w:rsidR="00235E4B">
        <w:rPr>
          <w:noProof/>
        </w:rPr>
        <w:t>8</w:t>
      </w:r>
      <w:r w:rsidR="00BF3AFA" w:rsidRPr="000349EF">
        <w:fldChar w:fldCharType="end"/>
      </w:r>
      <w:r w:rsidRPr="000349EF">
        <w:t xml:space="preserve"> below summari</w:t>
      </w:r>
      <w:r w:rsidR="00A23298" w:rsidRPr="000349EF">
        <w:t>s</w:t>
      </w:r>
      <w:r w:rsidRPr="000349EF">
        <w:t xml:space="preserve">es the analysis of serum </w:t>
      </w:r>
      <w:proofErr w:type="spellStart"/>
      <w:r w:rsidRPr="000349EF">
        <w:t>nAb</w:t>
      </w:r>
      <w:proofErr w:type="spellEnd"/>
      <w:r w:rsidRPr="000349EF">
        <w:t xml:space="preserve"> levels (</w:t>
      </w:r>
      <w:proofErr w:type="spellStart"/>
      <w:r w:rsidRPr="000349EF">
        <w:t>PsVNA</w:t>
      </w:r>
      <w:proofErr w:type="spellEnd"/>
      <w:r w:rsidRPr="000349EF">
        <w:t xml:space="preserve"> </w:t>
      </w:r>
      <w:r w:rsidR="00CB62AE" w:rsidRPr="000349EF">
        <w:t>ID</w:t>
      </w:r>
      <w:r w:rsidR="00CB62AE" w:rsidRPr="000349EF">
        <w:rPr>
          <w:vertAlign w:val="subscript"/>
        </w:rPr>
        <w:t>50</w:t>
      </w:r>
      <w:r w:rsidRPr="000349EF">
        <w:t>) at Day</w:t>
      </w:r>
      <w:r w:rsidR="00BF3AFA" w:rsidRPr="000349EF">
        <w:t> </w:t>
      </w:r>
      <w:r w:rsidRPr="000349EF">
        <w:t xml:space="preserve">57 for children </w:t>
      </w:r>
      <w:r w:rsidR="00DA021F" w:rsidRPr="000349EF">
        <w:t xml:space="preserve">of </w:t>
      </w:r>
      <w:r w:rsidRPr="000349EF">
        <w:t>6 years to &lt; 12 years of age in Study</w:t>
      </w:r>
      <w:r w:rsidR="00BF3AFA" w:rsidRPr="000349EF">
        <w:t> </w:t>
      </w:r>
      <w:r w:rsidRPr="000349EF">
        <w:t>P204 compared with those at Day</w:t>
      </w:r>
      <w:r w:rsidR="00BF3AFA" w:rsidRPr="000349EF">
        <w:t> </w:t>
      </w:r>
      <w:r w:rsidRPr="000349EF">
        <w:t>57 for young adults (18 to 25 years of age) in Study</w:t>
      </w:r>
      <w:r w:rsidR="00BF3AFA" w:rsidRPr="000349EF">
        <w:t> </w:t>
      </w:r>
      <w:r w:rsidRPr="000349EF">
        <w:t>P301. The data from Study</w:t>
      </w:r>
      <w:r w:rsidR="00BF3AFA" w:rsidRPr="000349EF">
        <w:t> </w:t>
      </w:r>
      <w:r w:rsidRPr="000349EF">
        <w:t>P204 consist of available data from the 50</w:t>
      </w:r>
      <w:r w:rsidR="00BF3AFA" w:rsidRPr="000349EF">
        <w:t> </w:t>
      </w:r>
      <w:proofErr w:type="spellStart"/>
      <w:r w:rsidRPr="000349EF">
        <w:t>μg</w:t>
      </w:r>
      <w:proofErr w:type="spellEnd"/>
      <w:r w:rsidRPr="000349EF">
        <w:t xml:space="preserve"> group (Part</w:t>
      </w:r>
      <w:r w:rsidR="00BF3AFA" w:rsidRPr="000349EF">
        <w:t> </w:t>
      </w:r>
      <w:r w:rsidRPr="000349EF">
        <w:t xml:space="preserve">1) up until data snapshot (6 October 2021), excluding data from the </w:t>
      </w:r>
      <w:r w:rsidR="00BF3AFA" w:rsidRPr="000349EF">
        <w:t xml:space="preserve">dose finding </w:t>
      </w:r>
      <w:r w:rsidR="00CB62AE" w:rsidRPr="000349EF">
        <w:t>immunogenicity subset</w:t>
      </w:r>
      <w:r w:rsidRPr="000349EF">
        <w:t xml:space="preserve"> (n</w:t>
      </w:r>
      <w:r w:rsidR="00BF3AFA" w:rsidRPr="000349EF">
        <w:t xml:space="preserve"> </w:t>
      </w:r>
      <w:r w:rsidRPr="000349EF">
        <w:t>=</w:t>
      </w:r>
      <w:r w:rsidR="00BF3AFA" w:rsidRPr="000349EF">
        <w:t xml:space="preserve"> </w:t>
      </w:r>
      <w:r w:rsidRPr="000349EF">
        <w:t>67) used to determine dose selection.</w:t>
      </w:r>
    </w:p>
    <w:p w14:paraId="241FBBBE" w14:textId="20020B4D" w:rsidR="00172ACC" w:rsidRPr="000349EF" w:rsidRDefault="00D7275D" w:rsidP="00B03B45">
      <w:pPr>
        <w:pStyle w:val="TableTitle"/>
      </w:pPr>
      <w:bookmarkStart w:id="59" w:name="_Ref91004117"/>
      <w:r w:rsidRPr="000349EF">
        <w:t xml:space="preserve">Table </w:t>
      </w:r>
      <w:r w:rsidR="00571D7C">
        <w:fldChar w:fldCharType="begin"/>
      </w:r>
      <w:r w:rsidR="00571D7C">
        <w:instrText xml:space="preserve"> SEQ Table \* ARABIC </w:instrText>
      </w:r>
      <w:r w:rsidR="00571D7C">
        <w:fldChar w:fldCharType="separate"/>
      </w:r>
      <w:r w:rsidR="00235E4B">
        <w:rPr>
          <w:noProof/>
        </w:rPr>
        <w:t>8</w:t>
      </w:r>
      <w:r w:rsidR="00571D7C">
        <w:rPr>
          <w:noProof/>
        </w:rPr>
        <w:fldChar w:fldCharType="end"/>
      </w:r>
      <w:bookmarkEnd w:id="59"/>
      <w:r w:rsidR="00172ACC" w:rsidRPr="000349EF">
        <w:t xml:space="preserve">: </w:t>
      </w:r>
      <w:r w:rsidR="005D6530" w:rsidRPr="000349EF">
        <w:t xml:space="preserve">Study P204 </w:t>
      </w:r>
      <w:r w:rsidR="00172ACC" w:rsidRPr="000349EF">
        <w:t>Immunogenicity analysis (</w:t>
      </w:r>
      <w:proofErr w:type="spellStart"/>
      <w:r w:rsidR="005D6530" w:rsidRPr="000349EF">
        <w:t>pseudovirus</w:t>
      </w:r>
      <w:proofErr w:type="spellEnd"/>
      <w:r w:rsidR="00172ACC" w:rsidRPr="000349EF">
        <w:t xml:space="preserve"> </w:t>
      </w:r>
      <w:r w:rsidR="005D6530" w:rsidRPr="000349EF">
        <w:t xml:space="preserve">neutralising antibody </w:t>
      </w:r>
      <w:r w:rsidR="00172ACC" w:rsidRPr="000349EF">
        <w:t xml:space="preserve">level by </w:t>
      </w:r>
      <w:proofErr w:type="spellStart"/>
      <w:r w:rsidR="00172ACC" w:rsidRPr="000349EF">
        <w:t>pseudovirus</w:t>
      </w:r>
      <w:proofErr w:type="spellEnd"/>
      <w:r w:rsidR="00172ACC" w:rsidRPr="000349EF">
        <w:t xml:space="preserve"> </w:t>
      </w:r>
      <w:r w:rsidR="005D6530" w:rsidRPr="000349EF">
        <w:t>neutralising</w:t>
      </w:r>
      <w:r w:rsidR="00172ACC" w:rsidRPr="000349EF">
        <w:t xml:space="preserve"> assay)</w:t>
      </w:r>
    </w:p>
    <w:p w14:paraId="70722E9A" w14:textId="71D38053" w:rsidR="00172ACC" w:rsidRPr="000349EF" w:rsidRDefault="00263540" w:rsidP="00263540">
      <w:r w:rsidRPr="000349EF">
        <w:rPr>
          <w:noProof/>
          <w:lang w:val="en-GB" w:eastAsia="en-GB"/>
        </w:rPr>
        <w:drawing>
          <wp:inline distT="0" distB="0" distL="0" distR="0" wp14:anchorId="28285C3F" wp14:editId="73026555">
            <wp:extent cx="5400040" cy="1920240"/>
            <wp:effectExtent l="0" t="0" r="0" b="3810"/>
            <wp:docPr id="24" name="Picture 24" descr="Table 8: Study P204 Immunogenicity analysis (pseudovirus neutralising antibody level by pseudovirus neutralising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8: Study P204 Immunogenicity analysis (pseudovirus neutralising antibody level by pseudovirus neutralising assay)"/>
                    <pic:cNvPicPr/>
                  </pic:nvPicPr>
                  <pic:blipFill>
                    <a:blip r:embed="rId27"/>
                    <a:stretch>
                      <a:fillRect/>
                    </a:stretch>
                  </pic:blipFill>
                  <pic:spPr>
                    <a:xfrm>
                      <a:off x="0" y="0"/>
                      <a:ext cx="5400040" cy="1920240"/>
                    </a:xfrm>
                    <a:prstGeom prst="rect">
                      <a:avLst/>
                    </a:prstGeom>
                  </pic:spPr>
                </pic:pic>
              </a:graphicData>
            </a:graphic>
          </wp:inline>
        </w:drawing>
      </w:r>
    </w:p>
    <w:p w14:paraId="2CA4B599" w14:textId="3CD72CC5" w:rsidR="00263540" w:rsidRPr="000349EF" w:rsidRDefault="00263540" w:rsidP="00263540">
      <w:pPr>
        <w:pStyle w:val="TableDescription"/>
      </w:pPr>
      <w:r w:rsidRPr="000349EF">
        <w:t xml:space="preserve">ANCOVA = analysis of covariance; CI = confidence interval; GMFR = geometric mean fold </w:t>
      </w:r>
      <w:r w:rsidR="00FC063B" w:rsidRPr="000349EF">
        <w:t>rise</w:t>
      </w:r>
      <w:r w:rsidRPr="000349EF">
        <w:t>; GMR</w:t>
      </w:r>
      <w:r w:rsidR="00B15DBA" w:rsidRPr="000349EF">
        <w:t> </w:t>
      </w:r>
      <w:r w:rsidRPr="000349EF">
        <w:t>=</w:t>
      </w:r>
      <w:r w:rsidR="00B15DBA" w:rsidRPr="000349EF">
        <w:t> </w:t>
      </w:r>
      <w:r w:rsidRPr="000349EF">
        <w:t xml:space="preserve">geometric mean ratio; GMT = geometric mean </w:t>
      </w:r>
      <w:r w:rsidR="00004149" w:rsidRPr="000349EF">
        <w:t>titre</w:t>
      </w:r>
      <w:r w:rsidRPr="000349EF">
        <w:t xml:space="preserve"> (noted as observed or model based, which is estimated by geometric least squares mean); ID</w:t>
      </w:r>
      <w:r w:rsidRPr="000349EF">
        <w:rPr>
          <w:vertAlign w:val="subscript"/>
        </w:rPr>
        <w:t>50</w:t>
      </w:r>
      <w:r w:rsidRPr="000349EF">
        <w:t xml:space="preserve"> = 50% inhibitory dose; LLOQ = lower limit of </w:t>
      </w:r>
      <w:r w:rsidRPr="000349EF">
        <w:lastRenderedPageBreak/>
        <w:t>quantification; LS = least squares; mRNA-1273 = Spikevax COVID-19 vaccine</w:t>
      </w:r>
      <w:r w:rsidR="00004149" w:rsidRPr="000349EF">
        <w:t>; N</w:t>
      </w:r>
      <w:r w:rsidR="00B15DBA" w:rsidRPr="000349EF">
        <w:t> </w:t>
      </w:r>
      <w:r w:rsidR="00004149" w:rsidRPr="000349EF">
        <w:t>=</w:t>
      </w:r>
      <w:r w:rsidR="00B15DBA" w:rsidRPr="000349EF">
        <w:t> </w:t>
      </w:r>
      <w:r w:rsidR="00004149" w:rsidRPr="000349EF">
        <w:t xml:space="preserve">population size; P204 = Study P204; P301 = Study P301; </w:t>
      </w:r>
      <w:r w:rsidRPr="000349EF">
        <w:t>PP = per</w:t>
      </w:r>
      <w:r w:rsidR="00CB62AE" w:rsidRPr="000349EF">
        <w:noBreakHyphen/>
      </w:r>
      <w:r w:rsidRPr="000349EF">
        <w:t>protocol; ULOQ = upper limit of quantification.</w:t>
      </w:r>
    </w:p>
    <w:p w14:paraId="77857552" w14:textId="024BCFEE" w:rsidR="00263540" w:rsidRPr="000349EF" w:rsidRDefault="00263540" w:rsidP="00263540">
      <w:pPr>
        <w:pStyle w:val="TableDescription"/>
      </w:pPr>
      <w:r w:rsidRPr="000349EF">
        <w:t>Antibody values reported as below the LLOQ are replaced by 0.5 × LLOQ. Values greater than ULOQ are replaced by the ULOQ if actual values are not available.</w:t>
      </w:r>
    </w:p>
    <w:p w14:paraId="55F2B02B" w14:textId="40E7548F" w:rsidR="00263540" w:rsidRPr="000349EF" w:rsidRDefault="00004149" w:rsidP="00263540">
      <w:pPr>
        <w:pStyle w:val="TableDescription"/>
      </w:pPr>
      <w:r w:rsidRPr="000349EF">
        <w:t xml:space="preserve">Study </w:t>
      </w:r>
      <w:r w:rsidR="00263540" w:rsidRPr="000349EF">
        <w:t>P301 mRNA-1273 group includes young adults (18</w:t>
      </w:r>
      <w:r w:rsidRPr="000349EF">
        <w:t xml:space="preserve"> to </w:t>
      </w:r>
      <w:r w:rsidR="00263540" w:rsidRPr="000349EF">
        <w:t>25 years of age).</w:t>
      </w:r>
    </w:p>
    <w:p w14:paraId="5A5D3251" w14:textId="3CD36C88" w:rsidR="00263540" w:rsidRPr="000349EF" w:rsidRDefault="00263540" w:rsidP="00263540">
      <w:pPr>
        <w:pStyle w:val="TableDescription"/>
      </w:pPr>
      <w:r w:rsidRPr="000349EF">
        <w:t xml:space="preserve">The ULOQ for selected </w:t>
      </w:r>
      <w:r w:rsidR="00004149" w:rsidRPr="000349EF">
        <w:t xml:space="preserve">Study </w:t>
      </w:r>
      <w:r w:rsidRPr="000349EF">
        <w:t>P301 participants tested previously was different.</w:t>
      </w:r>
    </w:p>
    <w:p w14:paraId="7A77B103" w14:textId="7DAB6328" w:rsidR="00263540" w:rsidRPr="000349EF" w:rsidRDefault="00263540" w:rsidP="00263540">
      <w:pPr>
        <w:pStyle w:val="TableDescription"/>
      </w:pPr>
      <w:r w:rsidRPr="000349EF">
        <w:t xml:space="preserve">Of note, one </w:t>
      </w:r>
      <w:r w:rsidR="00004149" w:rsidRPr="000349EF">
        <w:t xml:space="preserve">Study </w:t>
      </w:r>
      <w:r w:rsidRPr="000349EF">
        <w:t xml:space="preserve">P301 participant had </w:t>
      </w:r>
      <w:r w:rsidR="00004149" w:rsidRPr="000349EF">
        <w:t>human immunodeficiency virus (</w:t>
      </w:r>
      <w:r w:rsidRPr="000349EF">
        <w:t>HIV</w:t>
      </w:r>
      <w:r w:rsidR="00004149" w:rsidRPr="000349EF">
        <w:t>)</w:t>
      </w:r>
      <w:r w:rsidRPr="000349EF">
        <w:t xml:space="preserve"> and was included in the </w:t>
      </w:r>
      <w:r w:rsidR="00004149" w:rsidRPr="000349EF">
        <w:t xml:space="preserve">Study </w:t>
      </w:r>
      <w:r w:rsidRPr="000349EF">
        <w:t xml:space="preserve">P301 young adults </w:t>
      </w:r>
      <w:r w:rsidR="00CB62AE" w:rsidRPr="000349EF">
        <w:t>PP</w:t>
      </w:r>
      <w:r w:rsidR="00004149" w:rsidRPr="000349EF">
        <w:t xml:space="preserve"> immunogenicity subset </w:t>
      </w:r>
      <w:r w:rsidRPr="000349EF">
        <w:t>(n</w:t>
      </w:r>
      <w:r w:rsidR="00004149" w:rsidRPr="000349EF">
        <w:t xml:space="preserve"> </w:t>
      </w:r>
      <w:r w:rsidRPr="000349EF">
        <w:t>=</w:t>
      </w:r>
      <w:r w:rsidR="00004149" w:rsidRPr="000349EF">
        <w:t xml:space="preserve"> </w:t>
      </w:r>
      <w:r w:rsidRPr="000349EF">
        <w:t xml:space="preserve">296). High apparent </w:t>
      </w:r>
      <w:r w:rsidR="00F53E66" w:rsidRPr="000349EF">
        <w:t>Baseline</w:t>
      </w:r>
      <w:r w:rsidRPr="000349EF">
        <w:t xml:space="preserve"> and post-immuni</w:t>
      </w:r>
      <w:r w:rsidR="00004149" w:rsidRPr="000349EF">
        <w:t>s</w:t>
      </w:r>
      <w:r w:rsidRPr="000349EF">
        <w:t xml:space="preserve">ations values in the </w:t>
      </w:r>
      <w:proofErr w:type="spellStart"/>
      <w:r w:rsidR="00004149" w:rsidRPr="000349EF">
        <w:t>pseudotyped</w:t>
      </w:r>
      <w:proofErr w:type="spellEnd"/>
      <w:r w:rsidR="00004149" w:rsidRPr="000349EF">
        <w:t xml:space="preserve"> virus neutralisation assay (</w:t>
      </w:r>
      <w:proofErr w:type="spellStart"/>
      <w:r w:rsidRPr="000349EF">
        <w:t>PsVNA</w:t>
      </w:r>
      <w:proofErr w:type="spellEnd"/>
      <w:r w:rsidR="00004149" w:rsidRPr="000349EF">
        <w:t>)</w:t>
      </w:r>
      <w:r w:rsidRPr="000349EF">
        <w:t xml:space="preserve"> ID</w:t>
      </w:r>
      <w:r w:rsidRPr="000349EF">
        <w:rPr>
          <w:vertAlign w:val="subscript"/>
        </w:rPr>
        <w:t>50</w:t>
      </w:r>
      <w:r w:rsidRPr="000349EF">
        <w:t xml:space="preserve"> are uninterpretable, likely due to highly active antiretroviral therapy. For this reason, HIV+ individuals were excluded from immunogenicity analysis by </w:t>
      </w:r>
      <w:proofErr w:type="spellStart"/>
      <w:r w:rsidRPr="000349EF">
        <w:t>PsVNA</w:t>
      </w:r>
      <w:proofErr w:type="spellEnd"/>
      <w:r w:rsidRPr="000349EF">
        <w:t xml:space="preserve"> in </w:t>
      </w:r>
      <w:r w:rsidR="00004149" w:rsidRPr="000349EF">
        <w:t>Study P</w:t>
      </w:r>
      <w:r w:rsidRPr="000349EF">
        <w:t>301 and will be excluded in future analyses.</w:t>
      </w:r>
    </w:p>
    <w:p w14:paraId="03A823EE" w14:textId="79B0ED89" w:rsidR="00263540" w:rsidRPr="000349EF" w:rsidRDefault="00263540" w:rsidP="00263540">
      <w:pPr>
        <w:pStyle w:val="TableDescription"/>
      </w:pPr>
      <w:r w:rsidRPr="000349EF">
        <w:t>a. 95% CI is calculated based on the t-distribution of the log-transformed values or the difference in the log</w:t>
      </w:r>
      <w:r w:rsidR="00004149" w:rsidRPr="000349EF">
        <w:t xml:space="preserve"> </w:t>
      </w:r>
      <w:r w:rsidRPr="000349EF">
        <w:t>transformed values for GMT and GMFR, respectively, then back transformed to the original scale for presentation.</w:t>
      </w:r>
    </w:p>
    <w:p w14:paraId="7EC4FB4A" w14:textId="6027E5DD" w:rsidR="00263540" w:rsidRPr="000349EF" w:rsidRDefault="00263540" w:rsidP="00263540">
      <w:pPr>
        <w:pStyle w:val="TableDescription"/>
      </w:pPr>
      <w:r w:rsidRPr="000349EF">
        <w:t>b. The log</w:t>
      </w:r>
      <w:r w:rsidR="00004149" w:rsidRPr="000349EF">
        <w:t xml:space="preserve"> </w:t>
      </w:r>
      <w:r w:rsidRPr="000349EF">
        <w:t>transformed antibody levels are analy</w:t>
      </w:r>
      <w:r w:rsidR="00004149" w:rsidRPr="000349EF">
        <w:t>s</w:t>
      </w:r>
      <w:r w:rsidRPr="000349EF">
        <w:t xml:space="preserve">ed using an ANCOVA model with the group variable (children in </w:t>
      </w:r>
      <w:r w:rsidR="00004149" w:rsidRPr="000349EF">
        <w:t xml:space="preserve">Study </w:t>
      </w:r>
      <w:r w:rsidRPr="000349EF">
        <w:t xml:space="preserve">P204 and young adults in </w:t>
      </w:r>
      <w:r w:rsidR="00004149" w:rsidRPr="000349EF">
        <w:t xml:space="preserve">Study </w:t>
      </w:r>
      <w:r w:rsidRPr="000349EF">
        <w:t>P301) as fixed effect. The resulted LS means, difference of LS means, and 95% CI are back transformed to the original scale for presentation.</w:t>
      </w:r>
    </w:p>
    <w:p w14:paraId="58F462E4" w14:textId="51C902B7" w:rsidR="00263540" w:rsidRPr="000349EF" w:rsidRDefault="00263540" w:rsidP="00263540">
      <w:pPr>
        <w:pStyle w:val="TableDescription"/>
      </w:pPr>
      <w:r w:rsidRPr="000349EF">
        <w:t xml:space="preserve">c. Seroresponse at a participant level is defined as a change from below the LLOQ to equal or above 4 × LLOQ, or at least a 4-fold rise if </w:t>
      </w:r>
      <w:r w:rsidR="00F53E66" w:rsidRPr="000349EF">
        <w:t>Baseline</w:t>
      </w:r>
      <w:r w:rsidRPr="000349EF">
        <w:t xml:space="preserve"> is equal to or above the LLOQ. Percentages are based on the number of participants with non-missing data at </w:t>
      </w:r>
      <w:r w:rsidR="00F53E66" w:rsidRPr="000349EF">
        <w:t>Baseline</w:t>
      </w:r>
      <w:r w:rsidRPr="000349EF">
        <w:t xml:space="preserve"> and the corresponding timepoint.</w:t>
      </w:r>
    </w:p>
    <w:p w14:paraId="3282B24D" w14:textId="77777777" w:rsidR="00263540" w:rsidRPr="000349EF" w:rsidRDefault="00263540" w:rsidP="00263540">
      <w:pPr>
        <w:pStyle w:val="TableDescription"/>
      </w:pPr>
      <w:r w:rsidRPr="000349EF">
        <w:t>d. 95% CI is calculated using the Clopper-Pearson method.</w:t>
      </w:r>
    </w:p>
    <w:p w14:paraId="3B20ABEB" w14:textId="5AFEF5E9" w:rsidR="00263540" w:rsidRPr="000349EF" w:rsidRDefault="00263540" w:rsidP="00263540">
      <w:pPr>
        <w:pStyle w:val="TableDescription"/>
      </w:pPr>
      <w:r w:rsidRPr="000349EF">
        <w:t>e. 95% CI is calculated using the Miettinen-</w:t>
      </w:r>
      <w:proofErr w:type="spellStart"/>
      <w:r w:rsidRPr="000349EF">
        <w:t>Nurminen</w:t>
      </w:r>
      <w:proofErr w:type="spellEnd"/>
      <w:r w:rsidRPr="000349EF">
        <w:t xml:space="preserve"> (score) confidence limits.</w:t>
      </w:r>
    </w:p>
    <w:p w14:paraId="3A5D1E92" w14:textId="1F013572" w:rsidR="00172ACC" w:rsidRPr="000349EF" w:rsidRDefault="00172ACC" w:rsidP="00172ACC">
      <w:r w:rsidRPr="000349EF">
        <w:t xml:space="preserve">In the PP </w:t>
      </w:r>
      <w:r w:rsidR="00CB62AE" w:rsidRPr="000349EF">
        <w:t>immunogenicity subset</w:t>
      </w:r>
      <w:r w:rsidRPr="000349EF">
        <w:t xml:space="preserve"> (n</w:t>
      </w:r>
      <w:r w:rsidR="00BF3AFA" w:rsidRPr="000349EF">
        <w:t xml:space="preserve"> </w:t>
      </w:r>
      <w:r w:rsidRPr="000349EF">
        <w:t>=</w:t>
      </w:r>
      <w:r w:rsidR="00BF3AFA" w:rsidRPr="000349EF">
        <w:t xml:space="preserve"> </w:t>
      </w:r>
      <w:r w:rsidRPr="000349EF">
        <w:t xml:space="preserve">134), </w:t>
      </w:r>
      <w:r w:rsidR="006622FF" w:rsidRPr="000349EF">
        <w:t xml:space="preserve">the </w:t>
      </w:r>
      <w:r w:rsidRPr="000349EF">
        <w:t xml:space="preserve">baseline </w:t>
      </w:r>
      <w:proofErr w:type="spellStart"/>
      <w:proofErr w:type="gramStart"/>
      <w:r w:rsidRPr="000349EF">
        <w:t>nAb</w:t>
      </w:r>
      <w:proofErr w:type="spellEnd"/>
      <w:proofErr w:type="gramEnd"/>
      <w:r w:rsidRPr="000349EF">
        <w:t xml:space="preserve"> GMT (measured by </w:t>
      </w:r>
      <w:proofErr w:type="spellStart"/>
      <w:r w:rsidRPr="000349EF">
        <w:t>PsVNA</w:t>
      </w:r>
      <w:proofErr w:type="spellEnd"/>
      <w:r w:rsidRPr="000349EF">
        <w:t xml:space="preserve"> </w:t>
      </w:r>
      <w:r w:rsidR="00CB62AE" w:rsidRPr="000349EF">
        <w:t>ID</w:t>
      </w:r>
      <w:r w:rsidR="00CB62AE" w:rsidRPr="000349EF">
        <w:rPr>
          <w:vertAlign w:val="subscript"/>
        </w:rPr>
        <w:t>50</w:t>
      </w:r>
      <w:r w:rsidRPr="000349EF">
        <w:t xml:space="preserve">) in children </w:t>
      </w:r>
      <w:r w:rsidR="00DA021F" w:rsidRPr="000349EF">
        <w:t xml:space="preserve">of </w:t>
      </w:r>
      <w:r w:rsidRPr="000349EF">
        <w:t xml:space="preserve">6 </w:t>
      </w:r>
      <w:r w:rsidR="00BF3AFA" w:rsidRPr="000349EF">
        <w:t xml:space="preserve">to </w:t>
      </w:r>
      <w:r w:rsidRPr="000349EF">
        <w:t xml:space="preserve">12 </w:t>
      </w:r>
      <w:r w:rsidR="003E53F0" w:rsidRPr="000349EF">
        <w:t>years of age</w:t>
      </w:r>
      <w:r w:rsidRPr="000349EF">
        <w:t xml:space="preserve"> was below the </w:t>
      </w:r>
      <w:r w:rsidR="00FC063B" w:rsidRPr="000349EF">
        <w:t>lower limit of quantification (</w:t>
      </w:r>
      <w:r w:rsidRPr="000349EF">
        <w:t>LLOQ</w:t>
      </w:r>
      <w:r w:rsidR="00FC063B" w:rsidRPr="000349EF">
        <w:t>)</w:t>
      </w:r>
      <w:r w:rsidRPr="000349EF">
        <w:t xml:space="preserve"> and </w:t>
      </w:r>
      <w:r w:rsidR="006622FF" w:rsidRPr="000349EF">
        <w:t xml:space="preserve">the </w:t>
      </w:r>
      <w:r w:rsidRPr="000349EF">
        <w:t>GMT was 1964.601 (95% CI 1722.357, 2240.915) at Day</w:t>
      </w:r>
      <w:r w:rsidR="00FC063B" w:rsidRPr="000349EF">
        <w:t> </w:t>
      </w:r>
      <w:r w:rsidRPr="000349EF">
        <w:t xml:space="preserve">57 (28 days after </w:t>
      </w:r>
      <w:r w:rsidR="0077374E" w:rsidRPr="000349EF">
        <w:t>Dose</w:t>
      </w:r>
      <w:r w:rsidR="00FC063B" w:rsidRPr="000349EF">
        <w:t> </w:t>
      </w:r>
      <w:r w:rsidR="0077374E" w:rsidRPr="000349EF">
        <w:t>2</w:t>
      </w:r>
      <w:r w:rsidRPr="000349EF">
        <w:t xml:space="preserve">), with 99.3% of children achieving seroresponse. The </w:t>
      </w:r>
      <w:r w:rsidR="00FC063B" w:rsidRPr="000349EF">
        <w:t xml:space="preserve">geometric mean fold rise </w:t>
      </w:r>
      <w:r w:rsidRPr="000349EF">
        <w:t xml:space="preserve">(GMFR) from </w:t>
      </w:r>
      <w:r w:rsidR="00A23298" w:rsidRPr="000349EF">
        <w:t>Baseline</w:t>
      </w:r>
      <w:r w:rsidRPr="000349EF">
        <w:t xml:space="preserve"> at D</w:t>
      </w:r>
      <w:r w:rsidR="00FC063B" w:rsidRPr="000349EF">
        <w:t>ay </w:t>
      </w:r>
      <w:r w:rsidRPr="000349EF">
        <w:t>57 was 209.466 (95% CI: 182.947, 239.829). These results demonstrate strong immune response of 50</w:t>
      </w:r>
      <w:r w:rsidR="00FC063B" w:rsidRPr="000349EF">
        <w:t> </w:t>
      </w:r>
      <w:proofErr w:type="spellStart"/>
      <w:r w:rsidRPr="000349EF">
        <w:t>μg</w:t>
      </w:r>
      <w:proofErr w:type="spellEnd"/>
      <w:r w:rsidRPr="000349EF">
        <w:t xml:space="preserve"> of mRNA-1273 in this cohort of children one month after the second dose. The pre</w:t>
      </w:r>
      <w:r w:rsidR="009B2147" w:rsidRPr="000349EF">
        <w:t>-</w:t>
      </w:r>
      <w:r w:rsidRPr="000349EF">
        <w:t>specified success criteria for the primary immunogenicity objective are met based on the co-primary immunogenicity endpoints of GMR and seroresponse rate. The SARS-Co</w:t>
      </w:r>
      <w:r w:rsidR="00FC063B" w:rsidRPr="000349EF">
        <w:t>V</w:t>
      </w:r>
      <w:r w:rsidRPr="000349EF">
        <w:t>-2</w:t>
      </w:r>
      <w:r w:rsidR="007156F1" w:rsidRPr="000349EF">
        <w:t xml:space="preserve"> </w:t>
      </w:r>
      <w:proofErr w:type="spellStart"/>
      <w:r w:rsidRPr="000349EF">
        <w:t>nAb</w:t>
      </w:r>
      <w:proofErr w:type="spellEnd"/>
      <w:r w:rsidRPr="000349EF">
        <w:t xml:space="preserve"> GMR at Day</w:t>
      </w:r>
      <w:r w:rsidR="00FC063B" w:rsidRPr="000349EF">
        <w:t> </w:t>
      </w:r>
      <w:r w:rsidRPr="000349EF">
        <w:t xml:space="preserve">57 of children </w:t>
      </w:r>
      <w:r w:rsidR="00DA021F" w:rsidRPr="000349EF">
        <w:t xml:space="preserve">of </w:t>
      </w:r>
      <w:r w:rsidRPr="000349EF">
        <w:t>6 to &lt;</w:t>
      </w:r>
      <w:r w:rsidR="00FC063B" w:rsidRPr="000349EF">
        <w:t> </w:t>
      </w:r>
      <w:r w:rsidRPr="000349EF">
        <w:t>12</w:t>
      </w:r>
      <w:r w:rsidR="006622FF" w:rsidRPr="000349EF">
        <w:t> </w:t>
      </w:r>
      <w:r w:rsidR="003E53F0" w:rsidRPr="000349EF">
        <w:t>years of age</w:t>
      </w:r>
      <w:r w:rsidRPr="000349EF">
        <w:t xml:space="preserve"> (Study</w:t>
      </w:r>
      <w:r w:rsidR="00FC063B" w:rsidRPr="000349EF">
        <w:t> </w:t>
      </w:r>
      <w:r w:rsidRPr="000349EF">
        <w:t>P204) compared with young adults (Study</w:t>
      </w:r>
      <w:r w:rsidR="00FC063B" w:rsidRPr="000349EF">
        <w:t> </w:t>
      </w:r>
      <w:r w:rsidRPr="000349EF">
        <w:t>P301) was 1.510 (95% CI: 1.263, 1.804), meeting the noninferiority success criterion (</w:t>
      </w:r>
      <w:r w:rsidR="00FC063B" w:rsidRPr="000349EF">
        <w:t>that is</w:t>
      </w:r>
      <w:r w:rsidRPr="000349EF">
        <w:t>, lower bound of the 95% CI for GMR ≥</w:t>
      </w:r>
      <w:r w:rsidR="00FC063B" w:rsidRPr="000349EF">
        <w:t> </w:t>
      </w:r>
      <w:r w:rsidRPr="000349EF">
        <w:t>0.67). The criterion on the point estimator of GMR &gt;</w:t>
      </w:r>
      <w:r w:rsidR="00FC063B" w:rsidRPr="000349EF">
        <w:t> </w:t>
      </w:r>
      <w:r w:rsidRPr="000349EF">
        <w:t>0.8 was also met. The difference in seroresponse rates between children and young adults at Day</w:t>
      </w:r>
      <w:r w:rsidR="00FC063B" w:rsidRPr="000349EF">
        <w:t> </w:t>
      </w:r>
      <w:r w:rsidRPr="000349EF">
        <w:t xml:space="preserve">57 was 0.6% (95% CI: </w:t>
      </w:r>
      <w:r w:rsidR="00FC063B" w:rsidRPr="000349EF">
        <w:noBreakHyphen/>
      </w:r>
      <w:r w:rsidRPr="000349EF">
        <w:t xml:space="preserve">2.8%, 2.8%), meeting the noninferiority success criterion (lower bound of the 95% CI of the seroresponse rate difference is &gt; </w:t>
      </w:r>
      <w:r w:rsidR="00FC063B" w:rsidRPr="000349EF">
        <w:noBreakHyphen/>
      </w:r>
      <w:r w:rsidRPr="000349EF">
        <w:t xml:space="preserve">10%). The </w:t>
      </w:r>
      <w:r w:rsidR="00FC063B" w:rsidRPr="000349EF">
        <w:t>immuno</w:t>
      </w:r>
      <w:r w:rsidRPr="000349EF">
        <w:t>bridging in children 6 years to &lt;</w:t>
      </w:r>
      <w:r w:rsidR="00FC063B" w:rsidRPr="000349EF">
        <w:t> </w:t>
      </w:r>
      <w:r w:rsidRPr="000349EF">
        <w:t>12 years old in Study</w:t>
      </w:r>
      <w:r w:rsidR="00FC063B" w:rsidRPr="000349EF">
        <w:t> </w:t>
      </w:r>
      <w:r w:rsidRPr="000349EF">
        <w:t>P204 is demonstrated as compared with young adults in Study</w:t>
      </w:r>
      <w:r w:rsidR="00FC063B" w:rsidRPr="000349EF">
        <w:t> </w:t>
      </w:r>
      <w:r w:rsidRPr="000349EF">
        <w:t>P301.</w:t>
      </w:r>
    </w:p>
    <w:p w14:paraId="471BF680" w14:textId="674D336D" w:rsidR="00172ACC" w:rsidRPr="000349EF" w:rsidRDefault="00172ACC" w:rsidP="00172ACC">
      <w:r w:rsidRPr="000349EF">
        <w:t>A large difference in the Day</w:t>
      </w:r>
      <w:r w:rsidR="00FC063B" w:rsidRPr="000349EF">
        <w:t> </w:t>
      </w:r>
      <w:r w:rsidRPr="000349EF">
        <w:t xml:space="preserve">57 </w:t>
      </w:r>
      <w:proofErr w:type="spellStart"/>
      <w:r w:rsidRPr="000349EF">
        <w:t>nAb</w:t>
      </w:r>
      <w:proofErr w:type="spellEnd"/>
      <w:r w:rsidRPr="000349EF">
        <w:t xml:space="preserve"> GMT values is noted between the dose selection subset (n</w:t>
      </w:r>
      <w:r w:rsidR="00BF3AFA" w:rsidRPr="000349EF">
        <w:t xml:space="preserve"> </w:t>
      </w:r>
      <w:r w:rsidRPr="000349EF">
        <w:t>=</w:t>
      </w:r>
      <w:r w:rsidR="00BF3AFA" w:rsidRPr="000349EF">
        <w:t xml:space="preserve"> </w:t>
      </w:r>
      <w:r w:rsidRPr="000349EF">
        <w:t xml:space="preserve">67) and the PP </w:t>
      </w:r>
      <w:r w:rsidR="00CB62AE" w:rsidRPr="000349EF">
        <w:t>immunogenicity subset</w:t>
      </w:r>
      <w:r w:rsidRPr="000349EF">
        <w:t xml:space="preserve"> (n</w:t>
      </w:r>
      <w:r w:rsidR="00BF3AFA" w:rsidRPr="000349EF">
        <w:t xml:space="preserve"> </w:t>
      </w:r>
      <w:r w:rsidRPr="000349EF">
        <w:t>=</w:t>
      </w:r>
      <w:r w:rsidR="00BF3AFA" w:rsidRPr="000349EF">
        <w:t xml:space="preserve"> </w:t>
      </w:r>
      <w:r w:rsidRPr="000349EF">
        <w:t xml:space="preserve">134). The sponsor is requested by </w:t>
      </w:r>
      <w:r w:rsidR="00FC063B" w:rsidRPr="000349EF">
        <w:t xml:space="preserve">the </w:t>
      </w:r>
      <w:r w:rsidRPr="000349EF">
        <w:t xml:space="preserve">TGA to explain the reason for this difference. </w:t>
      </w:r>
      <w:r w:rsidR="00FC063B" w:rsidRPr="000349EF">
        <w:t>The s</w:t>
      </w:r>
      <w:r w:rsidRPr="000349EF">
        <w:t xml:space="preserve">ponsor stated that the variability in </w:t>
      </w:r>
      <w:proofErr w:type="spellStart"/>
      <w:r w:rsidRPr="000349EF">
        <w:t>nAb</w:t>
      </w:r>
      <w:proofErr w:type="spellEnd"/>
      <w:r w:rsidRPr="000349EF">
        <w:t xml:space="preserve"> </w:t>
      </w:r>
      <w:r w:rsidR="00B52F4B" w:rsidRPr="000349EF">
        <w:t>titres</w:t>
      </w:r>
      <w:r w:rsidRPr="000349EF">
        <w:t xml:space="preserve"> (</w:t>
      </w:r>
      <w:proofErr w:type="spellStart"/>
      <w:r w:rsidRPr="000349EF">
        <w:t>PsVNA</w:t>
      </w:r>
      <w:proofErr w:type="spellEnd"/>
      <w:r w:rsidRPr="000349EF">
        <w:t xml:space="preserve"> </w:t>
      </w:r>
      <w:r w:rsidR="00CB62AE" w:rsidRPr="000349EF">
        <w:t>ID</w:t>
      </w:r>
      <w:r w:rsidR="00CB62AE" w:rsidRPr="000349EF">
        <w:rPr>
          <w:vertAlign w:val="subscript"/>
        </w:rPr>
        <w:t>50</w:t>
      </w:r>
      <w:r w:rsidRPr="000349EF">
        <w:t>) evident in the two study subsets is not uncommon for functional assays (</w:t>
      </w:r>
      <w:r w:rsidR="00FC063B" w:rsidRPr="000349EF">
        <w:t>for example,</w:t>
      </w:r>
      <w:r w:rsidRPr="000349EF">
        <w:t xml:space="preserve"> virus neutrali</w:t>
      </w:r>
      <w:r w:rsidR="00A23298" w:rsidRPr="000349EF">
        <w:t>s</w:t>
      </w:r>
      <w:r w:rsidRPr="000349EF">
        <w:t xml:space="preserve">ing assays) which are subject to the variability inherent in biological assays which rely on elements including </w:t>
      </w:r>
      <w:r w:rsidRPr="000349EF">
        <w:rPr>
          <w:i/>
          <w:iCs/>
        </w:rPr>
        <w:t>in vitro</w:t>
      </w:r>
      <w:r w:rsidRPr="000349EF">
        <w:t xml:space="preserve"> growth of cells and virus inoculum. While variability (within assay validation parameters) was observed for </w:t>
      </w:r>
      <w:proofErr w:type="spellStart"/>
      <w:r w:rsidRPr="000349EF">
        <w:t>nAb</w:t>
      </w:r>
      <w:proofErr w:type="spellEnd"/>
      <w:r w:rsidRPr="000349EF">
        <w:t xml:space="preserve"> GMT, results of the MSD assay show highly consistent </w:t>
      </w:r>
      <w:proofErr w:type="spellStart"/>
      <w:r w:rsidRPr="000349EF">
        <w:t>bAb</w:t>
      </w:r>
      <w:proofErr w:type="spellEnd"/>
      <w:r w:rsidRPr="000349EF">
        <w:t xml:space="preserve"> results between the dose selection </w:t>
      </w:r>
      <w:proofErr w:type="gramStart"/>
      <w:r w:rsidRPr="000349EF">
        <w:t>subset</w:t>
      </w:r>
      <w:proofErr w:type="gramEnd"/>
      <w:r w:rsidRPr="000349EF">
        <w:t xml:space="preserve">. Although fluctuation in </w:t>
      </w:r>
      <w:proofErr w:type="spellStart"/>
      <w:r w:rsidRPr="000349EF">
        <w:t>nAb</w:t>
      </w:r>
      <w:proofErr w:type="spellEnd"/>
      <w:r w:rsidRPr="000349EF">
        <w:t xml:space="preserve"> results were observed, immunobridging of children 6 to &lt;</w:t>
      </w:r>
      <w:r w:rsidR="00DD7DB2" w:rsidRPr="000349EF">
        <w:t> </w:t>
      </w:r>
      <w:r w:rsidRPr="000349EF">
        <w:t>12 years</w:t>
      </w:r>
      <w:r w:rsidR="006622FF" w:rsidRPr="000349EF">
        <w:t>,</w:t>
      </w:r>
      <w:r w:rsidRPr="000349EF">
        <w:t xml:space="preserve"> to young adults in </w:t>
      </w:r>
      <w:r w:rsidR="00FC063B" w:rsidRPr="000349EF">
        <w:t>Study </w:t>
      </w:r>
      <w:r w:rsidRPr="000349EF">
        <w:t>P301</w:t>
      </w:r>
      <w:r w:rsidR="006622FF" w:rsidRPr="000349EF">
        <w:t>,</w:t>
      </w:r>
      <w:r w:rsidRPr="000349EF">
        <w:t xml:space="preserve"> was achieved with the primary immunogenicity analysis and the </w:t>
      </w:r>
      <w:proofErr w:type="spellStart"/>
      <w:r w:rsidRPr="000349EF">
        <w:t>nAb</w:t>
      </w:r>
      <w:proofErr w:type="spellEnd"/>
      <w:r w:rsidRPr="000349EF">
        <w:t xml:space="preserve"> assay performed within expected parameters. In addition, </w:t>
      </w:r>
      <w:r w:rsidR="00FC063B" w:rsidRPr="000349EF">
        <w:t xml:space="preserve">the </w:t>
      </w:r>
      <w:r w:rsidR="008028EF" w:rsidRPr="000349EF">
        <w:t>sponsor</w:t>
      </w:r>
      <w:r w:rsidRPr="000349EF">
        <w:t xml:space="preserve"> provided Part</w:t>
      </w:r>
      <w:r w:rsidR="00FC063B" w:rsidRPr="000349EF">
        <w:t> </w:t>
      </w:r>
      <w:r w:rsidRPr="000349EF">
        <w:t xml:space="preserve">2 immunogenicity data collected and processed as </w:t>
      </w:r>
      <w:r w:rsidR="00CB62AE" w:rsidRPr="000349EF">
        <w:t>PP</w:t>
      </w:r>
      <w:r w:rsidRPr="000349EF">
        <w:t xml:space="preserve">. The Part 2 PP </w:t>
      </w:r>
      <w:r w:rsidR="00CB62AE" w:rsidRPr="000349EF">
        <w:t>immunogenicity subset</w:t>
      </w:r>
      <w:r w:rsidRPr="000349EF">
        <w:t xml:space="preserve"> Day</w:t>
      </w:r>
      <w:r w:rsidR="00FC063B" w:rsidRPr="000349EF">
        <w:t> </w:t>
      </w:r>
      <w:r w:rsidRPr="000349EF">
        <w:t xml:space="preserve">57 GMT was 1604.6 (95% CI 1449.5, 1775.9) </w:t>
      </w:r>
      <w:r w:rsidRPr="000349EF">
        <w:lastRenderedPageBreak/>
        <w:t xml:space="preserve">with 99.0% of children achieving seroresponse. The GMFR from </w:t>
      </w:r>
      <w:r w:rsidR="00A23298" w:rsidRPr="000349EF">
        <w:t>Baseline</w:t>
      </w:r>
      <w:r w:rsidRPr="000349EF">
        <w:t xml:space="preserve"> at D</w:t>
      </w:r>
      <w:r w:rsidR="00FC063B" w:rsidRPr="000349EF">
        <w:t>ay </w:t>
      </w:r>
      <w:r w:rsidRPr="000349EF">
        <w:t xml:space="preserve">57 was 173.4 (95% CI: 156.5, 192.1). The GMR of </w:t>
      </w:r>
      <w:proofErr w:type="spellStart"/>
      <w:r w:rsidRPr="000349EF">
        <w:t>PsVNA</w:t>
      </w:r>
      <w:proofErr w:type="spellEnd"/>
      <w:r w:rsidRPr="000349EF">
        <w:t xml:space="preserve"> </w:t>
      </w:r>
      <w:r w:rsidR="00CB62AE" w:rsidRPr="000349EF">
        <w:t>ID</w:t>
      </w:r>
      <w:r w:rsidR="00CB62AE" w:rsidRPr="000349EF">
        <w:rPr>
          <w:vertAlign w:val="subscript"/>
        </w:rPr>
        <w:t>50</w:t>
      </w:r>
      <w:r w:rsidRPr="000349EF">
        <w:t xml:space="preserve"> </w:t>
      </w:r>
      <w:r w:rsidR="00B52F4B" w:rsidRPr="000349EF">
        <w:t>titres</w:t>
      </w:r>
      <w:r w:rsidRPr="000349EF">
        <w:t xml:space="preserve"> at Day 57 of children </w:t>
      </w:r>
      <w:r w:rsidR="00DA021F" w:rsidRPr="000349EF">
        <w:t xml:space="preserve">of </w:t>
      </w:r>
      <w:r w:rsidRPr="000349EF">
        <w:t>6 years to &lt;</w:t>
      </w:r>
      <w:r w:rsidR="00DD7DB2" w:rsidRPr="000349EF">
        <w:t> </w:t>
      </w:r>
      <w:r w:rsidRPr="000349EF">
        <w:t>12 years of age (Study</w:t>
      </w:r>
      <w:r w:rsidR="00FC063B" w:rsidRPr="000349EF">
        <w:t> </w:t>
      </w:r>
      <w:r w:rsidRPr="000349EF">
        <w:t>P204) compared with young adults (Study</w:t>
      </w:r>
      <w:r w:rsidR="00FC063B" w:rsidRPr="000349EF">
        <w:t> </w:t>
      </w:r>
      <w:r w:rsidRPr="000349EF">
        <w:t>P301) was 1.234 (95% CI: 1.067, 1.428). The GMT measured from Part 2 (1604.6) falls between that observed for the dose</w:t>
      </w:r>
      <w:r w:rsidR="00FC063B" w:rsidRPr="000349EF">
        <w:t xml:space="preserve"> </w:t>
      </w:r>
      <w:r w:rsidRPr="000349EF">
        <w:t>selection subset (1204.7</w:t>
      </w:r>
      <w:r w:rsidR="00FC063B" w:rsidRPr="000349EF">
        <w:t>,</w:t>
      </w:r>
      <w:r w:rsidRPr="000349EF">
        <w:t xml:space="preserve"> 95% CI: 986.7, 1470.8) and for the Part</w:t>
      </w:r>
      <w:r w:rsidR="00FC063B" w:rsidRPr="000349EF">
        <w:t> </w:t>
      </w:r>
      <w:r w:rsidRPr="000349EF">
        <w:t xml:space="preserve">1 PP </w:t>
      </w:r>
      <w:r w:rsidR="00CB62AE" w:rsidRPr="000349EF">
        <w:t>immunogenicity subset</w:t>
      </w:r>
      <w:r w:rsidRPr="000349EF">
        <w:t xml:space="preserve"> (1964.6, 95% CI: 1694.6, 2277.7). Results of the MSD assay show highly consistent </w:t>
      </w:r>
      <w:proofErr w:type="spellStart"/>
      <w:r w:rsidRPr="000349EF">
        <w:t>bAb</w:t>
      </w:r>
      <w:proofErr w:type="spellEnd"/>
      <w:r w:rsidRPr="000349EF">
        <w:t xml:space="preserve"> results for each of the study subsets, including the Part</w:t>
      </w:r>
      <w:r w:rsidR="00FC063B" w:rsidRPr="000349EF">
        <w:t> </w:t>
      </w:r>
      <w:r w:rsidRPr="000349EF">
        <w:t xml:space="preserve">2 PP immunogenicity subset. </w:t>
      </w:r>
      <w:proofErr w:type="spellStart"/>
      <w:r w:rsidRPr="000349EF">
        <w:t>bAb</w:t>
      </w:r>
      <w:proofErr w:type="spellEnd"/>
      <w:r w:rsidRPr="000349EF">
        <w:t xml:space="preserve"> results for </w:t>
      </w:r>
      <w:r w:rsidR="00614801" w:rsidRPr="000349EF">
        <w:t>Study</w:t>
      </w:r>
      <w:r w:rsidR="00FC063B" w:rsidRPr="000349EF">
        <w:t> </w:t>
      </w:r>
      <w:r w:rsidRPr="000349EF">
        <w:t xml:space="preserve">P204 Part 2 PP </w:t>
      </w:r>
      <w:r w:rsidR="00CB62AE" w:rsidRPr="000349EF">
        <w:t>immunogenicity subset</w:t>
      </w:r>
      <w:r w:rsidRPr="000349EF">
        <w:t xml:space="preserve"> (295,106 </w:t>
      </w:r>
      <w:r w:rsidR="00A23298" w:rsidRPr="000349EF">
        <w:t>(</w:t>
      </w:r>
      <w:r w:rsidRPr="000349EF">
        <w:t>95% CI 265,273, 328,295</w:t>
      </w:r>
      <w:r w:rsidR="00A23298" w:rsidRPr="000349EF">
        <w:t>)</w:t>
      </w:r>
      <w:r w:rsidRPr="000349EF">
        <w:t>) agree with those observed for</w:t>
      </w:r>
      <w:r w:rsidR="00CB62AE" w:rsidRPr="000349EF">
        <w:t xml:space="preserve"> </w:t>
      </w:r>
      <w:r w:rsidRPr="000349EF">
        <w:t>the dose</w:t>
      </w:r>
      <w:r w:rsidR="00FC063B" w:rsidRPr="000349EF">
        <w:t xml:space="preserve"> </w:t>
      </w:r>
      <w:r w:rsidRPr="000349EF">
        <w:t>selection subset (333,103, 95% CI: 273,638, 405,492) and for the Part</w:t>
      </w:r>
      <w:r w:rsidR="00FC063B" w:rsidRPr="000349EF">
        <w:t> </w:t>
      </w:r>
      <w:r w:rsidRPr="000349EF">
        <w:t>1 PP</w:t>
      </w:r>
      <w:r w:rsidR="00CB62AE" w:rsidRPr="000349EF">
        <w:t xml:space="preserve"> immunogenicity subset</w:t>
      </w:r>
      <w:r w:rsidRPr="000349EF">
        <w:t xml:space="preserve"> (322,158, 95% CI: 279,605, 371,187).</w:t>
      </w:r>
    </w:p>
    <w:p w14:paraId="3C1FB687" w14:textId="35F6B5FB" w:rsidR="00172ACC" w:rsidRPr="000349EF" w:rsidRDefault="00172ACC" w:rsidP="00172ACC">
      <w:r w:rsidRPr="000349EF">
        <w:t xml:space="preserve">The </w:t>
      </w:r>
      <w:r w:rsidR="008028EF" w:rsidRPr="000349EF">
        <w:t>Delegate</w:t>
      </w:r>
      <w:r w:rsidRPr="000349EF">
        <w:t xml:space="preserve"> accepts that while fluctuations in </w:t>
      </w:r>
      <w:proofErr w:type="spellStart"/>
      <w:r w:rsidRPr="000349EF">
        <w:t>nAb</w:t>
      </w:r>
      <w:proofErr w:type="spellEnd"/>
      <w:r w:rsidRPr="000349EF">
        <w:t xml:space="preserve"> results were observed, immunobridging of children </w:t>
      </w:r>
      <w:r w:rsidR="00DA021F" w:rsidRPr="000349EF">
        <w:t xml:space="preserve">aged </w:t>
      </w:r>
      <w:r w:rsidRPr="000349EF">
        <w:t>6 to &lt;</w:t>
      </w:r>
      <w:r w:rsidR="00DD7DB2" w:rsidRPr="000349EF">
        <w:t> </w:t>
      </w:r>
      <w:r w:rsidRPr="000349EF">
        <w:t xml:space="preserve">12 years to young adults in </w:t>
      </w:r>
      <w:r w:rsidR="0044794A" w:rsidRPr="000349EF">
        <w:t>Study </w:t>
      </w:r>
      <w:r w:rsidRPr="000349EF">
        <w:t>P301 was achieved with the primary PP immunogenicity analysis from Part</w:t>
      </w:r>
      <w:r w:rsidR="0044794A" w:rsidRPr="000349EF">
        <w:t> </w:t>
      </w:r>
      <w:r w:rsidRPr="000349EF">
        <w:t>1 and are supported by the analysis in the Part</w:t>
      </w:r>
      <w:r w:rsidR="0044794A" w:rsidRPr="000349EF">
        <w:t> </w:t>
      </w:r>
      <w:r w:rsidRPr="000349EF">
        <w:t xml:space="preserve">2 PP immunogenicity subset. Ideally, the </w:t>
      </w:r>
      <w:r w:rsidR="0053470B" w:rsidRPr="000349EF">
        <w:t>non-inferiority</w:t>
      </w:r>
      <w:r w:rsidRPr="000349EF">
        <w:t xml:space="preserve"> comparison should have been done in one study instead of cross study comparison.</w:t>
      </w:r>
    </w:p>
    <w:p w14:paraId="3F5BC5D9" w14:textId="541412EB" w:rsidR="00172ACC" w:rsidRPr="000349EF" w:rsidRDefault="00172ACC" w:rsidP="00172ACC">
      <w:r w:rsidRPr="000349EF">
        <w:t xml:space="preserve">The </w:t>
      </w:r>
      <w:r w:rsidR="008028EF" w:rsidRPr="000349EF">
        <w:t>Delegate</w:t>
      </w:r>
      <w:r w:rsidRPr="000349EF">
        <w:t xml:space="preserve"> acknowledges the above rationale for the dose selection decision made by </w:t>
      </w:r>
      <w:r w:rsidR="0044794A" w:rsidRPr="000349EF">
        <w:t>the sponsor</w:t>
      </w:r>
      <w:r w:rsidRPr="000349EF">
        <w:t xml:space="preserve">, but in view of the relative higher reactogenicity of the </w:t>
      </w:r>
      <w:r w:rsidR="0044794A" w:rsidRPr="000349EF">
        <w:t xml:space="preserve">sponsor’s </w:t>
      </w:r>
      <w:r w:rsidRPr="000349EF">
        <w:t xml:space="preserve">mRNA-1273 vaccine versus </w:t>
      </w:r>
      <w:r w:rsidR="006622FF" w:rsidRPr="000349EF">
        <w:t xml:space="preserve">the </w:t>
      </w:r>
      <w:r w:rsidRPr="000349EF">
        <w:t>Comirnaty</w:t>
      </w:r>
      <w:r w:rsidR="0044794A" w:rsidRPr="000349EF">
        <w:t xml:space="preserve"> </w:t>
      </w:r>
      <w:r w:rsidR="006622FF" w:rsidRPr="000349EF">
        <w:t xml:space="preserve">vaccine </w:t>
      </w:r>
      <w:r w:rsidR="0044794A" w:rsidRPr="000349EF">
        <w:t>(Pfizer/BioNTech)</w:t>
      </w:r>
      <w:r w:rsidRPr="000349EF">
        <w:t>, it would have been very informative and useful if the assessment of lower dose in this age group had been conducted. It is not known if a lower dose (such as 25</w:t>
      </w:r>
      <w:r w:rsidR="0044794A" w:rsidRPr="000349EF">
        <w:t> µ</w:t>
      </w:r>
      <w:r w:rsidRPr="000349EF">
        <w:t xml:space="preserve">g) in children could have also shown non-inferiority of the immune response. The </w:t>
      </w:r>
      <w:r w:rsidR="0044794A" w:rsidRPr="000349EF">
        <w:t>Advisory Committee on Vaccines (</w:t>
      </w:r>
      <w:r w:rsidRPr="000349EF">
        <w:t>ACV</w:t>
      </w:r>
      <w:r w:rsidR="0044794A" w:rsidRPr="000349EF">
        <w:t>)</w:t>
      </w:r>
      <w:r w:rsidR="0044794A" w:rsidRPr="000349EF">
        <w:rPr>
          <w:vertAlign w:val="superscript"/>
        </w:rPr>
        <w:fldChar w:fldCharType="begin"/>
      </w:r>
      <w:r w:rsidR="0044794A" w:rsidRPr="000349EF">
        <w:rPr>
          <w:vertAlign w:val="superscript"/>
        </w:rPr>
        <w:instrText xml:space="preserve"> NOTEREF _Ref91005193 \h  \* MERGEFORMAT </w:instrText>
      </w:r>
      <w:r w:rsidR="0044794A" w:rsidRPr="000349EF">
        <w:rPr>
          <w:vertAlign w:val="superscript"/>
        </w:rPr>
      </w:r>
      <w:r w:rsidR="0044794A" w:rsidRPr="000349EF">
        <w:rPr>
          <w:vertAlign w:val="superscript"/>
        </w:rPr>
        <w:fldChar w:fldCharType="separate"/>
      </w:r>
      <w:r w:rsidR="00235E4B">
        <w:rPr>
          <w:vertAlign w:val="superscript"/>
        </w:rPr>
        <w:t>35</w:t>
      </w:r>
      <w:r w:rsidR="0044794A" w:rsidRPr="000349EF">
        <w:rPr>
          <w:vertAlign w:val="superscript"/>
        </w:rPr>
        <w:fldChar w:fldCharType="end"/>
      </w:r>
      <w:r w:rsidRPr="000349EF">
        <w:t xml:space="preserve"> advice is sought on this issue.</w:t>
      </w:r>
    </w:p>
    <w:p w14:paraId="30AA0FF1" w14:textId="4F134C97" w:rsidR="00172ACC" w:rsidRPr="000349EF" w:rsidRDefault="00172ACC" w:rsidP="006B4B52">
      <w:pPr>
        <w:pStyle w:val="Heading5"/>
      </w:pPr>
      <w:r w:rsidRPr="000349EF">
        <w:t>Immunogenicity subgroup analysis</w:t>
      </w:r>
    </w:p>
    <w:p w14:paraId="073268F8" w14:textId="1A9E0309" w:rsidR="00172ACC" w:rsidRPr="000349EF" w:rsidRDefault="00172ACC" w:rsidP="00172ACC">
      <w:r w:rsidRPr="000349EF">
        <w:t xml:space="preserve">The sponsor later provided </w:t>
      </w:r>
      <w:r w:rsidR="00DA021F" w:rsidRPr="000349EF">
        <w:t xml:space="preserve">a </w:t>
      </w:r>
      <w:r w:rsidRPr="000349EF">
        <w:t xml:space="preserve">subset comparison of </w:t>
      </w:r>
      <w:proofErr w:type="spellStart"/>
      <w:r w:rsidRPr="000349EF">
        <w:t>nAb</w:t>
      </w:r>
      <w:proofErr w:type="spellEnd"/>
      <w:r w:rsidRPr="000349EF">
        <w:t xml:space="preserve"> responses (</w:t>
      </w:r>
      <w:proofErr w:type="spellStart"/>
      <w:r w:rsidRPr="000349EF">
        <w:t>PsVNA</w:t>
      </w:r>
      <w:proofErr w:type="spellEnd"/>
      <w:r w:rsidRPr="000349EF">
        <w:t xml:space="preserve"> </w:t>
      </w:r>
      <w:r w:rsidR="00CB62AE" w:rsidRPr="000349EF">
        <w:t>ID</w:t>
      </w:r>
      <w:r w:rsidR="00CB62AE" w:rsidRPr="000349EF">
        <w:rPr>
          <w:vertAlign w:val="subscript"/>
        </w:rPr>
        <w:t>50</w:t>
      </w:r>
      <w:r w:rsidRPr="000349EF">
        <w:t xml:space="preserve">) for children </w:t>
      </w:r>
      <w:r w:rsidR="00DA021F" w:rsidRPr="000349EF">
        <w:t xml:space="preserve">with and without obesity </w:t>
      </w:r>
      <w:r w:rsidRPr="000349EF">
        <w:t xml:space="preserve">following </w:t>
      </w:r>
      <w:r w:rsidR="006622FF" w:rsidRPr="000349EF">
        <w:t xml:space="preserve">a </w:t>
      </w:r>
      <w:r w:rsidRPr="000349EF">
        <w:t xml:space="preserve">TGA request (to provide immunogenicity analysis in children with or without underlying medical conditions). The representation of obesity in the study population was sufficient to allow subset comparison of </w:t>
      </w:r>
      <w:proofErr w:type="spellStart"/>
      <w:r w:rsidRPr="000349EF">
        <w:t>nAb</w:t>
      </w:r>
      <w:proofErr w:type="spellEnd"/>
      <w:r w:rsidRPr="000349EF">
        <w:t xml:space="preserve"> responses (</w:t>
      </w:r>
      <w:proofErr w:type="spellStart"/>
      <w:r w:rsidRPr="000349EF">
        <w:t>PsVNA</w:t>
      </w:r>
      <w:proofErr w:type="spellEnd"/>
      <w:r w:rsidRPr="000349EF">
        <w:t xml:space="preserve"> </w:t>
      </w:r>
      <w:r w:rsidR="00CB62AE" w:rsidRPr="000349EF">
        <w:t>ID</w:t>
      </w:r>
      <w:r w:rsidR="00CB62AE" w:rsidRPr="000349EF">
        <w:rPr>
          <w:vertAlign w:val="subscript"/>
        </w:rPr>
        <w:t>50</w:t>
      </w:r>
      <w:r w:rsidRPr="000349EF">
        <w:t xml:space="preserve">) within the PP immunogenicity subset. Each group (obese and non-obese) achieved higher </w:t>
      </w:r>
      <w:r w:rsidR="00B52F4B" w:rsidRPr="000349EF">
        <w:t>titres</w:t>
      </w:r>
      <w:r w:rsidRPr="000349EF">
        <w:t xml:space="preserve"> of </w:t>
      </w:r>
      <w:proofErr w:type="spellStart"/>
      <w:r w:rsidRPr="000349EF">
        <w:t>nAb</w:t>
      </w:r>
      <w:proofErr w:type="spellEnd"/>
      <w:r w:rsidRPr="000349EF">
        <w:t xml:space="preserve"> (GMT) than did young adults in </w:t>
      </w:r>
      <w:r w:rsidR="0044794A" w:rsidRPr="000349EF">
        <w:t>S</w:t>
      </w:r>
      <w:r w:rsidRPr="000349EF">
        <w:t>tudy</w:t>
      </w:r>
      <w:r w:rsidR="0044794A" w:rsidRPr="000349EF">
        <w:t> </w:t>
      </w:r>
      <w:r w:rsidRPr="000349EF">
        <w:t xml:space="preserve">P301, with </w:t>
      </w:r>
      <w:r w:rsidR="006622FF" w:rsidRPr="000349EF">
        <w:t xml:space="preserve">a </w:t>
      </w:r>
      <w:r w:rsidRPr="000349EF">
        <w:t xml:space="preserve">GMR of 1.788 for children </w:t>
      </w:r>
      <w:r w:rsidR="00DA021F" w:rsidRPr="000349EF">
        <w:t xml:space="preserve">with obesity </w:t>
      </w:r>
      <w:r w:rsidRPr="000349EF">
        <w:t>and 1.441 for children</w:t>
      </w:r>
      <w:r w:rsidR="00DA021F" w:rsidRPr="000349EF">
        <w:t xml:space="preserve"> without obesity</w:t>
      </w:r>
      <w:r w:rsidRPr="000349EF">
        <w:t xml:space="preserve">. Children with obesity had slightly higher </w:t>
      </w:r>
      <w:proofErr w:type="spellStart"/>
      <w:r w:rsidRPr="000349EF">
        <w:t>nAb</w:t>
      </w:r>
      <w:proofErr w:type="spellEnd"/>
      <w:r w:rsidRPr="000349EF">
        <w:t xml:space="preserve"> GMT (2327.137) compared to those of children</w:t>
      </w:r>
      <w:r w:rsidR="00DA021F" w:rsidRPr="000349EF">
        <w:t xml:space="preserve"> without obesity</w:t>
      </w:r>
      <w:r w:rsidRPr="000349EF">
        <w:t xml:space="preserve"> (1874.827).</w:t>
      </w:r>
    </w:p>
    <w:p w14:paraId="5A580D77" w14:textId="010D068A" w:rsidR="00172ACC" w:rsidRPr="000349EF" w:rsidRDefault="00172ACC" w:rsidP="006B4B52">
      <w:pPr>
        <w:pStyle w:val="Heading4"/>
      </w:pPr>
      <w:bookmarkStart w:id="60" w:name="_Toc87980877"/>
      <w:r w:rsidRPr="000349EF">
        <w:t>Efficacy (</w:t>
      </w:r>
      <w:r w:rsidR="006B4B52" w:rsidRPr="000349EF">
        <w:t xml:space="preserve">Study P204 </w:t>
      </w:r>
      <w:r w:rsidRPr="000349EF">
        <w:t xml:space="preserve">Part 1 and </w:t>
      </w:r>
      <w:r w:rsidR="006B4B52" w:rsidRPr="000349EF">
        <w:t xml:space="preserve">Part </w:t>
      </w:r>
      <w:r w:rsidRPr="000349EF">
        <w:t>2)</w:t>
      </w:r>
      <w:bookmarkEnd w:id="60"/>
    </w:p>
    <w:p w14:paraId="7F097BB2" w14:textId="77777777" w:rsidR="00172ACC" w:rsidRPr="000349EF" w:rsidRDefault="00172ACC" w:rsidP="00172ACC">
      <w:r w:rsidRPr="000349EF">
        <w:t>Secondary objectives of Study P204 include evaluation of the incidence of SARS-CoV-2 infection, the incidence of asymptomatic SARS-CoV-2 infection, and the incidence of COVID-19 after vaccination with mRNA-1273 or placebo.</w:t>
      </w:r>
    </w:p>
    <w:p w14:paraId="29DB6A54" w14:textId="326E2A2D" w:rsidR="00172ACC" w:rsidRPr="000349EF" w:rsidRDefault="00172ACC" w:rsidP="00172ACC">
      <w:r w:rsidRPr="000349EF">
        <w:t>The COVID-19 case definition for efficacy endpoints requires the following:</w:t>
      </w:r>
    </w:p>
    <w:p w14:paraId="618AEC5C" w14:textId="3AE7313C" w:rsidR="00172ACC" w:rsidRPr="000349EF" w:rsidRDefault="0044794A" w:rsidP="0044794A">
      <w:pPr>
        <w:pStyle w:val="ListBullet"/>
        <w:rPr>
          <w:lang w:eastAsia="ja-JP"/>
        </w:rPr>
      </w:pPr>
      <w:r w:rsidRPr="000349EF">
        <w:rPr>
          <w:lang w:eastAsia="ja-JP"/>
        </w:rPr>
        <w:t>p</w:t>
      </w:r>
      <w:r w:rsidR="00172ACC" w:rsidRPr="000349EF">
        <w:rPr>
          <w:lang w:eastAsia="ja-JP"/>
        </w:rPr>
        <w:t>ositive RT-PCR (central or local laboratory)</w:t>
      </w:r>
      <w:r w:rsidR="006622FF" w:rsidRPr="000349EF">
        <w:rPr>
          <w:lang w:eastAsia="ja-JP"/>
        </w:rPr>
        <w:t>;</w:t>
      </w:r>
      <w:r w:rsidR="00172ACC" w:rsidRPr="000349EF">
        <w:rPr>
          <w:lang w:eastAsia="ja-JP"/>
        </w:rPr>
        <w:t xml:space="preserve"> and</w:t>
      </w:r>
    </w:p>
    <w:p w14:paraId="299A6914" w14:textId="0AC65FCC" w:rsidR="00172ACC" w:rsidRPr="000349EF" w:rsidRDefault="0044794A" w:rsidP="0044794A">
      <w:pPr>
        <w:pStyle w:val="ListBullet"/>
        <w:rPr>
          <w:lang w:eastAsia="ja-JP"/>
        </w:rPr>
      </w:pPr>
      <w:r w:rsidRPr="000349EF">
        <w:rPr>
          <w:lang w:eastAsia="ja-JP"/>
        </w:rPr>
        <w:t>e</w:t>
      </w:r>
      <w:r w:rsidR="00172ACC" w:rsidRPr="000349EF">
        <w:rPr>
          <w:lang w:eastAsia="ja-JP"/>
        </w:rPr>
        <w:t xml:space="preserve">ligible symptoms reported on the </w:t>
      </w:r>
      <w:r w:rsidR="00172ACC" w:rsidRPr="000349EF">
        <w:rPr>
          <w:rFonts w:cs="TimesNewRomanPS-ItalicMT"/>
          <w:lang w:eastAsia="ja-JP"/>
        </w:rPr>
        <w:t>SARS-CoV-2 or COVID-19 Symptom Assessment Page</w:t>
      </w:r>
      <w:r w:rsidR="00172ACC" w:rsidRPr="000349EF">
        <w:rPr>
          <w:lang w:eastAsia="ja-JP"/>
        </w:rPr>
        <w:t xml:space="preserve"> </w:t>
      </w:r>
      <w:r w:rsidRPr="000349EF">
        <w:rPr>
          <w:lang w:eastAsia="ja-JP"/>
        </w:rPr>
        <w:t xml:space="preserve">electronic </w:t>
      </w:r>
      <w:r w:rsidR="00BB71B1" w:rsidRPr="000349EF">
        <w:rPr>
          <w:lang w:eastAsia="ja-JP"/>
        </w:rPr>
        <w:t>case report form</w:t>
      </w:r>
      <w:r w:rsidR="00172ACC" w:rsidRPr="000349EF">
        <w:rPr>
          <w:lang w:eastAsia="ja-JP"/>
        </w:rPr>
        <w:t>.</w:t>
      </w:r>
    </w:p>
    <w:p w14:paraId="4862FF28" w14:textId="4A3E40E3" w:rsidR="00172ACC" w:rsidRPr="000349EF" w:rsidRDefault="00172ACC" w:rsidP="00172ACC">
      <w:r w:rsidRPr="000349EF">
        <w:t>Routine assessment for SARS-CoV-2 infection (regardless of symptoms) was performed by performing RT-PCR testing on pre-planned nasal swab samples collected on Day</w:t>
      </w:r>
      <w:r w:rsidR="00BB71B1" w:rsidRPr="000349EF">
        <w:t> </w:t>
      </w:r>
      <w:r w:rsidRPr="000349EF">
        <w:t>1 and Day</w:t>
      </w:r>
      <w:r w:rsidR="00BB71B1" w:rsidRPr="000349EF">
        <w:t> </w:t>
      </w:r>
      <w:r w:rsidRPr="000349EF">
        <w:t>29 (day of injection) and on Day</w:t>
      </w:r>
      <w:r w:rsidR="00BB71B1" w:rsidRPr="000349EF">
        <w:t> </w:t>
      </w:r>
      <w:r w:rsidRPr="000349EF">
        <w:t>43 (if visit is applicable), Day</w:t>
      </w:r>
      <w:r w:rsidR="00BB71B1" w:rsidRPr="000349EF">
        <w:t> </w:t>
      </w:r>
      <w:r w:rsidRPr="000349EF">
        <w:t>57 (</w:t>
      </w:r>
      <w:r w:rsidR="00BB71B1" w:rsidRPr="000349EF">
        <w:t>one</w:t>
      </w:r>
      <w:r w:rsidRPr="000349EF">
        <w:t xml:space="preserve"> month after </w:t>
      </w:r>
      <w:r w:rsidR="0077374E" w:rsidRPr="000349EF">
        <w:t>Dose</w:t>
      </w:r>
      <w:r w:rsidR="00BB71B1" w:rsidRPr="000349EF">
        <w:t> </w:t>
      </w:r>
      <w:r w:rsidR="0077374E" w:rsidRPr="000349EF">
        <w:t>2</w:t>
      </w:r>
      <w:r w:rsidRPr="000349EF">
        <w:t>), Day</w:t>
      </w:r>
      <w:r w:rsidR="00BB71B1" w:rsidRPr="000349EF">
        <w:t> </w:t>
      </w:r>
      <w:r w:rsidRPr="000349EF">
        <w:t>209 (</w:t>
      </w:r>
      <w:r w:rsidR="00723098">
        <w:t>six</w:t>
      </w:r>
      <w:r w:rsidRPr="000349EF">
        <w:t xml:space="preserve"> months after </w:t>
      </w:r>
      <w:r w:rsidR="0077374E" w:rsidRPr="000349EF">
        <w:t>Dose</w:t>
      </w:r>
      <w:r w:rsidR="00BB71B1" w:rsidRPr="000349EF">
        <w:t> </w:t>
      </w:r>
      <w:r w:rsidR="0077374E" w:rsidRPr="000349EF">
        <w:t>2</w:t>
      </w:r>
      <w:r w:rsidRPr="000349EF">
        <w:t>), and Day</w:t>
      </w:r>
      <w:r w:rsidR="00BB71B1" w:rsidRPr="000349EF">
        <w:t> </w:t>
      </w:r>
      <w:r w:rsidRPr="000349EF">
        <w:t xml:space="preserve">394 (12 months after </w:t>
      </w:r>
      <w:r w:rsidR="0077374E" w:rsidRPr="000349EF">
        <w:t>Dose</w:t>
      </w:r>
      <w:r w:rsidR="00BB71B1" w:rsidRPr="000349EF">
        <w:t> </w:t>
      </w:r>
      <w:r w:rsidR="0077374E" w:rsidRPr="000349EF">
        <w:t>2</w:t>
      </w:r>
      <w:r w:rsidRPr="000349EF">
        <w:t>).</w:t>
      </w:r>
    </w:p>
    <w:p w14:paraId="18E37A79" w14:textId="352DA074" w:rsidR="00172ACC" w:rsidRPr="000349EF" w:rsidRDefault="00172ACC" w:rsidP="00172ACC">
      <w:r w:rsidRPr="000349EF">
        <w:t>Part</w:t>
      </w:r>
      <w:r w:rsidR="00BB71B1" w:rsidRPr="000349EF">
        <w:t> </w:t>
      </w:r>
      <w:r w:rsidRPr="000349EF">
        <w:t xml:space="preserve">2 of the study randomised around 4000 participants (6 to &lt; 12 </w:t>
      </w:r>
      <w:r w:rsidR="003E53F0" w:rsidRPr="000349EF">
        <w:t>years of age</w:t>
      </w:r>
      <w:r w:rsidRPr="000349EF">
        <w:t xml:space="preserve">), 3005 in the vaccine group and 997 in the placebo group. </w:t>
      </w:r>
      <w:r w:rsidR="00BB71B1" w:rsidRPr="000349EF">
        <w:fldChar w:fldCharType="begin"/>
      </w:r>
      <w:r w:rsidR="00BB71B1" w:rsidRPr="000349EF">
        <w:instrText xml:space="preserve"> REF _Ref91005707 \h </w:instrText>
      </w:r>
      <w:r w:rsidR="008C1E85" w:rsidRPr="000349EF">
        <w:instrText xml:space="preserve"> \* MERGEFORMAT </w:instrText>
      </w:r>
      <w:r w:rsidR="00BB71B1" w:rsidRPr="000349EF">
        <w:fldChar w:fldCharType="separate"/>
      </w:r>
      <w:r w:rsidR="00235E4B" w:rsidRPr="000349EF">
        <w:t xml:space="preserve">Table </w:t>
      </w:r>
      <w:r w:rsidR="00235E4B">
        <w:rPr>
          <w:noProof/>
        </w:rPr>
        <w:t>9</w:t>
      </w:r>
      <w:r w:rsidR="00BB71B1" w:rsidRPr="000349EF">
        <w:fldChar w:fldCharType="end"/>
      </w:r>
      <w:r w:rsidRPr="000349EF">
        <w:t xml:space="preserve"> below summarised the subject disposition for this age group.</w:t>
      </w:r>
    </w:p>
    <w:p w14:paraId="69DE3EBC" w14:textId="20AADC28" w:rsidR="00172ACC" w:rsidRPr="000349EF" w:rsidRDefault="00D7275D" w:rsidP="00B03B45">
      <w:pPr>
        <w:pStyle w:val="TableTitle"/>
      </w:pPr>
      <w:bookmarkStart w:id="61" w:name="_Ref91005707"/>
      <w:r w:rsidRPr="000349EF">
        <w:lastRenderedPageBreak/>
        <w:t xml:space="preserve">Table </w:t>
      </w:r>
      <w:r w:rsidR="00571D7C">
        <w:fldChar w:fldCharType="begin"/>
      </w:r>
      <w:r w:rsidR="00571D7C">
        <w:instrText xml:space="preserve"> SEQ Table \* ARABIC </w:instrText>
      </w:r>
      <w:r w:rsidR="00571D7C">
        <w:fldChar w:fldCharType="separate"/>
      </w:r>
      <w:r w:rsidR="00235E4B">
        <w:rPr>
          <w:noProof/>
        </w:rPr>
        <w:t>9</w:t>
      </w:r>
      <w:r w:rsidR="00571D7C">
        <w:rPr>
          <w:noProof/>
        </w:rPr>
        <w:fldChar w:fldCharType="end"/>
      </w:r>
      <w:bookmarkEnd w:id="61"/>
      <w:r w:rsidR="00172ACC" w:rsidRPr="000349EF">
        <w:t xml:space="preserve">: </w:t>
      </w:r>
      <w:r w:rsidR="00870F2D" w:rsidRPr="000349EF">
        <w:t xml:space="preserve">Study P204 </w:t>
      </w:r>
      <w:r w:rsidR="00172ACC" w:rsidRPr="000349EF">
        <w:t>Subject disposition by age group (</w:t>
      </w:r>
      <w:r w:rsidR="00870F2D" w:rsidRPr="000349EF">
        <w:t>r</w:t>
      </w:r>
      <w:r w:rsidR="00172ACC" w:rsidRPr="000349EF">
        <w:t>andomi</w:t>
      </w:r>
      <w:r w:rsidR="00004149" w:rsidRPr="000349EF">
        <w:t>sation</w:t>
      </w:r>
      <w:r w:rsidR="00172ACC" w:rsidRPr="000349EF">
        <w:t xml:space="preserve"> set)</w:t>
      </w:r>
    </w:p>
    <w:p w14:paraId="587DDB8D" w14:textId="76F0B1FE" w:rsidR="00004149" w:rsidRPr="000349EF" w:rsidRDefault="00004149" w:rsidP="00B03B45">
      <w:r w:rsidRPr="000349EF">
        <w:rPr>
          <w:noProof/>
          <w:lang w:val="en-GB" w:eastAsia="en-GB"/>
        </w:rPr>
        <w:drawing>
          <wp:inline distT="0" distB="0" distL="0" distR="0" wp14:anchorId="561B5E17" wp14:editId="1A723718">
            <wp:extent cx="5400040" cy="2118995"/>
            <wp:effectExtent l="0" t="0" r="0" b="0"/>
            <wp:docPr id="25" name="Picture 25" descr="Table 9: Study P204 Subject disposition by age group (randomis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9: Study P204 Subject disposition by age group (randomisation set)"/>
                    <pic:cNvPicPr/>
                  </pic:nvPicPr>
                  <pic:blipFill>
                    <a:blip r:embed="rId28"/>
                    <a:stretch>
                      <a:fillRect/>
                    </a:stretch>
                  </pic:blipFill>
                  <pic:spPr>
                    <a:xfrm>
                      <a:off x="0" y="0"/>
                      <a:ext cx="5400040" cy="2118995"/>
                    </a:xfrm>
                    <a:prstGeom prst="rect">
                      <a:avLst/>
                    </a:prstGeom>
                  </pic:spPr>
                </pic:pic>
              </a:graphicData>
            </a:graphic>
          </wp:inline>
        </w:drawing>
      </w:r>
    </w:p>
    <w:p w14:paraId="0C0FBED6" w14:textId="25DD4FCB" w:rsidR="008B723B" w:rsidRPr="000349EF" w:rsidRDefault="00020254" w:rsidP="00020254">
      <w:pPr>
        <w:pStyle w:val="TableDescription"/>
      </w:pPr>
      <w:r w:rsidRPr="000349EF">
        <w:t xml:space="preserve">AESI = adverse event of special interest; COVID-19 = coronavirus disease 2019; MIS-C = multisystem inflammatory syndrome in children; </w:t>
      </w:r>
      <w:r w:rsidR="008B723B" w:rsidRPr="000349EF">
        <w:t>mRNA-1273 = Spikevax COVID-19 vaccine</w:t>
      </w:r>
      <w:r w:rsidR="00004149" w:rsidRPr="000349EF">
        <w:t xml:space="preserve">; </w:t>
      </w:r>
      <w:r w:rsidRPr="000349EF">
        <w:t>N</w:t>
      </w:r>
      <w:r w:rsidR="006622FF" w:rsidRPr="000349EF">
        <w:t> </w:t>
      </w:r>
      <w:r w:rsidRPr="000349EF">
        <w:t>=</w:t>
      </w:r>
      <w:r w:rsidR="006622FF" w:rsidRPr="000349EF">
        <w:t> </w:t>
      </w:r>
      <w:r w:rsidRPr="000349EF">
        <w:t>population size, n = sample size</w:t>
      </w:r>
      <w:r w:rsidR="00377336" w:rsidRPr="000349EF">
        <w:t>.</w:t>
      </w:r>
    </w:p>
    <w:p w14:paraId="3F55F352" w14:textId="366EECF7" w:rsidR="00020254" w:rsidRPr="000349EF" w:rsidRDefault="00020254" w:rsidP="00020254">
      <w:pPr>
        <w:pStyle w:val="TableDescription"/>
      </w:pPr>
      <w:r w:rsidRPr="000349EF">
        <w:t>Age group: ≥ 6 and &lt; 12 years.</w:t>
      </w:r>
    </w:p>
    <w:p w14:paraId="0CEFDD6D" w14:textId="11BBFA1F" w:rsidR="00004149" w:rsidRPr="000349EF" w:rsidRDefault="00004149" w:rsidP="00020254">
      <w:pPr>
        <w:pStyle w:val="TableDescription"/>
      </w:pPr>
      <w:r w:rsidRPr="000349EF">
        <w:t xml:space="preserve">Part 1 includes subjects who are in </w:t>
      </w:r>
      <w:r w:rsidR="00020254" w:rsidRPr="000349EF">
        <w:t xml:space="preserve">full analysis set </w:t>
      </w:r>
      <w:r w:rsidRPr="000349EF">
        <w:t>in Part 1.</w:t>
      </w:r>
    </w:p>
    <w:p w14:paraId="690E66E7" w14:textId="773D5E76" w:rsidR="00004149" w:rsidRPr="000349EF" w:rsidRDefault="00004149" w:rsidP="00020254">
      <w:pPr>
        <w:pStyle w:val="TableDescription"/>
      </w:pPr>
      <w:r w:rsidRPr="000349EF">
        <w:t xml:space="preserve">For Part 2, percentages are based on the number of subjects in </w:t>
      </w:r>
      <w:r w:rsidR="00020254" w:rsidRPr="000349EF">
        <w:t xml:space="preserve">randomization set </w:t>
      </w:r>
      <w:r w:rsidRPr="000349EF">
        <w:t>in Part 2.</w:t>
      </w:r>
    </w:p>
    <w:p w14:paraId="404F0265" w14:textId="4909A064" w:rsidR="00004149" w:rsidRPr="000349EF" w:rsidRDefault="00004149" w:rsidP="00020254">
      <w:pPr>
        <w:pStyle w:val="TableDescription"/>
      </w:pPr>
      <w:r w:rsidRPr="000349EF">
        <w:t xml:space="preserve">For Part 1 + Part 2, percentages are based on the number of subjects in </w:t>
      </w:r>
      <w:r w:rsidR="00020254" w:rsidRPr="000349EF">
        <w:t xml:space="preserve">full analysis set in </w:t>
      </w:r>
      <w:r w:rsidRPr="000349EF">
        <w:t xml:space="preserve">Part 1 and </w:t>
      </w:r>
      <w:r w:rsidR="00020254" w:rsidRPr="000349EF">
        <w:t xml:space="preserve">subjects in randomization set </w:t>
      </w:r>
      <w:r w:rsidRPr="000349EF">
        <w:t>in Part 2.</w:t>
      </w:r>
    </w:p>
    <w:p w14:paraId="6E94D5CA" w14:textId="480B1B24" w:rsidR="00004149" w:rsidRPr="000349EF" w:rsidRDefault="00004149" w:rsidP="00020254">
      <w:pPr>
        <w:pStyle w:val="TableDescription"/>
      </w:pPr>
      <w:r w:rsidRPr="000349EF">
        <w:t>1</w:t>
      </w:r>
      <w:r w:rsidR="00C303E8" w:rsidRPr="000349EF">
        <w:t>.</w:t>
      </w:r>
      <w:r w:rsidRPr="000349EF">
        <w:t xml:space="preserve"> Study </w:t>
      </w:r>
      <w:r w:rsidR="00020254" w:rsidRPr="000349EF">
        <w:t xml:space="preserve">vaccine discontinuation </w:t>
      </w:r>
      <w:r w:rsidRPr="000349EF">
        <w:t>is defined as a subject who received the first injection but didn't receive the second</w:t>
      </w:r>
      <w:r w:rsidR="00020254" w:rsidRPr="000349EF">
        <w:t xml:space="preserve"> </w:t>
      </w:r>
      <w:r w:rsidRPr="000349EF">
        <w:t>injection.</w:t>
      </w:r>
    </w:p>
    <w:p w14:paraId="3CD8D75F" w14:textId="1EC651D1" w:rsidR="00004149" w:rsidRPr="000349EF" w:rsidRDefault="00004149" w:rsidP="00020254">
      <w:pPr>
        <w:pStyle w:val="TableDescription"/>
      </w:pPr>
      <w:r w:rsidRPr="000349EF">
        <w:t>2</w:t>
      </w:r>
      <w:r w:rsidR="00C303E8" w:rsidRPr="000349EF">
        <w:t>.</w:t>
      </w:r>
      <w:r w:rsidRPr="000349EF">
        <w:t xml:space="preserve"> Study </w:t>
      </w:r>
      <w:r w:rsidR="00020254" w:rsidRPr="000349EF">
        <w:t xml:space="preserve">completion is defined as </w:t>
      </w:r>
      <w:r w:rsidRPr="000349EF">
        <w:t>a subject who completed 12 months of follow</w:t>
      </w:r>
      <w:r w:rsidR="00742530" w:rsidRPr="000349EF">
        <w:t>-</w:t>
      </w:r>
      <w:r w:rsidRPr="000349EF">
        <w:t>up after the last injection received, included</w:t>
      </w:r>
      <w:r w:rsidR="00020254" w:rsidRPr="000349EF">
        <w:t xml:space="preserve"> </w:t>
      </w:r>
      <w:r w:rsidRPr="000349EF">
        <w:t xml:space="preserve">subjects who complete the </w:t>
      </w:r>
      <w:r w:rsidR="00020254" w:rsidRPr="000349EF">
        <w:t>first</w:t>
      </w:r>
      <w:r w:rsidRPr="000349EF">
        <w:t xml:space="preserve"> injection but not second injection.</w:t>
      </w:r>
    </w:p>
    <w:p w14:paraId="06BA1A07" w14:textId="6B32EDCA" w:rsidR="00172ACC" w:rsidRPr="000349EF" w:rsidRDefault="00172ACC" w:rsidP="00172ACC">
      <w:r w:rsidRPr="000349EF">
        <w:t>The number of participants in each analysis set for Part</w:t>
      </w:r>
      <w:r w:rsidR="009B2147" w:rsidRPr="000349EF">
        <w:t> </w:t>
      </w:r>
      <w:r w:rsidRPr="000349EF">
        <w:t xml:space="preserve">2 and reasons for exclusion from the PP </w:t>
      </w:r>
      <w:r w:rsidR="003E53F0" w:rsidRPr="000349EF">
        <w:t>set</w:t>
      </w:r>
      <w:r w:rsidRPr="000349EF">
        <w:t xml:space="preserve"> for </w:t>
      </w:r>
      <w:r w:rsidR="009B2147" w:rsidRPr="000349EF">
        <w:t xml:space="preserve">efficacy </w:t>
      </w:r>
      <w:r w:rsidRPr="000349EF">
        <w:t>are provided in</w:t>
      </w:r>
      <w:r w:rsidR="009B2147" w:rsidRPr="000349EF">
        <w:t xml:space="preserve"> </w:t>
      </w:r>
      <w:r w:rsidR="009B2147" w:rsidRPr="000349EF">
        <w:fldChar w:fldCharType="begin"/>
      </w:r>
      <w:r w:rsidR="009B2147" w:rsidRPr="000349EF">
        <w:instrText xml:space="preserve"> REF _Ref91006524 \h </w:instrText>
      </w:r>
      <w:r w:rsidR="008C1E85" w:rsidRPr="000349EF">
        <w:instrText xml:space="preserve"> \* MERGEFORMAT </w:instrText>
      </w:r>
      <w:r w:rsidR="009B2147" w:rsidRPr="000349EF">
        <w:fldChar w:fldCharType="separate"/>
      </w:r>
      <w:r w:rsidR="00235E4B" w:rsidRPr="000349EF">
        <w:t xml:space="preserve">Table </w:t>
      </w:r>
      <w:r w:rsidR="00235E4B">
        <w:rPr>
          <w:noProof/>
        </w:rPr>
        <w:t>10</w:t>
      </w:r>
      <w:r w:rsidR="009B2147" w:rsidRPr="000349EF">
        <w:fldChar w:fldCharType="end"/>
      </w:r>
      <w:r w:rsidRPr="000349EF">
        <w:t xml:space="preserve"> below.</w:t>
      </w:r>
    </w:p>
    <w:p w14:paraId="0B55CD15" w14:textId="684FA6C8" w:rsidR="00172ACC" w:rsidRPr="000349EF" w:rsidRDefault="00D7275D" w:rsidP="00B03B45">
      <w:pPr>
        <w:pStyle w:val="TableTitle"/>
      </w:pPr>
      <w:bookmarkStart w:id="62" w:name="_Ref91006524"/>
      <w:r w:rsidRPr="000349EF">
        <w:t xml:space="preserve">Table </w:t>
      </w:r>
      <w:r w:rsidR="00571D7C">
        <w:fldChar w:fldCharType="begin"/>
      </w:r>
      <w:r w:rsidR="00571D7C">
        <w:instrText xml:space="preserve"> SEQ Table \* ARABIC </w:instrText>
      </w:r>
      <w:r w:rsidR="00571D7C">
        <w:fldChar w:fldCharType="separate"/>
      </w:r>
      <w:r w:rsidR="00235E4B">
        <w:rPr>
          <w:noProof/>
        </w:rPr>
        <w:t>10</w:t>
      </w:r>
      <w:r w:rsidR="00571D7C">
        <w:rPr>
          <w:noProof/>
        </w:rPr>
        <w:fldChar w:fldCharType="end"/>
      </w:r>
      <w:bookmarkEnd w:id="62"/>
      <w:r w:rsidR="00172ACC" w:rsidRPr="000349EF">
        <w:t xml:space="preserve">: </w:t>
      </w:r>
      <w:r w:rsidR="00870F2D" w:rsidRPr="000349EF">
        <w:t xml:space="preserve">Study P204 Part 2 </w:t>
      </w:r>
      <w:r w:rsidR="00172ACC" w:rsidRPr="000349EF">
        <w:t>Number of participants in each analysis set by dose level</w:t>
      </w:r>
    </w:p>
    <w:p w14:paraId="17603F73" w14:textId="60EB538D" w:rsidR="00020254" w:rsidRPr="000349EF" w:rsidRDefault="00020254" w:rsidP="00B03B45">
      <w:r w:rsidRPr="000349EF">
        <w:rPr>
          <w:noProof/>
          <w:lang w:val="en-GB" w:eastAsia="en-GB"/>
        </w:rPr>
        <w:drawing>
          <wp:inline distT="0" distB="0" distL="0" distR="0" wp14:anchorId="3EF13731" wp14:editId="648A2C1D">
            <wp:extent cx="5213380" cy="2559485"/>
            <wp:effectExtent l="0" t="0" r="6350" b="0"/>
            <wp:docPr id="26" name="Picture 26" descr="Table 10: Study P204 Part 2 Number of participants in each analysis set by dos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10: Study P204 Part 2 Number of participants in each analysis set by dose level"/>
                    <pic:cNvPicPr/>
                  </pic:nvPicPr>
                  <pic:blipFill>
                    <a:blip r:embed="rId29"/>
                    <a:stretch>
                      <a:fillRect/>
                    </a:stretch>
                  </pic:blipFill>
                  <pic:spPr>
                    <a:xfrm>
                      <a:off x="0" y="0"/>
                      <a:ext cx="5232595" cy="2568919"/>
                    </a:xfrm>
                    <a:prstGeom prst="rect">
                      <a:avLst/>
                    </a:prstGeom>
                  </pic:spPr>
                </pic:pic>
              </a:graphicData>
            </a:graphic>
          </wp:inline>
        </w:drawing>
      </w:r>
    </w:p>
    <w:p w14:paraId="1BF05D0D" w14:textId="364AEA80" w:rsidR="00020254" w:rsidRPr="000349EF" w:rsidRDefault="00020254" w:rsidP="00020254">
      <w:pPr>
        <w:pStyle w:val="TableDescription"/>
      </w:pPr>
      <w:r w:rsidRPr="000349EF">
        <w:t xml:space="preserve">FAS = full analysis set; </w:t>
      </w:r>
      <w:proofErr w:type="spellStart"/>
      <w:r w:rsidRPr="000349EF">
        <w:t>mITT</w:t>
      </w:r>
      <w:proofErr w:type="spellEnd"/>
      <w:r w:rsidRPr="000349EF">
        <w:t xml:space="preserve"> = modified intent-to-treat; mRNA-1273 = Spikevax COVID-19 vaccine; n = sample size; PP = per-protocol; SARS-CoV-2 = severe acute respiratory syndrome coronavirus 2.</w:t>
      </w:r>
    </w:p>
    <w:p w14:paraId="6F2E7065" w14:textId="7E1F15AA" w:rsidR="00020254" w:rsidRPr="000349EF" w:rsidRDefault="00020254" w:rsidP="00020254">
      <w:pPr>
        <w:pStyle w:val="TableDescription"/>
      </w:pPr>
      <w:r w:rsidRPr="000349EF">
        <w:t>Percentages are based on the number of participants in the randomisation set in Part 2.</w:t>
      </w:r>
    </w:p>
    <w:p w14:paraId="43D62151" w14:textId="397DAEE4" w:rsidR="00020254" w:rsidRPr="000349EF" w:rsidRDefault="00020254" w:rsidP="00020254">
      <w:pPr>
        <w:pStyle w:val="TableDescription"/>
      </w:pPr>
      <w:r w:rsidRPr="000349EF">
        <w:lastRenderedPageBreak/>
        <w:t>a. Numbers are based on planned treatment group, and percentages are based on the number of randomised participants.</w:t>
      </w:r>
    </w:p>
    <w:p w14:paraId="08C90296" w14:textId="77777777" w:rsidR="00020254" w:rsidRPr="000349EF" w:rsidRDefault="00020254" w:rsidP="00020254">
      <w:pPr>
        <w:pStyle w:val="TableDescription"/>
      </w:pPr>
      <w:r w:rsidRPr="000349EF">
        <w:t>b. A participant who has multiple reasons for exclusion is listed under the reason that appears earliest.</w:t>
      </w:r>
    </w:p>
    <w:p w14:paraId="23958237" w14:textId="2274E606" w:rsidR="00020254" w:rsidRPr="000349EF" w:rsidRDefault="00020254" w:rsidP="00020254">
      <w:pPr>
        <w:pStyle w:val="TableDescription"/>
      </w:pPr>
      <w:r w:rsidRPr="000349EF">
        <w:t>c. Numbers are based on actual treatment group, and percentages are based on the number of safety participants.</w:t>
      </w:r>
    </w:p>
    <w:p w14:paraId="45DFBD99" w14:textId="59B01806" w:rsidR="00172ACC" w:rsidRPr="000349EF" w:rsidRDefault="00172ACC" w:rsidP="006B4B52">
      <w:pPr>
        <w:pStyle w:val="Heading5"/>
        <w:rPr>
          <w:rFonts w:eastAsia="TimesNewRomanPSMT" w:cs="TimesNewRomanPSMT"/>
          <w:color w:val="000000"/>
          <w:szCs w:val="26"/>
        </w:rPr>
      </w:pPr>
      <w:r w:rsidRPr="000349EF">
        <w:rPr>
          <w:rFonts w:eastAsia="Calibri"/>
        </w:rPr>
        <w:t xml:space="preserve">Secondary efficacy endpoint analysis starting 14 days after </w:t>
      </w:r>
      <w:r w:rsidR="006B4B52" w:rsidRPr="000349EF">
        <w:rPr>
          <w:rFonts w:eastAsia="Calibri"/>
        </w:rPr>
        <w:t>D</w:t>
      </w:r>
      <w:r w:rsidRPr="000349EF">
        <w:rPr>
          <w:rFonts w:eastAsia="Calibri"/>
        </w:rPr>
        <w:t>ose</w:t>
      </w:r>
      <w:r w:rsidR="009B2147" w:rsidRPr="000349EF">
        <w:rPr>
          <w:rFonts w:eastAsia="Calibri"/>
        </w:rPr>
        <w:t> </w:t>
      </w:r>
      <w:r w:rsidRPr="000349EF">
        <w:rPr>
          <w:rFonts w:eastAsia="Calibri"/>
        </w:rPr>
        <w:t>2</w:t>
      </w:r>
    </w:p>
    <w:p w14:paraId="78BF5F29" w14:textId="244D6853" w:rsidR="00172ACC" w:rsidRPr="000349EF" w:rsidRDefault="00172ACC" w:rsidP="00172ACC">
      <w:r w:rsidRPr="000349EF">
        <w:t>In the Part</w:t>
      </w:r>
      <w:r w:rsidR="009B2147" w:rsidRPr="000349EF">
        <w:t> </w:t>
      </w:r>
      <w:r w:rsidRPr="000349EF">
        <w:t>1 50</w:t>
      </w:r>
      <w:r w:rsidR="009B2147" w:rsidRPr="000349EF">
        <w:t> </w:t>
      </w:r>
      <w:proofErr w:type="spellStart"/>
      <w:r w:rsidRPr="000349EF">
        <w:t>μg</w:t>
      </w:r>
      <w:proofErr w:type="spellEnd"/>
      <w:r w:rsidRPr="000349EF">
        <w:t xml:space="preserve"> group starting 14 days after </w:t>
      </w:r>
      <w:r w:rsidR="0077374E" w:rsidRPr="000349EF">
        <w:t>Dose</w:t>
      </w:r>
      <w:r w:rsidR="009B2147" w:rsidRPr="000349EF">
        <w:t> </w:t>
      </w:r>
      <w:r w:rsidR="0077374E" w:rsidRPr="000349EF">
        <w:t>2</w:t>
      </w:r>
      <w:r w:rsidRPr="000349EF">
        <w:t xml:space="preserve"> in the PP </w:t>
      </w:r>
      <w:r w:rsidR="003E53F0" w:rsidRPr="000349EF">
        <w:t>set</w:t>
      </w:r>
      <w:r w:rsidRPr="000349EF">
        <w:t xml:space="preserve"> for </w:t>
      </w:r>
      <w:r w:rsidR="009B2147" w:rsidRPr="000349EF">
        <w:t>efficacy</w:t>
      </w:r>
      <w:r w:rsidRPr="000349EF">
        <w:t xml:space="preserve">, there was </w:t>
      </w:r>
      <w:r w:rsidR="009B2147" w:rsidRPr="000349EF">
        <w:t>one</w:t>
      </w:r>
      <w:r w:rsidRPr="000349EF">
        <w:t xml:space="preserve"> case</w:t>
      </w:r>
      <w:r w:rsidR="006B4B52" w:rsidRPr="000349EF">
        <w:t xml:space="preserve"> </w:t>
      </w:r>
      <w:r w:rsidRPr="000349EF">
        <w:t xml:space="preserve">of asymptomatic SARS-CoV-2 infection (occurring at 28 days after </w:t>
      </w:r>
      <w:r w:rsidR="0077374E" w:rsidRPr="000349EF">
        <w:t>Dose</w:t>
      </w:r>
      <w:r w:rsidR="009B2147" w:rsidRPr="000349EF">
        <w:t> </w:t>
      </w:r>
      <w:r w:rsidR="0077374E" w:rsidRPr="000349EF">
        <w:t>2</w:t>
      </w:r>
      <w:r w:rsidRPr="000349EF">
        <w:t xml:space="preserve"> in a 7</w:t>
      </w:r>
      <w:r w:rsidR="009B2147" w:rsidRPr="000349EF">
        <w:noBreakHyphen/>
      </w:r>
      <w:r w:rsidRPr="000349EF">
        <w:t>year-old male),</w:t>
      </w:r>
      <w:r w:rsidR="006B4B52" w:rsidRPr="000349EF">
        <w:t xml:space="preserve"> </w:t>
      </w:r>
      <w:r w:rsidRPr="000349EF">
        <w:t>which was detected at the Day</w:t>
      </w:r>
      <w:r w:rsidR="009B2147" w:rsidRPr="000349EF">
        <w:t> </w:t>
      </w:r>
      <w:r w:rsidRPr="000349EF">
        <w:t>57 pre</w:t>
      </w:r>
      <w:r w:rsidR="009B2147" w:rsidRPr="000349EF">
        <w:t>-</w:t>
      </w:r>
      <w:r w:rsidRPr="000349EF">
        <w:t>specified study visit.</w:t>
      </w:r>
    </w:p>
    <w:p w14:paraId="60B2AD44" w14:textId="240DA54C" w:rsidR="00172ACC" w:rsidRPr="000349EF" w:rsidRDefault="00172ACC" w:rsidP="00172ACC">
      <w:r w:rsidRPr="000349EF">
        <w:t xml:space="preserve">In Part 2 starting 14 days after </w:t>
      </w:r>
      <w:r w:rsidR="0077374E" w:rsidRPr="000349EF">
        <w:t>Dose</w:t>
      </w:r>
      <w:r w:rsidR="009B2147" w:rsidRPr="000349EF">
        <w:t> </w:t>
      </w:r>
      <w:r w:rsidR="0077374E" w:rsidRPr="000349EF">
        <w:t>2</w:t>
      </w:r>
      <w:r w:rsidRPr="000349EF">
        <w:t xml:space="preserve"> in the PP </w:t>
      </w:r>
      <w:r w:rsidR="003E53F0" w:rsidRPr="000349EF">
        <w:t>set</w:t>
      </w:r>
      <w:r w:rsidRPr="000349EF">
        <w:t xml:space="preserve"> for </w:t>
      </w:r>
      <w:r w:rsidR="009B2147" w:rsidRPr="000349EF">
        <w:t>efficacy</w:t>
      </w:r>
      <w:r w:rsidRPr="000349EF">
        <w:t xml:space="preserve">, there was </w:t>
      </w:r>
      <w:r w:rsidR="009B2147" w:rsidRPr="000349EF">
        <w:t>one</w:t>
      </w:r>
      <w:r w:rsidRPr="000349EF">
        <w:t xml:space="preserve"> case (0.1%) of COVID-19 in the placebo group (incidence rate 8.58 per 1000 person-years) and none in the mRNA-1273 group. The case in the placebo group met both the </w:t>
      </w:r>
      <w:proofErr w:type="spellStart"/>
      <w:r w:rsidR="009B2147" w:rsidRPr="000349EF">
        <w:t>Centers</w:t>
      </w:r>
      <w:proofErr w:type="spellEnd"/>
      <w:r w:rsidR="009B2147" w:rsidRPr="000349EF">
        <w:t xml:space="preserve"> for Disease Control and Prevention (</w:t>
      </w:r>
      <w:r w:rsidRPr="000349EF">
        <w:t>CDC</w:t>
      </w:r>
      <w:r w:rsidR="009B2147" w:rsidRPr="000349EF">
        <w:t>)</w:t>
      </w:r>
      <w:r w:rsidRPr="000349EF">
        <w:t xml:space="preserve"> case definition of COVID-19 and the </w:t>
      </w:r>
      <w:r w:rsidR="009B2147" w:rsidRPr="000349EF">
        <w:t>Study </w:t>
      </w:r>
      <w:r w:rsidRPr="000349EF">
        <w:t xml:space="preserve">P301 case definition of COVID-19. There were no cases of asymptomatic SARS-CoV-2 infection in either treatment group starting 14 days after </w:t>
      </w:r>
      <w:r w:rsidR="0077374E" w:rsidRPr="000349EF">
        <w:t>Dose</w:t>
      </w:r>
      <w:r w:rsidR="009B2147" w:rsidRPr="000349EF">
        <w:t> </w:t>
      </w:r>
      <w:r w:rsidR="0077374E" w:rsidRPr="000349EF">
        <w:t>2</w:t>
      </w:r>
      <w:r w:rsidRPr="000349EF">
        <w:t xml:space="preserve"> in the PP </w:t>
      </w:r>
      <w:r w:rsidR="003E53F0" w:rsidRPr="000349EF">
        <w:t>set</w:t>
      </w:r>
      <w:r w:rsidRPr="000349EF">
        <w:t xml:space="preserve"> for </w:t>
      </w:r>
      <w:r w:rsidR="009B2147" w:rsidRPr="000349EF">
        <w:t>efficacy</w:t>
      </w:r>
      <w:r w:rsidRPr="000349EF">
        <w:t>.</w:t>
      </w:r>
    </w:p>
    <w:p w14:paraId="48D687F5" w14:textId="7A81A7D0" w:rsidR="00172ACC" w:rsidRPr="000349EF" w:rsidRDefault="00D7275D" w:rsidP="00B03B45">
      <w:pPr>
        <w:pStyle w:val="TableTitle"/>
      </w:pPr>
      <w:r w:rsidRPr="000349EF">
        <w:t xml:space="preserve">Table </w:t>
      </w:r>
      <w:r w:rsidR="00571D7C">
        <w:fldChar w:fldCharType="begin"/>
      </w:r>
      <w:r w:rsidR="00571D7C">
        <w:instrText xml:space="preserve"> SEQ Table \* ARABIC </w:instrText>
      </w:r>
      <w:r w:rsidR="00571D7C">
        <w:fldChar w:fldCharType="separate"/>
      </w:r>
      <w:r w:rsidR="00235E4B">
        <w:rPr>
          <w:noProof/>
        </w:rPr>
        <w:t>11</w:t>
      </w:r>
      <w:r w:rsidR="00571D7C">
        <w:rPr>
          <w:noProof/>
        </w:rPr>
        <w:fldChar w:fldCharType="end"/>
      </w:r>
      <w:r w:rsidR="00172ACC" w:rsidRPr="000349EF">
        <w:t xml:space="preserve">: </w:t>
      </w:r>
      <w:r w:rsidR="00870F2D" w:rsidRPr="000349EF">
        <w:t xml:space="preserve">Study P204 </w:t>
      </w:r>
      <w:r w:rsidR="00172ACC" w:rsidRPr="000349EF">
        <w:t xml:space="preserve">Efficacy endpoint analysis starting 14 days </w:t>
      </w:r>
      <w:r w:rsidR="0077374E" w:rsidRPr="000349EF">
        <w:t>post-</w:t>
      </w:r>
      <w:r w:rsidR="00870F2D" w:rsidRPr="000349EF">
        <w:t>D</w:t>
      </w:r>
      <w:r w:rsidR="00172ACC" w:rsidRPr="000349EF">
        <w:t>ose</w:t>
      </w:r>
      <w:r w:rsidRPr="000349EF">
        <w:t> </w:t>
      </w:r>
      <w:r w:rsidR="00172ACC" w:rsidRPr="000349EF">
        <w:t>2 (</w:t>
      </w:r>
      <w:r w:rsidR="00870F2D" w:rsidRPr="000349EF">
        <w:t>per</w:t>
      </w:r>
      <w:r w:rsidRPr="000349EF">
        <w:noBreakHyphen/>
      </w:r>
      <w:r w:rsidR="00870F2D" w:rsidRPr="000349EF">
        <w:t>protocol</w:t>
      </w:r>
      <w:r w:rsidR="00172ACC" w:rsidRPr="000349EF">
        <w:t xml:space="preserve"> set for efficacy)</w:t>
      </w:r>
    </w:p>
    <w:p w14:paraId="692AAA14" w14:textId="03E6F80C" w:rsidR="00172ACC" w:rsidRPr="000349EF" w:rsidRDefault="00020254" w:rsidP="00B03B45">
      <w:r w:rsidRPr="000349EF">
        <w:rPr>
          <w:noProof/>
          <w:lang w:val="en-GB" w:eastAsia="en-GB"/>
        </w:rPr>
        <w:drawing>
          <wp:inline distT="0" distB="0" distL="0" distR="0" wp14:anchorId="2BA5CEE0" wp14:editId="2387E000">
            <wp:extent cx="5265107" cy="2043139"/>
            <wp:effectExtent l="0" t="0" r="0" b="0"/>
            <wp:docPr id="27" name="Picture 27" descr="Table 11: Study P204 Efficacy endpoint analysis starting 14 days post-Dose 2 (per protocol set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11: Study P204 Efficacy endpoint analysis starting 14 days post-Dose 2 (per protocol set for efficacy)"/>
                    <pic:cNvPicPr/>
                  </pic:nvPicPr>
                  <pic:blipFill>
                    <a:blip r:embed="rId30"/>
                    <a:stretch>
                      <a:fillRect/>
                    </a:stretch>
                  </pic:blipFill>
                  <pic:spPr>
                    <a:xfrm>
                      <a:off x="0" y="0"/>
                      <a:ext cx="5270105" cy="2045078"/>
                    </a:xfrm>
                    <a:prstGeom prst="rect">
                      <a:avLst/>
                    </a:prstGeom>
                  </pic:spPr>
                </pic:pic>
              </a:graphicData>
            </a:graphic>
          </wp:inline>
        </w:drawing>
      </w:r>
    </w:p>
    <w:p w14:paraId="3302637B" w14:textId="7312FC79" w:rsidR="00020254" w:rsidRPr="000349EF" w:rsidRDefault="00020254" w:rsidP="00DE2C60">
      <w:pPr>
        <w:pStyle w:val="TableDescription"/>
      </w:pPr>
      <w:r w:rsidRPr="000349EF">
        <w:t xml:space="preserve">CDC = </w:t>
      </w:r>
      <w:proofErr w:type="spellStart"/>
      <w:r w:rsidRPr="000349EF">
        <w:t>Centers</w:t>
      </w:r>
      <w:proofErr w:type="spellEnd"/>
      <w:r w:rsidRPr="000349EF">
        <w:t xml:space="preserve"> for Disease Control and Prevention; CI = confidence interval; COVID-19 =</w:t>
      </w:r>
      <w:r w:rsidR="00DE2C60" w:rsidRPr="000349EF">
        <w:t xml:space="preserve"> </w:t>
      </w:r>
      <w:r w:rsidRPr="000349EF">
        <w:t xml:space="preserve">coronavirus disease 2019; </w:t>
      </w:r>
      <w:r w:rsidR="00DE2C60" w:rsidRPr="000349EF">
        <w:t xml:space="preserve">mRNA-1273 = Spikevax COVID-19 vaccine; N = population size; n = sample size; </w:t>
      </w:r>
      <w:r w:rsidRPr="000349EF">
        <w:t xml:space="preserve">NE = not estimable; </w:t>
      </w:r>
      <w:r w:rsidR="00DE2C60" w:rsidRPr="000349EF">
        <w:t xml:space="preserve">P301 = Study P301; </w:t>
      </w:r>
      <w:r w:rsidRPr="000349EF">
        <w:t>PP = per</w:t>
      </w:r>
      <w:r w:rsidR="00CB62AE" w:rsidRPr="000349EF">
        <w:noBreakHyphen/>
      </w:r>
      <w:r w:rsidRPr="000349EF">
        <w:t>protocol; SARS-CoV-2 = severe acute respiratory syndrome</w:t>
      </w:r>
      <w:r w:rsidR="00DE2C60" w:rsidRPr="000349EF">
        <w:t xml:space="preserve"> </w:t>
      </w:r>
      <w:r w:rsidRPr="000349EF">
        <w:t>coronavirus</w:t>
      </w:r>
      <w:r w:rsidR="00DE2C60" w:rsidRPr="000349EF">
        <w:t> </w:t>
      </w:r>
      <w:r w:rsidRPr="000349EF">
        <w:t>2.</w:t>
      </w:r>
    </w:p>
    <w:p w14:paraId="5A8939EA" w14:textId="571FB63D" w:rsidR="00020254" w:rsidRPr="000349EF" w:rsidRDefault="00020254" w:rsidP="00DE2C60">
      <w:pPr>
        <w:pStyle w:val="TableDescription"/>
      </w:pPr>
      <w:r w:rsidRPr="000349EF">
        <w:t>a. Person-years is defined as the total years from the first injection date for Part 1 and the randomi</w:t>
      </w:r>
      <w:r w:rsidR="00DE2C60" w:rsidRPr="000349EF">
        <w:t>s</w:t>
      </w:r>
      <w:r w:rsidRPr="000349EF">
        <w:t>ation date for Part</w:t>
      </w:r>
      <w:r w:rsidR="00DE2C60" w:rsidRPr="000349EF">
        <w:t xml:space="preserve"> </w:t>
      </w:r>
      <w:r w:rsidRPr="000349EF">
        <w:t xml:space="preserve">2 to the date of event (CDC </w:t>
      </w:r>
      <w:r w:rsidR="00DE2C60" w:rsidRPr="000349EF">
        <w:t xml:space="preserve">case definition </w:t>
      </w:r>
      <w:r w:rsidRPr="000349EF">
        <w:t xml:space="preserve">of COVID-19, </w:t>
      </w:r>
      <w:r w:rsidR="00DE2C60" w:rsidRPr="000349EF">
        <w:t xml:space="preserve">Study </w:t>
      </w:r>
      <w:r w:rsidRPr="000349EF">
        <w:t>P301 case definition of COVID-19, asymptomatic</w:t>
      </w:r>
      <w:r w:rsidR="00DE2C60" w:rsidRPr="000349EF">
        <w:t xml:space="preserve"> </w:t>
      </w:r>
      <w:r w:rsidRPr="000349EF">
        <w:t>SARS-CoV-2 infection, or SARS-CoV-2 infection, depending upon endpoint), last date of study participation, or</w:t>
      </w:r>
      <w:r w:rsidR="00DE2C60" w:rsidRPr="000349EF">
        <w:t xml:space="preserve"> </w:t>
      </w:r>
      <w:r w:rsidRPr="000349EF">
        <w:t>efficacy data cut</w:t>
      </w:r>
      <w:r w:rsidR="00DE2C60" w:rsidRPr="000349EF">
        <w:t>-</w:t>
      </w:r>
      <w:r w:rsidRPr="000349EF">
        <w:t>off date, whichever is the earliest.</w:t>
      </w:r>
    </w:p>
    <w:p w14:paraId="7D2B7B03" w14:textId="1F7CB099" w:rsidR="00020254" w:rsidRPr="000349EF" w:rsidRDefault="00020254" w:rsidP="00DE2C60">
      <w:pPr>
        <w:pStyle w:val="TableDescription"/>
      </w:pPr>
      <w:r w:rsidRPr="000349EF">
        <w:t>b. Incidence rate is defined as the number of participants with an event divided by the number of participants at risk</w:t>
      </w:r>
      <w:r w:rsidR="00DE2C60" w:rsidRPr="000349EF">
        <w:t xml:space="preserve"> </w:t>
      </w:r>
      <w:r w:rsidRPr="000349EF">
        <w:t>and adjusted by person-years (total time at risk) in each treatment group. The 95% CI is calculated using the exact</w:t>
      </w:r>
      <w:r w:rsidR="00DE2C60" w:rsidRPr="000349EF">
        <w:t xml:space="preserve"> </w:t>
      </w:r>
      <w:r w:rsidRPr="000349EF">
        <w:t>method (Poisson distribution) and adjusted by person-years.</w:t>
      </w:r>
    </w:p>
    <w:p w14:paraId="3514BA65" w14:textId="5C628304" w:rsidR="00020254" w:rsidRPr="000349EF" w:rsidRDefault="00020254" w:rsidP="00DE2C60">
      <w:pPr>
        <w:pStyle w:val="TableDescription"/>
      </w:pPr>
      <w:r w:rsidRPr="000349EF">
        <w:t xml:space="preserve">c. </w:t>
      </w:r>
      <w:r w:rsidR="00DE2C60" w:rsidRPr="000349EF">
        <w:t xml:space="preserve">Vaccine efficacy is </w:t>
      </w:r>
      <w:r w:rsidRPr="000349EF">
        <w:t xml:space="preserve">defined as 1 - ratio of incidence rate (mRNA-1273 </w:t>
      </w:r>
      <w:r w:rsidR="00DE2C60" w:rsidRPr="000349EF">
        <w:t>versus</w:t>
      </w:r>
      <w:r w:rsidRPr="000349EF">
        <w:t xml:space="preserve"> placebo). The 95% CI of the ratio is calculated using</w:t>
      </w:r>
      <w:r w:rsidR="00DE2C60" w:rsidRPr="000349EF">
        <w:t xml:space="preserve"> </w:t>
      </w:r>
      <w:r w:rsidRPr="000349EF">
        <w:t>the exact method conditional upon the total number of cases, adjusting for person-years.</w:t>
      </w:r>
    </w:p>
    <w:p w14:paraId="336E8D58" w14:textId="6E1B8007" w:rsidR="00172ACC" w:rsidRPr="000349EF" w:rsidRDefault="00172ACC" w:rsidP="006B4B52">
      <w:pPr>
        <w:pStyle w:val="Heading5"/>
        <w:rPr>
          <w:rFonts w:eastAsiaTheme="minorHAnsi"/>
        </w:rPr>
      </w:pPr>
      <w:r w:rsidRPr="000349EF">
        <w:rPr>
          <w:rFonts w:eastAsiaTheme="minorHAnsi"/>
        </w:rPr>
        <w:lastRenderedPageBreak/>
        <w:t xml:space="preserve">Secondary efficacy endpoint analyses starting 14 days after </w:t>
      </w:r>
      <w:r w:rsidR="006B4B52" w:rsidRPr="000349EF">
        <w:rPr>
          <w:rFonts w:eastAsiaTheme="minorHAnsi"/>
        </w:rPr>
        <w:t>D</w:t>
      </w:r>
      <w:r w:rsidRPr="000349EF">
        <w:rPr>
          <w:rFonts w:eastAsiaTheme="minorHAnsi"/>
        </w:rPr>
        <w:t>ose</w:t>
      </w:r>
      <w:r w:rsidR="009B2147" w:rsidRPr="000349EF">
        <w:rPr>
          <w:rFonts w:eastAsiaTheme="minorHAnsi"/>
        </w:rPr>
        <w:t> </w:t>
      </w:r>
      <w:r w:rsidRPr="000349EF">
        <w:rPr>
          <w:rFonts w:eastAsiaTheme="minorHAnsi"/>
        </w:rPr>
        <w:t xml:space="preserve">1 in the </w:t>
      </w:r>
      <w:r w:rsidR="00D7275D" w:rsidRPr="000349EF">
        <w:rPr>
          <w:rFonts w:eastAsiaTheme="minorHAnsi"/>
        </w:rPr>
        <w:t>modified intent</w:t>
      </w:r>
      <w:r w:rsidR="006B4B52" w:rsidRPr="000349EF">
        <w:rPr>
          <w:rFonts w:eastAsiaTheme="minorHAnsi"/>
        </w:rPr>
        <w:noBreakHyphen/>
      </w:r>
      <w:r w:rsidR="00D7275D" w:rsidRPr="000349EF">
        <w:rPr>
          <w:rFonts w:eastAsiaTheme="minorHAnsi"/>
        </w:rPr>
        <w:t>to-treat </w:t>
      </w:r>
      <w:r w:rsidRPr="000349EF">
        <w:rPr>
          <w:rFonts w:eastAsiaTheme="minorHAnsi"/>
        </w:rPr>
        <w:t>1</w:t>
      </w:r>
      <w:r w:rsidR="00DA021F" w:rsidRPr="000349EF">
        <w:rPr>
          <w:rFonts w:eastAsiaTheme="minorHAnsi"/>
        </w:rPr>
        <w:t xml:space="preserve"> population</w:t>
      </w:r>
    </w:p>
    <w:p w14:paraId="04F68433" w14:textId="636A85C8" w:rsidR="00172ACC" w:rsidRPr="000349EF" w:rsidRDefault="00172ACC" w:rsidP="00172ACC">
      <w:r w:rsidRPr="000349EF">
        <w:t>In the Part 1 50</w:t>
      </w:r>
      <w:r w:rsidR="009B2147" w:rsidRPr="000349EF">
        <w:t> </w:t>
      </w:r>
      <w:proofErr w:type="spellStart"/>
      <w:r w:rsidRPr="000349EF">
        <w:t>μg</w:t>
      </w:r>
      <w:proofErr w:type="spellEnd"/>
      <w:r w:rsidRPr="000349EF">
        <w:t xml:space="preserve"> group in the </w:t>
      </w:r>
      <w:r w:rsidR="009B2147" w:rsidRPr="000349EF">
        <w:t>modified intent to-treat 1 (</w:t>
      </w:r>
      <w:r w:rsidRPr="000349EF">
        <w:t>mITT1</w:t>
      </w:r>
      <w:r w:rsidR="009B2147" w:rsidRPr="000349EF">
        <w:t>)</w:t>
      </w:r>
      <w:r w:rsidR="005262D8" w:rsidRPr="000349EF">
        <w:t xml:space="preserve"> population</w:t>
      </w:r>
      <w:r w:rsidRPr="000349EF">
        <w:t>,</w:t>
      </w:r>
      <w:r w:rsidR="00D750D0" w:rsidRPr="000349EF">
        <w:rPr>
          <w:rStyle w:val="FootnoteReference"/>
        </w:rPr>
        <w:footnoteReference w:id="24"/>
      </w:r>
      <w:r w:rsidRPr="000349EF">
        <w:t xml:space="preserve"> there was </w:t>
      </w:r>
      <w:r w:rsidR="008E4D88" w:rsidRPr="000349EF">
        <w:t>one</w:t>
      </w:r>
      <w:r w:rsidRPr="000349EF">
        <w:t xml:space="preserve"> case of asymptomatic SARS-CoV-2</w:t>
      </w:r>
      <w:r w:rsidR="006B4B52" w:rsidRPr="000349EF">
        <w:t xml:space="preserve"> </w:t>
      </w:r>
      <w:r w:rsidRPr="000349EF">
        <w:t>infection. There were no cases of COVID-19.</w:t>
      </w:r>
    </w:p>
    <w:p w14:paraId="5A28F583" w14:textId="2FE58784" w:rsidR="00172ACC" w:rsidRPr="000349EF" w:rsidRDefault="00172ACC" w:rsidP="00172ACC">
      <w:r w:rsidRPr="000349EF">
        <w:t>In Part 2 in the mITT1</w:t>
      </w:r>
      <w:r w:rsidR="00DA021F" w:rsidRPr="000349EF">
        <w:t xml:space="preserve"> population</w:t>
      </w:r>
      <w:r w:rsidRPr="000349EF">
        <w:t xml:space="preserve">, </w:t>
      </w:r>
      <w:r w:rsidR="008E4D88" w:rsidRPr="000349EF">
        <w:t xml:space="preserve">vaccine efficacy (VE) </w:t>
      </w:r>
      <w:r w:rsidRPr="000349EF">
        <w:t xml:space="preserve">analyses were conducted using the COVID-19 CDC case definition, requiring only </w:t>
      </w:r>
      <w:r w:rsidR="008E4D88" w:rsidRPr="000349EF">
        <w:t>one</w:t>
      </w:r>
      <w:r w:rsidRPr="000349EF">
        <w:t xml:space="preserve"> </w:t>
      </w:r>
      <w:proofErr w:type="gramStart"/>
      <w:r w:rsidRPr="000349EF">
        <w:t>symptom</w:t>
      </w:r>
      <w:proofErr w:type="gramEnd"/>
      <w:r w:rsidRPr="000349EF">
        <w:t xml:space="preserve"> and reflecting the less severe disease (which is more common in paediatric patients) and a positive RT-PCR. The VE against cases occurring 14 days or more after </w:t>
      </w:r>
      <w:r w:rsidR="0077374E" w:rsidRPr="000349EF">
        <w:t>Dose</w:t>
      </w:r>
      <w:r w:rsidR="008E4D88" w:rsidRPr="000349EF">
        <w:t> </w:t>
      </w:r>
      <w:r w:rsidR="0077374E" w:rsidRPr="000349EF">
        <w:t>1</w:t>
      </w:r>
      <w:r w:rsidRPr="000349EF">
        <w:t xml:space="preserve"> was based on 3 cases in the mRNA-1273 group and 14 cases in the placebo group. </w:t>
      </w:r>
      <w:r w:rsidR="008E4D88" w:rsidRPr="000349EF">
        <w:t xml:space="preserve">Vaccine efficacy </w:t>
      </w:r>
      <w:r w:rsidRPr="000349EF">
        <w:t>was 93.0% (95% CI: 75.1%, 98.7%).</w:t>
      </w:r>
    </w:p>
    <w:p w14:paraId="1DDE7DDC" w14:textId="2276E34A" w:rsidR="00172ACC" w:rsidRPr="000349EF" w:rsidRDefault="00172ACC" w:rsidP="00172ACC">
      <w:r w:rsidRPr="000349EF">
        <w:t>In Part 2</w:t>
      </w:r>
      <w:r w:rsidR="00DA021F" w:rsidRPr="000349EF">
        <w:t>,</w:t>
      </w:r>
      <w:r w:rsidRPr="000349EF">
        <w:t xml:space="preserve"> in the mITT1</w:t>
      </w:r>
      <w:r w:rsidR="00DA021F" w:rsidRPr="000349EF">
        <w:t xml:space="preserve"> population</w:t>
      </w:r>
      <w:r w:rsidRPr="000349EF">
        <w:t xml:space="preserve"> for the analysis of COVID-19 meeting the </w:t>
      </w:r>
      <w:r w:rsidR="008E4D88" w:rsidRPr="000349EF">
        <w:t>Study </w:t>
      </w:r>
      <w:r w:rsidRPr="000349EF">
        <w:t xml:space="preserve">P301 case definition for cases occurring 14 days or more after </w:t>
      </w:r>
      <w:r w:rsidR="0077374E" w:rsidRPr="000349EF">
        <w:t>Dose</w:t>
      </w:r>
      <w:r w:rsidR="008E4D88" w:rsidRPr="000349EF">
        <w:t> </w:t>
      </w:r>
      <w:r w:rsidR="0077374E" w:rsidRPr="000349EF">
        <w:t>1</w:t>
      </w:r>
      <w:r w:rsidRPr="000349EF">
        <w:t xml:space="preserve">, there were </w:t>
      </w:r>
      <w:r w:rsidR="008E4D88" w:rsidRPr="000349EF">
        <w:t>zero</w:t>
      </w:r>
      <w:r w:rsidRPr="000349EF">
        <w:t xml:space="preserve"> cases in the mRNA</w:t>
      </w:r>
      <w:r w:rsidR="008E4D88" w:rsidRPr="000349EF">
        <w:noBreakHyphen/>
      </w:r>
      <w:r w:rsidRPr="000349EF">
        <w:t>1273 group and 13 cases in the placebo group</w:t>
      </w:r>
      <w:r w:rsidR="008E4D88" w:rsidRPr="000349EF">
        <w:t>. Vaccine efficacy</w:t>
      </w:r>
      <w:r w:rsidRPr="000349EF">
        <w:t xml:space="preserve"> was 100% (95% CI: 89.3%, </w:t>
      </w:r>
      <w:r w:rsidR="008E4D88" w:rsidRPr="000349EF">
        <w:t>not estimable</w:t>
      </w:r>
      <w:r w:rsidRPr="000349EF">
        <w:t>).</w:t>
      </w:r>
    </w:p>
    <w:p w14:paraId="3FE826DC" w14:textId="530A7A5C" w:rsidR="00172ACC" w:rsidRPr="000349EF" w:rsidRDefault="00172ACC" w:rsidP="00172ACC">
      <w:r w:rsidRPr="000349EF">
        <w:t xml:space="preserve">In Part 2 in the mITT1 </w:t>
      </w:r>
      <w:r w:rsidR="00DA021F" w:rsidRPr="000349EF">
        <w:t xml:space="preserve">population </w:t>
      </w:r>
      <w:r w:rsidRPr="000349EF">
        <w:t xml:space="preserve">for the analysis of SARS-CoV-2 infection (regardless of symptoms) occurring 14 days or more after </w:t>
      </w:r>
      <w:r w:rsidR="0077374E" w:rsidRPr="000349EF">
        <w:t>Dose</w:t>
      </w:r>
      <w:r w:rsidR="008E4D88" w:rsidRPr="000349EF">
        <w:t> </w:t>
      </w:r>
      <w:r w:rsidR="0077374E" w:rsidRPr="000349EF">
        <w:t>1</w:t>
      </w:r>
      <w:r w:rsidRPr="000349EF">
        <w:t>, VE was based on 16 cases in the mRNA-1273</w:t>
      </w:r>
      <w:r w:rsidR="006B4B52" w:rsidRPr="000349EF">
        <w:t xml:space="preserve"> </w:t>
      </w:r>
      <w:r w:rsidRPr="000349EF">
        <w:t xml:space="preserve">group and 26 cases (3.0%) in the placebo group. </w:t>
      </w:r>
      <w:r w:rsidR="008E4D88" w:rsidRPr="000349EF">
        <w:t xml:space="preserve">Vaccine efficacy </w:t>
      </w:r>
      <w:r w:rsidRPr="000349EF">
        <w:t>was 80.1% (95% CI: 61.5%, 90.0%).</w:t>
      </w:r>
    </w:p>
    <w:p w14:paraId="30C768EE" w14:textId="155F1E6E" w:rsidR="00172ACC" w:rsidRPr="000349EF" w:rsidRDefault="00172ACC" w:rsidP="00172ACC">
      <w:r w:rsidRPr="000349EF">
        <w:t xml:space="preserve">In Part 2 in the mITT1 </w:t>
      </w:r>
      <w:r w:rsidR="00DA021F" w:rsidRPr="000349EF">
        <w:t xml:space="preserve">population </w:t>
      </w:r>
      <w:r w:rsidRPr="000349EF">
        <w:t xml:space="preserve">for asymptomatic SARS-CoV-2 infection, VE against cases occurring 14 days or more after </w:t>
      </w:r>
      <w:r w:rsidR="0077374E" w:rsidRPr="000349EF">
        <w:t>Dose</w:t>
      </w:r>
      <w:r w:rsidR="008E4D88" w:rsidRPr="000349EF">
        <w:t> </w:t>
      </w:r>
      <w:r w:rsidR="0077374E" w:rsidRPr="000349EF">
        <w:t>1</w:t>
      </w:r>
      <w:r w:rsidRPr="000349EF">
        <w:t xml:space="preserve"> was based on 13 cases in the mRNA-1273 group and 12</w:t>
      </w:r>
      <w:r w:rsidR="008E4D88" w:rsidRPr="000349EF">
        <w:t> </w:t>
      </w:r>
      <w:r w:rsidRPr="000349EF">
        <w:t>cases in the placebo group. Vaccine efficacy was 65.0% (95% CI: 16.1%, 85.3%).</w:t>
      </w:r>
    </w:p>
    <w:p w14:paraId="4A4A476C" w14:textId="33117BEC" w:rsidR="00172ACC" w:rsidRPr="000349EF" w:rsidRDefault="00D7275D" w:rsidP="00D7275D">
      <w:pPr>
        <w:pStyle w:val="TableTitle"/>
      </w:pPr>
      <w:r w:rsidRPr="000349EF">
        <w:t xml:space="preserve">Table </w:t>
      </w:r>
      <w:r w:rsidR="00571D7C">
        <w:fldChar w:fldCharType="begin"/>
      </w:r>
      <w:r w:rsidR="00571D7C">
        <w:instrText xml:space="preserve"> SEQ Table \* ARABIC </w:instrText>
      </w:r>
      <w:r w:rsidR="00571D7C">
        <w:fldChar w:fldCharType="separate"/>
      </w:r>
      <w:r w:rsidR="00235E4B">
        <w:rPr>
          <w:noProof/>
        </w:rPr>
        <w:t>12</w:t>
      </w:r>
      <w:r w:rsidR="00571D7C">
        <w:rPr>
          <w:noProof/>
        </w:rPr>
        <w:fldChar w:fldCharType="end"/>
      </w:r>
      <w:r w:rsidR="00172ACC" w:rsidRPr="000349EF">
        <w:t xml:space="preserve">: </w:t>
      </w:r>
      <w:r w:rsidR="00870F2D" w:rsidRPr="000349EF">
        <w:t xml:space="preserve">Study P204 </w:t>
      </w:r>
      <w:r w:rsidR="00172ACC" w:rsidRPr="000349EF">
        <w:t xml:space="preserve">Secondary efficacy endpoint analysis starting 14 days after </w:t>
      </w:r>
      <w:r w:rsidR="00870F2D" w:rsidRPr="000349EF">
        <w:t>D</w:t>
      </w:r>
      <w:r w:rsidR="00172ACC" w:rsidRPr="000349EF">
        <w:t>ose</w:t>
      </w:r>
      <w:r w:rsidR="00870F2D" w:rsidRPr="000349EF">
        <w:t> </w:t>
      </w:r>
      <w:r w:rsidR="00172ACC" w:rsidRPr="000349EF">
        <w:t>1 (</w:t>
      </w:r>
      <w:r w:rsidRPr="000349EF">
        <w:t>modified intent-to-treat </w:t>
      </w:r>
      <w:r w:rsidR="00172ACC" w:rsidRPr="000349EF">
        <w:t>1</w:t>
      </w:r>
      <w:r w:rsidR="00DA021F" w:rsidRPr="000349EF">
        <w:t xml:space="preserve"> population</w:t>
      </w:r>
      <w:r w:rsidR="00172ACC" w:rsidRPr="000349EF">
        <w:t>)</w:t>
      </w:r>
    </w:p>
    <w:p w14:paraId="65C39943" w14:textId="44DB30CB" w:rsidR="0073411E" w:rsidRPr="000349EF" w:rsidRDefault="0073411E" w:rsidP="00B03B45">
      <w:r w:rsidRPr="000349EF">
        <w:rPr>
          <w:noProof/>
          <w:lang w:val="en-GB" w:eastAsia="en-GB"/>
        </w:rPr>
        <w:drawing>
          <wp:inline distT="0" distB="0" distL="0" distR="0" wp14:anchorId="27EBAB06" wp14:editId="6A967CD1">
            <wp:extent cx="5400040" cy="2633345"/>
            <wp:effectExtent l="0" t="0" r="0" b="0"/>
            <wp:docPr id="28" name="Picture 28" descr="Table 12: Study P204 Secondary efficacy endpoint analysis starting 14 days after Dose 1 (modified intent-to-treat 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12: Study P204 Secondary efficacy endpoint analysis starting 14 days after Dose 1 (modified intent-to-treat 1 population)"/>
                    <pic:cNvPicPr/>
                  </pic:nvPicPr>
                  <pic:blipFill>
                    <a:blip r:embed="rId31"/>
                    <a:stretch>
                      <a:fillRect/>
                    </a:stretch>
                  </pic:blipFill>
                  <pic:spPr>
                    <a:xfrm>
                      <a:off x="0" y="0"/>
                      <a:ext cx="5400040" cy="2633345"/>
                    </a:xfrm>
                    <a:prstGeom prst="rect">
                      <a:avLst/>
                    </a:prstGeom>
                  </pic:spPr>
                </pic:pic>
              </a:graphicData>
            </a:graphic>
          </wp:inline>
        </w:drawing>
      </w:r>
    </w:p>
    <w:p w14:paraId="063FF0AE" w14:textId="3A6CB534" w:rsidR="00873683" w:rsidRPr="000349EF" w:rsidRDefault="00873683" w:rsidP="00873683">
      <w:pPr>
        <w:pStyle w:val="TableDescription"/>
      </w:pPr>
      <w:r w:rsidRPr="000349EF">
        <w:t xml:space="preserve">CDC = </w:t>
      </w:r>
      <w:proofErr w:type="spellStart"/>
      <w:r w:rsidRPr="000349EF">
        <w:t>Centers</w:t>
      </w:r>
      <w:proofErr w:type="spellEnd"/>
      <w:r w:rsidRPr="000349EF">
        <w:t xml:space="preserve"> for Disease Control and Prevention; CI = confidence interval; COVID 19 = coronavirus disease 2019; </w:t>
      </w:r>
      <w:proofErr w:type="spellStart"/>
      <w:r w:rsidRPr="000349EF">
        <w:t>mITT</w:t>
      </w:r>
      <w:proofErr w:type="spellEnd"/>
      <w:r w:rsidRPr="000349EF">
        <w:t xml:space="preserve"> = modified intent-to-treat; mRNA-1273 = Spikevax COVID-19 vaccine; N= population size; N1= number of participants at risk at 14 days after Dose 1 for specific efficacy endpoint; n = sample size; NE = not estimable; P301 = Study P301; SARS-CoV-2 = severe acute respiratory syndrome coronavirus</w:t>
      </w:r>
      <w:r w:rsidR="0040408D" w:rsidRPr="000349EF">
        <w:t> </w:t>
      </w:r>
      <w:r w:rsidRPr="000349EF">
        <w:t>2; VE = vaccine efficacy.</w:t>
      </w:r>
    </w:p>
    <w:p w14:paraId="5EFCCDAB" w14:textId="442459C5" w:rsidR="00873683" w:rsidRPr="000349EF" w:rsidRDefault="00873683" w:rsidP="00873683">
      <w:pPr>
        <w:pStyle w:val="TableDescription"/>
      </w:pPr>
      <w:r w:rsidRPr="000349EF">
        <w:lastRenderedPageBreak/>
        <w:t>a. Person-years is defined as the total years from the first injection date for Part 1 and the randomisation date for Part 2 to the date of event (CDC case definition of COVID-19, Study P301 case definition of COVID-19, asymptomatic SARS-CoV-2 infection, or SARS-CoV-2 infection, depending upon endpoint), last date of study participation, or efficacy data cut-off date, whichever is the earliest.</w:t>
      </w:r>
    </w:p>
    <w:p w14:paraId="609F74F7" w14:textId="070A1F6A" w:rsidR="00873683" w:rsidRPr="000349EF" w:rsidRDefault="00873683" w:rsidP="00873683">
      <w:pPr>
        <w:pStyle w:val="TableDescription"/>
      </w:pPr>
      <w:r w:rsidRPr="000349EF">
        <w:t>b. Incidence rate is defined as the number of participants with an event divided by the number of participants at risk and adjusted by person-years (total time at risk) in each treatment group. The 95% CI is calculated using the exact method (Poisson distribution) and adjusted by person-years.</w:t>
      </w:r>
    </w:p>
    <w:p w14:paraId="42E143AF" w14:textId="0F9DF31B" w:rsidR="00873683" w:rsidRPr="000349EF" w:rsidRDefault="00873683" w:rsidP="00873683">
      <w:pPr>
        <w:pStyle w:val="TableDescription"/>
      </w:pPr>
      <w:r w:rsidRPr="000349EF">
        <w:t>c. Vaccine efficacy is defined as 1 - ratio of incidence rate (mRNA-1273 versus placebo). The 95% CI of the ratio is calculated using the exact method conditional upon the total number of cases, adjusting for person-years.</w:t>
      </w:r>
    </w:p>
    <w:p w14:paraId="389F78EC" w14:textId="45759310" w:rsidR="00172ACC" w:rsidRPr="000349EF" w:rsidRDefault="00172ACC" w:rsidP="008E4D88">
      <w:r w:rsidRPr="000349EF">
        <w:t>The Delegate noted that Study</w:t>
      </w:r>
      <w:r w:rsidR="008E4D88" w:rsidRPr="000349EF">
        <w:t> </w:t>
      </w:r>
      <w:r w:rsidRPr="000349EF">
        <w:t>P204 was not designed to assess clinical efficacy of mRNA</w:t>
      </w:r>
      <w:r w:rsidR="008E4D88" w:rsidRPr="000349EF">
        <w:noBreakHyphen/>
      </w:r>
      <w:r w:rsidRPr="000349EF">
        <w:t>1273 but rather assess the endpoints of COVID-19 and SARS-CoV-2 infection as secondary endpoints. As the study was not sized to demonstrate efficacy and employed a 3:1 vaccine</w:t>
      </w:r>
      <w:r w:rsidR="008E4D88" w:rsidRPr="000349EF">
        <w:t xml:space="preserve"> to </w:t>
      </w:r>
      <w:r w:rsidRPr="000349EF">
        <w:t>placebo randomi</w:t>
      </w:r>
      <w:r w:rsidR="00A23298" w:rsidRPr="000349EF">
        <w:t>s</w:t>
      </w:r>
      <w:r w:rsidRPr="000349EF">
        <w:t>ation ratio, these endpoints can only be assessed in a secondary fashion. Due to very short duration of follow</w:t>
      </w:r>
      <w:r w:rsidR="00742530" w:rsidRPr="000349EF">
        <w:t>-</w:t>
      </w:r>
      <w:r w:rsidRPr="000349EF">
        <w:t xml:space="preserve">up </w:t>
      </w:r>
      <w:r w:rsidR="0077374E" w:rsidRPr="000349EF">
        <w:t>post-Dose</w:t>
      </w:r>
      <w:r w:rsidR="008E4D88" w:rsidRPr="000349EF">
        <w:t> </w:t>
      </w:r>
      <w:r w:rsidR="0077374E" w:rsidRPr="000349EF">
        <w:t>2</w:t>
      </w:r>
      <w:r w:rsidRPr="000349EF">
        <w:t xml:space="preserve">, there were not many COVID cases in the two study arms after the second dose. </w:t>
      </w:r>
      <w:r w:rsidR="00C70419" w:rsidRPr="000349EF">
        <w:t>The s</w:t>
      </w:r>
      <w:r w:rsidRPr="000349EF">
        <w:t xml:space="preserve">ponsor therefore choses to present the efficacy result </w:t>
      </w:r>
      <w:r w:rsidR="0077374E" w:rsidRPr="000349EF">
        <w:t>post-Dose</w:t>
      </w:r>
      <w:r w:rsidR="008E4D88" w:rsidRPr="000349EF">
        <w:t> </w:t>
      </w:r>
      <w:r w:rsidR="0077374E" w:rsidRPr="000349EF">
        <w:t>1</w:t>
      </w:r>
      <w:r w:rsidRPr="000349EF">
        <w:t xml:space="preserve">. The median follow-up for </w:t>
      </w:r>
      <w:r w:rsidR="008E4D88" w:rsidRPr="000349EF">
        <w:t>P</w:t>
      </w:r>
      <w:r w:rsidRPr="000349EF">
        <w:t>art</w:t>
      </w:r>
      <w:r w:rsidR="008E4D88" w:rsidRPr="000349EF">
        <w:t> </w:t>
      </w:r>
      <w:r w:rsidRPr="000349EF">
        <w:t xml:space="preserve">2 was 50 days </w:t>
      </w:r>
      <w:r w:rsidR="0077374E" w:rsidRPr="000349EF">
        <w:t>post-Dose</w:t>
      </w:r>
      <w:r w:rsidR="008E4D88" w:rsidRPr="000349EF">
        <w:t> </w:t>
      </w:r>
      <w:r w:rsidR="0077374E" w:rsidRPr="000349EF">
        <w:t>1</w:t>
      </w:r>
      <w:r w:rsidRPr="000349EF">
        <w:t xml:space="preserve"> and 20 days </w:t>
      </w:r>
      <w:r w:rsidR="0077374E" w:rsidRPr="000349EF">
        <w:t>post-Dose</w:t>
      </w:r>
      <w:r w:rsidR="008E4D88" w:rsidRPr="000349EF">
        <w:t> </w:t>
      </w:r>
      <w:r w:rsidR="0077374E" w:rsidRPr="000349EF">
        <w:t>2</w:t>
      </w:r>
      <w:r w:rsidRPr="000349EF">
        <w:t xml:space="preserve">. With the results starting 14 days </w:t>
      </w:r>
      <w:r w:rsidR="0077374E" w:rsidRPr="000349EF">
        <w:t>post-Dose</w:t>
      </w:r>
      <w:r w:rsidR="008E4D88" w:rsidRPr="000349EF">
        <w:t> </w:t>
      </w:r>
      <w:r w:rsidR="0077374E" w:rsidRPr="000349EF">
        <w:t>1</w:t>
      </w:r>
      <w:r w:rsidRPr="000349EF">
        <w:t>, there seems to be some protection against the symptomatic forms of the disease, but there was very wide confidence interval for the VE against asymptomatic disease. Overall, with the short follow</w:t>
      </w:r>
      <w:r w:rsidR="00742530" w:rsidRPr="000349EF">
        <w:t>-</w:t>
      </w:r>
      <w:r w:rsidRPr="000349EF">
        <w:t>up duration and lower case numbers, the VE analysis is not considered reliable.</w:t>
      </w:r>
    </w:p>
    <w:p w14:paraId="5BCF1562" w14:textId="1DA1D68B" w:rsidR="00172ACC" w:rsidRPr="000349EF" w:rsidRDefault="00172ACC" w:rsidP="006B4B52">
      <w:pPr>
        <w:pStyle w:val="Heading4"/>
      </w:pPr>
      <w:bookmarkStart w:id="63" w:name="_Toc87980878"/>
      <w:r w:rsidRPr="000349EF">
        <w:t>Safety</w:t>
      </w:r>
      <w:bookmarkEnd w:id="63"/>
    </w:p>
    <w:p w14:paraId="3274462A" w14:textId="0F97E9C2" w:rsidR="00172ACC" w:rsidRPr="000349EF" w:rsidRDefault="00172ACC" w:rsidP="00172ACC">
      <w:r w:rsidRPr="000349EF">
        <w:t>Study</w:t>
      </w:r>
      <w:r w:rsidR="008E4D88" w:rsidRPr="000349EF">
        <w:t> </w:t>
      </w:r>
      <w:r w:rsidRPr="000349EF">
        <w:t>P204 collected solicited adverse reactions (ARs) for 7 days after each injection (Parts 1 and 2), unsolicited AEs for 28 days after each injection, serious adverse events (SAEs), medically attended adverse events (MAAEs), adverse events of special interest (AESIs), and AEs leading to withdrawals through the last day of study participation.</w:t>
      </w:r>
    </w:p>
    <w:p w14:paraId="77735824" w14:textId="5498F8F1" w:rsidR="00172ACC" w:rsidRPr="000349EF" w:rsidRDefault="00172ACC" w:rsidP="00D23AE4">
      <w:r w:rsidRPr="000349EF">
        <w:t>As of the snapshot date of 6 October 2021, for the 6 to &lt;</w:t>
      </w:r>
      <w:r w:rsidR="00DD7DB2" w:rsidRPr="000349EF">
        <w:t> </w:t>
      </w:r>
      <w:r w:rsidRPr="000349EF">
        <w:t>12</w:t>
      </w:r>
      <w:r w:rsidR="00A217FF" w:rsidRPr="000349EF">
        <w:t>-</w:t>
      </w:r>
      <w:r w:rsidRPr="000349EF">
        <w:t>year</w:t>
      </w:r>
      <w:r w:rsidR="00DA021F" w:rsidRPr="000349EF">
        <w:t>s of</w:t>
      </w:r>
      <w:r w:rsidR="00A217FF" w:rsidRPr="000349EF">
        <w:t xml:space="preserve"> </w:t>
      </w:r>
      <w:r w:rsidRPr="000349EF">
        <w:t>age group, a total of 3387</w:t>
      </w:r>
      <w:r w:rsidR="00D23AE4" w:rsidRPr="000349EF">
        <w:t> </w:t>
      </w:r>
      <w:r w:rsidRPr="000349EF">
        <w:t xml:space="preserve">participants received at least </w:t>
      </w:r>
      <w:r w:rsidR="00DD7DB2" w:rsidRPr="000349EF">
        <w:t>one</w:t>
      </w:r>
      <w:r w:rsidRPr="000349EF">
        <w:t xml:space="preserve"> dose of 50</w:t>
      </w:r>
      <w:r w:rsidR="00D23AE4" w:rsidRPr="000349EF">
        <w:t> </w:t>
      </w:r>
      <w:proofErr w:type="spellStart"/>
      <w:r w:rsidRPr="000349EF">
        <w:t>μg</w:t>
      </w:r>
      <w:proofErr w:type="spellEnd"/>
      <w:r w:rsidRPr="000349EF">
        <w:t xml:space="preserve"> of mRNA-1273 (380 in Part</w:t>
      </w:r>
      <w:r w:rsidR="00D23AE4" w:rsidRPr="000349EF">
        <w:t> </w:t>
      </w:r>
      <w:r w:rsidRPr="000349EF">
        <w:t>1 dose selection and 3007 in Part</w:t>
      </w:r>
      <w:r w:rsidR="00D23AE4" w:rsidRPr="000349EF">
        <w:t> </w:t>
      </w:r>
      <w:r w:rsidRPr="000349EF">
        <w:t>2) and 995 participants who received placebo in Part</w:t>
      </w:r>
      <w:r w:rsidR="00D23AE4" w:rsidRPr="000349EF">
        <w:t> </w:t>
      </w:r>
      <w:r w:rsidRPr="000349EF">
        <w:t xml:space="preserve">2. There were 371 participants who received at least </w:t>
      </w:r>
      <w:r w:rsidR="00DD7DB2" w:rsidRPr="000349EF">
        <w:t>one</w:t>
      </w:r>
      <w:r w:rsidRPr="000349EF">
        <w:t xml:space="preserve"> dose of 100</w:t>
      </w:r>
      <w:r w:rsidR="00D23AE4" w:rsidRPr="000349EF">
        <w:t> </w:t>
      </w:r>
      <w:proofErr w:type="spellStart"/>
      <w:r w:rsidRPr="000349EF">
        <w:t>μg</w:t>
      </w:r>
      <w:proofErr w:type="spellEnd"/>
      <w:r w:rsidRPr="000349EF">
        <w:t xml:space="preserve"> mRNA</w:t>
      </w:r>
      <w:r w:rsidRPr="000349EF">
        <w:noBreakHyphen/>
        <w:t>1273 in Part</w:t>
      </w:r>
      <w:r w:rsidR="00D23AE4" w:rsidRPr="000349EF">
        <w:t> </w:t>
      </w:r>
      <w:r w:rsidRPr="000349EF">
        <w:t>1.</w:t>
      </w:r>
    </w:p>
    <w:p w14:paraId="4155B2A1" w14:textId="780815CF" w:rsidR="00172ACC" w:rsidRPr="000349EF" w:rsidRDefault="00D23AE4" w:rsidP="00172ACC">
      <w:r w:rsidRPr="000349EF">
        <w:fldChar w:fldCharType="begin"/>
      </w:r>
      <w:r w:rsidRPr="000349EF">
        <w:instrText xml:space="preserve"> REF _Ref91007941 \h </w:instrText>
      </w:r>
      <w:r w:rsidR="008C1E85" w:rsidRPr="000349EF">
        <w:instrText xml:space="preserve"> \* MERGEFORMAT </w:instrText>
      </w:r>
      <w:r w:rsidRPr="000349EF">
        <w:fldChar w:fldCharType="separate"/>
      </w:r>
      <w:r w:rsidR="00235E4B" w:rsidRPr="000349EF">
        <w:t xml:space="preserve">Table </w:t>
      </w:r>
      <w:r w:rsidR="00235E4B">
        <w:rPr>
          <w:noProof/>
        </w:rPr>
        <w:t>13</w:t>
      </w:r>
      <w:r w:rsidRPr="000349EF">
        <w:fldChar w:fldCharType="end"/>
      </w:r>
      <w:r w:rsidR="00172ACC" w:rsidRPr="000349EF">
        <w:t xml:space="preserve"> below summarised the duration and the number of subjects who received the 50</w:t>
      </w:r>
      <w:r w:rsidRPr="000349EF">
        <w:t> </w:t>
      </w:r>
      <w:proofErr w:type="spellStart"/>
      <w:r w:rsidR="00172ACC" w:rsidRPr="000349EF">
        <w:t>μg</w:t>
      </w:r>
      <w:proofErr w:type="spellEnd"/>
      <w:r w:rsidR="00172ACC" w:rsidRPr="000349EF">
        <w:t xml:space="preserve"> of the mRNA-1273 in both Part</w:t>
      </w:r>
      <w:r w:rsidRPr="000349EF">
        <w:t> </w:t>
      </w:r>
      <w:r w:rsidR="00172ACC" w:rsidRPr="000349EF">
        <w:t>1 and Part</w:t>
      </w:r>
      <w:r w:rsidRPr="000349EF">
        <w:t> </w:t>
      </w:r>
      <w:r w:rsidR="00172ACC" w:rsidRPr="000349EF">
        <w:t>2 of the study.</w:t>
      </w:r>
    </w:p>
    <w:p w14:paraId="0FB2AEBF" w14:textId="283EDADE" w:rsidR="00172ACC" w:rsidRPr="000349EF" w:rsidRDefault="00D7275D" w:rsidP="00D7275D">
      <w:pPr>
        <w:pStyle w:val="TableTitle"/>
      </w:pPr>
      <w:bookmarkStart w:id="64" w:name="_Ref91007941"/>
      <w:r w:rsidRPr="000349EF">
        <w:t xml:space="preserve">Table </w:t>
      </w:r>
      <w:r w:rsidR="00571D7C">
        <w:fldChar w:fldCharType="begin"/>
      </w:r>
      <w:r w:rsidR="00571D7C">
        <w:instrText xml:space="preserve"> SEQ Table \* ARABIC </w:instrText>
      </w:r>
      <w:r w:rsidR="00571D7C">
        <w:fldChar w:fldCharType="separate"/>
      </w:r>
      <w:r w:rsidR="00235E4B">
        <w:rPr>
          <w:noProof/>
        </w:rPr>
        <w:t>13</w:t>
      </w:r>
      <w:r w:rsidR="00571D7C">
        <w:rPr>
          <w:noProof/>
        </w:rPr>
        <w:fldChar w:fldCharType="end"/>
      </w:r>
      <w:bookmarkEnd w:id="64"/>
      <w:r w:rsidR="00172ACC" w:rsidRPr="000349EF">
        <w:t xml:space="preserve">: </w:t>
      </w:r>
      <w:r w:rsidRPr="000349EF">
        <w:t xml:space="preserve">Study P204 </w:t>
      </w:r>
      <w:r w:rsidR="00172ACC" w:rsidRPr="000349EF">
        <w:t>Summary of study duration by age group</w:t>
      </w:r>
    </w:p>
    <w:p w14:paraId="7249FB32" w14:textId="68970FB6" w:rsidR="00FC6650" w:rsidRPr="000349EF" w:rsidRDefault="00FC6650" w:rsidP="00FC6650">
      <w:r w:rsidRPr="000349EF">
        <w:rPr>
          <w:noProof/>
          <w:lang w:val="en-GB" w:eastAsia="en-GB"/>
        </w:rPr>
        <w:drawing>
          <wp:inline distT="0" distB="0" distL="0" distR="0" wp14:anchorId="06429D4D" wp14:editId="1C053E05">
            <wp:extent cx="5400040" cy="1918970"/>
            <wp:effectExtent l="0" t="0" r="0" b="5080"/>
            <wp:docPr id="2" name="Picture 2" descr="Table 13: Study P204 Summary of study duration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3: Study P204 Summary of study duration by age group"/>
                    <pic:cNvPicPr/>
                  </pic:nvPicPr>
                  <pic:blipFill>
                    <a:blip r:embed="rId32"/>
                    <a:stretch>
                      <a:fillRect/>
                    </a:stretch>
                  </pic:blipFill>
                  <pic:spPr>
                    <a:xfrm>
                      <a:off x="0" y="0"/>
                      <a:ext cx="5400040" cy="1918970"/>
                    </a:xfrm>
                    <a:prstGeom prst="rect">
                      <a:avLst/>
                    </a:prstGeom>
                  </pic:spPr>
                </pic:pic>
              </a:graphicData>
            </a:graphic>
          </wp:inline>
        </w:drawing>
      </w:r>
    </w:p>
    <w:p w14:paraId="67417CDE" w14:textId="7770607B" w:rsidR="008B723B" w:rsidRPr="000349EF" w:rsidRDefault="008B723B" w:rsidP="00FC6650">
      <w:pPr>
        <w:pStyle w:val="TableDescription"/>
      </w:pPr>
      <w:r w:rsidRPr="000349EF">
        <w:t>mRNA-1273 = Spikevax COVID-19 vaccine</w:t>
      </w:r>
      <w:r w:rsidR="00FC6650" w:rsidRPr="000349EF">
        <w:t>; N = po</w:t>
      </w:r>
      <w:r w:rsidR="00A836FB" w:rsidRPr="000349EF">
        <w:t>p</w:t>
      </w:r>
      <w:r w:rsidR="00FC6650" w:rsidRPr="000349EF">
        <w:t>ulation size; n = sample size; Q1 = the first quarter; Q3 = the third quarter; SD = standard deviation.</w:t>
      </w:r>
    </w:p>
    <w:p w14:paraId="2285E68F" w14:textId="29A16837" w:rsidR="00FC6650" w:rsidRPr="000349EF" w:rsidRDefault="00FC6650" w:rsidP="00FC6650">
      <w:pPr>
        <w:pStyle w:val="TableDescription"/>
      </w:pPr>
      <w:r w:rsidRPr="000349EF">
        <w:t>Age group: ≥ 6 and &lt; 12 years</w:t>
      </w:r>
    </w:p>
    <w:p w14:paraId="7BEBB09B" w14:textId="59C2945A" w:rsidR="00FC6650" w:rsidRPr="000349EF" w:rsidRDefault="00FC6650" w:rsidP="00FC6650">
      <w:pPr>
        <w:pStyle w:val="TableDescription"/>
      </w:pPr>
      <w:r w:rsidRPr="000349EF">
        <w:t>Percentages are based on the number of subjects in safety subjects.</w:t>
      </w:r>
    </w:p>
    <w:p w14:paraId="76D6DED5" w14:textId="39C2E218" w:rsidR="00FC6650" w:rsidRPr="000349EF" w:rsidRDefault="00FC6650" w:rsidP="00FC6650">
      <w:pPr>
        <w:pStyle w:val="TableDescription"/>
      </w:pPr>
      <w:r w:rsidRPr="000349EF">
        <w:lastRenderedPageBreak/>
        <w:t>Study duration from randomisation (days): calculated from randomisation date for Part 2 subjects and from first dose date for Part 1 subjects.</w:t>
      </w:r>
    </w:p>
    <w:p w14:paraId="34F15555" w14:textId="7D6189B6" w:rsidR="00FC6650" w:rsidRPr="000349EF" w:rsidRDefault="00FC6650" w:rsidP="00FC6650">
      <w:pPr>
        <w:pStyle w:val="TableDescription"/>
      </w:pPr>
      <w:r w:rsidRPr="000349EF">
        <w:t>1</w:t>
      </w:r>
      <w:r w:rsidR="00C303E8" w:rsidRPr="000349EF">
        <w:t>.</w:t>
      </w:r>
      <w:r w:rsidRPr="000349EF">
        <w:t xml:space="preserve"> Person-years is defined as the total years from the first dose date to the earlier date of study discontinuation or data cut-off.</w:t>
      </w:r>
    </w:p>
    <w:p w14:paraId="195F0716" w14:textId="417F65C1" w:rsidR="00FC6650" w:rsidRPr="000349EF" w:rsidRDefault="00FC6650" w:rsidP="008B723B">
      <w:pPr>
        <w:pStyle w:val="TableDescription"/>
      </w:pPr>
      <w:r w:rsidRPr="000349EF">
        <w:t>2</w:t>
      </w:r>
      <w:r w:rsidR="00C303E8" w:rsidRPr="000349EF">
        <w:t>.</w:t>
      </w:r>
      <w:r w:rsidRPr="000349EF">
        <w:t xml:space="preserve"> Study duration from second injection is zero day for subjects who did not receive second injection.</w:t>
      </w:r>
    </w:p>
    <w:p w14:paraId="60B79D6C" w14:textId="0AA3A638" w:rsidR="00172ACC" w:rsidRPr="000349EF" w:rsidRDefault="00172ACC" w:rsidP="00172ACC">
      <w:r w:rsidRPr="000349EF">
        <w:t>In Part</w:t>
      </w:r>
      <w:r w:rsidR="00D23AE4" w:rsidRPr="000349EF">
        <w:t> </w:t>
      </w:r>
      <w:r w:rsidRPr="000349EF">
        <w:t>1, 380 participants in the 50</w:t>
      </w:r>
      <w:r w:rsidR="00D23AE4" w:rsidRPr="000349EF">
        <w:t> </w:t>
      </w:r>
      <w:proofErr w:type="spellStart"/>
      <w:r w:rsidRPr="000349EF">
        <w:t>μg</w:t>
      </w:r>
      <w:proofErr w:type="spellEnd"/>
      <w:r w:rsidRPr="000349EF">
        <w:t xml:space="preserve"> group and 371 participants in the 100</w:t>
      </w:r>
      <w:r w:rsidR="00D23AE4" w:rsidRPr="000349EF">
        <w:t> </w:t>
      </w:r>
      <w:proofErr w:type="spellStart"/>
      <w:r w:rsidRPr="000349EF">
        <w:t>μg</w:t>
      </w:r>
      <w:proofErr w:type="spellEnd"/>
      <w:r w:rsidRPr="000349EF">
        <w:t xml:space="preserve"> group received </w:t>
      </w:r>
      <w:r w:rsidR="0077374E" w:rsidRPr="000349EF">
        <w:t>Dose</w:t>
      </w:r>
      <w:r w:rsidR="00D23AE4" w:rsidRPr="000349EF">
        <w:t> </w:t>
      </w:r>
      <w:r w:rsidR="0077374E" w:rsidRPr="000349EF">
        <w:t>1</w:t>
      </w:r>
      <w:r w:rsidRPr="000349EF">
        <w:t xml:space="preserve"> and 379 participants in the 50</w:t>
      </w:r>
      <w:r w:rsidR="00D23AE4" w:rsidRPr="000349EF">
        <w:t> </w:t>
      </w:r>
      <w:proofErr w:type="spellStart"/>
      <w:r w:rsidRPr="000349EF">
        <w:t>μg</w:t>
      </w:r>
      <w:proofErr w:type="spellEnd"/>
      <w:r w:rsidRPr="000349EF">
        <w:t xml:space="preserve"> group and 371 participants in the 100</w:t>
      </w:r>
      <w:r w:rsidR="00D23AE4" w:rsidRPr="000349EF">
        <w:t> </w:t>
      </w:r>
      <w:proofErr w:type="spellStart"/>
      <w:r w:rsidRPr="000349EF">
        <w:t>μg</w:t>
      </w:r>
      <w:proofErr w:type="spellEnd"/>
      <w:r w:rsidRPr="000349EF">
        <w:t xml:space="preserve"> group received </w:t>
      </w:r>
      <w:r w:rsidR="0077374E" w:rsidRPr="000349EF">
        <w:t>Dose</w:t>
      </w:r>
      <w:r w:rsidR="00D23AE4" w:rsidRPr="000349EF">
        <w:t> </w:t>
      </w:r>
      <w:r w:rsidR="0077374E" w:rsidRPr="000349EF">
        <w:t>2</w:t>
      </w:r>
      <w:r w:rsidRPr="000349EF">
        <w:t>. A total of 379 children in the 50</w:t>
      </w:r>
      <w:r w:rsidR="00D23AE4" w:rsidRPr="000349EF">
        <w:t> </w:t>
      </w:r>
      <w:proofErr w:type="spellStart"/>
      <w:r w:rsidRPr="000349EF">
        <w:t>μg</w:t>
      </w:r>
      <w:proofErr w:type="spellEnd"/>
      <w:r w:rsidRPr="000349EF">
        <w:t xml:space="preserve"> group and 370 children in the 100</w:t>
      </w:r>
      <w:r w:rsidR="00D23AE4" w:rsidRPr="000349EF">
        <w:t> </w:t>
      </w:r>
      <w:proofErr w:type="spellStart"/>
      <w:r w:rsidRPr="000349EF">
        <w:t>μg</w:t>
      </w:r>
      <w:proofErr w:type="spellEnd"/>
      <w:r w:rsidRPr="000349EF">
        <w:t xml:space="preserve"> group have been followed for 2 months (56 days) or more after </w:t>
      </w:r>
      <w:r w:rsidR="0077374E" w:rsidRPr="000349EF">
        <w:t>Dose</w:t>
      </w:r>
      <w:r w:rsidR="00D23AE4" w:rsidRPr="000349EF">
        <w:t> </w:t>
      </w:r>
      <w:r w:rsidR="0077374E" w:rsidRPr="000349EF">
        <w:t>2</w:t>
      </w:r>
      <w:r w:rsidRPr="000349EF">
        <w:t>.</w:t>
      </w:r>
    </w:p>
    <w:p w14:paraId="373FBC8D" w14:textId="19CA7D9B" w:rsidR="00172ACC" w:rsidRPr="000349EF" w:rsidRDefault="00D7275D" w:rsidP="00D7275D">
      <w:pPr>
        <w:pStyle w:val="TableTitle"/>
      </w:pPr>
      <w:r w:rsidRPr="000349EF">
        <w:t xml:space="preserve">Table </w:t>
      </w:r>
      <w:r w:rsidR="00571D7C">
        <w:fldChar w:fldCharType="begin"/>
      </w:r>
      <w:r w:rsidR="00571D7C">
        <w:instrText xml:space="preserve"> SEQ </w:instrText>
      </w:r>
      <w:r w:rsidR="00571D7C">
        <w:instrText xml:space="preserve">Table \* ARABIC </w:instrText>
      </w:r>
      <w:r w:rsidR="00571D7C">
        <w:fldChar w:fldCharType="separate"/>
      </w:r>
      <w:r w:rsidR="00235E4B">
        <w:rPr>
          <w:noProof/>
        </w:rPr>
        <w:t>14</w:t>
      </w:r>
      <w:r w:rsidR="00571D7C">
        <w:rPr>
          <w:noProof/>
        </w:rPr>
        <w:fldChar w:fldCharType="end"/>
      </w:r>
      <w:r w:rsidR="00172ACC" w:rsidRPr="000349EF">
        <w:t xml:space="preserve">: </w:t>
      </w:r>
      <w:r w:rsidRPr="000349EF">
        <w:t xml:space="preserve">Study P204 Part 1 </w:t>
      </w:r>
      <w:r w:rsidR="00172ACC" w:rsidRPr="000349EF">
        <w:t>Summary of study duration by dose level (safety set)</w:t>
      </w:r>
    </w:p>
    <w:p w14:paraId="24814611" w14:textId="11B6E471" w:rsidR="007F5C9B" w:rsidRPr="000349EF" w:rsidRDefault="007F5C9B" w:rsidP="00B03B45">
      <w:r w:rsidRPr="000349EF">
        <w:rPr>
          <w:noProof/>
          <w:lang w:val="en-GB" w:eastAsia="en-GB"/>
        </w:rPr>
        <w:drawing>
          <wp:inline distT="0" distB="0" distL="0" distR="0" wp14:anchorId="30668F8E" wp14:editId="3FCF6FE3">
            <wp:extent cx="5400040" cy="1673225"/>
            <wp:effectExtent l="0" t="0" r="0" b="3175"/>
            <wp:docPr id="37" name="Picture 37" descr="Table 14: Study P204 Part 1 Summary of study duration by dose leve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14: Study P204 Part 1 Summary of study duration by dose level (safety set)"/>
                    <pic:cNvPicPr/>
                  </pic:nvPicPr>
                  <pic:blipFill>
                    <a:blip r:embed="rId33"/>
                    <a:stretch>
                      <a:fillRect/>
                    </a:stretch>
                  </pic:blipFill>
                  <pic:spPr>
                    <a:xfrm>
                      <a:off x="0" y="0"/>
                      <a:ext cx="5400040" cy="1673225"/>
                    </a:xfrm>
                    <a:prstGeom prst="rect">
                      <a:avLst/>
                    </a:prstGeom>
                  </pic:spPr>
                </pic:pic>
              </a:graphicData>
            </a:graphic>
          </wp:inline>
        </w:drawing>
      </w:r>
    </w:p>
    <w:p w14:paraId="214E8D66" w14:textId="2D3251A9" w:rsidR="007F5C9B" w:rsidRPr="000349EF" w:rsidRDefault="007F5C9B" w:rsidP="007F5C9B">
      <w:pPr>
        <w:pStyle w:val="TableDescription"/>
      </w:pPr>
      <w:r w:rsidRPr="000349EF">
        <w:t>Max = maximum; min = minimum; mRNA-1273 = Spikevax COVID-19 vaccine; N</w:t>
      </w:r>
      <w:r w:rsidR="00E93806" w:rsidRPr="000349EF">
        <w:t> </w:t>
      </w:r>
      <w:r w:rsidRPr="000349EF">
        <w:t>=</w:t>
      </w:r>
      <w:r w:rsidR="00E93806" w:rsidRPr="000349EF">
        <w:t> </w:t>
      </w:r>
      <w:r w:rsidRPr="000349EF">
        <w:t>population size; n = sample size.</w:t>
      </w:r>
    </w:p>
    <w:p w14:paraId="7F1F3390" w14:textId="0B40FD4F" w:rsidR="00172ACC" w:rsidRPr="000349EF" w:rsidRDefault="007F5C9B" w:rsidP="007F5C9B">
      <w:pPr>
        <w:pStyle w:val="TableDescription"/>
      </w:pPr>
      <w:r w:rsidRPr="000349EF">
        <w:t>Percentages are based on the number of participants in the safety set for Part 1.</w:t>
      </w:r>
    </w:p>
    <w:p w14:paraId="6B0A1AC3" w14:textId="326A1354" w:rsidR="00172ACC" w:rsidRPr="000349EF" w:rsidRDefault="00172ACC" w:rsidP="00172ACC">
      <w:r w:rsidRPr="000349EF">
        <w:t>In Part 2, the median follow</w:t>
      </w:r>
      <w:r w:rsidR="00D23AE4" w:rsidRPr="000349EF">
        <w:t>-</w:t>
      </w:r>
      <w:r w:rsidRPr="000349EF">
        <w:t xml:space="preserve">up duration was 50 days after </w:t>
      </w:r>
      <w:r w:rsidR="0077374E" w:rsidRPr="000349EF">
        <w:t>Dose</w:t>
      </w:r>
      <w:r w:rsidR="00D23AE4" w:rsidRPr="000349EF">
        <w:t> </w:t>
      </w:r>
      <w:r w:rsidR="0077374E" w:rsidRPr="000349EF">
        <w:t>1</w:t>
      </w:r>
      <w:r w:rsidRPr="000349EF">
        <w:t xml:space="preserve"> and 20 days after </w:t>
      </w:r>
      <w:r w:rsidR="0077374E" w:rsidRPr="000349EF">
        <w:t>Dose</w:t>
      </w:r>
      <w:r w:rsidR="00D23AE4" w:rsidRPr="000349EF">
        <w:t> </w:t>
      </w:r>
      <w:r w:rsidR="0077374E" w:rsidRPr="000349EF">
        <w:t>2</w:t>
      </w:r>
      <w:r w:rsidRPr="000349EF">
        <w:t xml:space="preserve">. A total of 2958 subjects in the mRNA-1273 group and 962 (96.7%) in the placebo group have been followed for 7 days or more after </w:t>
      </w:r>
      <w:r w:rsidR="0077374E" w:rsidRPr="000349EF">
        <w:t>Dose</w:t>
      </w:r>
      <w:r w:rsidR="00D23AE4" w:rsidRPr="000349EF">
        <w:t> </w:t>
      </w:r>
      <w:r w:rsidR="0077374E" w:rsidRPr="000349EF">
        <w:t>2</w:t>
      </w:r>
      <w:r w:rsidRPr="000349EF">
        <w:t>. A total of 474 (15.8%) subjects in the mRNA-1273 group and 165 (16.6%) in the placebo group have been followed for 28</w:t>
      </w:r>
      <w:r w:rsidR="00D23AE4" w:rsidRPr="000349EF">
        <w:t> </w:t>
      </w:r>
      <w:r w:rsidRPr="000349EF">
        <w:t xml:space="preserve">days or more after </w:t>
      </w:r>
      <w:r w:rsidR="0077374E" w:rsidRPr="000349EF">
        <w:t>Dose</w:t>
      </w:r>
      <w:r w:rsidR="00D23AE4" w:rsidRPr="000349EF">
        <w:t> </w:t>
      </w:r>
      <w:r w:rsidR="0077374E" w:rsidRPr="000349EF">
        <w:t>2</w:t>
      </w:r>
      <w:r w:rsidRPr="000349EF">
        <w:t>. At the time of data snapshot, no subjects had been followed for ≥</w:t>
      </w:r>
      <w:r w:rsidR="00D23AE4" w:rsidRPr="000349EF">
        <w:t> </w:t>
      </w:r>
      <w:r w:rsidRPr="000349EF">
        <w:t xml:space="preserve">56 days </w:t>
      </w:r>
      <w:r w:rsidR="0077374E" w:rsidRPr="000349EF">
        <w:t>post-Dose</w:t>
      </w:r>
      <w:r w:rsidR="00D23AE4" w:rsidRPr="000349EF">
        <w:t> </w:t>
      </w:r>
      <w:r w:rsidR="0077374E" w:rsidRPr="000349EF">
        <w:t>2</w:t>
      </w:r>
      <w:r w:rsidRPr="000349EF">
        <w:t>.</w:t>
      </w:r>
    </w:p>
    <w:p w14:paraId="23D3588E" w14:textId="5E3A9A14" w:rsidR="00172ACC" w:rsidRPr="000349EF" w:rsidRDefault="00D7275D" w:rsidP="00D7275D">
      <w:pPr>
        <w:pStyle w:val="TableTitle"/>
      </w:pPr>
      <w:r w:rsidRPr="000349EF">
        <w:t xml:space="preserve">Table </w:t>
      </w:r>
      <w:r w:rsidR="00571D7C">
        <w:fldChar w:fldCharType="begin"/>
      </w:r>
      <w:r w:rsidR="00571D7C">
        <w:instrText xml:space="preserve"> SEQ Table \* AR</w:instrText>
      </w:r>
      <w:r w:rsidR="00571D7C">
        <w:instrText xml:space="preserve">ABIC </w:instrText>
      </w:r>
      <w:r w:rsidR="00571D7C">
        <w:fldChar w:fldCharType="separate"/>
      </w:r>
      <w:r w:rsidR="00235E4B">
        <w:rPr>
          <w:noProof/>
        </w:rPr>
        <w:t>15</w:t>
      </w:r>
      <w:r w:rsidR="00571D7C">
        <w:rPr>
          <w:noProof/>
        </w:rPr>
        <w:fldChar w:fldCharType="end"/>
      </w:r>
      <w:r w:rsidRPr="000349EF">
        <w:t>: Study P204</w:t>
      </w:r>
      <w:r w:rsidR="00172ACC" w:rsidRPr="000349EF">
        <w:t xml:space="preserve"> </w:t>
      </w:r>
      <w:r w:rsidRPr="000349EF">
        <w:t xml:space="preserve">Part 2 </w:t>
      </w:r>
      <w:r w:rsidR="00172ACC" w:rsidRPr="000349EF">
        <w:t>Summary of study duration (safety set)</w:t>
      </w:r>
    </w:p>
    <w:p w14:paraId="607A8E5C" w14:textId="741E3FEF" w:rsidR="007F5C9B" w:rsidRPr="000349EF" w:rsidRDefault="007F5C9B" w:rsidP="007F5C9B">
      <w:r w:rsidRPr="000349EF">
        <w:rPr>
          <w:noProof/>
          <w:lang w:val="en-GB" w:eastAsia="en-GB"/>
        </w:rPr>
        <w:drawing>
          <wp:inline distT="0" distB="0" distL="0" distR="0" wp14:anchorId="47879F92" wp14:editId="431AA4B4">
            <wp:extent cx="5400040" cy="1805305"/>
            <wp:effectExtent l="0" t="0" r="0" b="4445"/>
            <wp:docPr id="38" name="Picture 38" descr="Table 15: Study P204 Part 2 Summary of study dur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 15: Study P204 Part 2 Summary of study duration (safety set)"/>
                    <pic:cNvPicPr/>
                  </pic:nvPicPr>
                  <pic:blipFill>
                    <a:blip r:embed="rId34"/>
                    <a:stretch>
                      <a:fillRect/>
                    </a:stretch>
                  </pic:blipFill>
                  <pic:spPr>
                    <a:xfrm>
                      <a:off x="0" y="0"/>
                      <a:ext cx="5400040" cy="1805305"/>
                    </a:xfrm>
                    <a:prstGeom prst="rect">
                      <a:avLst/>
                    </a:prstGeom>
                  </pic:spPr>
                </pic:pic>
              </a:graphicData>
            </a:graphic>
          </wp:inline>
        </w:drawing>
      </w:r>
    </w:p>
    <w:p w14:paraId="35FE731F" w14:textId="7E738759" w:rsidR="007F5C9B" w:rsidRPr="000349EF" w:rsidRDefault="007F5C9B" w:rsidP="007F5C9B">
      <w:pPr>
        <w:pStyle w:val="TableDescription"/>
      </w:pPr>
      <w:r w:rsidRPr="000349EF">
        <w:t>Max = maximum; min = minimum; mRNA-1273 = Spikevax COVID-19 vaccine; N</w:t>
      </w:r>
      <w:r w:rsidR="00E93806" w:rsidRPr="000349EF">
        <w:t> </w:t>
      </w:r>
      <w:r w:rsidRPr="000349EF">
        <w:t>=</w:t>
      </w:r>
      <w:r w:rsidR="00E93806" w:rsidRPr="000349EF">
        <w:t> </w:t>
      </w:r>
      <w:r w:rsidRPr="000349EF">
        <w:t>population size; n = sample size.</w:t>
      </w:r>
    </w:p>
    <w:p w14:paraId="7DF90CFC" w14:textId="2746AC70" w:rsidR="00172ACC" w:rsidRPr="000349EF" w:rsidRDefault="007F5C9B" w:rsidP="007F5C9B">
      <w:pPr>
        <w:pStyle w:val="TableDescription"/>
      </w:pPr>
      <w:r w:rsidRPr="000349EF">
        <w:t xml:space="preserve">Percentages are based on the number of participants in </w:t>
      </w:r>
      <w:r w:rsidR="003E53F0" w:rsidRPr="000349EF">
        <w:t xml:space="preserve">the safety set </w:t>
      </w:r>
      <w:r w:rsidRPr="000349EF">
        <w:t>for Part 2.</w:t>
      </w:r>
    </w:p>
    <w:p w14:paraId="3DD9529B" w14:textId="77777777" w:rsidR="00172ACC" w:rsidRPr="000349EF" w:rsidRDefault="00172ACC" w:rsidP="006B4B52">
      <w:pPr>
        <w:pStyle w:val="Heading5"/>
        <w:rPr>
          <w:rFonts w:eastAsiaTheme="minorHAnsi"/>
        </w:rPr>
      </w:pPr>
      <w:r w:rsidRPr="000349EF">
        <w:rPr>
          <w:rFonts w:eastAsiaTheme="minorHAnsi"/>
        </w:rPr>
        <w:t>Demographics and baseline characteristics</w:t>
      </w:r>
    </w:p>
    <w:p w14:paraId="01C14470" w14:textId="254D5424" w:rsidR="00172ACC" w:rsidRPr="000349EF" w:rsidRDefault="00172ACC" w:rsidP="00172ACC">
      <w:r w:rsidRPr="000349EF">
        <w:t>In Part</w:t>
      </w:r>
      <w:r w:rsidR="00D23AE4" w:rsidRPr="000349EF">
        <w:t> </w:t>
      </w:r>
      <w:r w:rsidRPr="000349EF">
        <w:t>1, 40.9% of participants were from community of colour and around 7.7% participants were seropositive. In Part</w:t>
      </w:r>
      <w:r w:rsidR="00D23AE4" w:rsidRPr="000349EF">
        <w:t> </w:t>
      </w:r>
      <w:r w:rsidRPr="000349EF">
        <w:t xml:space="preserve">2, the participants in the vaccine and placebo group are similar in demographic characteristics (details see </w:t>
      </w:r>
      <w:r w:rsidR="00D23AE4" w:rsidRPr="000349EF">
        <w:fldChar w:fldCharType="begin"/>
      </w:r>
      <w:r w:rsidR="00D23AE4" w:rsidRPr="000349EF">
        <w:instrText xml:space="preserve"> REF _Ref91008070 \h </w:instrText>
      </w:r>
      <w:r w:rsidR="008C1E85" w:rsidRPr="000349EF">
        <w:instrText xml:space="preserve"> \* MERGEFORMAT </w:instrText>
      </w:r>
      <w:r w:rsidR="00D23AE4" w:rsidRPr="000349EF">
        <w:fldChar w:fldCharType="separate"/>
      </w:r>
      <w:r w:rsidR="00235E4B" w:rsidRPr="000349EF">
        <w:t xml:space="preserve">Table </w:t>
      </w:r>
      <w:r w:rsidR="00235E4B">
        <w:rPr>
          <w:noProof/>
        </w:rPr>
        <w:t>16</w:t>
      </w:r>
      <w:r w:rsidR="00D23AE4" w:rsidRPr="000349EF">
        <w:fldChar w:fldCharType="end"/>
      </w:r>
      <w:r w:rsidRPr="000349EF">
        <w:t xml:space="preserve"> and </w:t>
      </w:r>
      <w:r w:rsidR="00D23AE4" w:rsidRPr="000349EF">
        <w:fldChar w:fldCharType="begin"/>
      </w:r>
      <w:r w:rsidR="00D23AE4" w:rsidRPr="000349EF">
        <w:instrText xml:space="preserve"> REF _Ref91008082 \h </w:instrText>
      </w:r>
      <w:r w:rsidR="008C1E85" w:rsidRPr="000349EF">
        <w:instrText xml:space="preserve"> \* MERGEFORMAT </w:instrText>
      </w:r>
      <w:r w:rsidR="00D23AE4" w:rsidRPr="000349EF">
        <w:fldChar w:fldCharType="separate"/>
      </w:r>
      <w:r w:rsidR="00235E4B" w:rsidRPr="000349EF">
        <w:t xml:space="preserve">Table </w:t>
      </w:r>
      <w:r w:rsidR="00235E4B">
        <w:rPr>
          <w:noProof/>
        </w:rPr>
        <w:t>17</w:t>
      </w:r>
      <w:r w:rsidR="00D23AE4" w:rsidRPr="000349EF">
        <w:fldChar w:fldCharType="end"/>
      </w:r>
      <w:r w:rsidRPr="000349EF">
        <w:t xml:space="preserve"> below).</w:t>
      </w:r>
    </w:p>
    <w:p w14:paraId="1FFB7A41" w14:textId="0B1CFFFB" w:rsidR="00172ACC" w:rsidRPr="000349EF" w:rsidRDefault="00D7275D" w:rsidP="00D7275D">
      <w:pPr>
        <w:pStyle w:val="TableTitle"/>
      </w:pPr>
      <w:bookmarkStart w:id="65" w:name="_Ref91008070"/>
      <w:r w:rsidRPr="000349EF">
        <w:lastRenderedPageBreak/>
        <w:t xml:space="preserve">Table </w:t>
      </w:r>
      <w:r w:rsidR="00571D7C">
        <w:fldChar w:fldCharType="begin"/>
      </w:r>
      <w:r w:rsidR="00571D7C">
        <w:instrText xml:space="preserve"> SEQ Table \* ARABIC </w:instrText>
      </w:r>
      <w:r w:rsidR="00571D7C">
        <w:fldChar w:fldCharType="separate"/>
      </w:r>
      <w:r w:rsidR="00235E4B">
        <w:rPr>
          <w:noProof/>
        </w:rPr>
        <w:t>16</w:t>
      </w:r>
      <w:r w:rsidR="00571D7C">
        <w:rPr>
          <w:noProof/>
        </w:rPr>
        <w:fldChar w:fldCharType="end"/>
      </w:r>
      <w:bookmarkEnd w:id="65"/>
      <w:r w:rsidR="00172ACC" w:rsidRPr="000349EF">
        <w:t xml:space="preserve">: </w:t>
      </w:r>
      <w:r w:rsidRPr="000349EF">
        <w:t xml:space="preserve">Study P204 Part 1 </w:t>
      </w:r>
      <w:r w:rsidR="00172ACC" w:rsidRPr="000349EF">
        <w:t>Participants and baseline characteristics by dose level (safety set)</w:t>
      </w:r>
    </w:p>
    <w:p w14:paraId="73BD0BC1" w14:textId="6DC87F24" w:rsidR="007F5C9B" w:rsidRPr="000349EF" w:rsidRDefault="007F5C9B" w:rsidP="00B03B45">
      <w:r w:rsidRPr="000349EF">
        <w:rPr>
          <w:noProof/>
          <w:lang w:val="en-GB" w:eastAsia="en-GB"/>
        </w:rPr>
        <w:drawing>
          <wp:inline distT="0" distB="0" distL="0" distR="0" wp14:anchorId="3FC27313" wp14:editId="47CCEE68">
            <wp:extent cx="5400040" cy="4973955"/>
            <wp:effectExtent l="0" t="0" r="0" b="0"/>
            <wp:docPr id="40" name="Picture 40" descr="Table 16: Study P204 Part 1 Participants and baseline characteristics by dose leve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16: Study P204 Part 1 Participants and baseline characteristics by dose level (safety set)"/>
                    <pic:cNvPicPr/>
                  </pic:nvPicPr>
                  <pic:blipFill>
                    <a:blip r:embed="rId35"/>
                    <a:stretch>
                      <a:fillRect/>
                    </a:stretch>
                  </pic:blipFill>
                  <pic:spPr>
                    <a:xfrm>
                      <a:off x="0" y="0"/>
                      <a:ext cx="5400040" cy="4973955"/>
                    </a:xfrm>
                    <a:prstGeom prst="rect">
                      <a:avLst/>
                    </a:prstGeom>
                  </pic:spPr>
                </pic:pic>
              </a:graphicData>
            </a:graphic>
          </wp:inline>
        </w:drawing>
      </w:r>
    </w:p>
    <w:p w14:paraId="423A498D" w14:textId="311C620F" w:rsidR="00224DD8" w:rsidRPr="000349EF" w:rsidRDefault="00224DD8" w:rsidP="00224DD8">
      <w:pPr>
        <w:pStyle w:val="TableDescription"/>
      </w:pPr>
      <w:r w:rsidRPr="000349EF">
        <w:t>COVID-19 = coronavirus disease 2019; max = maximum; min = minimum; mRNA-1273 = Spikevax COVID-19 vaccine; N = population size; n = sample size; RT-PCR = reverse transcription polymerase chain reaction; SARS-CoV-2 = severe acute respiratory syndrome coronavirus 2; SD</w:t>
      </w:r>
      <w:r w:rsidR="00E93806" w:rsidRPr="000349EF">
        <w:t> </w:t>
      </w:r>
      <w:r w:rsidRPr="000349EF">
        <w:t>=</w:t>
      </w:r>
      <w:r w:rsidR="00E93806" w:rsidRPr="000349EF">
        <w:t> </w:t>
      </w:r>
      <w:r w:rsidRPr="000349EF">
        <w:t>standard deviation.</w:t>
      </w:r>
    </w:p>
    <w:p w14:paraId="51248A67" w14:textId="19483DBD" w:rsidR="00224DD8" w:rsidRPr="000349EF" w:rsidRDefault="00224DD8" w:rsidP="00224DD8">
      <w:pPr>
        <w:pStyle w:val="TableDescription"/>
      </w:pPr>
      <w:r w:rsidRPr="000349EF">
        <w:t>Percentages are based on the number of participants in the safety set for Part 1.</w:t>
      </w:r>
    </w:p>
    <w:p w14:paraId="4BEDFE59" w14:textId="037534D6" w:rsidR="00224DD8" w:rsidRPr="000349EF" w:rsidRDefault="00224DD8" w:rsidP="00224DD8">
      <w:pPr>
        <w:pStyle w:val="TableDescription"/>
      </w:pPr>
      <w:r w:rsidRPr="000349EF">
        <w:t>a. White non-Hispanic is defined as White and non-Hispanic, and Communities of Colour includes all the others whose race or ethnicity is not unknown, unreported, or missing.</w:t>
      </w:r>
    </w:p>
    <w:p w14:paraId="3D13A1AF" w14:textId="4E96CF51" w:rsidR="00224DD8" w:rsidRPr="000349EF" w:rsidRDefault="00224DD8" w:rsidP="00224DD8">
      <w:pPr>
        <w:pStyle w:val="TableDescription"/>
      </w:pPr>
      <w:r w:rsidRPr="000349EF">
        <w:t xml:space="preserve">b. Baseline SARS-CoV-2 Status: positive if there is immunologic or virologic evidence of prior COVID-19, defined as positive RT-PCR test or positive </w:t>
      </w:r>
      <w:proofErr w:type="spellStart"/>
      <w:r w:rsidRPr="000349EF">
        <w:t>Elecsys</w:t>
      </w:r>
      <w:proofErr w:type="spellEnd"/>
      <w:r w:rsidRPr="000349EF">
        <w:t xml:space="preserve"> result at Day 1. Negative is defined as negative RT</w:t>
      </w:r>
      <w:r w:rsidRPr="000349EF">
        <w:noBreakHyphen/>
        <w:t xml:space="preserve">PCR test and negative </w:t>
      </w:r>
      <w:proofErr w:type="spellStart"/>
      <w:r w:rsidRPr="000349EF">
        <w:t>Elecsys</w:t>
      </w:r>
      <w:proofErr w:type="spellEnd"/>
      <w:r w:rsidRPr="000349EF">
        <w:t xml:space="preserve"> result at Day 1.</w:t>
      </w:r>
    </w:p>
    <w:p w14:paraId="07E1A6C7" w14:textId="087A6BFF" w:rsidR="00172ACC" w:rsidRPr="000349EF" w:rsidRDefault="00D7275D" w:rsidP="00D7275D">
      <w:pPr>
        <w:pStyle w:val="TableTitle"/>
      </w:pPr>
      <w:bookmarkStart w:id="66" w:name="_Ref91008082"/>
      <w:r w:rsidRPr="000349EF">
        <w:lastRenderedPageBreak/>
        <w:t xml:space="preserve">Table </w:t>
      </w:r>
      <w:r w:rsidR="00571D7C">
        <w:fldChar w:fldCharType="begin"/>
      </w:r>
      <w:r w:rsidR="00571D7C">
        <w:instrText xml:space="preserve"> SEQ Table \* ARABIC </w:instrText>
      </w:r>
      <w:r w:rsidR="00571D7C">
        <w:fldChar w:fldCharType="separate"/>
      </w:r>
      <w:r w:rsidR="00235E4B">
        <w:rPr>
          <w:noProof/>
        </w:rPr>
        <w:t>17</w:t>
      </w:r>
      <w:r w:rsidR="00571D7C">
        <w:rPr>
          <w:noProof/>
        </w:rPr>
        <w:fldChar w:fldCharType="end"/>
      </w:r>
      <w:bookmarkEnd w:id="66"/>
      <w:r w:rsidRPr="000349EF">
        <w:t>:</w:t>
      </w:r>
      <w:r w:rsidR="00172ACC" w:rsidRPr="000349EF">
        <w:t xml:space="preserve"> </w:t>
      </w:r>
      <w:r w:rsidRPr="000349EF">
        <w:t xml:space="preserve">Study P204 Part 2 </w:t>
      </w:r>
      <w:r w:rsidR="00172ACC" w:rsidRPr="000349EF">
        <w:t>Participants and baseline characteristics (safety set)</w:t>
      </w:r>
    </w:p>
    <w:p w14:paraId="5B29D5B4" w14:textId="4C4B0410" w:rsidR="00224DD8" w:rsidRPr="000349EF" w:rsidRDefault="00224DD8" w:rsidP="00B03B45">
      <w:r w:rsidRPr="000349EF">
        <w:rPr>
          <w:noProof/>
          <w:lang w:val="en-GB" w:eastAsia="en-GB"/>
        </w:rPr>
        <w:drawing>
          <wp:inline distT="0" distB="0" distL="0" distR="0" wp14:anchorId="25F187BC" wp14:editId="1CF83185">
            <wp:extent cx="5390515" cy="5215255"/>
            <wp:effectExtent l="0" t="0" r="635" b="4445"/>
            <wp:docPr id="43" name="Picture 43" descr="Table 17: Study P204 Part 2 Participants and baseline characteristic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17: Study P204 Part 2 Participants and baseline characteristics (safety s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0515" cy="5215255"/>
                    </a:xfrm>
                    <a:prstGeom prst="rect">
                      <a:avLst/>
                    </a:prstGeom>
                    <a:noFill/>
                    <a:ln>
                      <a:noFill/>
                    </a:ln>
                  </pic:spPr>
                </pic:pic>
              </a:graphicData>
            </a:graphic>
          </wp:inline>
        </w:drawing>
      </w:r>
    </w:p>
    <w:p w14:paraId="1F20F9F3" w14:textId="28EAB5B0" w:rsidR="0090320C" w:rsidRPr="000349EF" w:rsidRDefault="0090320C" w:rsidP="0090320C">
      <w:pPr>
        <w:pStyle w:val="TableDescription"/>
      </w:pPr>
      <w:r w:rsidRPr="000349EF">
        <w:t>COVID-19 = coronavirus disease 2019; max = maximum; min = minimum; mRNA-1273 = Spikevax COVID-19 vaccine; N = population size; n = sample size; RT-PCR = reverse transcription polymerase chain reaction; SARS-CoV-2 = severe acute respiratory syndrome coronavirus 2; SD</w:t>
      </w:r>
      <w:r w:rsidR="00E93806" w:rsidRPr="000349EF">
        <w:t> </w:t>
      </w:r>
      <w:r w:rsidRPr="000349EF">
        <w:t>=</w:t>
      </w:r>
      <w:r w:rsidR="00E93806" w:rsidRPr="000349EF">
        <w:t> </w:t>
      </w:r>
      <w:r w:rsidRPr="000349EF">
        <w:t>standard deviation.</w:t>
      </w:r>
    </w:p>
    <w:p w14:paraId="4F21A45D" w14:textId="0D01F1C3" w:rsidR="0090320C" w:rsidRPr="000349EF" w:rsidRDefault="0090320C" w:rsidP="0090320C">
      <w:pPr>
        <w:pStyle w:val="TableDescription"/>
      </w:pPr>
      <w:r w:rsidRPr="000349EF">
        <w:t>Percentages are based on the number of participants in the safety set for Part 2.</w:t>
      </w:r>
    </w:p>
    <w:p w14:paraId="4036A02E" w14:textId="24CA9B45" w:rsidR="0090320C" w:rsidRPr="000349EF" w:rsidRDefault="0090320C" w:rsidP="0090320C">
      <w:pPr>
        <w:pStyle w:val="TableDescription"/>
      </w:pPr>
      <w:r w:rsidRPr="000349EF">
        <w:t>a. One participant’s age was incorrectly entered in the database as 5 years of age. The site has confirmed that the participant was indeed 6 years of age at the time of informed consent.</w:t>
      </w:r>
    </w:p>
    <w:p w14:paraId="7B4F7DE1" w14:textId="214CFD72" w:rsidR="0090320C" w:rsidRPr="000349EF" w:rsidRDefault="0090320C" w:rsidP="0090320C">
      <w:pPr>
        <w:pStyle w:val="TableDescription"/>
      </w:pPr>
      <w:r w:rsidRPr="000349EF">
        <w:t>b. White non-Hispanic is defined as White and non-Hispanic, and Communities of Colour includes all the others whose race or ethnicity is not unknown, unreported, or missing.</w:t>
      </w:r>
    </w:p>
    <w:p w14:paraId="67577A1B" w14:textId="31F8F287" w:rsidR="0090320C" w:rsidRPr="000349EF" w:rsidRDefault="0090320C" w:rsidP="0090320C">
      <w:pPr>
        <w:pStyle w:val="TableDescription"/>
      </w:pPr>
      <w:r w:rsidRPr="000349EF">
        <w:t xml:space="preserve">c. Baseline SARS-CoV-2 status: positive if there is immunologic or virologic evidence of prior COVID-19, defined as positive RT-PCR test or positive </w:t>
      </w:r>
      <w:proofErr w:type="spellStart"/>
      <w:r w:rsidRPr="000349EF">
        <w:t>Elecsys</w:t>
      </w:r>
      <w:proofErr w:type="spellEnd"/>
      <w:r w:rsidRPr="000349EF">
        <w:t xml:space="preserve"> result at Day 1. Negative is defined as negative RT</w:t>
      </w:r>
      <w:r w:rsidRPr="000349EF">
        <w:noBreakHyphen/>
        <w:t xml:space="preserve">PCR test and negative </w:t>
      </w:r>
      <w:proofErr w:type="spellStart"/>
      <w:r w:rsidRPr="000349EF">
        <w:t>Elecsys</w:t>
      </w:r>
      <w:proofErr w:type="spellEnd"/>
      <w:r w:rsidRPr="000349EF">
        <w:t xml:space="preserve"> result at Day 1.</w:t>
      </w:r>
    </w:p>
    <w:p w14:paraId="5EB8E3AF" w14:textId="79F86C3B" w:rsidR="00172ACC" w:rsidRPr="000349EF" w:rsidRDefault="00172ACC" w:rsidP="00172ACC">
      <w:r w:rsidRPr="000349EF">
        <w:t xml:space="preserve">The sponsor provided further detail following </w:t>
      </w:r>
      <w:r w:rsidR="00E93806" w:rsidRPr="000349EF">
        <w:t xml:space="preserve">the </w:t>
      </w:r>
      <w:r w:rsidRPr="000349EF">
        <w:t>TGA’s question regarding the proportion of children with underlying conditions: the study groups were balanced for having a history of (at least one) underlying or chronic medical condition: rates in Part</w:t>
      </w:r>
      <w:r w:rsidR="00D23AE4" w:rsidRPr="000349EF">
        <w:t> </w:t>
      </w:r>
      <w:r w:rsidRPr="000349EF">
        <w:t>1 were 67.9% in the 50</w:t>
      </w:r>
      <w:r w:rsidR="00D23AE4" w:rsidRPr="000349EF">
        <w:t> µ</w:t>
      </w:r>
      <w:r w:rsidRPr="000349EF">
        <w:t>g group, 60.6% of the 100</w:t>
      </w:r>
      <w:r w:rsidR="00D23AE4" w:rsidRPr="000349EF">
        <w:t> µ</w:t>
      </w:r>
      <w:r w:rsidRPr="000349EF">
        <w:t>g group; in Part 2, rates were 53.5% of the mRNA</w:t>
      </w:r>
      <w:r w:rsidR="00D23AE4" w:rsidRPr="000349EF">
        <w:noBreakHyphen/>
      </w:r>
      <w:r w:rsidRPr="000349EF">
        <w:t xml:space="preserve">1273 group and 54.2% of the placebo group. The </w:t>
      </w:r>
      <w:proofErr w:type="gramStart"/>
      <w:r w:rsidRPr="000349EF">
        <w:t>most commonly reported</w:t>
      </w:r>
      <w:proofErr w:type="gramEnd"/>
      <w:r w:rsidRPr="000349EF">
        <w:t xml:space="preserve"> underlying medical condition across all groups was seasonal allergies reported for approximately 30% of all participants in Part</w:t>
      </w:r>
      <w:r w:rsidR="00D23AE4" w:rsidRPr="000349EF">
        <w:t> </w:t>
      </w:r>
      <w:r w:rsidRPr="000349EF">
        <w:t>1 and approximately 20% of all participants in Part</w:t>
      </w:r>
      <w:r w:rsidR="00D23AE4" w:rsidRPr="000349EF">
        <w:t> </w:t>
      </w:r>
      <w:r w:rsidRPr="000349EF">
        <w:t>2. Additionally, obesity which has been associated with more severe or complicated COVID-19 was similarly balanced between groups: rates in Part</w:t>
      </w:r>
      <w:r w:rsidR="00D23AE4" w:rsidRPr="000349EF">
        <w:t> </w:t>
      </w:r>
      <w:r w:rsidRPr="000349EF">
        <w:t>1 were 23.4% in the 50</w:t>
      </w:r>
      <w:r w:rsidR="00D23AE4" w:rsidRPr="000349EF">
        <w:t> µ</w:t>
      </w:r>
      <w:r w:rsidRPr="000349EF">
        <w:t xml:space="preserve">g </w:t>
      </w:r>
      <w:r w:rsidRPr="000349EF">
        <w:lastRenderedPageBreak/>
        <w:t>group, 21.6% of the 100</w:t>
      </w:r>
      <w:r w:rsidR="00D23AE4" w:rsidRPr="000349EF">
        <w:t> µ</w:t>
      </w:r>
      <w:r w:rsidRPr="000349EF">
        <w:t>g group; in Part 2, rates were 19.4% for the mRNA-1273 group and 20.2% of the placebo group.</w:t>
      </w:r>
    </w:p>
    <w:p w14:paraId="01774F75" w14:textId="1CD65455" w:rsidR="00172ACC" w:rsidRPr="000349EF" w:rsidRDefault="00D7275D" w:rsidP="00D7275D">
      <w:pPr>
        <w:pStyle w:val="TableTitle"/>
      </w:pPr>
      <w:r w:rsidRPr="000349EF">
        <w:t xml:space="preserve">Table </w:t>
      </w:r>
      <w:r w:rsidR="00571D7C">
        <w:fldChar w:fldCharType="begin"/>
      </w:r>
      <w:r w:rsidR="00571D7C">
        <w:instrText xml:space="preserve"> SEQ Table \* ARABIC </w:instrText>
      </w:r>
      <w:r w:rsidR="00571D7C">
        <w:fldChar w:fldCharType="separate"/>
      </w:r>
      <w:r w:rsidR="00235E4B">
        <w:rPr>
          <w:noProof/>
        </w:rPr>
        <w:t>18</w:t>
      </w:r>
      <w:r w:rsidR="00571D7C">
        <w:rPr>
          <w:noProof/>
        </w:rPr>
        <w:fldChar w:fldCharType="end"/>
      </w:r>
      <w:r w:rsidR="00172ACC" w:rsidRPr="000349EF">
        <w:t>:</w:t>
      </w:r>
      <w:r w:rsidRPr="000349EF">
        <w:t xml:space="preserve"> Study P204</w:t>
      </w:r>
      <w:r w:rsidR="00172ACC" w:rsidRPr="000349EF">
        <w:t xml:space="preserve"> Chronic conditions of interest in 6 to </w:t>
      </w:r>
      <w:r w:rsidRPr="000349EF">
        <w:t xml:space="preserve">less than </w:t>
      </w:r>
      <w:r w:rsidR="00172ACC" w:rsidRPr="000349EF">
        <w:t xml:space="preserve">12 </w:t>
      </w:r>
      <w:r w:rsidRPr="000349EF">
        <w:t>years of age</w:t>
      </w:r>
    </w:p>
    <w:p w14:paraId="4477FAD7" w14:textId="308A5518" w:rsidR="0090320C" w:rsidRPr="000349EF" w:rsidRDefault="0090320C" w:rsidP="00B03B45">
      <w:r w:rsidRPr="000349EF">
        <w:rPr>
          <w:noProof/>
          <w:lang w:val="en-GB" w:eastAsia="en-GB"/>
        </w:rPr>
        <w:drawing>
          <wp:inline distT="0" distB="0" distL="0" distR="0" wp14:anchorId="5685C6F1" wp14:editId="29345B5D">
            <wp:extent cx="4739013" cy="3130428"/>
            <wp:effectExtent l="0" t="0" r="4445" b="0"/>
            <wp:docPr id="44" name="Picture 44" descr="Table 18: Study P204 Chronic conditions of interest in 6 to less than 1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 18: Study P204 Chronic conditions of interest in 6 to less than 12 years of age"/>
                    <pic:cNvPicPr/>
                  </pic:nvPicPr>
                  <pic:blipFill>
                    <a:blip r:embed="rId37"/>
                    <a:stretch>
                      <a:fillRect/>
                    </a:stretch>
                  </pic:blipFill>
                  <pic:spPr>
                    <a:xfrm>
                      <a:off x="0" y="0"/>
                      <a:ext cx="4747858" cy="3136271"/>
                    </a:xfrm>
                    <a:prstGeom prst="rect">
                      <a:avLst/>
                    </a:prstGeom>
                  </pic:spPr>
                </pic:pic>
              </a:graphicData>
            </a:graphic>
          </wp:inline>
        </w:drawing>
      </w:r>
    </w:p>
    <w:p w14:paraId="06912191" w14:textId="57B1A870" w:rsidR="0090320C" w:rsidRPr="000349EF" w:rsidRDefault="0090320C" w:rsidP="0090320C">
      <w:pPr>
        <w:pStyle w:val="TableDescription"/>
      </w:pPr>
      <w:r w:rsidRPr="000349EF">
        <w:t>N = population size; n = sample size</w:t>
      </w:r>
      <w:r w:rsidR="00C303E8" w:rsidRPr="000349EF">
        <w:t>.</w:t>
      </w:r>
    </w:p>
    <w:p w14:paraId="0E2D0B89" w14:textId="2F561690" w:rsidR="0090320C" w:rsidRPr="000349EF" w:rsidRDefault="0090320C" w:rsidP="0090320C">
      <w:pPr>
        <w:pStyle w:val="TableDescription"/>
      </w:pPr>
      <w:r w:rsidRPr="000349EF">
        <w:t>1</w:t>
      </w:r>
      <w:r w:rsidR="00C303E8" w:rsidRPr="000349EF">
        <w:t>.</w:t>
      </w:r>
      <w:r w:rsidRPr="000349EF">
        <w:t xml:space="preserve"> </w:t>
      </w:r>
      <w:r w:rsidR="006277A6" w:rsidRPr="000349EF">
        <w:t>B</w:t>
      </w:r>
      <w:r w:rsidRPr="000349EF">
        <w:t xml:space="preserve">ody mass index </w:t>
      </w:r>
      <w:r w:rsidR="006277A6" w:rsidRPr="000349EF">
        <w:t>is greater than or equal to</w:t>
      </w:r>
      <w:r w:rsidRPr="000349EF">
        <w:t xml:space="preserve"> </w:t>
      </w:r>
      <w:r w:rsidR="006277A6" w:rsidRPr="000349EF">
        <w:t>ninety fifth</w:t>
      </w:r>
      <w:r w:rsidRPr="000349EF">
        <w:t xml:space="preserve"> percentile for age and gender (</w:t>
      </w:r>
      <w:proofErr w:type="spellStart"/>
      <w:r w:rsidRPr="000349EF">
        <w:t>Centers</w:t>
      </w:r>
      <w:proofErr w:type="spellEnd"/>
      <w:r w:rsidRPr="000349EF">
        <w:t xml:space="preserve"> for Disease Control and Prevention definition)</w:t>
      </w:r>
    </w:p>
    <w:p w14:paraId="7E897BFC" w14:textId="1BF6298A" w:rsidR="0090320C" w:rsidRPr="000349EF" w:rsidRDefault="0090320C" w:rsidP="0090320C">
      <w:pPr>
        <w:pStyle w:val="TableDescription"/>
      </w:pPr>
      <w:r w:rsidRPr="000349EF">
        <w:t>2</w:t>
      </w:r>
      <w:r w:rsidR="00C303E8" w:rsidRPr="000349EF">
        <w:t>.</w:t>
      </w:r>
      <w:r w:rsidRPr="000349EF">
        <w:t xml:space="preserve"> Includes sleep apn</w:t>
      </w:r>
      <w:r w:rsidR="00A50CCA" w:rsidRPr="000349EF">
        <w:t>o</w:t>
      </w:r>
      <w:r w:rsidRPr="000349EF">
        <w:t>ea, wheezing, bronchospasm, bronchopulmonary dysplasia, pulmonary fibrosis, asthma, cystic fibrosis</w:t>
      </w:r>
    </w:p>
    <w:p w14:paraId="7B666290" w14:textId="3476F38C" w:rsidR="0090320C" w:rsidRPr="000349EF" w:rsidRDefault="0090320C" w:rsidP="006B4B52">
      <w:pPr>
        <w:pStyle w:val="TableDescription"/>
      </w:pPr>
      <w:r w:rsidRPr="000349EF">
        <w:t>3</w:t>
      </w:r>
      <w:r w:rsidR="00C303E8" w:rsidRPr="000349EF">
        <w:t>.</w:t>
      </w:r>
      <w:r w:rsidRPr="000349EF">
        <w:t xml:space="preserve"> Includes verbatim ‘bronchial hyperreactivity’</w:t>
      </w:r>
    </w:p>
    <w:p w14:paraId="592FFE90" w14:textId="40342021" w:rsidR="00172ACC" w:rsidRPr="000349EF" w:rsidRDefault="0090320C" w:rsidP="006B4B52">
      <w:pPr>
        <w:pStyle w:val="TableDescription"/>
      </w:pPr>
      <w:r w:rsidRPr="000349EF">
        <w:t>4</w:t>
      </w:r>
      <w:r w:rsidR="00C303E8" w:rsidRPr="000349EF">
        <w:t xml:space="preserve">. </w:t>
      </w:r>
      <w:r w:rsidRPr="000349EF">
        <w:t>Clinically significant disease only</w:t>
      </w:r>
    </w:p>
    <w:p w14:paraId="0D6193AC" w14:textId="25FC8CFF" w:rsidR="00172ACC" w:rsidRPr="000349EF" w:rsidRDefault="00172ACC" w:rsidP="006B4B52">
      <w:pPr>
        <w:pStyle w:val="Heading5"/>
        <w:rPr>
          <w:rFonts w:eastAsiaTheme="minorHAnsi"/>
          <w:lang w:eastAsia="ja-JP"/>
        </w:rPr>
      </w:pPr>
      <w:bookmarkStart w:id="67" w:name="_Toc87980880"/>
      <w:r w:rsidRPr="000349EF">
        <w:rPr>
          <w:rFonts w:eastAsiaTheme="minorHAnsi"/>
          <w:lang w:eastAsia="ja-JP"/>
        </w:rPr>
        <w:t xml:space="preserve">Safety overview for </w:t>
      </w:r>
      <w:r w:rsidR="006B4B52" w:rsidRPr="000349EF">
        <w:rPr>
          <w:rFonts w:eastAsiaTheme="minorHAnsi"/>
          <w:lang w:eastAsia="ja-JP"/>
        </w:rPr>
        <w:t xml:space="preserve">Study P204 </w:t>
      </w:r>
      <w:r w:rsidRPr="000349EF">
        <w:rPr>
          <w:rFonts w:eastAsiaTheme="minorHAnsi"/>
          <w:lang w:eastAsia="ja-JP"/>
        </w:rPr>
        <w:t>Part 1</w:t>
      </w:r>
      <w:bookmarkEnd w:id="67"/>
    </w:p>
    <w:p w14:paraId="6941ACA3" w14:textId="4608ED24" w:rsidR="00172ACC" w:rsidRPr="000349EF" w:rsidRDefault="00172ACC" w:rsidP="00172ACC">
      <w:r w:rsidRPr="000349EF">
        <w:t>As of 6 October 2021, the median participant duration in Part</w:t>
      </w:r>
      <w:r w:rsidR="006277A6" w:rsidRPr="000349EF">
        <w:t> </w:t>
      </w:r>
      <w:r w:rsidRPr="000349EF">
        <w:t>1 was 138 days. A total of 379 participants had been followed for ≥</w:t>
      </w:r>
      <w:r w:rsidR="006277A6" w:rsidRPr="000349EF">
        <w:t> </w:t>
      </w:r>
      <w:r w:rsidRPr="000349EF">
        <w:t xml:space="preserve">56 days after the </w:t>
      </w:r>
      <w:r w:rsidR="00614801" w:rsidRPr="000349EF">
        <w:t>second</w:t>
      </w:r>
      <w:r w:rsidRPr="000349EF">
        <w:t xml:space="preserve"> dose in the 50</w:t>
      </w:r>
      <w:r w:rsidR="006277A6" w:rsidRPr="000349EF">
        <w:t> </w:t>
      </w:r>
      <w:proofErr w:type="spellStart"/>
      <w:r w:rsidRPr="000349EF">
        <w:t>μg</w:t>
      </w:r>
      <w:proofErr w:type="spellEnd"/>
      <w:r w:rsidRPr="000349EF">
        <w:t xml:space="preserve"> group. One participant in Part</w:t>
      </w:r>
      <w:r w:rsidR="006277A6" w:rsidRPr="000349EF">
        <w:t> </w:t>
      </w:r>
      <w:r w:rsidRPr="000349EF">
        <w:t>1 did not receive the second dose of vaccine.</w:t>
      </w:r>
    </w:p>
    <w:p w14:paraId="1788D2F1" w14:textId="2E95EEE1" w:rsidR="00172ACC" w:rsidRPr="000349EF" w:rsidRDefault="00172ACC" w:rsidP="00172ACC">
      <w:r w:rsidRPr="000349EF">
        <w:t>In the 50</w:t>
      </w:r>
      <w:r w:rsidR="006277A6" w:rsidRPr="000349EF">
        <w:t> </w:t>
      </w:r>
      <w:proofErr w:type="spellStart"/>
      <w:r w:rsidRPr="000349EF">
        <w:t>μg</w:t>
      </w:r>
      <w:proofErr w:type="spellEnd"/>
      <w:r w:rsidRPr="000349EF">
        <w:t xml:space="preserve"> group, the majority of solicited ARs were </w:t>
      </w:r>
      <w:r w:rsidR="006277A6" w:rsidRPr="000349EF">
        <w:t>Grade 1</w:t>
      </w:r>
      <w:r w:rsidRPr="000349EF">
        <w:t xml:space="preserve"> or </w:t>
      </w:r>
      <w:r w:rsidR="006277A6" w:rsidRPr="000349EF">
        <w:t>Grade 2</w:t>
      </w:r>
      <w:r w:rsidRPr="000349EF">
        <w:t>. Unsolicited AEs were reported in 30.5% of participants in the 50</w:t>
      </w:r>
      <w:r w:rsidR="006277A6" w:rsidRPr="000349EF">
        <w:t> </w:t>
      </w:r>
      <w:proofErr w:type="spellStart"/>
      <w:r w:rsidRPr="000349EF">
        <w:t>μg</w:t>
      </w:r>
      <w:proofErr w:type="spellEnd"/>
      <w:r w:rsidRPr="000349EF">
        <w:t xml:space="preserve"> group. There were no unsolicited severe treatment</w:t>
      </w:r>
      <w:r w:rsidR="006277A6" w:rsidRPr="000349EF">
        <w:t xml:space="preserve"> </w:t>
      </w:r>
      <w:r w:rsidRPr="000349EF">
        <w:t>emergent adverse events (TEAEs) in the 50</w:t>
      </w:r>
      <w:r w:rsidR="006277A6" w:rsidRPr="000349EF">
        <w:t> </w:t>
      </w:r>
      <w:proofErr w:type="spellStart"/>
      <w:r w:rsidRPr="000349EF">
        <w:t>μg</w:t>
      </w:r>
      <w:proofErr w:type="spellEnd"/>
      <w:r w:rsidRPr="000349EF">
        <w:t xml:space="preserve"> group. Two (0.5%) participants experienced unrelated SAEs in the 28 days after any dose.</w:t>
      </w:r>
    </w:p>
    <w:p w14:paraId="4BF865EF" w14:textId="1DA403BA" w:rsidR="00172ACC" w:rsidRPr="000349EF" w:rsidRDefault="00172ACC" w:rsidP="00172ACC">
      <w:r w:rsidRPr="000349EF">
        <w:t xml:space="preserve">In the 28-day window following any dose, 2 unrelated SAEs (with the </w:t>
      </w:r>
      <w:r w:rsidR="006277A6" w:rsidRPr="000349EF">
        <w:t>Preferred Terms (</w:t>
      </w:r>
      <w:r w:rsidRPr="000349EF">
        <w:t>PTs</w:t>
      </w:r>
      <w:r w:rsidR="006277A6" w:rsidRPr="000349EF">
        <w:t>)</w:t>
      </w:r>
      <w:r w:rsidRPr="000349EF">
        <w:t xml:space="preserve"> </w:t>
      </w:r>
      <w:r w:rsidR="00332BFA" w:rsidRPr="000349EF">
        <w:t xml:space="preserve">of </w:t>
      </w:r>
      <w:r w:rsidRPr="000349EF">
        <w:t>foreign body ingestion</w:t>
      </w:r>
      <w:r w:rsidR="00332BFA" w:rsidRPr="000349EF">
        <w:t>;</w:t>
      </w:r>
      <w:r w:rsidRPr="000349EF">
        <w:t xml:space="preserve"> and palpitations) were reported. The event of palpitations occurred in a participant</w:t>
      </w:r>
      <w:r w:rsidR="006277A6" w:rsidRPr="000349EF">
        <w:t xml:space="preserve"> </w:t>
      </w:r>
      <w:r w:rsidRPr="000349EF">
        <w:t xml:space="preserve">with a previous history of palpitations; </w:t>
      </w:r>
      <w:proofErr w:type="gramStart"/>
      <w:r w:rsidRPr="000349EF">
        <w:t>subsequent to</w:t>
      </w:r>
      <w:proofErr w:type="gramEnd"/>
      <w:r w:rsidRPr="000349EF">
        <w:t xml:space="preserve"> the data snapshot, this event of palpitations was downgraded to nonserious (as investigator did not find the event met SAE criteria) and the onset date was clarified following parent/caregiver inquiry, to greater than 28</w:t>
      </w:r>
      <w:r w:rsidR="006277A6" w:rsidRPr="000349EF">
        <w:t> </w:t>
      </w:r>
      <w:r w:rsidRPr="000349EF">
        <w:t xml:space="preserve">days after </w:t>
      </w:r>
      <w:r w:rsidR="0077374E" w:rsidRPr="000349EF">
        <w:t>Dose</w:t>
      </w:r>
      <w:r w:rsidR="006277A6" w:rsidRPr="000349EF">
        <w:t> </w:t>
      </w:r>
      <w:r w:rsidR="0077374E" w:rsidRPr="000349EF">
        <w:t>2</w:t>
      </w:r>
      <w:r w:rsidRPr="000349EF">
        <w:t>.</w:t>
      </w:r>
    </w:p>
    <w:p w14:paraId="056AE590" w14:textId="6B84D32C" w:rsidR="00172ACC" w:rsidRPr="000349EF" w:rsidRDefault="00172ACC" w:rsidP="00172ACC">
      <w:r w:rsidRPr="000349EF">
        <w:t>In the 100</w:t>
      </w:r>
      <w:r w:rsidR="006277A6" w:rsidRPr="000349EF">
        <w:t> </w:t>
      </w:r>
      <w:proofErr w:type="spellStart"/>
      <w:r w:rsidRPr="000349EF">
        <w:t>μg</w:t>
      </w:r>
      <w:proofErr w:type="spellEnd"/>
      <w:r w:rsidRPr="000349EF">
        <w:t xml:space="preserve"> group, a total of 371 participants were followed for ≥</w:t>
      </w:r>
      <w:r w:rsidR="006277A6" w:rsidRPr="000349EF">
        <w:t> </w:t>
      </w:r>
      <w:r w:rsidRPr="000349EF">
        <w:t xml:space="preserve">28 days after </w:t>
      </w:r>
      <w:r w:rsidR="0077374E" w:rsidRPr="000349EF">
        <w:t>Dose</w:t>
      </w:r>
      <w:r w:rsidR="006277A6" w:rsidRPr="000349EF">
        <w:t> </w:t>
      </w:r>
      <w:r w:rsidR="0077374E" w:rsidRPr="000349EF">
        <w:t>2</w:t>
      </w:r>
      <w:r w:rsidRPr="000349EF">
        <w:t xml:space="preserve"> and</w:t>
      </w:r>
      <w:r w:rsidR="006277A6" w:rsidRPr="000349EF">
        <w:t xml:space="preserve"> </w:t>
      </w:r>
      <w:r w:rsidRPr="000349EF">
        <w:t>370 participants were followed for ≥</w:t>
      </w:r>
      <w:r w:rsidR="006277A6" w:rsidRPr="000349EF">
        <w:t> </w:t>
      </w:r>
      <w:r w:rsidRPr="000349EF">
        <w:t xml:space="preserve">56 days after </w:t>
      </w:r>
      <w:r w:rsidR="0077374E" w:rsidRPr="000349EF">
        <w:t>Dose</w:t>
      </w:r>
      <w:r w:rsidR="006277A6" w:rsidRPr="000349EF">
        <w:t> </w:t>
      </w:r>
      <w:r w:rsidR="0077374E" w:rsidRPr="000349EF">
        <w:t>2</w:t>
      </w:r>
      <w:r w:rsidRPr="000349EF">
        <w:t xml:space="preserve">. The incidence of </w:t>
      </w:r>
      <w:r w:rsidR="006277A6" w:rsidRPr="000349EF">
        <w:t>Grade </w:t>
      </w:r>
      <w:r w:rsidRPr="000349EF">
        <w:t>3 solicited local and systemic ARs was higher in the 100</w:t>
      </w:r>
      <w:r w:rsidR="006277A6" w:rsidRPr="000349EF">
        <w:t> </w:t>
      </w:r>
      <w:proofErr w:type="spellStart"/>
      <w:r w:rsidRPr="000349EF">
        <w:t>μg</w:t>
      </w:r>
      <w:proofErr w:type="spellEnd"/>
      <w:r w:rsidRPr="000349EF">
        <w:t xml:space="preserve"> group compared with the 50</w:t>
      </w:r>
      <w:r w:rsidR="006277A6" w:rsidRPr="000349EF">
        <w:t> </w:t>
      </w:r>
      <w:proofErr w:type="spellStart"/>
      <w:r w:rsidRPr="000349EF">
        <w:t>μg</w:t>
      </w:r>
      <w:proofErr w:type="spellEnd"/>
      <w:r w:rsidRPr="000349EF">
        <w:t xml:space="preserve"> group. There were no SAEs assessed by the Investigator as related to study vaccine, no deaths, no cases of </w:t>
      </w:r>
      <w:r w:rsidR="006277A6" w:rsidRPr="000349EF">
        <w:t>multisystem inflammatory syndrome in children (</w:t>
      </w:r>
      <w:r w:rsidRPr="000349EF">
        <w:t>MIS-C</w:t>
      </w:r>
      <w:r w:rsidR="006277A6" w:rsidRPr="000349EF">
        <w:t>)</w:t>
      </w:r>
      <w:r w:rsidRPr="000349EF">
        <w:t xml:space="preserve">, and no cases of myocarditis or pericarditis reported during the entire study period. A severe AE of </w:t>
      </w:r>
      <w:r w:rsidRPr="000349EF">
        <w:lastRenderedPageBreak/>
        <w:t xml:space="preserve">injection site erythema was assessed as related and started on </w:t>
      </w:r>
      <w:r w:rsidR="006277A6" w:rsidRPr="000349EF">
        <w:t>S</w:t>
      </w:r>
      <w:r w:rsidRPr="000349EF">
        <w:t>tudy Day</w:t>
      </w:r>
      <w:r w:rsidR="006277A6" w:rsidRPr="000349EF">
        <w:t> </w:t>
      </w:r>
      <w:r w:rsidRPr="000349EF">
        <w:t>8 and ended on Study Day</w:t>
      </w:r>
      <w:r w:rsidR="006277A6" w:rsidRPr="000349EF">
        <w:t> </w:t>
      </w:r>
      <w:r w:rsidRPr="000349EF">
        <w:t>15.</w:t>
      </w:r>
    </w:p>
    <w:p w14:paraId="16D3D047" w14:textId="1D584D37" w:rsidR="00172ACC" w:rsidRPr="000349EF" w:rsidRDefault="00D7275D" w:rsidP="00D7275D">
      <w:pPr>
        <w:pStyle w:val="TableTitle"/>
      </w:pPr>
      <w:r w:rsidRPr="000349EF">
        <w:t xml:space="preserve">Table </w:t>
      </w:r>
      <w:r w:rsidR="00571D7C">
        <w:fldChar w:fldCharType="begin"/>
      </w:r>
      <w:r w:rsidR="00571D7C">
        <w:instrText xml:space="preserve"> SEQ Table \* ARABIC </w:instrText>
      </w:r>
      <w:r w:rsidR="00571D7C">
        <w:fldChar w:fldCharType="separate"/>
      </w:r>
      <w:r w:rsidR="00235E4B">
        <w:rPr>
          <w:noProof/>
        </w:rPr>
        <w:t>19</w:t>
      </w:r>
      <w:r w:rsidR="00571D7C">
        <w:rPr>
          <w:noProof/>
        </w:rPr>
        <w:fldChar w:fldCharType="end"/>
      </w:r>
      <w:r w:rsidRPr="000349EF">
        <w:t>:</w:t>
      </w:r>
      <w:r w:rsidR="00172ACC" w:rsidRPr="000349EF">
        <w:t xml:space="preserve"> </w:t>
      </w:r>
      <w:r w:rsidRPr="000349EF">
        <w:t xml:space="preserve">Study P204 Part 1 </w:t>
      </w:r>
      <w:r w:rsidR="00172ACC" w:rsidRPr="000349EF">
        <w:t>Safety overview</w:t>
      </w:r>
    </w:p>
    <w:p w14:paraId="56E9F774" w14:textId="0EE4D383" w:rsidR="00172ACC" w:rsidRPr="000349EF" w:rsidRDefault="00FD65E4" w:rsidP="00FD65E4">
      <w:r w:rsidRPr="000349EF">
        <w:rPr>
          <w:noProof/>
          <w:lang w:val="en-GB" w:eastAsia="en-GB"/>
        </w:rPr>
        <w:drawing>
          <wp:inline distT="0" distB="0" distL="0" distR="0" wp14:anchorId="6D9A6D6F" wp14:editId="57052EC9">
            <wp:extent cx="5400040" cy="4627245"/>
            <wp:effectExtent l="0" t="0" r="0" b="1905"/>
            <wp:docPr id="45" name="Picture 45" descr="Table 19: Study P204 Part 1 Safet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19: Study P204 Part 1 Safety overview"/>
                    <pic:cNvPicPr/>
                  </pic:nvPicPr>
                  <pic:blipFill>
                    <a:blip r:embed="rId38"/>
                    <a:stretch>
                      <a:fillRect/>
                    </a:stretch>
                  </pic:blipFill>
                  <pic:spPr>
                    <a:xfrm>
                      <a:off x="0" y="0"/>
                      <a:ext cx="5400040" cy="4627245"/>
                    </a:xfrm>
                    <a:prstGeom prst="rect">
                      <a:avLst/>
                    </a:prstGeom>
                  </pic:spPr>
                </pic:pic>
              </a:graphicData>
            </a:graphic>
          </wp:inline>
        </w:drawing>
      </w:r>
    </w:p>
    <w:p w14:paraId="38F0A9E1" w14:textId="4F48EB6A" w:rsidR="00FD65E4" w:rsidRPr="000349EF" w:rsidRDefault="00FD65E4" w:rsidP="00FD65E4">
      <w:pPr>
        <w:pStyle w:val="TableDescription"/>
      </w:pPr>
      <w:r w:rsidRPr="000349EF">
        <w:t>AE = adverse event; AESI = adverse event of special interest; MIS-C = multiorgan inflammatory syndrome in children; mRNA-1273 = Spikevax COVID-19 vaccine; N = population size; n = sample size; SAE = serious adverse event.</w:t>
      </w:r>
    </w:p>
    <w:p w14:paraId="21C46078" w14:textId="37CC6FFA" w:rsidR="00FD65E4" w:rsidRPr="000349EF" w:rsidRDefault="00FD65E4" w:rsidP="00FD65E4">
      <w:pPr>
        <w:pStyle w:val="TableDescription"/>
      </w:pPr>
      <w:r w:rsidRPr="000349EF">
        <w:t>a. One participant experienced the SAE of foreign body ingestion.</w:t>
      </w:r>
    </w:p>
    <w:p w14:paraId="7BCD820C" w14:textId="693B98F3" w:rsidR="00FD65E4" w:rsidRPr="000349EF" w:rsidRDefault="00FD65E4" w:rsidP="00FD65E4">
      <w:pPr>
        <w:pStyle w:val="TableDescription"/>
      </w:pPr>
      <w:r w:rsidRPr="000349EF">
        <w:t>b. One participant in the 50 </w:t>
      </w:r>
      <w:proofErr w:type="spellStart"/>
      <w:r w:rsidRPr="000349EF">
        <w:t>μg</w:t>
      </w:r>
      <w:proofErr w:type="spellEnd"/>
      <w:r w:rsidRPr="000349EF">
        <w:t xml:space="preserve"> group of Part 1 experienced an event of palpitations that was reported as an AESI </w:t>
      </w:r>
      <w:proofErr w:type="gramStart"/>
      <w:r w:rsidRPr="000349EF">
        <w:t>and also</w:t>
      </w:r>
      <w:proofErr w:type="gramEnd"/>
      <w:r w:rsidRPr="000349EF">
        <w:t xml:space="preserve"> as an SAE (note: subsequent to the data snapshot, the event of palpitations was downgraded to nonserious and the onset date was changed to &gt; 28 days after Dose 2).</w:t>
      </w:r>
    </w:p>
    <w:p w14:paraId="02BE0EC9" w14:textId="4B5B8CA3" w:rsidR="00FD65E4" w:rsidRPr="000349EF" w:rsidRDefault="00FD65E4" w:rsidP="00FD65E4">
      <w:pPr>
        <w:pStyle w:val="TableDescription"/>
      </w:pPr>
      <w:r w:rsidRPr="000349EF">
        <w:t xml:space="preserve">c. Adverse event of urticaria </w:t>
      </w:r>
      <w:proofErr w:type="spellStart"/>
      <w:r w:rsidRPr="000349EF">
        <w:t>papular</w:t>
      </w:r>
      <w:proofErr w:type="spellEnd"/>
      <w:r w:rsidRPr="000349EF">
        <w:t>.</w:t>
      </w:r>
    </w:p>
    <w:p w14:paraId="68C6F7CD" w14:textId="5F3FF6C4" w:rsidR="00172ACC" w:rsidRPr="000349EF" w:rsidRDefault="00172ACC" w:rsidP="002F4CF7">
      <w:pPr>
        <w:pStyle w:val="Heading5"/>
        <w:rPr>
          <w:rFonts w:eastAsiaTheme="minorHAnsi"/>
          <w:lang w:eastAsia="ja-JP"/>
        </w:rPr>
      </w:pPr>
      <w:bookmarkStart w:id="68" w:name="_Toc87980881"/>
      <w:r w:rsidRPr="000349EF">
        <w:rPr>
          <w:rFonts w:eastAsiaTheme="minorHAnsi"/>
          <w:lang w:eastAsia="ja-JP"/>
        </w:rPr>
        <w:t xml:space="preserve">Safety overview for </w:t>
      </w:r>
      <w:r w:rsidR="002F4CF7" w:rsidRPr="000349EF">
        <w:rPr>
          <w:rFonts w:eastAsiaTheme="minorHAnsi"/>
          <w:lang w:eastAsia="ja-JP"/>
        </w:rPr>
        <w:t xml:space="preserve">Study P204 </w:t>
      </w:r>
      <w:r w:rsidRPr="000349EF">
        <w:rPr>
          <w:rFonts w:eastAsiaTheme="minorHAnsi"/>
          <w:lang w:eastAsia="ja-JP"/>
        </w:rPr>
        <w:t>Part 2</w:t>
      </w:r>
      <w:bookmarkEnd w:id="68"/>
    </w:p>
    <w:p w14:paraId="341D6B6F" w14:textId="1CE7BC11" w:rsidR="00172ACC" w:rsidRPr="000349EF" w:rsidRDefault="00172ACC" w:rsidP="00172ACC">
      <w:r w:rsidRPr="000349EF">
        <w:t xml:space="preserve">In Part 2, both solicited local and systemic ARs were more frequently reported by participants in the mRNA-1273 group compared with the placebo group after each dose. The majority of solicited ARs were </w:t>
      </w:r>
      <w:r w:rsidR="006277A6" w:rsidRPr="000349EF">
        <w:t>Grade</w:t>
      </w:r>
      <w:r w:rsidR="00914237" w:rsidRPr="000349EF">
        <w:t> </w:t>
      </w:r>
      <w:r w:rsidR="006277A6" w:rsidRPr="000349EF">
        <w:t>1</w:t>
      </w:r>
      <w:r w:rsidRPr="000349EF">
        <w:t xml:space="preserve"> or 2. The frequency of </w:t>
      </w:r>
      <w:r w:rsidR="00914237" w:rsidRPr="000349EF">
        <w:t>Grade </w:t>
      </w:r>
      <w:r w:rsidRPr="000349EF">
        <w:t>3 solicited reactions in the mRNA-1273 group was higher than in the placebo group after each dose. The incidence of unsolicited TEAEs up to 28 days after any dose was higher in the mRNA</w:t>
      </w:r>
      <w:r w:rsidR="00914237" w:rsidRPr="000349EF">
        <w:noBreakHyphen/>
      </w:r>
      <w:r w:rsidRPr="000349EF">
        <w:t>1273 group compared with the placebo group. Imbalances in unsolicited TEAEs up to 28</w:t>
      </w:r>
      <w:r w:rsidR="00914237" w:rsidRPr="000349EF">
        <w:t> </w:t>
      </w:r>
      <w:r w:rsidRPr="000349EF">
        <w:t>days after any dose were mainly attributable to events related to reactogenicity which continued beyond 7</w:t>
      </w:r>
      <w:r w:rsidR="00914237" w:rsidRPr="000349EF">
        <w:t> </w:t>
      </w:r>
      <w:r w:rsidRPr="000349EF">
        <w:t xml:space="preserve">days. Unsolicited TEAEs up to 28 days after any dose assessed as related to study vaccine were more frequently reported in the mRNA-1273 group than in the placebo group. The incidence of severe unsolicited TEAEs up to 28 days in the mRNA-1273 group was low. No participants in the placebo group experienced severe </w:t>
      </w:r>
      <w:r w:rsidRPr="000349EF">
        <w:lastRenderedPageBreak/>
        <w:t>unsolicited TEAEs. The percentage of participants in the mRNA-1273 group reporting MAAEs was lower than that in the placebo group (8.6% v</w:t>
      </w:r>
      <w:r w:rsidR="00914237" w:rsidRPr="000349EF">
        <w:t>ersu</w:t>
      </w:r>
      <w:r w:rsidRPr="000349EF">
        <w:t>s 10.1%). There were 2</w:t>
      </w:r>
      <w:r w:rsidR="00914237" w:rsidRPr="000349EF">
        <w:t> </w:t>
      </w:r>
      <w:r w:rsidRPr="000349EF">
        <w:t>unrelated SAEs in the mRNA-1273 group in the 28 days after any dose: one was an event of orbital cellulitis, and the other one was an event of appendicitis that was also reported as an AESI. Two participants had AEs that led to discontinuation in the mRNA-1273 group. One had a mild event of rash, and the other one had moderate event of urticaria that started on Day</w:t>
      </w:r>
      <w:r w:rsidR="00914237" w:rsidRPr="000349EF">
        <w:t> </w:t>
      </w:r>
      <w:r w:rsidRPr="000349EF">
        <w:t>24 and a mild event of wheezing that on Day</w:t>
      </w:r>
      <w:r w:rsidR="00914237" w:rsidRPr="000349EF">
        <w:t> </w:t>
      </w:r>
      <w:r w:rsidRPr="000349EF">
        <w:t>29 that was considered unrelated. The causality for the urticaria and the rash were not reported at data snapshot. There were no SAEs assessed as related to study vaccine, no deaths, no cases of MIS-C, and no cases of myocarditis or pericarditis reported during the entire study period.</w:t>
      </w:r>
    </w:p>
    <w:p w14:paraId="67AF53BE" w14:textId="4330C67C" w:rsidR="00172ACC" w:rsidRPr="000349EF" w:rsidRDefault="00D7275D" w:rsidP="00D7275D">
      <w:pPr>
        <w:pStyle w:val="TableTitle"/>
      </w:pPr>
      <w:r w:rsidRPr="000349EF">
        <w:t xml:space="preserve">Table </w:t>
      </w:r>
      <w:r w:rsidR="00571D7C">
        <w:fldChar w:fldCharType="begin"/>
      </w:r>
      <w:r w:rsidR="00571D7C">
        <w:instrText xml:space="preserve"> SEQ Table \* ARABIC </w:instrText>
      </w:r>
      <w:r w:rsidR="00571D7C">
        <w:fldChar w:fldCharType="separate"/>
      </w:r>
      <w:r w:rsidR="00235E4B">
        <w:rPr>
          <w:noProof/>
        </w:rPr>
        <w:t>20</w:t>
      </w:r>
      <w:r w:rsidR="00571D7C">
        <w:rPr>
          <w:noProof/>
        </w:rPr>
        <w:fldChar w:fldCharType="end"/>
      </w:r>
      <w:r w:rsidRPr="000349EF">
        <w:t>:</w:t>
      </w:r>
      <w:r w:rsidR="00172ACC" w:rsidRPr="000349EF">
        <w:t xml:space="preserve"> </w:t>
      </w:r>
      <w:r w:rsidRPr="000349EF">
        <w:t xml:space="preserve">Study P204 Part 2 </w:t>
      </w:r>
      <w:r w:rsidR="00172ACC" w:rsidRPr="000349EF">
        <w:t>Safety overview</w:t>
      </w:r>
    </w:p>
    <w:p w14:paraId="1427391D" w14:textId="75F3E763" w:rsidR="00FD65E4" w:rsidRPr="000349EF" w:rsidRDefault="00FD65E4" w:rsidP="00B03B45">
      <w:r w:rsidRPr="000349EF">
        <w:rPr>
          <w:noProof/>
          <w:lang w:val="en-GB" w:eastAsia="en-GB"/>
        </w:rPr>
        <w:drawing>
          <wp:inline distT="0" distB="0" distL="0" distR="0" wp14:anchorId="2900A931" wp14:editId="4C609C32">
            <wp:extent cx="5400040" cy="4641215"/>
            <wp:effectExtent l="0" t="0" r="0" b="6985"/>
            <wp:docPr id="46" name="Picture 46" descr="Table 20: Study P204 Part 2 Safet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 20: Study P204 Part 2 Safety overview"/>
                    <pic:cNvPicPr/>
                  </pic:nvPicPr>
                  <pic:blipFill>
                    <a:blip r:embed="rId39"/>
                    <a:stretch>
                      <a:fillRect/>
                    </a:stretch>
                  </pic:blipFill>
                  <pic:spPr>
                    <a:xfrm>
                      <a:off x="0" y="0"/>
                      <a:ext cx="5400040" cy="4641215"/>
                    </a:xfrm>
                    <a:prstGeom prst="rect">
                      <a:avLst/>
                    </a:prstGeom>
                  </pic:spPr>
                </pic:pic>
              </a:graphicData>
            </a:graphic>
          </wp:inline>
        </w:drawing>
      </w:r>
    </w:p>
    <w:p w14:paraId="460E34AA" w14:textId="3B7C307A" w:rsidR="00FD65E4" w:rsidRPr="000349EF" w:rsidRDefault="00FD65E4" w:rsidP="00FD65E4">
      <w:pPr>
        <w:pStyle w:val="TableDescription"/>
      </w:pPr>
      <w:r w:rsidRPr="000349EF">
        <w:t xml:space="preserve">AE = adverse event; AESI = adverse event of special interest; MIS-C = multiorgan inflammatory syndrome in children; mRNA-1273 = Spikevax COVID-19 vaccine; N = population size; n = sample size; PT = </w:t>
      </w:r>
      <w:r w:rsidR="00914237" w:rsidRPr="000349EF">
        <w:t>Preferred Term</w:t>
      </w:r>
      <w:r w:rsidRPr="000349EF">
        <w:t>; SAE = serious adverse event</w:t>
      </w:r>
    </w:p>
    <w:p w14:paraId="2A072F22" w14:textId="77777777" w:rsidR="00FD65E4" w:rsidRPr="000349EF" w:rsidRDefault="00FD65E4" w:rsidP="00FD65E4">
      <w:pPr>
        <w:pStyle w:val="TableDescription"/>
      </w:pPr>
      <w:r w:rsidRPr="000349EF">
        <w:t>a. One participant experienced an SAE with the PT cellulitis orbital.</w:t>
      </w:r>
    </w:p>
    <w:p w14:paraId="70A7E8DD" w14:textId="6546C7EC" w:rsidR="00FD65E4" w:rsidRPr="000349EF" w:rsidRDefault="00FD65E4" w:rsidP="00FD65E4">
      <w:pPr>
        <w:pStyle w:val="TableDescription"/>
      </w:pPr>
      <w:r w:rsidRPr="000349EF">
        <w:t>b. One participant experienced an AESI with the PT appendicitis.</w:t>
      </w:r>
    </w:p>
    <w:p w14:paraId="4B00928F" w14:textId="749D6B5B" w:rsidR="00FD65E4" w:rsidRPr="000349EF" w:rsidRDefault="00FD65E4" w:rsidP="00FD65E4">
      <w:pPr>
        <w:pStyle w:val="TableDescription"/>
      </w:pPr>
      <w:r w:rsidRPr="000349EF">
        <w:t>c. Two participants were discontinued from study vaccine due to AEs with the PTs rash and urticaria and wheezing.</w:t>
      </w:r>
    </w:p>
    <w:p w14:paraId="30EDCF59" w14:textId="1C311964" w:rsidR="00172ACC" w:rsidRPr="000349EF" w:rsidRDefault="00172ACC" w:rsidP="002F4CF7">
      <w:pPr>
        <w:pStyle w:val="Heading5"/>
        <w:rPr>
          <w:rFonts w:eastAsiaTheme="minorHAnsi"/>
        </w:rPr>
      </w:pPr>
      <w:bookmarkStart w:id="69" w:name="_Toc87980882"/>
      <w:r w:rsidRPr="000349EF">
        <w:rPr>
          <w:rFonts w:eastAsiaTheme="minorHAnsi"/>
        </w:rPr>
        <w:t xml:space="preserve">Solicited </w:t>
      </w:r>
      <w:r w:rsidR="002F4CF7" w:rsidRPr="000349EF">
        <w:rPr>
          <w:rFonts w:eastAsiaTheme="minorHAnsi"/>
        </w:rPr>
        <w:t>local adverse reactions</w:t>
      </w:r>
      <w:bookmarkEnd w:id="69"/>
    </w:p>
    <w:p w14:paraId="2E385875" w14:textId="74138913" w:rsidR="00172ACC" w:rsidRPr="000349EF" w:rsidRDefault="002F4CF7" w:rsidP="002F4CF7">
      <w:pPr>
        <w:pStyle w:val="Heading6"/>
      </w:pPr>
      <w:r w:rsidRPr="000349EF">
        <w:t xml:space="preserve">Study P204 </w:t>
      </w:r>
      <w:r w:rsidR="00172ACC" w:rsidRPr="000349EF">
        <w:t>Part 1</w:t>
      </w:r>
    </w:p>
    <w:p w14:paraId="42A65326" w14:textId="32BC7915" w:rsidR="00172ACC" w:rsidRPr="000349EF" w:rsidRDefault="00172ACC" w:rsidP="00172ACC">
      <w:r w:rsidRPr="000349EF">
        <w:t>In the 50</w:t>
      </w:r>
      <w:r w:rsidR="00914237" w:rsidRPr="000349EF">
        <w:t> </w:t>
      </w:r>
      <w:proofErr w:type="spellStart"/>
      <w:r w:rsidRPr="000349EF">
        <w:t>μg</w:t>
      </w:r>
      <w:proofErr w:type="spellEnd"/>
      <w:r w:rsidRPr="000349EF">
        <w:t xml:space="preserve"> group, solicited local ARs were similar in frequency after </w:t>
      </w:r>
      <w:r w:rsidR="0077374E" w:rsidRPr="000349EF">
        <w:t>Dose</w:t>
      </w:r>
      <w:r w:rsidR="00914237" w:rsidRPr="000349EF">
        <w:t> </w:t>
      </w:r>
      <w:r w:rsidR="0077374E" w:rsidRPr="000349EF">
        <w:t>1</w:t>
      </w:r>
      <w:r w:rsidRPr="000349EF">
        <w:t xml:space="preserve"> and 2. After any dose, the most common solicited local AR was injection site pain (368 </w:t>
      </w:r>
      <w:r w:rsidR="00A23298" w:rsidRPr="000349EF">
        <w:t>(</w:t>
      </w:r>
      <w:r w:rsidRPr="000349EF">
        <w:t>96.8%</w:t>
      </w:r>
      <w:r w:rsidR="00A23298" w:rsidRPr="000349EF">
        <w:t>)</w:t>
      </w:r>
      <w:r w:rsidRPr="000349EF">
        <w:t xml:space="preserve"> participants). The majority of solicited local ARs were </w:t>
      </w:r>
      <w:r w:rsidR="006277A6" w:rsidRPr="000349EF">
        <w:t>Grade 1</w:t>
      </w:r>
      <w:r w:rsidRPr="000349EF">
        <w:t xml:space="preserve"> to 2. The most frequent </w:t>
      </w:r>
      <w:r w:rsidR="00914237" w:rsidRPr="000349EF">
        <w:lastRenderedPageBreak/>
        <w:t xml:space="preserve">Grade </w:t>
      </w:r>
      <w:r w:rsidRPr="000349EF">
        <w:t xml:space="preserve">3 solicited local ARs included injection site pain (10 </w:t>
      </w:r>
      <w:r w:rsidR="00A23298" w:rsidRPr="000349EF">
        <w:t>(</w:t>
      </w:r>
      <w:r w:rsidRPr="000349EF">
        <w:t>2.6%</w:t>
      </w:r>
      <w:r w:rsidR="00A23298" w:rsidRPr="000349EF">
        <w:t>)</w:t>
      </w:r>
      <w:r w:rsidRPr="000349EF">
        <w:t>) and erythema (4</w:t>
      </w:r>
      <w:r w:rsidR="00914237" w:rsidRPr="000349EF">
        <w:t> </w:t>
      </w:r>
      <w:r w:rsidR="00A23298" w:rsidRPr="000349EF">
        <w:t>(</w:t>
      </w:r>
      <w:r w:rsidRPr="000349EF">
        <w:t>1.1%</w:t>
      </w:r>
      <w:r w:rsidR="00A23298" w:rsidRPr="000349EF">
        <w:t>)</w:t>
      </w:r>
      <w:r w:rsidRPr="000349EF">
        <w:t xml:space="preserve">). There were no </w:t>
      </w:r>
      <w:r w:rsidR="00914237" w:rsidRPr="000349EF">
        <w:t xml:space="preserve">Grade </w:t>
      </w:r>
      <w:r w:rsidRPr="000349EF">
        <w:t>4 solicited local ARs. The majority of the solicited local ARs in the 50</w:t>
      </w:r>
      <w:r w:rsidR="00914237" w:rsidRPr="000349EF">
        <w:t> </w:t>
      </w:r>
      <w:proofErr w:type="spellStart"/>
      <w:r w:rsidRPr="000349EF">
        <w:t>μg</w:t>
      </w:r>
      <w:proofErr w:type="spellEnd"/>
      <w:r w:rsidRPr="000349EF">
        <w:t xml:space="preserve"> group occurred within the first </w:t>
      </w:r>
      <w:r w:rsidR="00914237" w:rsidRPr="000349EF">
        <w:t>one</w:t>
      </w:r>
      <w:r w:rsidRPr="000349EF">
        <w:t xml:space="preserve"> to </w:t>
      </w:r>
      <w:r w:rsidR="00914237" w:rsidRPr="000349EF">
        <w:t>two</w:t>
      </w:r>
      <w:r w:rsidRPr="000349EF">
        <w:t xml:space="preserve"> days after each dose in both groups and generally persisted for a median of </w:t>
      </w:r>
      <w:r w:rsidR="00914237" w:rsidRPr="000349EF">
        <w:t>three</w:t>
      </w:r>
      <w:r w:rsidRPr="000349EF">
        <w:t xml:space="preserve"> days. There were 15 (3.9%) participants reported 17 solicited local ARs with an onset after 7 days after </w:t>
      </w:r>
      <w:r w:rsidR="0077374E" w:rsidRPr="000349EF">
        <w:t>Dose</w:t>
      </w:r>
      <w:r w:rsidR="00914237" w:rsidRPr="000349EF">
        <w:t> </w:t>
      </w:r>
      <w:r w:rsidR="0077374E" w:rsidRPr="000349EF">
        <w:t>1</w:t>
      </w:r>
      <w:r w:rsidRPr="000349EF">
        <w:t xml:space="preserve">. The ARs reported were erythema (15 </w:t>
      </w:r>
      <w:r w:rsidR="00A23298" w:rsidRPr="000349EF">
        <w:t>(</w:t>
      </w:r>
      <w:r w:rsidRPr="000349EF">
        <w:t>3.9%</w:t>
      </w:r>
      <w:r w:rsidR="00A23298" w:rsidRPr="000349EF">
        <w:t>)</w:t>
      </w:r>
      <w:r w:rsidRPr="000349EF">
        <w:t>) and injection site swelling (hardness) (2</w:t>
      </w:r>
      <w:r w:rsidR="00914237" w:rsidRPr="000349EF">
        <w:t> </w:t>
      </w:r>
      <w:r w:rsidR="00A23298" w:rsidRPr="000349EF">
        <w:t>(</w:t>
      </w:r>
      <w:r w:rsidRPr="000349EF">
        <w:t>0.5%</w:t>
      </w:r>
      <w:r w:rsidR="00A23298" w:rsidRPr="000349EF">
        <w:t>)</w:t>
      </w:r>
      <w:r w:rsidRPr="000349EF">
        <w:t>). No participants in this group reported solicited local ARs with an onset after 7</w:t>
      </w:r>
      <w:r w:rsidR="00914237" w:rsidRPr="000349EF">
        <w:t> </w:t>
      </w:r>
      <w:r w:rsidRPr="000349EF">
        <w:t xml:space="preserve">days after </w:t>
      </w:r>
      <w:r w:rsidR="0077374E" w:rsidRPr="000349EF">
        <w:t>Dose</w:t>
      </w:r>
      <w:r w:rsidR="00914237" w:rsidRPr="000349EF">
        <w:t> </w:t>
      </w:r>
      <w:r w:rsidR="0077374E" w:rsidRPr="000349EF">
        <w:t>2</w:t>
      </w:r>
      <w:r w:rsidRPr="000349EF">
        <w:t>.</w:t>
      </w:r>
    </w:p>
    <w:p w14:paraId="01D0C00F" w14:textId="1FA03922" w:rsidR="00172ACC" w:rsidRPr="000349EF" w:rsidRDefault="002F4CF7" w:rsidP="002F4CF7">
      <w:pPr>
        <w:pStyle w:val="Heading6"/>
      </w:pPr>
      <w:r w:rsidRPr="000349EF">
        <w:t xml:space="preserve">Study P204 </w:t>
      </w:r>
      <w:r w:rsidR="00172ACC" w:rsidRPr="000349EF">
        <w:t>Part 2</w:t>
      </w:r>
    </w:p>
    <w:p w14:paraId="73EBABDA" w14:textId="570AEF48" w:rsidR="00172ACC" w:rsidRPr="000349EF" w:rsidRDefault="00172ACC" w:rsidP="00172ACC">
      <w:r w:rsidRPr="000349EF">
        <w:t xml:space="preserve">The incidence of solicited local ARs were more common in the mRNA-1273 group than in the placebo group. The incidence of participants experiencing </w:t>
      </w:r>
      <w:r w:rsidR="00914237" w:rsidRPr="000349EF">
        <w:t>Grade 3</w:t>
      </w:r>
      <w:r w:rsidRPr="000349EF">
        <w:t xml:space="preserve"> solicited local ARs was higher (121 </w:t>
      </w:r>
      <w:r w:rsidR="00A23298" w:rsidRPr="000349EF">
        <w:t>(</w:t>
      </w:r>
      <w:r w:rsidRPr="000349EF">
        <w:t>4.1%</w:t>
      </w:r>
      <w:r w:rsidR="00A23298" w:rsidRPr="000349EF">
        <w:t>)</w:t>
      </w:r>
      <w:r w:rsidRPr="000349EF">
        <w:t xml:space="preserve">) after </w:t>
      </w:r>
      <w:r w:rsidR="0077374E" w:rsidRPr="000349EF">
        <w:t>Dose</w:t>
      </w:r>
      <w:r w:rsidR="00914237" w:rsidRPr="000349EF">
        <w:t> </w:t>
      </w:r>
      <w:r w:rsidR="0077374E" w:rsidRPr="000349EF">
        <w:t>2</w:t>
      </w:r>
      <w:r w:rsidRPr="000349EF">
        <w:t xml:space="preserve"> than after </w:t>
      </w:r>
      <w:r w:rsidR="0077374E" w:rsidRPr="000349EF">
        <w:t>Dose</w:t>
      </w:r>
      <w:r w:rsidR="00914237" w:rsidRPr="000349EF">
        <w:t> </w:t>
      </w:r>
      <w:r w:rsidR="0077374E" w:rsidRPr="000349EF">
        <w:t>1</w:t>
      </w:r>
      <w:r w:rsidRPr="000349EF">
        <w:t xml:space="preserve"> (54 </w:t>
      </w:r>
      <w:r w:rsidR="00A23298" w:rsidRPr="000349EF">
        <w:t>(</w:t>
      </w:r>
      <w:r w:rsidRPr="000349EF">
        <w:t>1.8%</w:t>
      </w:r>
      <w:r w:rsidR="00A23298" w:rsidRPr="000349EF">
        <w:t>)</w:t>
      </w:r>
      <w:r w:rsidRPr="000349EF">
        <w:t xml:space="preserve">) in the mRNA-1273 group. After any dose, the most common solicited local AR was injection site pain. The majority of solicited local ARs were </w:t>
      </w:r>
      <w:r w:rsidR="006277A6" w:rsidRPr="000349EF">
        <w:t>Grade</w:t>
      </w:r>
      <w:r w:rsidR="00914237" w:rsidRPr="000349EF">
        <w:t> </w:t>
      </w:r>
      <w:r w:rsidR="006277A6" w:rsidRPr="000349EF">
        <w:t>1</w:t>
      </w:r>
      <w:r w:rsidRPr="000349EF">
        <w:t xml:space="preserve"> to 2. The most common </w:t>
      </w:r>
      <w:r w:rsidR="00914237" w:rsidRPr="000349EF">
        <w:t>Grade 3</w:t>
      </w:r>
      <w:r w:rsidRPr="000349EF">
        <w:t xml:space="preserve"> solicited local AR occurring after any dose in the mRNA-1273 group was injection site pain (100 </w:t>
      </w:r>
      <w:r w:rsidR="00A23298" w:rsidRPr="000349EF">
        <w:t>(</w:t>
      </w:r>
      <w:r w:rsidRPr="000349EF">
        <w:t>3.3%</w:t>
      </w:r>
      <w:r w:rsidR="00A23298" w:rsidRPr="000349EF">
        <w:t>)</w:t>
      </w:r>
      <w:r w:rsidRPr="000349EF">
        <w:t xml:space="preserve">). No </w:t>
      </w:r>
      <w:r w:rsidR="00914237" w:rsidRPr="000349EF">
        <w:t>Grade 4</w:t>
      </w:r>
      <w:r w:rsidRPr="000349EF">
        <w:t xml:space="preserve"> solicited local ARs were reported in Part 2. The majority of the solicited local ARs in the mRNA-1273 group occurred within the first </w:t>
      </w:r>
      <w:r w:rsidR="00914237" w:rsidRPr="000349EF">
        <w:t>one</w:t>
      </w:r>
      <w:r w:rsidRPr="000349EF">
        <w:t xml:space="preserve"> to </w:t>
      </w:r>
      <w:r w:rsidR="00914237" w:rsidRPr="000349EF">
        <w:t>two</w:t>
      </w:r>
      <w:r w:rsidRPr="000349EF">
        <w:t xml:space="preserve"> days after any dose and persisted for a median of </w:t>
      </w:r>
      <w:r w:rsidR="00914237" w:rsidRPr="000349EF">
        <w:t>three</w:t>
      </w:r>
      <w:r w:rsidRPr="000349EF">
        <w:t xml:space="preserve"> days.</w:t>
      </w:r>
    </w:p>
    <w:p w14:paraId="589F99E7" w14:textId="0A97CA64" w:rsidR="00172ACC" w:rsidRPr="000349EF" w:rsidRDefault="00172ACC" w:rsidP="00172ACC">
      <w:r w:rsidRPr="000349EF">
        <w:t xml:space="preserve">In the mRNA-1273 group, 81 (2.7%) participants reported solicited local ARs with onset after 7 days after </w:t>
      </w:r>
      <w:r w:rsidR="0077374E" w:rsidRPr="000349EF">
        <w:t>Dose</w:t>
      </w:r>
      <w:r w:rsidR="00914237" w:rsidRPr="000349EF">
        <w:t> </w:t>
      </w:r>
      <w:r w:rsidR="0077374E" w:rsidRPr="000349EF">
        <w:t>1</w:t>
      </w:r>
      <w:r w:rsidRPr="000349EF">
        <w:t>. Only 3 (&lt;</w:t>
      </w:r>
      <w:r w:rsidR="00914237" w:rsidRPr="000349EF">
        <w:t> </w:t>
      </w:r>
      <w:r w:rsidRPr="000349EF">
        <w:t xml:space="preserve">0.1%) participants reported solicited local ARs with onset after 7 days after </w:t>
      </w:r>
      <w:r w:rsidR="0077374E" w:rsidRPr="000349EF">
        <w:t>Dose</w:t>
      </w:r>
      <w:r w:rsidR="00914237" w:rsidRPr="000349EF">
        <w:t> </w:t>
      </w:r>
      <w:r w:rsidR="0077374E" w:rsidRPr="000349EF">
        <w:t>2</w:t>
      </w:r>
      <w:r w:rsidRPr="000349EF">
        <w:t xml:space="preserve">. The ARs reported after any dose were injection site swelling (22 </w:t>
      </w:r>
      <w:r w:rsidR="00A23298" w:rsidRPr="000349EF">
        <w:t>(</w:t>
      </w:r>
      <w:r w:rsidRPr="000349EF">
        <w:t>0.7%</w:t>
      </w:r>
      <w:r w:rsidR="00A23298" w:rsidRPr="000349EF">
        <w:t>)</w:t>
      </w:r>
      <w:r w:rsidRPr="000349EF">
        <w:t xml:space="preserve">), injection site pain (16 </w:t>
      </w:r>
      <w:r w:rsidR="00A23298" w:rsidRPr="000349EF">
        <w:t>(</w:t>
      </w:r>
      <w:r w:rsidRPr="000349EF">
        <w:t>0.5%</w:t>
      </w:r>
      <w:r w:rsidR="00A23298" w:rsidRPr="000349EF">
        <w:t>)</w:t>
      </w:r>
      <w:r w:rsidRPr="000349EF">
        <w:t xml:space="preserve">), erythema (63 </w:t>
      </w:r>
      <w:r w:rsidR="00A23298" w:rsidRPr="000349EF">
        <w:t>(</w:t>
      </w:r>
      <w:r w:rsidRPr="000349EF">
        <w:t>2.1%</w:t>
      </w:r>
      <w:r w:rsidR="00A23298" w:rsidRPr="000349EF">
        <w:t>)</w:t>
      </w:r>
      <w:r w:rsidRPr="000349EF">
        <w:t xml:space="preserve">), and axillary (or groin) swelling or tenderness (3 </w:t>
      </w:r>
      <w:r w:rsidR="00A23298" w:rsidRPr="000349EF">
        <w:t>(</w:t>
      </w:r>
      <w:r w:rsidRPr="000349EF">
        <w:t>&lt;</w:t>
      </w:r>
      <w:r w:rsidR="00914237" w:rsidRPr="000349EF">
        <w:t> </w:t>
      </w:r>
      <w:r w:rsidRPr="000349EF">
        <w:t>0.1%</w:t>
      </w:r>
      <w:r w:rsidR="00A23298" w:rsidRPr="000349EF">
        <w:t>)</w:t>
      </w:r>
      <w:r w:rsidRPr="000349EF">
        <w:t>).</w:t>
      </w:r>
    </w:p>
    <w:p w14:paraId="16A6E80A" w14:textId="5F43B45F" w:rsidR="00172ACC" w:rsidRPr="000349EF" w:rsidRDefault="00172ACC" w:rsidP="002F4CF7">
      <w:pPr>
        <w:pStyle w:val="Heading5"/>
      </w:pPr>
      <w:bookmarkStart w:id="70" w:name="_Toc87980883"/>
      <w:r w:rsidRPr="000349EF">
        <w:t xml:space="preserve">Solicited </w:t>
      </w:r>
      <w:r w:rsidR="002F4CF7" w:rsidRPr="000349EF">
        <w:t>systemic adverse reactions</w:t>
      </w:r>
      <w:bookmarkEnd w:id="70"/>
    </w:p>
    <w:p w14:paraId="1C208FF1" w14:textId="60BC8FF6" w:rsidR="00172ACC" w:rsidRPr="000349EF" w:rsidRDefault="002F4CF7" w:rsidP="002F4CF7">
      <w:pPr>
        <w:pStyle w:val="Heading6"/>
      </w:pPr>
      <w:r w:rsidRPr="000349EF">
        <w:t xml:space="preserve">Study P204 </w:t>
      </w:r>
      <w:r w:rsidR="00172ACC" w:rsidRPr="000349EF">
        <w:t>Part 1</w:t>
      </w:r>
    </w:p>
    <w:p w14:paraId="0C93DF77" w14:textId="66EDE30B" w:rsidR="00172ACC" w:rsidRPr="000349EF" w:rsidRDefault="00172ACC" w:rsidP="00172ACC">
      <w:r w:rsidRPr="000349EF">
        <w:t>In the 50</w:t>
      </w:r>
      <w:r w:rsidR="00914237" w:rsidRPr="000349EF">
        <w:t> </w:t>
      </w:r>
      <w:proofErr w:type="spellStart"/>
      <w:r w:rsidRPr="000349EF">
        <w:t>μg</w:t>
      </w:r>
      <w:proofErr w:type="spellEnd"/>
      <w:r w:rsidRPr="000349EF">
        <w:t xml:space="preserve"> group, solicited systemic ARs were more common after </w:t>
      </w:r>
      <w:r w:rsidR="0077374E" w:rsidRPr="000349EF">
        <w:t>Dose</w:t>
      </w:r>
      <w:r w:rsidR="00914237" w:rsidRPr="000349EF">
        <w:t> </w:t>
      </w:r>
      <w:r w:rsidR="0077374E" w:rsidRPr="000349EF">
        <w:t>2</w:t>
      </w:r>
      <w:r w:rsidRPr="000349EF">
        <w:t xml:space="preserve"> than </w:t>
      </w:r>
      <w:r w:rsidR="0077374E" w:rsidRPr="000349EF">
        <w:t>Dose</w:t>
      </w:r>
      <w:r w:rsidR="00914237" w:rsidRPr="000349EF">
        <w:t> </w:t>
      </w:r>
      <w:r w:rsidR="0077374E" w:rsidRPr="000349EF">
        <w:t>1</w:t>
      </w:r>
      <w:r w:rsidRPr="000349EF">
        <w:t xml:space="preserve">. After any dose, the most common solicited systemic ARs were fatigue (262 </w:t>
      </w:r>
      <w:r w:rsidR="00A23298" w:rsidRPr="000349EF">
        <w:t>(</w:t>
      </w:r>
      <w:r w:rsidRPr="000349EF">
        <w:t>68.9%</w:t>
      </w:r>
      <w:r w:rsidR="00A23298" w:rsidRPr="000349EF">
        <w:t>)</w:t>
      </w:r>
      <w:r w:rsidRPr="000349EF">
        <w:t xml:space="preserve">) and headache (228 </w:t>
      </w:r>
      <w:r w:rsidR="00A23298" w:rsidRPr="000349EF">
        <w:t>(</w:t>
      </w:r>
      <w:r w:rsidRPr="000349EF">
        <w:t>60.0%</w:t>
      </w:r>
      <w:r w:rsidR="00A23298" w:rsidRPr="000349EF">
        <w:t>)</w:t>
      </w:r>
      <w:r w:rsidRPr="000349EF">
        <w:t xml:space="preserve">). The majority of solicited systemic ARs were </w:t>
      </w:r>
      <w:r w:rsidR="006277A6" w:rsidRPr="000349EF">
        <w:t>Grade</w:t>
      </w:r>
      <w:r w:rsidR="00914237" w:rsidRPr="000349EF">
        <w:t> </w:t>
      </w:r>
      <w:r w:rsidR="006277A6" w:rsidRPr="000349EF">
        <w:t>1</w:t>
      </w:r>
      <w:r w:rsidRPr="000349EF">
        <w:t xml:space="preserve"> to 2. The most common </w:t>
      </w:r>
      <w:r w:rsidR="00914237" w:rsidRPr="000349EF">
        <w:t>Grade 3</w:t>
      </w:r>
      <w:r w:rsidRPr="000349EF">
        <w:t xml:space="preserve"> systemic ARs after any dose were fatigue (30 </w:t>
      </w:r>
      <w:r w:rsidR="00A23298" w:rsidRPr="000349EF">
        <w:t>(</w:t>
      </w:r>
      <w:r w:rsidRPr="000349EF">
        <w:t>7.9%</w:t>
      </w:r>
      <w:r w:rsidR="00A23298" w:rsidRPr="000349EF">
        <w:t>)</w:t>
      </w:r>
      <w:r w:rsidRPr="000349EF">
        <w:t xml:space="preserve">), headache (14 </w:t>
      </w:r>
      <w:r w:rsidR="00A23298" w:rsidRPr="000349EF">
        <w:t>(</w:t>
      </w:r>
      <w:r w:rsidRPr="000349EF">
        <w:t>3.7%</w:t>
      </w:r>
      <w:r w:rsidR="00A23298" w:rsidRPr="000349EF">
        <w:t>)</w:t>
      </w:r>
      <w:r w:rsidRPr="000349EF">
        <w:t xml:space="preserve">), and fever (11 </w:t>
      </w:r>
      <w:r w:rsidR="00A23298" w:rsidRPr="000349EF">
        <w:t>(</w:t>
      </w:r>
      <w:r w:rsidRPr="000349EF">
        <w:t>2.9%</w:t>
      </w:r>
      <w:r w:rsidR="00A23298" w:rsidRPr="000349EF">
        <w:t>)</w:t>
      </w:r>
      <w:r w:rsidRPr="000349EF">
        <w:t xml:space="preserve">). No </w:t>
      </w:r>
      <w:r w:rsidR="00914237" w:rsidRPr="000349EF">
        <w:t>Grade 4</w:t>
      </w:r>
      <w:r w:rsidRPr="000349EF">
        <w:t xml:space="preserve"> solicited systemic ARs were reported in the 50</w:t>
      </w:r>
      <w:r w:rsidR="00914237" w:rsidRPr="000349EF">
        <w:t> </w:t>
      </w:r>
      <w:proofErr w:type="spellStart"/>
      <w:r w:rsidRPr="000349EF">
        <w:t>μg</w:t>
      </w:r>
      <w:proofErr w:type="spellEnd"/>
      <w:r w:rsidRPr="000349EF">
        <w:t xml:space="preserve"> group of Part 1. The majority of the solicited systemic ARs in the 50</w:t>
      </w:r>
      <w:r w:rsidR="00914237" w:rsidRPr="000349EF">
        <w:t> </w:t>
      </w:r>
      <w:proofErr w:type="spellStart"/>
      <w:r w:rsidRPr="000349EF">
        <w:t>μg</w:t>
      </w:r>
      <w:proofErr w:type="spellEnd"/>
      <w:r w:rsidRPr="000349EF">
        <w:t xml:space="preserve"> group of Part 1 occurred within the first </w:t>
      </w:r>
      <w:r w:rsidR="00914237" w:rsidRPr="000349EF">
        <w:t>one</w:t>
      </w:r>
      <w:r w:rsidRPr="000349EF">
        <w:t xml:space="preserve"> to </w:t>
      </w:r>
      <w:r w:rsidR="00914237" w:rsidRPr="000349EF">
        <w:t>two</w:t>
      </w:r>
      <w:r w:rsidRPr="000349EF">
        <w:t xml:space="preserve"> days after each dose and generally persisted for a median of </w:t>
      </w:r>
      <w:r w:rsidR="00914237" w:rsidRPr="000349EF">
        <w:t>two</w:t>
      </w:r>
      <w:r w:rsidRPr="000349EF">
        <w:t xml:space="preserve"> days. No participants reported solicited systemic ARs with onset after 7</w:t>
      </w:r>
      <w:r w:rsidR="00914237" w:rsidRPr="000349EF">
        <w:t> </w:t>
      </w:r>
      <w:r w:rsidRPr="000349EF">
        <w:t xml:space="preserve">days after </w:t>
      </w:r>
      <w:r w:rsidR="0077374E" w:rsidRPr="000349EF">
        <w:t>Dose</w:t>
      </w:r>
      <w:r w:rsidR="00914237" w:rsidRPr="000349EF">
        <w:t> </w:t>
      </w:r>
      <w:r w:rsidR="0077374E" w:rsidRPr="000349EF">
        <w:t>1</w:t>
      </w:r>
      <w:r w:rsidRPr="000349EF">
        <w:t xml:space="preserve">. One (0.3%) participant reported the solicited systemic AR of a fever with an onset after 7 days </w:t>
      </w:r>
      <w:r w:rsidR="0077374E" w:rsidRPr="000349EF">
        <w:t>post-Dose</w:t>
      </w:r>
      <w:r w:rsidR="00914237" w:rsidRPr="000349EF">
        <w:t> </w:t>
      </w:r>
      <w:r w:rsidR="0077374E" w:rsidRPr="000349EF">
        <w:t>2</w:t>
      </w:r>
      <w:r w:rsidRPr="000349EF">
        <w:t>.</w:t>
      </w:r>
    </w:p>
    <w:p w14:paraId="6C8AF523" w14:textId="3F5AE08A" w:rsidR="00172ACC" w:rsidRPr="000349EF" w:rsidRDefault="00172ACC" w:rsidP="00172ACC">
      <w:r w:rsidRPr="000349EF">
        <w:t>Fever, headache, and myalgia were reported more frequently in the 100</w:t>
      </w:r>
      <w:r w:rsidR="00914237" w:rsidRPr="000349EF">
        <w:t> </w:t>
      </w:r>
      <w:proofErr w:type="spellStart"/>
      <w:r w:rsidRPr="000349EF">
        <w:t>μg</w:t>
      </w:r>
      <w:proofErr w:type="spellEnd"/>
      <w:r w:rsidRPr="000349EF">
        <w:t xml:space="preserve"> group after both doses than in the 50</w:t>
      </w:r>
      <w:r w:rsidR="00914237" w:rsidRPr="000349EF">
        <w:t> </w:t>
      </w:r>
      <w:proofErr w:type="spellStart"/>
      <w:r w:rsidRPr="000349EF">
        <w:t>μg</w:t>
      </w:r>
      <w:proofErr w:type="spellEnd"/>
      <w:r w:rsidRPr="000349EF">
        <w:t xml:space="preserve"> group. Fatigue was reported at roughly similar frequencies in both dose groups, but the reported severity of fatigue was higher in the 100</w:t>
      </w:r>
      <w:r w:rsidR="00914237" w:rsidRPr="000349EF">
        <w:t> </w:t>
      </w:r>
      <w:proofErr w:type="spellStart"/>
      <w:r w:rsidRPr="000349EF">
        <w:t>μg</w:t>
      </w:r>
      <w:proofErr w:type="spellEnd"/>
      <w:r w:rsidRPr="000349EF">
        <w:t xml:space="preserve"> group.</w:t>
      </w:r>
    </w:p>
    <w:p w14:paraId="3D1A78EB" w14:textId="436B7C26" w:rsidR="00172ACC" w:rsidRPr="000349EF" w:rsidRDefault="002F4CF7" w:rsidP="002F4CF7">
      <w:pPr>
        <w:pStyle w:val="Heading6"/>
      </w:pPr>
      <w:r w:rsidRPr="000349EF">
        <w:t xml:space="preserve">Study P204 </w:t>
      </w:r>
      <w:r w:rsidR="00172ACC" w:rsidRPr="000349EF">
        <w:t>Part 2</w:t>
      </w:r>
    </w:p>
    <w:p w14:paraId="3B9DB353" w14:textId="73919DDF" w:rsidR="00172ACC" w:rsidRPr="000349EF" w:rsidRDefault="00172ACC" w:rsidP="00172ACC">
      <w:r w:rsidRPr="000349EF">
        <w:t xml:space="preserve">Solicited systemic ARs were more common in the mRNA-1273 group than in the placebo group and were more common after </w:t>
      </w:r>
      <w:r w:rsidR="0077374E" w:rsidRPr="000349EF">
        <w:t>Dose</w:t>
      </w:r>
      <w:r w:rsidR="00914237" w:rsidRPr="000349EF">
        <w:t> </w:t>
      </w:r>
      <w:r w:rsidR="0077374E" w:rsidRPr="000349EF">
        <w:t>2</w:t>
      </w:r>
      <w:r w:rsidRPr="000349EF">
        <w:t xml:space="preserve"> of mRNA-1273. After any dose, the most common solicited systemic ARs were fatigue (2194 </w:t>
      </w:r>
      <w:r w:rsidR="00A23298" w:rsidRPr="000349EF">
        <w:t>(</w:t>
      </w:r>
      <w:r w:rsidRPr="000349EF">
        <w:t>73.0%</w:t>
      </w:r>
      <w:r w:rsidR="00A23298" w:rsidRPr="000349EF">
        <w:t>)</w:t>
      </w:r>
      <w:r w:rsidRPr="000349EF">
        <w:t xml:space="preserve">) and headache (1862 </w:t>
      </w:r>
      <w:r w:rsidR="00A23298" w:rsidRPr="000349EF">
        <w:t>(</w:t>
      </w:r>
      <w:r w:rsidRPr="000349EF">
        <w:t>62.0%</w:t>
      </w:r>
      <w:r w:rsidR="00A23298" w:rsidRPr="000349EF">
        <w:t>)</w:t>
      </w:r>
      <w:r w:rsidRPr="000349EF">
        <w:t xml:space="preserve">). The majority of solicited systemic ARs were </w:t>
      </w:r>
      <w:r w:rsidR="006277A6" w:rsidRPr="000349EF">
        <w:t>Grade 1</w:t>
      </w:r>
      <w:r w:rsidRPr="000349EF">
        <w:t xml:space="preserve"> </w:t>
      </w:r>
      <w:r w:rsidR="00332BFA" w:rsidRPr="000349EF">
        <w:t xml:space="preserve">or </w:t>
      </w:r>
      <w:r w:rsidRPr="000349EF">
        <w:t xml:space="preserve">2; however, there was a higher occurrence of </w:t>
      </w:r>
      <w:r w:rsidR="00914237" w:rsidRPr="000349EF">
        <w:t>Grade 3</w:t>
      </w:r>
      <w:r w:rsidRPr="000349EF">
        <w:t xml:space="preserve"> solicited systemic reactions in the mRNA-1273 group than in the placebo group. The most common </w:t>
      </w:r>
      <w:r w:rsidR="00914237" w:rsidRPr="000349EF">
        <w:t>Grade 3</w:t>
      </w:r>
      <w:r w:rsidRPr="000349EF">
        <w:t xml:space="preserve"> solicited systemic ARs in the mRNA-1273 group after any dose were fatigue (214 </w:t>
      </w:r>
      <w:r w:rsidR="00A23298" w:rsidRPr="000349EF">
        <w:t>(</w:t>
      </w:r>
      <w:r w:rsidRPr="000349EF">
        <w:t>7.1%</w:t>
      </w:r>
      <w:r w:rsidR="00A23298" w:rsidRPr="000349EF">
        <w:t>)</w:t>
      </w:r>
      <w:r w:rsidRPr="000349EF">
        <w:t xml:space="preserve">), headache (133 </w:t>
      </w:r>
      <w:r w:rsidR="00A23298" w:rsidRPr="000349EF">
        <w:t>(</w:t>
      </w:r>
      <w:r w:rsidRPr="000349EF">
        <w:t>4.4%</w:t>
      </w:r>
      <w:r w:rsidR="00A23298" w:rsidRPr="000349EF">
        <w:t>)</w:t>
      </w:r>
      <w:r w:rsidRPr="000349EF">
        <w:t>), and fever ≥</w:t>
      </w:r>
      <w:r w:rsidR="00914237" w:rsidRPr="000349EF">
        <w:t> </w:t>
      </w:r>
      <w:r w:rsidRPr="000349EF">
        <w:t>39.0</w:t>
      </w:r>
      <w:r w:rsidR="00332BFA" w:rsidRPr="000349EF">
        <w:t>°C</w:t>
      </w:r>
      <w:r w:rsidR="00573761" w:rsidRPr="000349EF">
        <w:t xml:space="preserve"> to </w:t>
      </w:r>
      <w:r w:rsidRPr="000349EF">
        <w:t xml:space="preserve">39.9°C (127 </w:t>
      </w:r>
      <w:r w:rsidR="00A23298" w:rsidRPr="000349EF">
        <w:t>(</w:t>
      </w:r>
      <w:r w:rsidRPr="000349EF">
        <w:t>4.2%</w:t>
      </w:r>
      <w:r w:rsidR="00A23298" w:rsidRPr="000349EF">
        <w:t>)</w:t>
      </w:r>
      <w:r w:rsidRPr="000349EF">
        <w:t xml:space="preserve">). In the placebo group, a </w:t>
      </w:r>
      <w:r w:rsidR="00914237" w:rsidRPr="000349EF">
        <w:t>Grade 4</w:t>
      </w:r>
      <w:r w:rsidRPr="000349EF">
        <w:t xml:space="preserve"> systemic AR of fever was erroneously reported in </w:t>
      </w:r>
      <w:r w:rsidR="00573761" w:rsidRPr="000349EF">
        <w:t>one</w:t>
      </w:r>
      <w:r w:rsidRPr="000349EF">
        <w:t xml:space="preserve"> participant (data entry error). The participant’s actual </w:t>
      </w:r>
      <w:r w:rsidRPr="000349EF">
        <w:lastRenderedPageBreak/>
        <w:t>temperature was 100.0°F (</w:t>
      </w:r>
      <w:r w:rsidR="00573761" w:rsidRPr="000349EF">
        <w:t>Grade 0</w:t>
      </w:r>
      <w:r w:rsidRPr="000349EF">
        <w:t>).</w:t>
      </w:r>
      <w:r w:rsidR="00332BFA" w:rsidRPr="000349EF">
        <w:rPr>
          <w:rStyle w:val="FootnoteReference"/>
        </w:rPr>
        <w:footnoteReference w:id="25"/>
      </w:r>
      <w:r w:rsidRPr="000349EF">
        <w:t xml:space="preserve"> There were no </w:t>
      </w:r>
      <w:r w:rsidR="00914237" w:rsidRPr="000349EF">
        <w:t>Grade 4</w:t>
      </w:r>
      <w:r w:rsidRPr="000349EF">
        <w:t xml:space="preserve"> solicited systemic ARs in the mRNA</w:t>
      </w:r>
      <w:r w:rsidR="00573761" w:rsidRPr="000349EF">
        <w:noBreakHyphen/>
      </w:r>
      <w:r w:rsidRPr="000349EF">
        <w:t xml:space="preserve">1273 group. The majority of the solicited systemic ARs in the mRNA-1273 group occurred within the first </w:t>
      </w:r>
      <w:r w:rsidR="00573761" w:rsidRPr="000349EF">
        <w:t>one</w:t>
      </w:r>
      <w:r w:rsidRPr="000349EF">
        <w:t xml:space="preserve"> to </w:t>
      </w:r>
      <w:r w:rsidR="00573761" w:rsidRPr="000349EF">
        <w:t>two</w:t>
      </w:r>
      <w:r w:rsidRPr="000349EF">
        <w:t xml:space="preserve"> days after each dose and persisted for a median of </w:t>
      </w:r>
      <w:r w:rsidR="00573761" w:rsidRPr="000349EF">
        <w:t>two</w:t>
      </w:r>
      <w:r w:rsidRPr="000349EF">
        <w:t xml:space="preserve"> days.</w:t>
      </w:r>
    </w:p>
    <w:p w14:paraId="7EF71D82" w14:textId="2F46690E" w:rsidR="00172ACC" w:rsidRPr="000349EF" w:rsidRDefault="00172ACC" w:rsidP="00172ACC">
      <w:r w:rsidRPr="000349EF">
        <w:t xml:space="preserve">Fever occurred more frequently after any dose in the mRNA-1273 group (778 </w:t>
      </w:r>
      <w:r w:rsidR="00A23298" w:rsidRPr="000349EF">
        <w:t>(</w:t>
      </w:r>
      <w:r w:rsidRPr="000349EF">
        <w:t>25.9%</w:t>
      </w:r>
      <w:r w:rsidR="00A23298" w:rsidRPr="000349EF">
        <w:t>)</w:t>
      </w:r>
      <w:r w:rsidRPr="000349EF">
        <w:t xml:space="preserve">) than in placebo group (36 </w:t>
      </w:r>
      <w:r w:rsidR="00A23298" w:rsidRPr="000349EF">
        <w:t>(</w:t>
      </w:r>
      <w:r w:rsidRPr="000349EF">
        <w:t>3.6%</w:t>
      </w:r>
      <w:r w:rsidR="00A23298" w:rsidRPr="000349EF">
        <w:t>)</w:t>
      </w:r>
      <w:r w:rsidRPr="000349EF">
        <w:t xml:space="preserve">). No </w:t>
      </w:r>
      <w:r w:rsidR="00914237" w:rsidRPr="000349EF">
        <w:t>Grade 4</w:t>
      </w:r>
      <w:r w:rsidRPr="000349EF">
        <w:t xml:space="preserve"> fevers were reported in the mRNA</w:t>
      </w:r>
      <w:r w:rsidR="00573761" w:rsidRPr="000349EF">
        <w:noBreakHyphen/>
      </w:r>
      <w:r w:rsidRPr="000349EF">
        <w:t>1273 group.</w:t>
      </w:r>
    </w:p>
    <w:p w14:paraId="69340507" w14:textId="30DCE491" w:rsidR="00172ACC" w:rsidRPr="000349EF" w:rsidRDefault="00172ACC" w:rsidP="00172ACC">
      <w:r w:rsidRPr="000349EF">
        <w:t xml:space="preserve">The median onset for fever in the mRNA-1273 group after any dose was </w:t>
      </w:r>
      <w:r w:rsidR="00573761" w:rsidRPr="000349EF">
        <w:t xml:space="preserve">two </w:t>
      </w:r>
      <w:r w:rsidRPr="000349EF">
        <w:t xml:space="preserve">days with a median duration of </w:t>
      </w:r>
      <w:r w:rsidR="00573761" w:rsidRPr="000349EF">
        <w:t>one</w:t>
      </w:r>
      <w:r w:rsidRPr="000349EF">
        <w:t xml:space="preserve"> day. Fevers persisting after 7</w:t>
      </w:r>
      <w:r w:rsidR="00573761" w:rsidRPr="000349EF">
        <w:t> </w:t>
      </w:r>
      <w:r w:rsidRPr="000349EF">
        <w:t>days post any dose were reported in 4 (0.1%) participants in the mRNA-1273 group. There were no reports of fever persisting after 7 days in the placebo group.</w:t>
      </w:r>
    </w:p>
    <w:p w14:paraId="3D396C3D" w14:textId="004BFCEB" w:rsidR="00172ACC" w:rsidRPr="000349EF" w:rsidRDefault="00172ACC" w:rsidP="002F4CF7">
      <w:pPr>
        <w:pStyle w:val="Heading5"/>
        <w:rPr>
          <w:rFonts w:eastAsiaTheme="minorHAnsi"/>
        </w:rPr>
      </w:pPr>
      <w:r w:rsidRPr="000349EF">
        <w:rPr>
          <w:rFonts w:eastAsiaTheme="minorHAnsi"/>
        </w:rPr>
        <w:t xml:space="preserve">Comparisons of reactogenicity </w:t>
      </w:r>
      <w:r w:rsidR="002F4CF7" w:rsidRPr="000349EF">
        <w:rPr>
          <w:rFonts w:eastAsiaTheme="minorHAnsi"/>
        </w:rPr>
        <w:t>in children with or without underlying medical conditions</w:t>
      </w:r>
    </w:p>
    <w:p w14:paraId="3EA739A8" w14:textId="5E66C948" w:rsidR="00172ACC" w:rsidRPr="000349EF" w:rsidRDefault="00172ACC" w:rsidP="00172ACC">
      <w:r w:rsidRPr="000349EF">
        <w:t xml:space="preserve">Following </w:t>
      </w:r>
      <w:r w:rsidR="00950FC1" w:rsidRPr="000349EF">
        <w:t>a</w:t>
      </w:r>
      <w:r w:rsidRPr="000349EF">
        <w:t xml:space="preserve"> TGA request, the </w:t>
      </w:r>
      <w:r w:rsidR="008028EF" w:rsidRPr="000349EF">
        <w:t>sponsor</w:t>
      </w:r>
      <w:r w:rsidRPr="000349EF">
        <w:t xml:space="preserve"> has generated comparisons of reactogenicity for the chronic medical conditions of obesity and chronic lung disease (predominantly represented by asthma) for children </w:t>
      </w:r>
      <w:r w:rsidR="00950FC1" w:rsidRPr="000349EF">
        <w:t xml:space="preserve">aged </w:t>
      </w:r>
      <w:r w:rsidRPr="000349EF">
        <w:t>6 to &lt;</w:t>
      </w:r>
      <w:r w:rsidR="00573761" w:rsidRPr="000349EF">
        <w:t> </w:t>
      </w:r>
      <w:r w:rsidRPr="000349EF">
        <w:t>12 years in Part</w:t>
      </w:r>
      <w:r w:rsidR="00573761" w:rsidRPr="000349EF">
        <w:t> </w:t>
      </w:r>
      <w:r w:rsidRPr="000349EF">
        <w:t xml:space="preserve">2 of </w:t>
      </w:r>
      <w:r w:rsidR="00614801" w:rsidRPr="000349EF">
        <w:t>Study</w:t>
      </w:r>
      <w:r w:rsidR="00573761" w:rsidRPr="000349EF">
        <w:t> </w:t>
      </w:r>
      <w:r w:rsidRPr="000349EF">
        <w:t xml:space="preserve">P204. Chronic medical conditions represented in fewer than 1% of </w:t>
      </w:r>
      <w:r w:rsidR="00950FC1" w:rsidRPr="000349EF">
        <w:t xml:space="preserve">all </w:t>
      </w:r>
      <w:r w:rsidRPr="000349EF">
        <w:t>study participants were not included as no meaningful comparisons could be conducted. The presence of chronic conditions was identified from medical history recorded for each participant.</w:t>
      </w:r>
    </w:p>
    <w:p w14:paraId="305BC576" w14:textId="5425EB72" w:rsidR="00172ACC" w:rsidRPr="000349EF" w:rsidRDefault="00172ACC" w:rsidP="00172ACC">
      <w:r w:rsidRPr="000349EF">
        <w:t xml:space="preserve">Comparisons in reactogenicity rates were made for children with or without obesity and then with or without chronic lung disease. Rates of overall </w:t>
      </w:r>
      <w:bookmarkStart w:id="71" w:name="_Hlk91009839"/>
      <w:r w:rsidRPr="000349EF">
        <w:t xml:space="preserve">solicited </w:t>
      </w:r>
      <w:r w:rsidR="00573761" w:rsidRPr="000349EF">
        <w:t>AR</w:t>
      </w:r>
      <w:r w:rsidRPr="000349EF">
        <w:t>s</w:t>
      </w:r>
      <w:bookmarkEnd w:id="71"/>
      <w:r w:rsidRPr="000349EF">
        <w:t xml:space="preserve"> after any injection of mRNA-1273 50</w:t>
      </w:r>
      <w:r w:rsidR="00573761" w:rsidRPr="000349EF">
        <w:t> </w:t>
      </w:r>
      <w:proofErr w:type="spellStart"/>
      <w:r w:rsidRPr="000349EF">
        <w:t>μg</w:t>
      </w:r>
      <w:proofErr w:type="spellEnd"/>
      <w:r w:rsidRPr="000349EF">
        <w:t xml:space="preserve">, as well as for local or systemic </w:t>
      </w:r>
      <w:r w:rsidR="00573761" w:rsidRPr="000349EF">
        <w:t xml:space="preserve">solicited </w:t>
      </w:r>
      <w:r w:rsidRPr="000349EF">
        <w:t xml:space="preserve">AR were generally similar in both groups. Differences were observed in review of </w:t>
      </w:r>
      <w:r w:rsidR="00914237" w:rsidRPr="000349EF">
        <w:t>Grade 3</w:t>
      </w:r>
      <w:r w:rsidRPr="000349EF">
        <w:t xml:space="preserve"> or higher pain after any injection of mRNA-1273 50</w:t>
      </w:r>
      <w:r w:rsidR="00573761" w:rsidRPr="000349EF">
        <w:t> </w:t>
      </w:r>
      <w:proofErr w:type="spellStart"/>
      <w:r w:rsidRPr="000349EF">
        <w:t>μg</w:t>
      </w:r>
      <w:proofErr w:type="spellEnd"/>
      <w:r w:rsidRPr="000349EF">
        <w:t xml:space="preserve">: rates were lower among participants with obesity than those without obesity (1.8% versus 3.7%). In contrast, obese children reported higher rates of </w:t>
      </w:r>
      <w:r w:rsidR="00914237" w:rsidRPr="000349EF">
        <w:t>Grade 3</w:t>
      </w:r>
      <w:r w:rsidRPr="000349EF">
        <w:t xml:space="preserve"> or higher erythema than non-obese children (3% versus 1.3%).</w:t>
      </w:r>
    </w:p>
    <w:p w14:paraId="65B338E8" w14:textId="028F259F" w:rsidR="00172ACC" w:rsidRPr="000349EF" w:rsidRDefault="00172ACC" w:rsidP="00172ACC">
      <w:r w:rsidRPr="000349EF">
        <w:t xml:space="preserve">Rates of systemic </w:t>
      </w:r>
      <w:r w:rsidR="00573761" w:rsidRPr="000349EF">
        <w:t xml:space="preserve">solicited </w:t>
      </w:r>
      <w:r w:rsidRPr="000349EF">
        <w:t xml:space="preserve">AR were generally balanced between the two groups </w:t>
      </w:r>
      <w:proofErr w:type="gramStart"/>
      <w:r w:rsidRPr="000349EF">
        <w:t>with the exception of</w:t>
      </w:r>
      <w:proofErr w:type="gramEnd"/>
      <w:r w:rsidRPr="000349EF">
        <w:t xml:space="preserve"> fever: obese children had lower rates (15.7%) than non-obese children (28.5%). This carried over to rates of </w:t>
      </w:r>
      <w:r w:rsidR="00914237" w:rsidRPr="000349EF">
        <w:t>Grade 3</w:t>
      </w:r>
      <w:r w:rsidRPr="000349EF">
        <w:t xml:space="preserve"> or higher fever (2.6% for obese v</w:t>
      </w:r>
      <w:r w:rsidR="00573761" w:rsidRPr="000349EF">
        <w:t>ersu</w:t>
      </w:r>
      <w:r w:rsidRPr="000349EF">
        <w:t>s 4.6% for non-obese).</w:t>
      </w:r>
    </w:p>
    <w:p w14:paraId="03F41A7B" w14:textId="048BECF7" w:rsidR="00172ACC" w:rsidRPr="000349EF" w:rsidRDefault="00172ACC" w:rsidP="00172ACC">
      <w:r w:rsidRPr="000349EF">
        <w:t xml:space="preserve">For children with chronic lung disease rates of reported </w:t>
      </w:r>
      <w:r w:rsidR="00573761" w:rsidRPr="000349EF">
        <w:t xml:space="preserve">solicited </w:t>
      </w:r>
      <w:r w:rsidRPr="000349EF">
        <w:t>ARs (any, local or systemic) were</w:t>
      </w:r>
      <w:r w:rsidR="00573761" w:rsidRPr="000349EF">
        <w:t xml:space="preserve"> </w:t>
      </w:r>
      <w:r w:rsidRPr="000349EF">
        <w:t xml:space="preserve">largely comparable to rates in children without chronic lung disease. Differences were observed for rates of </w:t>
      </w:r>
      <w:r w:rsidR="00914237" w:rsidRPr="000349EF">
        <w:t>Grade 3</w:t>
      </w:r>
      <w:r w:rsidRPr="000349EF">
        <w:t xml:space="preserve"> or higher myalgia or chills, which were more common in children with chronic lung diseases (4.3% and 1.4 %, respectively) than in those without chronic lung disease (2.6% and 0.7%, respectively).</w:t>
      </w:r>
    </w:p>
    <w:p w14:paraId="4EC6DDDB" w14:textId="5E1D1912" w:rsidR="00172ACC" w:rsidRPr="000349EF" w:rsidRDefault="00172ACC" w:rsidP="00172ACC">
      <w:r w:rsidRPr="000349EF">
        <w:t xml:space="preserve">Analysis of </w:t>
      </w:r>
      <w:r w:rsidR="00573761" w:rsidRPr="000349EF">
        <w:t xml:space="preserve">solicited </w:t>
      </w:r>
      <w:r w:rsidRPr="000349EF">
        <w:t>ARs occurring post-</w:t>
      </w:r>
      <w:r w:rsidR="0077374E" w:rsidRPr="000349EF">
        <w:t>Dose</w:t>
      </w:r>
      <w:r w:rsidR="00573761" w:rsidRPr="000349EF">
        <w:t> </w:t>
      </w:r>
      <w:r w:rsidR="0077374E" w:rsidRPr="000349EF">
        <w:t>1</w:t>
      </w:r>
      <w:r w:rsidRPr="000349EF">
        <w:t xml:space="preserve"> and post-</w:t>
      </w:r>
      <w:r w:rsidR="0077374E" w:rsidRPr="000349EF">
        <w:t>Dose</w:t>
      </w:r>
      <w:r w:rsidR="00573761" w:rsidRPr="000349EF">
        <w:t> </w:t>
      </w:r>
      <w:r w:rsidR="0077374E" w:rsidRPr="000349EF">
        <w:t>2</w:t>
      </w:r>
      <w:r w:rsidRPr="000349EF">
        <w:t xml:space="preserve"> did not reveal any additional notable rate differences when children with and without obesity or chronic lung disease were compared</w:t>
      </w:r>
      <w:r w:rsidR="00950FC1" w:rsidRPr="000349EF">
        <w:t>.</w:t>
      </w:r>
    </w:p>
    <w:p w14:paraId="5130B56A" w14:textId="0E7813B4" w:rsidR="00172ACC" w:rsidRPr="000349EF" w:rsidRDefault="00172ACC" w:rsidP="002F4CF7">
      <w:pPr>
        <w:pStyle w:val="Heading5"/>
        <w:rPr>
          <w:rFonts w:eastAsiaTheme="minorHAnsi"/>
        </w:rPr>
      </w:pPr>
      <w:bookmarkStart w:id="72" w:name="_Toc87980884"/>
      <w:r w:rsidRPr="000349EF">
        <w:rPr>
          <w:rFonts w:eastAsiaTheme="minorHAnsi"/>
        </w:rPr>
        <w:t xml:space="preserve">Comparison </w:t>
      </w:r>
      <w:r w:rsidR="002F4CF7" w:rsidRPr="000349EF">
        <w:rPr>
          <w:rFonts w:eastAsiaTheme="minorHAnsi"/>
        </w:rPr>
        <w:t xml:space="preserve">of solicited adverse reactions in participants </w:t>
      </w:r>
      <w:r w:rsidR="00950FC1" w:rsidRPr="000349EF">
        <w:rPr>
          <w:rFonts w:eastAsiaTheme="minorHAnsi"/>
        </w:rPr>
        <w:t xml:space="preserve">aged </w:t>
      </w:r>
      <w:r w:rsidR="002F4CF7" w:rsidRPr="000349EF">
        <w:rPr>
          <w:rFonts w:eastAsiaTheme="minorHAnsi"/>
        </w:rPr>
        <w:t>6 to &lt;</w:t>
      </w:r>
      <w:r w:rsidR="00573761" w:rsidRPr="000349EF">
        <w:rPr>
          <w:rFonts w:eastAsiaTheme="minorHAnsi"/>
        </w:rPr>
        <w:t> </w:t>
      </w:r>
      <w:r w:rsidR="002F4CF7" w:rsidRPr="000349EF">
        <w:rPr>
          <w:rFonts w:eastAsiaTheme="minorHAnsi"/>
        </w:rPr>
        <w:t>12 years old versus 18</w:t>
      </w:r>
      <w:r w:rsidR="00573761" w:rsidRPr="000349EF">
        <w:rPr>
          <w:rFonts w:eastAsiaTheme="minorHAnsi"/>
        </w:rPr>
        <w:t> </w:t>
      </w:r>
      <w:r w:rsidR="002F4CF7" w:rsidRPr="000349EF">
        <w:rPr>
          <w:rFonts w:eastAsiaTheme="minorHAnsi"/>
        </w:rPr>
        <w:t>to 25 years old</w:t>
      </w:r>
      <w:bookmarkEnd w:id="72"/>
    </w:p>
    <w:p w14:paraId="54AC8716" w14:textId="571131D5" w:rsidR="00172ACC" w:rsidRPr="000349EF" w:rsidRDefault="00172ACC" w:rsidP="00172ACC">
      <w:r w:rsidRPr="000349EF">
        <w:t>Solicited ARs from</w:t>
      </w:r>
      <w:r w:rsidR="00950FC1" w:rsidRPr="000349EF">
        <w:t xml:space="preserve"> participants aged</w:t>
      </w:r>
      <w:r w:rsidRPr="000349EF">
        <w:t xml:space="preserve"> 6 to &lt; 12</w:t>
      </w:r>
      <w:r w:rsidR="00950FC1" w:rsidRPr="000349EF">
        <w:t xml:space="preserve"> </w:t>
      </w:r>
      <w:r w:rsidRPr="000349EF">
        <w:t>year</w:t>
      </w:r>
      <w:r w:rsidR="00950FC1" w:rsidRPr="000349EF">
        <w:t>s</w:t>
      </w:r>
      <w:r w:rsidRPr="000349EF">
        <w:t xml:space="preserve"> in the mRNA-1273 group (50</w:t>
      </w:r>
      <w:r w:rsidR="00573761" w:rsidRPr="000349EF">
        <w:t> </w:t>
      </w:r>
      <w:proofErr w:type="spellStart"/>
      <w:r w:rsidRPr="000349EF">
        <w:t>μg</w:t>
      </w:r>
      <w:proofErr w:type="spellEnd"/>
      <w:r w:rsidRPr="000349EF">
        <w:t>) in Part 2 of Study</w:t>
      </w:r>
      <w:r w:rsidR="00573761" w:rsidRPr="000349EF">
        <w:t> </w:t>
      </w:r>
      <w:r w:rsidRPr="000349EF">
        <w:t xml:space="preserve">P204 (referred to as Study P204 participants) were compared with solicited ARs reported from </w:t>
      </w:r>
      <w:r w:rsidR="00950FC1" w:rsidRPr="000349EF">
        <w:t xml:space="preserve">participants aged </w:t>
      </w:r>
      <w:r w:rsidRPr="000349EF">
        <w:t>18 to 25</w:t>
      </w:r>
      <w:r w:rsidR="00950FC1" w:rsidRPr="000349EF">
        <w:t xml:space="preserve"> </w:t>
      </w:r>
      <w:r w:rsidRPr="000349EF">
        <w:t>year</w:t>
      </w:r>
      <w:r w:rsidR="00950FC1" w:rsidRPr="000349EF">
        <w:t>s</w:t>
      </w:r>
      <w:r w:rsidRPr="000349EF">
        <w:t xml:space="preserve"> in the mRNA-1273 group (100</w:t>
      </w:r>
      <w:r w:rsidR="00573761" w:rsidRPr="000349EF">
        <w:t> </w:t>
      </w:r>
      <w:proofErr w:type="spellStart"/>
      <w:r w:rsidRPr="000349EF">
        <w:t>μg</w:t>
      </w:r>
      <w:proofErr w:type="spellEnd"/>
      <w:r w:rsidRPr="000349EF">
        <w:t>) in Part A of Study</w:t>
      </w:r>
      <w:r w:rsidR="00573761" w:rsidRPr="000349EF">
        <w:t> </w:t>
      </w:r>
      <w:r w:rsidRPr="000349EF">
        <w:t>P301 (referred to as Study P301 participants in the following analyses of solicited ARs).</w:t>
      </w:r>
    </w:p>
    <w:p w14:paraId="6BF67289" w14:textId="20961757" w:rsidR="00172ACC" w:rsidRPr="000349EF" w:rsidRDefault="00172ACC" w:rsidP="002F4CF7">
      <w:pPr>
        <w:pStyle w:val="Heading6"/>
        <w:rPr>
          <w:rFonts w:eastAsia="TimesNewRomanPSMT" w:cs="TimesNewRomanPSMT"/>
          <w:color w:val="000000"/>
          <w:lang w:eastAsia="ja-JP"/>
        </w:rPr>
      </w:pPr>
      <w:r w:rsidRPr="000349EF">
        <w:rPr>
          <w:rFonts w:eastAsiaTheme="minorHAnsi"/>
          <w:lang w:eastAsia="ja-JP"/>
        </w:rPr>
        <w:lastRenderedPageBreak/>
        <w:t xml:space="preserve">Comparison to </w:t>
      </w:r>
      <w:r w:rsidR="007671CB" w:rsidRPr="000349EF">
        <w:rPr>
          <w:rFonts w:eastAsiaTheme="minorHAnsi"/>
          <w:lang w:eastAsia="ja-JP"/>
        </w:rPr>
        <w:t xml:space="preserve">participants aged </w:t>
      </w:r>
      <w:r w:rsidRPr="000349EF">
        <w:rPr>
          <w:rFonts w:eastAsiaTheme="minorHAnsi"/>
          <w:lang w:eastAsia="ja-JP"/>
        </w:rPr>
        <w:t xml:space="preserve">18 to 25 </w:t>
      </w:r>
      <w:r w:rsidR="002F4CF7" w:rsidRPr="000349EF">
        <w:rPr>
          <w:rFonts w:eastAsiaTheme="minorHAnsi"/>
          <w:lang w:eastAsia="ja-JP"/>
        </w:rPr>
        <w:t>years old</w:t>
      </w:r>
      <w:r w:rsidRPr="000349EF">
        <w:rPr>
          <w:rFonts w:eastAsiaTheme="minorHAnsi"/>
          <w:lang w:eastAsia="ja-JP"/>
        </w:rPr>
        <w:t xml:space="preserve"> for </w:t>
      </w:r>
      <w:r w:rsidR="002F4CF7" w:rsidRPr="000349EF">
        <w:rPr>
          <w:rFonts w:eastAsiaTheme="minorHAnsi"/>
          <w:lang w:eastAsia="ja-JP"/>
        </w:rPr>
        <w:t>solicited local adverse reactions</w:t>
      </w:r>
    </w:p>
    <w:p w14:paraId="34E5B146" w14:textId="514C2E6A" w:rsidR="00172ACC" w:rsidRPr="000349EF" w:rsidRDefault="00172ACC" w:rsidP="00172ACC">
      <w:r w:rsidRPr="000349EF">
        <w:t xml:space="preserve">Solicited local ARs within </w:t>
      </w:r>
      <w:r w:rsidR="00723098">
        <w:t>seven</w:t>
      </w:r>
      <w:r w:rsidRPr="000349EF">
        <w:t xml:space="preserve"> days of any vaccine dose were reported at a similar frequency in Study</w:t>
      </w:r>
      <w:r w:rsidR="00573761" w:rsidRPr="000349EF">
        <w:t> </w:t>
      </w:r>
      <w:r w:rsidRPr="000349EF">
        <w:t xml:space="preserve">P204 participants (98.6%) as in Study P301 participants (94.1%). In participants in both studies the majority of solicited local ARs were </w:t>
      </w:r>
      <w:r w:rsidR="006277A6" w:rsidRPr="000349EF">
        <w:t>Grade 1</w:t>
      </w:r>
      <w:r w:rsidRPr="000349EF">
        <w:t xml:space="preserve"> or 2. Grade 3 solicited local ARs were reported in 5.5% of Study P204 participants and no </w:t>
      </w:r>
      <w:r w:rsidR="00914237" w:rsidRPr="000349EF">
        <w:t>Grade 4</w:t>
      </w:r>
      <w:r w:rsidRPr="000349EF">
        <w:t xml:space="preserve"> ARs were reported in this group. In contrast, </w:t>
      </w:r>
      <w:r w:rsidR="00914237" w:rsidRPr="000349EF">
        <w:t>Grade 3</w:t>
      </w:r>
      <w:r w:rsidRPr="000349EF">
        <w:t xml:space="preserve"> ARs were more frequent in Study P301 participants (11.4%). The most common solicited local AR was pain in both the Study P204 (98.4%) and Study P301 (89.4% after both </w:t>
      </w:r>
      <w:r w:rsidR="0077374E" w:rsidRPr="000349EF">
        <w:t>Dose 1</w:t>
      </w:r>
      <w:r w:rsidRPr="000349EF">
        <w:t xml:space="preserve"> and </w:t>
      </w:r>
      <w:r w:rsidR="0077374E" w:rsidRPr="000349EF">
        <w:t>Dose 2</w:t>
      </w:r>
      <w:r w:rsidRPr="000349EF">
        <w:t>) participants.</w:t>
      </w:r>
    </w:p>
    <w:p w14:paraId="13DCE41D" w14:textId="4B764C4B" w:rsidR="00172ACC" w:rsidRPr="000349EF" w:rsidRDefault="00172ACC" w:rsidP="002F4CF7">
      <w:pPr>
        <w:pStyle w:val="Heading6"/>
        <w:rPr>
          <w:rFonts w:eastAsia="TimesNewRomanPSMT" w:cs="TimesNewRomanPSMT"/>
          <w:color w:val="000000"/>
          <w:lang w:eastAsia="ja-JP"/>
        </w:rPr>
      </w:pPr>
      <w:r w:rsidRPr="000349EF">
        <w:rPr>
          <w:rFonts w:eastAsiaTheme="minorHAnsi"/>
          <w:lang w:eastAsia="ja-JP"/>
        </w:rPr>
        <w:t xml:space="preserve">Comparison to </w:t>
      </w:r>
      <w:r w:rsidR="007671CB" w:rsidRPr="000349EF">
        <w:rPr>
          <w:rFonts w:eastAsiaTheme="minorHAnsi"/>
          <w:lang w:eastAsia="ja-JP"/>
        </w:rPr>
        <w:t xml:space="preserve">participants aged </w:t>
      </w:r>
      <w:r w:rsidRPr="000349EF">
        <w:rPr>
          <w:rFonts w:eastAsiaTheme="minorHAnsi"/>
          <w:lang w:eastAsia="ja-JP"/>
        </w:rPr>
        <w:t xml:space="preserve">18 to </w:t>
      </w:r>
      <w:r w:rsidR="002F4CF7" w:rsidRPr="000349EF">
        <w:rPr>
          <w:rFonts w:eastAsiaTheme="minorHAnsi"/>
          <w:lang w:eastAsia="ja-JP"/>
        </w:rPr>
        <w:t>25 years old for solicited systemic adverse reactions</w:t>
      </w:r>
    </w:p>
    <w:p w14:paraId="0FBA1F6C" w14:textId="729D6C33" w:rsidR="00172ACC" w:rsidRPr="000349EF" w:rsidRDefault="00172ACC" w:rsidP="00172ACC">
      <w:r w:rsidRPr="000349EF">
        <w:t xml:space="preserve">Solicited systemic ARs within </w:t>
      </w:r>
      <w:r w:rsidR="00723098">
        <w:t>seven</w:t>
      </w:r>
      <w:r w:rsidRPr="000349EF">
        <w:t xml:space="preserve"> days of any dose of mRNA-1273 were reported at consistent</w:t>
      </w:r>
      <w:r w:rsidR="00573761" w:rsidRPr="000349EF">
        <w:t xml:space="preserve"> </w:t>
      </w:r>
      <w:r w:rsidRPr="000349EF">
        <w:t xml:space="preserve">rates in Study P204 participants (86.5%) and in Study P301 participants (89.1%). The majority of solicited systemic ARs after any dose were </w:t>
      </w:r>
      <w:r w:rsidR="006277A6" w:rsidRPr="000349EF">
        <w:t>Grade 1</w:t>
      </w:r>
      <w:r w:rsidRPr="000349EF">
        <w:t xml:space="preserve"> or 2 for both Study</w:t>
      </w:r>
      <w:r w:rsidR="00573761" w:rsidRPr="000349EF">
        <w:t> </w:t>
      </w:r>
      <w:r w:rsidRPr="000349EF">
        <w:t>P204 participants and Study P301 participants. Grade 3 solicited systemic ARs were less frequent in Study P204 participants (13.3%) than in Study P301 participants (23.5%). The most common solicited systemic ARs in Study P204 participants were fatigue (43.4%</w:t>
      </w:r>
      <w:r w:rsidR="00C61442" w:rsidRPr="000349EF">
        <w:t> </w:t>
      </w:r>
      <w:r w:rsidRPr="000349EF">
        <w:t xml:space="preserve">after </w:t>
      </w:r>
      <w:r w:rsidR="0077374E" w:rsidRPr="000349EF">
        <w:t>Dose</w:t>
      </w:r>
      <w:r w:rsidR="00573761" w:rsidRPr="000349EF">
        <w:t> </w:t>
      </w:r>
      <w:r w:rsidR="0077374E" w:rsidRPr="000349EF">
        <w:t>1</w:t>
      </w:r>
      <w:r w:rsidRPr="000349EF">
        <w:t xml:space="preserve"> and 64.4% after </w:t>
      </w:r>
      <w:r w:rsidR="0077374E" w:rsidRPr="000349EF">
        <w:t>Dose 2</w:t>
      </w:r>
      <w:r w:rsidRPr="000349EF">
        <w:t xml:space="preserve">) and headache (31.2% after </w:t>
      </w:r>
      <w:r w:rsidR="0077374E" w:rsidRPr="000349EF">
        <w:t>Dose 1</w:t>
      </w:r>
      <w:r w:rsidRPr="000349EF">
        <w:t xml:space="preserve"> and 54.2% after </w:t>
      </w:r>
      <w:r w:rsidR="0077374E" w:rsidRPr="000349EF">
        <w:t>Dose</w:t>
      </w:r>
      <w:r w:rsidR="00573761" w:rsidRPr="000349EF">
        <w:t> </w:t>
      </w:r>
      <w:r w:rsidR="0077374E" w:rsidRPr="000349EF">
        <w:t>2</w:t>
      </w:r>
      <w:r w:rsidRPr="000349EF">
        <w:t xml:space="preserve">). The most common solicited systemic ARs in Study P301 participants were also fatigue (45.9% after </w:t>
      </w:r>
      <w:r w:rsidR="0077374E" w:rsidRPr="000349EF">
        <w:t>Dose 1</w:t>
      </w:r>
      <w:r w:rsidRPr="000349EF">
        <w:t xml:space="preserve"> and 69.2% after </w:t>
      </w:r>
      <w:r w:rsidR="0077374E" w:rsidRPr="000349EF">
        <w:t>Dose 2</w:t>
      </w:r>
      <w:r w:rsidRPr="000349EF">
        <w:t xml:space="preserve">) and headache (42.8% after </w:t>
      </w:r>
      <w:r w:rsidR="0077374E" w:rsidRPr="000349EF">
        <w:t>Dose</w:t>
      </w:r>
      <w:r w:rsidR="00573761" w:rsidRPr="000349EF">
        <w:t> </w:t>
      </w:r>
      <w:r w:rsidR="0077374E" w:rsidRPr="000349EF">
        <w:t>1</w:t>
      </w:r>
      <w:r w:rsidRPr="000349EF">
        <w:t xml:space="preserve"> and 70.1% after </w:t>
      </w:r>
      <w:r w:rsidR="0077374E" w:rsidRPr="000349EF">
        <w:t>Dose 2</w:t>
      </w:r>
      <w:r w:rsidRPr="000349EF">
        <w:t xml:space="preserve">). Fever was more common in Study P204 participants (3.4% after </w:t>
      </w:r>
      <w:r w:rsidR="0077374E" w:rsidRPr="000349EF">
        <w:t>Dose</w:t>
      </w:r>
      <w:r w:rsidR="00573761" w:rsidRPr="000349EF">
        <w:t> </w:t>
      </w:r>
      <w:r w:rsidR="0077374E" w:rsidRPr="000349EF">
        <w:t>1</w:t>
      </w:r>
      <w:r w:rsidRPr="000349EF">
        <w:t xml:space="preserve"> and 24.1% after </w:t>
      </w:r>
      <w:r w:rsidR="0077374E" w:rsidRPr="000349EF">
        <w:t>Dose 2</w:t>
      </w:r>
      <w:r w:rsidRPr="000349EF">
        <w:t xml:space="preserve">) than in Study P301 participants (1.7% after </w:t>
      </w:r>
      <w:r w:rsidR="0077374E" w:rsidRPr="000349EF">
        <w:t>Dose 1</w:t>
      </w:r>
      <w:r w:rsidRPr="000349EF">
        <w:t xml:space="preserve"> and 18.2% after </w:t>
      </w:r>
      <w:r w:rsidR="0077374E" w:rsidRPr="000349EF">
        <w:t>Dose</w:t>
      </w:r>
      <w:r w:rsidR="00573761" w:rsidRPr="000349EF">
        <w:t> </w:t>
      </w:r>
      <w:r w:rsidR="0077374E" w:rsidRPr="000349EF">
        <w:t>2</w:t>
      </w:r>
      <w:r w:rsidRPr="000349EF">
        <w:t xml:space="preserve">). Grade 3 fever was also more frequent in Study P204 participants (0.6% after </w:t>
      </w:r>
      <w:r w:rsidR="0077374E" w:rsidRPr="000349EF">
        <w:t>Dose 1</w:t>
      </w:r>
      <w:r w:rsidRPr="000349EF">
        <w:t xml:space="preserve"> and 3.8% after </w:t>
      </w:r>
      <w:r w:rsidR="0077374E" w:rsidRPr="000349EF">
        <w:t>Dose 2</w:t>
      </w:r>
      <w:r w:rsidRPr="000349EF">
        <w:t>) than in Study P301 participants (</w:t>
      </w:r>
      <w:r w:rsidR="00573761" w:rsidRPr="000349EF">
        <w:t>zero</w:t>
      </w:r>
      <w:r w:rsidRPr="000349EF">
        <w:t xml:space="preserve"> after </w:t>
      </w:r>
      <w:r w:rsidR="0077374E" w:rsidRPr="000349EF">
        <w:t>Dose</w:t>
      </w:r>
      <w:r w:rsidR="00573761" w:rsidRPr="000349EF">
        <w:t> </w:t>
      </w:r>
      <w:r w:rsidR="0077374E" w:rsidRPr="000349EF">
        <w:t>1</w:t>
      </w:r>
      <w:r w:rsidRPr="000349EF">
        <w:t xml:space="preserve"> and 1.2% after </w:t>
      </w:r>
      <w:r w:rsidR="0077374E" w:rsidRPr="000349EF">
        <w:t>Dose</w:t>
      </w:r>
      <w:r w:rsidR="00573761" w:rsidRPr="000349EF">
        <w:t> </w:t>
      </w:r>
      <w:r w:rsidR="0077374E" w:rsidRPr="000349EF">
        <w:t>2</w:t>
      </w:r>
      <w:r w:rsidRPr="000349EF">
        <w:t>).</w:t>
      </w:r>
    </w:p>
    <w:p w14:paraId="7254318C" w14:textId="6622E621" w:rsidR="00172ACC" w:rsidRPr="000349EF" w:rsidRDefault="00172ACC" w:rsidP="002F4CF7">
      <w:pPr>
        <w:pStyle w:val="Heading5"/>
        <w:rPr>
          <w:rFonts w:eastAsiaTheme="minorHAnsi"/>
        </w:rPr>
      </w:pPr>
      <w:bookmarkStart w:id="73" w:name="_Toc87980885"/>
      <w:r w:rsidRPr="000349EF">
        <w:rPr>
          <w:rFonts w:eastAsiaTheme="minorHAnsi"/>
        </w:rPr>
        <w:t xml:space="preserve">Unsolicited </w:t>
      </w:r>
      <w:r w:rsidR="002F4CF7" w:rsidRPr="000349EF">
        <w:rPr>
          <w:rFonts w:eastAsiaTheme="minorHAnsi"/>
        </w:rPr>
        <w:t>adverse events</w:t>
      </w:r>
      <w:bookmarkEnd w:id="73"/>
    </w:p>
    <w:p w14:paraId="22FDB45C" w14:textId="5BA15D9C" w:rsidR="00172ACC" w:rsidRPr="000349EF" w:rsidRDefault="002F4CF7" w:rsidP="002F4CF7">
      <w:pPr>
        <w:pStyle w:val="Heading6"/>
      </w:pPr>
      <w:r w:rsidRPr="000349EF">
        <w:t xml:space="preserve">Study P204 </w:t>
      </w:r>
      <w:r w:rsidR="00172ACC" w:rsidRPr="000349EF">
        <w:t>Part 1</w:t>
      </w:r>
    </w:p>
    <w:p w14:paraId="7563A830" w14:textId="159E004C" w:rsidR="00172ACC" w:rsidRPr="000349EF" w:rsidRDefault="00172ACC" w:rsidP="00172ACC">
      <w:r w:rsidRPr="000349EF">
        <w:t>A total of 116 (30.5%) participants in the 50</w:t>
      </w:r>
      <w:r w:rsidR="00C92C02" w:rsidRPr="000349EF">
        <w:t> </w:t>
      </w:r>
      <w:proofErr w:type="spellStart"/>
      <w:r w:rsidRPr="000349EF">
        <w:t>μg</w:t>
      </w:r>
      <w:proofErr w:type="spellEnd"/>
      <w:r w:rsidRPr="000349EF">
        <w:t xml:space="preserve"> group reported at least </w:t>
      </w:r>
      <w:r w:rsidR="00C92C02" w:rsidRPr="000349EF">
        <w:t>one</w:t>
      </w:r>
      <w:r w:rsidRPr="000349EF">
        <w:t xml:space="preserve"> unsolicited</w:t>
      </w:r>
      <w:r w:rsidR="00C92C02" w:rsidRPr="000349EF">
        <w:t xml:space="preserve"> </w:t>
      </w:r>
      <w:r w:rsidRPr="000349EF">
        <w:t>TEAE. Serious unsolicited TEAEs within 28 days of any dose were reported for 2</w:t>
      </w:r>
      <w:r w:rsidR="00C92C02" w:rsidRPr="000349EF">
        <w:t> </w:t>
      </w:r>
      <w:r w:rsidRPr="000349EF">
        <w:t>participants in this group. These SAEs included an event of palpitations and an event of foreign body ingestion. Medically</w:t>
      </w:r>
      <w:r w:rsidR="00C92C02" w:rsidRPr="000349EF">
        <w:t xml:space="preserve"> </w:t>
      </w:r>
      <w:r w:rsidRPr="000349EF">
        <w:t xml:space="preserve">attended </w:t>
      </w:r>
      <w:r w:rsidR="00C92C02" w:rsidRPr="000349EF">
        <w:t>adverse event</w:t>
      </w:r>
      <w:r w:rsidRPr="000349EF">
        <w:t>s were experienced by 45</w:t>
      </w:r>
      <w:r w:rsidR="00C92C02" w:rsidRPr="000349EF">
        <w:t> </w:t>
      </w:r>
      <w:r w:rsidRPr="000349EF">
        <w:t>(11.8%) participants in the 50</w:t>
      </w:r>
      <w:r w:rsidR="00C92C02" w:rsidRPr="000349EF">
        <w:t> </w:t>
      </w:r>
      <w:proofErr w:type="spellStart"/>
      <w:r w:rsidRPr="000349EF">
        <w:t>μg</w:t>
      </w:r>
      <w:proofErr w:type="spellEnd"/>
      <w:r w:rsidRPr="000349EF">
        <w:t xml:space="preserve"> group. One participant in the 50</w:t>
      </w:r>
      <w:r w:rsidR="00C92C02" w:rsidRPr="000349EF">
        <w:t> </w:t>
      </w:r>
      <w:proofErr w:type="spellStart"/>
      <w:r w:rsidRPr="000349EF">
        <w:t>μg</w:t>
      </w:r>
      <w:proofErr w:type="spellEnd"/>
      <w:r w:rsidRPr="000349EF">
        <w:t xml:space="preserve"> group was discontinued due to a TEAE of urticaria </w:t>
      </w:r>
      <w:proofErr w:type="spellStart"/>
      <w:r w:rsidRPr="000349EF">
        <w:t>papular</w:t>
      </w:r>
      <w:proofErr w:type="spellEnd"/>
      <w:r w:rsidRPr="000349EF">
        <w:t xml:space="preserve"> and no participants were discontinued </w:t>
      </w:r>
      <w:proofErr w:type="gramStart"/>
      <w:r w:rsidRPr="000349EF">
        <w:t>as a result of</w:t>
      </w:r>
      <w:proofErr w:type="gramEnd"/>
      <w:r w:rsidRPr="000349EF">
        <w:t xml:space="preserve"> TEAEs. No participants in the 50 </w:t>
      </w:r>
      <w:proofErr w:type="spellStart"/>
      <w:r w:rsidRPr="000349EF">
        <w:t>μg</w:t>
      </w:r>
      <w:proofErr w:type="spellEnd"/>
      <w:r w:rsidRPr="000349EF">
        <w:t xml:space="preserve"> group reported severe TEAEs.</w:t>
      </w:r>
    </w:p>
    <w:p w14:paraId="7C06337B" w14:textId="0CE0DB04" w:rsidR="00172ACC" w:rsidRPr="000349EF" w:rsidRDefault="00172ACC" w:rsidP="00172ACC">
      <w:r w:rsidRPr="000349EF">
        <w:t xml:space="preserve">In the 50 </w:t>
      </w:r>
      <w:proofErr w:type="spellStart"/>
      <w:r w:rsidRPr="000349EF">
        <w:t>μg</w:t>
      </w:r>
      <w:proofErr w:type="spellEnd"/>
      <w:r w:rsidRPr="000349EF">
        <w:t xml:space="preserve"> group, 41 (10.8%) participants reported at least </w:t>
      </w:r>
      <w:r w:rsidR="00C92C02" w:rsidRPr="000349EF">
        <w:t>one</w:t>
      </w:r>
      <w:r w:rsidRPr="000349EF">
        <w:t xml:space="preserve"> TEAE determined by the</w:t>
      </w:r>
      <w:r w:rsidR="00C92C02" w:rsidRPr="000349EF">
        <w:t xml:space="preserve"> </w:t>
      </w:r>
      <w:r w:rsidRPr="000349EF">
        <w:t xml:space="preserve">investigator to be related to </w:t>
      </w:r>
      <w:r w:rsidR="00C61442" w:rsidRPr="000349EF">
        <w:t>the study vaccine</w:t>
      </w:r>
      <w:r w:rsidRPr="000349EF">
        <w:t xml:space="preserve">. Of these participants, none reported serious TEAEs considered by the investigator to be related to </w:t>
      </w:r>
      <w:r w:rsidR="00C61442" w:rsidRPr="000349EF">
        <w:t xml:space="preserve">the </w:t>
      </w:r>
      <w:r w:rsidRPr="000349EF">
        <w:t xml:space="preserve">study </w:t>
      </w:r>
      <w:r w:rsidR="00C61442" w:rsidRPr="000349EF">
        <w:t>vaccine;</w:t>
      </w:r>
      <w:r w:rsidRPr="000349EF">
        <w:t xml:space="preserve"> 4</w:t>
      </w:r>
      <w:r w:rsidR="00C61442" w:rsidRPr="000349EF">
        <w:t xml:space="preserve"> participants </w:t>
      </w:r>
      <w:r w:rsidRPr="000349EF">
        <w:t>(1.1%) reported MAAEs, none were discontinued</w:t>
      </w:r>
      <w:r w:rsidR="00C92C02" w:rsidRPr="000349EF">
        <w:t xml:space="preserve"> </w:t>
      </w:r>
      <w:r w:rsidRPr="000349EF">
        <w:t xml:space="preserve">from the study, and none experienced severe TEAEs. </w:t>
      </w:r>
      <w:r w:rsidR="00C61442" w:rsidRPr="000349EF">
        <w:t>The i</w:t>
      </w:r>
      <w:r w:rsidRPr="000349EF">
        <w:t xml:space="preserve">ncidence of participants experiencing unsolicited AEs in the 50 </w:t>
      </w:r>
      <w:proofErr w:type="spellStart"/>
      <w:r w:rsidRPr="000349EF">
        <w:t>μg</w:t>
      </w:r>
      <w:proofErr w:type="spellEnd"/>
      <w:r w:rsidRPr="000349EF">
        <w:t xml:space="preserve"> and the 100 </w:t>
      </w:r>
      <w:proofErr w:type="spellStart"/>
      <w:r w:rsidRPr="000349EF">
        <w:t>μg</w:t>
      </w:r>
      <w:proofErr w:type="spellEnd"/>
      <w:r w:rsidRPr="000349EF">
        <w:t xml:space="preserve"> groups were not notably different. No participants in either dose group reported </w:t>
      </w:r>
      <w:r w:rsidR="00C61442" w:rsidRPr="000349EF">
        <w:t xml:space="preserve">the </w:t>
      </w:r>
      <w:r w:rsidRPr="000349EF">
        <w:t>TEAEs of MIS</w:t>
      </w:r>
      <w:r w:rsidR="00C92C02" w:rsidRPr="000349EF">
        <w:noBreakHyphen/>
      </w:r>
      <w:r w:rsidRPr="000349EF">
        <w:t>C, myocarditis, or pericarditis.</w:t>
      </w:r>
    </w:p>
    <w:p w14:paraId="1E005ED8" w14:textId="1A9A4FFD" w:rsidR="00172ACC" w:rsidRPr="000349EF" w:rsidRDefault="00C92C02" w:rsidP="00172ACC">
      <w:r w:rsidRPr="000349EF">
        <w:t>Treatment emergent adverse event</w:t>
      </w:r>
      <w:r w:rsidR="00172ACC" w:rsidRPr="000349EF">
        <w:t>s reported in greater than 1% of participants in the 50</w:t>
      </w:r>
      <w:r w:rsidRPr="000349EF">
        <w:t> </w:t>
      </w:r>
      <w:proofErr w:type="spellStart"/>
      <w:r w:rsidR="00172ACC" w:rsidRPr="000349EF">
        <w:t>μg</w:t>
      </w:r>
      <w:proofErr w:type="spellEnd"/>
      <w:r w:rsidR="00172ACC" w:rsidRPr="000349EF">
        <w:t xml:space="preserve"> group of Part 1 had the PTs </w:t>
      </w:r>
      <w:r w:rsidR="00483917" w:rsidRPr="000349EF">
        <w:t xml:space="preserve">of </w:t>
      </w:r>
      <w:r w:rsidR="00172ACC" w:rsidRPr="000349EF">
        <w:t xml:space="preserve">injection site erythema (4.5%), upper respiratory infection (3.2%), oropharyngeal pain (3.4%), nasal congestion (2.9%), cough (2.1%), headache (1.6%), nasopharyngitis (1.3%), urinary tract infection (1.3%), rhinorrhoea (1.3%), otitis externa (1.3%), injection site lymphadenopathy (1.3%), fatigue (1.3%), and vomiting (1.1%). While the overall percentage of participants in the 50 </w:t>
      </w:r>
      <w:proofErr w:type="spellStart"/>
      <w:r w:rsidR="00172ACC" w:rsidRPr="000349EF">
        <w:t>μg</w:t>
      </w:r>
      <w:proofErr w:type="spellEnd"/>
      <w:r w:rsidR="00172ACC" w:rsidRPr="000349EF">
        <w:t xml:space="preserve"> group reporting unsolicited AEs is slightly higher than the percentage in the 100</w:t>
      </w:r>
      <w:r w:rsidRPr="000349EF">
        <w:t> </w:t>
      </w:r>
      <w:proofErr w:type="spellStart"/>
      <w:r w:rsidR="00172ACC" w:rsidRPr="000349EF">
        <w:t>μg</w:t>
      </w:r>
      <w:proofErr w:type="spellEnd"/>
      <w:r w:rsidR="00172ACC" w:rsidRPr="000349EF">
        <w:t xml:space="preserve"> group, the percentages of participants reporting TEAEs were not notably different between the two groups.</w:t>
      </w:r>
    </w:p>
    <w:p w14:paraId="209532C9" w14:textId="4BB81EB8" w:rsidR="00172ACC" w:rsidRPr="000349EF" w:rsidRDefault="00172ACC" w:rsidP="00172ACC">
      <w:r w:rsidRPr="000349EF">
        <w:t xml:space="preserve">There were no severe TEAEs reported in the 50 </w:t>
      </w:r>
      <w:proofErr w:type="spellStart"/>
      <w:r w:rsidRPr="000349EF">
        <w:t>μg</w:t>
      </w:r>
      <w:proofErr w:type="spellEnd"/>
      <w:r w:rsidRPr="000349EF">
        <w:t xml:space="preserve"> group. A single severe TEAE was reported within the 28</w:t>
      </w:r>
      <w:r w:rsidR="00483917" w:rsidRPr="000349EF">
        <w:t xml:space="preserve"> days following</w:t>
      </w:r>
      <w:r w:rsidRPr="000349EF">
        <w:t xml:space="preserve"> any dose in the 100</w:t>
      </w:r>
      <w:r w:rsidR="00C92C02" w:rsidRPr="000349EF">
        <w:t> </w:t>
      </w:r>
      <w:proofErr w:type="spellStart"/>
      <w:r w:rsidRPr="000349EF">
        <w:t>μg</w:t>
      </w:r>
      <w:proofErr w:type="spellEnd"/>
      <w:r w:rsidRPr="000349EF">
        <w:t xml:space="preserve"> group with the PT injection </w:t>
      </w:r>
      <w:r w:rsidRPr="000349EF">
        <w:lastRenderedPageBreak/>
        <w:t xml:space="preserve">site erythema. The event had an onset </w:t>
      </w:r>
      <w:r w:rsidR="00723098">
        <w:t>eight</w:t>
      </w:r>
      <w:r w:rsidRPr="000349EF">
        <w:t xml:space="preserve"> days after the first dose. The participant </w:t>
      </w:r>
      <w:proofErr w:type="gramStart"/>
      <w:r w:rsidRPr="000349EF">
        <w:t>continued on</w:t>
      </w:r>
      <w:proofErr w:type="gramEnd"/>
      <w:r w:rsidRPr="000349EF">
        <w:t xml:space="preserve"> the study and the TEAE resolved in </w:t>
      </w:r>
      <w:r w:rsidR="00723098">
        <w:t>six</w:t>
      </w:r>
      <w:r w:rsidRPr="000349EF">
        <w:t xml:space="preserve"> days.</w:t>
      </w:r>
    </w:p>
    <w:p w14:paraId="62970FE1" w14:textId="1B1E21AB" w:rsidR="00172ACC" w:rsidRPr="000349EF" w:rsidRDefault="002F4CF7" w:rsidP="002F4CF7">
      <w:pPr>
        <w:pStyle w:val="Heading6"/>
      </w:pPr>
      <w:r w:rsidRPr="000349EF">
        <w:t xml:space="preserve">Study P204 </w:t>
      </w:r>
      <w:r w:rsidR="00172ACC" w:rsidRPr="000349EF">
        <w:t>Part 2</w:t>
      </w:r>
    </w:p>
    <w:p w14:paraId="055E06A3" w14:textId="717F4EB5" w:rsidR="00172ACC" w:rsidRPr="000349EF" w:rsidRDefault="00172ACC" w:rsidP="00172ACC">
      <w:r w:rsidRPr="000349EF">
        <w:t xml:space="preserve">In the mRNA-1273 group, 716 (23.8%) participants reported at least </w:t>
      </w:r>
      <w:r w:rsidR="00C92C02" w:rsidRPr="000349EF">
        <w:t>one</w:t>
      </w:r>
      <w:r w:rsidRPr="000349EF">
        <w:t xml:space="preserve"> unsolicited TEAE versus 194 (19.5%) in the placebo group. These events fall mainly under the </w:t>
      </w:r>
      <w:r w:rsidR="00C92C02" w:rsidRPr="000349EF">
        <w:t>System Organ Class</w:t>
      </w:r>
      <w:r w:rsidR="00483917" w:rsidRPr="000349EF">
        <w:t>es</w:t>
      </w:r>
      <w:r w:rsidR="00C92C02" w:rsidRPr="000349EF">
        <w:t xml:space="preserve"> (</w:t>
      </w:r>
      <w:r w:rsidRPr="000349EF">
        <w:t>SOC</w:t>
      </w:r>
      <w:r w:rsidR="00C92C02" w:rsidRPr="000349EF">
        <w:t>)</w:t>
      </w:r>
      <w:r w:rsidRPr="000349EF">
        <w:t xml:space="preserve"> of </w:t>
      </w:r>
      <w:r w:rsidR="00483917" w:rsidRPr="000349EF">
        <w:t xml:space="preserve">‘General </w:t>
      </w:r>
      <w:r w:rsidRPr="000349EF">
        <w:t>disorders</w:t>
      </w:r>
      <w:r w:rsidR="00483917" w:rsidRPr="000349EF">
        <w:t>’</w:t>
      </w:r>
      <w:r w:rsidRPr="000349EF">
        <w:t xml:space="preserve"> and </w:t>
      </w:r>
      <w:r w:rsidR="00483917" w:rsidRPr="000349EF">
        <w:t xml:space="preserve">‘Administration </w:t>
      </w:r>
      <w:r w:rsidRPr="000349EF">
        <w:t xml:space="preserve">site </w:t>
      </w:r>
      <w:proofErr w:type="gramStart"/>
      <w:r w:rsidRPr="000349EF">
        <w:t>conditions</w:t>
      </w:r>
      <w:r w:rsidR="00483917" w:rsidRPr="000349EF">
        <w:t>’</w:t>
      </w:r>
      <w:proofErr w:type="gramEnd"/>
      <w:r w:rsidRPr="000349EF">
        <w:t xml:space="preserve">. Serious unsolicited TEAEs within 28 days of any dose were reported for </w:t>
      </w:r>
      <w:r w:rsidR="00723098">
        <w:t>two</w:t>
      </w:r>
      <w:r w:rsidRPr="000349EF">
        <w:t xml:space="preserve"> (&lt;</w:t>
      </w:r>
      <w:r w:rsidR="00483917" w:rsidRPr="000349EF">
        <w:t> </w:t>
      </w:r>
      <w:r w:rsidRPr="000349EF">
        <w:t>0.1%) participants in the mRNA</w:t>
      </w:r>
      <w:r w:rsidR="00C92C02" w:rsidRPr="000349EF">
        <w:noBreakHyphen/>
      </w:r>
      <w:r w:rsidRPr="000349EF">
        <w:t>1273 group. These SAEs had the PTs appendicitis</w:t>
      </w:r>
      <w:r w:rsidR="00483917" w:rsidRPr="000349EF">
        <w:t>,</w:t>
      </w:r>
      <w:r w:rsidRPr="000349EF">
        <w:t xml:space="preserve"> and cellulitis orbital. Medically</w:t>
      </w:r>
      <w:r w:rsidR="00C92C02" w:rsidRPr="000349EF">
        <w:t xml:space="preserve"> </w:t>
      </w:r>
      <w:r w:rsidRPr="000349EF">
        <w:t xml:space="preserve">attended </w:t>
      </w:r>
      <w:r w:rsidR="00C92C02" w:rsidRPr="000349EF">
        <w:t>adverse event</w:t>
      </w:r>
      <w:r w:rsidRPr="000349EF">
        <w:t>s were reported in 256 (8.5%) of participants in the mRNA</w:t>
      </w:r>
      <w:r w:rsidR="00C92C02" w:rsidRPr="000349EF">
        <w:noBreakHyphen/>
      </w:r>
      <w:r w:rsidRPr="000349EF">
        <w:t>1273 group.</w:t>
      </w:r>
    </w:p>
    <w:p w14:paraId="0C09824A" w14:textId="0B8E5E99" w:rsidR="00172ACC" w:rsidRPr="000349EF" w:rsidRDefault="00172ACC" w:rsidP="00172ACC">
      <w:r w:rsidRPr="000349EF">
        <w:t xml:space="preserve">Of the participants reporting TEAEs, 294 (9.8%) participants in the mRNA-1273 group of Part 2 reported TEAEs that were determined by the investigator to be related to </w:t>
      </w:r>
      <w:r w:rsidR="00483917" w:rsidRPr="000349EF">
        <w:t>the study vaccine</w:t>
      </w:r>
      <w:r w:rsidRPr="000349EF">
        <w:t xml:space="preserve">. Of these participants, none reported serious TEAEs, 31 (1.0%) reported MAAEs, </w:t>
      </w:r>
      <w:r w:rsidR="00483917" w:rsidRPr="000349EF">
        <w:t xml:space="preserve">and </w:t>
      </w:r>
      <w:r w:rsidRPr="000349EF">
        <w:t>none w</w:t>
      </w:r>
      <w:r w:rsidR="00483917" w:rsidRPr="000349EF">
        <w:t>ere</w:t>
      </w:r>
      <w:r w:rsidRPr="000349EF">
        <w:t xml:space="preserve"> discontinued from study vaccine or the study.</w:t>
      </w:r>
    </w:p>
    <w:p w14:paraId="614C4F6C" w14:textId="3BFB7C1A" w:rsidR="00172ACC" w:rsidRPr="000349EF" w:rsidRDefault="00172ACC" w:rsidP="00172ACC">
      <w:r w:rsidRPr="000349EF">
        <w:t xml:space="preserve">While no participants in the placebo group experienced severe TEAEs, </w:t>
      </w:r>
      <w:r w:rsidR="00723098">
        <w:t>nine</w:t>
      </w:r>
      <w:r w:rsidRPr="000349EF">
        <w:t xml:space="preserve"> (0.3%) of participants in the mRNA-1273 group experienced a severe TEAE; of the 9 participants, 6</w:t>
      </w:r>
      <w:r w:rsidR="00C92C02" w:rsidRPr="000349EF">
        <w:t> </w:t>
      </w:r>
      <w:r w:rsidRPr="000349EF">
        <w:t xml:space="preserve">(0.2%) experienced severe TEAEs that were considered related to study </w:t>
      </w:r>
      <w:r w:rsidR="00483917" w:rsidRPr="000349EF">
        <w:t>vaccine</w:t>
      </w:r>
      <w:r w:rsidRPr="000349EF">
        <w:t>.</w:t>
      </w:r>
    </w:p>
    <w:p w14:paraId="3EEEE664" w14:textId="43D8F102" w:rsidR="00172ACC" w:rsidRPr="000349EF" w:rsidRDefault="00C92C02" w:rsidP="00172ACC">
      <w:r w:rsidRPr="000349EF">
        <w:t>Treatment emergent adverse event</w:t>
      </w:r>
      <w:r w:rsidR="00172ACC" w:rsidRPr="000349EF">
        <w:t xml:space="preserve">s from Part 2 reported greater than 1% of participants in the mRNA-1273 group included the PTs </w:t>
      </w:r>
      <w:r w:rsidR="00483917" w:rsidRPr="000349EF">
        <w:t xml:space="preserve">of </w:t>
      </w:r>
      <w:r w:rsidR="00172ACC" w:rsidRPr="000349EF">
        <w:t xml:space="preserve">injection site erythema (2.8%), upper respiratory tract infection (2.3%), headache (2.3%), oropharyngeal pain (2.0%), cough (1.8%), rhinorrhoea (1.7%), nasal congestion (1.6%), injection site lymphadenopathy (1.4%), injection site pain (1.2%), and fatigue (1.1%). In comparison, TEAEs reported in greater than 1% of the placebo group by PT were oropharyngeal pain (2.2%), nasal congestion (2.2%), COVID-19 (2.1%), upper respiratory tract infection (1.9%), headache (1.8%), rhinorrhoea (1.8%), cough (2.1%), and fatigue (1.2%). </w:t>
      </w:r>
      <w:r w:rsidRPr="000349EF">
        <w:t>Treatment emergent adverse events</w:t>
      </w:r>
      <w:r w:rsidR="00172ACC" w:rsidRPr="000349EF">
        <w:t xml:space="preserve"> experienced in the mRNA-1273 group are similar in nature and incidence as those in the placebo group </w:t>
      </w:r>
      <w:proofErr w:type="gramStart"/>
      <w:r w:rsidR="00172ACC" w:rsidRPr="000349EF">
        <w:t>with the exception of</w:t>
      </w:r>
      <w:proofErr w:type="gramEnd"/>
      <w:r w:rsidR="00172ACC" w:rsidRPr="000349EF">
        <w:t xml:space="preserve"> an increase in the incidence of injection site conditions in the mRNA-1273 group.</w:t>
      </w:r>
    </w:p>
    <w:p w14:paraId="577E6764" w14:textId="28B05A85" w:rsidR="00172ACC" w:rsidRPr="000349EF" w:rsidRDefault="00172ACC" w:rsidP="00172ACC">
      <w:r w:rsidRPr="000349EF">
        <w:t xml:space="preserve">A total of </w:t>
      </w:r>
      <w:r w:rsidR="00723098">
        <w:t>ten</w:t>
      </w:r>
      <w:r w:rsidRPr="000349EF">
        <w:t xml:space="preserve"> severe TEAEs were reported in </w:t>
      </w:r>
      <w:r w:rsidR="00723098">
        <w:t>nine</w:t>
      </w:r>
      <w:r w:rsidRPr="000349EF">
        <w:t xml:space="preserve"> (0.3%) participants. Unsolicited severe TEAEs</w:t>
      </w:r>
      <w:r w:rsidR="00C92C02" w:rsidRPr="000349EF">
        <w:t xml:space="preserve"> </w:t>
      </w:r>
      <w:r w:rsidRPr="000349EF">
        <w:t>reported in the mRNA-1273 group of Part 2 had the PTs</w:t>
      </w:r>
      <w:r w:rsidR="002D5F41" w:rsidRPr="000349EF">
        <w:t xml:space="preserve"> of</w:t>
      </w:r>
      <w:r w:rsidRPr="000349EF">
        <w:t xml:space="preserve"> fatigue (&lt; 0.1%), injection site pain (&lt; 0.1%), cellulitis orbital (&lt; 0.1%), nasal congestion (&lt; 0.1%), rhinorrhoea (&lt;</w:t>
      </w:r>
      <w:r w:rsidR="00C92C02" w:rsidRPr="000349EF">
        <w:t> </w:t>
      </w:r>
      <w:r w:rsidRPr="000349EF">
        <w:t xml:space="preserve">0.1%), oropharyngeal pain (&lt; 0.1%), vomiting (&lt; 0.1%), urticaria (&lt; 0.1%), and foot fracture (&lt;0.1%). </w:t>
      </w:r>
      <w:proofErr w:type="gramStart"/>
      <w:r w:rsidRPr="000349EF">
        <w:t>All of</w:t>
      </w:r>
      <w:proofErr w:type="gramEnd"/>
      <w:r w:rsidRPr="000349EF">
        <w:t xml:space="preserve"> these severe TEAEs were reported in one participant except for fatigue and injection site pain, which were each reported in </w:t>
      </w:r>
      <w:r w:rsidR="00723098">
        <w:t>two</w:t>
      </w:r>
      <w:r w:rsidRPr="000349EF">
        <w:t xml:space="preserve"> participants. The events of fatigue (</w:t>
      </w:r>
      <w:r w:rsidR="00723098">
        <w:t>two</w:t>
      </w:r>
      <w:r w:rsidRPr="000349EF">
        <w:t xml:space="preserve"> events), injection site pain (</w:t>
      </w:r>
      <w:r w:rsidR="00723098">
        <w:t>two</w:t>
      </w:r>
      <w:r w:rsidRPr="000349EF">
        <w:t xml:space="preserve"> events), vomiting, and urticaria were considered related to study </w:t>
      </w:r>
      <w:r w:rsidR="002D5F41" w:rsidRPr="000349EF">
        <w:t>vaccine</w:t>
      </w:r>
      <w:r w:rsidRPr="000349EF">
        <w:t>. There were no severe TEAEs reported in the placebo group.</w:t>
      </w:r>
    </w:p>
    <w:p w14:paraId="737FFD51" w14:textId="77777777" w:rsidR="00172ACC" w:rsidRPr="000349EF" w:rsidRDefault="00172ACC" w:rsidP="002F4CF7">
      <w:pPr>
        <w:pStyle w:val="Heading5"/>
        <w:rPr>
          <w:rFonts w:eastAsiaTheme="minorHAnsi"/>
        </w:rPr>
      </w:pPr>
      <w:bookmarkStart w:id="74" w:name="_Toc87980886"/>
      <w:r w:rsidRPr="000349EF">
        <w:rPr>
          <w:rFonts w:eastAsiaTheme="minorHAnsi"/>
        </w:rPr>
        <w:t>Deaths</w:t>
      </w:r>
      <w:bookmarkEnd w:id="74"/>
    </w:p>
    <w:p w14:paraId="1025FA20" w14:textId="25BD3328" w:rsidR="00172ACC" w:rsidRPr="000349EF" w:rsidRDefault="00172ACC" w:rsidP="00172ACC">
      <w:r w:rsidRPr="000349EF">
        <w:t>No deaths have been reported in the study as of the data snapshot</w:t>
      </w:r>
      <w:r w:rsidR="002D5F41" w:rsidRPr="000349EF">
        <w:t>.</w:t>
      </w:r>
    </w:p>
    <w:p w14:paraId="1BF94E1B" w14:textId="769BE9E4" w:rsidR="00172ACC" w:rsidRPr="000349EF" w:rsidRDefault="00172ACC" w:rsidP="002F4CF7">
      <w:pPr>
        <w:pStyle w:val="Heading5"/>
        <w:rPr>
          <w:rFonts w:eastAsiaTheme="minorHAnsi"/>
        </w:rPr>
      </w:pPr>
      <w:bookmarkStart w:id="75" w:name="_Toc87980887"/>
      <w:r w:rsidRPr="000349EF">
        <w:rPr>
          <w:rStyle w:val="Heading5Char"/>
          <w:rFonts w:eastAsiaTheme="minorHAnsi"/>
          <w:b/>
          <w:bCs/>
          <w:i/>
        </w:rPr>
        <w:t xml:space="preserve">Serious </w:t>
      </w:r>
      <w:r w:rsidR="002F4CF7" w:rsidRPr="000349EF">
        <w:rPr>
          <w:rStyle w:val="Heading5Char"/>
          <w:rFonts w:eastAsiaTheme="minorHAnsi"/>
          <w:b/>
          <w:bCs/>
          <w:i/>
        </w:rPr>
        <w:t>adverse events</w:t>
      </w:r>
      <w:bookmarkEnd w:id="75"/>
    </w:p>
    <w:p w14:paraId="71C1E4E6" w14:textId="5668D340" w:rsidR="00172ACC" w:rsidRPr="000349EF" w:rsidRDefault="002F4CF7" w:rsidP="002F4CF7">
      <w:pPr>
        <w:pStyle w:val="Heading6"/>
      </w:pPr>
      <w:r w:rsidRPr="000349EF">
        <w:t xml:space="preserve">Study P204 </w:t>
      </w:r>
      <w:r w:rsidR="00172ACC" w:rsidRPr="000349EF">
        <w:t>Part 1</w:t>
      </w:r>
    </w:p>
    <w:p w14:paraId="4636294A" w14:textId="7E062A0C" w:rsidR="00172ACC" w:rsidRPr="000349EF" w:rsidRDefault="00172ACC" w:rsidP="00172ACC">
      <w:r w:rsidRPr="000349EF">
        <w:t xml:space="preserve">In the 50 </w:t>
      </w:r>
      <w:proofErr w:type="spellStart"/>
      <w:r w:rsidRPr="000349EF">
        <w:t>μg</w:t>
      </w:r>
      <w:proofErr w:type="spellEnd"/>
      <w:r w:rsidRPr="000349EF">
        <w:t xml:space="preserve"> group within the 28-day </w:t>
      </w:r>
      <w:r w:rsidR="002D5F41" w:rsidRPr="000349EF">
        <w:t xml:space="preserve">period </w:t>
      </w:r>
      <w:r w:rsidRPr="000349EF">
        <w:t xml:space="preserve">post any dose, </w:t>
      </w:r>
      <w:r w:rsidR="00C92C02" w:rsidRPr="000349EF">
        <w:t>one</w:t>
      </w:r>
      <w:r w:rsidRPr="000349EF">
        <w:t xml:space="preserve"> participant had an SAE of </w:t>
      </w:r>
      <w:r w:rsidR="006277A6" w:rsidRPr="000349EF">
        <w:t>Grade</w:t>
      </w:r>
      <w:r w:rsidR="00335FC6" w:rsidRPr="000349EF">
        <w:t> </w:t>
      </w:r>
      <w:r w:rsidR="006277A6" w:rsidRPr="000349EF">
        <w:t>1</w:t>
      </w:r>
      <w:r w:rsidRPr="000349EF">
        <w:t xml:space="preserve"> palpitations after </w:t>
      </w:r>
      <w:r w:rsidR="0077374E" w:rsidRPr="000349EF">
        <w:t>Dose 2</w:t>
      </w:r>
      <w:r w:rsidRPr="000349EF">
        <w:t xml:space="preserve">, and </w:t>
      </w:r>
      <w:r w:rsidR="00335FC6" w:rsidRPr="000349EF">
        <w:t>one</w:t>
      </w:r>
      <w:r w:rsidRPr="000349EF">
        <w:t xml:space="preserve"> participant had an SAE of foreign body ingestion that led to hospitali</w:t>
      </w:r>
      <w:r w:rsidR="00A23298" w:rsidRPr="000349EF">
        <w:t>s</w:t>
      </w:r>
      <w:r w:rsidRPr="000349EF">
        <w:t xml:space="preserve">ation. Both events were also considered MAAEs, and neither was considered related to mRNA-1273. The event of palpitations occurred in a child with a history of palpitations. Electrocardiogram and echocardiogram results were normal. While the event was initially reported as an SAE, it was subsequently downgraded to nonserious and the onset was changed to &gt; 28 days after </w:t>
      </w:r>
      <w:r w:rsidR="0077374E" w:rsidRPr="000349EF">
        <w:t>Dose 2</w:t>
      </w:r>
      <w:r w:rsidRPr="000349EF">
        <w:t>. No SAEs were reported in the 100</w:t>
      </w:r>
      <w:r w:rsidR="00335FC6" w:rsidRPr="000349EF">
        <w:t> </w:t>
      </w:r>
      <w:proofErr w:type="spellStart"/>
      <w:r w:rsidRPr="000349EF">
        <w:t>μg</w:t>
      </w:r>
      <w:proofErr w:type="spellEnd"/>
      <w:r w:rsidRPr="000349EF">
        <w:t xml:space="preserve"> group within the 28-day window </w:t>
      </w:r>
      <w:r w:rsidR="002D5F41" w:rsidRPr="000349EF">
        <w:t>post</w:t>
      </w:r>
      <w:r w:rsidRPr="000349EF">
        <w:t xml:space="preserve"> dose. For SAEs with onset after 28 days, in the 50</w:t>
      </w:r>
      <w:r w:rsidR="00335FC6" w:rsidRPr="000349EF">
        <w:t> </w:t>
      </w:r>
      <w:proofErr w:type="spellStart"/>
      <w:r w:rsidRPr="000349EF">
        <w:t>μg</w:t>
      </w:r>
      <w:proofErr w:type="spellEnd"/>
      <w:r w:rsidRPr="000349EF">
        <w:t xml:space="preserve"> </w:t>
      </w:r>
      <w:r w:rsidRPr="000349EF">
        <w:lastRenderedPageBreak/>
        <w:t xml:space="preserve">group, </w:t>
      </w:r>
      <w:r w:rsidR="002D5F41" w:rsidRPr="000349EF">
        <w:t xml:space="preserve">one </w:t>
      </w:r>
      <w:r w:rsidRPr="000349EF">
        <w:t xml:space="preserve">participant had an SAE of </w:t>
      </w:r>
      <w:r w:rsidR="006277A6" w:rsidRPr="000349EF">
        <w:t>Grade 2</w:t>
      </w:r>
      <w:r w:rsidRPr="000349EF">
        <w:t xml:space="preserve"> optic disc drusen, which occurred 151</w:t>
      </w:r>
      <w:r w:rsidR="002D5F41" w:rsidRPr="000349EF">
        <w:t> </w:t>
      </w:r>
      <w:r w:rsidRPr="000349EF">
        <w:t xml:space="preserve">days after </w:t>
      </w:r>
      <w:r w:rsidR="0077374E" w:rsidRPr="000349EF">
        <w:t>Dose 2</w:t>
      </w:r>
      <w:r w:rsidRPr="000349EF">
        <w:t>. The event was considered not related to mRNA-1273. In addition, 2</w:t>
      </w:r>
      <w:r w:rsidR="002D5F41" w:rsidRPr="000349EF">
        <w:t> </w:t>
      </w:r>
      <w:r w:rsidRPr="000349EF">
        <w:t xml:space="preserve">other participants experienced </w:t>
      </w:r>
      <w:r w:rsidR="008E6BFD" w:rsidRPr="000349EF">
        <w:t xml:space="preserve">the </w:t>
      </w:r>
      <w:r w:rsidRPr="000349EF">
        <w:t xml:space="preserve">SAE of </w:t>
      </w:r>
      <w:r w:rsidR="00914237" w:rsidRPr="000349EF">
        <w:t>Grade 3</w:t>
      </w:r>
      <w:r w:rsidRPr="000349EF">
        <w:t xml:space="preserve"> appendicitis</w:t>
      </w:r>
      <w:r w:rsidR="008E6BFD" w:rsidRPr="000349EF">
        <w:t>, at</w:t>
      </w:r>
      <w:r w:rsidRPr="000349EF">
        <w:t xml:space="preserve"> 97 and 72 days, respectively, after </w:t>
      </w:r>
      <w:r w:rsidR="0077374E" w:rsidRPr="000349EF">
        <w:t>Dose</w:t>
      </w:r>
      <w:r w:rsidR="00335FC6" w:rsidRPr="000349EF">
        <w:t> </w:t>
      </w:r>
      <w:r w:rsidR="0077374E" w:rsidRPr="000349EF">
        <w:t>2</w:t>
      </w:r>
      <w:r w:rsidRPr="000349EF">
        <w:t>. Both were considered not related to mRNA-1273. In the 100</w:t>
      </w:r>
      <w:r w:rsidR="00335FC6" w:rsidRPr="000349EF">
        <w:t> </w:t>
      </w:r>
      <w:proofErr w:type="spellStart"/>
      <w:r w:rsidRPr="000349EF">
        <w:t>μg</w:t>
      </w:r>
      <w:proofErr w:type="spellEnd"/>
      <w:r w:rsidRPr="000349EF">
        <w:t xml:space="preserve"> group, </w:t>
      </w:r>
      <w:r w:rsidR="00335FC6" w:rsidRPr="000349EF">
        <w:t>one</w:t>
      </w:r>
      <w:r w:rsidRPr="000349EF">
        <w:t xml:space="preserve"> participant had an SAE of </w:t>
      </w:r>
      <w:r w:rsidR="006277A6" w:rsidRPr="000349EF">
        <w:t>Grade 2</w:t>
      </w:r>
      <w:r w:rsidRPr="000349EF">
        <w:t xml:space="preserve"> systemic viral infection of unknown </w:t>
      </w:r>
      <w:r w:rsidR="008E6BFD" w:rsidRPr="000349EF">
        <w:t>a</w:t>
      </w:r>
      <w:r w:rsidRPr="000349EF">
        <w:t>etiology that required hospitali</w:t>
      </w:r>
      <w:r w:rsidR="00A23298" w:rsidRPr="000349EF">
        <w:t>s</w:t>
      </w:r>
      <w:r w:rsidRPr="000349EF">
        <w:t xml:space="preserve">ation 101 days after </w:t>
      </w:r>
      <w:r w:rsidR="0077374E" w:rsidRPr="000349EF">
        <w:t>Dose 2</w:t>
      </w:r>
      <w:r w:rsidRPr="000349EF">
        <w:t>. The event was also an MAAE and was considered not related to mRNA-1273. The event resolved after 6</w:t>
      </w:r>
      <w:r w:rsidR="00335FC6" w:rsidRPr="000349EF">
        <w:t> </w:t>
      </w:r>
      <w:r w:rsidRPr="000349EF">
        <w:t>days.</w:t>
      </w:r>
    </w:p>
    <w:p w14:paraId="7784D16E" w14:textId="0E7D2F2C" w:rsidR="00172ACC" w:rsidRPr="000349EF" w:rsidRDefault="002F4CF7" w:rsidP="002F4CF7">
      <w:pPr>
        <w:pStyle w:val="Heading6"/>
      </w:pPr>
      <w:r w:rsidRPr="000349EF">
        <w:t xml:space="preserve">Study P204 </w:t>
      </w:r>
      <w:r w:rsidR="00172ACC" w:rsidRPr="000349EF">
        <w:t>Part 2</w:t>
      </w:r>
    </w:p>
    <w:p w14:paraId="35E99900" w14:textId="72095257" w:rsidR="00172ACC" w:rsidRPr="000349EF" w:rsidRDefault="00172ACC" w:rsidP="00172ACC">
      <w:r w:rsidRPr="000349EF">
        <w:t xml:space="preserve">In Part 2, </w:t>
      </w:r>
      <w:r w:rsidR="00335FC6" w:rsidRPr="000349EF">
        <w:t>one</w:t>
      </w:r>
      <w:r w:rsidRPr="000349EF">
        <w:t xml:space="preserve"> participant had an SAE that occurred within the 28-day window after </w:t>
      </w:r>
      <w:r w:rsidR="0077374E" w:rsidRPr="000349EF">
        <w:t>Dose</w:t>
      </w:r>
      <w:r w:rsidR="00335FC6" w:rsidRPr="000349EF">
        <w:t> </w:t>
      </w:r>
      <w:r w:rsidR="0077374E" w:rsidRPr="000349EF">
        <w:t>1</w:t>
      </w:r>
      <w:r w:rsidRPr="000349EF">
        <w:t xml:space="preserve"> (</w:t>
      </w:r>
      <w:r w:rsidR="006277A6" w:rsidRPr="000349EF">
        <w:t>Grade 2</w:t>
      </w:r>
      <w:r w:rsidRPr="000349EF">
        <w:t xml:space="preserve"> appendicitis), and </w:t>
      </w:r>
      <w:r w:rsidR="00335FC6" w:rsidRPr="000349EF">
        <w:t>one</w:t>
      </w:r>
      <w:r w:rsidRPr="000349EF">
        <w:t xml:space="preserve"> participant had an SAE that occurred within the 28</w:t>
      </w:r>
      <w:r w:rsidR="00335FC6" w:rsidRPr="000349EF">
        <w:noBreakHyphen/>
      </w:r>
      <w:r w:rsidRPr="000349EF">
        <w:t xml:space="preserve">day window after </w:t>
      </w:r>
      <w:r w:rsidR="0077374E" w:rsidRPr="000349EF">
        <w:t>Dose 2</w:t>
      </w:r>
      <w:r w:rsidRPr="000349EF">
        <w:t xml:space="preserve"> (</w:t>
      </w:r>
      <w:r w:rsidR="00914237" w:rsidRPr="000349EF">
        <w:t>Grade 3</w:t>
      </w:r>
      <w:r w:rsidRPr="000349EF">
        <w:t xml:space="preserve"> cellulitis orbital)</w:t>
      </w:r>
      <w:r w:rsidR="008E6BFD" w:rsidRPr="000349EF">
        <w:t>, both</w:t>
      </w:r>
      <w:r w:rsidRPr="000349EF">
        <w:t xml:space="preserve"> in the mRNA-1273 50</w:t>
      </w:r>
      <w:r w:rsidR="00335FC6" w:rsidRPr="000349EF">
        <w:t> </w:t>
      </w:r>
      <w:proofErr w:type="spellStart"/>
      <w:r w:rsidRPr="000349EF">
        <w:t>μg</w:t>
      </w:r>
      <w:proofErr w:type="spellEnd"/>
      <w:r w:rsidRPr="000349EF">
        <w:t xml:space="preserve"> group. </w:t>
      </w:r>
      <w:proofErr w:type="gramStart"/>
      <w:r w:rsidRPr="000349EF">
        <w:t>Both of the events</w:t>
      </w:r>
      <w:proofErr w:type="gramEnd"/>
      <w:r w:rsidRPr="000349EF">
        <w:t xml:space="preserve"> led to hospitali</w:t>
      </w:r>
      <w:r w:rsidR="00A23298" w:rsidRPr="000349EF">
        <w:t>s</w:t>
      </w:r>
      <w:r w:rsidRPr="000349EF">
        <w:t>ation and were also considered MAAEs. Both events resolved, and neither of the events was considered related to mRNA-1273 by the investigator. No participants in the placebo group experienced SAEs during the study.</w:t>
      </w:r>
    </w:p>
    <w:p w14:paraId="446CADD1" w14:textId="26DF9073" w:rsidR="00172ACC" w:rsidRPr="000349EF" w:rsidRDefault="00172ACC" w:rsidP="002F4CF7">
      <w:pPr>
        <w:pStyle w:val="Heading5"/>
        <w:rPr>
          <w:rFonts w:eastAsiaTheme="minorHAnsi"/>
        </w:rPr>
      </w:pPr>
      <w:bookmarkStart w:id="76" w:name="_Toc87980888"/>
      <w:r w:rsidRPr="000349EF">
        <w:rPr>
          <w:rFonts w:eastAsiaTheme="minorHAnsi"/>
        </w:rPr>
        <w:t>Discontinuation</w:t>
      </w:r>
      <w:bookmarkEnd w:id="76"/>
    </w:p>
    <w:p w14:paraId="6BEFE320" w14:textId="5E9471B7" w:rsidR="00517E66" w:rsidRPr="000349EF" w:rsidRDefault="00517E66" w:rsidP="00517E66">
      <w:pPr>
        <w:pStyle w:val="Heading6"/>
      </w:pPr>
      <w:r w:rsidRPr="000349EF">
        <w:t xml:space="preserve">Study P204 </w:t>
      </w:r>
      <w:r w:rsidR="00172ACC" w:rsidRPr="000349EF">
        <w:t>Part 1</w:t>
      </w:r>
    </w:p>
    <w:p w14:paraId="18550D9C" w14:textId="3C14EEA5" w:rsidR="00172ACC" w:rsidRPr="000349EF" w:rsidRDefault="00172ACC" w:rsidP="00172ACC">
      <w:r w:rsidRPr="000349EF">
        <w:t>One participant in the 50</w:t>
      </w:r>
      <w:r w:rsidR="00F83EE6" w:rsidRPr="000349EF">
        <w:t xml:space="preserve"> </w:t>
      </w:r>
      <w:proofErr w:type="spellStart"/>
      <w:r w:rsidRPr="000349EF">
        <w:t>μg</w:t>
      </w:r>
      <w:proofErr w:type="spellEnd"/>
      <w:r w:rsidRPr="000349EF">
        <w:t xml:space="preserve"> group, an 11-year-old female with history of seasonal allergies and facial maculopapular rash, had a nonserious urticaria </w:t>
      </w:r>
      <w:proofErr w:type="spellStart"/>
      <w:r w:rsidRPr="000349EF">
        <w:t>papular</w:t>
      </w:r>
      <w:proofErr w:type="spellEnd"/>
      <w:r w:rsidRPr="000349EF">
        <w:t xml:space="preserve"> leading to discontinuation. The event started on Day 9 following </w:t>
      </w:r>
      <w:r w:rsidR="0077374E" w:rsidRPr="000349EF">
        <w:t>Dose 1</w:t>
      </w:r>
      <w:r w:rsidRPr="000349EF">
        <w:t xml:space="preserve"> and was reported as related to study vaccine. The participant recovered within 6 days of the onset of the event.</w:t>
      </w:r>
    </w:p>
    <w:p w14:paraId="080245D2" w14:textId="7FDB7496" w:rsidR="00517E66" w:rsidRPr="000349EF" w:rsidRDefault="00517E66" w:rsidP="00517E66">
      <w:pPr>
        <w:pStyle w:val="Heading6"/>
      </w:pPr>
      <w:r w:rsidRPr="000349EF">
        <w:t xml:space="preserve">Study P204 </w:t>
      </w:r>
      <w:r w:rsidR="00172ACC" w:rsidRPr="000349EF">
        <w:t>Part 2</w:t>
      </w:r>
    </w:p>
    <w:p w14:paraId="6BCACDDC" w14:textId="79610816" w:rsidR="00172ACC" w:rsidRPr="000349EF" w:rsidRDefault="00172ACC" w:rsidP="00172ACC">
      <w:r w:rsidRPr="000349EF">
        <w:t xml:space="preserve">Two participants in the 50 </w:t>
      </w:r>
      <w:proofErr w:type="spellStart"/>
      <w:r w:rsidRPr="000349EF">
        <w:t>μg</w:t>
      </w:r>
      <w:proofErr w:type="spellEnd"/>
      <w:r w:rsidRPr="000349EF">
        <w:t xml:space="preserve"> group had AEs leading to discontinuation. One participant, a 9</w:t>
      </w:r>
      <w:r w:rsidR="00F83EE6" w:rsidRPr="000349EF">
        <w:noBreakHyphen/>
      </w:r>
      <w:r w:rsidRPr="000349EF">
        <w:t xml:space="preserve">year-old male with history of seasonal allergies, was discontinued due to nonserious urticaria and mild wheezing. The urticaria started on Day 24 following </w:t>
      </w:r>
      <w:r w:rsidR="0077374E" w:rsidRPr="000349EF">
        <w:t>Dose 1</w:t>
      </w:r>
      <w:r w:rsidRPr="000349EF">
        <w:t xml:space="preserve"> and the wheezing on Day 29 following </w:t>
      </w:r>
      <w:r w:rsidR="0077374E" w:rsidRPr="000349EF">
        <w:t>Dose 1</w:t>
      </w:r>
      <w:r w:rsidRPr="000349EF">
        <w:t xml:space="preserve">. The relationship of study </w:t>
      </w:r>
      <w:r w:rsidR="008E6BFD" w:rsidRPr="000349EF">
        <w:t xml:space="preserve">vaccine </w:t>
      </w:r>
      <w:r w:rsidRPr="000349EF">
        <w:t xml:space="preserve">to the event of urticaria was unknown at the time of data snapshot, while the event of wheezing was reported as unrelated to study </w:t>
      </w:r>
      <w:r w:rsidR="008E6BFD" w:rsidRPr="000349EF">
        <w:t>vaccine</w:t>
      </w:r>
      <w:r w:rsidRPr="000349EF">
        <w:t xml:space="preserve">. The other participant, a 10-year-old male with </w:t>
      </w:r>
      <w:r w:rsidR="008E6BFD" w:rsidRPr="000349EF">
        <w:t xml:space="preserve">a </w:t>
      </w:r>
      <w:r w:rsidRPr="000349EF">
        <w:t xml:space="preserve">history of chronic kidney disease, experienced mild rash on Day 10 following </w:t>
      </w:r>
      <w:r w:rsidR="0077374E" w:rsidRPr="000349EF">
        <w:t>Dose</w:t>
      </w:r>
      <w:r w:rsidR="00F83EE6" w:rsidRPr="000349EF">
        <w:t> </w:t>
      </w:r>
      <w:r w:rsidR="0077374E" w:rsidRPr="000349EF">
        <w:t>1</w:t>
      </w:r>
      <w:r w:rsidRPr="000349EF">
        <w:t>, which led to discontinuation</w:t>
      </w:r>
    </w:p>
    <w:p w14:paraId="1B4B5468" w14:textId="3C904973" w:rsidR="00172ACC" w:rsidRPr="000349EF" w:rsidRDefault="00172ACC" w:rsidP="00172ACC">
      <w:r w:rsidRPr="000349EF">
        <w:t>No participant</w:t>
      </w:r>
      <w:r w:rsidR="008E6BFD" w:rsidRPr="000349EF">
        <w:t>s</w:t>
      </w:r>
      <w:r w:rsidRPr="000349EF">
        <w:t xml:space="preserve"> in the placebo group had an AE leading to discontinuation from study vaccine.</w:t>
      </w:r>
    </w:p>
    <w:p w14:paraId="61F12564" w14:textId="6390D2B0" w:rsidR="00172ACC" w:rsidRPr="000349EF" w:rsidRDefault="00172ACC" w:rsidP="002F4CF7">
      <w:pPr>
        <w:pStyle w:val="Heading5"/>
        <w:rPr>
          <w:rFonts w:eastAsiaTheme="minorHAnsi"/>
        </w:rPr>
      </w:pPr>
      <w:bookmarkStart w:id="77" w:name="_Toc87980889"/>
      <w:r w:rsidRPr="000349EF">
        <w:rPr>
          <w:rFonts w:eastAsiaTheme="minorHAnsi"/>
        </w:rPr>
        <w:t xml:space="preserve">Adverse </w:t>
      </w:r>
      <w:r w:rsidR="002F4CF7" w:rsidRPr="000349EF">
        <w:rPr>
          <w:rFonts w:eastAsiaTheme="minorHAnsi"/>
        </w:rPr>
        <w:t>events of special interest</w:t>
      </w:r>
    </w:p>
    <w:p w14:paraId="23BFBE93" w14:textId="1D89C096" w:rsidR="00172ACC" w:rsidRPr="000349EF" w:rsidRDefault="002F4CF7" w:rsidP="00172ACC">
      <w:r w:rsidRPr="000349EF">
        <w:t>Adverse events of special interest</w:t>
      </w:r>
      <w:r w:rsidR="00172ACC" w:rsidRPr="000349EF">
        <w:t xml:space="preserve"> were assessed as those occurring within 28 days of any injection</w:t>
      </w:r>
      <w:r w:rsidR="00F83EE6" w:rsidRPr="000349EF">
        <w:t>,</w:t>
      </w:r>
      <w:r w:rsidR="00172ACC" w:rsidRPr="000349EF">
        <w:t xml:space="preserve"> and across the study duration. A priority list of AESIs relevant to </w:t>
      </w:r>
      <w:r w:rsidR="008E6BFD" w:rsidRPr="000349EF">
        <w:t xml:space="preserve">the </w:t>
      </w:r>
      <w:r w:rsidR="00172ACC" w:rsidRPr="000349EF">
        <w:t xml:space="preserve">development of COVID-19 vaccines, </w:t>
      </w:r>
      <w:r w:rsidR="008E6BFD" w:rsidRPr="000349EF">
        <w:t xml:space="preserve">formulated </w:t>
      </w:r>
      <w:r w:rsidR="00172ACC" w:rsidRPr="000349EF">
        <w:t>by the Brighton Collaboration, was included in the Study</w:t>
      </w:r>
      <w:r w:rsidR="00F83EE6" w:rsidRPr="000349EF">
        <w:t> </w:t>
      </w:r>
      <w:r w:rsidR="00172ACC" w:rsidRPr="000349EF">
        <w:t xml:space="preserve">P204 protocol. The investigator was asked to report </w:t>
      </w:r>
      <w:r w:rsidR="00F83EE6" w:rsidRPr="000349EF">
        <w:t xml:space="preserve">a list of </w:t>
      </w:r>
      <w:r w:rsidR="00172ACC" w:rsidRPr="000349EF">
        <w:t>events</w:t>
      </w:r>
      <w:r w:rsidR="00F83EE6" w:rsidRPr="000349EF">
        <w:t>;</w:t>
      </w:r>
      <w:r w:rsidR="00F83EE6" w:rsidRPr="000349EF">
        <w:rPr>
          <w:vertAlign w:val="superscript"/>
        </w:rPr>
        <w:fldChar w:fldCharType="begin"/>
      </w:r>
      <w:r w:rsidR="00F83EE6" w:rsidRPr="000349EF">
        <w:rPr>
          <w:vertAlign w:val="superscript"/>
        </w:rPr>
        <w:instrText xml:space="preserve"> NOTEREF _Ref91001002 \h  \* MERGEFORMAT </w:instrText>
      </w:r>
      <w:r w:rsidR="00F83EE6" w:rsidRPr="000349EF">
        <w:rPr>
          <w:vertAlign w:val="superscript"/>
        </w:rPr>
      </w:r>
      <w:r w:rsidR="00F83EE6" w:rsidRPr="000349EF">
        <w:rPr>
          <w:vertAlign w:val="superscript"/>
        </w:rPr>
        <w:fldChar w:fldCharType="separate"/>
      </w:r>
      <w:r w:rsidR="00235E4B">
        <w:rPr>
          <w:vertAlign w:val="superscript"/>
        </w:rPr>
        <w:t>21</w:t>
      </w:r>
      <w:r w:rsidR="00F83EE6" w:rsidRPr="000349EF">
        <w:rPr>
          <w:vertAlign w:val="superscript"/>
        </w:rPr>
        <w:fldChar w:fldCharType="end"/>
      </w:r>
      <w:r w:rsidR="00172ACC" w:rsidRPr="000349EF">
        <w:t xml:space="preserve"> if the event occurred in the setting of a SARS-CoV-2 infection.</w:t>
      </w:r>
    </w:p>
    <w:p w14:paraId="033FB223" w14:textId="75581F25" w:rsidR="00172ACC" w:rsidRPr="000349EF" w:rsidRDefault="002F4CF7" w:rsidP="002F4CF7">
      <w:pPr>
        <w:pStyle w:val="Heading6"/>
        <w:rPr>
          <w:rFonts w:eastAsiaTheme="minorHAnsi"/>
        </w:rPr>
      </w:pPr>
      <w:r w:rsidRPr="000349EF">
        <w:rPr>
          <w:rFonts w:eastAsiaTheme="minorHAnsi"/>
        </w:rPr>
        <w:t xml:space="preserve">Adverse events of special interest </w:t>
      </w:r>
      <w:r w:rsidR="00172ACC" w:rsidRPr="000349EF">
        <w:rPr>
          <w:rFonts w:eastAsiaTheme="minorHAnsi"/>
        </w:rPr>
        <w:t xml:space="preserve">reported in </w:t>
      </w:r>
      <w:r w:rsidRPr="000349EF">
        <w:rPr>
          <w:rFonts w:eastAsiaTheme="minorHAnsi"/>
        </w:rPr>
        <w:t xml:space="preserve">Study P204 </w:t>
      </w:r>
      <w:r w:rsidR="00172ACC" w:rsidRPr="000349EF">
        <w:rPr>
          <w:rFonts w:eastAsiaTheme="minorHAnsi"/>
        </w:rPr>
        <w:t>Part 1</w:t>
      </w:r>
    </w:p>
    <w:p w14:paraId="3F273A6D" w14:textId="67BC009D" w:rsidR="00172ACC" w:rsidRPr="000349EF" w:rsidRDefault="00172ACC" w:rsidP="002F4CF7">
      <w:pPr>
        <w:pStyle w:val="Heading7"/>
        <w:rPr>
          <w:sz w:val="22"/>
          <w:szCs w:val="28"/>
        </w:rPr>
      </w:pPr>
      <w:r w:rsidRPr="000349EF">
        <w:rPr>
          <w:sz w:val="22"/>
          <w:szCs w:val="28"/>
        </w:rPr>
        <w:t>50</w:t>
      </w:r>
      <w:r w:rsidR="00F83EE6" w:rsidRPr="000349EF">
        <w:rPr>
          <w:sz w:val="22"/>
          <w:szCs w:val="28"/>
        </w:rPr>
        <w:t> </w:t>
      </w:r>
      <w:proofErr w:type="spellStart"/>
      <w:r w:rsidRPr="000349EF">
        <w:rPr>
          <w:sz w:val="22"/>
          <w:szCs w:val="28"/>
        </w:rPr>
        <w:t>μg</w:t>
      </w:r>
      <w:proofErr w:type="spellEnd"/>
      <w:r w:rsidRPr="000349EF">
        <w:rPr>
          <w:sz w:val="22"/>
          <w:szCs w:val="28"/>
        </w:rPr>
        <w:t xml:space="preserve"> group</w:t>
      </w:r>
    </w:p>
    <w:p w14:paraId="79F22C7E" w14:textId="108D6CBF" w:rsidR="00172ACC" w:rsidRPr="000349EF" w:rsidRDefault="00F83EE6" w:rsidP="00172ACC">
      <w:r w:rsidRPr="000349EF">
        <w:t>A</w:t>
      </w:r>
      <w:r w:rsidR="00172ACC" w:rsidRPr="000349EF">
        <w:t xml:space="preserve">ppendicitis </w:t>
      </w:r>
      <w:r w:rsidR="008E6BFD" w:rsidRPr="000349EF">
        <w:t xml:space="preserve">was </w:t>
      </w:r>
      <w:r w:rsidR="00172ACC" w:rsidRPr="000349EF">
        <w:t xml:space="preserve">reported in </w:t>
      </w:r>
      <w:r w:rsidR="00806936">
        <w:t>two</w:t>
      </w:r>
      <w:r w:rsidR="00172ACC" w:rsidRPr="000349EF">
        <w:t xml:space="preserve"> (0.5%) participants, both occurr</w:t>
      </w:r>
      <w:r w:rsidR="008E6BFD" w:rsidRPr="000349EF">
        <w:t>ing</w:t>
      </w:r>
      <w:r w:rsidR="00172ACC" w:rsidRPr="000349EF">
        <w:t xml:space="preserve"> beyond </w:t>
      </w:r>
      <w:r w:rsidR="008E6BFD" w:rsidRPr="000349EF">
        <w:t xml:space="preserve">the </w:t>
      </w:r>
      <w:r w:rsidR="00172ACC" w:rsidRPr="000349EF">
        <w:t>28</w:t>
      </w:r>
      <w:r w:rsidR="008E6BFD" w:rsidRPr="000349EF">
        <w:t> </w:t>
      </w:r>
      <w:r w:rsidR="00172ACC" w:rsidRPr="000349EF">
        <w:t>day</w:t>
      </w:r>
      <w:r w:rsidR="008E6BFD" w:rsidRPr="000349EF">
        <w:t xml:space="preserve"> period</w:t>
      </w:r>
      <w:r w:rsidR="00172ACC" w:rsidRPr="000349EF">
        <w:t xml:space="preserve"> </w:t>
      </w:r>
      <w:r w:rsidR="008E6BFD" w:rsidRPr="000349EF">
        <w:t xml:space="preserve">after </w:t>
      </w:r>
      <w:r w:rsidR="00172ACC" w:rsidRPr="000349EF">
        <w:t xml:space="preserve">any injection. Neither event was considered related to study </w:t>
      </w:r>
      <w:r w:rsidR="008E6BFD" w:rsidRPr="000349EF">
        <w:t>vaccine</w:t>
      </w:r>
      <w:r w:rsidR="00172ACC" w:rsidRPr="000349EF">
        <w:t xml:space="preserve">. An event of non-cardiac mild chest pain was reported as an AESI in </w:t>
      </w:r>
      <w:r w:rsidRPr="000349EF">
        <w:t>one</w:t>
      </w:r>
      <w:r w:rsidR="00172ACC" w:rsidRPr="000349EF">
        <w:t xml:space="preserve"> participant, occurring 72 days after </w:t>
      </w:r>
      <w:r w:rsidR="0077374E" w:rsidRPr="000349EF">
        <w:t>Dose</w:t>
      </w:r>
      <w:r w:rsidRPr="000349EF">
        <w:t> </w:t>
      </w:r>
      <w:r w:rsidR="0077374E" w:rsidRPr="000349EF">
        <w:t>2</w:t>
      </w:r>
      <w:r w:rsidR="00172ACC" w:rsidRPr="000349EF">
        <w:t xml:space="preserve">. This event does not meet AESI criteria as </w:t>
      </w:r>
      <w:r w:rsidR="00CB62AE" w:rsidRPr="000349EF">
        <w:t>PP</w:t>
      </w:r>
      <w:r w:rsidR="00172ACC" w:rsidRPr="000349EF">
        <w:t xml:space="preserve">, but the event was marked as an AESI by the investigator. All AESIs were not considered related to study </w:t>
      </w:r>
      <w:r w:rsidR="008E6BFD" w:rsidRPr="000349EF">
        <w:t>vaccine</w:t>
      </w:r>
      <w:r w:rsidR="00172ACC" w:rsidRPr="000349EF">
        <w:t>, except the event of non</w:t>
      </w:r>
      <w:r w:rsidRPr="000349EF">
        <w:noBreakHyphen/>
      </w:r>
      <w:r w:rsidR="00172ACC" w:rsidRPr="000349EF">
        <w:t>cardiac chest pain.</w:t>
      </w:r>
    </w:p>
    <w:p w14:paraId="479B853D" w14:textId="483EA4A8" w:rsidR="00172ACC" w:rsidRPr="000349EF" w:rsidRDefault="00172ACC" w:rsidP="002F4CF7">
      <w:pPr>
        <w:pStyle w:val="Heading7"/>
        <w:rPr>
          <w:sz w:val="22"/>
          <w:szCs w:val="28"/>
        </w:rPr>
      </w:pPr>
      <w:r w:rsidRPr="000349EF">
        <w:rPr>
          <w:sz w:val="22"/>
          <w:szCs w:val="28"/>
        </w:rPr>
        <w:lastRenderedPageBreak/>
        <w:t>100</w:t>
      </w:r>
      <w:r w:rsidR="00F83EE6" w:rsidRPr="000349EF">
        <w:rPr>
          <w:sz w:val="22"/>
          <w:szCs w:val="28"/>
        </w:rPr>
        <w:t> </w:t>
      </w:r>
      <w:proofErr w:type="spellStart"/>
      <w:r w:rsidRPr="000349EF">
        <w:rPr>
          <w:sz w:val="22"/>
          <w:szCs w:val="28"/>
        </w:rPr>
        <w:t>μg</w:t>
      </w:r>
      <w:proofErr w:type="spellEnd"/>
      <w:r w:rsidRPr="000349EF">
        <w:rPr>
          <w:sz w:val="22"/>
          <w:szCs w:val="28"/>
        </w:rPr>
        <w:t xml:space="preserve"> group</w:t>
      </w:r>
    </w:p>
    <w:p w14:paraId="534CBEEC" w14:textId="1C91995B" w:rsidR="003A2385" w:rsidRPr="000349EF" w:rsidRDefault="00F83EE6" w:rsidP="00172ACC">
      <w:r w:rsidRPr="000349EF">
        <w:t>N</w:t>
      </w:r>
      <w:r w:rsidR="00172ACC" w:rsidRPr="000349EF">
        <w:t xml:space="preserve">o reports of AESIs occurring within 28 days of any dose. Beyond </w:t>
      </w:r>
      <w:r w:rsidR="008E6BFD" w:rsidRPr="000349EF">
        <w:t xml:space="preserve">the </w:t>
      </w:r>
      <w:r w:rsidR="00172ACC" w:rsidRPr="000349EF">
        <w:t>28 day</w:t>
      </w:r>
      <w:r w:rsidR="008E6BFD" w:rsidRPr="000349EF">
        <w:t xml:space="preserve"> period</w:t>
      </w:r>
      <w:r w:rsidR="00172ACC" w:rsidRPr="000349EF">
        <w:t xml:space="preserve"> after any dose, </w:t>
      </w:r>
      <w:r w:rsidR="00806936">
        <w:t>two</w:t>
      </w:r>
      <w:r w:rsidR="00172ACC" w:rsidRPr="000349EF">
        <w:t xml:space="preserve"> (0.5%) participants were reported with AESIs</w:t>
      </w:r>
      <w:r w:rsidR="008E6BFD" w:rsidRPr="000349EF">
        <w:t xml:space="preserve">, </w:t>
      </w:r>
      <w:r w:rsidR="00172ACC" w:rsidRPr="000349EF">
        <w:t>neither w</w:t>
      </w:r>
      <w:r w:rsidR="008E6BFD" w:rsidRPr="000349EF">
        <w:t>ere</w:t>
      </w:r>
      <w:r w:rsidR="00172ACC" w:rsidRPr="000349EF">
        <w:t xml:space="preserve"> considered related to </w:t>
      </w:r>
      <w:r w:rsidR="008E6BFD" w:rsidRPr="000349EF">
        <w:t>study vaccine; these AESIs were</w:t>
      </w:r>
      <w:r w:rsidR="00172ACC" w:rsidRPr="000349EF">
        <w:t>:</w:t>
      </w:r>
    </w:p>
    <w:p w14:paraId="505932C6" w14:textId="3C7B9FC1" w:rsidR="003A2385" w:rsidRPr="000349EF" w:rsidRDefault="00172ACC" w:rsidP="003A2385">
      <w:pPr>
        <w:pStyle w:val="ListBullet"/>
      </w:pPr>
      <w:r w:rsidRPr="000349EF">
        <w:t>one event of</w:t>
      </w:r>
      <w:r w:rsidR="008E6BFD" w:rsidRPr="000349EF">
        <w:t xml:space="preserve"> mild</w:t>
      </w:r>
      <w:r w:rsidRPr="000349EF">
        <w:t xml:space="preserve"> bullous impetigo reported in a 6-year-old male on </w:t>
      </w:r>
      <w:r w:rsidR="008E6BFD" w:rsidRPr="000349EF">
        <w:t>s</w:t>
      </w:r>
      <w:r w:rsidRPr="000349EF">
        <w:t>tudy</w:t>
      </w:r>
      <w:r w:rsidR="008E6BFD" w:rsidRPr="000349EF">
        <w:t> </w:t>
      </w:r>
      <w:r w:rsidR="003A2385" w:rsidRPr="000349EF">
        <w:t>D</w:t>
      </w:r>
      <w:r w:rsidRPr="000349EF">
        <w:t>ay</w:t>
      </w:r>
      <w:r w:rsidR="003A2385" w:rsidRPr="000349EF">
        <w:t> </w:t>
      </w:r>
      <w:proofErr w:type="gramStart"/>
      <w:r w:rsidRPr="000349EF">
        <w:t>79</w:t>
      </w:r>
      <w:r w:rsidR="008E6BFD" w:rsidRPr="000349EF">
        <w:t>;</w:t>
      </w:r>
      <w:proofErr w:type="gramEnd"/>
      <w:r w:rsidRPr="000349EF">
        <w:t xml:space="preserve"> and</w:t>
      </w:r>
    </w:p>
    <w:p w14:paraId="0D2144EA" w14:textId="0D7804B4" w:rsidR="00172ACC" w:rsidRPr="000349EF" w:rsidRDefault="00172ACC" w:rsidP="003A2385">
      <w:pPr>
        <w:pStyle w:val="ListBullet"/>
      </w:pPr>
      <w:r w:rsidRPr="000349EF">
        <w:t>one event of ageusia reported in a 11-year-old female 28 days after the most recent dose, with contemporaneous nasal congestion.</w:t>
      </w:r>
    </w:p>
    <w:p w14:paraId="2EF2070E" w14:textId="4F8CFDDE" w:rsidR="00172ACC" w:rsidRPr="000349EF" w:rsidRDefault="002F4CF7" w:rsidP="002F4CF7">
      <w:pPr>
        <w:pStyle w:val="Heading6"/>
        <w:rPr>
          <w:rFonts w:eastAsiaTheme="minorHAnsi"/>
        </w:rPr>
      </w:pPr>
      <w:r w:rsidRPr="000349EF">
        <w:rPr>
          <w:rFonts w:eastAsiaTheme="minorHAnsi"/>
        </w:rPr>
        <w:t xml:space="preserve">Adverse events of special interest </w:t>
      </w:r>
      <w:r w:rsidR="00172ACC" w:rsidRPr="000349EF">
        <w:rPr>
          <w:rFonts w:eastAsiaTheme="minorHAnsi"/>
        </w:rPr>
        <w:t xml:space="preserve">reported in </w:t>
      </w:r>
      <w:r w:rsidR="003A2385" w:rsidRPr="000349EF">
        <w:rPr>
          <w:rFonts w:eastAsiaTheme="minorHAnsi"/>
        </w:rPr>
        <w:t xml:space="preserve">Study P204 </w:t>
      </w:r>
      <w:r w:rsidR="00172ACC" w:rsidRPr="000349EF">
        <w:rPr>
          <w:rFonts w:eastAsiaTheme="minorHAnsi"/>
        </w:rPr>
        <w:t>Part 2</w:t>
      </w:r>
    </w:p>
    <w:p w14:paraId="66269398" w14:textId="77777777" w:rsidR="00172ACC" w:rsidRPr="000349EF" w:rsidRDefault="00172ACC" w:rsidP="002F4CF7">
      <w:pPr>
        <w:pStyle w:val="Heading7"/>
        <w:rPr>
          <w:sz w:val="22"/>
          <w:szCs w:val="28"/>
        </w:rPr>
      </w:pPr>
      <w:r w:rsidRPr="000349EF">
        <w:rPr>
          <w:sz w:val="22"/>
          <w:szCs w:val="28"/>
        </w:rPr>
        <w:t>mRNA-1273 group</w:t>
      </w:r>
    </w:p>
    <w:p w14:paraId="67E2CB20" w14:textId="6DAC820E" w:rsidR="00172ACC" w:rsidRPr="000349EF" w:rsidRDefault="00172ACC" w:rsidP="00172ACC">
      <w:r w:rsidRPr="000349EF">
        <w:t xml:space="preserve">Only one AESI was reported in </w:t>
      </w:r>
      <w:r w:rsidR="003A2385" w:rsidRPr="000349EF">
        <w:t>one</w:t>
      </w:r>
      <w:r w:rsidRPr="000349EF">
        <w:t xml:space="preserve"> (&lt; 0.1%) participant and it occurred within 28 days of any dose: the event of appendicitis was reported in a 7-year-old female. The event occurred on Day 26</w:t>
      </w:r>
      <w:r w:rsidR="00955949" w:rsidRPr="000349EF">
        <w:t xml:space="preserve"> following the first dose of study vaccine</w:t>
      </w:r>
      <w:r w:rsidRPr="000349EF">
        <w:t xml:space="preserve">; the child underwent appendectomy and subsequently recovered. The event was not considered related to study </w:t>
      </w:r>
      <w:r w:rsidR="008E6BFD" w:rsidRPr="000349EF">
        <w:t>vaccine</w:t>
      </w:r>
      <w:r w:rsidRPr="000349EF">
        <w:t xml:space="preserve">. The participant went on to receive the second dose of mRNA-1273 without any </w:t>
      </w:r>
      <w:r w:rsidR="00955949" w:rsidRPr="000349EF">
        <w:t xml:space="preserve">subsequent </w:t>
      </w:r>
      <w:r w:rsidRPr="000349EF">
        <w:t xml:space="preserve">events </w:t>
      </w:r>
      <w:r w:rsidR="00955949" w:rsidRPr="000349EF">
        <w:t xml:space="preserve">being </w:t>
      </w:r>
      <w:r w:rsidRPr="000349EF">
        <w:t>reported.</w:t>
      </w:r>
    </w:p>
    <w:p w14:paraId="2D7A02F9" w14:textId="77777777" w:rsidR="00172ACC" w:rsidRPr="000349EF" w:rsidRDefault="00172ACC" w:rsidP="002F4CF7">
      <w:pPr>
        <w:pStyle w:val="Heading7"/>
        <w:rPr>
          <w:sz w:val="22"/>
          <w:szCs w:val="28"/>
        </w:rPr>
      </w:pPr>
      <w:r w:rsidRPr="000349EF">
        <w:rPr>
          <w:sz w:val="22"/>
          <w:szCs w:val="28"/>
        </w:rPr>
        <w:t>Placebo group</w:t>
      </w:r>
    </w:p>
    <w:p w14:paraId="09C163AF" w14:textId="18B4F3DB" w:rsidR="00172ACC" w:rsidRPr="000349EF" w:rsidRDefault="00172ACC" w:rsidP="00172ACC">
      <w:r w:rsidRPr="000349EF">
        <w:t xml:space="preserve">Only </w:t>
      </w:r>
      <w:r w:rsidR="00806936">
        <w:t>two</w:t>
      </w:r>
      <w:r w:rsidRPr="000349EF">
        <w:t xml:space="preserve"> AESIs were reported: ageusia and anosmia were reported in a single (0.1%) 8</w:t>
      </w:r>
      <w:r w:rsidR="003A2385" w:rsidRPr="000349EF">
        <w:noBreakHyphen/>
      </w:r>
      <w:r w:rsidRPr="000349EF">
        <w:t>year</w:t>
      </w:r>
      <w:r w:rsidR="003A2385" w:rsidRPr="000349EF">
        <w:noBreakHyphen/>
      </w:r>
      <w:r w:rsidRPr="000349EF">
        <w:t xml:space="preserve">old male participant, occurring 11 days after </w:t>
      </w:r>
      <w:r w:rsidR="0077374E" w:rsidRPr="000349EF">
        <w:t>Dose</w:t>
      </w:r>
      <w:r w:rsidR="003A2385" w:rsidRPr="000349EF">
        <w:t> </w:t>
      </w:r>
      <w:r w:rsidR="0077374E" w:rsidRPr="000349EF">
        <w:t>1</w:t>
      </w:r>
      <w:r w:rsidRPr="000349EF">
        <w:t xml:space="preserve">. This event met the CDC case definition and </w:t>
      </w:r>
      <w:r w:rsidR="003A2385" w:rsidRPr="000349EF">
        <w:t xml:space="preserve">Study </w:t>
      </w:r>
      <w:r w:rsidRPr="000349EF">
        <w:t>P301 case definition of COVID-19. The event was not considered related to study IP by the investigator.</w:t>
      </w:r>
    </w:p>
    <w:p w14:paraId="5B19E89F" w14:textId="77777777" w:rsidR="00172ACC" w:rsidRPr="000349EF" w:rsidRDefault="00172ACC" w:rsidP="002F4CF7">
      <w:pPr>
        <w:pStyle w:val="Heading5"/>
        <w:rPr>
          <w:rFonts w:eastAsiaTheme="minorHAnsi"/>
        </w:rPr>
      </w:pPr>
      <w:r w:rsidRPr="000349EF">
        <w:rPr>
          <w:rFonts w:eastAsiaTheme="minorHAnsi"/>
        </w:rPr>
        <w:t>Additional analysis of myocarditis and pericarditis</w:t>
      </w:r>
      <w:bookmarkEnd w:id="77"/>
    </w:p>
    <w:p w14:paraId="64660F77" w14:textId="44A9A526" w:rsidR="00172ACC" w:rsidRPr="000349EF" w:rsidRDefault="00172ACC" w:rsidP="00172ACC">
      <w:r w:rsidRPr="000349EF">
        <w:t xml:space="preserve">Enhanced surveillance for potential cases of myocarditis and pericarditis was implemented in this study following protocol amendment. This was done through additional questions added to the safety call script as well as review of the cardiomyopathy </w:t>
      </w:r>
      <w:r w:rsidR="00D750D0" w:rsidRPr="000349EF">
        <w:t>Standardised Medical Dictionary for Regulatory Activities (MedDRA)</w:t>
      </w:r>
      <w:r w:rsidR="00D750D0" w:rsidRPr="000349EF">
        <w:rPr>
          <w:rStyle w:val="FootnoteReference"/>
        </w:rPr>
        <w:footnoteReference w:id="26"/>
      </w:r>
      <w:r w:rsidR="00D750D0" w:rsidRPr="000349EF">
        <w:t xml:space="preserve"> Queries (</w:t>
      </w:r>
      <w:r w:rsidRPr="000349EF">
        <w:t>SMQ</w:t>
      </w:r>
      <w:r w:rsidR="00D750D0" w:rsidRPr="000349EF">
        <w:t>);</w:t>
      </w:r>
      <w:r w:rsidR="00D750D0" w:rsidRPr="000349EF">
        <w:rPr>
          <w:rStyle w:val="FootnoteReference"/>
        </w:rPr>
        <w:footnoteReference w:id="27"/>
      </w:r>
      <w:r w:rsidRPr="000349EF">
        <w:t xml:space="preserve"> along with specific medical evaluations for potential cases of myocarditis or pericarditis. This analysis did not identify any cases fulfilling the CDC working case definition for cases of acute myocarditis or acute pericarditis. The details </w:t>
      </w:r>
      <w:r w:rsidR="003A2385" w:rsidRPr="000349EF">
        <w:t>are</w:t>
      </w:r>
      <w:r w:rsidRPr="000349EF">
        <w:t xml:space="preserve"> presented below.</w:t>
      </w:r>
    </w:p>
    <w:p w14:paraId="17949136" w14:textId="19144400" w:rsidR="003A2385" w:rsidRPr="000349EF" w:rsidRDefault="003A2385" w:rsidP="003A2385">
      <w:pPr>
        <w:pStyle w:val="Heading6"/>
      </w:pPr>
      <w:r w:rsidRPr="000349EF">
        <w:rPr>
          <w:rFonts w:eastAsiaTheme="minorHAnsi"/>
        </w:rPr>
        <w:t xml:space="preserve">Study P204 </w:t>
      </w:r>
      <w:r w:rsidR="00172ACC" w:rsidRPr="000349EF">
        <w:t>Part 1</w:t>
      </w:r>
    </w:p>
    <w:p w14:paraId="66D31F9D" w14:textId="06848A4F" w:rsidR="00172ACC" w:rsidRPr="000349EF" w:rsidRDefault="003A2385" w:rsidP="00172ACC">
      <w:r w:rsidRPr="000349EF">
        <w:t>I</w:t>
      </w:r>
      <w:r w:rsidR="00172ACC" w:rsidRPr="000349EF">
        <w:t xml:space="preserve">n Part 1, this analysis identified </w:t>
      </w:r>
      <w:r w:rsidR="00806936">
        <w:t>two</w:t>
      </w:r>
      <w:r w:rsidR="00172ACC" w:rsidRPr="000349EF">
        <w:t xml:space="preserve"> participants with relevant PT</w:t>
      </w:r>
      <w:r w:rsidR="00955949" w:rsidRPr="000349EF">
        <w:t>s</w:t>
      </w:r>
      <w:r w:rsidR="00172ACC" w:rsidRPr="000349EF">
        <w:t>, one in the 50</w:t>
      </w:r>
      <w:r w:rsidRPr="000349EF">
        <w:t> </w:t>
      </w:r>
      <w:proofErr w:type="spellStart"/>
      <w:r w:rsidR="00172ACC" w:rsidRPr="000349EF">
        <w:t>μg</w:t>
      </w:r>
      <w:proofErr w:type="spellEnd"/>
      <w:r w:rsidR="00172ACC" w:rsidRPr="000349EF">
        <w:t xml:space="preserve"> group and one in the 100 </w:t>
      </w:r>
      <w:proofErr w:type="spellStart"/>
      <w:r w:rsidR="00172ACC" w:rsidRPr="000349EF">
        <w:t>μg</w:t>
      </w:r>
      <w:proofErr w:type="spellEnd"/>
      <w:r w:rsidR="00172ACC" w:rsidRPr="000349EF">
        <w:t xml:space="preserve"> group. One report of chest discomfort was reported in a 9</w:t>
      </w:r>
      <w:r w:rsidRPr="000349EF">
        <w:noBreakHyphen/>
      </w:r>
      <w:r w:rsidR="00172ACC" w:rsidRPr="000349EF">
        <w:t>year</w:t>
      </w:r>
      <w:r w:rsidRPr="000349EF">
        <w:noBreakHyphen/>
      </w:r>
      <w:r w:rsidR="00172ACC" w:rsidRPr="000349EF">
        <w:t xml:space="preserve">old male in the 100 </w:t>
      </w:r>
      <w:proofErr w:type="spellStart"/>
      <w:r w:rsidR="00172ACC" w:rsidRPr="000349EF">
        <w:t>μg</w:t>
      </w:r>
      <w:proofErr w:type="spellEnd"/>
      <w:r w:rsidR="00172ACC" w:rsidRPr="000349EF">
        <w:t xml:space="preserve"> group </w:t>
      </w:r>
      <w:r w:rsidR="00806936">
        <w:t>two</w:t>
      </w:r>
      <w:r w:rsidR="00172ACC" w:rsidRPr="000349EF">
        <w:t xml:space="preserve"> days post-</w:t>
      </w:r>
      <w:r w:rsidR="0077374E" w:rsidRPr="000349EF">
        <w:t>Dose</w:t>
      </w:r>
      <w:r w:rsidRPr="000349EF">
        <w:t> </w:t>
      </w:r>
      <w:r w:rsidR="0077374E" w:rsidRPr="000349EF">
        <w:t>2</w:t>
      </w:r>
      <w:r w:rsidR="00955949" w:rsidRPr="000349EF">
        <w:t>; and o</w:t>
      </w:r>
      <w:r w:rsidR="00172ACC" w:rsidRPr="000349EF">
        <w:t xml:space="preserve">ne </w:t>
      </w:r>
      <w:r w:rsidR="00955949" w:rsidRPr="000349EF">
        <w:t xml:space="preserve">event of </w:t>
      </w:r>
      <w:r w:rsidR="00172ACC" w:rsidRPr="000349EF">
        <w:t xml:space="preserve">musculoskeletal chest pain was reported in a 10-year-old male in the 50 </w:t>
      </w:r>
      <w:proofErr w:type="spellStart"/>
      <w:r w:rsidR="00172ACC" w:rsidRPr="000349EF">
        <w:t>μg</w:t>
      </w:r>
      <w:proofErr w:type="spellEnd"/>
      <w:r w:rsidR="00172ACC" w:rsidRPr="000349EF">
        <w:t xml:space="preserve"> group, occurring 90 days post</w:t>
      </w:r>
      <w:r w:rsidR="00955949" w:rsidRPr="000349EF">
        <w:noBreakHyphen/>
      </w:r>
      <w:r w:rsidR="0077374E" w:rsidRPr="000349EF">
        <w:t>Dose</w:t>
      </w:r>
      <w:r w:rsidRPr="000349EF">
        <w:t> </w:t>
      </w:r>
      <w:r w:rsidR="0077374E" w:rsidRPr="000349EF">
        <w:t>2</w:t>
      </w:r>
      <w:r w:rsidR="00172ACC" w:rsidRPr="000349EF">
        <w:t xml:space="preserve">. This participant was evaluated at the emergency department the following day where myocarditis was ruled out based on a normal </w:t>
      </w:r>
      <w:r w:rsidRPr="000349EF">
        <w:t xml:space="preserve">electrocardiogram </w:t>
      </w:r>
      <w:r w:rsidR="00172ACC" w:rsidRPr="000349EF">
        <w:t xml:space="preserve">and a diagnosis of non-cardiac chest pressure related to worsening </w:t>
      </w:r>
      <w:r w:rsidR="00172ACC" w:rsidRPr="000349EF">
        <w:lastRenderedPageBreak/>
        <w:t xml:space="preserve">anxiety was made. The event was considered not related to </w:t>
      </w:r>
      <w:r w:rsidR="00955949" w:rsidRPr="000349EF">
        <w:t>study vaccine</w:t>
      </w:r>
      <w:r w:rsidR="00172ACC" w:rsidRPr="000349EF">
        <w:t>. The event resolved and was considered mild and nonserious.</w:t>
      </w:r>
    </w:p>
    <w:p w14:paraId="2E7A2896" w14:textId="77777777" w:rsidR="003A2385" w:rsidRPr="000349EF" w:rsidRDefault="003A2385" w:rsidP="00221451">
      <w:r w:rsidRPr="000349EF">
        <w:rPr>
          <w:rFonts w:eastAsiaTheme="minorHAnsi"/>
        </w:rPr>
        <w:t xml:space="preserve">Study P204 </w:t>
      </w:r>
      <w:r w:rsidR="00172ACC" w:rsidRPr="000349EF">
        <w:t>Part 2</w:t>
      </w:r>
    </w:p>
    <w:p w14:paraId="0F9CCE3D" w14:textId="7D09A9C4" w:rsidR="003A2385" w:rsidRPr="000349EF" w:rsidRDefault="003A2385" w:rsidP="00221451">
      <w:r w:rsidRPr="000349EF">
        <w:t>T</w:t>
      </w:r>
      <w:r w:rsidR="00172ACC" w:rsidRPr="000349EF">
        <w:t xml:space="preserve">his analysis identified </w:t>
      </w:r>
      <w:r w:rsidR="00806936">
        <w:t>five</w:t>
      </w:r>
      <w:r w:rsidR="00172ACC" w:rsidRPr="000349EF">
        <w:t xml:space="preserve"> children with relevant PTs, all in the mRNA-1273 group, </w:t>
      </w:r>
      <w:r w:rsidRPr="000349EF">
        <w:t>one</w:t>
      </w:r>
      <w:r w:rsidR="00172ACC" w:rsidRPr="000349EF">
        <w:t xml:space="preserve"> with angina pectoris, </w:t>
      </w:r>
      <w:r w:rsidR="00806936">
        <w:t>two</w:t>
      </w:r>
      <w:r w:rsidR="00172ACC" w:rsidRPr="000349EF">
        <w:t xml:space="preserve"> with chest discomfort and </w:t>
      </w:r>
      <w:r w:rsidR="00806936">
        <w:t>two</w:t>
      </w:r>
      <w:r w:rsidR="00172ACC" w:rsidRPr="000349EF">
        <w:t xml:space="preserve"> with musculoskeletal chest pain. The one report of angina pectoris was in a 10-year-old male, the event occurred on the day of </w:t>
      </w:r>
      <w:r w:rsidR="0077374E" w:rsidRPr="000349EF">
        <w:t>Dose</w:t>
      </w:r>
      <w:r w:rsidRPr="000349EF">
        <w:t> </w:t>
      </w:r>
      <w:r w:rsidR="0077374E" w:rsidRPr="000349EF">
        <w:t>1</w:t>
      </w:r>
      <w:r w:rsidR="00172ACC" w:rsidRPr="000349EF">
        <w:t xml:space="preserve"> and resolved on the same day. His troponin, </w:t>
      </w:r>
      <w:r w:rsidRPr="000349EF">
        <w:t>electrocardiogram</w:t>
      </w:r>
      <w:r w:rsidR="00172ACC" w:rsidRPr="000349EF">
        <w:t xml:space="preserve"> and echocardiogram were all within normal limits and myocarditis was excluded. The </w:t>
      </w:r>
      <w:r w:rsidR="00806936">
        <w:t>two</w:t>
      </w:r>
      <w:r w:rsidRPr="000349EF">
        <w:t> </w:t>
      </w:r>
      <w:r w:rsidR="00172ACC" w:rsidRPr="000349EF">
        <w:t xml:space="preserve">reports of chest discomfort were </w:t>
      </w:r>
      <w:r w:rsidR="00955949" w:rsidRPr="000349EF">
        <w:t>as follows:</w:t>
      </w:r>
    </w:p>
    <w:p w14:paraId="0B656C82" w14:textId="704FD278" w:rsidR="003A2385" w:rsidRPr="000349EF" w:rsidRDefault="003A2385" w:rsidP="003A2385">
      <w:pPr>
        <w:pStyle w:val="ListBullet"/>
      </w:pPr>
      <w:r w:rsidRPr="000349EF">
        <w:t>A</w:t>
      </w:r>
      <w:r w:rsidR="00172ACC" w:rsidRPr="000349EF">
        <w:t xml:space="preserve"> 9-year-old male with a history of anxiety reported chest discomfort on the day of </w:t>
      </w:r>
      <w:r w:rsidR="0077374E" w:rsidRPr="000349EF">
        <w:t>Dose</w:t>
      </w:r>
      <w:r w:rsidRPr="000349EF">
        <w:t> </w:t>
      </w:r>
      <w:r w:rsidR="0077374E" w:rsidRPr="000349EF">
        <w:t>1</w:t>
      </w:r>
      <w:r w:rsidR="00172ACC" w:rsidRPr="000349EF">
        <w:t xml:space="preserve"> which lasted for </w:t>
      </w:r>
      <w:r w:rsidR="00806936">
        <w:t>two</w:t>
      </w:r>
      <w:r w:rsidR="00172ACC" w:rsidRPr="000349EF">
        <w:t xml:space="preserve"> days. He had a normal </w:t>
      </w:r>
      <w:r w:rsidRPr="000349EF">
        <w:t>electrocardiogram</w:t>
      </w:r>
      <w:r w:rsidR="00172ACC" w:rsidRPr="000349EF">
        <w:t xml:space="preserve"> </w:t>
      </w:r>
      <w:r w:rsidR="00806936">
        <w:t>two</w:t>
      </w:r>
      <w:r w:rsidR="00172ACC" w:rsidRPr="000349EF">
        <w:t xml:space="preserve"> days </w:t>
      </w:r>
      <w:r w:rsidR="0077374E" w:rsidRPr="000349EF">
        <w:t>post</w:t>
      </w:r>
      <w:r w:rsidR="003167C2">
        <w:noBreakHyphen/>
      </w:r>
      <w:r w:rsidR="0077374E" w:rsidRPr="000349EF">
        <w:t>Dose</w:t>
      </w:r>
      <w:r w:rsidRPr="000349EF">
        <w:t> </w:t>
      </w:r>
      <w:r w:rsidR="0077374E" w:rsidRPr="000349EF">
        <w:t>1</w:t>
      </w:r>
      <w:r w:rsidR="00172ACC" w:rsidRPr="000349EF">
        <w:t>. A diagnosis of non-cardiac chest pressure related to worsening anxiety was made. The event was considered not related</w:t>
      </w:r>
      <w:r w:rsidR="00EA6F46" w:rsidRPr="000349EF">
        <w:t xml:space="preserve"> to study vaccine</w:t>
      </w:r>
      <w:r w:rsidRPr="000349EF">
        <w:t>.</w:t>
      </w:r>
    </w:p>
    <w:p w14:paraId="679C9E9C" w14:textId="414A359D" w:rsidR="003A2385" w:rsidRPr="000349EF" w:rsidRDefault="003A2385" w:rsidP="003A2385">
      <w:pPr>
        <w:pStyle w:val="ListBullet"/>
      </w:pPr>
      <w:r w:rsidRPr="000349EF">
        <w:t>A</w:t>
      </w:r>
      <w:r w:rsidR="00172ACC" w:rsidRPr="000349EF">
        <w:t xml:space="preserve"> 10-years</w:t>
      </w:r>
      <w:r w:rsidRPr="000349EF">
        <w:t>-</w:t>
      </w:r>
      <w:r w:rsidR="00172ACC" w:rsidRPr="000349EF">
        <w:t xml:space="preserve">old female reported chest discomfort occurring </w:t>
      </w:r>
      <w:r w:rsidR="00806936">
        <w:t>five</w:t>
      </w:r>
      <w:r w:rsidR="00172ACC" w:rsidRPr="000349EF">
        <w:t xml:space="preserve"> days post-</w:t>
      </w:r>
      <w:r w:rsidR="0077374E" w:rsidRPr="000349EF">
        <w:t>Dose</w:t>
      </w:r>
      <w:r w:rsidRPr="000349EF">
        <w:t> </w:t>
      </w:r>
      <w:r w:rsidR="0077374E" w:rsidRPr="000349EF">
        <w:t>2</w:t>
      </w:r>
      <w:r w:rsidR="00172ACC" w:rsidRPr="000349EF">
        <w:t>, resolv</w:t>
      </w:r>
      <w:r w:rsidR="00EA6F46" w:rsidRPr="000349EF">
        <w:t>ing</w:t>
      </w:r>
      <w:r w:rsidR="00172ACC" w:rsidRPr="000349EF">
        <w:t xml:space="preserve"> within 24 </w:t>
      </w:r>
      <w:proofErr w:type="gramStart"/>
      <w:r w:rsidR="00172ACC" w:rsidRPr="000349EF">
        <w:t>hours</w:t>
      </w:r>
      <w:proofErr w:type="gramEnd"/>
      <w:r w:rsidR="00172ACC" w:rsidRPr="000349EF">
        <w:t xml:space="preserve"> and was considered not related to </w:t>
      </w:r>
      <w:r w:rsidR="00EA6F46" w:rsidRPr="000349EF">
        <w:t xml:space="preserve">study </w:t>
      </w:r>
      <w:r w:rsidR="00172ACC" w:rsidRPr="000349EF">
        <w:t>vaccine.</w:t>
      </w:r>
    </w:p>
    <w:p w14:paraId="45DC6C9B" w14:textId="56F790CA" w:rsidR="003A2385" w:rsidRPr="000349EF" w:rsidRDefault="00172ACC" w:rsidP="003A2385">
      <w:r w:rsidRPr="000349EF">
        <w:t xml:space="preserve">The </w:t>
      </w:r>
      <w:r w:rsidR="00806936">
        <w:t>two</w:t>
      </w:r>
      <w:r w:rsidRPr="000349EF">
        <w:t xml:space="preserve"> reports of musculoskeletal chest pain were </w:t>
      </w:r>
      <w:r w:rsidR="00EA6F46" w:rsidRPr="000349EF">
        <w:t>as follows</w:t>
      </w:r>
      <w:r w:rsidRPr="000349EF">
        <w:t>:</w:t>
      </w:r>
    </w:p>
    <w:p w14:paraId="03316278" w14:textId="3F5D7AC9" w:rsidR="003A2385" w:rsidRPr="000349EF" w:rsidRDefault="003A2385" w:rsidP="003A2385">
      <w:pPr>
        <w:pStyle w:val="ListBullet"/>
      </w:pPr>
      <w:r w:rsidRPr="000349EF">
        <w:t>A</w:t>
      </w:r>
      <w:r w:rsidR="00172ACC" w:rsidRPr="000349EF">
        <w:t xml:space="preserve">n 8-year-old boy with concurrent history of </w:t>
      </w:r>
      <w:r w:rsidRPr="000349EF">
        <w:t>upper respiratory tract infections</w:t>
      </w:r>
      <w:r w:rsidR="00172ACC" w:rsidRPr="000349EF">
        <w:t>, fever and concomitant medications of azithromycin, Benadryl</w:t>
      </w:r>
      <w:r w:rsidR="00EA6F46" w:rsidRPr="000349EF">
        <w:t xml:space="preserve"> (diphenhydramine)</w:t>
      </w:r>
      <w:r w:rsidR="00172ACC" w:rsidRPr="000349EF">
        <w:t xml:space="preserve"> and Mucinex</w:t>
      </w:r>
      <w:r w:rsidR="00EA6F46" w:rsidRPr="000349EF">
        <w:t xml:space="preserve"> (guaifenesin)</w:t>
      </w:r>
      <w:r w:rsidR="00172ACC" w:rsidRPr="000349EF">
        <w:t>, reported musculoskeletal chest pain occurring 13 days post</w:t>
      </w:r>
      <w:r w:rsidR="00EA6F46" w:rsidRPr="000349EF">
        <w:noBreakHyphen/>
      </w:r>
      <w:r w:rsidR="0077374E" w:rsidRPr="000349EF">
        <w:t>Dose 2</w:t>
      </w:r>
      <w:r w:rsidR="00172ACC" w:rsidRPr="000349EF">
        <w:t xml:space="preserve"> which resolved the following day. The boy was evaluated by his paediatrician who determined that the event was unlikely to be due to cardiac origin</w:t>
      </w:r>
      <w:r w:rsidRPr="000349EF">
        <w:t>.</w:t>
      </w:r>
    </w:p>
    <w:p w14:paraId="0EAD1817" w14:textId="003C3F2D" w:rsidR="00172ACC" w:rsidRPr="000349EF" w:rsidRDefault="003A2385" w:rsidP="003A2385">
      <w:pPr>
        <w:pStyle w:val="ListBullet"/>
      </w:pPr>
      <w:r w:rsidRPr="000349EF">
        <w:t>A</w:t>
      </w:r>
      <w:r w:rsidR="00172ACC" w:rsidRPr="000349EF">
        <w:t xml:space="preserve"> second report was </w:t>
      </w:r>
      <w:r w:rsidR="00EA6F46" w:rsidRPr="000349EF">
        <w:t xml:space="preserve">in </w:t>
      </w:r>
      <w:r w:rsidR="00172ACC" w:rsidRPr="000349EF">
        <w:t xml:space="preserve">a 7-year-old boy with history of chronic lung disease, retinopathy of prematurity, </w:t>
      </w:r>
      <w:proofErr w:type="gramStart"/>
      <w:r w:rsidR="00172ACC" w:rsidRPr="000349EF">
        <w:t>asthma</w:t>
      </w:r>
      <w:proofErr w:type="gramEnd"/>
      <w:r w:rsidR="00172ACC" w:rsidRPr="000349EF">
        <w:t xml:space="preserve"> and autism, who reported the event 22 days post</w:t>
      </w:r>
      <w:r w:rsidR="00EA6F46" w:rsidRPr="000349EF">
        <w:noBreakHyphen/>
      </w:r>
      <w:r w:rsidR="0077374E" w:rsidRPr="000349EF">
        <w:t>Dose</w:t>
      </w:r>
      <w:r w:rsidRPr="000349EF">
        <w:t> </w:t>
      </w:r>
      <w:r w:rsidR="0077374E" w:rsidRPr="000349EF">
        <w:t>2</w:t>
      </w:r>
      <w:r w:rsidR="00172ACC" w:rsidRPr="000349EF">
        <w:t>.</w:t>
      </w:r>
    </w:p>
    <w:p w14:paraId="7857EF1D" w14:textId="77777777" w:rsidR="008E7846" w:rsidRPr="000349EF" w:rsidRDefault="00386150" w:rsidP="007B6132">
      <w:pPr>
        <w:pStyle w:val="Heading3"/>
        <w:rPr>
          <w:lang w:eastAsia="en-AU"/>
        </w:rPr>
      </w:pPr>
      <w:bookmarkStart w:id="78" w:name="_Toc96518185"/>
      <w:r w:rsidRPr="000349EF">
        <w:rPr>
          <w:lang w:eastAsia="en-AU"/>
        </w:rPr>
        <w:t>Risk m</w:t>
      </w:r>
      <w:r w:rsidR="008E7846" w:rsidRPr="000349EF">
        <w:rPr>
          <w:lang w:eastAsia="en-AU"/>
        </w:rPr>
        <w:t xml:space="preserve">anagement </w:t>
      </w:r>
      <w:r w:rsidRPr="000349EF">
        <w:rPr>
          <w:lang w:eastAsia="en-AU"/>
        </w:rPr>
        <w:t>p</w:t>
      </w:r>
      <w:r w:rsidR="008E7846" w:rsidRPr="000349EF">
        <w:rPr>
          <w:lang w:eastAsia="en-AU"/>
        </w:rPr>
        <w:t>lan</w:t>
      </w:r>
      <w:bookmarkEnd w:id="44"/>
      <w:bookmarkEnd w:id="78"/>
    </w:p>
    <w:p w14:paraId="3C4EEFDF" w14:textId="0C53D8DB" w:rsidR="00065E3F" w:rsidRPr="000349EF" w:rsidRDefault="00065E3F" w:rsidP="0028643E">
      <w:r w:rsidRPr="000349EF">
        <w:t>The most recently evaluated EU-risk management plan (RMP) was version 2.3 (</w:t>
      </w:r>
      <w:bookmarkStart w:id="79" w:name="_Hlk95746874"/>
      <w:r w:rsidR="00312650" w:rsidRPr="000349EF">
        <w:t xml:space="preserve">dated </w:t>
      </w:r>
      <w:r w:rsidR="00296B01" w:rsidRPr="000349EF">
        <w:t>28 October 2021</w:t>
      </w:r>
      <w:r w:rsidRPr="000349EF">
        <w:t xml:space="preserve">; data lock point (DLP) 30 June 2021) </w:t>
      </w:r>
      <w:bookmarkEnd w:id="79"/>
      <w:r w:rsidRPr="000349EF">
        <w:t>and Australia specific annex (ASA) version 1.</w:t>
      </w:r>
      <w:r w:rsidR="001C7B1E">
        <w:t>1</w:t>
      </w:r>
      <w:r w:rsidRPr="000349EF">
        <w:t xml:space="preserve"> (dated </w:t>
      </w:r>
      <w:r w:rsidR="00296B01" w:rsidRPr="000349EF">
        <w:t>5 November 2021</w:t>
      </w:r>
      <w:r w:rsidRPr="000349EF">
        <w:t>)</w:t>
      </w:r>
      <w:r w:rsidR="00296B01" w:rsidRPr="000349EF">
        <w:t xml:space="preserve"> in relation to Submission PM-2021-05131-1-2</w:t>
      </w:r>
      <w:r w:rsidRPr="000349EF">
        <w:t>. In support of the extended indications, the sponsor has submitted EU</w:t>
      </w:r>
      <w:r w:rsidRPr="000349EF">
        <w:noBreakHyphen/>
        <w:t>RMP version 1.3 (dated 17 January 2022; DLP 6 October 2021), which included information on 6 to &lt; 12 years old population. However, a corresponding ASA was not provided. The sponsor committed to updating and submitting the ASA in line with the revised EU-RMP at the earliest opportunity. For this submission, EU-RMP version 2.3 and ASA version 1.</w:t>
      </w:r>
      <w:r w:rsidR="00312650" w:rsidRPr="000349EF">
        <w:t>2</w:t>
      </w:r>
      <w:r w:rsidRPr="000349EF">
        <w:t xml:space="preserve"> have been considered as these documents contain the key information regarding the safety concerns required by the TGA.</w:t>
      </w:r>
    </w:p>
    <w:p w14:paraId="3B551035" w14:textId="36D53DEA" w:rsidR="00065E3F" w:rsidRPr="000349EF" w:rsidRDefault="00065E3F" w:rsidP="0028643E">
      <w:r w:rsidRPr="000349EF">
        <w:t>As soon as the consolidated EU-RMP version 3.0 is finalised the sponsor should provide it to the TGA with an accompanying ASA.</w:t>
      </w:r>
    </w:p>
    <w:p w14:paraId="3CEFA43D" w14:textId="016478B6" w:rsidR="007D53B6" w:rsidRPr="000349EF" w:rsidRDefault="007D53B6" w:rsidP="007D53B6">
      <w:r w:rsidRPr="000349EF">
        <w:t xml:space="preserve">The summary of safety concerns and their associated risk monitoring and mitigation strategies are summarised in </w:t>
      </w:r>
      <w:r w:rsidR="006F322A" w:rsidRPr="000349EF">
        <w:fldChar w:fldCharType="begin"/>
      </w:r>
      <w:r w:rsidR="006F322A" w:rsidRPr="000349EF">
        <w:instrText xml:space="preserve"> REF _Ref90912102 \h </w:instrText>
      </w:r>
      <w:r w:rsidR="008C1E85" w:rsidRPr="000349EF">
        <w:instrText xml:space="preserve"> \* MERGEFORMAT </w:instrText>
      </w:r>
      <w:r w:rsidR="006F322A" w:rsidRPr="000349EF">
        <w:fldChar w:fldCharType="separate"/>
      </w:r>
      <w:r w:rsidR="00235E4B" w:rsidRPr="000349EF">
        <w:t xml:space="preserve">Table </w:t>
      </w:r>
      <w:r w:rsidR="00235E4B" w:rsidRPr="00235E4B">
        <w:rPr>
          <w:noProof/>
        </w:rPr>
        <w:t>21</w:t>
      </w:r>
      <w:r w:rsidR="006F322A" w:rsidRPr="000349EF">
        <w:fldChar w:fldCharType="end"/>
      </w:r>
      <w:r w:rsidRPr="000349EF">
        <w:t>.</w:t>
      </w:r>
      <w:r w:rsidRPr="000349EF">
        <w:rPr>
          <w:rStyle w:val="FootnoteReference"/>
        </w:rPr>
        <w:footnoteReference w:id="28"/>
      </w:r>
    </w:p>
    <w:p w14:paraId="6DF44688" w14:textId="039CCA0A" w:rsidR="006F322A" w:rsidRPr="000349EF" w:rsidRDefault="006F322A" w:rsidP="0028643E">
      <w:pPr>
        <w:pStyle w:val="TableTitle"/>
        <w:rPr>
          <w:color w:val="FF0000"/>
        </w:rPr>
      </w:pPr>
      <w:bookmarkStart w:id="80" w:name="_Ref90912102"/>
      <w:r w:rsidRPr="000349EF">
        <w:lastRenderedPageBreak/>
        <w:t xml:space="preserve">Table </w:t>
      </w:r>
      <w:r w:rsidR="004A25A4" w:rsidRPr="000349EF">
        <w:rPr>
          <w:b w:val="0"/>
        </w:rPr>
        <w:fldChar w:fldCharType="begin"/>
      </w:r>
      <w:r w:rsidR="004A25A4" w:rsidRPr="000349EF">
        <w:rPr>
          <w:b w:val="0"/>
        </w:rPr>
        <w:instrText xml:space="preserve"> SEQ Table \* ARABIC </w:instrText>
      </w:r>
      <w:r w:rsidR="004A25A4" w:rsidRPr="000349EF">
        <w:rPr>
          <w:b w:val="0"/>
        </w:rPr>
        <w:fldChar w:fldCharType="separate"/>
      </w:r>
      <w:r w:rsidR="00235E4B">
        <w:rPr>
          <w:b w:val="0"/>
          <w:noProof/>
        </w:rPr>
        <w:t>21</w:t>
      </w:r>
      <w:r w:rsidR="004A25A4" w:rsidRPr="000349EF">
        <w:rPr>
          <w:b w:val="0"/>
          <w:noProof/>
        </w:rPr>
        <w:fldChar w:fldCharType="end"/>
      </w:r>
      <w:bookmarkEnd w:id="80"/>
      <w:r w:rsidRPr="000349EF">
        <w:t>: Summary of safety concerns</w:t>
      </w:r>
    </w:p>
    <w:tbl>
      <w:tblPr>
        <w:tblStyle w:val="TableTGAblue"/>
        <w:tblW w:w="8075" w:type="dxa"/>
        <w:tblLayout w:type="fixed"/>
        <w:tblLook w:val="04A0" w:firstRow="1" w:lastRow="0" w:firstColumn="1" w:lastColumn="0" w:noHBand="0" w:noVBand="1"/>
      </w:tblPr>
      <w:tblGrid>
        <w:gridCol w:w="1413"/>
        <w:gridCol w:w="2387"/>
        <w:gridCol w:w="966"/>
        <w:gridCol w:w="1103"/>
        <w:gridCol w:w="966"/>
        <w:gridCol w:w="1240"/>
      </w:tblGrid>
      <w:tr w:rsidR="00065E3F" w:rsidRPr="000349EF" w14:paraId="28404FBC" w14:textId="77777777" w:rsidTr="0028643E">
        <w:trPr>
          <w:cnfStyle w:val="100000000000" w:firstRow="1" w:lastRow="0" w:firstColumn="0" w:lastColumn="0" w:oddVBand="0" w:evenVBand="0" w:oddHBand="0" w:evenHBand="0" w:firstRowFirstColumn="0" w:firstRowLastColumn="0" w:lastRowFirstColumn="0" w:lastRowLastColumn="0"/>
          <w:trHeight w:val="131"/>
        </w:trPr>
        <w:tc>
          <w:tcPr>
            <w:tcW w:w="3800" w:type="dxa"/>
            <w:gridSpan w:val="2"/>
            <w:vMerge w:val="restart"/>
            <w:tcBorders>
              <w:top w:val="single" w:sz="4" w:space="0" w:color="auto"/>
              <w:left w:val="single" w:sz="4" w:space="0" w:color="auto"/>
              <w:bottom w:val="single" w:sz="4" w:space="0" w:color="auto"/>
              <w:right w:val="single" w:sz="4" w:space="0" w:color="auto"/>
            </w:tcBorders>
          </w:tcPr>
          <w:p w14:paraId="36667442" w14:textId="77777777" w:rsidR="00065E3F" w:rsidRPr="000349EF" w:rsidRDefault="00065E3F" w:rsidP="0028643E">
            <w:pPr>
              <w:pStyle w:val="Tabletext"/>
              <w:ind w:left="0" w:right="0"/>
            </w:pPr>
            <w:r w:rsidRPr="000349EF">
              <w:t>Summary of safety concerns</w:t>
            </w:r>
          </w:p>
        </w:tc>
        <w:tc>
          <w:tcPr>
            <w:tcW w:w="2069" w:type="dxa"/>
            <w:gridSpan w:val="2"/>
            <w:tcBorders>
              <w:top w:val="single" w:sz="4" w:space="0" w:color="auto"/>
              <w:left w:val="single" w:sz="4" w:space="0" w:color="auto"/>
              <w:bottom w:val="single" w:sz="4" w:space="0" w:color="auto"/>
              <w:right w:val="single" w:sz="4" w:space="0" w:color="auto"/>
            </w:tcBorders>
          </w:tcPr>
          <w:p w14:paraId="1386D7B4" w14:textId="77777777" w:rsidR="00065E3F" w:rsidRPr="000349EF" w:rsidRDefault="00065E3F" w:rsidP="0028643E">
            <w:pPr>
              <w:pStyle w:val="Tabletext"/>
              <w:ind w:left="0" w:right="0"/>
              <w:rPr>
                <w:sz w:val="18"/>
              </w:rPr>
            </w:pPr>
            <w:r w:rsidRPr="000349EF">
              <w:rPr>
                <w:sz w:val="18"/>
              </w:rPr>
              <w:t>Pharmacovigilance</w:t>
            </w:r>
          </w:p>
        </w:tc>
        <w:tc>
          <w:tcPr>
            <w:tcW w:w="2206" w:type="dxa"/>
            <w:gridSpan w:val="2"/>
            <w:tcBorders>
              <w:top w:val="single" w:sz="4" w:space="0" w:color="auto"/>
              <w:left w:val="single" w:sz="4" w:space="0" w:color="auto"/>
              <w:bottom w:val="single" w:sz="4" w:space="0" w:color="auto"/>
              <w:right w:val="single" w:sz="4" w:space="0" w:color="auto"/>
            </w:tcBorders>
          </w:tcPr>
          <w:p w14:paraId="370DD20F" w14:textId="185EF26A" w:rsidR="00065E3F" w:rsidRPr="000349EF" w:rsidRDefault="00065E3F" w:rsidP="0028643E">
            <w:pPr>
              <w:pStyle w:val="Tabletext"/>
              <w:ind w:left="0" w:right="0"/>
              <w:rPr>
                <w:sz w:val="18"/>
              </w:rPr>
            </w:pPr>
            <w:r w:rsidRPr="000349EF">
              <w:rPr>
                <w:sz w:val="18"/>
              </w:rPr>
              <w:t>Risk minimisation</w:t>
            </w:r>
          </w:p>
        </w:tc>
      </w:tr>
      <w:tr w:rsidR="00065E3F" w:rsidRPr="000349EF" w14:paraId="7C12F228" w14:textId="77777777" w:rsidTr="0028643E">
        <w:trPr>
          <w:trHeight w:val="150"/>
        </w:trPr>
        <w:tc>
          <w:tcPr>
            <w:tcW w:w="3800" w:type="dxa"/>
            <w:gridSpan w:val="2"/>
            <w:vMerge/>
            <w:tcBorders>
              <w:top w:val="single" w:sz="4" w:space="0" w:color="auto"/>
              <w:left w:val="single" w:sz="4" w:space="0" w:color="auto"/>
              <w:bottom w:val="single" w:sz="4" w:space="0" w:color="auto"/>
              <w:right w:val="single" w:sz="4" w:space="0" w:color="auto"/>
            </w:tcBorders>
            <w:shd w:val="clear" w:color="auto" w:fill="006DA7"/>
          </w:tcPr>
          <w:p w14:paraId="463FA14F" w14:textId="77777777" w:rsidR="00065E3F" w:rsidRPr="000349EF" w:rsidRDefault="00065E3F" w:rsidP="0028643E">
            <w:pPr>
              <w:pStyle w:val="Tabletext"/>
              <w:ind w:left="0" w:right="0"/>
              <w:rPr>
                <w:b/>
                <w:color w:val="FFFFFF" w:themeColor="background1"/>
              </w:rPr>
            </w:pPr>
          </w:p>
        </w:tc>
        <w:tc>
          <w:tcPr>
            <w:tcW w:w="966" w:type="dxa"/>
            <w:tcBorders>
              <w:top w:val="single" w:sz="4" w:space="0" w:color="auto"/>
              <w:left w:val="single" w:sz="4" w:space="0" w:color="auto"/>
              <w:bottom w:val="single" w:sz="4" w:space="0" w:color="auto"/>
              <w:right w:val="single" w:sz="4" w:space="0" w:color="auto"/>
            </w:tcBorders>
            <w:shd w:val="clear" w:color="auto" w:fill="006DA7"/>
          </w:tcPr>
          <w:p w14:paraId="121C2E84" w14:textId="77777777" w:rsidR="00065E3F" w:rsidRPr="000349EF" w:rsidRDefault="00065E3F" w:rsidP="0028643E">
            <w:pPr>
              <w:pStyle w:val="Tabletext"/>
              <w:ind w:left="0" w:right="0"/>
              <w:rPr>
                <w:b/>
                <w:color w:val="FFFFFF" w:themeColor="background1"/>
                <w:sz w:val="18"/>
              </w:rPr>
            </w:pPr>
            <w:r w:rsidRPr="000349EF">
              <w:rPr>
                <w:b/>
                <w:color w:val="FFFFFF" w:themeColor="background1"/>
                <w:sz w:val="18"/>
              </w:rPr>
              <w:t>Routine</w:t>
            </w:r>
          </w:p>
        </w:tc>
        <w:tc>
          <w:tcPr>
            <w:tcW w:w="1103" w:type="dxa"/>
            <w:tcBorders>
              <w:top w:val="single" w:sz="4" w:space="0" w:color="auto"/>
              <w:left w:val="single" w:sz="4" w:space="0" w:color="auto"/>
              <w:bottom w:val="single" w:sz="4" w:space="0" w:color="auto"/>
              <w:right w:val="single" w:sz="4" w:space="0" w:color="auto"/>
            </w:tcBorders>
            <w:shd w:val="clear" w:color="auto" w:fill="006DA7"/>
          </w:tcPr>
          <w:p w14:paraId="5E31371F" w14:textId="77777777" w:rsidR="00065E3F" w:rsidRPr="000349EF" w:rsidRDefault="00065E3F" w:rsidP="0028643E">
            <w:pPr>
              <w:pStyle w:val="Tabletext"/>
              <w:ind w:left="0" w:right="0"/>
              <w:rPr>
                <w:b/>
                <w:color w:val="FFFFFF" w:themeColor="background1"/>
                <w:sz w:val="18"/>
              </w:rPr>
            </w:pPr>
            <w:r w:rsidRPr="000349EF">
              <w:rPr>
                <w:b/>
                <w:color w:val="FFFFFF" w:themeColor="background1"/>
                <w:sz w:val="18"/>
              </w:rPr>
              <w:t>Additional</w:t>
            </w:r>
          </w:p>
        </w:tc>
        <w:tc>
          <w:tcPr>
            <w:tcW w:w="966" w:type="dxa"/>
            <w:tcBorders>
              <w:top w:val="single" w:sz="4" w:space="0" w:color="auto"/>
              <w:left w:val="single" w:sz="4" w:space="0" w:color="auto"/>
              <w:bottom w:val="single" w:sz="4" w:space="0" w:color="auto"/>
              <w:right w:val="single" w:sz="4" w:space="0" w:color="auto"/>
            </w:tcBorders>
            <w:shd w:val="clear" w:color="auto" w:fill="006DA7"/>
          </w:tcPr>
          <w:p w14:paraId="211C90CE" w14:textId="77777777" w:rsidR="00065E3F" w:rsidRPr="000349EF" w:rsidRDefault="00065E3F" w:rsidP="0028643E">
            <w:pPr>
              <w:pStyle w:val="Tabletext"/>
              <w:ind w:left="0" w:right="0"/>
              <w:rPr>
                <w:b/>
                <w:color w:val="FFFFFF" w:themeColor="background1"/>
                <w:sz w:val="18"/>
              </w:rPr>
            </w:pPr>
            <w:r w:rsidRPr="000349EF">
              <w:rPr>
                <w:b/>
                <w:color w:val="FFFFFF" w:themeColor="background1"/>
                <w:sz w:val="18"/>
              </w:rPr>
              <w:t>Routine</w:t>
            </w:r>
          </w:p>
        </w:tc>
        <w:tc>
          <w:tcPr>
            <w:tcW w:w="1240" w:type="dxa"/>
            <w:tcBorders>
              <w:top w:val="single" w:sz="4" w:space="0" w:color="auto"/>
              <w:left w:val="single" w:sz="4" w:space="0" w:color="auto"/>
              <w:bottom w:val="single" w:sz="4" w:space="0" w:color="auto"/>
              <w:right w:val="single" w:sz="4" w:space="0" w:color="auto"/>
            </w:tcBorders>
            <w:shd w:val="clear" w:color="auto" w:fill="006DA7"/>
          </w:tcPr>
          <w:p w14:paraId="5FEC01EE" w14:textId="77777777" w:rsidR="00065E3F" w:rsidRPr="000349EF" w:rsidRDefault="00065E3F" w:rsidP="0028643E">
            <w:pPr>
              <w:pStyle w:val="Tabletext"/>
              <w:ind w:left="0" w:right="0"/>
              <w:rPr>
                <w:b/>
                <w:color w:val="FFFFFF" w:themeColor="background1"/>
                <w:sz w:val="18"/>
              </w:rPr>
            </w:pPr>
            <w:r w:rsidRPr="000349EF">
              <w:rPr>
                <w:b/>
                <w:color w:val="FFFFFF" w:themeColor="background1"/>
                <w:sz w:val="18"/>
              </w:rPr>
              <w:t>Additional</w:t>
            </w:r>
          </w:p>
        </w:tc>
      </w:tr>
      <w:tr w:rsidR="00065E3F" w:rsidRPr="000349EF" w14:paraId="1E5181B3" w14:textId="77777777" w:rsidTr="0028643E">
        <w:trPr>
          <w:trHeight w:val="137"/>
        </w:trPr>
        <w:tc>
          <w:tcPr>
            <w:tcW w:w="1413" w:type="dxa"/>
            <w:vMerge w:val="restart"/>
            <w:tcBorders>
              <w:top w:val="single" w:sz="4" w:space="0" w:color="auto"/>
            </w:tcBorders>
          </w:tcPr>
          <w:p w14:paraId="7DE0DB8B" w14:textId="77777777" w:rsidR="00065E3F" w:rsidRPr="000349EF" w:rsidRDefault="00065E3F" w:rsidP="0028643E">
            <w:pPr>
              <w:pStyle w:val="Tabletext"/>
              <w:ind w:left="0" w:right="0"/>
              <w:rPr>
                <w:b/>
              </w:rPr>
            </w:pPr>
            <w:r w:rsidRPr="000349EF">
              <w:rPr>
                <w:b/>
              </w:rPr>
              <w:t>Important identified risks</w:t>
            </w:r>
          </w:p>
        </w:tc>
        <w:tc>
          <w:tcPr>
            <w:tcW w:w="2387" w:type="dxa"/>
            <w:tcBorders>
              <w:top w:val="single" w:sz="4" w:space="0" w:color="auto"/>
            </w:tcBorders>
          </w:tcPr>
          <w:p w14:paraId="36535CCE" w14:textId="77777777" w:rsidR="00065E3F" w:rsidRPr="000349EF" w:rsidRDefault="00065E3F" w:rsidP="0028643E">
            <w:pPr>
              <w:pStyle w:val="Tabletext"/>
              <w:ind w:left="0" w:right="0"/>
            </w:pPr>
            <w:r w:rsidRPr="000349EF">
              <w:t>Anaphylaxis</w:t>
            </w:r>
          </w:p>
        </w:tc>
        <w:tc>
          <w:tcPr>
            <w:tcW w:w="966" w:type="dxa"/>
            <w:tcBorders>
              <w:top w:val="single" w:sz="4" w:space="0" w:color="auto"/>
            </w:tcBorders>
          </w:tcPr>
          <w:p w14:paraId="371C27AC"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rPr>
              <w:t>*</w:t>
            </w:r>
          </w:p>
        </w:tc>
        <w:tc>
          <w:tcPr>
            <w:tcW w:w="1103" w:type="dxa"/>
            <w:tcBorders>
              <w:top w:val="single" w:sz="4" w:space="0" w:color="auto"/>
            </w:tcBorders>
          </w:tcPr>
          <w:p w14:paraId="4E2ACD59"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Borders>
              <w:top w:val="single" w:sz="4" w:space="0" w:color="auto"/>
            </w:tcBorders>
          </w:tcPr>
          <w:p w14:paraId="5B149D55" w14:textId="77777777" w:rsidR="00065E3F" w:rsidRPr="000349EF" w:rsidRDefault="00065E3F" w:rsidP="0028643E">
            <w:pPr>
              <w:pStyle w:val="Tabletext"/>
              <w:ind w:left="0" w:right="0"/>
              <w:jc w:val="center"/>
              <w:rPr>
                <w:color w:val="00B050"/>
              </w:rPr>
            </w:pPr>
            <w:r w:rsidRPr="000349EF">
              <w:sym w:font="Wingdings" w:char="F0FC"/>
            </w:r>
          </w:p>
        </w:tc>
        <w:tc>
          <w:tcPr>
            <w:tcW w:w="1240" w:type="dxa"/>
            <w:tcBorders>
              <w:top w:val="single" w:sz="4" w:space="0" w:color="auto"/>
            </w:tcBorders>
          </w:tcPr>
          <w:p w14:paraId="40E4A317" w14:textId="77777777" w:rsidR="00065E3F" w:rsidRPr="000349EF" w:rsidRDefault="00065E3F" w:rsidP="0028643E">
            <w:pPr>
              <w:pStyle w:val="Tabletext"/>
              <w:ind w:left="0" w:right="0"/>
              <w:jc w:val="center"/>
              <w:rPr>
                <w:color w:val="00B050"/>
              </w:rPr>
            </w:pPr>
            <w:r w:rsidRPr="000349EF">
              <w:t>–</w:t>
            </w:r>
          </w:p>
        </w:tc>
      </w:tr>
      <w:tr w:rsidR="00065E3F" w:rsidRPr="000349EF" w14:paraId="3BE2DC0C" w14:textId="77777777" w:rsidTr="0028643E">
        <w:trPr>
          <w:trHeight w:val="94"/>
        </w:trPr>
        <w:tc>
          <w:tcPr>
            <w:tcW w:w="1413" w:type="dxa"/>
            <w:vMerge/>
          </w:tcPr>
          <w:p w14:paraId="37E9696C" w14:textId="77777777" w:rsidR="00065E3F" w:rsidRPr="000349EF" w:rsidRDefault="00065E3F" w:rsidP="0028643E">
            <w:pPr>
              <w:pStyle w:val="Tabletext"/>
              <w:ind w:left="0" w:right="0"/>
              <w:rPr>
                <w:b/>
              </w:rPr>
            </w:pPr>
          </w:p>
        </w:tc>
        <w:tc>
          <w:tcPr>
            <w:tcW w:w="2387" w:type="dxa"/>
          </w:tcPr>
          <w:p w14:paraId="107E3352" w14:textId="77777777" w:rsidR="00065E3F" w:rsidRPr="000349EF" w:rsidRDefault="00065E3F" w:rsidP="0028643E">
            <w:pPr>
              <w:pStyle w:val="Tabletext"/>
              <w:ind w:left="0" w:right="0"/>
            </w:pPr>
            <w:r w:rsidRPr="000349EF">
              <w:t xml:space="preserve">Myocarditis </w:t>
            </w:r>
          </w:p>
        </w:tc>
        <w:tc>
          <w:tcPr>
            <w:tcW w:w="966" w:type="dxa"/>
          </w:tcPr>
          <w:p w14:paraId="54839785"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rPr>
              <w:t>*</w:t>
            </w:r>
          </w:p>
        </w:tc>
        <w:tc>
          <w:tcPr>
            <w:tcW w:w="1103" w:type="dxa"/>
          </w:tcPr>
          <w:p w14:paraId="5758B523"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Pr>
          <w:p w14:paraId="0129E82B" w14:textId="77777777" w:rsidR="00065E3F" w:rsidRPr="000349EF" w:rsidRDefault="00065E3F" w:rsidP="0028643E">
            <w:pPr>
              <w:pStyle w:val="Tabletext"/>
              <w:ind w:left="0" w:right="0"/>
              <w:jc w:val="center"/>
              <w:rPr>
                <w:color w:val="00B050"/>
              </w:rPr>
            </w:pPr>
            <w:r w:rsidRPr="000349EF">
              <w:sym w:font="Wingdings" w:char="F0FC"/>
            </w:r>
          </w:p>
        </w:tc>
        <w:tc>
          <w:tcPr>
            <w:tcW w:w="1240" w:type="dxa"/>
          </w:tcPr>
          <w:p w14:paraId="3FBC750A" w14:textId="77777777" w:rsidR="00065E3F" w:rsidRPr="000349EF" w:rsidRDefault="00065E3F" w:rsidP="0028643E">
            <w:pPr>
              <w:pStyle w:val="Tabletext"/>
              <w:ind w:left="0" w:right="0"/>
              <w:jc w:val="center"/>
              <w:rPr>
                <w:color w:val="00B050"/>
              </w:rPr>
            </w:pPr>
            <w:r w:rsidRPr="000349EF">
              <w:t>–</w:t>
            </w:r>
          </w:p>
        </w:tc>
      </w:tr>
      <w:tr w:rsidR="00065E3F" w:rsidRPr="000349EF" w14:paraId="1A27775A" w14:textId="77777777" w:rsidTr="0028643E">
        <w:trPr>
          <w:trHeight w:val="187"/>
        </w:trPr>
        <w:tc>
          <w:tcPr>
            <w:tcW w:w="1413" w:type="dxa"/>
            <w:vMerge/>
          </w:tcPr>
          <w:p w14:paraId="09208E61" w14:textId="77777777" w:rsidR="00065E3F" w:rsidRPr="000349EF" w:rsidRDefault="00065E3F" w:rsidP="0028643E">
            <w:pPr>
              <w:pStyle w:val="Tabletext"/>
              <w:ind w:left="0" w:right="0"/>
              <w:rPr>
                <w:b/>
              </w:rPr>
            </w:pPr>
          </w:p>
        </w:tc>
        <w:tc>
          <w:tcPr>
            <w:tcW w:w="2387" w:type="dxa"/>
          </w:tcPr>
          <w:p w14:paraId="4102E6CC" w14:textId="77777777" w:rsidR="00065E3F" w:rsidRPr="000349EF" w:rsidRDefault="00065E3F" w:rsidP="0028643E">
            <w:pPr>
              <w:pStyle w:val="Tabletext"/>
              <w:ind w:left="0" w:right="0"/>
            </w:pPr>
            <w:r w:rsidRPr="000349EF">
              <w:t>Pericarditis</w:t>
            </w:r>
          </w:p>
        </w:tc>
        <w:tc>
          <w:tcPr>
            <w:tcW w:w="966" w:type="dxa"/>
          </w:tcPr>
          <w:p w14:paraId="275CE57F"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rPr>
              <w:t>*</w:t>
            </w:r>
          </w:p>
        </w:tc>
        <w:tc>
          <w:tcPr>
            <w:tcW w:w="1103" w:type="dxa"/>
          </w:tcPr>
          <w:p w14:paraId="31DCF442"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Pr>
          <w:p w14:paraId="04934785" w14:textId="77777777" w:rsidR="00065E3F" w:rsidRPr="000349EF" w:rsidRDefault="00065E3F" w:rsidP="0028643E">
            <w:pPr>
              <w:pStyle w:val="Tabletext"/>
              <w:ind w:left="0" w:right="0"/>
              <w:jc w:val="center"/>
              <w:rPr>
                <w:color w:val="00B050"/>
              </w:rPr>
            </w:pPr>
            <w:r w:rsidRPr="000349EF">
              <w:sym w:font="Wingdings" w:char="F0FC"/>
            </w:r>
          </w:p>
        </w:tc>
        <w:tc>
          <w:tcPr>
            <w:tcW w:w="1240" w:type="dxa"/>
          </w:tcPr>
          <w:p w14:paraId="212B6DFE" w14:textId="77777777" w:rsidR="00065E3F" w:rsidRPr="000349EF" w:rsidRDefault="00065E3F" w:rsidP="0028643E">
            <w:pPr>
              <w:pStyle w:val="Tabletext"/>
              <w:ind w:left="0" w:right="0"/>
              <w:jc w:val="center"/>
              <w:rPr>
                <w:color w:val="00B050"/>
              </w:rPr>
            </w:pPr>
            <w:r w:rsidRPr="000349EF">
              <w:t>–</w:t>
            </w:r>
          </w:p>
        </w:tc>
      </w:tr>
      <w:tr w:rsidR="00065E3F" w:rsidRPr="000349EF" w14:paraId="5B89B4BA" w14:textId="77777777" w:rsidTr="0028643E">
        <w:trPr>
          <w:trHeight w:val="159"/>
        </w:trPr>
        <w:tc>
          <w:tcPr>
            <w:tcW w:w="1413" w:type="dxa"/>
          </w:tcPr>
          <w:p w14:paraId="771A7582" w14:textId="77777777" w:rsidR="00065E3F" w:rsidRPr="000349EF" w:rsidRDefault="00065E3F" w:rsidP="0028643E">
            <w:pPr>
              <w:pStyle w:val="Tabletext"/>
              <w:ind w:left="0" w:right="0"/>
              <w:rPr>
                <w:b/>
              </w:rPr>
            </w:pPr>
            <w:r w:rsidRPr="000349EF">
              <w:rPr>
                <w:b/>
              </w:rPr>
              <w:t>Important potential risks</w:t>
            </w:r>
          </w:p>
        </w:tc>
        <w:tc>
          <w:tcPr>
            <w:tcW w:w="2387" w:type="dxa"/>
          </w:tcPr>
          <w:p w14:paraId="4D1AF6CF" w14:textId="77777777" w:rsidR="00065E3F" w:rsidRPr="000349EF" w:rsidRDefault="00065E3F" w:rsidP="0028643E">
            <w:pPr>
              <w:pStyle w:val="Tabletext"/>
              <w:ind w:left="0" w:right="0"/>
            </w:pPr>
            <w:r w:rsidRPr="000349EF">
              <w:t>Vaccine-associated enhanced disease (VAED) including vaccine-associated enhanced respiratory disease (VAERD)</w:t>
            </w:r>
          </w:p>
        </w:tc>
        <w:tc>
          <w:tcPr>
            <w:tcW w:w="966" w:type="dxa"/>
          </w:tcPr>
          <w:p w14:paraId="1E7B4356"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rPr>
              <w:t>*</w:t>
            </w:r>
          </w:p>
        </w:tc>
        <w:tc>
          <w:tcPr>
            <w:tcW w:w="1103" w:type="dxa"/>
          </w:tcPr>
          <w:p w14:paraId="79D2EF70"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Pr>
          <w:p w14:paraId="2C389A8B" w14:textId="77777777" w:rsidR="00065E3F" w:rsidRPr="000349EF" w:rsidRDefault="00065E3F" w:rsidP="0028643E">
            <w:pPr>
              <w:pStyle w:val="Tabletext"/>
              <w:ind w:left="0" w:right="0"/>
              <w:jc w:val="center"/>
              <w:rPr>
                <w:color w:val="00B050"/>
              </w:rPr>
            </w:pPr>
            <w:r w:rsidRPr="000349EF">
              <w:t>–</w:t>
            </w:r>
          </w:p>
        </w:tc>
        <w:tc>
          <w:tcPr>
            <w:tcW w:w="1240" w:type="dxa"/>
          </w:tcPr>
          <w:p w14:paraId="128D8DE8" w14:textId="77777777" w:rsidR="00065E3F" w:rsidRPr="000349EF" w:rsidRDefault="00065E3F" w:rsidP="0028643E">
            <w:pPr>
              <w:pStyle w:val="Tabletext"/>
              <w:ind w:left="0" w:right="0"/>
              <w:jc w:val="center"/>
              <w:rPr>
                <w:color w:val="00B050"/>
              </w:rPr>
            </w:pPr>
            <w:r w:rsidRPr="000349EF">
              <w:t>–</w:t>
            </w:r>
          </w:p>
        </w:tc>
      </w:tr>
      <w:tr w:rsidR="00065E3F" w:rsidRPr="000349EF" w14:paraId="5706583E" w14:textId="77777777" w:rsidTr="0028643E">
        <w:trPr>
          <w:trHeight w:val="178"/>
        </w:trPr>
        <w:tc>
          <w:tcPr>
            <w:tcW w:w="1413" w:type="dxa"/>
            <w:vMerge w:val="restart"/>
          </w:tcPr>
          <w:p w14:paraId="4CE72D4B" w14:textId="77777777" w:rsidR="00065E3F" w:rsidRPr="000349EF" w:rsidRDefault="00065E3F" w:rsidP="0028643E">
            <w:pPr>
              <w:pStyle w:val="Tabletext"/>
              <w:ind w:left="0" w:right="0"/>
              <w:rPr>
                <w:b/>
              </w:rPr>
            </w:pPr>
            <w:r w:rsidRPr="000349EF">
              <w:rPr>
                <w:b/>
              </w:rPr>
              <w:t>Missing information</w:t>
            </w:r>
          </w:p>
        </w:tc>
        <w:tc>
          <w:tcPr>
            <w:tcW w:w="2387" w:type="dxa"/>
          </w:tcPr>
          <w:p w14:paraId="5BC17B66" w14:textId="77777777" w:rsidR="00065E3F" w:rsidRPr="000349EF" w:rsidRDefault="00065E3F" w:rsidP="0028643E">
            <w:pPr>
              <w:pStyle w:val="Tabletext"/>
              <w:ind w:left="0" w:right="0"/>
            </w:pPr>
            <w:r w:rsidRPr="000349EF">
              <w:t>Use in pregnancy and while breast-feeding</w:t>
            </w:r>
          </w:p>
        </w:tc>
        <w:tc>
          <w:tcPr>
            <w:tcW w:w="966" w:type="dxa"/>
          </w:tcPr>
          <w:p w14:paraId="28A7DA23" w14:textId="77777777" w:rsidR="00065E3F" w:rsidRPr="000349EF" w:rsidRDefault="00065E3F" w:rsidP="0028643E">
            <w:pPr>
              <w:pStyle w:val="Tabletext"/>
              <w:ind w:left="0" w:right="0"/>
              <w:jc w:val="center"/>
              <w:rPr>
                <w:color w:val="00B050"/>
              </w:rPr>
            </w:pPr>
            <w:r w:rsidRPr="000349EF">
              <w:sym w:font="Wingdings" w:char="F0FC"/>
            </w:r>
          </w:p>
        </w:tc>
        <w:tc>
          <w:tcPr>
            <w:tcW w:w="1103" w:type="dxa"/>
          </w:tcPr>
          <w:p w14:paraId="4A6841A3"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µ</w:t>
            </w:r>
          </w:p>
        </w:tc>
        <w:tc>
          <w:tcPr>
            <w:tcW w:w="966" w:type="dxa"/>
          </w:tcPr>
          <w:p w14:paraId="1CAAEAA6" w14:textId="77777777" w:rsidR="00065E3F" w:rsidRPr="000349EF" w:rsidRDefault="00065E3F" w:rsidP="0028643E">
            <w:pPr>
              <w:pStyle w:val="Tabletext"/>
              <w:ind w:left="0" w:right="0"/>
              <w:jc w:val="center"/>
              <w:rPr>
                <w:color w:val="00B050"/>
              </w:rPr>
            </w:pPr>
            <w:r w:rsidRPr="000349EF">
              <w:sym w:font="Wingdings" w:char="F0FC"/>
            </w:r>
          </w:p>
        </w:tc>
        <w:tc>
          <w:tcPr>
            <w:tcW w:w="1240" w:type="dxa"/>
          </w:tcPr>
          <w:p w14:paraId="63F8B360" w14:textId="77777777" w:rsidR="00065E3F" w:rsidRPr="000349EF" w:rsidRDefault="00065E3F" w:rsidP="0028643E">
            <w:pPr>
              <w:pStyle w:val="Tabletext"/>
              <w:ind w:left="0" w:right="0"/>
              <w:jc w:val="center"/>
              <w:rPr>
                <w:color w:val="00B050"/>
              </w:rPr>
            </w:pPr>
            <w:r w:rsidRPr="000349EF">
              <w:t>–</w:t>
            </w:r>
          </w:p>
        </w:tc>
      </w:tr>
      <w:tr w:rsidR="00065E3F" w:rsidRPr="000349EF" w14:paraId="6DA04959" w14:textId="77777777" w:rsidTr="0028643E">
        <w:trPr>
          <w:trHeight w:val="103"/>
        </w:trPr>
        <w:tc>
          <w:tcPr>
            <w:tcW w:w="1413" w:type="dxa"/>
            <w:vMerge/>
          </w:tcPr>
          <w:p w14:paraId="297431B8" w14:textId="77777777" w:rsidR="00065E3F" w:rsidRPr="000349EF" w:rsidRDefault="00065E3F" w:rsidP="0028643E">
            <w:pPr>
              <w:pStyle w:val="Tabletext"/>
              <w:ind w:left="0" w:right="0"/>
            </w:pPr>
          </w:p>
        </w:tc>
        <w:tc>
          <w:tcPr>
            <w:tcW w:w="2387" w:type="dxa"/>
          </w:tcPr>
          <w:p w14:paraId="69A42899" w14:textId="77777777" w:rsidR="00065E3F" w:rsidRPr="000349EF" w:rsidRDefault="00065E3F" w:rsidP="0028643E">
            <w:pPr>
              <w:pStyle w:val="Tabletext"/>
              <w:ind w:left="0" w:right="0"/>
            </w:pPr>
            <w:r w:rsidRPr="000349EF">
              <w:t>Long-term safety</w:t>
            </w:r>
          </w:p>
        </w:tc>
        <w:tc>
          <w:tcPr>
            <w:tcW w:w="966" w:type="dxa"/>
          </w:tcPr>
          <w:p w14:paraId="59B65DBB" w14:textId="77777777" w:rsidR="00065E3F" w:rsidRPr="000349EF" w:rsidRDefault="00065E3F" w:rsidP="0028643E">
            <w:pPr>
              <w:pStyle w:val="Tabletext"/>
              <w:ind w:left="0" w:right="0"/>
              <w:jc w:val="center"/>
              <w:rPr>
                <w:color w:val="00B050"/>
              </w:rPr>
            </w:pPr>
            <w:r w:rsidRPr="000349EF">
              <w:sym w:font="Wingdings" w:char="F0FC"/>
            </w:r>
          </w:p>
        </w:tc>
        <w:tc>
          <w:tcPr>
            <w:tcW w:w="1103" w:type="dxa"/>
          </w:tcPr>
          <w:p w14:paraId="4436BB34"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Pr>
          <w:p w14:paraId="02B8A5CB" w14:textId="77777777" w:rsidR="00065E3F" w:rsidRPr="000349EF" w:rsidRDefault="00065E3F" w:rsidP="0028643E">
            <w:pPr>
              <w:pStyle w:val="Tabletext"/>
              <w:ind w:left="0" w:right="0"/>
              <w:jc w:val="center"/>
              <w:rPr>
                <w:color w:val="00B050"/>
              </w:rPr>
            </w:pPr>
            <w:r w:rsidRPr="000349EF">
              <w:t>–</w:t>
            </w:r>
          </w:p>
        </w:tc>
        <w:tc>
          <w:tcPr>
            <w:tcW w:w="1240" w:type="dxa"/>
          </w:tcPr>
          <w:p w14:paraId="00BCFF71" w14:textId="77777777" w:rsidR="00065E3F" w:rsidRPr="000349EF" w:rsidRDefault="00065E3F" w:rsidP="0028643E">
            <w:pPr>
              <w:pStyle w:val="Tabletext"/>
              <w:ind w:left="0" w:right="0"/>
              <w:jc w:val="center"/>
              <w:rPr>
                <w:color w:val="00B050"/>
              </w:rPr>
            </w:pPr>
            <w:r w:rsidRPr="000349EF">
              <w:t>–</w:t>
            </w:r>
          </w:p>
        </w:tc>
      </w:tr>
      <w:tr w:rsidR="00065E3F" w:rsidRPr="000349EF" w14:paraId="1C103AA5" w14:textId="77777777" w:rsidTr="0028643E">
        <w:trPr>
          <w:trHeight w:val="103"/>
        </w:trPr>
        <w:tc>
          <w:tcPr>
            <w:tcW w:w="1413" w:type="dxa"/>
            <w:vMerge/>
          </w:tcPr>
          <w:p w14:paraId="392ACE1E" w14:textId="77777777" w:rsidR="00065E3F" w:rsidRPr="000349EF" w:rsidRDefault="00065E3F" w:rsidP="0028643E">
            <w:pPr>
              <w:pStyle w:val="Tabletext"/>
              <w:ind w:left="0" w:right="0"/>
            </w:pPr>
          </w:p>
        </w:tc>
        <w:tc>
          <w:tcPr>
            <w:tcW w:w="2387" w:type="dxa"/>
          </w:tcPr>
          <w:p w14:paraId="3A322632" w14:textId="77777777" w:rsidR="00065E3F" w:rsidRPr="000349EF" w:rsidRDefault="00065E3F" w:rsidP="0028643E">
            <w:pPr>
              <w:pStyle w:val="Tabletext"/>
              <w:ind w:left="0" w:right="0"/>
            </w:pPr>
            <w:r w:rsidRPr="000349EF">
              <w:t>Use in immunocompromised subjects</w:t>
            </w:r>
          </w:p>
        </w:tc>
        <w:tc>
          <w:tcPr>
            <w:tcW w:w="966" w:type="dxa"/>
          </w:tcPr>
          <w:p w14:paraId="30F02914" w14:textId="77777777" w:rsidR="00065E3F" w:rsidRPr="000349EF" w:rsidRDefault="00065E3F" w:rsidP="0028643E">
            <w:pPr>
              <w:pStyle w:val="Tabletext"/>
              <w:ind w:left="0" w:right="0"/>
              <w:jc w:val="center"/>
              <w:rPr>
                <w:color w:val="00B050"/>
              </w:rPr>
            </w:pPr>
            <w:r w:rsidRPr="000349EF">
              <w:sym w:font="Wingdings" w:char="F0FC"/>
            </w:r>
          </w:p>
        </w:tc>
        <w:tc>
          <w:tcPr>
            <w:tcW w:w="1103" w:type="dxa"/>
          </w:tcPr>
          <w:p w14:paraId="0864A0BD"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Pr>
          <w:p w14:paraId="1777162E" w14:textId="77777777" w:rsidR="00065E3F" w:rsidRPr="000349EF" w:rsidRDefault="00065E3F" w:rsidP="0028643E">
            <w:pPr>
              <w:pStyle w:val="Tabletext"/>
              <w:ind w:left="0" w:right="0"/>
              <w:jc w:val="center"/>
              <w:rPr>
                <w:color w:val="00B050"/>
              </w:rPr>
            </w:pPr>
            <w:r w:rsidRPr="000349EF">
              <w:sym w:font="Wingdings" w:char="F0FC"/>
            </w:r>
          </w:p>
        </w:tc>
        <w:tc>
          <w:tcPr>
            <w:tcW w:w="1240" w:type="dxa"/>
          </w:tcPr>
          <w:p w14:paraId="4E9A99EF" w14:textId="77777777" w:rsidR="00065E3F" w:rsidRPr="000349EF" w:rsidRDefault="00065E3F" w:rsidP="0028643E">
            <w:pPr>
              <w:pStyle w:val="Tabletext"/>
              <w:ind w:left="0" w:right="0"/>
              <w:jc w:val="center"/>
              <w:rPr>
                <w:color w:val="00B050"/>
              </w:rPr>
            </w:pPr>
            <w:r w:rsidRPr="000349EF">
              <w:t>–</w:t>
            </w:r>
          </w:p>
        </w:tc>
      </w:tr>
      <w:tr w:rsidR="00065E3F" w:rsidRPr="000349EF" w14:paraId="14D09A82" w14:textId="77777777" w:rsidTr="0028643E">
        <w:trPr>
          <w:trHeight w:val="103"/>
        </w:trPr>
        <w:tc>
          <w:tcPr>
            <w:tcW w:w="1413" w:type="dxa"/>
            <w:vMerge/>
          </w:tcPr>
          <w:p w14:paraId="35A69718" w14:textId="77777777" w:rsidR="00065E3F" w:rsidRPr="000349EF" w:rsidRDefault="00065E3F" w:rsidP="0028643E">
            <w:pPr>
              <w:pStyle w:val="Tabletext"/>
              <w:ind w:left="0" w:right="0"/>
            </w:pPr>
          </w:p>
        </w:tc>
        <w:tc>
          <w:tcPr>
            <w:tcW w:w="2387" w:type="dxa"/>
          </w:tcPr>
          <w:p w14:paraId="52FF54AD" w14:textId="77777777" w:rsidR="00065E3F" w:rsidRPr="000349EF" w:rsidRDefault="00065E3F" w:rsidP="0028643E">
            <w:pPr>
              <w:pStyle w:val="Tabletext"/>
              <w:ind w:left="0" w:right="0"/>
            </w:pPr>
            <w:r w:rsidRPr="000349EF">
              <w:t>Interaction with other vaccines</w:t>
            </w:r>
          </w:p>
        </w:tc>
        <w:tc>
          <w:tcPr>
            <w:tcW w:w="966" w:type="dxa"/>
          </w:tcPr>
          <w:p w14:paraId="28604C56" w14:textId="77777777" w:rsidR="00065E3F" w:rsidRPr="000349EF" w:rsidRDefault="00065E3F" w:rsidP="0028643E">
            <w:pPr>
              <w:pStyle w:val="Tabletext"/>
              <w:ind w:left="0" w:right="0"/>
              <w:jc w:val="center"/>
              <w:rPr>
                <w:color w:val="00B050"/>
              </w:rPr>
            </w:pPr>
            <w:r w:rsidRPr="000349EF">
              <w:sym w:font="Wingdings" w:char="F0FC"/>
            </w:r>
          </w:p>
        </w:tc>
        <w:tc>
          <w:tcPr>
            <w:tcW w:w="1103" w:type="dxa"/>
          </w:tcPr>
          <w:p w14:paraId="115D50C4"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Pr>
          <w:p w14:paraId="43F03AA8" w14:textId="77777777" w:rsidR="00065E3F" w:rsidRPr="000349EF" w:rsidRDefault="00065E3F" w:rsidP="0028643E">
            <w:pPr>
              <w:pStyle w:val="Tabletext"/>
              <w:ind w:left="0" w:right="0"/>
              <w:jc w:val="center"/>
              <w:rPr>
                <w:color w:val="00B050"/>
              </w:rPr>
            </w:pPr>
            <w:r w:rsidRPr="000349EF">
              <w:sym w:font="Wingdings" w:char="F0FC"/>
            </w:r>
          </w:p>
        </w:tc>
        <w:tc>
          <w:tcPr>
            <w:tcW w:w="1240" w:type="dxa"/>
          </w:tcPr>
          <w:p w14:paraId="7207157F" w14:textId="77777777" w:rsidR="00065E3F" w:rsidRPr="000349EF" w:rsidRDefault="00065E3F" w:rsidP="0028643E">
            <w:pPr>
              <w:pStyle w:val="Tabletext"/>
              <w:ind w:left="0" w:right="0"/>
              <w:jc w:val="center"/>
              <w:rPr>
                <w:color w:val="00B050"/>
              </w:rPr>
            </w:pPr>
            <w:r w:rsidRPr="000349EF">
              <w:t>–</w:t>
            </w:r>
          </w:p>
        </w:tc>
      </w:tr>
      <w:tr w:rsidR="00065E3F" w:rsidRPr="000349EF" w14:paraId="7E16FBDD" w14:textId="77777777" w:rsidTr="0028643E">
        <w:trPr>
          <w:trHeight w:val="103"/>
        </w:trPr>
        <w:tc>
          <w:tcPr>
            <w:tcW w:w="1413" w:type="dxa"/>
            <w:vMerge/>
          </w:tcPr>
          <w:p w14:paraId="21C419F6" w14:textId="77777777" w:rsidR="00065E3F" w:rsidRPr="000349EF" w:rsidRDefault="00065E3F" w:rsidP="0028643E">
            <w:pPr>
              <w:pStyle w:val="Tabletext"/>
              <w:ind w:left="0" w:right="0"/>
            </w:pPr>
          </w:p>
        </w:tc>
        <w:tc>
          <w:tcPr>
            <w:tcW w:w="2387" w:type="dxa"/>
          </w:tcPr>
          <w:p w14:paraId="7B24B6B3" w14:textId="051683BD" w:rsidR="00065E3F" w:rsidRPr="000349EF" w:rsidRDefault="00065E3F" w:rsidP="0028643E">
            <w:pPr>
              <w:pStyle w:val="Tabletext"/>
              <w:ind w:left="0" w:right="0"/>
            </w:pPr>
            <w:r w:rsidRPr="000349EF">
              <w:t>Use in frail subjects with unstable health conditions and co-morbidities (for example, chronic obstructive pulmonary disease (COPD), diabetes, chronic neurological disease, cardiovascular disorders)</w:t>
            </w:r>
          </w:p>
        </w:tc>
        <w:tc>
          <w:tcPr>
            <w:tcW w:w="966" w:type="dxa"/>
          </w:tcPr>
          <w:p w14:paraId="4A81E40B" w14:textId="77777777" w:rsidR="00065E3F" w:rsidRPr="000349EF" w:rsidRDefault="00065E3F" w:rsidP="0028643E">
            <w:pPr>
              <w:pStyle w:val="Tabletext"/>
              <w:ind w:left="0" w:right="0"/>
              <w:jc w:val="center"/>
              <w:rPr>
                <w:color w:val="00B050"/>
              </w:rPr>
            </w:pPr>
            <w:r w:rsidRPr="000349EF">
              <w:sym w:font="Wingdings" w:char="F0FC"/>
            </w:r>
          </w:p>
        </w:tc>
        <w:tc>
          <w:tcPr>
            <w:tcW w:w="1103" w:type="dxa"/>
          </w:tcPr>
          <w:p w14:paraId="74164CF0"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Pr>
          <w:p w14:paraId="16929651" w14:textId="77777777" w:rsidR="00065E3F" w:rsidRPr="000349EF" w:rsidRDefault="00065E3F" w:rsidP="0028643E">
            <w:pPr>
              <w:pStyle w:val="Tabletext"/>
              <w:ind w:left="0" w:right="0"/>
              <w:jc w:val="center"/>
              <w:rPr>
                <w:color w:val="00B050"/>
              </w:rPr>
            </w:pPr>
            <w:r w:rsidRPr="000349EF">
              <w:sym w:font="Wingdings" w:char="F0FC"/>
            </w:r>
          </w:p>
        </w:tc>
        <w:tc>
          <w:tcPr>
            <w:tcW w:w="1240" w:type="dxa"/>
          </w:tcPr>
          <w:p w14:paraId="109D501C" w14:textId="77777777" w:rsidR="00065E3F" w:rsidRPr="000349EF" w:rsidRDefault="00065E3F" w:rsidP="0028643E">
            <w:pPr>
              <w:pStyle w:val="Tabletext"/>
              <w:ind w:left="0" w:right="0"/>
              <w:jc w:val="center"/>
              <w:rPr>
                <w:color w:val="00B050"/>
              </w:rPr>
            </w:pPr>
            <w:r w:rsidRPr="000349EF">
              <w:t>–</w:t>
            </w:r>
          </w:p>
        </w:tc>
      </w:tr>
      <w:tr w:rsidR="00065E3F" w:rsidRPr="000349EF" w14:paraId="4F21A14A" w14:textId="77777777" w:rsidTr="0028643E">
        <w:trPr>
          <w:trHeight w:val="140"/>
        </w:trPr>
        <w:tc>
          <w:tcPr>
            <w:tcW w:w="1413" w:type="dxa"/>
            <w:vMerge/>
          </w:tcPr>
          <w:p w14:paraId="52C9483E" w14:textId="77777777" w:rsidR="00065E3F" w:rsidRPr="000349EF" w:rsidRDefault="00065E3F" w:rsidP="0028643E">
            <w:pPr>
              <w:pStyle w:val="Tabletext"/>
              <w:ind w:left="0" w:right="0"/>
            </w:pPr>
          </w:p>
        </w:tc>
        <w:tc>
          <w:tcPr>
            <w:tcW w:w="2387" w:type="dxa"/>
          </w:tcPr>
          <w:p w14:paraId="0EE54F37" w14:textId="77777777" w:rsidR="00065E3F" w:rsidRPr="000349EF" w:rsidRDefault="00065E3F" w:rsidP="0028643E">
            <w:pPr>
              <w:pStyle w:val="Tabletext"/>
              <w:ind w:left="0" w:right="0"/>
            </w:pPr>
            <w:r w:rsidRPr="000349EF">
              <w:t>Use in subjects with autoimmune or inflammatory disorders</w:t>
            </w:r>
          </w:p>
        </w:tc>
        <w:tc>
          <w:tcPr>
            <w:tcW w:w="966" w:type="dxa"/>
          </w:tcPr>
          <w:p w14:paraId="0E1C988C" w14:textId="77777777" w:rsidR="00065E3F" w:rsidRPr="000349EF" w:rsidRDefault="00065E3F" w:rsidP="0028643E">
            <w:pPr>
              <w:pStyle w:val="Tabletext"/>
              <w:ind w:left="0" w:right="0"/>
              <w:jc w:val="center"/>
              <w:rPr>
                <w:color w:val="00B050"/>
              </w:rPr>
            </w:pPr>
            <w:r w:rsidRPr="000349EF">
              <w:sym w:font="Wingdings" w:char="F0FC"/>
            </w:r>
          </w:p>
        </w:tc>
        <w:tc>
          <w:tcPr>
            <w:tcW w:w="1103" w:type="dxa"/>
          </w:tcPr>
          <w:p w14:paraId="7A14E2BC" w14:textId="77777777" w:rsidR="00065E3F" w:rsidRPr="000349EF" w:rsidRDefault="00065E3F" w:rsidP="0028643E">
            <w:pPr>
              <w:pStyle w:val="Tabletext"/>
              <w:ind w:left="0" w:right="0"/>
              <w:jc w:val="center"/>
              <w:rPr>
                <w:color w:val="00B050"/>
              </w:rPr>
            </w:pPr>
            <w:r w:rsidRPr="000349EF">
              <w:sym w:font="Wingdings" w:char="F0FC"/>
            </w:r>
            <w:r w:rsidRPr="000349EF">
              <w:rPr>
                <w:rFonts w:asciiTheme="majorHAnsi" w:hAnsiTheme="majorHAnsi"/>
                <w:szCs w:val="20"/>
                <w:vertAlign w:val="superscript"/>
              </w:rPr>
              <w:t>†</w:t>
            </w:r>
          </w:p>
        </w:tc>
        <w:tc>
          <w:tcPr>
            <w:tcW w:w="966" w:type="dxa"/>
          </w:tcPr>
          <w:p w14:paraId="0E4B4920" w14:textId="77777777" w:rsidR="00065E3F" w:rsidRPr="000349EF" w:rsidRDefault="00065E3F" w:rsidP="0028643E">
            <w:pPr>
              <w:pStyle w:val="Tabletext"/>
              <w:ind w:left="0" w:right="0"/>
              <w:jc w:val="center"/>
              <w:rPr>
                <w:color w:val="00B050"/>
              </w:rPr>
            </w:pPr>
            <w:r w:rsidRPr="000349EF">
              <w:sym w:font="Wingdings" w:char="F0FC"/>
            </w:r>
          </w:p>
        </w:tc>
        <w:tc>
          <w:tcPr>
            <w:tcW w:w="1240" w:type="dxa"/>
          </w:tcPr>
          <w:p w14:paraId="794109CB" w14:textId="77777777" w:rsidR="00065E3F" w:rsidRPr="000349EF" w:rsidRDefault="00065E3F" w:rsidP="0028643E">
            <w:pPr>
              <w:pStyle w:val="Tabletext"/>
              <w:ind w:left="0" w:right="0"/>
              <w:jc w:val="center"/>
              <w:rPr>
                <w:color w:val="00B050"/>
              </w:rPr>
            </w:pPr>
            <w:r w:rsidRPr="000349EF">
              <w:t>–</w:t>
            </w:r>
          </w:p>
        </w:tc>
      </w:tr>
    </w:tbl>
    <w:p w14:paraId="17E67B43" w14:textId="57A0B6FF" w:rsidR="00065E3F" w:rsidRPr="000349EF" w:rsidRDefault="00065E3F" w:rsidP="00065E3F">
      <w:pPr>
        <w:pStyle w:val="TableDescription"/>
      </w:pPr>
      <w:r w:rsidRPr="000349EF">
        <w:t>* Follow-up questionnaires</w:t>
      </w:r>
    </w:p>
    <w:p w14:paraId="0953318D" w14:textId="1B9DCDA0" w:rsidR="00065E3F" w:rsidRPr="000349EF" w:rsidRDefault="00065E3F" w:rsidP="00065E3F">
      <w:pPr>
        <w:pStyle w:val="TableDescription"/>
      </w:pPr>
      <w:r w:rsidRPr="000349EF">
        <w:t>† Clinical studies</w:t>
      </w:r>
    </w:p>
    <w:p w14:paraId="58356721" w14:textId="0FE64673" w:rsidR="00065E3F" w:rsidRPr="000349EF" w:rsidRDefault="00065E3F" w:rsidP="0028643E">
      <w:pPr>
        <w:pStyle w:val="TableDescription"/>
      </w:pPr>
      <w:r w:rsidRPr="000349EF">
        <w:t>µ Observational pregnancy outcome study</w:t>
      </w:r>
    </w:p>
    <w:p w14:paraId="13C22F43" w14:textId="6F7861FD" w:rsidR="00065E3F" w:rsidRPr="000349EF" w:rsidRDefault="00065E3F" w:rsidP="0028643E">
      <w:pPr>
        <w:pStyle w:val="ListBullet"/>
      </w:pPr>
      <w:r w:rsidRPr="000349EF">
        <w:t xml:space="preserve">This summary of safety concerns is the same as the summary that was evaluated and considered acceptable for the previous Submission PM-2021-05131-1-2. The changes </w:t>
      </w:r>
      <w:r w:rsidRPr="000349EF">
        <w:lastRenderedPageBreak/>
        <w:t>proposed by the current submission are not expected to change the summary of safety concerns from an RMP perspective.</w:t>
      </w:r>
    </w:p>
    <w:p w14:paraId="1B9BE1C0" w14:textId="4D0910E7" w:rsidR="00065E3F" w:rsidRPr="000349EF" w:rsidRDefault="00065E3F" w:rsidP="0028643E">
      <w:pPr>
        <w:pStyle w:val="ListBullet"/>
      </w:pPr>
      <w:r w:rsidRPr="000349EF">
        <w:t>The pharmacovigilance plan was deemed acceptable during the previous evaluations and continues to be acceptable for the current submission. The acceptability of the clinical study plan will be assessed by the clinical evaluator/Delegate.</w:t>
      </w:r>
    </w:p>
    <w:p w14:paraId="1D5030F5" w14:textId="77777777" w:rsidR="00065E3F" w:rsidRPr="000349EF" w:rsidRDefault="00065E3F" w:rsidP="00065E3F">
      <w:pPr>
        <w:pStyle w:val="ListBullet"/>
      </w:pPr>
      <w:r w:rsidRPr="000349EF">
        <w:t>Only routine risk minimisation measures are currently in place. This approach was deemed acceptable during the previous evaluations. Routine risk minimisation measures are acceptable to address the changes proposed by the current submission.</w:t>
      </w:r>
    </w:p>
    <w:p w14:paraId="476E4943" w14:textId="5FE2DD49" w:rsidR="00065E3F" w:rsidRPr="000349EF" w:rsidRDefault="00065E3F" w:rsidP="0028643E">
      <w:pPr>
        <w:pStyle w:val="ListBullet"/>
      </w:pPr>
      <w:r w:rsidRPr="000349EF">
        <w:t>There are no outstanding or new RMP recommendations. The sponsor is requested to:</w:t>
      </w:r>
    </w:p>
    <w:p w14:paraId="6CFD6581" w14:textId="494363BD" w:rsidR="00065E3F" w:rsidRPr="000349EF" w:rsidRDefault="00F05630" w:rsidP="0028643E">
      <w:pPr>
        <w:pStyle w:val="ListBullet2"/>
      </w:pPr>
      <w:r w:rsidRPr="000349EF">
        <w:t>p</w:t>
      </w:r>
      <w:r w:rsidR="00065E3F" w:rsidRPr="000349EF">
        <w:t>rovide the consolidated EU</w:t>
      </w:r>
      <w:r w:rsidRPr="000349EF">
        <w:t>-</w:t>
      </w:r>
      <w:r w:rsidR="00065E3F" w:rsidRPr="000349EF">
        <w:t>RMP version 3.0 and an accompanying ASA as a post</w:t>
      </w:r>
      <w:r w:rsidRPr="000349EF">
        <w:noBreakHyphen/>
      </w:r>
      <w:r w:rsidR="00065E3F" w:rsidRPr="000349EF">
        <w:t>approval RMP update as soon as it is finalised.</w:t>
      </w:r>
    </w:p>
    <w:p w14:paraId="430B0E39" w14:textId="2DDB5939" w:rsidR="00065E3F" w:rsidRPr="000349EF" w:rsidRDefault="00065E3F" w:rsidP="0028643E">
      <w:pPr>
        <w:pStyle w:val="ListBullet2"/>
      </w:pPr>
      <w:r w:rsidRPr="000349EF">
        <w:t xml:space="preserve">The </w:t>
      </w:r>
      <w:r w:rsidR="00F05630" w:rsidRPr="000349EF">
        <w:t>Consumer Medicines Information (</w:t>
      </w:r>
      <w:r w:rsidRPr="000349EF">
        <w:t>CMI</w:t>
      </w:r>
      <w:r w:rsidR="00F05630" w:rsidRPr="000349EF">
        <w:t>)</w:t>
      </w:r>
      <w:r w:rsidRPr="000349EF">
        <w:t xml:space="preserve"> should be revised </w:t>
      </w:r>
      <w:r w:rsidR="00F05630" w:rsidRPr="000349EF">
        <w:t>in line</w:t>
      </w:r>
      <w:r w:rsidRPr="000349EF">
        <w:t xml:space="preserve"> with any changes made to the PI.</w:t>
      </w:r>
    </w:p>
    <w:p w14:paraId="5A066AA2" w14:textId="77777777" w:rsidR="008E7846" w:rsidRPr="000349EF" w:rsidRDefault="00AA0ED0" w:rsidP="008E7846">
      <w:pPr>
        <w:pStyle w:val="Heading3"/>
      </w:pPr>
      <w:bookmarkStart w:id="81" w:name="_Toc247691531"/>
      <w:bookmarkStart w:id="82" w:name="_Toc314842515"/>
      <w:bookmarkStart w:id="83" w:name="_Toc96518186"/>
      <w:bookmarkStart w:id="84" w:name="_Toc196046505"/>
      <w:bookmarkStart w:id="85" w:name="_Toc196046949"/>
      <w:r w:rsidRPr="000349EF">
        <w:t>Risk-benefit a</w:t>
      </w:r>
      <w:r w:rsidR="008E7846" w:rsidRPr="000349EF">
        <w:t>nalysis</w:t>
      </w:r>
      <w:bookmarkEnd w:id="81"/>
      <w:bookmarkEnd w:id="82"/>
      <w:bookmarkEnd w:id="83"/>
    </w:p>
    <w:p w14:paraId="43359C9F" w14:textId="77777777" w:rsidR="00D23139" w:rsidRPr="000349EF" w:rsidRDefault="007D53B6" w:rsidP="00D23139">
      <w:pPr>
        <w:pStyle w:val="Heading4"/>
      </w:pPr>
      <w:r w:rsidRPr="000349EF">
        <w:t>Delegate’s considerations</w:t>
      </w:r>
    </w:p>
    <w:p w14:paraId="304FF6BD" w14:textId="6C044338" w:rsidR="007A6F5E" w:rsidRPr="000349EF" w:rsidRDefault="003A2385" w:rsidP="007A6F5E">
      <w:pPr>
        <w:pStyle w:val="Heading5"/>
        <w:rPr>
          <w:rFonts w:eastAsiaTheme="minorHAnsi"/>
        </w:rPr>
      </w:pPr>
      <w:bookmarkStart w:id="86" w:name="_Toc87980893"/>
      <w:r w:rsidRPr="000349EF">
        <w:rPr>
          <w:rFonts w:eastAsiaTheme="minorHAnsi"/>
        </w:rPr>
        <w:t>Coronavirus disease 2019 e</w:t>
      </w:r>
      <w:r w:rsidR="007A6F5E" w:rsidRPr="000349EF">
        <w:rPr>
          <w:rFonts w:eastAsiaTheme="minorHAnsi"/>
        </w:rPr>
        <w:t>pidemiology in</w:t>
      </w:r>
      <w:r w:rsidRPr="000349EF">
        <w:rPr>
          <w:rFonts w:eastAsiaTheme="minorHAnsi"/>
        </w:rPr>
        <w:t xml:space="preserve"> children</w:t>
      </w:r>
      <w:bookmarkEnd w:id="86"/>
    </w:p>
    <w:p w14:paraId="160BED4C" w14:textId="0290AB94" w:rsidR="007A6F5E" w:rsidRPr="000349EF" w:rsidRDefault="007A6F5E" w:rsidP="007A6F5E">
      <w:r w:rsidRPr="000349EF">
        <w:t>In Australia, the COVID-19 epidemiology in children aged 5</w:t>
      </w:r>
      <w:r w:rsidR="003A2385" w:rsidRPr="000349EF">
        <w:t xml:space="preserve"> to </w:t>
      </w:r>
      <w:r w:rsidRPr="000349EF">
        <w:t xml:space="preserve">11 years can be found in the communicable </w:t>
      </w:r>
      <w:proofErr w:type="gramStart"/>
      <w:r w:rsidRPr="000349EF">
        <w:t>diseases</w:t>
      </w:r>
      <w:proofErr w:type="gramEnd"/>
      <w:r w:rsidRPr="000349EF">
        <w:t xml:space="preserve"> intelligence report.</w:t>
      </w:r>
      <w:r w:rsidR="003A2385" w:rsidRPr="000349EF">
        <w:rPr>
          <w:rStyle w:val="FootnoteReference"/>
        </w:rPr>
        <w:footnoteReference w:id="29"/>
      </w:r>
    </w:p>
    <w:p w14:paraId="77DDFEA9" w14:textId="6E6FBDEA" w:rsidR="007A6F5E" w:rsidRPr="000349EF" w:rsidRDefault="007A6F5E" w:rsidP="007A6F5E">
      <w:r w:rsidRPr="000349EF">
        <w:t>The COVID-19 epidemiology in children in the U</w:t>
      </w:r>
      <w:r w:rsidR="003A2385" w:rsidRPr="000349EF">
        <w:t>S</w:t>
      </w:r>
      <w:r w:rsidRPr="000349EF">
        <w:t xml:space="preserve"> is summarised in the </w:t>
      </w:r>
      <w:r w:rsidR="007E0AF7" w:rsidRPr="000349EF">
        <w:t>Advisory Committee on Immunization Practices (ACIP)</w:t>
      </w:r>
      <w:r w:rsidRPr="000349EF">
        <w:t xml:space="preserve"> presentation</w:t>
      </w:r>
      <w:r w:rsidR="00855573" w:rsidRPr="000349EF">
        <w:t>.</w:t>
      </w:r>
      <w:r w:rsidR="00742530" w:rsidRPr="000349EF">
        <w:rPr>
          <w:rStyle w:val="FootnoteReference"/>
        </w:rPr>
        <w:footnoteReference w:id="30"/>
      </w:r>
    </w:p>
    <w:p w14:paraId="297CB3A1" w14:textId="22503FC5" w:rsidR="007A6F5E" w:rsidRPr="000349EF" w:rsidRDefault="007A6F5E" w:rsidP="007A6F5E">
      <w:r w:rsidRPr="000349EF">
        <w:t xml:space="preserve">Multisystem inflammatory syndrome in children </w:t>
      </w:r>
      <w:r w:rsidR="00EA6F46" w:rsidRPr="000349EF">
        <w:t xml:space="preserve">(MIS-C) </w:t>
      </w:r>
      <w:r w:rsidRPr="000349EF">
        <w:t xml:space="preserve">associated with SARS-CoV-2 </w:t>
      </w:r>
      <w:r w:rsidR="00EA6F46" w:rsidRPr="000349EF">
        <w:t xml:space="preserve">infection </w:t>
      </w:r>
      <w:r w:rsidRPr="000349EF">
        <w:t>is rare but can be fatal. Long</w:t>
      </w:r>
      <w:r w:rsidR="00742530" w:rsidRPr="000349EF">
        <w:t>-</w:t>
      </w:r>
      <w:r w:rsidRPr="000349EF">
        <w:t xml:space="preserve">term COVID-19 is also another risk for children </w:t>
      </w:r>
      <w:r w:rsidR="00742530" w:rsidRPr="000349EF">
        <w:t>globally</w:t>
      </w:r>
      <w:r w:rsidR="00EA6F46" w:rsidRPr="000349EF">
        <w:t xml:space="preserve">. </w:t>
      </w:r>
      <w:r w:rsidRPr="000349EF">
        <w:t>COVID</w:t>
      </w:r>
      <w:r w:rsidR="00742530" w:rsidRPr="000349EF">
        <w:noBreakHyphen/>
      </w:r>
      <w:r w:rsidRPr="000349EF">
        <w:t>19 continues to be a serious and potentially fatal or life</w:t>
      </w:r>
      <w:r w:rsidR="00742530" w:rsidRPr="000349EF">
        <w:t xml:space="preserve"> </w:t>
      </w:r>
      <w:r w:rsidRPr="000349EF">
        <w:t>threatening infection for children and there is a significant unmet need in the 5 to &lt;</w:t>
      </w:r>
      <w:r w:rsidR="00DD7DB2" w:rsidRPr="000349EF">
        <w:t> </w:t>
      </w:r>
      <w:r w:rsidRPr="000349EF">
        <w:t>12 years of age population.</w:t>
      </w:r>
    </w:p>
    <w:p w14:paraId="3003E156" w14:textId="77999A0C" w:rsidR="007A6F5E" w:rsidRPr="000349EF" w:rsidRDefault="007A6F5E" w:rsidP="007A6F5E">
      <w:pPr>
        <w:pStyle w:val="Heading5"/>
      </w:pPr>
      <w:bookmarkStart w:id="87" w:name="_Toc87980894"/>
      <w:r w:rsidRPr="000349EF">
        <w:t>Immunobridging to infer vaccine efficacy</w:t>
      </w:r>
      <w:bookmarkEnd w:id="87"/>
    </w:p>
    <w:p w14:paraId="1FE85C69" w14:textId="260C8BD5" w:rsidR="007A6F5E" w:rsidRPr="000349EF" w:rsidRDefault="007A6F5E" w:rsidP="007A6F5E">
      <w:r w:rsidRPr="000349EF">
        <w:t xml:space="preserve">The available data from Study P204 with the data snapshot of 6 October 2021 was provided to support the provisional registration of </w:t>
      </w:r>
      <w:r w:rsidR="00CA0969" w:rsidRPr="000349EF">
        <w:t>Spikevax</w:t>
      </w:r>
      <w:r w:rsidRPr="000349EF">
        <w:t xml:space="preserve"> (elasomeran) COVID-19 vaccine for children </w:t>
      </w:r>
      <w:r w:rsidR="00F24AD0" w:rsidRPr="000349EF">
        <w:t xml:space="preserve">aged </w:t>
      </w:r>
      <w:r w:rsidRPr="000349EF">
        <w:t>6 to &lt;</w:t>
      </w:r>
      <w:r w:rsidR="00DD7DB2" w:rsidRPr="000349EF">
        <w:t> </w:t>
      </w:r>
      <w:r w:rsidRPr="000349EF">
        <w:t>12 years old. The data include dose finding, immunobridging, reactogenicity and safety analysis</w:t>
      </w:r>
      <w:r w:rsidR="00F24AD0" w:rsidRPr="000349EF">
        <w:t xml:space="preserve"> information</w:t>
      </w:r>
      <w:r w:rsidRPr="000349EF">
        <w:t xml:space="preserve">. The study objective and endpoints are considered acceptable and the </w:t>
      </w:r>
      <w:proofErr w:type="spellStart"/>
      <w:r w:rsidR="007156F1" w:rsidRPr="000349EF">
        <w:t>nAb</w:t>
      </w:r>
      <w:proofErr w:type="spellEnd"/>
      <w:r w:rsidRPr="000349EF">
        <w:t xml:space="preserve"> </w:t>
      </w:r>
      <w:r w:rsidR="00B52F4B" w:rsidRPr="000349EF">
        <w:t>titre</w:t>
      </w:r>
      <w:r w:rsidRPr="000349EF">
        <w:t xml:space="preserve"> is accepted as clinically relevant for immunobridging to infer effectiveness of COVID-19 vaccines in paediatric age groups. As no specific </w:t>
      </w:r>
      <w:proofErr w:type="spellStart"/>
      <w:r w:rsidR="007156F1" w:rsidRPr="000349EF">
        <w:t>nAb</w:t>
      </w:r>
      <w:proofErr w:type="spellEnd"/>
      <w:r w:rsidRPr="000349EF">
        <w:t xml:space="preserve"> </w:t>
      </w:r>
      <w:r w:rsidR="00B52F4B" w:rsidRPr="000349EF">
        <w:t>titre</w:t>
      </w:r>
      <w:r w:rsidRPr="000349EF">
        <w:t xml:space="preserve"> has been established to predict disease protection, two immunogenicity endpoints (GMT and seroresponse rate) are considered appropriate for comparing the range of vaccine elicited </w:t>
      </w:r>
      <w:proofErr w:type="spellStart"/>
      <w:r w:rsidR="00B52F4B" w:rsidRPr="000349EF">
        <w:t>nAb</w:t>
      </w:r>
      <w:proofErr w:type="spellEnd"/>
      <w:r w:rsidRPr="000349EF">
        <w:t xml:space="preserve"> responses in paediatric versus young adult populations.</w:t>
      </w:r>
    </w:p>
    <w:p w14:paraId="302DFC84" w14:textId="0CFC2ECD" w:rsidR="007A6F5E" w:rsidRPr="000349EF" w:rsidRDefault="007A6F5E" w:rsidP="007A6F5E">
      <w:bookmarkStart w:id="88" w:name="_Toc87980895"/>
      <w:r w:rsidRPr="000349EF">
        <w:t>The non-inferiority was determined based on comparison of immunogenicity data from participants from different studies. A direct comparison of immunogenicity data within Study</w:t>
      </w:r>
      <w:r w:rsidR="00742530" w:rsidRPr="000349EF">
        <w:t> </w:t>
      </w:r>
      <w:r w:rsidRPr="000349EF">
        <w:t xml:space="preserve">P204 would have been preferred. </w:t>
      </w:r>
      <w:r w:rsidR="004E0909" w:rsidRPr="000349EF">
        <w:t xml:space="preserve">In </w:t>
      </w:r>
      <w:r w:rsidR="00F24AD0" w:rsidRPr="000349EF">
        <w:t xml:space="preserve">the </w:t>
      </w:r>
      <w:r w:rsidR="004E0909" w:rsidRPr="000349EF">
        <w:t xml:space="preserve">response to questions raised by </w:t>
      </w:r>
      <w:r w:rsidR="00F24AD0" w:rsidRPr="000349EF">
        <w:t xml:space="preserve">the </w:t>
      </w:r>
      <w:r w:rsidR="004E0909" w:rsidRPr="000349EF">
        <w:t xml:space="preserve">TGA, </w:t>
      </w:r>
      <w:r w:rsidR="004E0909" w:rsidRPr="000349EF">
        <w:lastRenderedPageBreak/>
        <w:t>t</w:t>
      </w:r>
      <w:r w:rsidRPr="000349EF">
        <w:t xml:space="preserve">he </w:t>
      </w:r>
      <w:r w:rsidR="008028EF" w:rsidRPr="000349EF">
        <w:t>sponsor</w:t>
      </w:r>
      <w:r w:rsidRPr="000349EF">
        <w:t xml:space="preserve"> confirms that the immunoassays used in Study P204 are the same as those used for the Study</w:t>
      </w:r>
      <w:r w:rsidR="00742530" w:rsidRPr="000349EF">
        <w:t> </w:t>
      </w:r>
      <w:r w:rsidRPr="000349EF">
        <w:t>P301 (young adults, 18 to 25 years of age) comparator used for immunobridging.</w:t>
      </w:r>
    </w:p>
    <w:p w14:paraId="3A9146B9" w14:textId="755099E9" w:rsidR="007A6F5E" w:rsidRPr="000349EF" w:rsidRDefault="007A6F5E" w:rsidP="007A6F5E">
      <w:r w:rsidRPr="000349EF">
        <w:t>Study</w:t>
      </w:r>
      <w:r w:rsidR="00742530" w:rsidRPr="000349EF">
        <w:t> </w:t>
      </w:r>
      <w:r w:rsidRPr="000349EF">
        <w:t xml:space="preserve">P204 demonstrated the noninferiority of both GMR </w:t>
      </w:r>
      <w:proofErr w:type="spellStart"/>
      <w:r w:rsidRPr="000349EF">
        <w:t>nAb</w:t>
      </w:r>
      <w:proofErr w:type="spellEnd"/>
      <w:r w:rsidRPr="000349EF">
        <w:t xml:space="preserve"> and the </w:t>
      </w:r>
      <w:proofErr w:type="spellStart"/>
      <w:r w:rsidRPr="000349EF">
        <w:t>seroresponse</w:t>
      </w:r>
      <w:proofErr w:type="spellEnd"/>
      <w:r w:rsidRPr="000349EF">
        <w:t xml:space="preserve"> rate in children </w:t>
      </w:r>
      <w:r w:rsidR="00F24AD0" w:rsidRPr="000349EF">
        <w:t xml:space="preserve">aged </w:t>
      </w:r>
      <w:r w:rsidRPr="000349EF">
        <w:t xml:space="preserve">6 to &lt; 12 </w:t>
      </w:r>
      <w:r w:rsidR="003E53F0" w:rsidRPr="000349EF">
        <w:t xml:space="preserve">years </w:t>
      </w:r>
      <w:r w:rsidRPr="000349EF">
        <w:t>when compared to those in young adults (</w:t>
      </w:r>
      <w:r w:rsidR="00F24AD0" w:rsidRPr="000349EF">
        <w:t xml:space="preserve">aged </w:t>
      </w:r>
      <w:r w:rsidRPr="000349EF">
        <w:t xml:space="preserve">18 to 25 years) in the pivotal </w:t>
      </w:r>
      <w:r w:rsidR="00742530" w:rsidRPr="000349EF">
        <w:t>Study </w:t>
      </w:r>
      <w:r w:rsidRPr="000349EF">
        <w:t xml:space="preserve">P301 (in which efficacy was demonstrated). There are discrepancies in the </w:t>
      </w:r>
      <w:proofErr w:type="spellStart"/>
      <w:r w:rsidRPr="000349EF">
        <w:t>nAb</w:t>
      </w:r>
      <w:proofErr w:type="spellEnd"/>
      <w:r w:rsidRPr="000349EF">
        <w:t xml:space="preserve"> GMT readouts among different subsets of children (due to assay variability according to </w:t>
      </w:r>
      <w:r w:rsidR="00742530" w:rsidRPr="000349EF">
        <w:t>the sponsor</w:t>
      </w:r>
      <w:r w:rsidRPr="000349EF">
        <w:t>), but non-inferiority criteria have all been met and immunobridging is consider</w:t>
      </w:r>
      <w:r w:rsidR="00F24AD0" w:rsidRPr="000349EF">
        <w:t>ed</w:t>
      </w:r>
      <w:r w:rsidRPr="000349EF">
        <w:t xml:space="preserve"> achieved.</w:t>
      </w:r>
    </w:p>
    <w:p w14:paraId="7187C721" w14:textId="705BE506" w:rsidR="007A6F5E" w:rsidRPr="000349EF" w:rsidRDefault="007A6F5E" w:rsidP="007A6F5E">
      <w:r w:rsidRPr="000349EF">
        <w:t>No dose lower than 50</w:t>
      </w:r>
      <w:r w:rsidR="00742530" w:rsidRPr="000349EF">
        <w:t> µg</w:t>
      </w:r>
      <w:r w:rsidRPr="000349EF">
        <w:t xml:space="preserve"> is assessed in this age group. It is not known if lower dose</w:t>
      </w:r>
      <w:r w:rsidR="00F24AD0" w:rsidRPr="000349EF">
        <w:t>s</w:t>
      </w:r>
      <w:r w:rsidRPr="000349EF">
        <w:t xml:space="preserve"> may also be sufficiently immunogenic for this age group with less frequent </w:t>
      </w:r>
      <w:r w:rsidR="00D23AE4" w:rsidRPr="000349EF">
        <w:t>AR</w:t>
      </w:r>
      <w:r w:rsidRPr="000349EF">
        <w:t xml:space="preserve">s. </w:t>
      </w:r>
      <w:r w:rsidR="00EA2998" w:rsidRPr="000349EF">
        <w:t>50</w:t>
      </w:r>
      <w:r w:rsidR="00E80F11" w:rsidRPr="000349EF">
        <w:t> µ</w:t>
      </w:r>
      <w:r w:rsidR="00EA2998" w:rsidRPr="000349EF">
        <w:t>g led to similar rates of local A</w:t>
      </w:r>
      <w:r w:rsidR="004161D1" w:rsidRPr="000349EF">
        <w:t>Rs and lower rates of systemic A</w:t>
      </w:r>
      <w:r w:rsidR="00E80F11" w:rsidRPr="000349EF">
        <w:t>Rs</w:t>
      </w:r>
      <w:r w:rsidR="004161D1" w:rsidRPr="000349EF">
        <w:t>, ex</w:t>
      </w:r>
      <w:r w:rsidR="00740F0F" w:rsidRPr="000349EF">
        <w:t>cept</w:t>
      </w:r>
      <w:r w:rsidR="004161D1" w:rsidRPr="000349EF">
        <w:t xml:space="preserve"> for fever</w:t>
      </w:r>
      <w:r w:rsidR="00740F0F" w:rsidRPr="000349EF">
        <w:t xml:space="preserve">, compared to young </w:t>
      </w:r>
      <w:proofErr w:type="gramStart"/>
      <w:r w:rsidR="00740F0F" w:rsidRPr="000349EF">
        <w:t>adults(</w:t>
      </w:r>
      <w:proofErr w:type="gramEnd"/>
      <w:r w:rsidR="00740F0F" w:rsidRPr="000349EF">
        <w:t>18</w:t>
      </w:r>
      <w:r w:rsidR="00E80F11" w:rsidRPr="000349EF">
        <w:t xml:space="preserve"> to </w:t>
      </w:r>
      <w:r w:rsidR="00740F0F" w:rsidRPr="000349EF">
        <w:t>&lt;</w:t>
      </w:r>
      <w:r w:rsidR="00E80F11" w:rsidRPr="000349EF">
        <w:t> </w:t>
      </w:r>
      <w:r w:rsidR="00740F0F" w:rsidRPr="000349EF">
        <w:t>25</w:t>
      </w:r>
      <w:r w:rsidR="00E80F11" w:rsidRPr="000349EF">
        <w:t xml:space="preserve"> years old Study</w:t>
      </w:r>
      <w:r w:rsidR="0028737D" w:rsidRPr="000349EF">
        <w:t xml:space="preserve"> P301) </w:t>
      </w:r>
      <w:r w:rsidRPr="000349EF">
        <w:t xml:space="preserve">participants having received </w:t>
      </w:r>
      <w:r w:rsidR="006022CB" w:rsidRPr="000349EF">
        <w:t xml:space="preserve">the </w:t>
      </w:r>
      <w:r w:rsidRPr="000349EF">
        <w:t>100</w:t>
      </w:r>
      <w:r w:rsidR="00742530" w:rsidRPr="000349EF">
        <w:t> </w:t>
      </w:r>
      <w:proofErr w:type="spellStart"/>
      <w:r w:rsidRPr="000349EF">
        <w:t>μg</w:t>
      </w:r>
      <w:proofErr w:type="spellEnd"/>
      <w:r w:rsidR="006022CB" w:rsidRPr="000349EF">
        <w:t xml:space="preserve"> dose</w:t>
      </w:r>
      <w:r w:rsidRPr="000349EF">
        <w:t>.</w:t>
      </w:r>
    </w:p>
    <w:p w14:paraId="72DDABA2" w14:textId="547BA175" w:rsidR="007A6F5E" w:rsidRPr="000349EF" w:rsidRDefault="007A6F5E" w:rsidP="007A6F5E">
      <w:r w:rsidRPr="000349EF">
        <w:t xml:space="preserve">The </w:t>
      </w:r>
      <w:r w:rsidR="008E4D88" w:rsidRPr="000349EF">
        <w:t>VE</w:t>
      </w:r>
      <w:r w:rsidRPr="000349EF">
        <w:t xml:space="preserve"> estimate is not considered reliable as the median follow</w:t>
      </w:r>
      <w:r w:rsidR="00742530" w:rsidRPr="000349EF">
        <w:t>-</w:t>
      </w:r>
      <w:r w:rsidRPr="000349EF">
        <w:t xml:space="preserve">up was only 20 days </w:t>
      </w:r>
      <w:r w:rsidR="0077374E" w:rsidRPr="000349EF">
        <w:t>post</w:t>
      </w:r>
      <w:r w:rsidR="00742530" w:rsidRPr="000349EF">
        <w:noBreakHyphen/>
      </w:r>
      <w:r w:rsidR="0077374E" w:rsidRPr="000349EF">
        <w:t>Dose</w:t>
      </w:r>
      <w:r w:rsidR="00742530" w:rsidRPr="000349EF">
        <w:t> </w:t>
      </w:r>
      <w:r w:rsidR="0077374E" w:rsidRPr="000349EF">
        <w:t>2</w:t>
      </w:r>
      <w:r w:rsidRPr="000349EF">
        <w:t>.</w:t>
      </w:r>
    </w:p>
    <w:p w14:paraId="3D0E666E" w14:textId="77777777" w:rsidR="007A6F5E" w:rsidRPr="000349EF" w:rsidRDefault="007A6F5E" w:rsidP="007A6F5E">
      <w:pPr>
        <w:pStyle w:val="Heading5"/>
      </w:pPr>
      <w:r w:rsidRPr="000349EF">
        <w:t>Short-term safety data for provisional registration</w:t>
      </w:r>
      <w:bookmarkEnd w:id="88"/>
    </w:p>
    <w:p w14:paraId="6C7C63A6" w14:textId="03445875" w:rsidR="007A6F5E" w:rsidRPr="000349EF" w:rsidRDefault="007A6F5E" w:rsidP="007A6F5E">
      <w:r w:rsidRPr="000349EF">
        <w:t>With the 6 October 2021 data snapshot, safety data are available for 3387 children (</w:t>
      </w:r>
      <w:r w:rsidR="00F26284" w:rsidRPr="000349EF">
        <w:t xml:space="preserve">aged </w:t>
      </w:r>
      <w:r w:rsidRPr="000349EF">
        <w:t>6</w:t>
      </w:r>
      <w:r w:rsidR="00F26284" w:rsidRPr="000349EF">
        <w:t> </w:t>
      </w:r>
      <w:r w:rsidRPr="000349EF">
        <w:t>to &lt;</w:t>
      </w:r>
      <w:r w:rsidR="00DD7DB2" w:rsidRPr="000349EF">
        <w:t> </w:t>
      </w:r>
      <w:r w:rsidRPr="000349EF">
        <w:t xml:space="preserve">12 </w:t>
      </w:r>
      <w:r w:rsidR="00DD7DB2" w:rsidRPr="000349EF">
        <w:t>year</w:t>
      </w:r>
      <w:r w:rsidR="00F26284" w:rsidRPr="000349EF">
        <w:t>s</w:t>
      </w:r>
      <w:r w:rsidR="00DD7DB2" w:rsidRPr="000349EF">
        <w:t xml:space="preserve"> old</w:t>
      </w:r>
      <w:r w:rsidRPr="000349EF">
        <w:t xml:space="preserve">) who received at least </w:t>
      </w:r>
      <w:r w:rsidR="00DD7DB2" w:rsidRPr="000349EF">
        <w:t>one</w:t>
      </w:r>
      <w:r w:rsidRPr="000349EF">
        <w:t xml:space="preserve"> dose of 50 </w:t>
      </w:r>
      <w:proofErr w:type="spellStart"/>
      <w:r w:rsidRPr="000349EF">
        <w:t>μg</w:t>
      </w:r>
      <w:proofErr w:type="spellEnd"/>
      <w:r w:rsidRPr="000349EF">
        <w:t xml:space="preserve"> of mRNA-1273 (380 in Part</w:t>
      </w:r>
      <w:r w:rsidR="00742530" w:rsidRPr="000349EF">
        <w:t> </w:t>
      </w:r>
      <w:r w:rsidRPr="000349EF">
        <w:t xml:space="preserve">1 and 3007 in Part 2) and 995 children who received placebo in Part 2, and 371 children who received at least </w:t>
      </w:r>
      <w:r w:rsidR="00DD7DB2" w:rsidRPr="000349EF">
        <w:t>one</w:t>
      </w:r>
      <w:r w:rsidRPr="000349EF">
        <w:t xml:space="preserve"> dose of 100 </w:t>
      </w:r>
      <w:proofErr w:type="spellStart"/>
      <w:r w:rsidRPr="000349EF">
        <w:t>μg</w:t>
      </w:r>
      <w:proofErr w:type="spellEnd"/>
      <w:r w:rsidRPr="000349EF">
        <w:t xml:space="preserve"> mRNA‑1273 in Part 1. In Part 1, a total of 749</w:t>
      </w:r>
      <w:r w:rsidR="00F26284" w:rsidRPr="000349EF">
        <w:t> </w:t>
      </w:r>
      <w:r w:rsidRPr="000349EF">
        <w:t xml:space="preserve">children (379 in the 50 </w:t>
      </w:r>
      <w:proofErr w:type="spellStart"/>
      <w:r w:rsidRPr="000349EF">
        <w:t>μg</w:t>
      </w:r>
      <w:proofErr w:type="spellEnd"/>
      <w:r w:rsidRPr="000349EF">
        <w:t xml:space="preserve"> group and 370 in the 100 </w:t>
      </w:r>
      <w:proofErr w:type="spellStart"/>
      <w:r w:rsidRPr="000349EF">
        <w:t>μg</w:t>
      </w:r>
      <w:proofErr w:type="spellEnd"/>
      <w:r w:rsidRPr="000349EF">
        <w:t xml:space="preserve"> group) had safety follow</w:t>
      </w:r>
      <w:r w:rsidR="00742530" w:rsidRPr="000349EF">
        <w:t>-</w:t>
      </w:r>
      <w:r w:rsidRPr="000349EF">
        <w:t xml:space="preserve">up </w:t>
      </w:r>
      <w:r w:rsidR="00F26284" w:rsidRPr="000349EF">
        <w:t xml:space="preserve">data </w:t>
      </w:r>
      <w:r w:rsidRPr="000349EF">
        <w:t xml:space="preserve">for 2 months (56 days) or more after </w:t>
      </w:r>
      <w:r w:rsidR="0077374E" w:rsidRPr="000349EF">
        <w:t>Dose 2</w:t>
      </w:r>
      <w:r w:rsidRPr="000349EF">
        <w:t>. From both Part 1 and 2, a total of 3708</w:t>
      </w:r>
      <w:r w:rsidR="00F26284" w:rsidRPr="000349EF">
        <w:t> </w:t>
      </w:r>
      <w:r w:rsidRPr="000349EF">
        <w:t>children (50 µg and 100</w:t>
      </w:r>
      <w:r w:rsidR="00742530" w:rsidRPr="000349EF">
        <w:t> </w:t>
      </w:r>
      <w:r w:rsidRPr="000349EF">
        <w:t>µg) had safety follow</w:t>
      </w:r>
      <w:r w:rsidR="00742530" w:rsidRPr="000349EF">
        <w:t>-</w:t>
      </w:r>
      <w:r w:rsidRPr="000349EF">
        <w:t xml:space="preserve">up for 7 days or more after </w:t>
      </w:r>
      <w:r w:rsidR="0077374E" w:rsidRPr="000349EF">
        <w:t>Dose 2</w:t>
      </w:r>
      <w:r w:rsidRPr="000349EF">
        <w:t>, but no children in Part 2 had more than 2 months follow</w:t>
      </w:r>
      <w:r w:rsidR="00742530" w:rsidRPr="000349EF">
        <w:t>-</w:t>
      </w:r>
      <w:r w:rsidRPr="000349EF">
        <w:t xml:space="preserve">up </w:t>
      </w:r>
      <w:r w:rsidR="00F26284" w:rsidRPr="000349EF">
        <w:t xml:space="preserve">data </w:t>
      </w:r>
      <w:r w:rsidRPr="000349EF">
        <w:t xml:space="preserve">after </w:t>
      </w:r>
      <w:r w:rsidR="0077374E" w:rsidRPr="000349EF">
        <w:t>Dose 2</w:t>
      </w:r>
      <w:r w:rsidRPr="000349EF">
        <w:t>.</w:t>
      </w:r>
    </w:p>
    <w:p w14:paraId="7B07C166" w14:textId="5FDC1734" w:rsidR="007A6F5E" w:rsidRPr="000349EF" w:rsidRDefault="009D1B07" w:rsidP="00C01898">
      <w:pPr>
        <w:pStyle w:val="TableTitle"/>
      </w:pPr>
      <w:r w:rsidRPr="000349EF">
        <w:t xml:space="preserve">Table </w:t>
      </w:r>
      <w:r w:rsidR="00571D7C">
        <w:fldChar w:fldCharType="begin"/>
      </w:r>
      <w:r w:rsidR="00571D7C">
        <w:instrText xml:space="preserve"> SEQ Table \* ARABIC </w:instrText>
      </w:r>
      <w:r w:rsidR="00571D7C">
        <w:fldChar w:fldCharType="separate"/>
      </w:r>
      <w:r w:rsidR="00235E4B">
        <w:rPr>
          <w:noProof/>
        </w:rPr>
        <w:t>22</w:t>
      </w:r>
      <w:r w:rsidR="00571D7C">
        <w:rPr>
          <w:noProof/>
        </w:rPr>
        <w:fldChar w:fldCharType="end"/>
      </w:r>
      <w:r w:rsidR="007A6F5E" w:rsidRPr="000349EF">
        <w:t xml:space="preserve">: </w:t>
      </w:r>
      <w:r w:rsidR="00515CC4" w:rsidRPr="00515CC4">
        <w:t xml:space="preserve">Study P204 </w:t>
      </w:r>
      <w:r w:rsidR="00515CC4" w:rsidRPr="000349EF">
        <w:t xml:space="preserve">Part 1 and Part 2 </w:t>
      </w:r>
      <w:r w:rsidR="007A6F5E" w:rsidRPr="000349EF">
        <w:t>Participants study duration</w:t>
      </w:r>
      <w:r w:rsidR="00515CC4">
        <w:t xml:space="preserve"> </w:t>
      </w:r>
      <w:r w:rsidR="007A6F5E" w:rsidRPr="000349EF">
        <w:t>(safety set)</w:t>
      </w:r>
    </w:p>
    <w:p w14:paraId="414C859B" w14:textId="7D940F35" w:rsidR="00FD65E4" w:rsidRPr="000349EF" w:rsidRDefault="00FD65E4" w:rsidP="007A6F5E">
      <w:r w:rsidRPr="000349EF">
        <w:rPr>
          <w:noProof/>
          <w:lang w:val="en-GB" w:eastAsia="en-GB"/>
        </w:rPr>
        <w:drawing>
          <wp:inline distT="0" distB="0" distL="0" distR="0" wp14:anchorId="34185074" wp14:editId="0C187EFE">
            <wp:extent cx="4931079" cy="1664761"/>
            <wp:effectExtent l="0" t="0" r="3175" b="0"/>
            <wp:docPr id="1" name="Picture 1" descr="Table 22: Study P204 Part 1 and Part 2 Participants study dur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22: Study P204 Part 1 and Part 2 Participants study duration (safety set)"/>
                    <pic:cNvPicPr/>
                  </pic:nvPicPr>
                  <pic:blipFill>
                    <a:blip r:embed="rId40"/>
                    <a:stretch>
                      <a:fillRect/>
                    </a:stretch>
                  </pic:blipFill>
                  <pic:spPr>
                    <a:xfrm>
                      <a:off x="0" y="0"/>
                      <a:ext cx="4961326" cy="1674973"/>
                    </a:xfrm>
                    <a:prstGeom prst="rect">
                      <a:avLst/>
                    </a:prstGeom>
                  </pic:spPr>
                </pic:pic>
              </a:graphicData>
            </a:graphic>
          </wp:inline>
        </w:drawing>
      </w:r>
    </w:p>
    <w:p w14:paraId="31E7D5F3" w14:textId="265C9289" w:rsidR="00FD65E4" w:rsidRPr="000349EF" w:rsidRDefault="00FD65E4" w:rsidP="00FD65E4">
      <w:pPr>
        <w:pStyle w:val="TableDescription"/>
      </w:pPr>
      <w:r w:rsidRPr="000349EF">
        <w:t>mRNA-1273 = Spikevax COVID-19 vaccine; n = sample size</w:t>
      </w:r>
      <w:r w:rsidR="00E77586" w:rsidRPr="000349EF">
        <w:t>.</w:t>
      </w:r>
    </w:p>
    <w:p w14:paraId="3DA96F5F" w14:textId="07BBE402" w:rsidR="00FD65E4" w:rsidRPr="000349EF" w:rsidRDefault="00FD65E4" w:rsidP="00FD65E4">
      <w:pPr>
        <w:pStyle w:val="TableDescription"/>
      </w:pPr>
      <w:r w:rsidRPr="000349EF">
        <w:t>a. Median follow-up of &gt;</w:t>
      </w:r>
      <w:r w:rsidR="00E77586" w:rsidRPr="000349EF">
        <w:t xml:space="preserve"> </w:t>
      </w:r>
      <w:r w:rsidRPr="000349EF">
        <w:t xml:space="preserve">21 days after </w:t>
      </w:r>
      <w:r w:rsidR="00E77586" w:rsidRPr="000349EF">
        <w:t>D</w:t>
      </w:r>
      <w:r w:rsidRPr="000349EF">
        <w:t>ose 2</w:t>
      </w:r>
      <w:r w:rsidR="00E77586" w:rsidRPr="000349EF">
        <w:t>.</w:t>
      </w:r>
    </w:p>
    <w:p w14:paraId="73936E0C" w14:textId="3F8C62ED" w:rsidR="007A6F5E" w:rsidRPr="000349EF" w:rsidRDefault="00FD65E4" w:rsidP="00FD65E4">
      <w:pPr>
        <w:pStyle w:val="TableDescription"/>
      </w:pPr>
      <w:r w:rsidRPr="000349EF">
        <w:t xml:space="preserve">b. Median follow-up of &gt; 2 months after </w:t>
      </w:r>
      <w:r w:rsidR="00E77586" w:rsidRPr="000349EF">
        <w:t>D</w:t>
      </w:r>
      <w:r w:rsidRPr="000349EF">
        <w:t>ose 2.</w:t>
      </w:r>
    </w:p>
    <w:p w14:paraId="79F1B645" w14:textId="1E8B61A1" w:rsidR="007A6F5E" w:rsidRPr="000349EF" w:rsidRDefault="007A6F5E" w:rsidP="007A6F5E">
      <w:r w:rsidRPr="000349EF">
        <w:t xml:space="preserve">The </w:t>
      </w:r>
      <w:r w:rsidR="00F26284" w:rsidRPr="000349EF">
        <w:t>Spikevax (elasomeran/</w:t>
      </w:r>
      <w:r w:rsidRPr="000349EF">
        <w:t>mRNA-1273</w:t>
      </w:r>
      <w:r w:rsidR="00F26284" w:rsidRPr="000349EF">
        <w:t xml:space="preserve">) vaccine </w:t>
      </w:r>
      <w:r w:rsidRPr="000349EF">
        <w:t xml:space="preserve">is reactogenic with frequent mild to moderate local and systemic </w:t>
      </w:r>
      <w:r w:rsidR="00D23AE4" w:rsidRPr="000349EF">
        <w:t>AR</w:t>
      </w:r>
      <w:r w:rsidRPr="000349EF">
        <w:t xml:space="preserve">s, but </w:t>
      </w:r>
      <w:r w:rsidR="00914237" w:rsidRPr="000349EF">
        <w:t>Grade 3</w:t>
      </w:r>
      <w:r w:rsidRPr="000349EF">
        <w:t xml:space="preserve"> reactions were rare, and the reactions were short-lived. Reactogenicity events were higher after</w:t>
      </w:r>
      <w:r w:rsidR="00F26284" w:rsidRPr="000349EF">
        <w:t xml:space="preserve"> the</w:t>
      </w:r>
      <w:r w:rsidRPr="000349EF">
        <w:t xml:space="preserve"> second dose. There were no vaccine related SAEs, no deaths, no case</w:t>
      </w:r>
      <w:r w:rsidR="00F26284" w:rsidRPr="000349EF">
        <w:t>s</w:t>
      </w:r>
      <w:r w:rsidRPr="000349EF">
        <w:t xml:space="preserve"> of myocarditis</w:t>
      </w:r>
      <w:r w:rsidR="006159A8" w:rsidRPr="000349EF">
        <w:t xml:space="preserve"> or </w:t>
      </w:r>
      <w:r w:rsidRPr="000349EF">
        <w:t xml:space="preserve">pericarditis, and no new safety concerns identified from these children who were followed for the short period of time. </w:t>
      </w:r>
      <w:r w:rsidR="00742530" w:rsidRPr="000349EF">
        <w:t>Obviously,</w:t>
      </w:r>
      <w:r w:rsidRPr="000349EF">
        <w:t xml:space="preserve"> this size of the safety database is not be able to detect very rare </w:t>
      </w:r>
      <w:r w:rsidR="00D23AE4" w:rsidRPr="000349EF">
        <w:t>AE</w:t>
      </w:r>
      <w:r w:rsidRPr="000349EF">
        <w:t>s such as myocarditis, pericarditis, or any immune mediated diseases.</w:t>
      </w:r>
    </w:p>
    <w:p w14:paraId="48EA7545" w14:textId="2A5C3D5A" w:rsidR="007A6F5E" w:rsidRPr="000349EF" w:rsidRDefault="007A6F5E" w:rsidP="007A6F5E">
      <w:r w:rsidRPr="000349EF">
        <w:t xml:space="preserve">The sponsor has been requested by </w:t>
      </w:r>
      <w:r w:rsidR="00742530" w:rsidRPr="000349EF">
        <w:t xml:space="preserve">the </w:t>
      </w:r>
      <w:r w:rsidRPr="000349EF">
        <w:t>TGA to justify the short safety follow</w:t>
      </w:r>
      <w:r w:rsidR="00742530" w:rsidRPr="000349EF">
        <w:t>-</w:t>
      </w:r>
      <w:r w:rsidRPr="000349EF">
        <w:t>up with the data cut</w:t>
      </w:r>
      <w:r w:rsidR="008028EF" w:rsidRPr="000349EF">
        <w:t>-</w:t>
      </w:r>
      <w:r w:rsidRPr="000349EF">
        <w:t xml:space="preserve">off </w:t>
      </w:r>
      <w:r w:rsidR="00E4017F" w:rsidRPr="000349EF">
        <w:t>date of</w:t>
      </w:r>
      <w:r w:rsidRPr="000349EF">
        <w:t xml:space="preserve"> 6 October 2021. The sponsor stated in their response</w:t>
      </w:r>
      <w:r w:rsidR="0044794A" w:rsidRPr="000349EF">
        <w:t xml:space="preserve"> </w:t>
      </w:r>
      <w:r w:rsidRPr="000349EF">
        <w:t xml:space="preserve">that the data snapshot criteria for </w:t>
      </w:r>
      <w:r w:rsidR="00F26284" w:rsidRPr="000349EF">
        <w:t xml:space="preserve">children </w:t>
      </w:r>
      <w:r w:rsidR="00A4402A" w:rsidRPr="000349EF">
        <w:t xml:space="preserve">aged between </w:t>
      </w:r>
      <w:r w:rsidRPr="000349EF">
        <w:t>6 to &lt;</w:t>
      </w:r>
      <w:r w:rsidR="00DD7DB2" w:rsidRPr="000349EF">
        <w:t> </w:t>
      </w:r>
      <w:r w:rsidRPr="000349EF">
        <w:t>12 years was based on the following:</w:t>
      </w:r>
    </w:p>
    <w:p w14:paraId="65A1A9D0" w14:textId="4F5412A8" w:rsidR="007A6F5E" w:rsidRPr="000349EF" w:rsidRDefault="00742530" w:rsidP="007A6F5E">
      <w:pPr>
        <w:pStyle w:val="ListBullet"/>
        <w:rPr>
          <w:lang w:val="en-US" w:eastAsia="ja-JP"/>
        </w:rPr>
      </w:pPr>
      <w:r w:rsidRPr="000349EF">
        <w:rPr>
          <w:lang w:val="en-US" w:eastAsia="ja-JP"/>
        </w:rPr>
        <w:lastRenderedPageBreak/>
        <w:t>p</w:t>
      </w:r>
      <w:r w:rsidR="007A6F5E" w:rsidRPr="000349EF">
        <w:rPr>
          <w:lang w:val="en-US" w:eastAsia="ja-JP"/>
        </w:rPr>
        <w:t>rior discussions (including the recommendations made at the 10 June 21 US FDA Vaccines and Related Biological Products Advisory Committee (VRBPAC)</w:t>
      </w:r>
      <w:proofErr w:type="gramStart"/>
      <w:r w:rsidR="007A6F5E" w:rsidRPr="000349EF">
        <w:rPr>
          <w:lang w:val="en-US" w:eastAsia="ja-JP"/>
        </w:rPr>
        <w:t>)</w:t>
      </w:r>
      <w:r w:rsidRPr="000349EF">
        <w:rPr>
          <w:lang w:val="en-US" w:eastAsia="ja-JP"/>
        </w:rPr>
        <w:t>;</w:t>
      </w:r>
      <w:proofErr w:type="gramEnd"/>
    </w:p>
    <w:p w14:paraId="05FC70ED" w14:textId="0B4FBD05" w:rsidR="007A6F5E" w:rsidRPr="000349EF" w:rsidRDefault="00742530" w:rsidP="007A6F5E">
      <w:pPr>
        <w:pStyle w:val="ListBullet"/>
        <w:rPr>
          <w:lang w:val="en-US" w:eastAsia="ja-JP"/>
        </w:rPr>
      </w:pPr>
      <w:r w:rsidRPr="000349EF">
        <w:rPr>
          <w:lang w:val="en-US" w:eastAsia="ja-JP"/>
        </w:rPr>
        <w:t>t</w:t>
      </w:r>
      <w:r w:rsidR="007A6F5E" w:rsidRPr="000349EF">
        <w:rPr>
          <w:lang w:val="en-US" w:eastAsia="ja-JP"/>
        </w:rPr>
        <w:t xml:space="preserve">he ongoing public health emergency, the increased occurrence of COVID-19 in </w:t>
      </w:r>
      <w:proofErr w:type="gramStart"/>
      <w:r w:rsidR="007A6F5E" w:rsidRPr="000349EF">
        <w:rPr>
          <w:lang w:val="en-US" w:eastAsia="ja-JP"/>
        </w:rPr>
        <w:t>children</w:t>
      </w:r>
      <w:r w:rsidRPr="000349EF">
        <w:rPr>
          <w:lang w:val="en-US" w:eastAsia="ja-JP"/>
        </w:rPr>
        <w:t>;</w:t>
      </w:r>
      <w:proofErr w:type="gramEnd"/>
    </w:p>
    <w:p w14:paraId="4084D7D7" w14:textId="642D1EE6" w:rsidR="007A6F5E" w:rsidRPr="000349EF" w:rsidRDefault="00742530" w:rsidP="007A6F5E">
      <w:pPr>
        <w:pStyle w:val="ListBullet"/>
        <w:rPr>
          <w:lang w:val="en-US" w:eastAsia="ja-JP"/>
        </w:rPr>
      </w:pPr>
      <w:r w:rsidRPr="000349EF">
        <w:rPr>
          <w:lang w:val="en-US" w:eastAsia="ja-JP"/>
        </w:rPr>
        <w:t>c</w:t>
      </w:r>
      <w:r w:rsidR="007A6F5E" w:rsidRPr="000349EF">
        <w:rPr>
          <w:lang w:val="en-US" w:eastAsia="ja-JP"/>
        </w:rPr>
        <w:t xml:space="preserve">lear indications that myocarditis and pericarditis predominantly </w:t>
      </w:r>
      <w:proofErr w:type="gramStart"/>
      <w:r w:rsidR="007A6F5E" w:rsidRPr="000349EF">
        <w:rPr>
          <w:lang w:val="en-US" w:eastAsia="ja-JP"/>
        </w:rPr>
        <w:t>occurs</w:t>
      </w:r>
      <w:proofErr w:type="gramEnd"/>
      <w:r w:rsidR="007A6F5E" w:rsidRPr="000349EF">
        <w:rPr>
          <w:lang w:val="en-US" w:eastAsia="ja-JP"/>
        </w:rPr>
        <w:t xml:space="preserve"> within </w:t>
      </w:r>
      <w:r w:rsidRPr="000349EF">
        <w:rPr>
          <w:lang w:val="en-US" w:eastAsia="ja-JP"/>
        </w:rPr>
        <w:t>one</w:t>
      </w:r>
      <w:r w:rsidR="00F26284" w:rsidRPr="000349EF">
        <w:rPr>
          <w:lang w:val="en-US" w:eastAsia="ja-JP"/>
        </w:rPr>
        <w:t> </w:t>
      </w:r>
      <w:r w:rsidR="007A6F5E" w:rsidRPr="000349EF">
        <w:rPr>
          <w:lang w:val="en-US" w:eastAsia="ja-JP"/>
        </w:rPr>
        <w:t>week post-vaccination.</w:t>
      </w:r>
    </w:p>
    <w:p w14:paraId="43591F3C" w14:textId="77777777" w:rsidR="007A6F5E" w:rsidRPr="000349EF" w:rsidRDefault="007A6F5E" w:rsidP="007A6F5E">
      <w:r w:rsidRPr="000349EF">
        <w:t>The sponsor stated in their response that based on the above, a data snapshot was triggered when the following criteria were met to allow assessment of benefit/risk for this age group:</w:t>
      </w:r>
    </w:p>
    <w:p w14:paraId="4D100941" w14:textId="562FFB52" w:rsidR="007A6F5E" w:rsidRPr="000349EF" w:rsidRDefault="006159A8" w:rsidP="007A6F5E">
      <w:pPr>
        <w:pStyle w:val="ListBullet"/>
        <w:rPr>
          <w:lang w:val="en-US" w:eastAsia="ja-JP"/>
        </w:rPr>
      </w:pPr>
      <w:r w:rsidRPr="000349EF">
        <w:rPr>
          <w:lang w:val="en-US" w:eastAsia="ja-JP"/>
        </w:rPr>
        <w:t>a</w:t>
      </w:r>
      <w:r w:rsidR="007A6F5E" w:rsidRPr="000349EF">
        <w:rPr>
          <w:lang w:val="en-US" w:eastAsia="ja-JP"/>
        </w:rPr>
        <w:t>vailability of immunogenicity data from Part 1 participants in the 6 to &lt; 12</w:t>
      </w:r>
      <w:r w:rsidR="00911CE9" w:rsidRPr="000349EF">
        <w:rPr>
          <w:lang w:val="en-US" w:eastAsia="ja-JP"/>
        </w:rPr>
        <w:t>-</w:t>
      </w:r>
      <w:r w:rsidR="007A6F5E" w:rsidRPr="000349EF">
        <w:rPr>
          <w:lang w:val="en-US" w:eastAsia="ja-JP"/>
        </w:rPr>
        <w:t>year</w:t>
      </w:r>
      <w:r w:rsidR="00F26284" w:rsidRPr="000349EF">
        <w:rPr>
          <w:lang w:val="en-US" w:eastAsia="ja-JP"/>
        </w:rPr>
        <w:t>s of</w:t>
      </w:r>
      <w:r w:rsidR="007A6F5E" w:rsidRPr="000349EF">
        <w:rPr>
          <w:lang w:val="en-US" w:eastAsia="ja-JP"/>
        </w:rPr>
        <w:t xml:space="preserve"> age group who received the selected dose of mRNA-1273 (two 50</w:t>
      </w:r>
      <w:r w:rsidRPr="000349EF">
        <w:rPr>
          <w:lang w:val="en-US" w:eastAsia="ja-JP"/>
        </w:rPr>
        <w:t> </w:t>
      </w:r>
      <w:r w:rsidR="007A6F5E" w:rsidRPr="000349EF">
        <w:rPr>
          <w:lang w:val="en-US" w:eastAsia="ja-JP"/>
        </w:rPr>
        <w:t>µg doses, 28 days apart</w:t>
      </w:r>
      <w:proofErr w:type="gramStart"/>
      <w:r w:rsidR="007A6F5E" w:rsidRPr="000349EF">
        <w:rPr>
          <w:lang w:val="en-US" w:eastAsia="ja-JP"/>
        </w:rPr>
        <w:t>)</w:t>
      </w:r>
      <w:r w:rsidRPr="000349EF">
        <w:rPr>
          <w:lang w:val="en-US" w:eastAsia="ja-JP"/>
        </w:rPr>
        <w:t>;</w:t>
      </w:r>
      <w:proofErr w:type="gramEnd"/>
    </w:p>
    <w:p w14:paraId="7B3FCEE3" w14:textId="6AF19E56" w:rsidR="007A6F5E" w:rsidRPr="000349EF" w:rsidRDefault="006159A8" w:rsidP="007A6F5E">
      <w:pPr>
        <w:pStyle w:val="ListBullet"/>
        <w:rPr>
          <w:lang w:val="en-US" w:eastAsia="ja-JP"/>
        </w:rPr>
      </w:pPr>
      <w:r w:rsidRPr="000349EF">
        <w:rPr>
          <w:lang w:val="en-US" w:eastAsia="ja-JP"/>
        </w:rPr>
        <w:t>a</w:t>
      </w:r>
      <w:r w:rsidR="007A6F5E" w:rsidRPr="000349EF">
        <w:rPr>
          <w:lang w:val="en-US" w:eastAsia="ja-JP"/>
        </w:rPr>
        <w:t xml:space="preserve"> median follow-up of 2 months for at least 1000 mRNA-1273 exposed </w:t>
      </w:r>
      <w:proofErr w:type="gramStart"/>
      <w:r w:rsidR="007A6F5E" w:rsidRPr="000349EF">
        <w:rPr>
          <w:lang w:val="en-US" w:eastAsia="ja-JP"/>
        </w:rPr>
        <w:t>subjects</w:t>
      </w:r>
      <w:r w:rsidRPr="000349EF">
        <w:rPr>
          <w:lang w:val="en-US" w:eastAsia="ja-JP"/>
        </w:rPr>
        <w:t>;</w:t>
      </w:r>
      <w:proofErr w:type="gramEnd"/>
    </w:p>
    <w:p w14:paraId="59F0D738" w14:textId="0049A8CC" w:rsidR="007A6F5E" w:rsidRPr="000349EF" w:rsidRDefault="006159A8" w:rsidP="007A6F5E">
      <w:pPr>
        <w:pStyle w:val="ListBullet"/>
        <w:rPr>
          <w:lang w:val="en-US" w:eastAsia="ja-JP"/>
        </w:rPr>
      </w:pPr>
      <w:r w:rsidRPr="000349EF">
        <w:rPr>
          <w:lang w:val="en-US" w:eastAsia="ja-JP"/>
        </w:rPr>
        <w:t>a</w:t>
      </w:r>
      <w:r w:rsidR="007A6F5E" w:rsidRPr="000349EF">
        <w:rPr>
          <w:lang w:val="en-US" w:eastAsia="ja-JP"/>
        </w:rPr>
        <w:t>t least 7 days and a median of 21 days follow-up for at least 3000 mRNA</w:t>
      </w:r>
      <w:r w:rsidRPr="000349EF">
        <w:rPr>
          <w:lang w:val="en-US" w:eastAsia="ja-JP"/>
        </w:rPr>
        <w:noBreakHyphen/>
      </w:r>
      <w:r w:rsidR="007A6F5E" w:rsidRPr="000349EF">
        <w:rPr>
          <w:lang w:val="en-US" w:eastAsia="ja-JP"/>
        </w:rPr>
        <w:t>1273 exposed subjects</w:t>
      </w:r>
      <w:r w:rsidRPr="000349EF">
        <w:rPr>
          <w:lang w:val="en-US" w:eastAsia="ja-JP"/>
        </w:rPr>
        <w:t>.</w:t>
      </w:r>
    </w:p>
    <w:p w14:paraId="077D69D2" w14:textId="0CB8AA59" w:rsidR="007A6F5E" w:rsidRPr="000349EF" w:rsidRDefault="007A6F5E" w:rsidP="007A6F5E">
      <w:r w:rsidRPr="000349EF">
        <w:t>Safety and efficacy data (assessed as secondary endpoint) are considered immature at this stage. The median follow</w:t>
      </w:r>
      <w:r w:rsidR="00742530" w:rsidRPr="000349EF">
        <w:t>-</w:t>
      </w:r>
      <w:r w:rsidRPr="000349EF">
        <w:t xml:space="preserve">up duration is 20 days </w:t>
      </w:r>
      <w:r w:rsidR="0077374E" w:rsidRPr="000349EF">
        <w:t>post-Dose 2</w:t>
      </w:r>
      <w:r w:rsidRPr="000349EF">
        <w:t xml:space="preserve"> for the randomised placebo controlled part of the study (cut</w:t>
      </w:r>
      <w:r w:rsidR="008028EF" w:rsidRPr="000349EF">
        <w:t>-</w:t>
      </w:r>
      <w:r w:rsidRPr="000349EF">
        <w:t>off of 6 October 2021). The sponsor is asked when the data with the median follow</w:t>
      </w:r>
      <w:r w:rsidR="00742530" w:rsidRPr="000349EF">
        <w:t>-</w:t>
      </w:r>
      <w:r w:rsidRPr="000349EF">
        <w:t xml:space="preserve">up duration of 2 months </w:t>
      </w:r>
      <w:r w:rsidR="0077374E" w:rsidRPr="000349EF">
        <w:t>post-Dose 2</w:t>
      </w:r>
      <w:r w:rsidRPr="000349EF">
        <w:t xml:space="preserve"> (for Part 2) will be available.</w:t>
      </w:r>
      <w:r w:rsidR="006159A8" w:rsidRPr="000349EF">
        <w:t xml:space="preserve"> </w:t>
      </w:r>
      <w:r w:rsidR="00F26284" w:rsidRPr="000349EF">
        <w:t xml:space="preserve">Advice from the </w:t>
      </w:r>
      <w:r w:rsidRPr="000349EF">
        <w:t xml:space="preserve">ACV is sought as to whether </w:t>
      </w:r>
      <w:r w:rsidR="00F26284" w:rsidRPr="000349EF">
        <w:t>conclusions</w:t>
      </w:r>
      <w:r w:rsidRPr="000349EF">
        <w:t xml:space="preserve"> on the benefit risks balance </w:t>
      </w:r>
      <w:r w:rsidR="00F26284" w:rsidRPr="000349EF">
        <w:t xml:space="preserve">can be concluded </w:t>
      </w:r>
      <w:r w:rsidRPr="000349EF">
        <w:t xml:space="preserve">with the currently submitted </w:t>
      </w:r>
      <w:proofErr w:type="gramStart"/>
      <w:r w:rsidRPr="000349EF">
        <w:t>data ,</w:t>
      </w:r>
      <w:proofErr w:type="gramEnd"/>
      <w:r w:rsidRPr="000349EF">
        <w:t xml:space="preserve"> taking into consideration of the available experience of this vaccine in adults and adolescents from clinical trials</w:t>
      </w:r>
      <w:r w:rsidR="00F26284" w:rsidRPr="000349EF">
        <w:t xml:space="preserve"> </w:t>
      </w:r>
      <w:r w:rsidRPr="000349EF">
        <w:t>and the real world use, and with the sponsor’s commitment to submit the timely update on the safety analysis of the ongoing Study</w:t>
      </w:r>
      <w:r w:rsidR="006159A8" w:rsidRPr="000349EF">
        <w:t> </w:t>
      </w:r>
      <w:r w:rsidRPr="000349EF">
        <w:t>P204.</w:t>
      </w:r>
    </w:p>
    <w:p w14:paraId="71515508" w14:textId="47C1AA14" w:rsidR="007A6F5E" w:rsidRPr="000349EF" w:rsidRDefault="007A6F5E" w:rsidP="007A6F5E">
      <w:pPr>
        <w:pStyle w:val="Heading5"/>
        <w:rPr>
          <w:lang w:val="en-GB"/>
        </w:rPr>
      </w:pPr>
      <w:bookmarkStart w:id="89" w:name="_Toc87980896"/>
      <w:r w:rsidRPr="000349EF">
        <w:rPr>
          <w:lang w:val="en-GB"/>
        </w:rPr>
        <w:t>Potential risk of myocarditis</w:t>
      </w:r>
      <w:r w:rsidR="006159A8" w:rsidRPr="000349EF">
        <w:rPr>
          <w:lang w:val="en-GB"/>
        </w:rPr>
        <w:t xml:space="preserve"> and </w:t>
      </w:r>
      <w:r w:rsidRPr="000349EF">
        <w:rPr>
          <w:lang w:val="en-GB"/>
        </w:rPr>
        <w:t>pericarditis</w:t>
      </w:r>
      <w:bookmarkEnd w:id="89"/>
    </w:p>
    <w:p w14:paraId="7B373E9B" w14:textId="7C08D841" w:rsidR="007A6F5E" w:rsidRPr="000349EF" w:rsidRDefault="007A6F5E" w:rsidP="007A6F5E">
      <w:r w:rsidRPr="000349EF">
        <w:t>Myocarditis is recognised as a known but very rare side effect of mRNA COV</w:t>
      </w:r>
      <w:r w:rsidR="007E0AF7" w:rsidRPr="000349EF">
        <w:t>I</w:t>
      </w:r>
      <w:r w:rsidRPr="000349EF">
        <w:t>D</w:t>
      </w:r>
      <w:r w:rsidR="004F57E1" w:rsidRPr="000349EF">
        <w:noBreakHyphen/>
      </w:r>
      <w:r w:rsidRPr="000349EF">
        <w:t>1</w:t>
      </w:r>
      <w:r w:rsidR="007E0AF7" w:rsidRPr="000349EF">
        <w:t>9</w:t>
      </w:r>
      <w:r w:rsidRPr="000349EF">
        <w:t xml:space="preserve"> vaccines. Reports received by the TGA of suspected myocarditis and pericarditis for mRNA vaccines</w:t>
      </w:r>
      <w:r w:rsidR="006159A8" w:rsidRPr="000349EF">
        <w:t xml:space="preserve"> </w:t>
      </w:r>
      <w:r w:rsidRPr="000349EF">
        <w:t xml:space="preserve">can be found on </w:t>
      </w:r>
      <w:r w:rsidR="006159A8" w:rsidRPr="000349EF">
        <w:t xml:space="preserve">the </w:t>
      </w:r>
      <w:r w:rsidRPr="000349EF">
        <w:t>TGA website.</w:t>
      </w:r>
      <w:r w:rsidR="006159A8" w:rsidRPr="000349EF">
        <w:rPr>
          <w:rStyle w:val="FootnoteReference"/>
        </w:rPr>
        <w:footnoteReference w:id="31"/>
      </w:r>
      <w:r w:rsidRPr="000349EF">
        <w:t xml:space="preserve"> As </w:t>
      </w:r>
      <w:r w:rsidR="006159A8" w:rsidRPr="000349EF">
        <w:t xml:space="preserve">the </w:t>
      </w:r>
      <w:r w:rsidRPr="000349EF">
        <w:t xml:space="preserve">TGA has received limited </w:t>
      </w:r>
      <w:r w:rsidR="00D23AE4" w:rsidRPr="000349EF">
        <w:t>AE</w:t>
      </w:r>
      <w:r w:rsidRPr="000349EF">
        <w:t xml:space="preserve"> reports for Spikevax, the analysis of likely myocarditis cases focuses on data for the Comirnaty (</w:t>
      </w:r>
      <w:r w:rsidR="0044794A" w:rsidRPr="000349EF">
        <w:t>Pfizer/BioNTech</w:t>
      </w:r>
      <w:r w:rsidRPr="000349EF">
        <w:t xml:space="preserve">) vaccine. The estimated reporting rates in Australia appear </w:t>
      </w:r>
      <w:proofErr w:type="gramStart"/>
      <w:r w:rsidRPr="000349EF">
        <w:t>similar to</w:t>
      </w:r>
      <w:proofErr w:type="gramEnd"/>
      <w:r w:rsidRPr="000349EF">
        <w:t xml:space="preserve"> overseas rates. </w:t>
      </w:r>
      <w:r w:rsidR="00F26284" w:rsidRPr="000349EF">
        <w:t xml:space="preserve">Up to </w:t>
      </w:r>
      <w:r w:rsidRPr="000349EF">
        <w:t>14 November 2021, the TGA has received 315 reports which have been assessed as likely to be myocarditis from about 23.4 million doses of Comirnaty</w:t>
      </w:r>
      <w:r w:rsidR="00C660A0" w:rsidRPr="000349EF">
        <w:t xml:space="preserve"> vaccine</w:t>
      </w:r>
      <w:r w:rsidRPr="000349EF">
        <w:t>.</w:t>
      </w:r>
    </w:p>
    <w:p w14:paraId="1169AADC" w14:textId="1BEC0D21" w:rsidR="007A6F5E" w:rsidRPr="000349EF" w:rsidRDefault="007A6F5E" w:rsidP="007A6F5E">
      <w:r w:rsidRPr="000349EF">
        <w:t xml:space="preserve">It is noted that in early December 2021, the EMA’s </w:t>
      </w:r>
      <w:r w:rsidR="007E0AF7" w:rsidRPr="000349EF">
        <w:t>Pharmacovigilance Risk Assessment Committee (PRAC)</w:t>
      </w:r>
      <w:r w:rsidRPr="000349EF">
        <w:t xml:space="preserve"> assessed recent data on the known risk of myocarditis and pericarditis following vaccination with COVID-19 vaccines Comirnaty and Spikevax.</w:t>
      </w:r>
      <w:r w:rsidR="006159A8" w:rsidRPr="000349EF">
        <w:rPr>
          <w:rStyle w:val="FootnoteReference"/>
        </w:rPr>
        <w:footnoteReference w:id="32"/>
      </w:r>
      <w:r w:rsidRPr="000349EF">
        <w:t xml:space="preserve"> This review included two large European epidemiological studies. One study was conducted using data from the French national health system and the other one was based on Nordic registry data. The outcome of the review confirms the risk of myocarditis and pericarditis, which is </w:t>
      </w:r>
      <w:r w:rsidRPr="000349EF">
        <w:lastRenderedPageBreak/>
        <w:t>already reflected in the</w:t>
      </w:r>
      <w:r w:rsidR="006159A8" w:rsidRPr="000349EF">
        <w:t xml:space="preserve"> PI </w:t>
      </w:r>
      <w:r w:rsidRPr="000349EF">
        <w:t>for these two vaccines,</w:t>
      </w:r>
      <w:r w:rsidR="006159A8" w:rsidRPr="000349EF">
        <w:rPr>
          <w:rStyle w:val="FootnoteReference"/>
        </w:rPr>
        <w:footnoteReference w:id="33"/>
      </w:r>
      <w:r w:rsidR="0060363F" w:rsidRPr="000349EF">
        <w:rPr>
          <w:vertAlign w:val="superscript"/>
        </w:rPr>
        <w:t>,</w:t>
      </w:r>
      <w:r w:rsidR="0060363F" w:rsidRPr="000349EF">
        <w:rPr>
          <w:rStyle w:val="FootnoteReference"/>
        </w:rPr>
        <w:footnoteReference w:id="34"/>
      </w:r>
      <w:r w:rsidRPr="000349EF">
        <w:t xml:space="preserve"> and provides further details on these two conditions. Based on the reviewed data, the</w:t>
      </w:r>
      <w:r w:rsidR="007E0AF7" w:rsidRPr="000349EF">
        <w:t xml:space="preserve"> PRAC </w:t>
      </w:r>
      <w:r w:rsidRPr="000349EF">
        <w:t xml:space="preserve">has determined that the risk for </w:t>
      </w:r>
      <w:proofErr w:type="gramStart"/>
      <w:r w:rsidRPr="000349EF">
        <w:t>both of these</w:t>
      </w:r>
      <w:proofErr w:type="gramEnd"/>
      <w:r w:rsidRPr="000349EF">
        <w:t xml:space="preserve"> conditions is overall </w:t>
      </w:r>
      <w:r w:rsidR="006159A8" w:rsidRPr="000349EF">
        <w:t>‘</w:t>
      </w:r>
      <w:r w:rsidRPr="000349EF">
        <w:rPr>
          <w:i/>
          <w:iCs/>
        </w:rPr>
        <w:t>very rare</w:t>
      </w:r>
      <w:r w:rsidR="006159A8" w:rsidRPr="000349EF">
        <w:t>’</w:t>
      </w:r>
      <w:r w:rsidRPr="000349EF">
        <w:t xml:space="preserve">, meaning that up to one in 10,000 vaccinated people may be affected. Additionally, the data show that the increased risk of myocarditis after vaccination is highest in younger males. The French and Nordic </w:t>
      </w:r>
      <w:r w:rsidR="00C660A0" w:rsidRPr="000349EF">
        <w:t xml:space="preserve">data </w:t>
      </w:r>
      <w:r w:rsidRPr="000349EF">
        <w:t xml:space="preserve">provide estimates of the number of extra cases of myocarditis in younger males following the second dose, compared to unexposed persons of the same age and gender. In the case of Spikevax, the French </w:t>
      </w:r>
      <w:r w:rsidR="00C660A0" w:rsidRPr="000349EF">
        <w:t xml:space="preserve">data </w:t>
      </w:r>
      <w:r w:rsidRPr="000349EF">
        <w:t xml:space="preserve">showed that in a period of seven days after the second dose there were about 1.3 extra cases of myocarditis in 12 to 29-year-old males per 10,000 </w:t>
      </w:r>
      <w:r w:rsidR="00C660A0" w:rsidRPr="000349EF">
        <w:t xml:space="preserve">treated population </w:t>
      </w:r>
      <w:r w:rsidRPr="000349EF">
        <w:t xml:space="preserve">compared to unexposed persons. The Nordic </w:t>
      </w:r>
      <w:r w:rsidR="00C660A0" w:rsidRPr="000349EF">
        <w:t xml:space="preserve">data </w:t>
      </w:r>
      <w:r w:rsidRPr="000349EF">
        <w:t xml:space="preserve">show that in a period of 28 days after the second dose of Spikevax there were around 1.9 extra cases of myocarditis in 16 to 24-year-old males per 10,000 </w:t>
      </w:r>
      <w:r w:rsidR="00C660A0" w:rsidRPr="000349EF">
        <w:t xml:space="preserve">treated population </w:t>
      </w:r>
      <w:r w:rsidRPr="000349EF">
        <w:t xml:space="preserve">compared to unexposed persons. Available data suggest that the course of myocarditis and pericarditis following vaccination is not different from myocarditis or pericarditis in general. </w:t>
      </w:r>
      <w:r w:rsidR="006159A8" w:rsidRPr="000349EF">
        <w:t xml:space="preserve">The </w:t>
      </w:r>
      <w:r w:rsidRPr="000349EF">
        <w:t>EMA confirms that the benefits of all authorised COVID</w:t>
      </w:r>
      <w:r w:rsidR="006159A8" w:rsidRPr="000349EF">
        <w:noBreakHyphen/>
      </w:r>
      <w:r w:rsidRPr="000349EF">
        <w:t>19 vaccines continue to outweigh their risks, given the risk of COVID-19 illness and related complications, and as scientific evidence shows that they reduce deaths and hospitalisations due to COVID-19.</w:t>
      </w:r>
    </w:p>
    <w:p w14:paraId="1DCC78CA" w14:textId="71CD5C9F" w:rsidR="007A6F5E" w:rsidRPr="000349EF" w:rsidRDefault="007A6F5E" w:rsidP="007A6F5E">
      <w:r w:rsidRPr="000349EF">
        <w:t>The</w:t>
      </w:r>
      <w:r w:rsidR="007E0AF7" w:rsidRPr="000349EF">
        <w:t xml:space="preserve"> PRAC </w:t>
      </w:r>
      <w:r w:rsidRPr="000349EF">
        <w:t>has recommended updating the</w:t>
      </w:r>
      <w:r w:rsidR="006159A8" w:rsidRPr="000349EF">
        <w:t xml:space="preserve"> PI</w:t>
      </w:r>
      <w:r w:rsidRPr="000349EF">
        <w:t xml:space="preserve"> with stronger wording. The stronger wording has now been </w:t>
      </w:r>
      <w:r w:rsidR="006159A8" w:rsidRPr="000349EF">
        <w:t>incorporated</w:t>
      </w:r>
      <w:r w:rsidRPr="000349EF">
        <w:t xml:space="preserve"> into the Australian PI with the </w:t>
      </w:r>
      <w:r w:rsidR="00CA0969" w:rsidRPr="000349EF">
        <w:t>Spikevax</w:t>
      </w:r>
      <w:r w:rsidRPr="000349EF">
        <w:t xml:space="preserve"> booster dose application (PM</w:t>
      </w:r>
      <w:r w:rsidR="00127263" w:rsidRPr="000349EF">
        <w:t>-</w:t>
      </w:r>
      <w:r w:rsidRPr="000349EF">
        <w:t>2021-05131-1-2).</w:t>
      </w:r>
      <w:r w:rsidR="00127263" w:rsidRPr="000349EF">
        <w:rPr>
          <w:rStyle w:val="FootnoteReference"/>
        </w:rPr>
        <w:footnoteReference w:id="35"/>
      </w:r>
      <w:r w:rsidRPr="000349EF">
        <w:t xml:space="preserve"> The current PI statements are as follows:</w:t>
      </w:r>
    </w:p>
    <w:p w14:paraId="4842A012" w14:textId="0C6CD3EA" w:rsidR="007A6F5E" w:rsidRPr="000349EF" w:rsidRDefault="006159A8" w:rsidP="006159A8">
      <w:pPr>
        <w:ind w:left="720"/>
        <w:rPr>
          <w:i/>
          <w:iCs/>
        </w:rPr>
      </w:pPr>
      <w:r w:rsidRPr="000349EF">
        <w:rPr>
          <w:i/>
          <w:iCs/>
        </w:rPr>
        <w:t>‘</w:t>
      </w:r>
      <w:r w:rsidR="007A6F5E" w:rsidRPr="000349EF">
        <w:rPr>
          <w:i/>
          <w:iCs/>
        </w:rPr>
        <w:t>Myocarditis and pericarditis</w:t>
      </w:r>
    </w:p>
    <w:p w14:paraId="3F039F57" w14:textId="18383D3F" w:rsidR="007A6F5E" w:rsidRPr="000349EF" w:rsidRDefault="007A6F5E" w:rsidP="006159A8">
      <w:pPr>
        <w:ind w:left="720"/>
        <w:rPr>
          <w:i/>
          <w:iCs/>
        </w:rPr>
      </w:pPr>
      <w:r w:rsidRPr="000349EF">
        <w:rPr>
          <w:i/>
          <w:iCs/>
        </w:rPr>
        <w:t xml:space="preserve">There is an increased risk for myocarditis and pericarditis following vaccination with </w:t>
      </w:r>
      <w:r w:rsidR="00CA0969" w:rsidRPr="000349EF">
        <w:rPr>
          <w:i/>
          <w:iCs/>
        </w:rPr>
        <w:t>Spikevax</w:t>
      </w:r>
      <w:r w:rsidRPr="000349EF">
        <w:rPr>
          <w:i/>
          <w:iCs/>
        </w:rPr>
        <w:t>.</w:t>
      </w:r>
    </w:p>
    <w:p w14:paraId="0904AD6B" w14:textId="77777777" w:rsidR="007A6F5E" w:rsidRPr="000349EF" w:rsidRDefault="007A6F5E" w:rsidP="006159A8">
      <w:pPr>
        <w:ind w:left="720"/>
        <w:rPr>
          <w:i/>
          <w:iCs/>
        </w:rPr>
      </w:pPr>
      <w:r w:rsidRPr="000349EF">
        <w:rPr>
          <w:i/>
          <w:iCs/>
        </w:rPr>
        <w:t xml:space="preserve">These conditions can develop within just a few days after </w:t>
      </w:r>
      <w:proofErr w:type="gramStart"/>
      <w:r w:rsidRPr="000349EF">
        <w:rPr>
          <w:i/>
          <w:iCs/>
        </w:rPr>
        <w:t>vaccination, and</w:t>
      </w:r>
      <w:proofErr w:type="gramEnd"/>
      <w:r w:rsidRPr="000349EF">
        <w:rPr>
          <w:i/>
          <w:iCs/>
        </w:rPr>
        <w:t xml:space="preserve"> have primarily occurred within 14 days. They have been observed more often after the second dose, and more often in adolescent and young adult males.</w:t>
      </w:r>
    </w:p>
    <w:p w14:paraId="137D8910" w14:textId="24F9B68D" w:rsidR="007A6F5E" w:rsidRPr="000349EF" w:rsidRDefault="007A6F5E" w:rsidP="006159A8">
      <w:pPr>
        <w:ind w:left="720"/>
        <w:rPr>
          <w:i/>
          <w:iCs/>
        </w:rPr>
      </w:pPr>
      <w:r w:rsidRPr="000349EF">
        <w:rPr>
          <w:i/>
          <w:iCs/>
        </w:rPr>
        <w:t>Available data suggest that the course of myocarditis and pericarditis following vaccination is not different from myocarditis or pericarditis in general. Available short-term follow-up data suggest that the symptoms resolve in most individuals, but information on long</w:t>
      </w:r>
      <w:r w:rsidR="00742530" w:rsidRPr="000349EF">
        <w:rPr>
          <w:i/>
          <w:iCs/>
        </w:rPr>
        <w:t>-</w:t>
      </w:r>
      <w:r w:rsidRPr="000349EF">
        <w:rPr>
          <w:i/>
          <w:iCs/>
        </w:rPr>
        <w:t>term sequelae is lacking.</w:t>
      </w:r>
    </w:p>
    <w:p w14:paraId="51FFDE36" w14:textId="77777777" w:rsidR="007A6F5E" w:rsidRPr="000349EF" w:rsidRDefault="007A6F5E" w:rsidP="006159A8">
      <w:pPr>
        <w:ind w:left="720"/>
        <w:rPr>
          <w:i/>
          <w:iCs/>
        </w:rPr>
      </w:pPr>
      <w:r w:rsidRPr="000349EF">
        <w:rPr>
          <w:i/>
          <w:iCs/>
        </w:rPr>
        <w:t>Healthcare professionals should be alert to the signs and symptoms of myocarditis and pericarditis.</w:t>
      </w:r>
    </w:p>
    <w:p w14:paraId="018812D9" w14:textId="7FAC953C" w:rsidR="007A6F5E" w:rsidRPr="000349EF" w:rsidRDefault="007A6F5E" w:rsidP="006159A8">
      <w:pPr>
        <w:ind w:left="720"/>
        <w:rPr>
          <w:i/>
          <w:iCs/>
        </w:rPr>
      </w:pPr>
      <w:r w:rsidRPr="000349EF">
        <w:rPr>
          <w:i/>
          <w:iCs/>
        </w:rPr>
        <w:t>Vaccine recipients should be instructed to seek immediate medical attention if they develop symptoms indicative of myocarditis or pericarditis such as (acute and persisting) chest pain, shortness of breath, or palpitations following vaccination. Healthcare professionals should consult guidance and/or specialists to diagnose and treat this condition.</w:t>
      </w:r>
    </w:p>
    <w:p w14:paraId="4663B47A" w14:textId="2F328AFA" w:rsidR="007A6F5E" w:rsidRPr="000349EF" w:rsidRDefault="007A6F5E" w:rsidP="006159A8">
      <w:pPr>
        <w:ind w:left="720"/>
        <w:rPr>
          <w:i/>
          <w:iCs/>
        </w:rPr>
      </w:pPr>
      <w:r w:rsidRPr="000349EF">
        <w:rPr>
          <w:i/>
          <w:iCs/>
        </w:rPr>
        <w:t>For further details, please refer to the relevant clinical guidelines developed by the Australian Technical Advisory Group on Immunisation.</w:t>
      </w:r>
      <w:r w:rsidR="006159A8" w:rsidRPr="000349EF">
        <w:rPr>
          <w:i/>
          <w:iCs/>
        </w:rPr>
        <w:t>’</w:t>
      </w:r>
    </w:p>
    <w:p w14:paraId="427AAEF8" w14:textId="545A184C" w:rsidR="007A6F5E" w:rsidRPr="000349EF" w:rsidRDefault="007A6F5E" w:rsidP="007A6F5E">
      <w:r w:rsidRPr="000349EF">
        <w:lastRenderedPageBreak/>
        <w:t xml:space="preserve">The risks of myocarditis and pericarditis cannot be assessed </w:t>
      </w:r>
      <w:proofErr w:type="gramStart"/>
      <w:r w:rsidRPr="000349EF">
        <w:t>on the basis of</w:t>
      </w:r>
      <w:proofErr w:type="gramEnd"/>
      <w:r w:rsidR="00C660A0" w:rsidRPr="000349EF">
        <w:t xml:space="preserve"> the</w:t>
      </w:r>
      <w:r w:rsidRPr="000349EF">
        <w:t xml:space="preserve"> submitted data in the 6 to &lt; 12</w:t>
      </w:r>
      <w:r w:rsidR="006159A8" w:rsidRPr="000349EF">
        <w:t>-</w:t>
      </w:r>
      <w:r w:rsidRPr="000349EF">
        <w:t>years</w:t>
      </w:r>
      <w:r w:rsidR="00C660A0" w:rsidRPr="000349EF">
        <w:t xml:space="preserve"> of</w:t>
      </w:r>
      <w:r w:rsidRPr="000349EF">
        <w:t xml:space="preserve"> age group. There were no cases of myocarditis detected during the clinical trials with this age group up to the cut</w:t>
      </w:r>
      <w:r w:rsidR="008028EF" w:rsidRPr="000349EF">
        <w:t>-</w:t>
      </w:r>
      <w:r w:rsidRPr="000349EF">
        <w:t>off date (6 October 2021), but the size of the study is certainly not sufficient to detect very rare events and the duration of follow</w:t>
      </w:r>
      <w:r w:rsidR="00742530" w:rsidRPr="000349EF">
        <w:t>-</w:t>
      </w:r>
      <w:r w:rsidRPr="000349EF">
        <w:t>up is very short. It is also difficult to estimate the risk potential of myocarditis and pericarditis in the 6</w:t>
      </w:r>
      <w:r w:rsidR="00F949A2" w:rsidRPr="000349EF">
        <w:t xml:space="preserve"> to </w:t>
      </w:r>
      <w:r w:rsidRPr="000349EF">
        <w:t>&lt; 12</w:t>
      </w:r>
      <w:r w:rsidR="00F949A2" w:rsidRPr="000349EF">
        <w:t>-</w:t>
      </w:r>
      <w:r w:rsidRPr="000349EF">
        <w:t>year</w:t>
      </w:r>
      <w:r w:rsidR="00C660A0" w:rsidRPr="000349EF">
        <w:t>s of</w:t>
      </w:r>
      <w:r w:rsidRPr="000349EF">
        <w:t xml:space="preserve"> age group, as the proposed dose for this age group is half the dose used in adults and adolescents. Active surveillance is important to timely detect any potential risk in this age group.</w:t>
      </w:r>
    </w:p>
    <w:p w14:paraId="26D575B4" w14:textId="77777777" w:rsidR="00D23139" w:rsidRPr="000349EF" w:rsidRDefault="00D23139" w:rsidP="00D23139">
      <w:pPr>
        <w:pStyle w:val="Heading4"/>
      </w:pPr>
      <w:r w:rsidRPr="000349EF">
        <w:t>Proposed action</w:t>
      </w:r>
    </w:p>
    <w:p w14:paraId="4426A107" w14:textId="67D86ED3" w:rsidR="007A6F5E" w:rsidRPr="000349EF" w:rsidRDefault="007A6F5E" w:rsidP="007A6F5E">
      <w:r w:rsidRPr="000349EF">
        <w:t xml:space="preserve">The submitted immunobridging data from Study P204 demonstrated that vaccination of children 6 to &lt; 12 </w:t>
      </w:r>
      <w:r w:rsidR="003E53F0" w:rsidRPr="000349EF">
        <w:t>years of age</w:t>
      </w:r>
      <w:r w:rsidRPr="000349EF">
        <w:t xml:space="preserve"> with 50 µg mRNA-1273 primary series is associated with non-inferior anti-SARS-CoV-2 </w:t>
      </w:r>
      <w:proofErr w:type="spellStart"/>
      <w:r w:rsidR="00B52F4B" w:rsidRPr="000349EF">
        <w:t>nAb</w:t>
      </w:r>
      <w:proofErr w:type="spellEnd"/>
      <w:r w:rsidRPr="000349EF">
        <w:t xml:space="preserve"> responses when compared to that in individuals 18</w:t>
      </w:r>
      <w:r w:rsidR="00F949A2" w:rsidRPr="000349EF">
        <w:t xml:space="preserve"> to </w:t>
      </w:r>
      <w:r w:rsidRPr="000349EF">
        <w:t xml:space="preserve">25 years old from Study P301. There are discrepancies in the </w:t>
      </w:r>
      <w:proofErr w:type="spellStart"/>
      <w:r w:rsidRPr="000349EF">
        <w:t>nAB</w:t>
      </w:r>
      <w:proofErr w:type="spellEnd"/>
      <w:r w:rsidRPr="000349EF">
        <w:t xml:space="preserve"> GMT readouts among different subsets of children (due to assay variability according to </w:t>
      </w:r>
      <w:r w:rsidR="006159A8" w:rsidRPr="000349EF">
        <w:t>the sponsor</w:t>
      </w:r>
      <w:r w:rsidRPr="000349EF">
        <w:t>), but non</w:t>
      </w:r>
      <w:r w:rsidR="00F949A2" w:rsidRPr="000349EF">
        <w:noBreakHyphen/>
      </w:r>
      <w:r w:rsidRPr="000349EF">
        <w:t xml:space="preserve">inferiority criteria have all been met and immunobridging is </w:t>
      </w:r>
      <w:r w:rsidR="00C02190" w:rsidRPr="000349EF">
        <w:t xml:space="preserve">considered as having been </w:t>
      </w:r>
      <w:r w:rsidRPr="000349EF">
        <w:t>successfully</w:t>
      </w:r>
      <w:r w:rsidR="00C02190" w:rsidRPr="000349EF">
        <w:t xml:space="preserve"> shown</w:t>
      </w:r>
      <w:r w:rsidRPr="000349EF">
        <w:t>. Questions were raised with regards to the dose finding exercise, and whether a lower dose (&lt; 50</w:t>
      </w:r>
      <w:r w:rsidR="00F949A2" w:rsidRPr="000349EF">
        <w:t> </w:t>
      </w:r>
      <w:proofErr w:type="spellStart"/>
      <w:r w:rsidRPr="000349EF">
        <w:t>μg</w:t>
      </w:r>
      <w:proofErr w:type="spellEnd"/>
      <w:r w:rsidRPr="000349EF">
        <w:t>) might result in better tolerability and provide an adequate immune response.</w:t>
      </w:r>
    </w:p>
    <w:p w14:paraId="18FC579F" w14:textId="7241A37F" w:rsidR="007A6F5E" w:rsidRPr="000349EF" w:rsidRDefault="007A6F5E" w:rsidP="007A6F5E">
      <w:bookmarkStart w:id="90" w:name="_Hlk90553188"/>
      <w:r w:rsidRPr="000349EF">
        <w:t>For the safety analysis, it is noted that the safety analysis on the cut-off date of 6</w:t>
      </w:r>
      <w:r w:rsidR="00F949A2" w:rsidRPr="000349EF">
        <w:t> </w:t>
      </w:r>
      <w:r w:rsidRPr="000349EF">
        <w:t>Oct</w:t>
      </w:r>
      <w:r w:rsidR="00F949A2" w:rsidRPr="000349EF">
        <w:t>ober </w:t>
      </w:r>
      <w:r w:rsidRPr="000349EF">
        <w:t xml:space="preserve">2021 is not a pre-specified analysis. The planned interim safety analysis was to be done when a subset or all participants have completed Day 57 (2 months </w:t>
      </w:r>
      <w:r w:rsidR="0077374E" w:rsidRPr="000349EF">
        <w:t>post-Dose</w:t>
      </w:r>
      <w:r w:rsidR="00F949A2" w:rsidRPr="000349EF">
        <w:t> </w:t>
      </w:r>
      <w:r w:rsidR="0077374E" w:rsidRPr="000349EF">
        <w:t>2</w:t>
      </w:r>
      <w:r w:rsidRPr="000349EF">
        <w:t>). With the cut</w:t>
      </w:r>
      <w:r w:rsidR="008028EF" w:rsidRPr="000349EF">
        <w:t>-</w:t>
      </w:r>
      <w:r w:rsidRPr="000349EF">
        <w:t xml:space="preserve">off on 6 October 2021, the median duration is only 20 days </w:t>
      </w:r>
      <w:r w:rsidR="0077374E" w:rsidRPr="000349EF">
        <w:t>post-Dose 2</w:t>
      </w:r>
      <w:r w:rsidRPr="000349EF">
        <w:t xml:space="preserve">. </w:t>
      </w:r>
      <w:bookmarkEnd w:id="90"/>
      <w:r w:rsidRPr="000349EF">
        <w:t xml:space="preserve">Based on the submitted data, the reactogenicity profile in children 6 to &lt; 12 </w:t>
      </w:r>
      <w:r w:rsidR="003E53F0" w:rsidRPr="000349EF">
        <w:t>years of age</w:t>
      </w:r>
      <w:r w:rsidRPr="000349EF">
        <w:t xml:space="preserve"> (Study</w:t>
      </w:r>
      <w:r w:rsidR="00F949A2" w:rsidRPr="000349EF">
        <w:t> </w:t>
      </w:r>
      <w:r w:rsidRPr="000349EF">
        <w:t xml:space="preserve">P204 participants) were </w:t>
      </w:r>
      <w:proofErr w:type="gramStart"/>
      <w:r w:rsidRPr="000349EF">
        <w:t>similar to</w:t>
      </w:r>
      <w:proofErr w:type="gramEnd"/>
      <w:r w:rsidRPr="000349EF">
        <w:t xml:space="preserve"> that observed in individuals 18</w:t>
      </w:r>
      <w:r w:rsidR="00F949A2" w:rsidRPr="000349EF">
        <w:t xml:space="preserve"> to </w:t>
      </w:r>
      <w:r w:rsidRPr="000349EF">
        <w:t xml:space="preserve">25 </w:t>
      </w:r>
      <w:r w:rsidR="003E53F0" w:rsidRPr="000349EF">
        <w:t>years of age</w:t>
      </w:r>
      <w:r w:rsidRPr="000349EF">
        <w:t xml:space="preserve"> in Study P301, but fever was more common in children 6 to &lt; 12 </w:t>
      </w:r>
      <w:r w:rsidR="003E53F0" w:rsidRPr="000349EF">
        <w:t>years of age</w:t>
      </w:r>
      <w:r w:rsidRPr="000349EF">
        <w:t xml:space="preserve"> (Study</w:t>
      </w:r>
      <w:r w:rsidR="00F949A2" w:rsidRPr="000349EF">
        <w:t> </w:t>
      </w:r>
      <w:r w:rsidRPr="000349EF">
        <w:t>P204 participants) than in Study P301 participants. Grade 3 fever was also more frequent in Study P204 participants than in Study P301 participants. There were no new safety concerns identified in Study P204 participants with the short duration of follow</w:t>
      </w:r>
      <w:r w:rsidR="00742530" w:rsidRPr="000349EF">
        <w:t>-</w:t>
      </w:r>
      <w:r w:rsidRPr="000349EF">
        <w:t xml:space="preserve">up, noting that the size of the study is not sufficient to detect very rare events. Post-market active surveillance is important in monitoring rare </w:t>
      </w:r>
      <w:r w:rsidR="00D23AE4" w:rsidRPr="000349EF">
        <w:t>AE</w:t>
      </w:r>
      <w:r w:rsidRPr="000349EF">
        <w:t>s.</w:t>
      </w:r>
    </w:p>
    <w:p w14:paraId="23BA2C94" w14:textId="340178C0" w:rsidR="007A6F5E" w:rsidRPr="000349EF" w:rsidRDefault="007A6F5E" w:rsidP="007A6F5E">
      <w:r w:rsidRPr="000349EF">
        <w:t xml:space="preserve">Children with stable chronic underlying disease </w:t>
      </w:r>
      <w:proofErr w:type="gramStart"/>
      <w:r w:rsidRPr="000349EF">
        <w:t>were allowed to</w:t>
      </w:r>
      <w:proofErr w:type="gramEnd"/>
      <w:r w:rsidRPr="000349EF">
        <w:t xml:space="preserve"> be enrolled into the trial and the children enrolled in Study P204 were those who were in a </w:t>
      </w:r>
      <w:r w:rsidR="00F949A2" w:rsidRPr="000349EF">
        <w:t>reasonably</w:t>
      </w:r>
      <w:r w:rsidRPr="000349EF">
        <w:t xml:space="preserve"> good </w:t>
      </w:r>
      <w:r w:rsidR="00C02190" w:rsidRPr="000349EF">
        <w:t xml:space="preserve">state of </w:t>
      </w:r>
      <w:r w:rsidRPr="000349EF">
        <w:t>health. No conclusion on the safety profile in individuals with severe comorbidities or who are immunocompromised can be drawn from the study. It is currently unknown with regards to duration of vaccine protection in children and, whether the current vaccine can provide protection against newly emerging variants.</w:t>
      </w:r>
    </w:p>
    <w:p w14:paraId="7CB88CAD" w14:textId="1F62EB30" w:rsidR="007A6F5E" w:rsidRPr="000349EF" w:rsidRDefault="007A6F5E" w:rsidP="007A6F5E">
      <w:r w:rsidRPr="000349EF">
        <w:t>It is acknowledged that there are multiple uncertainties at the current time, including the non</w:t>
      </w:r>
      <w:r w:rsidR="00F949A2" w:rsidRPr="000349EF">
        <w:noBreakHyphen/>
      </w:r>
      <w:r w:rsidRPr="000349EF">
        <w:t>optimal dose</w:t>
      </w:r>
      <w:r w:rsidR="00F949A2" w:rsidRPr="000349EF">
        <w:t xml:space="preserve"> </w:t>
      </w:r>
      <w:r w:rsidRPr="000349EF">
        <w:t>finding exercise, unavailable longer</w:t>
      </w:r>
      <w:r w:rsidR="00F949A2" w:rsidRPr="000349EF">
        <w:t xml:space="preserve"> </w:t>
      </w:r>
      <w:r w:rsidRPr="000349EF">
        <w:t xml:space="preserve">term safety and effectiveness data; the uncertainty around the risk of myocarditis and pericarditis </w:t>
      </w:r>
      <w:r w:rsidR="0077374E" w:rsidRPr="000349EF">
        <w:t>post-</w:t>
      </w:r>
      <w:r w:rsidRPr="000349EF">
        <w:t xml:space="preserve">vaccination in this age group; and the future progression of the pandemic, including the emergence of variants of concern. </w:t>
      </w:r>
      <w:r w:rsidR="00C02190" w:rsidRPr="000349EF">
        <w:t>The b</w:t>
      </w:r>
      <w:r w:rsidRPr="000349EF">
        <w:t>alance of benefits and risks would change with the changing incidence of COVID</w:t>
      </w:r>
      <w:r w:rsidR="00F949A2" w:rsidRPr="000349EF">
        <w:noBreakHyphen/>
      </w:r>
      <w:r w:rsidRPr="000349EF">
        <w:t xml:space="preserve">19, and the largest benefits can be anticipated when there is a higher incidence of infection. </w:t>
      </w:r>
      <w:bookmarkStart w:id="91" w:name="_Hlk88050388"/>
      <w:r w:rsidRPr="000349EF">
        <w:t>Children at higher risk of severe disease (</w:t>
      </w:r>
      <w:r w:rsidR="00F949A2" w:rsidRPr="000349EF">
        <w:t>for example,</w:t>
      </w:r>
      <w:r w:rsidRPr="000349EF">
        <w:t xml:space="preserve"> obese and/or with certain comorbidities) are more likely to realise benefits than general population of eligible children in this age group. While most children infected with SARS-CoV-2 have a mild illness, some become severely ill and require hospitali</w:t>
      </w:r>
      <w:r w:rsidR="00A23298" w:rsidRPr="000349EF">
        <w:t>s</w:t>
      </w:r>
      <w:r w:rsidRPr="000349EF">
        <w:t>ation. Multisystem inflammatory syndrome in children associated with SARS-CoV-2 is rare but may be fatal. The direct benefits of vaccinating children of this age group include prevention of COVID-19 cases, the likely prevention of hospitali</w:t>
      </w:r>
      <w:r w:rsidR="00A23298" w:rsidRPr="000349EF">
        <w:t>s</w:t>
      </w:r>
      <w:r w:rsidRPr="000349EF">
        <w:t>ations, ICU visits, MIS-</w:t>
      </w:r>
      <w:proofErr w:type="gramStart"/>
      <w:r w:rsidRPr="000349EF">
        <w:t>C</w:t>
      </w:r>
      <w:proofErr w:type="gramEnd"/>
      <w:r w:rsidRPr="000349EF">
        <w:t xml:space="preserve"> and deaths and potential long</w:t>
      </w:r>
      <w:r w:rsidR="00742530" w:rsidRPr="000349EF">
        <w:noBreakHyphen/>
      </w:r>
      <w:r w:rsidRPr="000349EF">
        <w:t xml:space="preserve">term sequelae of COVID-19 illness. It is acknowledged that there are indirect benefits </w:t>
      </w:r>
      <w:r w:rsidRPr="000349EF">
        <w:lastRenderedPageBreak/>
        <w:t>associated with vaccinating children, such as contributing to school</w:t>
      </w:r>
      <w:r w:rsidR="00C02190" w:rsidRPr="000349EF">
        <w:t>s</w:t>
      </w:r>
      <w:r w:rsidRPr="000349EF">
        <w:t xml:space="preserve"> remaining open and contributing to herd immunity.</w:t>
      </w:r>
    </w:p>
    <w:bookmarkEnd w:id="91"/>
    <w:p w14:paraId="4EF9CAC6" w14:textId="54E7C94A" w:rsidR="007A6F5E" w:rsidRPr="000349EF" w:rsidRDefault="007A6F5E" w:rsidP="007A6F5E">
      <w:r w:rsidRPr="000349EF">
        <w:t xml:space="preserve">The </w:t>
      </w:r>
      <w:r w:rsidR="008028EF" w:rsidRPr="000349EF">
        <w:t>Delegate</w:t>
      </w:r>
      <w:r w:rsidRPr="000349EF">
        <w:t xml:space="preserve"> acknowledges the challenge in weighing up the benefits and risks for this age </w:t>
      </w:r>
      <w:proofErr w:type="gramStart"/>
      <w:r w:rsidRPr="000349EF">
        <w:t>group, but</w:t>
      </w:r>
      <w:proofErr w:type="gramEnd"/>
      <w:r w:rsidRPr="000349EF">
        <w:t xml:space="preserve"> is inclined toward thinking that the known and potential benefits are likely </w:t>
      </w:r>
      <w:r w:rsidR="00C02190" w:rsidRPr="000349EF">
        <w:t xml:space="preserve">to </w:t>
      </w:r>
      <w:r w:rsidRPr="000349EF">
        <w:t>outweigh the know</w:t>
      </w:r>
      <w:r w:rsidR="00C02190" w:rsidRPr="000349EF">
        <w:t>n</w:t>
      </w:r>
      <w:r w:rsidRPr="000349EF">
        <w:t xml:space="preserve"> and potential risks for the general population of eligible children </w:t>
      </w:r>
      <w:r w:rsidR="00C02190" w:rsidRPr="000349EF">
        <w:t xml:space="preserve">aged </w:t>
      </w:r>
      <w:r w:rsidRPr="000349EF">
        <w:t>6 to &lt;</w:t>
      </w:r>
      <w:r w:rsidR="00F949A2" w:rsidRPr="000349EF">
        <w:t> </w:t>
      </w:r>
      <w:r w:rsidRPr="000349EF">
        <w:t>12 years old.</w:t>
      </w:r>
    </w:p>
    <w:p w14:paraId="5FE4E691" w14:textId="30E54BA2" w:rsidR="007A6F5E" w:rsidRPr="000349EF" w:rsidRDefault="007A6F5E" w:rsidP="007A6F5E">
      <w:r w:rsidRPr="000349EF">
        <w:t xml:space="preserve">The </w:t>
      </w:r>
      <w:r w:rsidR="008028EF" w:rsidRPr="000349EF">
        <w:t>Delegate</w:t>
      </w:r>
      <w:r w:rsidRPr="000349EF">
        <w:t xml:space="preserve"> is seeking the advice from </w:t>
      </w:r>
      <w:r w:rsidR="00F949A2" w:rsidRPr="000349EF">
        <w:t xml:space="preserve">the </w:t>
      </w:r>
      <w:r w:rsidRPr="000349EF">
        <w:t xml:space="preserve">ACV on the issues of dose selection, </w:t>
      </w:r>
      <w:r w:rsidR="00C02190" w:rsidRPr="000349EF">
        <w:t xml:space="preserve">the </w:t>
      </w:r>
      <w:r w:rsidRPr="000349EF">
        <w:t xml:space="preserve">short </w:t>
      </w:r>
      <w:r w:rsidR="0077374E" w:rsidRPr="000349EF">
        <w:t>post</w:t>
      </w:r>
      <w:r w:rsidR="00F949A2" w:rsidRPr="000349EF">
        <w:noBreakHyphen/>
      </w:r>
      <w:r w:rsidR="0077374E" w:rsidRPr="000349EF">
        <w:t>Dose 2</w:t>
      </w:r>
      <w:r w:rsidRPr="000349EF">
        <w:t xml:space="preserve"> follow</w:t>
      </w:r>
      <w:r w:rsidR="00742530" w:rsidRPr="000349EF">
        <w:t>-</w:t>
      </w:r>
      <w:r w:rsidRPr="000349EF">
        <w:t xml:space="preserve">up duration, </w:t>
      </w:r>
      <w:r w:rsidR="00C02190" w:rsidRPr="000349EF">
        <w:t xml:space="preserve">the </w:t>
      </w:r>
      <w:r w:rsidRPr="000349EF">
        <w:t>potential risk of myocarditis</w:t>
      </w:r>
      <w:r w:rsidR="006159A8" w:rsidRPr="000349EF">
        <w:t xml:space="preserve"> and </w:t>
      </w:r>
      <w:r w:rsidRPr="000349EF">
        <w:t xml:space="preserve">pericarditis, and the </w:t>
      </w:r>
      <w:r w:rsidR="00C02190" w:rsidRPr="000349EF">
        <w:t xml:space="preserve">consideration of </w:t>
      </w:r>
      <w:r w:rsidRPr="000349EF">
        <w:t>benefits and risks balance at this timepoint. The final decision will be made following the ACV meeting discussion.</w:t>
      </w:r>
    </w:p>
    <w:p w14:paraId="414F3350" w14:textId="77777777" w:rsidR="007D53B6" w:rsidRPr="000349EF" w:rsidRDefault="007D53B6" w:rsidP="007D53B6">
      <w:pPr>
        <w:pStyle w:val="Heading4"/>
      </w:pPr>
      <w:r w:rsidRPr="000349EF">
        <w:t xml:space="preserve">Questions for </w:t>
      </w:r>
      <w:r w:rsidR="00744121" w:rsidRPr="000349EF">
        <w:t xml:space="preserve">the </w:t>
      </w:r>
      <w:r w:rsidRPr="000349EF">
        <w:t>sponsor</w:t>
      </w:r>
    </w:p>
    <w:p w14:paraId="16706373" w14:textId="1796CFD6" w:rsidR="00744121" w:rsidRPr="000349EF" w:rsidRDefault="00744121" w:rsidP="00744121">
      <w:r w:rsidRPr="000349EF">
        <w:t>The sponsor provided the following response to questions from the Delegate.</w:t>
      </w:r>
    </w:p>
    <w:p w14:paraId="1B5F1195" w14:textId="7CF4EE16" w:rsidR="00D21E7C" w:rsidRPr="000349EF" w:rsidRDefault="00D21E7C" w:rsidP="00D21E7C">
      <w:pPr>
        <w:pStyle w:val="Numberbullet0"/>
        <w:numPr>
          <w:ilvl w:val="0"/>
          <w:numId w:val="36"/>
        </w:numPr>
        <w:rPr>
          <w:b/>
          <w:bCs/>
          <w:i/>
          <w:iCs/>
        </w:rPr>
      </w:pPr>
      <w:r w:rsidRPr="000349EF">
        <w:rPr>
          <w:b/>
          <w:bCs/>
          <w:i/>
          <w:iCs/>
        </w:rPr>
        <w:t xml:space="preserve">When will the Day 57 (two months) </w:t>
      </w:r>
      <w:r w:rsidR="0077374E" w:rsidRPr="000349EF">
        <w:rPr>
          <w:b/>
          <w:bCs/>
          <w:i/>
          <w:iCs/>
        </w:rPr>
        <w:t>post-Dose 2</w:t>
      </w:r>
      <w:r w:rsidRPr="000349EF">
        <w:rPr>
          <w:b/>
          <w:bCs/>
          <w:i/>
          <w:iCs/>
        </w:rPr>
        <w:t xml:space="preserve"> safety analysis be available for all </w:t>
      </w:r>
      <w:r w:rsidR="00DB493F" w:rsidRPr="000349EF">
        <w:rPr>
          <w:b/>
          <w:bCs/>
          <w:i/>
          <w:iCs/>
        </w:rPr>
        <w:t xml:space="preserve">participants (of 6 to &lt; 12 years of age) from </w:t>
      </w:r>
      <w:r w:rsidRPr="000349EF">
        <w:rPr>
          <w:b/>
          <w:bCs/>
          <w:i/>
          <w:iCs/>
        </w:rPr>
        <w:t>Study P204 Part 2</w:t>
      </w:r>
      <w:r w:rsidR="00DB493F" w:rsidRPr="000349EF">
        <w:rPr>
          <w:b/>
          <w:bCs/>
          <w:i/>
          <w:iCs/>
        </w:rPr>
        <w:t>?</w:t>
      </w:r>
    </w:p>
    <w:p w14:paraId="5FB26DF7" w14:textId="0AB76E4B" w:rsidR="00392E5F" w:rsidRPr="000349EF" w:rsidRDefault="004B2855" w:rsidP="004B2855">
      <w:r w:rsidRPr="000349EF">
        <w:t xml:space="preserve">The </w:t>
      </w:r>
      <w:r w:rsidR="00DB493F" w:rsidRPr="000349EF">
        <w:t>s</w:t>
      </w:r>
      <w:r w:rsidRPr="000349EF">
        <w:t xml:space="preserve">ponsor confirms that the study Day 57 </w:t>
      </w:r>
      <w:r w:rsidR="00DB493F" w:rsidRPr="000349EF">
        <w:t xml:space="preserve">safety </w:t>
      </w:r>
      <w:r w:rsidRPr="000349EF">
        <w:t xml:space="preserve">analysis for all </w:t>
      </w:r>
      <w:r w:rsidR="00DB493F" w:rsidRPr="000349EF">
        <w:t>participants (of 6 to &lt; </w:t>
      </w:r>
      <w:r w:rsidR="00017725" w:rsidRPr="000349EF">
        <w:t>12 </w:t>
      </w:r>
      <w:r w:rsidR="00DB493F" w:rsidRPr="000349EF">
        <w:t xml:space="preserve">years of age) from </w:t>
      </w:r>
      <w:r w:rsidRPr="000349EF">
        <w:t>Study P204 Part 2 will be available for submission in mid</w:t>
      </w:r>
      <w:r w:rsidR="00017725" w:rsidRPr="000349EF">
        <w:noBreakHyphen/>
      </w:r>
      <w:r w:rsidRPr="000349EF">
        <w:t xml:space="preserve">January 2022 and </w:t>
      </w:r>
      <w:r w:rsidR="00DB493F" w:rsidRPr="000349EF">
        <w:t xml:space="preserve">this </w:t>
      </w:r>
      <w:r w:rsidRPr="000349EF">
        <w:t xml:space="preserve">will be submitted to </w:t>
      </w:r>
      <w:r w:rsidR="00DB493F" w:rsidRPr="000349EF">
        <w:t xml:space="preserve">the </w:t>
      </w:r>
      <w:r w:rsidRPr="000349EF">
        <w:t>TGA at the earliest opportunity. On 10 Nov</w:t>
      </w:r>
      <w:r w:rsidR="0008449C" w:rsidRPr="000349EF">
        <w:t>ember</w:t>
      </w:r>
      <w:r w:rsidRPr="000349EF">
        <w:t xml:space="preserve"> 2021 a data cut-off was triggered as a protocol</w:t>
      </w:r>
      <w:r w:rsidR="00DB493F" w:rsidRPr="000349EF">
        <w:noBreakHyphen/>
      </w:r>
      <w:r w:rsidRPr="000349EF">
        <w:t xml:space="preserve">specified </w:t>
      </w:r>
      <w:r w:rsidR="0008449C" w:rsidRPr="000349EF">
        <w:t>interim analysis</w:t>
      </w:r>
      <w:r w:rsidR="00017725" w:rsidRPr="000349EF">
        <w:t xml:space="preserve"> for Part 2 of this study, covering </w:t>
      </w:r>
      <w:r w:rsidRPr="000349EF">
        <w:t>all participants</w:t>
      </w:r>
      <w:r w:rsidR="00017725" w:rsidRPr="000349EF">
        <w:t xml:space="preserve"> of </w:t>
      </w:r>
      <w:r w:rsidRPr="000349EF">
        <w:t>6 to &lt;</w:t>
      </w:r>
      <w:r w:rsidR="0008449C" w:rsidRPr="000349EF">
        <w:t xml:space="preserve"> </w:t>
      </w:r>
      <w:r w:rsidRPr="000349EF">
        <w:t>12 years</w:t>
      </w:r>
      <w:r w:rsidR="00017725" w:rsidRPr="000349EF">
        <w:t xml:space="preserve"> of age,</w:t>
      </w:r>
      <w:r w:rsidRPr="000349EF">
        <w:t xml:space="preserve"> either reaching Day 57 or having discontinued the study. This </w:t>
      </w:r>
      <w:r w:rsidR="0008449C" w:rsidRPr="000349EF">
        <w:t xml:space="preserve">interim analysis </w:t>
      </w:r>
      <w:r w:rsidRPr="000349EF">
        <w:t>data cut-off will provide a median follow-up duration of approximately 2 months post-</w:t>
      </w:r>
      <w:r w:rsidR="0008449C" w:rsidRPr="000349EF">
        <w:t>D</w:t>
      </w:r>
      <w:r w:rsidRPr="000349EF">
        <w:t>ose 2 f</w:t>
      </w:r>
      <w:r w:rsidR="00017725" w:rsidRPr="000349EF">
        <w:t xml:space="preserve">or the </w:t>
      </w:r>
      <w:r w:rsidRPr="000349EF">
        <w:t>Part 2 participants. On 29</w:t>
      </w:r>
      <w:r w:rsidR="00017725" w:rsidRPr="000349EF">
        <w:t> </w:t>
      </w:r>
      <w:r w:rsidRPr="000349EF">
        <w:t>Oct</w:t>
      </w:r>
      <w:r w:rsidR="0008449C" w:rsidRPr="000349EF">
        <w:t>ober</w:t>
      </w:r>
      <w:r w:rsidR="00AD5E5D" w:rsidRPr="000349EF">
        <w:t> </w:t>
      </w:r>
      <w:r w:rsidRPr="000349EF">
        <w:t>2021 the US FDA granted an E</w:t>
      </w:r>
      <w:r w:rsidR="0008449C" w:rsidRPr="000349EF">
        <w:t>mergency Use Authorization</w:t>
      </w:r>
      <w:r w:rsidRPr="000349EF">
        <w:t xml:space="preserve"> to a COVID-19 vaccine for children </w:t>
      </w:r>
      <w:r w:rsidR="00017725" w:rsidRPr="000349EF">
        <w:t xml:space="preserve">aged </w:t>
      </w:r>
      <w:r w:rsidRPr="000349EF">
        <w:t>5 to 11 years, an event which triggered the protocol</w:t>
      </w:r>
      <w:r w:rsidR="0008449C" w:rsidRPr="000349EF">
        <w:t xml:space="preserve"> </w:t>
      </w:r>
      <w:r w:rsidRPr="000349EF">
        <w:t xml:space="preserve">specified unblinding and cross-over of </w:t>
      </w:r>
      <w:r w:rsidR="0008449C" w:rsidRPr="000349EF">
        <w:t xml:space="preserve">Study </w:t>
      </w:r>
      <w:r w:rsidRPr="000349EF">
        <w:t xml:space="preserve">P204 placebo participants </w:t>
      </w:r>
      <w:r w:rsidR="00017725" w:rsidRPr="000349EF">
        <w:t xml:space="preserve">aged </w:t>
      </w:r>
      <w:r w:rsidRPr="000349EF">
        <w:t>6 to &lt;</w:t>
      </w:r>
      <w:r w:rsidR="0008449C" w:rsidRPr="000349EF">
        <w:t> </w:t>
      </w:r>
      <w:r w:rsidRPr="000349EF">
        <w:t>12</w:t>
      </w:r>
      <w:r w:rsidR="0008449C" w:rsidRPr="000349EF">
        <w:t> </w:t>
      </w:r>
      <w:r w:rsidRPr="000349EF">
        <w:t>years</w:t>
      </w:r>
      <w:r w:rsidR="00017725" w:rsidRPr="000349EF">
        <w:t>,</w:t>
      </w:r>
      <w:r w:rsidRPr="000349EF">
        <w:t xml:space="preserve"> per their request. </w:t>
      </w:r>
      <w:proofErr w:type="gramStart"/>
      <w:r w:rsidRPr="000349EF">
        <w:t>The vast majority of</w:t>
      </w:r>
      <w:proofErr w:type="gramEnd"/>
      <w:r w:rsidRPr="000349EF">
        <w:t xml:space="preserve"> participants had requested unblinding by 10 Nov</w:t>
      </w:r>
      <w:r w:rsidR="0008449C" w:rsidRPr="000349EF">
        <w:t>ember</w:t>
      </w:r>
      <w:r w:rsidRPr="000349EF">
        <w:t xml:space="preserve"> 2021, thus ending the blinded phase of the trial for this cohort and marking the final date for accumulation of placebo-controlled efficacy data from this study cohort.</w:t>
      </w:r>
    </w:p>
    <w:p w14:paraId="1D66BF70" w14:textId="2E3C71AD" w:rsidR="008E7846" w:rsidRPr="000349EF" w:rsidRDefault="008E7846" w:rsidP="007D53B6">
      <w:pPr>
        <w:pStyle w:val="Heading4"/>
      </w:pPr>
      <w:r w:rsidRPr="000349EF">
        <w:t xml:space="preserve">Advisory Committee </w:t>
      </w:r>
      <w:r w:rsidR="007D53B6" w:rsidRPr="000349EF">
        <w:t>c</w:t>
      </w:r>
      <w:r w:rsidRPr="000349EF">
        <w:t>onsiderations</w:t>
      </w:r>
      <w:bookmarkStart w:id="92" w:name="_Ref91005193"/>
      <w:r w:rsidR="00456765" w:rsidRPr="000349EF">
        <w:rPr>
          <w:rStyle w:val="FootnoteReference"/>
        </w:rPr>
        <w:footnoteReference w:id="36"/>
      </w:r>
      <w:bookmarkEnd w:id="92"/>
    </w:p>
    <w:p w14:paraId="09CAFE0A" w14:textId="4B5C21A1" w:rsidR="00744121" w:rsidRPr="000349EF" w:rsidRDefault="00744121" w:rsidP="00744121">
      <w:pPr>
        <w:rPr>
          <w:bCs/>
        </w:rPr>
      </w:pPr>
      <w:bookmarkStart w:id="93" w:name="_Toc247691532"/>
      <w:bookmarkStart w:id="94" w:name="_Toc314842516"/>
      <w:bookmarkEnd w:id="35"/>
      <w:bookmarkEnd w:id="84"/>
      <w:bookmarkEnd w:id="85"/>
      <w:r w:rsidRPr="000349EF">
        <w:rPr>
          <w:bCs/>
        </w:rPr>
        <w:t xml:space="preserve">The Advisory Committee on </w:t>
      </w:r>
      <w:r w:rsidR="00F949A2" w:rsidRPr="000349EF">
        <w:rPr>
          <w:bCs/>
        </w:rPr>
        <w:t>Vaccines</w:t>
      </w:r>
      <w:r w:rsidRPr="000349EF">
        <w:rPr>
          <w:bCs/>
        </w:rPr>
        <w:t xml:space="preserve"> (AC</w:t>
      </w:r>
      <w:r w:rsidR="00F949A2" w:rsidRPr="000349EF">
        <w:rPr>
          <w:bCs/>
        </w:rPr>
        <w:t>V</w:t>
      </w:r>
      <w:r w:rsidRPr="000349EF">
        <w:rPr>
          <w:bCs/>
        </w:rPr>
        <w:t>), having considered the evaluations and the Delegate’s overview, as well as the sponsor’s response to these documents, advised the following.</w:t>
      </w:r>
    </w:p>
    <w:p w14:paraId="4B806AA6" w14:textId="395C9EBE" w:rsidR="00744121" w:rsidRPr="000349EF" w:rsidRDefault="00744121" w:rsidP="00744121">
      <w:pPr>
        <w:pStyle w:val="Heading5"/>
      </w:pPr>
      <w:r w:rsidRPr="000349EF">
        <w:t>Specific advice to the Delegate</w:t>
      </w:r>
    </w:p>
    <w:p w14:paraId="63E3B42F" w14:textId="77777777" w:rsidR="00E6281E" w:rsidRPr="000349EF" w:rsidRDefault="00E6281E" w:rsidP="00A04B72">
      <w:pPr>
        <w:pStyle w:val="Numberbullet0"/>
        <w:numPr>
          <w:ilvl w:val="0"/>
          <w:numId w:val="49"/>
        </w:numPr>
        <w:rPr>
          <w:b/>
          <w:bCs/>
          <w:i/>
          <w:iCs/>
        </w:rPr>
      </w:pPr>
      <w:r w:rsidRPr="000349EF">
        <w:rPr>
          <w:b/>
          <w:bCs/>
          <w:i/>
          <w:iCs/>
        </w:rPr>
        <w:t xml:space="preserve">Does the ACV consider that the selected 50 </w:t>
      </w:r>
      <w:proofErr w:type="spellStart"/>
      <w:r w:rsidRPr="000349EF">
        <w:rPr>
          <w:b/>
          <w:bCs/>
          <w:i/>
          <w:iCs/>
        </w:rPr>
        <w:t>μg</w:t>
      </w:r>
      <w:proofErr w:type="spellEnd"/>
      <w:r w:rsidRPr="000349EF">
        <w:rPr>
          <w:b/>
          <w:bCs/>
          <w:i/>
          <w:iCs/>
        </w:rPr>
        <w:t xml:space="preserve"> dose is appropriate for individuals 6 to &lt; 12 years of age?</w:t>
      </w:r>
    </w:p>
    <w:p w14:paraId="318464CA" w14:textId="68E23919" w:rsidR="00E6281E" w:rsidRPr="000349EF" w:rsidRDefault="00E6281E">
      <w:r w:rsidRPr="000349EF">
        <w:lastRenderedPageBreak/>
        <w:t xml:space="preserve">The ACV noted that a dose lower than 50 </w:t>
      </w:r>
      <w:r w:rsidR="00FA4C17" w:rsidRPr="000349EF">
        <w:t xml:space="preserve">µg </w:t>
      </w:r>
      <w:r w:rsidRPr="000349EF">
        <w:t xml:space="preserve">was not included in dose-ranging study for children 6 to &lt; 12 years of age. In the absence of </w:t>
      </w:r>
      <w:proofErr w:type="gramStart"/>
      <w:r w:rsidRPr="000349EF">
        <w:t>data</w:t>
      </w:r>
      <w:proofErr w:type="gramEnd"/>
      <w:r w:rsidRPr="000349EF">
        <w:t xml:space="preserve"> it is not possible to confirm that 50</w:t>
      </w:r>
      <w:r w:rsidR="00FA4C17" w:rsidRPr="000349EF">
        <w:t> µg</w:t>
      </w:r>
      <w:r w:rsidRPr="000349EF">
        <w:t xml:space="preserve"> is the optimum dose.</w:t>
      </w:r>
    </w:p>
    <w:p w14:paraId="3F1B5A92" w14:textId="50CDAB1B" w:rsidR="00E6281E" w:rsidRPr="000349EF" w:rsidRDefault="00E6281E">
      <w:r w:rsidRPr="000349EF">
        <w:t xml:space="preserve">Any data on the </w:t>
      </w:r>
      <w:r w:rsidR="00EC79E7" w:rsidRPr="000349EF">
        <w:t>2 to &lt; 6</w:t>
      </w:r>
      <w:r w:rsidRPr="000349EF">
        <w:t xml:space="preserve"> years population at the 25 </w:t>
      </w:r>
      <w:r w:rsidR="00FA4C17" w:rsidRPr="000349EF">
        <w:t>µ</w:t>
      </w:r>
      <w:r w:rsidRPr="000349EF">
        <w:t>g dose would assist to understand the relationship between dose, immunogenicity and reactogenicity.</w:t>
      </w:r>
    </w:p>
    <w:p w14:paraId="176E6DEE" w14:textId="7A6C0148" w:rsidR="00E6281E" w:rsidRPr="000349EF" w:rsidRDefault="00E6281E">
      <w:r w:rsidRPr="000349EF">
        <w:t>The ACV noted the reduction to one-third of the 12+ dose for children in the 5 to &lt;</w:t>
      </w:r>
      <w:r w:rsidR="0008449C" w:rsidRPr="000349EF">
        <w:t> </w:t>
      </w:r>
      <w:r w:rsidRPr="000349EF">
        <w:t>12</w:t>
      </w:r>
      <w:r w:rsidR="0008449C" w:rsidRPr="000349EF">
        <w:t> </w:t>
      </w:r>
      <w:r w:rsidRPr="000349EF">
        <w:t>years group for Comirnaty, another mRNA vaccine.</w:t>
      </w:r>
    </w:p>
    <w:p w14:paraId="027C039B" w14:textId="345391DB" w:rsidR="00E6281E" w:rsidRPr="000349EF" w:rsidRDefault="00E6281E">
      <w:r w:rsidRPr="000349EF">
        <w:t>The ACV noted that GMRs are increased compared with young adults by approximately 1.5</w:t>
      </w:r>
      <w:r w:rsidR="0008449C" w:rsidRPr="000349EF">
        <w:noBreakHyphen/>
      </w:r>
      <w:r w:rsidRPr="000349EF">
        <w:t xml:space="preserve">fold, suggesting that the proposed dose could be </w:t>
      </w:r>
      <w:proofErr w:type="gramStart"/>
      <w:r w:rsidRPr="000349EF">
        <w:t>in excess of</w:t>
      </w:r>
      <w:proofErr w:type="gramEnd"/>
      <w:r w:rsidRPr="000349EF">
        <w:t xml:space="preserve"> that needed to achieve comparable (high) protection in young adults (using immunobridging to efficacy/effectiveness).</w:t>
      </w:r>
    </w:p>
    <w:p w14:paraId="6AA2F100" w14:textId="75965416" w:rsidR="00E6281E" w:rsidRPr="000349EF" w:rsidRDefault="00E6281E" w:rsidP="00A04B72">
      <w:pPr>
        <w:pStyle w:val="Numberbullet0"/>
        <w:rPr>
          <w:b/>
          <w:bCs/>
          <w:i/>
          <w:iCs/>
        </w:rPr>
      </w:pPr>
      <w:r w:rsidRPr="000349EF">
        <w:rPr>
          <w:b/>
          <w:bCs/>
          <w:i/>
          <w:iCs/>
        </w:rPr>
        <w:t>The median follow-up for the placebo controlled part of the study was 20 days post</w:t>
      </w:r>
      <w:r w:rsidR="00A5478D" w:rsidRPr="000349EF">
        <w:rPr>
          <w:b/>
          <w:bCs/>
          <w:i/>
          <w:iCs/>
        </w:rPr>
        <w:t>-</w:t>
      </w:r>
      <w:r w:rsidR="00FA4C17" w:rsidRPr="000349EF">
        <w:rPr>
          <w:b/>
          <w:bCs/>
          <w:i/>
          <w:iCs/>
        </w:rPr>
        <w:t>D</w:t>
      </w:r>
      <w:r w:rsidRPr="000349EF">
        <w:rPr>
          <w:b/>
          <w:bCs/>
          <w:i/>
          <w:iCs/>
        </w:rPr>
        <w:t>ose 2. Does the ACV consider this follow up duration is appropriate to allow benefits risks assessment for this age group in the pandemic setting?</w:t>
      </w:r>
    </w:p>
    <w:p w14:paraId="080486D7" w14:textId="77777777" w:rsidR="00E6281E" w:rsidRPr="000349EF" w:rsidRDefault="00E6281E">
      <w:r w:rsidRPr="000349EF">
        <w:t>The ACV noted that more recent data should now be available, as evident from various press releases from the sponsor. The TGA was encouraged to review such data.</w:t>
      </w:r>
    </w:p>
    <w:p w14:paraId="30B5978F" w14:textId="77777777" w:rsidR="00E6281E" w:rsidRPr="000349EF" w:rsidRDefault="00E6281E">
      <w:r w:rsidRPr="000349EF">
        <w:t>Follow-up time would ideally be longer, but the observation period is adequate with respect of myocarditis, given onset of this event is generally within the first days after vaccination.</w:t>
      </w:r>
    </w:p>
    <w:p w14:paraId="41841E4B" w14:textId="77777777" w:rsidR="00E6281E" w:rsidRPr="000349EF" w:rsidRDefault="00E6281E">
      <w:r w:rsidRPr="000349EF">
        <w:t>However, Study P204 is underpowered to detect the expected rates of myocarditis and other rare but significant adverse events.</w:t>
      </w:r>
    </w:p>
    <w:p w14:paraId="048AF8D1" w14:textId="77777777" w:rsidR="00E6281E" w:rsidRPr="000349EF" w:rsidRDefault="00E6281E" w:rsidP="00A04B72">
      <w:pPr>
        <w:pStyle w:val="Numberbullet0"/>
        <w:rPr>
          <w:b/>
          <w:bCs/>
          <w:i/>
          <w:iCs/>
        </w:rPr>
      </w:pPr>
      <w:r w:rsidRPr="000349EF">
        <w:rPr>
          <w:b/>
          <w:bCs/>
          <w:i/>
          <w:iCs/>
        </w:rPr>
        <w:t>What is the ACV view with regards to potential risk of myocarditis/pericarditis in this age group following mRNA-1273 vaccination?</w:t>
      </w:r>
    </w:p>
    <w:p w14:paraId="62782E09" w14:textId="77777777" w:rsidR="00E6281E" w:rsidRPr="000349EF" w:rsidRDefault="00E6281E">
      <w:r w:rsidRPr="000349EF">
        <w:t>The ACV expressed uncertainty on the potential risk of myocarditis/pericarditis in this age group due to the limited data.</w:t>
      </w:r>
    </w:p>
    <w:p w14:paraId="378AED61" w14:textId="77777777" w:rsidR="00E6281E" w:rsidRPr="000349EF" w:rsidRDefault="00E6281E">
      <w:r w:rsidRPr="000349EF">
        <w:t>The ACV noted that within older age groups the data suggests rates are higher with Spikevax than with Comirnaty. The ACV noted:</w:t>
      </w:r>
    </w:p>
    <w:p w14:paraId="67C18178" w14:textId="5E74A8BD" w:rsidR="00E6281E" w:rsidRPr="000349EF" w:rsidRDefault="00E6281E" w:rsidP="00A04B72">
      <w:pPr>
        <w:pStyle w:val="ListBullet"/>
      </w:pPr>
      <w:r w:rsidRPr="000349EF">
        <w:t>a UK study that suggests excess rates of myocarditis/pericarditis following second doses of Spikevax compared to Comirnaty and similar rates to following SARS-CoV-2 infection.</w:t>
      </w:r>
      <w:r w:rsidRPr="000349EF">
        <w:rPr>
          <w:vertAlign w:val="superscript"/>
        </w:rPr>
        <w:footnoteReference w:id="37"/>
      </w:r>
    </w:p>
    <w:p w14:paraId="0590D3A1" w14:textId="2D354044" w:rsidR="00E6281E" w:rsidRPr="000349EF" w:rsidRDefault="00FA4C17" w:rsidP="00A04B72">
      <w:pPr>
        <w:pStyle w:val="ListBullet"/>
      </w:pPr>
      <w:r w:rsidRPr="000349EF">
        <w:t>[European Medicines Agency]</w:t>
      </w:r>
      <w:r w:rsidR="008073C4" w:rsidRPr="000349EF">
        <w:t xml:space="preserve"> EMA</w:t>
      </w:r>
      <w:r w:rsidRPr="000349EF">
        <w:t xml:space="preserve"> </w:t>
      </w:r>
      <w:r w:rsidR="00E6281E" w:rsidRPr="000349EF">
        <w:t xml:space="preserve">PRAC notes two studies suggesting rates of myocarditis and pericarditis following second dose of Spikevax were higher than following Comirnaty: in France 13 </w:t>
      </w:r>
      <w:r w:rsidRPr="000349EF">
        <w:t>versus</w:t>
      </w:r>
      <w:r w:rsidR="00E6281E" w:rsidRPr="000349EF">
        <w:t xml:space="preserve"> 2.6 per 100,000; in Nordic countries 5.7 </w:t>
      </w:r>
      <w:r w:rsidRPr="000349EF">
        <w:t>versus</w:t>
      </w:r>
      <w:r w:rsidR="00E6281E" w:rsidRPr="000349EF">
        <w:t xml:space="preserve"> 1.9 per 100,000.</w:t>
      </w:r>
    </w:p>
    <w:p w14:paraId="201384B5" w14:textId="5E060FBA" w:rsidR="00E6281E" w:rsidRPr="000349EF" w:rsidRDefault="00E6281E" w:rsidP="00A04B72">
      <w:pPr>
        <w:pStyle w:val="ListBullet"/>
      </w:pPr>
      <w:r w:rsidRPr="000349EF">
        <w:t>8 cases of myocarditis have been confirmed in the 6</w:t>
      </w:r>
      <w:r w:rsidR="00FA4C17" w:rsidRPr="000349EF">
        <w:t xml:space="preserve"> </w:t>
      </w:r>
      <w:r w:rsidRPr="000349EF">
        <w:t xml:space="preserve">to &lt; 12 age group following administration of Comirnaty in the USA, as </w:t>
      </w:r>
      <w:proofErr w:type="gramStart"/>
      <w:r w:rsidRPr="000349EF">
        <w:t>at</w:t>
      </w:r>
      <w:proofErr w:type="gramEnd"/>
      <w:r w:rsidRPr="000349EF">
        <w:t xml:space="preserve"> 9 December 2021.</w:t>
      </w:r>
      <w:r w:rsidRPr="000349EF">
        <w:rPr>
          <w:vertAlign w:val="superscript"/>
        </w:rPr>
        <w:footnoteReference w:id="38"/>
      </w:r>
    </w:p>
    <w:p w14:paraId="27D6D697" w14:textId="6363AA3A" w:rsidR="00E6281E" w:rsidRPr="000349EF" w:rsidRDefault="00E6281E">
      <w:r w:rsidRPr="000349EF">
        <w:t>However, myocarditis rates following vaccination in children appear to follow the pattern of the background rate (with milder clinical phenotype), that is, higher rates in infants and in 16</w:t>
      </w:r>
      <w:r w:rsidR="00FA4C17" w:rsidRPr="000349EF">
        <w:t xml:space="preserve"> to </w:t>
      </w:r>
      <w:r w:rsidRPr="000349EF">
        <w:t xml:space="preserve">18 year </w:t>
      </w:r>
      <w:proofErr w:type="spellStart"/>
      <w:r w:rsidRPr="000349EF">
        <w:t>olds</w:t>
      </w:r>
      <w:proofErr w:type="spellEnd"/>
      <w:r w:rsidRPr="000349EF">
        <w:t>, compared to 6</w:t>
      </w:r>
      <w:r w:rsidR="00FA4C17" w:rsidRPr="000349EF">
        <w:t xml:space="preserve"> to </w:t>
      </w:r>
      <w:r w:rsidRPr="000349EF">
        <w:t>12</w:t>
      </w:r>
      <w:r w:rsidR="0008449C" w:rsidRPr="000349EF">
        <w:t>-</w:t>
      </w:r>
      <w:r w:rsidRPr="000349EF">
        <w:t xml:space="preserve">year </w:t>
      </w:r>
      <w:proofErr w:type="spellStart"/>
      <w:r w:rsidRPr="000349EF">
        <w:t>olds</w:t>
      </w:r>
      <w:proofErr w:type="spellEnd"/>
      <w:r w:rsidRPr="000349EF">
        <w:t>.</w:t>
      </w:r>
    </w:p>
    <w:p w14:paraId="77F33997" w14:textId="5D19DA6E" w:rsidR="00E6281E" w:rsidRPr="000349EF" w:rsidRDefault="00E6281E" w:rsidP="00A04B72">
      <w:pPr>
        <w:pStyle w:val="Numberbullet0"/>
        <w:rPr>
          <w:b/>
          <w:bCs/>
          <w:i/>
          <w:iCs/>
        </w:rPr>
      </w:pPr>
      <w:r w:rsidRPr="000349EF">
        <w:rPr>
          <w:b/>
          <w:bCs/>
          <w:i/>
          <w:iCs/>
        </w:rPr>
        <w:t xml:space="preserve">Based on the available data </w:t>
      </w:r>
      <w:proofErr w:type="gramStart"/>
      <w:r w:rsidRPr="000349EF">
        <w:rPr>
          <w:b/>
          <w:bCs/>
          <w:i/>
          <w:iCs/>
        </w:rPr>
        <w:t>at this point in time</w:t>
      </w:r>
      <w:proofErr w:type="gramEnd"/>
      <w:r w:rsidRPr="000349EF">
        <w:rPr>
          <w:b/>
          <w:bCs/>
          <w:i/>
          <w:iCs/>
        </w:rPr>
        <w:t xml:space="preserve">, can the ACV advise whether the benefits-risks balance is considered favourable for the provisional registration of </w:t>
      </w:r>
      <w:r w:rsidRPr="000349EF">
        <w:rPr>
          <w:b/>
          <w:bCs/>
          <w:i/>
          <w:iCs/>
        </w:rPr>
        <w:lastRenderedPageBreak/>
        <w:t xml:space="preserve">Spikevax (elasomeran) as 2 doses of 50 </w:t>
      </w:r>
      <w:proofErr w:type="spellStart"/>
      <w:r w:rsidRPr="000349EF">
        <w:rPr>
          <w:b/>
          <w:bCs/>
          <w:i/>
          <w:iCs/>
        </w:rPr>
        <w:t>μg</w:t>
      </w:r>
      <w:proofErr w:type="spellEnd"/>
      <w:r w:rsidRPr="000349EF">
        <w:rPr>
          <w:b/>
          <w:bCs/>
          <w:i/>
          <w:iCs/>
        </w:rPr>
        <w:t xml:space="preserve"> primary series in individuals 6 to &lt;</w:t>
      </w:r>
      <w:r w:rsidR="00FA4C17" w:rsidRPr="000349EF">
        <w:rPr>
          <w:b/>
          <w:bCs/>
          <w:i/>
          <w:iCs/>
        </w:rPr>
        <w:t> </w:t>
      </w:r>
      <w:r w:rsidRPr="000349EF">
        <w:rPr>
          <w:b/>
          <w:bCs/>
          <w:i/>
          <w:iCs/>
        </w:rPr>
        <w:t>12 years of age?</w:t>
      </w:r>
    </w:p>
    <w:p w14:paraId="48F554C9" w14:textId="2CBEB7B1" w:rsidR="00E6281E" w:rsidRPr="000349EF" w:rsidRDefault="00E6281E">
      <w:r w:rsidRPr="000349EF">
        <w:t>The ACV advised that the available data are currently insufficient to provide confidence of a favourable benefit-risk profile at the 50 </w:t>
      </w:r>
      <w:r w:rsidR="00FA4C17" w:rsidRPr="000349EF">
        <w:t>µg</w:t>
      </w:r>
      <w:r w:rsidRPr="000349EF">
        <w:t xml:space="preserve"> dose level, as described in the advice to the Delegate below.</w:t>
      </w:r>
    </w:p>
    <w:p w14:paraId="06C27179" w14:textId="77777777" w:rsidR="00E6281E" w:rsidRPr="000349EF" w:rsidRDefault="00E6281E">
      <w:r w:rsidRPr="000349EF">
        <w:t>The ACV noted the likely availability of other data, including responses to other regulators:</w:t>
      </w:r>
    </w:p>
    <w:p w14:paraId="6C87E940" w14:textId="38D1567A" w:rsidR="00E6281E" w:rsidRPr="000349EF" w:rsidRDefault="00E6281E" w:rsidP="00A04B72">
      <w:pPr>
        <w:pStyle w:val="ListBullet"/>
      </w:pPr>
      <w:r w:rsidRPr="000349EF">
        <w:t xml:space="preserve">longer follow up data from part 2; </w:t>
      </w:r>
      <w:r w:rsidR="00FA4C17" w:rsidRPr="000349EF">
        <w:t>D</w:t>
      </w:r>
      <w:r w:rsidRPr="000349EF">
        <w:t xml:space="preserve">ay 57 immunogenicity; COVID-19 events from </w:t>
      </w:r>
      <w:r w:rsidR="00FA4C17" w:rsidRPr="000349EF">
        <w:t>P</w:t>
      </w:r>
      <w:r w:rsidRPr="000349EF">
        <w:t>art</w:t>
      </w:r>
      <w:r w:rsidR="00FA4C17" w:rsidRPr="000349EF">
        <w:t> </w:t>
      </w:r>
      <w:r w:rsidRPr="000349EF">
        <w:t>2 to support immunobridging</w:t>
      </w:r>
    </w:p>
    <w:p w14:paraId="350C223A" w14:textId="77777777" w:rsidR="00E6281E" w:rsidRPr="000349EF" w:rsidRDefault="00E6281E" w:rsidP="00A04B72">
      <w:pPr>
        <w:pStyle w:val="ListBullet"/>
      </w:pPr>
      <w:r w:rsidRPr="000349EF">
        <w:t>outcome data on clinical severity of myocarditis in older age groups</w:t>
      </w:r>
    </w:p>
    <w:p w14:paraId="2D89ED27" w14:textId="77777777" w:rsidR="00E6281E" w:rsidRPr="000349EF" w:rsidRDefault="00E6281E" w:rsidP="00A04B72">
      <w:pPr>
        <w:pStyle w:val="ListBullet"/>
      </w:pPr>
      <w:r w:rsidRPr="000349EF">
        <w:t>other post-marketing surveillance.</w:t>
      </w:r>
    </w:p>
    <w:p w14:paraId="1F5BC218" w14:textId="2F460543" w:rsidR="00E6281E" w:rsidRPr="000349EF" w:rsidRDefault="00E6281E" w:rsidP="00A04B72">
      <w:pPr>
        <w:pStyle w:val="ListBullet"/>
      </w:pPr>
      <w:r w:rsidRPr="000349EF">
        <w:t xml:space="preserve">dose ranging study of 50 </w:t>
      </w:r>
      <w:r w:rsidR="00F53E66" w:rsidRPr="000349EF">
        <w:t xml:space="preserve">µg </w:t>
      </w:r>
      <w:r w:rsidRPr="000349EF">
        <w:t>dose in teenagers.</w:t>
      </w:r>
      <w:r w:rsidR="00EB4B51" w:rsidRPr="000349EF">
        <w:rPr>
          <w:rStyle w:val="FootnoteReference"/>
        </w:rPr>
        <w:footnoteReference w:id="39"/>
      </w:r>
    </w:p>
    <w:p w14:paraId="1E31CCCA" w14:textId="77777777" w:rsidR="00E6281E" w:rsidRPr="000349EF" w:rsidRDefault="00E6281E" w:rsidP="00A04B72">
      <w:pPr>
        <w:pStyle w:val="Numberbullet0"/>
        <w:rPr>
          <w:b/>
          <w:bCs/>
          <w:i/>
          <w:iCs/>
        </w:rPr>
      </w:pPr>
      <w:r w:rsidRPr="000349EF">
        <w:rPr>
          <w:b/>
          <w:bCs/>
          <w:i/>
          <w:iCs/>
        </w:rPr>
        <w:t>Other</w:t>
      </w:r>
    </w:p>
    <w:p w14:paraId="778A3274" w14:textId="561784D9" w:rsidR="00E6281E" w:rsidRPr="000349EF" w:rsidRDefault="00E6281E">
      <w:r w:rsidRPr="000349EF">
        <w:t>The ACV commented that the vaccine is highly reactogenic and so febrile convulsions may be an issue in younger children but not generally the 6</w:t>
      </w:r>
      <w:r w:rsidR="00F53E66" w:rsidRPr="000349EF">
        <w:t xml:space="preserve"> to </w:t>
      </w:r>
      <w:r w:rsidRPr="000349EF">
        <w:t>11</w:t>
      </w:r>
      <w:r w:rsidR="0008449C" w:rsidRPr="000349EF">
        <w:t xml:space="preserve"> </w:t>
      </w:r>
      <w:r w:rsidRPr="000349EF">
        <w:t xml:space="preserve">year age group. This needed to be balanced against symptoms/consequences of COVID-19. The sponsor has reported no case of febrile convulsion in </w:t>
      </w:r>
      <w:r w:rsidR="00F53E66" w:rsidRPr="000349EF">
        <w:t>S</w:t>
      </w:r>
      <w:r w:rsidRPr="000349EF">
        <w:t>tudy P204.</w:t>
      </w:r>
    </w:p>
    <w:p w14:paraId="0BBE7A83" w14:textId="77777777" w:rsidR="00E6281E" w:rsidRPr="000349EF" w:rsidRDefault="00E6281E">
      <w:r w:rsidRPr="000349EF">
        <w:t>The ACV commented on administration concerns due to using the same formulation (vial) to administer different injection volumes for adults and children. The ACV noted that given the range of COVID-19 vaccines now available within Australia there continues to be a need for provider education on each vaccine and its usage.</w:t>
      </w:r>
    </w:p>
    <w:p w14:paraId="256EBC7F" w14:textId="77777777" w:rsidR="00E6281E" w:rsidRPr="000349EF" w:rsidRDefault="00E6281E">
      <w:r w:rsidRPr="000349EF">
        <w:t>The ACV commented that from the public health perspective there may be advantages of having a second approved vaccine for this age group, especially if there becomes a need for vaccine for variant strains of SARS-CoV-2. Against this, COVID-19 disease is mild in this age group and the program rollout of the other mRNA vaccine is imminent.</w:t>
      </w:r>
    </w:p>
    <w:p w14:paraId="244223DD" w14:textId="77777777" w:rsidR="00E6281E" w:rsidRPr="000349EF" w:rsidRDefault="00E6281E" w:rsidP="00A04B72">
      <w:pPr>
        <w:pStyle w:val="Heading5"/>
      </w:pPr>
      <w:bookmarkStart w:id="95" w:name="_Toc92977152"/>
      <w:r w:rsidRPr="000349EF">
        <w:t>ACV advice to the Delegate</w:t>
      </w:r>
      <w:bookmarkEnd w:id="95"/>
    </w:p>
    <w:p w14:paraId="186692F4" w14:textId="2B127908" w:rsidR="00E6281E" w:rsidRPr="000349EF" w:rsidRDefault="00E6281E">
      <w:r w:rsidRPr="000349EF">
        <w:t>The ACV was of the view that there are currently insufficient data to make a recommendation on the overall benefit-risk balance of elasomeran at the 50 </w:t>
      </w:r>
      <w:proofErr w:type="spellStart"/>
      <w:r w:rsidRPr="000349EF">
        <w:t>μg</w:t>
      </w:r>
      <w:proofErr w:type="spellEnd"/>
      <w:r w:rsidRPr="000349EF">
        <w:t xml:space="preserve"> dose for use in the 6 to </w:t>
      </w:r>
      <w:r w:rsidR="00EC79E7" w:rsidRPr="000349EF">
        <w:t>&lt; 12</w:t>
      </w:r>
      <w:r w:rsidR="0008449C" w:rsidRPr="000349EF">
        <w:t>-</w:t>
      </w:r>
      <w:r w:rsidRPr="000349EF">
        <w:t>year old population.</w:t>
      </w:r>
    </w:p>
    <w:p w14:paraId="322060ED" w14:textId="2A98D1A8" w:rsidR="00E6281E" w:rsidRPr="000349EF" w:rsidRDefault="00E6281E">
      <w:r w:rsidRPr="000349EF">
        <w:t>The ACV was uncertain whether the selected 50 </w:t>
      </w:r>
      <w:proofErr w:type="spellStart"/>
      <w:r w:rsidRPr="000349EF">
        <w:t>μg</w:t>
      </w:r>
      <w:proofErr w:type="spellEnd"/>
      <w:r w:rsidRPr="000349EF">
        <w:t xml:space="preserve"> dose is the most appropriate for individuals 6 to &lt;</w:t>
      </w:r>
      <w:r w:rsidR="009C0A92" w:rsidRPr="000349EF">
        <w:t xml:space="preserve"> </w:t>
      </w:r>
      <w:r w:rsidRPr="000349EF">
        <w:t>12 years of age. They expressed the need for a lower dose (25 </w:t>
      </w:r>
      <w:proofErr w:type="spellStart"/>
      <w:r w:rsidRPr="000349EF">
        <w:t>μg</w:t>
      </w:r>
      <w:proofErr w:type="spellEnd"/>
      <w:r w:rsidRPr="000349EF">
        <w:t>) to be tested in dose ranging studies, particularly considering that GMRs following 50 </w:t>
      </w:r>
      <w:proofErr w:type="spellStart"/>
      <w:r w:rsidRPr="000349EF">
        <w:t>μg</w:t>
      </w:r>
      <w:proofErr w:type="spellEnd"/>
      <w:r w:rsidRPr="000349EF">
        <w:t xml:space="preserve"> primary doses are increased compared to young adults following 100 </w:t>
      </w:r>
      <w:proofErr w:type="spellStart"/>
      <w:r w:rsidRPr="000349EF">
        <w:t>μg</w:t>
      </w:r>
      <w:proofErr w:type="spellEnd"/>
      <w:r w:rsidRPr="000349EF">
        <w:t xml:space="preserve"> primary doses by approximately 1.5</w:t>
      </w:r>
      <w:r w:rsidR="009C0A92" w:rsidRPr="000349EF">
        <w:t>-</w:t>
      </w:r>
      <w:r w:rsidRPr="000349EF">
        <w:t xml:space="preserve">fold indicating that dose may be </w:t>
      </w:r>
      <w:proofErr w:type="gramStart"/>
      <w:r w:rsidRPr="000349EF">
        <w:t>in excess of</w:t>
      </w:r>
      <w:proofErr w:type="gramEnd"/>
      <w:r w:rsidRPr="000349EF">
        <w:t xml:space="preserve"> that needed to achieve comparable high protection in young adults.</w:t>
      </w:r>
    </w:p>
    <w:p w14:paraId="1F33261D" w14:textId="27A178BB" w:rsidR="00E6281E" w:rsidRPr="000349EF" w:rsidRDefault="00E6281E">
      <w:r w:rsidRPr="000349EF">
        <w:t xml:space="preserve">The ACV expressed interest in viewing the data on the </w:t>
      </w:r>
      <w:r w:rsidR="00EC79E7" w:rsidRPr="000349EF">
        <w:t>2 to &lt; 6</w:t>
      </w:r>
      <w:r w:rsidRPr="000349EF">
        <w:t xml:space="preserve"> years population at the 25 </w:t>
      </w:r>
      <w:proofErr w:type="spellStart"/>
      <w:r w:rsidRPr="000349EF">
        <w:t>μg</w:t>
      </w:r>
      <w:proofErr w:type="spellEnd"/>
      <w:r w:rsidRPr="000349EF">
        <w:t xml:space="preserve"> dose to further understand the relationship between dose, immunogenicity and reactogenicity. They noted this may provide guidance to the Delegate in assessing the appropriate dose for the </w:t>
      </w:r>
      <w:r w:rsidR="00EC79E7" w:rsidRPr="000349EF">
        <w:t>6 to &lt; 12</w:t>
      </w:r>
      <w:r w:rsidR="0019572E" w:rsidRPr="000349EF">
        <w:t xml:space="preserve"> </w:t>
      </w:r>
      <w:r w:rsidRPr="000349EF">
        <w:t>year</w:t>
      </w:r>
      <w:r w:rsidR="0019572E" w:rsidRPr="000349EF">
        <w:t>s</w:t>
      </w:r>
      <w:r w:rsidRPr="000349EF">
        <w:t xml:space="preserve"> old group.</w:t>
      </w:r>
    </w:p>
    <w:p w14:paraId="0849DAFD" w14:textId="5FA56327" w:rsidR="00E6281E" w:rsidRPr="000349EF" w:rsidRDefault="00E6281E">
      <w:r w:rsidRPr="000349EF">
        <w:t xml:space="preserve">In providing this advice, the ACV recommended that the Delegate request the longer term follow up data from Study P204 Part 2 including </w:t>
      </w:r>
      <w:r w:rsidR="0008449C" w:rsidRPr="000349EF">
        <w:t>D</w:t>
      </w:r>
      <w:r w:rsidRPr="000349EF">
        <w:t xml:space="preserve">ay 57 immunogenicity, </w:t>
      </w:r>
      <w:proofErr w:type="gramStart"/>
      <w:r w:rsidRPr="000349EF">
        <w:t>safety</w:t>
      </w:r>
      <w:proofErr w:type="gramEnd"/>
      <w:r w:rsidRPr="000349EF">
        <w:t xml:space="preserve"> and COVID-19 events, as also requested by the EMA.</w:t>
      </w:r>
    </w:p>
    <w:p w14:paraId="1462D515" w14:textId="77777777" w:rsidR="00E6281E" w:rsidRPr="000349EF" w:rsidRDefault="00E6281E">
      <w:r w:rsidRPr="000349EF">
        <w:t xml:space="preserve">The ACV noted uncertainty in relation to the risk of myocarditis and pericarditis after Spikevax in this age group, particularly </w:t>
      </w:r>
      <w:proofErr w:type="gramStart"/>
      <w:r w:rsidRPr="000349EF">
        <w:t>in light of</w:t>
      </w:r>
      <w:proofErr w:type="gramEnd"/>
      <w:r w:rsidRPr="000349EF">
        <w:t xml:space="preserve"> emerging data on the differential risk of these events compared to the other mRNA vaccine registered for older age groups.</w:t>
      </w:r>
    </w:p>
    <w:p w14:paraId="2E9550CF" w14:textId="77777777" w:rsidR="00E6281E" w:rsidRPr="000349EF" w:rsidRDefault="00E6281E">
      <w:r w:rsidRPr="000349EF">
        <w:lastRenderedPageBreak/>
        <w:t>In addition, the ACV was of the view that the following information would be informative in assessing benefit over risk:</w:t>
      </w:r>
    </w:p>
    <w:p w14:paraId="3149E84C" w14:textId="15DE87EF" w:rsidR="00E6281E" w:rsidRPr="000349EF" w:rsidRDefault="00E6281E" w:rsidP="00A04B72">
      <w:pPr>
        <w:pStyle w:val="ListBullet"/>
        <w:rPr>
          <w:rFonts w:cs="Arial"/>
        </w:rPr>
      </w:pPr>
      <w:r w:rsidRPr="000349EF">
        <w:t>comparison of troponin levels (as biomarker for myocardial inflammation early post</w:t>
      </w:r>
      <w:r w:rsidR="009C0A92" w:rsidRPr="000349EF">
        <w:noBreakHyphen/>
        <w:t>D</w:t>
      </w:r>
      <w:r w:rsidRPr="000349EF">
        <w:t xml:space="preserve">ose 2) in vaccine/placebo arms of young adult, </w:t>
      </w:r>
      <w:proofErr w:type="gramStart"/>
      <w:r w:rsidRPr="000349EF">
        <w:t>adolescent</w:t>
      </w:r>
      <w:proofErr w:type="gramEnd"/>
      <w:r w:rsidRPr="000349EF">
        <w:t xml:space="preserve"> and child vaccine trial participants</w:t>
      </w:r>
    </w:p>
    <w:p w14:paraId="7B616FF1" w14:textId="77777777" w:rsidR="00E6281E" w:rsidRPr="000349EF" w:rsidRDefault="00E6281E" w:rsidP="00A04B72">
      <w:pPr>
        <w:pStyle w:val="ListBullet"/>
        <w:rPr>
          <w:rFonts w:cs="Arial"/>
        </w:rPr>
      </w:pPr>
      <w:r w:rsidRPr="000349EF">
        <w:rPr>
          <w:rFonts w:cs="Arial"/>
        </w:rPr>
        <w:t>outcome data on clinical severity of myocarditis in older age groups</w:t>
      </w:r>
    </w:p>
    <w:p w14:paraId="64106390" w14:textId="77777777" w:rsidR="00E6281E" w:rsidRPr="000349EF" w:rsidRDefault="00E6281E" w:rsidP="00A04B72">
      <w:pPr>
        <w:pStyle w:val="ListBullet"/>
        <w:rPr>
          <w:rFonts w:cs="Arial"/>
        </w:rPr>
      </w:pPr>
      <w:r w:rsidRPr="000349EF">
        <w:rPr>
          <w:rFonts w:cs="Arial"/>
        </w:rPr>
        <w:t>post-marketing data in this age group and dose if available.</w:t>
      </w:r>
    </w:p>
    <w:p w14:paraId="63C8849F" w14:textId="6CC4E4D0" w:rsidR="00E6281E" w:rsidRPr="000349EF" w:rsidRDefault="00E6281E" w:rsidP="00E6281E">
      <w:r w:rsidRPr="000349EF">
        <w:t>The ACV recommended deferral of a decision by the Delegate, pending review of additional information.</w:t>
      </w:r>
    </w:p>
    <w:p w14:paraId="588AE012" w14:textId="24BEC7A7" w:rsidR="00E6281E" w:rsidRPr="000349EF" w:rsidRDefault="00E6281E" w:rsidP="00E6281E">
      <w:pPr>
        <w:pStyle w:val="Heading4"/>
      </w:pPr>
      <w:r w:rsidRPr="000349EF">
        <w:t>Risk/benefit assessment (post-Advisory Committee Meeting)</w:t>
      </w:r>
    </w:p>
    <w:p w14:paraId="430A07B8" w14:textId="5A95984E" w:rsidR="00E6281E" w:rsidRPr="000349EF" w:rsidRDefault="00E6281E">
      <w:r w:rsidRPr="000349EF">
        <w:t>The extension of indication to</w:t>
      </w:r>
      <w:r w:rsidR="009E1DED" w:rsidRPr="000349EF">
        <w:t xml:space="preserve"> children</w:t>
      </w:r>
      <w:r w:rsidRPr="000349EF">
        <w:t xml:space="preserve"> </w:t>
      </w:r>
      <w:r w:rsidR="009E1DED" w:rsidRPr="000349EF">
        <w:t xml:space="preserve">between </w:t>
      </w:r>
      <w:r w:rsidR="00EC79E7" w:rsidRPr="000349EF">
        <w:t>6 to &lt; 12</w:t>
      </w:r>
      <w:r w:rsidRPr="000349EF">
        <w:t xml:space="preserve"> years old for </w:t>
      </w:r>
      <w:proofErr w:type="spellStart"/>
      <w:r w:rsidRPr="000349EF">
        <w:t>Spikevax</w:t>
      </w:r>
      <w:proofErr w:type="spellEnd"/>
      <w:r w:rsidRPr="000349EF">
        <w:t xml:space="preserve"> 50</w:t>
      </w:r>
      <w:r w:rsidR="009E1DED" w:rsidRPr="000349EF">
        <w:t> </w:t>
      </w:r>
      <w:proofErr w:type="spellStart"/>
      <w:r w:rsidRPr="000349EF">
        <w:t>μg</w:t>
      </w:r>
      <w:proofErr w:type="spellEnd"/>
      <w:r w:rsidRPr="000349EF">
        <w:t xml:space="preserve"> was discussed at the ACV meeting on 22 December 2021. The ACV considers that the submitted data is not sufficient to assess the benefit</w:t>
      </w:r>
      <w:r w:rsidR="009E1DED" w:rsidRPr="000349EF">
        <w:t>-</w:t>
      </w:r>
      <w:r w:rsidRPr="000349EF">
        <w:t xml:space="preserve">risk balance for </w:t>
      </w:r>
      <w:proofErr w:type="spellStart"/>
      <w:r w:rsidRPr="000349EF">
        <w:t>Spikevax</w:t>
      </w:r>
      <w:proofErr w:type="spellEnd"/>
      <w:r w:rsidRPr="000349EF">
        <w:t xml:space="preserve"> 50</w:t>
      </w:r>
      <w:r w:rsidR="009E1DED" w:rsidRPr="000349EF">
        <w:t> </w:t>
      </w:r>
      <w:proofErr w:type="spellStart"/>
      <w:r w:rsidRPr="000349EF">
        <w:t>μg</w:t>
      </w:r>
      <w:proofErr w:type="spellEnd"/>
      <w:r w:rsidRPr="000349EF">
        <w:t xml:space="preserve"> in individual</w:t>
      </w:r>
      <w:r w:rsidR="00324020" w:rsidRPr="000349EF">
        <w:t>s</w:t>
      </w:r>
      <w:r w:rsidRPr="000349EF">
        <w:t xml:space="preserve"> </w:t>
      </w:r>
      <w:r w:rsidR="00EC79E7" w:rsidRPr="000349EF">
        <w:t>6 to &lt; 12</w:t>
      </w:r>
      <w:r w:rsidR="009C0A92" w:rsidRPr="000349EF">
        <w:t> </w:t>
      </w:r>
      <w:r w:rsidRPr="000349EF">
        <w:t xml:space="preserve">years of age. Following the ACV discussion, the </w:t>
      </w:r>
      <w:r w:rsidR="009C0A92" w:rsidRPr="000349EF">
        <w:t>D</w:t>
      </w:r>
      <w:r w:rsidRPr="000349EF">
        <w:t xml:space="preserve">elegate raised further questions and requested further data from </w:t>
      </w:r>
      <w:r w:rsidR="009C0A92" w:rsidRPr="000349EF">
        <w:t>the sponsor</w:t>
      </w:r>
      <w:r w:rsidRPr="000349EF">
        <w:t xml:space="preserve">. </w:t>
      </w:r>
      <w:r w:rsidR="009C0A92" w:rsidRPr="000349EF">
        <w:t>The sponsor</w:t>
      </w:r>
      <w:r w:rsidRPr="000349EF">
        <w:t xml:space="preserve">’s response was provided to </w:t>
      </w:r>
      <w:r w:rsidR="009C0A92" w:rsidRPr="000349EF">
        <w:t xml:space="preserve">the </w:t>
      </w:r>
      <w:r w:rsidRPr="000349EF">
        <w:t xml:space="preserve">TGA on 17 and 19 January 2022. The following </w:t>
      </w:r>
      <w:r w:rsidR="00324020" w:rsidRPr="000349EF">
        <w:t>is</w:t>
      </w:r>
      <w:r w:rsidRPr="000349EF">
        <w:t xml:space="preserve"> </w:t>
      </w:r>
      <w:proofErr w:type="gramStart"/>
      <w:r w:rsidR="009C0A92" w:rsidRPr="000349EF">
        <w:t xml:space="preserve">a </w:t>
      </w:r>
      <w:r w:rsidRPr="000349EF">
        <w:t>brief summary</w:t>
      </w:r>
      <w:proofErr w:type="gramEnd"/>
      <w:r w:rsidRPr="000349EF">
        <w:t xml:space="preserve"> </w:t>
      </w:r>
      <w:r w:rsidR="009C0A92" w:rsidRPr="000349EF">
        <w:t xml:space="preserve">of the data </w:t>
      </w:r>
      <w:r w:rsidR="009E1DED" w:rsidRPr="000349EF">
        <w:t xml:space="preserve">submitted by the sponsor, </w:t>
      </w:r>
      <w:r w:rsidRPr="000349EF">
        <w:t xml:space="preserve">the </w:t>
      </w:r>
      <w:r w:rsidR="009E1DED" w:rsidRPr="000349EF">
        <w:t>D</w:t>
      </w:r>
      <w:r w:rsidRPr="000349EF">
        <w:t>elegate’s analysis</w:t>
      </w:r>
      <w:r w:rsidR="009E1DED" w:rsidRPr="000349EF">
        <w:t>,</w:t>
      </w:r>
      <w:r w:rsidRPr="000349EF">
        <w:t xml:space="preserve"> and </w:t>
      </w:r>
      <w:r w:rsidR="009E1DED" w:rsidRPr="000349EF">
        <w:t xml:space="preserve">additional </w:t>
      </w:r>
      <w:r w:rsidRPr="000349EF">
        <w:t xml:space="preserve">questions </w:t>
      </w:r>
      <w:r w:rsidR="009E1DED" w:rsidRPr="000349EF">
        <w:t xml:space="preserve">that the Delegate </w:t>
      </w:r>
      <w:r w:rsidR="008B7289" w:rsidRPr="000349EF">
        <w:t>requested for</w:t>
      </w:r>
      <w:r w:rsidR="009E1DED" w:rsidRPr="000349EF">
        <w:t xml:space="preserve"> </w:t>
      </w:r>
      <w:r w:rsidRPr="000349EF">
        <w:t>the ACV</w:t>
      </w:r>
      <w:r w:rsidR="008B7289" w:rsidRPr="000349EF">
        <w:t>’s</w:t>
      </w:r>
      <w:r w:rsidRPr="000349EF">
        <w:t xml:space="preserve"> advice.</w:t>
      </w:r>
    </w:p>
    <w:p w14:paraId="72D70205" w14:textId="686BC385" w:rsidR="00E6281E" w:rsidRPr="000349EF" w:rsidRDefault="00E6281E" w:rsidP="00A04B72">
      <w:pPr>
        <w:pStyle w:val="Heading5"/>
        <w:rPr>
          <w:rFonts w:eastAsiaTheme="minorHAnsi"/>
          <w:sz w:val="23"/>
          <w:szCs w:val="23"/>
        </w:rPr>
      </w:pPr>
      <w:bookmarkStart w:id="96" w:name="_Toc93934145"/>
      <w:bookmarkStart w:id="97" w:name="_Toc94269130"/>
      <w:r w:rsidRPr="000349EF">
        <w:t xml:space="preserve">Data for </w:t>
      </w:r>
      <w:r w:rsidR="008B7289" w:rsidRPr="000349EF">
        <w:t xml:space="preserve">children </w:t>
      </w:r>
      <w:r w:rsidR="00324020" w:rsidRPr="000349EF">
        <w:t xml:space="preserve">aged </w:t>
      </w:r>
      <w:r w:rsidR="00EC79E7" w:rsidRPr="000349EF">
        <w:t>6 to &lt; 12</w:t>
      </w:r>
      <w:r w:rsidRPr="000349EF">
        <w:t xml:space="preserve"> years old </w:t>
      </w:r>
      <w:bookmarkEnd w:id="96"/>
      <w:r w:rsidR="009C0A92" w:rsidRPr="000349EF">
        <w:t>with</w:t>
      </w:r>
      <w:r w:rsidRPr="000349EF">
        <w:t xml:space="preserve"> </w:t>
      </w:r>
      <w:r w:rsidR="009C0A92" w:rsidRPr="000349EF">
        <w:t xml:space="preserve">the </w:t>
      </w:r>
      <w:r w:rsidRPr="000349EF">
        <w:t>cut-off</w:t>
      </w:r>
      <w:r w:rsidR="008B7289" w:rsidRPr="000349EF">
        <w:t xml:space="preserve"> </w:t>
      </w:r>
      <w:r w:rsidR="00324020" w:rsidRPr="000349EF">
        <w:t xml:space="preserve">date of </w:t>
      </w:r>
      <w:r w:rsidRPr="000349EF">
        <w:t>10</w:t>
      </w:r>
      <w:r w:rsidR="00324020" w:rsidRPr="000349EF">
        <w:t> </w:t>
      </w:r>
      <w:r w:rsidR="009C0A92" w:rsidRPr="000349EF">
        <w:t xml:space="preserve">November </w:t>
      </w:r>
      <w:r w:rsidRPr="000349EF">
        <w:t>2021</w:t>
      </w:r>
      <w:bookmarkEnd w:id="97"/>
    </w:p>
    <w:p w14:paraId="5DFF4D30" w14:textId="1D1073FE" w:rsidR="00E6281E" w:rsidRPr="000349EF" w:rsidRDefault="00E6281E" w:rsidP="00A04B72">
      <w:r w:rsidRPr="000349EF">
        <w:t>The data provided at the initial submission was at the cut</w:t>
      </w:r>
      <w:r w:rsidR="009C0A92" w:rsidRPr="000349EF">
        <w:t>-</w:t>
      </w:r>
      <w:r w:rsidRPr="000349EF">
        <w:t xml:space="preserve">off date of 6 October 2021. The </w:t>
      </w:r>
      <w:r w:rsidR="009C0A92" w:rsidRPr="000349EF">
        <w:t>sponsor</w:t>
      </w:r>
      <w:r w:rsidRPr="000349EF">
        <w:t xml:space="preserve"> </w:t>
      </w:r>
      <w:r w:rsidR="008B7289" w:rsidRPr="000349EF">
        <w:t xml:space="preserve">has </w:t>
      </w:r>
      <w:r w:rsidRPr="000349EF">
        <w:t>now provided summaries of immunogenicity (Day 57), efficacy (COVID</w:t>
      </w:r>
      <w:r w:rsidR="009C0A92" w:rsidRPr="000349EF">
        <w:noBreakHyphen/>
      </w:r>
      <w:r w:rsidRPr="000349EF">
        <w:t xml:space="preserve">19 events recently obtained), and safety </w:t>
      </w:r>
      <w:r w:rsidR="008B7289" w:rsidRPr="000349EF">
        <w:t xml:space="preserve">data </w:t>
      </w:r>
      <w:r w:rsidRPr="000349EF">
        <w:t xml:space="preserve">with the </w:t>
      </w:r>
      <w:bookmarkStart w:id="98" w:name="_Hlk94774853"/>
      <w:r w:rsidRPr="000349EF">
        <w:t>cut</w:t>
      </w:r>
      <w:r w:rsidR="009C0A92" w:rsidRPr="000349EF">
        <w:t>-</w:t>
      </w:r>
      <w:r w:rsidRPr="000349EF">
        <w:t xml:space="preserve">off </w:t>
      </w:r>
      <w:r w:rsidR="00E4017F" w:rsidRPr="000349EF">
        <w:t>on</w:t>
      </w:r>
      <w:r w:rsidR="009C0A92" w:rsidRPr="000349EF">
        <w:t xml:space="preserve"> </w:t>
      </w:r>
      <w:bookmarkEnd w:id="98"/>
      <w:r w:rsidRPr="000349EF">
        <w:t>10 November 2021 (</w:t>
      </w:r>
      <w:r w:rsidR="009C0A92" w:rsidRPr="000349EF">
        <w:t>i</w:t>
      </w:r>
      <w:r w:rsidRPr="000349EF">
        <w:t xml:space="preserve">nterim </w:t>
      </w:r>
      <w:r w:rsidR="009C0A92" w:rsidRPr="000349EF">
        <w:t>a</w:t>
      </w:r>
      <w:r w:rsidRPr="000349EF">
        <w:t>nalysis).</w:t>
      </w:r>
    </w:p>
    <w:p w14:paraId="3A96F053" w14:textId="77777777" w:rsidR="00114008" w:rsidRPr="000349EF" w:rsidRDefault="00E6281E" w:rsidP="00A04B72">
      <w:pPr>
        <w:pStyle w:val="Heading6"/>
      </w:pPr>
      <w:r w:rsidRPr="000349EF">
        <w:t>Immunogenicity</w:t>
      </w:r>
    </w:p>
    <w:p w14:paraId="2790067E" w14:textId="41191D91" w:rsidR="00E6281E" w:rsidRPr="000349EF" w:rsidRDefault="008B7289" w:rsidP="00A04B72">
      <w:r w:rsidRPr="000349EF">
        <w:t>T</w:t>
      </w:r>
      <w:r w:rsidR="00E6281E" w:rsidRPr="000349EF">
        <w:t xml:space="preserve">his larger PP </w:t>
      </w:r>
      <w:r w:rsidR="009C0A92" w:rsidRPr="000349EF">
        <w:t>i</w:t>
      </w:r>
      <w:r w:rsidR="00E6281E" w:rsidRPr="000349EF">
        <w:t>mmunogenicity subset (n</w:t>
      </w:r>
      <w:r w:rsidR="009C0A92" w:rsidRPr="000349EF">
        <w:t xml:space="preserve"> </w:t>
      </w:r>
      <w:r w:rsidR="00E6281E" w:rsidRPr="000349EF">
        <w:t>=</w:t>
      </w:r>
      <w:r w:rsidR="009C0A92" w:rsidRPr="000349EF">
        <w:t xml:space="preserve"> </w:t>
      </w:r>
      <w:r w:rsidR="00E6281E" w:rsidRPr="000349EF">
        <w:t>319) derives from the blinded, placebo</w:t>
      </w:r>
      <w:r w:rsidR="009C0A92" w:rsidRPr="000349EF">
        <w:t xml:space="preserve"> </w:t>
      </w:r>
      <w:r w:rsidR="00E6281E" w:rsidRPr="000349EF">
        <w:t>controlled phase (Part 2) of Study</w:t>
      </w:r>
      <w:r w:rsidR="009C0A92" w:rsidRPr="000349EF">
        <w:t> P</w:t>
      </w:r>
      <w:r w:rsidR="00E6281E" w:rsidRPr="000349EF">
        <w:t xml:space="preserve">204. The Day 57 </w:t>
      </w:r>
      <w:proofErr w:type="spellStart"/>
      <w:r w:rsidR="00E6281E" w:rsidRPr="000349EF">
        <w:t>nAb</w:t>
      </w:r>
      <w:proofErr w:type="spellEnd"/>
      <w:r w:rsidR="00E6281E" w:rsidRPr="000349EF">
        <w:t xml:space="preserve"> GMT measured by </w:t>
      </w:r>
      <w:proofErr w:type="spellStart"/>
      <w:r w:rsidR="00E6281E" w:rsidRPr="000349EF">
        <w:t>PsVNA</w:t>
      </w:r>
      <w:proofErr w:type="spellEnd"/>
      <w:r w:rsidR="00E6281E" w:rsidRPr="000349EF">
        <w:t xml:space="preserve"> ID</w:t>
      </w:r>
      <w:r w:rsidR="00E6281E" w:rsidRPr="000349EF">
        <w:rPr>
          <w:vertAlign w:val="subscript"/>
        </w:rPr>
        <w:t>50</w:t>
      </w:r>
      <w:r w:rsidR="00E6281E" w:rsidRPr="000349EF">
        <w:t xml:space="preserve"> from this subset was 1610.2 (95% CI</w:t>
      </w:r>
      <w:r w:rsidR="00F02F25" w:rsidRPr="000349EF">
        <w:t>:</w:t>
      </w:r>
      <w:r w:rsidR="00E6281E" w:rsidRPr="000349EF">
        <w:t xml:space="preserve"> 1456.6, 1780.0; n</w:t>
      </w:r>
      <w:r w:rsidR="009C0A92" w:rsidRPr="000349EF">
        <w:t xml:space="preserve"> </w:t>
      </w:r>
      <w:r w:rsidR="00E6281E" w:rsidRPr="000349EF">
        <w:t>=</w:t>
      </w:r>
      <w:r w:rsidR="009C0A92" w:rsidRPr="000349EF">
        <w:t xml:space="preserve"> </w:t>
      </w:r>
      <w:r w:rsidR="00E6281E" w:rsidRPr="000349EF">
        <w:t xml:space="preserve">319) with 99.1% of children achieving seroresponse. The GMFR in </w:t>
      </w:r>
      <w:proofErr w:type="spellStart"/>
      <w:r w:rsidR="00E6281E" w:rsidRPr="000349EF">
        <w:t>nAb</w:t>
      </w:r>
      <w:proofErr w:type="spellEnd"/>
      <w:r w:rsidR="00E6281E" w:rsidRPr="000349EF">
        <w:t xml:space="preserve"> from </w:t>
      </w:r>
      <w:r w:rsidR="009C0A92" w:rsidRPr="000349EF">
        <w:t>B</w:t>
      </w:r>
      <w:r w:rsidR="00E6281E" w:rsidRPr="000349EF">
        <w:t>aseline to D</w:t>
      </w:r>
      <w:r w:rsidR="00F53E66" w:rsidRPr="000349EF">
        <w:t>ay </w:t>
      </w:r>
      <w:r w:rsidR="00E6281E" w:rsidRPr="000349EF">
        <w:t xml:space="preserve">57 was 174.0 (95% CI: 157.2, 192.5). The GMT of 1610.2 from this larger Part 2 PP </w:t>
      </w:r>
      <w:r w:rsidR="00F53E66" w:rsidRPr="000349EF">
        <w:t>immunogenicity subset</w:t>
      </w:r>
      <w:r w:rsidR="00E6281E" w:rsidRPr="000349EF">
        <w:t xml:space="preserve"> falls between that observed for the dose</w:t>
      </w:r>
      <w:r w:rsidR="00F53E66" w:rsidRPr="000349EF">
        <w:t xml:space="preserve"> </w:t>
      </w:r>
      <w:r w:rsidR="00E6281E" w:rsidRPr="000349EF">
        <w:t>selection subset (1204.6: 95% CI: 1047.2, 1385.8; n</w:t>
      </w:r>
      <w:r w:rsidR="00F02F25" w:rsidRPr="000349EF">
        <w:t> </w:t>
      </w:r>
      <w:r w:rsidR="00E6281E" w:rsidRPr="000349EF">
        <w:t>=</w:t>
      </w:r>
      <w:r w:rsidR="00F02F25" w:rsidRPr="000349EF">
        <w:t> </w:t>
      </w:r>
      <w:r w:rsidR="00E6281E" w:rsidRPr="000349EF">
        <w:t xml:space="preserve">67) and for the Part 1 PP </w:t>
      </w:r>
      <w:r w:rsidR="00F53E66" w:rsidRPr="000349EF">
        <w:t>immunogenicity subset</w:t>
      </w:r>
      <w:r w:rsidR="00E6281E" w:rsidRPr="000349EF">
        <w:t xml:space="preserve"> (1964.6, 95% CI: 1722.4, 2240.9; n</w:t>
      </w:r>
      <w:r w:rsidR="00F02F25" w:rsidRPr="000349EF">
        <w:t> </w:t>
      </w:r>
      <w:r w:rsidR="00E6281E" w:rsidRPr="000349EF">
        <w:t>=</w:t>
      </w:r>
      <w:r w:rsidR="00F02F25" w:rsidRPr="000349EF">
        <w:t> </w:t>
      </w:r>
      <w:r w:rsidR="00E6281E" w:rsidRPr="000349EF">
        <w:t>134). Results from this subset (with the 10</w:t>
      </w:r>
      <w:r w:rsidR="00F53E66" w:rsidRPr="000349EF">
        <w:t xml:space="preserve"> </w:t>
      </w:r>
      <w:r w:rsidR="00E6281E" w:rsidRPr="000349EF">
        <w:t>Nov</w:t>
      </w:r>
      <w:r w:rsidR="00F53E66" w:rsidRPr="000349EF">
        <w:t>ember 20</w:t>
      </w:r>
      <w:r w:rsidR="00E6281E" w:rsidRPr="000349EF">
        <w:t xml:space="preserve">21 </w:t>
      </w:r>
      <w:r w:rsidR="00F53E66" w:rsidRPr="000349EF">
        <w:t>interim analysis</w:t>
      </w:r>
      <w:r w:rsidR="00E6281E" w:rsidRPr="000349EF">
        <w:t xml:space="preserve">) successfully met non-inferiority criteria for both GMR and seroresponse rate </w:t>
      </w:r>
      <w:r w:rsidR="00F53E66" w:rsidRPr="000349EF">
        <w:t>(</w:t>
      </w:r>
      <w:r w:rsidR="00E6281E" w:rsidRPr="000349EF">
        <w:t>SRR</w:t>
      </w:r>
      <w:r w:rsidR="00F53E66" w:rsidRPr="000349EF">
        <w:t>)</w:t>
      </w:r>
      <w:r w:rsidR="00E6281E" w:rsidRPr="000349EF">
        <w:t xml:space="preserve"> difference compared to young adults (18 to 25 years) in the pivotal </w:t>
      </w:r>
      <w:r w:rsidR="00F53E66" w:rsidRPr="000349EF">
        <w:t>Study </w:t>
      </w:r>
      <w:r w:rsidR="00E6281E" w:rsidRPr="000349EF">
        <w:t xml:space="preserve">P301. Comparison of GMT between the Part 2 PP </w:t>
      </w:r>
      <w:r w:rsidR="00F53E66" w:rsidRPr="000349EF">
        <w:t>immunogenicity subset</w:t>
      </w:r>
      <w:r w:rsidR="00E6281E" w:rsidRPr="000349EF">
        <w:t xml:space="preserve"> in </w:t>
      </w:r>
      <w:r w:rsidR="00F53E66" w:rsidRPr="000349EF">
        <w:t xml:space="preserve">Study </w:t>
      </w:r>
      <w:r w:rsidR="00E6281E" w:rsidRPr="000349EF">
        <w:t>P204</w:t>
      </w:r>
      <w:r w:rsidR="00F02F25" w:rsidRPr="000349EF">
        <w:t>,</w:t>
      </w:r>
      <w:r w:rsidR="00E6281E" w:rsidRPr="000349EF">
        <w:t xml:space="preserve"> and the PP </w:t>
      </w:r>
      <w:r w:rsidR="00F53E66" w:rsidRPr="000349EF">
        <w:t>immunogenicity subset</w:t>
      </w:r>
      <w:r w:rsidR="00E6281E" w:rsidRPr="000349EF">
        <w:t xml:space="preserve"> of young adults in </w:t>
      </w:r>
      <w:r w:rsidR="00F53E66" w:rsidRPr="000349EF">
        <w:t xml:space="preserve">Study </w:t>
      </w:r>
      <w:r w:rsidR="00E6281E" w:rsidRPr="000349EF">
        <w:t>P301 shows a GMR of 1.239 (95% CI: 1.072, 1.432) and a SRR difference of 0.1</w:t>
      </w:r>
      <w:r w:rsidR="00A5478D" w:rsidRPr="000349EF">
        <w:t> </w:t>
      </w:r>
      <w:r w:rsidR="00E6281E" w:rsidRPr="000349EF">
        <w:t>(95% CI: -1.9, 2.1).</w:t>
      </w:r>
    </w:p>
    <w:p w14:paraId="1C4640B3" w14:textId="455D5A7A" w:rsidR="00F53E66" w:rsidRPr="000349EF" w:rsidRDefault="00F53E66" w:rsidP="00645731">
      <w:pPr>
        <w:pStyle w:val="TableTitle"/>
      </w:pPr>
      <w:bookmarkStart w:id="99" w:name="_Ref94612553"/>
      <w:r w:rsidRPr="000349EF">
        <w:lastRenderedPageBreak/>
        <w:t xml:space="preserve">Table </w:t>
      </w:r>
      <w:r w:rsidR="00571D7C">
        <w:fldChar w:fldCharType="begin"/>
      </w:r>
      <w:r w:rsidR="00571D7C">
        <w:instrText xml:space="preserve"> SEQ</w:instrText>
      </w:r>
      <w:r w:rsidR="00571D7C">
        <w:instrText xml:space="preserve"> Table \* ARABIC </w:instrText>
      </w:r>
      <w:r w:rsidR="00571D7C">
        <w:fldChar w:fldCharType="separate"/>
      </w:r>
      <w:r w:rsidR="00235E4B">
        <w:rPr>
          <w:noProof/>
        </w:rPr>
        <w:t>23</w:t>
      </w:r>
      <w:r w:rsidR="00571D7C">
        <w:rPr>
          <w:noProof/>
        </w:rPr>
        <w:fldChar w:fldCharType="end"/>
      </w:r>
      <w:bookmarkEnd w:id="99"/>
      <w:r w:rsidR="00E6281E" w:rsidRPr="000349EF">
        <w:t xml:space="preserve">: </w:t>
      </w:r>
      <w:r w:rsidRPr="000349EF">
        <w:t xml:space="preserve">Study P204 Part 2 </w:t>
      </w:r>
      <w:r w:rsidR="00E6281E" w:rsidRPr="000349EF">
        <w:t xml:space="preserve">Co-primary </w:t>
      </w:r>
      <w:r w:rsidRPr="000349EF">
        <w:t>immunobridging</w:t>
      </w:r>
      <w:r w:rsidR="00E6281E" w:rsidRPr="000349EF">
        <w:t xml:space="preserve"> at Day 57 </w:t>
      </w:r>
      <w:r w:rsidR="00645731" w:rsidRPr="000349EF">
        <w:t>(</w:t>
      </w:r>
      <w:proofErr w:type="spellStart"/>
      <w:r w:rsidR="00645731" w:rsidRPr="000349EF">
        <w:t>pseudovirus</w:t>
      </w:r>
      <w:proofErr w:type="spellEnd"/>
      <w:r w:rsidR="00645731" w:rsidRPr="000349EF">
        <w:t xml:space="preserve"> Neutralising antibody level by </w:t>
      </w:r>
      <w:proofErr w:type="spellStart"/>
      <w:r w:rsidR="00645731" w:rsidRPr="000349EF">
        <w:t>pseudovirus</w:t>
      </w:r>
      <w:proofErr w:type="spellEnd"/>
      <w:r w:rsidR="00645731" w:rsidRPr="000349EF">
        <w:t xml:space="preserve"> neutrali</w:t>
      </w:r>
      <w:r w:rsidR="00324020" w:rsidRPr="000349EF">
        <w:t>s</w:t>
      </w:r>
      <w:r w:rsidR="00645731" w:rsidRPr="000349EF">
        <w:t xml:space="preserve">ing assay; 50% inhibitory dose) </w:t>
      </w:r>
      <w:r w:rsidRPr="000349EF">
        <w:t xml:space="preserve">(per-protocol </w:t>
      </w:r>
      <w:r w:rsidR="00E6281E" w:rsidRPr="000349EF">
        <w:t>immunogenicity subset</w:t>
      </w:r>
      <w:r w:rsidRPr="000349EF">
        <w:t>)</w:t>
      </w:r>
    </w:p>
    <w:p w14:paraId="70F4B726" w14:textId="76F8B9AA" w:rsidR="00E6281E" w:rsidRPr="000349EF" w:rsidRDefault="00396215" w:rsidP="00B03B45">
      <w:r w:rsidRPr="000349EF">
        <w:rPr>
          <w:noProof/>
          <w:lang w:val="en-GB" w:eastAsia="en-GB"/>
        </w:rPr>
        <w:drawing>
          <wp:inline distT="0" distB="0" distL="0" distR="0" wp14:anchorId="2FC94861" wp14:editId="1C8EABB1">
            <wp:extent cx="5400040" cy="2144395"/>
            <wp:effectExtent l="0" t="0" r="0" b="8255"/>
            <wp:docPr id="3" name="Picture 3" descr="Table 23: Study P204 Part 2 Co-primary immunobridging at Day 57 (pseudovirus Neutralising antibody level by pseudovirus neutralising assay; 50% inhibitory dose) (per-protocol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23: Study P204 Part 2 Co-primary immunobridging at Day 57 (pseudovirus Neutralising antibody level by pseudovirus neutralising assay; 50% inhibitory dose) (per-protocol immunogenicity subset)"/>
                    <pic:cNvPicPr/>
                  </pic:nvPicPr>
                  <pic:blipFill>
                    <a:blip r:embed="rId41"/>
                    <a:stretch>
                      <a:fillRect/>
                    </a:stretch>
                  </pic:blipFill>
                  <pic:spPr>
                    <a:xfrm>
                      <a:off x="0" y="0"/>
                      <a:ext cx="5400040" cy="2144395"/>
                    </a:xfrm>
                    <a:prstGeom prst="rect">
                      <a:avLst/>
                    </a:prstGeom>
                  </pic:spPr>
                </pic:pic>
              </a:graphicData>
            </a:graphic>
          </wp:inline>
        </w:drawing>
      </w:r>
    </w:p>
    <w:p w14:paraId="33798B6D" w14:textId="71B5584A" w:rsidR="00396215" w:rsidRPr="000349EF" w:rsidRDefault="00396215" w:rsidP="00396215">
      <w:pPr>
        <w:pStyle w:val="TableDescription"/>
      </w:pPr>
      <w:r w:rsidRPr="000349EF">
        <w:t xml:space="preserve">CI = confidence interval; GMFR = geometric mean fold ratio; GMR = geometric mean ratio; GMT = geometric mean </w:t>
      </w:r>
      <w:r w:rsidR="00164050" w:rsidRPr="000349EF">
        <w:t>titre</w:t>
      </w:r>
      <w:r w:rsidRPr="000349EF">
        <w:t xml:space="preserve"> (noted as observed or model based, which is estimated by geometric least squares mean);</w:t>
      </w:r>
      <w:r w:rsidR="00164050" w:rsidRPr="000349EF">
        <w:rPr>
          <w:lang w:val="en-GB"/>
        </w:rPr>
        <w:t xml:space="preserve"> mRNA-1273 = Spikevax COVID-19 vaccine;</w:t>
      </w:r>
      <w:r w:rsidRPr="000349EF">
        <w:t xml:space="preserve"> </w:t>
      </w:r>
      <w:r w:rsidR="00164050" w:rsidRPr="000349EF">
        <w:t>N = population size; vs = versus</w:t>
      </w:r>
      <w:r w:rsidRPr="000349EF">
        <w:t>.</w:t>
      </w:r>
    </w:p>
    <w:p w14:paraId="2326A2BA" w14:textId="71CB7B1B" w:rsidR="00396215" w:rsidRPr="000349EF" w:rsidRDefault="00396215" w:rsidP="00396215">
      <w:pPr>
        <w:pStyle w:val="TableDescription"/>
      </w:pPr>
      <w:r w:rsidRPr="000349EF">
        <w:t xml:space="preserve">Antibody values reported as below the </w:t>
      </w:r>
      <w:r w:rsidR="00164050" w:rsidRPr="000349EF">
        <w:t>lower limit of quantification (</w:t>
      </w:r>
      <w:r w:rsidRPr="000349EF">
        <w:t>LLOQ</w:t>
      </w:r>
      <w:r w:rsidR="00164050" w:rsidRPr="000349EF">
        <w:t>)</w:t>
      </w:r>
      <w:r w:rsidRPr="000349EF">
        <w:t xml:space="preserve"> are replaced by 0.5 </w:t>
      </w:r>
      <w:r w:rsidR="00164050" w:rsidRPr="000349EF">
        <w:t>x</w:t>
      </w:r>
      <w:r w:rsidRPr="000349EF">
        <w:t xml:space="preserve"> LLOQ. Values greater than </w:t>
      </w:r>
      <w:r w:rsidR="00164050" w:rsidRPr="000349EF">
        <w:t>upper limit of quantification (</w:t>
      </w:r>
      <w:r w:rsidRPr="000349EF">
        <w:t>ULOQ</w:t>
      </w:r>
      <w:r w:rsidR="00164050" w:rsidRPr="000349EF">
        <w:t>)</w:t>
      </w:r>
      <w:r w:rsidRPr="000349EF">
        <w:t xml:space="preserve"> are replaced by the ULOQ if actual values are not available.</w:t>
      </w:r>
    </w:p>
    <w:p w14:paraId="1C3D7657" w14:textId="40B72753" w:rsidR="00396215" w:rsidRPr="000349EF" w:rsidRDefault="00164050" w:rsidP="00396215">
      <w:pPr>
        <w:pStyle w:val="TableDescription"/>
      </w:pPr>
      <w:r w:rsidRPr="000349EF">
        <w:t xml:space="preserve">Study </w:t>
      </w:r>
      <w:r w:rsidR="00396215" w:rsidRPr="000349EF">
        <w:t>P301 mRNA-1273 group includes young adults (18</w:t>
      </w:r>
      <w:r w:rsidRPr="000349EF">
        <w:t xml:space="preserve"> to </w:t>
      </w:r>
      <w:r w:rsidR="00396215" w:rsidRPr="000349EF">
        <w:t>25 years of age).</w:t>
      </w:r>
    </w:p>
    <w:p w14:paraId="7CF1A6FE" w14:textId="7E8D3504" w:rsidR="00396215" w:rsidRPr="000349EF" w:rsidRDefault="00396215" w:rsidP="00396215">
      <w:pPr>
        <w:pStyle w:val="TableDescription"/>
      </w:pPr>
      <w:r w:rsidRPr="000349EF">
        <w:t xml:space="preserve">The ULOQ for selected </w:t>
      </w:r>
      <w:r w:rsidR="00164050" w:rsidRPr="000349EF">
        <w:t xml:space="preserve">Study </w:t>
      </w:r>
      <w:r w:rsidRPr="000349EF">
        <w:t>P301 participants tested previously was different.</w:t>
      </w:r>
    </w:p>
    <w:p w14:paraId="62C55B1E" w14:textId="326DF567" w:rsidR="00396215" w:rsidRPr="000349EF" w:rsidRDefault="00396215" w:rsidP="00396215">
      <w:pPr>
        <w:pStyle w:val="TableDescription"/>
      </w:pPr>
      <w:r w:rsidRPr="000349EF">
        <w:t>a. 95% CI is calculated based on the t-distribution of the log-transformed values or the difference in the log</w:t>
      </w:r>
      <w:r w:rsidR="00164050" w:rsidRPr="000349EF">
        <w:t>-</w:t>
      </w:r>
      <w:r w:rsidRPr="000349EF">
        <w:t>transformed values for GMT and GMFR, respectively, then back transformed to the original scale for presentation.</w:t>
      </w:r>
    </w:p>
    <w:p w14:paraId="73D96D39" w14:textId="1BD795D0" w:rsidR="00396215" w:rsidRPr="000349EF" w:rsidRDefault="00396215" w:rsidP="00396215">
      <w:pPr>
        <w:pStyle w:val="TableDescription"/>
      </w:pPr>
      <w:r w:rsidRPr="000349EF">
        <w:t>b. The log-transformed antibody levels are analy</w:t>
      </w:r>
      <w:r w:rsidR="00164050" w:rsidRPr="000349EF">
        <w:t>s</w:t>
      </w:r>
      <w:r w:rsidRPr="000349EF">
        <w:t xml:space="preserve">ed using an </w:t>
      </w:r>
      <w:r w:rsidR="00164050" w:rsidRPr="000349EF">
        <w:t>analysis of covariance (</w:t>
      </w:r>
      <w:r w:rsidRPr="000349EF">
        <w:t>ANCOVA</w:t>
      </w:r>
      <w:r w:rsidR="00164050" w:rsidRPr="000349EF">
        <w:t>)</w:t>
      </w:r>
      <w:r w:rsidRPr="000349EF">
        <w:t xml:space="preserve"> model with the group variable (children in P204 Part 2 and young adults in P301) as fixed effect. The resulted </w:t>
      </w:r>
      <w:r w:rsidR="00164050" w:rsidRPr="000349EF">
        <w:t>least squares (</w:t>
      </w:r>
      <w:r w:rsidRPr="000349EF">
        <w:t>LS</w:t>
      </w:r>
      <w:r w:rsidR="00164050" w:rsidRPr="000349EF">
        <w:t>)</w:t>
      </w:r>
      <w:r w:rsidRPr="000349EF">
        <w:t xml:space="preserve"> </w:t>
      </w:r>
      <w:proofErr w:type="gramStart"/>
      <w:r w:rsidRPr="000349EF">
        <w:t>means</w:t>
      </w:r>
      <w:proofErr w:type="gramEnd"/>
      <w:r w:rsidRPr="000349EF">
        <w:t>, difference of LS means, and 95% CI are back transformed to the original scale for presentation.</w:t>
      </w:r>
    </w:p>
    <w:p w14:paraId="5B663284" w14:textId="2E96A336" w:rsidR="00396215" w:rsidRPr="000349EF" w:rsidRDefault="00396215" w:rsidP="00396215">
      <w:pPr>
        <w:pStyle w:val="TableDescription"/>
      </w:pPr>
      <w:r w:rsidRPr="000349EF">
        <w:t xml:space="preserve">c. Seroresponse at a participant level is defined as a change from below the LLOQ to equal or above 4 </w:t>
      </w:r>
      <w:r w:rsidR="00164050" w:rsidRPr="000349EF">
        <w:t>x</w:t>
      </w:r>
      <w:r w:rsidRPr="000349EF">
        <w:t xml:space="preserve"> LLOQ, or at least a 4-fold rise if baseline is equal to or above the LLOQ. Percentages are based on the number of participants with non-missing data at baseline and the corresponding timepoint.</w:t>
      </w:r>
    </w:p>
    <w:p w14:paraId="7AACE32B" w14:textId="77777777" w:rsidR="00396215" w:rsidRPr="000349EF" w:rsidRDefault="00396215" w:rsidP="00396215">
      <w:pPr>
        <w:pStyle w:val="TableDescription"/>
      </w:pPr>
      <w:r w:rsidRPr="000349EF">
        <w:t>d. 95% CI is calculated using the Clopper-Pearson method.</w:t>
      </w:r>
    </w:p>
    <w:p w14:paraId="3EF79902" w14:textId="5593D411" w:rsidR="00396215" w:rsidRPr="000349EF" w:rsidRDefault="00396215" w:rsidP="00396215">
      <w:pPr>
        <w:pStyle w:val="TableDescription"/>
      </w:pPr>
      <w:r w:rsidRPr="000349EF">
        <w:t>e. 95% CI is calculated using the Miettinen-</w:t>
      </w:r>
      <w:proofErr w:type="spellStart"/>
      <w:r w:rsidRPr="000349EF">
        <w:t>Nurminen</w:t>
      </w:r>
      <w:proofErr w:type="spellEnd"/>
      <w:r w:rsidRPr="000349EF">
        <w:t xml:space="preserve"> (score) confidence limits.</w:t>
      </w:r>
    </w:p>
    <w:p w14:paraId="77231195" w14:textId="3EE01BB1" w:rsidR="00E6281E" w:rsidRPr="000349EF" w:rsidRDefault="00E6281E" w:rsidP="00A04B72">
      <w:r w:rsidRPr="000349EF">
        <w:t xml:space="preserve">The </w:t>
      </w:r>
      <w:r w:rsidR="00E4017F" w:rsidRPr="000349EF">
        <w:t xml:space="preserve">GMR </w:t>
      </w:r>
      <w:r w:rsidRPr="000349EF">
        <w:t xml:space="preserve">and SRR both successfully meet </w:t>
      </w:r>
      <w:r w:rsidR="00F53E66" w:rsidRPr="000349EF">
        <w:t xml:space="preserve">non-inferiority </w:t>
      </w:r>
      <w:r w:rsidRPr="000349EF">
        <w:t>criteria of the 50</w:t>
      </w:r>
      <w:r w:rsidR="00E4017F" w:rsidRPr="000349EF">
        <w:t> </w:t>
      </w:r>
      <w:r w:rsidR="00F53E66" w:rsidRPr="000349EF">
        <w:t>µ</w:t>
      </w:r>
      <w:r w:rsidRPr="000349EF">
        <w:t>g mRNA</w:t>
      </w:r>
      <w:r w:rsidR="00E4017F" w:rsidRPr="000349EF">
        <w:noBreakHyphen/>
      </w:r>
      <w:r w:rsidRPr="000349EF">
        <w:t xml:space="preserve">1273 in children </w:t>
      </w:r>
      <w:r w:rsidR="00EC79E7" w:rsidRPr="000349EF">
        <w:t>6 to &lt; 12</w:t>
      </w:r>
      <w:r w:rsidRPr="000349EF">
        <w:t xml:space="preserve"> years </w:t>
      </w:r>
      <w:r w:rsidR="00E4017F" w:rsidRPr="000349EF">
        <w:t xml:space="preserve">of age </w:t>
      </w:r>
      <w:r w:rsidRPr="000349EF">
        <w:t xml:space="preserve">compared to young adults receiving 100 </w:t>
      </w:r>
      <w:r w:rsidR="00F53E66" w:rsidRPr="000349EF">
        <w:t>µ</w:t>
      </w:r>
      <w:r w:rsidRPr="000349EF">
        <w:t>g of mRNA</w:t>
      </w:r>
      <w:r w:rsidR="00E4017F" w:rsidRPr="000349EF">
        <w:noBreakHyphen/>
      </w:r>
      <w:r w:rsidRPr="000349EF">
        <w:t>1273.</w:t>
      </w:r>
    </w:p>
    <w:p w14:paraId="2A3F3FBD" w14:textId="77777777" w:rsidR="00114008" w:rsidRPr="000349EF" w:rsidRDefault="00E6281E" w:rsidP="00A04B72">
      <w:pPr>
        <w:pStyle w:val="Heading6"/>
      </w:pPr>
      <w:r w:rsidRPr="000349EF">
        <w:t>Efficacy</w:t>
      </w:r>
    </w:p>
    <w:p w14:paraId="176666CF" w14:textId="3A48F02E" w:rsidR="00E6281E" w:rsidRPr="000349EF" w:rsidRDefault="00A5478D" w:rsidP="00A04B72">
      <w:r w:rsidRPr="000349EF">
        <w:t>T</w:t>
      </w:r>
      <w:r w:rsidR="00E6281E" w:rsidRPr="000349EF">
        <w:t xml:space="preserve">he median follow-up duration is 82 days after </w:t>
      </w:r>
      <w:r w:rsidRPr="000349EF">
        <w:t>D</w:t>
      </w:r>
      <w:r w:rsidR="00E6281E" w:rsidRPr="000349EF">
        <w:t>ose</w:t>
      </w:r>
      <w:r w:rsidRPr="000349EF">
        <w:t> </w:t>
      </w:r>
      <w:r w:rsidR="00E6281E" w:rsidRPr="000349EF">
        <w:t xml:space="preserve">1 and 51 days after </w:t>
      </w:r>
      <w:r w:rsidRPr="000349EF">
        <w:t>D</w:t>
      </w:r>
      <w:r w:rsidR="00E6281E" w:rsidRPr="000349EF">
        <w:t>ose</w:t>
      </w:r>
      <w:r w:rsidR="00F02F25" w:rsidRPr="000349EF">
        <w:t> </w:t>
      </w:r>
      <w:r w:rsidR="00E6281E" w:rsidRPr="000349EF">
        <w:t>2 in Part</w:t>
      </w:r>
      <w:r w:rsidRPr="000349EF">
        <w:t> </w:t>
      </w:r>
      <w:r w:rsidR="00E6281E" w:rsidRPr="000349EF">
        <w:t>2 blinded phase</w:t>
      </w:r>
      <w:r w:rsidR="00F02F25" w:rsidRPr="000349EF">
        <w:t>. E</w:t>
      </w:r>
      <w:r w:rsidR="00E6281E" w:rsidRPr="000349EF">
        <w:t>fficacy endpoints accumulated after the first dose (</w:t>
      </w:r>
      <w:r w:rsidRPr="000349EF">
        <w:t>that is,</w:t>
      </w:r>
      <w:r w:rsidR="00E6281E" w:rsidRPr="000349EF">
        <w:t xml:space="preserve"> occurring starting 14 days </w:t>
      </w:r>
      <w:r w:rsidRPr="000349EF">
        <w:t>post-Dose </w:t>
      </w:r>
      <w:r w:rsidR="00E6281E" w:rsidRPr="000349EF">
        <w:t>1 and measured in the mITT1 population) outnumber the efficacy endpoints accumulated after the two-dose regimen (</w:t>
      </w:r>
      <w:r w:rsidRPr="000349EF">
        <w:t>that is,</w:t>
      </w:r>
      <w:r w:rsidR="00E6281E" w:rsidRPr="000349EF">
        <w:t xml:space="preserve"> starting 14 days </w:t>
      </w:r>
      <w:r w:rsidRPr="000349EF">
        <w:t>post</w:t>
      </w:r>
      <w:r w:rsidRPr="000349EF">
        <w:noBreakHyphen/>
        <w:t>Dose </w:t>
      </w:r>
      <w:r w:rsidR="00E6281E" w:rsidRPr="000349EF">
        <w:t xml:space="preserve">2). Limiting endpoint analysis to endpoints occurring 14 days </w:t>
      </w:r>
      <w:r w:rsidRPr="000349EF">
        <w:t xml:space="preserve">post-Dose </w:t>
      </w:r>
      <w:r w:rsidR="00E6281E" w:rsidRPr="000349EF">
        <w:t>2 yield a total of only 7 cases</w:t>
      </w:r>
      <w:r w:rsidR="00F02F25" w:rsidRPr="000349EF">
        <w:t>, which are</w:t>
      </w:r>
      <w:r w:rsidR="00E6281E" w:rsidRPr="000349EF">
        <w:t xml:space="preserve"> too few to perform meaningful analysis. Nonetheless, using either of two COVID-19 case definitions (</w:t>
      </w:r>
      <w:r w:rsidR="00F02F25" w:rsidRPr="000349EF">
        <w:t xml:space="preserve">the </w:t>
      </w:r>
      <w:r w:rsidR="00E6281E" w:rsidRPr="000349EF">
        <w:t xml:space="preserve">CDC definition or the </w:t>
      </w:r>
      <w:r w:rsidRPr="000349EF">
        <w:t xml:space="preserve">Study </w:t>
      </w:r>
      <w:r w:rsidR="00E6281E" w:rsidRPr="000349EF">
        <w:t>P301 case definition), the incidence of cases among placebo participants exceeds that of the vaccine recipients.</w:t>
      </w:r>
    </w:p>
    <w:p w14:paraId="0F81B4ED" w14:textId="55D6C317" w:rsidR="00114008" w:rsidRPr="000349EF" w:rsidRDefault="00A5478D" w:rsidP="00A5478D">
      <w:pPr>
        <w:pStyle w:val="TableTitle"/>
      </w:pPr>
      <w:r w:rsidRPr="000349EF">
        <w:lastRenderedPageBreak/>
        <w:t xml:space="preserve">Table </w:t>
      </w:r>
      <w:r w:rsidR="00571D7C">
        <w:fldChar w:fldCharType="begin"/>
      </w:r>
      <w:r w:rsidR="00571D7C">
        <w:instrText xml:space="preserve"> SEQ Table \* ARABIC </w:instrText>
      </w:r>
      <w:r w:rsidR="00571D7C">
        <w:fldChar w:fldCharType="separate"/>
      </w:r>
      <w:r w:rsidR="00235E4B">
        <w:rPr>
          <w:noProof/>
        </w:rPr>
        <w:t>24</w:t>
      </w:r>
      <w:r w:rsidR="00571D7C">
        <w:rPr>
          <w:noProof/>
        </w:rPr>
        <w:fldChar w:fldCharType="end"/>
      </w:r>
      <w:r w:rsidRPr="000349EF">
        <w:t>:</w:t>
      </w:r>
      <w:r w:rsidR="00E6281E" w:rsidRPr="000349EF">
        <w:t xml:space="preserve"> </w:t>
      </w:r>
      <w:r w:rsidRPr="000349EF">
        <w:t xml:space="preserve">Study P204 </w:t>
      </w:r>
      <w:r w:rsidR="00E6281E" w:rsidRPr="000349EF">
        <w:t>Summary of secondary efficacy analysis results starting 14</w:t>
      </w:r>
      <w:r w:rsidRPr="000349EF">
        <w:t> </w:t>
      </w:r>
      <w:r w:rsidR="00E6281E" w:rsidRPr="000349EF">
        <w:t xml:space="preserve">days after </w:t>
      </w:r>
      <w:r w:rsidRPr="000349EF">
        <w:t>D</w:t>
      </w:r>
      <w:r w:rsidR="00E6281E" w:rsidRPr="000349EF">
        <w:t>ose 2 (</w:t>
      </w:r>
      <w:r w:rsidRPr="000349EF">
        <w:t>per-protocol</w:t>
      </w:r>
      <w:r w:rsidR="00E6281E" w:rsidRPr="000349EF">
        <w:t xml:space="preserve"> set for efficacy)</w:t>
      </w:r>
    </w:p>
    <w:p w14:paraId="494EE16D" w14:textId="0B97876C" w:rsidR="00164050" w:rsidRPr="000349EF" w:rsidRDefault="00164050" w:rsidP="00B03B45">
      <w:r w:rsidRPr="000349EF">
        <w:rPr>
          <w:noProof/>
          <w:lang w:val="en-GB" w:eastAsia="en-GB"/>
        </w:rPr>
        <w:drawing>
          <wp:inline distT="0" distB="0" distL="0" distR="0" wp14:anchorId="4F32F4FA" wp14:editId="79195848">
            <wp:extent cx="5400040" cy="2165985"/>
            <wp:effectExtent l="0" t="0" r="0" b="5715"/>
            <wp:docPr id="5" name="Picture 5" descr="Table 24: Study P204 Summary of secondary efficacy analysis results starting 14 days after Dose 2 (per-protocol set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24: Study P204 Summary of secondary efficacy analysis results starting 14 days after Dose 2 (per-protocol set for efficacy)"/>
                    <pic:cNvPicPr/>
                  </pic:nvPicPr>
                  <pic:blipFill>
                    <a:blip r:embed="rId42"/>
                    <a:stretch>
                      <a:fillRect/>
                    </a:stretch>
                  </pic:blipFill>
                  <pic:spPr>
                    <a:xfrm>
                      <a:off x="0" y="0"/>
                      <a:ext cx="5400040" cy="2165985"/>
                    </a:xfrm>
                    <a:prstGeom prst="rect">
                      <a:avLst/>
                    </a:prstGeom>
                  </pic:spPr>
                </pic:pic>
              </a:graphicData>
            </a:graphic>
          </wp:inline>
        </w:drawing>
      </w:r>
    </w:p>
    <w:p w14:paraId="1CCA5AB1" w14:textId="6D13919D" w:rsidR="00164050" w:rsidRPr="000349EF" w:rsidRDefault="00164050" w:rsidP="00125A19">
      <w:pPr>
        <w:pStyle w:val="TableDescription"/>
      </w:pPr>
      <w:r w:rsidRPr="000349EF">
        <w:t xml:space="preserve">CDC = </w:t>
      </w:r>
      <w:proofErr w:type="spellStart"/>
      <w:r w:rsidRPr="000349EF">
        <w:t>Centers</w:t>
      </w:r>
      <w:proofErr w:type="spellEnd"/>
      <w:r w:rsidRPr="000349EF">
        <w:t xml:space="preserve"> for Disease Control and Prevention; CI = confidence interval; COVID-19 = coronavirus disease 2019; mRNA-1273 = Spikevax COVID-19 vaccine; N = population size; N1= number of participants at risk at 14 days after </w:t>
      </w:r>
      <w:r w:rsidR="00125A19" w:rsidRPr="000349EF">
        <w:t>D</w:t>
      </w:r>
      <w:r w:rsidRPr="000349EF">
        <w:t>ose 2 for specific efficacy endpoint; NE = not estimable; SARS-CoV-2 = severe acute respiratory syndrome coronavirus</w:t>
      </w:r>
      <w:r w:rsidR="001C6EDC" w:rsidRPr="000349EF">
        <w:t> </w:t>
      </w:r>
      <w:r w:rsidRPr="000349EF">
        <w:t>2.</w:t>
      </w:r>
    </w:p>
    <w:p w14:paraId="29B51281" w14:textId="7F54A552" w:rsidR="00164050" w:rsidRPr="000349EF" w:rsidRDefault="00164050" w:rsidP="00125A19">
      <w:pPr>
        <w:pStyle w:val="TableDescription"/>
      </w:pPr>
      <w:r w:rsidRPr="000349EF">
        <w:t>a. Person-years is defined as the total years from the first injection date for Part 1 and the randomi</w:t>
      </w:r>
      <w:r w:rsidR="00125A19" w:rsidRPr="000349EF">
        <w:t>s</w:t>
      </w:r>
      <w:r w:rsidRPr="000349EF">
        <w:t>ation date for</w:t>
      </w:r>
      <w:r w:rsidR="00125A19" w:rsidRPr="000349EF">
        <w:t xml:space="preserve"> </w:t>
      </w:r>
      <w:r w:rsidRPr="000349EF">
        <w:t xml:space="preserve">Part 2 to the date of event (CDC </w:t>
      </w:r>
      <w:r w:rsidR="00125A19" w:rsidRPr="000349EF">
        <w:t xml:space="preserve">case definition </w:t>
      </w:r>
      <w:r w:rsidRPr="000349EF">
        <w:t xml:space="preserve">of COVID-19, </w:t>
      </w:r>
      <w:r w:rsidR="00125A19" w:rsidRPr="000349EF">
        <w:t xml:space="preserve">Study </w:t>
      </w:r>
      <w:r w:rsidRPr="000349EF">
        <w:t>P301 case definition of COVID-19,</w:t>
      </w:r>
      <w:r w:rsidR="00125A19" w:rsidRPr="000349EF">
        <w:t xml:space="preserve"> </w:t>
      </w:r>
      <w:r w:rsidRPr="000349EF">
        <w:t>asymptomatic SARS-CoV-2 infection, or SARS-CoV-2 infection, depending upon endpoint), last date of study</w:t>
      </w:r>
      <w:r w:rsidR="00125A19" w:rsidRPr="000349EF">
        <w:t xml:space="preserve"> </w:t>
      </w:r>
      <w:r w:rsidRPr="000349EF">
        <w:t>participation, or efficacy data cut</w:t>
      </w:r>
      <w:r w:rsidR="00125A19" w:rsidRPr="000349EF">
        <w:t>-</w:t>
      </w:r>
      <w:r w:rsidRPr="000349EF">
        <w:t>off date, whichever is the earliest.</w:t>
      </w:r>
    </w:p>
    <w:p w14:paraId="4E82D968" w14:textId="2C7CBE51" w:rsidR="00E6281E" w:rsidRPr="000349EF" w:rsidRDefault="00164050" w:rsidP="00125A19">
      <w:pPr>
        <w:pStyle w:val="TableDescription"/>
      </w:pPr>
      <w:r w:rsidRPr="000349EF">
        <w:t>b. Incidence rate is defined as the number of participants with an event divided by the number of participants at</w:t>
      </w:r>
      <w:r w:rsidR="00125A19" w:rsidRPr="000349EF">
        <w:t xml:space="preserve"> </w:t>
      </w:r>
      <w:r w:rsidRPr="000349EF">
        <w:t>risk and adjusted by person-years (total time at risk) in each treatment group. The 95% CI is calculated using the</w:t>
      </w:r>
      <w:r w:rsidR="00125A19" w:rsidRPr="000349EF">
        <w:t xml:space="preserve"> </w:t>
      </w:r>
      <w:r w:rsidRPr="000349EF">
        <w:t>exact method (Poisson distribution) and adjusted by person-years.</w:t>
      </w:r>
    </w:p>
    <w:p w14:paraId="0CDB4C31" w14:textId="02404381" w:rsidR="00E6281E" w:rsidRPr="000349EF" w:rsidRDefault="00E6281E" w:rsidP="00A5478D">
      <w:r w:rsidRPr="000349EF">
        <w:t>Where more cases</w:t>
      </w:r>
      <w:r w:rsidR="006A063A" w:rsidRPr="000349EF">
        <w:t xml:space="preserve"> (a total of 25 cases)</w:t>
      </w:r>
      <w:r w:rsidRPr="000349EF">
        <w:t xml:space="preserve"> </w:t>
      </w:r>
      <w:r w:rsidR="006A063A" w:rsidRPr="000349EF">
        <w:t>were</w:t>
      </w:r>
      <w:r w:rsidRPr="000349EF">
        <w:t xml:space="preserve"> accrued (</w:t>
      </w:r>
      <w:r w:rsidR="00A5478D" w:rsidRPr="000349EF">
        <w:t>that is,</w:t>
      </w:r>
      <w:r w:rsidRPr="000349EF">
        <w:t xml:space="preserve"> when endpoints are counted starting earlier, 14</w:t>
      </w:r>
      <w:r w:rsidR="00A5478D" w:rsidRPr="000349EF">
        <w:t> </w:t>
      </w:r>
      <w:r w:rsidRPr="000349EF">
        <w:t xml:space="preserve">days </w:t>
      </w:r>
      <w:r w:rsidR="00A5478D" w:rsidRPr="000349EF">
        <w:t xml:space="preserve">post-Dose </w:t>
      </w:r>
      <w:r w:rsidRPr="000349EF">
        <w:t>1; mITT1 population) (</w:t>
      </w:r>
      <w:r w:rsidR="006A063A" w:rsidRPr="000349EF">
        <w:t xml:space="preserve">see </w:t>
      </w:r>
      <w:r w:rsidR="00A5478D" w:rsidRPr="000349EF">
        <w:fldChar w:fldCharType="begin"/>
      </w:r>
      <w:r w:rsidR="00A5478D" w:rsidRPr="000349EF">
        <w:instrText xml:space="preserve"> REF _Ref94552099 \h  \* MERGEFORMAT </w:instrText>
      </w:r>
      <w:r w:rsidR="00A5478D" w:rsidRPr="000349EF">
        <w:fldChar w:fldCharType="separate"/>
      </w:r>
      <w:r w:rsidR="00235E4B" w:rsidRPr="000349EF">
        <w:t xml:space="preserve">Table </w:t>
      </w:r>
      <w:r w:rsidR="00235E4B">
        <w:t>26</w:t>
      </w:r>
      <w:r w:rsidR="00A5478D" w:rsidRPr="000349EF">
        <w:fldChar w:fldCharType="end"/>
      </w:r>
      <w:r w:rsidRPr="000349EF">
        <w:t xml:space="preserve"> below)</w:t>
      </w:r>
      <w:r w:rsidR="006A063A" w:rsidRPr="000349EF">
        <w:t>, t</w:t>
      </w:r>
      <w:r w:rsidRPr="000349EF">
        <w:t xml:space="preserve">his allowed a calculation of </w:t>
      </w:r>
      <w:r w:rsidR="00A5478D" w:rsidRPr="000349EF">
        <w:t>VE</w:t>
      </w:r>
      <w:r w:rsidRPr="000349EF">
        <w:t xml:space="preserve"> in which the </w:t>
      </w:r>
      <w:r w:rsidR="002940C2" w:rsidRPr="000349EF">
        <w:t>lower border</w:t>
      </w:r>
      <w:r w:rsidRPr="000349EF">
        <w:t xml:space="preserve"> of the 95% CI was 70%, providing confidence in the estimate of efficacy. In the mITT1 population starting 14</w:t>
      </w:r>
      <w:r w:rsidR="00A5478D" w:rsidRPr="000349EF">
        <w:t> </w:t>
      </w:r>
      <w:r w:rsidRPr="000349EF">
        <w:t>days after the first dose, the incidence of COVID-19 using the CDC case definition was 117 per 1000</w:t>
      </w:r>
      <w:r w:rsidR="006A063A" w:rsidRPr="000349EF">
        <w:t> </w:t>
      </w:r>
      <w:r w:rsidRPr="000349EF">
        <w:t xml:space="preserve">person-years in the placebo group compared to 14 per 1000 person-years in the vaccine group, yielding a VE of 88% (95% CI: 70.0%, 95.8%). Using </w:t>
      </w:r>
      <w:r w:rsidR="004D05C3" w:rsidRPr="000349EF">
        <w:t xml:space="preserve">Study </w:t>
      </w:r>
      <w:r w:rsidRPr="000349EF">
        <w:t>P301 case definition (definition employed in the pivotal adult efficacy trial of mRNA-1273), a VE of 91.8% was observed (95% CI: 74.2, 98.0%).</w:t>
      </w:r>
    </w:p>
    <w:p w14:paraId="5C33DBA7" w14:textId="3189C4D2" w:rsidR="00125A19" w:rsidRPr="000349EF" w:rsidRDefault="00A5478D" w:rsidP="00A5478D">
      <w:pPr>
        <w:pStyle w:val="TableTitle"/>
      </w:pPr>
      <w:r w:rsidRPr="000349EF">
        <w:lastRenderedPageBreak/>
        <w:t xml:space="preserve">Table </w:t>
      </w:r>
      <w:r w:rsidR="00571D7C">
        <w:fldChar w:fldCharType="begin"/>
      </w:r>
      <w:r w:rsidR="00571D7C">
        <w:instrText xml:space="preserve"> SEQ Table \* ARABIC </w:instrText>
      </w:r>
      <w:r w:rsidR="00571D7C">
        <w:fldChar w:fldCharType="separate"/>
      </w:r>
      <w:r w:rsidR="00235E4B">
        <w:rPr>
          <w:noProof/>
        </w:rPr>
        <w:t>25</w:t>
      </w:r>
      <w:r w:rsidR="00571D7C">
        <w:rPr>
          <w:noProof/>
        </w:rPr>
        <w:fldChar w:fldCharType="end"/>
      </w:r>
      <w:r w:rsidRPr="000349EF">
        <w:t>:</w:t>
      </w:r>
      <w:r w:rsidR="00E6281E" w:rsidRPr="000349EF">
        <w:t xml:space="preserve"> </w:t>
      </w:r>
      <w:r w:rsidRPr="000349EF">
        <w:t xml:space="preserve">Study P204 </w:t>
      </w:r>
      <w:r w:rsidR="004D05C3" w:rsidRPr="000349EF">
        <w:t xml:space="preserve">Part 2 </w:t>
      </w:r>
      <w:r w:rsidR="00E6281E" w:rsidRPr="000349EF">
        <w:t xml:space="preserve">Summary of secondary efficacy endpoint analysis results starting 14 days after </w:t>
      </w:r>
      <w:r w:rsidRPr="000349EF">
        <w:t>D</w:t>
      </w:r>
      <w:r w:rsidR="00E6281E" w:rsidRPr="000349EF">
        <w:t>ose 1 (</w:t>
      </w:r>
      <w:r w:rsidR="004D05C3" w:rsidRPr="000349EF">
        <w:t>modified intent-to-treat 1 population</w:t>
      </w:r>
      <w:r w:rsidR="00E6281E" w:rsidRPr="000349EF">
        <w:t>)</w:t>
      </w:r>
    </w:p>
    <w:p w14:paraId="69B80325" w14:textId="09781CD3" w:rsidR="00125A19" w:rsidRPr="000349EF" w:rsidRDefault="00125A19" w:rsidP="00B03B45">
      <w:pPr>
        <w:rPr>
          <w:noProof/>
          <w:u w:val="single"/>
        </w:rPr>
      </w:pPr>
      <w:r w:rsidRPr="000349EF">
        <w:rPr>
          <w:noProof/>
          <w:lang w:val="en-GB" w:eastAsia="en-GB"/>
        </w:rPr>
        <w:drawing>
          <wp:inline distT="0" distB="0" distL="0" distR="0" wp14:anchorId="5726DC28" wp14:editId="2C75801D">
            <wp:extent cx="5400040" cy="2732405"/>
            <wp:effectExtent l="0" t="0" r="0" b="0"/>
            <wp:docPr id="7" name="Picture 7" descr="Table 25: Study P204 Part 2 Summary of secondary efficacy endpoint analysis results starting 14 days after Dose 1 (modified intent-to-treat 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25: Study P204 Part 2 Summary of secondary efficacy endpoint analysis results starting 14 days after Dose 1 (modified intent-to-treat 1 population)"/>
                    <pic:cNvPicPr/>
                  </pic:nvPicPr>
                  <pic:blipFill>
                    <a:blip r:embed="rId43"/>
                    <a:stretch>
                      <a:fillRect/>
                    </a:stretch>
                  </pic:blipFill>
                  <pic:spPr>
                    <a:xfrm>
                      <a:off x="0" y="0"/>
                      <a:ext cx="5400040" cy="2732405"/>
                    </a:xfrm>
                    <a:prstGeom prst="rect">
                      <a:avLst/>
                    </a:prstGeom>
                  </pic:spPr>
                </pic:pic>
              </a:graphicData>
            </a:graphic>
          </wp:inline>
        </w:drawing>
      </w:r>
    </w:p>
    <w:p w14:paraId="0AC53FA0" w14:textId="781F8286" w:rsidR="00125A19" w:rsidRPr="000349EF" w:rsidRDefault="00125A19" w:rsidP="00125A19">
      <w:pPr>
        <w:pStyle w:val="TableDescription"/>
      </w:pPr>
      <w:r w:rsidRPr="000349EF">
        <w:t xml:space="preserve">CDC = </w:t>
      </w:r>
      <w:proofErr w:type="spellStart"/>
      <w:r w:rsidRPr="000349EF">
        <w:t>Centers</w:t>
      </w:r>
      <w:proofErr w:type="spellEnd"/>
      <w:r w:rsidRPr="000349EF">
        <w:t xml:space="preserve"> for Disease Control and Prevention; CI = confidence interval; COVID 19 = coronavirus disease 2019; mRNA-1273 = Spikevax COVID-19 vaccine; N1= number of participants at risk at 14 days after Dose 1 for specific efficacy endpoint; NE = not estimable; SARS-CoV-2 = severe acute respiratory syndrome coronavirus</w:t>
      </w:r>
      <w:r w:rsidR="001C6EDC" w:rsidRPr="000349EF">
        <w:t> </w:t>
      </w:r>
      <w:r w:rsidRPr="000349EF">
        <w:t>2; VE = vaccine efficacy.</w:t>
      </w:r>
    </w:p>
    <w:p w14:paraId="30409196" w14:textId="328B3831" w:rsidR="00125A19" w:rsidRPr="000349EF" w:rsidRDefault="00125A19" w:rsidP="00125A19">
      <w:pPr>
        <w:pStyle w:val="TableDescription"/>
      </w:pPr>
      <w:r w:rsidRPr="000349EF">
        <w:t>a. Person-years is defined as the total years from the first injection date for Part 1 and the randomisation date for Part 2 to the date of event (CDC case definition of COVID-19, P301 case definition of COVID-19, asymptomatic SARS-CoV-2 infection, or SARS-CoV-2 infection, depending upon endpoint), last date of study participation, or efficacy data cut-off date, whichever is the earliest.</w:t>
      </w:r>
    </w:p>
    <w:p w14:paraId="3E45B6C9" w14:textId="057B767B" w:rsidR="00125A19" w:rsidRPr="000349EF" w:rsidRDefault="00125A19" w:rsidP="00125A19">
      <w:pPr>
        <w:pStyle w:val="TableDescription"/>
      </w:pPr>
      <w:r w:rsidRPr="000349EF">
        <w:t>b. Incidence rate is defined as the number of participants with an event divided by the number of participants at risk and adjusted by person-years (total time at risk) in each treatment group. The 95% CI is calculated using the exact method (Poisson distribution) and adjusted by person-years.</w:t>
      </w:r>
    </w:p>
    <w:p w14:paraId="36F0DE94" w14:textId="641EBD66" w:rsidR="00125A19" w:rsidRPr="000349EF" w:rsidRDefault="00125A19" w:rsidP="00125A19">
      <w:pPr>
        <w:pStyle w:val="TableDescription"/>
      </w:pPr>
      <w:r w:rsidRPr="000349EF">
        <w:t>c. Vaccine efficacy defined as 1 - ratio of incidence rate (mRNA-1273 versus placebo). The 95% CI of the ratio is calculated using the exact method conditional upon the total number of cases, adjusting for person</w:t>
      </w:r>
      <w:r w:rsidRPr="000349EF">
        <w:noBreakHyphen/>
        <w:t>years.</w:t>
      </w:r>
    </w:p>
    <w:p w14:paraId="4B4DC017" w14:textId="77777777" w:rsidR="00114008" w:rsidRPr="000349EF" w:rsidRDefault="00E6281E" w:rsidP="00A04B72">
      <w:pPr>
        <w:pStyle w:val="Heading6"/>
      </w:pPr>
      <w:r w:rsidRPr="000349EF">
        <w:t>Safety</w:t>
      </w:r>
    </w:p>
    <w:p w14:paraId="1F0F97AC" w14:textId="2E247B1F" w:rsidR="00E6281E" w:rsidRPr="000349EF" w:rsidRDefault="00E6281E" w:rsidP="00A04B72">
      <w:r w:rsidRPr="000349EF">
        <w:t xml:space="preserve">In </w:t>
      </w:r>
      <w:r w:rsidR="006A063A" w:rsidRPr="000349EF">
        <w:t xml:space="preserve">the </w:t>
      </w:r>
      <w:r w:rsidRPr="000349EF">
        <w:t>10 Nov</w:t>
      </w:r>
      <w:r w:rsidR="004D05C3" w:rsidRPr="000349EF">
        <w:t>ember</w:t>
      </w:r>
      <w:r w:rsidRPr="000349EF">
        <w:t xml:space="preserve"> 2021 </w:t>
      </w:r>
      <w:r w:rsidR="004D05C3" w:rsidRPr="000349EF">
        <w:t xml:space="preserve">interim </w:t>
      </w:r>
      <w:r w:rsidRPr="000349EF">
        <w:t>safety analysis, a median follow-up of 56 days post</w:t>
      </w:r>
      <w:r w:rsidR="004D05C3" w:rsidRPr="000349EF">
        <w:t> </w:t>
      </w:r>
      <w:r w:rsidR="00A5478D" w:rsidRPr="000349EF">
        <w:t>Dose</w:t>
      </w:r>
      <w:r w:rsidR="006A063A" w:rsidRPr="000349EF">
        <w:t> </w:t>
      </w:r>
      <w:r w:rsidR="00A5478D" w:rsidRPr="000349EF">
        <w:t>2</w:t>
      </w:r>
      <w:r w:rsidRPr="000349EF">
        <w:t xml:space="preserve"> is provided for a total of 3387 exposed (50</w:t>
      </w:r>
      <w:r w:rsidR="004D05C3" w:rsidRPr="000349EF">
        <w:t xml:space="preserve"> µ</w:t>
      </w:r>
      <w:r w:rsidRPr="000349EF">
        <w:t>g) participants across Parts</w:t>
      </w:r>
      <w:r w:rsidR="004D05C3" w:rsidRPr="000349EF">
        <w:t> </w:t>
      </w:r>
      <w:r w:rsidRPr="000349EF">
        <w:t xml:space="preserve">1 and </w:t>
      </w:r>
      <w:r w:rsidR="006A063A" w:rsidRPr="000349EF">
        <w:t>Part </w:t>
      </w:r>
      <w:r w:rsidRPr="000349EF">
        <w:t xml:space="preserve">2 from the blinded and open label phases. From Part 2, </w:t>
      </w:r>
      <w:r w:rsidR="006A063A" w:rsidRPr="000349EF">
        <w:t xml:space="preserve">a </w:t>
      </w:r>
      <w:r w:rsidRPr="000349EF">
        <w:t>median follow-up of 55</w:t>
      </w:r>
      <w:r w:rsidR="004D05C3" w:rsidRPr="000349EF">
        <w:t> </w:t>
      </w:r>
      <w:r w:rsidRPr="000349EF">
        <w:t xml:space="preserve">days </w:t>
      </w:r>
      <w:r w:rsidR="00A5478D" w:rsidRPr="000349EF">
        <w:t xml:space="preserve">post-Dose </w:t>
      </w:r>
      <w:r w:rsidRPr="000349EF">
        <w:t xml:space="preserve">2 is provided for 4002 participants (3007 exposed to 50 </w:t>
      </w:r>
      <w:r w:rsidR="00F53E66" w:rsidRPr="000349EF">
        <w:t>µ</w:t>
      </w:r>
      <w:r w:rsidRPr="000349EF">
        <w:t xml:space="preserve">g, and 995 placebo). Analysis of the clinical safety database showed no clinically meaningful changes in the mRNA-1273 safety profile in this age group. Rates of SAEs, AESIs, MAAEs, and predefined SMQs in either Part 1 or Part 2 of </w:t>
      </w:r>
      <w:r w:rsidR="004D05C3" w:rsidRPr="000349EF">
        <w:t>S</w:t>
      </w:r>
      <w:r w:rsidRPr="000349EF">
        <w:t xml:space="preserve">tudy P204 were </w:t>
      </w:r>
      <w:proofErr w:type="gramStart"/>
      <w:r w:rsidRPr="000349EF">
        <w:t>similar to</w:t>
      </w:r>
      <w:proofErr w:type="gramEnd"/>
      <w:r w:rsidRPr="000349EF">
        <w:t xml:space="preserve"> the earlier data snapshot of 6</w:t>
      </w:r>
      <w:r w:rsidR="006A063A" w:rsidRPr="000349EF">
        <w:t> </w:t>
      </w:r>
      <w:r w:rsidRPr="000349EF">
        <w:t>Oct</w:t>
      </w:r>
      <w:r w:rsidR="004D05C3" w:rsidRPr="000349EF">
        <w:t>ober</w:t>
      </w:r>
      <w:r w:rsidRPr="000349EF">
        <w:t xml:space="preserve"> 2021 (which provided a median follow-up of 20 days </w:t>
      </w:r>
      <w:r w:rsidR="00A5478D" w:rsidRPr="000349EF">
        <w:t>post-Dose</w:t>
      </w:r>
      <w:r w:rsidR="004D05C3" w:rsidRPr="000349EF">
        <w:t> </w:t>
      </w:r>
      <w:r w:rsidRPr="000349EF">
        <w:t>2 for 2987 mRNA-1273 recipients). This 10 Nov</w:t>
      </w:r>
      <w:r w:rsidR="004D05C3" w:rsidRPr="000349EF">
        <w:t>ember</w:t>
      </w:r>
      <w:r w:rsidRPr="000349EF">
        <w:t xml:space="preserve"> 2021 </w:t>
      </w:r>
      <w:r w:rsidR="004D05C3" w:rsidRPr="000349EF">
        <w:t>interim analysis</w:t>
      </w:r>
      <w:r w:rsidRPr="000349EF">
        <w:t xml:space="preserve"> reported no SAEs considered related to study vaccine, no deaths, no cases of MIS-C and no cases of myocarditis or pericarditis.</w:t>
      </w:r>
    </w:p>
    <w:p w14:paraId="343A6F30" w14:textId="7478A9A1" w:rsidR="00E6281E" w:rsidRPr="000349EF" w:rsidRDefault="00E6281E" w:rsidP="00A04B72">
      <w:pPr>
        <w:pStyle w:val="Heading5"/>
      </w:pPr>
      <w:bookmarkStart w:id="100" w:name="_Toc94269131"/>
      <w:bookmarkStart w:id="101" w:name="_Toc93934146"/>
      <w:r w:rsidRPr="000349EF">
        <w:t xml:space="preserve">Dose selection data </w:t>
      </w:r>
      <w:r w:rsidR="00324020" w:rsidRPr="000349EF">
        <w:t>for</w:t>
      </w:r>
      <w:r w:rsidRPr="000349EF">
        <w:t xml:space="preserve"> </w:t>
      </w:r>
      <w:r w:rsidR="006A063A" w:rsidRPr="000349EF">
        <w:t xml:space="preserve">children </w:t>
      </w:r>
      <w:r w:rsidR="00324020" w:rsidRPr="000349EF">
        <w:t xml:space="preserve">aged </w:t>
      </w:r>
      <w:r w:rsidR="006A063A" w:rsidRPr="000349EF">
        <w:t xml:space="preserve">between </w:t>
      </w:r>
      <w:r w:rsidR="00EC79E7" w:rsidRPr="000349EF">
        <w:t>2 to &lt; 6</w:t>
      </w:r>
      <w:r w:rsidRPr="000349EF">
        <w:t xml:space="preserve"> years old</w:t>
      </w:r>
      <w:bookmarkEnd w:id="100"/>
      <w:bookmarkEnd w:id="101"/>
    </w:p>
    <w:p w14:paraId="3DDDCFD7" w14:textId="18BDF4DA" w:rsidR="004D05C3" w:rsidRPr="000349EF" w:rsidRDefault="00E6281E">
      <w:r w:rsidRPr="000349EF">
        <w:t xml:space="preserve">Data is provided for children </w:t>
      </w:r>
      <w:r w:rsidR="00324020" w:rsidRPr="000349EF">
        <w:t xml:space="preserve">aged </w:t>
      </w:r>
      <w:r w:rsidR="00EC79E7" w:rsidRPr="000349EF">
        <w:t>2 to &lt; 6</w:t>
      </w:r>
      <w:r w:rsidRPr="000349EF">
        <w:t xml:space="preserve"> years </w:t>
      </w:r>
      <w:r w:rsidR="00324020" w:rsidRPr="000349EF">
        <w:t>old</w:t>
      </w:r>
      <w:r w:rsidR="00AD5E5D" w:rsidRPr="000349EF">
        <w:t xml:space="preserve"> </w:t>
      </w:r>
      <w:r w:rsidRPr="000349EF">
        <w:t>who received either 25 or 50</w:t>
      </w:r>
      <w:r w:rsidR="00F53E66" w:rsidRPr="000349EF">
        <w:t xml:space="preserve"> µg</w:t>
      </w:r>
      <w:r w:rsidRPr="000349EF">
        <w:t xml:space="preserve"> in Part</w:t>
      </w:r>
      <w:r w:rsidR="004D05C3" w:rsidRPr="000349EF">
        <w:t> </w:t>
      </w:r>
      <w:r w:rsidRPr="000349EF">
        <w:t>1 (open</w:t>
      </w:r>
      <w:r w:rsidR="004D05C3" w:rsidRPr="000349EF">
        <w:t xml:space="preserve"> </w:t>
      </w:r>
      <w:r w:rsidRPr="000349EF">
        <w:t xml:space="preserve">label) of </w:t>
      </w:r>
      <w:r w:rsidR="004D05C3" w:rsidRPr="000349EF">
        <w:t xml:space="preserve">Study </w:t>
      </w:r>
      <w:r w:rsidRPr="000349EF">
        <w:t>P204. Review of the reactogenicity and immunogenicity between the two dose groups does suggests a dose</w:t>
      </w:r>
      <w:r w:rsidR="004D05C3" w:rsidRPr="000349EF">
        <w:t xml:space="preserve"> </w:t>
      </w:r>
      <w:r w:rsidRPr="000349EF">
        <w:t>relationship for each measure:</w:t>
      </w:r>
    </w:p>
    <w:p w14:paraId="7124E8AE" w14:textId="0C3FB731" w:rsidR="004D05C3" w:rsidRPr="000349EF" w:rsidRDefault="00E6281E" w:rsidP="004D05C3">
      <w:pPr>
        <w:pStyle w:val="ListBullet"/>
      </w:pPr>
      <w:r w:rsidRPr="000349EF">
        <w:t>higher dose was associated with higher rates of reactogenicity (particularly post</w:t>
      </w:r>
      <w:r w:rsidR="006A063A" w:rsidRPr="000349EF">
        <w:noBreakHyphen/>
      </w:r>
      <w:r w:rsidR="00A5478D" w:rsidRPr="000349EF">
        <w:t>Dose</w:t>
      </w:r>
      <w:r w:rsidR="004D05C3" w:rsidRPr="000349EF">
        <w:t> </w:t>
      </w:r>
      <w:r w:rsidR="00A5478D" w:rsidRPr="000349EF">
        <w:t>2</w:t>
      </w:r>
      <w:r w:rsidRPr="000349EF">
        <w:t xml:space="preserve"> and for ARs of </w:t>
      </w:r>
      <w:r w:rsidR="004D05C3" w:rsidRPr="000349EF">
        <w:t>G</w:t>
      </w:r>
      <w:r w:rsidRPr="000349EF">
        <w:t>rade 3 or higher</w:t>
      </w:r>
      <w:proofErr w:type="gramStart"/>
      <w:r w:rsidRPr="000349EF">
        <w:t>);</w:t>
      </w:r>
      <w:proofErr w:type="gramEnd"/>
    </w:p>
    <w:p w14:paraId="40C845C6" w14:textId="68242844" w:rsidR="00E6281E" w:rsidRPr="000349EF" w:rsidRDefault="00E6281E" w:rsidP="004D05C3">
      <w:pPr>
        <w:pStyle w:val="ListBullet"/>
      </w:pPr>
      <w:r w:rsidRPr="000349EF">
        <w:lastRenderedPageBreak/>
        <w:t xml:space="preserve">higher dose was associated with higher levels of Day 57 serum </w:t>
      </w:r>
      <w:proofErr w:type="spellStart"/>
      <w:r w:rsidRPr="000349EF">
        <w:t>nAb</w:t>
      </w:r>
      <w:proofErr w:type="spellEnd"/>
      <w:r w:rsidRPr="000349EF">
        <w:t xml:space="preserve"> and </w:t>
      </w:r>
      <w:proofErr w:type="spellStart"/>
      <w:r w:rsidRPr="000349EF">
        <w:t>bAb.</w:t>
      </w:r>
      <w:proofErr w:type="spellEnd"/>
    </w:p>
    <w:p w14:paraId="5E29A5C1" w14:textId="05F6BB6D" w:rsidR="00E6281E" w:rsidRPr="000349EF" w:rsidRDefault="00E6281E">
      <w:r w:rsidRPr="000349EF">
        <w:t xml:space="preserve">Differences in reactogenicity between the two dose groups were most evident </w:t>
      </w:r>
      <w:r w:rsidR="006A063A" w:rsidRPr="000349EF">
        <w:t xml:space="preserve">for </w:t>
      </w:r>
      <w:r w:rsidRPr="000349EF">
        <w:t>post</w:t>
      </w:r>
      <w:r w:rsidR="006A063A" w:rsidRPr="000349EF">
        <w:noBreakHyphen/>
      </w:r>
      <w:r w:rsidR="00A5478D" w:rsidRPr="000349EF">
        <w:t>Dose</w:t>
      </w:r>
      <w:r w:rsidR="004D05C3" w:rsidRPr="000349EF">
        <w:t> </w:t>
      </w:r>
      <w:r w:rsidR="00A5478D" w:rsidRPr="000349EF">
        <w:t>2</w:t>
      </w:r>
      <w:r w:rsidRPr="000349EF">
        <w:t xml:space="preserve"> and for events of </w:t>
      </w:r>
      <w:r w:rsidR="004D05C3" w:rsidRPr="000349EF">
        <w:t>G</w:t>
      </w:r>
      <w:r w:rsidRPr="000349EF">
        <w:t xml:space="preserve">rade 3 or higher. This was most pronounced for fever </w:t>
      </w:r>
      <w:r w:rsidR="00A5478D" w:rsidRPr="000349EF">
        <w:t>post</w:t>
      </w:r>
      <w:r w:rsidR="006A063A" w:rsidRPr="000349EF">
        <w:noBreakHyphen/>
      </w:r>
      <w:r w:rsidR="00A5478D" w:rsidRPr="000349EF">
        <w:t xml:space="preserve">Dose </w:t>
      </w:r>
      <w:r w:rsidRPr="000349EF">
        <w:t>2</w:t>
      </w:r>
      <w:r w:rsidR="006A063A" w:rsidRPr="000349EF">
        <w:t>. I</w:t>
      </w:r>
      <w:r w:rsidRPr="000349EF">
        <w:t>n the 25</w:t>
      </w:r>
      <w:r w:rsidR="004D05C3" w:rsidRPr="000349EF">
        <w:t xml:space="preserve"> µ</w:t>
      </w:r>
      <w:r w:rsidRPr="000349EF">
        <w:t xml:space="preserve">g group, 1/75 participants (1.3 %) reported a </w:t>
      </w:r>
      <w:r w:rsidR="004D05C3" w:rsidRPr="000349EF">
        <w:t>G</w:t>
      </w:r>
      <w:r w:rsidRPr="000349EF">
        <w:t xml:space="preserve">rade 3 </w:t>
      </w:r>
      <w:r w:rsidR="006A063A" w:rsidRPr="000349EF">
        <w:t xml:space="preserve">fever </w:t>
      </w:r>
      <w:r w:rsidRPr="000349EF">
        <w:t xml:space="preserve">or higher </w:t>
      </w:r>
      <w:r w:rsidR="004D05C3" w:rsidRPr="000349EF">
        <w:t>(</w:t>
      </w:r>
      <w:r w:rsidRPr="000349EF">
        <w:t xml:space="preserve">none reported </w:t>
      </w:r>
      <w:r w:rsidR="004D05C3" w:rsidRPr="000349EF">
        <w:t>G</w:t>
      </w:r>
      <w:r w:rsidRPr="000349EF">
        <w:t>rade 4 fever</w:t>
      </w:r>
      <w:r w:rsidR="004D05C3" w:rsidRPr="000349EF">
        <w:t>)</w:t>
      </w:r>
      <w:r w:rsidRPr="000349EF">
        <w:t xml:space="preserve">. In contrast, </w:t>
      </w:r>
      <w:r w:rsidR="00A5478D" w:rsidRPr="000349EF">
        <w:t xml:space="preserve">post-Dose </w:t>
      </w:r>
      <w:r w:rsidRPr="000349EF">
        <w:t>2 in the 50</w:t>
      </w:r>
      <w:r w:rsidR="004D05C3" w:rsidRPr="000349EF">
        <w:t xml:space="preserve"> µ</w:t>
      </w:r>
      <w:r w:rsidRPr="000349EF">
        <w:t xml:space="preserve">g group, 11/149 participants (7.3%) reported a </w:t>
      </w:r>
      <w:r w:rsidR="004D05C3" w:rsidRPr="000349EF">
        <w:t>G</w:t>
      </w:r>
      <w:r w:rsidRPr="000349EF">
        <w:t>rade 3 or higher</w:t>
      </w:r>
      <w:r w:rsidR="00AB0D77" w:rsidRPr="000349EF">
        <w:t xml:space="preserve"> grade fever</w:t>
      </w:r>
      <w:r w:rsidRPr="000349EF">
        <w:t xml:space="preserve">, including one participant with </w:t>
      </w:r>
      <w:r w:rsidR="004D05C3" w:rsidRPr="000349EF">
        <w:t>G</w:t>
      </w:r>
      <w:r w:rsidRPr="000349EF">
        <w:t>rade 4 fever.</w:t>
      </w:r>
    </w:p>
    <w:p w14:paraId="7EC8BB5F" w14:textId="21F5C8D7" w:rsidR="00E6281E" w:rsidRPr="000349EF" w:rsidRDefault="00E6281E">
      <w:r w:rsidRPr="000349EF">
        <w:t>Differences in immunogenicity results for the dose</w:t>
      </w:r>
      <w:r w:rsidR="004D05C3" w:rsidRPr="000349EF">
        <w:t xml:space="preserve"> </w:t>
      </w:r>
      <w:r w:rsidRPr="000349EF">
        <w:t>selection subset between the two dose groups were similarly evident. Binding and neutrali</w:t>
      </w:r>
      <w:r w:rsidR="009C0A92" w:rsidRPr="000349EF">
        <w:t>s</w:t>
      </w:r>
      <w:r w:rsidRPr="000349EF">
        <w:t>ing antibody levels in the 50</w:t>
      </w:r>
      <w:r w:rsidR="00AB0D77" w:rsidRPr="000349EF">
        <w:t> </w:t>
      </w:r>
      <w:r w:rsidR="00F53E66" w:rsidRPr="000349EF">
        <w:t>µg</w:t>
      </w:r>
      <w:r w:rsidRPr="000349EF">
        <w:t xml:space="preserve"> group were higher than those in the 25</w:t>
      </w:r>
      <w:r w:rsidR="00F53E66" w:rsidRPr="000349EF">
        <w:t xml:space="preserve"> µg</w:t>
      </w:r>
      <w:r w:rsidRPr="000349EF">
        <w:t xml:space="preserve"> group.</w:t>
      </w:r>
    </w:p>
    <w:p w14:paraId="75C918AE" w14:textId="38610F9B" w:rsidR="00E6281E" w:rsidRPr="000349EF" w:rsidRDefault="00E6281E">
      <w:r w:rsidRPr="000349EF">
        <w:t xml:space="preserve">The </w:t>
      </w:r>
      <w:proofErr w:type="spellStart"/>
      <w:r w:rsidRPr="000349EF">
        <w:t>b</w:t>
      </w:r>
      <w:r w:rsidR="00AB0D77" w:rsidRPr="000349EF">
        <w:t>Ab</w:t>
      </w:r>
      <w:proofErr w:type="spellEnd"/>
      <w:r w:rsidRPr="000349EF">
        <w:t xml:space="preserve"> GMR compared to </w:t>
      </w:r>
      <w:r w:rsidR="00AB0D77" w:rsidRPr="000349EF">
        <w:t xml:space="preserve">the </w:t>
      </w:r>
      <w:r w:rsidRPr="000349EF">
        <w:t>18</w:t>
      </w:r>
      <w:r w:rsidR="004D05C3" w:rsidRPr="000349EF">
        <w:t xml:space="preserve"> to </w:t>
      </w:r>
      <w:r w:rsidRPr="000349EF">
        <w:t>25</w:t>
      </w:r>
      <w:r w:rsidR="00AB0D77" w:rsidRPr="000349EF">
        <w:t xml:space="preserve"> </w:t>
      </w:r>
      <w:r w:rsidRPr="000349EF">
        <w:t xml:space="preserve">years </w:t>
      </w:r>
      <w:r w:rsidR="00AB0D77" w:rsidRPr="000349EF">
        <w:t xml:space="preserve">old </w:t>
      </w:r>
      <w:r w:rsidRPr="000349EF">
        <w:t xml:space="preserve">from </w:t>
      </w:r>
      <w:r w:rsidR="004D05C3" w:rsidRPr="000349EF">
        <w:t xml:space="preserve">Study </w:t>
      </w:r>
      <w:r w:rsidRPr="000349EF">
        <w:t>P301 is 1.563 for the 50</w:t>
      </w:r>
      <w:r w:rsidR="004D05C3" w:rsidRPr="000349EF">
        <w:t> </w:t>
      </w:r>
      <w:proofErr w:type="spellStart"/>
      <w:r w:rsidRPr="000349EF">
        <w:t>μg</w:t>
      </w:r>
      <w:proofErr w:type="spellEnd"/>
      <w:r w:rsidRPr="000349EF">
        <w:t xml:space="preserve"> and is 1.019 for the 25</w:t>
      </w:r>
      <w:r w:rsidR="004D05C3" w:rsidRPr="000349EF">
        <w:t> </w:t>
      </w:r>
      <w:proofErr w:type="spellStart"/>
      <w:r w:rsidRPr="000349EF">
        <w:t>μg</w:t>
      </w:r>
      <w:proofErr w:type="spellEnd"/>
      <w:r w:rsidRPr="000349EF">
        <w:t xml:space="preserve"> given to the </w:t>
      </w:r>
      <w:r w:rsidR="00EC79E7" w:rsidRPr="000349EF">
        <w:t>2 to &lt; 6</w:t>
      </w:r>
      <w:r w:rsidRPr="000349EF">
        <w:t xml:space="preserve"> years old. The </w:t>
      </w:r>
      <w:proofErr w:type="spellStart"/>
      <w:r w:rsidRPr="000349EF">
        <w:t>n</w:t>
      </w:r>
      <w:r w:rsidR="00AB0D77" w:rsidRPr="000349EF">
        <w:t>Ab</w:t>
      </w:r>
      <w:proofErr w:type="spellEnd"/>
      <w:r w:rsidRPr="000349EF">
        <w:t xml:space="preserve"> GMR compared to </w:t>
      </w:r>
      <w:r w:rsidR="00AB0D77" w:rsidRPr="000349EF">
        <w:t xml:space="preserve">the </w:t>
      </w:r>
      <w:r w:rsidRPr="000349EF">
        <w:t>18</w:t>
      </w:r>
      <w:r w:rsidR="004D05C3" w:rsidRPr="000349EF">
        <w:t xml:space="preserve"> to </w:t>
      </w:r>
      <w:r w:rsidRPr="000349EF">
        <w:t xml:space="preserve">25 years </w:t>
      </w:r>
      <w:r w:rsidR="00AB0D77" w:rsidRPr="000349EF">
        <w:t xml:space="preserve">old </w:t>
      </w:r>
      <w:r w:rsidRPr="000349EF">
        <w:t xml:space="preserve">from </w:t>
      </w:r>
      <w:r w:rsidR="004D05C3" w:rsidRPr="000349EF">
        <w:t xml:space="preserve">Study </w:t>
      </w:r>
      <w:r w:rsidRPr="000349EF">
        <w:t xml:space="preserve">P301 is 1.419 for the 50 </w:t>
      </w:r>
      <w:proofErr w:type="spellStart"/>
      <w:r w:rsidRPr="000349EF">
        <w:t>μg</w:t>
      </w:r>
      <w:proofErr w:type="spellEnd"/>
      <w:r w:rsidRPr="000349EF">
        <w:t xml:space="preserve"> and is 0.779 for the 25</w:t>
      </w:r>
      <w:r w:rsidR="004D05C3" w:rsidRPr="000349EF">
        <w:t> </w:t>
      </w:r>
      <w:proofErr w:type="spellStart"/>
      <w:r w:rsidRPr="000349EF">
        <w:t>μg</w:t>
      </w:r>
      <w:proofErr w:type="spellEnd"/>
      <w:r w:rsidRPr="000349EF">
        <w:t xml:space="preserve"> used for the </w:t>
      </w:r>
      <w:r w:rsidR="00EC79E7" w:rsidRPr="000349EF">
        <w:t>2 to &lt; 6</w:t>
      </w:r>
      <w:r w:rsidRPr="000349EF">
        <w:t xml:space="preserve"> years old.</w:t>
      </w:r>
    </w:p>
    <w:p w14:paraId="3EC4BE14" w14:textId="0EE9F1EC" w:rsidR="00E6281E" w:rsidRPr="000349EF" w:rsidRDefault="00A5478D" w:rsidP="00C70419">
      <w:pPr>
        <w:pStyle w:val="TableTitle"/>
      </w:pPr>
      <w:bookmarkStart w:id="102" w:name="_Ref94552099"/>
      <w:r w:rsidRPr="000349EF">
        <w:t xml:space="preserve">Table </w:t>
      </w:r>
      <w:r w:rsidR="00571D7C">
        <w:fldChar w:fldCharType="begin"/>
      </w:r>
      <w:r w:rsidR="00571D7C">
        <w:instrText xml:space="preserve"> SEQ Table \* ARABIC </w:instrText>
      </w:r>
      <w:r w:rsidR="00571D7C">
        <w:fldChar w:fldCharType="separate"/>
      </w:r>
      <w:r w:rsidR="00235E4B">
        <w:rPr>
          <w:noProof/>
        </w:rPr>
        <w:t>26</w:t>
      </w:r>
      <w:r w:rsidR="00571D7C">
        <w:rPr>
          <w:noProof/>
        </w:rPr>
        <w:fldChar w:fldCharType="end"/>
      </w:r>
      <w:bookmarkEnd w:id="102"/>
      <w:r w:rsidRPr="000349EF">
        <w:t>:</w:t>
      </w:r>
      <w:r w:rsidR="00E6281E" w:rsidRPr="000349EF">
        <w:t xml:space="preserve"> </w:t>
      </w:r>
      <w:r w:rsidRPr="000349EF">
        <w:t xml:space="preserve">Study P204 </w:t>
      </w:r>
      <w:r w:rsidR="00C70419" w:rsidRPr="000349EF">
        <w:t xml:space="preserve">Part 1 </w:t>
      </w:r>
      <w:r w:rsidR="00E6281E" w:rsidRPr="000349EF">
        <w:t>SARS-CoV-</w:t>
      </w:r>
      <w:r w:rsidR="00125A19" w:rsidRPr="000349EF">
        <w:t>2</w:t>
      </w:r>
      <w:r w:rsidR="00E6281E" w:rsidRPr="000349EF">
        <w:t xml:space="preserve"> specific binding antibody (</w:t>
      </w:r>
      <w:r w:rsidR="00744CCF" w:rsidRPr="000349EF">
        <w:t>Meso Scale Discovery</w:t>
      </w:r>
      <w:r w:rsidR="00E6281E" w:rsidRPr="000349EF">
        <w:t xml:space="preserve"> assay) and </w:t>
      </w:r>
      <w:r w:rsidR="00C70419" w:rsidRPr="000349EF">
        <w:t>n</w:t>
      </w:r>
      <w:r w:rsidR="00E6281E" w:rsidRPr="000349EF">
        <w:t>eutrali</w:t>
      </w:r>
      <w:r w:rsidR="009C0A92" w:rsidRPr="000349EF">
        <w:t>s</w:t>
      </w:r>
      <w:r w:rsidR="00E6281E" w:rsidRPr="000349EF">
        <w:t xml:space="preserve">ing antibody </w:t>
      </w:r>
      <w:r w:rsidR="00645731" w:rsidRPr="000349EF">
        <w:t>(</w:t>
      </w:r>
      <w:proofErr w:type="spellStart"/>
      <w:r w:rsidR="00645731" w:rsidRPr="000349EF">
        <w:t>pseudovirus</w:t>
      </w:r>
      <w:proofErr w:type="spellEnd"/>
      <w:r w:rsidR="00645731" w:rsidRPr="000349EF">
        <w:t xml:space="preserve"> neutralisation assay, 50% inhibitory dose) </w:t>
      </w:r>
      <w:r w:rsidR="00E6281E" w:rsidRPr="000349EF">
        <w:t>analysis at D</w:t>
      </w:r>
      <w:r w:rsidR="00C70419" w:rsidRPr="000349EF">
        <w:t xml:space="preserve">ay </w:t>
      </w:r>
      <w:r w:rsidR="00E6281E" w:rsidRPr="000349EF">
        <w:t>57</w:t>
      </w:r>
      <w:r w:rsidR="00C70419" w:rsidRPr="000349EF">
        <w:t xml:space="preserve"> (</w:t>
      </w:r>
      <w:r w:rsidR="00E6281E" w:rsidRPr="000349EF">
        <w:t xml:space="preserve">dose selection subset age </w:t>
      </w:r>
      <w:r w:rsidR="00EC79E7" w:rsidRPr="000349EF">
        <w:t>2 to &lt; 6</w:t>
      </w:r>
      <w:r w:rsidR="00E6281E" w:rsidRPr="000349EF">
        <w:t xml:space="preserve"> years</w:t>
      </w:r>
      <w:r w:rsidR="00324020" w:rsidRPr="000349EF">
        <w:t xml:space="preserve"> old</w:t>
      </w:r>
      <w:r w:rsidR="00E6281E" w:rsidRPr="000349EF">
        <w:t>, by dos</w:t>
      </w:r>
      <w:r w:rsidR="00125A19" w:rsidRPr="000349EF">
        <w:t>age</w:t>
      </w:r>
      <w:r w:rsidR="00E6281E" w:rsidRPr="000349EF">
        <w:t xml:space="preserve"> level</w:t>
      </w:r>
      <w:r w:rsidR="00C70419" w:rsidRPr="000349EF">
        <w:t>)</w:t>
      </w:r>
    </w:p>
    <w:p w14:paraId="79719A8D" w14:textId="65D2B267" w:rsidR="00125A19" w:rsidRPr="000349EF" w:rsidRDefault="00125A19" w:rsidP="00B03B45">
      <w:r w:rsidRPr="000349EF">
        <w:rPr>
          <w:noProof/>
          <w:lang w:val="en-GB" w:eastAsia="en-GB"/>
        </w:rPr>
        <w:drawing>
          <wp:inline distT="0" distB="0" distL="0" distR="0" wp14:anchorId="76B65664" wp14:editId="253D1131">
            <wp:extent cx="5400040" cy="1904365"/>
            <wp:effectExtent l="0" t="0" r="0" b="635"/>
            <wp:docPr id="8" name="Picture 8" descr="Table 26: Study P204 Part 1 SARS-CoV-2 specific binding antibody (Meso Scale Discovery assay) and neutralising antibody (pseudovirus neutralisation assay, 50% inhibitory dose) analysis at Day 57 (dose selection subset age 2 to &lt; 6 years old, by dosag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26: Study P204 Part 1 SARS-CoV-2 specific binding antibody (Meso Scale Discovery assay) and neutralising antibody (pseudovirus neutralisation assay, 50% inhibitory dose) analysis at Day 57 (dose selection subset age 2 to &lt; 6 years old, by dosage level)"/>
                    <pic:cNvPicPr/>
                  </pic:nvPicPr>
                  <pic:blipFill>
                    <a:blip r:embed="rId44"/>
                    <a:stretch>
                      <a:fillRect/>
                    </a:stretch>
                  </pic:blipFill>
                  <pic:spPr>
                    <a:xfrm>
                      <a:off x="0" y="0"/>
                      <a:ext cx="5400040" cy="1904365"/>
                    </a:xfrm>
                    <a:prstGeom prst="rect">
                      <a:avLst/>
                    </a:prstGeom>
                  </pic:spPr>
                </pic:pic>
              </a:graphicData>
            </a:graphic>
          </wp:inline>
        </w:drawing>
      </w:r>
    </w:p>
    <w:p w14:paraId="6FB2CB37" w14:textId="7D251E49" w:rsidR="00125A19" w:rsidRPr="000349EF" w:rsidRDefault="00125A19" w:rsidP="00125A19">
      <w:pPr>
        <w:pStyle w:val="TableDescription"/>
      </w:pPr>
      <w:proofErr w:type="spellStart"/>
      <w:r w:rsidRPr="000349EF">
        <w:t>bAb</w:t>
      </w:r>
      <w:proofErr w:type="spellEnd"/>
      <w:r w:rsidRPr="000349EF">
        <w:t xml:space="preserve"> = binding antibody; MSD = Mesoscale Discovery; GMT = geometric mean titre; GMR = geometric mean ratio; ID</w:t>
      </w:r>
      <w:r w:rsidRPr="000349EF">
        <w:rPr>
          <w:vertAlign w:val="subscript"/>
        </w:rPr>
        <w:t>50</w:t>
      </w:r>
      <w:r w:rsidRPr="000349EF">
        <w:t xml:space="preserve"> = 50% inhibitory dose; N = population size; </w:t>
      </w:r>
      <w:proofErr w:type="spellStart"/>
      <w:r w:rsidRPr="000349EF">
        <w:t>nAb</w:t>
      </w:r>
      <w:proofErr w:type="spellEnd"/>
      <w:r w:rsidRPr="000349EF">
        <w:t xml:space="preserve"> = neutralising antibody; </w:t>
      </w:r>
      <w:proofErr w:type="spellStart"/>
      <w:r w:rsidRPr="000349EF">
        <w:t>PsVN</w:t>
      </w:r>
      <w:proofErr w:type="spellEnd"/>
      <w:r w:rsidRPr="000349EF">
        <w:t xml:space="preserve"> = </w:t>
      </w:r>
      <w:proofErr w:type="spellStart"/>
      <w:r w:rsidRPr="000349EF">
        <w:t>pseudovirus</w:t>
      </w:r>
      <w:proofErr w:type="spellEnd"/>
      <w:r w:rsidRPr="000349EF">
        <w:t xml:space="preserve"> neutralisation assay;</w:t>
      </w:r>
      <w:r w:rsidR="00645731" w:rsidRPr="000349EF">
        <w:t xml:space="preserve"> SARS-CoV-2 = severe acute respiratory syndrome coronavirus</w:t>
      </w:r>
      <w:r w:rsidR="001C6EDC" w:rsidRPr="000349EF">
        <w:t> </w:t>
      </w:r>
      <w:r w:rsidR="00645731" w:rsidRPr="000349EF">
        <w:t>2;</w:t>
      </w:r>
      <w:r w:rsidRPr="000349EF">
        <w:t xml:space="preserve"> y = years.</w:t>
      </w:r>
    </w:p>
    <w:p w14:paraId="11A8C470" w14:textId="73352ED8" w:rsidR="00E6281E" w:rsidRPr="000349EF" w:rsidRDefault="00125A19" w:rsidP="00125A19">
      <w:pPr>
        <w:pStyle w:val="TableDescription"/>
      </w:pPr>
      <w:r w:rsidRPr="000349EF">
        <w:t>All dose-selection cohort participants met per-protocol immunogenicity criteria.</w:t>
      </w:r>
    </w:p>
    <w:p w14:paraId="1284AA79" w14:textId="03E7D9F5" w:rsidR="00E6281E" w:rsidRPr="000349EF" w:rsidRDefault="00E6281E" w:rsidP="00A04B72">
      <w:r w:rsidRPr="000349EF">
        <w:t>The 25</w:t>
      </w:r>
      <w:r w:rsidR="00F53E66" w:rsidRPr="000349EF">
        <w:t xml:space="preserve"> µg</w:t>
      </w:r>
      <w:r w:rsidRPr="000349EF">
        <w:t xml:space="preserve"> dose was advanced to Part 2 in this age group (2 to</w:t>
      </w:r>
      <w:r w:rsidR="00AB0D77" w:rsidRPr="000349EF">
        <w:t xml:space="preserve"> </w:t>
      </w:r>
      <w:r w:rsidRPr="000349EF">
        <w:t>&lt; 6 years</w:t>
      </w:r>
      <w:r w:rsidR="00AB0D77" w:rsidRPr="000349EF">
        <w:t xml:space="preserve"> old</w:t>
      </w:r>
      <w:r w:rsidRPr="000349EF">
        <w:t>). This is the dose that result</w:t>
      </w:r>
      <w:r w:rsidR="00E83BCA" w:rsidRPr="000349EF">
        <w:t>s</w:t>
      </w:r>
      <w:r w:rsidRPr="000349EF">
        <w:t xml:space="preserve"> in less reactogenicity while still induc</w:t>
      </w:r>
      <w:r w:rsidR="001B1C50" w:rsidRPr="000349EF">
        <w:t>ing</w:t>
      </w:r>
      <w:r w:rsidRPr="000349EF">
        <w:t xml:space="preserve"> immune responses anticipated to achieve immunobridging to adults in the pivotal </w:t>
      </w:r>
      <w:r w:rsidR="00C70419" w:rsidRPr="000349EF">
        <w:t xml:space="preserve">Study </w:t>
      </w:r>
      <w:r w:rsidRPr="000349EF">
        <w:t>P301.</w:t>
      </w:r>
    </w:p>
    <w:p w14:paraId="5BC206FF" w14:textId="11CFFFE8" w:rsidR="00E6281E" w:rsidRPr="000349EF" w:rsidRDefault="00E6281E" w:rsidP="00A04B72">
      <w:r w:rsidRPr="000349EF">
        <w:t xml:space="preserve">The </w:t>
      </w:r>
      <w:r w:rsidR="00C70419" w:rsidRPr="000349EF">
        <w:t>sponsor</w:t>
      </w:r>
      <w:r w:rsidRPr="000349EF">
        <w:t xml:space="preserve"> reaffirmed their view that the 50 µg is considered more appropriate to swiftly provide protection to children and their families in the setting of the ongoing pandemic and considering the current outbreak </w:t>
      </w:r>
      <w:r w:rsidR="00744CCF" w:rsidRPr="000349EF">
        <w:t xml:space="preserve">caused by the Omicron variant </w:t>
      </w:r>
      <w:r w:rsidRPr="000349EF">
        <w:t>and potential future variants of concern.</w:t>
      </w:r>
    </w:p>
    <w:p w14:paraId="3D93509C" w14:textId="769465EB" w:rsidR="00E6281E" w:rsidRPr="000349EF" w:rsidRDefault="00E6281E" w:rsidP="00A04B72">
      <w:pPr>
        <w:pStyle w:val="Heading5"/>
      </w:pPr>
      <w:bookmarkStart w:id="103" w:name="_Toc94269132"/>
      <w:bookmarkStart w:id="104" w:name="_Toc93934147"/>
      <w:r w:rsidRPr="000349EF">
        <w:t>Data on troponin levels</w:t>
      </w:r>
      <w:bookmarkEnd w:id="103"/>
      <w:bookmarkEnd w:id="104"/>
    </w:p>
    <w:p w14:paraId="578840B2" w14:textId="727A7D88" w:rsidR="00E6281E" w:rsidRPr="000349EF" w:rsidRDefault="00E6281E" w:rsidP="00A04B72">
      <w:r w:rsidRPr="000349EF">
        <w:t xml:space="preserve">Following the request </w:t>
      </w:r>
      <w:r w:rsidR="00744CCF" w:rsidRPr="000349EF">
        <w:t>by</w:t>
      </w:r>
      <w:r w:rsidRPr="000349EF">
        <w:t xml:space="preserve"> the FDA, the </w:t>
      </w:r>
      <w:r w:rsidR="00C70419" w:rsidRPr="000349EF">
        <w:t>sponsor</w:t>
      </w:r>
      <w:r w:rsidRPr="000349EF">
        <w:t xml:space="preserve"> included an additional blood collection (within </w:t>
      </w:r>
      <w:r w:rsidR="00806936">
        <w:t>four</w:t>
      </w:r>
      <w:r w:rsidRPr="000349EF">
        <w:t xml:space="preserve"> day </w:t>
      </w:r>
      <w:r w:rsidR="00A5478D" w:rsidRPr="000349EF">
        <w:t xml:space="preserve">post-Dose </w:t>
      </w:r>
      <w:r w:rsidRPr="000349EF">
        <w:t xml:space="preserve">2) in the paediatric </w:t>
      </w:r>
      <w:r w:rsidR="00744CCF" w:rsidRPr="000349EF">
        <w:t xml:space="preserve">Study </w:t>
      </w:r>
      <w:r w:rsidRPr="000349EF">
        <w:t>P204 (Protocol Amendment 4) with the provision that collected samples were to be stored and not proactively tested. Clinical trials of ≥</w:t>
      </w:r>
      <w:r w:rsidR="00744CCF" w:rsidRPr="000349EF">
        <w:t xml:space="preserve"> </w:t>
      </w:r>
      <w:r w:rsidRPr="000349EF">
        <w:t xml:space="preserve">12 years of age were completed prior to these considerations; such collections are planned for the booster portion of mRNA-1273 in adolescents. The decision to store, and not actively test, collected serum was made in agreement with the FDA that screening otherwise healthy children for serum troponin is of limited value. </w:t>
      </w:r>
      <w:r w:rsidR="00324020" w:rsidRPr="000349EF">
        <w:t>P</w:t>
      </w:r>
      <w:r w:rsidR="00A5478D" w:rsidRPr="000349EF">
        <w:t xml:space="preserve">ost-Dose </w:t>
      </w:r>
      <w:r w:rsidRPr="000349EF">
        <w:t xml:space="preserve">2 blood from </w:t>
      </w:r>
      <w:r w:rsidRPr="000349EF">
        <w:lastRenderedPageBreak/>
        <w:t xml:space="preserve">a subset of </w:t>
      </w:r>
      <w:r w:rsidR="00744CCF" w:rsidRPr="000349EF">
        <w:t xml:space="preserve">Study </w:t>
      </w:r>
      <w:r w:rsidRPr="000349EF">
        <w:t xml:space="preserve">P204 participants in each age group (phlebotomy </w:t>
      </w:r>
      <w:r w:rsidR="00BC269D" w:rsidRPr="000349EF">
        <w:t>s</w:t>
      </w:r>
      <w:r w:rsidRPr="000349EF">
        <w:t>ub-cohort D, lacking any other post-</w:t>
      </w:r>
      <w:r w:rsidR="00F53E66" w:rsidRPr="000349EF">
        <w:t>Baseline</w:t>
      </w:r>
      <w:r w:rsidRPr="000349EF">
        <w:t xml:space="preserve"> blood draws before Amendment 4) was collected and stored at the central lab for potential future biomarker analysis (including cardiac biomarkers).</w:t>
      </w:r>
    </w:p>
    <w:p w14:paraId="2126C635" w14:textId="7B22F6D1" w:rsidR="00E6281E" w:rsidRPr="000349EF" w:rsidRDefault="00E6281E" w:rsidP="00A04B72">
      <w:r w:rsidRPr="000349EF">
        <w:t xml:space="preserve">Although storage of collected blood was indicated in the protocol, the </w:t>
      </w:r>
      <w:r w:rsidR="00C70419" w:rsidRPr="000349EF">
        <w:t>sponsor</w:t>
      </w:r>
      <w:r w:rsidRPr="000349EF">
        <w:t xml:space="preserve"> discovered that between </w:t>
      </w:r>
      <w:r w:rsidR="003216EF" w:rsidRPr="000349EF">
        <w:t xml:space="preserve">15 </w:t>
      </w:r>
      <w:r w:rsidRPr="000349EF">
        <w:t xml:space="preserve">September and </w:t>
      </w:r>
      <w:r w:rsidR="003216EF" w:rsidRPr="000349EF">
        <w:t xml:space="preserve">26 </w:t>
      </w:r>
      <w:r w:rsidRPr="000349EF">
        <w:t xml:space="preserve">October 2021, 50 serum samples collected in Part 2 of </w:t>
      </w:r>
      <w:r w:rsidR="004D05C3" w:rsidRPr="000349EF">
        <w:t xml:space="preserve">Study </w:t>
      </w:r>
      <w:r w:rsidRPr="000349EF">
        <w:t>P204 (6 to &lt; 12 year</w:t>
      </w:r>
      <w:r w:rsidR="003216EF" w:rsidRPr="000349EF">
        <w:t>s</w:t>
      </w:r>
      <w:r w:rsidRPr="000349EF">
        <w:t xml:space="preserve"> old) were nonetheless tested for troponin levels (</w:t>
      </w:r>
      <w:r w:rsidR="00BC269D" w:rsidRPr="000349EF">
        <w:t>t</w:t>
      </w:r>
      <w:r w:rsidRPr="000349EF">
        <w:t xml:space="preserve">roponin I and/or </w:t>
      </w:r>
      <w:r w:rsidR="00BC269D" w:rsidRPr="000349EF">
        <w:t>t</w:t>
      </w:r>
      <w:r w:rsidRPr="000349EF">
        <w:t xml:space="preserve">roponin T, </w:t>
      </w:r>
      <w:r w:rsidR="006B47CC" w:rsidRPr="000349EF">
        <w:t>high</w:t>
      </w:r>
      <w:r w:rsidR="002940C2" w:rsidRPr="000349EF">
        <w:t xml:space="preserve"> </w:t>
      </w:r>
      <w:r w:rsidR="006B47CC" w:rsidRPr="000349EF">
        <w:t>sensitiv</w:t>
      </w:r>
      <w:r w:rsidR="002940C2" w:rsidRPr="000349EF">
        <w:t>ity</w:t>
      </w:r>
      <w:r w:rsidRPr="000349EF">
        <w:t xml:space="preserve">). This testing occurred without </w:t>
      </w:r>
      <w:r w:rsidR="00C70419" w:rsidRPr="000349EF">
        <w:t>sponsor</w:t>
      </w:r>
      <w:r w:rsidRPr="000349EF">
        <w:t xml:space="preserve"> request or authori</w:t>
      </w:r>
      <w:r w:rsidR="009C0A92" w:rsidRPr="000349EF">
        <w:t>s</w:t>
      </w:r>
      <w:r w:rsidRPr="000349EF">
        <w:t xml:space="preserve">ation. It was discovered by chance by </w:t>
      </w:r>
      <w:r w:rsidR="00C70419" w:rsidRPr="000349EF">
        <w:t>sponsor</w:t>
      </w:r>
      <w:r w:rsidRPr="000349EF">
        <w:t xml:space="preserve">’s </w:t>
      </w:r>
      <w:r w:rsidR="003216EF" w:rsidRPr="000349EF">
        <w:t xml:space="preserve">medical monitor </w:t>
      </w:r>
      <w:r w:rsidRPr="000349EF">
        <w:t xml:space="preserve">review of </w:t>
      </w:r>
      <w:r w:rsidR="003216EF" w:rsidRPr="000349EF">
        <w:t>Study</w:t>
      </w:r>
      <w:r w:rsidR="00E64E54" w:rsidRPr="000349EF">
        <w:t> </w:t>
      </w:r>
      <w:r w:rsidRPr="000349EF">
        <w:t>P204 laboratory test results in the central laboratory portal. While results of these 50</w:t>
      </w:r>
      <w:r w:rsidR="00E64E54" w:rsidRPr="000349EF">
        <w:t> </w:t>
      </w:r>
      <w:r w:rsidRPr="000349EF">
        <w:t xml:space="preserve">participants were not requested, given their availability, the </w:t>
      </w:r>
      <w:r w:rsidR="00C70419" w:rsidRPr="000349EF">
        <w:t>sponsor</w:t>
      </w:r>
      <w:r w:rsidRPr="000349EF">
        <w:t xml:space="preserve"> proactively provides these troponin results </w:t>
      </w:r>
      <w:r w:rsidR="00E64E54" w:rsidRPr="000349EF">
        <w:t>to the TGA</w:t>
      </w:r>
      <w:r w:rsidRPr="000349EF">
        <w:t>, together with basic demographics. They included both groups</w:t>
      </w:r>
      <w:r w:rsidR="003216EF" w:rsidRPr="000349EF">
        <w:t xml:space="preserve"> (</w:t>
      </w:r>
      <w:r w:rsidRPr="000349EF">
        <w:t>9</w:t>
      </w:r>
      <w:r w:rsidR="00806936">
        <w:t xml:space="preserve"> out of </w:t>
      </w:r>
      <w:r w:rsidRPr="000349EF">
        <w:t>50 received placebo, 41</w:t>
      </w:r>
      <w:r w:rsidR="00806936">
        <w:t xml:space="preserve"> out of </w:t>
      </w:r>
      <w:r w:rsidRPr="000349EF">
        <w:t>50 received mRNA-1273</w:t>
      </w:r>
      <w:r w:rsidR="003216EF" w:rsidRPr="000349EF">
        <w:t>)</w:t>
      </w:r>
      <w:r w:rsidRPr="000349EF">
        <w:t xml:space="preserve">. All results were within normal limits for </w:t>
      </w:r>
      <w:r w:rsidR="00E64E54" w:rsidRPr="000349EF">
        <w:t>the</w:t>
      </w:r>
      <w:r w:rsidRPr="000349EF">
        <w:t xml:space="preserve"> 50 participants.</w:t>
      </w:r>
    </w:p>
    <w:p w14:paraId="678E950D" w14:textId="27DF6169" w:rsidR="00E6281E" w:rsidRPr="000349EF" w:rsidRDefault="00E6281E" w:rsidP="00A04B72">
      <w:pPr>
        <w:pStyle w:val="Heading5"/>
      </w:pPr>
      <w:bookmarkStart w:id="105" w:name="_Toc94269133"/>
      <w:bookmarkStart w:id="106" w:name="_Toc93934148"/>
      <w:r w:rsidRPr="000349EF">
        <w:t>Outcome data on clinical severity of myocarditis</w:t>
      </w:r>
      <w:bookmarkEnd w:id="105"/>
      <w:bookmarkEnd w:id="106"/>
    </w:p>
    <w:p w14:paraId="63F8FD98" w14:textId="0763A651" w:rsidR="00E6281E" w:rsidRPr="000349EF" w:rsidRDefault="00E6281E" w:rsidP="00A04B72">
      <w:r w:rsidRPr="000349EF">
        <w:t xml:space="preserve">The </w:t>
      </w:r>
      <w:r w:rsidR="00C70419" w:rsidRPr="000349EF">
        <w:t>sponsor</w:t>
      </w:r>
      <w:r w:rsidRPr="000349EF">
        <w:t xml:space="preserve"> provided </w:t>
      </w:r>
      <w:r w:rsidR="00806936">
        <w:t>four</w:t>
      </w:r>
      <w:r w:rsidRPr="000349EF">
        <w:t xml:space="preserve"> published articles relating to observational studies that describe outcome data on patients that had received COVID-19 mRNA vaccines and had experienced myocarditis or pericarditis. For th</w:t>
      </w:r>
      <w:r w:rsidR="00E64E54" w:rsidRPr="000349EF">
        <w:t>e</w:t>
      </w:r>
      <w:r w:rsidRPr="000349EF">
        <w:t xml:space="preserve">se articles, clinical presentation seems to be consistent with the majority of patients having normal ventricular systolic function on echocardiogram, as well as many having abnormal findings suggestive of myocarditis on cardiac </w:t>
      </w:r>
      <w:r w:rsidR="004B2855" w:rsidRPr="000349EF">
        <w:t xml:space="preserve">magnetic resonance imaging </w:t>
      </w:r>
      <w:r w:rsidRPr="000349EF">
        <w:t>in the setting of elevated troponin and electrocardiographic changes; the presentation of the myocarditis is usually characteri</w:t>
      </w:r>
      <w:r w:rsidR="009C0A92" w:rsidRPr="000349EF">
        <w:t>s</w:t>
      </w:r>
      <w:r w:rsidRPr="000349EF">
        <w:t>ed by a mild illness with rapid resolution of symptoms within few days in the vast majority of affected individuals. Fatal cases were very rare.</w:t>
      </w:r>
    </w:p>
    <w:p w14:paraId="6225A34F" w14:textId="3FA8BB62" w:rsidR="00E6281E" w:rsidRPr="000349EF" w:rsidRDefault="00E6281E" w:rsidP="00A04B72">
      <w:pPr>
        <w:pStyle w:val="Heading5"/>
      </w:pPr>
      <w:bookmarkStart w:id="107" w:name="_Toc93934149"/>
      <w:bookmarkStart w:id="108" w:name="_Toc94269134"/>
      <w:r w:rsidRPr="000349EF">
        <w:t>Post-marketing adverse events data</w:t>
      </w:r>
      <w:bookmarkEnd w:id="107"/>
      <w:bookmarkEnd w:id="108"/>
    </w:p>
    <w:p w14:paraId="131D6ACF" w14:textId="51053C8F" w:rsidR="00E6281E" w:rsidRPr="000349EF" w:rsidRDefault="00E6281E" w:rsidP="00A04B72">
      <w:r w:rsidRPr="000349EF">
        <w:t xml:space="preserve">There are limited surveillance data </w:t>
      </w:r>
      <w:r w:rsidR="00E64E54" w:rsidRPr="000349EF">
        <w:t xml:space="preserve">for </w:t>
      </w:r>
      <w:r w:rsidR="00324020" w:rsidRPr="000349EF">
        <w:t xml:space="preserve">children aged </w:t>
      </w:r>
      <w:r w:rsidRPr="000349EF">
        <w:t>6 to &lt;</w:t>
      </w:r>
      <w:r w:rsidR="003216EF" w:rsidRPr="000349EF">
        <w:t xml:space="preserve"> </w:t>
      </w:r>
      <w:r w:rsidRPr="000349EF">
        <w:t>12 years old, as the indication for this age group is not yet authori</w:t>
      </w:r>
      <w:r w:rsidR="009C0A92" w:rsidRPr="000349EF">
        <w:t>s</w:t>
      </w:r>
      <w:r w:rsidRPr="000349EF">
        <w:t>ed. The spontaneous reporting is of limited value for 6</w:t>
      </w:r>
      <w:r w:rsidR="00324020" w:rsidRPr="000349EF">
        <w:t> </w:t>
      </w:r>
      <w:r w:rsidRPr="000349EF">
        <w:t>to &lt;</w:t>
      </w:r>
      <w:r w:rsidR="003216EF" w:rsidRPr="000349EF">
        <w:t> </w:t>
      </w:r>
      <w:r w:rsidRPr="000349EF">
        <w:t>12 year</w:t>
      </w:r>
      <w:r w:rsidR="003216EF" w:rsidRPr="000349EF">
        <w:t>s</w:t>
      </w:r>
      <w:r w:rsidRPr="000349EF">
        <w:t xml:space="preserve"> old.</w:t>
      </w:r>
    </w:p>
    <w:p w14:paraId="6A973A39" w14:textId="1EF5FC28" w:rsidR="00E6281E" w:rsidRPr="000349EF" w:rsidRDefault="00E6281E" w:rsidP="00A04B72">
      <w:r w:rsidRPr="000349EF">
        <w:t xml:space="preserve">The </w:t>
      </w:r>
      <w:r w:rsidR="00C70419" w:rsidRPr="000349EF">
        <w:t>sponsor</w:t>
      </w:r>
      <w:r w:rsidRPr="000349EF">
        <w:t xml:space="preserve"> provides a summary as of 31 December 2021, an estimated 827,274,740</w:t>
      </w:r>
      <w:r w:rsidR="00324020" w:rsidRPr="000349EF">
        <w:t> </w:t>
      </w:r>
      <w:r w:rsidRPr="000349EF">
        <w:t xml:space="preserve">doses had been distributed; </w:t>
      </w:r>
      <w:r w:rsidR="00677963" w:rsidRPr="000349EF">
        <w:t xml:space="preserve">an estimated </w:t>
      </w:r>
      <w:r w:rsidR="009D454E" w:rsidRPr="0055501E">
        <w:t>466,804,529</w:t>
      </w:r>
      <w:r w:rsidR="009D454E">
        <w:rPr>
          <w:rStyle w:val="FootnoteReference"/>
        </w:rPr>
        <w:footnoteReference w:id="40"/>
      </w:r>
      <w:r w:rsidR="009D454E">
        <w:t xml:space="preserve"> </w:t>
      </w:r>
      <w:r w:rsidRPr="000349EF">
        <w:t>doses have been administered.</w:t>
      </w:r>
    </w:p>
    <w:p w14:paraId="3F4FDC5D" w14:textId="6D6E6DFB" w:rsidR="00E6281E" w:rsidRPr="000349EF" w:rsidRDefault="00E6281E" w:rsidP="00A04B72">
      <w:r w:rsidRPr="000349EF">
        <w:t xml:space="preserve">Cumulatively, </w:t>
      </w:r>
      <w:r w:rsidR="00C70419" w:rsidRPr="000349EF">
        <w:t>the sponsor</w:t>
      </w:r>
      <w:r w:rsidRPr="000349EF">
        <w:t xml:space="preserve"> has received 349 cases (842 events, of which 190 events were serious) for children (&lt; 12 years old). Of the cumulative reported cases, 147 cases were medically confirmed, 80 cases were serious, and 5 cases had fatal outcomes. The proportion of cases reported in females (37.8%, 132) was </w:t>
      </w:r>
      <w:proofErr w:type="gramStart"/>
      <w:r w:rsidRPr="000349EF">
        <w:t>similar to</w:t>
      </w:r>
      <w:proofErr w:type="gramEnd"/>
      <w:r w:rsidRPr="000349EF">
        <w:t xml:space="preserve"> males (39.3%, 137), while the remaining cases (</w:t>
      </w:r>
      <w:r w:rsidR="003216EF" w:rsidRPr="000349EF">
        <w:t xml:space="preserve">n </w:t>
      </w:r>
      <w:r w:rsidRPr="000349EF">
        <w:t>=</w:t>
      </w:r>
      <w:r w:rsidR="003216EF" w:rsidRPr="000349EF">
        <w:t xml:space="preserve"> </w:t>
      </w:r>
      <w:r w:rsidRPr="000349EF">
        <w:t>80) did not have gender reported. The mean age was 1.8</w:t>
      </w:r>
      <w:r w:rsidR="00677963" w:rsidRPr="000349EF">
        <w:t> </w:t>
      </w:r>
      <w:r w:rsidRPr="000349EF">
        <w:t>years (</w:t>
      </w:r>
      <w:r w:rsidR="004B2855" w:rsidRPr="000349EF">
        <w:t>standard deviation</w:t>
      </w:r>
      <w:r w:rsidR="00677963" w:rsidRPr="000349EF">
        <w:t xml:space="preserve"> =</w:t>
      </w:r>
      <w:r w:rsidRPr="000349EF">
        <w:t xml:space="preserve"> 3.0; median</w:t>
      </w:r>
      <w:r w:rsidR="00677963" w:rsidRPr="000349EF">
        <w:t xml:space="preserve"> =</w:t>
      </w:r>
      <w:r w:rsidRPr="000349EF">
        <w:t xml:space="preserve"> 0.6 years).</w:t>
      </w:r>
    </w:p>
    <w:p w14:paraId="5AEC90A4" w14:textId="14F0249B" w:rsidR="00E6281E" w:rsidRPr="000349EF" w:rsidRDefault="00E6281E" w:rsidP="00A04B72">
      <w:r w:rsidRPr="000349EF">
        <w:t xml:space="preserve">Cumulatively, </w:t>
      </w:r>
      <w:r w:rsidR="00C70419" w:rsidRPr="000349EF">
        <w:t>the sponsor</w:t>
      </w:r>
      <w:r w:rsidRPr="000349EF">
        <w:t xml:space="preserve"> has received 5,808 cases (9,981 events, of which 1,081 events were</w:t>
      </w:r>
      <w:r w:rsidR="00114008" w:rsidRPr="000349EF">
        <w:t xml:space="preserve"> </w:t>
      </w:r>
      <w:r w:rsidRPr="000349EF">
        <w:t>serious) for adolescents (12 to 17 years old). Of the cumulative reported cases, 4,936 cases</w:t>
      </w:r>
      <w:r w:rsidR="00114008" w:rsidRPr="000349EF">
        <w:t xml:space="preserve"> </w:t>
      </w:r>
      <w:r w:rsidRPr="000349EF">
        <w:t xml:space="preserve">were medically confirmed, 443 cases were serious, and </w:t>
      </w:r>
      <w:r w:rsidR="00806936">
        <w:t>seven</w:t>
      </w:r>
      <w:r w:rsidRPr="000349EF">
        <w:t xml:space="preserve"> cases had fatal outcomes. </w:t>
      </w:r>
      <w:proofErr w:type="gramStart"/>
      <w:r w:rsidRPr="000349EF">
        <w:t>The</w:t>
      </w:r>
      <w:r w:rsidR="00114008" w:rsidRPr="000349EF">
        <w:t xml:space="preserve"> </w:t>
      </w:r>
      <w:r w:rsidRPr="000349EF">
        <w:t>majority of</w:t>
      </w:r>
      <w:proofErr w:type="gramEnd"/>
      <w:r w:rsidRPr="000349EF">
        <w:t xml:space="preserve"> cases were reported in females (54.3%, 3,153) compared to males (41.6%, 2,415)</w:t>
      </w:r>
      <w:r w:rsidR="00114008" w:rsidRPr="000349EF">
        <w:t xml:space="preserve"> </w:t>
      </w:r>
      <w:r w:rsidRPr="000349EF">
        <w:t>with the mean age of 15.9 years (</w:t>
      </w:r>
      <w:r w:rsidR="004B2855" w:rsidRPr="000349EF">
        <w:t>standard deviation</w:t>
      </w:r>
      <w:r w:rsidR="00677963" w:rsidRPr="000349EF">
        <w:t xml:space="preserve"> =</w:t>
      </w:r>
      <w:r w:rsidRPr="000349EF">
        <w:t xml:space="preserve"> 1.5; median</w:t>
      </w:r>
      <w:r w:rsidR="00677963" w:rsidRPr="000349EF">
        <w:t xml:space="preserve"> =</w:t>
      </w:r>
      <w:r w:rsidRPr="000349EF">
        <w:t xml:space="preserve"> 16.0 years).</w:t>
      </w:r>
    </w:p>
    <w:p w14:paraId="4075BFD1" w14:textId="2C266FE6" w:rsidR="00E6281E" w:rsidRPr="000349EF" w:rsidRDefault="00E6281E" w:rsidP="00A04B72">
      <w:pPr>
        <w:pStyle w:val="Heading5"/>
      </w:pPr>
      <w:bookmarkStart w:id="109" w:name="_Toc94269135"/>
      <w:r w:rsidRPr="000349EF">
        <w:t>New information from</w:t>
      </w:r>
      <w:r w:rsidR="00C70419" w:rsidRPr="000349EF">
        <w:t xml:space="preserve"> the sponsor</w:t>
      </w:r>
      <w:bookmarkEnd w:id="109"/>
    </w:p>
    <w:p w14:paraId="11C08164" w14:textId="2C301807" w:rsidR="00E6281E" w:rsidRPr="000349EF" w:rsidRDefault="00E6281E" w:rsidP="00A04B72">
      <w:r w:rsidRPr="000349EF">
        <w:t xml:space="preserve">On 25 January 2022, </w:t>
      </w:r>
      <w:r w:rsidR="00C70419" w:rsidRPr="000349EF">
        <w:t>the sponsor</w:t>
      </w:r>
      <w:r w:rsidRPr="000349EF">
        <w:t xml:space="preserve"> shared the following information to</w:t>
      </w:r>
      <w:r w:rsidR="00324020" w:rsidRPr="000349EF">
        <w:t xml:space="preserve"> the</w:t>
      </w:r>
      <w:r w:rsidRPr="000349EF">
        <w:t xml:space="preserve"> TGA.</w:t>
      </w:r>
    </w:p>
    <w:p w14:paraId="21308D2F" w14:textId="6CB72B29" w:rsidR="00E6281E" w:rsidRPr="000349EF" w:rsidRDefault="00E6281E" w:rsidP="00A04B72">
      <w:pPr>
        <w:pStyle w:val="Heading6"/>
        <w:rPr>
          <w:rFonts w:eastAsiaTheme="minorHAnsi"/>
          <w:lang w:val="en-US"/>
        </w:rPr>
      </w:pPr>
      <w:r w:rsidRPr="000349EF">
        <w:rPr>
          <w:rFonts w:eastAsiaTheme="minorHAnsi"/>
          <w:lang w:val="en-US"/>
        </w:rPr>
        <w:lastRenderedPageBreak/>
        <w:t xml:space="preserve">Clinical and </w:t>
      </w:r>
      <w:proofErr w:type="spellStart"/>
      <w:r w:rsidRPr="000349EF">
        <w:rPr>
          <w:rFonts w:eastAsiaTheme="minorHAnsi"/>
          <w:lang w:val="en-US"/>
        </w:rPr>
        <w:t>neutrali</w:t>
      </w:r>
      <w:r w:rsidR="009C0A92" w:rsidRPr="000349EF">
        <w:rPr>
          <w:rFonts w:eastAsiaTheme="minorHAnsi"/>
          <w:lang w:val="en-US"/>
        </w:rPr>
        <w:t>s</w:t>
      </w:r>
      <w:r w:rsidRPr="000349EF">
        <w:rPr>
          <w:rFonts w:eastAsiaTheme="minorHAnsi"/>
          <w:lang w:val="en-US"/>
        </w:rPr>
        <w:t>ing</w:t>
      </w:r>
      <w:proofErr w:type="spellEnd"/>
      <w:r w:rsidRPr="000349EF">
        <w:rPr>
          <w:rFonts w:eastAsiaTheme="minorHAnsi"/>
          <w:lang w:val="en-US"/>
        </w:rPr>
        <w:t xml:space="preserve"> effectiveness data from </w:t>
      </w:r>
      <w:r w:rsidR="003216EF" w:rsidRPr="000349EF">
        <w:rPr>
          <w:rFonts w:eastAsiaTheme="minorHAnsi"/>
          <w:lang w:val="en-US"/>
        </w:rPr>
        <w:t xml:space="preserve">the </w:t>
      </w:r>
      <w:r w:rsidRPr="000349EF">
        <w:rPr>
          <w:rFonts w:eastAsiaTheme="minorHAnsi"/>
          <w:lang w:val="en-US"/>
        </w:rPr>
        <w:t xml:space="preserve">KIDCOVE </w:t>
      </w:r>
      <w:r w:rsidR="003216EF" w:rsidRPr="000349EF">
        <w:rPr>
          <w:rFonts w:eastAsiaTheme="minorHAnsi"/>
          <w:lang w:val="en-US"/>
        </w:rPr>
        <w:t xml:space="preserve">trial </w:t>
      </w:r>
      <w:r w:rsidRPr="000349EF">
        <w:rPr>
          <w:rFonts w:eastAsiaTheme="minorHAnsi"/>
          <w:lang w:val="en-US"/>
        </w:rPr>
        <w:t>(</w:t>
      </w:r>
      <w:r w:rsidR="003216EF" w:rsidRPr="000349EF">
        <w:rPr>
          <w:rFonts w:eastAsiaTheme="minorHAnsi"/>
          <w:lang w:val="en-US"/>
        </w:rPr>
        <w:t xml:space="preserve">Study </w:t>
      </w:r>
      <w:r w:rsidRPr="000349EF">
        <w:rPr>
          <w:rFonts w:eastAsiaTheme="minorHAnsi"/>
          <w:lang w:val="en-US"/>
        </w:rPr>
        <w:t xml:space="preserve">P204) in children </w:t>
      </w:r>
      <w:r w:rsidR="00236987" w:rsidRPr="000349EF">
        <w:rPr>
          <w:rFonts w:eastAsiaTheme="minorHAnsi"/>
          <w:lang w:val="en-US"/>
        </w:rPr>
        <w:t xml:space="preserve">between </w:t>
      </w:r>
      <w:r w:rsidR="00EC79E7" w:rsidRPr="000349EF">
        <w:t>6 to &lt; 12</w:t>
      </w:r>
      <w:r w:rsidR="003216EF" w:rsidRPr="000349EF">
        <w:t xml:space="preserve"> years of age</w:t>
      </w:r>
    </w:p>
    <w:p w14:paraId="7A207149" w14:textId="07240DD3" w:rsidR="00E6281E" w:rsidRPr="000349EF" w:rsidRDefault="00E6281E" w:rsidP="00A04B72">
      <w:r w:rsidRPr="000349EF">
        <w:t xml:space="preserve">Efficacy starting as soon as 14 days after </w:t>
      </w:r>
      <w:r w:rsidR="00A5478D" w:rsidRPr="000349EF">
        <w:t>Dose 1</w:t>
      </w:r>
      <w:r w:rsidRPr="000349EF">
        <w:t xml:space="preserve"> of mRNA-1273 (mITT1 population) in children between 6 and &lt;</w:t>
      </w:r>
      <w:r w:rsidR="003216EF" w:rsidRPr="000349EF">
        <w:t xml:space="preserve"> </w:t>
      </w:r>
      <w:r w:rsidRPr="000349EF">
        <w:t>12 years was 91.2% against COVID-19 (</w:t>
      </w:r>
      <w:r w:rsidR="003216EF" w:rsidRPr="000349EF">
        <w:t xml:space="preserve">Study </w:t>
      </w:r>
      <w:r w:rsidRPr="000349EF">
        <w:t>P301 case definition; 95% CI: 74.2%, 98.0%; total 19 cases) with an incidence of 97/1000 person</w:t>
      </w:r>
      <w:r w:rsidR="003216EF" w:rsidRPr="000349EF">
        <w:noBreakHyphen/>
      </w:r>
      <w:r w:rsidRPr="000349EF">
        <w:t xml:space="preserve">years in the placebo group compared to an incidence of 8/1000 person-years in the vaccine group. Of note, this efficacy was observed at a time when the major circulating variant in the US and Canada was </w:t>
      </w:r>
      <w:r w:rsidR="00DD5DF4" w:rsidRPr="000349EF">
        <w:t xml:space="preserve">the </w:t>
      </w:r>
      <w:r w:rsidRPr="000349EF">
        <w:t>Delta</w:t>
      </w:r>
      <w:r w:rsidR="00DD5DF4" w:rsidRPr="000349EF">
        <w:t xml:space="preserve"> variant</w:t>
      </w:r>
      <w:r w:rsidRPr="000349EF">
        <w:t xml:space="preserve">. This clinical efficacy is, in part, associated with the observed magnitude of </w:t>
      </w:r>
      <w:proofErr w:type="spellStart"/>
      <w:r w:rsidRPr="000349EF">
        <w:t>nAb</w:t>
      </w:r>
      <w:proofErr w:type="spellEnd"/>
      <w:r w:rsidRPr="000349EF">
        <w:t xml:space="preserve"> responses that cross</w:t>
      </w:r>
      <w:r w:rsidR="00DD5DF4" w:rsidRPr="000349EF">
        <w:t xml:space="preserve"> </w:t>
      </w:r>
      <w:r w:rsidRPr="000349EF">
        <w:t>neutrali</w:t>
      </w:r>
      <w:r w:rsidR="009C0A92" w:rsidRPr="000349EF">
        <w:t>s</w:t>
      </w:r>
      <w:r w:rsidRPr="000349EF">
        <w:t xml:space="preserve">e a </w:t>
      </w:r>
      <w:proofErr w:type="spellStart"/>
      <w:r w:rsidRPr="000349EF">
        <w:t>pseudovirus</w:t>
      </w:r>
      <w:proofErr w:type="spellEnd"/>
      <w:r w:rsidRPr="000349EF">
        <w:t xml:space="preserve"> expressing the Delta </w:t>
      </w:r>
      <w:r w:rsidR="00DD5DF4" w:rsidRPr="000349EF">
        <w:t xml:space="preserve">variant </w:t>
      </w:r>
      <w:r w:rsidRPr="000349EF">
        <w:t>spike protein. Among children 6 to &lt;</w:t>
      </w:r>
      <w:r w:rsidR="00DD5DF4" w:rsidRPr="000349EF">
        <w:t xml:space="preserve"> </w:t>
      </w:r>
      <w:r w:rsidRPr="000349EF">
        <w:t xml:space="preserve">12 years in </w:t>
      </w:r>
      <w:r w:rsidR="004D05C3" w:rsidRPr="000349EF">
        <w:t xml:space="preserve">Study </w:t>
      </w:r>
      <w:r w:rsidRPr="000349EF">
        <w:t xml:space="preserve">P204, robust </w:t>
      </w:r>
      <w:proofErr w:type="spellStart"/>
      <w:r w:rsidRPr="000349EF">
        <w:t>nAb</w:t>
      </w:r>
      <w:proofErr w:type="spellEnd"/>
      <w:r w:rsidRPr="000349EF">
        <w:t xml:space="preserve"> GMFR against the Delta variant (81.77) and that measured against the original strain (209.466) were both evident.</w:t>
      </w:r>
    </w:p>
    <w:p w14:paraId="49A70524" w14:textId="0C633AF1" w:rsidR="00E6281E" w:rsidRPr="000349EF" w:rsidRDefault="00DD5DF4" w:rsidP="003D58D2">
      <w:bookmarkStart w:id="110" w:name="_Hlk94180825"/>
      <w:r w:rsidRPr="000349EF">
        <w:t>Th</w:t>
      </w:r>
      <w:r w:rsidR="00E6281E" w:rsidRPr="000349EF">
        <w:t>e</w:t>
      </w:r>
      <w:r w:rsidR="00B444BA" w:rsidRPr="000349EF">
        <w:t xml:space="preserve"> Delegate commented</w:t>
      </w:r>
      <w:r w:rsidR="000D60AF" w:rsidRPr="000349EF">
        <w:t xml:space="preserve"> the</w:t>
      </w:r>
      <w:r w:rsidR="00E6281E" w:rsidRPr="000349EF">
        <w:t xml:space="preserve"> </w:t>
      </w:r>
      <w:r w:rsidR="003D58D2" w:rsidRPr="000349EF">
        <w:t>efficacy analysis of 10 /11/2021 cut-off, includes case definitions for 1) CDC, 25 cases accrued, VE 88.0% (95% CI: 70.0%, 95.8%) and 2) P301, 19 cases accrued, VE 91.8% (95% CI: 74.2%, 98.0%).</w:t>
      </w:r>
    </w:p>
    <w:bookmarkEnd w:id="110"/>
    <w:p w14:paraId="277D073A" w14:textId="7553EE0B" w:rsidR="00E6281E" w:rsidRPr="000349EF" w:rsidRDefault="00E6281E" w:rsidP="00A04B72">
      <w:pPr>
        <w:pStyle w:val="Heading6"/>
        <w:rPr>
          <w:rFonts w:eastAsiaTheme="minorHAnsi"/>
          <w:szCs w:val="22"/>
          <w:lang w:val="en-US"/>
        </w:rPr>
      </w:pPr>
      <w:r w:rsidRPr="000349EF">
        <w:rPr>
          <w:rFonts w:eastAsiaTheme="minorHAnsi"/>
          <w:lang w:val="en-US"/>
        </w:rPr>
        <w:t xml:space="preserve">New preliminary data from both </w:t>
      </w:r>
      <w:r w:rsidR="00DD5DF4" w:rsidRPr="000349EF">
        <w:rPr>
          <w:rFonts w:eastAsiaTheme="minorHAnsi"/>
          <w:lang w:val="en-US"/>
        </w:rPr>
        <w:t xml:space="preserve">the </w:t>
      </w:r>
      <w:r w:rsidRPr="000349EF">
        <w:rPr>
          <w:rFonts w:eastAsiaTheme="minorHAnsi"/>
          <w:lang w:val="en-US"/>
        </w:rPr>
        <w:t>TEENCOVE</w:t>
      </w:r>
      <w:r w:rsidR="00DD5DF4" w:rsidRPr="000349EF">
        <w:rPr>
          <w:rFonts w:eastAsiaTheme="minorHAnsi"/>
          <w:lang w:val="en-US"/>
        </w:rPr>
        <w:t xml:space="preserve"> trial</w:t>
      </w:r>
      <w:r w:rsidRPr="000349EF">
        <w:rPr>
          <w:rFonts w:eastAsiaTheme="minorHAnsi"/>
          <w:lang w:val="en-US"/>
        </w:rPr>
        <w:t xml:space="preserve"> (</w:t>
      </w:r>
      <w:r w:rsidR="00DD5DF4" w:rsidRPr="000349EF">
        <w:rPr>
          <w:rFonts w:eastAsiaTheme="minorHAnsi"/>
          <w:lang w:val="en-US"/>
        </w:rPr>
        <w:t xml:space="preserve">Study </w:t>
      </w:r>
      <w:r w:rsidRPr="000349EF">
        <w:rPr>
          <w:rFonts w:eastAsiaTheme="minorHAnsi"/>
          <w:lang w:val="en-US"/>
        </w:rPr>
        <w:t xml:space="preserve">P203) and </w:t>
      </w:r>
      <w:r w:rsidR="00DD5DF4" w:rsidRPr="000349EF">
        <w:rPr>
          <w:rFonts w:eastAsiaTheme="minorHAnsi"/>
          <w:lang w:val="en-US"/>
        </w:rPr>
        <w:t xml:space="preserve">the </w:t>
      </w:r>
      <w:r w:rsidRPr="000349EF">
        <w:rPr>
          <w:rFonts w:eastAsiaTheme="minorHAnsi"/>
          <w:lang w:val="en-US"/>
        </w:rPr>
        <w:t xml:space="preserve">KIDCOVE </w:t>
      </w:r>
      <w:r w:rsidR="00DD5DF4" w:rsidRPr="000349EF">
        <w:rPr>
          <w:rFonts w:eastAsiaTheme="minorHAnsi"/>
          <w:lang w:val="en-US"/>
        </w:rPr>
        <w:t xml:space="preserve">trial </w:t>
      </w:r>
      <w:r w:rsidRPr="000349EF">
        <w:rPr>
          <w:rFonts w:eastAsiaTheme="minorHAnsi"/>
          <w:lang w:val="en-US"/>
        </w:rPr>
        <w:t>(</w:t>
      </w:r>
      <w:r w:rsidR="00DD5DF4" w:rsidRPr="000349EF">
        <w:rPr>
          <w:rFonts w:eastAsiaTheme="minorHAnsi"/>
          <w:lang w:val="en-US"/>
        </w:rPr>
        <w:t xml:space="preserve">Study </w:t>
      </w:r>
      <w:r w:rsidRPr="000349EF">
        <w:rPr>
          <w:rFonts w:eastAsiaTheme="minorHAnsi"/>
          <w:lang w:val="en-US"/>
        </w:rPr>
        <w:t xml:space="preserve">P204) clinical studies on </w:t>
      </w:r>
      <w:r w:rsidR="00DD5DF4" w:rsidRPr="000349EF">
        <w:rPr>
          <w:rFonts w:eastAsiaTheme="minorHAnsi"/>
          <w:lang w:val="en-US"/>
        </w:rPr>
        <w:t xml:space="preserve">the </w:t>
      </w:r>
      <w:r w:rsidRPr="000349EF">
        <w:rPr>
          <w:rFonts w:eastAsiaTheme="minorHAnsi"/>
          <w:lang w:val="en-US"/>
        </w:rPr>
        <w:t xml:space="preserve">Omicron </w:t>
      </w:r>
      <w:r w:rsidR="00DD5DF4" w:rsidRPr="000349EF">
        <w:rPr>
          <w:rFonts w:eastAsiaTheme="minorHAnsi"/>
          <w:lang w:val="en-US"/>
        </w:rPr>
        <w:t xml:space="preserve">variant </w:t>
      </w:r>
      <w:proofErr w:type="spellStart"/>
      <w:r w:rsidR="00DD5DF4" w:rsidRPr="000349EF">
        <w:rPr>
          <w:rFonts w:eastAsiaTheme="minorHAnsi"/>
          <w:lang w:val="en-US"/>
        </w:rPr>
        <w:t>neutralising</w:t>
      </w:r>
      <w:proofErr w:type="spellEnd"/>
      <w:r w:rsidRPr="000349EF">
        <w:rPr>
          <w:rFonts w:eastAsiaTheme="minorHAnsi"/>
          <w:lang w:val="en-US"/>
        </w:rPr>
        <w:t xml:space="preserve"> capacity of a two dose</w:t>
      </w:r>
      <w:r w:rsidR="00DD5DF4" w:rsidRPr="000349EF">
        <w:rPr>
          <w:rFonts w:eastAsiaTheme="minorHAnsi"/>
          <w:lang w:val="en-US"/>
        </w:rPr>
        <w:t xml:space="preserve"> </w:t>
      </w:r>
      <w:r w:rsidRPr="000349EF">
        <w:rPr>
          <w:rFonts w:eastAsiaTheme="minorHAnsi"/>
          <w:lang w:val="en-US"/>
        </w:rPr>
        <w:t>primary series in adolescent and children</w:t>
      </w:r>
    </w:p>
    <w:p w14:paraId="028B0B0C" w14:textId="75A810A6" w:rsidR="00E6281E" w:rsidRPr="000349EF" w:rsidRDefault="00E6281E" w:rsidP="00A04B72">
      <w:r w:rsidRPr="000349EF">
        <w:t xml:space="preserve">Adolescent and children volunteers received a primary vaccination series of two doses of mRNA-1273 at 100 </w:t>
      </w:r>
      <w:r w:rsidR="00DD5DF4" w:rsidRPr="000349EF">
        <w:t xml:space="preserve">µg </w:t>
      </w:r>
      <w:r w:rsidRPr="000349EF">
        <w:t>or 50 µg, respectively. Data is provided for a sub-sample (20</w:t>
      </w:r>
      <w:r w:rsidR="00DD5DF4" w:rsidRPr="000349EF">
        <w:t> </w:t>
      </w:r>
      <w:r w:rsidRPr="000349EF">
        <w:t xml:space="preserve">participants) that includes </w:t>
      </w:r>
      <w:proofErr w:type="spellStart"/>
      <w:r w:rsidR="00DD5DF4" w:rsidRPr="000349EF">
        <w:t>p</w:t>
      </w:r>
      <w:r w:rsidRPr="000349EF">
        <w:t>seudovirus</w:t>
      </w:r>
      <w:proofErr w:type="spellEnd"/>
      <w:r w:rsidRPr="000349EF">
        <w:t xml:space="preserve"> </w:t>
      </w:r>
      <w:r w:rsidR="009C0A92" w:rsidRPr="000349EF">
        <w:t>ID</w:t>
      </w:r>
      <w:r w:rsidR="009C0A92" w:rsidRPr="000349EF">
        <w:rPr>
          <w:vertAlign w:val="subscript"/>
        </w:rPr>
        <w:t>50</w:t>
      </w:r>
      <w:r w:rsidRPr="000349EF">
        <w:t xml:space="preserve"> neutrali</w:t>
      </w:r>
      <w:r w:rsidR="009C0A92" w:rsidRPr="000349EF">
        <w:t>s</w:t>
      </w:r>
      <w:r w:rsidRPr="000349EF">
        <w:t xml:space="preserve">ing </w:t>
      </w:r>
      <w:r w:rsidR="009C0A92" w:rsidRPr="000349EF">
        <w:t>titres</w:t>
      </w:r>
      <w:r w:rsidRPr="000349EF">
        <w:t xml:space="preserve"> against the archetype virus (</w:t>
      </w:r>
      <w:r w:rsidR="00236987" w:rsidRPr="000349EF">
        <w:t xml:space="preserve">the </w:t>
      </w:r>
      <w:r w:rsidRPr="000349EF">
        <w:t>D614G</w:t>
      </w:r>
      <w:r w:rsidR="00236987" w:rsidRPr="000349EF">
        <w:t xml:space="preserve"> strain</w:t>
      </w:r>
      <w:r w:rsidRPr="000349EF">
        <w:t xml:space="preserve">) that matches the mRNA-1273 antigen, and the Omicron </w:t>
      </w:r>
      <w:r w:rsidR="00C70419" w:rsidRPr="000349EF">
        <w:t>variants of concern</w:t>
      </w:r>
      <w:r w:rsidRPr="000349EF">
        <w:t xml:space="preserve">. This data was been generated in research-grade </w:t>
      </w:r>
      <w:proofErr w:type="spellStart"/>
      <w:r w:rsidR="00DD5DF4" w:rsidRPr="000349EF">
        <w:t>pseudovirus</w:t>
      </w:r>
      <w:proofErr w:type="spellEnd"/>
      <w:r w:rsidR="00DD5DF4" w:rsidRPr="000349EF">
        <w:t xml:space="preserve"> neutralisation assay</w:t>
      </w:r>
      <w:r w:rsidRPr="000349EF">
        <w:t>.</w:t>
      </w:r>
    </w:p>
    <w:p w14:paraId="2B339012" w14:textId="7B36F2B6" w:rsidR="00E6281E" w:rsidRPr="000349EF" w:rsidRDefault="00E6281E">
      <w:r w:rsidRPr="000349EF">
        <w:t>Recently released data indicate that a two</w:t>
      </w:r>
      <w:r w:rsidR="003167C2">
        <w:t>-</w:t>
      </w:r>
      <w:r w:rsidRPr="000349EF">
        <w:t xml:space="preserve">dose primary vaccination regimen of Spikevax elicits higher D614G and Omicron </w:t>
      </w:r>
      <w:r w:rsidR="00236987" w:rsidRPr="000349EF">
        <w:t xml:space="preserve">variant </w:t>
      </w:r>
      <w:r w:rsidRPr="000349EF">
        <w:t>neutrali</w:t>
      </w:r>
      <w:r w:rsidR="009C0A92" w:rsidRPr="000349EF">
        <w:t>s</w:t>
      </w:r>
      <w:r w:rsidRPr="000349EF">
        <w:t xml:space="preserve">ing </w:t>
      </w:r>
      <w:r w:rsidR="009C0A92" w:rsidRPr="000349EF">
        <w:t>titres</w:t>
      </w:r>
      <w:r w:rsidRPr="000349EF">
        <w:t xml:space="preserve"> in both adolescent (100</w:t>
      </w:r>
      <w:r w:rsidR="00DD5DF4" w:rsidRPr="000349EF">
        <w:t> </w:t>
      </w:r>
      <w:r w:rsidRPr="000349EF">
        <w:t>µg dose, 12 to 17</w:t>
      </w:r>
      <w:r w:rsidR="00DD5DF4" w:rsidRPr="000349EF">
        <w:t xml:space="preserve"> years old</w:t>
      </w:r>
      <w:r w:rsidRPr="000349EF">
        <w:t xml:space="preserve">) and children (50 µg dose, </w:t>
      </w:r>
      <w:r w:rsidR="00EC79E7" w:rsidRPr="000349EF">
        <w:t>6 to &lt; 12</w:t>
      </w:r>
      <w:r w:rsidR="00DD5DF4" w:rsidRPr="000349EF">
        <w:t xml:space="preserve"> years old</w:t>
      </w:r>
      <w:r w:rsidRPr="000349EF">
        <w:t>) than in adults (100</w:t>
      </w:r>
      <w:r w:rsidR="00DD5DF4" w:rsidRPr="000349EF">
        <w:t> </w:t>
      </w:r>
      <w:r w:rsidRPr="000349EF">
        <w:t>µg dose, ≥</w:t>
      </w:r>
      <w:r w:rsidR="00DD5DF4" w:rsidRPr="000349EF">
        <w:t> </w:t>
      </w:r>
      <w:r w:rsidRPr="000349EF">
        <w:t>18</w:t>
      </w:r>
      <w:r w:rsidR="00DD5DF4" w:rsidRPr="000349EF">
        <w:t xml:space="preserve"> years old</w:t>
      </w:r>
      <w:r w:rsidRPr="000349EF">
        <w:t>) (</w:t>
      </w:r>
      <w:r w:rsidR="009F2FCD" w:rsidRPr="000349EF">
        <w:fldChar w:fldCharType="begin"/>
      </w:r>
      <w:r w:rsidR="009F2FCD" w:rsidRPr="000349EF">
        <w:instrText xml:space="preserve"> REF _Ref95315861 \h </w:instrText>
      </w:r>
      <w:r w:rsidR="000349EF">
        <w:instrText xml:space="preserve"> \* MERGEFORMAT </w:instrText>
      </w:r>
      <w:r w:rsidR="009F2FCD" w:rsidRPr="000349EF">
        <w:fldChar w:fldCharType="separate"/>
      </w:r>
      <w:r w:rsidR="00235E4B" w:rsidRPr="000349EF">
        <w:t xml:space="preserve">Figure </w:t>
      </w:r>
      <w:r w:rsidR="00235E4B">
        <w:rPr>
          <w:noProof/>
        </w:rPr>
        <w:t>1</w:t>
      </w:r>
      <w:r w:rsidR="009F2FCD" w:rsidRPr="000349EF">
        <w:fldChar w:fldCharType="end"/>
      </w:r>
      <w:r w:rsidRPr="000349EF">
        <w:t>).</w:t>
      </w:r>
    </w:p>
    <w:p w14:paraId="742ACBAB" w14:textId="115AF057" w:rsidR="00E6281E" w:rsidRPr="000349EF" w:rsidRDefault="00E6281E">
      <w:r w:rsidRPr="000349EF">
        <w:t>All (100%) adolescents and children showed detectable neutrali</w:t>
      </w:r>
      <w:r w:rsidR="009C0A92" w:rsidRPr="000349EF">
        <w:t>s</w:t>
      </w:r>
      <w:r w:rsidRPr="000349EF">
        <w:t xml:space="preserve">ation </w:t>
      </w:r>
      <w:r w:rsidR="009C0A92" w:rsidRPr="000349EF">
        <w:t>titres</w:t>
      </w:r>
      <w:r w:rsidRPr="000349EF">
        <w:t xml:space="preserve"> v</w:t>
      </w:r>
      <w:r w:rsidR="007A1E86" w:rsidRPr="000349EF">
        <w:t>ersu</w:t>
      </w:r>
      <w:r w:rsidRPr="000349EF">
        <w:t xml:space="preserve">s </w:t>
      </w:r>
      <w:r w:rsidR="007A1E86" w:rsidRPr="000349EF">
        <w:t xml:space="preserve">the </w:t>
      </w:r>
      <w:r w:rsidRPr="000349EF">
        <w:t>Omicron</w:t>
      </w:r>
      <w:r w:rsidR="007A1E86" w:rsidRPr="000349EF">
        <w:t xml:space="preserve"> variant</w:t>
      </w:r>
      <w:r w:rsidRPr="000349EF">
        <w:t xml:space="preserve">. Compared to </w:t>
      </w:r>
      <w:r w:rsidR="007A1E86" w:rsidRPr="000349EF">
        <w:t>adult’s</w:t>
      </w:r>
      <w:r w:rsidRPr="000349EF">
        <w:t xml:space="preserve"> primary series, GMT </w:t>
      </w:r>
      <w:r w:rsidR="009C0A92" w:rsidRPr="000349EF">
        <w:t>titres</w:t>
      </w:r>
      <w:r w:rsidRPr="000349EF">
        <w:t xml:space="preserve"> in adolescents and children were 3.8 and 2.5-fold higher for the Omicron variant, respectively. The effectiveness and the durability of protection against the Omicron variant in adolescents and children remains to be determined.</w:t>
      </w:r>
    </w:p>
    <w:p w14:paraId="75AA6CDC" w14:textId="591CCF84" w:rsidR="00E6281E" w:rsidRPr="000349EF" w:rsidRDefault="007A1E86" w:rsidP="00B03B45">
      <w:pPr>
        <w:pStyle w:val="FigureTitle"/>
      </w:pPr>
      <w:bookmarkStart w:id="111" w:name="_Ref95315861"/>
      <w:r w:rsidRPr="000349EF">
        <w:t xml:space="preserve">Figure </w:t>
      </w:r>
      <w:r w:rsidR="00571D7C">
        <w:fldChar w:fldCharType="begin"/>
      </w:r>
      <w:r w:rsidR="00571D7C">
        <w:instrText xml:space="preserve"> SEQ Figure \* ARABIC </w:instrText>
      </w:r>
      <w:r w:rsidR="00571D7C">
        <w:fldChar w:fldCharType="separate"/>
      </w:r>
      <w:r w:rsidR="00235E4B">
        <w:rPr>
          <w:noProof/>
        </w:rPr>
        <w:t>1</w:t>
      </w:r>
      <w:r w:rsidR="00571D7C">
        <w:rPr>
          <w:noProof/>
        </w:rPr>
        <w:fldChar w:fldCharType="end"/>
      </w:r>
      <w:bookmarkEnd w:id="111"/>
      <w:r w:rsidRPr="000349EF">
        <w:t>:</w:t>
      </w:r>
      <w:r w:rsidR="00E6281E" w:rsidRPr="000349EF">
        <w:t xml:space="preserve"> </w:t>
      </w:r>
      <w:r w:rsidR="00A5478D" w:rsidRPr="000349EF">
        <w:t xml:space="preserve">Study P204 </w:t>
      </w:r>
      <w:r w:rsidR="00E6281E" w:rsidRPr="000349EF">
        <w:t>Neutrali</w:t>
      </w:r>
      <w:r w:rsidR="009C0A92" w:rsidRPr="000349EF">
        <w:t>s</w:t>
      </w:r>
      <w:r w:rsidR="00E6281E" w:rsidRPr="000349EF">
        <w:t xml:space="preserve">ation of D614G and Omicron </w:t>
      </w:r>
      <w:r w:rsidRPr="000349EF">
        <w:t xml:space="preserve">variants </w:t>
      </w:r>
      <w:r w:rsidR="00E6281E" w:rsidRPr="000349EF">
        <w:t xml:space="preserve">SARS-CoV-2 </w:t>
      </w:r>
      <w:proofErr w:type="spellStart"/>
      <w:r w:rsidRPr="000349EF">
        <w:t>p</w:t>
      </w:r>
      <w:r w:rsidR="00E6281E" w:rsidRPr="000349EF">
        <w:t>seudoviruses</w:t>
      </w:r>
      <w:proofErr w:type="spellEnd"/>
      <w:r w:rsidR="00E6281E" w:rsidRPr="000349EF">
        <w:t xml:space="preserve"> by </w:t>
      </w:r>
      <w:r w:rsidRPr="000349EF">
        <w:t>s</w:t>
      </w:r>
      <w:r w:rsidR="00E6281E" w:rsidRPr="000349EF">
        <w:t xml:space="preserve">era from mRNA-1273 </w:t>
      </w:r>
      <w:r w:rsidRPr="000349EF">
        <w:t>primary vaccination recipients</w:t>
      </w:r>
    </w:p>
    <w:p w14:paraId="261F3074" w14:textId="6D3D40C5" w:rsidR="00E6281E" w:rsidRPr="000349EF" w:rsidRDefault="00241B63" w:rsidP="00B03B45">
      <w:r w:rsidRPr="000349EF">
        <w:rPr>
          <w:noProof/>
          <w:lang w:val="en-GB" w:eastAsia="en-GB"/>
        </w:rPr>
        <w:drawing>
          <wp:inline distT="0" distB="0" distL="0" distR="0" wp14:anchorId="759CED1D" wp14:editId="4727BFD3">
            <wp:extent cx="5400040" cy="1478915"/>
            <wp:effectExtent l="0" t="0" r="0" b="6985"/>
            <wp:docPr id="12" name="Picture 12" descr="Figure 1: Study P204 Neutralisation of D614G and Omicron variants SARS-CoV-2 pseudoviruses by sera from mRNA-1273 primary vaccination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Study P204 Neutralisation of D614G and Omicron variants SARS-CoV-2 pseudoviruses by sera from mRNA-1273 primary vaccination recipients"/>
                    <pic:cNvPicPr/>
                  </pic:nvPicPr>
                  <pic:blipFill>
                    <a:blip r:embed="rId45"/>
                    <a:stretch>
                      <a:fillRect/>
                    </a:stretch>
                  </pic:blipFill>
                  <pic:spPr>
                    <a:xfrm>
                      <a:off x="0" y="0"/>
                      <a:ext cx="5400040" cy="1478915"/>
                    </a:xfrm>
                    <a:prstGeom prst="rect">
                      <a:avLst/>
                    </a:prstGeom>
                  </pic:spPr>
                </pic:pic>
              </a:graphicData>
            </a:graphic>
          </wp:inline>
        </w:drawing>
      </w:r>
    </w:p>
    <w:p w14:paraId="53AC42F4" w14:textId="4D46DBE6" w:rsidR="001C6EDC" w:rsidRPr="000349EF" w:rsidRDefault="001C6EDC" w:rsidP="00B03B45">
      <w:pPr>
        <w:pStyle w:val="FigureDescription"/>
      </w:pPr>
      <w:r w:rsidRPr="000349EF">
        <w:t>CI = confidence interval; D = Day; GMT = geometric mean titre; ID</w:t>
      </w:r>
      <w:r w:rsidRPr="000349EF">
        <w:rPr>
          <w:vertAlign w:val="subscript"/>
        </w:rPr>
        <w:t>50</w:t>
      </w:r>
      <w:r w:rsidRPr="000349EF">
        <w:t xml:space="preserve"> = 50% inhibitory dose; mRNA-1273 = </w:t>
      </w:r>
      <w:proofErr w:type="spellStart"/>
      <w:r w:rsidRPr="000349EF">
        <w:t>Spikevax</w:t>
      </w:r>
      <w:proofErr w:type="spellEnd"/>
      <w:r w:rsidRPr="000349EF">
        <w:t xml:space="preserve"> COVID-19 vaccine; </w:t>
      </w:r>
      <w:proofErr w:type="spellStart"/>
      <w:r w:rsidRPr="000349EF">
        <w:t>nAb</w:t>
      </w:r>
      <w:proofErr w:type="spellEnd"/>
      <w:r w:rsidRPr="000349EF">
        <w:t xml:space="preserve"> = neutralising antibody; SARS-CoV-2 = severe acute respiratory syndrome coronavirus 2.</w:t>
      </w:r>
    </w:p>
    <w:p w14:paraId="1592A7C9" w14:textId="1D013E01" w:rsidR="00E6281E" w:rsidRPr="000349EF" w:rsidRDefault="00E6281E" w:rsidP="001C6EDC">
      <w:pPr>
        <w:pStyle w:val="TableDescription"/>
      </w:pPr>
      <w:proofErr w:type="spellStart"/>
      <w:r w:rsidRPr="000349EF">
        <w:t>Pseudovirus</w:t>
      </w:r>
      <w:proofErr w:type="spellEnd"/>
      <w:r w:rsidRPr="000349EF">
        <w:t xml:space="preserve"> neutrali</w:t>
      </w:r>
      <w:r w:rsidR="009C0A92" w:rsidRPr="000349EF">
        <w:t>s</w:t>
      </w:r>
      <w:r w:rsidRPr="000349EF">
        <w:t>ing assay (</w:t>
      </w:r>
      <w:proofErr w:type="spellStart"/>
      <w:r w:rsidRPr="000349EF">
        <w:t>PsVNA</w:t>
      </w:r>
      <w:proofErr w:type="spellEnd"/>
      <w:r w:rsidRPr="000349EF">
        <w:t>) tit</w:t>
      </w:r>
      <w:r w:rsidR="009C0A92" w:rsidRPr="000349EF">
        <w:t>r</w:t>
      </w:r>
      <w:r w:rsidRPr="000349EF">
        <w:t xml:space="preserve">es against wildtype (D614G) and Omicron variant </w:t>
      </w:r>
      <w:proofErr w:type="spellStart"/>
      <w:r w:rsidRPr="000349EF">
        <w:t>pseudoviruses</w:t>
      </w:r>
      <w:proofErr w:type="spellEnd"/>
      <w:r w:rsidRPr="000349EF">
        <w:t xml:space="preserve"> in adults ≥18 years of age (Panel A), adolescents 12</w:t>
      </w:r>
      <w:r w:rsidR="001C6EDC" w:rsidRPr="000349EF">
        <w:t xml:space="preserve"> to </w:t>
      </w:r>
      <w:r w:rsidRPr="000349EF">
        <w:t>17 years of age (Panel B) and children 6</w:t>
      </w:r>
      <w:r w:rsidR="001C6EDC" w:rsidRPr="000349EF">
        <w:t xml:space="preserve"> to </w:t>
      </w:r>
      <w:r w:rsidRPr="000349EF">
        <w:t>≤</w:t>
      </w:r>
      <w:r w:rsidR="001C6EDC" w:rsidRPr="000349EF">
        <w:t xml:space="preserve"> </w:t>
      </w:r>
      <w:r w:rsidRPr="000349EF">
        <w:t xml:space="preserve">12 years (Panel C) who received a 2-dose primary regimen of mRNA-1273 in clinical </w:t>
      </w:r>
      <w:r w:rsidRPr="000349EF">
        <w:lastRenderedPageBreak/>
        <w:t>trials.</w:t>
      </w:r>
      <w:r w:rsidR="00FA4C17" w:rsidRPr="000349EF">
        <w:t xml:space="preserve"> </w:t>
      </w:r>
      <w:proofErr w:type="spellStart"/>
      <w:r w:rsidRPr="000349EF">
        <w:t>PsVNA</w:t>
      </w:r>
      <w:proofErr w:type="spellEnd"/>
      <w:r w:rsidRPr="000349EF">
        <w:t xml:space="preserve"> </w:t>
      </w:r>
      <w:r w:rsidR="009C0A92" w:rsidRPr="000349EF">
        <w:t xml:space="preserve">titres </w:t>
      </w:r>
      <w:r w:rsidRPr="000349EF">
        <w:t xml:space="preserve">against wildtype (D614G) and Omicron </w:t>
      </w:r>
      <w:proofErr w:type="spellStart"/>
      <w:r w:rsidRPr="000349EF">
        <w:t>pseudovirus</w:t>
      </w:r>
      <w:proofErr w:type="spellEnd"/>
      <w:r w:rsidRPr="000349EF">
        <w:t xml:space="preserve"> were measured prior to </w:t>
      </w:r>
      <w:r w:rsidR="00A5478D" w:rsidRPr="000349EF">
        <w:t>Dose</w:t>
      </w:r>
      <w:r w:rsidR="001C6EDC" w:rsidRPr="000349EF">
        <w:t> </w:t>
      </w:r>
      <w:r w:rsidR="00A5478D" w:rsidRPr="000349EF">
        <w:t>1</w:t>
      </w:r>
      <w:r w:rsidRPr="000349EF">
        <w:t xml:space="preserve"> at </w:t>
      </w:r>
      <w:r w:rsidR="001C6EDC" w:rsidRPr="000349EF">
        <w:t>D</w:t>
      </w:r>
      <w:r w:rsidRPr="000349EF">
        <w:t xml:space="preserve">ay 1 and 4 weeks after the </w:t>
      </w:r>
      <w:r w:rsidR="001C6EDC" w:rsidRPr="000349EF">
        <w:t>second</w:t>
      </w:r>
      <w:r w:rsidRPr="000349EF">
        <w:t xml:space="preserve"> dose (D</w:t>
      </w:r>
      <w:r w:rsidR="001C6EDC" w:rsidRPr="000349EF">
        <w:t>ay</w:t>
      </w:r>
      <w:r w:rsidRPr="000349EF">
        <w:t xml:space="preserve"> 57) of mRNA-1273. Included in each group were 20</w:t>
      </w:r>
      <w:r w:rsidR="001C6EDC" w:rsidRPr="000349EF">
        <w:t> </w:t>
      </w:r>
      <w:r w:rsidRPr="000349EF">
        <w:t>participants in clinical trials of adults (≥</w:t>
      </w:r>
      <w:r w:rsidR="001C6EDC" w:rsidRPr="000349EF">
        <w:t xml:space="preserve"> </w:t>
      </w:r>
      <w:r w:rsidRPr="000349EF">
        <w:t>18 years) and adolescents (12</w:t>
      </w:r>
      <w:r w:rsidR="001C6EDC" w:rsidRPr="000349EF">
        <w:t xml:space="preserve"> to </w:t>
      </w:r>
      <w:r w:rsidRPr="000349EF">
        <w:t>17 years) who received 100</w:t>
      </w:r>
      <w:r w:rsidR="001C6EDC" w:rsidRPr="000349EF">
        <w:t> </w:t>
      </w:r>
      <w:r w:rsidRPr="000349EF">
        <w:t>µg mRNA-1273 and children (6</w:t>
      </w:r>
      <w:r w:rsidR="001C6EDC" w:rsidRPr="000349EF">
        <w:t xml:space="preserve"> to </w:t>
      </w:r>
      <w:r w:rsidRPr="000349EF">
        <w:t>≤</w:t>
      </w:r>
      <w:r w:rsidR="001C6EDC" w:rsidRPr="000349EF">
        <w:t xml:space="preserve"> </w:t>
      </w:r>
      <w:r w:rsidRPr="000349EF">
        <w:t>12 years) who received 50 µg mRNA-1273. Neutrali</w:t>
      </w:r>
      <w:r w:rsidR="009C0A92" w:rsidRPr="000349EF">
        <w:t>s</w:t>
      </w:r>
      <w:r w:rsidRPr="000349EF">
        <w:t xml:space="preserve">ing antibody </w:t>
      </w:r>
      <w:r w:rsidR="009C0A92" w:rsidRPr="000349EF">
        <w:t>titre</w:t>
      </w:r>
      <w:r w:rsidRPr="000349EF">
        <w:t>s ID</w:t>
      </w:r>
      <w:r w:rsidRPr="000349EF">
        <w:rPr>
          <w:vertAlign w:val="subscript"/>
        </w:rPr>
        <w:t>50</w:t>
      </w:r>
      <w:r w:rsidRPr="000349EF">
        <w:t xml:space="preserve"> were assayed against </w:t>
      </w:r>
      <w:proofErr w:type="spellStart"/>
      <w:r w:rsidRPr="000349EF">
        <w:t>pseudoviruses</w:t>
      </w:r>
      <w:proofErr w:type="spellEnd"/>
      <w:r w:rsidRPr="000349EF">
        <w:t xml:space="preserve"> containing the spike protein of</w:t>
      </w:r>
      <w:r w:rsidR="009E5DEB" w:rsidRPr="000349EF">
        <w:t xml:space="preserve"> </w:t>
      </w:r>
      <w:r w:rsidRPr="000349EF">
        <w:t>D614G</w:t>
      </w:r>
      <w:r w:rsidR="009E5DEB" w:rsidRPr="000349EF">
        <w:t xml:space="preserve"> </w:t>
      </w:r>
      <w:r w:rsidRPr="000349EF">
        <w:t>and the</w:t>
      </w:r>
      <w:r w:rsidR="009E5DEB" w:rsidRPr="000349EF">
        <w:t xml:space="preserve"> </w:t>
      </w:r>
      <w:r w:rsidRPr="000349EF">
        <w:t xml:space="preserve">Omicron variant (supplementary methods). </w:t>
      </w:r>
      <w:bookmarkStart w:id="112" w:name="_Hlk92377884"/>
      <w:r w:rsidRPr="000349EF">
        <w:t>The assay lower limit of detection (LOD) was 10, indicated by the dotted line.</w:t>
      </w:r>
      <w:bookmarkEnd w:id="112"/>
      <w:r w:rsidRPr="000349EF">
        <w:t xml:space="preserve"> Values below the LOD are assigned a value of 5.</w:t>
      </w:r>
    </w:p>
    <w:p w14:paraId="363B9519" w14:textId="73E230CD" w:rsidR="00E6281E" w:rsidRPr="000349EF" w:rsidRDefault="002A43E4" w:rsidP="00A04B72">
      <w:r w:rsidRPr="000349EF">
        <w:t xml:space="preserve">The Delegate commented that the </w:t>
      </w:r>
      <w:r w:rsidR="00E6281E" w:rsidRPr="000349EF">
        <w:t>preliminary data</w:t>
      </w:r>
      <w:r w:rsidRPr="000349EF">
        <w:t xml:space="preserve"> are</w:t>
      </w:r>
      <w:r w:rsidR="00E6281E" w:rsidRPr="000349EF">
        <w:t xml:space="preserve"> from very limited number of (n</w:t>
      </w:r>
      <w:r w:rsidRPr="000349EF">
        <w:t> </w:t>
      </w:r>
      <w:r w:rsidR="00E6281E" w:rsidRPr="000349EF">
        <w:t>=</w:t>
      </w:r>
      <w:r w:rsidRPr="000349EF">
        <w:t> </w:t>
      </w:r>
      <w:r w:rsidR="00E6281E" w:rsidRPr="000349EF">
        <w:t>20) participants.</w:t>
      </w:r>
    </w:p>
    <w:p w14:paraId="23962426" w14:textId="149DCBC4" w:rsidR="00E6281E" w:rsidRPr="000349EF" w:rsidRDefault="00E6281E" w:rsidP="00A04B72">
      <w:pPr>
        <w:pStyle w:val="Heading6"/>
        <w:rPr>
          <w:rFonts w:eastAsiaTheme="minorHAnsi"/>
          <w:lang w:val="en-US"/>
        </w:rPr>
      </w:pPr>
      <w:r w:rsidRPr="000349EF">
        <w:rPr>
          <w:rFonts w:eastAsiaTheme="minorHAnsi"/>
          <w:lang w:val="en-US"/>
        </w:rPr>
        <w:t xml:space="preserve">Early data on antibody profiling including </w:t>
      </w:r>
      <w:r w:rsidR="00AD5E5D" w:rsidRPr="000349EF">
        <w:rPr>
          <w:rFonts w:eastAsiaTheme="minorHAnsi"/>
          <w:lang w:val="en-US"/>
        </w:rPr>
        <w:t>cell-mediated immunity</w:t>
      </w:r>
      <w:r w:rsidR="00236987" w:rsidRPr="000349EF">
        <w:rPr>
          <w:rFonts w:eastAsiaTheme="minorHAnsi"/>
          <w:lang w:val="en-US"/>
        </w:rPr>
        <w:t xml:space="preserve"> </w:t>
      </w:r>
      <w:r w:rsidRPr="000349EF">
        <w:rPr>
          <w:rFonts w:eastAsiaTheme="minorHAnsi"/>
          <w:lang w:val="en-US"/>
        </w:rPr>
        <w:t>exploratory assessment in children in</w:t>
      </w:r>
      <w:r w:rsidR="002A43E4" w:rsidRPr="000349EF">
        <w:rPr>
          <w:rFonts w:eastAsiaTheme="minorHAnsi"/>
          <w:lang w:val="en-US"/>
        </w:rPr>
        <w:t xml:space="preserve"> the</w:t>
      </w:r>
      <w:r w:rsidRPr="000349EF">
        <w:rPr>
          <w:rFonts w:eastAsiaTheme="minorHAnsi"/>
          <w:lang w:val="en-US"/>
        </w:rPr>
        <w:t xml:space="preserve"> KIDCOVE</w:t>
      </w:r>
      <w:r w:rsidR="002A43E4" w:rsidRPr="000349EF">
        <w:rPr>
          <w:rFonts w:eastAsiaTheme="minorHAnsi"/>
          <w:lang w:val="en-US"/>
        </w:rPr>
        <w:t xml:space="preserve"> trial</w:t>
      </w:r>
      <w:r w:rsidRPr="000349EF">
        <w:rPr>
          <w:rFonts w:eastAsiaTheme="minorHAnsi"/>
          <w:lang w:val="en-US"/>
        </w:rPr>
        <w:t xml:space="preserve"> (</w:t>
      </w:r>
      <w:r w:rsidR="002A43E4" w:rsidRPr="000349EF">
        <w:rPr>
          <w:rFonts w:eastAsiaTheme="minorHAnsi"/>
          <w:lang w:val="en-US"/>
        </w:rPr>
        <w:t xml:space="preserve">Study </w:t>
      </w:r>
      <w:r w:rsidRPr="000349EF">
        <w:rPr>
          <w:rFonts w:eastAsiaTheme="minorHAnsi"/>
          <w:lang w:val="en-US"/>
        </w:rPr>
        <w:t>P204).</w:t>
      </w:r>
    </w:p>
    <w:p w14:paraId="51F596F4" w14:textId="3854BBDB" w:rsidR="00E6281E" w:rsidRPr="000349EF" w:rsidRDefault="00E6281E">
      <w:r w:rsidRPr="000349EF">
        <w:t xml:space="preserve">In a separate study, comprehensive antibody profiling of mRNA vaccination in children from </w:t>
      </w:r>
      <w:r w:rsidR="002A43E4" w:rsidRPr="000349EF">
        <w:t xml:space="preserve">Study </w:t>
      </w:r>
      <w:r w:rsidRPr="000349EF">
        <w:t xml:space="preserve">P204, observed comparable SARS-CoV-2 </w:t>
      </w:r>
      <w:r w:rsidR="009C0A92" w:rsidRPr="000349EF">
        <w:t>titres</w:t>
      </w:r>
      <w:r w:rsidRPr="000349EF">
        <w:t xml:space="preserve"> and neutrali</w:t>
      </w:r>
      <w:r w:rsidR="009C0A92" w:rsidRPr="000349EF">
        <w:t>s</w:t>
      </w:r>
      <w:r w:rsidRPr="000349EF">
        <w:t xml:space="preserve">ing activity across variants of concern, higher </w:t>
      </w:r>
      <w:proofErr w:type="spellStart"/>
      <w:r w:rsidRPr="000349EF">
        <w:t>Fcγ</w:t>
      </w:r>
      <w:proofErr w:type="spellEnd"/>
      <w:r w:rsidRPr="000349EF">
        <w:t>-receptor binding and phagocytic antibodies in children compared to vaccinated adults. This data indicates that mRNA vaccination elicits robust antibody responses and drives antibody functionality in children.</w:t>
      </w:r>
      <w:r w:rsidR="002A43E4" w:rsidRPr="000349EF">
        <w:rPr>
          <w:rStyle w:val="FootnoteReference"/>
        </w:rPr>
        <w:footnoteReference w:id="41"/>
      </w:r>
    </w:p>
    <w:p w14:paraId="55ACDD9D" w14:textId="049ED009" w:rsidR="00E6281E" w:rsidRPr="000349EF" w:rsidRDefault="00E6281E">
      <w:r w:rsidRPr="000349EF">
        <w:t>In a further study, looking at the T</w:t>
      </w:r>
      <w:r w:rsidR="002A43E4" w:rsidRPr="000349EF">
        <w:t>-</w:t>
      </w:r>
      <w:r w:rsidRPr="000349EF">
        <w:t xml:space="preserve">cell responses to </w:t>
      </w:r>
      <w:r w:rsidR="002A43E4" w:rsidRPr="000349EF">
        <w:t xml:space="preserve">the </w:t>
      </w:r>
      <w:r w:rsidRPr="000349EF">
        <w:t xml:space="preserve">Omicron </w:t>
      </w:r>
      <w:r w:rsidR="002A43E4" w:rsidRPr="000349EF">
        <w:t xml:space="preserve">variant </w:t>
      </w:r>
      <w:r w:rsidRPr="000349EF">
        <w:t xml:space="preserve">comparing </w:t>
      </w:r>
      <w:r w:rsidR="00AD5E5D" w:rsidRPr="000349EF">
        <w:t xml:space="preserve">cell-mediated immune </w:t>
      </w:r>
      <w:r w:rsidRPr="000349EF">
        <w:t xml:space="preserve">responses between mRNA vaccines against </w:t>
      </w:r>
      <w:r w:rsidR="002A43E4" w:rsidRPr="000349EF">
        <w:t xml:space="preserve">the </w:t>
      </w:r>
      <w:r w:rsidRPr="000349EF">
        <w:t>Omicron</w:t>
      </w:r>
      <w:r w:rsidR="002A43E4" w:rsidRPr="000349EF">
        <w:t xml:space="preserve"> variant</w:t>
      </w:r>
      <w:r w:rsidRPr="000349EF">
        <w:t xml:space="preserve">, higher </w:t>
      </w:r>
      <w:r w:rsidR="006C7349" w:rsidRPr="000349EF">
        <w:t>interleukin 2 (</w:t>
      </w:r>
      <w:r w:rsidRPr="000349EF">
        <w:t>IL</w:t>
      </w:r>
      <w:r w:rsidR="006C7349" w:rsidRPr="000349EF">
        <w:noBreakHyphen/>
      </w:r>
      <w:r w:rsidRPr="000349EF">
        <w:t>2</w:t>
      </w:r>
      <w:r w:rsidR="006C7349" w:rsidRPr="000349EF">
        <w:t>) plus spot-forming units (</w:t>
      </w:r>
      <w:r w:rsidRPr="000349EF">
        <w:t>SFU</w:t>
      </w:r>
      <w:r w:rsidR="006C7349" w:rsidRPr="000349EF">
        <w:t>)</w:t>
      </w:r>
      <w:r w:rsidRPr="000349EF">
        <w:t xml:space="preserve"> were detected in vaccinees who received Spike</w:t>
      </w:r>
      <w:r w:rsidR="002A43E4" w:rsidRPr="000349EF">
        <w:t>v</w:t>
      </w:r>
      <w:r w:rsidRPr="000349EF">
        <w:t>ax as compared to Comirnaty vaccinated individuals.</w:t>
      </w:r>
      <w:r w:rsidR="002A43E4" w:rsidRPr="000349EF">
        <w:rPr>
          <w:rStyle w:val="FootnoteReference"/>
        </w:rPr>
        <w:footnoteReference w:id="42"/>
      </w:r>
    </w:p>
    <w:p w14:paraId="63BEBB1B" w14:textId="5B9F94BA" w:rsidR="00E6281E" w:rsidRPr="000349EF" w:rsidRDefault="002A43E4">
      <w:r w:rsidRPr="000349EF">
        <w:t xml:space="preserve">The Delegate commented that </w:t>
      </w:r>
      <w:r w:rsidR="00E6281E" w:rsidRPr="000349EF">
        <w:t>the two articles have not been formally peer-reviewed.</w:t>
      </w:r>
    </w:p>
    <w:p w14:paraId="271CEA4E" w14:textId="2B1BCA49" w:rsidR="00E6281E" w:rsidRPr="000349EF" w:rsidRDefault="00E6281E" w:rsidP="00A04B72">
      <w:pPr>
        <w:pStyle w:val="Heading5"/>
      </w:pPr>
      <w:bookmarkStart w:id="113" w:name="_Toc93934150"/>
      <w:bookmarkStart w:id="114" w:name="_Toc94269136"/>
      <w:r w:rsidRPr="000349EF">
        <w:t xml:space="preserve">Delegate’s </w:t>
      </w:r>
      <w:r w:rsidR="002A43E4" w:rsidRPr="000349EF">
        <w:t>d</w:t>
      </w:r>
      <w:r w:rsidRPr="000349EF">
        <w:t>iscussion</w:t>
      </w:r>
      <w:bookmarkEnd w:id="113"/>
      <w:bookmarkEnd w:id="114"/>
    </w:p>
    <w:p w14:paraId="1B55709B" w14:textId="14198AE6" w:rsidR="00E6281E" w:rsidRPr="000349EF" w:rsidRDefault="00481CCF" w:rsidP="00A04B72">
      <w:pPr>
        <w:pStyle w:val="Heading6"/>
      </w:pPr>
      <w:bookmarkStart w:id="115" w:name="_Toc93934151"/>
      <w:bookmarkStart w:id="116" w:name="_Toc94269137"/>
      <w:r w:rsidRPr="000349EF">
        <w:t>I</w:t>
      </w:r>
      <w:r w:rsidR="00E6281E" w:rsidRPr="000349EF">
        <w:t xml:space="preserve">mmunogenicity of </w:t>
      </w:r>
      <w:proofErr w:type="spellStart"/>
      <w:r w:rsidR="00E6281E" w:rsidRPr="000349EF">
        <w:t>Spikevax</w:t>
      </w:r>
      <w:proofErr w:type="spellEnd"/>
      <w:r w:rsidR="00E6281E" w:rsidRPr="000349EF">
        <w:t xml:space="preserve"> 25 </w:t>
      </w:r>
      <w:proofErr w:type="spellStart"/>
      <w:r w:rsidR="00E6281E" w:rsidRPr="000349EF">
        <w:t>μg</w:t>
      </w:r>
      <w:proofErr w:type="spellEnd"/>
      <w:r w:rsidR="00E6281E" w:rsidRPr="000349EF">
        <w:t xml:space="preserve"> and 50 </w:t>
      </w:r>
      <w:proofErr w:type="spellStart"/>
      <w:r w:rsidR="00E6281E" w:rsidRPr="000349EF">
        <w:t>μg</w:t>
      </w:r>
      <w:bookmarkEnd w:id="115"/>
      <w:bookmarkEnd w:id="116"/>
      <w:proofErr w:type="spellEnd"/>
    </w:p>
    <w:p w14:paraId="37CD9B9D" w14:textId="61CF2BC6" w:rsidR="00E6281E" w:rsidRPr="000349EF" w:rsidRDefault="00E6281E">
      <w:r w:rsidRPr="000349EF">
        <w:t>As discussed at the ACV meeting on 22 December 2021, the ACV was uncertain whether the selected 50 </w:t>
      </w:r>
      <w:proofErr w:type="spellStart"/>
      <w:r w:rsidRPr="000349EF">
        <w:t>μg</w:t>
      </w:r>
      <w:proofErr w:type="spellEnd"/>
      <w:r w:rsidRPr="000349EF">
        <w:t xml:space="preserve"> dose is the most appropriate for individuals 6 to &lt;</w:t>
      </w:r>
      <w:r w:rsidR="002A43E4" w:rsidRPr="000349EF">
        <w:t xml:space="preserve"> </w:t>
      </w:r>
      <w:r w:rsidRPr="000349EF">
        <w:t xml:space="preserve">12 years of age. </w:t>
      </w:r>
      <w:r w:rsidR="004012F7" w:rsidRPr="000349EF">
        <w:t xml:space="preserve">As the GMRs following 50 </w:t>
      </w:r>
      <w:proofErr w:type="spellStart"/>
      <w:r w:rsidR="004012F7" w:rsidRPr="000349EF">
        <w:t>μg</w:t>
      </w:r>
      <w:proofErr w:type="spellEnd"/>
      <w:r w:rsidR="004012F7" w:rsidRPr="000349EF">
        <w:t xml:space="preserve"> primary doses are increased compared to young adults following 100 µg primary doses by approximately 1.2-fold indicating that dose may be </w:t>
      </w:r>
      <w:proofErr w:type="gramStart"/>
      <w:r w:rsidR="004012F7" w:rsidRPr="000349EF">
        <w:t>in excess of</w:t>
      </w:r>
      <w:proofErr w:type="gramEnd"/>
      <w:r w:rsidR="004012F7" w:rsidRPr="000349EF">
        <w:t xml:space="preserve"> that needed to achieve comparable high protection in young adults.</w:t>
      </w:r>
    </w:p>
    <w:p w14:paraId="65D79D71" w14:textId="32F25F8A" w:rsidR="00E6281E" w:rsidRPr="000349EF" w:rsidRDefault="00E6281E" w:rsidP="00A04B72">
      <w:r w:rsidRPr="000349EF">
        <w:t xml:space="preserve">Further data for the </w:t>
      </w:r>
      <w:r w:rsidR="00EC79E7" w:rsidRPr="000349EF">
        <w:t>2 to &lt; 6</w:t>
      </w:r>
      <w:r w:rsidRPr="000349EF">
        <w:t xml:space="preserve"> years</w:t>
      </w:r>
      <w:r w:rsidR="00481CCF" w:rsidRPr="000349EF">
        <w:t xml:space="preserve"> of age</w:t>
      </w:r>
      <w:r w:rsidRPr="000349EF">
        <w:t xml:space="preserve"> population showed that the 50 </w:t>
      </w:r>
      <w:proofErr w:type="spellStart"/>
      <w:r w:rsidRPr="000349EF">
        <w:t>μg</w:t>
      </w:r>
      <w:proofErr w:type="spellEnd"/>
      <w:r w:rsidRPr="000349EF">
        <w:t xml:space="preserve"> dose induced GMR of 1.419 (1.130, 1.783) and the 25 </w:t>
      </w:r>
      <w:proofErr w:type="spellStart"/>
      <w:r w:rsidRPr="000349EF">
        <w:t>μg</w:t>
      </w:r>
      <w:proofErr w:type="spellEnd"/>
      <w:r w:rsidRPr="000349EF">
        <w:t xml:space="preserve"> dose induced GMR of 0.779 (0.633, 0.959) when compared to the neutralising antibodies in young adults (Study </w:t>
      </w:r>
      <w:r w:rsidR="002A43E4" w:rsidRPr="000349EF">
        <w:t>P</w:t>
      </w:r>
      <w:r w:rsidRPr="000349EF">
        <w:t xml:space="preserve">301). The 50 </w:t>
      </w:r>
      <w:proofErr w:type="spellStart"/>
      <w:r w:rsidRPr="000349EF">
        <w:t>μg</w:t>
      </w:r>
      <w:proofErr w:type="spellEnd"/>
      <w:r w:rsidRPr="000349EF">
        <w:t xml:space="preserve"> dose was associated with higher rate of reactogenicity. The 25 </w:t>
      </w:r>
      <w:proofErr w:type="spellStart"/>
      <w:r w:rsidRPr="000349EF">
        <w:t>μg</w:t>
      </w:r>
      <w:proofErr w:type="spellEnd"/>
      <w:r w:rsidRPr="000349EF">
        <w:t xml:space="preserve"> dose is therefore to be advanced for further assessment in </w:t>
      </w:r>
      <w:r w:rsidR="002A43E4" w:rsidRPr="000349EF">
        <w:t>P</w:t>
      </w:r>
      <w:r w:rsidRPr="000349EF">
        <w:t xml:space="preserve">art 2 of Study </w:t>
      </w:r>
      <w:r w:rsidR="009C0A92" w:rsidRPr="000349EF">
        <w:t>P</w:t>
      </w:r>
      <w:r w:rsidRPr="000349EF">
        <w:t xml:space="preserve">204 for the </w:t>
      </w:r>
      <w:r w:rsidR="00EC79E7" w:rsidRPr="000349EF">
        <w:t>2 to &lt; 6</w:t>
      </w:r>
      <w:r w:rsidRPr="000349EF">
        <w:t xml:space="preserve"> years </w:t>
      </w:r>
      <w:r w:rsidR="00481CCF" w:rsidRPr="000349EF">
        <w:t>of age population</w:t>
      </w:r>
      <w:r w:rsidRPr="000349EF">
        <w:t>.</w:t>
      </w:r>
    </w:p>
    <w:p w14:paraId="1BBFD5DD" w14:textId="065DD6D7" w:rsidR="00E6281E" w:rsidRPr="000349EF" w:rsidRDefault="00E6281E">
      <w:r w:rsidRPr="000349EF">
        <w:t>Even with the available dose selection information for</w:t>
      </w:r>
      <w:r w:rsidR="00E27C30" w:rsidRPr="000349EF">
        <w:t xml:space="preserve"> </w:t>
      </w:r>
      <w:r w:rsidRPr="000349EF">
        <w:t>2</w:t>
      </w:r>
      <w:r w:rsidR="002A43E4" w:rsidRPr="000349EF">
        <w:t xml:space="preserve"> to </w:t>
      </w:r>
      <w:r w:rsidRPr="000349EF">
        <w:t xml:space="preserve">5 year </w:t>
      </w:r>
      <w:proofErr w:type="spellStart"/>
      <w:r w:rsidRPr="000349EF">
        <w:t>old</w:t>
      </w:r>
      <w:r w:rsidR="00481CCF" w:rsidRPr="000349EF">
        <w:t>s</w:t>
      </w:r>
      <w:proofErr w:type="spellEnd"/>
      <w:r w:rsidRPr="000349EF">
        <w:t xml:space="preserve">, it remains difficult to estimate the most appropriate dose for </w:t>
      </w:r>
      <w:r w:rsidR="00481CCF" w:rsidRPr="000349EF">
        <w:t xml:space="preserve">those aged </w:t>
      </w:r>
      <w:r w:rsidRPr="000349EF">
        <w:t xml:space="preserve">6 to &lt; 12 years old without a trial to assess this dose. In view of the GMR of 0.779 (0.633, 0.959) achieved with the 25 </w:t>
      </w:r>
      <w:proofErr w:type="spellStart"/>
      <w:r w:rsidRPr="000349EF">
        <w:t>μg</w:t>
      </w:r>
      <w:proofErr w:type="spellEnd"/>
      <w:r w:rsidRPr="000349EF">
        <w:t xml:space="preserve"> dose in the </w:t>
      </w:r>
      <w:r w:rsidR="00EC79E7" w:rsidRPr="000349EF">
        <w:t>2 to &lt; 6</w:t>
      </w:r>
      <w:r w:rsidRPr="000349EF">
        <w:t xml:space="preserve"> years old</w:t>
      </w:r>
      <w:r w:rsidR="00481CCF" w:rsidRPr="000349EF">
        <w:t xml:space="preserve"> population</w:t>
      </w:r>
      <w:r w:rsidRPr="000349EF">
        <w:t>, it is uncertain whether the 25</w:t>
      </w:r>
      <w:r w:rsidR="00F53E66" w:rsidRPr="000349EF">
        <w:t xml:space="preserve"> µg</w:t>
      </w:r>
      <w:r w:rsidRPr="000349EF">
        <w:t xml:space="preserve"> dose, if given to the 6 to &lt; 12 years old, can achieve non-inferior immune response compare to young adults.</w:t>
      </w:r>
    </w:p>
    <w:p w14:paraId="297C42A6" w14:textId="74FE251F" w:rsidR="00E6281E" w:rsidRPr="000349EF" w:rsidRDefault="00C70419">
      <w:r w:rsidRPr="000349EF">
        <w:t>The sponsor</w:t>
      </w:r>
      <w:r w:rsidR="00E6281E" w:rsidRPr="000349EF">
        <w:t xml:space="preserve"> has a plan to assess </w:t>
      </w:r>
      <w:r w:rsidR="006C7349" w:rsidRPr="000349EF">
        <w:t xml:space="preserve">the </w:t>
      </w:r>
      <w:r w:rsidR="00E6281E" w:rsidRPr="000349EF">
        <w:t>25</w:t>
      </w:r>
      <w:r w:rsidR="002A43E4" w:rsidRPr="000349EF">
        <w:t xml:space="preserve"> µ</w:t>
      </w:r>
      <w:r w:rsidR="00E6281E" w:rsidRPr="000349EF">
        <w:t xml:space="preserve">g </w:t>
      </w:r>
      <w:r w:rsidR="006C7349" w:rsidRPr="000349EF">
        <w:t xml:space="preserve">dose </w:t>
      </w:r>
      <w:r w:rsidR="00E6281E" w:rsidRPr="000349EF">
        <w:t>for the 6 to &lt; 12 age group, but the results is not expected until the second half of 2022.</w:t>
      </w:r>
    </w:p>
    <w:p w14:paraId="1F159919" w14:textId="09CD3D89" w:rsidR="00E6281E" w:rsidRPr="000349EF" w:rsidRDefault="00E6281E" w:rsidP="00A04B72">
      <w:r w:rsidRPr="000349EF">
        <w:t xml:space="preserve">The higher level of antibody induced by 50 </w:t>
      </w:r>
      <w:proofErr w:type="spellStart"/>
      <w:r w:rsidRPr="000349EF">
        <w:t>μg</w:t>
      </w:r>
      <w:proofErr w:type="spellEnd"/>
      <w:r w:rsidRPr="000349EF">
        <w:t xml:space="preserve"> dose in the 6 to &lt; 12 years old would be considered advantageous form COVID-19 prevention point of view, so the questions relating to the higher rates of reactogenicity are</w:t>
      </w:r>
      <w:r w:rsidR="006C7349" w:rsidRPr="000349EF">
        <w:t xml:space="preserve"> as follows</w:t>
      </w:r>
      <w:r w:rsidRPr="000349EF">
        <w:t>:</w:t>
      </w:r>
    </w:p>
    <w:p w14:paraId="632DFC65" w14:textId="1FD5EE74" w:rsidR="00E6281E" w:rsidRPr="000349EF" w:rsidRDefault="00E6281E" w:rsidP="00A04B72">
      <w:pPr>
        <w:pStyle w:val="ListBullet"/>
      </w:pPr>
      <w:r w:rsidRPr="000349EF">
        <w:lastRenderedPageBreak/>
        <w:t xml:space="preserve"> </w:t>
      </w:r>
      <w:r w:rsidR="006C7349" w:rsidRPr="000349EF">
        <w:t>A</w:t>
      </w:r>
      <w:r w:rsidRPr="000349EF">
        <w:t xml:space="preserve">re the higher rates of reactogenicity associated with the 50 </w:t>
      </w:r>
      <w:proofErr w:type="spellStart"/>
      <w:r w:rsidRPr="000349EF">
        <w:t>μg</w:t>
      </w:r>
      <w:proofErr w:type="spellEnd"/>
      <w:r w:rsidRPr="000349EF">
        <w:t xml:space="preserve"> dose in the 6 to &lt;</w:t>
      </w:r>
      <w:r w:rsidR="002A43E4" w:rsidRPr="000349EF">
        <w:t> </w:t>
      </w:r>
      <w:r w:rsidRPr="000349EF">
        <w:t>12</w:t>
      </w:r>
      <w:r w:rsidR="002A43E4" w:rsidRPr="000349EF">
        <w:t> </w:t>
      </w:r>
      <w:r w:rsidRPr="000349EF">
        <w:t>years old considered unacceptable and preclude provisional registration?</w:t>
      </w:r>
    </w:p>
    <w:p w14:paraId="76388F1F" w14:textId="729267E1" w:rsidR="00E6281E" w:rsidRPr="000349EF" w:rsidRDefault="006C7349" w:rsidP="00A04B72">
      <w:pPr>
        <w:pStyle w:val="ListBullet"/>
      </w:pPr>
      <w:r w:rsidRPr="000349EF">
        <w:t>D</w:t>
      </w:r>
      <w:r w:rsidR="00E6281E" w:rsidRPr="000349EF">
        <w:t>oes the risk of the higher rate of reactogenicity outweigh the potential benefit of better protection associated with the higher immunogenicity?</w:t>
      </w:r>
    </w:p>
    <w:p w14:paraId="5A4B77EA" w14:textId="7E428E6D" w:rsidR="00E6281E" w:rsidRPr="000349EF" w:rsidRDefault="002A43E4" w:rsidP="00A04B72">
      <w:pPr>
        <w:pStyle w:val="Heading7"/>
        <w:rPr>
          <w:szCs w:val="28"/>
        </w:rPr>
      </w:pPr>
      <w:r w:rsidRPr="000349EF">
        <w:rPr>
          <w:sz w:val="22"/>
          <w:szCs w:val="28"/>
        </w:rPr>
        <w:t>Reactogenicity</w:t>
      </w:r>
      <w:r w:rsidR="00E6281E" w:rsidRPr="000349EF">
        <w:rPr>
          <w:sz w:val="22"/>
          <w:szCs w:val="28"/>
        </w:rPr>
        <w:t xml:space="preserve"> of Spikevax in adults, </w:t>
      </w:r>
      <w:proofErr w:type="gramStart"/>
      <w:r w:rsidR="00E6281E" w:rsidRPr="000349EF">
        <w:rPr>
          <w:sz w:val="22"/>
          <w:szCs w:val="28"/>
        </w:rPr>
        <w:t>adolescents</w:t>
      </w:r>
      <w:proofErr w:type="gramEnd"/>
      <w:r w:rsidR="00E6281E" w:rsidRPr="000349EF">
        <w:rPr>
          <w:sz w:val="22"/>
          <w:szCs w:val="28"/>
        </w:rPr>
        <w:t xml:space="preserve"> and children</w:t>
      </w:r>
    </w:p>
    <w:p w14:paraId="006C44FA" w14:textId="3D303C19" w:rsidR="00E6281E" w:rsidRPr="000349EF" w:rsidRDefault="00E6281E" w:rsidP="00A04B72">
      <w:r w:rsidRPr="000349EF">
        <w:t xml:space="preserve">The comparison is made by the </w:t>
      </w:r>
      <w:r w:rsidR="00806936">
        <w:t>D</w:t>
      </w:r>
      <w:r w:rsidRPr="000349EF">
        <w:t>elegate for the rate of solicited AEs (reactogenicity following the second dose of Spikevax) between adults, adolescent, and children (6 to &lt;</w:t>
      </w:r>
      <w:r w:rsidR="002A43E4" w:rsidRPr="000349EF">
        <w:t> </w:t>
      </w:r>
      <w:r w:rsidRPr="000349EF">
        <w:t>12</w:t>
      </w:r>
      <w:r w:rsidR="002A43E4" w:rsidRPr="000349EF">
        <w:t> years old</w:t>
      </w:r>
      <w:r w:rsidRPr="000349EF">
        <w:t xml:space="preserve">) (see </w:t>
      </w:r>
      <w:r w:rsidR="002A43E4" w:rsidRPr="000349EF">
        <w:fldChar w:fldCharType="begin"/>
      </w:r>
      <w:r w:rsidR="002A43E4" w:rsidRPr="000349EF">
        <w:instrText xml:space="preserve"> REF _Ref94713173 \h </w:instrText>
      </w:r>
      <w:r w:rsidR="000349EF">
        <w:instrText xml:space="preserve"> \* MERGEFORMAT </w:instrText>
      </w:r>
      <w:r w:rsidR="002A43E4" w:rsidRPr="000349EF">
        <w:fldChar w:fldCharType="separate"/>
      </w:r>
      <w:r w:rsidR="00235E4B" w:rsidRPr="000349EF">
        <w:t xml:space="preserve">Table </w:t>
      </w:r>
      <w:r w:rsidR="00235E4B">
        <w:rPr>
          <w:noProof/>
        </w:rPr>
        <w:t>27</w:t>
      </w:r>
      <w:r w:rsidR="002A43E4" w:rsidRPr="000349EF">
        <w:fldChar w:fldCharType="end"/>
      </w:r>
      <w:r w:rsidR="008276DF" w:rsidRPr="000349EF">
        <w:t xml:space="preserve"> below</w:t>
      </w:r>
      <w:r w:rsidRPr="000349EF">
        <w:t>).</w:t>
      </w:r>
    </w:p>
    <w:p w14:paraId="6F8626FA" w14:textId="3CB60C02" w:rsidR="00E6281E" w:rsidRPr="000349EF" w:rsidRDefault="00E6281E" w:rsidP="00A04B72">
      <w:r w:rsidRPr="000349EF">
        <w:t>It appears that the rates of most solicited AEs in children 6 to &lt; 12</w:t>
      </w:r>
      <w:r w:rsidR="008276DF" w:rsidRPr="000349EF">
        <w:t xml:space="preserve"> </w:t>
      </w:r>
      <w:r w:rsidR="00E4017F" w:rsidRPr="000349EF">
        <w:t xml:space="preserve">years of </w:t>
      </w:r>
      <w:r w:rsidRPr="000349EF">
        <w:t xml:space="preserve">age group (Study P204) are lower than the rates in adolescents (Study P203), </w:t>
      </w:r>
      <w:proofErr w:type="gramStart"/>
      <w:r w:rsidRPr="000349EF">
        <w:t>with the exception of</w:t>
      </w:r>
      <w:proofErr w:type="gramEnd"/>
      <w:r w:rsidRPr="000349EF">
        <w:t xml:space="preserve"> fever rate which was higher in children 6 to &lt; 12 years </w:t>
      </w:r>
      <w:r w:rsidR="00E4017F" w:rsidRPr="000349EF">
        <w:t>of age</w:t>
      </w:r>
      <w:r w:rsidRPr="000349EF">
        <w:t>.</w:t>
      </w:r>
    </w:p>
    <w:p w14:paraId="6B1BEF34" w14:textId="571D577F" w:rsidR="00E6281E" w:rsidRPr="000349EF" w:rsidRDefault="00E6281E" w:rsidP="00A04B72">
      <w:r w:rsidRPr="000349EF">
        <w:t xml:space="preserve">The rates of most solicited AEs appear to be lower in adults (&gt; 18 </w:t>
      </w:r>
      <w:r w:rsidR="00EC79E7" w:rsidRPr="000349EF">
        <w:t>years of age</w:t>
      </w:r>
      <w:r w:rsidRPr="000349EF">
        <w:t>, Study</w:t>
      </w:r>
      <w:r w:rsidR="002A43E4" w:rsidRPr="000349EF">
        <w:t> </w:t>
      </w:r>
      <w:r w:rsidRPr="000349EF">
        <w:t xml:space="preserve">P301) when compared to adolescents (12 to 17 </w:t>
      </w:r>
      <w:r w:rsidR="00EC79E7" w:rsidRPr="000349EF">
        <w:t>years of age</w:t>
      </w:r>
      <w:r w:rsidRPr="000349EF">
        <w:t xml:space="preserve">, Study </w:t>
      </w:r>
      <w:r w:rsidR="002A43E4" w:rsidRPr="000349EF">
        <w:t>P</w:t>
      </w:r>
      <w:r w:rsidRPr="000349EF">
        <w:t xml:space="preserve">203) and children (6 to &lt; 12 </w:t>
      </w:r>
      <w:r w:rsidR="00EC79E7" w:rsidRPr="000349EF">
        <w:t>years of age</w:t>
      </w:r>
      <w:r w:rsidRPr="000349EF">
        <w:t>, Study P204).</w:t>
      </w:r>
    </w:p>
    <w:p w14:paraId="547A9267" w14:textId="1ACD7CA7" w:rsidR="00E6281E" w:rsidRPr="000349EF" w:rsidRDefault="002A43E4" w:rsidP="002A43E4">
      <w:pPr>
        <w:pStyle w:val="TableTitle"/>
      </w:pPr>
      <w:bookmarkStart w:id="117" w:name="_Ref94713173"/>
      <w:r w:rsidRPr="000349EF">
        <w:t xml:space="preserve">Table </w:t>
      </w:r>
      <w:r w:rsidR="00571D7C">
        <w:fldChar w:fldCharType="begin"/>
      </w:r>
      <w:r w:rsidR="00571D7C">
        <w:instrText xml:space="preserve"> SEQ Table \* ARABIC </w:instrText>
      </w:r>
      <w:r w:rsidR="00571D7C">
        <w:fldChar w:fldCharType="separate"/>
      </w:r>
      <w:r w:rsidR="00235E4B">
        <w:rPr>
          <w:noProof/>
        </w:rPr>
        <w:t>27</w:t>
      </w:r>
      <w:r w:rsidR="00571D7C">
        <w:rPr>
          <w:noProof/>
        </w:rPr>
        <w:fldChar w:fldCharType="end"/>
      </w:r>
      <w:bookmarkEnd w:id="117"/>
      <w:r w:rsidR="00E6281E" w:rsidRPr="000349EF">
        <w:t xml:space="preserve">: </w:t>
      </w:r>
      <w:r w:rsidRPr="000349EF">
        <w:t xml:space="preserve">Study P301, Study P203 and Study P204 </w:t>
      </w:r>
      <w:r w:rsidR="00E6281E" w:rsidRPr="000349EF">
        <w:t xml:space="preserve">Rate of solicited reactions for Spikevax in adults, </w:t>
      </w:r>
      <w:proofErr w:type="gramStart"/>
      <w:r w:rsidR="00E6281E" w:rsidRPr="000349EF">
        <w:t>adolescents</w:t>
      </w:r>
      <w:proofErr w:type="gramEnd"/>
      <w:r w:rsidR="00E6281E" w:rsidRPr="000349EF">
        <w:t xml:space="preserve"> and children</w:t>
      </w:r>
      <w:r w:rsidR="00481CCF" w:rsidRPr="000349EF">
        <w:t xml:space="preserve"> of</w:t>
      </w:r>
      <w:r w:rsidR="00E6281E" w:rsidRPr="000349EF">
        <w:t xml:space="preserve"> 6</w:t>
      </w:r>
      <w:r w:rsidRPr="000349EF">
        <w:t xml:space="preserve"> to </w:t>
      </w:r>
      <w:r w:rsidR="00E6281E" w:rsidRPr="000349EF">
        <w:t>&lt;</w:t>
      </w:r>
      <w:r w:rsidRPr="000349EF">
        <w:t> </w:t>
      </w:r>
      <w:r w:rsidR="00E6281E" w:rsidRPr="000349EF">
        <w:t>12</w:t>
      </w:r>
      <w:r w:rsidR="00EC79E7" w:rsidRPr="000349EF">
        <w:t xml:space="preserve"> years of age</w:t>
      </w:r>
    </w:p>
    <w:tbl>
      <w:tblPr>
        <w:tblStyle w:val="TableTGAblue"/>
        <w:tblW w:w="7787" w:type="dxa"/>
        <w:tblLayout w:type="fixed"/>
        <w:tblLook w:val="04A0" w:firstRow="1" w:lastRow="0" w:firstColumn="1" w:lastColumn="0" w:noHBand="0" w:noVBand="1"/>
      </w:tblPr>
      <w:tblGrid>
        <w:gridCol w:w="1946"/>
        <w:gridCol w:w="1947"/>
        <w:gridCol w:w="1947"/>
        <w:gridCol w:w="1947"/>
      </w:tblGrid>
      <w:tr w:rsidR="00E6281E" w:rsidRPr="000349EF" w14:paraId="3D1BBB1C" w14:textId="77777777" w:rsidTr="002C634F">
        <w:trPr>
          <w:cnfStyle w:val="100000000000" w:firstRow="1" w:lastRow="0" w:firstColumn="0" w:lastColumn="0" w:oddVBand="0" w:evenVBand="0" w:oddHBand="0" w:evenHBand="0" w:firstRowFirstColumn="0" w:firstRowLastColumn="0" w:lastRowFirstColumn="0" w:lastRowLastColumn="0"/>
          <w:trHeight w:val="974"/>
        </w:trPr>
        <w:tc>
          <w:tcPr>
            <w:tcW w:w="0" w:type="dxa"/>
          </w:tcPr>
          <w:p w14:paraId="5824A8B8" w14:textId="0A8766B6" w:rsidR="00593F12" w:rsidRPr="000349EF" w:rsidRDefault="00E6281E" w:rsidP="00593F12">
            <w:pPr>
              <w:pStyle w:val="Tabletext"/>
              <w:spacing w:before="0" w:after="0"/>
              <w:ind w:left="0" w:right="0"/>
              <w:contextualSpacing/>
              <w:rPr>
                <w:color w:val="auto"/>
                <w:szCs w:val="19"/>
              </w:rPr>
            </w:pPr>
            <w:r w:rsidRPr="000349EF">
              <w:rPr>
                <w:szCs w:val="19"/>
              </w:rPr>
              <w:t xml:space="preserve">Rate of </w:t>
            </w:r>
            <w:r w:rsidR="00055D3D" w:rsidRPr="000349EF">
              <w:rPr>
                <w:szCs w:val="19"/>
              </w:rPr>
              <w:t xml:space="preserve">SR </w:t>
            </w:r>
            <w:r w:rsidRPr="000349EF">
              <w:rPr>
                <w:szCs w:val="19"/>
              </w:rPr>
              <w:t>within 7 days (%)</w:t>
            </w:r>
          </w:p>
          <w:p w14:paraId="60AC71DC" w14:textId="1E549B08" w:rsidR="00E6281E" w:rsidRPr="000349EF" w:rsidRDefault="00E6281E" w:rsidP="00593F12">
            <w:pPr>
              <w:pStyle w:val="Tabletext"/>
              <w:spacing w:before="0" w:after="0"/>
              <w:ind w:left="0" w:right="0"/>
              <w:contextualSpacing/>
              <w:rPr>
                <w:color w:val="auto"/>
                <w:szCs w:val="19"/>
              </w:rPr>
            </w:pPr>
            <w:r w:rsidRPr="000349EF">
              <w:rPr>
                <w:szCs w:val="19"/>
              </w:rPr>
              <w:t>A</w:t>
            </w:r>
            <w:r w:rsidR="00593F12" w:rsidRPr="000349EF">
              <w:rPr>
                <w:szCs w:val="19"/>
              </w:rPr>
              <w:t>G</w:t>
            </w:r>
            <w:proofErr w:type="gramStart"/>
            <w:r w:rsidRPr="000349EF">
              <w:rPr>
                <w:szCs w:val="19"/>
              </w:rPr>
              <w:t>/(</w:t>
            </w:r>
            <w:proofErr w:type="gramEnd"/>
            <w:r w:rsidRPr="000349EF">
              <w:rPr>
                <w:szCs w:val="19"/>
              </w:rPr>
              <w:t xml:space="preserve">G3 or </w:t>
            </w:r>
            <w:r w:rsidR="00CB303D" w:rsidRPr="000349EF">
              <w:rPr>
                <w:szCs w:val="19"/>
              </w:rPr>
              <w:t>m</w:t>
            </w:r>
            <w:r w:rsidRPr="000349EF">
              <w:rPr>
                <w:szCs w:val="19"/>
              </w:rPr>
              <w:t>od)</w:t>
            </w:r>
          </w:p>
        </w:tc>
        <w:tc>
          <w:tcPr>
            <w:tcW w:w="0" w:type="dxa"/>
          </w:tcPr>
          <w:p w14:paraId="50A34E1C" w14:textId="59E140A2" w:rsidR="00E6281E" w:rsidRPr="000349EF" w:rsidRDefault="00E6281E" w:rsidP="00593F12">
            <w:pPr>
              <w:pStyle w:val="Tabletext"/>
              <w:spacing w:before="0" w:after="0"/>
              <w:ind w:left="0" w:right="0"/>
              <w:contextualSpacing/>
              <w:rPr>
                <w:color w:val="auto"/>
                <w:szCs w:val="19"/>
              </w:rPr>
            </w:pPr>
            <w:r w:rsidRPr="000349EF">
              <w:rPr>
                <w:szCs w:val="19"/>
              </w:rPr>
              <w:t xml:space="preserve">50 </w:t>
            </w:r>
            <w:proofErr w:type="spellStart"/>
            <w:r w:rsidRPr="000349EF">
              <w:rPr>
                <w:szCs w:val="19"/>
              </w:rPr>
              <w:t>μg</w:t>
            </w:r>
            <w:proofErr w:type="spellEnd"/>
            <w:r w:rsidR="00055D3D" w:rsidRPr="000349EF">
              <w:rPr>
                <w:szCs w:val="19"/>
              </w:rPr>
              <w:t xml:space="preserve"> </w:t>
            </w:r>
            <w:r w:rsidRPr="000349EF">
              <w:rPr>
                <w:szCs w:val="19"/>
              </w:rPr>
              <w:t>(D2)</w:t>
            </w:r>
          </w:p>
          <w:p w14:paraId="23F871E6" w14:textId="457F250E" w:rsidR="00E6281E" w:rsidRPr="000349EF" w:rsidRDefault="00E6281E" w:rsidP="00593F12">
            <w:pPr>
              <w:pStyle w:val="Tabletext"/>
              <w:spacing w:before="0" w:after="0"/>
              <w:ind w:left="0" w:right="0"/>
              <w:contextualSpacing/>
              <w:rPr>
                <w:color w:val="auto"/>
                <w:szCs w:val="19"/>
              </w:rPr>
            </w:pPr>
            <w:r w:rsidRPr="000349EF">
              <w:rPr>
                <w:szCs w:val="19"/>
              </w:rPr>
              <w:t xml:space="preserve">6-11 </w:t>
            </w:r>
            <w:r w:rsidR="00593F12" w:rsidRPr="000349EF">
              <w:rPr>
                <w:szCs w:val="19"/>
              </w:rPr>
              <w:t>YOA</w:t>
            </w:r>
          </w:p>
          <w:p w14:paraId="0D364359" w14:textId="5BFF826D" w:rsidR="00E6281E" w:rsidRPr="000349EF" w:rsidRDefault="00593F12" w:rsidP="00593F12">
            <w:pPr>
              <w:pStyle w:val="Tabletext"/>
              <w:spacing w:before="0" w:after="0"/>
              <w:ind w:left="0" w:right="0"/>
              <w:contextualSpacing/>
              <w:rPr>
                <w:color w:val="auto"/>
                <w:szCs w:val="19"/>
              </w:rPr>
            </w:pPr>
            <w:r w:rsidRPr="000349EF">
              <w:rPr>
                <w:szCs w:val="19"/>
              </w:rPr>
              <w:t>AG</w:t>
            </w:r>
            <w:r w:rsidR="00E6281E" w:rsidRPr="000349EF">
              <w:rPr>
                <w:szCs w:val="19"/>
              </w:rPr>
              <w:t>/G3</w:t>
            </w:r>
          </w:p>
        </w:tc>
        <w:tc>
          <w:tcPr>
            <w:tcW w:w="0" w:type="dxa"/>
          </w:tcPr>
          <w:p w14:paraId="3E44E8A5" w14:textId="31766AD9" w:rsidR="00E6281E" w:rsidRPr="000349EF" w:rsidRDefault="00E6281E" w:rsidP="00593F12">
            <w:pPr>
              <w:pStyle w:val="Tabletext"/>
              <w:spacing w:before="0" w:after="0"/>
              <w:ind w:left="0" w:right="0"/>
              <w:contextualSpacing/>
              <w:rPr>
                <w:color w:val="auto"/>
                <w:szCs w:val="19"/>
              </w:rPr>
            </w:pPr>
            <w:r w:rsidRPr="000349EF">
              <w:rPr>
                <w:szCs w:val="19"/>
              </w:rPr>
              <w:t xml:space="preserve">100 </w:t>
            </w:r>
            <w:proofErr w:type="spellStart"/>
            <w:r w:rsidRPr="000349EF">
              <w:rPr>
                <w:szCs w:val="19"/>
              </w:rPr>
              <w:t>μg</w:t>
            </w:r>
            <w:proofErr w:type="spellEnd"/>
            <w:r w:rsidR="00055D3D" w:rsidRPr="000349EF">
              <w:rPr>
                <w:szCs w:val="19"/>
              </w:rPr>
              <w:t xml:space="preserve"> </w:t>
            </w:r>
            <w:r w:rsidRPr="000349EF">
              <w:rPr>
                <w:szCs w:val="19"/>
              </w:rPr>
              <w:t>(D2)</w:t>
            </w:r>
          </w:p>
          <w:p w14:paraId="749DE25F" w14:textId="4DBD2691" w:rsidR="00E6281E" w:rsidRPr="000349EF" w:rsidRDefault="00E6281E" w:rsidP="00593F12">
            <w:pPr>
              <w:pStyle w:val="Tabletext"/>
              <w:spacing w:before="0" w:after="0"/>
              <w:ind w:left="0" w:right="0"/>
              <w:contextualSpacing/>
              <w:rPr>
                <w:color w:val="auto"/>
                <w:szCs w:val="19"/>
              </w:rPr>
            </w:pPr>
            <w:r w:rsidRPr="000349EF">
              <w:rPr>
                <w:szCs w:val="19"/>
              </w:rPr>
              <w:t xml:space="preserve">12-18 </w:t>
            </w:r>
            <w:r w:rsidR="00593F12" w:rsidRPr="000349EF">
              <w:rPr>
                <w:szCs w:val="19"/>
              </w:rPr>
              <w:t>YOA</w:t>
            </w:r>
          </w:p>
          <w:p w14:paraId="68024DF2" w14:textId="743B77F8" w:rsidR="00E6281E" w:rsidRPr="000349EF" w:rsidRDefault="00593F12" w:rsidP="00593F12">
            <w:pPr>
              <w:pStyle w:val="Tabletext"/>
              <w:spacing w:before="0" w:after="0"/>
              <w:ind w:left="0" w:right="0"/>
              <w:contextualSpacing/>
              <w:rPr>
                <w:color w:val="auto"/>
                <w:szCs w:val="19"/>
              </w:rPr>
            </w:pPr>
            <w:r w:rsidRPr="000349EF">
              <w:rPr>
                <w:szCs w:val="19"/>
              </w:rPr>
              <w:t>AG</w:t>
            </w:r>
            <w:r w:rsidR="00E6281E" w:rsidRPr="000349EF">
              <w:rPr>
                <w:szCs w:val="19"/>
              </w:rPr>
              <w:t>/G3</w:t>
            </w:r>
          </w:p>
        </w:tc>
        <w:tc>
          <w:tcPr>
            <w:tcW w:w="0" w:type="dxa"/>
          </w:tcPr>
          <w:p w14:paraId="19101818" w14:textId="5B48131C" w:rsidR="00E6281E" w:rsidRPr="000349EF" w:rsidRDefault="00E6281E" w:rsidP="00593F12">
            <w:pPr>
              <w:pStyle w:val="Tabletext"/>
              <w:spacing w:before="0" w:after="0"/>
              <w:ind w:left="0" w:right="0"/>
              <w:contextualSpacing/>
              <w:rPr>
                <w:color w:val="auto"/>
                <w:szCs w:val="19"/>
              </w:rPr>
            </w:pPr>
            <w:r w:rsidRPr="000349EF">
              <w:rPr>
                <w:szCs w:val="19"/>
              </w:rPr>
              <w:t xml:space="preserve">100 </w:t>
            </w:r>
            <w:proofErr w:type="spellStart"/>
            <w:r w:rsidRPr="000349EF">
              <w:rPr>
                <w:szCs w:val="19"/>
              </w:rPr>
              <w:t>μg</w:t>
            </w:r>
            <w:proofErr w:type="spellEnd"/>
            <w:r w:rsidR="00055D3D" w:rsidRPr="000349EF">
              <w:rPr>
                <w:szCs w:val="19"/>
              </w:rPr>
              <w:t xml:space="preserve"> </w:t>
            </w:r>
            <w:r w:rsidRPr="000349EF">
              <w:rPr>
                <w:szCs w:val="19"/>
              </w:rPr>
              <w:t>(D2)</w:t>
            </w:r>
          </w:p>
          <w:p w14:paraId="2848E074" w14:textId="77777777" w:rsidR="00055D3D" w:rsidRPr="000349EF" w:rsidRDefault="00E6281E" w:rsidP="00593F12">
            <w:pPr>
              <w:pStyle w:val="Tabletext"/>
              <w:spacing w:before="0" w:after="0"/>
              <w:ind w:left="0" w:right="0"/>
              <w:contextualSpacing/>
              <w:rPr>
                <w:b w:val="0"/>
                <w:color w:val="auto"/>
                <w:szCs w:val="19"/>
              </w:rPr>
            </w:pPr>
            <w:r w:rsidRPr="000349EF">
              <w:rPr>
                <w:szCs w:val="19"/>
              </w:rPr>
              <w:t>Adults &gt;18</w:t>
            </w:r>
            <w:r w:rsidR="00EC79E7" w:rsidRPr="000349EF">
              <w:rPr>
                <w:szCs w:val="19"/>
              </w:rPr>
              <w:t xml:space="preserve"> </w:t>
            </w:r>
            <w:r w:rsidR="00593F12" w:rsidRPr="000349EF">
              <w:rPr>
                <w:szCs w:val="19"/>
              </w:rPr>
              <w:t>YOA</w:t>
            </w:r>
          </w:p>
          <w:p w14:paraId="5496ED55" w14:textId="0933EE47" w:rsidR="00E6281E" w:rsidRPr="000349EF" w:rsidRDefault="00593F12" w:rsidP="00593F12">
            <w:pPr>
              <w:pStyle w:val="Tabletext"/>
              <w:spacing w:before="0" w:after="0"/>
              <w:ind w:left="0" w:right="0"/>
              <w:contextualSpacing/>
              <w:rPr>
                <w:color w:val="auto"/>
                <w:szCs w:val="19"/>
              </w:rPr>
            </w:pPr>
            <w:r w:rsidRPr="000349EF">
              <w:rPr>
                <w:szCs w:val="19"/>
              </w:rPr>
              <w:t>AG</w:t>
            </w:r>
            <w:r w:rsidR="00E6281E" w:rsidRPr="000349EF">
              <w:rPr>
                <w:szCs w:val="19"/>
              </w:rPr>
              <w:t>/&gt;G3</w:t>
            </w:r>
          </w:p>
        </w:tc>
      </w:tr>
      <w:tr w:rsidR="00E6281E" w:rsidRPr="000349EF" w14:paraId="12C982CA" w14:textId="77777777" w:rsidTr="002C634F">
        <w:tc>
          <w:tcPr>
            <w:tcW w:w="0" w:type="dxa"/>
          </w:tcPr>
          <w:p w14:paraId="6BE5E3DB" w14:textId="77777777" w:rsidR="00E6281E" w:rsidRPr="000349EF" w:rsidRDefault="00E6281E" w:rsidP="00593F12">
            <w:pPr>
              <w:pStyle w:val="Tabletext"/>
              <w:spacing w:before="0" w:after="0"/>
              <w:ind w:left="0" w:right="0"/>
              <w:rPr>
                <w:szCs w:val="19"/>
              </w:rPr>
            </w:pPr>
            <w:r w:rsidRPr="000349EF">
              <w:rPr>
                <w:szCs w:val="19"/>
              </w:rPr>
              <w:t>Data source</w:t>
            </w:r>
          </w:p>
        </w:tc>
        <w:tc>
          <w:tcPr>
            <w:tcW w:w="0" w:type="dxa"/>
          </w:tcPr>
          <w:p w14:paraId="6D633BB9" w14:textId="39A0CA60" w:rsidR="00E6281E" w:rsidRPr="000349EF" w:rsidRDefault="00593F12" w:rsidP="00CB303D">
            <w:pPr>
              <w:pStyle w:val="Tabletext"/>
              <w:spacing w:before="0" w:after="0"/>
              <w:ind w:left="0" w:right="0"/>
              <w:rPr>
                <w:szCs w:val="19"/>
              </w:rPr>
            </w:pPr>
            <w:r w:rsidRPr="000349EF">
              <w:rPr>
                <w:szCs w:val="19"/>
              </w:rPr>
              <w:t>Sponsor’s clinical overview</w:t>
            </w:r>
          </w:p>
        </w:tc>
        <w:tc>
          <w:tcPr>
            <w:tcW w:w="0" w:type="dxa"/>
          </w:tcPr>
          <w:p w14:paraId="12F70918" w14:textId="417ACA88" w:rsidR="00E6281E" w:rsidRPr="000349EF" w:rsidRDefault="00E6281E" w:rsidP="00593F12">
            <w:pPr>
              <w:pStyle w:val="Tabletext"/>
              <w:spacing w:before="0" w:after="0"/>
              <w:ind w:left="0" w:right="0"/>
              <w:rPr>
                <w:szCs w:val="19"/>
              </w:rPr>
            </w:pPr>
            <w:r w:rsidRPr="000349EF">
              <w:rPr>
                <w:szCs w:val="19"/>
              </w:rPr>
              <w:t>Delegate</w:t>
            </w:r>
            <w:r w:rsidR="00CB303D" w:rsidRPr="000349EF">
              <w:rPr>
                <w:szCs w:val="19"/>
              </w:rPr>
              <w:t>’s</w:t>
            </w:r>
            <w:r w:rsidRPr="000349EF">
              <w:rPr>
                <w:szCs w:val="19"/>
              </w:rPr>
              <w:t xml:space="preserve"> </w:t>
            </w:r>
            <w:r w:rsidR="00593F12" w:rsidRPr="000349EF">
              <w:rPr>
                <w:szCs w:val="19"/>
              </w:rPr>
              <w:t>overview</w:t>
            </w:r>
          </w:p>
        </w:tc>
        <w:tc>
          <w:tcPr>
            <w:tcW w:w="0" w:type="dxa"/>
          </w:tcPr>
          <w:p w14:paraId="2A248BF3" w14:textId="379D9548" w:rsidR="00E6281E" w:rsidRPr="000349EF" w:rsidRDefault="00E6281E" w:rsidP="00593F12">
            <w:pPr>
              <w:pStyle w:val="Tabletext"/>
              <w:spacing w:before="0" w:after="0"/>
              <w:ind w:left="0" w:right="0"/>
              <w:rPr>
                <w:szCs w:val="19"/>
              </w:rPr>
            </w:pPr>
            <w:r w:rsidRPr="000349EF">
              <w:rPr>
                <w:szCs w:val="19"/>
              </w:rPr>
              <w:t>Delegate</w:t>
            </w:r>
            <w:r w:rsidR="00CB303D" w:rsidRPr="000349EF">
              <w:rPr>
                <w:szCs w:val="19"/>
              </w:rPr>
              <w:t>’s</w:t>
            </w:r>
          </w:p>
          <w:p w14:paraId="5719C5E3" w14:textId="147CA6E2" w:rsidR="00E6281E" w:rsidRPr="000349EF" w:rsidRDefault="00593F12" w:rsidP="00593F12">
            <w:pPr>
              <w:pStyle w:val="Tabletext"/>
              <w:spacing w:before="0" w:after="0"/>
              <w:ind w:left="0" w:right="0"/>
              <w:rPr>
                <w:szCs w:val="19"/>
              </w:rPr>
            </w:pPr>
            <w:r w:rsidRPr="000349EF">
              <w:rPr>
                <w:szCs w:val="19"/>
              </w:rPr>
              <w:t>overview</w:t>
            </w:r>
          </w:p>
        </w:tc>
      </w:tr>
      <w:tr w:rsidR="00E6281E" w:rsidRPr="000349EF" w14:paraId="3F25162F" w14:textId="77777777" w:rsidTr="002C634F">
        <w:tc>
          <w:tcPr>
            <w:tcW w:w="0" w:type="dxa"/>
          </w:tcPr>
          <w:p w14:paraId="5DDF12B0" w14:textId="465BF759" w:rsidR="00E6281E" w:rsidRPr="000349EF" w:rsidRDefault="00E6281E" w:rsidP="00593F12">
            <w:pPr>
              <w:pStyle w:val="Tabletext"/>
              <w:spacing w:before="0" w:after="0"/>
              <w:ind w:left="0" w:right="0"/>
              <w:rPr>
                <w:szCs w:val="19"/>
              </w:rPr>
            </w:pPr>
            <w:r w:rsidRPr="000349EF">
              <w:rPr>
                <w:szCs w:val="19"/>
              </w:rPr>
              <w:t>Fever</w:t>
            </w:r>
          </w:p>
        </w:tc>
        <w:tc>
          <w:tcPr>
            <w:tcW w:w="0" w:type="dxa"/>
          </w:tcPr>
          <w:p w14:paraId="51DCCCD8" w14:textId="2F5B7690" w:rsidR="00E6281E" w:rsidRPr="000349EF" w:rsidRDefault="00E6281E" w:rsidP="00593F12">
            <w:pPr>
              <w:pStyle w:val="Tabletext"/>
              <w:spacing w:before="0" w:after="0"/>
              <w:ind w:left="0" w:right="0"/>
              <w:rPr>
                <w:szCs w:val="19"/>
              </w:rPr>
            </w:pPr>
            <w:r w:rsidRPr="000349EF">
              <w:rPr>
                <w:szCs w:val="19"/>
              </w:rPr>
              <w:t>24.1</w:t>
            </w:r>
          </w:p>
          <w:p w14:paraId="1EAB4B52" w14:textId="62E05058" w:rsidR="00E6281E" w:rsidRPr="000349EF" w:rsidRDefault="00E6281E" w:rsidP="00593F12">
            <w:pPr>
              <w:pStyle w:val="Tabletext"/>
              <w:spacing w:before="0" w:after="0"/>
              <w:ind w:left="0" w:right="0"/>
              <w:rPr>
                <w:szCs w:val="19"/>
              </w:rPr>
            </w:pPr>
            <w:r w:rsidRPr="000349EF">
              <w:rPr>
                <w:szCs w:val="19"/>
              </w:rPr>
              <w:t>G3: 39.0-40.0</w:t>
            </w:r>
            <w:r w:rsidRPr="000349EF">
              <w:rPr>
                <w:szCs w:val="19"/>
                <w:vertAlign w:val="superscript"/>
              </w:rPr>
              <w:t>o</w:t>
            </w:r>
            <w:r w:rsidRPr="000349EF">
              <w:rPr>
                <w:szCs w:val="19"/>
              </w:rPr>
              <w:t>C</w:t>
            </w:r>
          </w:p>
          <w:p w14:paraId="2C753BE4" w14:textId="77777777" w:rsidR="00E6281E" w:rsidRPr="000349EF" w:rsidRDefault="00E6281E" w:rsidP="00593F12">
            <w:pPr>
              <w:pStyle w:val="Tabletext"/>
              <w:spacing w:before="0" w:after="0"/>
              <w:ind w:left="0" w:right="0"/>
              <w:rPr>
                <w:szCs w:val="19"/>
              </w:rPr>
            </w:pPr>
            <w:r w:rsidRPr="000349EF">
              <w:rPr>
                <w:szCs w:val="19"/>
              </w:rPr>
              <w:t>(3.8)</w:t>
            </w:r>
          </w:p>
        </w:tc>
        <w:tc>
          <w:tcPr>
            <w:tcW w:w="0" w:type="dxa"/>
          </w:tcPr>
          <w:p w14:paraId="28876F06" w14:textId="77777777" w:rsidR="00E6281E" w:rsidRPr="000349EF" w:rsidRDefault="00E6281E" w:rsidP="00593F12">
            <w:pPr>
              <w:pStyle w:val="Tabletext"/>
              <w:spacing w:before="0" w:after="0"/>
              <w:ind w:left="0" w:right="0"/>
              <w:rPr>
                <w:szCs w:val="19"/>
              </w:rPr>
            </w:pPr>
            <w:r w:rsidRPr="000349EF">
              <w:rPr>
                <w:szCs w:val="19"/>
              </w:rPr>
              <w:t>12.2</w:t>
            </w:r>
          </w:p>
          <w:p w14:paraId="6EBB00CF" w14:textId="77777777" w:rsidR="00E6281E" w:rsidRPr="000349EF" w:rsidRDefault="00E6281E" w:rsidP="00593F12">
            <w:pPr>
              <w:pStyle w:val="Tabletext"/>
              <w:spacing w:before="0" w:after="0"/>
              <w:ind w:left="0" w:right="0"/>
              <w:rPr>
                <w:szCs w:val="19"/>
              </w:rPr>
            </w:pPr>
          </w:p>
          <w:p w14:paraId="171AF7EB" w14:textId="77777777" w:rsidR="00E6281E" w:rsidRPr="000349EF" w:rsidRDefault="00E6281E" w:rsidP="00593F12">
            <w:pPr>
              <w:pStyle w:val="Tabletext"/>
              <w:spacing w:before="0" w:after="0"/>
              <w:ind w:left="0" w:right="0"/>
              <w:rPr>
                <w:szCs w:val="19"/>
              </w:rPr>
            </w:pPr>
            <w:r w:rsidRPr="000349EF">
              <w:rPr>
                <w:szCs w:val="19"/>
              </w:rPr>
              <w:t>(1.9)</w:t>
            </w:r>
          </w:p>
        </w:tc>
        <w:tc>
          <w:tcPr>
            <w:tcW w:w="0" w:type="dxa"/>
          </w:tcPr>
          <w:p w14:paraId="00A5A973" w14:textId="77777777" w:rsidR="00E6281E" w:rsidRPr="000349EF" w:rsidRDefault="00E6281E" w:rsidP="00593F12">
            <w:pPr>
              <w:pStyle w:val="Tabletext"/>
              <w:spacing w:before="0" w:after="0"/>
              <w:ind w:left="0" w:right="0"/>
              <w:rPr>
                <w:szCs w:val="19"/>
              </w:rPr>
            </w:pPr>
            <w:r w:rsidRPr="000349EF">
              <w:rPr>
                <w:szCs w:val="19"/>
              </w:rPr>
              <w:t>15.5</w:t>
            </w:r>
          </w:p>
          <w:p w14:paraId="6E62414B" w14:textId="77777777" w:rsidR="00E6281E" w:rsidRPr="000349EF" w:rsidRDefault="00E6281E" w:rsidP="00593F12">
            <w:pPr>
              <w:pStyle w:val="Tabletext"/>
              <w:spacing w:before="0" w:after="0"/>
              <w:ind w:left="0" w:right="0"/>
              <w:rPr>
                <w:szCs w:val="19"/>
              </w:rPr>
            </w:pPr>
          </w:p>
          <w:p w14:paraId="4A6FD401" w14:textId="77777777" w:rsidR="00E6281E" w:rsidRPr="000349EF" w:rsidRDefault="00E6281E" w:rsidP="00593F12">
            <w:pPr>
              <w:pStyle w:val="Tabletext"/>
              <w:spacing w:before="0" w:after="0"/>
              <w:ind w:left="0" w:right="0"/>
              <w:rPr>
                <w:szCs w:val="19"/>
              </w:rPr>
            </w:pPr>
            <w:r w:rsidRPr="000349EF">
              <w:rPr>
                <w:szCs w:val="19"/>
              </w:rPr>
              <w:t>(1.5)</w:t>
            </w:r>
          </w:p>
        </w:tc>
      </w:tr>
      <w:tr w:rsidR="00E6281E" w:rsidRPr="000349EF" w14:paraId="7C5BC89F" w14:textId="77777777" w:rsidTr="002C634F">
        <w:tc>
          <w:tcPr>
            <w:tcW w:w="0" w:type="dxa"/>
          </w:tcPr>
          <w:p w14:paraId="0CD0F187" w14:textId="77777777" w:rsidR="00E6281E" w:rsidRPr="000349EF" w:rsidRDefault="00E6281E" w:rsidP="00593F12">
            <w:pPr>
              <w:pStyle w:val="Tabletext"/>
              <w:spacing w:before="0" w:after="0"/>
              <w:ind w:left="0" w:right="0"/>
              <w:rPr>
                <w:szCs w:val="19"/>
              </w:rPr>
            </w:pPr>
            <w:r w:rsidRPr="000349EF">
              <w:rPr>
                <w:szCs w:val="19"/>
              </w:rPr>
              <w:t>Fatigue</w:t>
            </w:r>
          </w:p>
        </w:tc>
        <w:tc>
          <w:tcPr>
            <w:tcW w:w="0" w:type="dxa"/>
          </w:tcPr>
          <w:p w14:paraId="46CE8376" w14:textId="77777777" w:rsidR="00E6281E" w:rsidRPr="000349EF" w:rsidRDefault="00E6281E" w:rsidP="00593F12">
            <w:pPr>
              <w:pStyle w:val="Tabletext"/>
              <w:spacing w:before="0" w:after="0"/>
              <w:ind w:left="0" w:right="0"/>
              <w:rPr>
                <w:szCs w:val="19"/>
              </w:rPr>
            </w:pPr>
            <w:r w:rsidRPr="000349EF">
              <w:rPr>
                <w:szCs w:val="19"/>
              </w:rPr>
              <w:t>64.4</w:t>
            </w:r>
          </w:p>
          <w:p w14:paraId="7B962147" w14:textId="77777777" w:rsidR="00E6281E" w:rsidRPr="000349EF" w:rsidRDefault="00E6281E" w:rsidP="00593F12">
            <w:pPr>
              <w:pStyle w:val="Tabletext"/>
              <w:spacing w:before="0" w:after="0"/>
              <w:ind w:left="0" w:right="0"/>
              <w:rPr>
                <w:szCs w:val="19"/>
              </w:rPr>
            </w:pPr>
            <w:r w:rsidRPr="000349EF">
              <w:rPr>
                <w:szCs w:val="19"/>
              </w:rPr>
              <w:t>(6.3)</w:t>
            </w:r>
          </w:p>
        </w:tc>
        <w:tc>
          <w:tcPr>
            <w:tcW w:w="0" w:type="dxa"/>
          </w:tcPr>
          <w:p w14:paraId="498791B6" w14:textId="77777777" w:rsidR="00E6281E" w:rsidRPr="000349EF" w:rsidRDefault="00E6281E" w:rsidP="00593F12">
            <w:pPr>
              <w:pStyle w:val="Tabletext"/>
              <w:spacing w:before="0" w:after="0"/>
              <w:ind w:left="0" w:right="0"/>
              <w:rPr>
                <w:szCs w:val="19"/>
              </w:rPr>
            </w:pPr>
            <w:r w:rsidRPr="000349EF">
              <w:rPr>
                <w:szCs w:val="19"/>
              </w:rPr>
              <w:t>67.8</w:t>
            </w:r>
          </w:p>
          <w:p w14:paraId="70EDC2C3" w14:textId="77777777" w:rsidR="00E6281E" w:rsidRPr="000349EF" w:rsidRDefault="00E6281E" w:rsidP="00593F12">
            <w:pPr>
              <w:pStyle w:val="Tabletext"/>
              <w:spacing w:before="0" w:after="0"/>
              <w:ind w:left="0" w:right="0"/>
              <w:rPr>
                <w:szCs w:val="19"/>
              </w:rPr>
            </w:pPr>
            <w:r w:rsidRPr="000349EF">
              <w:rPr>
                <w:szCs w:val="19"/>
              </w:rPr>
              <w:t>(7.6)</w:t>
            </w:r>
          </w:p>
        </w:tc>
        <w:tc>
          <w:tcPr>
            <w:tcW w:w="0" w:type="dxa"/>
          </w:tcPr>
          <w:p w14:paraId="6C55B643" w14:textId="77777777" w:rsidR="00E6281E" w:rsidRPr="000349EF" w:rsidRDefault="00E6281E" w:rsidP="00593F12">
            <w:pPr>
              <w:pStyle w:val="Tabletext"/>
              <w:spacing w:before="0" w:after="0"/>
              <w:ind w:left="0" w:right="0"/>
              <w:rPr>
                <w:szCs w:val="19"/>
              </w:rPr>
            </w:pPr>
            <w:r w:rsidRPr="000349EF">
              <w:rPr>
                <w:szCs w:val="19"/>
              </w:rPr>
              <w:t>23.4</w:t>
            </w:r>
          </w:p>
          <w:p w14:paraId="2F3E1942" w14:textId="77777777" w:rsidR="00E6281E" w:rsidRPr="000349EF" w:rsidRDefault="00E6281E" w:rsidP="00593F12">
            <w:pPr>
              <w:pStyle w:val="Tabletext"/>
              <w:spacing w:before="0" w:after="0"/>
              <w:ind w:left="0" w:right="0"/>
              <w:rPr>
                <w:szCs w:val="19"/>
              </w:rPr>
            </w:pPr>
            <w:r w:rsidRPr="000349EF">
              <w:rPr>
                <w:szCs w:val="19"/>
              </w:rPr>
              <w:t>(0.7)</w:t>
            </w:r>
          </w:p>
        </w:tc>
      </w:tr>
      <w:tr w:rsidR="00E6281E" w:rsidRPr="000349EF" w14:paraId="3C231DAC" w14:textId="77777777" w:rsidTr="002C634F">
        <w:tc>
          <w:tcPr>
            <w:tcW w:w="0" w:type="dxa"/>
          </w:tcPr>
          <w:p w14:paraId="682C7F2F" w14:textId="77777777" w:rsidR="00E6281E" w:rsidRPr="000349EF" w:rsidRDefault="00E6281E" w:rsidP="00593F12">
            <w:pPr>
              <w:pStyle w:val="Tabletext"/>
              <w:spacing w:before="0" w:after="0"/>
              <w:ind w:left="0" w:right="0"/>
              <w:rPr>
                <w:szCs w:val="19"/>
              </w:rPr>
            </w:pPr>
            <w:r w:rsidRPr="000349EF">
              <w:rPr>
                <w:szCs w:val="19"/>
              </w:rPr>
              <w:t>Headache</w:t>
            </w:r>
          </w:p>
        </w:tc>
        <w:tc>
          <w:tcPr>
            <w:tcW w:w="0" w:type="dxa"/>
          </w:tcPr>
          <w:p w14:paraId="0E181EFF" w14:textId="77777777" w:rsidR="00E6281E" w:rsidRPr="000349EF" w:rsidRDefault="00E6281E" w:rsidP="00593F12">
            <w:pPr>
              <w:pStyle w:val="Tabletext"/>
              <w:spacing w:before="0" w:after="0"/>
              <w:ind w:left="0" w:right="0"/>
              <w:rPr>
                <w:szCs w:val="19"/>
              </w:rPr>
            </w:pPr>
            <w:r w:rsidRPr="000349EF">
              <w:rPr>
                <w:szCs w:val="19"/>
              </w:rPr>
              <w:t>54.2</w:t>
            </w:r>
          </w:p>
          <w:p w14:paraId="4E69C5D9" w14:textId="77777777" w:rsidR="00E6281E" w:rsidRPr="000349EF" w:rsidRDefault="00E6281E" w:rsidP="00593F12">
            <w:pPr>
              <w:pStyle w:val="Tabletext"/>
              <w:spacing w:before="0" w:after="0"/>
              <w:ind w:left="0" w:right="0"/>
              <w:rPr>
                <w:szCs w:val="19"/>
              </w:rPr>
            </w:pPr>
            <w:r w:rsidRPr="000349EF">
              <w:rPr>
                <w:szCs w:val="19"/>
              </w:rPr>
              <w:t>(4.0)</w:t>
            </w:r>
          </w:p>
        </w:tc>
        <w:tc>
          <w:tcPr>
            <w:tcW w:w="0" w:type="dxa"/>
          </w:tcPr>
          <w:p w14:paraId="4AD7EBED" w14:textId="77777777" w:rsidR="00E6281E" w:rsidRPr="000349EF" w:rsidRDefault="00E6281E" w:rsidP="00593F12">
            <w:pPr>
              <w:pStyle w:val="Tabletext"/>
              <w:spacing w:before="0" w:after="0"/>
              <w:ind w:left="0" w:right="0"/>
              <w:rPr>
                <w:szCs w:val="19"/>
              </w:rPr>
            </w:pPr>
            <w:r w:rsidRPr="000349EF">
              <w:rPr>
                <w:szCs w:val="19"/>
              </w:rPr>
              <w:t>70.2</w:t>
            </w:r>
          </w:p>
          <w:p w14:paraId="5882B19F" w14:textId="77777777" w:rsidR="00E6281E" w:rsidRPr="000349EF" w:rsidRDefault="00E6281E" w:rsidP="00593F12">
            <w:pPr>
              <w:pStyle w:val="Tabletext"/>
              <w:spacing w:before="0" w:after="0"/>
              <w:ind w:left="0" w:right="0"/>
              <w:rPr>
                <w:szCs w:val="19"/>
              </w:rPr>
            </w:pPr>
            <w:r w:rsidRPr="000349EF">
              <w:rPr>
                <w:szCs w:val="19"/>
              </w:rPr>
              <w:t>(4.5)</w:t>
            </w:r>
          </w:p>
        </w:tc>
        <w:tc>
          <w:tcPr>
            <w:tcW w:w="0" w:type="dxa"/>
          </w:tcPr>
          <w:p w14:paraId="28E50864" w14:textId="77777777" w:rsidR="00E6281E" w:rsidRPr="000349EF" w:rsidRDefault="00E6281E" w:rsidP="00593F12">
            <w:pPr>
              <w:pStyle w:val="Tabletext"/>
              <w:spacing w:before="0" w:after="0"/>
              <w:ind w:left="0" w:right="0"/>
              <w:rPr>
                <w:szCs w:val="19"/>
              </w:rPr>
            </w:pPr>
            <w:r w:rsidRPr="000349EF">
              <w:rPr>
                <w:szCs w:val="19"/>
              </w:rPr>
              <w:t>23.4</w:t>
            </w:r>
          </w:p>
          <w:p w14:paraId="757F9FD1" w14:textId="77777777" w:rsidR="00E6281E" w:rsidRPr="000349EF" w:rsidRDefault="00E6281E" w:rsidP="00593F12">
            <w:pPr>
              <w:pStyle w:val="Tabletext"/>
              <w:spacing w:before="0" w:after="0"/>
              <w:ind w:left="0" w:right="0"/>
              <w:rPr>
                <w:szCs w:val="19"/>
              </w:rPr>
            </w:pPr>
            <w:r w:rsidRPr="000349EF">
              <w:rPr>
                <w:szCs w:val="19"/>
              </w:rPr>
              <w:t>(1.1)</w:t>
            </w:r>
          </w:p>
        </w:tc>
      </w:tr>
      <w:tr w:rsidR="00E6281E" w:rsidRPr="000349EF" w14:paraId="5C76BF6C" w14:textId="77777777" w:rsidTr="002C634F">
        <w:tc>
          <w:tcPr>
            <w:tcW w:w="0" w:type="dxa"/>
          </w:tcPr>
          <w:p w14:paraId="2A3615FE" w14:textId="77777777" w:rsidR="00E6281E" w:rsidRPr="000349EF" w:rsidRDefault="00E6281E" w:rsidP="00593F12">
            <w:pPr>
              <w:pStyle w:val="Tabletext"/>
              <w:spacing w:before="0" w:after="0"/>
              <w:ind w:left="0" w:right="0"/>
              <w:rPr>
                <w:szCs w:val="19"/>
              </w:rPr>
            </w:pPr>
            <w:r w:rsidRPr="000349EF">
              <w:rPr>
                <w:szCs w:val="19"/>
              </w:rPr>
              <w:t>Myalgia</w:t>
            </w:r>
          </w:p>
        </w:tc>
        <w:tc>
          <w:tcPr>
            <w:tcW w:w="0" w:type="dxa"/>
          </w:tcPr>
          <w:p w14:paraId="77F68830" w14:textId="77777777" w:rsidR="00E6281E" w:rsidRPr="000349EF" w:rsidRDefault="00E6281E" w:rsidP="00593F12">
            <w:pPr>
              <w:pStyle w:val="Tabletext"/>
              <w:spacing w:before="0" w:after="0"/>
              <w:ind w:left="0" w:right="0"/>
              <w:rPr>
                <w:szCs w:val="19"/>
              </w:rPr>
            </w:pPr>
            <w:r w:rsidRPr="000349EF">
              <w:rPr>
                <w:szCs w:val="19"/>
              </w:rPr>
              <w:t>28.2</w:t>
            </w:r>
          </w:p>
          <w:p w14:paraId="47D38E40" w14:textId="77777777" w:rsidR="00E6281E" w:rsidRPr="000349EF" w:rsidRDefault="00E6281E" w:rsidP="00593F12">
            <w:pPr>
              <w:pStyle w:val="Tabletext"/>
              <w:spacing w:before="0" w:after="0"/>
              <w:ind w:left="0" w:right="0"/>
              <w:rPr>
                <w:szCs w:val="19"/>
              </w:rPr>
            </w:pPr>
            <w:r w:rsidRPr="000349EF">
              <w:rPr>
                <w:szCs w:val="19"/>
              </w:rPr>
              <w:t>(2.4)</w:t>
            </w:r>
          </w:p>
        </w:tc>
        <w:tc>
          <w:tcPr>
            <w:tcW w:w="0" w:type="dxa"/>
          </w:tcPr>
          <w:p w14:paraId="1A050DFC" w14:textId="77777777" w:rsidR="00E6281E" w:rsidRPr="000349EF" w:rsidRDefault="00E6281E" w:rsidP="00593F12">
            <w:pPr>
              <w:pStyle w:val="Tabletext"/>
              <w:spacing w:before="0" w:after="0"/>
              <w:ind w:left="0" w:right="0"/>
              <w:rPr>
                <w:szCs w:val="19"/>
              </w:rPr>
            </w:pPr>
            <w:r w:rsidRPr="000349EF">
              <w:rPr>
                <w:szCs w:val="19"/>
              </w:rPr>
              <w:t>46.6</w:t>
            </w:r>
          </w:p>
          <w:p w14:paraId="4EF64321" w14:textId="77777777" w:rsidR="00E6281E" w:rsidRPr="000349EF" w:rsidRDefault="00E6281E" w:rsidP="00593F12">
            <w:pPr>
              <w:pStyle w:val="Tabletext"/>
              <w:spacing w:before="0" w:after="0"/>
              <w:ind w:left="0" w:right="0"/>
              <w:rPr>
                <w:szCs w:val="19"/>
              </w:rPr>
            </w:pPr>
            <w:r w:rsidRPr="000349EF">
              <w:rPr>
                <w:szCs w:val="19"/>
              </w:rPr>
              <w:t>(5.2)</w:t>
            </w:r>
          </w:p>
        </w:tc>
        <w:tc>
          <w:tcPr>
            <w:tcW w:w="0" w:type="dxa"/>
          </w:tcPr>
          <w:p w14:paraId="587A26DF" w14:textId="77777777" w:rsidR="00E6281E" w:rsidRPr="000349EF" w:rsidRDefault="00E6281E" w:rsidP="00593F12">
            <w:pPr>
              <w:pStyle w:val="Tabletext"/>
              <w:spacing w:before="0" w:after="0"/>
              <w:ind w:left="0" w:right="0"/>
              <w:rPr>
                <w:szCs w:val="19"/>
              </w:rPr>
            </w:pPr>
            <w:r w:rsidRPr="000349EF">
              <w:rPr>
                <w:szCs w:val="19"/>
              </w:rPr>
              <w:t>12.4</w:t>
            </w:r>
          </w:p>
          <w:p w14:paraId="613229B4" w14:textId="77777777" w:rsidR="00E6281E" w:rsidRPr="000349EF" w:rsidRDefault="00E6281E" w:rsidP="00593F12">
            <w:pPr>
              <w:pStyle w:val="Tabletext"/>
              <w:spacing w:before="0" w:after="0"/>
              <w:ind w:left="0" w:right="0"/>
              <w:rPr>
                <w:szCs w:val="19"/>
              </w:rPr>
            </w:pPr>
            <w:r w:rsidRPr="000349EF">
              <w:rPr>
                <w:szCs w:val="19"/>
              </w:rPr>
              <w:t>(0.4)</w:t>
            </w:r>
          </w:p>
        </w:tc>
      </w:tr>
      <w:tr w:rsidR="00E6281E" w:rsidRPr="000349EF" w14:paraId="147FA3F5" w14:textId="77777777" w:rsidTr="002C634F">
        <w:tc>
          <w:tcPr>
            <w:tcW w:w="0" w:type="dxa"/>
          </w:tcPr>
          <w:p w14:paraId="529A74B0" w14:textId="77777777" w:rsidR="00E6281E" w:rsidRPr="000349EF" w:rsidRDefault="00E6281E" w:rsidP="00593F12">
            <w:pPr>
              <w:pStyle w:val="Tabletext"/>
              <w:spacing w:before="0" w:after="0"/>
              <w:ind w:left="0" w:right="0"/>
              <w:rPr>
                <w:szCs w:val="19"/>
              </w:rPr>
            </w:pPr>
            <w:r w:rsidRPr="000349EF">
              <w:rPr>
                <w:szCs w:val="19"/>
              </w:rPr>
              <w:t>Arthralgia</w:t>
            </w:r>
          </w:p>
        </w:tc>
        <w:tc>
          <w:tcPr>
            <w:tcW w:w="0" w:type="dxa"/>
          </w:tcPr>
          <w:p w14:paraId="0A7B77B5" w14:textId="77777777" w:rsidR="00E6281E" w:rsidRPr="000349EF" w:rsidRDefault="00E6281E" w:rsidP="00593F12">
            <w:pPr>
              <w:pStyle w:val="Tabletext"/>
              <w:spacing w:before="0" w:after="0"/>
              <w:ind w:left="0" w:right="0"/>
              <w:rPr>
                <w:szCs w:val="19"/>
              </w:rPr>
            </w:pPr>
            <w:r w:rsidRPr="000349EF">
              <w:rPr>
                <w:szCs w:val="19"/>
              </w:rPr>
              <w:t>16.1</w:t>
            </w:r>
          </w:p>
          <w:p w14:paraId="3DAC0038" w14:textId="77777777" w:rsidR="00E6281E" w:rsidRPr="000349EF" w:rsidRDefault="00E6281E" w:rsidP="00593F12">
            <w:pPr>
              <w:pStyle w:val="Tabletext"/>
              <w:spacing w:before="0" w:after="0"/>
              <w:ind w:left="0" w:right="0"/>
              <w:rPr>
                <w:szCs w:val="19"/>
              </w:rPr>
            </w:pPr>
            <w:r w:rsidRPr="000349EF">
              <w:rPr>
                <w:szCs w:val="19"/>
              </w:rPr>
              <w:t xml:space="preserve">(0.8) </w:t>
            </w:r>
          </w:p>
        </w:tc>
        <w:tc>
          <w:tcPr>
            <w:tcW w:w="0" w:type="dxa"/>
          </w:tcPr>
          <w:p w14:paraId="0A91374B" w14:textId="77777777" w:rsidR="00E6281E" w:rsidRPr="000349EF" w:rsidRDefault="00E6281E" w:rsidP="00593F12">
            <w:pPr>
              <w:pStyle w:val="Tabletext"/>
              <w:spacing w:before="0" w:after="0"/>
              <w:ind w:left="0" w:right="0"/>
              <w:rPr>
                <w:szCs w:val="19"/>
              </w:rPr>
            </w:pPr>
            <w:r w:rsidRPr="000349EF">
              <w:rPr>
                <w:szCs w:val="19"/>
              </w:rPr>
              <w:t>28.9</w:t>
            </w:r>
          </w:p>
          <w:p w14:paraId="0002EEA6" w14:textId="77777777" w:rsidR="00E6281E" w:rsidRPr="000349EF" w:rsidRDefault="00E6281E" w:rsidP="00593F12">
            <w:pPr>
              <w:pStyle w:val="Tabletext"/>
              <w:spacing w:before="0" w:after="0"/>
              <w:ind w:left="0" w:right="0"/>
              <w:rPr>
                <w:szCs w:val="19"/>
              </w:rPr>
            </w:pPr>
            <w:r w:rsidRPr="000349EF">
              <w:rPr>
                <w:szCs w:val="19"/>
              </w:rPr>
              <w:t>(2.3)</w:t>
            </w:r>
          </w:p>
        </w:tc>
        <w:tc>
          <w:tcPr>
            <w:tcW w:w="0" w:type="dxa"/>
          </w:tcPr>
          <w:p w14:paraId="0B8A04D7" w14:textId="77777777" w:rsidR="00E6281E" w:rsidRPr="000349EF" w:rsidRDefault="00E6281E" w:rsidP="00593F12">
            <w:pPr>
              <w:pStyle w:val="Tabletext"/>
              <w:spacing w:before="0" w:after="0"/>
              <w:ind w:left="0" w:right="0"/>
              <w:rPr>
                <w:szCs w:val="19"/>
              </w:rPr>
            </w:pPr>
            <w:r w:rsidRPr="000349EF">
              <w:rPr>
                <w:szCs w:val="19"/>
              </w:rPr>
              <w:t>10.8</w:t>
            </w:r>
          </w:p>
          <w:p w14:paraId="48E857DD" w14:textId="77777777" w:rsidR="00E6281E" w:rsidRPr="000349EF" w:rsidRDefault="00E6281E" w:rsidP="00593F12">
            <w:pPr>
              <w:pStyle w:val="Tabletext"/>
              <w:spacing w:before="0" w:after="0"/>
              <w:ind w:left="0" w:right="0"/>
              <w:rPr>
                <w:szCs w:val="19"/>
              </w:rPr>
            </w:pPr>
            <w:r w:rsidRPr="000349EF">
              <w:rPr>
                <w:szCs w:val="19"/>
              </w:rPr>
              <w:t>(0.3)</w:t>
            </w:r>
          </w:p>
        </w:tc>
      </w:tr>
      <w:tr w:rsidR="00E6281E" w:rsidRPr="000349EF" w14:paraId="4C10BB2D" w14:textId="77777777" w:rsidTr="002C634F">
        <w:tc>
          <w:tcPr>
            <w:tcW w:w="0" w:type="dxa"/>
          </w:tcPr>
          <w:p w14:paraId="7FC1B33C" w14:textId="77777777" w:rsidR="00E6281E" w:rsidRPr="000349EF" w:rsidRDefault="00E6281E" w:rsidP="00593F12">
            <w:pPr>
              <w:pStyle w:val="Tabletext"/>
              <w:spacing w:before="0" w:after="0"/>
              <w:ind w:left="0" w:right="0"/>
              <w:rPr>
                <w:szCs w:val="19"/>
              </w:rPr>
            </w:pPr>
            <w:r w:rsidRPr="000349EF">
              <w:rPr>
                <w:szCs w:val="19"/>
              </w:rPr>
              <w:t xml:space="preserve">Chills </w:t>
            </w:r>
          </w:p>
        </w:tc>
        <w:tc>
          <w:tcPr>
            <w:tcW w:w="0" w:type="dxa"/>
          </w:tcPr>
          <w:p w14:paraId="4505FEB5" w14:textId="77777777" w:rsidR="00E6281E" w:rsidRPr="000349EF" w:rsidRDefault="00E6281E" w:rsidP="00593F12">
            <w:pPr>
              <w:pStyle w:val="Tabletext"/>
              <w:spacing w:before="0" w:after="0"/>
              <w:ind w:left="0" w:right="0"/>
              <w:rPr>
                <w:szCs w:val="19"/>
              </w:rPr>
            </w:pPr>
            <w:r w:rsidRPr="000349EF">
              <w:rPr>
                <w:szCs w:val="19"/>
              </w:rPr>
              <w:t>30.3</w:t>
            </w:r>
          </w:p>
          <w:p w14:paraId="12092D9D" w14:textId="77777777" w:rsidR="00E6281E" w:rsidRPr="000349EF" w:rsidRDefault="00E6281E" w:rsidP="00593F12">
            <w:pPr>
              <w:pStyle w:val="Tabletext"/>
              <w:spacing w:before="0" w:after="0"/>
              <w:ind w:left="0" w:right="0"/>
              <w:rPr>
                <w:szCs w:val="19"/>
              </w:rPr>
            </w:pPr>
            <w:r w:rsidRPr="000349EF">
              <w:rPr>
                <w:szCs w:val="19"/>
              </w:rPr>
              <w:t>(0.6)</w:t>
            </w:r>
          </w:p>
        </w:tc>
        <w:tc>
          <w:tcPr>
            <w:tcW w:w="0" w:type="dxa"/>
          </w:tcPr>
          <w:p w14:paraId="05279AEF" w14:textId="77777777" w:rsidR="00E6281E" w:rsidRPr="000349EF" w:rsidRDefault="00E6281E" w:rsidP="00593F12">
            <w:pPr>
              <w:pStyle w:val="Tabletext"/>
              <w:spacing w:before="0" w:after="0"/>
              <w:ind w:left="0" w:right="0"/>
              <w:rPr>
                <w:szCs w:val="19"/>
              </w:rPr>
            </w:pPr>
            <w:r w:rsidRPr="000349EF">
              <w:rPr>
                <w:szCs w:val="19"/>
              </w:rPr>
              <w:t>43.0</w:t>
            </w:r>
          </w:p>
          <w:p w14:paraId="5B6F6D75" w14:textId="77777777" w:rsidR="00E6281E" w:rsidRPr="000349EF" w:rsidRDefault="00E6281E" w:rsidP="00593F12">
            <w:pPr>
              <w:pStyle w:val="Tabletext"/>
              <w:spacing w:before="0" w:after="0"/>
              <w:ind w:left="0" w:right="0"/>
              <w:rPr>
                <w:szCs w:val="19"/>
              </w:rPr>
            </w:pPr>
            <w:r w:rsidRPr="000349EF">
              <w:rPr>
                <w:szCs w:val="19"/>
              </w:rPr>
              <w:t>(0.4)</w:t>
            </w:r>
          </w:p>
        </w:tc>
        <w:tc>
          <w:tcPr>
            <w:tcW w:w="0" w:type="dxa"/>
          </w:tcPr>
          <w:p w14:paraId="5CC708E7" w14:textId="77777777" w:rsidR="00E6281E" w:rsidRPr="000349EF" w:rsidRDefault="00E6281E" w:rsidP="00593F12">
            <w:pPr>
              <w:pStyle w:val="Tabletext"/>
              <w:spacing w:before="0" w:after="0"/>
              <w:ind w:left="0" w:right="0"/>
              <w:rPr>
                <w:szCs w:val="19"/>
              </w:rPr>
            </w:pPr>
            <w:r w:rsidRPr="000349EF">
              <w:rPr>
                <w:szCs w:val="19"/>
              </w:rPr>
              <w:t>44.2</w:t>
            </w:r>
          </w:p>
          <w:p w14:paraId="5AAD793B" w14:textId="77777777" w:rsidR="00E6281E" w:rsidRPr="000349EF" w:rsidRDefault="00E6281E" w:rsidP="00593F12">
            <w:pPr>
              <w:pStyle w:val="Tabletext"/>
              <w:spacing w:before="0" w:after="0"/>
              <w:ind w:left="0" w:right="0"/>
              <w:rPr>
                <w:szCs w:val="19"/>
              </w:rPr>
            </w:pPr>
            <w:r w:rsidRPr="000349EF">
              <w:rPr>
                <w:szCs w:val="19"/>
              </w:rPr>
              <w:t>(1.3)</w:t>
            </w:r>
          </w:p>
        </w:tc>
      </w:tr>
      <w:tr w:rsidR="00E6281E" w:rsidRPr="000349EF" w14:paraId="016D3068" w14:textId="77777777" w:rsidTr="002C634F">
        <w:tc>
          <w:tcPr>
            <w:tcW w:w="0" w:type="dxa"/>
          </w:tcPr>
          <w:p w14:paraId="74A02F54" w14:textId="50E3BBB7" w:rsidR="00E6281E" w:rsidRPr="000349EF" w:rsidRDefault="00E6281E" w:rsidP="00593F12">
            <w:pPr>
              <w:pStyle w:val="Tabletext"/>
              <w:spacing w:before="0" w:after="0"/>
              <w:ind w:left="0" w:right="0"/>
              <w:rPr>
                <w:szCs w:val="19"/>
              </w:rPr>
            </w:pPr>
            <w:r w:rsidRPr="000349EF">
              <w:rPr>
                <w:szCs w:val="19"/>
              </w:rPr>
              <w:t>Nausea and</w:t>
            </w:r>
            <w:r w:rsidR="00FA4C17" w:rsidRPr="000349EF">
              <w:rPr>
                <w:szCs w:val="19"/>
              </w:rPr>
              <w:t xml:space="preserve"> </w:t>
            </w:r>
            <w:r w:rsidRPr="000349EF">
              <w:rPr>
                <w:szCs w:val="19"/>
              </w:rPr>
              <w:t>vomiting</w:t>
            </w:r>
          </w:p>
        </w:tc>
        <w:tc>
          <w:tcPr>
            <w:tcW w:w="0" w:type="dxa"/>
          </w:tcPr>
          <w:p w14:paraId="4044938A" w14:textId="77777777" w:rsidR="00E6281E" w:rsidRPr="000349EF" w:rsidRDefault="00E6281E" w:rsidP="00593F12">
            <w:pPr>
              <w:pStyle w:val="Tabletext"/>
              <w:spacing w:before="0" w:after="0"/>
              <w:ind w:left="0" w:right="0"/>
              <w:rPr>
                <w:szCs w:val="19"/>
              </w:rPr>
            </w:pPr>
            <w:r w:rsidRPr="000349EF">
              <w:rPr>
                <w:szCs w:val="19"/>
              </w:rPr>
              <w:t>23.9</w:t>
            </w:r>
          </w:p>
          <w:p w14:paraId="21DCEFE0" w14:textId="77777777" w:rsidR="00E6281E" w:rsidRPr="000349EF" w:rsidRDefault="00E6281E" w:rsidP="00593F12">
            <w:pPr>
              <w:pStyle w:val="Tabletext"/>
              <w:spacing w:before="0" w:after="0"/>
              <w:ind w:left="0" w:right="0"/>
              <w:rPr>
                <w:szCs w:val="19"/>
              </w:rPr>
            </w:pPr>
            <w:r w:rsidRPr="000349EF">
              <w:rPr>
                <w:szCs w:val="19"/>
              </w:rPr>
              <w:t>(0.6)</w:t>
            </w:r>
          </w:p>
        </w:tc>
        <w:tc>
          <w:tcPr>
            <w:tcW w:w="0" w:type="dxa"/>
          </w:tcPr>
          <w:p w14:paraId="33EB1694" w14:textId="77777777" w:rsidR="00E6281E" w:rsidRPr="000349EF" w:rsidRDefault="00E6281E" w:rsidP="00593F12">
            <w:pPr>
              <w:pStyle w:val="Tabletext"/>
              <w:spacing w:before="0" w:after="0"/>
              <w:ind w:left="0" w:right="0"/>
              <w:rPr>
                <w:szCs w:val="19"/>
              </w:rPr>
            </w:pPr>
            <w:r w:rsidRPr="000349EF">
              <w:rPr>
                <w:szCs w:val="19"/>
              </w:rPr>
              <w:t>23.9</w:t>
            </w:r>
          </w:p>
          <w:p w14:paraId="5CCDFA10" w14:textId="77777777" w:rsidR="00E6281E" w:rsidRPr="000349EF" w:rsidRDefault="00E6281E" w:rsidP="00593F12">
            <w:pPr>
              <w:pStyle w:val="Tabletext"/>
              <w:spacing w:before="0" w:after="0"/>
              <w:ind w:left="0" w:right="0"/>
              <w:rPr>
                <w:szCs w:val="19"/>
              </w:rPr>
            </w:pPr>
            <w:r w:rsidRPr="000349EF">
              <w:rPr>
                <w:szCs w:val="19"/>
              </w:rPr>
              <w:t>(&lt; 0.1)</w:t>
            </w:r>
          </w:p>
        </w:tc>
        <w:tc>
          <w:tcPr>
            <w:tcW w:w="0" w:type="dxa"/>
          </w:tcPr>
          <w:p w14:paraId="64FF30E5" w14:textId="77777777" w:rsidR="00E6281E" w:rsidRPr="000349EF" w:rsidRDefault="00E6281E" w:rsidP="00593F12">
            <w:pPr>
              <w:pStyle w:val="Tabletext"/>
              <w:spacing w:before="0" w:after="0"/>
              <w:ind w:left="0" w:right="0"/>
              <w:rPr>
                <w:szCs w:val="19"/>
              </w:rPr>
            </w:pPr>
            <w:r w:rsidRPr="000349EF">
              <w:rPr>
                <w:szCs w:val="19"/>
              </w:rPr>
              <w:t>19.0</w:t>
            </w:r>
          </w:p>
          <w:p w14:paraId="2D03AF6A" w14:textId="77777777" w:rsidR="00E6281E" w:rsidRPr="000349EF" w:rsidRDefault="00E6281E" w:rsidP="00593F12">
            <w:pPr>
              <w:pStyle w:val="Tabletext"/>
              <w:spacing w:before="0" w:after="0"/>
              <w:ind w:left="0" w:right="0"/>
              <w:rPr>
                <w:szCs w:val="19"/>
              </w:rPr>
            </w:pPr>
            <w:r w:rsidRPr="000349EF">
              <w:rPr>
                <w:szCs w:val="19"/>
              </w:rPr>
              <w:t xml:space="preserve">(0.1) </w:t>
            </w:r>
          </w:p>
        </w:tc>
      </w:tr>
      <w:tr w:rsidR="00E6281E" w:rsidRPr="000349EF" w14:paraId="62ED0594" w14:textId="77777777" w:rsidTr="002C634F">
        <w:tc>
          <w:tcPr>
            <w:tcW w:w="0" w:type="dxa"/>
          </w:tcPr>
          <w:p w14:paraId="54E6B06A" w14:textId="77777777" w:rsidR="00E6281E" w:rsidRPr="000349EF" w:rsidRDefault="00E6281E" w:rsidP="00593F12">
            <w:pPr>
              <w:pStyle w:val="Tabletext"/>
              <w:spacing w:before="0" w:after="0"/>
              <w:ind w:left="0" w:right="0"/>
              <w:rPr>
                <w:szCs w:val="19"/>
              </w:rPr>
            </w:pPr>
            <w:r w:rsidRPr="000349EF">
              <w:rPr>
                <w:szCs w:val="19"/>
              </w:rPr>
              <w:t>Injection site pain</w:t>
            </w:r>
          </w:p>
        </w:tc>
        <w:tc>
          <w:tcPr>
            <w:tcW w:w="0" w:type="dxa"/>
          </w:tcPr>
          <w:p w14:paraId="310AB9E9" w14:textId="77777777" w:rsidR="00E6281E" w:rsidRPr="000349EF" w:rsidRDefault="00E6281E" w:rsidP="00593F12">
            <w:pPr>
              <w:pStyle w:val="Tabletext"/>
              <w:spacing w:before="0" w:after="0"/>
              <w:ind w:left="0" w:right="0"/>
              <w:rPr>
                <w:szCs w:val="19"/>
              </w:rPr>
            </w:pPr>
            <w:r w:rsidRPr="000349EF">
              <w:rPr>
                <w:szCs w:val="19"/>
              </w:rPr>
              <w:t>94.8</w:t>
            </w:r>
          </w:p>
          <w:p w14:paraId="038AF810" w14:textId="77777777" w:rsidR="00E6281E" w:rsidRPr="000349EF" w:rsidRDefault="00E6281E" w:rsidP="00593F12">
            <w:pPr>
              <w:pStyle w:val="Tabletext"/>
              <w:spacing w:before="0" w:after="0"/>
              <w:ind w:left="0" w:right="0"/>
              <w:rPr>
                <w:szCs w:val="19"/>
              </w:rPr>
            </w:pPr>
            <w:r w:rsidRPr="000349EF">
              <w:rPr>
                <w:szCs w:val="19"/>
              </w:rPr>
              <w:t>(2.7)</w:t>
            </w:r>
          </w:p>
        </w:tc>
        <w:tc>
          <w:tcPr>
            <w:tcW w:w="0" w:type="dxa"/>
          </w:tcPr>
          <w:p w14:paraId="055B3E2E" w14:textId="77777777" w:rsidR="00E6281E" w:rsidRPr="000349EF" w:rsidRDefault="00E6281E" w:rsidP="00593F12">
            <w:pPr>
              <w:pStyle w:val="Tabletext"/>
              <w:spacing w:before="0" w:after="0"/>
              <w:ind w:left="0" w:right="0"/>
              <w:rPr>
                <w:szCs w:val="19"/>
              </w:rPr>
            </w:pPr>
            <w:r w:rsidRPr="000349EF">
              <w:rPr>
                <w:szCs w:val="19"/>
              </w:rPr>
              <w:t>92.4</w:t>
            </w:r>
          </w:p>
          <w:p w14:paraId="186D1F50" w14:textId="77777777" w:rsidR="00E6281E" w:rsidRPr="000349EF" w:rsidRDefault="00E6281E" w:rsidP="00593F12">
            <w:pPr>
              <w:pStyle w:val="Tabletext"/>
              <w:spacing w:before="0" w:after="0"/>
              <w:ind w:left="0" w:right="0"/>
              <w:rPr>
                <w:szCs w:val="19"/>
              </w:rPr>
            </w:pPr>
            <w:r w:rsidRPr="000349EF">
              <w:rPr>
                <w:szCs w:val="19"/>
              </w:rPr>
              <w:t>(5.1)</w:t>
            </w:r>
          </w:p>
        </w:tc>
        <w:tc>
          <w:tcPr>
            <w:tcW w:w="0" w:type="dxa"/>
          </w:tcPr>
          <w:p w14:paraId="2D57072C" w14:textId="77777777" w:rsidR="00E6281E" w:rsidRPr="000349EF" w:rsidRDefault="00E6281E" w:rsidP="00593F12">
            <w:pPr>
              <w:pStyle w:val="Tabletext"/>
              <w:spacing w:before="0" w:after="0"/>
              <w:ind w:left="0" w:right="0"/>
              <w:rPr>
                <w:szCs w:val="19"/>
              </w:rPr>
            </w:pPr>
            <w:r w:rsidRPr="000349EF">
              <w:rPr>
                <w:szCs w:val="19"/>
              </w:rPr>
              <w:t xml:space="preserve"> 88.2</w:t>
            </w:r>
          </w:p>
          <w:p w14:paraId="7EBAE4EB" w14:textId="77777777" w:rsidR="00E6281E" w:rsidRPr="000349EF" w:rsidRDefault="00E6281E" w:rsidP="00593F12">
            <w:pPr>
              <w:pStyle w:val="Tabletext"/>
              <w:spacing w:before="0" w:after="0"/>
              <w:ind w:left="0" w:right="0"/>
              <w:rPr>
                <w:szCs w:val="19"/>
              </w:rPr>
            </w:pPr>
            <w:r w:rsidRPr="000349EF">
              <w:rPr>
                <w:szCs w:val="19"/>
              </w:rPr>
              <w:t>(4.1)</w:t>
            </w:r>
          </w:p>
        </w:tc>
      </w:tr>
      <w:tr w:rsidR="00E6281E" w:rsidRPr="000349EF" w14:paraId="2805F0F9" w14:textId="77777777" w:rsidTr="002C634F">
        <w:tc>
          <w:tcPr>
            <w:tcW w:w="0" w:type="dxa"/>
          </w:tcPr>
          <w:p w14:paraId="39FBE27F" w14:textId="77777777" w:rsidR="00E6281E" w:rsidRPr="000349EF" w:rsidRDefault="00E6281E" w:rsidP="00593F12">
            <w:pPr>
              <w:pStyle w:val="Tabletext"/>
              <w:spacing w:before="0" w:after="0"/>
              <w:ind w:left="0" w:right="0"/>
              <w:rPr>
                <w:szCs w:val="19"/>
              </w:rPr>
            </w:pPr>
            <w:r w:rsidRPr="000349EF">
              <w:rPr>
                <w:szCs w:val="19"/>
              </w:rPr>
              <w:t>Redness</w:t>
            </w:r>
          </w:p>
        </w:tc>
        <w:tc>
          <w:tcPr>
            <w:tcW w:w="0" w:type="dxa"/>
          </w:tcPr>
          <w:p w14:paraId="0F2CF2EA" w14:textId="77777777" w:rsidR="00E6281E" w:rsidRPr="000349EF" w:rsidRDefault="00E6281E" w:rsidP="00593F12">
            <w:pPr>
              <w:pStyle w:val="Tabletext"/>
              <w:spacing w:before="0" w:after="0"/>
              <w:ind w:left="0" w:right="0"/>
              <w:rPr>
                <w:szCs w:val="19"/>
              </w:rPr>
            </w:pPr>
            <w:r w:rsidRPr="000349EF">
              <w:rPr>
                <w:szCs w:val="19"/>
              </w:rPr>
              <w:t>18.8</w:t>
            </w:r>
          </w:p>
          <w:p w14:paraId="4A6FA724" w14:textId="77777777" w:rsidR="00E6281E" w:rsidRPr="000349EF" w:rsidRDefault="00E6281E" w:rsidP="00593F12">
            <w:pPr>
              <w:pStyle w:val="Tabletext"/>
              <w:spacing w:before="0" w:after="0"/>
              <w:ind w:left="0" w:right="0"/>
              <w:rPr>
                <w:szCs w:val="19"/>
              </w:rPr>
            </w:pPr>
            <w:r w:rsidRPr="000349EF">
              <w:rPr>
                <w:szCs w:val="19"/>
              </w:rPr>
              <w:t>(1.1)</w:t>
            </w:r>
          </w:p>
        </w:tc>
        <w:tc>
          <w:tcPr>
            <w:tcW w:w="0" w:type="dxa"/>
          </w:tcPr>
          <w:p w14:paraId="386BE965" w14:textId="77777777" w:rsidR="00E6281E" w:rsidRPr="000349EF" w:rsidRDefault="00E6281E" w:rsidP="00593F12">
            <w:pPr>
              <w:pStyle w:val="Tabletext"/>
              <w:spacing w:before="0" w:after="0"/>
              <w:ind w:left="0" w:right="0"/>
              <w:rPr>
                <w:szCs w:val="19"/>
              </w:rPr>
            </w:pPr>
            <w:r w:rsidRPr="000349EF">
              <w:rPr>
                <w:szCs w:val="19"/>
              </w:rPr>
              <w:t>19.5</w:t>
            </w:r>
          </w:p>
          <w:p w14:paraId="1EE58EF3" w14:textId="77777777" w:rsidR="00E6281E" w:rsidRPr="000349EF" w:rsidRDefault="00E6281E" w:rsidP="00593F12">
            <w:pPr>
              <w:pStyle w:val="Tabletext"/>
              <w:spacing w:before="0" w:after="0"/>
              <w:ind w:left="0" w:right="0"/>
              <w:rPr>
                <w:szCs w:val="19"/>
              </w:rPr>
            </w:pPr>
            <w:r w:rsidRPr="000349EF">
              <w:rPr>
                <w:szCs w:val="19"/>
              </w:rPr>
              <w:t>(2.9)</w:t>
            </w:r>
          </w:p>
        </w:tc>
        <w:tc>
          <w:tcPr>
            <w:tcW w:w="0" w:type="dxa"/>
          </w:tcPr>
          <w:p w14:paraId="67A9D026" w14:textId="77777777" w:rsidR="00E6281E" w:rsidRPr="000349EF" w:rsidRDefault="00E6281E" w:rsidP="00593F12">
            <w:pPr>
              <w:pStyle w:val="Tabletext"/>
              <w:spacing w:before="0" w:after="0"/>
              <w:ind w:left="0" w:right="0"/>
              <w:rPr>
                <w:szCs w:val="19"/>
              </w:rPr>
            </w:pPr>
            <w:r w:rsidRPr="000349EF">
              <w:rPr>
                <w:szCs w:val="19"/>
              </w:rPr>
              <w:t>8.6</w:t>
            </w:r>
          </w:p>
          <w:p w14:paraId="78A333C4" w14:textId="77777777" w:rsidR="00E6281E" w:rsidRPr="000349EF" w:rsidRDefault="00E6281E" w:rsidP="00593F12">
            <w:pPr>
              <w:pStyle w:val="Tabletext"/>
              <w:spacing w:before="0" w:after="0"/>
              <w:ind w:left="0" w:right="0"/>
              <w:rPr>
                <w:szCs w:val="19"/>
              </w:rPr>
            </w:pPr>
            <w:r w:rsidRPr="000349EF">
              <w:rPr>
                <w:szCs w:val="19"/>
              </w:rPr>
              <w:t>(2.0)</w:t>
            </w:r>
          </w:p>
        </w:tc>
      </w:tr>
      <w:tr w:rsidR="00E6281E" w:rsidRPr="000349EF" w14:paraId="317AFD53" w14:textId="77777777" w:rsidTr="002C634F">
        <w:tc>
          <w:tcPr>
            <w:tcW w:w="0" w:type="dxa"/>
          </w:tcPr>
          <w:p w14:paraId="06FA4339" w14:textId="77777777" w:rsidR="00E6281E" w:rsidRPr="000349EF" w:rsidRDefault="00E6281E" w:rsidP="00593F12">
            <w:pPr>
              <w:pStyle w:val="Tabletext"/>
              <w:spacing w:before="0" w:after="0"/>
              <w:ind w:left="0" w:right="0"/>
              <w:rPr>
                <w:szCs w:val="19"/>
              </w:rPr>
            </w:pPr>
            <w:r w:rsidRPr="000349EF">
              <w:rPr>
                <w:szCs w:val="19"/>
              </w:rPr>
              <w:t>Swelling</w:t>
            </w:r>
          </w:p>
        </w:tc>
        <w:tc>
          <w:tcPr>
            <w:tcW w:w="0" w:type="dxa"/>
          </w:tcPr>
          <w:p w14:paraId="49F18F1D" w14:textId="77777777" w:rsidR="00E6281E" w:rsidRPr="000349EF" w:rsidRDefault="00E6281E" w:rsidP="00593F12">
            <w:pPr>
              <w:pStyle w:val="Tabletext"/>
              <w:spacing w:before="0" w:after="0"/>
              <w:ind w:left="0" w:right="0"/>
              <w:rPr>
                <w:szCs w:val="19"/>
              </w:rPr>
            </w:pPr>
            <w:r w:rsidRPr="000349EF">
              <w:rPr>
                <w:szCs w:val="19"/>
              </w:rPr>
              <w:t>17.1</w:t>
            </w:r>
          </w:p>
          <w:p w14:paraId="530C2838" w14:textId="77777777" w:rsidR="00E6281E" w:rsidRPr="000349EF" w:rsidRDefault="00E6281E" w:rsidP="00593F12">
            <w:pPr>
              <w:pStyle w:val="Tabletext"/>
              <w:spacing w:before="0" w:after="0"/>
              <w:ind w:left="0" w:right="0"/>
              <w:rPr>
                <w:szCs w:val="19"/>
              </w:rPr>
            </w:pPr>
            <w:r w:rsidRPr="000349EF">
              <w:rPr>
                <w:szCs w:val="19"/>
              </w:rPr>
              <w:t>(0.7)</w:t>
            </w:r>
          </w:p>
        </w:tc>
        <w:tc>
          <w:tcPr>
            <w:tcW w:w="0" w:type="dxa"/>
          </w:tcPr>
          <w:p w14:paraId="146FE0A3" w14:textId="77777777" w:rsidR="00E6281E" w:rsidRPr="000349EF" w:rsidRDefault="00E6281E" w:rsidP="00593F12">
            <w:pPr>
              <w:pStyle w:val="Tabletext"/>
              <w:spacing w:before="0" w:after="0"/>
              <w:ind w:left="0" w:right="0"/>
              <w:rPr>
                <w:szCs w:val="19"/>
              </w:rPr>
            </w:pPr>
            <w:r w:rsidRPr="000349EF">
              <w:rPr>
                <w:szCs w:val="19"/>
              </w:rPr>
              <w:t>20.5</w:t>
            </w:r>
          </w:p>
          <w:p w14:paraId="23097D19" w14:textId="77777777" w:rsidR="00E6281E" w:rsidRPr="000349EF" w:rsidRDefault="00E6281E" w:rsidP="00593F12">
            <w:pPr>
              <w:pStyle w:val="Tabletext"/>
              <w:spacing w:before="0" w:after="0"/>
              <w:ind w:left="0" w:right="0"/>
              <w:rPr>
                <w:szCs w:val="19"/>
              </w:rPr>
            </w:pPr>
            <w:r w:rsidRPr="000349EF">
              <w:rPr>
                <w:szCs w:val="19"/>
              </w:rPr>
              <w:t>(2.3)</w:t>
            </w:r>
          </w:p>
        </w:tc>
        <w:tc>
          <w:tcPr>
            <w:tcW w:w="0" w:type="dxa"/>
          </w:tcPr>
          <w:p w14:paraId="3E10DE2E" w14:textId="77777777" w:rsidR="00E6281E" w:rsidRPr="000349EF" w:rsidRDefault="00E6281E" w:rsidP="00593F12">
            <w:pPr>
              <w:pStyle w:val="Tabletext"/>
              <w:spacing w:before="0" w:after="0"/>
              <w:ind w:left="0" w:right="0"/>
              <w:rPr>
                <w:szCs w:val="19"/>
              </w:rPr>
            </w:pPr>
            <w:r w:rsidRPr="000349EF">
              <w:rPr>
                <w:szCs w:val="19"/>
              </w:rPr>
              <w:t>12.2</w:t>
            </w:r>
          </w:p>
          <w:p w14:paraId="28286A19" w14:textId="77777777" w:rsidR="00E6281E" w:rsidRPr="000349EF" w:rsidRDefault="00E6281E" w:rsidP="00593F12">
            <w:pPr>
              <w:pStyle w:val="Tabletext"/>
              <w:spacing w:before="0" w:after="0"/>
              <w:ind w:left="0" w:right="0"/>
              <w:rPr>
                <w:szCs w:val="19"/>
              </w:rPr>
            </w:pPr>
            <w:r w:rsidRPr="000349EF">
              <w:rPr>
                <w:szCs w:val="19"/>
              </w:rPr>
              <w:t>(1.7)</w:t>
            </w:r>
          </w:p>
        </w:tc>
      </w:tr>
      <w:tr w:rsidR="00E6281E" w:rsidRPr="000349EF" w14:paraId="43E340B4" w14:textId="77777777" w:rsidTr="002C634F">
        <w:tc>
          <w:tcPr>
            <w:tcW w:w="0" w:type="dxa"/>
          </w:tcPr>
          <w:p w14:paraId="5655347D" w14:textId="77777777" w:rsidR="00E6281E" w:rsidRPr="000349EF" w:rsidRDefault="00E6281E" w:rsidP="00593F12">
            <w:pPr>
              <w:pStyle w:val="Tabletext"/>
              <w:spacing w:before="0" w:after="0"/>
              <w:ind w:left="0" w:right="0"/>
              <w:rPr>
                <w:szCs w:val="19"/>
              </w:rPr>
            </w:pPr>
            <w:r w:rsidRPr="000349EF">
              <w:rPr>
                <w:szCs w:val="19"/>
              </w:rPr>
              <w:t>Axillary swelling</w:t>
            </w:r>
          </w:p>
        </w:tc>
        <w:tc>
          <w:tcPr>
            <w:tcW w:w="0" w:type="dxa"/>
          </w:tcPr>
          <w:p w14:paraId="1DCB895C" w14:textId="77777777" w:rsidR="00E6281E" w:rsidRPr="000349EF" w:rsidRDefault="00E6281E" w:rsidP="00593F12">
            <w:pPr>
              <w:pStyle w:val="Tabletext"/>
              <w:spacing w:before="0" w:after="0"/>
              <w:ind w:left="0" w:right="0"/>
              <w:rPr>
                <w:szCs w:val="19"/>
              </w:rPr>
            </w:pPr>
            <w:r w:rsidRPr="000349EF">
              <w:rPr>
                <w:szCs w:val="19"/>
              </w:rPr>
              <w:t>18</w:t>
            </w:r>
          </w:p>
          <w:p w14:paraId="2461621E" w14:textId="77777777" w:rsidR="00E6281E" w:rsidRPr="000349EF" w:rsidRDefault="00E6281E" w:rsidP="00593F12">
            <w:pPr>
              <w:pStyle w:val="Tabletext"/>
              <w:spacing w:before="0" w:after="0"/>
              <w:ind w:left="0" w:right="0"/>
              <w:rPr>
                <w:szCs w:val="19"/>
              </w:rPr>
            </w:pPr>
            <w:r w:rsidRPr="000349EF">
              <w:rPr>
                <w:szCs w:val="19"/>
              </w:rPr>
              <w:t>(0.1)</w:t>
            </w:r>
          </w:p>
        </w:tc>
        <w:tc>
          <w:tcPr>
            <w:tcW w:w="0" w:type="dxa"/>
          </w:tcPr>
          <w:p w14:paraId="46FDEE9E" w14:textId="77777777" w:rsidR="00E6281E" w:rsidRPr="000349EF" w:rsidRDefault="00E6281E" w:rsidP="00593F12">
            <w:pPr>
              <w:pStyle w:val="Tabletext"/>
              <w:spacing w:before="0" w:after="0"/>
              <w:ind w:left="0" w:right="0"/>
              <w:rPr>
                <w:szCs w:val="19"/>
              </w:rPr>
            </w:pPr>
            <w:r w:rsidRPr="000349EF">
              <w:rPr>
                <w:szCs w:val="19"/>
              </w:rPr>
              <w:t>21.0</w:t>
            </w:r>
          </w:p>
          <w:p w14:paraId="16B7F573" w14:textId="77777777" w:rsidR="00E6281E" w:rsidRPr="000349EF" w:rsidRDefault="00E6281E" w:rsidP="00593F12">
            <w:pPr>
              <w:pStyle w:val="Tabletext"/>
              <w:spacing w:before="0" w:after="0"/>
              <w:ind w:left="0" w:right="0"/>
              <w:rPr>
                <w:szCs w:val="19"/>
              </w:rPr>
            </w:pPr>
            <w:r w:rsidRPr="000349EF">
              <w:rPr>
                <w:szCs w:val="19"/>
              </w:rPr>
              <w:t>(0.3)</w:t>
            </w:r>
          </w:p>
        </w:tc>
        <w:tc>
          <w:tcPr>
            <w:tcW w:w="0" w:type="dxa"/>
          </w:tcPr>
          <w:p w14:paraId="2A4FEC49" w14:textId="77777777" w:rsidR="00E6281E" w:rsidRPr="000349EF" w:rsidRDefault="00E6281E" w:rsidP="00593F12">
            <w:pPr>
              <w:pStyle w:val="Tabletext"/>
              <w:spacing w:before="0" w:after="0"/>
              <w:ind w:left="0" w:right="0"/>
              <w:rPr>
                <w:szCs w:val="19"/>
              </w:rPr>
            </w:pPr>
            <w:r w:rsidRPr="000349EF">
              <w:rPr>
                <w:szCs w:val="19"/>
              </w:rPr>
              <w:t>14.2</w:t>
            </w:r>
          </w:p>
          <w:p w14:paraId="57286623" w14:textId="77777777" w:rsidR="00E6281E" w:rsidRPr="000349EF" w:rsidRDefault="00E6281E" w:rsidP="00593F12">
            <w:pPr>
              <w:pStyle w:val="Tabletext"/>
              <w:spacing w:before="0" w:after="0"/>
              <w:ind w:left="0" w:right="0"/>
              <w:rPr>
                <w:szCs w:val="19"/>
              </w:rPr>
            </w:pPr>
            <w:r w:rsidRPr="000349EF">
              <w:rPr>
                <w:szCs w:val="19"/>
              </w:rPr>
              <w:t>(0.5)</w:t>
            </w:r>
          </w:p>
        </w:tc>
      </w:tr>
    </w:tbl>
    <w:p w14:paraId="23026860" w14:textId="5646DBC1" w:rsidR="00AB0D77" w:rsidRPr="000349EF" w:rsidRDefault="00593F12" w:rsidP="00055D3D">
      <w:pPr>
        <w:pStyle w:val="TableDescription"/>
      </w:pPr>
      <w:bookmarkStart w:id="118" w:name="_Toc93934509"/>
      <w:r w:rsidRPr="000349EF">
        <w:t xml:space="preserve">AG = any grade; D2 = Dose 2; </w:t>
      </w:r>
      <w:r w:rsidR="00AB0D77" w:rsidRPr="000349EF">
        <w:t>G3 = Grade 3</w:t>
      </w:r>
      <w:r w:rsidRPr="000349EF">
        <w:t xml:space="preserve">; </w:t>
      </w:r>
      <w:r w:rsidR="00CB303D" w:rsidRPr="000349EF">
        <w:t>m</w:t>
      </w:r>
      <w:r w:rsidRPr="000349EF">
        <w:t>od = moderate;</w:t>
      </w:r>
      <w:r w:rsidR="00055D3D" w:rsidRPr="000349EF">
        <w:t xml:space="preserve"> SR = solicited reactions;</w:t>
      </w:r>
      <w:r w:rsidRPr="000349EF">
        <w:t xml:space="preserve"> YOA = years of age.</w:t>
      </w:r>
    </w:p>
    <w:p w14:paraId="00361A21" w14:textId="77457A57" w:rsidR="00E6281E" w:rsidRPr="000349EF" w:rsidRDefault="002A43E4" w:rsidP="00A04B72">
      <w:pPr>
        <w:pStyle w:val="Heading7"/>
        <w:rPr>
          <w:szCs w:val="28"/>
        </w:rPr>
      </w:pPr>
      <w:r w:rsidRPr="000349EF">
        <w:rPr>
          <w:sz w:val="22"/>
          <w:szCs w:val="28"/>
        </w:rPr>
        <w:t>Reactogenicity</w:t>
      </w:r>
      <w:r w:rsidR="00E6281E" w:rsidRPr="000349EF">
        <w:rPr>
          <w:sz w:val="22"/>
          <w:szCs w:val="28"/>
        </w:rPr>
        <w:t xml:space="preserve"> of Spikevax in 6 to &lt; 12 years old versus 18 to 25 years old</w:t>
      </w:r>
      <w:bookmarkEnd w:id="118"/>
    </w:p>
    <w:p w14:paraId="36950435" w14:textId="79CE9E80" w:rsidR="00E6281E" w:rsidRPr="000349EF" w:rsidRDefault="00E6281E" w:rsidP="00E6281E">
      <w:pPr>
        <w:autoSpaceDE w:val="0"/>
        <w:autoSpaceDN w:val="0"/>
        <w:adjustRightInd w:val="0"/>
        <w:spacing w:before="0" w:after="0" w:line="240" w:lineRule="auto"/>
        <w:rPr>
          <w:rFonts w:asciiTheme="minorHAnsi" w:eastAsiaTheme="minorHAnsi" w:hAnsiTheme="minorHAnsi" w:cs="TimesNewRomanPSMT"/>
          <w:color w:val="000000"/>
        </w:rPr>
      </w:pPr>
      <w:r w:rsidRPr="000349EF">
        <w:rPr>
          <w:rFonts w:asciiTheme="minorHAnsi" w:eastAsiaTheme="minorHAnsi" w:hAnsiTheme="minorHAnsi" w:cs="TimesNewRomanPSMT"/>
          <w:color w:val="000000"/>
        </w:rPr>
        <w:t xml:space="preserve">The following was documented in the </w:t>
      </w:r>
      <w:r w:rsidR="002A43E4" w:rsidRPr="000349EF">
        <w:rPr>
          <w:rFonts w:asciiTheme="minorHAnsi" w:eastAsiaTheme="minorHAnsi" w:hAnsiTheme="minorHAnsi" w:cs="TimesNewRomanPSMT"/>
          <w:color w:val="000000"/>
        </w:rPr>
        <w:t>clinical overview</w:t>
      </w:r>
      <w:r w:rsidR="00952F9C" w:rsidRPr="000349EF">
        <w:rPr>
          <w:rFonts w:asciiTheme="minorHAnsi" w:eastAsiaTheme="minorHAnsi" w:hAnsiTheme="minorHAnsi" w:cs="TimesNewRomanPSMT"/>
          <w:color w:val="000000"/>
        </w:rPr>
        <w:t xml:space="preserve"> submitted by the sponsor</w:t>
      </w:r>
      <w:r w:rsidRPr="000349EF">
        <w:rPr>
          <w:rFonts w:asciiTheme="minorHAnsi" w:eastAsiaTheme="minorHAnsi" w:hAnsiTheme="minorHAnsi" w:cs="TimesNewRomanPSMT"/>
          <w:color w:val="000000"/>
        </w:rPr>
        <w:t>:</w:t>
      </w:r>
    </w:p>
    <w:p w14:paraId="7F0C0BFB" w14:textId="45C43AE6" w:rsidR="00E6281E" w:rsidRPr="000349EF" w:rsidRDefault="00744CCF" w:rsidP="00952F9C">
      <w:pPr>
        <w:ind w:left="720"/>
        <w:rPr>
          <w:i/>
          <w:iCs/>
        </w:rPr>
      </w:pPr>
      <w:r w:rsidRPr="000349EF">
        <w:rPr>
          <w:i/>
          <w:iCs/>
        </w:rPr>
        <w:t>‘</w:t>
      </w:r>
      <w:r w:rsidR="00E6281E" w:rsidRPr="000349EF">
        <w:rPr>
          <w:i/>
          <w:iCs/>
        </w:rPr>
        <w:t>Solicited local ARs within 7 days of any dose of mRNA-1273 were reported at a similar</w:t>
      </w:r>
      <w:r w:rsidR="00593F12" w:rsidRPr="000349EF">
        <w:rPr>
          <w:i/>
          <w:iCs/>
        </w:rPr>
        <w:t xml:space="preserve"> </w:t>
      </w:r>
      <w:r w:rsidR="00E6281E" w:rsidRPr="000349EF">
        <w:rPr>
          <w:i/>
          <w:iCs/>
        </w:rPr>
        <w:t xml:space="preserve">frequency in Study P204 participants (98.6%) as in Study P301 participants </w:t>
      </w:r>
      <w:r w:rsidR="00E6281E" w:rsidRPr="000349EF">
        <w:rPr>
          <w:i/>
          <w:iCs/>
        </w:rPr>
        <w:lastRenderedPageBreak/>
        <w:t xml:space="preserve">(94.1%). In participants in both studies the majority of solicited local ARs were grade 1 or 2. Grade 3 solicited local ARs were reported in 5.5% of Study P204 participants and no grade 4 ARs were reported in this group. In contrast, grade 3 ARs were more frequent in Study P301 participants (11.4%). The most common solicited local AR was pain in both the Study P204 (98.4%) and Study P301 (89.4% after both </w:t>
      </w:r>
      <w:r w:rsidR="00A5478D" w:rsidRPr="000349EF">
        <w:rPr>
          <w:i/>
          <w:iCs/>
        </w:rPr>
        <w:t>Dose 1</w:t>
      </w:r>
      <w:r w:rsidR="00E6281E" w:rsidRPr="000349EF">
        <w:rPr>
          <w:i/>
          <w:iCs/>
        </w:rPr>
        <w:t xml:space="preserve"> and </w:t>
      </w:r>
      <w:r w:rsidR="00A5478D" w:rsidRPr="000349EF">
        <w:rPr>
          <w:i/>
          <w:iCs/>
        </w:rPr>
        <w:t>Dose 2</w:t>
      </w:r>
      <w:r w:rsidR="00E6281E" w:rsidRPr="000349EF">
        <w:rPr>
          <w:i/>
          <w:iCs/>
        </w:rPr>
        <w:t>) participants.</w:t>
      </w:r>
    </w:p>
    <w:p w14:paraId="111861C3" w14:textId="7E30782A" w:rsidR="00E6281E" w:rsidRPr="000349EF" w:rsidRDefault="00E6281E" w:rsidP="00952F9C">
      <w:pPr>
        <w:ind w:left="720"/>
        <w:rPr>
          <w:i/>
          <w:iCs/>
        </w:rPr>
      </w:pPr>
      <w:r w:rsidRPr="000349EF">
        <w:rPr>
          <w:i/>
          <w:iCs/>
        </w:rPr>
        <w:t>Solicited systemic ARs within 7 days of any dose of mRNA-1273 were reported at consistent</w:t>
      </w:r>
      <w:r w:rsidR="00593F12" w:rsidRPr="000349EF">
        <w:rPr>
          <w:i/>
          <w:iCs/>
        </w:rPr>
        <w:t xml:space="preserve"> </w:t>
      </w:r>
      <w:r w:rsidRPr="000349EF">
        <w:rPr>
          <w:i/>
          <w:iCs/>
        </w:rPr>
        <w:t xml:space="preserve">rates in Study P204 participants (86.5%) and in Study P301 participants (89.1%). The majority of solicited systemic ARs after any dose were </w:t>
      </w:r>
      <w:r w:rsidR="00593F12" w:rsidRPr="000349EF">
        <w:rPr>
          <w:i/>
          <w:iCs/>
        </w:rPr>
        <w:t>G</w:t>
      </w:r>
      <w:r w:rsidRPr="000349EF">
        <w:rPr>
          <w:i/>
          <w:iCs/>
        </w:rPr>
        <w:t xml:space="preserve">rade 1 or 2 for both Study P204 participants and Study P301 participants. Grade 3 solicited systemic ARs were less frequent in Study P204 participants (13.3%) than in Study P301 participants (23.5%). The most common solicited systemic ARs in Study P204 participants were fatigue (43.4% after </w:t>
      </w:r>
      <w:r w:rsidR="00A5478D" w:rsidRPr="000349EF">
        <w:rPr>
          <w:i/>
          <w:iCs/>
        </w:rPr>
        <w:t>Dose 1</w:t>
      </w:r>
      <w:r w:rsidRPr="000349EF">
        <w:rPr>
          <w:i/>
          <w:iCs/>
        </w:rPr>
        <w:t xml:space="preserve"> and 64.4% after </w:t>
      </w:r>
      <w:r w:rsidR="00A5478D" w:rsidRPr="000349EF">
        <w:rPr>
          <w:i/>
          <w:iCs/>
        </w:rPr>
        <w:t>Dose 2</w:t>
      </w:r>
      <w:r w:rsidRPr="000349EF">
        <w:rPr>
          <w:i/>
          <w:iCs/>
        </w:rPr>
        <w:t xml:space="preserve">) and headache (31.2% after </w:t>
      </w:r>
      <w:r w:rsidR="00A5478D" w:rsidRPr="000349EF">
        <w:rPr>
          <w:i/>
          <w:iCs/>
        </w:rPr>
        <w:t>Dose 1</w:t>
      </w:r>
      <w:r w:rsidRPr="000349EF">
        <w:rPr>
          <w:i/>
          <w:iCs/>
        </w:rPr>
        <w:t xml:space="preserve"> and 54.2% after </w:t>
      </w:r>
      <w:r w:rsidR="00A5478D" w:rsidRPr="000349EF">
        <w:rPr>
          <w:i/>
          <w:iCs/>
        </w:rPr>
        <w:t>Dose 2</w:t>
      </w:r>
      <w:r w:rsidRPr="000349EF">
        <w:rPr>
          <w:i/>
          <w:iCs/>
        </w:rPr>
        <w:t xml:space="preserve">). The most common solicited systemic ARs in Study P301 participants were also fatigue (45.9% after </w:t>
      </w:r>
      <w:r w:rsidR="00A5478D" w:rsidRPr="000349EF">
        <w:rPr>
          <w:i/>
          <w:iCs/>
        </w:rPr>
        <w:t>Dose 1</w:t>
      </w:r>
      <w:r w:rsidRPr="000349EF">
        <w:rPr>
          <w:i/>
          <w:iCs/>
        </w:rPr>
        <w:t xml:space="preserve"> and 69.2% after </w:t>
      </w:r>
      <w:r w:rsidR="00A5478D" w:rsidRPr="000349EF">
        <w:rPr>
          <w:i/>
          <w:iCs/>
        </w:rPr>
        <w:t>Dose 2</w:t>
      </w:r>
      <w:r w:rsidRPr="000349EF">
        <w:rPr>
          <w:i/>
          <w:iCs/>
        </w:rPr>
        <w:t xml:space="preserve">) and headache (42.8% after </w:t>
      </w:r>
      <w:r w:rsidR="00A5478D" w:rsidRPr="000349EF">
        <w:rPr>
          <w:i/>
          <w:iCs/>
        </w:rPr>
        <w:t>Dose 1</w:t>
      </w:r>
      <w:r w:rsidRPr="000349EF">
        <w:rPr>
          <w:i/>
          <w:iCs/>
        </w:rPr>
        <w:t xml:space="preserve"> and 70.1% after </w:t>
      </w:r>
      <w:r w:rsidR="00A5478D" w:rsidRPr="000349EF">
        <w:rPr>
          <w:i/>
          <w:iCs/>
        </w:rPr>
        <w:t>Dose 2</w:t>
      </w:r>
      <w:r w:rsidRPr="000349EF">
        <w:rPr>
          <w:i/>
          <w:iCs/>
        </w:rPr>
        <w:t>).</w:t>
      </w:r>
    </w:p>
    <w:p w14:paraId="4E918B93" w14:textId="3167C8F2" w:rsidR="00E6281E" w:rsidRPr="000349EF" w:rsidRDefault="00E6281E" w:rsidP="00952F9C">
      <w:pPr>
        <w:ind w:left="720"/>
        <w:rPr>
          <w:i/>
          <w:iCs/>
        </w:rPr>
      </w:pPr>
      <w:r w:rsidRPr="000349EF">
        <w:rPr>
          <w:i/>
          <w:iCs/>
        </w:rPr>
        <w:t>The solicited systemic AR of fever was more common in Study P204 participants (3.4% after</w:t>
      </w:r>
      <w:r w:rsidR="00A5478D" w:rsidRPr="000349EF">
        <w:rPr>
          <w:i/>
          <w:iCs/>
        </w:rPr>
        <w:t xml:space="preserve"> Dose 1</w:t>
      </w:r>
      <w:r w:rsidRPr="000349EF">
        <w:rPr>
          <w:i/>
          <w:iCs/>
        </w:rPr>
        <w:t xml:space="preserve"> and 24.1% after </w:t>
      </w:r>
      <w:r w:rsidR="00A5478D" w:rsidRPr="000349EF">
        <w:rPr>
          <w:i/>
          <w:iCs/>
        </w:rPr>
        <w:t>Dose 2</w:t>
      </w:r>
      <w:r w:rsidRPr="000349EF">
        <w:rPr>
          <w:i/>
          <w:iCs/>
        </w:rPr>
        <w:t xml:space="preserve">) than in Study P301 participants (1.7% after </w:t>
      </w:r>
      <w:r w:rsidR="00A5478D" w:rsidRPr="000349EF">
        <w:rPr>
          <w:i/>
          <w:iCs/>
        </w:rPr>
        <w:t>Dose 1</w:t>
      </w:r>
      <w:r w:rsidRPr="000349EF">
        <w:rPr>
          <w:i/>
          <w:iCs/>
        </w:rPr>
        <w:t xml:space="preserve"> and 18.2% after </w:t>
      </w:r>
      <w:r w:rsidR="00A5478D" w:rsidRPr="000349EF">
        <w:rPr>
          <w:i/>
          <w:iCs/>
        </w:rPr>
        <w:t>Dose 2</w:t>
      </w:r>
      <w:r w:rsidRPr="000349EF">
        <w:rPr>
          <w:i/>
          <w:iCs/>
        </w:rPr>
        <w:t>). Grade 3 fever was also more frequent in Study</w:t>
      </w:r>
      <w:r w:rsidR="00593F12" w:rsidRPr="000349EF">
        <w:rPr>
          <w:i/>
          <w:iCs/>
        </w:rPr>
        <w:t> </w:t>
      </w:r>
      <w:r w:rsidRPr="000349EF">
        <w:rPr>
          <w:i/>
          <w:iCs/>
        </w:rPr>
        <w:t xml:space="preserve">P204 participants (0.6% after </w:t>
      </w:r>
      <w:r w:rsidR="00A5478D" w:rsidRPr="000349EF">
        <w:rPr>
          <w:i/>
          <w:iCs/>
        </w:rPr>
        <w:t>Dose 1</w:t>
      </w:r>
      <w:r w:rsidRPr="000349EF">
        <w:rPr>
          <w:i/>
          <w:iCs/>
        </w:rPr>
        <w:t xml:space="preserve"> and 3.8% after </w:t>
      </w:r>
      <w:r w:rsidR="00A5478D" w:rsidRPr="000349EF">
        <w:rPr>
          <w:i/>
          <w:iCs/>
        </w:rPr>
        <w:t>Dose 2</w:t>
      </w:r>
      <w:r w:rsidRPr="000349EF">
        <w:rPr>
          <w:i/>
          <w:iCs/>
        </w:rPr>
        <w:t xml:space="preserve">) than in Study P301 participants (0 after </w:t>
      </w:r>
      <w:r w:rsidR="00A5478D" w:rsidRPr="000349EF">
        <w:rPr>
          <w:i/>
          <w:iCs/>
        </w:rPr>
        <w:t>Dose 1</w:t>
      </w:r>
      <w:r w:rsidRPr="000349EF">
        <w:rPr>
          <w:i/>
          <w:iCs/>
        </w:rPr>
        <w:t xml:space="preserve"> and 1.2% after </w:t>
      </w:r>
      <w:r w:rsidR="00A5478D" w:rsidRPr="000349EF">
        <w:rPr>
          <w:i/>
          <w:iCs/>
        </w:rPr>
        <w:t>Dose 2</w:t>
      </w:r>
      <w:r w:rsidRPr="000349EF">
        <w:rPr>
          <w:i/>
          <w:iCs/>
        </w:rPr>
        <w:t>).</w:t>
      </w:r>
      <w:r w:rsidR="00952F9C" w:rsidRPr="000349EF">
        <w:rPr>
          <w:i/>
          <w:iCs/>
        </w:rPr>
        <w:t>’</w:t>
      </w:r>
    </w:p>
    <w:p w14:paraId="7DA27578" w14:textId="67C1B4D6" w:rsidR="00E6281E" w:rsidRPr="000349EF" w:rsidRDefault="00E6281E" w:rsidP="00A04B72">
      <w:r w:rsidRPr="000349EF">
        <w:t xml:space="preserve">The overall reactogenicity profile of </w:t>
      </w:r>
      <w:r w:rsidR="00593F12" w:rsidRPr="000349EF">
        <w:t xml:space="preserve">the </w:t>
      </w:r>
      <w:r w:rsidRPr="000349EF">
        <w:t xml:space="preserve">50 </w:t>
      </w:r>
      <w:proofErr w:type="spellStart"/>
      <w:r w:rsidRPr="000349EF">
        <w:t>μg</w:t>
      </w:r>
      <w:proofErr w:type="spellEnd"/>
      <w:r w:rsidRPr="000349EF">
        <w:t xml:space="preserve"> dose in </w:t>
      </w:r>
      <w:r w:rsidR="00593F12" w:rsidRPr="000349EF">
        <w:t xml:space="preserve">the </w:t>
      </w:r>
      <w:r w:rsidRPr="000349EF">
        <w:t>6</w:t>
      </w:r>
      <w:r w:rsidR="002A43E4" w:rsidRPr="000349EF">
        <w:t xml:space="preserve"> to </w:t>
      </w:r>
      <w:r w:rsidRPr="000349EF">
        <w:t xml:space="preserve">&lt; 12 </w:t>
      </w:r>
      <w:r w:rsidR="00EC79E7" w:rsidRPr="000349EF">
        <w:t>years</w:t>
      </w:r>
      <w:r w:rsidR="00593F12" w:rsidRPr="000349EF">
        <w:t xml:space="preserve"> old population</w:t>
      </w:r>
      <w:r w:rsidRPr="000349EF">
        <w:t xml:space="preserve"> (Study</w:t>
      </w:r>
      <w:r w:rsidR="002A43E4" w:rsidRPr="000349EF">
        <w:t> </w:t>
      </w:r>
      <w:r w:rsidRPr="000349EF">
        <w:t>P204</w:t>
      </w:r>
      <w:r w:rsidR="001A38F0" w:rsidRPr="000349EF">
        <w:t xml:space="preserve"> Part 2</w:t>
      </w:r>
      <w:r w:rsidRPr="000349EF">
        <w:t xml:space="preserve">) was comparable to young adults (Study P301), with the exception that the observed fever rates in </w:t>
      </w:r>
      <w:r w:rsidR="00593F12" w:rsidRPr="000349EF">
        <w:t xml:space="preserve">the </w:t>
      </w:r>
      <w:r w:rsidRPr="000349EF">
        <w:t>6</w:t>
      </w:r>
      <w:r w:rsidR="002A43E4" w:rsidRPr="000349EF">
        <w:t xml:space="preserve"> to </w:t>
      </w:r>
      <w:r w:rsidRPr="000349EF">
        <w:t xml:space="preserve">&lt; 12 </w:t>
      </w:r>
      <w:r w:rsidR="00EC79E7" w:rsidRPr="000349EF">
        <w:t xml:space="preserve">years </w:t>
      </w:r>
      <w:r w:rsidR="00593F12" w:rsidRPr="000349EF">
        <w:t>old population</w:t>
      </w:r>
      <w:r w:rsidRPr="000349EF">
        <w:t xml:space="preserve"> were higher than those in the young adult</w:t>
      </w:r>
      <w:r w:rsidR="00593F12" w:rsidRPr="000349EF">
        <w:t xml:space="preserve"> population</w:t>
      </w:r>
      <w:r w:rsidRPr="000349EF">
        <w:t>.</w:t>
      </w:r>
    </w:p>
    <w:p w14:paraId="6B2DD76D" w14:textId="77777777" w:rsidR="00E6281E" w:rsidRPr="000349EF" w:rsidRDefault="00E6281E" w:rsidP="00A04B72">
      <w:pPr>
        <w:pStyle w:val="Heading7"/>
        <w:rPr>
          <w:szCs w:val="28"/>
        </w:rPr>
      </w:pPr>
      <w:bookmarkStart w:id="119" w:name="_Toc93934153"/>
      <w:bookmarkStart w:id="120" w:name="_Toc93934510"/>
      <w:r w:rsidRPr="000349EF">
        <w:rPr>
          <w:sz w:val="22"/>
          <w:szCs w:val="28"/>
        </w:rPr>
        <w:t>Spikevax versus other vaccines</w:t>
      </w:r>
      <w:bookmarkEnd w:id="119"/>
      <w:bookmarkEnd w:id="120"/>
    </w:p>
    <w:p w14:paraId="58AE725F" w14:textId="4519DE15" w:rsidR="00E6281E" w:rsidRPr="000349EF" w:rsidRDefault="00E6281E" w:rsidP="00A04B72">
      <w:r w:rsidRPr="000349EF">
        <w:t xml:space="preserve">The data relating to the rates of solicited adverse events (reactogenicity) are extracted for </w:t>
      </w:r>
      <w:proofErr w:type="gramStart"/>
      <w:r w:rsidRPr="000349EF">
        <w:t>a number of</w:t>
      </w:r>
      <w:proofErr w:type="gramEnd"/>
      <w:r w:rsidRPr="000349EF">
        <w:t xml:space="preserve"> vaccines from Australian PIs or the US PIs (depend on which documents </w:t>
      </w:r>
      <w:r w:rsidR="00593F12" w:rsidRPr="000349EF">
        <w:t>the</w:t>
      </w:r>
      <w:r w:rsidRPr="000349EF">
        <w:t xml:space="preserve"> data can be located). These </w:t>
      </w:r>
      <w:r w:rsidR="00593F12" w:rsidRPr="000349EF">
        <w:t xml:space="preserve">data </w:t>
      </w:r>
      <w:r w:rsidRPr="000349EF">
        <w:t xml:space="preserve">are summarised in </w:t>
      </w:r>
      <w:r w:rsidR="002A43E4" w:rsidRPr="000349EF">
        <w:fldChar w:fldCharType="begin"/>
      </w:r>
      <w:r w:rsidR="002A43E4" w:rsidRPr="000349EF">
        <w:instrText xml:space="preserve"> REF _Ref94713426 \h </w:instrText>
      </w:r>
      <w:r w:rsidR="000349EF">
        <w:instrText xml:space="preserve"> \* MERGEFORMAT </w:instrText>
      </w:r>
      <w:r w:rsidR="002A43E4" w:rsidRPr="000349EF">
        <w:fldChar w:fldCharType="separate"/>
      </w:r>
      <w:r w:rsidR="00235E4B" w:rsidRPr="000349EF">
        <w:t xml:space="preserve">Table </w:t>
      </w:r>
      <w:r w:rsidR="00235E4B">
        <w:rPr>
          <w:noProof/>
        </w:rPr>
        <w:t>28</w:t>
      </w:r>
      <w:r w:rsidR="002A43E4" w:rsidRPr="000349EF">
        <w:fldChar w:fldCharType="end"/>
      </w:r>
      <w:r w:rsidRPr="000349EF">
        <w:t xml:space="preserve"> below</w:t>
      </w:r>
      <w:r w:rsidR="002A43E4" w:rsidRPr="000349EF">
        <w:t>.</w:t>
      </w:r>
    </w:p>
    <w:p w14:paraId="33EF2BDD" w14:textId="02D557B7" w:rsidR="00E6281E" w:rsidRPr="000349EF" w:rsidRDefault="002A43E4" w:rsidP="002A43E4">
      <w:pPr>
        <w:pStyle w:val="TableTitle"/>
      </w:pPr>
      <w:bookmarkStart w:id="121" w:name="_Ref94713426"/>
      <w:r w:rsidRPr="000349EF">
        <w:t xml:space="preserve">Table </w:t>
      </w:r>
      <w:r w:rsidR="00571D7C">
        <w:fldChar w:fldCharType="begin"/>
      </w:r>
      <w:r w:rsidR="00571D7C">
        <w:instrText xml:space="preserve"> SEQ Table \* ARABIC </w:instrText>
      </w:r>
      <w:r w:rsidR="00571D7C">
        <w:fldChar w:fldCharType="separate"/>
      </w:r>
      <w:r w:rsidR="00235E4B">
        <w:rPr>
          <w:noProof/>
        </w:rPr>
        <w:t>28</w:t>
      </w:r>
      <w:r w:rsidR="00571D7C">
        <w:rPr>
          <w:noProof/>
        </w:rPr>
        <w:fldChar w:fldCharType="end"/>
      </w:r>
      <w:bookmarkEnd w:id="121"/>
      <w:r w:rsidRPr="000349EF">
        <w:t>:</w:t>
      </w:r>
      <w:r w:rsidR="00E6281E" w:rsidRPr="000349EF">
        <w:t xml:space="preserve"> </w:t>
      </w:r>
      <w:r w:rsidR="00A5478D" w:rsidRPr="000349EF">
        <w:t xml:space="preserve">Study P204 </w:t>
      </w:r>
      <w:r w:rsidR="00E6281E" w:rsidRPr="000349EF">
        <w:t>Comparison of the percentage of participants who experienced</w:t>
      </w:r>
      <w:r w:rsidRPr="000349EF">
        <w:t xml:space="preserve"> </w:t>
      </w:r>
      <w:r w:rsidR="00E6281E" w:rsidRPr="000349EF">
        <w:t>solicited adverse reactions within 7 days post</w:t>
      </w:r>
      <w:r w:rsidR="00A5478D" w:rsidRPr="000349EF">
        <w:t>-</w:t>
      </w:r>
      <w:r w:rsidR="00E6281E" w:rsidRPr="000349EF">
        <w:t xml:space="preserve">vaccination for </w:t>
      </w:r>
      <w:proofErr w:type="gramStart"/>
      <w:r w:rsidR="00E6281E" w:rsidRPr="000349EF">
        <w:t>a number of</w:t>
      </w:r>
      <w:proofErr w:type="gramEnd"/>
      <w:r w:rsidR="00E6281E" w:rsidRPr="000349EF">
        <w:t xml:space="preserve"> vaccines</w:t>
      </w:r>
    </w:p>
    <w:tbl>
      <w:tblPr>
        <w:tblStyle w:val="TableTGAblue"/>
        <w:tblW w:w="8495" w:type="dxa"/>
        <w:tblLayout w:type="fixed"/>
        <w:tblLook w:val="04A0" w:firstRow="1" w:lastRow="0" w:firstColumn="1" w:lastColumn="0" w:noHBand="0" w:noVBand="1"/>
      </w:tblPr>
      <w:tblGrid>
        <w:gridCol w:w="1213"/>
        <w:gridCol w:w="1213"/>
        <w:gridCol w:w="1213"/>
        <w:gridCol w:w="1214"/>
        <w:gridCol w:w="1214"/>
        <w:gridCol w:w="1214"/>
        <w:gridCol w:w="1214"/>
      </w:tblGrid>
      <w:tr w:rsidR="00065165" w:rsidRPr="000349EF" w14:paraId="3CEBE432" w14:textId="77777777" w:rsidTr="00DA3531">
        <w:trPr>
          <w:cnfStyle w:val="100000000000" w:firstRow="1" w:lastRow="0" w:firstColumn="0" w:lastColumn="0" w:oddVBand="0" w:evenVBand="0" w:oddHBand="0" w:evenHBand="0" w:firstRowFirstColumn="0" w:firstRowLastColumn="0" w:lastRowFirstColumn="0" w:lastRowLastColumn="0"/>
          <w:trHeight w:val="974"/>
        </w:trPr>
        <w:tc>
          <w:tcPr>
            <w:tcW w:w="0" w:type="dxa"/>
          </w:tcPr>
          <w:p w14:paraId="79728BE2" w14:textId="2249B8F9"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 xml:space="preserve">Rate of </w:t>
            </w:r>
            <w:r w:rsidR="00055D3D" w:rsidRPr="000349EF">
              <w:rPr>
                <w:sz w:val="19"/>
                <w:szCs w:val="19"/>
              </w:rPr>
              <w:t>SR</w:t>
            </w:r>
          </w:p>
          <w:p w14:paraId="0BBD7806" w14:textId="7EB22AFC" w:rsidR="00055D3D" w:rsidRPr="000349EF" w:rsidRDefault="00E6281E" w:rsidP="00593F12">
            <w:pPr>
              <w:autoSpaceDE w:val="0"/>
              <w:autoSpaceDN w:val="0"/>
              <w:spacing w:before="0" w:after="0" w:line="240" w:lineRule="auto"/>
              <w:ind w:left="0" w:right="0"/>
              <w:rPr>
                <w:b w:val="0"/>
                <w:color w:val="auto"/>
                <w:sz w:val="19"/>
                <w:szCs w:val="19"/>
              </w:rPr>
            </w:pPr>
            <w:r w:rsidRPr="000349EF">
              <w:rPr>
                <w:sz w:val="19"/>
                <w:szCs w:val="19"/>
              </w:rPr>
              <w:t>within 7 days (%)</w:t>
            </w:r>
          </w:p>
          <w:p w14:paraId="5C2430CF" w14:textId="2AA31527" w:rsidR="00E6281E" w:rsidRPr="000349EF" w:rsidRDefault="00E6281E" w:rsidP="00055D3D">
            <w:pPr>
              <w:autoSpaceDE w:val="0"/>
              <w:autoSpaceDN w:val="0"/>
              <w:spacing w:before="0" w:after="0" w:line="240" w:lineRule="auto"/>
              <w:ind w:left="0" w:right="0"/>
              <w:rPr>
                <w:color w:val="auto"/>
                <w:sz w:val="19"/>
                <w:szCs w:val="19"/>
              </w:rPr>
            </w:pPr>
            <w:r w:rsidRPr="000349EF">
              <w:rPr>
                <w:sz w:val="19"/>
                <w:szCs w:val="19"/>
              </w:rPr>
              <w:t>A</w:t>
            </w:r>
            <w:r w:rsidR="00055D3D" w:rsidRPr="000349EF">
              <w:rPr>
                <w:sz w:val="19"/>
                <w:szCs w:val="19"/>
              </w:rPr>
              <w:t>G</w:t>
            </w:r>
            <w:proofErr w:type="gramStart"/>
            <w:r w:rsidRPr="000349EF">
              <w:rPr>
                <w:sz w:val="19"/>
                <w:szCs w:val="19"/>
              </w:rPr>
              <w:t>/(</w:t>
            </w:r>
            <w:proofErr w:type="gramEnd"/>
            <w:r w:rsidRPr="000349EF">
              <w:rPr>
                <w:sz w:val="19"/>
                <w:szCs w:val="19"/>
              </w:rPr>
              <w:t xml:space="preserve">G3 or </w:t>
            </w:r>
            <w:r w:rsidR="00CB303D" w:rsidRPr="000349EF">
              <w:rPr>
                <w:sz w:val="19"/>
                <w:szCs w:val="19"/>
              </w:rPr>
              <w:t>m</w:t>
            </w:r>
            <w:r w:rsidRPr="000349EF">
              <w:rPr>
                <w:sz w:val="19"/>
                <w:szCs w:val="19"/>
              </w:rPr>
              <w:t>od)</w:t>
            </w:r>
          </w:p>
        </w:tc>
        <w:tc>
          <w:tcPr>
            <w:tcW w:w="0" w:type="dxa"/>
          </w:tcPr>
          <w:p w14:paraId="73715E78" w14:textId="77777777"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Spikevax</w:t>
            </w:r>
          </w:p>
          <w:p w14:paraId="46B92F22" w14:textId="142802B8" w:rsidR="00055D3D" w:rsidRPr="000349EF" w:rsidRDefault="00E6281E" w:rsidP="00593F12">
            <w:pPr>
              <w:autoSpaceDE w:val="0"/>
              <w:autoSpaceDN w:val="0"/>
              <w:spacing w:before="0" w:after="0" w:line="240" w:lineRule="auto"/>
              <w:ind w:left="0" w:right="0"/>
              <w:rPr>
                <w:color w:val="auto"/>
                <w:sz w:val="19"/>
                <w:szCs w:val="19"/>
              </w:rPr>
            </w:pPr>
            <w:r w:rsidRPr="000349EF">
              <w:rPr>
                <w:sz w:val="19"/>
                <w:szCs w:val="19"/>
              </w:rPr>
              <w:t>(D2)</w:t>
            </w:r>
          </w:p>
          <w:p w14:paraId="155E4DC8" w14:textId="0906034C" w:rsidR="00055D3D" w:rsidRPr="000349EF" w:rsidRDefault="00E6281E" w:rsidP="00593F12">
            <w:pPr>
              <w:autoSpaceDE w:val="0"/>
              <w:autoSpaceDN w:val="0"/>
              <w:spacing w:before="0" w:after="0" w:line="240" w:lineRule="auto"/>
              <w:ind w:left="0" w:right="0"/>
              <w:rPr>
                <w:color w:val="auto"/>
                <w:sz w:val="19"/>
                <w:szCs w:val="19"/>
              </w:rPr>
            </w:pPr>
            <w:r w:rsidRPr="000349EF">
              <w:rPr>
                <w:sz w:val="19"/>
                <w:szCs w:val="19"/>
              </w:rPr>
              <w:t xml:space="preserve">6-11 </w:t>
            </w:r>
            <w:r w:rsidR="00593F12" w:rsidRPr="000349EF">
              <w:rPr>
                <w:sz w:val="19"/>
                <w:szCs w:val="19"/>
              </w:rPr>
              <w:t>YOA</w:t>
            </w:r>
          </w:p>
          <w:p w14:paraId="61CA2090" w14:textId="232D212C"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A</w:t>
            </w:r>
            <w:r w:rsidR="00055D3D" w:rsidRPr="000349EF">
              <w:rPr>
                <w:sz w:val="19"/>
                <w:szCs w:val="19"/>
              </w:rPr>
              <w:t>G</w:t>
            </w:r>
            <w:r w:rsidRPr="000349EF">
              <w:rPr>
                <w:sz w:val="19"/>
                <w:szCs w:val="19"/>
              </w:rPr>
              <w:t>/G3</w:t>
            </w:r>
          </w:p>
        </w:tc>
        <w:tc>
          <w:tcPr>
            <w:tcW w:w="0" w:type="dxa"/>
          </w:tcPr>
          <w:p w14:paraId="225029E1" w14:textId="77777777"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Comirnaty</w:t>
            </w:r>
          </w:p>
          <w:p w14:paraId="5E525F61" w14:textId="5DFCFDC5" w:rsidR="00055D3D" w:rsidRPr="000349EF" w:rsidRDefault="00E6281E" w:rsidP="00593F12">
            <w:pPr>
              <w:autoSpaceDE w:val="0"/>
              <w:autoSpaceDN w:val="0"/>
              <w:spacing w:before="0" w:after="0" w:line="240" w:lineRule="auto"/>
              <w:ind w:left="0" w:right="0"/>
              <w:rPr>
                <w:color w:val="auto"/>
                <w:sz w:val="19"/>
                <w:szCs w:val="19"/>
              </w:rPr>
            </w:pPr>
            <w:r w:rsidRPr="000349EF">
              <w:rPr>
                <w:sz w:val="19"/>
                <w:szCs w:val="19"/>
              </w:rPr>
              <w:t>(D2)</w:t>
            </w:r>
          </w:p>
          <w:p w14:paraId="31D0AC3C" w14:textId="5FF66FE4" w:rsidR="00055D3D" w:rsidRPr="000349EF" w:rsidRDefault="00E6281E" w:rsidP="00593F12">
            <w:pPr>
              <w:autoSpaceDE w:val="0"/>
              <w:autoSpaceDN w:val="0"/>
              <w:spacing w:before="0" w:after="0" w:line="240" w:lineRule="auto"/>
              <w:ind w:left="0" w:right="0"/>
              <w:rPr>
                <w:b w:val="0"/>
                <w:color w:val="auto"/>
                <w:sz w:val="19"/>
                <w:szCs w:val="19"/>
              </w:rPr>
            </w:pPr>
            <w:r w:rsidRPr="000349EF">
              <w:rPr>
                <w:sz w:val="19"/>
                <w:szCs w:val="19"/>
              </w:rPr>
              <w:t xml:space="preserve">5-11 </w:t>
            </w:r>
            <w:r w:rsidR="00593F12" w:rsidRPr="000349EF">
              <w:rPr>
                <w:sz w:val="19"/>
                <w:szCs w:val="19"/>
              </w:rPr>
              <w:t>YOA</w:t>
            </w:r>
          </w:p>
          <w:p w14:paraId="4F3CE576" w14:textId="4B12067F"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A</w:t>
            </w:r>
            <w:r w:rsidR="00055D3D" w:rsidRPr="000349EF">
              <w:rPr>
                <w:sz w:val="19"/>
                <w:szCs w:val="19"/>
              </w:rPr>
              <w:t>G</w:t>
            </w:r>
            <w:r w:rsidRPr="000349EF">
              <w:rPr>
                <w:sz w:val="19"/>
                <w:szCs w:val="19"/>
              </w:rPr>
              <w:t>/</w:t>
            </w:r>
            <w:r w:rsidR="00CB303D" w:rsidRPr="000349EF">
              <w:rPr>
                <w:sz w:val="19"/>
                <w:szCs w:val="19"/>
              </w:rPr>
              <w:t>m</w:t>
            </w:r>
            <w:r w:rsidRPr="000349EF">
              <w:rPr>
                <w:sz w:val="19"/>
                <w:szCs w:val="19"/>
              </w:rPr>
              <w:t>od</w:t>
            </w:r>
          </w:p>
        </w:tc>
        <w:tc>
          <w:tcPr>
            <w:tcW w:w="0" w:type="dxa"/>
          </w:tcPr>
          <w:p w14:paraId="47BAF631" w14:textId="4DA05FDC" w:rsidR="00055D3D" w:rsidRPr="000349EF" w:rsidRDefault="00E6281E" w:rsidP="00593F12">
            <w:pPr>
              <w:autoSpaceDE w:val="0"/>
              <w:autoSpaceDN w:val="0"/>
              <w:spacing w:before="0" w:after="0" w:line="240" w:lineRule="auto"/>
              <w:ind w:left="0" w:right="0"/>
              <w:rPr>
                <w:color w:val="auto"/>
                <w:sz w:val="19"/>
                <w:szCs w:val="19"/>
              </w:rPr>
            </w:pPr>
            <w:r w:rsidRPr="000349EF">
              <w:rPr>
                <w:sz w:val="19"/>
                <w:szCs w:val="19"/>
              </w:rPr>
              <w:t>Afluria quad</w:t>
            </w:r>
          </w:p>
          <w:p w14:paraId="2CF746BD" w14:textId="6A83800D" w:rsidR="00055D3D" w:rsidRPr="000349EF" w:rsidRDefault="00E6281E" w:rsidP="00593F12">
            <w:pPr>
              <w:autoSpaceDE w:val="0"/>
              <w:autoSpaceDN w:val="0"/>
              <w:spacing w:before="0" w:after="0" w:line="240" w:lineRule="auto"/>
              <w:ind w:left="0" w:right="0"/>
              <w:rPr>
                <w:color w:val="auto"/>
                <w:sz w:val="19"/>
                <w:szCs w:val="19"/>
              </w:rPr>
            </w:pPr>
            <w:r w:rsidRPr="000349EF">
              <w:rPr>
                <w:sz w:val="19"/>
                <w:szCs w:val="19"/>
              </w:rPr>
              <w:t xml:space="preserve">5-9 </w:t>
            </w:r>
            <w:r w:rsidR="00593F12" w:rsidRPr="000349EF">
              <w:rPr>
                <w:sz w:val="19"/>
                <w:szCs w:val="19"/>
              </w:rPr>
              <w:t>YOA</w:t>
            </w:r>
          </w:p>
          <w:p w14:paraId="66B1237B" w14:textId="2D6C409B"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A</w:t>
            </w:r>
            <w:r w:rsidR="00055D3D" w:rsidRPr="000349EF">
              <w:rPr>
                <w:sz w:val="19"/>
                <w:szCs w:val="19"/>
              </w:rPr>
              <w:t>G</w:t>
            </w:r>
            <w:r w:rsidRPr="000349EF">
              <w:rPr>
                <w:sz w:val="19"/>
                <w:szCs w:val="19"/>
              </w:rPr>
              <w:t>/G3</w:t>
            </w:r>
          </w:p>
        </w:tc>
        <w:tc>
          <w:tcPr>
            <w:tcW w:w="0" w:type="dxa"/>
          </w:tcPr>
          <w:p w14:paraId="34AB0465" w14:textId="77777777"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Bexsero</w:t>
            </w:r>
          </w:p>
          <w:p w14:paraId="17ECADC2" w14:textId="1C8A46FA" w:rsidR="00055D3D" w:rsidRPr="000349EF" w:rsidRDefault="00E6281E" w:rsidP="00593F12">
            <w:pPr>
              <w:autoSpaceDE w:val="0"/>
              <w:autoSpaceDN w:val="0"/>
              <w:spacing w:before="0" w:after="0" w:line="240" w:lineRule="auto"/>
              <w:ind w:left="0" w:right="0"/>
              <w:rPr>
                <w:b w:val="0"/>
                <w:color w:val="auto"/>
                <w:sz w:val="19"/>
                <w:szCs w:val="19"/>
              </w:rPr>
            </w:pPr>
            <w:r w:rsidRPr="000349EF">
              <w:rPr>
                <w:sz w:val="19"/>
                <w:szCs w:val="19"/>
              </w:rPr>
              <w:t>(D2)</w:t>
            </w:r>
          </w:p>
          <w:p w14:paraId="5E64B4AB" w14:textId="1A1F6AC8" w:rsidR="00055D3D" w:rsidRPr="000349EF" w:rsidRDefault="00E6281E" w:rsidP="00593F12">
            <w:pPr>
              <w:autoSpaceDE w:val="0"/>
              <w:autoSpaceDN w:val="0"/>
              <w:spacing w:before="0" w:after="0" w:line="240" w:lineRule="auto"/>
              <w:ind w:left="0" w:right="0"/>
              <w:rPr>
                <w:color w:val="auto"/>
                <w:sz w:val="19"/>
                <w:szCs w:val="19"/>
              </w:rPr>
            </w:pPr>
            <w:r w:rsidRPr="000349EF">
              <w:rPr>
                <w:sz w:val="19"/>
                <w:szCs w:val="19"/>
              </w:rPr>
              <w:t xml:space="preserve">10-25 </w:t>
            </w:r>
            <w:r w:rsidR="00593F12" w:rsidRPr="000349EF">
              <w:rPr>
                <w:sz w:val="19"/>
                <w:szCs w:val="19"/>
              </w:rPr>
              <w:t>YOA</w:t>
            </w:r>
          </w:p>
          <w:p w14:paraId="2EF74666" w14:textId="4018A4B2"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A</w:t>
            </w:r>
            <w:r w:rsidR="00055D3D" w:rsidRPr="000349EF">
              <w:rPr>
                <w:sz w:val="19"/>
                <w:szCs w:val="19"/>
              </w:rPr>
              <w:t>G</w:t>
            </w:r>
            <w:r w:rsidRPr="000349EF">
              <w:rPr>
                <w:sz w:val="19"/>
                <w:szCs w:val="19"/>
              </w:rPr>
              <w:t>/</w:t>
            </w:r>
            <w:r w:rsidR="00CB303D" w:rsidRPr="000349EF">
              <w:rPr>
                <w:sz w:val="19"/>
                <w:szCs w:val="19"/>
              </w:rPr>
              <w:t>m</w:t>
            </w:r>
            <w:r w:rsidRPr="000349EF">
              <w:rPr>
                <w:sz w:val="19"/>
                <w:szCs w:val="19"/>
              </w:rPr>
              <w:t>od</w:t>
            </w:r>
          </w:p>
        </w:tc>
        <w:tc>
          <w:tcPr>
            <w:tcW w:w="0" w:type="dxa"/>
          </w:tcPr>
          <w:p w14:paraId="6CF60BB7" w14:textId="7FD1A64E" w:rsidR="00055D3D" w:rsidRPr="000349EF" w:rsidRDefault="00E6281E" w:rsidP="00593F12">
            <w:pPr>
              <w:autoSpaceDE w:val="0"/>
              <w:autoSpaceDN w:val="0"/>
              <w:spacing w:before="0" w:after="0" w:line="240" w:lineRule="auto"/>
              <w:ind w:left="0" w:right="0"/>
              <w:rPr>
                <w:color w:val="auto"/>
                <w:sz w:val="19"/>
                <w:szCs w:val="19"/>
              </w:rPr>
            </w:pPr>
            <w:proofErr w:type="spellStart"/>
            <w:r w:rsidRPr="000349EF">
              <w:rPr>
                <w:sz w:val="19"/>
                <w:szCs w:val="19"/>
              </w:rPr>
              <w:t>Prevanar</w:t>
            </w:r>
            <w:proofErr w:type="spellEnd"/>
            <w:r w:rsidRPr="000349EF">
              <w:rPr>
                <w:sz w:val="19"/>
                <w:szCs w:val="19"/>
              </w:rPr>
              <w:t xml:space="preserve"> 13</w:t>
            </w:r>
          </w:p>
          <w:p w14:paraId="36D81296" w14:textId="2A182C13" w:rsidR="00055D3D" w:rsidRPr="000349EF" w:rsidRDefault="00E6281E" w:rsidP="00593F12">
            <w:pPr>
              <w:autoSpaceDE w:val="0"/>
              <w:autoSpaceDN w:val="0"/>
              <w:spacing w:before="0" w:after="0" w:line="240" w:lineRule="auto"/>
              <w:ind w:left="0" w:right="0"/>
              <w:rPr>
                <w:b w:val="0"/>
                <w:color w:val="auto"/>
                <w:sz w:val="19"/>
                <w:szCs w:val="19"/>
              </w:rPr>
            </w:pPr>
            <w:r w:rsidRPr="000349EF">
              <w:rPr>
                <w:sz w:val="19"/>
                <w:szCs w:val="19"/>
              </w:rPr>
              <w:t xml:space="preserve">5-9 </w:t>
            </w:r>
            <w:r w:rsidR="00593F12" w:rsidRPr="000349EF">
              <w:rPr>
                <w:sz w:val="19"/>
                <w:szCs w:val="19"/>
              </w:rPr>
              <w:t>YOA</w:t>
            </w:r>
          </w:p>
          <w:p w14:paraId="0905A660" w14:textId="36B59992"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A</w:t>
            </w:r>
            <w:r w:rsidR="00055D3D" w:rsidRPr="000349EF">
              <w:rPr>
                <w:sz w:val="19"/>
                <w:szCs w:val="19"/>
              </w:rPr>
              <w:t>G</w:t>
            </w:r>
            <w:r w:rsidRPr="000349EF">
              <w:rPr>
                <w:sz w:val="19"/>
                <w:szCs w:val="19"/>
              </w:rPr>
              <w:t>/</w:t>
            </w:r>
            <w:r w:rsidR="00CB303D" w:rsidRPr="000349EF">
              <w:rPr>
                <w:sz w:val="19"/>
                <w:szCs w:val="19"/>
              </w:rPr>
              <w:t>m</w:t>
            </w:r>
            <w:r w:rsidRPr="000349EF">
              <w:rPr>
                <w:sz w:val="19"/>
                <w:szCs w:val="19"/>
              </w:rPr>
              <w:t>od</w:t>
            </w:r>
          </w:p>
        </w:tc>
        <w:tc>
          <w:tcPr>
            <w:tcW w:w="0" w:type="dxa"/>
          </w:tcPr>
          <w:p w14:paraId="38CC6567" w14:textId="77777777" w:rsidR="00E6281E" w:rsidRPr="000349EF" w:rsidRDefault="00E6281E" w:rsidP="00593F12">
            <w:pPr>
              <w:autoSpaceDE w:val="0"/>
              <w:autoSpaceDN w:val="0"/>
              <w:spacing w:before="0" w:after="0" w:line="240" w:lineRule="auto"/>
              <w:ind w:left="0" w:right="0"/>
              <w:rPr>
                <w:color w:val="auto"/>
                <w:sz w:val="19"/>
                <w:szCs w:val="19"/>
              </w:rPr>
            </w:pPr>
            <w:proofErr w:type="spellStart"/>
            <w:r w:rsidRPr="000349EF">
              <w:rPr>
                <w:sz w:val="19"/>
                <w:szCs w:val="19"/>
              </w:rPr>
              <w:t>Imojev</w:t>
            </w:r>
            <w:proofErr w:type="spellEnd"/>
          </w:p>
          <w:p w14:paraId="0D0F5533" w14:textId="77777777" w:rsidR="00055D3D" w:rsidRPr="000349EF" w:rsidRDefault="00055D3D" w:rsidP="00593F12">
            <w:pPr>
              <w:autoSpaceDE w:val="0"/>
              <w:autoSpaceDN w:val="0"/>
              <w:spacing w:before="0" w:after="0" w:line="240" w:lineRule="auto"/>
              <w:ind w:left="0" w:right="0"/>
              <w:rPr>
                <w:b w:val="0"/>
                <w:color w:val="auto"/>
                <w:sz w:val="19"/>
                <w:szCs w:val="19"/>
              </w:rPr>
            </w:pPr>
          </w:p>
          <w:p w14:paraId="145AE08F" w14:textId="20022342"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 xml:space="preserve">2-5 </w:t>
            </w:r>
            <w:r w:rsidR="00593F12" w:rsidRPr="000349EF">
              <w:rPr>
                <w:sz w:val="19"/>
                <w:szCs w:val="19"/>
              </w:rPr>
              <w:t>YOA</w:t>
            </w:r>
          </w:p>
          <w:p w14:paraId="7D659401" w14:textId="415D8511" w:rsidR="00E6281E" w:rsidRPr="000349EF" w:rsidRDefault="00E6281E" w:rsidP="00593F12">
            <w:pPr>
              <w:autoSpaceDE w:val="0"/>
              <w:autoSpaceDN w:val="0"/>
              <w:spacing w:before="0" w:after="0" w:line="240" w:lineRule="auto"/>
              <w:ind w:left="0" w:right="0"/>
              <w:rPr>
                <w:color w:val="auto"/>
                <w:sz w:val="19"/>
                <w:szCs w:val="19"/>
              </w:rPr>
            </w:pPr>
            <w:r w:rsidRPr="000349EF">
              <w:rPr>
                <w:sz w:val="19"/>
                <w:szCs w:val="19"/>
              </w:rPr>
              <w:t xml:space="preserve">No </w:t>
            </w:r>
            <w:r w:rsidR="00055D3D" w:rsidRPr="000349EF">
              <w:rPr>
                <w:sz w:val="19"/>
                <w:szCs w:val="19"/>
              </w:rPr>
              <w:t>info</w:t>
            </w:r>
          </w:p>
        </w:tc>
      </w:tr>
      <w:tr w:rsidR="00CB303D" w:rsidRPr="000349EF" w14:paraId="79D12EBC" w14:textId="77777777" w:rsidTr="0028643E">
        <w:tc>
          <w:tcPr>
            <w:tcW w:w="0" w:type="dxa"/>
          </w:tcPr>
          <w:p w14:paraId="409E397E"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Data source</w:t>
            </w:r>
          </w:p>
        </w:tc>
        <w:tc>
          <w:tcPr>
            <w:tcW w:w="0" w:type="dxa"/>
          </w:tcPr>
          <w:p w14:paraId="11105CC2"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Clinical Overview</w:t>
            </w:r>
          </w:p>
        </w:tc>
        <w:tc>
          <w:tcPr>
            <w:tcW w:w="0" w:type="dxa"/>
          </w:tcPr>
          <w:p w14:paraId="3BC34AFB"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US</w:t>
            </w:r>
          </w:p>
          <w:p w14:paraId="4E20441E"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Fact sheet</w:t>
            </w:r>
          </w:p>
        </w:tc>
        <w:tc>
          <w:tcPr>
            <w:tcW w:w="0" w:type="dxa"/>
          </w:tcPr>
          <w:p w14:paraId="46E210EF"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Australian PI</w:t>
            </w:r>
          </w:p>
        </w:tc>
        <w:tc>
          <w:tcPr>
            <w:tcW w:w="0" w:type="dxa"/>
          </w:tcPr>
          <w:p w14:paraId="69B0791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US PI</w:t>
            </w:r>
          </w:p>
        </w:tc>
        <w:tc>
          <w:tcPr>
            <w:tcW w:w="0" w:type="dxa"/>
          </w:tcPr>
          <w:p w14:paraId="3222402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US PI</w:t>
            </w:r>
          </w:p>
        </w:tc>
        <w:tc>
          <w:tcPr>
            <w:tcW w:w="0" w:type="dxa"/>
          </w:tcPr>
          <w:p w14:paraId="6703AEA5" w14:textId="643CD5A1" w:rsidR="00E6281E" w:rsidRPr="000349EF" w:rsidRDefault="00E6281E" w:rsidP="00593F12">
            <w:pPr>
              <w:autoSpaceDE w:val="0"/>
              <w:autoSpaceDN w:val="0"/>
              <w:spacing w:before="0" w:after="0" w:line="240" w:lineRule="auto"/>
              <w:ind w:left="0" w:right="0"/>
              <w:rPr>
                <w:sz w:val="19"/>
                <w:szCs w:val="19"/>
              </w:rPr>
            </w:pPr>
            <w:r w:rsidRPr="000349EF">
              <w:rPr>
                <w:sz w:val="19"/>
                <w:szCs w:val="19"/>
              </w:rPr>
              <w:t>Australian</w:t>
            </w:r>
          </w:p>
          <w:p w14:paraId="134FDCAA"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PI</w:t>
            </w:r>
          </w:p>
        </w:tc>
      </w:tr>
      <w:tr w:rsidR="00CB303D" w:rsidRPr="000349EF" w14:paraId="35E19A64" w14:textId="77777777" w:rsidTr="0028643E">
        <w:tc>
          <w:tcPr>
            <w:tcW w:w="0" w:type="dxa"/>
          </w:tcPr>
          <w:p w14:paraId="7B575FAD" w14:textId="60C8DD2B" w:rsidR="00E6281E" w:rsidRPr="000349EF" w:rsidRDefault="00E6281E" w:rsidP="00593F12">
            <w:pPr>
              <w:autoSpaceDE w:val="0"/>
              <w:autoSpaceDN w:val="0"/>
              <w:spacing w:before="0" w:after="0" w:line="240" w:lineRule="auto"/>
              <w:ind w:left="0" w:right="0"/>
              <w:rPr>
                <w:sz w:val="19"/>
                <w:szCs w:val="19"/>
              </w:rPr>
            </w:pPr>
            <w:r w:rsidRPr="000349EF">
              <w:rPr>
                <w:sz w:val="19"/>
                <w:szCs w:val="19"/>
              </w:rPr>
              <w:t>Fever</w:t>
            </w:r>
          </w:p>
        </w:tc>
        <w:tc>
          <w:tcPr>
            <w:tcW w:w="0" w:type="dxa"/>
          </w:tcPr>
          <w:p w14:paraId="61FE63D6" w14:textId="0CDC666C" w:rsidR="00E6281E" w:rsidRPr="000349EF" w:rsidRDefault="00E6281E" w:rsidP="00593F12">
            <w:pPr>
              <w:autoSpaceDE w:val="0"/>
              <w:autoSpaceDN w:val="0"/>
              <w:spacing w:before="0" w:after="0" w:line="240" w:lineRule="auto"/>
              <w:ind w:left="0" w:right="0"/>
              <w:rPr>
                <w:sz w:val="19"/>
                <w:szCs w:val="19"/>
              </w:rPr>
            </w:pPr>
            <w:r w:rsidRPr="000349EF">
              <w:rPr>
                <w:sz w:val="19"/>
                <w:szCs w:val="19"/>
              </w:rPr>
              <w:t>24.1</w:t>
            </w:r>
          </w:p>
          <w:p w14:paraId="7748E979" w14:textId="7E51E40B" w:rsidR="00E6281E" w:rsidRPr="000349EF" w:rsidRDefault="00E6281E" w:rsidP="00593F12">
            <w:pPr>
              <w:autoSpaceDE w:val="0"/>
              <w:autoSpaceDN w:val="0"/>
              <w:spacing w:before="0" w:after="0" w:line="240" w:lineRule="auto"/>
              <w:ind w:left="0" w:right="0"/>
              <w:rPr>
                <w:sz w:val="19"/>
                <w:szCs w:val="19"/>
              </w:rPr>
            </w:pPr>
            <w:r w:rsidRPr="000349EF">
              <w:rPr>
                <w:sz w:val="19"/>
                <w:szCs w:val="19"/>
              </w:rPr>
              <w:t>G3: 39.0-40.0</w:t>
            </w:r>
            <w:r w:rsidRPr="000349EF">
              <w:rPr>
                <w:sz w:val="19"/>
                <w:szCs w:val="19"/>
                <w:vertAlign w:val="superscript"/>
              </w:rPr>
              <w:t>o</w:t>
            </w:r>
            <w:r w:rsidRPr="000349EF">
              <w:rPr>
                <w:sz w:val="19"/>
                <w:szCs w:val="19"/>
              </w:rPr>
              <w:t>C</w:t>
            </w:r>
          </w:p>
          <w:p w14:paraId="4331B3E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(3.8)</w:t>
            </w:r>
          </w:p>
        </w:tc>
        <w:tc>
          <w:tcPr>
            <w:tcW w:w="0" w:type="dxa"/>
          </w:tcPr>
          <w:p w14:paraId="64CF82F3"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6.5</w:t>
            </w:r>
          </w:p>
          <w:p w14:paraId="07DFA2E9" w14:textId="26A67DA6" w:rsidR="00E6281E" w:rsidRPr="000349EF" w:rsidRDefault="00E6281E" w:rsidP="00593F12">
            <w:pPr>
              <w:autoSpaceDE w:val="0"/>
              <w:autoSpaceDN w:val="0"/>
              <w:spacing w:before="0" w:after="0" w:line="240" w:lineRule="auto"/>
              <w:ind w:left="0" w:right="0"/>
              <w:rPr>
                <w:sz w:val="19"/>
                <w:szCs w:val="19"/>
              </w:rPr>
            </w:pPr>
            <w:r w:rsidRPr="000349EF">
              <w:rPr>
                <w:sz w:val="19"/>
                <w:szCs w:val="19"/>
              </w:rPr>
              <w:t>M: &gt; 38.9-40.0</w:t>
            </w:r>
            <w:r w:rsidRPr="000349EF">
              <w:rPr>
                <w:sz w:val="19"/>
                <w:szCs w:val="19"/>
                <w:vertAlign w:val="superscript"/>
              </w:rPr>
              <w:t xml:space="preserve"> </w:t>
            </w:r>
            <w:proofErr w:type="spellStart"/>
            <w:r w:rsidRPr="000349EF">
              <w:rPr>
                <w:sz w:val="19"/>
                <w:szCs w:val="19"/>
                <w:vertAlign w:val="superscript"/>
              </w:rPr>
              <w:t>o</w:t>
            </w:r>
            <w:r w:rsidRPr="000349EF">
              <w:rPr>
                <w:sz w:val="19"/>
                <w:szCs w:val="19"/>
              </w:rPr>
              <w:t>C</w:t>
            </w:r>
            <w:proofErr w:type="spellEnd"/>
            <w:r w:rsidRPr="000349EF">
              <w:rPr>
                <w:sz w:val="19"/>
                <w:szCs w:val="19"/>
              </w:rPr>
              <w:t>:</w:t>
            </w:r>
          </w:p>
          <w:p w14:paraId="29797713"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(0.5)</w:t>
            </w:r>
          </w:p>
        </w:tc>
        <w:tc>
          <w:tcPr>
            <w:tcW w:w="0" w:type="dxa"/>
          </w:tcPr>
          <w:p w14:paraId="33D9D0BF"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4.5</w:t>
            </w:r>
          </w:p>
          <w:p w14:paraId="4629F5BF" w14:textId="77777777" w:rsidR="00E6281E" w:rsidRPr="000349EF" w:rsidRDefault="00E6281E" w:rsidP="00593F12">
            <w:pPr>
              <w:autoSpaceDE w:val="0"/>
              <w:autoSpaceDN w:val="0"/>
              <w:spacing w:before="0" w:after="0" w:line="240" w:lineRule="auto"/>
              <w:ind w:left="0" w:right="0"/>
              <w:rPr>
                <w:sz w:val="19"/>
                <w:szCs w:val="19"/>
              </w:rPr>
            </w:pPr>
          </w:p>
          <w:p w14:paraId="52C5695E"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(1.2)</w:t>
            </w:r>
          </w:p>
        </w:tc>
        <w:tc>
          <w:tcPr>
            <w:tcW w:w="0" w:type="dxa"/>
          </w:tcPr>
          <w:p w14:paraId="7A6811D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5</w:t>
            </w:r>
          </w:p>
          <w:p w14:paraId="05814504"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 xml:space="preserve">M: 39.0-39.9 </w:t>
            </w:r>
            <w:proofErr w:type="spellStart"/>
            <w:r w:rsidRPr="000349EF">
              <w:rPr>
                <w:sz w:val="19"/>
                <w:szCs w:val="19"/>
                <w:vertAlign w:val="superscript"/>
              </w:rPr>
              <w:t>o</w:t>
            </w:r>
            <w:r w:rsidRPr="000349EF">
              <w:rPr>
                <w:sz w:val="19"/>
                <w:szCs w:val="19"/>
              </w:rPr>
              <w:t>C</w:t>
            </w:r>
            <w:proofErr w:type="spellEnd"/>
          </w:p>
          <w:p w14:paraId="4B41711C"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w:t>
            </w:r>
          </w:p>
        </w:tc>
        <w:tc>
          <w:tcPr>
            <w:tcW w:w="0" w:type="dxa"/>
          </w:tcPr>
          <w:p w14:paraId="289D240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6.1</w:t>
            </w:r>
          </w:p>
          <w:p w14:paraId="2F7BE6C1" w14:textId="77777777" w:rsidR="00E6281E" w:rsidRPr="000349EF" w:rsidRDefault="00E6281E" w:rsidP="00593F12">
            <w:pPr>
              <w:autoSpaceDE w:val="0"/>
              <w:autoSpaceDN w:val="0"/>
              <w:spacing w:before="0" w:after="0" w:line="240" w:lineRule="auto"/>
              <w:ind w:left="0" w:right="0"/>
              <w:rPr>
                <w:sz w:val="19"/>
                <w:szCs w:val="19"/>
              </w:rPr>
            </w:pPr>
          </w:p>
          <w:p w14:paraId="3F503528"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 xml:space="preserve">(2.4) </w:t>
            </w:r>
          </w:p>
        </w:tc>
        <w:tc>
          <w:tcPr>
            <w:tcW w:w="0" w:type="dxa"/>
          </w:tcPr>
          <w:p w14:paraId="03141E78"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20.7</w:t>
            </w:r>
          </w:p>
        </w:tc>
      </w:tr>
      <w:tr w:rsidR="00CB303D" w:rsidRPr="000349EF" w14:paraId="0B9C5A43" w14:textId="77777777" w:rsidTr="0028643E">
        <w:tc>
          <w:tcPr>
            <w:tcW w:w="0" w:type="dxa"/>
          </w:tcPr>
          <w:p w14:paraId="2AECBC08"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Fatigue</w:t>
            </w:r>
          </w:p>
        </w:tc>
        <w:tc>
          <w:tcPr>
            <w:tcW w:w="0" w:type="dxa"/>
          </w:tcPr>
          <w:p w14:paraId="56F6573F"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64.4</w:t>
            </w:r>
          </w:p>
          <w:p w14:paraId="437DEBA5"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(6.3)</w:t>
            </w:r>
          </w:p>
        </w:tc>
        <w:tc>
          <w:tcPr>
            <w:tcW w:w="0" w:type="dxa"/>
          </w:tcPr>
          <w:p w14:paraId="50C5F80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39.4</w:t>
            </w:r>
          </w:p>
          <w:p w14:paraId="55C8EB4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(11.1)</w:t>
            </w:r>
          </w:p>
        </w:tc>
        <w:tc>
          <w:tcPr>
            <w:tcW w:w="0" w:type="dxa"/>
          </w:tcPr>
          <w:p w14:paraId="17F6C841"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8.8</w:t>
            </w:r>
          </w:p>
          <w:p w14:paraId="716D27B3"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(0.4)</w:t>
            </w:r>
          </w:p>
        </w:tc>
        <w:tc>
          <w:tcPr>
            <w:tcW w:w="0" w:type="dxa"/>
          </w:tcPr>
          <w:p w14:paraId="0398DFD0"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35</w:t>
            </w:r>
          </w:p>
          <w:p w14:paraId="1ACEE3B0"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(10)</w:t>
            </w:r>
          </w:p>
        </w:tc>
        <w:tc>
          <w:tcPr>
            <w:tcW w:w="0" w:type="dxa"/>
          </w:tcPr>
          <w:p w14:paraId="0E01A876"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70A88251"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33.0</w:t>
            </w:r>
          </w:p>
        </w:tc>
      </w:tr>
      <w:tr w:rsidR="00CB303D" w:rsidRPr="000349EF" w14:paraId="549A0D39" w14:textId="77777777" w:rsidTr="0028643E">
        <w:tc>
          <w:tcPr>
            <w:tcW w:w="0" w:type="dxa"/>
          </w:tcPr>
          <w:p w14:paraId="083F6122"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Headache</w:t>
            </w:r>
          </w:p>
        </w:tc>
        <w:tc>
          <w:tcPr>
            <w:tcW w:w="0" w:type="dxa"/>
          </w:tcPr>
          <w:p w14:paraId="027E0FF3"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54.2</w:t>
            </w:r>
          </w:p>
          <w:p w14:paraId="3936926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(4.0)</w:t>
            </w:r>
          </w:p>
        </w:tc>
        <w:tc>
          <w:tcPr>
            <w:tcW w:w="0" w:type="dxa"/>
          </w:tcPr>
          <w:p w14:paraId="7D9B4AF0"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28</w:t>
            </w:r>
          </w:p>
          <w:p w14:paraId="4996E202"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 xml:space="preserve">(9.1) </w:t>
            </w:r>
          </w:p>
        </w:tc>
        <w:tc>
          <w:tcPr>
            <w:tcW w:w="0" w:type="dxa"/>
          </w:tcPr>
          <w:p w14:paraId="3C69344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12.3</w:t>
            </w:r>
          </w:p>
          <w:p w14:paraId="2B07618F"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(0.1)</w:t>
            </w:r>
          </w:p>
        </w:tc>
        <w:tc>
          <w:tcPr>
            <w:tcW w:w="0" w:type="dxa"/>
          </w:tcPr>
          <w:p w14:paraId="553675A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34</w:t>
            </w:r>
          </w:p>
          <w:p w14:paraId="254C652E"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(6)</w:t>
            </w:r>
          </w:p>
        </w:tc>
        <w:tc>
          <w:tcPr>
            <w:tcW w:w="0" w:type="dxa"/>
          </w:tcPr>
          <w:p w14:paraId="7ED2638F"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68425A9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21.0</w:t>
            </w:r>
          </w:p>
        </w:tc>
      </w:tr>
      <w:tr w:rsidR="00CB303D" w:rsidRPr="000349EF" w14:paraId="602EFCF2" w14:textId="77777777" w:rsidTr="0028643E">
        <w:tc>
          <w:tcPr>
            <w:tcW w:w="0" w:type="dxa"/>
          </w:tcPr>
          <w:p w14:paraId="34FA30A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Myalgia</w:t>
            </w:r>
          </w:p>
        </w:tc>
        <w:tc>
          <w:tcPr>
            <w:tcW w:w="0" w:type="dxa"/>
          </w:tcPr>
          <w:p w14:paraId="7D29548D"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28.2</w:t>
            </w:r>
          </w:p>
          <w:p w14:paraId="359D95EA"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(2.4)</w:t>
            </w:r>
          </w:p>
        </w:tc>
        <w:tc>
          <w:tcPr>
            <w:tcW w:w="0" w:type="dxa"/>
          </w:tcPr>
          <w:p w14:paraId="798D1309"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11.7</w:t>
            </w:r>
          </w:p>
          <w:p w14:paraId="3420491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(3.9)</w:t>
            </w:r>
          </w:p>
        </w:tc>
        <w:tc>
          <w:tcPr>
            <w:tcW w:w="0" w:type="dxa"/>
          </w:tcPr>
          <w:p w14:paraId="55A0C4E8"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9.8</w:t>
            </w:r>
          </w:p>
          <w:p w14:paraId="13AED20C"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(0.1)</w:t>
            </w:r>
          </w:p>
        </w:tc>
        <w:tc>
          <w:tcPr>
            <w:tcW w:w="0" w:type="dxa"/>
          </w:tcPr>
          <w:p w14:paraId="34BCE110"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48</w:t>
            </w:r>
          </w:p>
          <w:p w14:paraId="4D130053"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(19)</w:t>
            </w:r>
          </w:p>
        </w:tc>
        <w:tc>
          <w:tcPr>
            <w:tcW w:w="0" w:type="dxa"/>
          </w:tcPr>
          <w:p w14:paraId="6D003E00"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3D577BA3"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24.0</w:t>
            </w:r>
          </w:p>
        </w:tc>
      </w:tr>
      <w:tr w:rsidR="00CB303D" w:rsidRPr="000349EF" w14:paraId="2E6F594A" w14:textId="77777777" w:rsidTr="0028643E">
        <w:tc>
          <w:tcPr>
            <w:tcW w:w="0" w:type="dxa"/>
          </w:tcPr>
          <w:p w14:paraId="05AABCDD"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Arthralgia</w:t>
            </w:r>
          </w:p>
        </w:tc>
        <w:tc>
          <w:tcPr>
            <w:tcW w:w="0" w:type="dxa"/>
          </w:tcPr>
          <w:p w14:paraId="021C21D0"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16.1</w:t>
            </w:r>
          </w:p>
          <w:p w14:paraId="0C49CC88"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 xml:space="preserve">(0.8) </w:t>
            </w:r>
          </w:p>
        </w:tc>
        <w:tc>
          <w:tcPr>
            <w:tcW w:w="0" w:type="dxa"/>
          </w:tcPr>
          <w:p w14:paraId="06383815"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5.2</w:t>
            </w:r>
          </w:p>
          <w:p w14:paraId="35CC2A5A"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(1.4)</w:t>
            </w:r>
          </w:p>
        </w:tc>
        <w:tc>
          <w:tcPr>
            <w:tcW w:w="0" w:type="dxa"/>
          </w:tcPr>
          <w:p w14:paraId="74819A22"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2B0302B0"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16</w:t>
            </w:r>
          </w:p>
          <w:p w14:paraId="2D8AE8FD"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(6)</w:t>
            </w:r>
          </w:p>
        </w:tc>
        <w:tc>
          <w:tcPr>
            <w:tcW w:w="0" w:type="dxa"/>
          </w:tcPr>
          <w:p w14:paraId="4518FD96"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6AC54EDD" w14:textId="77777777" w:rsidR="00E6281E" w:rsidRPr="000349EF" w:rsidRDefault="00E6281E" w:rsidP="00593F12">
            <w:pPr>
              <w:autoSpaceDE w:val="0"/>
              <w:autoSpaceDN w:val="0"/>
              <w:spacing w:before="0" w:after="0" w:line="240" w:lineRule="auto"/>
              <w:ind w:left="0" w:right="0"/>
              <w:rPr>
                <w:sz w:val="19"/>
                <w:szCs w:val="19"/>
              </w:rPr>
            </w:pPr>
          </w:p>
        </w:tc>
      </w:tr>
      <w:tr w:rsidR="00CB303D" w:rsidRPr="000349EF" w14:paraId="31714857" w14:textId="77777777" w:rsidTr="0028643E">
        <w:tc>
          <w:tcPr>
            <w:tcW w:w="0" w:type="dxa"/>
          </w:tcPr>
          <w:p w14:paraId="00C14008"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 xml:space="preserve">Chills </w:t>
            </w:r>
          </w:p>
        </w:tc>
        <w:tc>
          <w:tcPr>
            <w:tcW w:w="0" w:type="dxa"/>
          </w:tcPr>
          <w:p w14:paraId="10C225B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30.3</w:t>
            </w:r>
          </w:p>
          <w:p w14:paraId="032D7071"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(0.6)</w:t>
            </w:r>
          </w:p>
        </w:tc>
        <w:tc>
          <w:tcPr>
            <w:tcW w:w="0" w:type="dxa"/>
          </w:tcPr>
          <w:p w14:paraId="013F5C4F"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9.8</w:t>
            </w:r>
          </w:p>
          <w:p w14:paraId="76C4F5D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(2.7)</w:t>
            </w:r>
          </w:p>
        </w:tc>
        <w:tc>
          <w:tcPr>
            <w:tcW w:w="0" w:type="dxa"/>
          </w:tcPr>
          <w:p w14:paraId="7D181598"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20017191"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726E7933"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132C9C35" w14:textId="77777777" w:rsidR="00E6281E" w:rsidRPr="000349EF" w:rsidRDefault="00E6281E" w:rsidP="00593F12">
            <w:pPr>
              <w:autoSpaceDE w:val="0"/>
              <w:autoSpaceDN w:val="0"/>
              <w:spacing w:before="0" w:after="0" w:line="240" w:lineRule="auto"/>
              <w:ind w:left="0" w:right="0"/>
              <w:rPr>
                <w:sz w:val="19"/>
                <w:szCs w:val="19"/>
              </w:rPr>
            </w:pPr>
          </w:p>
        </w:tc>
      </w:tr>
      <w:tr w:rsidR="00CB303D" w:rsidRPr="000349EF" w14:paraId="790D0967" w14:textId="77777777" w:rsidTr="0028643E">
        <w:tc>
          <w:tcPr>
            <w:tcW w:w="0" w:type="dxa"/>
          </w:tcPr>
          <w:p w14:paraId="61F0F617" w14:textId="5C2F0253" w:rsidR="00E6281E" w:rsidRPr="000349EF" w:rsidRDefault="00E6281E" w:rsidP="00593F12">
            <w:pPr>
              <w:autoSpaceDE w:val="0"/>
              <w:autoSpaceDN w:val="0"/>
              <w:spacing w:before="0" w:after="0" w:line="240" w:lineRule="auto"/>
              <w:ind w:left="0" w:right="0"/>
              <w:rPr>
                <w:sz w:val="19"/>
                <w:szCs w:val="19"/>
              </w:rPr>
            </w:pPr>
            <w:r w:rsidRPr="000349EF">
              <w:rPr>
                <w:sz w:val="19"/>
                <w:szCs w:val="19"/>
              </w:rPr>
              <w:lastRenderedPageBreak/>
              <w:t>Nausea and</w:t>
            </w:r>
          </w:p>
          <w:p w14:paraId="741DAAF1"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vomiting</w:t>
            </w:r>
          </w:p>
        </w:tc>
        <w:tc>
          <w:tcPr>
            <w:tcW w:w="0" w:type="dxa"/>
          </w:tcPr>
          <w:p w14:paraId="3133D08B"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23.9</w:t>
            </w:r>
          </w:p>
          <w:p w14:paraId="2BD43B0A"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(0.6)</w:t>
            </w:r>
          </w:p>
        </w:tc>
        <w:tc>
          <w:tcPr>
            <w:tcW w:w="0" w:type="dxa"/>
          </w:tcPr>
          <w:p w14:paraId="07E9C09C" w14:textId="12790CC3" w:rsidR="00E6281E" w:rsidRPr="000349EF" w:rsidRDefault="00E6281E" w:rsidP="00593F12">
            <w:pPr>
              <w:autoSpaceDE w:val="0"/>
              <w:autoSpaceDN w:val="0"/>
              <w:spacing w:before="0" w:after="0" w:line="240" w:lineRule="auto"/>
              <w:ind w:left="0" w:right="0"/>
              <w:rPr>
                <w:sz w:val="19"/>
                <w:szCs w:val="19"/>
              </w:rPr>
            </w:pPr>
            <w:r w:rsidRPr="000349EF">
              <w:rPr>
                <w:sz w:val="19"/>
                <w:szCs w:val="19"/>
              </w:rPr>
              <w:t>1.9</w:t>
            </w:r>
          </w:p>
          <w:p w14:paraId="2D8EC93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 xml:space="preserve">(0.1) </w:t>
            </w:r>
          </w:p>
        </w:tc>
        <w:tc>
          <w:tcPr>
            <w:tcW w:w="0" w:type="dxa"/>
          </w:tcPr>
          <w:p w14:paraId="59C9DA5B"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2FCAC8AD"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18</w:t>
            </w:r>
          </w:p>
          <w:p w14:paraId="118152BE"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(5)</w:t>
            </w:r>
          </w:p>
        </w:tc>
        <w:tc>
          <w:tcPr>
            <w:tcW w:w="0" w:type="dxa"/>
          </w:tcPr>
          <w:p w14:paraId="294FF7D9"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7BE41BD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19.2 (vomiting)</w:t>
            </w:r>
          </w:p>
        </w:tc>
      </w:tr>
      <w:tr w:rsidR="00CB303D" w:rsidRPr="000349EF" w14:paraId="030F655F" w14:textId="77777777" w:rsidTr="0028643E">
        <w:tc>
          <w:tcPr>
            <w:tcW w:w="0" w:type="dxa"/>
          </w:tcPr>
          <w:p w14:paraId="042EAFD4"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Injection site pain</w:t>
            </w:r>
          </w:p>
        </w:tc>
        <w:tc>
          <w:tcPr>
            <w:tcW w:w="0" w:type="dxa"/>
          </w:tcPr>
          <w:p w14:paraId="0E1C11CA"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94.8</w:t>
            </w:r>
          </w:p>
          <w:p w14:paraId="65E32794"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(2.7)</w:t>
            </w:r>
          </w:p>
        </w:tc>
        <w:tc>
          <w:tcPr>
            <w:tcW w:w="0" w:type="dxa"/>
          </w:tcPr>
          <w:p w14:paraId="5672579E"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 xml:space="preserve"> 71.0</w:t>
            </w:r>
          </w:p>
          <w:p w14:paraId="7B98361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(17.8)</w:t>
            </w:r>
          </w:p>
        </w:tc>
        <w:tc>
          <w:tcPr>
            <w:tcW w:w="0" w:type="dxa"/>
          </w:tcPr>
          <w:p w14:paraId="19600D90"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51.3</w:t>
            </w:r>
          </w:p>
          <w:p w14:paraId="14F514DF"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(0.8)</w:t>
            </w:r>
          </w:p>
        </w:tc>
        <w:tc>
          <w:tcPr>
            <w:tcW w:w="0" w:type="dxa"/>
          </w:tcPr>
          <w:p w14:paraId="192E746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83</w:t>
            </w:r>
          </w:p>
          <w:p w14:paraId="2634282D"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(37)</w:t>
            </w:r>
          </w:p>
        </w:tc>
        <w:tc>
          <w:tcPr>
            <w:tcW w:w="0" w:type="dxa"/>
          </w:tcPr>
          <w:p w14:paraId="39F605E3"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86.8</w:t>
            </w:r>
          </w:p>
          <w:p w14:paraId="2E4CB081"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 xml:space="preserve">(19.5) </w:t>
            </w:r>
          </w:p>
        </w:tc>
        <w:tc>
          <w:tcPr>
            <w:tcW w:w="0" w:type="dxa"/>
          </w:tcPr>
          <w:p w14:paraId="4F1C12F0"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23.6</w:t>
            </w:r>
          </w:p>
        </w:tc>
      </w:tr>
      <w:tr w:rsidR="00CB303D" w:rsidRPr="000349EF" w14:paraId="22AEA801" w14:textId="77777777" w:rsidTr="0028643E">
        <w:tc>
          <w:tcPr>
            <w:tcW w:w="0" w:type="dxa"/>
          </w:tcPr>
          <w:p w14:paraId="00B09B5F"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Redness</w:t>
            </w:r>
          </w:p>
        </w:tc>
        <w:tc>
          <w:tcPr>
            <w:tcW w:w="0" w:type="dxa"/>
          </w:tcPr>
          <w:p w14:paraId="12454549"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18.8</w:t>
            </w:r>
          </w:p>
          <w:p w14:paraId="067FCDB8"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(1.1)</w:t>
            </w:r>
          </w:p>
        </w:tc>
        <w:tc>
          <w:tcPr>
            <w:tcW w:w="0" w:type="dxa"/>
          </w:tcPr>
          <w:p w14:paraId="7003C824"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18.5</w:t>
            </w:r>
          </w:p>
          <w:p w14:paraId="5C21F73B"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(8.8)</w:t>
            </w:r>
          </w:p>
        </w:tc>
        <w:tc>
          <w:tcPr>
            <w:tcW w:w="0" w:type="dxa"/>
          </w:tcPr>
          <w:p w14:paraId="1E1682E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18.6</w:t>
            </w:r>
          </w:p>
          <w:p w14:paraId="60A8A40B"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(3.5)</w:t>
            </w:r>
          </w:p>
        </w:tc>
        <w:tc>
          <w:tcPr>
            <w:tcW w:w="0" w:type="dxa"/>
          </w:tcPr>
          <w:p w14:paraId="40AA28D1"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45</w:t>
            </w:r>
          </w:p>
          <w:p w14:paraId="5AECA634"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(5)</w:t>
            </w:r>
          </w:p>
        </w:tc>
        <w:tc>
          <w:tcPr>
            <w:tcW w:w="0" w:type="dxa"/>
          </w:tcPr>
          <w:p w14:paraId="43B0EF48"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42.9</w:t>
            </w:r>
          </w:p>
          <w:p w14:paraId="75D8878D"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(22.0)</w:t>
            </w:r>
          </w:p>
        </w:tc>
        <w:tc>
          <w:tcPr>
            <w:tcW w:w="0" w:type="dxa"/>
          </w:tcPr>
          <w:p w14:paraId="0ED529BB"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23.4</w:t>
            </w:r>
          </w:p>
        </w:tc>
      </w:tr>
      <w:tr w:rsidR="00CB303D" w:rsidRPr="000349EF" w14:paraId="2212CBC8" w14:textId="77777777" w:rsidTr="0028643E">
        <w:tc>
          <w:tcPr>
            <w:tcW w:w="0" w:type="dxa"/>
          </w:tcPr>
          <w:p w14:paraId="216FE344"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Swelling</w:t>
            </w:r>
          </w:p>
        </w:tc>
        <w:tc>
          <w:tcPr>
            <w:tcW w:w="0" w:type="dxa"/>
          </w:tcPr>
          <w:p w14:paraId="5C6E6452"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17.1</w:t>
            </w:r>
          </w:p>
          <w:p w14:paraId="120B759C"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(0.7)</w:t>
            </w:r>
          </w:p>
        </w:tc>
        <w:tc>
          <w:tcPr>
            <w:tcW w:w="0" w:type="dxa"/>
          </w:tcPr>
          <w:p w14:paraId="5CAB90A7"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15.3</w:t>
            </w:r>
          </w:p>
          <w:p w14:paraId="3CD92C3D"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(7.5)</w:t>
            </w:r>
          </w:p>
        </w:tc>
        <w:tc>
          <w:tcPr>
            <w:tcW w:w="0" w:type="dxa"/>
          </w:tcPr>
          <w:p w14:paraId="7282E444"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15.3</w:t>
            </w:r>
          </w:p>
          <w:p w14:paraId="227C092E"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(3.4)</w:t>
            </w:r>
          </w:p>
        </w:tc>
        <w:tc>
          <w:tcPr>
            <w:tcW w:w="0" w:type="dxa"/>
          </w:tcPr>
          <w:p w14:paraId="0B78E296"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28</w:t>
            </w:r>
          </w:p>
          <w:p w14:paraId="379942CC"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w:t>
            </w:r>
          </w:p>
        </w:tc>
        <w:tc>
          <w:tcPr>
            <w:tcW w:w="0" w:type="dxa"/>
          </w:tcPr>
          <w:p w14:paraId="0DA46FB1"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37.6</w:t>
            </w:r>
          </w:p>
          <w:p w14:paraId="785D9C22"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(21.9)</w:t>
            </w:r>
          </w:p>
        </w:tc>
        <w:tc>
          <w:tcPr>
            <w:tcW w:w="0" w:type="dxa"/>
          </w:tcPr>
          <w:p w14:paraId="3A3BC574"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7.2</w:t>
            </w:r>
          </w:p>
        </w:tc>
      </w:tr>
      <w:tr w:rsidR="00CB303D" w:rsidRPr="000349EF" w14:paraId="2B4DABB4" w14:textId="77777777" w:rsidTr="0028643E">
        <w:tc>
          <w:tcPr>
            <w:tcW w:w="0" w:type="dxa"/>
          </w:tcPr>
          <w:p w14:paraId="46208CED"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Axillary swelling</w:t>
            </w:r>
          </w:p>
        </w:tc>
        <w:tc>
          <w:tcPr>
            <w:tcW w:w="0" w:type="dxa"/>
          </w:tcPr>
          <w:p w14:paraId="69CB2EB2"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18</w:t>
            </w:r>
          </w:p>
          <w:p w14:paraId="32CB5142" w14:textId="77777777" w:rsidR="00E6281E" w:rsidRPr="000349EF" w:rsidRDefault="00E6281E" w:rsidP="00593F12">
            <w:pPr>
              <w:autoSpaceDE w:val="0"/>
              <w:autoSpaceDN w:val="0"/>
              <w:spacing w:before="0" w:after="0" w:line="240" w:lineRule="auto"/>
              <w:ind w:left="0" w:right="0"/>
              <w:rPr>
                <w:sz w:val="19"/>
                <w:szCs w:val="19"/>
              </w:rPr>
            </w:pPr>
            <w:r w:rsidRPr="000349EF">
              <w:rPr>
                <w:sz w:val="19"/>
                <w:szCs w:val="19"/>
              </w:rPr>
              <w:t>(0.1)</w:t>
            </w:r>
          </w:p>
        </w:tc>
        <w:tc>
          <w:tcPr>
            <w:tcW w:w="0" w:type="dxa"/>
          </w:tcPr>
          <w:p w14:paraId="3CF92EB6"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3E81DEE0"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174FFA4A"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7241A439" w14:textId="77777777" w:rsidR="00E6281E" w:rsidRPr="000349EF" w:rsidRDefault="00E6281E" w:rsidP="00593F12">
            <w:pPr>
              <w:autoSpaceDE w:val="0"/>
              <w:autoSpaceDN w:val="0"/>
              <w:spacing w:before="0" w:after="0" w:line="240" w:lineRule="auto"/>
              <w:ind w:left="0" w:right="0"/>
              <w:rPr>
                <w:sz w:val="19"/>
                <w:szCs w:val="19"/>
              </w:rPr>
            </w:pPr>
          </w:p>
        </w:tc>
        <w:tc>
          <w:tcPr>
            <w:tcW w:w="0" w:type="dxa"/>
          </w:tcPr>
          <w:p w14:paraId="5B461983" w14:textId="77777777" w:rsidR="00E6281E" w:rsidRPr="000349EF" w:rsidRDefault="00E6281E" w:rsidP="00593F12">
            <w:pPr>
              <w:autoSpaceDE w:val="0"/>
              <w:autoSpaceDN w:val="0"/>
              <w:spacing w:before="0" w:after="0" w:line="240" w:lineRule="auto"/>
              <w:ind w:left="0" w:right="0"/>
              <w:rPr>
                <w:sz w:val="19"/>
                <w:szCs w:val="19"/>
              </w:rPr>
            </w:pPr>
          </w:p>
        </w:tc>
      </w:tr>
    </w:tbl>
    <w:p w14:paraId="56B4B8A4" w14:textId="6CDE232D" w:rsidR="00593F12" w:rsidRPr="000349EF" w:rsidRDefault="00593F12" w:rsidP="00055D3D">
      <w:pPr>
        <w:pStyle w:val="TableDescription"/>
      </w:pPr>
      <w:r w:rsidRPr="000349EF">
        <w:t xml:space="preserve">AG = </w:t>
      </w:r>
      <w:r w:rsidR="00055D3D" w:rsidRPr="000349EF">
        <w:t>a</w:t>
      </w:r>
      <w:r w:rsidRPr="000349EF">
        <w:t xml:space="preserve">ny grade; D2 = Dose 2; G3 = Grade 3; </w:t>
      </w:r>
      <w:r w:rsidR="00055D3D" w:rsidRPr="000349EF">
        <w:t xml:space="preserve">info = information; </w:t>
      </w:r>
      <w:r w:rsidR="00CB303D" w:rsidRPr="000349EF">
        <w:t>m</w:t>
      </w:r>
      <w:r w:rsidRPr="000349EF">
        <w:t xml:space="preserve">od = moderate; </w:t>
      </w:r>
      <w:r w:rsidR="00055D3D" w:rsidRPr="000349EF">
        <w:t xml:space="preserve">PI = Product Information; SR = solicited reactions; US = United states; </w:t>
      </w:r>
      <w:r w:rsidRPr="000349EF">
        <w:t>YOA = years of age.</w:t>
      </w:r>
    </w:p>
    <w:p w14:paraId="4D8CB971" w14:textId="23594763" w:rsidR="00E6281E" w:rsidRPr="000349EF" w:rsidRDefault="00E6281E" w:rsidP="00A04B72">
      <w:r w:rsidRPr="000349EF">
        <w:t xml:space="preserve">When compared to other vaccines, </w:t>
      </w:r>
      <w:proofErr w:type="spellStart"/>
      <w:r w:rsidRPr="000349EF">
        <w:t>Spikevax</w:t>
      </w:r>
      <w:proofErr w:type="spellEnd"/>
      <w:r w:rsidRPr="000349EF">
        <w:t xml:space="preserve"> 50</w:t>
      </w:r>
      <w:r w:rsidR="002A43E4" w:rsidRPr="000349EF">
        <w:t xml:space="preserve"> </w:t>
      </w:r>
      <w:proofErr w:type="spellStart"/>
      <w:r w:rsidRPr="000349EF">
        <w:t>μg</w:t>
      </w:r>
      <w:proofErr w:type="spellEnd"/>
      <w:r w:rsidRPr="000349EF">
        <w:t xml:space="preserve"> appears to have the highest rate for most of the solicited reactions of any </w:t>
      </w:r>
      <w:proofErr w:type="gramStart"/>
      <w:r w:rsidRPr="000349EF">
        <w:t>grade, but</w:t>
      </w:r>
      <w:proofErr w:type="gramEnd"/>
      <w:r w:rsidRPr="000349EF">
        <w:t xml:space="preserve"> does not appear to have the highest rate of Grade 3 reactions (or reactions with moderate intensity). The caveat is that the intensity classification may not be identical in the different studies. </w:t>
      </w:r>
      <w:r w:rsidR="003C31AB" w:rsidRPr="000349EF">
        <w:t>No Grade 4 AEs were recorded with Spikevax 50</w:t>
      </w:r>
      <w:r w:rsidR="00816E62">
        <w:t xml:space="preserve"> µ</w:t>
      </w:r>
      <w:r w:rsidR="003C31AB" w:rsidRPr="000349EF">
        <w:t>g in 6 to &lt;</w:t>
      </w:r>
      <w:r w:rsidR="00816E62">
        <w:t xml:space="preserve"> </w:t>
      </w:r>
      <w:r w:rsidR="003C31AB" w:rsidRPr="000349EF">
        <w:t>12</w:t>
      </w:r>
      <w:r w:rsidR="00816E62">
        <w:t xml:space="preserve"> years old</w:t>
      </w:r>
      <w:r w:rsidR="003C31AB" w:rsidRPr="000349EF">
        <w:t xml:space="preserve"> in Study P204</w:t>
      </w:r>
      <w:r w:rsidRPr="000349EF">
        <w:t xml:space="preserve">. As documented in the sponsor’s </w:t>
      </w:r>
      <w:r w:rsidR="00CB303D" w:rsidRPr="000349EF">
        <w:t>clinical overview</w:t>
      </w:r>
      <w:r w:rsidRPr="000349EF">
        <w:t xml:space="preserve">, most solicited </w:t>
      </w:r>
      <w:r w:rsidR="00C70419" w:rsidRPr="000349EF">
        <w:t>AR</w:t>
      </w:r>
      <w:r w:rsidRPr="000349EF">
        <w:t xml:space="preserve">s associated with </w:t>
      </w:r>
      <w:proofErr w:type="spellStart"/>
      <w:r w:rsidRPr="000349EF">
        <w:t>Spikevax</w:t>
      </w:r>
      <w:proofErr w:type="spellEnd"/>
      <w:r w:rsidRPr="000349EF">
        <w:t xml:space="preserve"> 50</w:t>
      </w:r>
      <w:r w:rsidR="002A43E4" w:rsidRPr="000349EF">
        <w:t xml:space="preserve"> </w:t>
      </w:r>
      <w:proofErr w:type="spellStart"/>
      <w:r w:rsidRPr="000349EF">
        <w:t>μg</w:t>
      </w:r>
      <w:proofErr w:type="spellEnd"/>
      <w:r w:rsidRPr="000349EF">
        <w:t xml:space="preserve"> were short-lived and usually resolved within a few days. No events of febrile seizure were reported in Study P204. The 10 Nov</w:t>
      </w:r>
      <w:r w:rsidR="002A43E4" w:rsidRPr="000349EF">
        <w:t>ember</w:t>
      </w:r>
      <w:r w:rsidRPr="000349EF">
        <w:t xml:space="preserve"> 2021 </w:t>
      </w:r>
      <w:r w:rsidR="002A43E4" w:rsidRPr="000349EF">
        <w:t xml:space="preserve">interim analysis </w:t>
      </w:r>
      <w:r w:rsidRPr="000349EF">
        <w:t>reported no SAEs considered related to Spikevax. There were no deaths, no cases of MIS</w:t>
      </w:r>
      <w:r w:rsidR="002A43E4" w:rsidRPr="000349EF">
        <w:noBreakHyphen/>
      </w:r>
      <w:r w:rsidRPr="000349EF">
        <w:t>C and no cases of myocarditis or pericarditis.</w:t>
      </w:r>
    </w:p>
    <w:p w14:paraId="2AB3078F" w14:textId="4F9EEB40" w:rsidR="00E6281E" w:rsidRPr="000349EF" w:rsidRDefault="0027227F" w:rsidP="00A04B72">
      <w:pPr>
        <w:pStyle w:val="Heading6"/>
      </w:pPr>
      <w:bookmarkStart w:id="122" w:name="_Toc93934154"/>
      <w:bookmarkStart w:id="123" w:name="_Toc94269139"/>
      <w:r w:rsidRPr="000349EF">
        <w:t>R</w:t>
      </w:r>
      <w:r w:rsidR="00E6281E" w:rsidRPr="000349EF">
        <w:t>isk of myocarditis and pericarditi</w:t>
      </w:r>
      <w:bookmarkEnd w:id="122"/>
      <w:r w:rsidR="00E6281E" w:rsidRPr="000349EF">
        <w:t>s</w:t>
      </w:r>
      <w:bookmarkEnd w:id="123"/>
    </w:p>
    <w:p w14:paraId="746694C8" w14:textId="321B934C" w:rsidR="00E6281E" w:rsidRPr="000349EF" w:rsidRDefault="00E6281E" w:rsidP="00A04B72">
      <w:r w:rsidRPr="000349EF">
        <w:t>The risks of myocarditis and pericarditis post</w:t>
      </w:r>
      <w:r w:rsidR="00A5478D" w:rsidRPr="000349EF">
        <w:t>-</w:t>
      </w:r>
      <w:r w:rsidRPr="000349EF">
        <w:t xml:space="preserve">vaccination with Spikevax cannot be assessed </w:t>
      </w:r>
      <w:proofErr w:type="gramStart"/>
      <w:r w:rsidRPr="000349EF">
        <w:t>on the basis of</w:t>
      </w:r>
      <w:proofErr w:type="gramEnd"/>
      <w:r w:rsidRPr="000349EF">
        <w:t xml:space="preserve"> submitted data in the 6 to &lt; 12 years old age group. There were no cases of myocarditis identified with the median 2</w:t>
      </w:r>
      <w:r w:rsidR="0027227F" w:rsidRPr="000349EF">
        <w:t>-</w:t>
      </w:r>
      <w:r w:rsidRPr="000349EF">
        <w:t>months post</w:t>
      </w:r>
      <w:r w:rsidR="00A5478D" w:rsidRPr="000349EF">
        <w:t>-Dose 2</w:t>
      </w:r>
      <w:r w:rsidRPr="000349EF">
        <w:t xml:space="preserve"> follow up, but the size of the study is certainly not sufficient to detect very rare events.</w:t>
      </w:r>
    </w:p>
    <w:p w14:paraId="1E66BB36" w14:textId="39B90FE6" w:rsidR="00E6281E" w:rsidRPr="000349EF" w:rsidRDefault="0027227F" w:rsidP="00A04B72">
      <w:r w:rsidRPr="000349EF">
        <w:t>I</w:t>
      </w:r>
      <w:r w:rsidR="00E6281E" w:rsidRPr="000349EF">
        <w:t xml:space="preserve">nformation from </w:t>
      </w:r>
      <w:r w:rsidRPr="000349EF">
        <w:t xml:space="preserve">the </w:t>
      </w:r>
      <w:r w:rsidR="00E6281E" w:rsidRPr="000349EF">
        <w:t>CDC review</w:t>
      </w:r>
      <w:r w:rsidR="00E113D1" w:rsidRPr="000349EF">
        <w:t>;</w:t>
      </w:r>
      <w:r w:rsidR="00E113D1" w:rsidRPr="000349EF">
        <w:rPr>
          <w:rStyle w:val="FootnoteReference"/>
        </w:rPr>
        <w:footnoteReference w:id="43"/>
      </w:r>
      <w:r w:rsidR="00E6281E" w:rsidRPr="000349EF">
        <w:t xml:space="preserve"> and ACIP discussion</w:t>
      </w:r>
      <w:r w:rsidR="00E113D1" w:rsidRPr="000349EF">
        <w:t>;</w:t>
      </w:r>
      <w:bookmarkStart w:id="124" w:name="_Ref94800518"/>
      <w:r w:rsidR="00E113D1" w:rsidRPr="000349EF">
        <w:rPr>
          <w:rStyle w:val="FootnoteReference"/>
        </w:rPr>
        <w:footnoteReference w:id="44"/>
      </w:r>
      <w:bookmarkEnd w:id="124"/>
      <w:r w:rsidR="00E6281E" w:rsidRPr="000349EF">
        <w:t xml:space="preserve"> about post-market safety for </w:t>
      </w:r>
      <w:r w:rsidR="00E57286" w:rsidRPr="000349EF">
        <w:t xml:space="preserve">the </w:t>
      </w:r>
      <w:r w:rsidR="00E6281E" w:rsidRPr="000349EF">
        <w:t>Pfizer COVID</w:t>
      </w:r>
      <w:r w:rsidR="002A43E4" w:rsidRPr="000349EF">
        <w:t>-</w:t>
      </w:r>
      <w:r w:rsidR="00E6281E" w:rsidRPr="000349EF">
        <w:t>19 vaccine may help in estimating the risk of myocarditis post-mRNA vaccines in this age group.</w:t>
      </w:r>
    </w:p>
    <w:p w14:paraId="50C65153" w14:textId="00EA4B2D" w:rsidR="00E6281E" w:rsidRPr="000349EF" w:rsidRDefault="00E6281E" w:rsidP="00A04B72">
      <w:r w:rsidRPr="000349EF">
        <w:t>The ACIP discussion stated that since authori</w:t>
      </w:r>
      <w:r w:rsidR="009C0A92" w:rsidRPr="000349EF">
        <w:t>s</w:t>
      </w:r>
      <w:r w:rsidRPr="000349EF">
        <w:t xml:space="preserve">ation of </w:t>
      </w:r>
      <w:r w:rsidR="00E57286" w:rsidRPr="000349EF">
        <w:t xml:space="preserve">the </w:t>
      </w:r>
      <w:r w:rsidRPr="000349EF">
        <w:t>Pfizer COVID</w:t>
      </w:r>
      <w:r w:rsidR="00E57286" w:rsidRPr="000349EF">
        <w:t>-</w:t>
      </w:r>
      <w:r w:rsidRPr="000349EF">
        <w:t xml:space="preserve">19 vaccine, 8.7 million doses of </w:t>
      </w:r>
      <w:r w:rsidR="00E57286" w:rsidRPr="000349EF">
        <w:t xml:space="preserve">this </w:t>
      </w:r>
      <w:r w:rsidRPr="000349EF">
        <w:t xml:space="preserve">vaccine were administered to children </w:t>
      </w:r>
      <w:r w:rsidR="00E57286" w:rsidRPr="000349EF">
        <w:t>between</w:t>
      </w:r>
      <w:r w:rsidRPr="000349EF">
        <w:t xml:space="preserve"> 5</w:t>
      </w:r>
      <w:r w:rsidR="002A43E4" w:rsidRPr="000349EF">
        <w:t xml:space="preserve"> to </w:t>
      </w:r>
      <w:r w:rsidRPr="000349EF">
        <w:t>11</w:t>
      </w:r>
      <w:r w:rsidR="002A43E4" w:rsidRPr="000349EF">
        <w:t> </w:t>
      </w:r>
      <w:r w:rsidRPr="000349EF">
        <w:t>years</w:t>
      </w:r>
      <w:r w:rsidR="002A43E4" w:rsidRPr="000349EF">
        <w:t xml:space="preserve"> old</w:t>
      </w:r>
      <w:r w:rsidRPr="000349EF">
        <w:t xml:space="preserve">, and 18.7 million doses to children and adolescents </w:t>
      </w:r>
      <w:r w:rsidR="00E57286" w:rsidRPr="000349EF">
        <w:t xml:space="preserve">between </w:t>
      </w:r>
      <w:r w:rsidRPr="000349EF">
        <w:t>12</w:t>
      </w:r>
      <w:r w:rsidR="002A43E4" w:rsidRPr="000349EF">
        <w:t xml:space="preserve"> to </w:t>
      </w:r>
      <w:r w:rsidRPr="000349EF">
        <w:t>15</w:t>
      </w:r>
      <w:r w:rsidR="002A43E4" w:rsidRPr="000349EF">
        <w:t xml:space="preserve"> </w:t>
      </w:r>
      <w:r w:rsidRPr="000349EF">
        <w:t xml:space="preserve">years </w:t>
      </w:r>
      <w:r w:rsidR="002A43E4" w:rsidRPr="000349EF">
        <w:t xml:space="preserve">old </w:t>
      </w:r>
      <w:r w:rsidRPr="000349EF">
        <w:t xml:space="preserve">in the US, and </w:t>
      </w:r>
      <w:r w:rsidR="002A43E4" w:rsidRPr="000349EF">
        <w:t xml:space="preserve">the reported myocarditis among </w:t>
      </w:r>
      <w:r w:rsidRPr="000349EF">
        <w:t xml:space="preserve">male children </w:t>
      </w:r>
      <w:r w:rsidR="00E57286" w:rsidRPr="000349EF">
        <w:t>between</w:t>
      </w:r>
      <w:r w:rsidRPr="000349EF">
        <w:t xml:space="preserve"> 5</w:t>
      </w:r>
      <w:r w:rsidR="002A43E4" w:rsidRPr="000349EF">
        <w:t xml:space="preserve"> </w:t>
      </w:r>
      <w:r w:rsidR="0019286C" w:rsidRPr="000349EF">
        <w:t xml:space="preserve">to </w:t>
      </w:r>
      <w:r w:rsidRPr="000349EF">
        <w:t xml:space="preserve">11 years </w:t>
      </w:r>
      <w:r w:rsidR="0019286C" w:rsidRPr="000349EF">
        <w:t xml:space="preserve">old </w:t>
      </w:r>
      <w:r w:rsidRPr="000349EF">
        <w:t xml:space="preserve">are substantially lower than for males </w:t>
      </w:r>
      <w:r w:rsidR="00703C80" w:rsidRPr="000349EF">
        <w:t xml:space="preserve">between </w:t>
      </w:r>
      <w:r w:rsidRPr="000349EF">
        <w:t>12</w:t>
      </w:r>
      <w:r w:rsidR="0019286C" w:rsidRPr="000349EF">
        <w:t xml:space="preserve"> to </w:t>
      </w:r>
      <w:r w:rsidRPr="000349EF">
        <w:t>15 and 16</w:t>
      </w:r>
      <w:r w:rsidR="0019286C" w:rsidRPr="000349EF">
        <w:t xml:space="preserve"> to </w:t>
      </w:r>
      <w:r w:rsidRPr="000349EF">
        <w:t>17</w:t>
      </w:r>
      <w:r w:rsidR="0019286C" w:rsidRPr="000349EF">
        <w:t xml:space="preserve"> </w:t>
      </w:r>
      <w:r w:rsidRPr="000349EF">
        <w:t xml:space="preserve">years </w:t>
      </w:r>
      <w:r w:rsidR="0019286C" w:rsidRPr="000349EF">
        <w:t xml:space="preserve">old </w:t>
      </w:r>
      <w:r w:rsidRPr="000349EF">
        <w:t xml:space="preserve">(see </w:t>
      </w:r>
      <w:r w:rsidR="00C01898">
        <w:fldChar w:fldCharType="begin"/>
      </w:r>
      <w:r w:rsidR="00C01898">
        <w:instrText xml:space="preserve"> REF _Ref96338742 \h </w:instrText>
      </w:r>
      <w:r w:rsidR="00C01898">
        <w:fldChar w:fldCharType="separate"/>
      </w:r>
      <w:r w:rsidR="00235E4B">
        <w:t xml:space="preserve">Table </w:t>
      </w:r>
      <w:r w:rsidR="00235E4B">
        <w:rPr>
          <w:noProof/>
        </w:rPr>
        <w:t>29</w:t>
      </w:r>
      <w:r w:rsidR="00C01898">
        <w:fldChar w:fldCharType="end"/>
      </w:r>
      <w:r w:rsidR="0019286C" w:rsidRPr="000349EF">
        <w:t xml:space="preserve"> </w:t>
      </w:r>
      <w:r w:rsidRPr="000349EF">
        <w:t>below for the information presented).</w:t>
      </w:r>
    </w:p>
    <w:p w14:paraId="0E58D045" w14:textId="79620B51" w:rsidR="0019286C" w:rsidRPr="000349EF" w:rsidRDefault="00C01898" w:rsidP="00C01898">
      <w:pPr>
        <w:pStyle w:val="TableTitle"/>
        <w:rPr>
          <w:vertAlign w:val="superscript"/>
        </w:rPr>
      </w:pPr>
      <w:bookmarkStart w:id="125" w:name="_Ref94713639"/>
      <w:bookmarkStart w:id="126" w:name="_Ref96338742"/>
      <w:r>
        <w:lastRenderedPageBreak/>
        <w:t xml:space="preserve">Table </w:t>
      </w:r>
      <w:r w:rsidR="00571D7C">
        <w:fldChar w:fldCharType="begin"/>
      </w:r>
      <w:r w:rsidR="00571D7C">
        <w:instrText xml:space="preserve"> SEQ Table \* ARABIC </w:instrText>
      </w:r>
      <w:r w:rsidR="00571D7C">
        <w:fldChar w:fldCharType="separate"/>
      </w:r>
      <w:r w:rsidR="00235E4B">
        <w:rPr>
          <w:noProof/>
        </w:rPr>
        <w:t>29</w:t>
      </w:r>
      <w:r w:rsidR="00571D7C">
        <w:rPr>
          <w:noProof/>
        </w:rPr>
        <w:fldChar w:fldCharType="end"/>
      </w:r>
      <w:bookmarkEnd w:id="125"/>
      <w:bookmarkEnd w:id="126"/>
      <w:r w:rsidR="0019286C" w:rsidRPr="000349EF">
        <w:t>:</w:t>
      </w:r>
      <w:r w:rsidR="001841BF" w:rsidRPr="000349EF">
        <w:t xml:space="preserve"> Reporting rates of myocarditis (per one million doses administered) after Pfizer-BioNTech COVID-19 vaccination, 7-day risk interval;</w:t>
      </w:r>
      <w:r w:rsidR="001841BF" w:rsidRPr="000349EF">
        <w:rPr>
          <w:vertAlign w:val="superscript"/>
        </w:rPr>
        <w:fldChar w:fldCharType="begin"/>
      </w:r>
      <w:r w:rsidR="001841BF" w:rsidRPr="000349EF">
        <w:rPr>
          <w:vertAlign w:val="superscript"/>
        </w:rPr>
        <w:instrText xml:space="preserve"> NOTEREF _Ref94800518 \h  \* MERGEFORMAT </w:instrText>
      </w:r>
      <w:r w:rsidR="001841BF" w:rsidRPr="000349EF">
        <w:rPr>
          <w:vertAlign w:val="superscript"/>
        </w:rPr>
      </w:r>
      <w:r w:rsidR="001841BF" w:rsidRPr="000349EF">
        <w:rPr>
          <w:vertAlign w:val="superscript"/>
        </w:rPr>
        <w:fldChar w:fldCharType="separate"/>
      </w:r>
      <w:r w:rsidR="00235E4B">
        <w:rPr>
          <w:vertAlign w:val="superscript"/>
        </w:rPr>
        <w:t>42</w:t>
      </w:r>
      <w:r w:rsidR="001841BF" w:rsidRPr="000349EF">
        <w:rPr>
          <w:vertAlign w:val="superscript"/>
        </w:rPr>
        <w:fldChar w:fldCharType="end"/>
      </w:r>
    </w:p>
    <w:p w14:paraId="6ADDC57F" w14:textId="6A950A54" w:rsidR="001841BF" w:rsidRPr="000349EF" w:rsidRDefault="001841BF" w:rsidP="00B03B45">
      <w:r w:rsidRPr="000349EF">
        <w:rPr>
          <w:noProof/>
          <w:lang w:val="en-GB" w:eastAsia="en-GB"/>
        </w:rPr>
        <w:drawing>
          <wp:inline distT="0" distB="0" distL="0" distR="0" wp14:anchorId="094A6D08" wp14:editId="481D07B8">
            <wp:extent cx="4005943" cy="1392941"/>
            <wp:effectExtent l="0" t="0" r="0" b="0"/>
            <wp:docPr id="11" name="Picture 11" descr="Table 29: Reporting rates of myocarditis (per one million doses administered) after Pfizer-BioNTech COVID-19 vaccination, 7-day risk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29: Reporting rates of myocarditis (per one million doses administered) after Pfizer-BioNTech COVID-19 vaccination, 7-day risk interval"/>
                    <pic:cNvPicPr/>
                  </pic:nvPicPr>
                  <pic:blipFill>
                    <a:blip r:embed="rId46"/>
                    <a:stretch>
                      <a:fillRect/>
                    </a:stretch>
                  </pic:blipFill>
                  <pic:spPr>
                    <a:xfrm>
                      <a:off x="0" y="0"/>
                      <a:ext cx="4018235" cy="1397215"/>
                    </a:xfrm>
                    <a:prstGeom prst="rect">
                      <a:avLst/>
                    </a:prstGeom>
                  </pic:spPr>
                </pic:pic>
              </a:graphicData>
            </a:graphic>
          </wp:inline>
        </w:drawing>
      </w:r>
    </w:p>
    <w:p w14:paraId="72BA25E8" w14:textId="1444AFD7" w:rsidR="00241B63" w:rsidRPr="000349EF" w:rsidRDefault="00241B63" w:rsidP="00241B63">
      <w:pPr>
        <w:pStyle w:val="TableDescription"/>
      </w:pPr>
      <w:r w:rsidRPr="000349EF">
        <w:t>COVID-19 = coronavirus 2019</w:t>
      </w:r>
    </w:p>
    <w:p w14:paraId="148398E4" w14:textId="22D034FF" w:rsidR="001841BF" w:rsidRPr="000349EF" w:rsidRDefault="001841BF" w:rsidP="001841BF">
      <w:pPr>
        <w:pStyle w:val="TableDescription"/>
      </w:pPr>
      <w:r w:rsidRPr="000349EF">
        <w:t>37,810,998 total Doses 1 and 2 of vaccine administered.</w:t>
      </w:r>
    </w:p>
    <w:p w14:paraId="36BC92CC" w14:textId="085C035D" w:rsidR="001841BF" w:rsidRPr="000349EF" w:rsidRDefault="001841BF" w:rsidP="001841BF">
      <w:pPr>
        <w:pStyle w:val="TableDescription"/>
      </w:pPr>
      <w:r w:rsidRPr="000349EF">
        <w:t>Reporting rates exceed background incidence (peach shaded cells).</w:t>
      </w:r>
    </w:p>
    <w:p w14:paraId="76CE72F8" w14:textId="69FAE09E" w:rsidR="001841BF" w:rsidRPr="000349EF" w:rsidRDefault="001841BF" w:rsidP="001841BF">
      <w:pPr>
        <w:pStyle w:val="TableDescription"/>
      </w:pPr>
      <w:r w:rsidRPr="000349EF">
        <w:t>-Males: after Dose 1 (ages 12 to 15 and 16 to 17 years) and after Dose 2 (ages 5 to 11, 12 to 15, and 16 to 17 years)</w:t>
      </w:r>
    </w:p>
    <w:p w14:paraId="2333D095" w14:textId="58880A4D" w:rsidR="001841BF" w:rsidRPr="000349EF" w:rsidRDefault="001841BF" w:rsidP="001841BF">
      <w:pPr>
        <w:pStyle w:val="TableDescription"/>
      </w:pPr>
      <w:r w:rsidRPr="000349EF">
        <w:t>-Females: after Dose 2 (ages 12 to 15 and 16 to 17 years)</w:t>
      </w:r>
    </w:p>
    <w:p w14:paraId="1DBE549D" w14:textId="7600244E" w:rsidR="001841BF" w:rsidRPr="000349EF" w:rsidRDefault="001841BF" w:rsidP="001841BF">
      <w:pPr>
        <w:pStyle w:val="TableDescription"/>
      </w:pPr>
      <w:r w:rsidRPr="000349EF">
        <w:t>-Reporting rates among males substantially lower among ages 5 to 11 versus 12 to 15 and 16 to 17 years.</w:t>
      </w:r>
    </w:p>
    <w:p w14:paraId="1C12E5E3" w14:textId="75796009" w:rsidR="001841BF" w:rsidRPr="000349EF" w:rsidRDefault="001841BF" w:rsidP="001841BF">
      <w:pPr>
        <w:pStyle w:val="TableDescription"/>
      </w:pPr>
      <w:r w:rsidRPr="000349EF">
        <w:t>Reports of myocarditis after Doses 1 and 2 of Pfizer-BioNTech COVID-19 vaccine during a 7-day risk interval after vaccination (as of 19 December 2021); reports verified to meet case definition by healthcare provider interview and/or medical record review.</w:t>
      </w:r>
    </w:p>
    <w:p w14:paraId="7C89741A" w14:textId="7622106C" w:rsidR="00E6281E" w:rsidRPr="000349EF" w:rsidRDefault="00E6281E" w:rsidP="00114008">
      <w:r w:rsidRPr="000349EF">
        <w:t xml:space="preserve">It may be estimated that a similar age pattern may be seen with </w:t>
      </w:r>
      <w:r w:rsidR="00C70419" w:rsidRPr="000349EF">
        <w:t>the sponsor’s</w:t>
      </w:r>
      <w:r w:rsidRPr="000349EF">
        <w:t xml:space="preserve"> mRNA COVID-19 vaccine</w:t>
      </w:r>
      <w:r w:rsidR="00703C80" w:rsidRPr="000349EF">
        <w:t>s</w:t>
      </w:r>
      <w:r w:rsidRPr="000349EF">
        <w:t>, and the rate of myocarditis post</w:t>
      </w:r>
      <w:r w:rsidR="00A5478D" w:rsidRPr="000349EF">
        <w:t>-</w:t>
      </w:r>
      <w:r w:rsidRPr="000349EF">
        <w:t>vaccination in 6 to &lt; 12 years old is likely to be lower than the rate in those &gt; 12 years old.</w:t>
      </w:r>
    </w:p>
    <w:p w14:paraId="60D0DDA8" w14:textId="3A01BF08" w:rsidR="00A72C4E" w:rsidRPr="000349EF" w:rsidRDefault="00A72C4E" w:rsidP="00A72C4E">
      <w:pPr>
        <w:pStyle w:val="Heading4"/>
      </w:pPr>
      <w:bookmarkStart w:id="127" w:name="_Toc93934155"/>
      <w:bookmarkStart w:id="128" w:name="_Toc94269140"/>
      <w:r w:rsidRPr="000349EF">
        <w:t>Advisory Committee considerations</w:t>
      </w:r>
      <w:r w:rsidR="0019286C" w:rsidRPr="000349EF">
        <w:t xml:space="preserve"> </w:t>
      </w:r>
      <w:r w:rsidR="00703C80" w:rsidRPr="000349EF">
        <w:t>(</w:t>
      </w:r>
      <w:r w:rsidR="0019286C" w:rsidRPr="000349EF">
        <w:t>on additional questions</w:t>
      </w:r>
      <w:r w:rsidR="00703C80" w:rsidRPr="000349EF">
        <w:t>)</w:t>
      </w:r>
    </w:p>
    <w:p w14:paraId="47D46886" w14:textId="32BED4AA" w:rsidR="00A72C4E" w:rsidRPr="000349EF" w:rsidRDefault="00A72C4E" w:rsidP="00A72C4E">
      <w:pPr>
        <w:rPr>
          <w:bCs/>
        </w:rPr>
      </w:pPr>
      <w:r w:rsidRPr="000349EF">
        <w:t xml:space="preserve">Based on the above information and analysis, the ACV </w:t>
      </w:r>
      <w:r w:rsidR="00703C80" w:rsidRPr="000349EF">
        <w:t xml:space="preserve">has been </w:t>
      </w:r>
      <w:r w:rsidRPr="000349EF">
        <w:t xml:space="preserve">requested to provide advice on additional questions. The ACV </w:t>
      </w:r>
      <w:r w:rsidRPr="000349EF">
        <w:rPr>
          <w:bCs/>
        </w:rPr>
        <w:t xml:space="preserve">have considered the evaluations and the Delegate’s second overview, as well as the sponsor’s response to these documents, </w:t>
      </w:r>
      <w:r w:rsidR="00703C80" w:rsidRPr="000349EF">
        <w:rPr>
          <w:bCs/>
        </w:rPr>
        <w:t xml:space="preserve">and provided </w:t>
      </w:r>
      <w:r w:rsidRPr="000349EF">
        <w:rPr>
          <w:bCs/>
        </w:rPr>
        <w:t>advi</w:t>
      </w:r>
      <w:r w:rsidR="00703C80" w:rsidRPr="000349EF">
        <w:rPr>
          <w:bCs/>
        </w:rPr>
        <w:t>ce given below.</w:t>
      </w:r>
    </w:p>
    <w:p w14:paraId="3ABAA523" w14:textId="77777777" w:rsidR="00A72C4E" w:rsidRPr="000349EF" w:rsidRDefault="00A72C4E" w:rsidP="00A72C4E">
      <w:pPr>
        <w:pStyle w:val="Heading5"/>
      </w:pPr>
      <w:r w:rsidRPr="000349EF">
        <w:t>Specific advice to the Delegate</w:t>
      </w:r>
    </w:p>
    <w:bookmarkEnd w:id="127"/>
    <w:bookmarkEnd w:id="128"/>
    <w:p w14:paraId="1C4A4EBA" w14:textId="2098E106" w:rsidR="005268E2" w:rsidRPr="000349EF" w:rsidRDefault="005268E2" w:rsidP="002C634F">
      <w:pPr>
        <w:pStyle w:val="Numberbullet0"/>
        <w:keepNext/>
        <w:numPr>
          <w:ilvl w:val="0"/>
          <w:numId w:val="65"/>
        </w:numPr>
        <w:rPr>
          <w:b/>
          <w:bCs/>
          <w:i/>
          <w:iCs/>
        </w:rPr>
      </w:pPr>
      <w:r w:rsidRPr="000349EF">
        <w:rPr>
          <w:b/>
          <w:bCs/>
          <w:i/>
          <w:iCs/>
        </w:rPr>
        <w:t xml:space="preserve">With the available data on 25 </w:t>
      </w:r>
      <w:proofErr w:type="spellStart"/>
      <w:r w:rsidRPr="000349EF">
        <w:rPr>
          <w:b/>
          <w:bCs/>
          <w:i/>
          <w:iCs/>
        </w:rPr>
        <w:t>μg</w:t>
      </w:r>
      <w:proofErr w:type="spellEnd"/>
      <w:r w:rsidRPr="000349EF">
        <w:rPr>
          <w:b/>
          <w:bCs/>
          <w:i/>
          <w:iCs/>
        </w:rPr>
        <w:t xml:space="preserve"> for the 2 to 5 years old, what is the ACV’s estimate with regards to the likelihood of 25 </w:t>
      </w:r>
      <w:proofErr w:type="spellStart"/>
      <w:r w:rsidRPr="000349EF">
        <w:rPr>
          <w:b/>
          <w:bCs/>
          <w:i/>
          <w:iCs/>
        </w:rPr>
        <w:t>μg</w:t>
      </w:r>
      <w:proofErr w:type="spellEnd"/>
      <w:r w:rsidRPr="000349EF">
        <w:rPr>
          <w:b/>
          <w:bCs/>
          <w:i/>
          <w:iCs/>
        </w:rPr>
        <w:t xml:space="preserve"> dose achieving non-inferior immune response in the 6 to &lt; 12 years old?</w:t>
      </w:r>
    </w:p>
    <w:p w14:paraId="69BB05AB" w14:textId="286CC23D" w:rsidR="005268E2" w:rsidRPr="000349EF" w:rsidRDefault="005268E2" w:rsidP="005268E2">
      <w:r w:rsidRPr="000349EF">
        <w:t xml:space="preserve">The ACV commented that based on the preliminary data available the 25 </w:t>
      </w:r>
      <w:r w:rsidRPr="000349EF">
        <w:rPr>
          <w:rFonts w:cs="Cambria"/>
          <w:color w:val="000000" w:themeColor="text1"/>
        </w:rPr>
        <w:t>µg</w:t>
      </w:r>
      <w:r w:rsidRPr="000349EF">
        <w:t xml:space="preserve"> dose in the 2 to &lt; 6 year old age group appears to be not non-inferior to the reference 18 to 25 year old population in terms of immune response by neutralising antibody geometric mean ratio (GMR) (0.779 (95% CI: 0.633, 0.959)) and therefore it is likely that this dose would also not be non-inferior in the 6 to &lt; 12 year old population.</w:t>
      </w:r>
    </w:p>
    <w:p w14:paraId="46D551A1" w14:textId="77777777" w:rsidR="005268E2" w:rsidRPr="000349EF" w:rsidRDefault="005268E2" w:rsidP="005268E2">
      <w:r w:rsidRPr="000349EF">
        <w:t>However, the ACV was of the view that further dose exploration within the 6 to &lt; 12 year old age range would still be helpful to ascertain the best balance of immunogenicity and reactogenicity. This should be considered within the future development of variant specific vaccines.</w:t>
      </w:r>
    </w:p>
    <w:p w14:paraId="00A96589" w14:textId="77777777" w:rsidR="005268E2" w:rsidRPr="000349EF" w:rsidRDefault="005268E2" w:rsidP="005268E2">
      <w:pPr>
        <w:pStyle w:val="Numberbullet0"/>
        <w:numPr>
          <w:ilvl w:val="0"/>
          <w:numId w:val="8"/>
        </w:numPr>
        <w:rPr>
          <w:b/>
          <w:bCs/>
          <w:i/>
          <w:iCs/>
        </w:rPr>
      </w:pPr>
      <w:r w:rsidRPr="000349EF">
        <w:rPr>
          <w:b/>
          <w:bCs/>
          <w:i/>
          <w:iCs/>
        </w:rPr>
        <w:t xml:space="preserve">Whether or not the ACV consider that safety and reactogenicity profile of </w:t>
      </w:r>
      <w:proofErr w:type="spellStart"/>
      <w:r w:rsidRPr="000349EF">
        <w:rPr>
          <w:b/>
          <w:bCs/>
          <w:i/>
          <w:iCs/>
        </w:rPr>
        <w:t>Spikevax</w:t>
      </w:r>
      <w:proofErr w:type="spellEnd"/>
      <w:r w:rsidRPr="000349EF">
        <w:rPr>
          <w:b/>
          <w:bCs/>
          <w:i/>
          <w:iCs/>
        </w:rPr>
        <w:t xml:space="preserve"> 50 </w:t>
      </w:r>
      <w:proofErr w:type="spellStart"/>
      <w:r w:rsidRPr="000349EF">
        <w:rPr>
          <w:b/>
          <w:bCs/>
          <w:i/>
          <w:iCs/>
        </w:rPr>
        <w:t>μg</w:t>
      </w:r>
      <w:proofErr w:type="spellEnd"/>
      <w:r w:rsidRPr="000349EF">
        <w:rPr>
          <w:b/>
          <w:bCs/>
          <w:i/>
          <w:iCs/>
        </w:rPr>
        <w:t xml:space="preserve"> unacceptable, outweigh the potential benefit associated with higher immunogenicity, and preclude the provisional registration of this dose for individuals 6 to &lt; 12 years of age?</w:t>
      </w:r>
    </w:p>
    <w:p w14:paraId="7DA8D64A" w14:textId="57300071" w:rsidR="005268E2" w:rsidRPr="000349EF" w:rsidRDefault="005268E2" w:rsidP="005268E2">
      <w:r w:rsidRPr="000349EF">
        <w:lastRenderedPageBreak/>
        <w:t xml:space="preserve">The ACV considered the updated data from Part 2 Immunogenicity Subset of Study P204 using the </w:t>
      </w:r>
      <w:proofErr w:type="spellStart"/>
      <w:r w:rsidRPr="000349EF">
        <w:t>pseudovirus</w:t>
      </w:r>
      <w:proofErr w:type="spellEnd"/>
      <w:r w:rsidRPr="000349EF">
        <w:t xml:space="preserve"> neutralising assay (cut-off 10 November 2021) and noted the lower GMR in the 6 to 11 versus 18 to &lt; 25 year age group (1.239) compared to the GMR (approximate 1.5) from Part 1 immunogenicity subset of Study P204. This provided some reassurance that the selected 50 µg dose is probably appropriately immunogenic in this age group.</w:t>
      </w:r>
    </w:p>
    <w:p w14:paraId="5131C474" w14:textId="77777777" w:rsidR="005268E2" w:rsidRPr="000349EF" w:rsidRDefault="005268E2" w:rsidP="005268E2">
      <w:r w:rsidRPr="000349EF">
        <w:t>The ACV commented that the safety data indicate this vaccine is highly reactogenic, noting the rates of systemic and local reactions.</w:t>
      </w:r>
    </w:p>
    <w:p w14:paraId="7D4A66FC" w14:textId="449974C4" w:rsidR="005268E2" w:rsidRPr="000349EF" w:rsidRDefault="005268E2" w:rsidP="005268E2">
      <w:r w:rsidRPr="000349EF">
        <w:t>Given the increased rates of rare myocarditis events seen in the older age groups post vaccination, the ACV discussed the risk of myocarditis in the 6 to &lt; 12 year age group. The ACV noted that no cases of myocarditis or pericarditis have been reported in Study P204. The ACV was of the view that there are currently insufficient data regarding the rate of myocarditis and risk relative to other vaccines for the 6 to &lt; 12 year age group. The ACV also noted that cases of myocarditis in older age groups have mostly followed a benign course and data from mRNA vaccines suggests that the risk could be mitigated by a longer interval between primary doses.</w:t>
      </w:r>
    </w:p>
    <w:p w14:paraId="2A5DD160" w14:textId="695F344F" w:rsidR="005268E2" w:rsidRPr="000349EF" w:rsidRDefault="005268E2" w:rsidP="005268E2">
      <w:r w:rsidRPr="000349EF">
        <w:t>While progression to severe COVID-19 is uncommon in children, the ACV noted that the consequences of multisystem inflammatory syndrome in children (MIS-C)/paediatric multisystem inflammatory syndrome - temporally associated with SARS-CoV-2 (PIMS-TS) following COVID-19 infection in children, including mild or asymptomatic disease, can be significant. While the benefits of vaccination are mostly in reducing mild infection, it is likely that vaccination will also reduce cases of severe disease (including MIS-C/PIMS-TS), as well as having indirect benefits (for example, decreased school absence).</w:t>
      </w:r>
    </w:p>
    <w:p w14:paraId="6C362537" w14:textId="17FE485A" w:rsidR="005268E2" w:rsidRPr="000349EF" w:rsidRDefault="005268E2" w:rsidP="005268E2">
      <w:r w:rsidRPr="000349EF">
        <w:t>On balance the ACV was of the view that the benefits outweigh the risks, however noted higher reactogenicity, including the fever rate in the 6 to &lt; 12 years age range when compared to other age groups with this vaccine and the same age group with the other mRNA COVID-19 vaccine. The ACV advised that the PI and CMI should be clear when conveying information about the reactogenicity of this vaccine. Given the reactogenicity, clinical guidance (for example, ATAGI</w:t>
      </w:r>
      <w:r w:rsidR="007E048E" w:rsidRPr="000349EF">
        <w:t xml:space="preserve"> [Australian Technical Advisory Group on Immunisation]</w:t>
      </w:r>
      <w:r w:rsidRPr="000349EF">
        <w:t>) should consider its place in the COVID-19 vaccination program.</w:t>
      </w:r>
    </w:p>
    <w:p w14:paraId="743EAAE9" w14:textId="6278B4A3" w:rsidR="005268E2" w:rsidRPr="000349EF" w:rsidRDefault="005268E2" w:rsidP="005268E2">
      <w:pPr>
        <w:pStyle w:val="Numberbullet0"/>
        <w:numPr>
          <w:ilvl w:val="0"/>
          <w:numId w:val="8"/>
        </w:numPr>
        <w:rPr>
          <w:b/>
          <w:bCs/>
          <w:i/>
          <w:iCs/>
        </w:rPr>
      </w:pPr>
      <w:r w:rsidRPr="000349EF">
        <w:rPr>
          <w:b/>
          <w:bCs/>
          <w:i/>
          <w:iCs/>
        </w:rPr>
        <w:t xml:space="preserve">Whether or not the ACV consider that the result of the 25 </w:t>
      </w:r>
      <w:proofErr w:type="spellStart"/>
      <w:r w:rsidRPr="000349EF">
        <w:rPr>
          <w:b/>
          <w:bCs/>
          <w:i/>
          <w:iCs/>
        </w:rPr>
        <w:t>μg</w:t>
      </w:r>
      <w:proofErr w:type="spellEnd"/>
      <w:r w:rsidRPr="000349EF">
        <w:rPr>
          <w:b/>
          <w:bCs/>
          <w:i/>
          <w:iCs/>
        </w:rPr>
        <w:t xml:space="preserve"> dose in the 6 to &lt; 12 years old should be waited (at around second half of 2022) prior to considering the provisional registration of Spikevax for individuals 6 to &lt; 12 years of age?</w:t>
      </w:r>
    </w:p>
    <w:p w14:paraId="232F9745" w14:textId="4603D504" w:rsidR="005268E2" w:rsidRPr="000349EF" w:rsidRDefault="005268E2" w:rsidP="005268E2">
      <w:r w:rsidRPr="000349EF">
        <w:t>The ACV was supportive of the sponsor’s planned study being conducted using the 25 µg dose in the 6 to &lt; 12 year old age group and noted that data would not be available until the second half of 2022.</w:t>
      </w:r>
    </w:p>
    <w:p w14:paraId="73CAF7D2" w14:textId="77777777" w:rsidR="005268E2" w:rsidRPr="000349EF" w:rsidRDefault="005268E2" w:rsidP="005268E2">
      <w:pPr>
        <w:rPr>
          <w:color w:val="000000" w:themeColor="text1"/>
        </w:rPr>
      </w:pPr>
      <w:r w:rsidRPr="000349EF">
        <w:t xml:space="preserve">The ACV was of the view that the provision of this further data should not preclude provisional registration of the 50 </w:t>
      </w:r>
      <w:r w:rsidRPr="000349EF">
        <w:rPr>
          <w:rFonts w:cs="Cambria"/>
          <w:color w:val="000000" w:themeColor="text1"/>
        </w:rPr>
        <w:t>µg dose.</w:t>
      </w:r>
    </w:p>
    <w:p w14:paraId="4C92379D" w14:textId="77777777" w:rsidR="005268E2" w:rsidRPr="000349EF" w:rsidRDefault="005268E2" w:rsidP="005268E2">
      <w:pPr>
        <w:pStyle w:val="Numberbullet0"/>
        <w:numPr>
          <w:ilvl w:val="0"/>
          <w:numId w:val="8"/>
        </w:numPr>
        <w:rPr>
          <w:b/>
          <w:bCs/>
          <w:i/>
          <w:iCs/>
        </w:rPr>
      </w:pPr>
      <w:r w:rsidRPr="000349EF">
        <w:rPr>
          <w:b/>
          <w:bCs/>
          <w:i/>
          <w:iCs/>
        </w:rPr>
        <w:t xml:space="preserve">The committee is also requested to provide advice on any other issues that it thinks may be relevant to a decision on </w:t>
      </w:r>
      <w:proofErr w:type="gramStart"/>
      <w:r w:rsidRPr="000349EF">
        <w:rPr>
          <w:b/>
          <w:bCs/>
          <w:i/>
          <w:iCs/>
        </w:rPr>
        <w:t>whether or not</w:t>
      </w:r>
      <w:proofErr w:type="gramEnd"/>
      <w:r w:rsidRPr="000349EF">
        <w:rPr>
          <w:b/>
          <w:bCs/>
          <w:i/>
          <w:iCs/>
        </w:rPr>
        <w:t xml:space="preserve"> to approve this application.</w:t>
      </w:r>
    </w:p>
    <w:p w14:paraId="206C537C" w14:textId="77777777" w:rsidR="005268E2" w:rsidRPr="000349EF" w:rsidRDefault="005268E2" w:rsidP="005268E2">
      <w:r w:rsidRPr="000349EF">
        <w:t>The ACV noted that the European Medicines Agency (EMA) evaluation is underway and indicated that the Committee for Medicinal Products for Human Use (CHMP) opinion may provide some additional clarity.</w:t>
      </w:r>
    </w:p>
    <w:p w14:paraId="76CB8087" w14:textId="77777777" w:rsidR="005268E2" w:rsidRPr="000349EF" w:rsidRDefault="005268E2" w:rsidP="005268E2">
      <w:r w:rsidRPr="000349EF">
        <w:t>The ACV emphasised the importance of measured messaging to clinicians and consumers regarding the knowns and unknowns within this age group at the proposed dose.</w:t>
      </w:r>
    </w:p>
    <w:p w14:paraId="780EBBFE" w14:textId="77777777" w:rsidR="005268E2" w:rsidRPr="000349EF" w:rsidRDefault="005268E2" w:rsidP="005268E2">
      <w:r w:rsidRPr="000349EF">
        <w:t>The ACV also emphasised the importance of clear information for carers/parents about what symptoms to look out for in children post-vaccination.</w:t>
      </w:r>
    </w:p>
    <w:p w14:paraId="684EF057" w14:textId="4AFDD3AE" w:rsidR="005268E2" w:rsidRPr="000349EF" w:rsidRDefault="005268E2" w:rsidP="005268E2">
      <w:r w:rsidRPr="000349EF">
        <w:lastRenderedPageBreak/>
        <w:t>The ACV commented that some flexibility in dose spacing will be necessary in delivering vaccine programs, but it is noted that the 28</w:t>
      </w:r>
      <w:r w:rsidR="00010F4C" w:rsidRPr="000349EF">
        <w:t>-</w:t>
      </w:r>
      <w:r w:rsidRPr="000349EF">
        <w:t>day interval in the trials was adhered to strictly.</w:t>
      </w:r>
    </w:p>
    <w:p w14:paraId="4D7254F3" w14:textId="77777777" w:rsidR="00A72C4E" w:rsidRPr="000349EF" w:rsidRDefault="00A72C4E" w:rsidP="00A72C4E">
      <w:pPr>
        <w:pStyle w:val="Heading5"/>
      </w:pPr>
      <w:r w:rsidRPr="000349EF">
        <w:t>Conclusion</w:t>
      </w:r>
    </w:p>
    <w:p w14:paraId="318C5CBE" w14:textId="23FD644B" w:rsidR="005268E2" w:rsidRPr="000349EF" w:rsidRDefault="005268E2" w:rsidP="005268E2">
      <w:r w:rsidRPr="000349EF">
        <w:t>The ACV considered this product to have an overall positive benefit-risk profile for the indication:</w:t>
      </w:r>
    </w:p>
    <w:p w14:paraId="70CEB977" w14:textId="23A3DA4C" w:rsidR="005268E2" w:rsidRPr="000349EF" w:rsidRDefault="005268E2" w:rsidP="005268E2">
      <w:pPr>
        <w:autoSpaceDE w:val="0"/>
        <w:autoSpaceDN w:val="0"/>
        <w:adjustRightInd w:val="0"/>
        <w:spacing w:after="0"/>
        <w:ind w:left="720"/>
        <w:rPr>
          <w:rFonts w:eastAsia="MS Mincho"/>
          <w:i/>
          <w:iCs/>
          <w:lang w:eastAsia="ja-JP"/>
        </w:rPr>
      </w:pPr>
      <w:r w:rsidRPr="000349EF">
        <w:rPr>
          <w:rFonts w:eastAsia="MS Mincho"/>
          <w:i/>
          <w:iCs/>
          <w:lang w:eastAsia="ja-JP"/>
        </w:rPr>
        <w:t>Spikevax (elasomeran) COVID-19 vaccine has provisional approval for the indication below:</w:t>
      </w:r>
    </w:p>
    <w:p w14:paraId="45ADFF45" w14:textId="77777777" w:rsidR="005268E2" w:rsidRPr="000349EF" w:rsidRDefault="005268E2" w:rsidP="005268E2">
      <w:pPr>
        <w:autoSpaceDE w:val="0"/>
        <w:autoSpaceDN w:val="0"/>
        <w:adjustRightInd w:val="0"/>
        <w:spacing w:after="0"/>
        <w:ind w:left="1440"/>
        <w:rPr>
          <w:rFonts w:eastAsia="MS Mincho"/>
          <w:i/>
          <w:iCs/>
          <w:lang w:eastAsia="ja-JP"/>
        </w:rPr>
      </w:pPr>
      <w:r w:rsidRPr="000349EF">
        <w:rPr>
          <w:rFonts w:eastAsia="MS Mincho"/>
          <w:i/>
          <w:iCs/>
          <w:lang w:eastAsia="ja-JP"/>
        </w:rPr>
        <w:t>Active immunisation to prevent coronavirus disease 2019 (COVID-19) caused by SARS-CoV-2 in individuals 6 years of age and older.</w:t>
      </w:r>
    </w:p>
    <w:p w14:paraId="3F26C96A" w14:textId="77777777" w:rsidR="005268E2" w:rsidRPr="000349EF" w:rsidRDefault="005268E2" w:rsidP="005268E2">
      <w:pPr>
        <w:autoSpaceDE w:val="0"/>
        <w:autoSpaceDN w:val="0"/>
        <w:adjustRightInd w:val="0"/>
        <w:spacing w:after="0"/>
        <w:ind w:left="1440"/>
        <w:rPr>
          <w:rFonts w:eastAsia="MS Mincho"/>
          <w:i/>
          <w:iCs/>
          <w:lang w:eastAsia="ja-JP"/>
        </w:rPr>
      </w:pPr>
      <w:r w:rsidRPr="000349EF">
        <w:rPr>
          <w:rFonts w:eastAsia="MS Mincho"/>
          <w:i/>
          <w:iCs/>
          <w:lang w:eastAsia="ja-JP"/>
        </w:rPr>
        <w:t>The use of this vaccine should be in accordance with official recommendations.</w:t>
      </w:r>
    </w:p>
    <w:p w14:paraId="15AA1513" w14:textId="297B957A" w:rsidR="005268E2" w:rsidRPr="000349EF" w:rsidRDefault="005268E2" w:rsidP="002C634F">
      <w:pPr>
        <w:autoSpaceDE w:val="0"/>
        <w:autoSpaceDN w:val="0"/>
        <w:adjustRightInd w:val="0"/>
        <w:spacing w:after="0"/>
        <w:ind w:left="720"/>
        <w:rPr>
          <w:rFonts w:eastAsia="MS Mincho"/>
          <w:lang w:eastAsia="ja-JP"/>
        </w:rPr>
      </w:pPr>
      <w:r w:rsidRPr="000349EF">
        <w:rPr>
          <w:rFonts w:eastAsia="MS Mincho"/>
          <w:i/>
          <w:iCs/>
          <w:lang w:eastAsia="ja-JP"/>
        </w:rPr>
        <w:t xml:space="preserve">The decision has been made </w:t>
      </w:r>
      <w:proofErr w:type="gramStart"/>
      <w:r w:rsidRPr="000349EF">
        <w:rPr>
          <w:rFonts w:eastAsia="MS Mincho"/>
          <w:i/>
          <w:iCs/>
          <w:lang w:eastAsia="ja-JP"/>
        </w:rPr>
        <w:t>on the basis of</w:t>
      </w:r>
      <w:proofErr w:type="gramEnd"/>
      <w:r w:rsidRPr="000349EF">
        <w:rPr>
          <w:rFonts w:eastAsia="MS Mincho"/>
          <w:i/>
          <w:iCs/>
          <w:lang w:eastAsia="ja-JP"/>
        </w:rPr>
        <w:t xml:space="preserve"> short-term efficacy and safety data. Continued approval depends on the evidence of longer term efficacy and safety from ongoing clinical trials and post-market assessment.</w:t>
      </w:r>
    </w:p>
    <w:p w14:paraId="2408628C" w14:textId="77777777" w:rsidR="008E7846" w:rsidRPr="000349EF" w:rsidRDefault="008E7846" w:rsidP="008E7846">
      <w:pPr>
        <w:pStyle w:val="Heading3"/>
      </w:pPr>
      <w:bookmarkStart w:id="129" w:name="_Toc96518187"/>
      <w:r w:rsidRPr="000349EF">
        <w:t>Outcome</w:t>
      </w:r>
      <w:bookmarkEnd w:id="93"/>
      <w:bookmarkEnd w:id="94"/>
      <w:bookmarkEnd w:id="129"/>
    </w:p>
    <w:p w14:paraId="70B9500D" w14:textId="1E3C4C22" w:rsidR="00744121" w:rsidRPr="000349EF" w:rsidRDefault="00744121" w:rsidP="00744121">
      <w:bookmarkStart w:id="130" w:name="_Toc247691533"/>
      <w:bookmarkStart w:id="131" w:name="_Toc314842517"/>
      <w:r w:rsidRPr="000349EF">
        <w:t xml:space="preserve">Based on a review of quality, </w:t>
      </w:r>
      <w:proofErr w:type="gramStart"/>
      <w:r w:rsidRPr="000349EF">
        <w:t>safety</w:t>
      </w:r>
      <w:proofErr w:type="gramEnd"/>
      <w:r w:rsidRPr="000349EF">
        <w:t xml:space="preserve"> and efficacy, the TGA approved the registration of </w:t>
      </w:r>
      <w:r w:rsidR="00A1698F" w:rsidRPr="000349EF">
        <w:t>Spikevax (elasomeran) COVID-19 vaccine, 0.2 mg/mL,</w:t>
      </w:r>
      <w:r w:rsidRPr="000349EF">
        <w:t xml:space="preserve"> </w:t>
      </w:r>
      <w:r w:rsidR="00A1698F" w:rsidRPr="000349EF">
        <w:t>suspension for injection</w:t>
      </w:r>
      <w:r w:rsidRPr="000349EF">
        <w:t xml:space="preserve">, </w:t>
      </w:r>
      <w:r w:rsidR="00A1698F" w:rsidRPr="000349EF">
        <w:t>vial</w:t>
      </w:r>
      <w:r w:rsidRPr="000349EF">
        <w:t>, indicated for the following extension of indications</w:t>
      </w:r>
      <w:r w:rsidR="006B0CAB" w:rsidRPr="000349EF">
        <w:t>/full indications at the time</w:t>
      </w:r>
      <w:r w:rsidRPr="000349EF">
        <w:t>:</w:t>
      </w:r>
    </w:p>
    <w:p w14:paraId="4E0074FB" w14:textId="0C2F623C" w:rsidR="00556333" w:rsidRPr="000349EF" w:rsidRDefault="00556333" w:rsidP="002C634F">
      <w:pPr>
        <w:ind w:left="720"/>
        <w:rPr>
          <w:i/>
          <w:iCs/>
        </w:rPr>
      </w:pPr>
      <w:r w:rsidRPr="000349EF">
        <w:rPr>
          <w:i/>
          <w:iCs/>
        </w:rPr>
        <w:t>Spikevax (elasomeran) COVID-19 vaccine has provisional approval for the indication below:</w:t>
      </w:r>
    </w:p>
    <w:p w14:paraId="029495EE" w14:textId="77777777" w:rsidR="00556333" w:rsidRPr="000349EF" w:rsidRDefault="00556333" w:rsidP="002C634F">
      <w:pPr>
        <w:ind w:left="1440"/>
        <w:rPr>
          <w:i/>
          <w:iCs/>
        </w:rPr>
      </w:pPr>
      <w:r w:rsidRPr="000349EF">
        <w:rPr>
          <w:i/>
          <w:iCs/>
        </w:rPr>
        <w:t>Active immunisation to prevent coronavirus disease 2019 (COVID-19) caused by SARS-CoV-2 in individuals 6 years of age and older.</w:t>
      </w:r>
    </w:p>
    <w:p w14:paraId="19488FA6" w14:textId="77777777" w:rsidR="00556333" w:rsidRPr="000349EF" w:rsidRDefault="00556333" w:rsidP="002C634F">
      <w:pPr>
        <w:ind w:left="1440"/>
        <w:rPr>
          <w:i/>
          <w:iCs/>
        </w:rPr>
      </w:pPr>
      <w:r w:rsidRPr="000349EF">
        <w:rPr>
          <w:i/>
          <w:iCs/>
        </w:rPr>
        <w:t>The use of this vaccine should be in accordance with official recommendations.</w:t>
      </w:r>
    </w:p>
    <w:p w14:paraId="51620FBC" w14:textId="29DDBBEF" w:rsidR="00556333" w:rsidRPr="000349EF" w:rsidRDefault="00556333" w:rsidP="002C634F">
      <w:pPr>
        <w:ind w:left="720"/>
      </w:pPr>
      <w:r w:rsidRPr="000349EF">
        <w:rPr>
          <w:i/>
          <w:iCs/>
        </w:rPr>
        <w:t xml:space="preserve">The decision has been made </w:t>
      </w:r>
      <w:proofErr w:type="gramStart"/>
      <w:r w:rsidRPr="000349EF">
        <w:rPr>
          <w:i/>
          <w:iCs/>
        </w:rPr>
        <w:t>on the basis of</w:t>
      </w:r>
      <w:proofErr w:type="gramEnd"/>
      <w:r w:rsidRPr="000349EF">
        <w:rPr>
          <w:i/>
          <w:iCs/>
        </w:rPr>
        <w:t xml:space="preserve"> short-term efficacy and safety data. Continued approval depends on the evidence of longer term efficacy and safety from ongoing clinical trials and post-market assessment.</w:t>
      </w:r>
    </w:p>
    <w:p w14:paraId="61591FEC" w14:textId="77777777" w:rsidR="00D23139" w:rsidRPr="000349EF" w:rsidRDefault="00D23139" w:rsidP="00D23139">
      <w:pPr>
        <w:pStyle w:val="Heading4"/>
      </w:pPr>
      <w:r w:rsidRPr="000349EF">
        <w:t>Specific conditions of registration applying to these goods</w:t>
      </w:r>
    </w:p>
    <w:p w14:paraId="396498F7" w14:textId="06827138" w:rsidR="004A25A4" w:rsidRPr="000349EF" w:rsidRDefault="004A25A4" w:rsidP="002C634F">
      <w:r w:rsidRPr="000349EF">
        <w:t>[The Delegate of the Secretary of the Department of Health imposed the following conditions in relation to the new Spikevax medicine:</w:t>
      </w:r>
      <w:r w:rsidR="00E06EFE" w:rsidRPr="000349EF">
        <w:t>]</w:t>
      </w:r>
    </w:p>
    <w:p w14:paraId="634D00D0" w14:textId="3802B13C" w:rsidR="004A25A4" w:rsidRPr="000349EF" w:rsidRDefault="004A25A4" w:rsidP="002C634F">
      <w:pPr>
        <w:pStyle w:val="ListBullet"/>
      </w:pPr>
      <w:r w:rsidRPr="000349EF">
        <w:t xml:space="preserve">conditions applicable to all registered therapeutic goods as specified in the document Standard Conditions Applying to Registered or Listed Therapeutic Goods under Section 28 of the Therapeutic Goods Act 1989 effective 1 July 1995, with the exception of </w:t>
      </w:r>
      <w:r w:rsidR="00715E59" w:rsidRPr="000349EF">
        <w:t>C</w:t>
      </w:r>
      <w:r w:rsidRPr="000349EF">
        <w:t xml:space="preserve">ondition </w:t>
      </w:r>
      <w:proofErr w:type="gramStart"/>
      <w:r w:rsidRPr="000349EF">
        <w:t>11;</w:t>
      </w:r>
      <w:proofErr w:type="gramEnd"/>
    </w:p>
    <w:p w14:paraId="5604B2CB" w14:textId="09257ED5" w:rsidR="004A25A4" w:rsidRPr="000349EF" w:rsidRDefault="00B84964" w:rsidP="002C634F">
      <w:pPr>
        <w:pStyle w:val="ListBullet"/>
      </w:pPr>
      <w:r w:rsidRPr="000349EF">
        <w:t>co</w:t>
      </w:r>
      <w:r w:rsidR="004A25A4" w:rsidRPr="000349EF">
        <w:t xml:space="preserve">nditions applicable to specific classes of registered therapeutic goods as specified in the Standard Conditions Applying to Registered or Listed Therapeutic Goods under Section 28 of the Therapeutic Goods Act 1989 effective 1 July </w:t>
      </w:r>
      <w:proofErr w:type="gramStart"/>
      <w:r w:rsidR="004A25A4" w:rsidRPr="000349EF">
        <w:t>1995;</w:t>
      </w:r>
      <w:proofErr w:type="gramEnd"/>
    </w:p>
    <w:p w14:paraId="1682F131" w14:textId="48C058D0" w:rsidR="004A25A4" w:rsidRPr="000349EF" w:rsidRDefault="004A25A4" w:rsidP="002C634F">
      <w:pPr>
        <w:pStyle w:val="ListBullet"/>
      </w:pPr>
      <w:r w:rsidRPr="000349EF">
        <w:t xml:space="preserve">subject to </w:t>
      </w:r>
      <w:r w:rsidR="00B84964" w:rsidRPr="000349EF">
        <w:t xml:space="preserve">[the </w:t>
      </w:r>
      <w:r w:rsidRPr="000349EF">
        <w:t xml:space="preserve">paragraph </w:t>
      </w:r>
      <w:r w:rsidR="00B84964" w:rsidRPr="000349EF">
        <w:t>below]</w:t>
      </w:r>
      <w:r w:rsidRPr="000349EF">
        <w:t xml:space="preserve">, all conditions that have previously been imposed on the provisional registration of the </w:t>
      </w:r>
      <w:r w:rsidR="00715E59" w:rsidRPr="000349EF">
        <w:t>e</w:t>
      </w:r>
      <w:r w:rsidRPr="000349EF">
        <w:t xml:space="preserve">xisting </w:t>
      </w:r>
      <w:r w:rsidR="00715E59" w:rsidRPr="000349EF">
        <w:t>Spikevax medicine</w:t>
      </w:r>
      <w:r w:rsidRPr="000349EF">
        <w:t xml:space="preserve">, as in force at the date of this </w:t>
      </w:r>
      <w:proofErr w:type="gramStart"/>
      <w:r w:rsidRPr="000349EF">
        <w:t>decision;</w:t>
      </w:r>
      <w:proofErr w:type="gramEnd"/>
    </w:p>
    <w:p w14:paraId="386B9BA6" w14:textId="3538995B" w:rsidR="004A25A4" w:rsidRPr="000349EF" w:rsidRDefault="004A25A4" w:rsidP="002C634F">
      <w:pPr>
        <w:pStyle w:val="ListBullet"/>
      </w:pPr>
      <w:r w:rsidRPr="000349EF">
        <w:t xml:space="preserve">the RMP condition at </w:t>
      </w:r>
      <w:r w:rsidR="00715E59" w:rsidRPr="000349EF">
        <w:t>[page 44]</w:t>
      </w:r>
      <w:r w:rsidRPr="000349EF">
        <w:t xml:space="preserve"> of the notice of the provisional registration decision relating to the </w:t>
      </w:r>
      <w:r w:rsidR="00715E59" w:rsidRPr="000349EF">
        <w:t>e</w:t>
      </w:r>
      <w:r w:rsidRPr="000349EF">
        <w:t xml:space="preserve">xisting </w:t>
      </w:r>
      <w:r w:rsidR="00715E59" w:rsidRPr="000349EF">
        <w:t>Spikevax m</w:t>
      </w:r>
      <w:r w:rsidRPr="000349EF">
        <w:t>edicine, varied as underlined below:</w:t>
      </w:r>
    </w:p>
    <w:p w14:paraId="133F07A6" w14:textId="1DED9522" w:rsidR="004A25A4" w:rsidRPr="000349EF" w:rsidRDefault="004A25A4" w:rsidP="002C634F">
      <w:pPr>
        <w:ind w:left="720"/>
        <w:rPr>
          <w:i/>
          <w:iCs/>
        </w:rPr>
      </w:pPr>
      <w:r w:rsidRPr="000349EF">
        <w:rPr>
          <w:i/>
          <w:iCs/>
        </w:rPr>
        <w:lastRenderedPageBreak/>
        <w:t>The Spikevax EU-</w:t>
      </w:r>
      <w:r w:rsidR="00715E59" w:rsidRPr="000349EF">
        <w:rPr>
          <w:i/>
          <w:iCs/>
        </w:rPr>
        <w:t xml:space="preserve">risk management plan </w:t>
      </w:r>
      <w:r w:rsidRPr="000349EF">
        <w:rPr>
          <w:i/>
          <w:iCs/>
        </w:rPr>
        <w:t xml:space="preserve">(RMP) </w:t>
      </w:r>
      <w:r w:rsidRPr="000349EF">
        <w:rPr>
          <w:i/>
          <w:iCs/>
          <w:u w:val="single"/>
        </w:rPr>
        <w:t xml:space="preserve">(version 2.3, date 11 January 2022; DLP 30 June 2021), with Australian </w:t>
      </w:r>
      <w:r w:rsidR="00715E59" w:rsidRPr="000349EF">
        <w:rPr>
          <w:i/>
          <w:iCs/>
          <w:u w:val="single"/>
        </w:rPr>
        <w:t xml:space="preserve">specific annex </w:t>
      </w:r>
      <w:r w:rsidRPr="000349EF">
        <w:rPr>
          <w:i/>
          <w:iCs/>
          <w:u w:val="single"/>
        </w:rPr>
        <w:t>(version 1.2, 20 January 2022), and any subsequent revisions, as agreed with the TGA will be implemented in Australia.</w:t>
      </w:r>
    </w:p>
    <w:p w14:paraId="741524B2" w14:textId="14BDC0E2" w:rsidR="004A25A4" w:rsidRPr="000349EF" w:rsidRDefault="004A25A4" w:rsidP="002C634F">
      <w:pPr>
        <w:ind w:left="720"/>
        <w:rPr>
          <w:i/>
          <w:iCs/>
        </w:rPr>
      </w:pPr>
      <w:r w:rsidRPr="000349EF">
        <w:rPr>
          <w:i/>
          <w:iCs/>
        </w:rPr>
        <w:t>An obligatory component of risk management plans is routine pharmacovigilance. Routine pharmacovigilance includes the submission of periodic safety update reports (PSURs).</w:t>
      </w:r>
    </w:p>
    <w:p w14:paraId="6A2DC61C" w14:textId="3F99B0E7" w:rsidR="004A25A4" w:rsidRPr="000349EF" w:rsidRDefault="004A25A4" w:rsidP="002C634F">
      <w:pPr>
        <w:ind w:left="720"/>
        <w:rPr>
          <w:i/>
          <w:iCs/>
        </w:rPr>
      </w:pPr>
      <w:r w:rsidRPr="000349EF">
        <w:rPr>
          <w:i/>
          <w:iCs/>
        </w:rPr>
        <w:t xml:space="preserve">Reports are to be provided in line with the current published list of EU reference dates and frequency of submission of PSURs until the period covered by such reports is not less than three years from the date of </w:t>
      </w:r>
      <w:r w:rsidR="00AA2AA9" w:rsidRPr="000349EF">
        <w:rPr>
          <w:i/>
          <w:iCs/>
        </w:rPr>
        <w:t>the</w:t>
      </w:r>
      <w:r w:rsidRPr="000349EF">
        <w:rPr>
          <w:i/>
          <w:iCs/>
        </w:rPr>
        <w:t xml:space="preserve"> approval letter, or the entire period of provisional registration, whichever is longer.</w:t>
      </w:r>
    </w:p>
    <w:p w14:paraId="79160D57" w14:textId="5717203C" w:rsidR="004A25A4" w:rsidRPr="000349EF" w:rsidRDefault="004A25A4" w:rsidP="002C634F">
      <w:pPr>
        <w:ind w:left="720"/>
        <w:rPr>
          <w:i/>
          <w:iCs/>
        </w:rPr>
      </w:pPr>
      <w:r w:rsidRPr="000349EF">
        <w:rPr>
          <w:i/>
          <w:iCs/>
        </w:rPr>
        <w:t xml:space="preserve">The reports are to at least meet the requirements for PSURs as described in the European Medicines Agency’s Guideline on </w:t>
      </w:r>
      <w:r w:rsidR="00715E59" w:rsidRPr="000349EF">
        <w:rPr>
          <w:i/>
          <w:iCs/>
        </w:rPr>
        <w:t xml:space="preserve">Good Pharmacovigilance Practices </w:t>
      </w:r>
      <w:r w:rsidRPr="000349EF">
        <w:rPr>
          <w:i/>
          <w:iCs/>
        </w:rPr>
        <w:t>(GVP) Module VII-periodic safety update report (Rev 1), Part VII.B Structures and processes. Note that submission of a PSUR does not constitute an application to vary the registration.</w:t>
      </w:r>
    </w:p>
    <w:p w14:paraId="5E0AB565" w14:textId="42B9FFD0" w:rsidR="004A25A4" w:rsidRPr="000349EF" w:rsidRDefault="004A25A4" w:rsidP="002C634F">
      <w:pPr>
        <w:ind w:left="720"/>
        <w:rPr>
          <w:i/>
          <w:iCs/>
        </w:rPr>
      </w:pPr>
      <w:r w:rsidRPr="000349EF">
        <w:rPr>
          <w:i/>
          <w:iCs/>
        </w:rPr>
        <w:t>Additional to the routine submission of the routine PSURs, expedited safety summary reports (including safety data for patients in Australia) are to be provided in line with the frequency that these reports are submitted to the EMA, until otherwise specified by the TGA.</w:t>
      </w:r>
    </w:p>
    <w:p w14:paraId="5BDDC805" w14:textId="7497AB65" w:rsidR="004A25A4" w:rsidRPr="000349EF" w:rsidRDefault="004A25A4" w:rsidP="002C634F">
      <w:pPr>
        <w:ind w:left="720"/>
        <w:rPr>
          <w:i/>
          <w:iCs/>
        </w:rPr>
      </w:pPr>
      <w:r w:rsidRPr="000349EF">
        <w:rPr>
          <w:i/>
          <w:iCs/>
        </w:rPr>
        <w:t>Spikevax (elasomeran) is to be included in the Black Triangle Scheme. The PI and CMI for Spikevax must include the black triangle symbol and mandatory accompanying text for the products entire period of provisional registration.</w:t>
      </w:r>
    </w:p>
    <w:p w14:paraId="664F49F8" w14:textId="52FDC78C" w:rsidR="004A25A4" w:rsidRPr="000349EF" w:rsidRDefault="004A25A4" w:rsidP="002C634F">
      <w:pPr>
        <w:pStyle w:val="ListBullet"/>
      </w:pPr>
      <w:r w:rsidRPr="000349EF">
        <w:t>the following additional condition:</w:t>
      </w:r>
    </w:p>
    <w:p w14:paraId="42680BA5" w14:textId="7A418646" w:rsidR="004A25A4" w:rsidRPr="000349EF" w:rsidRDefault="004A25A4" w:rsidP="002C634F">
      <w:pPr>
        <w:pStyle w:val="ListBullet2"/>
        <w:numPr>
          <w:ilvl w:val="0"/>
          <w:numId w:val="0"/>
        </w:numPr>
        <w:ind w:left="720"/>
        <w:rPr>
          <w:b/>
          <w:bCs/>
        </w:rPr>
      </w:pPr>
      <w:r w:rsidRPr="000349EF">
        <w:rPr>
          <w:b/>
          <w:bCs/>
        </w:rPr>
        <w:t>For individuals 6</w:t>
      </w:r>
      <w:r w:rsidR="00B84964" w:rsidRPr="000349EF">
        <w:rPr>
          <w:b/>
          <w:bCs/>
        </w:rPr>
        <w:t xml:space="preserve"> to </w:t>
      </w:r>
      <w:r w:rsidRPr="000349EF">
        <w:rPr>
          <w:b/>
          <w:bCs/>
        </w:rPr>
        <w:t>&lt;</w:t>
      </w:r>
      <w:r w:rsidR="00B84964" w:rsidRPr="000349EF">
        <w:rPr>
          <w:b/>
          <w:bCs/>
        </w:rPr>
        <w:t xml:space="preserve"> </w:t>
      </w:r>
      <w:r w:rsidRPr="000349EF">
        <w:rPr>
          <w:b/>
          <w:bCs/>
        </w:rPr>
        <w:t>12 years old</w:t>
      </w:r>
    </w:p>
    <w:p w14:paraId="2C938A64" w14:textId="5D6CBCC6" w:rsidR="004A25A4" w:rsidRPr="000349EF" w:rsidRDefault="004A25A4" w:rsidP="002C634F">
      <w:pPr>
        <w:pStyle w:val="ListBullet3"/>
      </w:pPr>
      <w:r w:rsidRPr="000349EF">
        <w:t xml:space="preserve">Submit the interim and final analysis of Study mRNA-1273 P204 </w:t>
      </w:r>
      <w:r w:rsidR="00715E59" w:rsidRPr="000349EF">
        <w:t xml:space="preserve">[Study P204] </w:t>
      </w:r>
      <w:r w:rsidRPr="000349EF">
        <w:t>and the CSR (clinical study report) for Study P204 when available</w:t>
      </w:r>
    </w:p>
    <w:p w14:paraId="757A2026" w14:textId="22F79634" w:rsidR="004A25A4" w:rsidRPr="000349EF" w:rsidRDefault="004A25A4" w:rsidP="002C634F">
      <w:pPr>
        <w:pStyle w:val="ListBullet"/>
        <w:numPr>
          <w:ilvl w:val="0"/>
          <w:numId w:val="0"/>
        </w:numPr>
        <w:ind w:left="360"/>
      </w:pPr>
      <w:r w:rsidRPr="000349EF">
        <w:t>As part of the standard conditions of registration applying to all registered therapeutic goods, it should be noted that no changes can be made to the goods without the prior approval of the Secretary.</w:t>
      </w:r>
    </w:p>
    <w:p w14:paraId="3F0AB4C5" w14:textId="5CB66326" w:rsidR="004A25A4" w:rsidRPr="000349EF" w:rsidRDefault="004A25A4" w:rsidP="002C634F">
      <w:pPr>
        <w:pStyle w:val="ListBullet"/>
        <w:numPr>
          <w:ilvl w:val="0"/>
          <w:numId w:val="0"/>
        </w:numPr>
        <w:ind w:left="360"/>
      </w:pPr>
      <w:r w:rsidRPr="000349EF">
        <w:t>Under paragraph 30(2)</w:t>
      </w:r>
      <w:r w:rsidR="00715E59" w:rsidRPr="000349EF">
        <w:t xml:space="preserve"> </w:t>
      </w:r>
      <w:r w:rsidRPr="000349EF">
        <w:t>(c) of the Act</w:t>
      </w:r>
      <w:r w:rsidR="00715E59" w:rsidRPr="000349EF">
        <w:t xml:space="preserve"> [Therapeutic Goods Act]</w:t>
      </w:r>
      <w:r w:rsidRPr="000349EF">
        <w:t>, refusal or failure to comply with a condition of registration to which inclusion of the medicine in the ARTG is subject may result in the suspension or cancellation of registration.</w:t>
      </w:r>
    </w:p>
    <w:p w14:paraId="7A881F92" w14:textId="77777777" w:rsidR="008E7846" w:rsidRPr="000349EF" w:rsidRDefault="00A80B5B" w:rsidP="00D23139">
      <w:pPr>
        <w:pStyle w:val="Heading2"/>
      </w:pPr>
      <w:bookmarkStart w:id="132" w:name="_Toc96518188"/>
      <w:r w:rsidRPr="000349EF">
        <w:t xml:space="preserve">Attachment 1. </w:t>
      </w:r>
      <w:r w:rsidR="008E7846" w:rsidRPr="000349EF">
        <w:t xml:space="preserve">Product </w:t>
      </w:r>
      <w:r w:rsidR="00AA0ED0" w:rsidRPr="000349EF">
        <w:t>I</w:t>
      </w:r>
      <w:r w:rsidR="008E7846" w:rsidRPr="000349EF">
        <w:t>nformation</w:t>
      </w:r>
      <w:bookmarkEnd w:id="130"/>
      <w:bookmarkEnd w:id="131"/>
      <w:bookmarkEnd w:id="132"/>
    </w:p>
    <w:p w14:paraId="567F8620" w14:textId="70D4CB20" w:rsidR="00744121" w:rsidRPr="000349EF" w:rsidRDefault="006136D7" w:rsidP="00744121">
      <w:pPr>
        <w:rPr>
          <w:lang w:eastAsia="ja-JP"/>
        </w:rPr>
      </w:pPr>
      <w:r w:rsidRPr="000349EF">
        <w:t xml:space="preserve">The PI for </w:t>
      </w:r>
      <w:r w:rsidR="00815985" w:rsidRPr="000349EF">
        <w:t xml:space="preserve">Spikevax </w:t>
      </w:r>
      <w:r w:rsidRPr="000349EF">
        <w:t xml:space="preserve">approved with the submission which is described in this AusPAR is at Attachment 1. For the most recent PI, please refer to the TGA website at </w:t>
      </w:r>
      <w:r w:rsidR="007C6B9B" w:rsidRPr="000349EF">
        <w:t>&lt;</w:t>
      </w:r>
      <w:hyperlink r:id="rId47" w:history="1">
        <w:r w:rsidR="007C6B9B" w:rsidRPr="000349EF">
          <w:rPr>
            <w:rStyle w:val="Hyperlink"/>
          </w:rPr>
          <w:t>https://www.tga.gov.au/product-information-pi</w:t>
        </w:r>
      </w:hyperlink>
      <w:r w:rsidR="007C6B9B" w:rsidRPr="000349EF">
        <w:t>&gt;.</w:t>
      </w:r>
    </w:p>
    <w:p w14:paraId="75494C58" w14:textId="77777777" w:rsidR="00C80137" w:rsidRPr="000349EF" w:rsidRDefault="00C80137" w:rsidP="003A7F6C">
      <w:pPr>
        <w:pStyle w:val="TableTitle"/>
        <w:sectPr w:rsidR="00C80137" w:rsidRPr="000349EF" w:rsidSect="00B452CE">
          <w:headerReference w:type="even" r:id="rId48"/>
          <w:headerReference w:type="default" r:id="rId49"/>
          <w:headerReference w:type="first" r:id="rId50"/>
          <w:footerReference w:type="first" r:id="rId5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0349EF" w14:paraId="3BADA4C5" w14:textId="77777777" w:rsidTr="00A05FA4">
        <w:trPr>
          <w:trHeight w:hRule="exact" w:val="704"/>
        </w:trPr>
        <w:tc>
          <w:tcPr>
            <w:tcW w:w="9175" w:type="dxa"/>
          </w:tcPr>
          <w:p w14:paraId="1802BA31" w14:textId="77777777" w:rsidR="001C32CD" w:rsidRPr="000349EF" w:rsidRDefault="001C32CD" w:rsidP="00A05FA4">
            <w:pPr>
              <w:pStyle w:val="TGASignoff"/>
            </w:pPr>
            <w:r w:rsidRPr="000349EF">
              <w:lastRenderedPageBreak/>
              <w:t>Therapeutic Goods Administration</w:t>
            </w:r>
          </w:p>
        </w:tc>
      </w:tr>
      <w:tr w:rsidR="001C32CD" w:rsidRPr="004C239D" w14:paraId="3E8D6790" w14:textId="77777777" w:rsidTr="00A05FA4">
        <w:trPr>
          <w:trHeight w:val="1221"/>
        </w:trPr>
        <w:tc>
          <w:tcPr>
            <w:tcW w:w="9175" w:type="dxa"/>
            <w:tcMar>
              <w:top w:w="28" w:type="dxa"/>
            </w:tcMar>
          </w:tcPr>
          <w:p w14:paraId="0F96F189" w14:textId="77777777" w:rsidR="001C32CD" w:rsidRPr="000349EF" w:rsidRDefault="001C32CD" w:rsidP="00A05FA4">
            <w:pPr>
              <w:pStyle w:val="Address"/>
            </w:pPr>
            <w:r w:rsidRPr="000349EF">
              <w:t>PO Box 100 Woden ACT 2606 Australia</w:t>
            </w:r>
          </w:p>
          <w:p w14:paraId="2CBCD1B0" w14:textId="2E817EFD" w:rsidR="001C32CD" w:rsidRPr="000349EF" w:rsidRDefault="001C32CD" w:rsidP="00A05FA4">
            <w:pPr>
              <w:pStyle w:val="Address"/>
            </w:pPr>
            <w:r w:rsidRPr="000349EF">
              <w:t xml:space="preserve">Email: </w:t>
            </w:r>
            <w:hyperlink r:id="rId52" w:history="1">
              <w:r w:rsidRPr="000349EF">
                <w:rPr>
                  <w:rStyle w:val="Hyperlink"/>
                </w:rPr>
                <w:t>info@tga.gov.au</w:t>
              </w:r>
            </w:hyperlink>
            <w:r w:rsidRPr="000349EF">
              <w:t xml:space="preserve">  Phone: 1800 020 </w:t>
            </w:r>
            <w:proofErr w:type="gramStart"/>
            <w:r w:rsidRPr="000349EF">
              <w:t>653  Fax</w:t>
            </w:r>
            <w:proofErr w:type="gramEnd"/>
            <w:r w:rsidRPr="000349EF">
              <w:t>: 02 6232 8605</w:t>
            </w:r>
          </w:p>
          <w:p w14:paraId="62C51A43" w14:textId="38F18D32" w:rsidR="001C32CD" w:rsidRPr="004C239D" w:rsidRDefault="00571D7C" w:rsidP="00A05FA4">
            <w:pPr>
              <w:pStyle w:val="Address"/>
              <w:spacing w:line="260" w:lineRule="atLeast"/>
              <w:rPr>
                <w:b/>
                <w:color w:val="0000FF"/>
                <w:u w:val="single"/>
              </w:rPr>
            </w:pPr>
            <w:hyperlink r:id="rId53" w:history="1">
              <w:r w:rsidR="007C6B9B" w:rsidRPr="000349EF">
                <w:rPr>
                  <w:rStyle w:val="Hyperlink"/>
                  <w:b/>
                </w:rPr>
                <w:t>https://www.tga.gov.au</w:t>
              </w:r>
            </w:hyperlink>
          </w:p>
        </w:tc>
      </w:tr>
    </w:tbl>
    <w:p w14:paraId="51CAD661" w14:textId="77777777" w:rsidR="00774E1D" w:rsidRPr="008A5E0B" w:rsidRDefault="00774E1D" w:rsidP="004C239D"/>
    <w:sectPr w:rsidR="00774E1D" w:rsidRPr="008A5E0B" w:rsidSect="001C32CD">
      <w:headerReference w:type="even" r:id="rId54"/>
      <w:headerReference w:type="default" r:id="rId55"/>
      <w:footerReference w:type="default" r:id="rId56"/>
      <w:headerReference w:type="first" r:id="rId57"/>
      <w:footerReference w:type="first" r:id="rId5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3678E" w14:textId="77777777" w:rsidR="009803F1" w:rsidRDefault="009803F1" w:rsidP="00C40A36">
      <w:pPr>
        <w:spacing w:after="0"/>
      </w:pPr>
      <w:r>
        <w:separator/>
      </w:r>
    </w:p>
  </w:endnote>
  <w:endnote w:type="continuationSeparator" w:id="0">
    <w:p w14:paraId="619634FC" w14:textId="77777777" w:rsidR="009803F1" w:rsidRDefault="009803F1" w:rsidP="00C40A36">
      <w:pPr>
        <w:spacing w:after="0"/>
      </w:pPr>
      <w:r>
        <w:continuationSeparator/>
      </w:r>
    </w:p>
  </w:endnote>
  <w:endnote w:type="continuationNotice" w:id="1">
    <w:p w14:paraId="532D35F3" w14:textId="77777777" w:rsidR="009803F1" w:rsidRDefault="009803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B73D3" w14:textId="77777777" w:rsidR="003167C2" w:rsidRDefault="00316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D4B9A" w:rsidRPr="00487162" w14:paraId="416C2E6C" w14:textId="77777777" w:rsidTr="00DB750B">
      <w:trPr>
        <w:trHeight w:val="269"/>
      </w:trPr>
      <w:tc>
        <w:tcPr>
          <w:tcW w:w="7371" w:type="dxa"/>
          <w:tcMar>
            <w:top w:w="142" w:type="dxa"/>
            <w:bottom w:w="0" w:type="dxa"/>
          </w:tcMar>
        </w:tcPr>
        <w:p w14:paraId="226D06C5" w14:textId="6AD729B4" w:rsidR="008D4B9A" w:rsidRPr="00487162" w:rsidRDefault="008D4B9A" w:rsidP="00460036">
          <w:pPr>
            <w:pStyle w:val="Footer"/>
          </w:pPr>
          <w:r w:rsidRPr="00487162">
            <w:t>AusPA</w:t>
          </w:r>
          <w:r>
            <w:t xml:space="preserve">R - </w:t>
          </w:r>
          <w:r w:rsidRPr="00221451">
            <w:t>Spikevax</w:t>
          </w:r>
          <w:r>
            <w:t xml:space="preserve"> -</w:t>
          </w:r>
          <w:r w:rsidRPr="00460036">
            <w:t xml:space="preserve"> </w:t>
          </w:r>
          <w:r>
            <w:t>e</w:t>
          </w:r>
          <w:r w:rsidRPr="00221451">
            <w:t xml:space="preserve">lasomeran </w:t>
          </w:r>
          <w:r>
            <w:t xml:space="preserve">- </w:t>
          </w:r>
          <w:r w:rsidRPr="00221451">
            <w:t xml:space="preserve">Moderna Australia Pty Ltd </w:t>
          </w:r>
          <w:r>
            <w:t xml:space="preserve">- </w:t>
          </w:r>
          <w:r w:rsidRPr="00221451">
            <w:t>PM-2021-05269-1-2</w:t>
          </w:r>
          <w:r>
            <w:br/>
            <w:t>Final</w:t>
          </w:r>
          <w:r w:rsidR="003167C2">
            <w:t xml:space="preserve"> </w:t>
          </w:r>
          <w:r>
            <w:t>21 February 2022</w:t>
          </w:r>
        </w:p>
      </w:tc>
      <w:tc>
        <w:tcPr>
          <w:tcW w:w="1490" w:type="dxa"/>
          <w:tcMar>
            <w:top w:w="142" w:type="dxa"/>
            <w:bottom w:w="0" w:type="dxa"/>
          </w:tcMar>
        </w:tcPr>
        <w:p w14:paraId="4BA98550" w14:textId="338DB7BC" w:rsidR="008D4B9A" w:rsidRPr="00487162" w:rsidRDefault="008D4B9A" w:rsidP="00DB750B">
          <w:pPr>
            <w:pStyle w:val="Footer"/>
            <w:jc w:val="right"/>
          </w:pPr>
          <w:r w:rsidRPr="00487162">
            <w:t xml:space="preserve">Page </w:t>
          </w:r>
          <w:r>
            <w:fldChar w:fldCharType="begin"/>
          </w:r>
          <w:r>
            <w:instrText xml:space="preserve"> PAGE  \* Arabic </w:instrText>
          </w:r>
          <w:r>
            <w:fldChar w:fldCharType="separate"/>
          </w:r>
          <w:r>
            <w:rPr>
              <w:noProof/>
            </w:rPr>
            <w:t>60</w:t>
          </w:r>
          <w:r>
            <w:fldChar w:fldCharType="end"/>
          </w:r>
          <w:r w:rsidRPr="00487162">
            <w:t xml:space="preserve"> of </w:t>
          </w:r>
          <w:r w:rsidR="00571D7C">
            <w:fldChar w:fldCharType="begin"/>
          </w:r>
          <w:r w:rsidR="00571D7C">
            <w:instrText xml:space="preserve"> NUMPAGES  \* Arabic </w:instrText>
          </w:r>
          <w:r w:rsidR="00571D7C">
            <w:fldChar w:fldCharType="separate"/>
          </w:r>
          <w:r>
            <w:rPr>
              <w:noProof/>
            </w:rPr>
            <w:t>61</w:t>
          </w:r>
          <w:r w:rsidR="00571D7C">
            <w:rPr>
              <w:noProof/>
            </w:rPr>
            <w:fldChar w:fldCharType="end"/>
          </w:r>
        </w:p>
      </w:tc>
    </w:tr>
  </w:tbl>
  <w:p w14:paraId="6E3DAF56" w14:textId="77777777" w:rsidR="008D4B9A" w:rsidRDefault="008D4B9A"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79CDD" w14:textId="77777777" w:rsidR="003167C2" w:rsidRDefault="003167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D4B9A" w:rsidRPr="00487162" w14:paraId="54644D78" w14:textId="77777777" w:rsidTr="00E45619">
      <w:trPr>
        <w:trHeight w:val="269"/>
      </w:trPr>
      <w:tc>
        <w:tcPr>
          <w:tcW w:w="4519" w:type="dxa"/>
          <w:tcBorders>
            <w:top w:val="single" w:sz="4" w:space="0" w:color="auto"/>
          </w:tcBorders>
          <w:tcMar>
            <w:top w:w="142" w:type="dxa"/>
            <w:bottom w:w="0" w:type="dxa"/>
          </w:tcMar>
        </w:tcPr>
        <w:p w14:paraId="6317C61F" w14:textId="77777777" w:rsidR="008D4B9A" w:rsidRPr="00487162" w:rsidRDefault="008D4B9A" w:rsidP="00FE1DEE">
          <w:pPr>
            <w:pStyle w:val="Footer"/>
          </w:pPr>
          <w:r w:rsidRPr="00487162">
            <w:t>Document title, Part #, Section # - Section title</w:t>
          </w:r>
        </w:p>
        <w:p w14:paraId="22187E1D" w14:textId="77777777" w:rsidR="008D4B9A" w:rsidRPr="00487162" w:rsidRDefault="008D4B9A" w:rsidP="00FE1DEE">
          <w:pPr>
            <w:pStyle w:val="Footer"/>
          </w:pPr>
          <w:r w:rsidRPr="00487162">
            <w:t>V1.0 October 2010</w:t>
          </w:r>
        </w:p>
      </w:tc>
      <w:tc>
        <w:tcPr>
          <w:tcW w:w="4342" w:type="dxa"/>
          <w:tcBorders>
            <w:top w:val="single" w:sz="4" w:space="0" w:color="auto"/>
          </w:tcBorders>
          <w:tcMar>
            <w:top w:w="142" w:type="dxa"/>
            <w:bottom w:w="0" w:type="dxa"/>
          </w:tcMar>
        </w:tcPr>
        <w:p w14:paraId="20AAD2C3" w14:textId="77777777" w:rsidR="008D4B9A" w:rsidRPr="00487162" w:rsidRDefault="008D4B9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71D7C">
            <w:fldChar w:fldCharType="begin"/>
          </w:r>
          <w:r w:rsidR="00571D7C">
            <w:instrText xml:space="preserve"> NUMPAGES  </w:instrText>
          </w:r>
          <w:r w:rsidR="00571D7C">
            <w:fldChar w:fldCharType="separate"/>
          </w:r>
          <w:r>
            <w:rPr>
              <w:noProof/>
            </w:rPr>
            <w:t>21</w:t>
          </w:r>
          <w:r w:rsidR="00571D7C">
            <w:rPr>
              <w:noProof/>
            </w:rPr>
            <w:fldChar w:fldCharType="end"/>
          </w:r>
        </w:p>
      </w:tc>
    </w:tr>
  </w:tbl>
  <w:p w14:paraId="26FCCB23" w14:textId="77777777" w:rsidR="008D4B9A" w:rsidRDefault="008D4B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75A70" w14:textId="77777777" w:rsidR="008D4B9A" w:rsidRPr="001C32CD" w:rsidRDefault="008D4B9A"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D4B9A" w14:paraId="3FA9CBEB" w14:textId="77777777" w:rsidTr="0010601F">
      <w:trPr>
        <w:trHeight w:val="108"/>
      </w:trPr>
      <w:tc>
        <w:tcPr>
          <w:tcW w:w="8875" w:type="dxa"/>
          <w:gridSpan w:val="2"/>
          <w:tcBorders>
            <w:bottom w:val="single" w:sz="4" w:space="0" w:color="auto"/>
          </w:tcBorders>
          <w:tcMar>
            <w:right w:w="284" w:type="dxa"/>
          </w:tcMar>
        </w:tcPr>
        <w:p w14:paraId="7CEE22A6" w14:textId="77777777" w:rsidR="008D4B9A" w:rsidRDefault="008D4B9A" w:rsidP="006E08B3">
          <w:pPr>
            <w:pStyle w:val="Heading3"/>
          </w:pPr>
          <w:r>
            <w:t>Copyright</w:t>
          </w:r>
        </w:p>
        <w:p w14:paraId="56B4399B" w14:textId="77777777" w:rsidR="008D4B9A" w:rsidRDefault="008D4B9A" w:rsidP="006E08B3">
          <w:r>
            <w:rPr>
              <w:rFonts w:cs="Arial"/>
            </w:rPr>
            <w:t>©</w:t>
          </w:r>
          <w:r>
            <w:t xml:space="preserve"> Commonwealth of Australia [add year]</w:t>
          </w:r>
        </w:p>
        <w:p w14:paraId="5B12E086" w14:textId="77777777" w:rsidR="008D4B9A" w:rsidRDefault="008D4B9A" w:rsidP="006E08B3"/>
        <w:p w14:paraId="7E3C6020" w14:textId="77777777" w:rsidR="008D4B9A" w:rsidRDefault="008D4B9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6D409798" w14:textId="77777777" w:rsidR="008D4B9A" w:rsidRDefault="008D4B9A" w:rsidP="006E08B3"/>
        <w:p w14:paraId="620498AE" w14:textId="77777777" w:rsidR="008D4B9A" w:rsidRDefault="008D4B9A" w:rsidP="006E08B3">
          <w:pPr>
            <w:pStyle w:val="Heading3"/>
          </w:pPr>
          <w:r>
            <w:t>Confidentiality</w:t>
          </w:r>
        </w:p>
        <w:p w14:paraId="65622BCB" w14:textId="77777777" w:rsidR="008D4B9A" w:rsidRDefault="008D4B9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236E9C2" w14:textId="77777777" w:rsidR="008D4B9A" w:rsidRDefault="008D4B9A" w:rsidP="006E08B3"/>
        <w:p w14:paraId="0FB2773E" w14:textId="77777777" w:rsidR="008D4B9A" w:rsidRDefault="008D4B9A" w:rsidP="006E08B3">
          <w:r>
            <w:t>For submission made by individuals, all personal details, other than your name, will be removed from your submission before it is published on the TGA’s Internet site.</w:t>
          </w:r>
        </w:p>
        <w:p w14:paraId="4C954F1B" w14:textId="77777777" w:rsidR="008D4B9A" w:rsidRDefault="008D4B9A" w:rsidP="006E08B3"/>
        <w:p w14:paraId="17089787" w14:textId="77777777" w:rsidR="008D4B9A" w:rsidRDefault="008D4B9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D4B9A" w14:paraId="294422F6" w14:textId="77777777" w:rsidTr="0010601F">
      <w:trPr>
        <w:trHeight w:val="417"/>
      </w:trPr>
      <w:tc>
        <w:tcPr>
          <w:tcW w:w="4519" w:type="dxa"/>
          <w:tcBorders>
            <w:top w:val="single" w:sz="4" w:space="0" w:color="auto"/>
          </w:tcBorders>
          <w:tcMar>
            <w:top w:w="142" w:type="dxa"/>
            <w:bottom w:w="0" w:type="dxa"/>
          </w:tcMar>
        </w:tcPr>
        <w:p w14:paraId="7000C0D9" w14:textId="77777777" w:rsidR="008D4B9A" w:rsidRDefault="008D4B9A" w:rsidP="006E08B3">
          <w:r>
            <w:t>Document title, Part #, Section # - Section title</w:t>
          </w:r>
        </w:p>
        <w:p w14:paraId="67F333CC" w14:textId="77777777" w:rsidR="008D4B9A" w:rsidRDefault="008D4B9A" w:rsidP="006E08B3">
          <w:r>
            <w:t>V1.0 October 2010</w:t>
          </w:r>
        </w:p>
      </w:tc>
      <w:tc>
        <w:tcPr>
          <w:tcW w:w="4356" w:type="dxa"/>
          <w:tcBorders>
            <w:top w:val="single" w:sz="4" w:space="0" w:color="auto"/>
          </w:tcBorders>
          <w:tcMar>
            <w:top w:w="142" w:type="dxa"/>
            <w:bottom w:w="0" w:type="dxa"/>
          </w:tcMar>
        </w:tcPr>
        <w:p w14:paraId="781719C2" w14:textId="77777777" w:rsidR="008D4B9A" w:rsidRDefault="008D4B9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71D7C">
            <w:fldChar w:fldCharType="begin"/>
          </w:r>
          <w:r w:rsidR="00571D7C">
            <w:instrText xml:space="preserve"> NUMPAGES  \* Arabic </w:instrText>
          </w:r>
          <w:r w:rsidR="00571D7C">
            <w:fldChar w:fldCharType="separate"/>
          </w:r>
          <w:r>
            <w:rPr>
              <w:noProof/>
            </w:rPr>
            <w:t>21</w:t>
          </w:r>
          <w:r w:rsidR="00571D7C">
            <w:rPr>
              <w:noProof/>
            </w:rPr>
            <w:fldChar w:fldCharType="end"/>
          </w:r>
          <w:r>
            <w:t xml:space="preserve">  </w:t>
          </w:r>
        </w:p>
      </w:tc>
    </w:tr>
  </w:tbl>
  <w:p w14:paraId="35FDF808" w14:textId="77777777" w:rsidR="008D4B9A" w:rsidRDefault="008D4B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A9FB7" w14:textId="77777777" w:rsidR="009803F1" w:rsidRDefault="009803F1" w:rsidP="00C40A36">
      <w:pPr>
        <w:spacing w:after="0"/>
      </w:pPr>
      <w:r>
        <w:separator/>
      </w:r>
    </w:p>
  </w:footnote>
  <w:footnote w:type="continuationSeparator" w:id="0">
    <w:p w14:paraId="3A0A5C88" w14:textId="77777777" w:rsidR="009803F1" w:rsidRDefault="009803F1" w:rsidP="00C40A36">
      <w:pPr>
        <w:spacing w:after="0"/>
      </w:pPr>
      <w:r>
        <w:continuationSeparator/>
      </w:r>
    </w:p>
  </w:footnote>
  <w:footnote w:type="continuationNotice" w:id="1">
    <w:p w14:paraId="3D69B68E" w14:textId="77777777" w:rsidR="009803F1" w:rsidRDefault="009803F1">
      <w:pPr>
        <w:spacing w:before="0" w:after="0" w:line="240" w:lineRule="auto"/>
      </w:pPr>
    </w:p>
  </w:footnote>
  <w:footnote w:id="2">
    <w:p w14:paraId="7D4C4844" w14:textId="77777777" w:rsidR="008D4B9A" w:rsidRPr="008C1E85" w:rsidRDefault="008D4B9A">
      <w:pPr>
        <w:pStyle w:val="FootnoteText"/>
      </w:pPr>
      <w:r w:rsidRPr="008C1E85">
        <w:rPr>
          <w:rStyle w:val="FootnoteReference"/>
        </w:rPr>
        <w:footnoteRef/>
      </w:r>
      <w:r w:rsidRPr="008C1E85">
        <w:t xml:space="preserve"> The </w:t>
      </w:r>
      <w:r w:rsidRPr="008C1E85">
        <w:rPr>
          <w:b/>
        </w:rPr>
        <w:t>Black Triangle Scheme</w:t>
      </w:r>
      <w:r w:rsidRPr="008C1E85">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5B8A9695" w14:textId="1DF13D30" w:rsidR="008D4B9A" w:rsidRPr="008C1E85" w:rsidRDefault="008D4B9A" w:rsidP="00D6308D">
      <w:pPr>
        <w:pStyle w:val="FootnoteText"/>
      </w:pPr>
      <w:r w:rsidRPr="008C1E85">
        <w:rPr>
          <w:rStyle w:val="FootnoteReference"/>
        </w:rPr>
        <w:footnoteRef/>
      </w:r>
      <w:r w:rsidRPr="008C1E85">
        <w:t xml:space="preserve"> World Health Organization (WHO) Statement on the Second Meeting of the International Health Regulations (2005) Emergency Committee Regarding the Outbreak of Novel Coronavirus (2019-nCoV). 30 January 2020. Available at: </w:t>
      </w:r>
      <w:hyperlink r:id="rId1" w:history="1">
        <w:r w:rsidRPr="008C1E85">
          <w:rPr>
            <w:rStyle w:val="Hyperlink"/>
          </w:rPr>
          <w:t>https://www.who.int/news/item/30-01-2020-statement-on-the-second-meeting-of-the-international-health-regulations-(2005)-emergency-committee-regarding-the-outbreak-of-novel-coronavirus-(2019-ncov)</w:t>
        </w:r>
      </w:hyperlink>
      <w:r w:rsidRPr="008C1E85">
        <w:rPr>
          <w:rStyle w:val="Hyperlink"/>
          <w:color w:val="000000" w:themeColor="text1"/>
          <w:u w:val="none"/>
        </w:rPr>
        <w:t>.</w:t>
      </w:r>
    </w:p>
  </w:footnote>
  <w:footnote w:id="4">
    <w:p w14:paraId="434BB256" w14:textId="4AC50C90" w:rsidR="008D4B9A" w:rsidRPr="008C1E85" w:rsidRDefault="008D4B9A" w:rsidP="00D6308D">
      <w:pPr>
        <w:pStyle w:val="FootnoteText"/>
      </w:pPr>
      <w:r w:rsidRPr="008C1E85">
        <w:rPr>
          <w:rStyle w:val="FootnoteReference"/>
        </w:rPr>
        <w:footnoteRef/>
      </w:r>
      <w:r w:rsidRPr="008C1E85">
        <w:t xml:space="preserve"> World Health Organization (WHO) Director-General's Opening Remarks at the Media Briefing on COVID-19. 11 March 2020. Available at: </w:t>
      </w:r>
      <w:hyperlink r:id="rId2" w:history="1">
        <w:r w:rsidRPr="008C1E85">
          <w:rPr>
            <w:rStyle w:val="Hyperlink"/>
          </w:rPr>
          <w:t>https://www.who.int/director-general/speeches/detail/who-director-general-s-opening-remarks-at-the-media-briefing-on-covid-19---11-march-2020</w:t>
        </w:r>
      </w:hyperlink>
      <w:r w:rsidRPr="008C1E85">
        <w:rPr>
          <w:rStyle w:val="Hyperlink"/>
          <w:color w:val="000000" w:themeColor="text1"/>
          <w:u w:val="none"/>
        </w:rPr>
        <w:t>.</w:t>
      </w:r>
    </w:p>
  </w:footnote>
  <w:footnote w:id="5">
    <w:p w14:paraId="3D7F8D65" w14:textId="3AE4C9C0" w:rsidR="008D4B9A" w:rsidRPr="008C1E85" w:rsidRDefault="008D4B9A" w:rsidP="00FB2805">
      <w:pPr>
        <w:pStyle w:val="FootnoteText"/>
      </w:pPr>
      <w:r w:rsidRPr="008C1E85">
        <w:rPr>
          <w:rStyle w:val="FootnoteReference"/>
        </w:rPr>
        <w:footnoteRef/>
      </w:r>
      <w:r w:rsidRPr="008C1E85">
        <w:t xml:space="preserve"> Australian Government Department of Health (202</w:t>
      </w:r>
      <w:r>
        <w:t>2</w:t>
      </w:r>
      <w:r w:rsidRPr="008C1E85">
        <w:t xml:space="preserve">) Coronavirus (COVID-19) Case Numbers and Statistics. Available at: </w:t>
      </w:r>
      <w:hyperlink r:id="rId3" w:history="1">
        <w:r w:rsidRPr="008C1E85">
          <w:rPr>
            <w:rStyle w:val="Hyperlink"/>
          </w:rPr>
          <w:t>https://www.health.gov.au/news/health-alerts/novel-coronavirus-2019-ncov-health-alert/coronavirus-covid-19-case-numbers-and-statistics</w:t>
        </w:r>
      </w:hyperlink>
      <w:r w:rsidRPr="008C1E85">
        <w:t xml:space="preserve"> (accessed </w:t>
      </w:r>
      <w:r>
        <w:t>21</w:t>
      </w:r>
      <w:r w:rsidRPr="008C1E85">
        <w:t xml:space="preserve"> </w:t>
      </w:r>
      <w:r>
        <w:t>February 2022</w:t>
      </w:r>
      <w:r w:rsidRPr="008C1E85">
        <w:t>).</w:t>
      </w:r>
    </w:p>
  </w:footnote>
  <w:footnote w:id="6">
    <w:p w14:paraId="325E9B19" w14:textId="6FBC25AF" w:rsidR="008D4B9A" w:rsidRPr="008C1E85" w:rsidRDefault="008D4B9A" w:rsidP="009F5E2E">
      <w:pPr>
        <w:pStyle w:val="FootnoteText"/>
      </w:pPr>
      <w:r w:rsidRPr="008C1E85">
        <w:rPr>
          <w:rStyle w:val="FootnoteReference"/>
        </w:rPr>
        <w:footnoteRef/>
      </w:r>
      <w:r w:rsidRPr="008C1E85">
        <w:t xml:space="preserve"> COVID-19 National Incident Room Surveillance Team</w:t>
      </w:r>
      <w:r>
        <w:t>,</w:t>
      </w:r>
      <w:r w:rsidRPr="008C1E85">
        <w:t xml:space="preserve"> COVID-19 Australia: Epidemiology Report 5</w:t>
      </w:r>
      <w:r>
        <w:t>7</w:t>
      </w:r>
    </w:p>
    <w:p w14:paraId="6C87C32F" w14:textId="14C6529D" w:rsidR="008D4B9A" w:rsidRPr="008C1E85" w:rsidRDefault="008D4B9A" w:rsidP="009F5E2E">
      <w:pPr>
        <w:pStyle w:val="FootnoteText"/>
      </w:pPr>
      <w:r w:rsidRPr="008C1E85">
        <w:t xml:space="preserve">Reporting period ending </w:t>
      </w:r>
      <w:r w:rsidRPr="004F7579">
        <w:t>16 January 2022</w:t>
      </w:r>
      <w:r w:rsidRPr="008C1E85">
        <w:t xml:space="preserve">, </w:t>
      </w:r>
      <w:proofErr w:type="spellStart"/>
      <w:r w:rsidRPr="008C1E85">
        <w:rPr>
          <w:i/>
          <w:iCs/>
        </w:rPr>
        <w:t>Commun</w:t>
      </w:r>
      <w:proofErr w:type="spellEnd"/>
      <w:r w:rsidRPr="008C1E85">
        <w:rPr>
          <w:i/>
          <w:iCs/>
        </w:rPr>
        <w:t xml:space="preserve"> Dis </w:t>
      </w:r>
      <w:proofErr w:type="spellStart"/>
      <w:r w:rsidRPr="008C1E85">
        <w:rPr>
          <w:i/>
          <w:iCs/>
        </w:rPr>
        <w:t>Intell</w:t>
      </w:r>
      <w:proofErr w:type="spellEnd"/>
      <w:r w:rsidRPr="008C1E85">
        <w:t>, 202</w:t>
      </w:r>
      <w:r>
        <w:t>2</w:t>
      </w:r>
      <w:r w:rsidRPr="008C1E85">
        <w:t>; 4</w:t>
      </w:r>
      <w:r>
        <w:t>6</w:t>
      </w:r>
      <w:r w:rsidRPr="008C1E85">
        <w:t>.</w:t>
      </w:r>
      <w:r>
        <w:t xml:space="preserve"> Available at:</w:t>
      </w:r>
      <w:r w:rsidRPr="004F7579">
        <w:t xml:space="preserve"> </w:t>
      </w:r>
      <w:hyperlink r:id="rId4" w:history="1">
        <w:r w:rsidRPr="009B5557">
          <w:rPr>
            <w:rStyle w:val="Hyperlink"/>
          </w:rPr>
          <w:t>https://www1.health.gov.au/internet/main/publishing.nsf/Content/C50CAE02452A48A7CA2587320081F7BF/$File/covid_19_australia_epidemiology_report_57_reporting_period_ending_16_january_2022.pdf</w:t>
        </w:r>
      </w:hyperlink>
      <w:r>
        <w:t>.</w:t>
      </w:r>
    </w:p>
  </w:footnote>
  <w:footnote w:id="7">
    <w:p w14:paraId="5A00DBA4" w14:textId="77777777" w:rsidR="008D4B9A" w:rsidRPr="008C1E85" w:rsidRDefault="008D4B9A" w:rsidP="007E0AF7">
      <w:pPr>
        <w:pStyle w:val="FootnoteText"/>
      </w:pPr>
      <w:r w:rsidRPr="008C1E85">
        <w:rPr>
          <w:rStyle w:val="FootnoteReference"/>
        </w:rPr>
        <w:footnoteRef/>
      </w:r>
      <w:r w:rsidRPr="008C1E85">
        <w:t xml:space="preserve"> As part of the </w:t>
      </w:r>
      <w:r w:rsidRPr="008C1E85">
        <w:rPr>
          <w:b/>
          <w:bCs/>
        </w:rPr>
        <w:t>provisional approval pathway</w:t>
      </w:r>
      <w:r w:rsidRPr="008C1E85">
        <w:t xml:space="preserve">, the provisional registration process will allow certain medicines to be provisionally registered in the Australian Register of Therapeutic Goods (ARTG) for a limited duration. These medicines are registered </w:t>
      </w:r>
      <w:proofErr w:type="gramStart"/>
      <w:r w:rsidRPr="008C1E85">
        <w:t>on the basis of</w:t>
      </w:r>
      <w:proofErr w:type="gramEnd"/>
      <w:r w:rsidRPr="008C1E85">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1CFD9505" w14:textId="4A778E92" w:rsidR="008D4B9A" w:rsidRPr="008C1E85" w:rsidRDefault="008D4B9A">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8">
    <w:p w14:paraId="2064817A" w14:textId="2A57B5D0" w:rsidR="008D4B9A" w:rsidRPr="008C1E85" w:rsidRDefault="008D4B9A" w:rsidP="00FB2805">
      <w:pPr>
        <w:pStyle w:val="FootnoteText"/>
      </w:pPr>
      <w:r w:rsidRPr="008C1E85">
        <w:rPr>
          <w:rStyle w:val="FootnoteReference"/>
        </w:rPr>
        <w:footnoteRef/>
      </w:r>
      <w:r w:rsidRPr="008C1E85">
        <w:t xml:space="preserve"> Tozinameran, the active ingredient in the Comirnaty COVID-19 Vaccine was previously registered in Australia and overseas by the provisional drug name BNT162b2. Both the International non-proprietary name (INN) and the Australian Approved Name (AAN) is accepted as being tozinameran, and it is therefore referred to as Comirnaty (tozinameran) COVID-19 vaccine throughout this AusPAR. This </w:t>
      </w:r>
      <w:proofErr w:type="gramStart"/>
      <w:r w:rsidRPr="008C1E85">
        <w:t>is in contrast to</w:t>
      </w:r>
      <w:proofErr w:type="gramEnd"/>
      <w:r w:rsidRPr="008C1E85">
        <w:t xml:space="preserve"> the use of BNT162b2 as the name of the active ingredient in earlier AusPARs. The change is in name only; the composition of the active ingredient is unchanged in any way.</w:t>
      </w:r>
    </w:p>
  </w:footnote>
  <w:footnote w:id="9">
    <w:p w14:paraId="209EB31B" w14:textId="77777777" w:rsidR="008D4B9A" w:rsidRPr="008C1E85" w:rsidRDefault="008D4B9A" w:rsidP="00FB2805">
      <w:pPr>
        <w:pStyle w:val="FootnoteText"/>
      </w:pPr>
      <w:r w:rsidRPr="008C1E85">
        <w:rPr>
          <w:rStyle w:val="FootnoteReference"/>
        </w:rPr>
        <w:footnoteRef/>
      </w:r>
      <w:r w:rsidRPr="008C1E85">
        <w:t xml:space="preserve"> Comirnaty was first registered on the ARTG on 25 January 2021 (ARTG number: 346290).</w:t>
      </w:r>
    </w:p>
  </w:footnote>
  <w:footnote w:id="10">
    <w:p w14:paraId="0349E71B" w14:textId="0945EA11" w:rsidR="008D4B9A" w:rsidRPr="008C1E85" w:rsidRDefault="008D4B9A" w:rsidP="00FB2805">
      <w:pPr>
        <w:pStyle w:val="FootnoteText"/>
      </w:pPr>
      <w:r w:rsidRPr="008C1E85">
        <w:rPr>
          <w:rStyle w:val="FootnoteReference"/>
        </w:rPr>
        <w:footnoteRef/>
      </w:r>
      <w:r w:rsidRPr="008C1E85">
        <w:t xml:space="preserve"> AusPAR for Comirnaty (BNT162b2 (mRNA)) new biological entity, published on 25 January 2021. Available at: </w:t>
      </w:r>
      <w:hyperlink r:id="rId5" w:history="1">
        <w:r w:rsidRPr="008C1E85">
          <w:rPr>
            <w:rStyle w:val="Hyperlink"/>
          </w:rPr>
          <w:t>https://www.tga.gov.au/auspar/auspar-bnt162b2-mrna-comirnaty</w:t>
        </w:r>
      </w:hyperlink>
      <w:r w:rsidRPr="008C1E85">
        <w:rPr>
          <w:rStyle w:val="Hyperlink"/>
          <w:color w:val="000000" w:themeColor="text1"/>
          <w:u w:val="none"/>
        </w:rPr>
        <w:t>.</w:t>
      </w:r>
    </w:p>
  </w:footnote>
  <w:footnote w:id="11">
    <w:p w14:paraId="4533B78C" w14:textId="5A314ADE" w:rsidR="008D4B9A" w:rsidRPr="008C1E85" w:rsidRDefault="008D4B9A" w:rsidP="00FB2805">
      <w:pPr>
        <w:pStyle w:val="FootnoteText"/>
      </w:pPr>
      <w:r w:rsidRPr="008C1E85">
        <w:rPr>
          <w:rStyle w:val="FootnoteReference"/>
        </w:rPr>
        <w:footnoteRef/>
      </w:r>
      <w:r w:rsidRPr="008C1E85">
        <w:t xml:space="preserve"> AusPAR for Comirnaty (BNT162b2 (mRNA)) extension of indications, published on 23 July 2021. Available at: </w:t>
      </w:r>
      <w:hyperlink r:id="rId6" w:history="1">
        <w:r w:rsidRPr="008C1E85">
          <w:rPr>
            <w:rStyle w:val="Hyperlink"/>
          </w:rPr>
          <w:t>https://www.tga.gov.au/auspar/auspar-bnt162b2-mrna</w:t>
        </w:r>
      </w:hyperlink>
      <w:r w:rsidRPr="008C1E85">
        <w:rPr>
          <w:rStyle w:val="Hyperlink"/>
          <w:color w:val="000000" w:themeColor="text1"/>
          <w:u w:val="none"/>
        </w:rPr>
        <w:t>.</w:t>
      </w:r>
    </w:p>
  </w:footnote>
  <w:footnote w:id="12">
    <w:p w14:paraId="2DC2C807" w14:textId="3012056F" w:rsidR="008D4B9A" w:rsidRPr="008C1E85" w:rsidRDefault="008D4B9A">
      <w:pPr>
        <w:pStyle w:val="FootnoteText"/>
      </w:pPr>
      <w:r w:rsidRPr="008C1E85">
        <w:rPr>
          <w:rStyle w:val="FootnoteReference"/>
        </w:rPr>
        <w:footnoteRef/>
      </w:r>
      <w:r w:rsidRPr="008C1E85">
        <w:t xml:space="preserve"> AusPAR for Comirnaty (tozinameran) extension of indications; change to formulation (excipients), published on 13 December 2021. Available at: </w:t>
      </w:r>
      <w:hyperlink r:id="rId7" w:history="1">
        <w:r w:rsidRPr="008C1E85">
          <w:rPr>
            <w:rStyle w:val="Hyperlink"/>
          </w:rPr>
          <w:t>https://www.tga.gov.au/auspar/auspar-tozinameran-mrna-covid-19-vaccine</w:t>
        </w:r>
      </w:hyperlink>
      <w:r w:rsidRPr="008C1E85">
        <w:rPr>
          <w:rStyle w:val="Hyperlink"/>
          <w:u w:val="none"/>
        </w:rPr>
        <w:t>.</w:t>
      </w:r>
    </w:p>
  </w:footnote>
  <w:footnote w:id="13">
    <w:p w14:paraId="6C154D4D" w14:textId="77777777" w:rsidR="008D4B9A" w:rsidRPr="008C1E85" w:rsidRDefault="008D4B9A" w:rsidP="00FB2805">
      <w:pPr>
        <w:pStyle w:val="FootnoteText"/>
      </w:pPr>
      <w:r w:rsidRPr="008C1E85">
        <w:rPr>
          <w:rStyle w:val="FootnoteReference"/>
        </w:rPr>
        <w:footnoteRef/>
      </w:r>
      <w:r w:rsidRPr="008C1E85">
        <w:t xml:space="preserve"> COVID-19 Vaccine AstraZeneca was first registered on the ARTG on 16 February 2021 (ARTG number: 349072).</w:t>
      </w:r>
    </w:p>
  </w:footnote>
  <w:footnote w:id="14">
    <w:p w14:paraId="084372D8" w14:textId="3E67448C" w:rsidR="008D4B9A" w:rsidRPr="008C1E85" w:rsidRDefault="008D4B9A" w:rsidP="00FB2805">
      <w:pPr>
        <w:pStyle w:val="FootnoteText"/>
      </w:pPr>
      <w:r w:rsidRPr="008C1E85">
        <w:rPr>
          <w:rStyle w:val="FootnoteReference"/>
        </w:rPr>
        <w:footnoteRef/>
      </w:r>
      <w:r w:rsidRPr="008C1E85">
        <w:t xml:space="preserve"> AusPAR for COVID-19 Vaccine AstraZeneca (ChAdOx1-S) new biological entity, published on 16 February 2021. Available at: </w:t>
      </w:r>
      <w:hyperlink r:id="rId8" w:history="1">
        <w:r w:rsidRPr="008C1E85">
          <w:rPr>
            <w:rStyle w:val="Hyperlink"/>
          </w:rPr>
          <w:t>https://www.tga.gov.au/auspar/auspar-chadox1-s</w:t>
        </w:r>
      </w:hyperlink>
      <w:r w:rsidRPr="008C1E85">
        <w:rPr>
          <w:rStyle w:val="Hyperlink"/>
          <w:u w:val="none"/>
        </w:rPr>
        <w:t>.</w:t>
      </w:r>
    </w:p>
  </w:footnote>
  <w:footnote w:id="15">
    <w:p w14:paraId="1E99834A" w14:textId="77777777" w:rsidR="008D4B9A" w:rsidRPr="008C1E85" w:rsidRDefault="008D4B9A" w:rsidP="00FB2805">
      <w:pPr>
        <w:pStyle w:val="FootnoteText"/>
      </w:pPr>
      <w:r w:rsidRPr="008C1E85">
        <w:rPr>
          <w:rStyle w:val="FootnoteReference"/>
        </w:rPr>
        <w:footnoteRef/>
      </w:r>
      <w:r w:rsidRPr="008C1E85">
        <w:t xml:space="preserve"> COVID-19 Vaccine Janssen was first registered on the ARTG on 25 June 2021 (ARTG number: 350150).</w:t>
      </w:r>
    </w:p>
  </w:footnote>
  <w:footnote w:id="16">
    <w:p w14:paraId="024E77EB" w14:textId="1ABD84CE" w:rsidR="008D4B9A" w:rsidRPr="008C1E85" w:rsidRDefault="008D4B9A" w:rsidP="00FB2805">
      <w:pPr>
        <w:pStyle w:val="FootnoteText"/>
      </w:pPr>
      <w:r w:rsidRPr="008C1E85">
        <w:rPr>
          <w:rStyle w:val="FootnoteReference"/>
        </w:rPr>
        <w:footnoteRef/>
      </w:r>
      <w:r w:rsidRPr="008C1E85">
        <w:t xml:space="preserve"> AusPAR for COVID-19 Vaccine Janssen (Ad26.COV2.S) new biological entity, published on 25 June 2021. Available at: </w:t>
      </w:r>
      <w:hyperlink r:id="rId9" w:history="1">
        <w:r w:rsidRPr="008C1E85">
          <w:rPr>
            <w:rStyle w:val="Hyperlink"/>
          </w:rPr>
          <w:t>https://www.tga.gov.au/auspar/auspar-ad26cov2s</w:t>
        </w:r>
      </w:hyperlink>
      <w:r w:rsidRPr="008C1E85">
        <w:rPr>
          <w:rStyle w:val="Hyperlink"/>
          <w:color w:val="000000" w:themeColor="text1"/>
          <w:u w:val="none"/>
        </w:rPr>
        <w:t>.</w:t>
      </w:r>
    </w:p>
  </w:footnote>
  <w:footnote w:id="17">
    <w:p w14:paraId="175B112B" w14:textId="77777777" w:rsidR="008D4B9A" w:rsidRPr="008C1E85" w:rsidRDefault="008D4B9A" w:rsidP="00FB2805">
      <w:pPr>
        <w:pStyle w:val="FootnoteText"/>
      </w:pPr>
      <w:r w:rsidRPr="008C1E85">
        <w:rPr>
          <w:rStyle w:val="FootnoteReference"/>
        </w:rPr>
        <w:footnoteRef/>
      </w:r>
      <w:r w:rsidRPr="008C1E85">
        <w:t xml:space="preserve"> Spikevax was first registered on the ARTG on 9 August 2021 (ARTG number: 370599).</w:t>
      </w:r>
    </w:p>
  </w:footnote>
  <w:footnote w:id="18">
    <w:p w14:paraId="1BAE6B34" w14:textId="739C936C" w:rsidR="008D4B9A" w:rsidRPr="008C1E85" w:rsidRDefault="008D4B9A" w:rsidP="00FB2805">
      <w:pPr>
        <w:pStyle w:val="FootnoteText"/>
      </w:pPr>
      <w:r w:rsidRPr="008C1E85">
        <w:rPr>
          <w:rStyle w:val="FootnoteReference"/>
        </w:rPr>
        <w:footnoteRef/>
      </w:r>
      <w:r w:rsidRPr="008C1E85">
        <w:t xml:space="preserve"> AusPAR for Spikevax (elasomeran) new biological entity, adult indication, published on 9 August 2021. Available at: </w:t>
      </w:r>
      <w:hyperlink r:id="rId10" w:history="1">
        <w:r w:rsidRPr="008C1E85">
          <w:rPr>
            <w:rStyle w:val="Hyperlink"/>
          </w:rPr>
          <w:t>https://www.tga.gov.au/auspar/auspar-elasomeran</w:t>
        </w:r>
      </w:hyperlink>
      <w:r w:rsidRPr="008C1E85">
        <w:rPr>
          <w:rStyle w:val="Hyperlink"/>
          <w:color w:val="000000" w:themeColor="text1"/>
          <w:u w:val="none"/>
        </w:rPr>
        <w:t>.</w:t>
      </w:r>
    </w:p>
  </w:footnote>
  <w:footnote w:id="19">
    <w:p w14:paraId="0D536670" w14:textId="58D0861A" w:rsidR="008D4B9A" w:rsidRPr="008C1E85" w:rsidRDefault="008D4B9A" w:rsidP="00FB2805">
      <w:pPr>
        <w:pStyle w:val="FootnoteText"/>
      </w:pPr>
      <w:r w:rsidRPr="008C1E85">
        <w:rPr>
          <w:rStyle w:val="FootnoteReference"/>
        </w:rPr>
        <w:footnoteRef/>
      </w:r>
      <w:r w:rsidRPr="008C1E85">
        <w:t xml:space="preserve"> AusPAR for Spikevax (elasomeran) new biological entity, paediatric indication, published on 4 September 2021. Available at: </w:t>
      </w:r>
      <w:hyperlink r:id="rId11" w:history="1">
        <w:r w:rsidRPr="008C1E85">
          <w:rPr>
            <w:rStyle w:val="Hyperlink"/>
          </w:rPr>
          <w:t>https://www.tga.gov.au/auspar/auspar-elasomeran-0</w:t>
        </w:r>
      </w:hyperlink>
      <w:r w:rsidRPr="008C1E85">
        <w:rPr>
          <w:rStyle w:val="Hyperlink"/>
          <w:color w:val="000000" w:themeColor="text1"/>
          <w:u w:val="none"/>
        </w:rPr>
        <w:t>.</w:t>
      </w:r>
    </w:p>
  </w:footnote>
  <w:footnote w:id="20">
    <w:p w14:paraId="6AC6F9E6" w14:textId="62E15EB1" w:rsidR="008D4B9A" w:rsidRPr="008C1E85" w:rsidRDefault="008D4B9A">
      <w:pPr>
        <w:pStyle w:val="FootnoteText"/>
      </w:pPr>
      <w:r w:rsidRPr="008C1E85">
        <w:rPr>
          <w:rStyle w:val="FootnoteReference"/>
        </w:rPr>
        <w:footnoteRef/>
      </w:r>
      <w:r w:rsidRPr="008C1E85">
        <w:t xml:space="preserve"> The </w:t>
      </w:r>
      <w:r w:rsidRPr="008C1E85">
        <w:rPr>
          <w:b/>
          <w:bCs/>
        </w:rPr>
        <w:t>International Council for Harmonisation</w:t>
      </w:r>
      <w:r w:rsidRPr="008C1E85">
        <w:t xml:space="preserve"> of Technical Requirements for Registration of Pharmaceuticals for Human Use </w:t>
      </w:r>
      <w:r w:rsidRPr="008C1E85">
        <w:rPr>
          <w:b/>
          <w:bCs/>
        </w:rPr>
        <w:t>(ICH)</w:t>
      </w:r>
      <w:r w:rsidRPr="008C1E85">
        <w:t xml:space="preserve">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21">
    <w:p w14:paraId="708D6737" w14:textId="403D3549" w:rsidR="008D4B9A" w:rsidRPr="008C1E85" w:rsidRDefault="008D4B9A">
      <w:pPr>
        <w:pStyle w:val="FootnoteText"/>
      </w:pPr>
      <w:r w:rsidRPr="008C1E85">
        <w:rPr>
          <w:rStyle w:val="FootnoteReference"/>
        </w:rPr>
        <w:footnoteRef/>
      </w:r>
      <w:r w:rsidRPr="008C1E85">
        <w:t xml:space="preserve"> </w:t>
      </w:r>
      <w:r w:rsidRPr="008C1E85">
        <w:rPr>
          <w:b/>
          <w:bCs/>
        </w:rPr>
        <w:t>Good Clinical Practice (GCP)</w:t>
      </w:r>
      <w:r w:rsidRPr="008C1E85">
        <w:t xml:space="preserve"> is a code of international standards and guidance following the International Council on Harmonisation (ICH) concerning the design, conduct, performance, monitoring, auditing, recording, analysis and reporting of clinical trials. Good Clinical Practice provides assurance that a study’s results are credible and accurate and that the rights and confidentiality of the study subjects are protected.</w:t>
      </w:r>
    </w:p>
  </w:footnote>
  <w:footnote w:id="22">
    <w:p w14:paraId="2F9721FA" w14:textId="3A18E981" w:rsidR="008D4B9A" w:rsidRPr="008C1E85" w:rsidRDefault="008D4B9A">
      <w:pPr>
        <w:pStyle w:val="FootnoteText"/>
      </w:pPr>
      <w:r w:rsidRPr="008C1E85">
        <w:rPr>
          <w:rStyle w:val="FootnoteReference"/>
        </w:rPr>
        <w:footnoteRef/>
      </w:r>
      <w:r w:rsidRPr="008C1E85">
        <w:t xml:space="preserve"> Inclusion of this information is beyond the scope of the AusPAR.</w:t>
      </w:r>
    </w:p>
  </w:footnote>
  <w:footnote w:id="23">
    <w:p w14:paraId="417647AB" w14:textId="1FA689F5" w:rsidR="008D4B9A" w:rsidRPr="008C1E85" w:rsidRDefault="008D4B9A">
      <w:pPr>
        <w:pStyle w:val="FootnoteText"/>
      </w:pPr>
      <w:r w:rsidRPr="008C1E85">
        <w:rPr>
          <w:rStyle w:val="FootnoteReference"/>
        </w:rPr>
        <w:footnoteRef/>
      </w:r>
      <w:r w:rsidRPr="008C1E85">
        <w:t xml:space="preserve"> The </w:t>
      </w:r>
      <w:r w:rsidRPr="008C1E85">
        <w:rPr>
          <w:b/>
          <w:bCs/>
        </w:rPr>
        <w:t>per-protocol (PP)</w:t>
      </w:r>
      <w:r w:rsidRPr="008C1E85">
        <w:t xml:space="preserve"> analysis is restricted to the participants who strictly adhered to the protocol. Also known as ‘on-treatment’ analysis.</w:t>
      </w:r>
    </w:p>
  </w:footnote>
  <w:footnote w:id="24">
    <w:p w14:paraId="18E01CFC" w14:textId="19109BC1" w:rsidR="008D4B9A" w:rsidRPr="008C1E85" w:rsidRDefault="008D4B9A">
      <w:pPr>
        <w:pStyle w:val="FootnoteText"/>
      </w:pPr>
      <w:r w:rsidRPr="008C1E85">
        <w:rPr>
          <w:rStyle w:val="FootnoteReference"/>
        </w:rPr>
        <w:footnoteRef/>
      </w:r>
      <w:r w:rsidRPr="008C1E85">
        <w:t xml:space="preserve"> The randomised clinical trials analysed by the </w:t>
      </w:r>
      <w:r w:rsidRPr="008C1E85">
        <w:rPr>
          <w:b/>
          <w:bCs/>
        </w:rPr>
        <w:t>intention-to-treat (ITT)</w:t>
      </w:r>
      <w:r w:rsidRPr="008C1E85">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 A </w:t>
      </w:r>
      <w:r w:rsidRPr="008C1E85">
        <w:rPr>
          <w:b/>
          <w:bCs/>
        </w:rPr>
        <w:t>modified intention-to-treat analysis (</w:t>
      </w:r>
      <w:proofErr w:type="spellStart"/>
      <w:r w:rsidRPr="008C1E85">
        <w:rPr>
          <w:b/>
          <w:bCs/>
        </w:rPr>
        <w:t>mITT</w:t>
      </w:r>
      <w:proofErr w:type="spellEnd"/>
      <w:r w:rsidRPr="008C1E85">
        <w:rPr>
          <w:b/>
          <w:bCs/>
        </w:rPr>
        <w:t>)</w:t>
      </w:r>
      <w:r w:rsidRPr="008C1E85">
        <w:t xml:space="preserve"> may sometimes be conducted excluding subjects post-randomisation.</w:t>
      </w:r>
    </w:p>
  </w:footnote>
  <w:footnote w:id="25">
    <w:p w14:paraId="332AFB27" w14:textId="2E939D5C" w:rsidR="008D4B9A" w:rsidRPr="00306132" w:rsidRDefault="008D4B9A">
      <w:pPr>
        <w:pStyle w:val="FootnoteText"/>
        <w:rPr>
          <w:lang w:val="en-GB"/>
        </w:rPr>
      </w:pPr>
      <w:r>
        <w:rPr>
          <w:rStyle w:val="FootnoteReference"/>
        </w:rPr>
        <w:footnoteRef/>
      </w:r>
      <w:r>
        <w:t xml:space="preserve"> </w:t>
      </w:r>
      <w:r>
        <w:rPr>
          <w:lang w:val="en-GB"/>
        </w:rPr>
        <w:t>100°F converts to 37.8</w:t>
      </w:r>
      <w:r w:rsidRPr="00332BFA">
        <w:rPr>
          <w:lang w:val="en-GB"/>
        </w:rPr>
        <w:t>°C</w:t>
      </w:r>
      <w:r>
        <w:rPr>
          <w:lang w:val="en-GB"/>
        </w:rPr>
        <w:t>.</w:t>
      </w:r>
    </w:p>
  </w:footnote>
  <w:footnote w:id="26">
    <w:p w14:paraId="3B3175FA" w14:textId="6843117B" w:rsidR="008D4B9A" w:rsidRPr="008C1E85" w:rsidRDefault="008D4B9A">
      <w:pPr>
        <w:pStyle w:val="FootnoteText"/>
      </w:pPr>
      <w:r w:rsidRPr="008C1E85">
        <w:rPr>
          <w:rStyle w:val="FootnoteReference"/>
        </w:rPr>
        <w:footnoteRef/>
      </w:r>
      <w:r w:rsidRPr="008C1E85">
        <w:t xml:space="preserve"> The </w:t>
      </w:r>
      <w:r w:rsidRPr="008C1E85">
        <w:rPr>
          <w:b/>
          <w:bCs/>
        </w:rPr>
        <w:t>Medical Dictionary for Regulatory Activities (MedDRA)</w:t>
      </w:r>
      <w:r w:rsidRPr="008C1E85">
        <w:t xml:space="preserve"> is a single standardised international medical terminology, </w:t>
      </w:r>
      <w:proofErr w:type="spellStart"/>
      <w:r w:rsidRPr="008C1E85">
        <w:t>developped</w:t>
      </w:r>
      <w:proofErr w:type="spellEnd"/>
      <w:r w:rsidRPr="008C1E85">
        <w:t xml:space="preserve">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27">
    <w:p w14:paraId="30F3B0EC" w14:textId="7CE12907" w:rsidR="008D4B9A" w:rsidRPr="008C1E85" w:rsidRDefault="008D4B9A">
      <w:pPr>
        <w:pStyle w:val="FootnoteText"/>
      </w:pPr>
      <w:r w:rsidRPr="008C1E85">
        <w:rPr>
          <w:rStyle w:val="FootnoteReference"/>
        </w:rPr>
        <w:footnoteRef/>
      </w:r>
      <w:r w:rsidRPr="008C1E85">
        <w:t xml:space="preserve"> </w:t>
      </w:r>
      <w:r w:rsidRPr="008C1E85">
        <w:rPr>
          <w:b/>
          <w:bCs/>
        </w:rPr>
        <w:t>Standardised MedDRA Queries (SMQs)</w:t>
      </w:r>
      <w:r w:rsidRPr="008C1E85">
        <w:t xml:space="preserve"> are groupings of terms from one or more MedDRA System Organ Classes (SOCs) that relate to a defined medical condition or area of interest. They are intended to aid in case identification.</w:t>
      </w:r>
    </w:p>
  </w:footnote>
  <w:footnote w:id="28">
    <w:p w14:paraId="727D4C9D" w14:textId="77777777" w:rsidR="008D4B9A" w:rsidRPr="008C1E85" w:rsidRDefault="008D4B9A" w:rsidP="007D53B6">
      <w:pPr>
        <w:pStyle w:val="FootnoteText"/>
      </w:pPr>
      <w:r w:rsidRPr="008C1E85">
        <w:rPr>
          <w:rStyle w:val="FootnoteReference"/>
        </w:rPr>
        <w:footnoteRef/>
      </w:r>
      <w:r w:rsidRPr="008C1E85">
        <w:t xml:space="preserve"> </w:t>
      </w:r>
      <w:r w:rsidRPr="008C1E85">
        <w:rPr>
          <w:i/>
        </w:rPr>
        <w:t xml:space="preserve">Routine risk minimisation </w:t>
      </w:r>
      <w:r w:rsidRPr="008C1E85">
        <w:t>activities may be limited to ensuring that suitable warnings are included in the product information or by careful use of labelling and packaging.</w:t>
      </w:r>
    </w:p>
    <w:p w14:paraId="4BF1233D" w14:textId="77777777" w:rsidR="008D4B9A" w:rsidRPr="008C1E85" w:rsidRDefault="008D4B9A" w:rsidP="007D53B6">
      <w:pPr>
        <w:pStyle w:val="FootnoteText"/>
      </w:pPr>
      <w:r w:rsidRPr="008C1E85">
        <w:rPr>
          <w:i/>
        </w:rPr>
        <w:t>Routine pharmacovigilance</w:t>
      </w:r>
      <w:r w:rsidRPr="008C1E85">
        <w:t xml:space="preserve"> practices involve the following activities:</w:t>
      </w:r>
    </w:p>
    <w:p w14:paraId="7CE1ACE7" w14:textId="77777777" w:rsidR="008D4B9A" w:rsidRPr="008C1E85" w:rsidRDefault="008D4B9A" w:rsidP="007D53B6">
      <w:pPr>
        <w:pStyle w:val="FootnoteText"/>
        <w:numPr>
          <w:ilvl w:val="0"/>
          <w:numId w:val="32"/>
        </w:numPr>
        <w:ind w:left="284" w:hanging="284"/>
      </w:pPr>
      <w:r w:rsidRPr="008C1E85">
        <w:t>All suspected adverse reactions that are reported to the personnel of the company are collected and collated in an accessible manner;</w:t>
      </w:r>
    </w:p>
    <w:p w14:paraId="78B320A3" w14:textId="77777777" w:rsidR="008D4B9A" w:rsidRPr="008C1E85" w:rsidRDefault="008D4B9A" w:rsidP="007D53B6">
      <w:pPr>
        <w:pStyle w:val="FootnoteText"/>
        <w:numPr>
          <w:ilvl w:val="0"/>
          <w:numId w:val="32"/>
        </w:numPr>
        <w:ind w:left="284" w:hanging="284"/>
      </w:pPr>
      <w:r w:rsidRPr="008C1E85">
        <w:t xml:space="preserve">Reporting to regulatory </w:t>
      </w:r>
      <w:proofErr w:type="gramStart"/>
      <w:r w:rsidRPr="008C1E85">
        <w:t>authorities;</w:t>
      </w:r>
      <w:proofErr w:type="gramEnd"/>
    </w:p>
    <w:p w14:paraId="0AF7FDD6" w14:textId="77777777" w:rsidR="008D4B9A" w:rsidRPr="008C1E85" w:rsidRDefault="008D4B9A" w:rsidP="007D53B6">
      <w:pPr>
        <w:pStyle w:val="FootnoteText"/>
        <w:numPr>
          <w:ilvl w:val="0"/>
          <w:numId w:val="32"/>
        </w:numPr>
        <w:ind w:left="284" w:hanging="284"/>
      </w:pPr>
      <w:r w:rsidRPr="008C1E85">
        <w:t xml:space="preserve">Continuous monitoring of the safety profiles of approved products including signal detection and updating of </w:t>
      </w:r>
      <w:proofErr w:type="gramStart"/>
      <w:r w:rsidRPr="008C1E85">
        <w:t>labelling;</w:t>
      </w:r>
      <w:proofErr w:type="gramEnd"/>
    </w:p>
    <w:p w14:paraId="66D1AE84" w14:textId="77777777" w:rsidR="008D4B9A" w:rsidRPr="008C1E85" w:rsidRDefault="008D4B9A" w:rsidP="007D53B6">
      <w:pPr>
        <w:pStyle w:val="FootnoteText"/>
        <w:numPr>
          <w:ilvl w:val="0"/>
          <w:numId w:val="32"/>
        </w:numPr>
        <w:ind w:left="284" w:hanging="284"/>
      </w:pPr>
      <w:r w:rsidRPr="008C1E85">
        <w:t xml:space="preserve">Submission of </w:t>
      </w:r>
      <w:proofErr w:type="gramStart"/>
      <w:r w:rsidRPr="008C1E85">
        <w:t>PSURs;</w:t>
      </w:r>
      <w:proofErr w:type="gramEnd"/>
    </w:p>
    <w:p w14:paraId="1520EB80" w14:textId="77777777" w:rsidR="008D4B9A" w:rsidRPr="008C1E85" w:rsidRDefault="008D4B9A" w:rsidP="007D53B6">
      <w:pPr>
        <w:pStyle w:val="FootnoteText"/>
        <w:numPr>
          <w:ilvl w:val="0"/>
          <w:numId w:val="32"/>
        </w:numPr>
        <w:ind w:left="284" w:hanging="284"/>
      </w:pPr>
      <w:r w:rsidRPr="008C1E85">
        <w:t>Meeting other local regulatory agency requirements.</w:t>
      </w:r>
    </w:p>
  </w:footnote>
  <w:footnote w:id="29">
    <w:p w14:paraId="0312F156" w14:textId="7BCD227B" w:rsidR="008D4B9A" w:rsidRPr="008C1E85" w:rsidRDefault="008D4B9A">
      <w:pPr>
        <w:pStyle w:val="FootnoteText"/>
      </w:pPr>
      <w:r w:rsidRPr="008C1E85">
        <w:rPr>
          <w:rStyle w:val="FootnoteReference"/>
        </w:rPr>
        <w:footnoteRef/>
      </w:r>
      <w:r w:rsidRPr="008C1E85">
        <w:t xml:space="preserve"> COVID-19 National Incident Room Surveillance Team, COVID-19 Australia: Epidemiology Report 55 Reporting period ending 21 November 2021, </w:t>
      </w:r>
      <w:proofErr w:type="spellStart"/>
      <w:r w:rsidRPr="008C1E85">
        <w:rPr>
          <w:i/>
          <w:iCs/>
        </w:rPr>
        <w:t>Commun</w:t>
      </w:r>
      <w:proofErr w:type="spellEnd"/>
      <w:r w:rsidRPr="008C1E85">
        <w:rPr>
          <w:i/>
          <w:iCs/>
        </w:rPr>
        <w:t xml:space="preserve"> Dis </w:t>
      </w:r>
      <w:proofErr w:type="spellStart"/>
      <w:r w:rsidRPr="008C1E85">
        <w:rPr>
          <w:i/>
          <w:iCs/>
        </w:rPr>
        <w:t>Intell</w:t>
      </w:r>
      <w:proofErr w:type="spellEnd"/>
      <w:r w:rsidRPr="008C1E85">
        <w:rPr>
          <w:i/>
          <w:iCs/>
        </w:rPr>
        <w:t xml:space="preserve"> (2018)</w:t>
      </w:r>
      <w:r w:rsidRPr="008C1E85">
        <w:t>, 2021; 45 (refer to Table 4 on page 8).</w:t>
      </w:r>
    </w:p>
  </w:footnote>
  <w:footnote w:id="30">
    <w:p w14:paraId="4CFF807B" w14:textId="01E6AB0F" w:rsidR="008D4B9A" w:rsidRPr="008C1E85" w:rsidRDefault="008D4B9A" w:rsidP="00100B02">
      <w:pPr>
        <w:pStyle w:val="FootnoteText"/>
      </w:pPr>
      <w:r w:rsidRPr="008C1E85">
        <w:rPr>
          <w:rStyle w:val="FootnoteReference"/>
        </w:rPr>
        <w:footnoteRef/>
      </w:r>
      <w:r w:rsidRPr="008C1E85">
        <w:t xml:space="preserve"> </w:t>
      </w:r>
      <w:proofErr w:type="spellStart"/>
      <w:r w:rsidRPr="008C1E85">
        <w:t>Centers</w:t>
      </w:r>
      <w:proofErr w:type="spellEnd"/>
      <w:r w:rsidRPr="008C1E85">
        <w:t xml:space="preserve"> for Disease Control and Prevention (CDC) Epidemiology of COVID-19 in Children Aged 5 - 11 years, ACIP Meeting, 2 November 2021 (refer to page 28: Summary: COVID-19 Epidemiology in Children</w:t>
      </w:r>
    </w:p>
    <w:p w14:paraId="4B0FEA0D" w14:textId="6ABF9D94" w:rsidR="008D4B9A" w:rsidRPr="008C1E85" w:rsidRDefault="008D4B9A" w:rsidP="00100B02">
      <w:pPr>
        <w:pStyle w:val="FootnoteText"/>
      </w:pPr>
      <w:r w:rsidRPr="008C1E85">
        <w:t xml:space="preserve">Aged 5-11 years). Available at: </w:t>
      </w:r>
      <w:hyperlink r:id="rId12" w:history="1">
        <w:r w:rsidRPr="008C1E85">
          <w:rPr>
            <w:rStyle w:val="Hyperlink"/>
          </w:rPr>
          <w:t>https://www.cdc.gov/vaccines/acip/meetings/downloads/slides-2021-11-2-3/03-COVID-Jefferson-508.pdf</w:t>
        </w:r>
      </w:hyperlink>
      <w:r w:rsidRPr="008C1E85">
        <w:t>.</w:t>
      </w:r>
    </w:p>
  </w:footnote>
  <w:footnote w:id="31">
    <w:p w14:paraId="5DE1A811" w14:textId="093CFE4C" w:rsidR="008D4B9A" w:rsidRPr="008C1E85" w:rsidRDefault="008D4B9A" w:rsidP="00871027">
      <w:pPr>
        <w:pStyle w:val="FootnoteText"/>
      </w:pPr>
      <w:r w:rsidRPr="008C1E85">
        <w:rPr>
          <w:rStyle w:val="FootnoteReference"/>
        </w:rPr>
        <w:footnoteRef/>
      </w:r>
      <w:r w:rsidRPr="008C1E85">
        <w:t xml:space="preserve"> Therapeutic Goods administration (TGA) COVID-19 Vaccine Weekly Safety Report - 18-11-2021, 18 November 2021. Available at:</w:t>
      </w:r>
    </w:p>
    <w:p w14:paraId="73029225" w14:textId="61176B07" w:rsidR="008D4B9A" w:rsidRPr="008C1E85" w:rsidRDefault="00571D7C">
      <w:pPr>
        <w:pStyle w:val="FootnoteText"/>
      </w:pPr>
      <w:hyperlink r:id="rId13" w:history="1">
        <w:r w:rsidR="008D4B9A" w:rsidRPr="008C1E85">
          <w:rPr>
            <w:rStyle w:val="Hyperlink"/>
          </w:rPr>
          <w:t>https://www.tga.gov.au/periodic/covid-19-vaccine-weekly-safety-report-18-11-2021</w:t>
        </w:r>
      </w:hyperlink>
      <w:r w:rsidR="008D4B9A" w:rsidRPr="008C1E85">
        <w:t>.</w:t>
      </w:r>
    </w:p>
  </w:footnote>
  <w:footnote w:id="32">
    <w:p w14:paraId="33791EEE" w14:textId="74101D93" w:rsidR="008D4B9A" w:rsidRPr="008C1E85" w:rsidRDefault="008D4B9A">
      <w:pPr>
        <w:pStyle w:val="FootnoteText"/>
      </w:pPr>
      <w:r w:rsidRPr="008C1E85">
        <w:rPr>
          <w:rStyle w:val="FootnoteReference"/>
        </w:rPr>
        <w:footnoteRef/>
      </w:r>
      <w:r w:rsidRPr="008C1E85">
        <w:t xml:space="preserve"> European Medicines Agency (EMA) Meeting Highlights from the Pharmacovigilance Risk Assessment Committee (PRAC) 29 November - 2 December 2021, 3 December 2021. Available at: </w:t>
      </w:r>
      <w:hyperlink r:id="rId14" w:history="1">
        <w:r w:rsidRPr="008C1E85">
          <w:rPr>
            <w:rStyle w:val="Hyperlink"/>
          </w:rPr>
          <w:t>https://www.ema.europa.eu/en/news/meeting-highlights-pharmacovigilance-risk-assessment-committee-prac-29-november-2-december-2021</w:t>
        </w:r>
      </w:hyperlink>
      <w:r w:rsidRPr="008C1E85">
        <w:t>.</w:t>
      </w:r>
    </w:p>
  </w:footnote>
  <w:footnote w:id="33">
    <w:p w14:paraId="1CC56A65" w14:textId="1BA83083" w:rsidR="008D4B9A" w:rsidRPr="008C1E85" w:rsidRDefault="008D4B9A">
      <w:pPr>
        <w:pStyle w:val="FootnoteText"/>
      </w:pPr>
      <w:r w:rsidRPr="008C1E85">
        <w:rPr>
          <w:rStyle w:val="FootnoteReference"/>
        </w:rPr>
        <w:footnoteRef/>
      </w:r>
      <w:r w:rsidRPr="008C1E85">
        <w:t xml:space="preserve"> European Medicines Agency (EMA) Summary of Product Characteristics for Comirnaty, first published on 12 January 2021, last updated on 13 December 2021. Available at: </w:t>
      </w:r>
      <w:hyperlink r:id="rId15" w:history="1">
        <w:r w:rsidRPr="008C1E85">
          <w:rPr>
            <w:rStyle w:val="Hyperlink"/>
          </w:rPr>
          <w:t>https://www.ema.europa.eu/en/documents/product-information/comirnaty-epar-product-information_en.pdf</w:t>
        </w:r>
      </w:hyperlink>
      <w:r w:rsidRPr="008C1E85">
        <w:t>.</w:t>
      </w:r>
    </w:p>
  </w:footnote>
  <w:footnote w:id="34">
    <w:p w14:paraId="7F4E32FB" w14:textId="6C792393" w:rsidR="008D4B9A" w:rsidRPr="008C1E85" w:rsidRDefault="008D4B9A">
      <w:pPr>
        <w:pStyle w:val="FootnoteText"/>
      </w:pPr>
      <w:r w:rsidRPr="008C1E85">
        <w:rPr>
          <w:rStyle w:val="FootnoteReference"/>
        </w:rPr>
        <w:footnoteRef/>
      </w:r>
      <w:r w:rsidRPr="008C1E85">
        <w:t xml:space="preserve"> European Medicines Agency (EMA) Summary of Product Characteristics for Spikevax, first published on 20 January 2021, last updated on 9 December 2021. Available at: </w:t>
      </w:r>
      <w:hyperlink r:id="rId16" w:anchor="product-information-section" w:history="1">
        <w:r w:rsidRPr="008C1E85">
          <w:rPr>
            <w:rStyle w:val="Hyperlink"/>
          </w:rPr>
          <w:t>https://www.ema.europa.eu/en/medicines/human/EPAR/spikevax#product-information-section</w:t>
        </w:r>
      </w:hyperlink>
      <w:r w:rsidRPr="008C1E85">
        <w:rPr>
          <w:color w:val="000000" w:themeColor="text1"/>
        </w:rPr>
        <w:t>.</w:t>
      </w:r>
    </w:p>
  </w:footnote>
  <w:footnote w:id="35">
    <w:p w14:paraId="4D9EFB01" w14:textId="77777777" w:rsidR="008D4B9A" w:rsidRPr="008C1E85" w:rsidRDefault="008D4B9A" w:rsidP="00127263">
      <w:pPr>
        <w:pStyle w:val="FootnoteText"/>
      </w:pPr>
      <w:r w:rsidRPr="008C1E85">
        <w:rPr>
          <w:rStyle w:val="FootnoteReference"/>
        </w:rPr>
        <w:footnoteRef/>
      </w:r>
      <w:r w:rsidRPr="008C1E85">
        <w:t xml:space="preserve"> Australian Product Information for Spikevax (elasomeran). Available at: </w:t>
      </w:r>
      <w:hyperlink r:id="rId17" w:history="1">
        <w:r w:rsidRPr="008C1E85">
          <w:rPr>
            <w:rStyle w:val="Hyperlink"/>
          </w:rPr>
          <w:t>https://www.ebs.tga.gov.au/ebs/picmi/picmirepository.nsf/pdf?OpenAgent&amp;id=CP-2021-PI-01968-1&amp;d=20220104172310101</w:t>
        </w:r>
      </w:hyperlink>
      <w:r w:rsidRPr="008C1E85">
        <w:t>.</w:t>
      </w:r>
    </w:p>
  </w:footnote>
  <w:footnote w:id="36">
    <w:p w14:paraId="362B1CF0" w14:textId="77777777" w:rsidR="008D4B9A" w:rsidRPr="008C1E85" w:rsidRDefault="008D4B9A" w:rsidP="007A6F5E">
      <w:pPr>
        <w:pStyle w:val="FootnoteText"/>
      </w:pPr>
      <w:r w:rsidRPr="008C1E85">
        <w:rPr>
          <w:rStyle w:val="FootnoteReference"/>
        </w:rPr>
        <w:footnoteRef/>
      </w:r>
      <w:r w:rsidRPr="008C1E85">
        <w:t xml:space="preserve"> The </w:t>
      </w:r>
      <w:r w:rsidRPr="008C1E85">
        <w:rPr>
          <w:b/>
          <w:bCs/>
        </w:rPr>
        <w:t>Advisory Committee on Vaccines (ACV)</w:t>
      </w:r>
      <w:r w:rsidRPr="008C1E85">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2F01E7D3" w14:textId="77777777" w:rsidR="008D4B9A" w:rsidRPr="008C1E85" w:rsidRDefault="008D4B9A" w:rsidP="007A6F5E">
      <w:pPr>
        <w:pStyle w:val="FootnoteText"/>
      </w:pPr>
      <w:r w:rsidRPr="008C1E85">
        <w:t>The Committee is established under Regulation 39F of the Therapeutic Goods Regulations 1990 and the members are appointed by the Minister for Health.</w:t>
      </w:r>
    </w:p>
    <w:p w14:paraId="77274BD0" w14:textId="77777777" w:rsidR="008D4B9A" w:rsidRPr="008C1E85" w:rsidRDefault="008D4B9A" w:rsidP="007A6F5E">
      <w:pPr>
        <w:pStyle w:val="FootnoteText"/>
      </w:pPr>
      <w:r w:rsidRPr="008C1E85">
        <w:t>The ACV was established in January 2017, following consolidation of previous functions of the Advisory Committee on the Safety of Vaccines (ACSOV) and the pre-market functions for vaccines of the Advisory Committee on Prescription Medicines (ACPM).</w:t>
      </w:r>
    </w:p>
    <w:p w14:paraId="6DBAA381" w14:textId="5FE5A29F" w:rsidR="008D4B9A" w:rsidRPr="007A6F5E" w:rsidRDefault="008D4B9A" w:rsidP="00FB369D">
      <w:pPr>
        <w:pStyle w:val="FootnoteText"/>
      </w:pPr>
      <w:r w:rsidRPr="008C1E85">
        <w:t>Membership comprises professionals with expertise in specific scientific, medical or clinical fields, or consumer health issues.</w:t>
      </w:r>
    </w:p>
  </w:footnote>
  <w:footnote w:id="37">
    <w:p w14:paraId="1E94A486" w14:textId="4F0EDE46" w:rsidR="008D4B9A" w:rsidRDefault="008D4B9A" w:rsidP="00E6281E">
      <w:pPr>
        <w:pStyle w:val="FootnoteText"/>
      </w:pPr>
      <w:r>
        <w:rPr>
          <w:rStyle w:val="FootnoteReference"/>
        </w:rPr>
        <w:footnoteRef/>
      </w:r>
      <w:r>
        <w:t xml:space="preserve"> </w:t>
      </w:r>
      <w:proofErr w:type="spellStart"/>
      <w:r w:rsidRPr="00952F9C">
        <w:t>Patone</w:t>
      </w:r>
      <w:proofErr w:type="spellEnd"/>
      <w:r>
        <w:t xml:space="preserve">, M. </w:t>
      </w:r>
      <w:r w:rsidRPr="00952F9C">
        <w:t>Risks of Myocarditis, Pericarditis, and Cardiac Arrhythmias Associated with COVID-19 Vaccination or SARS-CoV-2 Infection</w:t>
      </w:r>
      <w:r>
        <w:t xml:space="preserve">, </w:t>
      </w:r>
      <w:r w:rsidRPr="00952F9C">
        <w:rPr>
          <w:i/>
          <w:iCs/>
        </w:rPr>
        <w:t>Nat Med</w:t>
      </w:r>
      <w:r>
        <w:t xml:space="preserve">, </w:t>
      </w:r>
      <w:r w:rsidRPr="00952F9C">
        <w:t>2021</w:t>
      </w:r>
      <w:r>
        <w:t>.</w:t>
      </w:r>
    </w:p>
  </w:footnote>
  <w:footnote w:id="38">
    <w:p w14:paraId="74764285" w14:textId="78129A87" w:rsidR="008D4B9A" w:rsidRDefault="008D4B9A" w:rsidP="00E6281E">
      <w:pPr>
        <w:pStyle w:val="FootnoteText"/>
      </w:pPr>
      <w:r>
        <w:rPr>
          <w:rStyle w:val="FootnoteReference"/>
        </w:rPr>
        <w:footnoteRef/>
      </w:r>
      <w:r>
        <w:t xml:space="preserve"> </w:t>
      </w:r>
      <w:proofErr w:type="spellStart"/>
      <w:r w:rsidRPr="0006734B">
        <w:t>Su</w:t>
      </w:r>
      <w:proofErr w:type="spellEnd"/>
      <w:r w:rsidRPr="0006734B">
        <w:t xml:space="preserve">, J. R. Vaccine Safety Team, </w:t>
      </w:r>
      <w:proofErr w:type="spellStart"/>
      <w:r w:rsidRPr="0006734B">
        <w:t>Centers</w:t>
      </w:r>
      <w:proofErr w:type="spellEnd"/>
      <w:r w:rsidRPr="0006734B">
        <w:t xml:space="preserve"> for Disease Control and Prevention (CDC) COVID-19 Vaccine Task Force,</w:t>
      </w:r>
      <w:r>
        <w:t xml:space="preserve"> Adverse Events among Children Ages 5-11 Years after COVID-19 Vaccination: Updates from v-safe and the Vaccine Adverse Event Reporting System (VAERS), 13 </w:t>
      </w:r>
      <w:r w:rsidRPr="0006734B">
        <w:t>Dec</w:t>
      </w:r>
      <w:r>
        <w:t>ember</w:t>
      </w:r>
      <w:r w:rsidRPr="0006734B">
        <w:t xml:space="preserve"> 2021</w:t>
      </w:r>
      <w:r>
        <w:t xml:space="preserve">. Available at: </w:t>
      </w:r>
      <w:hyperlink r:id="rId18" w:history="1">
        <w:r w:rsidRPr="00B214CA">
          <w:rPr>
            <w:rStyle w:val="Hyperlink"/>
          </w:rPr>
          <w:t>https://www.cdc.gov/vaccines/acip/meetings/downloads/slides-2021-12-16/05-COVID-Su-508.pdf</w:t>
        </w:r>
      </w:hyperlink>
      <w:r>
        <w:t>.</w:t>
      </w:r>
    </w:p>
  </w:footnote>
  <w:footnote w:id="39">
    <w:p w14:paraId="2C449EC7" w14:textId="1C2AE1E3" w:rsidR="008D4B9A" w:rsidRDefault="008D4B9A">
      <w:pPr>
        <w:pStyle w:val="FootnoteText"/>
      </w:pPr>
      <w:r>
        <w:rPr>
          <w:rStyle w:val="FootnoteReference"/>
        </w:rPr>
        <w:footnoteRef/>
      </w:r>
      <w:r>
        <w:t xml:space="preserve"> T</w:t>
      </w:r>
      <w:r w:rsidRPr="00EB4B51">
        <w:t xml:space="preserve">he intent </w:t>
      </w:r>
      <w:r>
        <w:t xml:space="preserve">here </w:t>
      </w:r>
      <w:r w:rsidRPr="00EB4B51">
        <w:t>is for teenagers and not 6 to &lt;</w:t>
      </w:r>
      <w:r>
        <w:t xml:space="preserve"> </w:t>
      </w:r>
      <w:r w:rsidRPr="00EB4B51">
        <w:t xml:space="preserve">12 </w:t>
      </w:r>
      <w:r>
        <w:t>years old population</w:t>
      </w:r>
      <w:r w:rsidRPr="00EB4B51">
        <w:t>.</w:t>
      </w:r>
    </w:p>
  </w:footnote>
  <w:footnote w:id="40">
    <w:p w14:paraId="7D8D0E38" w14:textId="098AF905" w:rsidR="009D454E" w:rsidRDefault="009D454E">
      <w:pPr>
        <w:pStyle w:val="FootnoteText"/>
      </w:pPr>
      <w:r>
        <w:rPr>
          <w:rStyle w:val="FootnoteReference"/>
        </w:rPr>
        <w:footnoteRef/>
      </w:r>
      <w:r>
        <w:t xml:space="preserve"> The AusPAR was updated on 17 May 2022 to reflect updated data provided by the sponsor to the TGA.</w:t>
      </w:r>
    </w:p>
  </w:footnote>
  <w:footnote w:id="41">
    <w:p w14:paraId="25B7A231" w14:textId="0976FBCE" w:rsidR="008D4B9A" w:rsidRDefault="008D4B9A">
      <w:pPr>
        <w:pStyle w:val="FootnoteText"/>
      </w:pPr>
      <w:r>
        <w:rPr>
          <w:rStyle w:val="FootnoteReference"/>
        </w:rPr>
        <w:footnoteRef/>
      </w:r>
      <w:r>
        <w:t xml:space="preserve"> </w:t>
      </w:r>
      <w:r w:rsidRPr="00952F9C">
        <w:t>Bartsch</w:t>
      </w:r>
      <w:r>
        <w:t>, Y. C.</w:t>
      </w:r>
      <w:r w:rsidRPr="00952F9C">
        <w:t xml:space="preserve"> Comprehensive Antibody Profiling of mRNA Vaccination </w:t>
      </w:r>
      <w:r>
        <w:t>in</w:t>
      </w:r>
      <w:r w:rsidRPr="00952F9C">
        <w:t xml:space="preserve"> Children</w:t>
      </w:r>
      <w:r>
        <w:t xml:space="preserve">, </w:t>
      </w:r>
      <w:proofErr w:type="spellStart"/>
      <w:r w:rsidRPr="00952F9C">
        <w:rPr>
          <w:i/>
          <w:iCs/>
        </w:rPr>
        <w:t>bioRxiv</w:t>
      </w:r>
      <w:proofErr w:type="spellEnd"/>
      <w:r>
        <w:t>,</w:t>
      </w:r>
      <w:r w:rsidRPr="00952F9C">
        <w:t xml:space="preserve"> 2021.10.07.463592</w:t>
      </w:r>
      <w:r>
        <w:t>.</w:t>
      </w:r>
    </w:p>
  </w:footnote>
  <w:footnote w:id="42">
    <w:p w14:paraId="0DAF1795" w14:textId="213DFDD0" w:rsidR="008D4B9A" w:rsidRDefault="008D4B9A">
      <w:pPr>
        <w:pStyle w:val="FootnoteText"/>
      </w:pPr>
      <w:r>
        <w:rPr>
          <w:rStyle w:val="FootnoteReference"/>
        </w:rPr>
        <w:footnoteRef/>
      </w:r>
      <w:r>
        <w:t xml:space="preserve"> </w:t>
      </w:r>
      <w:proofErr w:type="spellStart"/>
      <w:r w:rsidRPr="00952F9C">
        <w:t>Jergovic</w:t>
      </w:r>
      <w:proofErr w:type="spellEnd"/>
      <w:r>
        <w:t xml:space="preserve">, M. </w:t>
      </w:r>
      <w:r w:rsidRPr="00952F9C">
        <w:t xml:space="preserve">Resilient T </w:t>
      </w:r>
      <w:r>
        <w:t>C</w:t>
      </w:r>
      <w:r w:rsidRPr="00952F9C">
        <w:t xml:space="preserve">ell </w:t>
      </w:r>
      <w:r>
        <w:t>R</w:t>
      </w:r>
      <w:r w:rsidRPr="00952F9C">
        <w:t xml:space="preserve">esponses to B.1.1.529 (Omicron) SARS-CoV-2 </w:t>
      </w:r>
      <w:r>
        <w:t>V</w:t>
      </w:r>
      <w:r w:rsidRPr="00952F9C">
        <w:t>ariant</w:t>
      </w:r>
      <w:r>
        <w:t xml:space="preserve">, </w:t>
      </w:r>
      <w:proofErr w:type="spellStart"/>
      <w:r w:rsidRPr="00952F9C">
        <w:rPr>
          <w:i/>
          <w:iCs/>
        </w:rPr>
        <w:t>medRxiv</w:t>
      </w:r>
      <w:proofErr w:type="spellEnd"/>
      <w:r>
        <w:t>,</w:t>
      </w:r>
      <w:r w:rsidRPr="00952F9C">
        <w:t xml:space="preserve"> 2022.01.16.22269361</w:t>
      </w:r>
      <w:r>
        <w:t>.</w:t>
      </w:r>
    </w:p>
  </w:footnote>
  <w:footnote w:id="43">
    <w:p w14:paraId="0B591F2C" w14:textId="25813175" w:rsidR="008D4B9A" w:rsidRDefault="008D4B9A" w:rsidP="00E113D1">
      <w:pPr>
        <w:pStyle w:val="FootnoteText"/>
      </w:pPr>
      <w:r>
        <w:rPr>
          <w:rStyle w:val="FootnoteReference"/>
        </w:rPr>
        <w:footnoteRef/>
      </w:r>
      <w:r>
        <w:t xml:space="preserve"> </w:t>
      </w:r>
      <w:proofErr w:type="spellStart"/>
      <w:r w:rsidRPr="00E113D1">
        <w:t>Hause</w:t>
      </w:r>
      <w:proofErr w:type="spellEnd"/>
      <w:r>
        <w:t xml:space="preserve">, A. M. et al. COVID-19 Vaccine Safety in Children Aged 5-11 Years - United States, November 3-December 19, 2021, </w:t>
      </w:r>
      <w:r w:rsidRPr="00E113D1">
        <w:rPr>
          <w:i/>
          <w:iCs/>
        </w:rPr>
        <w:t>Weekly</w:t>
      </w:r>
      <w:r>
        <w:t xml:space="preserve">, </w:t>
      </w:r>
      <w:r w:rsidRPr="00E113D1">
        <w:t>2021</w:t>
      </w:r>
      <w:r>
        <w:t xml:space="preserve">; </w:t>
      </w:r>
      <w:r w:rsidRPr="00E113D1">
        <w:t>70</w:t>
      </w:r>
      <w:r>
        <w:t xml:space="preserve"> </w:t>
      </w:r>
      <w:r w:rsidRPr="00E113D1">
        <w:t>(5152)</w:t>
      </w:r>
      <w:r>
        <w:t xml:space="preserve">: </w:t>
      </w:r>
      <w:r w:rsidRPr="00E113D1">
        <w:t>1755</w:t>
      </w:r>
      <w:r>
        <w:t>-</w:t>
      </w:r>
      <w:r w:rsidRPr="00E113D1">
        <w:t>1760</w:t>
      </w:r>
      <w:r>
        <w:t>.</w:t>
      </w:r>
    </w:p>
  </w:footnote>
  <w:footnote w:id="44">
    <w:p w14:paraId="4249EC81" w14:textId="470D7D3B" w:rsidR="008D4B9A" w:rsidRDefault="008D4B9A" w:rsidP="00E113D1">
      <w:pPr>
        <w:pStyle w:val="FootnoteText"/>
      </w:pPr>
      <w:r>
        <w:rPr>
          <w:rStyle w:val="FootnoteReference"/>
        </w:rPr>
        <w:footnoteRef/>
      </w:r>
      <w:r>
        <w:t xml:space="preserve"> </w:t>
      </w:r>
      <w:proofErr w:type="spellStart"/>
      <w:r w:rsidRPr="00E113D1">
        <w:t>Su</w:t>
      </w:r>
      <w:proofErr w:type="spellEnd"/>
      <w:r>
        <w:t xml:space="preserve">, J. R. Vaccine Safety Team, </w:t>
      </w:r>
      <w:proofErr w:type="spellStart"/>
      <w:r>
        <w:t>Centers</w:t>
      </w:r>
      <w:proofErr w:type="spellEnd"/>
      <w:r>
        <w:t xml:space="preserve"> for Disease Control and Prevention (CDC) COVID-19 Vaccine Task Force,</w:t>
      </w:r>
      <w:r w:rsidRPr="00E113D1">
        <w:t xml:space="preserve"> </w:t>
      </w:r>
      <w:r>
        <w:t>COVID-19 Vaccine Safety Updates: Primary Series in Children and Adolescents Ages 5-11 and 12-15 Years, and Booster Doses in Adolescents Ages 16-24 Years, Advisory Committee on Immunization Practices,</w:t>
      </w:r>
    </w:p>
    <w:p w14:paraId="0DCD4517" w14:textId="70113598" w:rsidR="008D4B9A" w:rsidRDefault="008D4B9A" w:rsidP="00E113D1">
      <w:pPr>
        <w:pStyle w:val="FootnoteText"/>
      </w:pPr>
      <w:r>
        <w:t xml:space="preserve">5 January 2022. Available at: </w:t>
      </w:r>
      <w:hyperlink r:id="rId19" w:history="1">
        <w:r w:rsidRPr="00824CF4">
          <w:rPr>
            <w:rStyle w:val="Hyperlink"/>
          </w:rPr>
          <w:t>https://www.cdc.gov/vaccines/acip/meetings/downloads/slides-2022-01-05/02-covid-su-508.pdf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8D96B" w14:textId="77777777" w:rsidR="003167C2" w:rsidRDefault="00316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5ED28" w14:textId="77777777" w:rsidR="008D4B9A" w:rsidRDefault="008D4B9A"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ABCC0" w14:textId="77777777" w:rsidR="008D4B9A" w:rsidRDefault="008D4B9A">
    <w:pPr>
      <w:rPr>
        <w:noProof/>
        <w:lang w:eastAsia="en-AU"/>
      </w:rPr>
    </w:pPr>
    <w:r w:rsidRPr="00347824">
      <w:rPr>
        <w:noProof/>
        <w:lang w:val="en-GB" w:eastAsia="en-GB"/>
      </w:rPr>
      <w:drawing>
        <wp:anchor distT="0" distB="0" distL="114300" distR="114300" simplePos="0" relativeHeight="251658240" behindDoc="1" locked="0" layoutInCell="1" allowOverlap="1" wp14:anchorId="381AB595" wp14:editId="73B4E1E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6B80463" w14:textId="77777777" w:rsidR="008D4B9A" w:rsidRDefault="008D4B9A"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7D84" w14:textId="77777777" w:rsidR="008D4B9A" w:rsidRDefault="008D4B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7B302" w14:textId="77777777" w:rsidR="008D4B9A" w:rsidRDefault="008D4B9A">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F3934" w14:textId="77777777" w:rsidR="008D4B9A" w:rsidRDefault="008D4B9A">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161D6" w14:textId="77777777" w:rsidR="008D4B9A" w:rsidRDefault="008D4B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7C15" w14:textId="77777777" w:rsidR="008D4B9A" w:rsidRDefault="008D4B9A"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29510" w14:textId="77777777" w:rsidR="008D4B9A" w:rsidRDefault="008D4B9A" w:rsidP="006E08B3">
    <w:r>
      <w:t>Therapeutic Goods Administration</w:t>
    </w:r>
  </w:p>
  <w:p w14:paraId="17FD441B" w14:textId="77777777" w:rsidR="008D4B9A" w:rsidRDefault="008D4B9A"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F3BD885"/>
    <w:multiLevelType w:val="hybridMultilevel"/>
    <w:tmpl w:val="8E0F2C3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56A61A"/>
    <w:multiLevelType w:val="hybridMultilevel"/>
    <w:tmpl w:val="BAEA0A8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60490B5"/>
    <w:multiLevelType w:val="hybridMultilevel"/>
    <w:tmpl w:val="69630B4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5" w15:restartNumberingAfterBreak="0">
    <w:nsid w:val="FFFFFF89"/>
    <w:multiLevelType w:val="singleLevel"/>
    <w:tmpl w:val="651C4FF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320B0A"/>
    <w:lvl w:ilvl="0">
      <w:numFmt w:val="bullet"/>
      <w:lvlText w:val="*"/>
      <w:lvlJc w:val="left"/>
    </w:lvl>
  </w:abstractNum>
  <w:abstractNum w:abstractNumId="7"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E4707E"/>
    <w:multiLevelType w:val="hybridMultilevel"/>
    <w:tmpl w:val="E4065B0E"/>
    <w:lvl w:ilvl="0" w:tplc="AE4E94F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CD1D83"/>
    <w:multiLevelType w:val="hybridMultilevel"/>
    <w:tmpl w:val="E4926D4C"/>
    <w:lvl w:ilvl="0" w:tplc="BDB6982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8F13E9"/>
    <w:multiLevelType w:val="multilevel"/>
    <w:tmpl w:val="B486251C"/>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1A6673EF"/>
    <w:multiLevelType w:val="hybridMultilevel"/>
    <w:tmpl w:val="CAD4BE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8719A1"/>
    <w:multiLevelType w:val="hybridMultilevel"/>
    <w:tmpl w:val="EA4E4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A80A10"/>
    <w:multiLevelType w:val="hybridMultilevel"/>
    <w:tmpl w:val="8A0EC8EE"/>
    <w:lvl w:ilvl="0" w:tplc="81EA53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8B08BC"/>
    <w:multiLevelType w:val="hybridMultilevel"/>
    <w:tmpl w:val="0848F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6821B1"/>
    <w:multiLevelType w:val="hybridMultilevel"/>
    <w:tmpl w:val="5F48A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A425B5"/>
    <w:multiLevelType w:val="hybridMultilevel"/>
    <w:tmpl w:val="915A90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D05B92"/>
    <w:multiLevelType w:val="hybridMultilevel"/>
    <w:tmpl w:val="DE8C3F6A"/>
    <w:lvl w:ilvl="0" w:tplc="760874C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990330"/>
    <w:multiLevelType w:val="hybridMultilevel"/>
    <w:tmpl w:val="B36EF472"/>
    <w:lvl w:ilvl="0" w:tplc="13087F64">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9163960"/>
    <w:multiLevelType w:val="hybridMultilevel"/>
    <w:tmpl w:val="2410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855565"/>
    <w:multiLevelType w:val="hybridMultilevel"/>
    <w:tmpl w:val="8110C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EDD6F8"/>
    <w:multiLevelType w:val="hybridMultilevel"/>
    <w:tmpl w:val="2C516A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E5915D8"/>
    <w:multiLevelType w:val="hybridMultilevel"/>
    <w:tmpl w:val="449A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3937EC"/>
    <w:multiLevelType w:val="hybridMultilevel"/>
    <w:tmpl w:val="FB405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6B67769"/>
    <w:multiLevelType w:val="hybridMultilevel"/>
    <w:tmpl w:val="09A66938"/>
    <w:lvl w:ilvl="0" w:tplc="DF988C26">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601EF2"/>
    <w:multiLevelType w:val="hybridMultilevel"/>
    <w:tmpl w:val="DDF80568"/>
    <w:lvl w:ilvl="0" w:tplc="31665D18">
      <w:start w:val="1"/>
      <w:numFmt w:val="decimal"/>
      <w:lvlText w:val="%1."/>
      <w:lvlJc w:val="left"/>
      <w:pPr>
        <w:ind w:left="1080" w:hanging="360"/>
      </w:pPr>
      <w:rPr>
        <w:rFonts w:eastAsia="Cambria" w:cstheme="minorHAns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C1453F9"/>
    <w:multiLevelType w:val="hybridMultilevel"/>
    <w:tmpl w:val="750A87D2"/>
    <w:lvl w:ilvl="0" w:tplc="F0488826">
      <w:start w:val="1"/>
      <w:numFmt w:val="upperLetter"/>
      <w:lvlText w:val="%1."/>
      <w:lvlJc w:val="left"/>
      <w:pPr>
        <w:ind w:left="720" w:hanging="360"/>
      </w:pPr>
      <w:rPr>
        <w:rFonts w:ascii="Times New Roman" w:eastAsia="Verdana" w:hAnsi="Times New Roman" w:cs="Times New Roman" w:hint="default"/>
        <w:b/>
        <w:bCs/>
        <w:i w:val="0"/>
        <w:iCs w:val="0"/>
        <w:spacing w:val="-1"/>
        <w:w w:val="100"/>
        <w:sz w:val="24"/>
        <w:szCs w:val="24"/>
        <w:lang w:val="en-US"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2FA7F21"/>
    <w:multiLevelType w:val="hybridMultilevel"/>
    <w:tmpl w:val="C39E27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EBC10A"/>
    <w:multiLevelType w:val="hybridMultilevel"/>
    <w:tmpl w:val="18A35A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A0B7EF8"/>
    <w:multiLevelType w:val="hybridMultilevel"/>
    <w:tmpl w:val="4C7EF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491B2F"/>
    <w:multiLevelType w:val="hybridMultilevel"/>
    <w:tmpl w:val="8C5AB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C8D1A4F"/>
    <w:multiLevelType w:val="hybridMultilevel"/>
    <w:tmpl w:val="DDF80568"/>
    <w:lvl w:ilvl="0" w:tplc="31665D18">
      <w:start w:val="1"/>
      <w:numFmt w:val="decimal"/>
      <w:lvlText w:val="%1."/>
      <w:lvlJc w:val="left"/>
      <w:pPr>
        <w:ind w:left="1080" w:hanging="360"/>
      </w:pPr>
      <w:rPr>
        <w:rFonts w:eastAsia="Cambria" w:cstheme="minorHAns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C91CD10"/>
    <w:multiLevelType w:val="hybridMultilevel"/>
    <w:tmpl w:val="5463269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DFE6614"/>
    <w:multiLevelType w:val="hybridMultilevel"/>
    <w:tmpl w:val="574A20E0"/>
    <w:lvl w:ilvl="0" w:tplc="9104B9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0370E2"/>
    <w:multiLevelType w:val="hybridMultilevel"/>
    <w:tmpl w:val="B7B8C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AD75F8F"/>
    <w:multiLevelType w:val="multilevel"/>
    <w:tmpl w:val="51582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3"/>
  </w:num>
  <w:num w:numId="4">
    <w:abstractNumId w:val="13"/>
  </w:num>
  <w:num w:numId="5">
    <w:abstractNumId w:val="3"/>
  </w:num>
  <w:num w:numId="6">
    <w:abstractNumId w:val="13"/>
  </w:num>
  <w:num w:numId="7">
    <w:abstractNumId w:val="13"/>
  </w:num>
  <w:num w:numId="8">
    <w:abstractNumId w:val="10"/>
  </w:num>
  <w:num w:numId="9">
    <w:abstractNumId w:val="10"/>
  </w:num>
  <w:num w:numId="10">
    <w:abstractNumId w:val="10"/>
  </w:num>
  <w:num w:numId="11">
    <w:abstractNumId w:val="10"/>
  </w:num>
  <w:num w:numId="12">
    <w:abstractNumId w:val="6"/>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0"/>
  </w:num>
  <w:num w:numId="17">
    <w:abstractNumId w:val="10"/>
  </w:num>
  <w:num w:numId="18">
    <w:abstractNumId w:val="10"/>
  </w:num>
  <w:num w:numId="19">
    <w:abstractNumId w:val="13"/>
  </w:num>
  <w:num w:numId="20">
    <w:abstractNumId w:val="13"/>
  </w:num>
  <w:num w:numId="21">
    <w:abstractNumId w:val="13"/>
  </w:num>
  <w:num w:numId="22">
    <w:abstractNumId w:val="10"/>
  </w:num>
  <w:num w:numId="23">
    <w:abstractNumId w:val="10"/>
  </w:num>
  <w:num w:numId="24">
    <w:abstractNumId w:val="10"/>
  </w:num>
  <w:num w:numId="25">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32"/>
  </w:num>
  <w:num w:numId="28">
    <w:abstractNumId w:val="42"/>
  </w:num>
  <w:num w:numId="29">
    <w:abstractNumId w:val="11"/>
  </w:num>
  <w:num w:numId="30">
    <w:abstractNumId w:val="24"/>
  </w:num>
  <w:num w:numId="31">
    <w:abstractNumId w:val="7"/>
  </w:num>
  <w:num w:numId="32">
    <w:abstractNumId w:val="33"/>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1"/>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6"/>
  </w:num>
  <w:num w:numId="41">
    <w:abstractNumId w:val="43"/>
  </w:num>
  <w:num w:numId="42">
    <w:abstractNumId w:val="17"/>
  </w:num>
  <w:num w:numId="43">
    <w:abstractNumId w:val="36"/>
  </w:num>
  <w:num w:numId="44">
    <w:abstractNumId w:val="16"/>
  </w:num>
  <w:num w:numId="45">
    <w:abstractNumId w:val="20"/>
  </w:num>
  <w:num w:numId="46">
    <w:abstractNumId w:val="12"/>
  </w:num>
  <w:num w:numId="47">
    <w:abstractNumId w:val="18"/>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27"/>
  </w:num>
  <w:num w:numId="52">
    <w:abstractNumId w:val="8"/>
  </w:num>
  <w:num w:numId="53">
    <w:abstractNumId w:val="15"/>
  </w:num>
  <w:num w:numId="54">
    <w:abstractNumId w:val="22"/>
  </w:num>
  <w:num w:numId="55">
    <w:abstractNumId w:val="9"/>
  </w:num>
  <w:num w:numId="56">
    <w:abstractNumId w:val="41"/>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4"/>
  </w:num>
  <w:num w:numId="60">
    <w:abstractNumId w:val="34"/>
  </w:num>
  <w:num w:numId="61">
    <w:abstractNumId w:val="38"/>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 w:numId="64">
    <w:abstractNumId w:val="23"/>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35"/>
  </w:num>
  <w:num w:numId="68">
    <w:abstractNumId w:val="0"/>
  </w:num>
  <w:num w:numId="69">
    <w:abstractNumId w:val="1"/>
  </w:num>
  <w:num w:numId="70">
    <w:abstractNumId w:val="39"/>
  </w:num>
  <w:num w:numId="71">
    <w:abstractNumId w:val="2"/>
  </w:num>
  <w:num w:numId="72">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ADA"/>
    <w:rsid w:val="00002031"/>
    <w:rsid w:val="00004149"/>
    <w:rsid w:val="00004734"/>
    <w:rsid w:val="0000642E"/>
    <w:rsid w:val="00006B22"/>
    <w:rsid w:val="00006FAB"/>
    <w:rsid w:val="00010F4C"/>
    <w:rsid w:val="0001276A"/>
    <w:rsid w:val="00017725"/>
    <w:rsid w:val="00020254"/>
    <w:rsid w:val="000246AE"/>
    <w:rsid w:val="00025314"/>
    <w:rsid w:val="00025C67"/>
    <w:rsid w:val="000349EF"/>
    <w:rsid w:val="0003696D"/>
    <w:rsid w:val="00044772"/>
    <w:rsid w:val="0004541C"/>
    <w:rsid w:val="00052158"/>
    <w:rsid w:val="0005559E"/>
    <w:rsid w:val="00055D3D"/>
    <w:rsid w:val="000604D6"/>
    <w:rsid w:val="00065165"/>
    <w:rsid w:val="00065E3F"/>
    <w:rsid w:val="0006734B"/>
    <w:rsid w:val="000734D8"/>
    <w:rsid w:val="00077775"/>
    <w:rsid w:val="0008449C"/>
    <w:rsid w:val="00090471"/>
    <w:rsid w:val="00090C86"/>
    <w:rsid w:val="00096AA7"/>
    <w:rsid w:val="000A14B3"/>
    <w:rsid w:val="000A3AED"/>
    <w:rsid w:val="000B0266"/>
    <w:rsid w:val="000B2AF9"/>
    <w:rsid w:val="000B3532"/>
    <w:rsid w:val="000B3A75"/>
    <w:rsid w:val="000B7697"/>
    <w:rsid w:val="000C00C2"/>
    <w:rsid w:val="000C0B23"/>
    <w:rsid w:val="000C690F"/>
    <w:rsid w:val="000D1295"/>
    <w:rsid w:val="000D391B"/>
    <w:rsid w:val="000D3D6D"/>
    <w:rsid w:val="000D4FC7"/>
    <w:rsid w:val="000D60AF"/>
    <w:rsid w:val="000E1603"/>
    <w:rsid w:val="000E6196"/>
    <w:rsid w:val="000E6EA0"/>
    <w:rsid w:val="000F1B48"/>
    <w:rsid w:val="000F4869"/>
    <w:rsid w:val="000F5B42"/>
    <w:rsid w:val="000F6E6F"/>
    <w:rsid w:val="00100B02"/>
    <w:rsid w:val="00105839"/>
    <w:rsid w:val="0010601F"/>
    <w:rsid w:val="0010788A"/>
    <w:rsid w:val="00107A31"/>
    <w:rsid w:val="00110EA5"/>
    <w:rsid w:val="00110F57"/>
    <w:rsid w:val="00112F56"/>
    <w:rsid w:val="00114008"/>
    <w:rsid w:val="00116A05"/>
    <w:rsid w:val="00122C2E"/>
    <w:rsid w:val="00124ACD"/>
    <w:rsid w:val="00125318"/>
    <w:rsid w:val="00125A19"/>
    <w:rsid w:val="00127263"/>
    <w:rsid w:val="001305A2"/>
    <w:rsid w:val="00130CBE"/>
    <w:rsid w:val="0013270C"/>
    <w:rsid w:val="00133238"/>
    <w:rsid w:val="00133A1B"/>
    <w:rsid w:val="0013746E"/>
    <w:rsid w:val="0014197B"/>
    <w:rsid w:val="001447CD"/>
    <w:rsid w:val="001463C5"/>
    <w:rsid w:val="001516B1"/>
    <w:rsid w:val="00154EBB"/>
    <w:rsid w:val="00156316"/>
    <w:rsid w:val="00156D6D"/>
    <w:rsid w:val="00161181"/>
    <w:rsid w:val="00162D14"/>
    <w:rsid w:val="00163780"/>
    <w:rsid w:val="00164050"/>
    <w:rsid w:val="00165389"/>
    <w:rsid w:val="00165665"/>
    <w:rsid w:val="00172A9E"/>
    <w:rsid w:val="00172ACC"/>
    <w:rsid w:val="00173FEA"/>
    <w:rsid w:val="0017693F"/>
    <w:rsid w:val="0018110E"/>
    <w:rsid w:val="00181684"/>
    <w:rsid w:val="001841BF"/>
    <w:rsid w:val="001843C6"/>
    <w:rsid w:val="001845A5"/>
    <w:rsid w:val="001850E0"/>
    <w:rsid w:val="00187DB4"/>
    <w:rsid w:val="0019286C"/>
    <w:rsid w:val="0019572E"/>
    <w:rsid w:val="00195CB6"/>
    <w:rsid w:val="001A03AF"/>
    <w:rsid w:val="001A2158"/>
    <w:rsid w:val="001A38F0"/>
    <w:rsid w:val="001A525F"/>
    <w:rsid w:val="001A6A20"/>
    <w:rsid w:val="001B09F9"/>
    <w:rsid w:val="001B1C50"/>
    <w:rsid w:val="001B2338"/>
    <w:rsid w:val="001B5C90"/>
    <w:rsid w:val="001B6106"/>
    <w:rsid w:val="001B6448"/>
    <w:rsid w:val="001C184D"/>
    <w:rsid w:val="001C32CD"/>
    <w:rsid w:val="001C4C70"/>
    <w:rsid w:val="001C6EDC"/>
    <w:rsid w:val="001C7B1E"/>
    <w:rsid w:val="001D01A6"/>
    <w:rsid w:val="001D2984"/>
    <w:rsid w:val="001E07CF"/>
    <w:rsid w:val="001E19AE"/>
    <w:rsid w:val="001E59F1"/>
    <w:rsid w:val="001F2CEE"/>
    <w:rsid w:val="001F49EB"/>
    <w:rsid w:val="001F6CBA"/>
    <w:rsid w:val="001F777D"/>
    <w:rsid w:val="00200132"/>
    <w:rsid w:val="00201D4E"/>
    <w:rsid w:val="002074D3"/>
    <w:rsid w:val="002076C9"/>
    <w:rsid w:val="0020772A"/>
    <w:rsid w:val="00213EA4"/>
    <w:rsid w:val="00220B8A"/>
    <w:rsid w:val="00221451"/>
    <w:rsid w:val="0022304A"/>
    <w:rsid w:val="00224DD8"/>
    <w:rsid w:val="002252CB"/>
    <w:rsid w:val="002257F3"/>
    <w:rsid w:val="00233456"/>
    <w:rsid w:val="002339A5"/>
    <w:rsid w:val="00235E4B"/>
    <w:rsid w:val="00236987"/>
    <w:rsid w:val="00241A00"/>
    <w:rsid w:val="00241B63"/>
    <w:rsid w:val="00243F3F"/>
    <w:rsid w:val="00245B32"/>
    <w:rsid w:val="00245C85"/>
    <w:rsid w:val="00250271"/>
    <w:rsid w:val="002553B7"/>
    <w:rsid w:val="00256341"/>
    <w:rsid w:val="00257848"/>
    <w:rsid w:val="002578E8"/>
    <w:rsid w:val="002634DE"/>
    <w:rsid w:val="00263540"/>
    <w:rsid w:val="002675F1"/>
    <w:rsid w:val="0027084A"/>
    <w:rsid w:val="00272098"/>
    <w:rsid w:val="0027227F"/>
    <w:rsid w:val="00275B3A"/>
    <w:rsid w:val="00280265"/>
    <w:rsid w:val="00286434"/>
    <w:rsid w:val="0028643E"/>
    <w:rsid w:val="00286C59"/>
    <w:rsid w:val="0028737D"/>
    <w:rsid w:val="00291957"/>
    <w:rsid w:val="00291A8B"/>
    <w:rsid w:val="002936F7"/>
    <w:rsid w:val="002940C2"/>
    <w:rsid w:val="002942D1"/>
    <w:rsid w:val="0029501A"/>
    <w:rsid w:val="00296B01"/>
    <w:rsid w:val="002A3721"/>
    <w:rsid w:val="002A43E4"/>
    <w:rsid w:val="002A5D08"/>
    <w:rsid w:val="002A66C5"/>
    <w:rsid w:val="002B1638"/>
    <w:rsid w:val="002B3624"/>
    <w:rsid w:val="002C43AC"/>
    <w:rsid w:val="002C634F"/>
    <w:rsid w:val="002D0952"/>
    <w:rsid w:val="002D5F41"/>
    <w:rsid w:val="002E20F5"/>
    <w:rsid w:val="002E39D4"/>
    <w:rsid w:val="002E40B3"/>
    <w:rsid w:val="002E4C9A"/>
    <w:rsid w:val="002E661C"/>
    <w:rsid w:val="002E737F"/>
    <w:rsid w:val="002F11F8"/>
    <w:rsid w:val="002F3F56"/>
    <w:rsid w:val="002F40A4"/>
    <w:rsid w:val="002F44B5"/>
    <w:rsid w:val="002F4CF7"/>
    <w:rsid w:val="002F5122"/>
    <w:rsid w:val="003029B6"/>
    <w:rsid w:val="00306132"/>
    <w:rsid w:val="00306CAC"/>
    <w:rsid w:val="00311AC0"/>
    <w:rsid w:val="00312650"/>
    <w:rsid w:val="003150F4"/>
    <w:rsid w:val="003152F6"/>
    <w:rsid w:val="00315D24"/>
    <w:rsid w:val="003167C2"/>
    <w:rsid w:val="003176FC"/>
    <w:rsid w:val="003216EF"/>
    <w:rsid w:val="00324020"/>
    <w:rsid w:val="00324E45"/>
    <w:rsid w:val="0032522F"/>
    <w:rsid w:val="0032583B"/>
    <w:rsid w:val="00327883"/>
    <w:rsid w:val="00332BFA"/>
    <w:rsid w:val="00335504"/>
    <w:rsid w:val="00335FC6"/>
    <w:rsid w:val="003372AB"/>
    <w:rsid w:val="00340C18"/>
    <w:rsid w:val="003442FD"/>
    <w:rsid w:val="00347824"/>
    <w:rsid w:val="00350567"/>
    <w:rsid w:val="003521E8"/>
    <w:rsid w:val="003667F5"/>
    <w:rsid w:val="00370CE3"/>
    <w:rsid w:val="00371DC2"/>
    <w:rsid w:val="003728F3"/>
    <w:rsid w:val="003735BC"/>
    <w:rsid w:val="0037496E"/>
    <w:rsid w:val="00377336"/>
    <w:rsid w:val="0038069A"/>
    <w:rsid w:val="00383221"/>
    <w:rsid w:val="00386150"/>
    <w:rsid w:val="003874CE"/>
    <w:rsid w:val="00390900"/>
    <w:rsid w:val="00392E5F"/>
    <w:rsid w:val="00396215"/>
    <w:rsid w:val="003A2385"/>
    <w:rsid w:val="003A7F6C"/>
    <w:rsid w:val="003B4D60"/>
    <w:rsid w:val="003B5257"/>
    <w:rsid w:val="003B69A1"/>
    <w:rsid w:val="003B7E39"/>
    <w:rsid w:val="003C2A72"/>
    <w:rsid w:val="003C31AB"/>
    <w:rsid w:val="003C3B82"/>
    <w:rsid w:val="003C58DC"/>
    <w:rsid w:val="003C5C58"/>
    <w:rsid w:val="003D06E0"/>
    <w:rsid w:val="003D08F0"/>
    <w:rsid w:val="003D1E62"/>
    <w:rsid w:val="003D58D2"/>
    <w:rsid w:val="003D5B94"/>
    <w:rsid w:val="003E0B99"/>
    <w:rsid w:val="003E2486"/>
    <w:rsid w:val="003E3208"/>
    <w:rsid w:val="003E53F0"/>
    <w:rsid w:val="003F0B04"/>
    <w:rsid w:val="003F217C"/>
    <w:rsid w:val="003F300B"/>
    <w:rsid w:val="003F36F1"/>
    <w:rsid w:val="003F39E8"/>
    <w:rsid w:val="00400CA7"/>
    <w:rsid w:val="004012F7"/>
    <w:rsid w:val="0040134E"/>
    <w:rsid w:val="0040408D"/>
    <w:rsid w:val="004061A0"/>
    <w:rsid w:val="00407077"/>
    <w:rsid w:val="004112E6"/>
    <w:rsid w:val="00412120"/>
    <w:rsid w:val="004161D1"/>
    <w:rsid w:val="00422F19"/>
    <w:rsid w:val="004334C7"/>
    <w:rsid w:val="00440A2D"/>
    <w:rsid w:val="00440AD9"/>
    <w:rsid w:val="00441B62"/>
    <w:rsid w:val="00441C3F"/>
    <w:rsid w:val="00444D1A"/>
    <w:rsid w:val="0044794A"/>
    <w:rsid w:val="004500C7"/>
    <w:rsid w:val="0045186A"/>
    <w:rsid w:val="004564A7"/>
    <w:rsid w:val="00456765"/>
    <w:rsid w:val="0045764F"/>
    <w:rsid w:val="00460036"/>
    <w:rsid w:val="004617BF"/>
    <w:rsid w:val="00463658"/>
    <w:rsid w:val="004637A0"/>
    <w:rsid w:val="00470A69"/>
    <w:rsid w:val="004722CC"/>
    <w:rsid w:val="00472A57"/>
    <w:rsid w:val="00481CCF"/>
    <w:rsid w:val="004832C5"/>
    <w:rsid w:val="00483917"/>
    <w:rsid w:val="004853EF"/>
    <w:rsid w:val="00490483"/>
    <w:rsid w:val="004936E4"/>
    <w:rsid w:val="00494E60"/>
    <w:rsid w:val="00497487"/>
    <w:rsid w:val="004A12E3"/>
    <w:rsid w:val="004A25A4"/>
    <w:rsid w:val="004A2771"/>
    <w:rsid w:val="004A6189"/>
    <w:rsid w:val="004A7390"/>
    <w:rsid w:val="004B2855"/>
    <w:rsid w:val="004B7B76"/>
    <w:rsid w:val="004C239D"/>
    <w:rsid w:val="004C2DCA"/>
    <w:rsid w:val="004C4FBE"/>
    <w:rsid w:val="004C61D2"/>
    <w:rsid w:val="004C73FE"/>
    <w:rsid w:val="004D05C3"/>
    <w:rsid w:val="004D3583"/>
    <w:rsid w:val="004D6F15"/>
    <w:rsid w:val="004E0909"/>
    <w:rsid w:val="004E2AA6"/>
    <w:rsid w:val="004E7E01"/>
    <w:rsid w:val="004F0C4A"/>
    <w:rsid w:val="004F0F38"/>
    <w:rsid w:val="004F140F"/>
    <w:rsid w:val="004F3A5D"/>
    <w:rsid w:val="004F47D6"/>
    <w:rsid w:val="004F57E1"/>
    <w:rsid w:val="004F7579"/>
    <w:rsid w:val="00500337"/>
    <w:rsid w:val="005004C0"/>
    <w:rsid w:val="00501921"/>
    <w:rsid w:val="00503146"/>
    <w:rsid w:val="00510E72"/>
    <w:rsid w:val="0051166E"/>
    <w:rsid w:val="00515CC4"/>
    <w:rsid w:val="00515EA5"/>
    <w:rsid w:val="00517E66"/>
    <w:rsid w:val="005252B2"/>
    <w:rsid w:val="005262D8"/>
    <w:rsid w:val="005268E2"/>
    <w:rsid w:val="00530354"/>
    <w:rsid w:val="00531709"/>
    <w:rsid w:val="00534542"/>
    <w:rsid w:val="0053470B"/>
    <w:rsid w:val="0053625B"/>
    <w:rsid w:val="00537B3C"/>
    <w:rsid w:val="005434C6"/>
    <w:rsid w:val="00543B39"/>
    <w:rsid w:val="00545B51"/>
    <w:rsid w:val="00546154"/>
    <w:rsid w:val="00550096"/>
    <w:rsid w:val="00552523"/>
    <w:rsid w:val="005532CF"/>
    <w:rsid w:val="0055487E"/>
    <w:rsid w:val="00554BFA"/>
    <w:rsid w:val="00555280"/>
    <w:rsid w:val="00556333"/>
    <w:rsid w:val="00557FF9"/>
    <w:rsid w:val="00562327"/>
    <w:rsid w:val="00566610"/>
    <w:rsid w:val="005711D5"/>
    <w:rsid w:val="00571D7C"/>
    <w:rsid w:val="00572D8F"/>
    <w:rsid w:val="00573761"/>
    <w:rsid w:val="00576378"/>
    <w:rsid w:val="00577130"/>
    <w:rsid w:val="00577945"/>
    <w:rsid w:val="00577E38"/>
    <w:rsid w:val="00583423"/>
    <w:rsid w:val="0058441F"/>
    <w:rsid w:val="00585322"/>
    <w:rsid w:val="005857C6"/>
    <w:rsid w:val="0058785A"/>
    <w:rsid w:val="00592F6E"/>
    <w:rsid w:val="00593AD1"/>
    <w:rsid w:val="00593F12"/>
    <w:rsid w:val="005A09DD"/>
    <w:rsid w:val="005A09EE"/>
    <w:rsid w:val="005A68B6"/>
    <w:rsid w:val="005B23D8"/>
    <w:rsid w:val="005C1AF7"/>
    <w:rsid w:val="005C5570"/>
    <w:rsid w:val="005C5B66"/>
    <w:rsid w:val="005C79A4"/>
    <w:rsid w:val="005D32E0"/>
    <w:rsid w:val="005D5442"/>
    <w:rsid w:val="005D6530"/>
    <w:rsid w:val="005E16B2"/>
    <w:rsid w:val="005E5E05"/>
    <w:rsid w:val="005F0719"/>
    <w:rsid w:val="006001F1"/>
    <w:rsid w:val="00601858"/>
    <w:rsid w:val="006022CB"/>
    <w:rsid w:val="00602ADA"/>
    <w:rsid w:val="0060363F"/>
    <w:rsid w:val="00603F32"/>
    <w:rsid w:val="00605AD4"/>
    <w:rsid w:val="006136D7"/>
    <w:rsid w:val="00614801"/>
    <w:rsid w:val="006156CF"/>
    <w:rsid w:val="006159A8"/>
    <w:rsid w:val="00625A6E"/>
    <w:rsid w:val="006277A6"/>
    <w:rsid w:val="00632398"/>
    <w:rsid w:val="00635BC4"/>
    <w:rsid w:val="00640FC3"/>
    <w:rsid w:val="0064176E"/>
    <w:rsid w:val="00642020"/>
    <w:rsid w:val="006430EE"/>
    <w:rsid w:val="00645731"/>
    <w:rsid w:val="006501D1"/>
    <w:rsid w:val="006528DB"/>
    <w:rsid w:val="0065337B"/>
    <w:rsid w:val="00653A59"/>
    <w:rsid w:val="0065419D"/>
    <w:rsid w:val="00655E57"/>
    <w:rsid w:val="006603BC"/>
    <w:rsid w:val="006604D8"/>
    <w:rsid w:val="006622FF"/>
    <w:rsid w:val="006626A5"/>
    <w:rsid w:val="00664A5B"/>
    <w:rsid w:val="0066735C"/>
    <w:rsid w:val="00675B2C"/>
    <w:rsid w:val="00675E08"/>
    <w:rsid w:val="006763D2"/>
    <w:rsid w:val="006772A2"/>
    <w:rsid w:val="00677963"/>
    <w:rsid w:val="006779AF"/>
    <w:rsid w:val="00680C08"/>
    <w:rsid w:val="006916A0"/>
    <w:rsid w:val="006931B1"/>
    <w:rsid w:val="00696D11"/>
    <w:rsid w:val="006A063A"/>
    <w:rsid w:val="006A15C0"/>
    <w:rsid w:val="006A58A8"/>
    <w:rsid w:val="006B0CAB"/>
    <w:rsid w:val="006B41B0"/>
    <w:rsid w:val="006B47CC"/>
    <w:rsid w:val="006B4B52"/>
    <w:rsid w:val="006C32D0"/>
    <w:rsid w:val="006C3E2A"/>
    <w:rsid w:val="006C642F"/>
    <w:rsid w:val="006C7349"/>
    <w:rsid w:val="006D03E5"/>
    <w:rsid w:val="006D19D5"/>
    <w:rsid w:val="006D4C18"/>
    <w:rsid w:val="006D5D3E"/>
    <w:rsid w:val="006D76BC"/>
    <w:rsid w:val="006D79F4"/>
    <w:rsid w:val="006E08B3"/>
    <w:rsid w:val="006E1FC6"/>
    <w:rsid w:val="006E2DCD"/>
    <w:rsid w:val="006F17AC"/>
    <w:rsid w:val="006F25B8"/>
    <w:rsid w:val="006F322A"/>
    <w:rsid w:val="006F39DD"/>
    <w:rsid w:val="006F4948"/>
    <w:rsid w:val="006F572E"/>
    <w:rsid w:val="007032D0"/>
    <w:rsid w:val="00703C80"/>
    <w:rsid w:val="007046D6"/>
    <w:rsid w:val="00705DB0"/>
    <w:rsid w:val="007060C3"/>
    <w:rsid w:val="007156F1"/>
    <w:rsid w:val="00715E59"/>
    <w:rsid w:val="00717599"/>
    <w:rsid w:val="00720631"/>
    <w:rsid w:val="00721645"/>
    <w:rsid w:val="00722A82"/>
    <w:rsid w:val="00722B57"/>
    <w:rsid w:val="0072303E"/>
    <w:rsid w:val="00723098"/>
    <w:rsid w:val="00724C79"/>
    <w:rsid w:val="00730F8A"/>
    <w:rsid w:val="00731177"/>
    <w:rsid w:val="0073411E"/>
    <w:rsid w:val="00735A8C"/>
    <w:rsid w:val="00735F58"/>
    <w:rsid w:val="00736A7F"/>
    <w:rsid w:val="007374AA"/>
    <w:rsid w:val="00740F0F"/>
    <w:rsid w:val="00742530"/>
    <w:rsid w:val="0074253D"/>
    <w:rsid w:val="00744121"/>
    <w:rsid w:val="0074429B"/>
    <w:rsid w:val="00744CCF"/>
    <w:rsid w:val="0074621C"/>
    <w:rsid w:val="0076018A"/>
    <w:rsid w:val="007615BC"/>
    <w:rsid w:val="00761AC5"/>
    <w:rsid w:val="00762F05"/>
    <w:rsid w:val="007652FF"/>
    <w:rsid w:val="007671CB"/>
    <w:rsid w:val="00770CAC"/>
    <w:rsid w:val="00770EF1"/>
    <w:rsid w:val="00771CF8"/>
    <w:rsid w:val="0077374E"/>
    <w:rsid w:val="00773EF7"/>
    <w:rsid w:val="00774E1D"/>
    <w:rsid w:val="00775B6F"/>
    <w:rsid w:val="007765D8"/>
    <w:rsid w:val="0077675A"/>
    <w:rsid w:val="00780355"/>
    <w:rsid w:val="007819FD"/>
    <w:rsid w:val="00785717"/>
    <w:rsid w:val="00785721"/>
    <w:rsid w:val="00787FD1"/>
    <w:rsid w:val="00790A4F"/>
    <w:rsid w:val="00793A59"/>
    <w:rsid w:val="0079589A"/>
    <w:rsid w:val="00795A07"/>
    <w:rsid w:val="00795A98"/>
    <w:rsid w:val="007A1E86"/>
    <w:rsid w:val="007A46F5"/>
    <w:rsid w:val="007A6227"/>
    <w:rsid w:val="007A6505"/>
    <w:rsid w:val="007A6F5E"/>
    <w:rsid w:val="007B6132"/>
    <w:rsid w:val="007B6E9F"/>
    <w:rsid w:val="007B7F71"/>
    <w:rsid w:val="007C1216"/>
    <w:rsid w:val="007C1AF7"/>
    <w:rsid w:val="007C5690"/>
    <w:rsid w:val="007C6B9B"/>
    <w:rsid w:val="007D2188"/>
    <w:rsid w:val="007D3373"/>
    <w:rsid w:val="007D53B6"/>
    <w:rsid w:val="007E01B8"/>
    <w:rsid w:val="007E048E"/>
    <w:rsid w:val="007E0AF7"/>
    <w:rsid w:val="007E0DD2"/>
    <w:rsid w:val="007E1872"/>
    <w:rsid w:val="007F5C9B"/>
    <w:rsid w:val="008028EF"/>
    <w:rsid w:val="00805D27"/>
    <w:rsid w:val="00806936"/>
    <w:rsid w:val="00806DCB"/>
    <w:rsid w:val="008073C4"/>
    <w:rsid w:val="008124AE"/>
    <w:rsid w:val="00815985"/>
    <w:rsid w:val="00816E62"/>
    <w:rsid w:val="00821776"/>
    <w:rsid w:val="0082189B"/>
    <w:rsid w:val="00822459"/>
    <w:rsid w:val="00823F2A"/>
    <w:rsid w:val="008276DF"/>
    <w:rsid w:val="008321F5"/>
    <w:rsid w:val="00832369"/>
    <w:rsid w:val="00834660"/>
    <w:rsid w:val="00835396"/>
    <w:rsid w:val="008363A2"/>
    <w:rsid w:val="00836B31"/>
    <w:rsid w:val="00836BC2"/>
    <w:rsid w:val="0085156D"/>
    <w:rsid w:val="00852B28"/>
    <w:rsid w:val="00852DCD"/>
    <w:rsid w:val="00855573"/>
    <w:rsid w:val="0085641B"/>
    <w:rsid w:val="00857136"/>
    <w:rsid w:val="00870F2D"/>
    <w:rsid w:val="00871027"/>
    <w:rsid w:val="00873683"/>
    <w:rsid w:val="00875A6B"/>
    <w:rsid w:val="00876294"/>
    <w:rsid w:val="00885B11"/>
    <w:rsid w:val="00886D15"/>
    <w:rsid w:val="00887DD8"/>
    <w:rsid w:val="00891BA9"/>
    <w:rsid w:val="00896018"/>
    <w:rsid w:val="008960DD"/>
    <w:rsid w:val="0089635C"/>
    <w:rsid w:val="008A2B9D"/>
    <w:rsid w:val="008A3D9F"/>
    <w:rsid w:val="008A5E0B"/>
    <w:rsid w:val="008A6D59"/>
    <w:rsid w:val="008B312B"/>
    <w:rsid w:val="008B4B03"/>
    <w:rsid w:val="008B596F"/>
    <w:rsid w:val="008B723B"/>
    <w:rsid w:val="008B7289"/>
    <w:rsid w:val="008C159F"/>
    <w:rsid w:val="008C1623"/>
    <w:rsid w:val="008C1850"/>
    <w:rsid w:val="008C1E85"/>
    <w:rsid w:val="008C51A9"/>
    <w:rsid w:val="008D4B9A"/>
    <w:rsid w:val="008E4D88"/>
    <w:rsid w:val="008E5780"/>
    <w:rsid w:val="008E6BFD"/>
    <w:rsid w:val="008E7846"/>
    <w:rsid w:val="008F02E5"/>
    <w:rsid w:val="008F1CCC"/>
    <w:rsid w:val="008F2967"/>
    <w:rsid w:val="008F6943"/>
    <w:rsid w:val="00902A21"/>
    <w:rsid w:val="0090320C"/>
    <w:rsid w:val="0090617F"/>
    <w:rsid w:val="00911682"/>
    <w:rsid w:val="00911CE9"/>
    <w:rsid w:val="00914237"/>
    <w:rsid w:val="0091523F"/>
    <w:rsid w:val="009201E7"/>
    <w:rsid w:val="00920330"/>
    <w:rsid w:val="009219A2"/>
    <w:rsid w:val="009219D7"/>
    <w:rsid w:val="00922D53"/>
    <w:rsid w:val="00923B70"/>
    <w:rsid w:val="00924482"/>
    <w:rsid w:val="009301BE"/>
    <w:rsid w:val="00930237"/>
    <w:rsid w:val="00937C17"/>
    <w:rsid w:val="00940A89"/>
    <w:rsid w:val="00941F77"/>
    <w:rsid w:val="00943623"/>
    <w:rsid w:val="00946EA5"/>
    <w:rsid w:val="00947897"/>
    <w:rsid w:val="00950FC1"/>
    <w:rsid w:val="00952F9C"/>
    <w:rsid w:val="00955949"/>
    <w:rsid w:val="00960520"/>
    <w:rsid w:val="009622F3"/>
    <w:rsid w:val="009629EC"/>
    <w:rsid w:val="00963C08"/>
    <w:rsid w:val="00965856"/>
    <w:rsid w:val="009718D3"/>
    <w:rsid w:val="00973C4A"/>
    <w:rsid w:val="00974F9F"/>
    <w:rsid w:val="009752A5"/>
    <w:rsid w:val="009803F1"/>
    <w:rsid w:val="0098585A"/>
    <w:rsid w:val="00995AC6"/>
    <w:rsid w:val="009A4CED"/>
    <w:rsid w:val="009A690D"/>
    <w:rsid w:val="009B1D12"/>
    <w:rsid w:val="009B2147"/>
    <w:rsid w:val="009B2B8D"/>
    <w:rsid w:val="009B416B"/>
    <w:rsid w:val="009B5C29"/>
    <w:rsid w:val="009C0A92"/>
    <w:rsid w:val="009C4BD5"/>
    <w:rsid w:val="009C6F7F"/>
    <w:rsid w:val="009D0707"/>
    <w:rsid w:val="009D1B07"/>
    <w:rsid w:val="009D42EF"/>
    <w:rsid w:val="009D454E"/>
    <w:rsid w:val="009D61C9"/>
    <w:rsid w:val="009D7B77"/>
    <w:rsid w:val="009E0BB0"/>
    <w:rsid w:val="009E1DED"/>
    <w:rsid w:val="009E1E78"/>
    <w:rsid w:val="009E3FBB"/>
    <w:rsid w:val="009E455F"/>
    <w:rsid w:val="009E5DEB"/>
    <w:rsid w:val="009F0804"/>
    <w:rsid w:val="009F2540"/>
    <w:rsid w:val="009F2FCD"/>
    <w:rsid w:val="009F3CF1"/>
    <w:rsid w:val="009F5E2E"/>
    <w:rsid w:val="009F676B"/>
    <w:rsid w:val="009F7353"/>
    <w:rsid w:val="00A014C4"/>
    <w:rsid w:val="00A0355F"/>
    <w:rsid w:val="00A04B72"/>
    <w:rsid w:val="00A04F85"/>
    <w:rsid w:val="00A05FA4"/>
    <w:rsid w:val="00A102E4"/>
    <w:rsid w:val="00A1219C"/>
    <w:rsid w:val="00A12C42"/>
    <w:rsid w:val="00A14DF7"/>
    <w:rsid w:val="00A1698F"/>
    <w:rsid w:val="00A217FF"/>
    <w:rsid w:val="00A22D57"/>
    <w:rsid w:val="00A23298"/>
    <w:rsid w:val="00A23BA1"/>
    <w:rsid w:val="00A2716B"/>
    <w:rsid w:val="00A27278"/>
    <w:rsid w:val="00A30AFB"/>
    <w:rsid w:val="00A3246D"/>
    <w:rsid w:val="00A332AE"/>
    <w:rsid w:val="00A36E97"/>
    <w:rsid w:val="00A36FA7"/>
    <w:rsid w:val="00A4402A"/>
    <w:rsid w:val="00A44DDB"/>
    <w:rsid w:val="00A475B7"/>
    <w:rsid w:val="00A47AF7"/>
    <w:rsid w:val="00A47C3E"/>
    <w:rsid w:val="00A50226"/>
    <w:rsid w:val="00A50CCA"/>
    <w:rsid w:val="00A53BC2"/>
    <w:rsid w:val="00A5478D"/>
    <w:rsid w:val="00A60BAD"/>
    <w:rsid w:val="00A61FCF"/>
    <w:rsid w:val="00A71BB8"/>
    <w:rsid w:val="00A72C4E"/>
    <w:rsid w:val="00A77F87"/>
    <w:rsid w:val="00A80B5B"/>
    <w:rsid w:val="00A836FB"/>
    <w:rsid w:val="00A84E36"/>
    <w:rsid w:val="00A87163"/>
    <w:rsid w:val="00A964D1"/>
    <w:rsid w:val="00AA0ED0"/>
    <w:rsid w:val="00AA2AA9"/>
    <w:rsid w:val="00AB0D77"/>
    <w:rsid w:val="00AB1C91"/>
    <w:rsid w:val="00AB2E24"/>
    <w:rsid w:val="00AC2B40"/>
    <w:rsid w:val="00AC2BB2"/>
    <w:rsid w:val="00AC2C3C"/>
    <w:rsid w:val="00AC512D"/>
    <w:rsid w:val="00AC59D8"/>
    <w:rsid w:val="00AD0083"/>
    <w:rsid w:val="00AD25DB"/>
    <w:rsid w:val="00AD3935"/>
    <w:rsid w:val="00AD5E5D"/>
    <w:rsid w:val="00AD737C"/>
    <w:rsid w:val="00AD76D2"/>
    <w:rsid w:val="00AE61C6"/>
    <w:rsid w:val="00AE65EB"/>
    <w:rsid w:val="00AE67A7"/>
    <w:rsid w:val="00AE6D0C"/>
    <w:rsid w:val="00AF1D94"/>
    <w:rsid w:val="00AF60C5"/>
    <w:rsid w:val="00B009C6"/>
    <w:rsid w:val="00B01548"/>
    <w:rsid w:val="00B031FE"/>
    <w:rsid w:val="00B03B45"/>
    <w:rsid w:val="00B06197"/>
    <w:rsid w:val="00B130C5"/>
    <w:rsid w:val="00B13EBD"/>
    <w:rsid w:val="00B15DBA"/>
    <w:rsid w:val="00B21D29"/>
    <w:rsid w:val="00B21FC5"/>
    <w:rsid w:val="00B25034"/>
    <w:rsid w:val="00B26E18"/>
    <w:rsid w:val="00B2799D"/>
    <w:rsid w:val="00B33588"/>
    <w:rsid w:val="00B33863"/>
    <w:rsid w:val="00B37D17"/>
    <w:rsid w:val="00B4175E"/>
    <w:rsid w:val="00B41C85"/>
    <w:rsid w:val="00B41E9B"/>
    <w:rsid w:val="00B444BA"/>
    <w:rsid w:val="00B452CE"/>
    <w:rsid w:val="00B46D62"/>
    <w:rsid w:val="00B47FD7"/>
    <w:rsid w:val="00B508F1"/>
    <w:rsid w:val="00B52F4B"/>
    <w:rsid w:val="00B52F6F"/>
    <w:rsid w:val="00B54006"/>
    <w:rsid w:val="00B54C25"/>
    <w:rsid w:val="00B56D2C"/>
    <w:rsid w:val="00B76B91"/>
    <w:rsid w:val="00B77EB1"/>
    <w:rsid w:val="00B811C6"/>
    <w:rsid w:val="00B84964"/>
    <w:rsid w:val="00B855B0"/>
    <w:rsid w:val="00B92E08"/>
    <w:rsid w:val="00BA1AFD"/>
    <w:rsid w:val="00BA6D19"/>
    <w:rsid w:val="00BB5E4C"/>
    <w:rsid w:val="00BB6810"/>
    <w:rsid w:val="00BB71B1"/>
    <w:rsid w:val="00BC00EA"/>
    <w:rsid w:val="00BC269D"/>
    <w:rsid w:val="00BC622A"/>
    <w:rsid w:val="00BD11AC"/>
    <w:rsid w:val="00BD1F85"/>
    <w:rsid w:val="00BE0A78"/>
    <w:rsid w:val="00BE79F0"/>
    <w:rsid w:val="00BF046D"/>
    <w:rsid w:val="00BF1190"/>
    <w:rsid w:val="00BF3774"/>
    <w:rsid w:val="00BF3AFA"/>
    <w:rsid w:val="00BF5D04"/>
    <w:rsid w:val="00C009AA"/>
    <w:rsid w:val="00C01898"/>
    <w:rsid w:val="00C02190"/>
    <w:rsid w:val="00C1062E"/>
    <w:rsid w:val="00C1164D"/>
    <w:rsid w:val="00C16861"/>
    <w:rsid w:val="00C303E8"/>
    <w:rsid w:val="00C346AB"/>
    <w:rsid w:val="00C404A6"/>
    <w:rsid w:val="00C40A36"/>
    <w:rsid w:val="00C44419"/>
    <w:rsid w:val="00C45E7B"/>
    <w:rsid w:val="00C471B1"/>
    <w:rsid w:val="00C47A65"/>
    <w:rsid w:val="00C50273"/>
    <w:rsid w:val="00C525A2"/>
    <w:rsid w:val="00C52E24"/>
    <w:rsid w:val="00C55650"/>
    <w:rsid w:val="00C557EE"/>
    <w:rsid w:val="00C61442"/>
    <w:rsid w:val="00C6316B"/>
    <w:rsid w:val="00C634A9"/>
    <w:rsid w:val="00C64586"/>
    <w:rsid w:val="00C64751"/>
    <w:rsid w:val="00C65D93"/>
    <w:rsid w:val="00C660A0"/>
    <w:rsid w:val="00C70419"/>
    <w:rsid w:val="00C70A36"/>
    <w:rsid w:val="00C70D53"/>
    <w:rsid w:val="00C73D0B"/>
    <w:rsid w:val="00C74F5C"/>
    <w:rsid w:val="00C75526"/>
    <w:rsid w:val="00C772FF"/>
    <w:rsid w:val="00C80137"/>
    <w:rsid w:val="00C801AF"/>
    <w:rsid w:val="00C80256"/>
    <w:rsid w:val="00C92C02"/>
    <w:rsid w:val="00C94CD4"/>
    <w:rsid w:val="00C9747E"/>
    <w:rsid w:val="00CA0969"/>
    <w:rsid w:val="00CA76E4"/>
    <w:rsid w:val="00CB1BD7"/>
    <w:rsid w:val="00CB230C"/>
    <w:rsid w:val="00CB303D"/>
    <w:rsid w:val="00CB3138"/>
    <w:rsid w:val="00CB62AE"/>
    <w:rsid w:val="00CB6BC0"/>
    <w:rsid w:val="00CC1B7C"/>
    <w:rsid w:val="00CC23DE"/>
    <w:rsid w:val="00CC727F"/>
    <w:rsid w:val="00CD1109"/>
    <w:rsid w:val="00CD632B"/>
    <w:rsid w:val="00CD708B"/>
    <w:rsid w:val="00CE0E29"/>
    <w:rsid w:val="00CE6415"/>
    <w:rsid w:val="00CF15C3"/>
    <w:rsid w:val="00CF2B6F"/>
    <w:rsid w:val="00CF2F3E"/>
    <w:rsid w:val="00CF3F28"/>
    <w:rsid w:val="00CF58B6"/>
    <w:rsid w:val="00CF5DAD"/>
    <w:rsid w:val="00D0038A"/>
    <w:rsid w:val="00D0062D"/>
    <w:rsid w:val="00D017ED"/>
    <w:rsid w:val="00D040D3"/>
    <w:rsid w:val="00D04C65"/>
    <w:rsid w:val="00D04D16"/>
    <w:rsid w:val="00D10CD4"/>
    <w:rsid w:val="00D11371"/>
    <w:rsid w:val="00D153D8"/>
    <w:rsid w:val="00D201D2"/>
    <w:rsid w:val="00D21E7C"/>
    <w:rsid w:val="00D224FE"/>
    <w:rsid w:val="00D23139"/>
    <w:rsid w:val="00D23AE4"/>
    <w:rsid w:val="00D279DF"/>
    <w:rsid w:val="00D31270"/>
    <w:rsid w:val="00D32BAB"/>
    <w:rsid w:val="00D331C2"/>
    <w:rsid w:val="00D425BB"/>
    <w:rsid w:val="00D453FA"/>
    <w:rsid w:val="00D504BB"/>
    <w:rsid w:val="00D5301C"/>
    <w:rsid w:val="00D545FE"/>
    <w:rsid w:val="00D6308D"/>
    <w:rsid w:val="00D63C74"/>
    <w:rsid w:val="00D6493E"/>
    <w:rsid w:val="00D7195D"/>
    <w:rsid w:val="00D7275D"/>
    <w:rsid w:val="00D7301E"/>
    <w:rsid w:val="00D750D0"/>
    <w:rsid w:val="00D800DA"/>
    <w:rsid w:val="00D8055D"/>
    <w:rsid w:val="00D813A6"/>
    <w:rsid w:val="00D83AE1"/>
    <w:rsid w:val="00D855D4"/>
    <w:rsid w:val="00D902C9"/>
    <w:rsid w:val="00D93466"/>
    <w:rsid w:val="00D93618"/>
    <w:rsid w:val="00DA021F"/>
    <w:rsid w:val="00DA1124"/>
    <w:rsid w:val="00DA1642"/>
    <w:rsid w:val="00DA2992"/>
    <w:rsid w:val="00DA3531"/>
    <w:rsid w:val="00DA49DE"/>
    <w:rsid w:val="00DA64CB"/>
    <w:rsid w:val="00DB06B8"/>
    <w:rsid w:val="00DB2A13"/>
    <w:rsid w:val="00DB493F"/>
    <w:rsid w:val="00DB6124"/>
    <w:rsid w:val="00DB750B"/>
    <w:rsid w:val="00DB75B7"/>
    <w:rsid w:val="00DC0A2F"/>
    <w:rsid w:val="00DC1948"/>
    <w:rsid w:val="00DC6E02"/>
    <w:rsid w:val="00DD28CD"/>
    <w:rsid w:val="00DD5DF4"/>
    <w:rsid w:val="00DD7DB2"/>
    <w:rsid w:val="00DE02AE"/>
    <w:rsid w:val="00DE2C60"/>
    <w:rsid w:val="00DE39D1"/>
    <w:rsid w:val="00DE3D45"/>
    <w:rsid w:val="00DF1D7F"/>
    <w:rsid w:val="00DF4656"/>
    <w:rsid w:val="00DF4BE4"/>
    <w:rsid w:val="00DF56FD"/>
    <w:rsid w:val="00E02382"/>
    <w:rsid w:val="00E02FB4"/>
    <w:rsid w:val="00E06EFE"/>
    <w:rsid w:val="00E11343"/>
    <w:rsid w:val="00E113D1"/>
    <w:rsid w:val="00E13FC7"/>
    <w:rsid w:val="00E20571"/>
    <w:rsid w:val="00E21201"/>
    <w:rsid w:val="00E21B49"/>
    <w:rsid w:val="00E235F7"/>
    <w:rsid w:val="00E23659"/>
    <w:rsid w:val="00E239D4"/>
    <w:rsid w:val="00E23F8A"/>
    <w:rsid w:val="00E26130"/>
    <w:rsid w:val="00E26556"/>
    <w:rsid w:val="00E26BAF"/>
    <w:rsid w:val="00E26FC9"/>
    <w:rsid w:val="00E27C30"/>
    <w:rsid w:val="00E31C83"/>
    <w:rsid w:val="00E33D42"/>
    <w:rsid w:val="00E34E0B"/>
    <w:rsid w:val="00E4017F"/>
    <w:rsid w:val="00E40B22"/>
    <w:rsid w:val="00E419CE"/>
    <w:rsid w:val="00E44ED1"/>
    <w:rsid w:val="00E45619"/>
    <w:rsid w:val="00E4588F"/>
    <w:rsid w:val="00E46DA3"/>
    <w:rsid w:val="00E51BB1"/>
    <w:rsid w:val="00E51C75"/>
    <w:rsid w:val="00E527BC"/>
    <w:rsid w:val="00E53663"/>
    <w:rsid w:val="00E55CB0"/>
    <w:rsid w:val="00E57286"/>
    <w:rsid w:val="00E624A5"/>
    <w:rsid w:val="00E6281E"/>
    <w:rsid w:val="00E64BA4"/>
    <w:rsid w:val="00E64E54"/>
    <w:rsid w:val="00E66F89"/>
    <w:rsid w:val="00E7344E"/>
    <w:rsid w:val="00E77065"/>
    <w:rsid w:val="00E77586"/>
    <w:rsid w:val="00E80604"/>
    <w:rsid w:val="00E80F11"/>
    <w:rsid w:val="00E8248C"/>
    <w:rsid w:val="00E82665"/>
    <w:rsid w:val="00E82A5F"/>
    <w:rsid w:val="00E83BCA"/>
    <w:rsid w:val="00E93806"/>
    <w:rsid w:val="00E93E27"/>
    <w:rsid w:val="00E93F16"/>
    <w:rsid w:val="00EA2998"/>
    <w:rsid w:val="00EA6F46"/>
    <w:rsid w:val="00EB0798"/>
    <w:rsid w:val="00EB1784"/>
    <w:rsid w:val="00EB40AD"/>
    <w:rsid w:val="00EB4B51"/>
    <w:rsid w:val="00EB586E"/>
    <w:rsid w:val="00EB5FC8"/>
    <w:rsid w:val="00EC3F85"/>
    <w:rsid w:val="00EC463D"/>
    <w:rsid w:val="00EC6241"/>
    <w:rsid w:val="00EC79E7"/>
    <w:rsid w:val="00EC7A85"/>
    <w:rsid w:val="00ED2922"/>
    <w:rsid w:val="00ED3CAD"/>
    <w:rsid w:val="00ED49B7"/>
    <w:rsid w:val="00ED5A41"/>
    <w:rsid w:val="00EE1D3C"/>
    <w:rsid w:val="00EE1DE8"/>
    <w:rsid w:val="00EE27C2"/>
    <w:rsid w:val="00EE4DB7"/>
    <w:rsid w:val="00EE6F37"/>
    <w:rsid w:val="00EE7447"/>
    <w:rsid w:val="00EF3725"/>
    <w:rsid w:val="00EF4BAD"/>
    <w:rsid w:val="00EF59DC"/>
    <w:rsid w:val="00EF6E2F"/>
    <w:rsid w:val="00EF7391"/>
    <w:rsid w:val="00F01518"/>
    <w:rsid w:val="00F02F25"/>
    <w:rsid w:val="00F033EC"/>
    <w:rsid w:val="00F04F68"/>
    <w:rsid w:val="00F05630"/>
    <w:rsid w:val="00F12670"/>
    <w:rsid w:val="00F12D7F"/>
    <w:rsid w:val="00F14B27"/>
    <w:rsid w:val="00F24AD0"/>
    <w:rsid w:val="00F26284"/>
    <w:rsid w:val="00F3148D"/>
    <w:rsid w:val="00F325C5"/>
    <w:rsid w:val="00F32FE0"/>
    <w:rsid w:val="00F35298"/>
    <w:rsid w:val="00F35D0C"/>
    <w:rsid w:val="00F47333"/>
    <w:rsid w:val="00F47E37"/>
    <w:rsid w:val="00F52F04"/>
    <w:rsid w:val="00F53C07"/>
    <w:rsid w:val="00F53E66"/>
    <w:rsid w:val="00F54B65"/>
    <w:rsid w:val="00F6168B"/>
    <w:rsid w:val="00F63D7B"/>
    <w:rsid w:val="00F63DBF"/>
    <w:rsid w:val="00F640B6"/>
    <w:rsid w:val="00F66DF2"/>
    <w:rsid w:val="00F72997"/>
    <w:rsid w:val="00F754D3"/>
    <w:rsid w:val="00F808E5"/>
    <w:rsid w:val="00F80E40"/>
    <w:rsid w:val="00F83EE6"/>
    <w:rsid w:val="00F848D9"/>
    <w:rsid w:val="00F92230"/>
    <w:rsid w:val="00F949A2"/>
    <w:rsid w:val="00FA2913"/>
    <w:rsid w:val="00FA483D"/>
    <w:rsid w:val="00FA4C17"/>
    <w:rsid w:val="00FA5069"/>
    <w:rsid w:val="00FA583D"/>
    <w:rsid w:val="00FA5B82"/>
    <w:rsid w:val="00FA639E"/>
    <w:rsid w:val="00FA77D3"/>
    <w:rsid w:val="00FB2805"/>
    <w:rsid w:val="00FB2B42"/>
    <w:rsid w:val="00FB369D"/>
    <w:rsid w:val="00FB3C2A"/>
    <w:rsid w:val="00FC000E"/>
    <w:rsid w:val="00FC063B"/>
    <w:rsid w:val="00FC1FCA"/>
    <w:rsid w:val="00FC25E4"/>
    <w:rsid w:val="00FC4EF7"/>
    <w:rsid w:val="00FC542E"/>
    <w:rsid w:val="00FC6650"/>
    <w:rsid w:val="00FD0824"/>
    <w:rsid w:val="00FD119B"/>
    <w:rsid w:val="00FD1EDC"/>
    <w:rsid w:val="00FD65E4"/>
    <w:rsid w:val="00FE1A11"/>
    <w:rsid w:val="00FE1DEE"/>
    <w:rsid w:val="00FF0359"/>
    <w:rsid w:val="00FF2126"/>
    <w:rsid w:val="00FF5755"/>
    <w:rsid w:val="00FF674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486C34"/>
  <w15:docId w15:val="{1196BBA7-0EBE-4604-B58D-4A7D461B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aliases w:val="Figure/table title,Table Heading,Caption-Table,Caption Table,Table,Légende Car,Caption 1,IB Caption,Medical Caption,MP-Caption,fig cadre,Caption Char Char,Caption Char Char Char Char,fig cadre Char2,Caption Char2,fig cadre Char Char"/>
    <w:basedOn w:val="Normal"/>
    <w:next w:val="Normal"/>
    <w:link w:val="CaptionChar"/>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B03B45"/>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Condensed" w:hAnsi="Bahnschrif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Bahnschrift SemiCondensed" w:hAnsi="Bahnschrift SemiCondensed"/>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Bahnschrift SemiCondensed" w:hAnsi="Bahnschrift SemiCondensed"/>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unhideWhenUsed/>
    <w:rsid w:val="00EC463D"/>
    <w:rPr>
      <w:sz w:val="16"/>
      <w:szCs w:val="16"/>
    </w:rPr>
  </w:style>
  <w:style w:type="paragraph" w:styleId="CommentText">
    <w:name w:val="annotation text"/>
    <w:aliases w:val="Annotationtext"/>
    <w:basedOn w:val="Normal"/>
    <w:link w:val="CommentTextChar"/>
    <w:uiPriority w:val="99"/>
    <w:unhideWhenUsed/>
    <w:rsid w:val="00EC463D"/>
    <w:pPr>
      <w:spacing w:line="240" w:lineRule="auto"/>
    </w:pPr>
    <w:rPr>
      <w:sz w:val="20"/>
      <w:szCs w:val="20"/>
    </w:rPr>
  </w:style>
  <w:style w:type="character" w:customStyle="1" w:styleId="CommentTextChar">
    <w:name w:val="Comment Text Char"/>
    <w:aliases w:val="Annotation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qFormat/>
    <w:rsid w:val="00172ACC"/>
    <w:pPr>
      <w:adjustRightInd w:val="0"/>
      <w:snapToGrid w:val="0"/>
      <w:spacing w:before="180" w:after="180"/>
      <w:ind w:left="720"/>
      <w:contextualSpacing/>
    </w:pPr>
    <w:rPr>
      <w:rFonts w:eastAsia="MS Mincho"/>
      <w:szCs w:val="20"/>
      <w:lang w:eastAsia="ja-JP"/>
    </w:rPr>
  </w:style>
  <w:style w:type="paragraph" w:styleId="NormalWeb">
    <w:name w:val="Normal (Web)"/>
    <w:basedOn w:val="Normal"/>
    <w:uiPriority w:val="99"/>
    <w:unhideWhenUsed/>
    <w:rsid w:val="007A6F5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null">
    <w:name w:val="null"/>
    <w:basedOn w:val="Normal"/>
    <w:rsid w:val="007A6F5E"/>
    <w:pPr>
      <w:spacing w:before="100" w:beforeAutospacing="1" w:after="100" w:afterAutospacing="1" w:line="240" w:lineRule="auto"/>
    </w:pPr>
    <w:rPr>
      <w:rFonts w:ascii="Calibri" w:eastAsiaTheme="minorHAnsi" w:hAnsi="Calibri" w:cs="Calibri"/>
      <w:lang w:eastAsia="en-AU"/>
    </w:rPr>
  </w:style>
  <w:style w:type="character" w:customStyle="1" w:styleId="null1">
    <w:name w:val="null1"/>
    <w:basedOn w:val="DefaultParagraphFont"/>
    <w:rsid w:val="007A6F5E"/>
  </w:style>
  <w:style w:type="paragraph" w:customStyle="1" w:styleId="FigureCaption">
    <w:name w:val="Figure Caption"/>
    <w:basedOn w:val="Normal"/>
    <w:qFormat/>
    <w:rsid w:val="00E6281E"/>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E6281E"/>
    <w:pPr>
      <w:spacing w:after="240"/>
    </w:pPr>
    <w:rPr>
      <w:sz w:val="17"/>
    </w:rPr>
  </w:style>
  <w:style w:type="table" w:customStyle="1" w:styleId="TableTGA2">
    <w:name w:val="Table TGA 2"/>
    <w:basedOn w:val="TableNormal"/>
    <w:uiPriority w:val="99"/>
    <w:rsid w:val="00E6281E"/>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Bahnschrift SemiCondensed" w:hAnsi="Bahnschrift SemiCondensed"/>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Bahnschrift SemiCondensed" w:hAnsi="Bahnschrift SemiCondensed"/>
        <w:b/>
        <w:i w:val="0"/>
        <w:color w:val="FFFFFF"/>
        <w:sz w:val="22"/>
      </w:rPr>
    </w:tblStylePr>
  </w:style>
  <w:style w:type="paragraph" w:customStyle="1" w:styleId="Subject">
    <w:name w:val="Subject"/>
    <w:basedOn w:val="Normal"/>
    <w:qFormat/>
    <w:rsid w:val="00E6281E"/>
    <w:pPr>
      <w:adjustRightInd w:val="0"/>
      <w:snapToGrid w:val="0"/>
      <w:spacing w:before="180" w:after="180"/>
    </w:pPr>
    <w:rPr>
      <w:rFonts w:eastAsia="MS Mincho"/>
      <w:b/>
      <w:szCs w:val="20"/>
      <w:lang w:eastAsia="ja-JP"/>
    </w:rPr>
  </w:style>
  <w:style w:type="paragraph" w:customStyle="1" w:styleId="Addressee">
    <w:name w:val="Addressee"/>
    <w:basedOn w:val="Normal"/>
    <w:qFormat/>
    <w:rsid w:val="00E6281E"/>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E6281E"/>
    <w:rPr>
      <w:rFonts w:ascii="Arial" w:hAnsi="Arial"/>
      <w:color w:val="002C47"/>
      <w:sz w:val="14"/>
    </w:rPr>
  </w:style>
  <w:style w:type="paragraph" w:customStyle="1" w:styleId="BodyCopy">
    <w:name w:val="Body Copy"/>
    <w:basedOn w:val="Normal"/>
    <w:qFormat/>
    <w:rsid w:val="00E6281E"/>
    <w:pPr>
      <w:adjustRightInd w:val="0"/>
      <w:snapToGrid w:val="0"/>
      <w:spacing w:before="180" w:after="180"/>
    </w:pPr>
    <w:rPr>
      <w:rFonts w:eastAsia="MS Mincho"/>
      <w:szCs w:val="20"/>
      <w:lang w:eastAsia="ja-JP"/>
    </w:rPr>
  </w:style>
  <w:style w:type="paragraph" w:customStyle="1" w:styleId="Standard">
    <w:name w:val="Standard"/>
    <w:basedOn w:val="Normal"/>
    <w:link w:val="StandardChar"/>
    <w:qFormat/>
    <w:rsid w:val="00E6281E"/>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6281E"/>
    <w:rPr>
      <w:rFonts w:ascii="Cambria" w:eastAsia="Times New Roman" w:hAnsi="Cambria" w:cs="Times New Roman"/>
      <w:snapToGrid w:val="0"/>
      <w:kern w:val="16"/>
      <w:sz w:val="23"/>
      <w:szCs w:val="24"/>
    </w:rPr>
  </w:style>
  <w:style w:type="paragraph" w:customStyle="1" w:styleId="Bulletpoint">
    <w:name w:val="Bullet point"/>
    <w:basedOn w:val="Standard"/>
    <w:rsid w:val="00E6281E"/>
    <w:pPr>
      <w:numPr>
        <w:numId w:val="50"/>
      </w:numPr>
      <w:tabs>
        <w:tab w:val="clear" w:pos="369"/>
        <w:tab w:val="left" w:pos="397"/>
        <w:tab w:val="num" w:pos="511"/>
        <w:tab w:val="num" w:pos="926"/>
      </w:tabs>
      <w:spacing w:after="180"/>
      <w:ind w:left="0" w:firstLine="0"/>
    </w:pPr>
    <w:rPr>
      <w:sz w:val="22"/>
    </w:rPr>
  </w:style>
  <w:style w:type="paragraph" w:customStyle="1" w:styleId="PISubsection">
    <w:name w:val="PI Subsection"/>
    <w:basedOn w:val="Standard"/>
    <w:next w:val="Standard"/>
    <w:qFormat/>
    <w:rsid w:val="00E6281E"/>
    <w:pPr>
      <w:keepNext/>
      <w:spacing w:after="120"/>
    </w:pPr>
    <w:rPr>
      <w:b/>
      <w:i/>
      <w:kern w:val="2"/>
      <w:sz w:val="22"/>
    </w:rPr>
  </w:style>
  <w:style w:type="paragraph" w:styleId="BodyText">
    <w:name w:val="Body Text"/>
    <w:basedOn w:val="Normal"/>
    <w:link w:val="BodyTextChar"/>
    <w:qFormat/>
    <w:rsid w:val="00E6281E"/>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rsid w:val="00E6281E"/>
    <w:rPr>
      <w:rFonts w:ascii="Times New Roman" w:eastAsia="Times New Roman" w:hAnsi="Times New Roman" w:cs="Times New Roman"/>
      <w:sz w:val="24"/>
      <w:szCs w:val="24"/>
      <w:lang w:eastAsia="en-AU"/>
    </w:rPr>
  </w:style>
  <w:style w:type="paragraph" w:customStyle="1" w:styleId="Default">
    <w:name w:val="Default"/>
    <w:rsid w:val="00E6281E"/>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E6281E"/>
  </w:style>
  <w:style w:type="table" w:customStyle="1" w:styleId="TableGrid1">
    <w:name w:val="Table Grid1"/>
    <w:basedOn w:val="TableNormal"/>
    <w:next w:val="TableGrid"/>
    <w:uiPriority w:val="39"/>
    <w:rsid w:val="00E6281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1">
    <w:name w:val="Table TGA blue1"/>
    <w:basedOn w:val="TableNormal"/>
    <w:uiPriority w:val="99"/>
    <w:qFormat/>
    <w:rsid w:val="00E6281E"/>
    <w:pPr>
      <w:spacing w:after="0" w:line="240" w:lineRule="auto"/>
      <w:ind w:left="170" w:right="170"/>
    </w:pPr>
    <w:rPr>
      <w:rFonts w:ascii="Cambria" w:hAnsi="Cambria" w:cs="Times New Roman"/>
      <w:color w:val="000000"/>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Bahnschrift SemiCondensed" w:hAnsi="Bahnschrift SemiCondensed"/>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styleId="Quote">
    <w:name w:val="Quote"/>
    <w:basedOn w:val="Standard"/>
    <w:next w:val="Standard"/>
    <w:link w:val="QuoteChar"/>
    <w:qFormat/>
    <w:rsid w:val="00E6281E"/>
    <w:pPr>
      <w:widowControl w:val="0"/>
      <w:spacing w:after="280"/>
      <w:ind w:left="482" w:right="397" w:hanging="85"/>
    </w:pPr>
    <w:rPr>
      <w:iCs/>
      <w:snapToGrid/>
      <w:sz w:val="22"/>
    </w:rPr>
  </w:style>
  <w:style w:type="character" w:customStyle="1" w:styleId="QuoteChar">
    <w:name w:val="Quote Char"/>
    <w:basedOn w:val="DefaultParagraphFont"/>
    <w:link w:val="Quote"/>
    <w:rsid w:val="00E6281E"/>
    <w:rPr>
      <w:rFonts w:ascii="Cambria" w:eastAsia="Times New Roman" w:hAnsi="Cambria" w:cs="Times New Roman"/>
      <w:iCs/>
      <w:kern w:val="16"/>
      <w:szCs w:val="24"/>
    </w:rPr>
  </w:style>
  <w:style w:type="paragraph" w:customStyle="1" w:styleId="WhiteSpace">
    <w:name w:val="White Space"/>
    <w:basedOn w:val="Standard"/>
    <w:next w:val="Standard"/>
    <w:link w:val="WhiteSpaceChar"/>
    <w:rsid w:val="00E6281E"/>
    <w:pPr>
      <w:spacing w:after="0"/>
    </w:pPr>
    <w:rPr>
      <w:sz w:val="16"/>
      <w:szCs w:val="16"/>
    </w:rPr>
  </w:style>
  <w:style w:type="paragraph" w:customStyle="1" w:styleId="PISection">
    <w:name w:val="PI Section"/>
    <w:basedOn w:val="Standard"/>
    <w:next w:val="Standard"/>
    <w:rsid w:val="00E6281E"/>
    <w:pPr>
      <w:keepNext/>
      <w:spacing w:after="160"/>
      <w:outlineLvl w:val="2"/>
    </w:pPr>
    <w:rPr>
      <w:b/>
      <w:smallCaps/>
      <w:kern w:val="2"/>
      <w:sz w:val="22"/>
    </w:rPr>
  </w:style>
  <w:style w:type="character" w:customStyle="1" w:styleId="WhiteSpaceChar">
    <w:name w:val="White Space Char"/>
    <w:basedOn w:val="DefaultParagraphFont"/>
    <w:link w:val="WhiteSpace"/>
    <w:rsid w:val="00E6281E"/>
    <w:rPr>
      <w:rFonts w:ascii="Cambria" w:eastAsia="Times New Roman" w:hAnsi="Cambria" w:cs="Times New Roman"/>
      <w:snapToGrid w:val="0"/>
      <w:kern w:val="16"/>
      <w:sz w:val="16"/>
      <w:szCs w:val="16"/>
    </w:rPr>
  </w:style>
  <w:style w:type="table" w:customStyle="1" w:styleId="TableGrid2">
    <w:name w:val="Table Grid2"/>
    <w:basedOn w:val="TableNormal"/>
    <w:next w:val="TableGrid"/>
    <w:uiPriority w:val="59"/>
    <w:rsid w:val="00E62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Standard"/>
    <w:link w:val="BulletlistChar"/>
    <w:qFormat/>
    <w:rsid w:val="00E6281E"/>
    <w:pPr>
      <w:numPr>
        <w:numId w:val="52"/>
      </w:numPr>
      <w:spacing w:after="180"/>
      <w:ind w:left="426" w:hanging="284"/>
    </w:pPr>
    <w:rPr>
      <w:kern w:val="2"/>
    </w:rPr>
  </w:style>
  <w:style w:type="character" w:customStyle="1" w:styleId="BulletlistChar">
    <w:name w:val="Bullet list Char"/>
    <w:basedOn w:val="StandardChar"/>
    <w:link w:val="Bulletlist"/>
    <w:rsid w:val="00E6281E"/>
    <w:rPr>
      <w:rFonts w:ascii="Cambria" w:eastAsia="Times New Roman" w:hAnsi="Cambria" w:cs="Times New Roman"/>
      <w:snapToGrid w:val="0"/>
      <w:kern w:val="2"/>
      <w:sz w:val="23"/>
      <w:szCs w:val="24"/>
    </w:rPr>
  </w:style>
  <w:style w:type="character" w:customStyle="1" w:styleId="timestamp">
    <w:name w:val="timestamp"/>
    <w:basedOn w:val="DefaultParagraphFont"/>
    <w:rsid w:val="00E6281E"/>
  </w:style>
  <w:style w:type="character" w:customStyle="1" w:styleId="minutes">
    <w:name w:val="minutes"/>
    <w:basedOn w:val="DefaultParagraphFont"/>
    <w:rsid w:val="00E6281E"/>
  </w:style>
  <w:style w:type="character" w:customStyle="1" w:styleId="wordcount">
    <w:name w:val="wordcount"/>
    <w:basedOn w:val="DefaultParagraphFont"/>
    <w:rsid w:val="00E6281E"/>
  </w:style>
  <w:style w:type="paragraph" w:customStyle="1" w:styleId="no-margin">
    <w:name w:val="no-margin"/>
    <w:basedOn w:val="Normal"/>
    <w:rsid w:val="00E6281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aptionChar">
    <w:name w:val="Caption Char"/>
    <w:aliases w:val="Figure/table title Char,Table Heading Char,Caption-Table Char,Caption Table Char,Table Char,Légende Car Char,Caption 1 Char,IB Caption Char,Medical Caption Char,MP-Caption Char,fig cadre Char,Caption Char Char Char,fig cadre Char2 Char"/>
    <w:basedOn w:val="DefaultParagraphFont"/>
    <w:link w:val="Caption"/>
    <w:uiPriority w:val="35"/>
    <w:locked/>
    <w:rsid w:val="00E6281E"/>
    <w:rPr>
      <w:rFonts w:ascii="Cambria" w:eastAsia="Cambria" w:hAnsi="Cambria" w:cs="Times New Roman"/>
      <w:sz w:val="19"/>
      <w:szCs w:val="18"/>
    </w:rPr>
  </w:style>
  <w:style w:type="character" w:customStyle="1" w:styleId="TableFootnoteChar">
    <w:name w:val="Table Footnote Char"/>
    <w:basedOn w:val="DefaultParagraphFont"/>
    <w:link w:val="TableFootnote"/>
    <w:locked/>
    <w:rsid w:val="00E6281E"/>
    <w:rPr>
      <w:lang w:eastAsia="ja-JP"/>
    </w:rPr>
  </w:style>
  <w:style w:type="paragraph" w:customStyle="1" w:styleId="TableFootnote">
    <w:name w:val="Table Footnote"/>
    <w:basedOn w:val="Normal"/>
    <w:link w:val="TableFootnoteChar"/>
    <w:rsid w:val="00E6281E"/>
    <w:pPr>
      <w:keepNext/>
      <w:spacing w:before="40" w:after="0" w:line="240" w:lineRule="auto"/>
      <w:ind w:left="360" w:hanging="360"/>
    </w:pPr>
    <w:rPr>
      <w:rFonts w:asciiTheme="minorHAnsi" w:eastAsiaTheme="minorHAnsi" w:hAnsiTheme="minorHAnsi" w:cstheme="minorBidi"/>
      <w:lang w:eastAsia="ja-JP"/>
    </w:rPr>
  </w:style>
  <w:style w:type="paragraph" w:styleId="TOC4">
    <w:name w:val="toc 4"/>
    <w:basedOn w:val="Normal"/>
    <w:next w:val="Normal"/>
    <w:autoRedefine/>
    <w:uiPriority w:val="39"/>
    <w:unhideWhenUsed/>
    <w:rsid w:val="00E6281E"/>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E6281E"/>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E6281E"/>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E6281E"/>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E6281E"/>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E6281E"/>
    <w:pPr>
      <w:spacing w:before="0" w:after="0"/>
      <w:ind w:left="1760"/>
    </w:pPr>
    <w:rPr>
      <w:rFonts w:asciiTheme="minorHAnsi" w:hAnsiTheme="minorHAnsi"/>
      <w:sz w:val="18"/>
      <w:szCs w:val="18"/>
    </w:rPr>
  </w:style>
  <w:style w:type="character" w:customStyle="1" w:styleId="UnresolvedMention2">
    <w:name w:val="Unresolved Mention2"/>
    <w:basedOn w:val="DefaultParagraphFont"/>
    <w:uiPriority w:val="99"/>
    <w:semiHidden/>
    <w:unhideWhenUsed/>
    <w:rsid w:val="00E6281E"/>
    <w:rPr>
      <w:color w:val="605E5C"/>
      <w:shd w:val="clear" w:color="auto" w:fill="E1DFDD"/>
    </w:rPr>
  </w:style>
  <w:style w:type="paragraph" w:styleId="NoSpacing">
    <w:name w:val="No Spacing"/>
    <w:uiPriority w:val="1"/>
    <w:qFormat/>
    <w:rsid w:val="00E6281E"/>
    <w:pPr>
      <w:spacing w:after="0" w:line="240" w:lineRule="auto"/>
    </w:pPr>
    <w:rPr>
      <w:rFonts w:ascii="Times New Roman" w:eastAsia="Times New Roman" w:hAnsi="Times New Roman" w:cs="Times New Roman"/>
      <w:sz w:val="24"/>
      <w:szCs w:val="24"/>
      <w:lang w:val="en-CA"/>
    </w:rPr>
  </w:style>
  <w:style w:type="paragraph" w:customStyle="1" w:styleId="Blau">
    <w:name w:val="Blau"/>
    <w:basedOn w:val="Normal"/>
    <w:link w:val="BlauZchn"/>
    <w:qFormat/>
    <w:rsid w:val="00E6281E"/>
    <w:pPr>
      <w:spacing w:before="0" w:after="0" w:line="260" w:lineRule="atLeast"/>
    </w:pPr>
    <w:rPr>
      <w:rFonts w:ascii="Arial" w:eastAsiaTheme="minorHAnsi" w:hAnsi="Arial" w:cs="Arial"/>
      <w:color w:val="002035" w:themeColor="accent1" w:themeShade="BF"/>
      <w:lang w:val="en-US"/>
    </w:rPr>
  </w:style>
  <w:style w:type="character" w:customStyle="1" w:styleId="BlauZchn">
    <w:name w:val="Blau Zchn"/>
    <w:basedOn w:val="DefaultParagraphFont"/>
    <w:link w:val="Blau"/>
    <w:rsid w:val="00E6281E"/>
    <w:rPr>
      <w:rFonts w:ascii="Arial" w:hAnsi="Arial" w:cs="Arial"/>
      <w:color w:val="002035" w:themeColor="accent1" w:themeShade="BF"/>
      <w:lang w:val="en-US"/>
    </w:rPr>
  </w:style>
  <w:style w:type="character" w:customStyle="1" w:styleId="normaltextrun">
    <w:name w:val="normaltextrun"/>
    <w:basedOn w:val="DefaultParagraphFont"/>
    <w:rsid w:val="00E6281E"/>
  </w:style>
  <w:style w:type="paragraph" w:customStyle="1" w:styleId="BodytextAgency">
    <w:name w:val="Body text (Agency)"/>
    <w:basedOn w:val="Normal"/>
    <w:link w:val="BodytextAgencyChar"/>
    <w:qFormat/>
    <w:rsid w:val="00E6281E"/>
    <w:pPr>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locked/>
    <w:rsid w:val="00E6281E"/>
    <w:rPr>
      <w:rFonts w:ascii="Verdana" w:eastAsia="Verdana" w:hAnsi="Verdana" w:cs="Verdana"/>
      <w:sz w:val="18"/>
      <w:szCs w:val="18"/>
      <w:lang w:val="en-GB" w:eastAsia="en-GB"/>
    </w:rPr>
  </w:style>
  <w:style w:type="table" w:customStyle="1" w:styleId="TableGrid3">
    <w:name w:val="Table Grid3"/>
    <w:basedOn w:val="TableNormal"/>
    <w:next w:val="TableGrid"/>
    <w:uiPriority w:val="59"/>
    <w:rsid w:val="00E62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ation-authors">
    <w:name w:val="highwire-citation-authors"/>
    <w:basedOn w:val="DefaultParagraphFont"/>
    <w:rsid w:val="00E6281E"/>
  </w:style>
  <w:style w:type="character" w:customStyle="1" w:styleId="highwire-citation-author">
    <w:name w:val="highwire-citation-author"/>
    <w:basedOn w:val="DefaultParagraphFont"/>
    <w:rsid w:val="00E6281E"/>
  </w:style>
  <w:style w:type="character" w:customStyle="1" w:styleId="nlm-given-names">
    <w:name w:val="nlm-given-names"/>
    <w:basedOn w:val="DefaultParagraphFont"/>
    <w:rsid w:val="00E6281E"/>
  </w:style>
  <w:style w:type="character" w:customStyle="1" w:styleId="nlm-surname">
    <w:name w:val="nlm-surname"/>
    <w:basedOn w:val="DefaultParagraphFont"/>
    <w:rsid w:val="00E6281E"/>
  </w:style>
  <w:style w:type="character" w:customStyle="1" w:styleId="highwire-cite-metadata-doi">
    <w:name w:val="highwire-cite-metadata-doi"/>
    <w:basedOn w:val="DefaultParagraphFont"/>
    <w:rsid w:val="00E6281E"/>
  </w:style>
  <w:style w:type="character" w:customStyle="1" w:styleId="label">
    <w:name w:val="label"/>
    <w:basedOn w:val="DefaultParagraphFont"/>
    <w:rsid w:val="00E6281E"/>
  </w:style>
  <w:style w:type="character" w:styleId="Emphasis">
    <w:name w:val="Emphasis"/>
    <w:basedOn w:val="DefaultParagraphFont"/>
    <w:uiPriority w:val="20"/>
    <w:qFormat/>
    <w:rsid w:val="00E6281E"/>
    <w:rPr>
      <w:i/>
      <w:iCs/>
    </w:rPr>
  </w:style>
  <w:style w:type="character" w:styleId="UnresolvedMention">
    <w:name w:val="Unresolved Mention"/>
    <w:basedOn w:val="DefaultParagraphFont"/>
    <w:uiPriority w:val="99"/>
    <w:unhideWhenUsed/>
    <w:rsid w:val="009F676B"/>
    <w:rPr>
      <w:color w:val="605E5C"/>
      <w:shd w:val="clear" w:color="auto" w:fill="E1DFDD"/>
    </w:rPr>
  </w:style>
  <w:style w:type="character" w:styleId="Mention">
    <w:name w:val="Mention"/>
    <w:basedOn w:val="DefaultParagraphFont"/>
    <w:uiPriority w:val="99"/>
    <w:unhideWhenUsed/>
    <w:rsid w:val="00534542"/>
    <w:rPr>
      <w:color w:val="2B579A"/>
      <w:shd w:val="clear" w:color="auto" w:fill="E1DFDD"/>
    </w:rPr>
  </w:style>
  <w:style w:type="character" w:customStyle="1" w:styleId="TabletextChar">
    <w:name w:val="Table text Char"/>
    <w:basedOn w:val="StandardChar"/>
    <w:link w:val="Tabletext"/>
    <w:rsid w:val="00065E3F"/>
    <w:rPr>
      <w:rFonts w:ascii="Cambria" w:eastAsia="Cambria" w:hAnsi="Cambria" w:cs="Times New Roman"/>
      <w:snapToGrid/>
      <w:kern w:val="16"/>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290178">
      <w:bodyDiv w:val="1"/>
      <w:marLeft w:val="0"/>
      <w:marRight w:val="0"/>
      <w:marTop w:val="0"/>
      <w:marBottom w:val="0"/>
      <w:divBdr>
        <w:top w:val="none" w:sz="0" w:space="0" w:color="auto"/>
        <w:left w:val="none" w:sz="0" w:space="0" w:color="auto"/>
        <w:bottom w:val="none" w:sz="0" w:space="0" w:color="auto"/>
        <w:right w:val="none" w:sz="0" w:space="0" w:color="auto"/>
      </w:divBdr>
    </w:div>
    <w:div w:id="209357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www.tga.gov.au/product-information-pi" TargetMode="External"/><Relationship Id="rId50" Type="http://schemas.openxmlformats.org/officeDocument/2006/relationships/header" Target="header6.xml"/><Relationship Id="rId55"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tga.gov.au/access-consortium-statement-covid-19-vaccines-evidence"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tga.gov.au" TargetMode="External"/><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5.xml"/><Relationship Id="rId57"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4.xm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chadox1-s" TargetMode="External"/><Relationship Id="rId13" Type="http://schemas.openxmlformats.org/officeDocument/2006/relationships/hyperlink" Target="https://www.tga.gov.au/periodic/covid-19-vaccine-weekly-safety-report-18-11-2021" TargetMode="External"/><Relationship Id="rId18" Type="http://schemas.openxmlformats.org/officeDocument/2006/relationships/hyperlink" Target="https://www.cdc.gov/vaccines/acip/meetings/downloads/slides-2021-12-16/05-COVID-Su-508.pdf" TargetMode="External"/><Relationship Id="rId3" Type="http://schemas.openxmlformats.org/officeDocument/2006/relationships/hyperlink" Target="https://www.health.gov.au/news/health-alerts/novel-coronavirus-2019-ncov-health-alert/coronavirus-covid-19-case-numbers-and-statistics" TargetMode="External"/><Relationship Id="rId7" Type="http://schemas.openxmlformats.org/officeDocument/2006/relationships/hyperlink" Target="https://www.tga.gov.au/auspar/auspar-tozinameran-mrna-covid-19-vaccine" TargetMode="External"/><Relationship Id="rId12" Type="http://schemas.openxmlformats.org/officeDocument/2006/relationships/hyperlink" Target="https://www.cdc.gov/vaccines/acip/meetings/downloads/slides-2021-11-2-3/03-COVID-Jefferson-508.pdf" TargetMode="External"/><Relationship Id="rId17" Type="http://schemas.openxmlformats.org/officeDocument/2006/relationships/hyperlink" Target="https://www.ebs.tga.gov.au/ebs/picmi/picmirepository.nsf/pdf?OpenAgent&amp;id=CP-2021-PI-01968-1&amp;d=20220104172310101" TargetMode="External"/><Relationship Id="rId2" Type="http://schemas.openxmlformats.org/officeDocument/2006/relationships/hyperlink" Target="https://www.who.int/director-general/speeches/detail/who-director-general-s-opening-remarks-at-the-media-briefing-on-covid-19---11-march-2020" TargetMode="External"/><Relationship Id="rId16" Type="http://schemas.openxmlformats.org/officeDocument/2006/relationships/hyperlink" Target="https://www.ema.europa.eu/en/medicines/human/EPAR/spikevax" TargetMode="External"/><Relationship Id="rId1" Type="http://schemas.openxmlformats.org/officeDocument/2006/relationships/hyperlink" Target="https://www.who.int/news/item/30-01-2020-statement-on-the-second-meeting-of-the-international-health-regulations-(2005)-emergency-committee-regarding-the-outbreak-of-novel-coronavirus-(2019-ncov)" TargetMode="External"/><Relationship Id="rId6" Type="http://schemas.openxmlformats.org/officeDocument/2006/relationships/hyperlink" Target="https://www.tga.gov.au/auspar/auspar-bnt162b2-mrna" TargetMode="External"/><Relationship Id="rId11" Type="http://schemas.openxmlformats.org/officeDocument/2006/relationships/hyperlink" Target="https://www.tga.gov.au/auspar/auspar-elasomeran-0" TargetMode="External"/><Relationship Id="rId5" Type="http://schemas.openxmlformats.org/officeDocument/2006/relationships/hyperlink" Target="https://www.tga.gov.au/auspar/auspar-bnt162b2-mrna-comirnaty" TargetMode="External"/><Relationship Id="rId15" Type="http://schemas.openxmlformats.org/officeDocument/2006/relationships/hyperlink" Target="https://www.ema.europa.eu/en/documents/product-information/comirnaty-epar-product-information_en.pdf" TargetMode="External"/><Relationship Id="rId10" Type="http://schemas.openxmlformats.org/officeDocument/2006/relationships/hyperlink" Target="https://www.tga.gov.au/auspar/auspar-elasomeran" TargetMode="External"/><Relationship Id="rId19" Type="http://schemas.openxmlformats.org/officeDocument/2006/relationships/hyperlink" Target="https://www.cdc.gov/vaccines/acip/meetings/downloads/slides-2022-01-05/02-covid-su-508.pdf" TargetMode="External"/><Relationship Id="rId4" Type="http://schemas.openxmlformats.org/officeDocument/2006/relationships/hyperlink" Target="https://www1.health.gov.au/internet/main/publishing.nsf/Content/C50CAE02452A48A7CA2587320081F7BF/$File/covid_19_australia_epidemiology_report_57_reporting_period_ending_16_january_2022.pdf" TargetMode="External"/><Relationship Id="rId9" Type="http://schemas.openxmlformats.org/officeDocument/2006/relationships/hyperlink" Target="https://www.tga.gov.au/auspar/auspar-ad26cov2s" TargetMode="External"/><Relationship Id="rId14" Type="http://schemas.openxmlformats.org/officeDocument/2006/relationships/hyperlink" Target="https://www.ema.europa.eu/en/news/meeting-highlights-pharmacovigilance-risk-assessment-committee-prac-29-november-2-december-202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e8e9ee1-c2e3-4952-8c38-c734ea004ddf">
      <UserInfo>
        <DisplayName>Isha Shetty</DisplayName>
        <AccountId>25</AccountId>
        <AccountType/>
      </UserInfo>
      <UserInfo>
        <DisplayName>David Marsan</DisplayName>
        <AccountId>191</AccountId>
        <AccountType/>
      </UserInfo>
      <UserInfo>
        <DisplayName>Sabine Schnyder Ghamloush</DisplayName>
        <AccountId>20</AccountId>
        <AccountType/>
      </UserInfo>
      <UserInfo>
        <DisplayName>Karen Slobod (x)</DisplayName>
        <AccountId>77</AccountId>
        <AccountType/>
      </UserInfo>
      <UserInfo>
        <DisplayName>Carolyn Tucek-Szabo</DisplayName>
        <AccountId>253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478049D6F4B4408C09CDB7EF399612" ma:contentTypeVersion="6" ma:contentTypeDescription="Create a new document." ma:contentTypeScope="" ma:versionID="d6401d63c35a25716cef23dafbea2e3f">
  <xsd:schema xmlns:xsd="http://www.w3.org/2001/XMLSchema" xmlns:xs="http://www.w3.org/2001/XMLSchema" xmlns:p="http://schemas.microsoft.com/office/2006/metadata/properties" xmlns:ns2="fe8e9ee1-c2e3-4952-8c38-c734ea004ddf" xmlns:ns3="e75b8da0-2475-4e39-99e2-00680a850146" targetNamespace="http://schemas.microsoft.com/office/2006/metadata/properties" ma:root="true" ma:fieldsID="3df98d8d024c24262a452ea5b6f90bd5" ns2:_="" ns3:_="">
    <xsd:import namespace="fe8e9ee1-c2e3-4952-8c38-c734ea004ddf"/>
    <xsd:import namespace="e75b8da0-2475-4e39-99e2-00680a8501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9ee1-c2e3-4952-8c38-c734ea004d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b8da0-2475-4e39-99e2-00680a8501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79522E-EC38-44A5-BF5F-8E16C4E46AC6}">
  <ds:schemaRefs>
    <ds:schemaRef ds:uri="http://schemas.openxmlformats.org/officeDocument/2006/bibliography"/>
  </ds:schemaRefs>
</ds:datastoreItem>
</file>

<file path=customXml/itemProps2.xml><?xml version="1.0" encoding="utf-8"?>
<ds:datastoreItem xmlns:ds="http://schemas.openxmlformats.org/officeDocument/2006/customXml" ds:itemID="{20ECC003-04CA-40B6-928B-646FEF73AFC0}">
  <ds:schemaRefs>
    <ds:schemaRef ds:uri="http://schemas.microsoft.com/office/2006/metadata/properties"/>
    <ds:schemaRef ds:uri="http://schemas.microsoft.com/office/infopath/2007/PartnerControls"/>
    <ds:schemaRef ds:uri="fe8e9ee1-c2e3-4952-8c38-c734ea004ddf"/>
  </ds:schemaRefs>
</ds:datastoreItem>
</file>

<file path=customXml/itemProps3.xml><?xml version="1.0" encoding="utf-8"?>
<ds:datastoreItem xmlns:ds="http://schemas.openxmlformats.org/officeDocument/2006/customXml" ds:itemID="{227C0DDF-2F2F-4B3C-B493-9E0F3731F39A}">
  <ds:schemaRefs>
    <ds:schemaRef ds:uri="http://schemas.microsoft.com/sharepoint/v3/contenttype/forms"/>
  </ds:schemaRefs>
</ds:datastoreItem>
</file>

<file path=customXml/itemProps4.xml><?xml version="1.0" encoding="utf-8"?>
<ds:datastoreItem xmlns:ds="http://schemas.openxmlformats.org/officeDocument/2006/customXml" ds:itemID="{6DC36CBF-56CE-4B6D-8B6C-BA48EEF18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9ee1-c2e3-4952-8c38-c734ea004ddf"/>
    <ds:schemaRef ds:uri="e75b8da0-2475-4e39-99e2-00680a850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65</Pages>
  <Words>23647</Words>
  <Characters>134793</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Australian public assessment report for Elasomeran</vt:lpstr>
    </vt:vector>
  </TitlesOfParts>
  <Company>Department of Health</Company>
  <LinksUpToDate>false</LinksUpToDate>
  <CharactersWithSpaces>158124</CharactersWithSpaces>
  <SharedDoc>false</SharedDoc>
  <HLinks>
    <vt:vector size="246" baseType="variant">
      <vt:variant>
        <vt:i4>3473445</vt:i4>
      </vt:variant>
      <vt:variant>
        <vt:i4>267</vt:i4>
      </vt:variant>
      <vt:variant>
        <vt:i4>0</vt:i4>
      </vt:variant>
      <vt:variant>
        <vt:i4>5</vt:i4>
      </vt:variant>
      <vt:variant>
        <vt:lpwstr>https://www.tga.gov.au/</vt:lpwstr>
      </vt:variant>
      <vt:variant>
        <vt:lpwstr/>
      </vt:variant>
      <vt:variant>
        <vt:i4>5242926</vt:i4>
      </vt:variant>
      <vt:variant>
        <vt:i4>264</vt:i4>
      </vt:variant>
      <vt:variant>
        <vt:i4>0</vt:i4>
      </vt:variant>
      <vt:variant>
        <vt:i4>5</vt:i4>
      </vt:variant>
      <vt:variant>
        <vt:lpwstr>mailto:info@tga.gov.au</vt:lpwstr>
      </vt:variant>
      <vt:variant>
        <vt:lpwstr/>
      </vt:variant>
      <vt:variant>
        <vt:i4>4194312</vt:i4>
      </vt:variant>
      <vt:variant>
        <vt:i4>261</vt:i4>
      </vt:variant>
      <vt:variant>
        <vt:i4>0</vt:i4>
      </vt:variant>
      <vt:variant>
        <vt:i4>5</vt:i4>
      </vt:variant>
      <vt:variant>
        <vt:lpwstr>https://www.tga.gov.au/product-information-pi</vt:lpwstr>
      </vt:variant>
      <vt:variant>
        <vt:lpwstr/>
      </vt:variant>
      <vt:variant>
        <vt:i4>1900613</vt:i4>
      </vt:variant>
      <vt:variant>
        <vt:i4>111</vt:i4>
      </vt:variant>
      <vt:variant>
        <vt:i4>0</vt:i4>
      </vt:variant>
      <vt:variant>
        <vt:i4>5</vt:i4>
      </vt:variant>
      <vt:variant>
        <vt:lpwstr>https://www.tga.gov.au/access-consortium-statement-covid-19-vaccines-evidence</vt:lpwstr>
      </vt:variant>
      <vt:variant>
        <vt:lpwstr/>
      </vt:variant>
      <vt:variant>
        <vt:i4>4194312</vt:i4>
      </vt:variant>
      <vt:variant>
        <vt:i4>99</vt:i4>
      </vt:variant>
      <vt:variant>
        <vt:i4>0</vt:i4>
      </vt:variant>
      <vt:variant>
        <vt:i4>5</vt:i4>
      </vt:variant>
      <vt:variant>
        <vt:lpwstr>https://www.tga.gov.au/product-information-pi</vt:lpwstr>
      </vt:variant>
      <vt:variant>
        <vt:lpwstr/>
      </vt:variant>
      <vt:variant>
        <vt:i4>2031672</vt:i4>
      </vt:variant>
      <vt:variant>
        <vt:i4>92</vt:i4>
      </vt:variant>
      <vt:variant>
        <vt:i4>0</vt:i4>
      </vt:variant>
      <vt:variant>
        <vt:i4>5</vt:i4>
      </vt:variant>
      <vt:variant>
        <vt:lpwstr/>
      </vt:variant>
      <vt:variant>
        <vt:lpwstr>_Toc94860892</vt:lpwstr>
      </vt:variant>
      <vt:variant>
        <vt:i4>1835064</vt:i4>
      </vt:variant>
      <vt:variant>
        <vt:i4>86</vt:i4>
      </vt:variant>
      <vt:variant>
        <vt:i4>0</vt:i4>
      </vt:variant>
      <vt:variant>
        <vt:i4>5</vt:i4>
      </vt:variant>
      <vt:variant>
        <vt:lpwstr/>
      </vt:variant>
      <vt:variant>
        <vt:lpwstr>_Toc94860891</vt:lpwstr>
      </vt:variant>
      <vt:variant>
        <vt:i4>1900600</vt:i4>
      </vt:variant>
      <vt:variant>
        <vt:i4>80</vt:i4>
      </vt:variant>
      <vt:variant>
        <vt:i4>0</vt:i4>
      </vt:variant>
      <vt:variant>
        <vt:i4>5</vt:i4>
      </vt:variant>
      <vt:variant>
        <vt:lpwstr/>
      </vt:variant>
      <vt:variant>
        <vt:lpwstr>_Toc94860890</vt:lpwstr>
      </vt:variant>
      <vt:variant>
        <vt:i4>1310777</vt:i4>
      </vt:variant>
      <vt:variant>
        <vt:i4>74</vt:i4>
      </vt:variant>
      <vt:variant>
        <vt:i4>0</vt:i4>
      </vt:variant>
      <vt:variant>
        <vt:i4>5</vt:i4>
      </vt:variant>
      <vt:variant>
        <vt:lpwstr/>
      </vt:variant>
      <vt:variant>
        <vt:lpwstr>_Toc94860889</vt:lpwstr>
      </vt:variant>
      <vt:variant>
        <vt:i4>1376313</vt:i4>
      </vt:variant>
      <vt:variant>
        <vt:i4>68</vt:i4>
      </vt:variant>
      <vt:variant>
        <vt:i4>0</vt:i4>
      </vt:variant>
      <vt:variant>
        <vt:i4>5</vt:i4>
      </vt:variant>
      <vt:variant>
        <vt:lpwstr/>
      </vt:variant>
      <vt:variant>
        <vt:lpwstr>_Toc94860888</vt:lpwstr>
      </vt:variant>
      <vt:variant>
        <vt:i4>1703993</vt:i4>
      </vt:variant>
      <vt:variant>
        <vt:i4>62</vt:i4>
      </vt:variant>
      <vt:variant>
        <vt:i4>0</vt:i4>
      </vt:variant>
      <vt:variant>
        <vt:i4>5</vt:i4>
      </vt:variant>
      <vt:variant>
        <vt:lpwstr/>
      </vt:variant>
      <vt:variant>
        <vt:lpwstr>_Toc94860887</vt:lpwstr>
      </vt:variant>
      <vt:variant>
        <vt:i4>1769529</vt:i4>
      </vt:variant>
      <vt:variant>
        <vt:i4>56</vt:i4>
      </vt:variant>
      <vt:variant>
        <vt:i4>0</vt:i4>
      </vt:variant>
      <vt:variant>
        <vt:i4>5</vt:i4>
      </vt:variant>
      <vt:variant>
        <vt:lpwstr/>
      </vt:variant>
      <vt:variant>
        <vt:lpwstr>_Toc94860886</vt:lpwstr>
      </vt:variant>
      <vt:variant>
        <vt:i4>1572921</vt:i4>
      </vt:variant>
      <vt:variant>
        <vt:i4>50</vt:i4>
      </vt:variant>
      <vt:variant>
        <vt:i4>0</vt:i4>
      </vt:variant>
      <vt:variant>
        <vt:i4>5</vt:i4>
      </vt:variant>
      <vt:variant>
        <vt:lpwstr/>
      </vt:variant>
      <vt:variant>
        <vt:lpwstr>_Toc94860885</vt:lpwstr>
      </vt:variant>
      <vt:variant>
        <vt:i4>1638457</vt:i4>
      </vt:variant>
      <vt:variant>
        <vt:i4>44</vt:i4>
      </vt:variant>
      <vt:variant>
        <vt:i4>0</vt:i4>
      </vt:variant>
      <vt:variant>
        <vt:i4>5</vt:i4>
      </vt:variant>
      <vt:variant>
        <vt:lpwstr/>
      </vt:variant>
      <vt:variant>
        <vt:lpwstr>_Toc94860884</vt:lpwstr>
      </vt:variant>
      <vt:variant>
        <vt:i4>1966137</vt:i4>
      </vt:variant>
      <vt:variant>
        <vt:i4>38</vt:i4>
      </vt:variant>
      <vt:variant>
        <vt:i4>0</vt:i4>
      </vt:variant>
      <vt:variant>
        <vt:i4>5</vt:i4>
      </vt:variant>
      <vt:variant>
        <vt:lpwstr/>
      </vt:variant>
      <vt:variant>
        <vt:lpwstr>_Toc94860883</vt:lpwstr>
      </vt:variant>
      <vt:variant>
        <vt:i4>2031673</vt:i4>
      </vt:variant>
      <vt:variant>
        <vt:i4>32</vt:i4>
      </vt:variant>
      <vt:variant>
        <vt:i4>0</vt:i4>
      </vt:variant>
      <vt:variant>
        <vt:i4>5</vt:i4>
      </vt:variant>
      <vt:variant>
        <vt:lpwstr/>
      </vt:variant>
      <vt:variant>
        <vt:lpwstr>_Toc94860882</vt:lpwstr>
      </vt:variant>
      <vt:variant>
        <vt:i4>1835065</vt:i4>
      </vt:variant>
      <vt:variant>
        <vt:i4>26</vt:i4>
      </vt:variant>
      <vt:variant>
        <vt:i4>0</vt:i4>
      </vt:variant>
      <vt:variant>
        <vt:i4>5</vt:i4>
      </vt:variant>
      <vt:variant>
        <vt:lpwstr/>
      </vt:variant>
      <vt:variant>
        <vt:lpwstr>_Toc94860881</vt:lpwstr>
      </vt:variant>
      <vt:variant>
        <vt:i4>1900601</vt:i4>
      </vt:variant>
      <vt:variant>
        <vt:i4>20</vt:i4>
      </vt:variant>
      <vt:variant>
        <vt:i4>0</vt:i4>
      </vt:variant>
      <vt:variant>
        <vt:i4>5</vt:i4>
      </vt:variant>
      <vt:variant>
        <vt:lpwstr/>
      </vt:variant>
      <vt:variant>
        <vt:lpwstr>_Toc94860880</vt:lpwstr>
      </vt:variant>
      <vt:variant>
        <vt:i4>1310774</vt:i4>
      </vt:variant>
      <vt:variant>
        <vt:i4>14</vt:i4>
      </vt:variant>
      <vt:variant>
        <vt:i4>0</vt:i4>
      </vt:variant>
      <vt:variant>
        <vt:i4>5</vt:i4>
      </vt:variant>
      <vt:variant>
        <vt:lpwstr/>
      </vt:variant>
      <vt:variant>
        <vt:lpwstr>_Toc94860879</vt:lpwstr>
      </vt:variant>
      <vt:variant>
        <vt:i4>1376310</vt:i4>
      </vt:variant>
      <vt:variant>
        <vt:i4>8</vt:i4>
      </vt:variant>
      <vt:variant>
        <vt:i4>0</vt:i4>
      </vt:variant>
      <vt:variant>
        <vt:i4>5</vt:i4>
      </vt:variant>
      <vt:variant>
        <vt:lpwstr/>
      </vt:variant>
      <vt:variant>
        <vt:lpwstr>_Toc94860878</vt:lpwstr>
      </vt:variant>
      <vt:variant>
        <vt:i4>6291548</vt:i4>
      </vt:variant>
      <vt:variant>
        <vt:i4>3</vt:i4>
      </vt:variant>
      <vt:variant>
        <vt:i4>0</vt:i4>
      </vt:variant>
      <vt:variant>
        <vt:i4>5</vt:i4>
      </vt:variant>
      <vt:variant>
        <vt:lpwstr>mailto:tga.copyright@tga.gov.au</vt:lpwstr>
      </vt:variant>
      <vt:variant>
        <vt:lpwstr/>
      </vt:variant>
      <vt:variant>
        <vt:i4>3473445</vt:i4>
      </vt:variant>
      <vt:variant>
        <vt:i4>0</vt:i4>
      </vt:variant>
      <vt:variant>
        <vt:i4>0</vt:i4>
      </vt:variant>
      <vt:variant>
        <vt:i4>5</vt:i4>
      </vt:variant>
      <vt:variant>
        <vt:lpwstr>https://www.tga.gov.au/</vt:lpwstr>
      </vt:variant>
      <vt:variant>
        <vt:lpwstr/>
      </vt:variant>
      <vt:variant>
        <vt:i4>3866727</vt:i4>
      </vt:variant>
      <vt:variant>
        <vt:i4>54</vt:i4>
      </vt:variant>
      <vt:variant>
        <vt:i4>0</vt:i4>
      </vt:variant>
      <vt:variant>
        <vt:i4>5</vt:i4>
      </vt:variant>
      <vt:variant>
        <vt:lpwstr>https://www.cdc.gov/vaccines/acip/meetings/downloads/slides-2022-01-05/02-covid-su-508.pdf</vt:lpwstr>
      </vt:variant>
      <vt:variant>
        <vt:lpwstr/>
      </vt:variant>
      <vt:variant>
        <vt:i4>3801186</vt:i4>
      </vt:variant>
      <vt:variant>
        <vt:i4>51</vt:i4>
      </vt:variant>
      <vt:variant>
        <vt:i4>0</vt:i4>
      </vt:variant>
      <vt:variant>
        <vt:i4>5</vt:i4>
      </vt:variant>
      <vt:variant>
        <vt:lpwstr>https://www.cdc.gov/vaccines/acip/meetings/downloads/slides-2021-12-16/05-COVID-Su-508.pdf</vt:lpwstr>
      </vt:variant>
      <vt:variant>
        <vt:lpwstr/>
      </vt:variant>
      <vt:variant>
        <vt:i4>4718677</vt:i4>
      </vt:variant>
      <vt:variant>
        <vt:i4>48</vt:i4>
      </vt:variant>
      <vt:variant>
        <vt:i4>0</vt:i4>
      </vt:variant>
      <vt:variant>
        <vt:i4>5</vt:i4>
      </vt:variant>
      <vt:variant>
        <vt:lpwstr>https://www.ebs.tga.gov.au/ebs/picmi/picmirepository.nsf/pdf?OpenAgent&amp;id=CP-2021-PI-01968-1&amp;d=20220104172310101</vt:lpwstr>
      </vt:variant>
      <vt:variant>
        <vt:lpwstr/>
      </vt:variant>
      <vt:variant>
        <vt:i4>655430</vt:i4>
      </vt:variant>
      <vt:variant>
        <vt:i4>45</vt:i4>
      </vt:variant>
      <vt:variant>
        <vt:i4>0</vt:i4>
      </vt:variant>
      <vt:variant>
        <vt:i4>5</vt:i4>
      </vt:variant>
      <vt:variant>
        <vt:lpwstr>https://www.ema.europa.eu/en/medicines/human/EPAR/spikevax</vt:lpwstr>
      </vt:variant>
      <vt:variant>
        <vt:lpwstr>product-information-section</vt:lpwstr>
      </vt:variant>
      <vt:variant>
        <vt:i4>6488079</vt:i4>
      </vt:variant>
      <vt:variant>
        <vt:i4>42</vt:i4>
      </vt:variant>
      <vt:variant>
        <vt:i4>0</vt:i4>
      </vt:variant>
      <vt:variant>
        <vt:i4>5</vt:i4>
      </vt:variant>
      <vt:variant>
        <vt:lpwstr>https://www.ema.europa.eu/en/documents/product-information/comirnaty-epar-product-information_en.pdf</vt:lpwstr>
      </vt:variant>
      <vt:variant>
        <vt:lpwstr/>
      </vt:variant>
      <vt:variant>
        <vt:i4>65539</vt:i4>
      </vt:variant>
      <vt:variant>
        <vt:i4>39</vt:i4>
      </vt:variant>
      <vt:variant>
        <vt:i4>0</vt:i4>
      </vt:variant>
      <vt:variant>
        <vt:i4>5</vt:i4>
      </vt:variant>
      <vt:variant>
        <vt:lpwstr>https://www.ema.europa.eu/en/news/meeting-highlights-pharmacovigilance-risk-assessment-committee-prac-29-november-2-december-2021</vt:lpwstr>
      </vt:variant>
      <vt:variant>
        <vt:lpwstr/>
      </vt:variant>
      <vt:variant>
        <vt:i4>4390981</vt:i4>
      </vt:variant>
      <vt:variant>
        <vt:i4>36</vt:i4>
      </vt:variant>
      <vt:variant>
        <vt:i4>0</vt:i4>
      </vt:variant>
      <vt:variant>
        <vt:i4>5</vt:i4>
      </vt:variant>
      <vt:variant>
        <vt:lpwstr>https://www.tga.gov.au/periodic/covid-19-vaccine-weekly-safety-report-18-11-2021</vt:lpwstr>
      </vt:variant>
      <vt:variant>
        <vt:lpwstr/>
      </vt:variant>
      <vt:variant>
        <vt:i4>8061025</vt:i4>
      </vt:variant>
      <vt:variant>
        <vt:i4>33</vt:i4>
      </vt:variant>
      <vt:variant>
        <vt:i4>0</vt:i4>
      </vt:variant>
      <vt:variant>
        <vt:i4>5</vt:i4>
      </vt:variant>
      <vt:variant>
        <vt:lpwstr>https://www.cdc.gov/vaccines/acip/meetings/downloads/slides-2021-11-2-3/03-COVID-Jefferson-508.pdf</vt:lpwstr>
      </vt:variant>
      <vt:variant>
        <vt:lpwstr/>
      </vt:variant>
      <vt:variant>
        <vt:i4>6029389</vt:i4>
      </vt:variant>
      <vt:variant>
        <vt:i4>30</vt:i4>
      </vt:variant>
      <vt:variant>
        <vt:i4>0</vt:i4>
      </vt:variant>
      <vt:variant>
        <vt:i4>5</vt:i4>
      </vt:variant>
      <vt:variant>
        <vt:lpwstr>https://www.tga.gov.au/auspar/auspar-elasomeran-0</vt:lpwstr>
      </vt:variant>
      <vt:variant>
        <vt:lpwstr/>
      </vt:variant>
      <vt:variant>
        <vt:i4>7405603</vt:i4>
      </vt:variant>
      <vt:variant>
        <vt:i4>27</vt:i4>
      </vt:variant>
      <vt:variant>
        <vt:i4>0</vt:i4>
      </vt:variant>
      <vt:variant>
        <vt:i4>5</vt:i4>
      </vt:variant>
      <vt:variant>
        <vt:lpwstr>https://www.tga.gov.au/auspar/auspar-elasomeran</vt:lpwstr>
      </vt:variant>
      <vt:variant>
        <vt:lpwstr/>
      </vt:variant>
      <vt:variant>
        <vt:i4>2818092</vt:i4>
      </vt:variant>
      <vt:variant>
        <vt:i4>24</vt:i4>
      </vt:variant>
      <vt:variant>
        <vt:i4>0</vt:i4>
      </vt:variant>
      <vt:variant>
        <vt:i4>5</vt:i4>
      </vt:variant>
      <vt:variant>
        <vt:lpwstr>https://www.tga.gov.au/auspar/auspar-ad26cov2s</vt:lpwstr>
      </vt:variant>
      <vt:variant>
        <vt:lpwstr/>
      </vt:variant>
      <vt:variant>
        <vt:i4>3211386</vt:i4>
      </vt:variant>
      <vt:variant>
        <vt:i4>21</vt:i4>
      </vt:variant>
      <vt:variant>
        <vt:i4>0</vt:i4>
      </vt:variant>
      <vt:variant>
        <vt:i4>5</vt:i4>
      </vt:variant>
      <vt:variant>
        <vt:lpwstr>https://www.tga.gov.au/auspar/auspar-chadox1-s</vt:lpwstr>
      </vt:variant>
      <vt:variant>
        <vt:lpwstr/>
      </vt:variant>
      <vt:variant>
        <vt:i4>2752639</vt:i4>
      </vt:variant>
      <vt:variant>
        <vt:i4>18</vt:i4>
      </vt:variant>
      <vt:variant>
        <vt:i4>0</vt:i4>
      </vt:variant>
      <vt:variant>
        <vt:i4>5</vt:i4>
      </vt:variant>
      <vt:variant>
        <vt:lpwstr>https://www.tga.gov.au/auspar/auspar-tozinameran-mrna-covid-19-vaccine</vt:lpwstr>
      </vt:variant>
      <vt:variant>
        <vt:lpwstr/>
      </vt:variant>
      <vt:variant>
        <vt:i4>6422655</vt:i4>
      </vt:variant>
      <vt:variant>
        <vt:i4>15</vt:i4>
      </vt:variant>
      <vt:variant>
        <vt:i4>0</vt:i4>
      </vt:variant>
      <vt:variant>
        <vt:i4>5</vt:i4>
      </vt:variant>
      <vt:variant>
        <vt:lpwstr>https://www.tga.gov.au/auspar/auspar-bnt162b2-mrna</vt:lpwstr>
      </vt:variant>
      <vt:variant>
        <vt:lpwstr/>
      </vt:variant>
      <vt:variant>
        <vt:i4>393294</vt:i4>
      </vt:variant>
      <vt:variant>
        <vt:i4>12</vt:i4>
      </vt:variant>
      <vt:variant>
        <vt:i4>0</vt:i4>
      </vt:variant>
      <vt:variant>
        <vt:i4>5</vt:i4>
      </vt:variant>
      <vt:variant>
        <vt:lpwstr>https://www.tga.gov.au/auspar/auspar-bnt162b2-mrna-comirnaty</vt:lpwstr>
      </vt:variant>
      <vt:variant>
        <vt:lpwstr/>
      </vt:variant>
      <vt:variant>
        <vt:i4>131117</vt:i4>
      </vt:variant>
      <vt:variant>
        <vt:i4>9</vt:i4>
      </vt:variant>
      <vt:variant>
        <vt:i4>0</vt:i4>
      </vt:variant>
      <vt:variant>
        <vt:i4>5</vt:i4>
      </vt:variant>
      <vt:variant>
        <vt:lpwstr>https://www1.health.gov.au/internet/main/publishing.nsf/Content/C50CAE02452A48A7CA2587320081F7BF/$File/covid_19_australia_epidemiology_report_57_reporting_period_ending_16_january_2022.pdf</vt:lpwstr>
      </vt:variant>
      <vt:variant>
        <vt:lpwstr/>
      </vt:variant>
      <vt:variant>
        <vt:i4>6684785</vt:i4>
      </vt:variant>
      <vt:variant>
        <vt:i4>6</vt:i4>
      </vt:variant>
      <vt:variant>
        <vt:i4>0</vt:i4>
      </vt:variant>
      <vt:variant>
        <vt:i4>5</vt:i4>
      </vt:variant>
      <vt:variant>
        <vt:lpwstr>https://www.health.gov.au/news/health-alerts/novel-coronavirus-2019-ncov-health-alert/coronavirus-covid-19-case-numbers-and-statistics</vt:lpwstr>
      </vt:variant>
      <vt:variant>
        <vt:lpwstr/>
      </vt:variant>
      <vt:variant>
        <vt:i4>2031642</vt:i4>
      </vt:variant>
      <vt:variant>
        <vt:i4>3</vt:i4>
      </vt:variant>
      <vt:variant>
        <vt:i4>0</vt:i4>
      </vt:variant>
      <vt:variant>
        <vt:i4>5</vt:i4>
      </vt:variant>
      <vt:variant>
        <vt:lpwstr>https://www.who.int/director-general/speeches/detail/who-director-general-s-opening-remarks-at-the-media-briefing-on-covid-19---11-march-2020</vt:lpwstr>
      </vt:variant>
      <vt:variant>
        <vt:lpwstr/>
      </vt:variant>
      <vt:variant>
        <vt:i4>6291563</vt:i4>
      </vt:variant>
      <vt:variant>
        <vt:i4>0</vt:i4>
      </vt:variant>
      <vt:variant>
        <vt:i4>0</vt:i4>
      </vt:variant>
      <vt:variant>
        <vt:i4>5</vt:i4>
      </vt:variant>
      <vt:variant>
        <vt:lpwstr>https://www.who.int/news/item/30-01-2020-statement-on-the-second-meeting-of-the-international-health-regulations-(2005)-emergency-committee-regarding-the-outbreak-of-novel-coronavirus-(2019-ncov)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Elasomeran</dc:title>
  <dc:subject>prescription medicines</dc:subject>
  <dc:creator>Therapeutic Goods Administration</dc:creator>
  <cp:keywords/>
  <cp:lastModifiedBy>KOLARIK-OREILLY, Kristy</cp:lastModifiedBy>
  <cp:revision>2</cp:revision>
  <cp:lastPrinted>2019-08-14T04:30:00Z</cp:lastPrinted>
  <dcterms:created xsi:type="dcterms:W3CDTF">2022-02-23T02:53:00Z</dcterms:created>
  <dcterms:modified xsi:type="dcterms:W3CDTF">2022-05-19T01:19:00Z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0x010100A0478049D6F4B4408C09CDB7EF399612</vt:lpwstr>
  </property>
</Properties>
</file>