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645C9" w:rsidP="00096AA7">
            <w:pPr>
              <w:rPr>
                <w:rFonts w:ascii="Arial" w:hAnsi="Arial" w:cs="Arial"/>
                <w:b/>
                <w:color w:val="002C47"/>
                <w:sz w:val="36"/>
                <w:szCs w:val="36"/>
              </w:rPr>
            </w:pPr>
            <w:r>
              <w:rPr>
                <w:rFonts w:ascii="Arial" w:hAnsi="Arial" w:cs="Arial"/>
                <w:b/>
                <w:color w:val="002C47"/>
                <w:sz w:val="36"/>
                <w:szCs w:val="36"/>
              </w:rPr>
              <w:t>November</w:t>
            </w:r>
            <w:r w:rsidR="00E709F9">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C90015">
            <w:pPr>
              <w:pStyle w:val="Title"/>
              <w:rPr>
                <w:color w:val="FFFFFF" w:themeColor="background1"/>
              </w:rPr>
            </w:pPr>
            <w:r w:rsidRPr="00A964D1">
              <w:rPr>
                <w:color w:val="FFFFFF" w:themeColor="background1"/>
              </w:rPr>
              <w:t xml:space="preserve">Australian Public Assessment Report for </w:t>
            </w:r>
            <w:r w:rsidR="00E709F9">
              <w:rPr>
                <w:color w:val="FFFFFF" w:themeColor="background1"/>
              </w:rPr>
              <w:t>Eftrenonacog Al</w:t>
            </w:r>
            <w:r w:rsidR="00C90015">
              <w:rPr>
                <w:color w:val="FFFFFF" w:themeColor="background1"/>
              </w:rPr>
              <w:t>f</w:t>
            </w:r>
            <w:r w:rsidR="00E709F9">
              <w:rPr>
                <w:color w:val="FFFFFF" w:themeColor="background1"/>
              </w:rPr>
              <w:t>a</w:t>
            </w:r>
          </w:p>
        </w:tc>
      </w:tr>
      <w:tr w:rsidR="0032583B" w:rsidRPr="00B64760" w:rsidTr="0032583B">
        <w:tc>
          <w:tcPr>
            <w:tcW w:w="9079" w:type="dxa"/>
          </w:tcPr>
          <w:p w:rsidR="0032583B" w:rsidRPr="008E7846" w:rsidRDefault="0032583B" w:rsidP="00E709F9">
            <w:pPr>
              <w:pStyle w:val="Subtitle"/>
              <w:rPr>
                <w:color w:val="FFFFFF" w:themeColor="background1"/>
              </w:rPr>
            </w:pPr>
            <w:r w:rsidRPr="008E7846">
              <w:rPr>
                <w:color w:val="FFFFFF" w:themeColor="background1"/>
              </w:rPr>
              <w:t xml:space="preserve">Proprietary Product Name: </w:t>
            </w:r>
            <w:r w:rsidR="00E709F9">
              <w:rPr>
                <w:color w:val="FFFFFF" w:themeColor="background1"/>
              </w:rPr>
              <w:t>Alprolix</w:t>
            </w:r>
          </w:p>
        </w:tc>
      </w:tr>
      <w:tr w:rsidR="0032583B" w:rsidRPr="00B64760" w:rsidTr="0032583B">
        <w:trPr>
          <w:trHeight w:val="486"/>
        </w:trPr>
        <w:tc>
          <w:tcPr>
            <w:tcW w:w="9079" w:type="dxa"/>
          </w:tcPr>
          <w:p w:rsidR="0032583B" w:rsidRPr="008E7846" w:rsidRDefault="0032583B" w:rsidP="00C70060">
            <w:pPr>
              <w:pStyle w:val="Subtitle"/>
              <w:rPr>
                <w:color w:val="FFFFFF" w:themeColor="background1"/>
              </w:rPr>
            </w:pPr>
            <w:r w:rsidRPr="008E7846">
              <w:rPr>
                <w:color w:val="FFFFFF" w:themeColor="background1"/>
              </w:rPr>
              <w:t xml:space="preserve">Sponsor: </w:t>
            </w:r>
            <w:proofErr w:type="spellStart"/>
            <w:r w:rsidR="00E709F9">
              <w:rPr>
                <w:color w:val="FFFFFF" w:themeColor="background1"/>
              </w:rPr>
              <w:t>Biog</w:t>
            </w:r>
            <w:r w:rsidR="00C70060">
              <w:rPr>
                <w:color w:val="FFFFFF" w:themeColor="background1"/>
              </w:rPr>
              <w:t>e</w:t>
            </w:r>
            <w:r w:rsidR="00E709F9">
              <w:rPr>
                <w:color w:val="FFFFFF" w:themeColor="background1"/>
              </w:rPr>
              <w:t>n</w:t>
            </w:r>
            <w:proofErr w:type="spellEnd"/>
            <w:r w:rsidR="00E709F9">
              <w:rPr>
                <w:color w:val="FFFFFF" w:themeColor="background1"/>
              </w:rPr>
              <w:t xml:space="preserve"> Idec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FE778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FE778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E778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E778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E7781">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FE7781">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prescription medicine submission.</w:t>
      </w:r>
    </w:p>
    <w:p w:rsidR="008E7846" w:rsidRDefault="008E7846" w:rsidP="00FE7781">
      <w:pPr>
        <w:pStyle w:val="ListBullet"/>
        <w:numPr>
          <w:ilvl w:val="0"/>
          <w:numId w:val="1"/>
        </w:numPr>
        <w:ind w:left="357" w:hanging="357"/>
      </w:pPr>
      <w:r>
        <w:t>AusPARs are prepared and published by the TGA.</w:t>
      </w:r>
    </w:p>
    <w:p w:rsidR="008E7846" w:rsidRDefault="008E7846" w:rsidP="00FE7781">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FE7781">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FE7781">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pPr>
    </w:p>
    <w:p w:rsidR="000E6DDB" w:rsidRDefault="000E6DDB" w:rsidP="00924482">
      <w:pPr>
        <w:pStyle w:val="LegalCopy"/>
        <w:sectPr w:rsidR="000E6DDB"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D77E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068909" w:history="1">
            <w:r w:rsidR="00BD77E4" w:rsidRPr="00007010">
              <w:rPr>
                <w:rStyle w:val="Hyperlink"/>
                <w:noProof/>
              </w:rPr>
              <w:t>List of the most common abbreviations used in this AusPAR</w:t>
            </w:r>
            <w:r w:rsidR="00BD77E4">
              <w:rPr>
                <w:noProof/>
                <w:webHidden/>
              </w:rPr>
              <w:tab/>
            </w:r>
            <w:r w:rsidR="00BD77E4">
              <w:rPr>
                <w:noProof/>
                <w:webHidden/>
              </w:rPr>
              <w:fldChar w:fldCharType="begin"/>
            </w:r>
            <w:r w:rsidR="00BD77E4">
              <w:rPr>
                <w:noProof/>
                <w:webHidden/>
              </w:rPr>
              <w:instrText xml:space="preserve"> PAGEREF _Toc404068909 \h </w:instrText>
            </w:r>
            <w:r w:rsidR="00BD77E4">
              <w:rPr>
                <w:noProof/>
                <w:webHidden/>
              </w:rPr>
            </w:r>
            <w:r w:rsidR="00BD77E4">
              <w:rPr>
                <w:noProof/>
                <w:webHidden/>
              </w:rPr>
              <w:fldChar w:fldCharType="separate"/>
            </w:r>
            <w:r w:rsidR="00BD77E4">
              <w:rPr>
                <w:noProof/>
                <w:webHidden/>
              </w:rPr>
              <w:t>5</w:t>
            </w:r>
            <w:r w:rsidR="00BD77E4">
              <w:rPr>
                <w:noProof/>
                <w:webHidden/>
              </w:rPr>
              <w:fldChar w:fldCharType="end"/>
            </w:r>
          </w:hyperlink>
        </w:p>
        <w:p w:rsidR="00BD77E4" w:rsidRDefault="00BD77E4">
          <w:pPr>
            <w:pStyle w:val="TOC2"/>
            <w:rPr>
              <w:rFonts w:asciiTheme="minorHAnsi" w:eastAsiaTheme="minorEastAsia" w:hAnsiTheme="minorHAnsi" w:cstheme="minorBidi"/>
              <w:b w:val="0"/>
              <w:noProof/>
              <w:sz w:val="22"/>
              <w:lang w:eastAsia="en-AU"/>
            </w:rPr>
          </w:pPr>
          <w:hyperlink w:anchor="_Toc404068910" w:history="1">
            <w:r w:rsidRPr="00007010">
              <w:rPr>
                <w:rStyle w:val="Hyperlink"/>
                <w:noProof/>
              </w:rPr>
              <w:t>I. Introduction to product submission</w:t>
            </w:r>
            <w:r>
              <w:rPr>
                <w:noProof/>
                <w:webHidden/>
              </w:rPr>
              <w:tab/>
            </w:r>
            <w:r>
              <w:rPr>
                <w:noProof/>
                <w:webHidden/>
              </w:rPr>
              <w:fldChar w:fldCharType="begin"/>
            </w:r>
            <w:r>
              <w:rPr>
                <w:noProof/>
                <w:webHidden/>
              </w:rPr>
              <w:instrText xml:space="preserve"> PAGEREF _Toc404068910 \h </w:instrText>
            </w:r>
            <w:r>
              <w:rPr>
                <w:noProof/>
                <w:webHidden/>
              </w:rPr>
            </w:r>
            <w:r>
              <w:rPr>
                <w:noProof/>
                <w:webHidden/>
              </w:rPr>
              <w:fldChar w:fldCharType="separate"/>
            </w:r>
            <w:r>
              <w:rPr>
                <w:noProof/>
                <w:webHidden/>
              </w:rPr>
              <w:t>7</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1" w:history="1">
            <w:r w:rsidRPr="00007010">
              <w:rPr>
                <w:rStyle w:val="Hyperlink"/>
                <w:noProof/>
                <w:lang w:eastAsia="en-AU"/>
              </w:rPr>
              <w:t>Submission details</w:t>
            </w:r>
            <w:r>
              <w:rPr>
                <w:noProof/>
                <w:webHidden/>
              </w:rPr>
              <w:tab/>
            </w:r>
            <w:r>
              <w:rPr>
                <w:noProof/>
                <w:webHidden/>
              </w:rPr>
              <w:fldChar w:fldCharType="begin"/>
            </w:r>
            <w:r>
              <w:rPr>
                <w:noProof/>
                <w:webHidden/>
              </w:rPr>
              <w:instrText xml:space="preserve"> PAGEREF _Toc404068911 \h </w:instrText>
            </w:r>
            <w:r>
              <w:rPr>
                <w:noProof/>
                <w:webHidden/>
              </w:rPr>
            </w:r>
            <w:r>
              <w:rPr>
                <w:noProof/>
                <w:webHidden/>
              </w:rPr>
              <w:fldChar w:fldCharType="separate"/>
            </w:r>
            <w:r>
              <w:rPr>
                <w:noProof/>
                <w:webHidden/>
              </w:rPr>
              <w:t>7</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2" w:history="1">
            <w:r w:rsidRPr="00007010">
              <w:rPr>
                <w:rStyle w:val="Hyperlink"/>
                <w:noProof/>
              </w:rPr>
              <w:t>Product background</w:t>
            </w:r>
            <w:r>
              <w:rPr>
                <w:noProof/>
                <w:webHidden/>
              </w:rPr>
              <w:tab/>
            </w:r>
            <w:r>
              <w:rPr>
                <w:noProof/>
                <w:webHidden/>
              </w:rPr>
              <w:fldChar w:fldCharType="begin"/>
            </w:r>
            <w:r>
              <w:rPr>
                <w:noProof/>
                <w:webHidden/>
              </w:rPr>
              <w:instrText xml:space="preserve"> PAGEREF _Toc404068912 \h </w:instrText>
            </w:r>
            <w:r>
              <w:rPr>
                <w:noProof/>
                <w:webHidden/>
              </w:rPr>
            </w:r>
            <w:r>
              <w:rPr>
                <w:noProof/>
                <w:webHidden/>
              </w:rPr>
              <w:fldChar w:fldCharType="separate"/>
            </w:r>
            <w:r>
              <w:rPr>
                <w:noProof/>
                <w:webHidden/>
              </w:rPr>
              <w:t>7</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3" w:history="1">
            <w:r w:rsidRPr="00007010">
              <w:rPr>
                <w:rStyle w:val="Hyperlink"/>
                <w:noProof/>
              </w:rPr>
              <w:t>Regulatory status</w:t>
            </w:r>
            <w:r>
              <w:rPr>
                <w:noProof/>
                <w:webHidden/>
              </w:rPr>
              <w:tab/>
            </w:r>
            <w:r>
              <w:rPr>
                <w:noProof/>
                <w:webHidden/>
              </w:rPr>
              <w:fldChar w:fldCharType="begin"/>
            </w:r>
            <w:r>
              <w:rPr>
                <w:noProof/>
                <w:webHidden/>
              </w:rPr>
              <w:instrText xml:space="preserve"> PAGEREF _Toc404068913 \h </w:instrText>
            </w:r>
            <w:r>
              <w:rPr>
                <w:noProof/>
                <w:webHidden/>
              </w:rPr>
            </w:r>
            <w:r>
              <w:rPr>
                <w:noProof/>
                <w:webHidden/>
              </w:rPr>
              <w:fldChar w:fldCharType="separate"/>
            </w:r>
            <w:r>
              <w:rPr>
                <w:noProof/>
                <w:webHidden/>
              </w:rPr>
              <w:t>9</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4" w:history="1">
            <w:r w:rsidRPr="00007010">
              <w:rPr>
                <w:rStyle w:val="Hyperlink"/>
                <w:noProof/>
              </w:rPr>
              <w:t>Product Information</w:t>
            </w:r>
            <w:r>
              <w:rPr>
                <w:noProof/>
                <w:webHidden/>
              </w:rPr>
              <w:tab/>
            </w:r>
            <w:r>
              <w:rPr>
                <w:noProof/>
                <w:webHidden/>
              </w:rPr>
              <w:fldChar w:fldCharType="begin"/>
            </w:r>
            <w:r>
              <w:rPr>
                <w:noProof/>
                <w:webHidden/>
              </w:rPr>
              <w:instrText xml:space="preserve"> PAGEREF _Toc404068914 \h </w:instrText>
            </w:r>
            <w:r>
              <w:rPr>
                <w:noProof/>
                <w:webHidden/>
              </w:rPr>
            </w:r>
            <w:r>
              <w:rPr>
                <w:noProof/>
                <w:webHidden/>
              </w:rPr>
              <w:fldChar w:fldCharType="separate"/>
            </w:r>
            <w:r>
              <w:rPr>
                <w:noProof/>
                <w:webHidden/>
              </w:rPr>
              <w:t>9</w:t>
            </w:r>
            <w:r>
              <w:rPr>
                <w:noProof/>
                <w:webHidden/>
              </w:rPr>
              <w:fldChar w:fldCharType="end"/>
            </w:r>
          </w:hyperlink>
        </w:p>
        <w:p w:rsidR="00BD77E4" w:rsidRDefault="00BD77E4">
          <w:pPr>
            <w:pStyle w:val="TOC2"/>
            <w:rPr>
              <w:rFonts w:asciiTheme="minorHAnsi" w:eastAsiaTheme="minorEastAsia" w:hAnsiTheme="minorHAnsi" w:cstheme="minorBidi"/>
              <w:b w:val="0"/>
              <w:noProof/>
              <w:sz w:val="22"/>
              <w:lang w:eastAsia="en-AU"/>
            </w:rPr>
          </w:pPr>
          <w:hyperlink w:anchor="_Toc404068915" w:history="1">
            <w:r w:rsidRPr="00007010">
              <w:rPr>
                <w:rStyle w:val="Hyperlink"/>
                <w:noProof/>
              </w:rPr>
              <w:t>II. Quality findings</w:t>
            </w:r>
            <w:r>
              <w:rPr>
                <w:noProof/>
                <w:webHidden/>
              </w:rPr>
              <w:tab/>
            </w:r>
            <w:r>
              <w:rPr>
                <w:noProof/>
                <w:webHidden/>
              </w:rPr>
              <w:fldChar w:fldCharType="begin"/>
            </w:r>
            <w:r>
              <w:rPr>
                <w:noProof/>
                <w:webHidden/>
              </w:rPr>
              <w:instrText xml:space="preserve"> PAGEREF _Toc404068915 \h </w:instrText>
            </w:r>
            <w:r>
              <w:rPr>
                <w:noProof/>
                <w:webHidden/>
              </w:rPr>
            </w:r>
            <w:r>
              <w:rPr>
                <w:noProof/>
                <w:webHidden/>
              </w:rPr>
              <w:fldChar w:fldCharType="separate"/>
            </w:r>
            <w:r>
              <w:rPr>
                <w:noProof/>
                <w:webHidden/>
              </w:rPr>
              <w:t>9</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6" w:history="1">
            <w:r w:rsidRPr="00007010">
              <w:rPr>
                <w:rStyle w:val="Hyperlink"/>
                <w:noProof/>
              </w:rPr>
              <w:t>Drug substance (active ingredient)</w:t>
            </w:r>
            <w:r>
              <w:rPr>
                <w:noProof/>
                <w:webHidden/>
              </w:rPr>
              <w:tab/>
            </w:r>
            <w:r>
              <w:rPr>
                <w:noProof/>
                <w:webHidden/>
              </w:rPr>
              <w:fldChar w:fldCharType="begin"/>
            </w:r>
            <w:r>
              <w:rPr>
                <w:noProof/>
                <w:webHidden/>
              </w:rPr>
              <w:instrText xml:space="preserve"> PAGEREF _Toc404068916 \h </w:instrText>
            </w:r>
            <w:r>
              <w:rPr>
                <w:noProof/>
                <w:webHidden/>
              </w:rPr>
            </w:r>
            <w:r>
              <w:rPr>
                <w:noProof/>
                <w:webHidden/>
              </w:rPr>
              <w:fldChar w:fldCharType="separate"/>
            </w:r>
            <w:r>
              <w:rPr>
                <w:noProof/>
                <w:webHidden/>
              </w:rPr>
              <w:t>9</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7" w:history="1">
            <w:r w:rsidRPr="00007010">
              <w:rPr>
                <w:rStyle w:val="Hyperlink"/>
                <w:noProof/>
              </w:rPr>
              <w:t>Manufacture</w:t>
            </w:r>
            <w:r>
              <w:rPr>
                <w:noProof/>
                <w:webHidden/>
              </w:rPr>
              <w:tab/>
            </w:r>
            <w:r>
              <w:rPr>
                <w:noProof/>
                <w:webHidden/>
              </w:rPr>
              <w:fldChar w:fldCharType="begin"/>
            </w:r>
            <w:r>
              <w:rPr>
                <w:noProof/>
                <w:webHidden/>
              </w:rPr>
              <w:instrText xml:space="preserve"> PAGEREF _Toc404068917 \h </w:instrText>
            </w:r>
            <w:r>
              <w:rPr>
                <w:noProof/>
                <w:webHidden/>
              </w:rPr>
            </w:r>
            <w:r>
              <w:rPr>
                <w:noProof/>
                <w:webHidden/>
              </w:rPr>
              <w:fldChar w:fldCharType="separate"/>
            </w:r>
            <w:r>
              <w:rPr>
                <w:noProof/>
                <w:webHidden/>
              </w:rPr>
              <w:t>10</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8" w:history="1">
            <w:r w:rsidRPr="00007010">
              <w:rPr>
                <w:rStyle w:val="Hyperlink"/>
                <w:noProof/>
              </w:rPr>
              <w:t>Physical and chemical properties</w:t>
            </w:r>
            <w:r>
              <w:rPr>
                <w:noProof/>
                <w:webHidden/>
              </w:rPr>
              <w:tab/>
            </w:r>
            <w:r>
              <w:rPr>
                <w:noProof/>
                <w:webHidden/>
              </w:rPr>
              <w:fldChar w:fldCharType="begin"/>
            </w:r>
            <w:r>
              <w:rPr>
                <w:noProof/>
                <w:webHidden/>
              </w:rPr>
              <w:instrText xml:space="preserve"> PAGEREF _Toc404068918 \h </w:instrText>
            </w:r>
            <w:r>
              <w:rPr>
                <w:noProof/>
                <w:webHidden/>
              </w:rPr>
            </w:r>
            <w:r>
              <w:rPr>
                <w:noProof/>
                <w:webHidden/>
              </w:rPr>
              <w:fldChar w:fldCharType="separate"/>
            </w:r>
            <w:r>
              <w:rPr>
                <w:noProof/>
                <w:webHidden/>
              </w:rPr>
              <w:t>10</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19" w:history="1">
            <w:r w:rsidRPr="00007010">
              <w:rPr>
                <w:rStyle w:val="Hyperlink"/>
                <w:noProof/>
              </w:rPr>
              <w:t>Specifications</w:t>
            </w:r>
            <w:r>
              <w:rPr>
                <w:noProof/>
                <w:webHidden/>
              </w:rPr>
              <w:tab/>
            </w:r>
            <w:r>
              <w:rPr>
                <w:noProof/>
                <w:webHidden/>
              </w:rPr>
              <w:fldChar w:fldCharType="begin"/>
            </w:r>
            <w:r>
              <w:rPr>
                <w:noProof/>
                <w:webHidden/>
              </w:rPr>
              <w:instrText xml:space="preserve"> PAGEREF _Toc404068919 \h </w:instrText>
            </w:r>
            <w:r>
              <w:rPr>
                <w:noProof/>
                <w:webHidden/>
              </w:rPr>
            </w:r>
            <w:r>
              <w:rPr>
                <w:noProof/>
                <w:webHidden/>
              </w:rPr>
              <w:fldChar w:fldCharType="separate"/>
            </w:r>
            <w:r>
              <w:rPr>
                <w:noProof/>
                <w:webHidden/>
              </w:rPr>
              <w:t>11</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0" w:history="1">
            <w:r w:rsidRPr="00007010">
              <w:rPr>
                <w:rStyle w:val="Hyperlink"/>
                <w:noProof/>
              </w:rPr>
              <w:t>Drug product</w:t>
            </w:r>
            <w:r>
              <w:rPr>
                <w:noProof/>
                <w:webHidden/>
              </w:rPr>
              <w:tab/>
            </w:r>
            <w:r>
              <w:rPr>
                <w:noProof/>
                <w:webHidden/>
              </w:rPr>
              <w:fldChar w:fldCharType="begin"/>
            </w:r>
            <w:r>
              <w:rPr>
                <w:noProof/>
                <w:webHidden/>
              </w:rPr>
              <w:instrText xml:space="preserve"> PAGEREF _Toc404068920 \h </w:instrText>
            </w:r>
            <w:r>
              <w:rPr>
                <w:noProof/>
                <w:webHidden/>
              </w:rPr>
            </w:r>
            <w:r>
              <w:rPr>
                <w:noProof/>
                <w:webHidden/>
              </w:rPr>
              <w:fldChar w:fldCharType="separate"/>
            </w:r>
            <w:r>
              <w:rPr>
                <w:noProof/>
                <w:webHidden/>
              </w:rPr>
              <w:t>11</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1" w:history="1">
            <w:r w:rsidRPr="00007010">
              <w:rPr>
                <w:rStyle w:val="Hyperlink"/>
                <w:noProof/>
              </w:rPr>
              <w:t>Quality summary and conclusions</w:t>
            </w:r>
            <w:r>
              <w:rPr>
                <w:noProof/>
                <w:webHidden/>
              </w:rPr>
              <w:tab/>
            </w:r>
            <w:r>
              <w:rPr>
                <w:noProof/>
                <w:webHidden/>
              </w:rPr>
              <w:fldChar w:fldCharType="begin"/>
            </w:r>
            <w:r>
              <w:rPr>
                <w:noProof/>
                <w:webHidden/>
              </w:rPr>
              <w:instrText xml:space="preserve"> PAGEREF _Toc404068921 \h </w:instrText>
            </w:r>
            <w:r>
              <w:rPr>
                <w:noProof/>
                <w:webHidden/>
              </w:rPr>
            </w:r>
            <w:r>
              <w:rPr>
                <w:noProof/>
                <w:webHidden/>
              </w:rPr>
              <w:fldChar w:fldCharType="separate"/>
            </w:r>
            <w:r>
              <w:rPr>
                <w:noProof/>
                <w:webHidden/>
              </w:rPr>
              <w:t>12</w:t>
            </w:r>
            <w:r>
              <w:rPr>
                <w:noProof/>
                <w:webHidden/>
              </w:rPr>
              <w:fldChar w:fldCharType="end"/>
            </w:r>
          </w:hyperlink>
        </w:p>
        <w:p w:rsidR="00BD77E4" w:rsidRDefault="00BD77E4">
          <w:pPr>
            <w:pStyle w:val="TOC2"/>
            <w:rPr>
              <w:rFonts w:asciiTheme="minorHAnsi" w:eastAsiaTheme="minorEastAsia" w:hAnsiTheme="minorHAnsi" w:cstheme="minorBidi"/>
              <w:b w:val="0"/>
              <w:noProof/>
              <w:sz w:val="22"/>
              <w:lang w:eastAsia="en-AU"/>
            </w:rPr>
          </w:pPr>
          <w:hyperlink w:anchor="_Toc404068922" w:history="1">
            <w:r w:rsidRPr="00007010">
              <w:rPr>
                <w:rStyle w:val="Hyperlink"/>
                <w:noProof/>
              </w:rPr>
              <w:t>III. Nonclinical findings</w:t>
            </w:r>
            <w:r>
              <w:rPr>
                <w:noProof/>
                <w:webHidden/>
              </w:rPr>
              <w:tab/>
            </w:r>
            <w:r>
              <w:rPr>
                <w:noProof/>
                <w:webHidden/>
              </w:rPr>
              <w:fldChar w:fldCharType="begin"/>
            </w:r>
            <w:r>
              <w:rPr>
                <w:noProof/>
                <w:webHidden/>
              </w:rPr>
              <w:instrText xml:space="preserve"> PAGEREF _Toc404068922 \h </w:instrText>
            </w:r>
            <w:r>
              <w:rPr>
                <w:noProof/>
                <w:webHidden/>
              </w:rPr>
            </w:r>
            <w:r>
              <w:rPr>
                <w:noProof/>
                <w:webHidden/>
              </w:rPr>
              <w:fldChar w:fldCharType="separate"/>
            </w:r>
            <w:r>
              <w:rPr>
                <w:noProof/>
                <w:webHidden/>
              </w:rPr>
              <w:t>12</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3" w:history="1">
            <w:r w:rsidRPr="00007010">
              <w:rPr>
                <w:rStyle w:val="Hyperlink"/>
                <w:noProof/>
              </w:rPr>
              <w:t>Introduction</w:t>
            </w:r>
            <w:r>
              <w:rPr>
                <w:noProof/>
                <w:webHidden/>
              </w:rPr>
              <w:tab/>
            </w:r>
            <w:r>
              <w:rPr>
                <w:noProof/>
                <w:webHidden/>
              </w:rPr>
              <w:fldChar w:fldCharType="begin"/>
            </w:r>
            <w:r>
              <w:rPr>
                <w:noProof/>
                <w:webHidden/>
              </w:rPr>
              <w:instrText xml:space="preserve"> PAGEREF _Toc404068923 \h </w:instrText>
            </w:r>
            <w:r>
              <w:rPr>
                <w:noProof/>
                <w:webHidden/>
              </w:rPr>
            </w:r>
            <w:r>
              <w:rPr>
                <w:noProof/>
                <w:webHidden/>
              </w:rPr>
              <w:fldChar w:fldCharType="separate"/>
            </w:r>
            <w:r>
              <w:rPr>
                <w:noProof/>
                <w:webHidden/>
              </w:rPr>
              <w:t>12</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4" w:history="1">
            <w:r w:rsidRPr="00007010">
              <w:rPr>
                <w:rStyle w:val="Hyperlink"/>
                <w:noProof/>
              </w:rPr>
              <w:t>Pharmacology</w:t>
            </w:r>
            <w:r>
              <w:rPr>
                <w:noProof/>
                <w:webHidden/>
              </w:rPr>
              <w:tab/>
            </w:r>
            <w:r>
              <w:rPr>
                <w:noProof/>
                <w:webHidden/>
              </w:rPr>
              <w:fldChar w:fldCharType="begin"/>
            </w:r>
            <w:r>
              <w:rPr>
                <w:noProof/>
                <w:webHidden/>
              </w:rPr>
              <w:instrText xml:space="preserve"> PAGEREF _Toc404068924 \h </w:instrText>
            </w:r>
            <w:r>
              <w:rPr>
                <w:noProof/>
                <w:webHidden/>
              </w:rPr>
            </w:r>
            <w:r>
              <w:rPr>
                <w:noProof/>
                <w:webHidden/>
              </w:rPr>
              <w:fldChar w:fldCharType="separate"/>
            </w:r>
            <w:r>
              <w:rPr>
                <w:noProof/>
                <w:webHidden/>
              </w:rPr>
              <w:t>13</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5" w:history="1">
            <w:r w:rsidRPr="00007010">
              <w:rPr>
                <w:rStyle w:val="Hyperlink"/>
                <w:noProof/>
              </w:rPr>
              <w:t>Pharmacokinetics</w:t>
            </w:r>
            <w:r>
              <w:rPr>
                <w:noProof/>
                <w:webHidden/>
              </w:rPr>
              <w:tab/>
            </w:r>
            <w:r>
              <w:rPr>
                <w:noProof/>
                <w:webHidden/>
              </w:rPr>
              <w:fldChar w:fldCharType="begin"/>
            </w:r>
            <w:r>
              <w:rPr>
                <w:noProof/>
                <w:webHidden/>
              </w:rPr>
              <w:instrText xml:space="preserve"> PAGEREF _Toc404068925 \h </w:instrText>
            </w:r>
            <w:r>
              <w:rPr>
                <w:noProof/>
                <w:webHidden/>
              </w:rPr>
            </w:r>
            <w:r>
              <w:rPr>
                <w:noProof/>
                <w:webHidden/>
              </w:rPr>
              <w:fldChar w:fldCharType="separate"/>
            </w:r>
            <w:r>
              <w:rPr>
                <w:noProof/>
                <w:webHidden/>
              </w:rPr>
              <w:t>13</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6" w:history="1">
            <w:r w:rsidRPr="00007010">
              <w:rPr>
                <w:rStyle w:val="Hyperlink"/>
                <w:noProof/>
              </w:rPr>
              <w:t>Toxicology</w:t>
            </w:r>
            <w:r>
              <w:rPr>
                <w:noProof/>
                <w:webHidden/>
              </w:rPr>
              <w:tab/>
            </w:r>
            <w:r>
              <w:rPr>
                <w:noProof/>
                <w:webHidden/>
              </w:rPr>
              <w:fldChar w:fldCharType="begin"/>
            </w:r>
            <w:r>
              <w:rPr>
                <w:noProof/>
                <w:webHidden/>
              </w:rPr>
              <w:instrText xml:space="preserve"> PAGEREF _Toc404068926 \h </w:instrText>
            </w:r>
            <w:r>
              <w:rPr>
                <w:noProof/>
                <w:webHidden/>
              </w:rPr>
            </w:r>
            <w:r>
              <w:rPr>
                <w:noProof/>
                <w:webHidden/>
              </w:rPr>
              <w:fldChar w:fldCharType="separate"/>
            </w:r>
            <w:r>
              <w:rPr>
                <w:noProof/>
                <w:webHidden/>
              </w:rPr>
              <w:t>14</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7" w:history="1">
            <w:r w:rsidRPr="00007010">
              <w:rPr>
                <w:rStyle w:val="Hyperlink"/>
                <w:noProof/>
              </w:rPr>
              <w:t>Nonclinical summary and conclusions</w:t>
            </w:r>
            <w:r>
              <w:rPr>
                <w:noProof/>
                <w:webHidden/>
              </w:rPr>
              <w:tab/>
            </w:r>
            <w:r>
              <w:rPr>
                <w:noProof/>
                <w:webHidden/>
              </w:rPr>
              <w:fldChar w:fldCharType="begin"/>
            </w:r>
            <w:r>
              <w:rPr>
                <w:noProof/>
                <w:webHidden/>
              </w:rPr>
              <w:instrText xml:space="preserve"> PAGEREF _Toc404068927 \h </w:instrText>
            </w:r>
            <w:r>
              <w:rPr>
                <w:noProof/>
                <w:webHidden/>
              </w:rPr>
            </w:r>
            <w:r>
              <w:rPr>
                <w:noProof/>
                <w:webHidden/>
              </w:rPr>
              <w:fldChar w:fldCharType="separate"/>
            </w:r>
            <w:r>
              <w:rPr>
                <w:noProof/>
                <w:webHidden/>
              </w:rPr>
              <w:t>17</w:t>
            </w:r>
            <w:r>
              <w:rPr>
                <w:noProof/>
                <w:webHidden/>
              </w:rPr>
              <w:fldChar w:fldCharType="end"/>
            </w:r>
          </w:hyperlink>
        </w:p>
        <w:p w:rsidR="00BD77E4" w:rsidRDefault="00BD77E4">
          <w:pPr>
            <w:pStyle w:val="TOC2"/>
            <w:rPr>
              <w:rFonts w:asciiTheme="minorHAnsi" w:eastAsiaTheme="minorEastAsia" w:hAnsiTheme="minorHAnsi" w:cstheme="minorBidi"/>
              <w:b w:val="0"/>
              <w:noProof/>
              <w:sz w:val="22"/>
              <w:lang w:eastAsia="en-AU"/>
            </w:rPr>
          </w:pPr>
          <w:hyperlink w:anchor="_Toc404068928" w:history="1">
            <w:r w:rsidRPr="00007010">
              <w:rPr>
                <w:rStyle w:val="Hyperlink"/>
                <w:noProof/>
              </w:rPr>
              <w:t>IV. Clinical findings</w:t>
            </w:r>
            <w:r>
              <w:rPr>
                <w:noProof/>
                <w:webHidden/>
              </w:rPr>
              <w:tab/>
            </w:r>
            <w:r>
              <w:rPr>
                <w:noProof/>
                <w:webHidden/>
              </w:rPr>
              <w:fldChar w:fldCharType="begin"/>
            </w:r>
            <w:r>
              <w:rPr>
                <w:noProof/>
                <w:webHidden/>
              </w:rPr>
              <w:instrText xml:space="preserve"> PAGEREF _Toc404068928 \h </w:instrText>
            </w:r>
            <w:r>
              <w:rPr>
                <w:noProof/>
                <w:webHidden/>
              </w:rPr>
            </w:r>
            <w:r>
              <w:rPr>
                <w:noProof/>
                <w:webHidden/>
              </w:rPr>
              <w:fldChar w:fldCharType="separate"/>
            </w:r>
            <w:r>
              <w:rPr>
                <w:noProof/>
                <w:webHidden/>
              </w:rPr>
              <w:t>17</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29" w:history="1">
            <w:r w:rsidRPr="00007010">
              <w:rPr>
                <w:rStyle w:val="Hyperlink"/>
                <w:noProof/>
              </w:rPr>
              <w:t>Introduction</w:t>
            </w:r>
            <w:r>
              <w:rPr>
                <w:noProof/>
                <w:webHidden/>
              </w:rPr>
              <w:tab/>
            </w:r>
            <w:r>
              <w:rPr>
                <w:noProof/>
                <w:webHidden/>
              </w:rPr>
              <w:fldChar w:fldCharType="begin"/>
            </w:r>
            <w:r>
              <w:rPr>
                <w:noProof/>
                <w:webHidden/>
              </w:rPr>
              <w:instrText xml:space="preserve"> PAGEREF _Toc404068929 \h </w:instrText>
            </w:r>
            <w:r>
              <w:rPr>
                <w:noProof/>
                <w:webHidden/>
              </w:rPr>
            </w:r>
            <w:r>
              <w:rPr>
                <w:noProof/>
                <w:webHidden/>
              </w:rPr>
              <w:fldChar w:fldCharType="separate"/>
            </w:r>
            <w:r>
              <w:rPr>
                <w:noProof/>
                <w:webHidden/>
              </w:rPr>
              <w:t>18</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0" w:history="1">
            <w:r w:rsidRPr="00007010">
              <w:rPr>
                <w:rStyle w:val="Hyperlink"/>
                <w:noProof/>
              </w:rPr>
              <w:t>Pharmacokinetics</w:t>
            </w:r>
            <w:r>
              <w:rPr>
                <w:noProof/>
                <w:webHidden/>
              </w:rPr>
              <w:tab/>
            </w:r>
            <w:r>
              <w:rPr>
                <w:noProof/>
                <w:webHidden/>
              </w:rPr>
              <w:fldChar w:fldCharType="begin"/>
            </w:r>
            <w:r>
              <w:rPr>
                <w:noProof/>
                <w:webHidden/>
              </w:rPr>
              <w:instrText xml:space="preserve"> PAGEREF _Toc404068930 \h </w:instrText>
            </w:r>
            <w:r>
              <w:rPr>
                <w:noProof/>
                <w:webHidden/>
              </w:rPr>
            </w:r>
            <w:r>
              <w:rPr>
                <w:noProof/>
                <w:webHidden/>
              </w:rPr>
              <w:fldChar w:fldCharType="separate"/>
            </w:r>
            <w:r>
              <w:rPr>
                <w:noProof/>
                <w:webHidden/>
              </w:rPr>
              <w:t>20</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1" w:history="1">
            <w:r w:rsidRPr="00007010">
              <w:rPr>
                <w:rStyle w:val="Hyperlink"/>
                <w:noProof/>
              </w:rPr>
              <w:t>Pharmacodynamics</w:t>
            </w:r>
            <w:r>
              <w:rPr>
                <w:noProof/>
                <w:webHidden/>
              </w:rPr>
              <w:tab/>
            </w:r>
            <w:r>
              <w:rPr>
                <w:noProof/>
                <w:webHidden/>
              </w:rPr>
              <w:fldChar w:fldCharType="begin"/>
            </w:r>
            <w:r>
              <w:rPr>
                <w:noProof/>
                <w:webHidden/>
              </w:rPr>
              <w:instrText xml:space="preserve"> PAGEREF _Toc404068931 \h </w:instrText>
            </w:r>
            <w:r>
              <w:rPr>
                <w:noProof/>
                <w:webHidden/>
              </w:rPr>
            </w:r>
            <w:r>
              <w:rPr>
                <w:noProof/>
                <w:webHidden/>
              </w:rPr>
              <w:fldChar w:fldCharType="separate"/>
            </w:r>
            <w:r>
              <w:rPr>
                <w:noProof/>
                <w:webHidden/>
              </w:rPr>
              <w:t>22</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2" w:history="1">
            <w:r w:rsidRPr="00007010">
              <w:rPr>
                <w:rStyle w:val="Hyperlink"/>
                <w:noProof/>
              </w:rPr>
              <w:t>Dosage selection for the pivotal study</w:t>
            </w:r>
            <w:r>
              <w:rPr>
                <w:noProof/>
                <w:webHidden/>
              </w:rPr>
              <w:tab/>
            </w:r>
            <w:r>
              <w:rPr>
                <w:noProof/>
                <w:webHidden/>
              </w:rPr>
              <w:fldChar w:fldCharType="begin"/>
            </w:r>
            <w:r>
              <w:rPr>
                <w:noProof/>
                <w:webHidden/>
              </w:rPr>
              <w:instrText xml:space="preserve"> PAGEREF _Toc404068932 \h </w:instrText>
            </w:r>
            <w:r>
              <w:rPr>
                <w:noProof/>
                <w:webHidden/>
              </w:rPr>
            </w:r>
            <w:r>
              <w:rPr>
                <w:noProof/>
                <w:webHidden/>
              </w:rPr>
              <w:fldChar w:fldCharType="separate"/>
            </w:r>
            <w:r>
              <w:rPr>
                <w:noProof/>
                <w:webHidden/>
              </w:rPr>
              <w:t>22</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3" w:history="1">
            <w:r w:rsidRPr="00007010">
              <w:rPr>
                <w:rStyle w:val="Hyperlink"/>
                <w:noProof/>
              </w:rPr>
              <w:t>Efficacy</w:t>
            </w:r>
            <w:r>
              <w:rPr>
                <w:noProof/>
                <w:webHidden/>
              </w:rPr>
              <w:tab/>
            </w:r>
            <w:r>
              <w:rPr>
                <w:noProof/>
                <w:webHidden/>
              </w:rPr>
              <w:fldChar w:fldCharType="begin"/>
            </w:r>
            <w:r>
              <w:rPr>
                <w:noProof/>
                <w:webHidden/>
              </w:rPr>
              <w:instrText xml:space="preserve"> PAGEREF _Toc404068933 \h </w:instrText>
            </w:r>
            <w:r>
              <w:rPr>
                <w:noProof/>
                <w:webHidden/>
              </w:rPr>
            </w:r>
            <w:r>
              <w:rPr>
                <w:noProof/>
                <w:webHidden/>
              </w:rPr>
              <w:fldChar w:fldCharType="separate"/>
            </w:r>
            <w:r>
              <w:rPr>
                <w:noProof/>
                <w:webHidden/>
              </w:rPr>
              <w:t>22</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4" w:history="1">
            <w:r w:rsidRPr="00007010">
              <w:rPr>
                <w:rStyle w:val="Hyperlink"/>
                <w:noProof/>
              </w:rPr>
              <w:t>Safety</w:t>
            </w:r>
            <w:r>
              <w:rPr>
                <w:noProof/>
                <w:webHidden/>
              </w:rPr>
              <w:tab/>
            </w:r>
            <w:r>
              <w:rPr>
                <w:noProof/>
                <w:webHidden/>
              </w:rPr>
              <w:fldChar w:fldCharType="begin"/>
            </w:r>
            <w:r>
              <w:rPr>
                <w:noProof/>
                <w:webHidden/>
              </w:rPr>
              <w:instrText xml:space="preserve"> PAGEREF _Toc404068934 \h </w:instrText>
            </w:r>
            <w:r>
              <w:rPr>
                <w:noProof/>
                <w:webHidden/>
              </w:rPr>
            </w:r>
            <w:r>
              <w:rPr>
                <w:noProof/>
                <w:webHidden/>
              </w:rPr>
              <w:fldChar w:fldCharType="separate"/>
            </w:r>
            <w:r>
              <w:rPr>
                <w:noProof/>
                <w:webHidden/>
              </w:rPr>
              <w:t>24</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5" w:history="1">
            <w:r w:rsidRPr="00007010">
              <w:rPr>
                <w:rStyle w:val="Hyperlink"/>
                <w:noProof/>
              </w:rPr>
              <w:t>First round benefit-risk assessment</w:t>
            </w:r>
            <w:r>
              <w:rPr>
                <w:noProof/>
                <w:webHidden/>
              </w:rPr>
              <w:tab/>
            </w:r>
            <w:r>
              <w:rPr>
                <w:noProof/>
                <w:webHidden/>
              </w:rPr>
              <w:fldChar w:fldCharType="begin"/>
            </w:r>
            <w:r>
              <w:rPr>
                <w:noProof/>
                <w:webHidden/>
              </w:rPr>
              <w:instrText xml:space="preserve"> PAGEREF _Toc404068935 \h </w:instrText>
            </w:r>
            <w:r>
              <w:rPr>
                <w:noProof/>
                <w:webHidden/>
              </w:rPr>
            </w:r>
            <w:r>
              <w:rPr>
                <w:noProof/>
                <w:webHidden/>
              </w:rPr>
              <w:fldChar w:fldCharType="separate"/>
            </w:r>
            <w:r>
              <w:rPr>
                <w:noProof/>
                <w:webHidden/>
              </w:rPr>
              <w:t>27</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6" w:history="1">
            <w:r w:rsidRPr="00007010">
              <w:rPr>
                <w:rStyle w:val="Hyperlink"/>
                <w:noProof/>
              </w:rPr>
              <w:t>Clinical questions</w:t>
            </w:r>
            <w:r>
              <w:rPr>
                <w:noProof/>
                <w:webHidden/>
              </w:rPr>
              <w:tab/>
            </w:r>
            <w:r>
              <w:rPr>
                <w:noProof/>
                <w:webHidden/>
              </w:rPr>
              <w:fldChar w:fldCharType="begin"/>
            </w:r>
            <w:r>
              <w:rPr>
                <w:noProof/>
                <w:webHidden/>
              </w:rPr>
              <w:instrText xml:space="preserve"> PAGEREF _Toc404068936 \h </w:instrText>
            </w:r>
            <w:r>
              <w:rPr>
                <w:noProof/>
                <w:webHidden/>
              </w:rPr>
            </w:r>
            <w:r>
              <w:rPr>
                <w:noProof/>
                <w:webHidden/>
              </w:rPr>
              <w:fldChar w:fldCharType="separate"/>
            </w:r>
            <w:r>
              <w:rPr>
                <w:noProof/>
                <w:webHidden/>
              </w:rPr>
              <w:t>28</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7" w:history="1">
            <w:r w:rsidRPr="0000701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_Toc404068937 \h </w:instrText>
            </w:r>
            <w:r>
              <w:rPr>
                <w:noProof/>
                <w:webHidden/>
              </w:rPr>
            </w:r>
            <w:r>
              <w:rPr>
                <w:noProof/>
                <w:webHidden/>
              </w:rPr>
              <w:fldChar w:fldCharType="separate"/>
            </w:r>
            <w:r>
              <w:rPr>
                <w:noProof/>
                <w:webHidden/>
              </w:rPr>
              <w:t>28</w:t>
            </w:r>
            <w:r>
              <w:rPr>
                <w:noProof/>
                <w:webHidden/>
              </w:rPr>
              <w:fldChar w:fldCharType="end"/>
            </w:r>
          </w:hyperlink>
        </w:p>
        <w:p w:rsidR="00BD77E4" w:rsidRDefault="00BD77E4">
          <w:pPr>
            <w:pStyle w:val="TOC2"/>
            <w:rPr>
              <w:rFonts w:asciiTheme="minorHAnsi" w:eastAsiaTheme="minorEastAsia" w:hAnsiTheme="minorHAnsi" w:cstheme="minorBidi"/>
              <w:b w:val="0"/>
              <w:noProof/>
              <w:sz w:val="22"/>
              <w:lang w:eastAsia="en-AU"/>
            </w:rPr>
          </w:pPr>
          <w:hyperlink w:anchor="_Toc404068938" w:history="1">
            <w:r w:rsidRPr="00007010">
              <w:rPr>
                <w:rStyle w:val="Hyperlink"/>
                <w:noProof/>
              </w:rPr>
              <w:t>V. Pharmacovigilance findings</w:t>
            </w:r>
            <w:r>
              <w:rPr>
                <w:noProof/>
                <w:webHidden/>
              </w:rPr>
              <w:tab/>
            </w:r>
            <w:r>
              <w:rPr>
                <w:noProof/>
                <w:webHidden/>
              </w:rPr>
              <w:fldChar w:fldCharType="begin"/>
            </w:r>
            <w:r>
              <w:rPr>
                <w:noProof/>
                <w:webHidden/>
              </w:rPr>
              <w:instrText xml:space="preserve"> PAGEREF _Toc404068938 \h </w:instrText>
            </w:r>
            <w:r>
              <w:rPr>
                <w:noProof/>
                <w:webHidden/>
              </w:rPr>
            </w:r>
            <w:r>
              <w:rPr>
                <w:noProof/>
                <w:webHidden/>
              </w:rPr>
              <w:fldChar w:fldCharType="separate"/>
            </w:r>
            <w:r>
              <w:rPr>
                <w:noProof/>
                <w:webHidden/>
              </w:rPr>
              <w:t>29</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39" w:history="1">
            <w:r w:rsidRPr="00007010">
              <w:rPr>
                <w:rStyle w:val="Hyperlink"/>
                <w:noProof/>
                <w:lang w:eastAsia="en-AU"/>
              </w:rPr>
              <w:t>Risk management plan</w:t>
            </w:r>
            <w:r>
              <w:rPr>
                <w:noProof/>
                <w:webHidden/>
              </w:rPr>
              <w:tab/>
            </w:r>
            <w:r>
              <w:rPr>
                <w:noProof/>
                <w:webHidden/>
              </w:rPr>
              <w:fldChar w:fldCharType="begin"/>
            </w:r>
            <w:r>
              <w:rPr>
                <w:noProof/>
                <w:webHidden/>
              </w:rPr>
              <w:instrText xml:space="preserve"> PAGEREF _Toc404068939 \h </w:instrText>
            </w:r>
            <w:r>
              <w:rPr>
                <w:noProof/>
                <w:webHidden/>
              </w:rPr>
            </w:r>
            <w:r>
              <w:rPr>
                <w:noProof/>
                <w:webHidden/>
              </w:rPr>
              <w:fldChar w:fldCharType="separate"/>
            </w:r>
            <w:r>
              <w:rPr>
                <w:noProof/>
                <w:webHidden/>
              </w:rPr>
              <w:t>29</w:t>
            </w:r>
            <w:r>
              <w:rPr>
                <w:noProof/>
                <w:webHidden/>
              </w:rPr>
              <w:fldChar w:fldCharType="end"/>
            </w:r>
          </w:hyperlink>
        </w:p>
        <w:p w:rsidR="00BD77E4" w:rsidRDefault="00BD77E4">
          <w:pPr>
            <w:pStyle w:val="TOC2"/>
            <w:rPr>
              <w:rFonts w:asciiTheme="minorHAnsi" w:eastAsiaTheme="minorEastAsia" w:hAnsiTheme="minorHAnsi" w:cstheme="minorBidi"/>
              <w:b w:val="0"/>
              <w:noProof/>
              <w:sz w:val="22"/>
              <w:lang w:eastAsia="en-AU"/>
            </w:rPr>
          </w:pPr>
          <w:hyperlink w:anchor="_Toc404068940" w:history="1">
            <w:r w:rsidRPr="00007010">
              <w:rPr>
                <w:rStyle w:val="Hyperlink"/>
                <w:noProof/>
              </w:rPr>
              <w:t>VI. Overall conclusion and risk/benefit assessment</w:t>
            </w:r>
            <w:r>
              <w:rPr>
                <w:noProof/>
                <w:webHidden/>
              </w:rPr>
              <w:tab/>
            </w:r>
            <w:r>
              <w:rPr>
                <w:noProof/>
                <w:webHidden/>
              </w:rPr>
              <w:fldChar w:fldCharType="begin"/>
            </w:r>
            <w:r>
              <w:rPr>
                <w:noProof/>
                <w:webHidden/>
              </w:rPr>
              <w:instrText xml:space="preserve"> PAGEREF _Toc404068940 \h </w:instrText>
            </w:r>
            <w:r>
              <w:rPr>
                <w:noProof/>
                <w:webHidden/>
              </w:rPr>
            </w:r>
            <w:r>
              <w:rPr>
                <w:noProof/>
                <w:webHidden/>
              </w:rPr>
              <w:fldChar w:fldCharType="separate"/>
            </w:r>
            <w:r>
              <w:rPr>
                <w:noProof/>
                <w:webHidden/>
              </w:rPr>
              <w:t>34</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41" w:history="1">
            <w:r w:rsidRPr="00007010">
              <w:rPr>
                <w:rStyle w:val="Hyperlink"/>
                <w:noProof/>
              </w:rPr>
              <w:t>Quality</w:t>
            </w:r>
            <w:r>
              <w:rPr>
                <w:noProof/>
                <w:webHidden/>
              </w:rPr>
              <w:tab/>
            </w:r>
            <w:r>
              <w:rPr>
                <w:noProof/>
                <w:webHidden/>
              </w:rPr>
              <w:fldChar w:fldCharType="begin"/>
            </w:r>
            <w:r>
              <w:rPr>
                <w:noProof/>
                <w:webHidden/>
              </w:rPr>
              <w:instrText xml:space="preserve"> PAGEREF _Toc404068941 \h </w:instrText>
            </w:r>
            <w:r>
              <w:rPr>
                <w:noProof/>
                <w:webHidden/>
              </w:rPr>
            </w:r>
            <w:r>
              <w:rPr>
                <w:noProof/>
                <w:webHidden/>
              </w:rPr>
              <w:fldChar w:fldCharType="separate"/>
            </w:r>
            <w:r>
              <w:rPr>
                <w:noProof/>
                <w:webHidden/>
              </w:rPr>
              <w:t>34</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42" w:history="1">
            <w:r w:rsidRPr="00007010">
              <w:rPr>
                <w:rStyle w:val="Hyperlink"/>
                <w:noProof/>
              </w:rPr>
              <w:t>Nonclinical</w:t>
            </w:r>
            <w:r>
              <w:rPr>
                <w:noProof/>
                <w:webHidden/>
              </w:rPr>
              <w:tab/>
            </w:r>
            <w:r>
              <w:rPr>
                <w:noProof/>
                <w:webHidden/>
              </w:rPr>
              <w:fldChar w:fldCharType="begin"/>
            </w:r>
            <w:r>
              <w:rPr>
                <w:noProof/>
                <w:webHidden/>
              </w:rPr>
              <w:instrText xml:space="preserve"> PAGEREF _Toc404068942 \h </w:instrText>
            </w:r>
            <w:r>
              <w:rPr>
                <w:noProof/>
                <w:webHidden/>
              </w:rPr>
            </w:r>
            <w:r>
              <w:rPr>
                <w:noProof/>
                <w:webHidden/>
              </w:rPr>
              <w:fldChar w:fldCharType="separate"/>
            </w:r>
            <w:r>
              <w:rPr>
                <w:noProof/>
                <w:webHidden/>
              </w:rPr>
              <w:t>34</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43" w:history="1">
            <w:r w:rsidRPr="00007010">
              <w:rPr>
                <w:rStyle w:val="Hyperlink"/>
                <w:noProof/>
              </w:rPr>
              <w:t>Clinical</w:t>
            </w:r>
            <w:r>
              <w:rPr>
                <w:noProof/>
                <w:webHidden/>
              </w:rPr>
              <w:tab/>
            </w:r>
            <w:r>
              <w:rPr>
                <w:noProof/>
                <w:webHidden/>
              </w:rPr>
              <w:fldChar w:fldCharType="begin"/>
            </w:r>
            <w:r>
              <w:rPr>
                <w:noProof/>
                <w:webHidden/>
              </w:rPr>
              <w:instrText xml:space="preserve"> PAGEREF _Toc404068943 \h </w:instrText>
            </w:r>
            <w:r>
              <w:rPr>
                <w:noProof/>
                <w:webHidden/>
              </w:rPr>
            </w:r>
            <w:r>
              <w:rPr>
                <w:noProof/>
                <w:webHidden/>
              </w:rPr>
              <w:fldChar w:fldCharType="separate"/>
            </w:r>
            <w:r>
              <w:rPr>
                <w:noProof/>
                <w:webHidden/>
              </w:rPr>
              <w:t>34</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44" w:history="1">
            <w:r w:rsidRPr="00007010">
              <w:rPr>
                <w:rStyle w:val="Hyperlink"/>
                <w:noProof/>
                <w:lang w:eastAsia="en-AU"/>
              </w:rPr>
              <w:t>Risk management plan</w:t>
            </w:r>
            <w:r>
              <w:rPr>
                <w:noProof/>
                <w:webHidden/>
              </w:rPr>
              <w:tab/>
            </w:r>
            <w:r>
              <w:rPr>
                <w:noProof/>
                <w:webHidden/>
              </w:rPr>
              <w:fldChar w:fldCharType="begin"/>
            </w:r>
            <w:r>
              <w:rPr>
                <w:noProof/>
                <w:webHidden/>
              </w:rPr>
              <w:instrText xml:space="preserve"> PAGEREF _Toc404068944 \h </w:instrText>
            </w:r>
            <w:r>
              <w:rPr>
                <w:noProof/>
                <w:webHidden/>
              </w:rPr>
            </w:r>
            <w:r>
              <w:rPr>
                <w:noProof/>
                <w:webHidden/>
              </w:rPr>
              <w:fldChar w:fldCharType="separate"/>
            </w:r>
            <w:r>
              <w:rPr>
                <w:noProof/>
                <w:webHidden/>
              </w:rPr>
              <w:t>36</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45" w:history="1">
            <w:r w:rsidRPr="00007010">
              <w:rPr>
                <w:rStyle w:val="Hyperlink"/>
                <w:noProof/>
              </w:rPr>
              <w:t>Risk-benefit analysis</w:t>
            </w:r>
            <w:r>
              <w:rPr>
                <w:noProof/>
                <w:webHidden/>
              </w:rPr>
              <w:tab/>
            </w:r>
            <w:r>
              <w:rPr>
                <w:noProof/>
                <w:webHidden/>
              </w:rPr>
              <w:fldChar w:fldCharType="begin"/>
            </w:r>
            <w:r>
              <w:rPr>
                <w:noProof/>
                <w:webHidden/>
              </w:rPr>
              <w:instrText xml:space="preserve"> PAGEREF _Toc404068945 \h </w:instrText>
            </w:r>
            <w:r>
              <w:rPr>
                <w:noProof/>
                <w:webHidden/>
              </w:rPr>
            </w:r>
            <w:r>
              <w:rPr>
                <w:noProof/>
                <w:webHidden/>
              </w:rPr>
              <w:fldChar w:fldCharType="separate"/>
            </w:r>
            <w:r>
              <w:rPr>
                <w:noProof/>
                <w:webHidden/>
              </w:rPr>
              <w:t>37</w:t>
            </w:r>
            <w:r>
              <w:rPr>
                <w:noProof/>
                <w:webHidden/>
              </w:rPr>
              <w:fldChar w:fldCharType="end"/>
            </w:r>
          </w:hyperlink>
        </w:p>
        <w:p w:rsidR="00BD77E4" w:rsidRDefault="00BD77E4">
          <w:pPr>
            <w:pStyle w:val="TOC3"/>
            <w:rPr>
              <w:rFonts w:asciiTheme="minorHAnsi" w:eastAsiaTheme="minorEastAsia" w:hAnsiTheme="minorHAnsi" w:cstheme="minorBidi"/>
              <w:noProof/>
              <w:lang w:eastAsia="en-AU"/>
            </w:rPr>
          </w:pPr>
          <w:hyperlink w:anchor="_Toc404068946" w:history="1">
            <w:r w:rsidRPr="00007010">
              <w:rPr>
                <w:rStyle w:val="Hyperlink"/>
                <w:noProof/>
              </w:rPr>
              <w:t>Outcome</w:t>
            </w:r>
            <w:r>
              <w:rPr>
                <w:noProof/>
                <w:webHidden/>
              </w:rPr>
              <w:tab/>
            </w:r>
            <w:r>
              <w:rPr>
                <w:noProof/>
                <w:webHidden/>
              </w:rPr>
              <w:fldChar w:fldCharType="begin"/>
            </w:r>
            <w:r>
              <w:rPr>
                <w:noProof/>
                <w:webHidden/>
              </w:rPr>
              <w:instrText xml:space="preserve"> PAGEREF _Toc404068946 \h </w:instrText>
            </w:r>
            <w:r>
              <w:rPr>
                <w:noProof/>
                <w:webHidden/>
              </w:rPr>
            </w:r>
            <w:r>
              <w:rPr>
                <w:noProof/>
                <w:webHidden/>
              </w:rPr>
              <w:fldChar w:fldCharType="separate"/>
            </w:r>
            <w:r>
              <w:rPr>
                <w:noProof/>
                <w:webHidden/>
              </w:rPr>
              <w:t>42</w:t>
            </w:r>
            <w:r>
              <w:rPr>
                <w:noProof/>
                <w:webHidden/>
              </w:rPr>
              <w:fldChar w:fldCharType="end"/>
            </w:r>
          </w:hyperlink>
        </w:p>
        <w:p w:rsidR="00BD77E4" w:rsidRDefault="00BD77E4">
          <w:pPr>
            <w:pStyle w:val="TOC2"/>
            <w:rPr>
              <w:rFonts w:asciiTheme="minorHAnsi" w:eastAsiaTheme="minorEastAsia" w:hAnsiTheme="minorHAnsi" w:cstheme="minorBidi"/>
              <w:b w:val="0"/>
              <w:noProof/>
              <w:sz w:val="22"/>
              <w:lang w:eastAsia="en-AU"/>
            </w:rPr>
          </w:pPr>
          <w:hyperlink w:anchor="_Toc404068947" w:history="1">
            <w:r w:rsidRPr="00007010">
              <w:rPr>
                <w:rStyle w:val="Hyperlink"/>
                <w:noProof/>
              </w:rPr>
              <w:t>Attachment 1. Product Information</w:t>
            </w:r>
            <w:r>
              <w:rPr>
                <w:noProof/>
                <w:webHidden/>
              </w:rPr>
              <w:tab/>
            </w:r>
            <w:r>
              <w:rPr>
                <w:noProof/>
                <w:webHidden/>
              </w:rPr>
              <w:fldChar w:fldCharType="begin"/>
            </w:r>
            <w:r>
              <w:rPr>
                <w:noProof/>
                <w:webHidden/>
              </w:rPr>
              <w:instrText xml:space="preserve"> PAGEREF _Toc404068947 \h </w:instrText>
            </w:r>
            <w:r>
              <w:rPr>
                <w:noProof/>
                <w:webHidden/>
              </w:rPr>
            </w:r>
            <w:r>
              <w:rPr>
                <w:noProof/>
                <w:webHidden/>
              </w:rPr>
              <w:fldChar w:fldCharType="separate"/>
            </w:r>
            <w:r>
              <w:rPr>
                <w:noProof/>
                <w:webHidden/>
              </w:rPr>
              <w:t>42</w:t>
            </w:r>
            <w:r>
              <w:rPr>
                <w:noProof/>
                <w:webHidden/>
              </w:rPr>
              <w:fldChar w:fldCharType="end"/>
            </w:r>
          </w:hyperlink>
        </w:p>
        <w:p w:rsidR="003A7F6C" w:rsidRPr="00B811C6" w:rsidRDefault="00BD77E4" w:rsidP="00B811C6">
          <w:pPr>
            <w:pStyle w:val="TOC2"/>
          </w:pPr>
          <w:hyperlink w:anchor="_Toc404068948" w:history="1">
            <w:r w:rsidRPr="00007010">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_Toc404068948 \h </w:instrText>
            </w:r>
            <w:r>
              <w:rPr>
                <w:noProof/>
                <w:webHidden/>
              </w:rPr>
            </w:r>
            <w:r>
              <w:rPr>
                <w:noProof/>
                <w:webHidden/>
              </w:rPr>
              <w:fldChar w:fldCharType="separate"/>
            </w:r>
            <w:r>
              <w:rPr>
                <w:noProof/>
                <w:webHidden/>
              </w:rPr>
              <w:t>42</w:t>
            </w:r>
            <w:r>
              <w:rPr>
                <w:noProof/>
                <w:webHidden/>
              </w:rPr>
              <w:fldChar w:fldCharType="end"/>
            </w:r>
          </w:hyperlink>
          <w:r w:rsidR="00DB6124">
            <w:fldChar w:fldCharType="end"/>
          </w:r>
        </w:p>
        <w:bookmarkStart w:id="2" w:name="_GoBack" w:displacedByCustomXml="next"/>
        <w:bookmarkEnd w:id="2" w:displacedByCustomXml="next"/>
      </w:sdtContent>
    </w:sdt>
    <w:bookmarkStart w:id="3" w:name="_Toc314842482" w:displacedByCustomXml="prev"/>
    <w:p w:rsidR="00FD119B" w:rsidRDefault="00FD119B">
      <w:pPr>
        <w:spacing w:before="0" w:after="200" w:line="0" w:lineRule="auto"/>
      </w:pPr>
      <w:r>
        <w:br w:type="page"/>
      </w:r>
    </w:p>
    <w:p w:rsidR="00FD119B" w:rsidRPr="00E52240" w:rsidRDefault="00FD119B" w:rsidP="00E52240">
      <w:pPr>
        <w:pStyle w:val="Heading2"/>
      </w:pPr>
      <w:bookmarkStart w:id="4" w:name="_Toc351716269"/>
      <w:bookmarkStart w:id="5" w:name="_Toc351718881"/>
      <w:bookmarkStart w:id="6" w:name="_Toc355338616"/>
      <w:bookmarkStart w:id="7" w:name="_Toc356306144"/>
      <w:bookmarkStart w:id="8" w:name="_Toc404068909"/>
      <w:r w:rsidRPr="00FD119B">
        <w:lastRenderedPageBreak/>
        <w:t>List of the most common abbreviations</w:t>
      </w:r>
      <w:bookmarkEnd w:id="4"/>
      <w:bookmarkEnd w:id="5"/>
      <w:bookmarkEnd w:id="6"/>
      <w:bookmarkEnd w:id="7"/>
      <w:r w:rsidRPr="00FD119B">
        <w:t xml:space="preserve"> used in this </w:t>
      </w:r>
      <w:proofErr w:type="spellStart"/>
      <w:r w:rsidRPr="004F0C4A">
        <w:t>AusPAR</w:t>
      </w:r>
      <w:bookmarkEnd w:id="8"/>
      <w:proofErr w:type="spellEnd"/>
    </w:p>
    <w:tbl>
      <w:tblPr>
        <w:tblStyle w:val="TableTGAblue"/>
        <w:tblW w:w="0" w:type="auto"/>
        <w:tblLayout w:type="fixed"/>
        <w:tblLook w:val="04A0" w:firstRow="1" w:lastRow="0" w:firstColumn="1" w:lastColumn="0" w:noHBand="0" w:noVBand="1"/>
      </w:tblPr>
      <w:tblGrid>
        <w:gridCol w:w="1951"/>
        <w:gridCol w:w="6769"/>
      </w:tblGrid>
      <w:tr w:rsidR="00FD119B" w:rsidRPr="00FD119B" w:rsidTr="00473CCC">
        <w:trPr>
          <w:cnfStyle w:val="100000000000" w:firstRow="1" w:lastRow="0" w:firstColumn="0" w:lastColumn="0" w:oddVBand="0" w:evenVBand="0" w:oddHBand="0" w:evenHBand="0" w:firstRowFirstColumn="0" w:firstRowLastColumn="0" w:lastRowFirstColumn="0" w:lastRowLastColumn="0"/>
        </w:trPr>
        <w:tc>
          <w:tcPr>
            <w:tcW w:w="1951" w:type="dxa"/>
          </w:tcPr>
          <w:p w:rsidR="00FD119B" w:rsidRPr="00FD119B" w:rsidRDefault="00FD119B" w:rsidP="00E52240">
            <w:r w:rsidRPr="00FD119B">
              <w:t>Abbreviation</w:t>
            </w:r>
          </w:p>
        </w:tc>
        <w:tc>
          <w:tcPr>
            <w:tcW w:w="6769" w:type="dxa"/>
          </w:tcPr>
          <w:p w:rsidR="00FD119B" w:rsidRPr="00FD119B" w:rsidRDefault="00FD119B" w:rsidP="00E52240">
            <w:r w:rsidRPr="00FD119B">
              <w:t>Meaning</w:t>
            </w:r>
          </w:p>
        </w:tc>
      </w:tr>
      <w:tr w:rsidR="00B36264" w:rsidRPr="00FD119B" w:rsidTr="00473CCC">
        <w:tc>
          <w:tcPr>
            <w:tcW w:w="1951" w:type="dxa"/>
          </w:tcPr>
          <w:p w:rsidR="00B36264" w:rsidRPr="001A4DDE" w:rsidRDefault="00B36264" w:rsidP="00E52240">
            <w:r>
              <w:t>ACSOM</w:t>
            </w:r>
          </w:p>
        </w:tc>
        <w:tc>
          <w:tcPr>
            <w:tcW w:w="6769" w:type="dxa"/>
          </w:tcPr>
          <w:p w:rsidR="00B36264" w:rsidRPr="00717957" w:rsidRDefault="00B36264" w:rsidP="00E52240">
            <w:r w:rsidRPr="00717957">
              <w:t>Advisory Committee on the Safety of Medicines</w:t>
            </w:r>
          </w:p>
        </w:tc>
      </w:tr>
      <w:tr w:rsidR="00131DA4" w:rsidRPr="00FD119B" w:rsidTr="00473CCC">
        <w:tc>
          <w:tcPr>
            <w:tcW w:w="1951" w:type="dxa"/>
          </w:tcPr>
          <w:p w:rsidR="00131DA4" w:rsidRPr="001A4DDE" w:rsidRDefault="00131DA4" w:rsidP="00E52240">
            <w:r w:rsidRPr="001A4DDE">
              <w:t>AE</w:t>
            </w:r>
          </w:p>
        </w:tc>
        <w:tc>
          <w:tcPr>
            <w:tcW w:w="6769" w:type="dxa"/>
          </w:tcPr>
          <w:p w:rsidR="00131DA4" w:rsidRPr="001A4DDE" w:rsidRDefault="00131DA4" w:rsidP="00E52240">
            <w:r w:rsidRPr="001A4DDE">
              <w:t>Adverse Event</w:t>
            </w:r>
          </w:p>
        </w:tc>
      </w:tr>
      <w:tr w:rsidR="00131DA4" w:rsidRPr="00FD119B" w:rsidTr="00473CCC">
        <w:tc>
          <w:tcPr>
            <w:tcW w:w="1951" w:type="dxa"/>
          </w:tcPr>
          <w:p w:rsidR="00131DA4" w:rsidRPr="001A4DDE" w:rsidRDefault="00131DA4" w:rsidP="00E52240">
            <w:r w:rsidRPr="001A4DDE">
              <w:t>ARTG</w:t>
            </w:r>
          </w:p>
        </w:tc>
        <w:tc>
          <w:tcPr>
            <w:tcW w:w="6769" w:type="dxa"/>
          </w:tcPr>
          <w:p w:rsidR="00131DA4" w:rsidRPr="001A4DDE" w:rsidRDefault="00131DA4" w:rsidP="00E52240">
            <w:r w:rsidRPr="001A4DDE">
              <w:t>Australian Register of Therapeutic Goods</w:t>
            </w:r>
          </w:p>
        </w:tc>
      </w:tr>
      <w:tr w:rsidR="00131DA4" w:rsidRPr="00FD119B" w:rsidTr="00473CCC">
        <w:tc>
          <w:tcPr>
            <w:tcW w:w="1951" w:type="dxa"/>
          </w:tcPr>
          <w:p w:rsidR="00131DA4" w:rsidRPr="001A4DDE" w:rsidRDefault="00131DA4" w:rsidP="00E52240">
            <w:r w:rsidRPr="001A4DDE">
              <w:t>AUC</w:t>
            </w:r>
          </w:p>
        </w:tc>
        <w:tc>
          <w:tcPr>
            <w:tcW w:w="6769" w:type="dxa"/>
          </w:tcPr>
          <w:p w:rsidR="00131DA4" w:rsidRPr="001A4DDE" w:rsidRDefault="00131DA4" w:rsidP="00E52240">
            <w:r w:rsidRPr="001A4DDE">
              <w:t xml:space="preserve">Area Under the </w:t>
            </w:r>
            <w:r w:rsidR="00DE215B" w:rsidRPr="001A4DDE">
              <w:t xml:space="preserve">Curve </w:t>
            </w:r>
            <w:r w:rsidR="00DE215B">
              <w:t>(c</w:t>
            </w:r>
            <w:r w:rsidRPr="001A4DDE">
              <w:t xml:space="preserve">oncentration </w:t>
            </w:r>
            <w:r w:rsidR="0047233C">
              <w:t>versu</w:t>
            </w:r>
            <w:r w:rsidRPr="001A4DDE">
              <w:t xml:space="preserve">s </w:t>
            </w:r>
            <w:r w:rsidR="00DE215B">
              <w:t>t</w:t>
            </w:r>
            <w:r w:rsidRPr="001A4DDE">
              <w:t>ime</w:t>
            </w:r>
            <w:r w:rsidR="00DE215B">
              <w:t>)</w:t>
            </w:r>
          </w:p>
        </w:tc>
      </w:tr>
      <w:tr w:rsidR="00717824" w:rsidRPr="00FD119B" w:rsidTr="00473CCC">
        <w:tc>
          <w:tcPr>
            <w:tcW w:w="1951" w:type="dxa"/>
          </w:tcPr>
          <w:p w:rsidR="00717824" w:rsidRPr="001A4DDE" w:rsidRDefault="00717824" w:rsidP="00E52240">
            <w:r w:rsidRPr="001A4DDE">
              <w:t>AUC</w:t>
            </w:r>
            <w:r w:rsidRPr="00717824">
              <w:rPr>
                <w:vertAlign w:val="subscript"/>
              </w:rPr>
              <w:t>0-∞</w:t>
            </w:r>
          </w:p>
        </w:tc>
        <w:tc>
          <w:tcPr>
            <w:tcW w:w="6769" w:type="dxa"/>
          </w:tcPr>
          <w:p w:rsidR="00717824" w:rsidRPr="001A4DDE" w:rsidRDefault="00717824" w:rsidP="00E52240">
            <w:r w:rsidRPr="001A4DDE">
              <w:t>Area Under the Curve</w:t>
            </w:r>
            <w:r>
              <w:t xml:space="preserve"> (c</w:t>
            </w:r>
            <w:r w:rsidRPr="001A4DDE">
              <w:t xml:space="preserve">oncentration </w:t>
            </w:r>
            <w:r>
              <w:t>versu</w:t>
            </w:r>
            <w:r w:rsidRPr="001A4DDE">
              <w:t xml:space="preserve">s </w:t>
            </w:r>
            <w:r>
              <w:t>t</w:t>
            </w:r>
            <w:r w:rsidRPr="001A4DDE">
              <w:t>ime</w:t>
            </w:r>
            <w:r>
              <w:t>) for time</w:t>
            </w:r>
            <w:r w:rsidR="00473CCC">
              <w:t xml:space="preserve"> 0</w:t>
            </w:r>
            <w:r w:rsidR="00473CCC">
              <w:noBreakHyphen/>
            </w:r>
            <w:r w:rsidRPr="00925014">
              <w:t>infinity</w:t>
            </w:r>
            <w:r>
              <w:t xml:space="preserve"> </w:t>
            </w:r>
          </w:p>
        </w:tc>
      </w:tr>
      <w:tr w:rsidR="00994A2A" w:rsidRPr="00FD119B" w:rsidTr="00473CCC">
        <w:tc>
          <w:tcPr>
            <w:tcW w:w="1951" w:type="dxa"/>
          </w:tcPr>
          <w:p w:rsidR="00994A2A" w:rsidRPr="001A4DDE" w:rsidRDefault="00994A2A" w:rsidP="00E52240">
            <w:r>
              <w:t>CMI</w:t>
            </w:r>
          </w:p>
        </w:tc>
        <w:tc>
          <w:tcPr>
            <w:tcW w:w="6769" w:type="dxa"/>
          </w:tcPr>
          <w:p w:rsidR="00994A2A" w:rsidRPr="001A4DDE" w:rsidRDefault="00994A2A" w:rsidP="00E52240">
            <w:r>
              <w:t>Consumer Medicine Information</w:t>
            </w:r>
          </w:p>
        </w:tc>
      </w:tr>
      <w:tr w:rsidR="00717824" w:rsidRPr="00FD119B" w:rsidTr="00473CCC">
        <w:tc>
          <w:tcPr>
            <w:tcW w:w="1951" w:type="dxa"/>
          </w:tcPr>
          <w:p w:rsidR="00717824" w:rsidRPr="001A4DDE" w:rsidRDefault="00717824" w:rsidP="00E52240">
            <w:r w:rsidRPr="001A4DDE">
              <w:t>C</w:t>
            </w:r>
            <w:r w:rsidRPr="00DE215B">
              <w:rPr>
                <w:vertAlign w:val="subscript"/>
              </w:rPr>
              <w:t>max</w:t>
            </w:r>
          </w:p>
        </w:tc>
        <w:tc>
          <w:tcPr>
            <w:tcW w:w="6769" w:type="dxa"/>
          </w:tcPr>
          <w:p w:rsidR="00717824" w:rsidRPr="001A4DDE" w:rsidRDefault="00717824" w:rsidP="00E52240">
            <w:r w:rsidRPr="001A4DDE">
              <w:t>Maximum Concentration</w:t>
            </w:r>
          </w:p>
        </w:tc>
      </w:tr>
      <w:tr w:rsidR="00717824" w:rsidRPr="00FD119B" w:rsidTr="00473CCC">
        <w:tc>
          <w:tcPr>
            <w:tcW w:w="1951" w:type="dxa"/>
          </w:tcPr>
          <w:p w:rsidR="00717824" w:rsidRPr="001A4DDE" w:rsidRDefault="00717824" w:rsidP="00E52240">
            <w:r>
              <w:t>EC</w:t>
            </w:r>
            <w:r w:rsidRPr="005D0C6C">
              <w:rPr>
                <w:vertAlign w:val="subscript"/>
              </w:rPr>
              <w:t>50</w:t>
            </w:r>
          </w:p>
        </w:tc>
        <w:tc>
          <w:tcPr>
            <w:tcW w:w="6769" w:type="dxa"/>
          </w:tcPr>
          <w:p w:rsidR="00717824" w:rsidRPr="001A4DDE" w:rsidRDefault="00717824" w:rsidP="00E52240">
            <w:r>
              <w:t>Half maximal effective concentration</w:t>
            </w:r>
          </w:p>
        </w:tc>
      </w:tr>
      <w:tr w:rsidR="00717824" w:rsidRPr="00FD119B" w:rsidTr="00473CCC">
        <w:tc>
          <w:tcPr>
            <w:tcW w:w="1951" w:type="dxa"/>
          </w:tcPr>
          <w:p w:rsidR="00717824" w:rsidRPr="001A4DDE" w:rsidRDefault="00717824" w:rsidP="00E52240">
            <w:r>
              <w:t>ED</w:t>
            </w:r>
            <w:r w:rsidRPr="005D0C6C">
              <w:rPr>
                <w:vertAlign w:val="subscript"/>
              </w:rPr>
              <w:t>50</w:t>
            </w:r>
          </w:p>
        </w:tc>
        <w:tc>
          <w:tcPr>
            <w:tcW w:w="6769" w:type="dxa"/>
          </w:tcPr>
          <w:p w:rsidR="00717824" w:rsidRPr="001A4DDE" w:rsidRDefault="00717824" w:rsidP="00E52240">
            <w:r>
              <w:t>Half maximal effective dose</w:t>
            </w:r>
          </w:p>
        </w:tc>
      </w:tr>
      <w:tr w:rsidR="00717824" w:rsidRPr="00FD119B" w:rsidTr="00473CCC">
        <w:tc>
          <w:tcPr>
            <w:tcW w:w="1951" w:type="dxa"/>
          </w:tcPr>
          <w:p w:rsidR="00717824" w:rsidRPr="001A4DDE" w:rsidRDefault="00717824" w:rsidP="00E52240">
            <w:r w:rsidRPr="001A4DDE">
              <w:t>ECG</w:t>
            </w:r>
          </w:p>
        </w:tc>
        <w:tc>
          <w:tcPr>
            <w:tcW w:w="6769" w:type="dxa"/>
          </w:tcPr>
          <w:p w:rsidR="00717824" w:rsidRPr="001A4DDE" w:rsidRDefault="00717824" w:rsidP="00E52240">
            <w:r w:rsidRPr="001A4DDE">
              <w:t>Electrocardiogra</w:t>
            </w:r>
            <w:r>
              <w:t>m</w:t>
            </w:r>
          </w:p>
        </w:tc>
      </w:tr>
      <w:tr w:rsidR="00717824" w:rsidRPr="00FD119B" w:rsidTr="00473CCC">
        <w:tc>
          <w:tcPr>
            <w:tcW w:w="1951" w:type="dxa"/>
          </w:tcPr>
          <w:p w:rsidR="00717824" w:rsidRPr="001A4DDE" w:rsidRDefault="00717824" w:rsidP="00E52240">
            <w:r w:rsidRPr="001A4DDE">
              <w:t>EMA</w:t>
            </w:r>
          </w:p>
        </w:tc>
        <w:tc>
          <w:tcPr>
            <w:tcW w:w="6769" w:type="dxa"/>
          </w:tcPr>
          <w:p w:rsidR="00717824" w:rsidRPr="001A4DDE" w:rsidRDefault="00717824" w:rsidP="00E52240">
            <w:r w:rsidRPr="001A4DDE">
              <w:t>European Medicines Agency</w:t>
            </w:r>
          </w:p>
        </w:tc>
      </w:tr>
      <w:tr w:rsidR="00717824" w:rsidRPr="00FD119B" w:rsidTr="00473CCC">
        <w:tc>
          <w:tcPr>
            <w:tcW w:w="1951" w:type="dxa"/>
          </w:tcPr>
          <w:p w:rsidR="00717824" w:rsidRPr="001A4DDE" w:rsidRDefault="00717824" w:rsidP="00E52240">
            <w:r w:rsidRPr="001A4DDE">
              <w:t>FIX</w:t>
            </w:r>
          </w:p>
        </w:tc>
        <w:tc>
          <w:tcPr>
            <w:tcW w:w="6769" w:type="dxa"/>
          </w:tcPr>
          <w:p w:rsidR="00717824" w:rsidRPr="001A4DDE" w:rsidRDefault="00717824" w:rsidP="00E52240">
            <w:r w:rsidRPr="001A4DDE">
              <w:t>Factor IX</w:t>
            </w:r>
          </w:p>
        </w:tc>
      </w:tr>
      <w:tr w:rsidR="00717824" w:rsidRPr="00FD119B" w:rsidTr="00473CCC">
        <w:tc>
          <w:tcPr>
            <w:tcW w:w="1951" w:type="dxa"/>
          </w:tcPr>
          <w:p w:rsidR="00717824" w:rsidRPr="001A4DDE" w:rsidRDefault="00717824" w:rsidP="00E52240">
            <w:proofErr w:type="spellStart"/>
            <w:r w:rsidRPr="001A4DDE">
              <w:t>FIXFc</w:t>
            </w:r>
            <w:proofErr w:type="spellEnd"/>
          </w:p>
        </w:tc>
        <w:tc>
          <w:tcPr>
            <w:tcW w:w="6769" w:type="dxa"/>
          </w:tcPr>
          <w:p w:rsidR="00717824" w:rsidRPr="001A4DDE" w:rsidRDefault="00717824" w:rsidP="00E52240">
            <w:r w:rsidRPr="001A4DDE">
              <w:t>Eftrenonacog alfa</w:t>
            </w:r>
          </w:p>
        </w:tc>
      </w:tr>
      <w:tr w:rsidR="00717824" w:rsidRPr="00FD119B" w:rsidTr="00473CCC">
        <w:tc>
          <w:tcPr>
            <w:tcW w:w="1951" w:type="dxa"/>
          </w:tcPr>
          <w:p w:rsidR="00717824" w:rsidRPr="001A4DDE" w:rsidRDefault="00717824" w:rsidP="00E52240">
            <w:r w:rsidRPr="001A4DDE">
              <w:t>FDA</w:t>
            </w:r>
          </w:p>
        </w:tc>
        <w:tc>
          <w:tcPr>
            <w:tcW w:w="6769" w:type="dxa"/>
          </w:tcPr>
          <w:p w:rsidR="00717824" w:rsidRPr="001A4DDE" w:rsidRDefault="00717824" w:rsidP="00E52240">
            <w:r w:rsidRPr="001A4DDE">
              <w:t>Food and Drug Administration</w:t>
            </w:r>
          </w:p>
        </w:tc>
      </w:tr>
      <w:tr w:rsidR="00717824" w:rsidRPr="00FD119B" w:rsidTr="00473CCC">
        <w:tc>
          <w:tcPr>
            <w:tcW w:w="1951" w:type="dxa"/>
          </w:tcPr>
          <w:p w:rsidR="00717824" w:rsidRPr="001A4DDE" w:rsidRDefault="00717824" w:rsidP="00E52240">
            <w:r>
              <w:t>GL</w:t>
            </w:r>
            <w:r w:rsidRPr="001A4DDE">
              <w:t>P</w:t>
            </w:r>
          </w:p>
        </w:tc>
        <w:tc>
          <w:tcPr>
            <w:tcW w:w="6769" w:type="dxa"/>
          </w:tcPr>
          <w:p w:rsidR="00717824" w:rsidRPr="001A4DDE" w:rsidRDefault="00717824" w:rsidP="00E52240">
            <w:r w:rsidRPr="001A4DDE">
              <w:t xml:space="preserve">Good </w:t>
            </w:r>
            <w:r>
              <w:t>Laboratory</w:t>
            </w:r>
            <w:r w:rsidRPr="001A4DDE">
              <w:t xml:space="preserve"> Practice</w:t>
            </w:r>
          </w:p>
        </w:tc>
      </w:tr>
      <w:tr w:rsidR="00717824" w:rsidRPr="00FD119B" w:rsidTr="00473CCC">
        <w:tc>
          <w:tcPr>
            <w:tcW w:w="1951" w:type="dxa"/>
          </w:tcPr>
          <w:p w:rsidR="00717824" w:rsidRPr="001A4DDE" w:rsidRDefault="00717824" w:rsidP="00E52240">
            <w:r w:rsidRPr="001A4DDE">
              <w:t>GCP</w:t>
            </w:r>
          </w:p>
        </w:tc>
        <w:tc>
          <w:tcPr>
            <w:tcW w:w="6769" w:type="dxa"/>
          </w:tcPr>
          <w:p w:rsidR="00717824" w:rsidRPr="001A4DDE" w:rsidRDefault="00717824" w:rsidP="00E52240">
            <w:r w:rsidRPr="001A4DDE">
              <w:t>Good Clinical Practice</w:t>
            </w:r>
          </w:p>
        </w:tc>
      </w:tr>
      <w:tr w:rsidR="00463620" w:rsidRPr="00FD119B" w:rsidTr="00473CCC">
        <w:tc>
          <w:tcPr>
            <w:tcW w:w="1951" w:type="dxa"/>
          </w:tcPr>
          <w:p w:rsidR="00463620" w:rsidRDefault="00463620" w:rsidP="00E52240">
            <w:r>
              <w:t>h</w:t>
            </w:r>
          </w:p>
        </w:tc>
        <w:tc>
          <w:tcPr>
            <w:tcW w:w="6769" w:type="dxa"/>
          </w:tcPr>
          <w:p w:rsidR="00463620" w:rsidRDefault="00463620" w:rsidP="00E52240">
            <w:r>
              <w:t>Hour</w:t>
            </w:r>
          </w:p>
        </w:tc>
      </w:tr>
      <w:tr w:rsidR="00717824" w:rsidRPr="00FD119B" w:rsidTr="00473CCC">
        <w:tc>
          <w:tcPr>
            <w:tcW w:w="1951" w:type="dxa"/>
          </w:tcPr>
          <w:p w:rsidR="00717824" w:rsidRPr="001A4DDE" w:rsidRDefault="00717824" w:rsidP="00E52240">
            <w:r>
              <w:t>Ig</w:t>
            </w:r>
          </w:p>
        </w:tc>
        <w:tc>
          <w:tcPr>
            <w:tcW w:w="6769" w:type="dxa"/>
          </w:tcPr>
          <w:p w:rsidR="00717824" w:rsidRPr="001A4DDE" w:rsidRDefault="00717824" w:rsidP="00E52240">
            <w:r>
              <w:t>Immunoglobulin</w:t>
            </w:r>
          </w:p>
        </w:tc>
      </w:tr>
      <w:tr w:rsidR="00717824" w:rsidRPr="00FD119B" w:rsidTr="00473CCC">
        <w:tc>
          <w:tcPr>
            <w:tcW w:w="1951" w:type="dxa"/>
          </w:tcPr>
          <w:p w:rsidR="00717824" w:rsidRPr="001A4DDE" w:rsidRDefault="00717824" w:rsidP="00E52240">
            <w:r w:rsidRPr="001A4DDE">
              <w:t>ICH</w:t>
            </w:r>
          </w:p>
        </w:tc>
        <w:tc>
          <w:tcPr>
            <w:tcW w:w="6769" w:type="dxa"/>
          </w:tcPr>
          <w:p w:rsidR="00717824" w:rsidRPr="00315DFC" w:rsidRDefault="00717824" w:rsidP="00E52240">
            <w:r w:rsidRPr="00315DFC">
              <w:t>International Conference on Harmonisation of Technical Requirements for Registration of Pharmaceuticals for Human Use</w:t>
            </w:r>
          </w:p>
        </w:tc>
      </w:tr>
      <w:tr w:rsidR="003E71EB" w:rsidRPr="00FD119B" w:rsidTr="00473CCC">
        <w:tc>
          <w:tcPr>
            <w:tcW w:w="1951" w:type="dxa"/>
          </w:tcPr>
          <w:p w:rsidR="003E71EB" w:rsidRDefault="003E71EB" w:rsidP="00E52240">
            <w:r>
              <w:t>IV</w:t>
            </w:r>
          </w:p>
        </w:tc>
        <w:tc>
          <w:tcPr>
            <w:tcW w:w="6769" w:type="dxa"/>
          </w:tcPr>
          <w:p w:rsidR="003E71EB" w:rsidRDefault="003E71EB" w:rsidP="00E52240">
            <w:r>
              <w:t>Intravenous</w:t>
            </w:r>
            <w:r w:rsidR="00925014">
              <w:t>, intravenously</w:t>
            </w:r>
          </w:p>
        </w:tc>
      </w:tr>
      <w:tr w:rsidR="007D6494" w:rsidRPr="00FD119B" w:rsidTr="00473CCC">
        <w:tc>
          <w:tcPr>
            <w:tcW w:w="1951" w:type="dxa"/>
          </w:tcPr>
          <w:p w:rsidR="007D6494" w:rsidRDefault="007D6494" w:rsidP="00E52240">
            <w:r>
              <w:t>OPR</w:t>
            </w:r>
          </w:p>
        </w:tc>
        <w:tc>
          <w:tcPr>
            <w:tcW w:w="6769" w:type="dxa"/>
          </w:tcPr>
          <w:p w:rsidR="007D6494" w:rsidRPr="003C2CA0" w:rsidRDefault="007D6494" w:rsidP="00E52240">
            <w:pPr>
              <w:rPr>
                <w:szCs w:val="22"/>
              </w:rPr>
            </w:pPr>
            <w:r>
              <w:rPr>
                <w:szCs w:val="22"/>
              </w:rPr>
              <w:t>Office of Product Review</w:t>
            </w:r>
          </w:p>
        </w:tc>
      </w:tr>
      <w:tr w:rsidR="00717824" w:rsidRPr="00FD119B" w:rsidTr="00473CCC">
        <w:tc>
          <w:tcPr>
            <w:tcW w:w="1951" w:type="dxa"/>
          </w:tcPr>
          <w:p w:rsidR="00717824" w:rsidRPr="001A4DDE" w:rsidRDefault="00717824" w:rsidP="00E52240">
            <w:r w:rsidRPr="001A4DDE">
              <w:t>PI</w:t>
            </w:r>
          </w:p>
        </w:tc>
        <w:tc>
          <w:tcPr>
            <w:tcW w:w="6769" w:type="dxa"/>
          </w:tcPr>
          <w:p w:rsidR="00717824" w:rsidRPr="001A4DDE" w:rsidRDefault="00717824" w:rsidP="00E52240">
            <w:r w:rsidRPr="001A4DDE">
              <w:t>Product Information</w:t>
            </w:r>
          </w:p>
        </w:tc>
      </w:tr>
      <w:tr w:rsidR="00717824" w:rsidRPr="00FD119B" w:rsidTr="00473CCC">
        <w:tc>
          <w:tcPr>
            <w:tcW w:w="1951" w:type="dxa"/>
          </w:tcPr>
          <w:p w:rsidR="00717824" w:rsidRPr="001A4DDE" w:rsidRDefault="00717824" w:rsidP="00E52240">
            <w:r w:rsidRPr="001A4DDE">
              <w:t>PK</w:t>
            </w:r>
          </w:p>
        </w:tc>
        <w:tc>
          <w:tcPr>
            <w:tcW w:w="6769" w:type="dxa"/>
          </w:tcPr>
          <w:p w:rsidR="00717824" w:rsidRPr="001A4DDE" w:rsidRDefault="00717824" w:rsidP="00E52240">
            <w:r w:rsidRPr="001A4DDE">
              <w:t>Pharmacokinetic</w:t>
            </w:r>
            <w:r w:rsidR="0021542B">
              <w:t>/</w:t>
            </w:r>
            <w:r w:rsidRPr="001A4DDE">
              <w:t>s</w:t>
            </w:r>
          </w:p>
        </w:tc>
      </w:tr>
      <w:tr w:rsidR="00717824" w:rsidRPr="00FD119B" w:rsidTr="00473CCC">
        <w:tc>
          <w:tcPr>
            <w:tcW w:w="1951" w:type="dxa"/>
          </w:tcPr>
          <w:p w:rsidR="00717824" w:rsidRPr="001A4DDE" w:rsidRDefault="00717824" w:rsidP="00E52240">
            <w:r w:rsidRPr="001A4DDE">
              <w:lastRenderedPageBreak/>
              <w:t>PTP</w:t>
            </w:r>
          </w:p>
        </w:tc>
        <w:tc>
          <w:tcPr>
            <w:tcW w:w="6769" w:type="dxa"/>
          </w:tcPr>
          <w:p w:rsidR="00717824" w:rsidRPr="001A4DDE" w:rsidRDefault="00717824" w:rsidP="00E52240">
            <w:r w:rsidRPr="001A4DDE">
              <w:t>Previously Treated Patient</w:t>
            </w:r>
          </w:p>
        </w:tc>
      </w:tr>
      <w:tr w:rsidR="00D52364" w:rsidRPr="00FD119B" w:rsidTr="00473CCC">
        <w:tc>
          <w:tcPr>
            <w:tcW w:w="1951" w:type="dxa"/>
          </w:tcPr>
          <w:p w:rsidR="00D52364" w:rsidRPr="001A4DDE" w:rsidRDefault="00D52364" w:rsidP="00E52240">
            <w:r>
              <w:t>PSUR</w:t>
            </w:r>
          </w:p>
        </w:tc>
        <w:tc>
          <w:tcPr>
            <w:tcW w:w="6769" w:type="dxa"/>
          </w:tcPr>
          <w:p w:rsidR="00D52364" w:rsidRPr="001A4DDE" w:rsidRDefault="00D52364" w:rsidP="00E52240">
            <w:r>
              <w:t>Periodic Safety Update Report</w:t>
            </w:r>
          </w:p>
        </w:tc>
      </w:tr>
      <w:tr w:rsidR="00717824" w:rsidRPr="00FD119B" w:rsidTr="00473CCC">
        <w:tc>
          <w:tcPr>
            <w:tcW w:w="1951" w:type="dxa"/>
          </w:tcPr>
          <w:p w:rsidR="00717824" w:rsidRPr="001A4DDE" w:rsidRDefault="00717824" w:rsidP="00E52240">
            <w:r w:rsidRPr="001A4DDE">
              <w:t>PUP</w:t>
            </w:r>
          </w:p>
        </w:tc>
        <w:tc>
          <w:tcPr>
            <w:tcW w:w="6769" w:type="dxa"/>
          </w:tcPr>
          <w:p w:rsidR="00717824" w:rsidRPr="001A4DDE" w:rsidRDefault="00717824" w:rsidP="00E52240">
            <w:r w:rsidRPr="001A4DDE">
              <w:t>Previously Untreated Patient</w:t>
            </w:r>
          </w:p>
        </w:tc>
      </w:tr>
      <w:tr w:rsidR="00FE77A5" w:rsidRPr="00FD119B" w:rsidTr="00473CCC">
        <w:tc>
          <w:tcPr>
            <w:tcW w:w="1951" w:type="dxa"/>
          </w:tcPr>
          <w:p w:rsidR="00FE77A5" w:rsidRPr="001A4DDE" w:rsidRDefault="00FE77A5" w:rsidP="00E52240">
            <w:proofErr w:type="spellStart"/>
            <w:r w:rsidRPr="00FE77A5">
              <w:t>rFIXFc</w:t>
            </w:r>
            <w:proofErr w:type="spellEnd"/>
          </w:p>
        </w:tc>
        <w:tc>
          <w:tcPr>
            <w:tcW w:w="6769" w:type="dxa"/>
          </w:tcPr>
          <w:p w:rsidR="00FE77A5" w:rsidRPr="001A4DDE" w:rsidRDefault="00FE77A5" w:rsidP="00E52240">
            <w:r>
              <w:t xml:space="preserve">Recombinant Factor IX linked to </w:t>
            </w:r>
            <w:r w:rsidRPr="00FE77A5">
              <w:t>the fusion protein (Fc) of immunoglobulin G</w:t>
            </w:r>
            <w:r>
              <w:t xml:space="preserve">; </w:t>
            </w:r>
            <w:proofErr w:type="spellStart"/>
            <w:r>
              <w:t>e</w:t>
            </w:r>
            <w:r w:rsidR="00E52240">
              <w:t>ftrenonacog</w:t>
            </w:r>
            <w:proofErr w:type="spellEnd"/>
            <w:r w:rsidR="00E52240">
              <w:t xml:space="preserve"> </w:t>
            </w:r>
            <w:proofErr w:type="spellStart"/>
            <w:r w:rsidR="00E52240">
              <w:t>alfa</w:t>
            </w:r>
            <w:proofErr w:type="spellEnd"/>
          </w:p>
        </w:tc>
      </w:tr>
      <w:tr w:rsidR="007D6494" w:rsidRPr="00FD119B" w:rsidTr="00473CCC">
        <w:tc>
          <w:tcPr>
            <w:tcW w:w="1951" w:type="dxa"/>
          </w:tcPr>
          <w:p w:rsidR="007D6494" w:rsidRPr="001A4DDE" w:rsidRDefault="007D6494" w:rsidP="00E52240">
            <w:r>
              <w:t>RMP</w:t>
            </w:r>
          </w:p>
        </w:tc>
        <w:tc>
          <w:tcPr>
            <w:tcW w:w="6769" w:type="dxa"/>
          </w:tcPr>
          <w:p w:rsidR="007D6494" w:rsidRPr="001A4DDE" w:rsidRDefault="007D6494" w:rsidP="00E52240">
            <w:r>
              <w:t>Risk Management Plan</w:t>
            </w:r>
          </w:p>
        </w:tc>
      </w:tr>
      <w:tr w:rsidR="00717824" w:rsidRPr="00FD119B" w:rsidTr="00473CCC">
        <w:tc>
          <w:tcPr>
            <w:tcW w:w="1951" w:type="dxa"/>
          </w:tcPr>
          <w:p w:rsidR="00717824" w:rsidRPr="001A4DDE" w:rsidRDefault="00717824" w:rsidP="00E52240">
            <w:r w:rsidRPr="001A4DDE">
              <w:t>SAE</w:t>
            </w:r>
          </w:p>
        </w:tc>
        <w:tc>
          <w:tcPr>
            <w:tcW w:w="6769" w:type="dxa"/>
          </w:tcPr>
          <w:p w:rsidR="00717824" w:rsidRPr="001A4DDE" w:rsidRDefault="00717824" w:rsidP="00E52240">
            <w:r w:rsidRPr="001A4DDE">
              <w:t>Serious Adverse Event</w:t>
            </w:r>
          </w:p>
        </w:tc>
      </w:tr>
      <w:tr w:rsidR="00717824" w:rsidRPr="00FD119B" w:rsidTr="00473CCC">
        <w:tc>
          <w:tcPr>
            <w:tcW w:w="1951" w:type="dxa"/>
          </w:tcPr>
          <w:p w:rsidR="00717824" w:rsidRPr="001A4DDE" w:rsidRDefault="00717824" w:rsidP="00E52240">
            <w:r w:rsidRPr="004B7CBD">
              <w:t>SDS</w:t>
            </w:r>
            <w:r w:rsidR="00B67C40">
              <w:t xml:space="preserve"> </w:t>
            </w:r>
            <w:r w:rsidRPr="004B7CBD">
              <w:t>PAGE</w:t>
            </w:r>
          </w:p>
        </w:tc>
        <w:tc>
          <w:tcPr>
            <w:tcW w:w="6769" w:type="dxa"/>
          </w:tcPr>
          <w:p w:rsidR="00717824" w:rsidRPr="001A4DDE" w:rsidRDefault="00717824" w:rsidP="00E52240">
            <w:r>
              <w:t>S</w:t>
            </w:r>
            <w:r w:rsidRPr="004B7CBD">
              <w:t xml:space="preserve">odium </w:t>
            </w:r>
            <w:r>
              <w:t>D</w:t>
            </w:r>
            <w:r w:rsidRPr="004B7CBD">
              <w:t xml:space="preserve">odecyl </w:t>
            </w:r>
            <w:r>
              <w:t>S</w:t>
            </w:r>
            <w:r w:rsidRPr="004B7CBD">
              <w:t>ul</w:t>
            </w:r>
            <w:r w:rsidR="00BF245C">
              <w:t>ph</w:t>
            </w:r>
            <w:r w:rsidRPr="004B7CBD">
              <w:t xml:space="preserve">ate </w:t>
            </w:r>
            <w:r>
              <w:t>P</w:t>
            </w:r>
            <w:r w:rsidRPr="004B7CBD">
              <w:t xml:space="preserve">olyacrylamide </w:t>
            </w:r>
            <w:r>
              <w:t>G</w:t>
            </w:r>
            <w:r w:rsidRPr="004B7CBD">
              <w:t xml:space="preserve">el </w:t>
            </w:r>
            <w:r>
              <w:t>E</w:t>
            </w:r>
            <w:r w:rsidR="00E52240">
              <w:t>lectrophoresis</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Pr="004543C7" w:rsidRDefault="00F53C07" w:rsidP="004543C7">
      <w:pPr>
        <w:pStyle w:val="Heading2"/>
      </w:pPr>
      <w:bookmarkStart w:id="9" w:name="_Toc404068910"/>
      <w:r>
        <w:lastRenderedPageBreak/>
        <w:t>I.</w:t>
      </w:r>
      <w:r w:rsidR="008E7846">
        <w:t xml:space="preserve"> Introduction to product submission</w:t>
      </w:r>
      <w:bookmarkEnd w:id="3"/>
      <w:bookmarkEnd w:id="0"/>
      <w:bookmarkEnd w:id="9"/>
    </w:p>
    <w:p w:rsidR="008E7846" w:rsidRPr="004543C7" w:rsidRDefault="008E7846" w:rsidP="004543C7">
      <w:pPr>
        <w:pStyle w:val="Heading3"/>
      </w:pPr>
      <w:bookmarkStart w:id="10" w:name="_Toc247691502"/>
      <w:bookmarkStart w:id="11" w:name="_Toc314842483"/>
      <w:bookmarkStart w:id="12" w:name="_Toc404068911"/>
      <w:r>
        <w:rPr>
          <w:lang w:eastAsia="en-AU"/>
        </w:rPr>
        <w:t>Submission details</w:t>
      </w:r>
      <w:bookmarkEnd w:id="10"/>
      <w:bookmarkEnd w:id="11"/>
      <w:bookmarkEnd w:id="12"/>
    </w:p>
    <w:tbl>
      <w:tblPr>
        <w:tblW w:w="8495" w:type="dxa"/>
        <w:tblInd w:w="108" w:type="dxa"/>
        <w:tblLook w:val="01E0" w:firstRow="1" w:lastRow="1" w:firstColumn="1" w:lastColumn="1" w:noHBand="0" w:noVBand="0"/>
      </w:tblPr>
      <w:tblGrid>
        <w:gridCol w:w="2600"/>
        <w:gridCol w:w="5642"/>
        <w:gridCol w:w="253"/>
      </w:tblGrid>
      <w:tr w:rsidR="008E7846" w:rsidRPr="003D1E62" w:rsidTr="008E6B0A">
        <w:trPr>
          <w:trHeight w:hRule="exact" w:val="451"/>
        </w:trPr>
        <w:tc>
          <w:tcPr>
            <w:tcW w:w="2600" w:type="dxa"/>
          </w:tcPr>
          <w:p w:rsidR="008E7846" w:rsidRPr="003D1E62" w:rsidRDefault="001B5C90" w:rsidP="001B5C90">
            <w:pPr>
              <w:rPr>
                <w:i/>
              </w:rPr>
            </w:pPr>
            <w:r>
              <w:rPr>
                <w:i/>
              </w:rPr>
              <w:t>Type of s</w:t>
            </w:r>
            <w:r w:rsidR="008E7846" w:rsidRPr="003D1E62">
              <w:rPr>
                <w:i/>
              </w:rPr>
              <w:t>ubmission</w:t>
            </w:r>
            <w:r>
              <w:rPr>
                <w:i/>
              </w:rPr>
              <w:t>:</w:t>
            </w:r>
          </w:p>
        </w:tc>
        <w:tc>
          <w:tcPr>
            <w:tcW w:w="5895" w:type="dxa"/>
            <w:gridSpan w:val="2"/>
          </w:tcPr>
          <w:p w:rsidR="008E7846" w:rsidRPr="003D1E62" w:rsidRDefault="00E709F9" w:rsidP="00925014">
            <w:r>
              <w:t xml:space="preserve">New </w:t>
            </w:r>
            <w:r w:rsidR="00925014">
              <w:t xml:space="preserve">biological </w:t>
            </w:r>
            <w:r w:rsidR="001C5736">
              <w:t>e</w:t>
            </w:r>
            <w:r>
              <w:t>ntity</w:t>
            </w:r>
          </w:p>
        </w:tc>
      </w:tr>
      <w:tr w:rsidR="008E7846" w:rsidRPr="003D1E62" w:rsidTr="008E6B0A">
        <w:trPr>
          <w:trHeight w:hRule="exact" w:val="451"/>
        </w:trPr>
        <w:tc>
          <w:tcPr>
            <w:tcW w:w="2600" w:type="dxa"/>
          </w:tcPr>
          <w:p w:rsidR="008E7846" w:rsidRPr="003D1E62" w:rsidRDefault="008E7846" w:rsidP="003D1E62">
            <w:r w:rsidRPr="003D1E62">
              <w:rPr>
                <w:i/>
              </w:rPr>
              <w:t>Decision</w:t>
            </w:r>
            <w:r w:rsidRPr="003D1E62">
              <w:t>:</w:t>
            </w:r>
          </w:p>
        </w:tc>
        <w:tc>
          <w:tcPr>
            <w:tcW w:w="5895" w:type="dxa"/>
            <w:gridSpan w:val="2"/>
          </w:tcPr>
          <w:p w:rsidR="008E7846" w:rsidRPr="00E709F9" w:rsidRDefault="004543C7" w:rsidP="00C70060">
            <w:pPr>
              <w:rPr>
                <w:highlight w:val="yellow"/>
              </w:rPr>
            </w:pPr>
            <w:r>
              <w:t>Approved</w:t>
            </w:r>
          </w:p>
        </w:tc>
      </w:tr>
      <w:tr w:rsidR="008E7846" w:rsidRPr="003D1E62" w:rsidTr="008E6B0A">
        <w:trPr>
          <w:trHeight w:hRule="exact" w:val="451"/>
        </w:trPr>
        <w:tc>
          <w:tcPr>
            <w:tcW w:w="2600"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5895" w:type="dxa"/>
            <w:gridSpan w:val="2"/>
            <w:shd w:val="clear" w:color="auto" w:fill="auto"/>
          </w:tcPr>
          <w:p w:rsidR="008E7846" w:rsidRPr="00E709F9" w:rsidRDefault="00C90015" w:rsidP="00C90015">
            <w:pPr>
              <w:rPr>
                <w:highlight w:val="yellow"/>
              </w:rPr>
            </w:pPr>
            <w:r w:rsidRPr="009C4C70">
              <w:t>17 April 2014</w:t>
            </w:r>
          </w:p>
        </w:tc>
      </w:tr>
      <w:tr w:rsidR="008E7846" w:rsidRPr="00487162" w:rsidTr="008E6B0A">
        <w:trPr>
          <w:gridAfter w:val="1"/>
          <w:wAfter w:w="253" w:type="dxa"/>
          <w:trHeight w:val="497"/>
        </w:trPr>
        <w:tc>
          <w:tcPr>
            <w:tcW w:w="2600" w:type="dxa"/>
          </w:tcPr>
          <w:p w:rsidR="008E7846" w:rsidRPr="00487162" w:rsidRDefault="001B5C90" w:rsidP="002A76A5">
            <w:pPr>
              <w:rPr>
                <w:i/>
              </w:rPr>
            </w:pPr>
            <w:r>
              <w:rPr>
                <w:i/>
              </w:rPr>
              <w:t>Active ingredient:</w:t>
            </w:r>
          </w:p>
        </w:tc>
        <w:tc>
          <w:tcPr>
            <w:tcW w:w="5642" w:type="dxa"/>
          </w:tcPr>
          <w:p w:rsidR="008E7846" w:rsidRPr="00487162" w:rsidRDefault="00E709F9" w:rsidP="00C90015">
            <w:r>
              <w:t>Eftrenonacog al</w:t>
            </w:r>
            <w:r w:rsidR="00C90015">
              <w:t>f</w:t>
            </w:r>
            <w:r>
              <w:t>a</w:t>
            </w:r>
          </w:p>
        </w:tc>
      </w:tr>
      <w:tr w:rsidR="008E7846" w:rsidRPr="00487162" w:rsidTr="008E6B0A">
        <w:trPr>
          <w:gridAfter w:val="1"/>
          <w:wAfter w:w="253" w:type="dxa"/>
          <w:trHeight w:val="497"/>
        </w:trPr>
        <w:tc>
          <w:tcPr>
            <w:tcW w:w="2600" w:type="dxa"/>
          </w:tcPr>
          <w:p w:rsidR="008E7846" w:rsidRPr="00487162" w:rsidRDefault="008E7846" w:rsidP="002A76A5">
            <w:pPr>
              <w:rPr>
                <w:i/>
              </w:rPr>
            </w:pPr>
            <w:r w:rsidRPr="00487162">
              <w:rPr>
                <w:i/>
              </w:rPr>
              <w:t>Product</w:t>
            </w:r>
            <w:r w:rsidR="001B5C90">
              <w:rPr>
                <w:i/>
              </w:rPr>
              <w:t xml:space="preserve"> name:</w:t>
            </w:r>
          </w:p>
        </w:tc>
        <w:tc>
          <w:tcPr>
            <w:tcW w:w="5642" w:type="dxa"/>
          </w:tcPr>
          <w:p w:rsidR="008E7846" w:rsidRPr="00487162" w:rsidRDefault="00E709F9" w:rsidP="004543C7">
            <w:pPr>
              <w:tabs>
                <w:tab w:val="right" w:pos="6091"/>
              </w:tabs>
            </w:pPr>
            <w:proofErr w:type="spellStart"/>
            <w:r>
              <w:t>Alprolix</w:t>
            </w:r>
            <w:proofErr w:type="spellEnd"/>
          </w:p>
        </w:tc>
      </w:tr>
      <w:tr w:rsidR="008E7846" w:rsidRPr="00487162" w:rsidTr="008E6B0A">
        <w:trPr>
          <w:gridAfter w:val="1"/>
          <w:wAfter w:w="253" w:type="dxa"/>
          <w:trHeight w:val="1619"/>
        </w:trPr>
        <w:tc>
          <w:tcPr>
            <w:tcW w:w="2600"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5642" w:type="dxa"/>
          </w:tcPr>
          <w:p w:rsidR="0091264B" w:rsidRPr="00487162" w:rsidRDefault="009C4C70" w:rsidP="004543C7">
            <w:proofErr w:type="spellStart"/>
            <w:r w:rsidRPr="005222C6">
              <w:t>Biogen</w:t>
            </w:r>
            <w:proofErr w:type="spellEnd"/>
            <w:r w:rsidRPr="005222C6">
              <w:t xml:space="preserve"> Idec Australia Pty Ltd</w:t>
            </w:r>
            <w:r w:rsidR="004543C7">
              <w:br/>
              <w:t>Suite 1, Level 5</w:t>
            </w:r>
            <w:r w:rsidR="00925014">
              <w:br/>
            </w:r>
            <w:r w:rsidRPr="005222C6">
              <w:t>123 Epping Road</w:t>
            </w:r>
            <w:r w:rsidR="00925014">
              <w:br/>
            </w:r>
            <w:r w:rsidR="00B67C40" w:rsidRPr="005222C6">
              <w:t>North Ryde</w:t>
            </w:r>
            <w:r w:rsidR="006F7F04" w:rsidRPr="005222C6">
              <w:t>,</w:t>
            </w:r>
            <w:r w:rsidRPr="005222C6">
              <w:t xml:space="preserve"> NSW 2113</w:t>
            </w:r>
          </w:p>
        </w:tc>
      </w:tr>
      <w:tr w:rsidR="008E7846" w:rsidRPr="00487162" w:rsidTr="008E6B0A">
        <w:trPr>
          <w:gridAfter w:val="1"/>
          <w:wAfter w:w="253" w:type="dxa"/>
          <w:trHeight w:val="497"/>
        </w:trPr>
        <w:tc>
          <w:tcPr>
            <w:tcW w:w="2600" w:type="dxa"/>
          </w:tcPr>
          <w:p w:rsidR="008E7846" w:rsidRPr="00487162" w:rsidRDefault="001B5C90" w:rsidP="002A76A5">
            <w:pPr>
              <w:rPr>
                <w:i/>
              </w:rPr>
            </w:pPr>
            <w:r>
              <w:rPr>
                <w:i/>
              </w:rPr>
              <w:t>Dose form:</w:t>
            </w:r>
          </w:p>
        </w:tc>
        <w:tc>
          <w:tcPr>
            <w:tcW w:w="5642" w:type="dxa"/>
          </w:tcPr>
          <w:p w:rsidR="008E7846" w:rsidRPr="00487162" w:rsidRDefault="00925014" w:rsidP="00E709F9">
            <w:r>
              <w:t>Powder for injection and diluent</w:t>
            </w:r>
          </w:p>
        </w:tc>
      </w:tr>
      <w:tr w:rsidR="008E7846" w:rsidRPr="00487162" w:rsidTr="008E6B0A">
        <w:trPr>
          <w:gridAfter w:val="1"/>
          <w:wAfter w:w="253" w:type="dxa"/>
          <w:trHeight w:val="497"/>
        </w:trPr>
        <w:tc>
          <w:tcPr>
            <w:tcW w:w="2600" w:type="dxa"/>
          </w:tcPr>
          <w:p w:rsidR="008E7846" w:rsidRPr="00487162" w:rsidRDefault="004543C7" w:rsidP="002A76A5">
            <w:pPr>
              <w:rPr>
                <w:i/>
              </w:rPr>
            </w:pPr>
            <w:r>
              <w:rPr>
                <w:i/>
              </w:rPr>
              <w:t>Strengths:</w:t>
            </w:r>
          </w:p>
        </w:tc>
        <w:tc>
          <w:tcPr>
            <w:tcW w:w="5642" w:type="dxa"/>
          </w:tcPr>
          <w:p w:rsidR="008E7846" w:rsidRPr="00487162" w:rsidRDefault="00E709F9" w:rsidP="00D67681">
            <w:r>
              <w:rPr>
                <w:rFonts w:asciiTheme="minorHAnsi" w:hAnsiTheme="minorHAnsi" w:cs="Arial"/>
                <w:szCs w:val="24"/>
              </w:rPr>
              <w:t xml:space="preserve">250, 500, 1000, 2000 </w:t>
            </w:r>
            <w:r w:rsidR="00EF4537">
              <w:rPr>
                <w:rFonts w:asciiTheme="minorHAnsi" w:hAnsiTheme="minorHAnsi" w:cs="Arial"/>
                <w:szCs w:val="24"/>
              </w:rPr>
              <w:t>and</w:t>
            </w:r>
            <w:r>
              <w:rPr>
                <w:rFonts w:asciiTheme="minorHAnsi" w:hAnsiTheme="minorHAnsi" w:cs="Arial"/>
                <w:szCs w:val="24"/>
              </w:rPr>
              <w:t xml:space="preserve"> 3000 </w:t>
            </w:r>
            <w:r w:rsidR="00134725">
              <w:rPr>
                <w:rFonts w:asciiTheme="minorHAnsi" w:hAnsiTheme="minorHAnsi" w:cs="Arial"/>
                <w:szCs w:val="24"/>
              </w:rPr>
              <w:t>International Units (</w:t>
            </w:r>
            <w:r>
              <w:rPr>
                <w:rFonts w:asciiTheme="minorHAnsi" w:hAnsiTheme="minorHAnsi" w:cs="Arial"/>
                <w:szCs w:val="24"/>
              </w:rPr>
              <w:t>IU</w:t>
            </w:r>
            <w:r w:rsidR="00134725">
              <w:rPr>
                <w:rFonts w:asciiTheme="minorHAnsi" w:hAnsiTheme="minorHAnsi" w:cs="Arial"/>
                <w:szCs w:val="24"/>
              </w:rPr>
              <w:t>)</w:t>
            </w:r>
          </w:p>
        </w:tc>
      </w:tr>
      <w:tr w:rsidR="008E7846" w:rsidRPr="00487162" w:rsidTr="008E6B0A">
        <w:trPr>
          <w:gridAfter w:val="1"/>
          <w:wAfter w:w="253" w:type="dxa"/>
          <w:trHeight w:val="490"/>
        </w:trPr>
        <w:tc>
          <w:tcPr>
            <w:tcW w:w="2600" w:type="dxa"/>
          </w:tcPr>
          <w:p w:rsidR="008E7846" w:rsidRPr="00487162" w:rsidRDefault="008E7846" w:rsidP="002A76A5">
            <w:pPr>
              <w:rPr>
                <w:i/>
              </w:rPr>
            </w:pPr>
            <w:r w:rsidRPr="00487162">
              <w:rPr>
                <w:i/>
              </w:rPr>
              <w:t>Container:</w:t>
            </w:r>
          </w:p>
        </w:tc>
        <w:tc>
          <w:tcPr>
            <w:tcW w:w="5642" w:type="dxa"/>
          </w:tcPr>
          <w:p w:rsidR="008E7846" w:rsidRPr="00D67681" w:rsidRDefault="00925014" w:rsidP="00925014">
            <w:pPr>
              <w:rPr>
                <w:highlight w:val="yellow"/>
              </w:rPr>
            </w:pPr>
            <w:r>
              <w:t xml:space="preserve">Type 1 glass vial (powder) and </w:t>
            </w:r>
            <w:r w:rsidR="00EF4537" w:rsidRPr="00D67681">
              <w:t>prefilled syringe</w:t>
            </w:r>
            <w:r>
              <w:t xml:space="preserve"> (diluent)</w:t>
            </w:r>
          </w:p>
        </w:tc>
      </w:tr>
      <w:tr w:rsidR="008E7846" w:rsidRPr="00487162" w:rsidTr="008E6B0A">
        <w:trPr>
          <w:gridAfter w:val="1"/>
          <w:wAfter w:w="253" w:type="dxa"/>
          <w:trHeight w:val="497"/>
        </w:trPr>
        <w:tc>
          <w:tcPr>
            <w:tcW w:w="2600" w:type="dxa"/>
          </w:tcPr>
          <w:p w:rsidR="008E7846" w:rsidRPr="00487162" w:rsidRDefault="008E7846" w:rsidP="002A76A5">
            <w:pPr>
              <w:rPr>
                <w:i/>
              </w:rPr>
            </w:pPr>
            <w:r w:rsidRPr="00487162">
              <w:rPr>
                <w:i/>
              </w:rPr>
              <w:t>Pack size:</w:t>
            </w:r>
          </w:p>
        </w:tc>
        <w:tc>
          <w:tcPr>
            <w:tcW w:w="5642" w:type="dxa"/>
          </w:tcPr>
          <w:p w:rsidR="008E7846" w:rsidRPr="00E709F9" w:rsidRDefault="00EF4537" w:rsidP="00E45619">
            <w:pPr>
              <w:rPr>
                <w:highlight w:val="yellow"/>
              </w:rPr>
            </w:pPr>
            <w:r w:rsidRPr="0074073C">
              <w:t>Single</w:t>
            </w:r>
          </w:p>
        </w:tc>
      </w:tr>
      <w:tr w:rsidR="008E7846" w:rsidRPr="00487162" w:rsidTr="008E6B0A">
        <w:trPr>
          <w:gridAfter w:val="1"/>
          <w:wAfter w:w="253" w:type="dxa"/>
          <w:trHeight w:val="1778"/>
        </w:trPr>
        <w:tc>
          <w:tcPr>
            <w:tcW w:w="2600" w:type="dxa"/>
          </w:tcPr>
          <w:p w:rsidR="008E7846" w:rsidRPr="00925014" w:rsidRDefault="008E7846" w:rsidP="001B5C90">
            <w:pPr>
              <w:rPr>
                <w:i/>
              </w:rPr>
            </w:pPr>
            <w:r w:rsidRPr="00925014">
              <w:rPr>
                <w:i/>
              </w:rPr>
              <w:t xml:space="preserve">Approved </w:t>
            </w:r>
            <w:r w:rsidR="001B5C90" w:rsidRPr="00925014">
              <w:rPr>
                <w:i/>
              </w:rPr>
              <w:t>t</w:t>
            </w:r>
            <w:r w:rsidRPr="00925014">
              <w:rPr>
                <w:i/>
              </w:rPr>
              <w:t>herapeutic use:</w:t>
            </w:r>
          </w:p>
        </w:tc>
        <w:tc>
          <w:tcPr>
            <w:tcW w:w="5642" w:type="dxa"/>
          </w:tcPr>
          <w:p w:rsidR="00925014" w:rsidRPr="00925014" w:rsidRDefault="00393CA5" w:rsidP="00925014">
            <w:pPr>
              <w:rPr>
                <w:i/>
              </w:rPr>
            </w:pPr>
            <w:r w:rsidRPr="00925014">
              <w:rPr>
                <w:i/>
              </w:rPr>
              <w:t>Alprolix</w:t>
            </w:r>
            <w:r w:rsidR="00C90015" w:rsidRPr="00925014">
              <w:rPr>
                <w:i/>
              </w:rPr>
              <w:t xml:space="preserve"> is a long-acting anti-haemophilic factor (recombinant) indicated in adults and children (</w:t>
            </w:r>
            <w:r w:rsidR="00925014" w:rsidRPr="00925014">
              <w:rPr>
                <w:i/>
              </w:rPr>
              <w:t>≥</w:t>
            </w:r>
            <w:r w:rsidR="000D62B6">
              <w:rPr>
                <w:i/>
              </w:rPr>
              <w:t> </w:t>
            </w:r>
            <w:r w:rsidR="0074073C" w:rsidRPr="00925014">
              <w:rPr>
                <w:i/>
              </w:rPr>
              <w:t>12</w:t>
            </w:r>
            <w:r w:rsidR="000D62B6">
              <w:rPr>
                <w:i/>
              </w:rPr>
              <w:t> </w:t>
            </w:r>
            <w:r w:rsidR="0074073C" w:rsidRPr="00925014">
              <w:rPr>
                <w:i/>
              </w:rPr>
              <w:t>years)</w:t>
            </w:r>
            <w:r w:rsidR="00C90015" w:rsidRPr="00925014">
              <w:rPr>
                <w:i/>
              </w:rPr>
              <w:t xml:space="preserve"> with</w:t>
            </w:r>
            <w:r w:rsidR="0074073C" w:rsidRPr="00925014">
              <w:rPr>
                <w:i/>
              </w:rPr>
              <w:t xml:space="preserve"> </w:t>
            </w:r>
            <w:r w:rsidR="00C90015" w:rsidRPr="00925014">
              <w:rPr>
                <w:i/>
              </w:rPr>
              <w:t>haemophilia</w:t>
            </w:r>
            <w:r w:rsidR="0074073C" w:rsidRPr="00925014">
              <w:rPr>
                <w:i/>
              </w:rPr>
              <w:t xml:space="preserve"> </w:t>
            </w:r>
            <w:r w:rsidR="00C90015" w:rsidRPr="00925014">
              <w:rPr>
                <w:i/>
              </w:rPr>
              <w:t>B (congenital factor IX</w:t>
            </w:r>
            <w:r w:rsidR="0074073C" w:rsidRPr="00925014">
              <w:rPr>
                <w:i/>
              </w:rPr>
              <w:t xml:space="preserve"> </w:t>
            </w:r>
            <w:r w:rsidR="00D67681" w:rsidRPr="00925014">
              <w:rPr>
                <w:i/>
              </w:rPr>
              <w:t>deficiency) for</w:t>
            </w:r>
          </w:p>
          <w:p w:rsidR="00925014" w:rsidRPr="00925014" w:rsidRDefault="002A76A5" w:rsidP="00925014">
            <w:pPr>
              <w:pStyle w:val="ListBullet"/>
              <w:spacing w:before="60" w:after="60"/>
              <w:ind w:left="357" w:hanging="357"/>
              <w:rPr>
                <w:i/>
              </w:rPr>
            </w:pPr>
            <w:r w:rsidRPr="00925014">
              <w:rPr>
                <w:i/>
              </w:rPr>
              <w:t>the c</w:t>
            </w:r>
            <w:r w:rsidR="00C90015" w:rsidRPr="00925014">
              <w:rPr>
                <w:i/>
              </w:rPr>
              <w:t>ontrol and prevention</w:t>
            </w:r>
            <w:r w:rsidR="0074073C" w:rsidRPr="00925014">
              <w:rPr>
                <w:i/>
              </w:rPr>
              <w:t xml:space="preserve"> </w:t>
            </w:r>
            <w:r w:rsidR="00C90015" w:rsidRPr="00925014">
              <w:rPr>
                <w:i/>
              </w:rPr>
              <w:t>of bleeding episodes;</w:t>
            </w:r>
          </w:p>
          <w:p w:rsidR="00925014" w:rsidRPr="00925014" w:rsidRDefault="002A76A5" w:rsidP="00925014">
            <w:pPr>
              <w:pStyle w:val="ListBullet"/>
              <w:spacing w:before="60" w:after="60"/>
              <w:ind w:left="357" w:hanging="357"/>
              <w:rPr>
                <w:i/>
              </w:rPr>
            </w:pPr>
            <w:r w:rsidRPr="00925014">
              <w:rPr>
                <w:i/>
              </w:rPr>
              <w:t>r</w:t>
            </w:r>
            <w:r w:rsidR="00C90015" w:rsidRPr="00925014">
              <w:rPr>
                <w:i/>
              </w:rPr>
              <w:t>outine prophylaxis</w:t>
            </w:r>
            <w:r w:rsidR="0074073C" w:rsidRPr="00925014">
              <w:rPr>
                <w:i/>
              </w:rPr>
              <w:t xml:space="preserve"> </w:t>
            </w:r>
            <w:r w:rsidR="00C90015" w:rsidRPr="00925014">
              <w:rPr>
                <w:i/>
              </w:rPr>
              <w:t>to prevent</w:t>
            </w:r>
            <w:r w:rsidR="0074073C" w:rsidRPr="00925014">
              <w:rPr>
                <w:i/>
              </w:rPr>
              <w:t xml:space="preserve"> </w:t>
            </w:r>
            <w:r w:rsidR="00C90015" w:rsidRPr="00925014">
              <w:rPr>
                <w:i/>
              </w:rPr>
              <w:t>or reduce the</w:t>
            </w:r>
            <w:r w:rsidR="009C4C70" w:rsidRPr="00925014">
              <w:rPr>
                <w:i/>
              </w:rPr>
              <w:t xml:space="preserve"> </w:t>
            </w:r>
            <w:r w:rsidR="00C90015" w:rsidRPr="00925014">
              <w:rPr>
                <w:i/>
              </w:rPr>
              <w:t>frequency of bleeding episodes</w:t>
            </w:r>
            <w:r w:rsidR="00925014" w:rsidRPr="00925014">
              <w:rPr>
                <w:i/>
              </w:rPr>
              <w:t>;</w:t>
            </w:r>
          </w:p>
          <w:p w:rsidR="008E7846" w:rsidRPr="00925014" w:rsidRDefault="002A76A5" w:rsidP="00925014">
            <w:pPr>
              <w:pStyle w:val="ListBullet"/>
              <w:spacing w:before="60" w:after="60"/>
              <w:ind w:left="357" w:hanging="357"/>
            </w:pPr>
            <w:r w:rsidRPr="00925014">
              <w:rPr>
                <w:i/>
              </w:rPr>
              <w:t>p</w:t>
            </w:r>
            <w:r w:rsidR="00C90015" w:rsidRPr="00925014">
              <w:rPr>
                <w:i/>
              </w:rPr>
              <w:t>erioperative management (surgical prophylaxis)</w:t>
            </w:r>
          </w:p>
        </w:tc>
      </w:tr>
      <w:tr w:rsidR="008E7846" w:rsidRPr="00487162" w:rsidTr="008E6B0A">
        <w:trPr>
          <w:gridAfter w:val="1"/>
          <w:wAfter w:w="253" w:type="dxa"/>
          <w:trHeight w:val="497"/>
        </w:trPr>
        <w:tc>
          <w:tcPr>
            <w:tcW w:w="2600" w:type="dxa"/>
          </w:tcPr>
          <w:p w:rsidR="008E7846" w:rsidRPr="00487162" w:rsidRDefault="008E7846" w:rsidP="002A76A5">
            <w:pPr>
              <w:rPr>
                <w:i/>
              </w:rPr>
            </w:pPr>
            <w:r w:rsidRPr="00487162">
              <w:rPr>
                <w:i/>
              </w:rPr>
              <w:t>Route of administration:</w:t>
            </w:r>
          </w:p>
        </w:tc>
        <w:tc>
          <w:tcPr>
            <w:tcW w:w="5642" w:type="dxa"/>
          </w:tcPr>
          <w:p w:rsidR="008E7846" w:rsidRPr="00487162" w:rsidRDefault="00E709F9" w:rsidP="00C97C44">
            <w:r>
              <w:t>Intravenous (IV)</w:t>
            </w:r>
          </w:p>
        </w:tc>
      </w:tr>
      <w:tr w:rsidR="008E7846" w:rsidRPr="00487162" w:rsidTr="008E6B0A">
        <w:trPr>
          <w:gridAfter w:val="1"/>
          <w:wAfter w:w="253" w:type="dxa"/>
          <w:trHeight w:val="490"/>
        </w:trPr>
        <w:tc>
          <w:tcPr>
            <w:tcW w:w="2600" w:type="dxa"/>
          </w:tcPr>
          <w:p w:rsidR="008E7846" w:rsidRPr="00487162" w:rsidRDefault="008E7846" w:rsidP="00E45619">
            <w:pPr>
              <w:rPr>
                <w:i/>
              </w:rPr>
            </w:pPr>
            <w:r w:rsidRPr="00487162">
              <w:rPr>
                <w:i/>
              </w:rPr>
              <w:t>Dosage:</w:t>
            </w:r>
          </w:p>
        </w:tc>
        <w:tc>
          <w:tcPr>
            <w:tcW w:w="5642" w:type="dxa"/>
          </w:tcPr>
          <w:p w:rsidR="008E7846" w:rsidRPr="00487162" w:rsidRDefault="000D62B6" w:rsidP="000D62B6">
            <w:r>
              <w:t xml:space="preserve">Refer to the approved </w:t>
            </w:r>
            <w:r w:rsidR="00A87E75">
              <w:t>Product Information (</w:t>
            </w:r>
            <w:r>
              <w:t xml:space="preserve">PI; </w:t>
            </w:r>
            <w:r w:rsidR="00A87E75">
              <w:t>Attachment 1</w:t>
            </w:r>
            <w:r w:rsidR="000D61C7">
              <w:t>)</w:t>
            </w:r>
          </w:p>
        </w:tc>
      </w:tr>
      <w:tr w:rsidR="008E7846" w:rsidRPr="00487162" w:rsidTr="008E6B0A">
        <w:trPr>
          <w:gridAfter w:val="1"/>
          <w:wAfter w:w="253" w:type="dxa"/>
          <w:trHeight w:val="753"/>
        </w:trPr>
        <w:tc>
          <w:tcPr>
            <w:tcW w:w="2600" w:type="dxa"/>
          </w:tcPr>
          <w:p w:rsidR="008E7846" w:rsidRPr="00487162" w:rsidRDefault="008E7846" w:rsidP="002A76A5">
            <w:pPr>
              <w:rPr>
                <w:i/>
              </w:rPr>
            </w:pPr>
            <w:r w:rsidRPr="00487162">
              <w:rPr>
                <w:i/>
              </w:rPr>
              <w:t xml:space="preserve">ARTG </w:t>
            </w:r>
            <w:r w:rsidR="001B5C90">
              <w:rPr>
                <w:i/>
              </w:rPr>
              <w:t>n</w:t>
            </w:r>
            <w:r w:rsidRPr="00487162">
              <w:rPr>
                <w:i/>
              </w:rPr>
              <w:t>umbers</w:t>
            </w:r>
            <w:r w:rsidR="001B5C90">
              <w:rPr>
                <w:i/>
              </w:rPr>
              <w:t>:</w:t>
            </w:r>
          </w:p>
        </w:tc>
        <w:tc>
          <w:tcPr>
            <w:tcW w:w="5642" w:type="dxa"/>
          </w:tcPr>
          <w:p w:rsidR="008E7846" w:rsidRPr="00217FDD" w:rsidRDefault="00C81DFD" w:rsidP="00217FDD">
            <w:r w:rsidRPr="00217FDD">
              <w:t xml:space="preserve">209227 (250 IU), 209223 (500 IU), 209224 (1000 IU), </w:t>
            </w:r>
            <w:r w:rsidRPr="005222C6">
              <w:t>209225</w:t>
            </w:r>
            <w:r w:rsidR="004543C7">
              <w:t xml:space="preserve"> (2000 IU) and 209226 (3000 IU)</w:t>
            </w:r>
          </w:p>
        </w:tc>
      </w:tr>
    </w:tbl>
    <w:p w:rsidR="008E7846" w:rsidRPr="004543C7" w:rsidRDefault="008E7846" w:rsidP="004543C7">
      <w:pPr>
        <w:pStyle w:val="Heading3"/>
      </w:pPr>
      <w:bookmarkStart w:id="13" w:name="_Toc247691503"/>
      <w:bookmarkStart w:id="14" w:name="_Toc314842484"/>
      <w:bookmarkStart w:id="15" w:name="_Toc404068912"/>
      <w:r>
        <w:t>Product background</w:t>
      </w:r>
      <w:bookmarkEnd w:id="13"/>
      <w:bookmarkEnd w:id="14"/>
      <w:bookmarkEnd w:id="15"/>
    </w:p>
    <w:p w:rsidR="00925014" w:rsidRDefault="00940A89" w:rsidP="004543C7">
      <w:r w:rsidRPr="00940A89">
        <w:t xml:space="preserve">This </w:t>
      </w:r>
      <w:proofErr w:type="spellStart"/>
      <w:r w:rsidRPr="00940A89">
        <w:t>AusPAR</w:t>
      </w:r>
      <w:proofErr w:type="spellEnd"/>
      <w:r w:rsidRPr="00940A89">
        <w:t xml:space="preserve"> describes the application </w:t>
      </w:r>
      <w:r w:rsidR="00206A83">
        <w:t xml:space="preserve">by </w:t>
      </w:r>
      <w:proofErr w:type="spellStart"/>
      <w:r w:rsidR="00206A83" w:rsidRPr="001828E5">
        <w:t>Biogen</w:t>
      </w:r>
      <w:proofErr w:type="spellEnd"/>
      <w:r w:rsidR="00206A83" w:rsidRPr="001828E5">
        <w:t xml:space="preserve"> Idec Australia Pty Ltd </w:t>
      </w:r>
      <w:r w:rsidR="00925014">
        <w:t xml:space="preserve">(the sponsor) </w:t>
      </w:r>
      <w:r w:rsidR="00206A83" w:rsidRPr="001828E5">
        <w:t xml:space="preserve">to </w:t>
      </w:r>
      <w:r w:rsidR="00206A83">
        <w:t>register the</w:t>
      </w:r>
      <w:r w:rsidR="00206A83" w:rsidRPr="001828E5">
        <w:t xml:space="preserve"> new biological entity, eftrenonacog alfa (</w:t>
      </w:r>
      <w:r w:rsidR="00206A83" w:rsidRPr="00206A83">
        <w:t>Alprolix</w:t>
      </w:r>
      <w:r w:rsidR="00206A83">
        <w:t>),</w:t>
      </w:r>
      <w:r w:rsidR="00206A83" w:rsidRPr="001828E5">
        <w:t xml:space="preserve"> a r</w:t>
      </w:r>
      <w:r w:rsidR="001276B4">
        <w:t>ecombinant form of coagulation F</w:t>
      </w:r>
      <w:r w:rsidR="00206A83" w:rsidRPr="001828E5">
        <w:t>actor IX</w:t>
      </w:r>
      <w:r w:rsidR="00206A83">
        <w:t xml:space="preserve"> (</w:t>
      </w:r>
      <w:proofErr w:type="spellStart"/>
      <w:r w:rsidR="00B618D5">
        <w:t>r</w:t>
      </w:r>
      <w:r w:rsidR="00206A83">
        <w:t>FIX</w:t>
      </w:r>
      <w:proofErr w:type="spellEnd"/>
      <w:r w:rsidR="00206A83">
        <w:t>) covalently</w:t>
      </w:r>
      <w:r w:rsidR="00206A83" w:rsidRPr="001828E5">
        <w:t xml:space="preserve"> linked to the fusion protein</w:t>
      </w:r>
      <w:r w:rsidR="00206A83">
        <w:t xml:space="preserve"> </w:t>
      </w:r>
      <w:r w:rsidR="00B618D5">
        <w:t>(</w:t>
      </w:r>
      <w:r w:rsidR="00206A83">
        <w:t>Fc</w:t>
      </w:r>
      <w:r w:rsidR="00B618D5">
        <w:t>)</w:t>
      </w:r>
      <w:r w:rsidR="00206A83">
        <w:t xml:space="preserve"> of immunoglobulin G</w:t>
      </w:r>
      <w:r w:rsidR="00C97C44">
        <w:t xml:space="preserve"> (</w:t>
      </w:r>
      <w:proofErr w:type="spellStart"/>
      <w:r w:rsidR="00C97C44">
        <w:t>IgG</w:t>
      </w:r>
      <w:proofErr w:type="spellEnd"/>
      <w:r w:rsidR="00C97C44">
        <w:t>)</w:t>
      </w:r>
      <w:r w:rsidR="00206A83">
        <w:t>, which confe</w:t>
      </w:r>
      <w:r w:rsidR="004543C7">
        <w:t>rs prolonged clotting activity.</w:t>
      </w:r>
    </w:p>
    <w:p w:rsidR="00206A83" w:rsidRPr="004543C7" w:rsidRDefault="00925014" w:rsidP="004543C7">
      <w:pPr>
        <w:rPr>
          <w:i/>
        </w:rPr>
      </w:pPr>
      <w:r w:rsidRPr="004543C7">
        <w:rPr>
          <w:i/>
        </w:rPr>
        <w:lastRenderedPageBreak/>
        <w:t xml:space="preserve">Alprolix </w:t>
      </w:r>
      <w:r w:rsidR="00206A83" w:rsidRPr="004543C7">
        <w:rPr>
          <w:i/>
        </w:rPr>
        <w:t xml:space="preserve">is </w:t>
      </w:r>
      <w:r w:rsidR="0012106B" w:rsidRPr="004543C7">
        <w:rPr>
          <w:i/>
        </w:rPr>
        <w:t>proposed</w:t>
      </w:r>
      <w:r w:rsidR="00206A83" w:rsidRPr="004543C7">
        <w:rPr>
          <w:i/>
        </w:rPr>
        <w:t xml:space="preserve"> for IV use in adults and adolescents</w:t>
      </w:r>
      <w:r w:rsidR="00E553E9" w:rsidRPr="004543C7">
        <w:rPr>
          <w:i/>
        </w:rPr>
        <w:t xml:space="preserve"> (</w:t>
      </w:r>
      <w:r w:rsidRPr="004543C7">
        <w:rPr>
          <w:i/>
        </w:rPr>
        <w:t xml:space="preserve">≥ </w:t>
      </w:r>
      <w:r w:rsidR="00206A83" w:rsidRPr="004543C7">
        <w:rPr>
          <w:i/>
        </w:rPr>
        <w:t>12 years) with haemophilia B</w:t>
      </w:r>
      <w:r w:rsidR="001436C1" w:rsidRPr="004543C7">
        <w:rPr>
          <w:i/>
        </w:rPr>
        <w:t>:</w:t>
      </w:r>
      <w:r w:rsidR="00206A83" w:rsidRPr="004543C7">
        <w:rPr>
          <w:i/>
        </w:rPr>
        <w:t xml:space="preserve"> (</w:t>
      </w:r>
      <w:proofErr w:type="spellStart"/>
      <w:r w:rsidR="00206A83" w:rsidRPr="004543C7">
        <w:rPr>
          <w:i/>
        </w:rPr>
        <w:t>i</w:t>
      </w:r>
      <w:proofErr w:type="spellEnd"/>
      <w:r w:rsidR="00206A83" w:rsidRPr="004543C7">
        <w:rPr>
          <w:i/>
        </w:rPr>
        <w:t xml:space="preserve">) </w:t>
      </w:r>
      <w:r w:rsidR="001436C1" w:rsidRPr="004543C7">
        <w:rPr>
          <w:i/>
        </w:rPr>
        <w:t xml:space="preserve">to </w:t>
      </w:r>
      <w:r w:rsidR="00206A83" w:rsidRPr="004543C7">
        <w:rPr>
          <w:i/>
        </w:rPr>
        <w:t>control and prevent bleeding episodes; (ii) for routine prophylaxis against frequent bleeding episodes and (iii) for surgical prophylaxis</w:t>
      </w:r>
      <w:r w:rsidR="004543C7" w:rsidRPr="004543C7">
        <w:rPr>
          <w:i/>
        </w:rPr>
        <w:t>.</w:t>
      </w:r>
    </w:p>
    <w:p w:rsidR="001276B4" w:rsidRDefault="00220FC0" w:rsidP="004543C7">
      <w:bookmarkStart w:id="16" w:name="_Toc314842485"/>
      <w:bookmarkStart w:id="17" w:name="_Toc247691504"/>
      <w:r w:rsidRPr="00FE23E9">
        <w:t xml:space="preserve">Australian clinical guidelines for treatment of </w:t>
      </w:r>
      <w:r w:rsidR="00FE23E9">
        <w:t>h</w:t>
      </w:r>
      <w:r w:rsidRPr="00FE23E9">
        <w:t>aemophilia B include</w:t>
      </w:r>
      <w:r w:rsidR="00FE23E9">
        <w:t xml:space="preserve"> e</w:t>
      </w:r>
      <w:r w:rsidRPr="00FE23E9">
        <w:t>vidence</w:t>
      </w:r>
      <w:r w:rsidR="000D61C7" w:rsidRPr="00FE23E9">
        <w:t xml:space="preserve"> </w:t>
      </w:r>
      <w:r w:rsidRPr="00FE23E9">
        <w:t>based clinical practice guidelines for the use of recombinant and plasma</w:t>
      </w:r>
      <w:r w:rsidR="000D61C7" w:rsidRPr="00FE23E9">
        <w:t xml:space="preserve"> </w:t>
      </w:r>
      <w:r w:rsidRPr="00FE23E9">
        <w:t>derived F</w:t>
      </w:r>
      <w:r w:rsidR="00FE23E9">
        <w:t xml:space="preserve">actor </w:t>
      </w:r>
      <w:r w:rsidRPr="00FE23E9">
        <w:t xml:space="preserve">VIII </w:t>
      </w:r>
      <w:r w:rsidR="00FE23E9">
        <w:t xml:space="preserve">(FVIII) </w:t>
      </w:r>
      <w:r w:rsidRPr="00FE23E9">
        <w:t>and FIX products</w:t>
      </w:r>
      <w:r w:rsidR="00D779F6" w:rsidRPr="00FE23E9">
        <w:rPr>
          <w:vertAlign w:val="superscript"/>
        </w:rPr>
        <w:footnoteReference w:id="1"/>
      </w:r>
      <w:r w:rsidR="001276B4">
        <w:t xml:space="preserve">. </w:t>
      </w:r>
      <w:r w:rsidRPr="00FE23E9">
        <w:t>Th</w:t>
      </w:r>
      <w:r w:rsidR="004543C7">
        <w:t>erapy rests on FIX replacement.</w:t>
      </w:r>
    </w:p>
    <w:p w:rsidR="00220FC0" w:rsidRPr="00FE23E9" w:rsidRDefault="00220FC0" w:rsidP="004543C7">
      <w:r w:rsidRPr="00FE23E9">
        <w:t xml:space="preserve">Currently registered products for treatment of </w:t>
      </w:r>
      <w:r w:rsidR="00FE23E9" w:rsidRPr="00FE23E9">
        <w:t>h</w:t>
      </w:r>
      <w:r w:rsidRPr="00FE23E9">
        <w:t>aemophilia B include:</w:t>
      </w:r>
    </w:p>
    <w:p w:rsidR="00220FC0" w:rsidRPr="00FE23E9" w:rsidRDefault="00220FC0" w:rsidP="004543C7">
      <w:pPr>
        <w:pStyle w:val="ListBullet"/>
      </w:pPr>
      <w:r w:rsidRPr="00FE23E9">
        <w:t>Plasma</w:t>
      </w:r>
      <w:r w:rsidR="000D61C7" w:rsidRPr="00FE23E9">
        <w:t xml:space="preserve"> </w:t>
      </w:r>
      <w:r w:rsidRPr="00FE23E9">
        <w:t>derived FIX</w:t>
      </w:r>
    </w:p>
    <w:p w:rsidR="00220FC0" w:rsidRPr="00FE23E9" w:rsidRDefault="00220FC0" w:rsidP="004543C7">
      <w:pPr>
        <w:pStyle w:val="ListBullet2"/>
      </w:pPr>
      <w:proofErr w:type="spellStart"/>
      <w:r w:rsidRPr="00FE23E9">
        <w:t>M</w:t>
      </w:r>
      <w:r w:rsidR="002A76A5" w:rsidRPr="00FE23E9">
        <w:t>ono</w:t>
      </w:r>
      <w:r w:rsidR="001436C1" w:rsidRPr="00FE23E9">
        <w:t>FIX</w:t>
      </w:r>
      <w:proofErr w:type="spellEnd"/>
      <w:r w:rsidRPr="00FE23E9">
        <w:t>-VF</w:t>
      </w:r>
    </w:p>
    <w:p w:rsidR="00220FC0" w:rsidRPr="00FE23E9" w:rsidRDefault="00220FC0" w:rsidP="004543C7">
      <w:pPr>
        <w:pStyle w:val="ListBullet"/>
      </w:pPr>
      <w:r w:rsidRPr="00FE23E9">
        <w:t>Recombinant FIX</w:t>
      </w:r>
    </w:p>
    <w:p w:rsidR="00220FC0" w:rsidRPr="00FE23E9" w:rsidRDefault="00220FC0" w:rsidP="004543C7">
      <w:pPr>
        <w:pStyle w:val="ListBullet2"/>
      </w:pPr>
      <w:proofErr w:type="spellStart"/>
      <w:r w:rsidRPr="00FE23E9">
        <w:t>nonacog</w:t>
      </w:r>
      <w:proofErr w:type="spellEnd"/>
      <w:r w:rsidRPr="00FE23E9">
        <w:t xml:space="preserve"> </w:t>
      </w:r>
      <w:proofErr w:type="spellStart"/>
      <w:r w:rsidRPr="00FE23E9">
        <w:t>alfa</w:t>
      </w:r>
      <w:proofErr w:type="spellEnd"/>
      <w:r w:rsidRPr="00FE23E9">
        <w:t xml:space="preserve"> [</w:t>
      </w:r>
      <w:proofErr w:type="spellStart"/>
      <w:r w:rsidR="001908ED" w:rsidRPr="00FE23E9">
        <w:t>BeneFIX</w:t>
      </w:r>
      <w:proofErr w:type="spellEnd"/>
      <w:r w:rsidRPr="00FE23E9">
        <w:t>]</w:t>
      </w:r>
    </w:p>
    <w:p w:rsidR="00220FC0" w:rsidRPr="00FE23E9" w:rsidRDefault="00220FC0" w:rsidP="004543C7">
      <w:pPr>
        <w:pStyle w:val="ListBullet2"/>
      </w:pPr>
      <w:proofErr w:type="spellStart"/>
      <w:r w:rsidRPr="00FE23E9">
        <w:t>nonacog</w:t>
      </w:r>
      <w:proofErr w:type="spellEnd"/>
      <w:r w:rsidRPr="00FE23E9">
        <w:t xml:space="preserve"> gamma [</w:t>
      </w:r>
      <w:proofErr w:type="spellStart"/>
      <w:r w:rsidR="002A76A5" w:rsidRPr="00FE23E9">
        <w:t>Rixubis</w:t>
      </w:r>
      <w:proofErr w:type="spellEnd"/>
      <w:r w:rsidRPr="00FE23E9">
        <w:t>]</w:t>
      </w:r>
    </w:p>
    <w:p w:rsidR="00220FC0" w:rsidRPr="00A53F20" w:rsidRDefault="00220FC0" w:rsidP="004543C7">
      <w:r w:rsidRPr="00A53F20">
        <w:t>F</w:t>
      </w:r>
      <w:r w:rsidR="00B618D5" w:rsidRPr="00A53F20">
        <w:t xml:space="preserve">actor </w:t>
      </w:r>
      <w:r w:rsidRPr="00A53F20">
        <w:t xml:space="preserve">IX in these products has a half-life of </w:t>
      </w:r>
      <w:r w:rsidR="002A76A5" w:rsidRPr="00A53F20">
        <w:t xml:space="preserve">approximately </w:t>
      </w:r>
      <w:r w:rsidRPr="00A53F20">
        <w:t>24 h</w:t>
      </w:r>
      <w:r w:rsidR="00463620" w:rsidRPr="00A53F20">
        <w:t xml:space="preserve"> </w:t>
      </w:r>
      <w:r w:rsidRPr="00A53F20">
        <w:t>(</w:t>
      </w:r>
      <w:r w:rsidR="002A76A5" w:rsidRPr="00A53F20">
        <w:t>compared to</w:t>
      </w:r>
      <w:r w:rsidRPr="00A53F20">
        <w:t xml:space="preserve"> </w:t>
      </w:r>
      <w:r w:rsidR="002A76A5" w:rsidRPr="00A53F20">
        <w:t xml:space="preserve">approximately </w:t>
      </w:r>
      <w:r w:rsidRPr="00A53F20">
        <w:t>82 h</w:t>
      </w:r>
      <w:r w:rsidR="00463620" w:rsidRPr="00A53F20">
        <w:t xml:space="preserve"> </w:t>
      </w:r>
      <w:r w:rsidR="00B618D5" w:rsidRPr="00A53F20">
        <w:t>for Alprolix</w:t>
      </w:r>
      <w:r w:rsidRPr="00A53F20">
        <w:t>), resulting in broadly similar dosing frequencies for registered products, as follows:</w:t>
      </w:r>
    </w:p>
    <w:p w:rsidR="002655AB" w:rsidRDefault="002655AB" w:rsidP="004543C7">
      <w:pPr>
        <w:pStyle w:val="TableTitle"/>
      </w:pPr>
      <w:r w:rsidRPr="000D61C7">
        <w:t>Table</w:t>
      </w:r>
      <w:r w:rsidR="000D61C7">
        <w:t xml:space="preserve"> 1:</w:t>
      </w:r>
      <w:r w:rsidRPr="00604920">
        <w:t xml:space="preserve"> </w:t>
      </w:r>
      <w:r w:rsidR="001276B4">
        <w:t>C</w:t>
      </w:r>
      <w:r w:rsidRPr="00604920">
        <w:t xml:space="preserve">omparison </w:t>
      </w:r>
      <w:r w:rsidR="00217FDD" w:rsidRPr="00604920">
        <w:t xml:space="preserve">of </w:t>
      </w:r>
      <w:r w:rsidR="001276B4">
        <w:t xml:space="preserve">registered product dosage and proposed dosage for </w:t>
      </w:r>
      <w:proofErr w:type="spellStart"/>
      <w:r w:rsidR="004543C7" w:rsidRPr="004543C7">
        <w:t>Alprolix</w:t>
      </w:r>
      <w:proofErr w:type="spellEnd"/>
    </w:p>
    <w:tbl>
      <w:tblPr>
        <w:tblStyle w:val="TableTGAblue"/>
        <w:tblW w:w="0" w:type="auto"/>
        <w:tblLook w:val="04A0" w:firstRow="1" w:lastRow="0" w:firstColumn="1" w:lastColumn="0" w:noHBand="0" w:noVBand="1"/>
      </w:tblPr>
      <w:tblGrid>
        <w:gridCol w:w="1401"/>
        <w:gridCol w:w="1646"/>
        <w:gridCol w:w="1623"/>
        <w:gridCol w:w="1663"/>
        <w:gridCol w:w="2387"/>
      </w:tblGrid>
      <w:tr w:rsidR="00220FC0" w:rsidRPr="000D61C7" w:rsidTr="001276B4">
        <w:trPr>
          <w:cnfStyle w:val="100000000000" w:firstRow="1" w:lastRow="0" w:firstColumn="0" w:lastColumn="0" w:oddVBand="0" w:evenVBand="0" w:oddHBand="0" w:evenHBand="0" w:firstRowFirstColumn="0" w:firstRowLastColumn="0" w:lastRowFirstColumn="0" w:lastRowLastColumn="0"/>
        </w:trPr>
        <w:tc>
          <w:tcPr>
            <w:tcW w:w="1401" w:type="dxa"/>
          </w:tcPr>
          <w:p w:rsidR="00220FC0" w:rsidRPr="000D61C7" w:rsidRDefault="00220FC0" w:rsidP="004543C7">
            <w:pPr>
              <w:ind w:left="0" w:right="8"/>
            </w:pPr>
          </w:p>
        </w:tc>
        <w:tc>
          <w:tcPr>
            <w:tcW w:w="1646" w:type="dxa"/>
          </w:tcPr>
          <w:p w:rsidR="00220FC0" w:rsidRPr="000D61C7" w:rsidRDefault="00220FC0" w:rsidP="004543C7">
            <w:pPr>
              <w:ind w:left="0" w:right="8"/>
            </w:pPr>
            <w:proofErr w:type="spellStart"/>
            <w:r w:rsidRPr="000D61C7">
              <w:t>MonoFIX</w:t>
            </w:r>
            <w:proofErr w:type="spellEnd"/>
            <w:r w:rsidRPr="000D61C7">
              <w:t>-VF</w:t>
            </w:r>
          </w:p>
        </w:tc>
        <w:tc>
          <w:tcPr>
            <w:tcW w:w="1623" w:type="dxa"/>
          </w:tcPr>
          <w:p w:rsidR="00220FC0" w:rsidRPr="000D61C7" w:rsidRDefault="001908ED" w:rsidP="004543C7">
            <w:pPr>
              <w:ind w:left="0" w:right="8"/>
            </w:pPr>
            <w:proofErr w:type="spellStart"/>
            <w:r w:rsidRPr="000D61C7">
              <w:t>BeneFIX</w:t>
            </w:r>
            <w:proofErr w:type="spellEnd"/>
          </w:p>
        </w:tc>
        <w:tc>
          <w:tcPr>
            <w:tcW w:w="1663" w:type="dxa"/>
          </w:tcPr>
          <w:p w:rsidR="00220FC0" w:rsidRPr="000D61C7" w:rsidRDefault="00F13F22" w:rsidP="004543C7">
            <w:pPr>
              <w:ind w:left="0" w:right="8"/>
            </w:pPr>
            <w:proofErr w:type="spellStart"/>
            <w:r w:rsidRPr="000D61C7">
              <w:t>Rixubis</w:t>
            </w:r>
            <w:proofErr w:type="spellEnd"/>
          </w:p>
        </w:tc>
        <w:tc>
          <w:tcPr>
            <w:tcW w:w="2387" w:type="dxa"/>
          </w:tcPr>
          <w:p w:rsidR="00220FC0" w:rsidRPr="00B618D5" w:rsidRDefault="00F13F22" w:rsidP="004543C7">
            <w:pPr>
              <w:ind w:left="0" w:right="8"/>
            </w:pPr>
            <w:r w:rsidRPr="00AB372B">
              <w:t xml:space="preserve">Alprolix </w:t>
            </w:r>
            <w:r w:rsidR="00220FC0" w:rsidRPr="00AB372B">
              <w:t>(proposed)</w:t>
            </w:r>
          </w:p>
        </w:tc>
      </w:tr>
      <w:tr w:rsidR="00220FC0" w:rsidRPr="000D61C7" w:rsidTr="001276B4">
        <w:tc>
          <w:tcPr>
            <w:tcW w:w="1401" w:type="dxa"/>
          </w:tcPr>
          <w:p w:rsidR="00220FC0" w:rsidRPr="000D61C7" w:rsidRDefault="00220FC0" w:rsidP="004543C7">
            <w:pPr>
              <w:ind w:left="0" w:right="8"/>
            </w:pPr>
            <w:r w:rsidRPr="000D61C7">
              <w:t>Bleeding treatment</w:t>
            </w:r>
          </w:p>
        </w:tc>
        <w:tc>
          <w:tcPr>
            <w:tcW w:w="1646" w:type="dxa"/>
          </w:tcPr>
          <w:p w:rsidR="00220FC0" w:rsidRPr="000D61C7" w:rsidRDefault="00220FC0" w:rsidP="004543C7">
            <w:pPr>
              <w:ind w:left="0" w:right="8"/>
            </w:pPr>
            <w:r w:rsidRPr="000D61C7">
              <w:t>1 dose per day (minor bleeding)</w:t>
            </w:r>
          </w:p>
          <w:p w:rsidR="00220FC0" w:rsidRPr="000D61C7" w:rsidRDefault="00220FC0" w:rsidP="004543C7">
            <w:pPr>
              <w:ind w:left="0" w:right="8"/>
            </w:pPr>
            <w:r w:rsidRPr="000D61C7">
              <w:t>1-2 per day (moderate to severe bleeding)</w:t>
            </w:r>
          </w:p>
        </w:tc>
        <w:tc>
          <w:tcPr>
            <w:tcW w:w="1623" w:type="dxa"/>
          </w:tcPr>
          <w:p w:rsidR="00220FC0" w:rsidRPr="000D61C7" w:rsidRDefault="00220FC0" w:rsidP="004543C7">
            <w:pPr>
              <w:ind w:left="0" w:right="8"/>
            </w:pPr>
            <w:r w:rsidRPr="000D61C7">
              <w:t>1-2 per day</w:t>
            </w:r>
          </w:p>
        </w:tc>
        <w:tc>
          <w:tcPr>
            <w:tcW w:w="1663" w:type="dxa"/>
          </w:tcPr>
          <w:p w:rsidR="00220FC0" w:rsidRPr="000D61C7" w:rsidRDefault="00220FC0" w:rsidP="004543C7">
            <w:pPr>
              <w:ind w:left="0" w:right="8"/>
            </w:pPr>
            <w:r w:rsidRPr="000D61C7">
              <w:t>1 per day except for life</w:t>
            </w:r>
            <w:r w:rsidR="000D61C7">
              <w:t xml:space="preserve"> </w:t>
            </w:r>
            <w:r w:rsidRPr="000D61C7">
              <w:t>threatening bleeding (1</w:t>
            </w:r>
            <w:r w:rsidR="008E6B0A">
              <w:noBreakHyphen/>
            </w:r>
            <w:r w:rsidRPr="000D61C7">
              <w:t>3 per day)</w:t>
            </w:r>
          </w:p>
        </w:tc>
        <w:tc>
          <w:tcPr>
            <w:tcW w:w="2387" w:type="dxa"/>
          </w:tcPr>
          <w:p w:rsidR="00220FC0" w:rsidRPr="000D61C7" w:rsidRDefault="00220FC0" w:rsidP="004543C7">
            <w:pPr>
              <w:ind w:left="0" w:right="8"/>
              <w:rPr>
                <w:i/>
              </w:rPr>
            </w:pPr>
            <w:r w:rsidRPr="000D61C7">
              <w:rPr>
                <w:i/>
              </w:rPr>
              <w:t>1 per two days (minor and moderate bleeding)</w:t>
            </w:r>
          </w:p>
          <w:p w:rsidR="00220FC0" w:rsidRPr="000D61C7" w:rsidRDefault="00F92BD8" w:rsidP="004543C7">
            <w:pPr>
              <w:ind w:left="0" w:right="8"/>
              <w:rPr>
                <w:i/>
              </w:rPr>
            </w:pPr>
            <w:r>
              <w:rPr>
                <w:i/>
              </w:rPr>
              <w:t>A</w:t>
            </w:r>
            <w:r w:rsidR="001276B4">
              <w:rPr>
                <w:i/>
              </w:rPr>
              <w:t>fter 6-10 h then every 24 </w:t>
            </w:r>
            <w:r w:rsidR="00220FC0" w:rsidRPr="000D61C7">
              <w:rPr>
                <w:i/>
              </w:rPr>
              <w:t>h (major bleeding)</w:t>
            </w:r>
          </w:p>
        </w:tc>
      </w:tr>
      <w:tr w:rsidR="00220FC0" w:rsidRPr="000D61C7" w:rsidTr="001276B4">
        <w:tc>
          <w:tcPr>
            <w:tcW w:w="1401" w:type="dxa"/>
          </w:tcPr>
          <w:p w:rsidR="00220FC0" w:rsidRPr="000D61C7" w:rsidRDefault="00220FC0" w:rsidP="004543C7">
            <w:pPr>
              <w:ind w:left="0" w:right="8"/>
            </w:pPr>
            <w:r w:rsidRPr="000D61C7">
              <w:t>Surgical prophylaxis</w:t>
            </w:r>
          </w:p>
        </w:tc>
        <w:tc>
          <w:tcPr>
            <w:tcW w:w="1646" w:type="dxa"/>
          </w:tcPr>
          <w:p w:rsidR="00220FC0" w:rsidRPr="000D61C7" w:rsidRDefault="00220FC0" w:rsidP="004543C7">
            <w:pPr>
              <w:ind w:left="0" w:right="8"/>
            </w:pPr>
            <w:r w:rsidRPr="000D61C7">
              <w:t>Loading dose then 1-2 per day</w:t>
            </w:r>
          </w:p>
        </w:tc>
        <w:tc>
          <w:tcPr>
            <w:tcW w:w="1623" w:type="dxa"/>
          </w:tcPr>
          <w:p w:rsidR="00220FC0" w:rsidRPr="000D61C7" w:rsidRDefault="00220FC0" w:rsidP="004543C7">
            <w:pPr>
              <w:ind w:left="0" w:right="8"/>
            </w:pPr>
            <w:r w:rsidRPr="000D61C7">
              <w:t>1-2 per day</w:t>
            </w:r>
          </w:p>
        </w:tc>
        <w:tc>
          <w:tcPr>
            <w:tcW w:w="1663" w:type="dxa"/>
          </w:tcPr>
          <w:p w:rsidR="00220FC0" w:rsidRPr="000D61C7" w:rsidRDefault="00220FC0" w:rsidP="004543C7">
            <w:pPr>
              <w:ind w:left="0" w:right="8"/>
            </w:pPr>
            <w:r w:rsidRPr="000D61C7">
              <w:t>1 per day (minor)</w:t>
            </w:r>
          </w:p>
          <w:p w:rsidR="00220FC0" w:rsidRPr="000D61C7" w:rsidRDefault="00220FC0" w:rsidP="004543C7">
            <w:pPr>
              <w:ind w:left="0" w:right="8"/>
            </w:pPr>
            <w:r w:rsidRPr="000D61C7">
              <w:t>1-3 per day (major)</w:t>
            </w:r>
          </w:p>
        </w:tc>
        <w:tc>
          <w:tcPr>
            <w:tcW w:w="2387" w:type="dxa"/>
          </w:tcPr>
          <w:p w:rsidR="00220FC0" w:rsidRPr="000D61C7" w:rsidRDefault="00220FC0" w:rsidP="004543C7">
            <w:pPr>
              <w:ind w:left="0" w:right="8"/>
              <w:rPr>
                <w:i/>
              </w:rPr>
            </w:pPr>
            <w:r w:rsidRPr="000D61C7">
              <w:rPr>
                <w:i/>
              </w:rPr>
              <w:t>1 per one-two days (minor)</w:t>
            </w:r>
          </w:p>
          <w:p w:rsidR="00220FC0" w:rsidRPr="000D61C7" w:rsidRDefault="001276B4" w:rsidP="004543C7">
            <w:pPr>
              <w:ind w:left="0" w:right="8"/>
              <w:rPr>
                <w:i/>
              </w:rPr>
            </w:pPr>
            <w:r>
              <w:rPr>
                <w:i/>
              </w:rPr>
              <w:t>After 6-10 h then every 24 </w:t>
            </w:r>
            <w:r w:rsidR="00220FC0" w:rsidRPr="000D61C7">
              <w:rPr>
                <w:i/>
              </w:rPr>
              <w:t>h (major)</w:t>
            </w:r>
          </w:p>
        </w:tc>
      </w:tr>
      <w:tr w:rsidR="00220FC0" w:rsidRPr="000D61C7" w:rsidTr="001276B4">
        <w:tc>
          <w:tcPr>
            <w:tcW w:w="1401" w:type="dxa"/>
          </w:tcPr>
          <w:p w:rsidR="00220FC0" w:rsidRPr="000D61C7" w:rsidRDefault="00220FC0" w:rsidP="004543C7">
            <w:pPr>
              <w:ind w:left="0" w:right="8"/>
            </w:pPr>
            <w:r w:rsidRPr="000D61C7">
              <w:t>Routine prophylaxis</w:t>
            </w:r>
          </w:p>
        </w:tc>
        <w:tc>
          <w:tcPr>
            <w:tcW w:w="1646" w:type="dxa"/>
          </w:tcPr>
          <w:p w:rsidR="00220FC0" w:rsidRPr="000D61C7" w:rsidRDefault="00220FC0" w:rsidP="004543C7">
            <w:pPr>
              <w:ind w:left="0" w:right="8"/>
            </w:pPr>
            <w:r w:rsidRPr="000D61C7">
              <w:t>Twice weekly</w:t>
            </w:r>
          </w:p>
        </w:tc>
        <w:tc>
          <w:tcPr>
            <w:tcW w:w="1623" w:type="dxa"/>
          </w:tcPr>
          <w:p w:rsidR="00220FC0" w:rsidRPr="000D61C7" w:rsidRDefault="00220FC0" w:rsidP="004543C7">
            <w:pPr>
              <w:ind w:left="0" w:right="8"/>
            </w:pPr>
            <w:r w:rsidRPr="000D61C7">
              <w:t>Two to three times per week</w:t>
            </w:r>
          </w:p>
        </w:tc>
        <w:tc>
          <w:tcPr>
            <w:tcW w:w="1663" w:type="dxa"/>
          </w:tcPr>
          <w:p w:rsidR="00220FC0" w:rsidRPr="000D61C7" w:rsidRDefault="00220FC0" w:rsidP="004543C7">
            <w:pPr>
              <w:ind w:left="0" w:right="8"/>
            </w:pPr>
            <w:r w:rsidRPr="000D61C7">
              <w:t>Twice weekly</w:t>
            </w:r>
          </w:p>
        </w:tc>
        <w:tc>
          <w:tcPr>
            <w:tcW w:w="2387" w:type="dxa"/>
          </w:tcPr>
          <w:p w:rsidR="00220FC0" w:rsidRPr="000D61C7" w:rsidRDefault="00220FC0" w:rsidP="004543C7">
            <w:pPr>
              <w:ind w:left="0" w:right="8"/>
              <w:rPr>
                <w:i/>
              </w:rPr>
            </w:pPr>
            <w:r w:rsidRPr="000D61C7">
              <w:rPr>
                <w:i/>
              </w:rPr>
              <w:t>Weekly (50 IU/kg) or every 10-14 days (100 IU/kg)</w:t>
            </w:r>
            <w:r w:rsidR="00B532A6">
              <w:rPr>
                <w:rStyle w:val="FootnoteReference"/>
                <w:i/>
                <w:sz w:val="20"/>
                <w:szCs w:val="20"/>
              </w:rPr>
              <w:footnoteReference w:id="2"/>
            </w:r>
          </w:p>
        </w:tc>
      </w:tr>
    </w:tbl>
    <w:p w:rsidR="00220FC0" w:rsidRPr="00A53F20" w:rsidRDefault="00220FC0" w:rsidP="004543C7">
      <w:r w:rsidRPr="00A53F20">
        <w:t>The general approach is to modify dosage regimens (</w:t>
      </w:r>
      <w:r w:rsidR="00B53424" w:rsidRPr="00A53F20">
        <w:t>for example</w:t>
      </w:r>
      <w:r w:rsidRPr="00A53F20">
        <w:t xml:space="preserve"> dosage intervals, doses) based on individual factors.</w:t>
      </w:r>
    </w:p>
    <w:p w:rsidR="00220FC0" w:rsidRPr="00A53F20" w:rsidRDefault="00220FC0" w:rsidP="004543C7">
      <w:proofErr w:type="spellStart"/>
      <w:r w:rsidRPr="00A53F20">
        <w:t>Romiplostim</w:t>
      </w:r>
      <w:proofErr w:type="spellEnd"/>
      <w:r w:rsidRPr="00A53F20">
        <w:t xml:space="preserve">, </w:t>
      </w:r>
      <w:proofErr w:type="spellStart"/>
      <w:r w:rsidRPr="00A53F20">
        <w:t>aflibercept</w:t>
      </w:r>
      <w:proofErr w:type="spellEnd"/>
      <w:r w:rsidRPr="00A53F20">
        <w:t xml:space="preserve">, </w:t>
      </w:r>
      <w:proofErr w:type="spellStart"/>
      <w:r w:rsidRPr="00A53F20">
        <w:t>etanercept</w:t>
      </w:r>
      <w:proofErr w:type="spellEnd"/>
      <w:r w:rsidRPr="00A53F20">
        <w:t xml:space="preserve"> and </w:t>
      </w:r>
      <w:proofErr w:type="spellStart"/>
      <w:r w:rsidRPr="00A53F20">
        <w:t>abatacept</w:t>
      </w:r>
      <w:proofErr w:type="spellEnd"/>
      <w:r w:rsidRPr="00A53F20">
        <w:t xml:space="preserve"> are examples of registered products that are fusion proteins combining the Fc fragment of IgG1 and </w:t>
      </w:r>
      <w:r w:rsidR="001276B4" w:rsidRPr="00A53F20">
        <w:t xml:space="preserve">another active molecule. </w:t>
      </w:r>
      <w:r w:rsidRPr="00A53F20">
        <w:t xml:space="preserve">Long plasma residency time is one purported advantage of such </w:t>
      </w:r>
      <w:proofErr w:type="spellStart"/>
      <w:r w:rsidRPr="00A53F20">
        <w:t>peptibodies</w:t>
      </w:r>
      <w:proofErr w:type="spellEnd"/>
      <w:r w:rsidR="00AB372B" w:rsidRPr="00A53F20">
        <w:t xml:space="preserve"> (peptide </w:t>
      </w:r>
      <w:r w:rsidR="00344748" w:rsidRPr="00A53F20">
        <w:t xml:space="preserve">plus </w:t>
      </w:r>
      <w:r w:rsidR="00AB372B" w:rsidRPr="00A53F20">
        <w:t>antibody)</w:t>
      </w:r>
      <w:r w:rsidRPr="00A53F20">
        <w:t>.</w:t>
      </w:r>
    </w:p>
    <w:p w:rsidR="002A6C42" w:rsidRDefault="002A6C42" w:rsidP="004543C7">
      <w:r>
        <w:lastRenderedPageBreak/>
        <w:t xml:space="preserve">Alprolix for </w:t>
      </w:r>
      <w:r w:rsidRPr="004543C7">
        <w:rPr>
          <w:i/>
        </w:rPr>
        <w:t>“the control and prevention of haemorrhagic episodes in patients with haemophilia B (congenital factor IX deficiency or Christmas disease), including the control and prevention of bleeding in surgical settings.”</w:t>
      </w:r>
      <w:r>
        <w:t xml:space="preserve"> </w:t>
      </w:r>
      <w:r w:rsidRPr="002A6C42">
        <w:t>was granted orphan drug status b</w:t>
      </w:r>
      <w:r w:rsidR="004543C7">
        <w:t>y the TGA on 20 September 2012.</w:t>
      </w:r>
    </w:p>
    <w:p w:rsidR="00A53F20" w:rsidRPr="00A53F20" w:rsidRDefault="00A53F20" w:rsidP="004543C7">
      <w:r w:rsidRPr="00A53F20">
        <w:t>Eftrenonacog alfa is referr</w:t>
      </w:r>
      <w:r w:rsidR="004543C7">
        <w:t xml:space="preserve">ed to as </w:t>
      </w:r>
      <w:proofErr w:type="spellStart"/>
      <w:r w:rsidR="004543C7">
        <w:t>rFIXFc</w:t>
      </w:r>
      <w:proofErr w:type="spellEnd"/>
      <w:r w:rsidR="004543C7">
        <w:t xml:space="preserve"> in this </w:t>
      </w:r>
      <w:proofErr w:type="spellStart"/>
      <w:r w:rsidR="004543C7">
        <w:t>AusPAR</w:t>
      </w:r>
      <w:proofErr w:type="spellEnd"/>
      <w:r w:rsidR="004543C7">
        <w:t>.</w:t>
      </w:r>
    </w:p>
    <w:p w:rsidR="008E7846" w:rsidRPr="004543C7" w:rsidRDefault="00386150" w:rsidP="004543C7">
      <w:pPr>
        <w:pStyle w:val="Heading3"/>
      </w:pPr>
      <w:bookmarkStart w:id="18" w:name="_Toc404068913"/>
      <w:r>
        <w:t>Regulatory s</w:t>
      </w:r>
      <w:r w:rsidR="008E7846">
        <w:t>tatus</w:t>
      </w:r>
      <w:bookmarkEnd w:id="16"/>
      <w:bookmarkEnd w:id="17"/>
      <w:bookmarkEnd w:id="18"/>
    </w:p>
    <w:p w:rsidR="00FE23E9" w:rsidRDefault="00FE23E9" w:rsidP="004543C7">
      <w:bookmarkStart w:id="19" w:name="_Toc247691505"/>
      <w:bookmarkStart w:id="20" w:name="_Toc314842486"/>
      <w:proofErr w:type="spellStart"/>
      <w:r>
        <w:t>Alprolix</w:t>
      </w:r>
      <w:proofErr w:type="spellEnd"/>
      <w:r>
        <w:t xml:space="preserve"> received initial registration on the Australian Register of Therapeutic Goods (ARTG) on 1 May 2014.</w:t>
      </w:r>
    </w:p>
    <w:p w:rsidR="00AB372B" w:rsidRDefault="00FE23E9" w:rsidP="004543C7">
      <w:r>
        <w:t xml:space="preserve">At the time this application was considered by the TGA, similar applications had been submitted to the USA (December 2012), Canada (March 2013), </w:t>
      </w:r>
      <w:r w:rsidRPr="00FE23E9">
        <w:t>Japan</w:t>
      </w:r>
      <w:r>
        <w:t xml:space="preserve"> (</w:t>
      </w:r>
      <w:r w:rsidRPr="00FE23E9">
        <w:t>September 2013</w:t>
      </w:r>
      <w:r>
        <w:t xml:space="preserve">) and </w:t>
      </w:r>
      <w:r w:rsidRPr="00FE23E9">
        <w:t>South Africa</w:t>
      </w:r>
      <w:r>
        <w:t xml:space="preserve"> (</w:t>
      </w:r>
      <w:r w:rsidRPr="00FE23E9">
        <w:t>December 2013</w:t>
      </w:r>
      <w:r>
        <w:t xml:space="preserve">), and were planned for </w:t>
      </w:r>
      <w:r w:rsidRPr="00FE23E9">
        <w:t>New Zealand</w:t>
      </w:r>
      <w:r>
        <w:t xml:space="preserve"> </w:t>
      </w:r>
      <w:r w:rsidR="003D389B">
        <w:t xml:space="preserve">(2014) </w:t>
      </w:r>
      <w:r>
        <w:t xml:space="preserve">and the </w:t>
      </w:r>
      <w:r w:rsidRPr="00FE23E9">
        <w:t>European Union</w:t>
      </w:r>
      <w:r w:rsidR="004543C7">
        <w:t xml:space="preserve"> (in 2015).</w:t>
      </w:r>
    </w:p>
    <w:p w:rsidR="008E7846" w:rsidRPr="004543C7" w:rsidRDefault="008E7846" w:rsidP="004543C7">
      <w:pPr>
        <w:pStyle w:val="Heading3"/>
      </w:pPr>
      <w:bookmarkStart w:id="21" w:name="_Toc404068914"/>
      <w:r>
        <w:t>Product Information</w:t>
      </w:r>
      <w:bookmarkEnd w:id="19"/>
      <w:bookmarkEnd w:id="20"/>
      <w:bookmarkEnd w:id="21"/>
    </w:p>
    <w:p w:rsidR="00940A89" w:rsidRDefault="00940A89" w:rsidP="004543C7">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CA3FD5">
      <w:pPr>
        <w:pStyle w:val="Heading2"/>
      </w:pPr>
      <w:bookmarkStart w:id="24" w:name="_Toc404068915"/>
      <w:r>
        <w:t>II. Quality</w:t>
      </w:r>
      <w:bookmarkEnd w:id="1"/>
      <w:r>
        <w:t xml:space="preserve"> </w:t>
      </w:r>
      <w:r w:rsidRPr="00CA3FD5">
        <w:t>findings</w:t>
      </w:r>
      <w:bookmarkEnd w:id="22"/>
      <w:bookmarkEnd w:id="23"/>
      <w:bookmarkEnd w:id="24"/>
    </w:p>
    <w:p w:rsidR="008E7846" w:rsidRDefault="008E7846" w:rsidP="00CA3FD5">
      <w:pPr>
        <w:pStyle w:val="Heading3"/>
      </w:pPr>
      <w:bookmarkStart w:id="25" w:name="_Toc247691507"/>
      <w:bookmarkStart w:id="26" w:name="_Toc314842488"/>
      <w:bookmarkStart w:id="27" w:name="_Toc404068916"/>
      <w:r w:rsidRPr="008751DC">
        <w:t xml:space="preserve">Drug </w:t>
      </w:r>
      <w:r>
        <w:t>s</w:t>
      </w:r>
      <w:r w:rsidRPr="008751DC">
        <w:t>ubstance</w:t>
      </w:r>
      <w:r>
        <w:t xml:space="preserve"> (active </w:t>
      </w:r>
      <w:r w:rsidRPr="00CA3FD5">
        <w:t>ingredient</w:t>
      </w:r>
      <w:r>
        <w:t>)</w:t>
      </w:r>
      <w:bookmarkEnd w:id="25"/>
      <w:bookmarkEnd w:id="26"/>
      <w:bookmarkEnd w:id="27"/>
    </w:p>
    <w:p w:rsidR="00EF4537" w:rsidRPr="00CA3FD5" w:rsidRDefault="00EF4537" w:rsidP="00CA3FD5">
      <w:pPr>
        <w:pStyle w:val="Heading4"/>
      </w:pPr>
      <w:r w:rsidRPr="00F0565F">
        <w:t>Structure</w:t>
      </w:r>
    </w:p>
    <w:p w:rsidR="00EF4537" w:rsidRPr="003D389B" w:rsidRDefault="00EF4537" w:rsidP="00CA3FD5">
      <w:r w:rsidRPr="00134725">
        <w:t xml:space="preserve">The </w:t>
      </w:r>
      <w:r w:rsidR="00473CCC" w:rsidRPr="00473CCC">
        <w:t>recombinant coagulation Factor IX covalently linked to the fusion protein (</w:t>
      </w:r>
      <w:proofErr w:type="spellStart"/>
      <w:r w:rsidRPr="00134725">
        <w:t>rFIXFc</w:t>
      </w:r>
      <w:proofErr w:type="spellEnd"/>
      <w:r w:rsidR="00473CCC">
        <w:t xml:space="preserve">; </w:t>
      </w:r>
      <w:proofErr w:type="spellStart"/>
      <w:r w:rsidR="00473CCC" w:rsidRPr="00473CCC">
        <w:t>eftrenonacog</w:t>
      </w:r>
      <w:proofErr w:type="spellEnd"/>
      <w:r w:rsidR="00473CCC" w:rsidRPr="00473CCC">
        <w:t xml:space="preserve"> </w:t>
      </w:r>
      <w:proofErr w:type="spellStart"/>
      <w:r w:rsidR="00473CCC" w:rsidRPr="00473CCC">
        <w:t>alfa</w:t>
      </w:r>
      <w:proofErr w:type="spellEnd"/>
      <w:r w:rsidR="00473CCC">
        <w:t>)</w:t>
      </w:r>
      <w:r w:rsidRPr="00134725">
        <w:t xml:space="preserve"> is a fully recombinant fusion protein consisting of full length human coagulation FIX covalently linked (no linker sequence) to the Fc do</w:t>
      </w:r>
      <w:r w:rsidR="003D389B">
        <w:t xml:space="preserve">main of human IgG1. </w:t>
      </w:r>
      <w:r w:rsidRPr="003D389B">
        <w:t xml:space="preserve">The structure of </w:t>
      </w:r>
      <w:proofErr w:type="spellStart"/>
      <w:r w:rsidRPr="003D389B">
        <w:t>rFIXFc</w:t>
      </w:r>
      <w:proofErr w:type="spellEnd"/>
      <w:r w:rsidRPr="003D389B">
        <w:t xml:space="preserve"> consist of two protein subunits, </w:t>
      </w:r>
      <w:proofErr w:type="spellStart"/>
      <w:r w:rsidRPr="003D389B">
        <w:t>FIXFc</w:t>
      </w:r>
      <w:proofErr w:type="spellEnd"/>
      <w:r w:rsidRPr="003D389B">
        <w:t xml:space="preserve"> single chain (</w:t>
      </w:r>
      <w:proofErr w:type="spellStart"/>
      <w:r w:rsidRPr="003D389B">
        <w:t>FIXFc-sc</w:t>
      </w:r>
      <w:proofErr w:type="spellEnd"/>
      <w:r w:rsidRPr="003D389B">
        <w:t>) (64</w:t>
      </w:r>
      <w:r w:rsidR="00322657">
        <w:t>1</w:t>
      </w:r>
      <w:r w:rsidRPr="003D389B">
        <w:t xml:space="preserve"> amino acids) and Fc single chain (Fc-</w:t>
      </w:r>
      <w:proofErr w:type="spellStart"/>
      <w:r w:rsidRPr="003D389B">
        <w:t>sc</w:t>
      </w:r>
      <w:proofErr w:type="spellEnd"/>
      <w:r w:rsidRPr="003D389B">
        <w:t>) (</w:t>
      </w:r>
      <w:r w:rsidR="00322657" w:rsidRPr="003D389B">
        <w:t>22</w:t>
      </w:r>
      <w:r w:rsidR="00322657">
        <w:t>6</w:t>
      </w:r>
      <w:r w:rsidR="00322657" w:rsidRPr="003D389B">
        <w:t xml:space="preserve"> </w:t>
      </w:r>
      <w:r w:rsidRPr="003D389B">
        <w:t>amino acids)</w:t>
      </w:r>
      <w:r w:rsidR="00B618D5">
        <w:t xml:space="preserve"> as shown in Figure 1</w:t>
      </w:r>
      <w:r w:rsidRPr="003D389B">
        <w:t xml:space="preserve">. The </w:t>
      </w:r>
      <w:proofErr w:type="spellStart"/>
      <w:r w:rsidRPr="003D389B">
        <w:t>FIXFc-sc</w:t>
      </w:r>
      <w:proofErr w:type="spellEnd"/>
      <w:r w:rsidRPr="003D389B">
        <w:t xml:space="preserve"> and Fc-</w:t>
      </w:r>
      <w:proofErr w:type="spellStart"/>
      <w:r w:rsidRPr="003D389B">
        <w:t>sc</w:t>
      </w:r>
      <w:proofErr w:type="spellEnd"/>
      <w:r w:rsidRPr="003D389B">
        <w:t xml:space="preserve"> </w:t>
      </w:r>
      <w:r w:rsidR="001436C1" w:rsidRPr="003D389B">
        <w:t>are</w:t>
      </w:r>
      <w:r w:rsidR="009C24DD" w:rsidRPr="003D389B">
        <w:t xml:space="preserve"> </w:t>
      </w:r>
      <w:r w:rsidRPr="003D389B">
        <w:t xml:space="preserve">bound together through two </w:t>
      </w:r>
      <w:proofErr w:type="spellStart"/>
      <w:r w:rsidRPr="003D389B">
        <w:t>disulfide</w:t>
      </w:r>
      <w:proofErr w:type="spellEnd"/>
      <w:r w:rsidRPr="003D389B">
        <w:t xml:space="preserve"> bonds in the hinge region of Fc. The molecular weight of </w:t>
      </w:r>
      <w:proofErr w:type="spellStart"/>
      <w:r w:rsidRPr="003D389B">
        <w:t>rFIXFc</w:t>
      </w:r>
      <w:proofErr w:type="spellEnd"/>
      <w:r w:rsidRPr="003D389B">
        <w:t xml:space="preserve"> is approximately 98 </w:t>
      </w:r>
      <w:proofErr w:type="spellStart"/>
      <w:r w:rsidRPr="003D389B">
        <w:t>kDa</w:t>
      </w:r>
      <w:proofErr w:type="spellEnd"/>
      <w:r w:rsidRPr="003D389B">
        <w:t>.</w:t>
      </w:r>
    </w:p>
    <w:p w:rsidR="00EF4537" w:rsidRDefault="00D961E1" w:rsidP="00CA3FD5">
      <w:pPr>
        <w:pStyle w:val="FigureTitle"/>
      </w:pPr>
      <w:r w:rsidRPr="00B618D5">
        <w:t>Figure</w:t>
      </w:r>
      <w:r w:rsidR="00B6098A" w:rsidRPr="00B618D5">
        <w:t xml:space="preserve"> </w:t>
      </w:r>
      <w:r w:rsidR="00B618D5" w:rsidRPr="00B618D5">
        <w:t>1</w:t>
      </w:r>
      <w:r w:rsidR="00B6098A" w:rsidRPr="00B618D5">
        <w:t>:</w:t>
      </w:r>
      <w:r w:rsidRPr="00B618D5">
        <w:t xml:space="preserve"> </w:t>
      </w:r>
      <w:r w:rsidR="00EF4537" w:rsidRPr="00B618D5">
        <w:t xml:space="preserve">Schematic structure of </w:t>
      </w:r>
      <w:proofErr w:type="spellStart"/>
      <w:r w:rsidR="00EF4537" w:rsidRPr="00B618D5">
        <w:t>rFIXFc</w:t>
      </w:r>
      <w:proofErr w:type="spellEnd"/>
    </w:p>
    <w:p w:rsidR="00B618D5" w:rsidRDefault="00B618D5" w:rsidP="00CA3FD5">
      <w:r w:rsidRPr="005318DA">
        <w:rPr>
          <w:noProof/>
          <w:lang w:eastAsia="en-AU"/>
        </w:rPr>
        <w:drawing>
          <wp:inline distT="0" distB="0" distL="0" distR="0" wp14:anchorId="717A7703" wp14:editId="02349F9C">
            <wp:extent cx="1247775" cy="1619250"/>
            <wp:effectExtent l="0" t="0" r="9525" b="0"/>
            <wp:docPr id="9" name="Picture 3" descr="Figure 1: Schematic structure of rFIX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r="52190"/>
                    <a:stretch>
                      <a:fillRect/>
                    </a:stretch>
                  </pic:blipFill>
                  <pic:spPr bwMode="auto">
                    <a:xfrm>
                      <a:off x="0" y="0"/>
                      <a:ext cx="1247775" cy="1619250"/>
                    </a:xfrm>
                    <a:prstGeom prst="rect">
                      <a:avLst/>
                    </a:prstGeom>
                    <a:noFill/>
                    <a:ln w="9525">
                      <a:noFill/>
                      <a:miter lim="800000"/>
                      <a:headEnd/>
                      <a:tailEnd/>
                    </a:ln>
                  </pic:spPr>
                </pic:pic>
              </a:graphicData>
            </a:graphic>
          </wp:inline>
        </w:drawing>
      </w:r>
    </w:p>
    <w:p w:rsidR="00EF4537" w:rsidRPr="00B618D5" w:rsidRDefault="00EF4537" w:rsidP="00CA3FD5">
      <w:r w:rsidRPr="00B618D5">
        <w:t>The Fc region of IgG1 binds to neonatal Fc receptor (</w:t>
      </w:r>
      <w:proofErr w:type="spellStart"/>
      <w:r w:rsidRPr="00B618D5">
        <w:t>FcRn</w:t>
      </w:r>
      <w:proofErr w:type="spellEnd"/>
      <w:r w:rsidRPr="00B618D5">
        <w:t>), which is part of a naturally occurring pathway that delays lysosomal degradation of immunoglobulins by cycling them back into circulation. The Fc is responsible for the long plasma half-life.</w:t>
      </w:r>
    </w:p>
    <w:p w:rsidR="00EF4537" w:rsidRPr="00B618D5" w:rsidRDefault="00EF4537" w:rsidP="00CA3FD5">
      <w:r w:rsidRPr="00B618D5">
        <w:t xml:space="preserve">The </w:t>
      </w:r>
      <w:proofErr w:type="spellStart"/>
      <w:r w:rsidRPr="00B618D5">
        <w:t>rFIXFc</w:t>
      </w:r>
      <w:proofErr w:type="spellEnd"/>
      <w:r w:rsidRPr="00B618D5">
        <w:t xml:space="preserve"> single chain is expressed as pre-pro-protein.</w:t>
      </w:r>
    </w:p>
    <w:p w:rsidR="00EF4537" w:rsidRPr="00BC46F8" w:rsidRDefault="00EF4537" w:rsidP="00CA3FD5">
      <w:r w:rsidRPr="00BC46F8">
        <w:lastRenderedPageBreak/>
        <w:t xml:space="preserve">In the coagulation cascade in vivo, FIX is cleaved by </w:t>
      </w:r>
      <w:proofErr w:type="spellStart"/>
      <w:r w:rsidRPr="00BC46F8">
        <w:t>FXIa</w:t>
      </w:r>
      <w:proofErr w:type="spellEnd"/>
      <w:r w:rsidRPr="00BC46F8">
        <w:t xml:space="preserve">, which removes the activation peptide from FIX to generate </w:t>
      </w:r>
      <w:proofErr w:type="spellStart"/>
      <w:r w:rsidRPr="00BC46F8">
        <w:t>FIXa</w:t>
      </w:r>
      <w:proofErr w:type="spellEnd"/>
      <w:r w:rsidRPr="00BC46F8">
        <w:t xml:space="preserve">β in one of the routes to clot formation (the intrinsic pathway). Factor </w:t>
      </w:r>
      <w:proofErr w:type="spellStart"/>
      <w:r w:rsidRPr="00BC46F8">
        <w:t>XIa</w:t>
      </w:r>
      <w:proofErr w:type="spellEnd"/>
      <w:r w:rsidRPr="00BC46F8">
        <w:t xml:space="preserve"> activates </w:t>
      </w:r>
      <w:proofErr w:type="spellStart"/>
      <w:r w:rsidRPr="00BC46F8">
        <w:t>FIXFc</w:t>
      </w:r>
      <w:proofErr w:type="spellEnd"/>
      <w:r w:rsidRPr="00BC46F8">
        <w:t xml:space="preserve"> by cleaving the protein twice, first at Arg145 leading to the formation of the FIXαFc which is inactive, and then at Arg180 resulting in complete removal of the activation peptide (ACT PEP) and formation of the active </w:t>
      </w:r>
      <w:proofErr w:type="spellStart"/>
      <w:r w:rsidRPr="00BC46F8">
        <w:t>FIXaFc</w:t>
      </w:r>
      <w:proofErr w:type="spellEnd"/>
      <w:r w:rsidRPr="00BC46F8">
        <w:t xml:space="preserve"> form (</w:t>
      </w:r>
      <w:proofErr w:type="spellStart"/>
      <w:r w:rsidRPr="00BC46F8">
        <w:t>FIXa</w:t>
      </w:r>
      <w:proofErr w:type="spellEnd"/>
      <w:r w:rsidRPr="00BC46F8">
        <w:t xml:space="preserve">β). An illustration of the </w:t>
      </w:r>
      <w:proofErr w:type="spellStart"/>
      <w:r w:rsidRPr="00BC46F8">
        <w:t>FXIa</w:t>
      </w:r>
      <w:proofErr w:type="spellEnd"/>
      <w:r w:rsidRPr="00BC46F8">
        <w:t xml:space="preserve"> activation of FIX is shown below.</w:t>
      </w:r>
    </w:p>
    <w:p w:rsidR="00EF4537" w:rsidRPr="004E0B52" w:rsidRDefault="00FA2919" w:rsidP="004E0B52">
      <w:pPr>
        <w:pStyle w:val="FigureTitle"/>
      </w:pPr>
      <w:r w:rsidRPr="00B6098A">
        <w:rPr>
          <w:lang w:eastAsia="en-AU"/>
        </w:rPr>
        <w:t>Figure</w:t>
      </w:r>
      <w:r>
        <w:rPr>
          <w:lang w:eastAsia="en-AU"/>
        </w:rPr>
        <w:t xml:space="preserve"> </w:t>
      </w:r>
      <w:r w:rsidR="00BC46F8">
        <w:rPr>
          <w:lang w:eastAsia="en-AU"/>
        </w:rPr>
        <w:t>2</w:t>
      </w:r>
      <w:r w:rsidR="00B6098A">
        <w:rPr>
          <w:lang w:eastAsia="en-AU"/>
        </w:rPr>
        <w:t>:</w:t>
      </w:r>
      <w:r w:rsidR="006E024B">
        <w:rPr>
          <w:lang w:eastAsia="en-AU"/>
        </w:rPr>
        <w:t xml:space="preserve"> </w:t>
      </w:r>
      <w:r w:rsidR="00B618D5">
        <w:rPr>
          <w:lang w:eastAsia="en-AU"/>
        </w:rPr>
        <w:t>Schematic i</w:t>
      </w:r>
      <w:r w:rsidR="00EF4537" w:rsidRPr="00614376">
        <w:rPr>
          <w:lang w:eastAsia="en-AU"/>
        </w:rPr>
        <w:t xml:space="preserve">llustration of </w:t>
      </w:r>
      <w:proofErr w:type="spellStart"/>
      <w:r w:rsidR="00EF4537" w:rsidRPr="00614376">
        <w:rPr>
          <w:lang w:eastAsia="en-AU"/>
        </w:rPr>
        <w:t>FIXFc</w:t>
      </w:r>
      <w:proofErr w:type="spellEnd"/>
      <w:r w:rsidR="00EF4537" w:rsidRPr="00614376">
        <w:rPr>
          <w:lang w:eastAsia="en-AU"/>
        </w:rPr>
        <w:t xml:space="preserve"> </w:t>
      </w:r>
      <w:r w:rsidR="00B618D5">
        <w:rPr>
          <w:lang w:eastAsia="en-AU"/>
        </w:rPr>
        <w:t>a</w:t>
      </w:r>
      <w:r w:rsidR="00EF4537" w:rsidRPr="00614376">
        <w:rPr>
          <w:lang w:eastAsia="en-AU"/>
        </w:rPr>
        <w:t>ctivation</w:t>
      </w:r>
    </w:p>
    <w:p w:rsidR="00EF4537" w:rsidRDefault="00EF4537" w:rsidP="004E0B52">
      <w:pPr>
        <w:rPr>
          <w:rFonts w:asciiTheme="minorHAnsi" w:hAnsiTheme="minorHAnsi"/>
          <w:bCs/>
          <w:lang w:eastAsia="en-AU"/>
        </w:rPr>
      </w:pPr>
      <w:r w:rsidRPr="00614376">
        <w:rPr>
          <w:noProof/>
          <w:lang w:eastAsia="en-AU"/>
        </w:rPr>
        <w:drawing>
          <wp:inline distT="0" distB="0" distL="0" distR="0" wp14:anchorId="0989C5C4" wp14:editId="0574A8DA">
            <wp:extent cx="4210293" cy="2488675"/>
            <wp:effectExtent l="0" t="0" r="0" b="6985"/>
            <wp:docPr id="13" name="Picture 1" descr="Schematic Illustration of FIXFc Activation" title="Figure 2: Schematic illustration of FIXFc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b="6032"/>
                    <a:stretch>
                      <a:fillRect/>
                    </a:stretch>
                  </pic:blipFill>
                  <pic:spPr bwMode="auto">
                    <a:xfrm>
                      <a:off x="0" y="0"/>
                      <a:ext cx="4211320" cy="2489282"/>
                    </a:xfrm>
                    <a:prstGeom prst="rect">
                      <a:avLst/>
                    </a:prstGeom>
                    <a:noFill/>
                    <a:ln w="9525">
                      <a:noFill/>
                      <a:miter lim="800000"/>
                      <a:headEnd/>
                      <a:tailEnd/>
                    </a:ln>
                  </pic:spPr>
                </pic:pic>
              </a:graphicData>
            </a:graphic>
          </wp:inline>
        </w:drawing>
      </w:r>
    </w:p>
    <w:p w:rsidR="00EF4537" w:rsidRPr="00B6098A" w:rsidRDefault="00EF4537" w:rsidP="004E0B52">
      <w:pPr>
        <w:pStyle w:val="FigureDescription"/>
        <w:rPr>
          <w:lang w:eastAsia="en-AU"/>
        </w:rPr>
      </w:pPr>
      <w:r w:rsidRPr="00B6098A">
        <w:rPr>
          <w:lang w:eastAsia="en-AU"/>
        </w:rPr>
        <w:t>The inter-subunit (or inter-chain) disul</w:t>
      </w:r>
      <w:r w:rsidR="00BF245C" w:rsidRPr="00B6098A">
        <w:rPr>
          <w:lang w:eastAsia="en-AU"/>
        </w:rPr>
        <w:t>ph</w:t>
      </w:r>
      <w:r w:rsidRPr="00B6098A">
        <w:rPr>
          <w:lang w:eastAsia="en-AU"/>
        </w:rPr>
        <w:t>ide bonds are shown with solid lines.</w:t>
      </w:r>
    </w:p>
    <w:p w:rsidR="00EF4537" w:rsidRPr="004E0B52" w:rsidRDefault="00EF4537" w:rsidP="004E0B52">
      <w:pPr>
        <w:pStyle w:val="Heading3"/>
      </w:pPr>
      <w:bookmarkStart w:id="28" w:name="_Toc404068917"/>
      <w:r w:rsidRPr="00F0565F">
        <w:t>Manufacture</w:t>
      </w:r>
      <w:bookmarkEnd w:id="28"/>
    </w:p>
    <w:p w:rsidR="00EF4537" w:rsidRPr="005318DA" w:rsidRDefault="00EF4537" w:rsidP="004E0B52">
      <w:r w:rsidRPr="005318DA">
        <w:rPr>
          <w:lang w:eastAsia="en-AU"/>
        </w:rPr>
        <w:t>The drug substance is manufactured at the bioreactor scale</w:t>
      </w:r>
      <w:r>
        <w:rPr>
          <w:lang w:eastAsia="en-AU"/>
        </w:rPr>
        <w:t>.</w:t>
      </w:r>
      <w:r w:rsidRPr="005318DA">
        <w:rPr>
          <w:lang w:eastAsia="en-AU"/>
        </w:rPr>
        <w:t xml:space="preserve"> One working cell bank vial is used to produce one discrete batch of </w:t>
      </w:r>
      <w:proofErr w:type="spellStart"/>
      <w:r w:rsidRPr="005318DA">
        <w:rPr>
          <w:lang w:eastAsia="en-AU"/>
        </w:rPr>
        <w:t>rFIXFc</w:t>
      </w:r>
      <w:proofErr w:type="spellEnd"/>
      <w:r w:rsidRPr="005318DA">
        <w:rPr>
          <w:lang w:eastAsia="en-AU"/>
        </w:rPr>
        <w:t xml:space="preserve"> drug substance.</w:t>
      </w:r>
    </w:p>
    <w:p w:rsidR="00EF4537" w:rsidRDefault="00EF4537" w:rsidP="004E0B52">
      <w:r w:rsidRPr="00F611D1">
        <w:t>Cell banking processes are satisfactory.</w:t>
      </w:r>
    </w:p>
    <w:p w:rsidR="00EF4537" w:rsidRPr="00E00659" w:rsidRDefault="00EF4537" w:rsidP="004E0B52">
      <w:r w:rsidRPr="00162C51">
        <w:t>Al</w:t>
      </w:r>
      <w:r w:rsidR="00AB372B">
        <w:t xml:space="preserve">l viral and </w:t>
      </w:r>
      <w:r w:rsidRPr="00162C51">
        <w:t>prion safety issues have been addressed, including use of animal</w:t>
      </w:r>
      <w:r w:rsidR="00B6098A">
        <w:t xml:space="preserve"> </w:t>
      </w:r>
      <w:r w:rsidRPr="00162C51">
        <w:t>derived excipients, supplements in the fermentation process and in cell banking.</w:t>
      </w:r>
    </w:p>
    <w:p w:rsidR="00EF4537" w:rsidRDefault="006E024B" w:rsidP="004E0B52">
      <w:pPr>
        <w:pStyle w:val="Heading3"/>
      </w:pPr>
      <w:bookmarkStart w:id="29" w:name="_Toc404068918"/>
      <w:r>
        <w:t>Physical and c</w:t>
      </w:r>
      <w:r w:rsidR="00AB372B">
        <w:t>hemical p</w:t>
      </w:r>
      <w:r w:rsidR="00EF4537" w:rsidRPr="00E00659">
        <w:t>roperties</w:t>
      </w:r>
      <w:bookmarkEnd w:id="29"/>
    </w:p>
    <w:p w:rsidR="00EF4537" w:rsidRPr="00BC46F8" w:rsidRDefault="00EF4537" w:rsidP="004E0B52">
      <w:r w:rsidRPr="00BC46F8">
        <w:t>The FIX portion of eftrenonacog alfa has similar structural and functional characteristics as endogenous FIX.</w:t>
      </w:r>
      <w:r w:rsidR="00134725" w:rsidRPr="00BC46F8">
        <w:t xml:space="preserve"> </w:t>
      </w:r>
      <w:r w:rsidRPr="00BC46F8">
        <w:t xml:space="preserve">The structural characterisation of </w:t>
      </w:r>
      <w:proofErr w:type="spellStart"/>
      <w:r w:rsidRPr="00BC46F8">
        <w:t>rFXIII</w:t>
      </w:r>
      <w:proofErr w:type="spellEnd"/>
      <w:r w:rsidRPr="00BC46F8">
        <w:t xml:space="preserve"> has confirmed the theoretical structure. The characterisation included an assessment of subunit composition, primary sequence, post</w:t>
      </w:r>
      <w:r w:rsidR="00315EDD" w:rsidRPr="00BC46F8">
        <w:t>-</w:t>
      </w:r>
      <w:r w:rsidRPr="00BC46F8">
        <w:t xml:space="preserve">translational modifications, charge heterogeneity, carbohydrate, secondary and tertiary structure, in vitro biological activity and activation kinetics by </w:t>
      </w:r>
      <w:proofErr w:type="spellStart"/>
      <w:r w:rsidRPr="00BC46F8">
        <w:t>FXIa</w:t>
      </w:r>
      <w:proofErr w:type="spellEnd"/>
      <w:r w:rsidRPr="00BC46F8">
        <w:t>. Additional functional assays (the ab</w:t>
      </w:r>
      <w:r w:rsidR="00853686" w:rsidRPr="00BC46F8">
        <w:t xml:space="preserve">ility to form an active </w:t>
      </w:r>
      <w:proofErr w:type="spellStart"/>
      <w:r w:rsidR="00853686" w:rsidRPr="00BC46F8">
        <w:t>t</w:t>
      </w:r>
      <w:r w:rsidR="00B6098A" w:rsidRPr="00BC46F8">
        <w:t>enase</w:t>
      </w:r>
      <w:proofErr w:type="spellEnd"/>
      <w:r w:rsidR="00B6098A" w:rsidRPr="00BC46F8">
        <w:t xml:space="preserve"> [</w:t>
      </w:r>
      <w:proofErr w:type="spellStart"/>
      <w:r w:rsidRPr="00BC46F8">
        <w:t>Xase</w:t>
      </w:r>
      <w:proofErr w:type="spellEnd"/>
      <w:r w:rsidR="00B6098A" w:rsidRPr="00BC46F8">
        <w:t>]</w:t>
      </w:r>
      <w:r w:rsidRPr="00BC46F8">
        <w:t xml:space="preserve"> complex, </w:t>
      </w:r>
      <w:r w:rsidR="00AB372B" w:rsidRPr="00BC46F8">
        <w:t xml:space="preserve">inhibition by </w:t>
      </w:r>
      <w:proofErr w:type="spellStart"/>
      <w:r w:rsidR="00AB372B" w:rsidRPr="00BC46F8">
        <w:t>a</w:t>
      </w:r>
      <w:r w:rsidRPr="00BC46F8">
        <w:t>ntithrombin</w:t>
      </w:r>
      <w:proofErr w:type="spellEnd"/>
      <w:r w:rsidRPr="00BC46F8">
        <w:t xml:space="preserve"> III, and interaction with phospholipids) for 3 drug product batches also have performed using commercially available recombinant FIX (</w:t>
      </w:r>
      <w:proofErr w:type="spellStart"/>
      <w:r w:rsidRPr="00BC46F8">
        <w:t>BeneFIX</w:t>
      </w:r>
      <w:proofErr w:type="spellEnd"/>
      <w:r w:rsidRPr="00BC46F8">
        <w:t xml:space="preserve">) as a control. The results have shown that the functional characteristics of </w:t>
      </w:r>
      <w:proofErr w:type="spellStart"/>
      <w:r w:rsidRPr="00BC46F8">
        <w:t>rFIXFc</w:t>
      </w:r>
      <w:proofErr w:type="spellEnd"/>
      <w:r w:rsidRPr="00BC46F8">
        <w:t xml:space="preserve"> were consistent with the expected FIX and Fc functionalities. The coagulation activity and potency to bind neonatal Fc receptor </w:t>
      </w:r>
      <w:proofErr w:type="spellStart"/>
      <w:r w:rsidRPr="00BC46F8">
        <w:t>FcRn</w:t>
      </w:r>
      <w:proofErr w:type="spellEnd"/>
      <w:r w:rsidRPr="00BC46F8">
        <w:t xml:space="preserve"> are consistent across all the</w:t>
      </w:r>
      <w:r w:rsidR="00BF245C" w:rsidRPr="00BC46F8">
        <w:t xml:space="preserve"> </w:t>
      </w:r>
      <w:r w:rsidR="00166CA1" w:rsidRPr="00BC46F8">
        <w:t>drug substance</w:t>
      </w:r>
      <w:r w:rsidRPr="00BC46F8">
        <w:t xml:space="preserve"> batches.</w:t>
      </w:r>
    </w:p>
    <w:p w:rsidR="00EF4537" w:rsidRDefault="00EF4537" w:rsidP="004E0B52">
      <w:r>
        <w:t xml:space="preserve">The manufacturing process has been targeted at reducing the level of </w:t>
      </w:r>
      <w:r w:rsidR="001436C1">
        <w:t>impurities</w:t>
      </w:r>
      <w:r>
        <w:t xml:space="preserve"> during manufacture and storage.</w:t>
      </w:r>
      <w:r w:rsidRPr="00BC0905">
        <w:t xml:space="preserve"> </w:t>
      </w:r>
      <w:r>
        <w:t>The test for</w:t>
      </w:r>
      <w:r w:rsidRPr="00D67C46">
        <w:rPr>
          <w:lang w:eastAsia="en-AU"/>
        </w:rPr>
        <w:t xml:space="preserve"> Size Exclusion Chromatography</w:t>
      </w:r>
      <w:r w:rsidRPr="00D67C46">
        <w:t xml:space="preserve">, </w:t>
      </w:r>
      <w:r w:rsidR="004B7CBD">
        <w:t>S</w:t>
      </w:r>
      <w:r w:rsidR="004B7CBD" w:rsidRPr="004B7CBD">
        <w:t xml:space="preserve">odium </w:t>
      </w:r>
      <w:r w:rsidR="004B7CBD">
        <w:t>D</w:t>
      </w:r>
      <w:r w:rsidR="004B7CBD" w:rsidRPr="004B7CBD">
        <w:t xml:space="preserve">odecyl </w:t>
      </w:r>
      <w:proofErr w:type="spellStart"/>
      <w:r w:rsidR="004B7CBD">
        <w:t>S</w:t>
      </w:r>
      <w:r w:rsidR="004B7CBD" w:rsidRPr="004B7CBD">
        <w:t>ulfate</w:t>
      </w:r>
      <w:proofErr w:type="spellEnd"/>
      <w:r w:rsidR="004B7CBD" w:rsidRPr="004B7CBD">
        <w:t xml:space="preserve"> </w:t>
      </w:r>
      <w:r w:rsidR="004B7CBD">
        <w:t>P</w:t>
      </w:r>
      <w:r w:rsidR="004B7CBD" w:rsidRPr="004B7CBD">
        <w:t xml:space="preserve">olyacrylamide </w:t>
      </w:r>
      <w:r w:rsidR="004B7CBD">
        <w:t>G</w:t>
      </w:r>
      <w:r w:rsidR="004B7CBD" w:rsidRPr="004B7CBD">
        <w:t xml:space="preserve">el </w:t>
      </w:r>
      <w:r w:rsidR="004B7CBD">
        <w:t>E</w:t>
      </w:r>
      <w:r w:rsidR="004B7CBD" w:rsidRPr="004B7CBD">
        <w:t>lectrophoresis (SDS-PAGE</w:t>
      </w:r>
      <w:r w:rsidR="004B7CBD">
        <w:t xml:space="preserve">; </w:t>
      </w:r>
      <w:r w:rsidRPr="00D67C46">
        <w:rPr>
          <w:lang w:eastAsia="en-AU"/>
        </w:rPr>
        <w:t xml:space="preserve">non-reducing and reducing), activated </w:t>
      </w:r>
      <w:proofErr w:type="spellStart"/>
      <w:r w:rsidRPr="00D67C46">
        <w:rPr>
          <w:lang w:eastAsia="en-AU"/>
        </w:rPr>
        <w:t>rFIXFc</w:t>
      </w:r>
      <w:proofErr w:type="spellEnd"/>
      <w:r w:rsidRPr="00D67C46">
        <w:rPr>
          <w:lang w:eastAsia="en-AU"/>
        </w:rPr>
        <w:t>, H</w:t>
      </w:r>
      <w:r>
        <w:rPr>
          <w:lang w:eastAsia="en-AU"/>
        </w:rPr>
        <w:t xml:space="preserve">ost </w:t>
      </w:r>
      <w:r w:rsidRPr="00D67C46">
        <w:rPr>
          <w:lang w:eastAsia="en-AU"/>
        </w:rPr>
        <w:t>C</w:t>
      </w:r>
      <w:r>
        <w:rPr>
          <w:lang w:eastAsia="en-AU"/>
        </w:rPr>
        <w:t xml:space="preserve">ell </w:t>
      </w:r>
      <w:r w:rsidRPr="00D67C46">
        <w:rPr>
          <w:lang w:eastAsia="en-AU"/>
        </w:rPr>
        <w:t>P</w:t>
      </w:r>
      <w:r>
        <w:rPr>
          <w:lang w:eastAsia="en-AU"/>
        </w:rPr>
        <w:t>rotein</w:t>
      </w:r>
      <w:r w:rsidRPr="00D67C46">
        <w:rPr>
          <w:lang w:eastAsia="en-AU"/>
        </w:rPr>
        <w:t xml:space="preserve">, endotoxins </w:t>
      </w:r>
      <w:r w:rsidRPr="00D67C46">
        <w:t xml:space="preserve">and </w:t>
      </w:r>
      <w:proofErr w:type="spellStart"/>
      <w:r w:rsidRPr="00D67C46">
        <w:t>bioburden</w:t>
      </w:r>
      <w:proofErr w:type="spellEnd"/>
      <w:r w:rsidRPr="00D67C46">
        <w:t xml:space="preserve"> </w:t>
      </w:r>
      <w:r>
        <w:t>are</w:t>
      </w:r>
      <w:r w:rsidRPr="00D67C46">
        <w:t xml:space="preserve"> retained in routine batch </w:t>
      </w:r>
      <w:r>
        <w:t>release testing.</w:t>
      </w:r>
    </w:p>
    <w:p w:rsidR="00EF4537" w:rsidRPr="004E0B52" w:rsidRDefault="00EF4537" w:rsidP="004E0B52">
      <w:pPr>
        <w:pStyle w:val="Heading3"/>
      </w:pPr>
      <w:bookmarkStart w:id="30" w:name="_Toc404068919"/>
      <w:r w:rsidRPr="00E00659">
        <w:lastRenderedPageBreak/>
        <w:t>Specifications</w:t>
      </w:r>
      <w:bookmarkEnd w:id="30"/>
    </w:p>
    <w:p w:rsidR="00EF4537" w:rsidRDefault="00AB372B" w:rsidP="004E0B52">
      <w:r w:rsidRPr="00E00659">
        <w:t xml:space="preserve">Appropriate validation data have been submitted in support of the test procedures </w:t>
      </w:r>
      <w:r>
        <w:t xml:space="preserve">for the </w:t>
      </w:r>
      <w:r w:rsidR="00EF4537" w:rsidRPr="00E00659">
        <w:t>proposed specifications, which control identity, content, potency, purity and other biological and physical properties of the drug substance relevant to the dose for</w:t>
      </w:r>
      <w:r w:rsidR="00EF4537">
        <w:t>m and its intended clinical use</w:t>
      </w:r>
      <w:r w:rsidR="004E0B52">
        <w:t>.</w:t>
      </w:r>
    </w:p>
    <w:p w:rsidR="00AB372B" w:rsidRPr="004E0B52" w:rsidRDefault="00AB372B" w:rsidP="004E0B52">
      <w:pPr>
        <w:pStyle w:val="Heading4"/>
      </w:pPr>
      <w:r w:rsidRPr="00E00659">
        <w:t>Stability</w:t>
      </w:r>
    </w:p>
    <w:p w:rsidR="00AB372B" w:rsidRPr="008645C9" w:rsidRDefault="00995D9D" w:rsidP="004E0B52">
      <w:r w:rsidRPr="008645C9">
        <w:t xml:space="preserve">Real </w:t>
      </w:r>
      <w:r w:rsidR="00AB372B" w:rsidRPr="008645C9">
        <w:t xml:space="preserve">time data </w:t>
      </w:r>
      <w:r w:rsidRPr="008645C9">
        <w:t xml:space="preserve">were </w:t>
      </w:r>
      <w:r w:rsidR="00AB372B" w:rsidRPr="008645C9">
        <w:t xml:space="preserve">submitted </w:t>
      </w:r>
      <w:r w:rsidRPr="008645C9">
        <w:t xml:space="preserve">to </w:t>
      </w:r>
      <w:r w:rsidR="00AB372B" w:rsidRPr="008645C9">
        <w:t>support shelf life</w:t>
      </w:r>
      <w:r w:rsidRPr="008645C9">
        <w:t xml:space="preserve">, and </w:t>
      </w:r>
      <w:r w:rsidR="00AB372B" w:rsidRPr="008645C9">
        <w:t xml:space="preserve">data </w:t>
      </w:r>
      <w:r w:rsidRPr="008645C9">
        <w:t xml:space="preserve">were also </w:t>
      </w:r>
      <w:r w:rsidR="00AB372B" w:rsidRPr="008645C9">
        <w:t xml:space="preserve">submitted </w:t>
      </w:r>
      <w:r w:rsidRPr="008645C9">
        <w:t xml:space="preserve">to </w:t>
      </w:r>
      <w:r w:rsidR="00AB372B" w:rsidRPr="008645C9">
        <w:t xml:space="preserve">support </w:t>
      </w:r>
      <w:r w:rsidRPr="008645C9">
        <w:t>storage</w:t>
      </w:r>
      <w:r w:rsidR="00AB372B" w:rsidRPr="008645C9">
        <w:t xml:space="preserve"> </w:t>
      </w:r>
      <w:r w:rsidRPr="008645C9">
        <w:t xml:space="preserve">of </w:t>
      </w:r>
      <w:r w:rsidR="00AB372B" w:rsidRPr="008645C9">
        <w:t>the</w:t>
      </w:r>
      <w:r w:rsidR="004E0B52">
        <w:t xml:space="preserve"> drug substance after thawing.</w:t>
      </w:r>
    </w:p>
    <w:p w:rsidR="008E7846" w:rsidRPr="00C3593E" w:rsidRDefault="008E7846" w:rsidP="00C3593E">
      <w:pPr>
        <w:pStyle w:val="Heading3"/>
      </w:pPr>
      <w:bookmarkStart w:id="31" w:name="_Toc247691508"/>
      <w:bookmarkStart w:id="32" w:name="_Toc314842490"/>
      <w:bookmarkStart w:id="33" w:name="_Toc404068920"/>
      <w:r w:rsidRPr="008751DC">
        <w:t xml:space="preserve">Drug </w:t>
      </w:r>
      <w:r>
        <w:t>p</w:t>
      </w:r>
      <w:r w:rsidRPr="008751DC">
        <w:t>roduct</w:t>
      </w:r>
      <w:bookmarkEnd w:id="31"/>
      <w:bookmarkEnd w:id="32"/>
      <w:bookmarkEnd w:id="33"/>
    </w:p>
    <w:p w:rsidR="00EF4537" w:rsidRDefault="008645C9" w:rsidP="00C3593E">
      <w:pPr>
        <w:pStyle w:val="Heading4"/>
      </w:pPr>
      <w:r>
        <w:t>Formulation</w:t>
      </w:r>
    </w:p>
    <w:p w:rsidR="00EF4537" w:rsidRPr="008645C9" w:rsidRDefault="00EF4537" w:rsidP="00C3593E">
      <w:r w:rsidRPr="008645C9">
        <w:t xml:space="preserve">The </w:t>
      </w:r>
      <w:proofErr w:type="spellStart"/>
      <w:r w:rsidRPr="008645C9">
        <w:t>rFIXFc</w:t>
      </w:r>
      <w:proofErr w:type="spellEnd"/>
      <w:r w:rsidRPr="008645C9">
        <w:t xml:space="preserve"> is formulated as a sterile, non-pyrogenic, single use, preservative</w:t>
      </w:r>
      <w:r w:rsidR="005D0483" w:rsidRPr="008645C9">
        <w:t xml:space="preserve"> </w:t>
      </w:r>
      <w:r w:rsidRPr="008645C9">
        <w:t>free, white to off-white, lyophilized powder for IV administration in a single</w:t>
      </w:r>
      <w:r w:rsidR="005D0483" w:rsidRPr="008645C9">
        <w:t xml:space="preserve"> </w:t>
      </w:r>
      <w:r w:rsidRPr="008645C9">
        <w:t>use vial. Each vial contains nominally 250, 500, 1000, 2000 or 3000 Int</w:t>
      </w:r>
      <w:r w:rsidR="00995D9D" w:rsidRPr="008645C9">
        <w:t xml:space="preserve">ernational Units (IU) of </w:t>
      </w:r>
      <w:proofErr w:type="spellStart"/>
      <w:r w:rsidR="00995D9D" w:rsidRPr="008645C9">
        <w:t>rFIXFc</w:t>
      </w:r>
      <w:proofErr w:type="spellEnd"/>
      <w:r w:rsidRPr="008645C9">
        <w:t xml:space="preserve"> and </w:t>
      </w:r>
      <w:r w:rsidR="00995D9D" w:rsidRPr="008645C9">
        <w:t xml:space="preserve">is </w:t>
      </w:r>
      <w:r w:rsidRPr="008645C9">
        <w:t>presented with a kit containing a vial adapter and diluent syringe prefilled with 5 mL of 0.325% sodium chloride.</w:t>
      </w:r>
    </w:p>
    <w:p w:rsidR="00EF4537" w:rsidRPr="008645C9" w:rsidRDefault="00EF4537" w:rsidP="00C3593E">
      <w:r w:rsidRPr="008645C9">
        <w:t xml:space="preserve">The </w:t>
      </w:r>
      <w:proofErr w:type="spellStart"/>
      <w:r w:rsidR="005D0483" w:rsidRPr="008645C9">
        <w:t>rFIXFc</w:t>
      </w:r>
      <w:proofErr w:type="spellEnd"/>
      <w:r w:rsidR="005D0483" w:rsidRPr="008645C9">
        <w:t xml:space="preserve"> drug product is lyophilis</w:t>
      </w:r>
      <w:r w:rsidRPr="008645C9">
        <w:t xml:space="preserve">ed in a Type </w:t>
      </w:r>
      <w:r w:rsidR="00766A81" w:rsidRPr="008645C9">
        <w:t>1</w:t>
      </w:r>
      <w:r w:rsidRPr="008645C9">
        <w:t xml:space="preserve"> glass vial, closed with a Teflon</w:t>
      </w:r>
      <w:r w:rsidR="005D0483" w:rsidRPr="008645C9">
        <w:t xml:space="preserve"> </w:t>
      </w:r>
      <w:r w:rsidRPr="008645C9">
        <w:t>coated butyl rubber lyophilisation stopper and an alumin</w:t>
      </w:r>
      <w:r w:rsidR="00BF245C" w:rsidRPr="008645C9">
        <w:t>i</w:t>
      </w:r>
      <w:r w:rsidRPr="008645C9">
        <w:t xml:space="preserve">um flip-off crimp seal </w:t>
      </w:r>
      <w:r w:rsidR="00995D9D" w:rsidRPr="008645C9">
        <w:t xml:space="preserve">that varies in colour </w:t>
      </w:r>
      <w:r w:rsidRPr="008645C9">
        <w:t>with dosage strength.</w:t>
      </w:r>
    </w:p>
    <w:p w:rsidR="00EF4537" w:rsidRDefault="00EF4537" w:rsidP="00C3593E">
      <w:pPr>
        <w:pStyle w:val="Heading4"/>
      </w:pPr>
      <w:r w:rsidRPr="00E00659">
        <w:t>Manufacture</w:t>
      </w:r>
    </w:p>
    <w:p w:rsidR="00995D9D" w:rsidRPr="00995D9D" w:rsidRDefault="00995D9D" w:rsidP="00C3593E">
      <w:r>
        <w:t>Information was evaluated on the manufacturing process, including sterilisation</w:t>
      </w:r>
      <w:r w:rsidR="00EF4537" w:rsidRPr="00995D9D">
        <w:t xml:space="preserve"> </w:t>
      </w:r>
      <w:r>
        <w:t xml:space="preserve">and </w:t>
      </w:r>
      <w:r w:rsidR="00EF4537" w:rsidRPr="00995D9D">
        <w:t xml:space="preserve">filtration </w:t>
      </w:r>
      <w:r w:rsidR="00C3593E">
        <w:t>steps.</w:t>
      </w:r>
    </w:p>
    <w:p w:rsidR="00995D9D" w:rsidRPr="00C3593E" w:rsidRDefault="00995D9D" w:rsidP="00C3593E">
      <w:pPr>
        <w:pStyle w:val="Heading4"/>
      </w:pPr>
      <w:r w:rsidRPr="00995D9D">
        <w:t>Specifications</w:t>
      </w:r>
    </w:p>
    <w:p w:rsidR="00995D9D" w:rsidRPr="008645C9" w:rsidRDefault="00995D9D" w:rsidP="00C3593E">
      <w:r w:rsidRPr="008645C9">
        <w:t>The proposed specifications, which control identity, potency, purity, dose delivery and other physical, chemical and microbiological properties relevant to the clinical use of t</w:t>
      </w:r>
      <w:r w:rsidR="00C3593E">
        <w:t>he product have been evaluated.</w:t>
      </w:r>
    </w:p>
    <w:p w:rsidR="00EF4537" w:rsidRPr="008645C9" w:rsidRDefault="00EF4537" w:rsidP="00C3593E">
      <w:r w:rsidRPr="008645C9">
        <w:t xml:space="preserve">The same specifications are applied for all the </w:t>
      </w:r>
      <w:r w:rsidR="00522E07" w:rsidRPr="008645C9">
        <w:t xml:space="preserve">drug product </w:t>
      </w:r>
      <w:r w:rsidRPr="008645C9">
        <w:t>strengths except for osmolality, endotoxin, and coagulation activity per vial.</w:t>
      </w:r>
    </w:p>
    <w:p w:rsidR="00EF4537" w:rsidRPr="00C3593E" w:rsidRDefault="00EF4537" w:rsidP="00C3593E">
      <w:pPr>
        <w:pStyle w:val="Heading4"/>
      </w:pPr>
      <w:r w:rsidRPr="00E00659">
        <w:t>Stability</w:t>
      </w:r>
    </w:p>
    <w:p w:rsidR="00EF4537" w:rsidRPr="008645C9" w:rsidRDefault="00EF4537" w:rsidP="00C3593E">
      <w:r w:rsidRPr="008645C9">
        <w:t xml:space="preserve">Stability data have been generated under stressed and real time conditions to characterise the stability profile of the product. </w:t>
      </w:r>
      <w:proofErr w:type="spellStart"/>
      <w:r w:rsidRPr="008645C9">
        <w:t>Photostability</w:t>
      </w:r>
      <w:proofErr w:type="spellEnd"/>
      <w:r w:rsidRPr="008645C9">
        <w:t xml:space="preserve"> data demonstrate the product is not </w:t>
      </w:r>
      <w:proofErr w:type="spellStart"/>
      <w:r w:rsidRPr="008645C9">
        <w:t>photostable</w:t>
      </w:r>
      <w:proofErr w:type="spellEnd"/>
      <w:r w:rsidRPr="008645C9">
        <w:t xml:space="preserve">. Labelling warning </w:t>
      </w:r>
      <w:proofErr w:type="gramStart"/>
      <w:r w:rsidRPr="008645C9">
        <w:t>are</w:t>
      </w:r>
      <w:proofErr w:type="gramEnd"/>
      <w:r w:rsidRPr="008645C9">
        <w:t xml:space="preserve"> in place to reflect this.</w:t>
      </w:r>
    </w:p>
    <w:p w:rsidR="00EF4537" w:rsidRPr="008645C9" w:rsidRDefault="00EF4537" w:rsidP="00C3593E">
      <w:r w:rsidRPr="008645C9">
        <w:t>In-use stability data have also been submitted. The reconstituted product stored for this period is not affected by normal room lighting</w:t>
      </w:r>
      <w:r w:rsidR="00C141D1" w:rsidRPr="008645C9">
        <w:t>.</w:t>
      </w:r>
    </w:p>
    <w:p w:rsidR="00EF4537" w:rsidRPr="008645C9" w:rsidRDefault="00EF4537" w:rsidP="00C3593E">
      <w:r w:rsidRPr="008645C9">
        <w:t xml:space="preserve">The sponsor has proposed alternative transport conditions with registered temperature deviations. These are not supported by the supplied data </w:t>
      </w:r>
      <w:r w:rsidR="001436C1" w:rsidRPr="008645C9">
        <w:t>and are</w:t>
      </w:r>
      <w:r w:rsidRPr="008645C9">
        <w:t xml:space="preserve"> not accepted.</w:t>
      </w:r>
    </w:p>
    <w:p w:rsidR="00EF4537" w:rsidRPr="008645C9" w:rsidRDefault="00EF4537" w:rsidP="00C3593E">
      <w:r w:rsidRPr="008645C9">
        <w:t>The product should be transported at the recommended storage temperature only.</w:t>
      </w:r>
    </w:p>
    <w:p w:rsidR="00995D9D" w:rsidRPr="001420EE" w:rsidRDefault="00995D9D" w:rsidP="001420EE">
      <w:pPr>
        <w:pStyle w:val="Heading4"/>
      </w:pPr>
      <w:r w:rsidRPr="00995D9D">
        <w:lastRenderedPageBreak/>
        <w:t>Labelling, packaging and documentation</w:t>
      </w:r>
    </w:p>
    <w:p w:rsidR="00995D9D" w:rsidRPr="00BC46F8" w:rsidRDefault="00995D9D" w:rsidP="001420EE">
      <w:r w:rsidRPr="00BC46F8">
        <w:t>Updated labelling, packaging and PI documents were provided in response to requests from TGA for revisions to quality aspects and are considered acceptable.</w:t>
      </w:r>
    </w:p>
    <w:p w:rsidR="008E7846" w:rsidRPr="008751DC" w:rsidRDefault="008E7846" w:rsidP="001420EE">
      <w:pPr>
        <w:pStyle w:val="Heading3"/>
      </w:pPr>
      <w:bookmarkStart w:id="34" w:name="_Toc247691509"/>
      <w:bookmarkStart w:id="35" w:name="_Toc314842493"/>
      <w:bookmarkStart w:id="36" w:name="_Toc404068921"/>
      <w:r>
        <w:t>Quality s</w:t>
      </w:r>
      <w:r w:rsidRPr="008751DC">
        <w:t>ummary</w:t>
      </w:r>
      <w:r>
        <w:t xml:space="preserve"> and conclusions</w:t>
      </w:r>
      <w:bookmarkEnd w:id="34"/>
      <w:bookmarkEnd w:id="35"/>
      <w:bookmarkEnd w:id="36"/>
    </w:p>
    <w:p w:rsidR="003C6E7A" w:rsidRPr="00BC46F8" w:rsidRDefault="003C6E7A" w:rsidP="001420EE">
      <w:r w:rsidRPr="00BC46F8">
        <w:t xml:space="preserve">The administrative, product usage, chemical, pharmaceutical, microbiological data submitted in support of this application have been evaluated in accordance with the Australian legislation, </w:t>
      </w:r>
      <w:proofErr w:type="spellStart"/>
      <w:r w:rsidRPr="00BC46F8">
        <w:t>pharmacopoeial</w:t>
      </w:r>
      <w:proofErr w:type="spellEnd"/>
      <w:r w:rsidRPr="00BC46F8">
        <w:t xml:space="preserve"> standards and relevant technical guidelines adopted by the TGA.</w:t>
      </w:r>
    </w:p>
    <w:p w:rsidR="003C6E7A" w:rsidRPr="00BC46F8" w:rsidRDefault="003C6E7A" w:rsidP="001420EE">
      <w:r w:rsidRPr="00BC46F8">
        <w:t>There are no unresolved Module 3 issues.</w:t>
      </w:r>
    </w:p>
    <w:p w:rsidR="00570FA7" w:rsidRPr="00BC46F8" w:rsidRDefault="001F34B6" w:rsidP="001420EE">
      <w:r w:rsidRPr="00BC46F8">
        <w:t xml:space="preserve">The Module 3 evaluators recommended that Alprolix </w:t>
      </w:r>
      <w:r w:rsidR="00BC46F8">
        <w:t>(</w:t>
      </w:r>
      <w:r w:rsidRPr="00BC46F8">
        <w:t>eftrenonacog alfa</w:t>
      </w:r>
      <w:r w:rsidR="00BC46F8">
        <w:t>)</w:t>
      </w:r>
      <w:r w:rsidRPr="00BC46F8">
        <w:t xml:space="preserve"> 250, 500, 1000</w:t>
      </w:r>
      <w:r w:rsidR="00FE77A5">
        <w:t>, 2000</w:t>
      </w:r>
      <w:r w:rsidRPr="00BC46F8">
        <w:t xml:space="preserve"> and 3000 </w:t>
      </w:r>
      <w:r w:rsidR="00FE77A5">
        <w:t xml:space="preserve">IU </w:t>
      </w:r>
      <w:r w:rsidRPr="00BC46F8">
        <w:t>powder for injection vial plus diluent should be approved with the inclusion of specific registration conditions relating to batch release testing and certified product details. Details of these conditions are beyond the scope of the AusPAR.</w:t>
      </w:r>
    </w:p>
    <w:p w:rsidR="008E7846" w:rsidRPr="007970A4" w:rsidRDefault="008E7846" w:rsidP="007970A4">
      <w:pPr>
        <w:pStyle w:val="Heading2"/>
      </w:pPr>
      <w:bookmarkStart w:id="37" w:name="_Toc196046439"/>
      <w:bookmarkStart w:id="38" w:name="_Toc247691510"/>
      <w:bookmarkStart w:id="39" w:name="_Toc314842494"/>
      <w:bookmarkStart w:id="40" w:name="_Toc404068922"/>
      <w:r>
        <w:t>III. Nonclinical</w:t>
      </w:r>
      <w:bookmarkEnd w:id="37"/>
      <w:r>
        <w:t xml:space="preserve"> findings</w:t>
      </w:r>
      <w:bookmarkEnd w:id="38"/>
      <w:bookmarkEnd w:id="39"/>
      <w:bookmarkEnd w:id="40"/>
    </w:p>
    <w:p w:rsidR="008E7846" w:rsidRPr="007970A4" w:rsidRDefault="008E7846" w:rsidP="007970A4">
      <w:pPr>
        <w:pStyle w:val="Heading3"/>
      </w:pPr>
      <w:bookmarkStart w:id="41" w:name="_Toc247691511"/>
      <w:bookmarkStart w:id="42" w:name="_Toc314842495"/>
      <w:bookmarkStart w:id="43" w:name="_Toc404068923"/>
      <w:r>
        <w:t>Introduction</w:t>
      </w:r>
      <w:bookmarkEnd w:id="41"/>
      <w:bookmarkEnd w:id="42"/>
      <w:bookmarkEnd w:id="43"/>
    </w:p>
    <w:p w:rsidR="00206A83" w:rsidRDefault="00206A83" w:rsidP="007970A4">
      <w:r>
        <w:t xml:space="preserve">The quality of the nonclinical dossier for </w:t>
      </w:r>
      <w:r w:rsidRPr="00206A83">
        <w:t>Alprolix</w:t>
      </w:r>
      <w:r w:rsidR="001F34B6">
        <w:t xml:space="preserve"> was generally satisfactory. </w:t>
      </w:r>
      <w:r>
        <w:t xml:space="preserve">Most submitted studies were performed according to </w:t>
      </w:r>
      <w:r w:rsidR="00B9017D">
        <w:t>Good Laboratory Practice (</w:t>
      </w:r>
      <w:r>
        <w:t>GLP</w:t>
      </w:r>
      <w:r w:rsidR="00B9017D">
        <w:t>)</w:t>
      </w:r>
      <w:r>
        <w:t xml:space="preserve"> and followed protocols consistent with the</w:t>
      </w:r>
      <w:r w:rsidRPr="00B9017D">
        <w:t xml:space="preserve"> </w:t>
      </w:r>
      <w:r w:rsidR="00B9017D" w:rsidRPr="00B9017D">
        <w:t xml:space="preserve">International Conference on Harmonisation of Technical Requirements for Registration of Pharmaceuticals for Human Use </w:t>
      </w:r>
      <w:r w:rsidR="00B9017D">
        <w:rPr>
          <w:rFonts w:ascii="Arial" w:hAnsi="Arial" w:cs="Arial"/>
          <w:color w:val="444444"/>
          <w:sz w:val="18"/>
          <w:szCs w:val="18"/>
          <w:shd w:val="clear" w:color="auto" w:fill="FFFFFF"/>
        </w:rPr>
        <w:t>(</w:t>
      </w:r>
      <w:r>
        <w:t>ICH</w:t>
      </w:r>
      <w:r w:rsidR="00B9017D">
        <w:t>)</w:t>
      </w:r>
      <w:r>
        <w:t xml:space="preserve"> </w:t>
      </w:r>
      <w:r w:rsidR="0066696F">
        <w:t>G</w:t>
      </w:r>
      <w:r w:rsidR="0066696F" w:rsidRPr="0066696F">
        <w:t xml:space="preserve">uideline </w:t>
      </w:r>
      <w:r w:rsidR="0066696F" w:rsidRPr="0066696F">
        <w:rPr>
          <w:i/>
        </w:rPr>
        <w:t>S6 (R1) – preclinical safety evaluation of biotechnology-derived pharmaceuticals</w:t>
      </w:r>
      <w:r w:rsidR="0066696F">
        <w:t xml:space="preserve"> </w:t>
      </w:r>
      <w:r>
        <w:t>(</w:t>
      </w:r>
      <w:r w:rsidR="0066696F" w:rsidRPr="0066696F">
        <w:t>CHMP/ICH/731268/1998</w:t>
      </w:r>
      <w:r>
        <w:t xml:space="preserve">). There is currently another recombinant human FIX product with marketing approval in Australia, </w:t>
      </w:r>
      <w:proofErr w:type="spellStart"/>
      <w:r w:rsidR="001908ED">
        <w:t>BeneFIX</w:t>
      </w:r>
      <w:proofErr w:type="spellEnd"/>
      <w:r w:rsidR="00840A9A">
        <w:t xml:space="preserve"> </w:t>
      </w:r>
      <w:r>
        <w:t>(</w:t>
      </w:r>
      <w:proofErr w:type="spellStart"/>
      <w:r>
        <w:t>nonacog</w:t>
      </w:r>
      <w:proofErr w:type="spellEnd"/>
      <w:r>
        <w:t xml:space="preserve"> </w:t>
      </w:r>
      <w:proofErr w:type="spellStart"/>
      <w:r>
        <w:t>alfa</w:t>
      </w:r>
      <w:proofErr w:type="spellEnd"/>
      <w:r>
        <w:t xml:space="preserve">, </w:t>
      </w:r>
      <w:proofErr w:type="spellStart"/>
      <w:r>
        <w:t>rch</w:t>
      </w:r>
      <w:proofErr w:type="spellEnd"/>
      <w:r>
        <w:t xml:space="preserve">), also indicated for control and prevention of bleeding in haemophilia B patients. Because the one factor distinguishing </w:t>
      </w:r>
      <w:proofErr w:type="spellStart"/>
      <w:r w:rsidR="00840A9A">
        <w:t>Alprolix</w:t>
      </w:r>
      <w:proofErr w:type="spellEnd"/>
      <w:r>
        <w:t xml:space="preserve"> over </w:t>
      </w:r>
      <w:proofErr w:type="spellStart"/>
      <w:r w:rsidR="001908ED">
        <w:t>BeneFIX</w:t>
      </w:r>
      <w:proofErr w:type="spellEnd"/>
      <w:r>
        <w:t xml:space="preserve"> is its prolonged clotting activity arising from the presence of the Fc fusion protein, a focus of this submission was to compare the pharmacodynamic (clotting efficacy) and pharmacokinetic </w:t>
      </w:r>
      <w:r w:rsidR="00463620">
        <w:t xml:space="preserve">(PK) </w:t>
      </w:r>
      <w:r>
        <w:t>attributes (elimination half</w:t>
      </w:r>
      <w:r w:rsidR="00B052A8">
        <w:t>-</w:t>
      </w:r>
      <w:r>
        <w:t>life) of the two products. All animal studies used the clinical route of administration</w:t>
      </w:r>
      <w:r w:rsidR="00853686">
        <w:t xml:space="preserve"> (IV)</w:t>
      </w:r>
      <w:r>
        <w:t>. A number of repeat</w:t>
      </w:r>
      <w:r w:rsidR="00240A08">
        <w:t xml:space="preserve"> </w:t>
      </w:r>
      <w:r>
        <w:t xml:space="preserve">dose toxicity studies were conducted in rats and monkeys, regarded as species pharmacologically responsive to </w:t>
      </w:r>
      <w:proofErr w:type="spellStart"/>
      <w:r>
        <w:t>rFIXFc</w:t>
      </w:r>
      <w:proofErr w:type="spellEnd"/>
      <w:r>
        <w:t xml:space="preserve"> (expression of the </w:t>
      </w:r>
      <w:proofErr w:type="spellStart"/>
      <w:r>
        <w:t>FcRn</w:t>
      </w:r>
      <w:proofErr w:type="spellEnd"/>
      <w:r>
        <w:t xml:space="preserve"> receptor which binds with Fc is conserved across many species</w:t>
      </w:r>
      <w:r w:rsidR="00853686">
        <w:rPr>
          <w:rStyle w:val="FootnoteReference"/>
        </w:rPr>
        <w:footnoteReference w:id="3"/>
      </w:r>
      <w:r w:rsidR="00853686">
        <w:t>)</w:t>
      </w:r>
      <w:r>
        <w:t>. Determination of safety pharmacology parameters were also intended to be incorporated into these studies. As such, no dedicated safe</w:t>
      </w:r>
      <w:r w:rsidR="00FE77A5">
        <w:t xml:space="preserve">ty pharmacology studies on </w:t>
      </w:r>
      <w:proofErr w:type="spellStart"/>
      <w:r w:rsidR="00FE77A5">
        <w:t>rFIX</w:t>
      </w:r>
      <w:r>
        <w:t>Fc</w:t>
      </w:r>
      <w:proofErr w:type="spellEnd"/>
      <w:r>
        <w:t xml:space="preserve"> were conducted. All repeat dose toxicity studies </w:t>
      </w:r>
      <w:r w:rsidR="00840A9A">
        <w:t xml:space="preserve">were </w:t>
      </w:r>
      <w:r>
        <w:t xml:space="preserve">also monitored for antibody development. </w:t>
      </w:r>
      <w:r w:rsidR="001436C1">
        <w:t>In addition</w:t>
      </w:r>
      <w:r>
        <w:t>, studies on local tolerance and the</w:t>
      </w:r>
      <w:r w:rsidR="00FE77A5">
        <w:t xml:space="preserve"> </w:t>
      </w:r>
      <w:proofErr w:type="spellStart"/>
      <w:r w:rsidR="00FE77A5">
        <w:t>thrombogenic</w:t>
      </w:r>
      <w:proofErr w:type="spellEnd"/>
      <w:r w:rsidR="00FE77A5">
        <w:t xml:space="preserve"> potential of </w:t>
      </w:r>
      <w:proofErr w:type="spellStart"/>
      <w:r w:rsidR="00FE77A5">
        <w:t>rFIX</w:t>
      </w:r>
      <w:r w:rsidR="007970A4">
        <w:t>Fc</w:t>
      </w:r>
      <w:proofErr w:type="spellEnd"/>
      <w:r w:rsidR="007970A4">
        <w:t xml:space="preserve"> were performed in rabbits.</w:t>
      </w:r>
    </w:p>
    <w:p w:rsidR="00206A83" w:rsidRPr="007970A4" w:rsidRDefault="00206A83" w:rsidP="007970A4">
      <w:pPr>
        <w:pStyle w:val="Heading4"/>
      </w:pPr>
      <w:r w:rsidRPr="00020C8D">
        <w:t>Comparability of manufactured batches</w:t>
      </w:r>
    </w:p>
    <w:p w:rsidR="00206A83" w:rsidRDefault="00206A83" w:rsidP="007970A4">
      <w:r>
        <w:t>A number of nonclinical comparability studies were conduct</w:t>
      </w:r>
      <w:r w:rsidR="00FE77A5">
        <w:t xml:space="preserve">ed on different batches of </w:t>
      </w:r>
      <w:proofErr w:type="spellStart"/>
      <w:r w:rsidR="00FE77A5">
        <w:t>rFIX</w:t>
      </w:r>
      <w:r>
        <w:t>Fc</w:t>
      </w:r>
      <w:proofErr w:type="spellEnd"/>
      <w:r>
        <w:t xml:space="preserve"> (</w:t>
      </w:r>
      <w:r w:rsidR="00912E16">
        <w:t xml:space="preserve">for example </w:t>
      </w:r>
      <w:r>
        <w:t>different manufacturing cell lines, liquid v</w:t>
      </w:r>
      <w:r w:rsidR="00840A9A">
        <w:t>ersus</w:t>
      </w:r>
      <w:r>
        <w:t xml:space="preserve"> lyophilised formulations, drug substance </w:t>
      </w:r>
      <w:r w:rsidRPr="00B052A8">
        <w:t>scale</w:t>
      </w:r>
      <w:r>
        <w:t xml:space="preserve">), which demonstrated comparable clotting activities, </w:t>
      </w:r>
      <w:r w:rsidR="00463620">
        <w:t xml:space="preserve">PK </w:t>
      </w:r>
      <w:r>
        <w:t>profiles</w:t>
      </w:r>
      <w:r w:rsidR="00853686">
        <w:t>,</w:t>
      </w:r>
      <w:r>
        <w:t xml:space="preserve"> tolerance</w:t>
      </w:r>
      <w:r w:rsidR="00853686">
        <w:t xml:space="preserve"> and </w:t>
      </w:r>
      <w:proofErr w:type="spellStart"/>
      <w:r>
        <w:t>thrombogenic</w:t>
      </w:r>
      <w:proofErr w:type="spellEnd"/>
      <w:r>
        <w:t xml:space="preserve"> potential. </w:t>
      </w:r>
      <w:r w:rsidR="00555564">
        <w:t>T</w:t>
      </w:r>
      <w:r>
        <w:t>hese batches were also used in the clinical studies.</w:t>
      </w:r>
    </w:p>
    <w:p w:rsidR="008E7846" w:rsidRPr="007970A4" w:rsidRDefault="008E7846" w:rsidP="007970A4">
      <w:pPr>
        <w:pStyle w:val="Heading3"/>
      </w:pPr>
      <w:bookmarkStart w:id="44" w:name="_Toc247691512"/>
      <w:bookmarkStart w:id="45" w:name="_Toc314842496"/>
      <w:bookmarkStart w:id="46" w:name="_Toc404068924"/>
      <w:r w:rsidRPr="00555564">
        <w:lastRenderedPageBreak/>
        <w:t>Pharmacology</w:t>
      </w:r>
      <w:bookmarkEnd w:id="44"/>
      <w:bookmarkEnd w:id="45"/>
      <w:bookmarkEnd w:id="46"/>
    </w:p>
    <w:p w:rsidR="00206A83" w:rsidRPr="00206A83" w:rsidRDefault="00206A83" w:rsidP="007970A4">
      <w:pPr>
        <w:pStyle w:val="Heading4"/>
      </w:pPr>
      <w:r w:rsidRPr="00A316C1">
        <w:t xml:space="preserve">Primary </w:t>
      </w:r>
      <w:r w:rsidRPr="007970A4">
        <w:t>pharmacology</w:t>
      </w:r>
    </w:p>
    <w:p w:rsidR="00206A83" w:rsidRDefault="00206A83" w:rsidP="007970A4">
      <w:r w:rsidRPr="00C16594">
        <w:t xml:space="preserve">A number of </w:t>
      </w:r>
      <w:r w:rsidRPr="00FA59A9">
        <w:t>in vitro</w:t>
      </w:r>
      <w:r w:rsidRPr="00C16594">
        <w:t xml:space="preserve"> and </w:t>
      </w:r>
      <w:r w:rsidRPr="00FA59A9">
        <w:t>in vivo</w:t>
      </w:r>
      <w:r w:rsidRPr="00C16594">
        <w:t xml:space="preserve"> primary pharmacology studies were </w:t>
      </w:r>
      <w:r>
        <w:t>submitted</w:t>
      </w:r>
      <w:r w:rsidRPr="00C16594">
        <w:t xml:space="preserve"> that examine</w:t>
      </w:r>
      <w:r w:rsidR="00FE77A5">
        <w:t xml:space="preserve">d efficacy and activity of </w:t>
      </w:r>
      <w:proofErr w:type="spellStart"/>
      <w:r w:rsidR="00FE77A5">
        <w:t>rFIX</w:t>
      </w:r>
      <w:r w:rsidRPr="00C16594">
        <w:t>Fc</w:t>
      </w:r>
      <w:proofErr w:type="spellEnd"/>
      <w:r w:rsidRPr="00C16594">
        <w:t>.</w:t>
      </w:r>
      <w:r w:rsidR="00FE77A5">
        <w:t xml:space="preserve"> Effects of </w:t>
      </w:r>
      <w:proofErr w:type="spellStart"/>
      <w:r w:rsidR="00FE77A5">
        <w:t>rFIX</w:t>
      </w:r>
      <w:r>
        <w:t>Fc</w:t>
      </w:r>
      <w:proofErr w:type="spellEnd"/>
      <w:r>
        <w:t xml:space="preserve"> were compared with </w:t>
      </w:r>
      <w:proofErr w:type="spellStart"/>
      <w:r w:rsidR="001908ED">
        <w:t>BeneFIX</w:t>
      </w:r>
      <w:proofErr w:type="spellEnd"/>
      <w:r>
        <w:t xml:space="preserve"> (recombinant human FIX without Fc subunit). </w:t>
      </w:r>
      <w:r w:rsidR="00FE77A5">
        <w:t xml:space="preserve">Using human platelets, </w:t>
      </w:r>
      <w:proofErr w:type="spellStart"/>
      <w:r w:rsidR="00FE77A5">
        <w:t>rFIX</w:t>
      </w:r>
      <w:r w:rsidRPr="00971707">
        <w:t>Fc</w:t>
      </w:r>
      <w:proofErr w:type="spellEnd"/>
      <w:r w:rsidRPr="00971707">
        <w:t xml:space="preserve"> and </w:t>
      </w:r>
      <w:proofErr w:type="spellStart"/>
      <w:r w:rsidR="001908ED">
        <w:t>BeneFIX</w:t>
      </w:r>
      <w:proofErr w:type="spellEnd"/>
      <w:r w:rsidRPr="00971707">
        <w:t xml:space="preserve"> both formed the </w:t>
      </w:r>
      <w:proofErr w:type="spellStart"/>
      <w:r w:rsidRPr="00971707">
        <w:t>tenase</w:t>
      </w:r>
      <w:proofErr w:type="spellEnd"/>
      <w:r w:rsidRPr="00971707">
        <w:t xml:space="preserve"> complex (</w:t>
      </w:r>
      <w:r w:rsidR="00B32F1A">
        <w:t>that is,</w:t>
      </w:r>
      <w:r w:rsidRPr="00971707">
        <w:t xml:space="preserve"> interacted with F</w:t>
      </w:r>
      <w:r w:rsidR="00853686">
        <w:t xml:space="preserve">actor </w:t>
      </w:r>
      <w:proofErr w:type="spellStart"/>
      <w:r w:rsidRPr="00971707">
        <w:t>VIIIa</w:t>
      </w:r>
      <w:proofErr w:type="spellEnd"/>
      <w:r w:rsidRPr="00971707">
        <w:t>) and generated activated F</w:t>
      </w:r>
      <w:r w:rsidR="00853686">
        <w:t xml:space="preserve">actor </w:t>
      </w:r>
      <w:r w:rsidRPr="00971707">
        <w:t>X (</w:t>
      </w:r>
      <w:proofErr w:type="spellStart"/>
      <w:r w:rsidRPr="00971707">
        <w:t>FXa</w:t>
      </w:r>
      <w:proofErr w:type="spellEnd"/>
      <w:r w:rsidRPr="00971707">
        <w:t>) to similar extents</w:t>
      </w:r>
      <w:r w:rsidR="00853686">
        <w:t>.</w:t>
      </w:r>
      <w:r w:rsidRPr="00971707">
        <w:t xml:space="preserve"> Activ</w:t>
      </w:r>
      <w:r w:rsidR="00FE77A5">
        <w:t xml:space="preserve">ity was slightly lower for </w:t>
      </w:r>
      <w:proofErr w:type="spellStart"/>
      <w:r w:rsidR="00FE77A5">
        <w:t>rFIX</w:t>
      </w:r>
      <w:r w:rsidRPr="00971707">
        <w:t>Fc</w:t>
      </w:r>
      <w:proofErr w:type="spellEnd"/>
      <w:r w:rsidRPr="00971707">
        <w:t xml:space="preserve"> than </w:t>
      </w:r>
      <w:proofErr w:type="spellStart"/>
      <w:r w:rsidR="001908ED">
        <w:t>BeneFIX</w:t>
      </w:r>
      <w:proofErr w:type="spellEnd"/>
      <w:r w:rsidRPr="00971707">
        <w:t xml:space="preserve"> (as </w:t>
      </w:r>
      <w:proofErr w:type="spellStart"/>
      <w:r w:rsidRPr="00971707">
        <w:t>FXIa</w:t>
      </w:r>
      <w:proofErr w:type="spellEnd"/>
      <w:r w:rsidRPr="00971707">
        <w:t xml:space="preserve"> activation: 89% c</w:t>
      </w:r>
      <w:r w:rsidR="00555564">
        <w:t xml:space="preserve">ompared to </w:t>
      </w:r>
      <w:r w:rsidRPr="00971707">
        <w:t xml:space="preserve">97%, respectively) but this was attributed to a stoichiometric consideration related to the </w:t>
      </w:r>
      <w:r w:rsidR="00FE77A5">
        <w:t xml:space="preserve">higher molecular weight of </w:t>
      </w:r>
      <w:proofErr w:type="spellStart"/>
      <w:r w:rsidR="00FE77A5">
        <w:t>rFIX</w:t>
      </w:r>
      <w:r w:rsidRPr="00971707">
        <w:t>Fc</w:t>
      </w:r>
      <w:proofErr w:type="spellEnd"/>
      <w:r w:rsidRPr="00971707">
        <w:t xml:space="preserve"> compared to </w:t>
      </w:r>
      <w:proofErr w:type="spellStart"/>
      <w:r w:rsidR="001908ED">
        <w:t>BeneFIX</w:t>
      </w:r>
      <w:proofErr w:type="spellEnd"/>
      <w:r w:rsidRPr="00971707">
        <w:t>.</w:t>
      </w:r>
      <w:r>
        <w:t xml:space="preserve"> Surface Plasmon Resonance techniques</w:t>
      </w:r>
      <w:r w:rsidR="00A53F20">
        <w:t xml:space="preserve"> confirmed binding between </w:t>
      </w:r>
      <w:proofErr w:type="spellStart"/>
      <w:r w:rsidR="00A53F20">
        <w:t>rFIX</w:t>
      </w:r>
      <w:r>
        <w:t>Fc</w:t>
      </w:r>
      <w:proofErr w:type="spellEnd"/>
      <w:r>
        <w:t xml:space="preserve"> and the </w:t>
      </w:r>
      <w:proofErr w:type="spellStart"/>
      <w:r>
        <w:t>FcRn</w:t>
      </w:r>
      <w:proofErr w:type="spellEnd"/>
      <w:r>
        <w:t xml:space="preserve"> from various species (receptor</w:t>
      </w:r>
      <w:r w:rsidR="00555564">
        <w:t xml:space="preserve"> affinity calculated as </w:t>
      </w:r>
      <w:r w:rsidR="001908ED">
        <w:t xml:space="preserve">half </w:t>
      </w:r>
      <w:r w:rsidR="00853686">
        <w:t>maximal effective concentration</w:t>
      </w:r>
      <w:r>
        <w:t xml:space="preserve"> </w:t>
      </w:r>
      <w:r w:rsidR="00853686">
        <w:t>(</w:t>
      </w:r>
      <w:r>
        <w:t>EC</w:t>
      </w:r>
      <w:r>
        <w:rPr>
          <w:vertAlign w:val="subscript"/>
        </w:rPr>
        <w:t>5</w:t>
      </w:r>
      <w:r w:rsidR="00555564">
        <w:rPr>
          <w:vertAlign w:val="subscript"/>
        </w:rPr>
        <w:t>0</w:t>
      </w:r>
      <w:r w:rsidR="00853686" w:rsidRPr="00853686">
        <w:t>)</w:t>
      </w:r>
      <w:r w:rsidR="001908ED">
        <w:t>:</w:t>
      </w:r>
      <w:r>
        <w:t xml:space="preserve"> rat 49 </w:t>
      </w:r>
      <w:proofErr w:type="spellStart"/>
      <w:r>
        <w:t>nM</w:t>
      </w:r>
      <w:proofErr w:type="spellEnd"/>
      <w:r>
        <w:t xml:space="preserve">, monkey 318 </w:t>
      </w:r>
      <w:proofErr w:type="spellStart"/>
      <w:r>
        <w:t>nM</w:t>
      </w:r>
      <w:proofErr w:type="spellEnd"/>
      <w:r>
        <w:t xml:space="preserve"> and human 235 </w:t>
      </w:r>
      <w:proofErr w:type="spellStart"/>
      <w:r>
        <w:t>nM</w:t>
      </w:r>
      <w:proofErr w:type="spellEnd"/>
      <w:r>
        <w:t>), thus validating the use of rats and mo</w:t>
      </w:r>
      <w:r w:rsidR="007970A4">
        <w:t>nkeys for the toxicity studies.</w:t>
      </w:r>
    </w:p>
    <w:p w:rsidR="00206A83" w:rsidRPr="00CE6989" w:rsidRDefault="00206A83" w:rsidP="007970A4">
      <w:r w:rsidRPr="00CE6989">
        <w:t xml:space="preserve">For the </w:t>
      </w:r>
      <w:r w:rsidRPr="00DA7D40">
        <w:t>in vivo</w:t>
      </w:r>
      <w:r w:rsidRPr="00CE6989">
        <w:t xml:space="preserve"> studies, the acute and </w:t>
      </w:r>
      <w:r w:rsidR="00FE77A5">
        <w:t xml:space="preserve">prophylactic efficacies of </w:t>
      </w:r>
      <w:proofErr w:type="spellStart"/>
      <w:r w:rsidR="00FE77A5">
        <w:t>rFIX</w:t>
      </w:r>
      <w:r w:rsidRPr="00CE6989">
        <w:t>Fc</w:t>
      </w:r>
      <w:proofErr w:type="spellEnd"/>
      <w:r w:rsidRPr="00CE6989">
        <w:t xml:space="preserve"> and </w:t>
      </w:r>
      <w:proofErr w:type="spellStart"/>
      <w:r w:rsidRPr="00CE6989">
        <w:t>BeneFIX</w:t>
      </w:r>
      <w:proofErr w:type="spellEnd"/>
      <w:r w:rsidRPr="00CE6989">
        <w:t xml:space="preserve"> were compared against induced bleeds in mouse and dog models of haemophilia B (Hem B mice and Hem B dogs</w:t>
      </w:r>
      <w:r w:rsidR="00853686">
        <w:t xml:space="preserve">, which are </w:t>
      </w:r>
      <w:r w:rsidRPr="00CE6989">
        <w:t>FIX deficient). Clotting times in an acute bleeding mo</w:t>
      </w:r>
      <w:r w:rsidR="00FE77A5">
        <w:t xml:space="preserve">use model were similar for </w:t>
      </w:r>
      <w:proofErr w:type="spellStart"/>
      <w:r w:rsidR="00FE77A5">
        <w:t>rFIX</w:t>
      </w:r>
      <w:r w:rsidRPr="00CE6989">
        <w:t>Fc</w:t>
      </w:r>
      <w:proofErr w:type="spellEnd"/>
      <w:r w:rsidRPr="00CE6989">
        <w:t xml:space="preserve"> and </w:t>
      </w:r>
      <w:proofErr w:type="spellStart"/>
      <w:r w:rsidRPr="00CE6989">
        <w:t>BeneFIX</w:t>
      </w:r>
      <w:proofErr w:type="spellEnd"/>
      <w:r w:rsidRPr="00CE6989">
        <w:t>; although onset of activity was qu</w:t>
      </w:r>
      <w:r w:rsidR="00FE77A5">
        <w:t xml:space="preserve">icker for </w:t>
      </w:r>
      <w:proofErr w:type="spellStart"/>
      <w:r w:rsidR="00FE77A5">
        <w:t>BeneFIX</w:t>
      </w:r>
      <w:proofErr w:type="spellEnd"/>
      <w:r w:rsidR="00FE77A5">
        <w:t xml:space="preserve"> than for </w:t>
      </w:r>
      <w:proofErr w:type="spellStart"/>
      <w:r w:rsidR="00FE77A5">
        <w:t>rFIX</w:t>
      </w:r>
      <w:r w:rsidRPr="00CE6989">
        <w:t>Fc</w:t>
      </w:r>
      <w:proofErr w:type="spellEnd"/>
      <w:r w:rsidRPr="00CE6989">
        <w:t>. Sustained clotting</w:t>
      </w:r>
      <w:r w:rsidR="00A53F20">
        <w:t xml:space="preserve"> activity was evident with </w:t>
      </w:r>
      <w:proofErr w:type="spellStart"/>
      <w:r w:rsidR="00A53F20">
        <w:t>rFIX</w:t>
      </w:r>
      <w:r w:rsidRPr="00CE6989">
        <w:t>Fc</w:t>
      </w:r>
      <w:proofErr w:type="spellEnd"/>
      <w:r w:rsidRPr="00CE6989">
        <w:t xml:space="preserve"> at 96 h but was below the limit of detection with </w:t>
      </w:r>
      <w:proofErr w:type="spellStart"/>
      <w:r w:rsidRPr="00CE6989">
        <w:t>BeneFIX</w:t>
      </w:r>
      <w:proofErr w:type="spellEnd"/>
      <w:r w:rsidRPr="00CE6989">
        <w:t xml:space="preserve"> by this time. With re</w:t>
      </w:r>
      <w:r w:rsidR="00FE77A5">
        <w:t xml:space="preserve">spect to prophylaxis, both </w:t>
      </w:r>
      <w:proofErr w:type="spellStart"/>
      <w:r w:rsidR="00FE77A5">
        <w:t>rFIX</w:t>
      </w:r>
      <w:r w:rsidRPr="00CE6989">
        <w:t>Fc</w:t>
      </w:r>
      <w:proofErr w:type="spellEnd"/>
      <w:r w:rsidRPr="00CE6989">
        <w:t xml:space="preserve"> and </w:t>
      </w:r>
      <w:proofErr w:type="spellStart"/>
      <w:r w:rsidRPr="00CE6989">
        <w:t>BeneFIX</w:t>
      </w:r>
      <w:proofErr w:type="spellEnd"/>
      <w:r w:rsidRPr="00CE6989">
        <w:t xml:space="preserve"> caused dose</w:t>
      </w:r>
      <w:r w:rsidR="006B51D8">
        <w:t xml:space="preserve"> </w:t>
      </w:r>
      <w:r w:rsidRPr="00CE6989">
        <w:t>dependent increases in re</w:t>
      </w:r>
      <w:r w:rsidRPr="002E5D21">
        <w:t>-</w:t>
      </w:r>
      <w:r w:rsidRPr="00CE6989">
        <w:t xml:space="preserve">bleeding times (reflecting improvements in clotting function) in </w:t>
      </w:r>
      <w:proofErr w:type="spellStart"/>
      <w:r w:rsidRPr="00CE6989">
        <w:t>HemB</w:t>
      </w:r>
      <w:proofErr w:type="spellEnd"/>
      <w:r w:rsidRPr="00CE6989">
        <w:t xml:space="preserve"> mice, which correlated to improved survival rates and higher plasma FIX levels, with </w:t>
      </w:r>
      <w:r w:rsidR="00853686">
        <w:t>h</w:t>
      </w:r>
      <w:r w:rsidR="00853686" w:rsidRPr="00853686">
        <w:t xml:space="preserve">alf maximal effective dose </w:t>
      </w:r>
      <w:r w:rsidR="00853686">
        <w:t>(</w:t>
      </w:r>
      <w:r w:rsidRPr="00CE6989">
        <w:t>ED</w:t>
      </w:r>
      <w:r w:rsidRPr="00CE6989">
        <w:rPr>
          <w:vertAlign w:val="subscript"/>
        </w:rPr>
        <w:t>50</w:t>
      </w:r>
      <w:r w:rsidR="00853686">
        <w:t xml:space="preserve">) </w:t>
      </w:r>
      <w:r w:rsidRPr="00CE6989">
        <w:t>values extrapo</w:t>
      </w:r>
      <w:r w:rsidR="00FE77A5">
        <w:t>lated from survival rates (</w:t>
      </w:r>
      <w:proofErr w:type="spellStart"/>
      <w:r w:rsidR="00FE77A5">
        <w:t>rFIX</w:t>
      </w:r>
      <w:r w:rsidRPr="00CE6989">
        <w:t>Fc</w:t>
      </w:r>
      <w:proofErr w:type="spellEnd"/>
      <w:r w:rsidR="00853686">
        <w:t>:</w:t>
      </w:r>
      <w:r w:rsidRPr="00CE6989">
        <w:t xml:space="preserve"> 17.8 IU/kg; </w:t>
      </w:r>
      <w:proofErr w:type="spellStart"/>
      <w:r w:rsidRPr="00CE6989">
        <w:t>BeneFIX</w:t>
      </w:r>
      <w:proofErr w:type="spellEnd"/>
      <w:r w:rsidR="00853686">
        <w:t>:</w:t>
      </w:r>
      <w:r w:rsidRPr="00CE6989">
        <w:t xml:space="preserve"> 15.4 IU/kg). Similarly</w:t>
      </w:r>
      <w:r w:rsidR="00FE77A5">
        <w:t xml:space="preserve">, Hem B dogs that received </w:t>
      </w:r>
      <w:proofErr w:type="spellStart"/>
      <w:r w:rsidR="00FE77A5">
        <w:t>rFIX</w:t>
      </w:r>
      <w:r w:rsidRPr="00CE6989">
        <w:t>Fc</w:t>
      </w:r>
      <w:proofErr w:type="spellEnd"/>
      <w:r w:rsidRPr="00CE6989">
        <w:t xml:space="preserve"> (140 IU/kg, IV) demonstrated sustained clotting activity at up to 144 h</w:t>
      </w:r>
      <w:r w:rsidR="00463620">
        <w:t xml:space="preserve"> </w:t>
      </w:r>
      <w:r w:rsidRPr="00CE6989">
        <w:t>post</w:t>
      </w:r>
      <w:r w:rsidR="00B3578C">
        <w:t xml:space="preserve"> </w:t>
      </w:r>
      <w:r w:rsidRPr="00CE6989">
        <w:t>dose, with clotting activity returning to pre</w:t>
      </w:r>
      <w:r w:rsidR="00B3578C">
        <w:noBreakHyphen/>
      </w:r>
      <w:r w:rsidR="007970A4">
        <w:t>dose levels by 168 h.</w:t>
      </w:r>
    </w:p>
    <w:p w:rsidR="00206A83" w:rsidRPr="007970A4" w:rsidRDefault="00206A83" w:rsidP="007970A4">
      <w:pPr>
        <w:pStyle w:val="Heading4"/>
      </w:pPr>
      <w:r w:rsidRPr="009F11DC">
        <w:t>Secondary pharmacodynamics and safety pharmacology</w:t>
      </w:r>
    </w:p>
    <w:p w:rsidR="00206A83" w:rsidRPr="00CD49FC" w:rsidRDefault="00206A83" w:rsidP="007970A4">
      <w:r>
        <w:t>The sponsor did not conduct any secondary pharmacology studies or dedicated safety pharmaco</w:t>
      </w:r>
      <w:r w:rsidR="00A53F20">
        <w:t xml:space="preserve">logy investigations. Since </w:t>
      </w:r>
      <w:proofErr w:type="spellStart"/>
      <w:r w:rsidR="00A53F20">
        <w:t>rFIX</w:t>
      </w:r>
      <w:r>
        <w:t>Fc</w:t>
      </w:r>
      <w:proofErr w:type="spellEnd"/>
      <w:r>
        <w:t xml:space="preserve"> is intended as a replacement therapy for restoring deficient FIX to normal levels, secondary pharmacology studies were not deemed necessary. Effects on the cardiovascular system were assessed in the GLP repeat dose toxicity studies in cynomolgus monkeys. While no treatment</w:t>
      </w:r>
      <w:r w:rsidR="006B51D8">
        <w:t xml:space="preserve"> </w:t>
      </w:r>
      <w:r>
        <w:t xml:space="preserve">related effects on heart rate or </w:t>
      </w:r>
      <w:r w:rsidR="00155B2C">
        <w:t>e</w:t>
      </w:r>
      <w:r w:rsidR="005D0C6C">
        <w:t>lectrocardiogram (</w:t>
      </w:r>
      <w:r>
        <w:t>ECG</w:t>
      </w:r>
      <w:r w:rsidR="005D0C6C">
        <w:t>)</w:t>
      </w:r>
      <w:r>
        <w:t xml:space="preserve"> were reported in either the 5 week or 27 week study, actual details were not provided with the studies and were based on narrative assurances provided in the veterinarian report. Nevertheless, in the repeat dose toxicity studies, </w:t>
      </w:r>
      <w:r w:rsidRPr="00912E16">
        <w:t xml:space="preserve">which </w:t>
      </w:r>
      <w:r w:rsidR="00155B2C">
        <w:t xml:space="preserve">the evaluator considered </w:t>
      </w:r>
      <w:r w:rsidRPr="00912E16">
        <w:t xml:space="preserve">did not address core safety pharmacology </w:t>
      </w:r>
      <w:proofErr w:type="gramStart"/>
      <w:r w:rsidRPr="00912E16">
        <w:t>systems,</w:t>
      </w:r>
      <w:proofErr w:type="gramEnd"/>
      <w:r>
        <w:t xml:space="preserve"> there were no overt treatment</w:t>
      </w:r>
      <w:r w:rsidR="006B51D8">
        <w:t xml:space="preserve"> </w:t>
      </w:r>
      <w:r>
        <w:t>related effects that would suggest a specific effect on organ systems. The potential for thrombus formati</w:t>
      </w:r>
      <w:r w:rsidR="00A53F20">
        <w:t xml:space="preserve">on in rabbits was low with </w:t>
      </w:r>
      <w:proofErr w:type="spellStart"/>
      <w:r w:rsidR="00A53F20">
        <w:t>rFIX</w:t>
      </w:r>
      <w:r>
        <w:t>Fc</w:t>
      </w:r>
      <w:proofErr w:type="spellEnd"/>
      <w:r>
        <w:t xml:space="preserve"> treatment being comparable to or less than that seen with </w:t>
      </w:r>
      <w:proofErr w:type="spellStart"/>
      <w:r>
        <w:t>BeneFIX</w:t>
      </w:r>
      <w:proofErr w:type="spellEnd"/>
      <w:r>
        <w:t xml:space="preserve"> and saline.</w:t>
      </w:r>
    </w:p>
    <w:p w:rsidR="008E7846" w:rsidRPr="007970A4" w:rsidRDefault="008E7846" w:rsidP="007970A4">
      <w:pPr>
        <w:pStyle w:val="Heading3"/>
      </w:pPr>
      <w:bookmarkStart w:id="47" w:name="_Toc247691513"/>
      <w:bookmarkStart w:id="48" w:name="_Toc314842497"/>
      <w:bookmarkStart w:id="49" w:name="_Toc404068925"/>
      <w:r w:rsidRPr="003E71EB">
        <w:t>Pharmacokinetics</w:t>
      </w:r>
      <w:bookmarkEnd w:id="47"/>
      <w:bookmarkEnd w:id="48"/>
      <w:bookmarkEnd w:id="49"/>
    </w:p>
    <w:p w:rsidR="00206A83" w:rsidRDefault="00206A83" w:rsidP="007970A4">
      <w:bookmarkStart w:id="50" w:name="_Toc247691514"/>
      <w:bookmarkStart w:id="51" w:name="_Toc314842498"/>
      <w:r>
        <w:t xml:space="preserve">In mice and rats different </w:t>
      </w:r>
      <w:r w:rsidR="00463620">
        <w:t xml:space="preserve">PK </w:t>
      </w:r>
      <w:r w:rsidR="00A53F20">
        <w:t xml:space="preserve">profiles of </w:t>
      </w:r>
      <w:proofErr w:type="spellStart"/>
      <w:r w:rsidR="00A53F20">
        <w:t>rFIX</w:t>
      </w:r>
      <w:r>
        <w:t>Fc</w:t>
      </w:r>
      <w:proofErr w:type="spellEnd"/>
      <w:r>
        <w:t xml:space="preserve"> and </w:t>
      </w:r>
      <w:proofErr w:type="spellStart"/>
      <w:r>
        <w:t>BeneFIX</w:t>
      </w:r>
      <w:proofErr w:type="spellEnd"/>
      <w:r>
        <w:t xml:space="preserve"> were demonstrated with elimination half</w:t>
      </w:r>
      <w:r w:rsidR="00B052A8">
        <w:t>-</w:t>
      </w:r>
      <w:r>
        <w:t xml:space="preserve">lives and plasma levels (as </w:t>
      </w:r>
      <w:r w:rsidR="00020C8D">
        <w:t xml:space="preserve">Area </w:t>
      </w:r>
      <w:proofErr w:type="gramStart"/>
      <w:r w:rsidR="00020C8D">
        <w:t>Under</w:t>
      </w:r>
      <w:proofErr w:type="gramEnd"/>
      <w:r w:rsidR="00020C8D">
        <w:t xml:space="preserve"> the Concentration versus Time Curve; </w:t>
      </w:r>
      <w:r>
        <w:t>AUC) s</w:t>
      </w:r>
      <w:r w:rsidR="00A53F20">
        <w:t xml:space="preserve">ubstantially higher in the </w:t>
      </w:r>
      <w:proofErr w:type="spellStart"/>
      <w:r w:rsidR="00A53F20">
        <w:t>rFIX</w:t>
      </w:r>
      <w:r>
        <w:t>Fc</w:t>
      </w:r>
      <w:proofErr w:type="spellEnd"/>
      <w:r>
        <w:t xml:space="preserve"> treated cohorts than in animals that received </w:t>
      </w:r>
      <w:proofErr w:type="spellStart"/>
      <w:r>
        <w:t>BeneFIX</w:t>
      </w:r>
      <w:proofErr w:type="spellEnd"/>
      <w:r>
        <w:t xml:space="preserve">. On the other hand, </w:t>
      </w:r>
      <w:r w:rsidR="0030781A">
        <w:t>half-lives</w:t>
      </w:r>
      <w:r w:rsidR="00A53F20">
        <w:t xml:space="preserve"> of </w:t>
      </w:r>
      <w:proofErr w:type="spellStart"/>
      <w:r w:rsidR="00A53F20">
        <w:t>rFIX</w:t>
      </w:r>
      <w:r>
        <w:t>Fc</w:t>
      </w:r>
      <w:proofErr w:type="spellEnd"/>
      <w:r>
        <w:t xml:space="preserve"> and </w:t>
      </w:r>
      <w:proofErr w:type="spellStart"/>
      <w:r>
        <w:t>BeneFIX</w:t>
      </w:r>
      <w:proofErr w:type="spellEnd"/>
      <w:r>
        <w:t xml:space="preserve"> were similar in mice that lacked expression of the </w:t>
      </w:r>
      <w:proofErr w:type="spellStart"/>
      <w:r>
        <w:t>FcRn</w:t>
      </w:r>
      <w:proofErr w:type="spellEnd"/>
      <w:r>
        <w:t xml:space="preserve"> receptor (</w:t>
      </w:r>
      <w:proofErr w:type="spellStart"/>
      <w:r>
        <w:t>FcRn</w:t>
      </w:r>
      <w:proofErr w:type="spellEnd"/>
      <w:r>
        <w:t xml:space="preserve"> KO), confirming a role of this receptor in the pro</w:t>
      </w:r>
      <w:r w:rsidR="00A53F20">
        <w:t xml:space="preserve">longed half-life seen with </w:t>
      </w:r>
      <w:proofErr w:type="spellStart"/>
      <w:r w:rsidR="00A53F20">
        <w:t>rFIX</w:t>
      </w:r>
      <w:r>
        <w:t>Fc</w:t>
      </w:r>
      <w:proofErr w:type="spellEnd"/>
      <w:r>
        <w:t xml:space="preserve">. Transgenic mice expressing human </w:t>
      </w:r>
      <w:proofErr w:type="spellStart"/>
      <w:r>
        <w:t>FcRn</w:t>
      </w:r>
      <w:proofErr w:type="spellEnd"/>
      <w:r>
        <w:t xml:space="preserve"> also had a prolonged </w:t>
      </w:r>
      <w:r w:rsidR="002A6C42">
        <w:t xml:space="preserve">half-life </w:t>
      </w:r>
      <w:r w:rsidR="00A53F20">
        <w:t xml:space="preserve">with </w:t>
      </w:r>
      <w:proofErr w:type="spellStart"/>
      <w:r w:rsidR="00A53F20">
        <w:t>rFIX</w:t>
      </w:r>
      <w:r>
        <w:t>Fc</w:t>
      </w:r>
      <w:proofErr w:type="spellEnd"/>
      <w:r>
        <w:t>, suggesting this will be seen in patients. Elimination half-lives in animal species (23</w:t>
      </w:r>
      <w:r w:rsidR="006B51D8">
        <w:t xml:space="preserve"> to </w:t>
      </w:r>
      <w:r>
        <w:t xml:space="preserve">60 h; at least on </w:t>
      </w:r>
      <w:r w:rsidR="006B51D8">
        <w:t>D</w:t>
      </w:r>
      <w:r>
        <w:t>ay 1) were shorter than those seen in patients (96</w:t>
      </w:r>
      <w:r w:rsidR="006B51D8">
        <w:t xml:space="preserve"> to </w:t>
      </w:r>
      <w:r>
        <w:t>110 h).</w:t>
      </w:r>
      <w:r w:rsidR="00DE215B">
        <w:t xml:space="preserve"> </w:t>
      </w:r>
      <w:r w:rsidRPr="006A1895">
        <w:t>Plasma concent</w:t>
      </w:r>
      <w:r w:rsidR="00A53F20">
        <w:t xml:space="preserve">rations of </w:t>
      </w:r>
      <w:proofErr w:type="spellStart"/>
      <w:r w:rsidR="00A53F20">
        <w:t>rFIX</w:t>
      </w:r>
      <w:r w:rsidRPr="006A1895">
        <w:t>Fc</w:t>
      </w:r>
      <w:proofErr w:type="spellEnd"/>
      <w:r w:rsidRPr="006A1895">
        <w:t xml:space="preserve"> (as </w:t>
      </w:r>
      <w:r w:rsidRPr="00912E16">
        <w:t xml:space="preserve">either </w:t>
      </w:r>
      <w:r w:rsidR="00DE215B" w:rsidRPr="00912E16">
        <w:t xml:space="preserve">maximum concentration </w:t>
      </w:r>
      <w:r w:rsidR="00463620">
        <w:lastRenderedPageBreak/>
        <w:t>(</w:t>
      </w:r>
      <w:r w:rsidRPr="00912E16">
        <w:t>C</w:t>
      </w:r>
      <w:r w:rsidR="00550A43" w:rsidRPr="00912E16">
        <w:rPr>
          <w:vertAlign w:val="subscript"/>
        </w:rPr>
        <w:t>max</w:t>
      </w:r>
      <w:r w:rsidR="00463620">
        <w:t>)</w:t>
      </w:r>
      <w:r w:rsidR="00550A43" w:rsidRPr="00912E16">
        <w:t xml:space="preserve"> o</w:t>
      </w:r>
      <w:r w:rsidRPr="00912E16">
        <w:t xml:space="preserve">r </w:t>
      </w:r>
      <w:r w:rsidR="00DE215B" w:rsidRPr="00912E16">
        <w:t>the AUC for time</w:t>
      </w:r>
      <w:r w:rsidR="00912E16" w:rsidRPr="00912E16">
        <w:t xml:space="preserve"> </w:t>
      </w:r>
      <w:r w:rsidR="00DE215B" w:rsidRPr="00912E16">
        <w:t xml:space="preserve">0 to infinity, </w:t>
      </w:r>
      <w:r w:rsidR="00550A43" w:rsidRPr="00912E16">
        <w:t>(</w:t>
      </w:r>
      <w:r w:rsidRPr="00912E16">
        <w:t>AUC</w:t>
      </w:r>
      <w:r w:rsidRPr="00912E16">
        <w:rPr>
          <w:vertAlign w:val="subscript"/>
        </w:rPr>
        <w:t>0-∞</w:t>
      </w:r>
      <w:r w:rsidRPr="00912E16">
        <w:t>)</w:t>
      </w:r>
      <w:r w:rsidRPr="006A1895">
        <w:t xml:space="preserve"> were dose proportional in both </w:t>
      </w:r>
      <w:r>
        <w:t>rats and monkeys</w:t>
      </w:r>
      <w:r w:rsidRPr="006A1895">
        <w:t xml:space="preserve"> and were similar in male</w:t>
      </w:r>
      <w:r>
        <w:t>s</w:t>
      </w:r>
      <w:r w:rsidRPr="006A1895">
        <w:t xml:space="preserve"> and females. Indicative of </w:t>
      </w:r>
      <w:r>
        <w:t>antibody development</w:t>
      </w:r>
      <w:r w:rsidR="00A53F20">
        <w:t xml:space="preserve">, at higher doses of </w:t>
      </w:r>
      <w:proofErr w:type="spellStart"/>
      <w:r w:rsidR="00A53F20">
        <w:t>rFIX</w:t>
      </w:r>
      <w:r w:rsidRPr="006A1895">
        <w:t>Fc</w:t>
      </w:r>
      <w:proofErr w:type="spellEnd"/>
      <w:r>
        <w:t>,</w:t>
      </w:r>
      <w:r w:rsidRPr="006A1895">
        <w:t xml:space="preserve"> AUC values </w:t>
      </w:r>
      <w:r>
        <w:t xml:space="preserve">and elimination half-lives </w:t>
      </w:r>
      <w:r w:rsidRPr="006A1895">
        <w:t xml:space="preserve">were </w:t>
      </w:r>
      <w:r>
        <w:t>lower</w:t>
      </w:r>
      <w:r w:rsidRPr="006A1895">
        <w:t xml:space="preserve"> </w:t>
      </w:r>
      <w:r>
        <w:t>in these species with repeat</w:t>
      </w:r>
      <w:r w:rsidR="006B51D8">
        <w:t xml:space="preserve"> </w:t>
      </w:r>
      <w:r>
        <w:t>dosing;</w:t>
      </w:r>
      <w:r w:rsidRPr="006A1895">
        <w:t xml:space="preserve"> </w:t>
      </w:r>
      <w:r>
        <w:t>on</w:t>
      </w:r>
      <w:r w:rsidRPr="006A1895">
        <w:t xml:space="preserve"> the last sampling day</w:t>
      </w:r>
      <w:r>
        <w:t xml:space="preserve">, </w:t>
      </w:r>
      <w:r w:rsidR="002A6C42">
        <w:t>half-life</w:t>
      </w:r>
      <w:r w:rsidRPr="006A1895">
        <w:t xml:space="preserve"> </w:t>
      </w:r>
      <w:r>
        <w:t xml:space="preserve">had </w:t>
      </w:r>
      <w:r w:rsidRPr="006A1895">
        <w:t>decreased to 16</w:t>
      </w:r>
      <w:r w:rsidR="006B51D8">
        <w:t xml:space="preserve"> to </w:t>
      </w:r>
      <w:r w:rsidR="00463620">
        <w:t>18 </w:t>
      </w:r>
      <w:r w:rsidRPr="006A1895">
        <w:t xml:space="preserve">h </w:t>
      </w:r>
      <w:r>
        <w:t>in</w:t>
      </w:r>
      <w:r w:rsidRPr="006A1895">
        <w:t xml:space="preserve"> rats and 2 h</w:t>
      </w:r>
      <w:r>
        <w:t xml:space="preserve"> in monkeys.</w:t>
      </w:r>
    </w:p>
    <w:p w:rsidR="00206A83" w:rsidRDefault="00206A83" w:rsidP="007970A4">
      <w:r w:rsidRPr="006A1895">
        <w:t xml:space="preserve">The sponsor did not conduct </w:t>
      </w:r>
      <w:r>
        <w:t xml:space="preserve">any </w:t>
      </w:r>
      <w:r w:rsidRPr="006A1895">
        <w:t xml:space="preserve">studies on </w:t>
      </w:r>
      <w:r>
        <w:t xml:space="preserve">the </w:t>
      </w:r>
      <w:r w:rsidR="00A53F20">
        <w:t xml:space="preserve">distribution of </w:t>
      </w:r>
      <w:proofErr w:type="spellStart"/>
      <w:r w:rsidR="00A53F20">
        <w:t>rFIX</w:t>
      </w:r>
      <w:r w:rsidRPr="006A1895">
        <w:t>Fc</w:t>
      </w:r>
      <w:proofErr w:type="spellEnd"/>
      <w:r w:rsidRPr="006A1895">
        <w:t>, which is acceptable for a clotting factor product not expected to accumulate in different tissue compar</w:t>
      </w:r>
      <w:r>
        <w:t>tments</w:t>
      </w:r>
      <w:r w:rsidRPr="006A1895">
        <w:t xml:space="preserve">. </w:t>
      </w:r>
      <w:r>
        <w:t xml:space="preserve">Consistent with this, and typical for a FIX product, the volume of distribution was less than total body water in all tested animal species, suggesting limited extravascular distribution. </w:t>
      </w:r>
      <w:r w:rsidRPr="006A1895">
        <w:t xml:space="preserve">Similarly no studies on </w:t>
      </w:r>
      <w:r w:rsidR="00A53F20">
        <w:t xml:space="preserve">metabolism or excretion of </w:t>
      </w:r>
      <w:proofErr w:type="spellStart"/>
      <w:r w:rsidR="00A53F20">
        <w:t>rFIX</w:t>
      </w:r>
      <w:r w:rsidRPr="006A1895">
        <w:t>Fc</w:t>
      </w:r>
      <w:proofErr w:type="spellEnd"/>
      <w:r w:rsidRPr="006A1895">
        <w:t xml:space="preserve"> were provided either, since </w:t>
      </w:r>
      <w:r>
        <w:t>its degradation results in</w:t>
      </w:r>
      <w:r w:rsidRPr="006A1895">
        <w:t xml:space="preserve"> small peptides or amino acids.</w:t>
      </w:r>
      <w:r>
        <w:t xml:space="preserve"> Thus, these omissions are acceptable and consistent with ICH S6 (R1) guideline</w:t>
      </w:r>
      <w:r w:rsidR="00A53F20">
        <w:rPr>
          <w:rStyle w:val="FootnoteReference"/>
        </w:rPr>
        <w:footnoteReference w:id="4"/>
      </w:r>
      <w:r>
        <w:t xml:space="preserve"> recommendations.</w:t>
      </w:r>
    </w:p>
    <w:p w:rsidR="00206A83" w:rsidRDefault="00206A83" w:rsidP="007970A4">
      <w:r w:rsidRPr="00840719">
        <w:rPr>
          <w:i/>
        </w:rPr>
        <w:t>Conclusion:</w:t>
      </w:r>
      <w:r w:rsidRPr="00840719">
        <w:t xml:space="preserve"> </w:t>
      </w:r>
      <w:r>
        <w:t xml:space="preserve">As in human subjects, a prolonged elimination </w:t>
      </w:r>
      <w:r w:rsidR="000F2F0F">
        <w:t>half-life</w:t>
      </w:r>
      <w:r>
        <w:t xml:space="preserve"> of </w:t>
      </w:r>
      <w:proofErr w:type="spellStart"/>
      <w:r>
        <w:t>rFIXFc</w:t>
      </w:r>
      <w:proofErr w:type="spellEnd"/>
      <w:r>
        <w:t xml:space="preserve"> was seen in all animal species used in the toxicity studies (at least for the first day of sampling), thus supporting the use of these animals for the safety assessment. However, as would be anticipated for a recombinant human protein, the development of anti-</w:t>
      </w:r>
      <w:proofErr w:type="spellStart"/>
      <w:r>
        <w:t>rFIXFc</w:t>
      </w:r>
      <w:proofErr w:type="spellEnd"/>
      <w:r>
        <w:t xml:space="preserve"> antibodies reduced the half-life of </w:t>
      </w:r>
      <w:proofErr w:type="spellStart"/>
      <w:r>
        <w:t>rFIXFc</w:t>
      </w:r>
      <w:proofErr w:type="spellEnd"/>
      <w:r>
        <w:t xml:space="preserve"> in both species used in the repeat dose toxicity investigations, which is not unexpected and may not have clinical relevance. However, the lower exposures seen with repeat</w:t>
      </w:r>
      <w:r w:rsidR="006B51D8">
        <w:t xml:space="preserve"> </w:t>
      </w:r>
      <w:r>
        <w:t>dosing may somewhat limit the interpretability of negative findings in the repeat</w:t>
      </w:r>
      <w:r w:rsidR="006B51D8">
        <w:t xml:space="preserve"> </w:t>
      </w:r>
      <w:r w:rsidR="007970A4">
        <w:t>dose toxicity studies.</w:t>
      </w:r>
    </w:p>
    <w:p w:rsidR="001B5C90" w:rsidRPr="007970A4" w:rsidRDefault="008E7846" w:rsidP="007970A4">
      <w:pPr>
        <w:pStyle w:val="Heading3"/>
      </w:pPr>
      <w:bookmarkStart w:id="52" w:name="_Toc404068926"/>
      <w:r>
        <w:t>Toxicology</w:t>
      </w:r>
      <w:bookmarkEnd w:id="50"/>
      <w:bookmarkEnd w:id="51"/>
      <w:bookmarkEnd w:id="52"/>
    </w:p>
    <w:p w:rsidR="00206A83" w:rsidRPr="007970A4" w:rsidRDefault="00206A83" w:rsidP="007970A4">
      <w:pPr>
        <w:pStyle w:val="Heading4"/>
      </w:pPr>
      <w:bookmarkStart w:id="53" w:name="_Toc294861728"/>
      <w:bookmarkStart w:id="54" w:name="_Toc247691515"/>
      <w:bookmarkStart w:id="55" w:name="_Toc314842499"/>
      <w:r w:rsidRPr="001258AE">
        <w:t>Repeat</w:t>
      </w:r>
      <w:r w:rsidR="00607021">
        <w:t xml:space="preserve"> </w:t>
      </w:r>
      <w:r w:rsidRPr="001258AE">
        <w:t>dose toxicity</w:t>
      </w:r>
      <w:bookmarkEnd w:id="53"/>
    </w:p>
    <w:p w:rsidR="00206A83" w:rsidRPr="00815F4D" w:rsidRDefault="00206A83" w:rsidP="007970A4">
      <w:r>
        <w:t>Four repeat</w:t>
      </w:r>
      <w:r w:rsidR="00607021">
        <w:t xml:space="preserve"> </w:t>
      </w:r>
      <w:r>
        <w:t xml:space="preserve">dose studies (one a non-GLP pilot study) were submitted by the sponsor to assess the potential toxicities of </w:t>
      </w:r>
      <w:proofErr w:type="spellStart"/>
      <w:r>
        <w:t>rFIXFc</w:t>
      </w:r>
      <w:proofErr w:type="spellEnd"/>
      <w:r>
        <w:t xml:space="preserve"> in rats and cynomolgus monkeys. These studies were up to 4 weeks and 27 weeks, respectively, and included protocols for measuring antibodies that developed over the course of the treatment period. The duration of the pivotal study in monkeys is acceptable for a chronically use</w:t>
      </w:r>
      <w:r w:rsidR="00463620">
        <w:t>d biotechnology product (ICH S6</w:t>
      </w:r>
      <w:r w:rsidR="00110577">
        <w:t xml:space="preserve"> </w:t>
      </w:r>
      <w:r w:rsidR="00463620">
        <w:t>(R1)</w:t>
      </w:r>
      <w:r>
        <w:t xml:space="preserve">). The clinical route (IV) was used in all GLP studies. The dosing regimen used in the monkey studies (once weekly) is similar to that recommended for routine prophylaxis. While dosing was every 4 days in the pivotal rat study, this is considered acceptable, given the shorter half-life of </w:t>
      </w:r>
      <w:proofErr w:type="spellStart"/>
      <w:r>
        <w:t>rFIXFc</w:t>
      </w:r>
      <w:proofErr w:type="spellEnd"/>
      <w:r>
        <w:t xml:space="preserve"> in this </w:t>
      </w:r>
      <w:r w:rsidR="007970A4">
        <w:t>species compared with patients.</w:t>
      </w:r>
    </w:p>
    <w:p w:rsidR="00206A83" w:rsidRPr="007970A4" w:rsidRDefault="00206A83" w:rsidP="007970A4">
      <w:pPr>
        <w:pStyle w:val="Heading5"/>
      </w:pPr>
      <w:r w:rsidRPr="00DE7CDB">
        <w:t>Relative exposure</w:t>
      </w:r>
    </w:p>
    <w:p w:rsidR="00206A83" w:rsidRDefault="00206A83" w:rsidP="007970A4">
      <w:r>
        <w:t>The proposed recommended dose in haemophilia B patients depends on clinical need, with a lower dose administered for routine prophylaxis (50 IU/kg, IV once per week) compared with acute need such as major surgery (100 IU/kg, IV, per day for first 3 days post</w:t>
      </w:r>
      <w:r w:rsidR="00B3578C">
        <w:t xml:space="preserve"> </w:t>
      </w:r>
      <w:r w:rsidR="00607021">
        <w:t xml:space="preserve">procedure). Since long </w:t>
      </w:r>
      <w:r>
        <w:t>term prophylaxis is likely to be the more typical use, relative exposure comparisons are based on the highest routine dose used in the c</w:t>
      </w:r>
      <w:r w:rsidR="007970A4">
        <w:t>linical studies: 100 IU/kg, IV.</w:t>
      </w:r>
    </w:p>
    <w:p w:rsidR="00206A83" w:rsidRPr="00222024" w:rsidRDefault="00463620" w:rsidP="000E6D57">
      <w:r>
        <w:t>In the n</w:t>
      </w:r>
      <w:r w:rsidR="00206A83">
        <w:t xml:space="preserve">onclinical </w:t>
      </w:r>
      <w:r>
        <w:t>o</w:t>
      </w:r>
      <w:r w:rsidR="00206A83">
        <w:t>verview the sponsor cited safety margin values using C</w:t>
      </w:r>
      <w:r w:rsidR="00206A83" w:rsidRPr="00BA05A0">
        <w:rPr>
          <w:vertAlign w:val="subscript"/>
        </w:rPr>
        <w:t>max</w:t>
      </w:r>
      <w:r w:rsidR="00206A83">
        <w:t xml:space="preserve"> comparisons (from </w:t>
      </w:r>
      <w:r>
        <w:t xml:space="preserve">a </w:t>
      </w:r>
      <w:r w:rsidR="00206A83">
        <w:t xml:space="preserve">single dose </w:t>
      </w:r>
      <w:r>
        <w:t>s</w:t>
      </w:r>
      <w:r w:rsidR="00206A83" w:rsidRPr="00550A43">
        <w:t>tudy</w:t>
      </w:r>
      <w:r w:rsidR="00206A83">
        <w:t>), on the basis that peak plasma FIX concentrations are a critical factor in controlling an</w:t>
      </w:r>
      <w:r>
        <w:t>d preventing bleeding episodes.</w:t>
      </w:r>
      <w:r w:rsidR="00206A83">
        <w:t xml:space="preserve"> However, as a replacement product, particularly since the distinguishing feature of </w:t>
      </w:r>
      <w:proofErr w:type="spellStart"/>
      <w:r w:rsidR="00206A83">
        <w:t>rFIXFc</w:t>
      </w:r>
      <w:proofErr w:type="spellEnd"/>
      <w:r w:rsidR="00206A83">
        <w:t xml:space="preserve"> is its extended half-life and pharmacological action, it is the view of the evaluator that trough levels of FIX are more relevant as these determine the minimum conditions in which normal clotting activity is</w:t>
      </w:r>
      <w:r w:rsidR="00206A83" w:rsidRPr="0041622C">
        <w:t xml:space="preserve"> </w:t>
      </w:r>
      <w:r w:rsidR="00206A83">
        <w:t xml:space="preserve">maintained. Ideally, comparisons should be based on AUC values but since sampling </w:t>
      </w:r>
      <w:r w:rsidR="00206A83">
        <w:lastRenderedPageBreak/>
        <w:t xml:space="preserve">intervals used in the animal studies differed (rat: </w:t>
      </w:r>
      <w:r w:rsidR="00206A83" w:rsidRPr="00607021">
        <w:t>0</w:t>
      </w:r>
      <w:r w:rsidR="00B53424" w:rsidRPr="00607021">
        <w:t xml:space="preserve"> to </w:t>
      </w:r>
      <w:r w:rsidR="00206A83" w:rsidRPr="00607021">
        <w:t>144 h</w:t>
      </w:r>
      <w:r w:rsidR="00B052A8">
        <w:t xml:space="preserve"> post</w:t>
      </w:r>
      <w:r>
        <w:t xml:space="preserve"> </w:t>
      </w:r>
      <w:r w:rsidR="00206A83">
        <w:t>dose; monkey: 0</w:t>
      </w:r>
      <w:r w:rsidR="0033289A">
        <w:t xml:space="preserve"> to </w:t>
      </w:r>
      <w:r w:rsidR="00206A83">
        <w:t>168 h post</w:t>
      </w:r>
      <w:r w:rsidR="002E5D21">
        <w:t xml:space="preserve"> </w:t>
      </w:r>
      <w:r w:rsidR="00206A83">
        <w:t>dose; human: 0</w:t>
      </w:r>
      <w:r w:rsidR="00B53424">
        <w:t xml:space="preserve"> to </w:t>
      </w:r>
      <w:r w:rsidR="00206A83">
        <w:t>240 h post</w:t>
      </w:r>
      <w:r w:rsidR="002E5D21">
        <w:t xml:space="preserve"> </w:t>
      </w:r>
      <w:r w:rsidR="00206A83">
        <w:t>dose), this was not an ideal comparison and thus dose comparisons (IU/kg) were used instead. Ratios based on C</w:t>
      </w:r>
      <w:r w:rsidR="00206A83" w:rsidRPr="00EC7973">
        <w:rPr>
          <w:vertAlign w:val="subscript"/>
        </w:rPr>
        <w:t>max</w:t>
      </w:r>
      <w:r w:rsidR="00206A83">
        <w:t xml:space="preserve"> are also listed to compare with dose comparisons.</w:t>
      </w:r>
    </w:p>
    <w:p w:rsidR="00206A83" w:rsidRDefault="00206A83" w:rsidP="007970A4">
      <w:r>
        <w:t>Dose ratios of the highest tested clinical dose for routine prophylaxis (100 IU/kg) against the highest doses used in the animal studies (1000 and 1750 IU/kg) were adequate</w:t>
      </w:r>
      <w:r w:rsidR="00B3578C">
        <w:t>:</w:t>
      </w:r>
      <w:r>
        <w:t xml:space="preserve"> 10 and 17.5 fold the clinical dose in monkeys</w:t>
      </w:r>
      <w:r w:rsidR="00150C2E" w:rsidRPr="00150C2E">
        <w:t xml:space="preserve"> </w:t>
      </w:r>
      <w:r w:rsidR="00150C2E">
        <w:t>and rats</w:t>
      </w:r>
      <w:r w:rsidR="007970A4">
        <w:t>, respectively.</w:t>
      </w:r>
    </w:p>
    <w:p w:rsidR="00206A83" w:rsidRPr="0068453C" w:rsidRDefault="00D716B5" w:rsidP="007970A4">
      <w:pPr>
        <w:pStyle w:val="TableTitle"/>
      </w:pPr>
      <w:r w:rsidRPr="00607021">
        <w:t xml:space="preserve">Table </w:t>
      </w:r>
      <w:r w:rsidR="00A53F20">
        <w:t>2</w:t>
      </w:r>
      <w:r w:rsidR="00607021" w:rsidRPr="00607021">
        <w:t>:</w:t>
      </w:r>
      <w:r>
        <w:t xml:space="preserve"> </w:t>
      </w:r>
      <w:r w:rsidR="00206A83" w:rsidRPr="0068453C">
        <w:t>Relative exposure in repeat</w:t>
      </w:r>
      <w:r w:rsidR="00607021">
        <w:t xml:space="preserve"> </w:t>
      </w:r>
      <w:r w:rsidR="00206A83" w:rsidRPr="0068453C">
        <w:t>dose toxicity studies</w:t>
      </w:r>
    </w:p>
    <w:tbl>
      <w:tblPr>
        <w:tblStyle w:val="TableTGAblue"/>
        <w:tblW w:w="8605" w:type="dxa"/>
        <w:tblLayout w:type="fixed"/>
        <w:tblLook w:val="00A0" w:firstRow="1" w:lastRow="0" w:firstColumn="1" w:lastColumn="0" w:noHBand="0" w:noVBand="0"/>
      </w:tblPr>
      <w:tblGrid>
        <w:gridCol w:w="1424"/>
        <w:gridCol w:w="1067"/>
        <w:gridCol w:w="1107"/>
        <w:gridCol w:w="1107"/>
        <w:gridCol w:w="1107"/>
        <w:gridCol w:w="1107"/>
        <w:gridCol w:w="843"/>
        <w:gridCol w:w="843"/>
      </w:tblGrid>
      <w:tr w:rsidR="001E512D" w:rsidRPr="00B53424" w:rsidTr="007970A4">
        <w:trPr>
          <w:cnfStyle w:val="100000000000" w:firstRow="1" w:lastRow="0" w:firstColumn="0" w:lastColumn="0" w:oddVBand="0" w:evenVBand="0" w:oddHBand="0" w:evenHBand="0" w:firstRowFirstColumn="0" w:firstRowLastColumn="0" w:lastRowFirstColumn="0" w:lastRowLastColumn="0"/>
          <w:trHeight w:val="720"/>
        </w:trPr>
        <w:tc>
          <w:tcPr>
            <w:tcW w:w="1424" w:type="dxa"/>
          </w:tcPr>
          <w:p w:rsidR="001E512D" w:rsidRPr="00B53424" w:rsidRDefault="001E512D" w:rsidP="007970A4">
            <w:pPr>
              <w:ind w:left="0" w:right="0"/>
              <w:rPr>
                <w:b w:val="0"/>
              </w:rPr>
            </w:pPr>
            <w:r w:rsidRPr="00B53424">
              <w:t>Species</w:t>
            </w:r>
          </w:p>
        </w:tc>
        <w:tc>
          <w:tcPr>
            <w:tcW w:w="1067" w:type="dxa"/>
          </w:tcPr>
          <w:p w:rsidR="001E512D" w:rsidRPr="00B53424" w:rsidRDefault="001E512D" w:rsidP="007970A4">
            <w:pPr>
              <w:ind w:left="0" w:right="0"/>
              <w:rPr>
                <w:b w:val="0"/>
              </w:rPr>
            </w:pPr>
            <w:r w:rsidRPr="00B53424">
              <w:t>Study duration</w:t>
            </w:r>
          </w:p>
        </w:tc>
        <w:tc>
          <w:tcPr>
            <w:tcW w:w="1107" w:type="dxa"/>
          </w:tcPr>
          <w:p w:rsidR="001E512D" w:rsidRPr="00B53424" w:rsidRDefault="001E512D" w:rsidP="007970A4">
            <w:pPr>
              <w:ind w:left="0" w:right="0"/>
              <w:rPr>
                <w:b w:val="0"/>
              </w:rPr>
            </w:pPr>
            <w:r w:rsidRPr="00B53424">
              <w:t>Dosage regimen</w:t>
            </w:r>
          </w:p>
        </w:tc>
        <w:tc>
          <w:tcPr>
            <w:tcW w:w="1107" w:type="dxa"/>
          </w:tcPr>
          <w:p w:rsidR="001E512D" w:rsidRPr="00B53424" w:rsidRDefault="001E512D" w:rsidP="007970A4">
            <w:pPr>
              <w:ind w:left="0" w:right="0"/>
              <w:rPr>
                <w:b w:val="0"/>
              </w:rPr>
            </w:pPr>
            <w:r w:rsidRPr="00B53424">
              <w:t>Dose</w:t>
            </w:r>
            <w:r w:rsidRPr="00B53424">
              <w:br/>
              <w:t>IU/kg</w:t>
            </w:r>
            <w:r>
              <w:t xml:space="preserve"> </w:t>
            </w:r>
            <w:r w:rsidRPr="00B53424">
              <w:t>IV</w:t>
            </w:r>
          </w:p>
        </w:tc>
        <w:tc>
          <w:tcPr>
            <w:tcW w:w="1107" w:type="dxa"/>
          </w:tcPr>
          <w:p w:rsidR="001E512D" w:rsidRPr="00B53424" w:rsidRDefault="001E512D" w:rsidP="007970A4">
            <w:pPr>
              <w:ind w:left="0" w:right="0"/>
              <w:rPr>
                <w:b w:val="0"/>
              </w:rPr>
            </w:pPr>
            <w:r w:rsidRPr="00B53424">
              <w:t>Weekly dose IU/kg IV</w:t>
            </w:r>
          </w:p>
        </w:tc>
        <w:tc>
          <w:tcPr>
            <w:tcW w:w="1107" w:type="dxa"/>
          </w:tcPr>
          <w:p w:rsidR="001E512D" w:rsidRPr="00B53424" w:rsidRDefault="001E512D" w:rsidP="007970A4">
            <w:pPr>
              <w:ind w:left="0" w:right="0"/>
              <w:rPr>
                <w:b w:val="0"/>
              </w:rPr>
            </w:pPr>
            <w:r w:rsidRPr="00B53424">
              <w:t>C</w:t>
            </w:r>
            <w:r w:rsidRPr="00B53424">
              <w:rPr>
                <w:vertAlign w:val="subscript"/>
              </w:rPr>
              <w:t>max</w:t>
            </w:r>
          </w:p>
          <w:p w:rsidR="001E512D" w:rsidRPr="00B53424" w:rsidRDefault="001E512D" w:rsidP="007970A4">
            <w:pPr>
              <w:ind w:left="0" w:right="0"/>
              <w:rPr>
                <w:b w:val="0"/>
              </w:rPr>
            </w:pPr>
            <w:r>
              <w:t>µ</w:t>
            </w:r>
            <w:r w:rsidRPr="00B53424">
              <w:t>g/mL^</w:t>
            </w:r>
          </w:p>
        </w:tc>
        <w:tc>
          <w:tcPr>
            <w:tcW w:w="1686" w:type="dxa"/>
            <w:gridSpan w:val="2"/>
          </w:tcPr>
          <w:p w:rsidR="001E512D" w:rsidRPr="00B53424" w:rsidRDefault="001E512D" w:rsidP="007970A4">
            <w:pPr>
              <w:ind w:left="0" w:right="0"/>
            </w:pPr>
            <w:r w:rsidRPr="00B53424">
              <w:t>Exposure ratio</w:t>
            </w:r>
          </w:p>
          <w:p w:rsidR="001E512D" w:rsidRPr="00B53424" w:rsidRDefault="007970A4" w:rsidP="007970A4">
            <w:pPr>
              <w:ind w:left="0" w:right="0"/>
              <w:rPr>
                <w:b w:val="0"/>
              </w:rPr>
            </w:pPr>
            <w:r>
              <w:t>Dose</w:t>
            </w:r>
            <w:r>
              <w:br/>
            </w:r>
            <w:proofErr w:type="spellStart"/>
            <w:r w:rsidR="001E512D">
              <w:t>C</w:t>
            </w:r>
            <w:r w:rsidR="001E512D" w:rsidRPr="000D3892">
              <w:rPr>
                <w:vertAlign w:val="subscript"/>
              </w:rPr>
              <w:t>max</w:t>
            </w:r>
            <w:proofErr w:type="spellEnd"/>
          </w:p>
        </w:tc>
      </w:tr>
      <w:tr w:rsidR="00DD5FA2" w:rsidRPr="007068A9" w:rsidTr="007970A4">
        <w:trPr>
          <w:trHeight w:val="227"/>
        </w:trPr>
        <w:tc>
          <w:tcPr>
            <w:tcW w:w="1424" w:type="dxa"/>
            <w:vMerge w:val="restart"/>
          </w:tcPr>
          <w:p w:rsidR="00206A83" w:rsidRPr="000A2861" w:rsidRDefault="00206A83" w:rsidP="007970A4">
            <w:pPr>
              <w:ind w:left="0" w:right="0"/>
            </w:pPr>
            <w:r w:rsidRPr="007970A4">
              <w:rPr>
                <w:b/>
              </w:rPr>
              <w:t>Rat</w:t>
            </w:r>
            <w:r>
              <w:t>*</w:t>
            </w:r>
            <w:r w:rsidRPr="000A2861">
              <w:br/>
            </w:r>
            <w:r w:rsidRPr="00DD5FA2">
              <w:t>SD</w:t>
            </w:r>
          </w:p>
        </w:tc>
        <w:tc>
          <w:tcPr>
            <w:tcW w:w="1067" w:type="dxa"/>
            <w:vMerge w:val="restart"/>
          </w:tcPr>
          <w:p w:rsidR="00206A83" w:rsidRPr="000A2861" w:rsidRDefault="00206A83" w:rsidP="007970A4">
            <w:pPr>
              <w:ind w:left="0" w:right="0"/>
            </w:pPr>
            <w:r>
              <w:t>4 weeks</w:t>
            </w:r>
          </w:p>
        </w:tc>
        <w:tc>
          <w:tcPr>
            <w:tcW w:w="1107" w:type="dxa"/>
            <w:vMerge w:val="restart"/>
          </w:tcPr>
          <w:p w:rsidR="00206A83" w:rsidRPr="000A2861" w:rsidRDefault="00206A83" w:rsidP="007970A4">
            <w:pPr>
              <w:ind w:left="0" w:right="0"/>
            </w:pPr>
            <w:r>
              <w:t>every 4 days</w:t>
            </w:r>
          </w:p>
        </w:tc>
        <w:tc>
          <w:tcPr>
            <w:tcW w:w="1107" w:type="dxa"/>
          </w:tcPr>
          <w:p w:rsidR="00206A83" w:rsidRPr="000A2861" w:rsidRDefault="00206A83" w:rsidP="007970A4">
            <w:pPr>
              <w:ind w:left="0" w:right="0"/>
            </w:pPr>
            <w:r>
              <w:t>50</w:t>
            </w:r>
          </w:p>
        </w:tc>
        <w:tc>
          <w:tcPr>
            <w:tcW w:w="1107" w:type="dxa"/>
          </w:tcPr>
          <w:p w:rsidR="00206A83" w:rsidRPr="000A2861" w:rsidRDefault="00206A83" w:rsidP="007970A4">
            <w:pPr>
              <w:ind w:left="0" w:right="0"/>
            </w:pPr>
            <w:r>
              <w:t>87.5</w:t>
            </w:r>
          </w:p>
        </w:tc>
        <w:tc>
          <w:tcPr>
            <w:tcW w:w="1107" w:type="dxa"/>
          </w:tcPr>
          <w:p w:rsidR="00206A83" w:rsidRPr="000A2861" w:rsidRDefault="00206A83" w:rsidP="007970A4">
            <w:pPr>
              <w:ind w:left="0" w:right="0"/>
            </w:pPr>
            <w:r>
              <w:t>6.03</w:t>
            </w:r>
          </w:p>
        </w:tc>
        <w:tc>
          <w:tcPr>
            <w:tcW w:w="843" w:type="dxa"/>
          </w:tcPr>
          <w:p w:rsidR="00206A83" w:rsidRPr="00607021" w:rsidRDefault="00206A83" w:rsidP="007970A4">
            <w:pPr>
              <w:ind w:left="0" w:right="0"/>
            </w:pPr>
            <w:r w:rsidRPr="00607021">
              <w:t>0.87</w:t>
            </w:r>
          </w:p>
        </w:tc>
        <w:tc>
          <w:tcPr>
            <w:tcW w:w="843" w:type="dxa"/>
          </w:tcPr>
          <w:p w:rsidR="00206A83" w:rsidRPr="000A2861" w:rsidRDefault="00206A83" w:rsidP="007970A4">
            <w:pPr>
              <w:ind w:left="0" w:right="0"/>
            </w:pPr>
            <w:r w:rsidRPr="000A2861">
              <w:t>–</w:t>
            </w:r>
          </w:p>
        </w:tc>
      </w:tr>
      <w:tr w:rsidR="00DD5FA2" w:rsidRPr="007068A9" w:rsidTr="007970A4">
        <w:trPr>
          <w:trHeight w:val="227"/>
        </w:trPr>
        <w:tc>
          <w:tcPr>
            <w:tcW w:w="1424" w:type="dxa"/>
            <w:vMerge/>
          </w:tcPr>
          <w:p w:rsidR="00206A83" w:rsidRPr="000A2861" w:rsidRDefault="00206A83" w:rsidP="007970A4">
            <w:pPr>
              <w:ind w:left="0" w:right="0"/>
            </w:pPr>
          </w:p>
        </w:tc>
        <w:tc>
          <w:tcPr>
            <w:tcW w:w="1067" w:type="dxa"/>
            <w:vMerge/>
          </w:tcPr>
          <w:p w:rsidR="00206A83" w:rsidRPr="000A2861" w:rsidRDefault="00206A83" w:rsidP="007970A4">
            <w:pPr>
              <w:ind w:left="0" w:right="0"/>
            </w:pPr>
          </w:p>
        </w:tc>
        <w:tc>
          <w:tcPr>
            <w:tcW w:w="1107" w:type="dxa"/>
            <w:vMerge/>
          </w:tcPr>
          <w:p w:rsidR="00206A83" w:rsidRPr="000A2861" w:rsidRDefault="00206A83" w:rsidP="007970A4">
            <w:pPr>
              <w:ind w:left="0" w:right="0"/>
            </w:pPr>
          </w:p>
        </w:tc>
        <w:tc>
          <w:tcPr>
            <w:tcW w:w="1107" w:type="dxa"/>
          </w:tcPr>
          <w:p w:rsidR="00206A83" w:rsidRPr="000A2861" w:rsidRDefault="00206A83" w:rsidP="007970A4">
            <w:pPr>
              <w:ind w:left="0" w:right="0"/>
            </w:pPr>
            <w:r>
              <w:t>200</w:t>
            </w:r>
          </w:p>
        </w:tc>
        <w:tc>
          <w:tcPr>
            <w:tcW w:w="1107" w:type="dxa"/>
          </w:tcPr>
          <w:p w:rsidR="00206A83" w:rsidRPr="000A2861" w:rsidRDefault="00206A83" w:rsidP="007970A4">
            <w:pPr>
              <w:ind w:left="0" w:right="0"/>
            </w:pPr>
            <w:r>
              <w:t>350</w:t>
            </w:r>
          </w:p>
        </w:tc>
        <w:tc>
          <w:tcPr>
            <w:tcW w:w="1107" w:type="dxa"/>
          </w:tcPr>
          <w:p w:rsidR="00206A83" w:rsidRPr="000A2861" w:rsidRDefault="00206A83" w:rsidP="007970A4">
            <w:pPr>
              <w:ind w:left="0" w:right="0"/>
            </w:pPr>
            <w:r>
              <w:t>18.4</w:t>
            </w:r>
          </w:p>
        </w:tc>
        <w:tc>
          <w:tcPr>
            <w:tcW w:w="843" w:type="dxa"/>
          </w:tcPr>
          <w:p w:rsidR="00206A83" w:rsidRPr="00607021" w:rsidRDefault="00206A83" w:rsidP="007970A4">
            <w:pPr>
              <w:ind w:left="0" w:right="0"/>
            </w:pPr>
            <w:r w:rsidRPr="00607021">
              <w:t>3.5</w:t>
            </w:r>
          </w:p>
        </w:tc>
        <w:tc>
          <w:tcPr>
            <w:tcW w:w="843" w:type="dxa"/>
          </w:tcPr>
          <w:p w:rsidR="00206A83" w:rsidRPr="000A2861" w:rsidRDefault="00206A83" w:rsidP="007970A4">
            <w:pPr>
              <w:ind w:left="0" w:right="0"/>
            </w:pPr>
            <w:r w:rsidRPr="000A2861">
              <w:t>–</w:t>
            </w:r>
          </w:p>
        </w:tc>
      </w:tr>
      <w:tr w:rsidR="00DD5FA2" w:rsidRPr="007068A9" w:rsidTr="007970A4">
        <w:trPr>
          <w:trHeight w:val="227"/>
        </w:trPr>
        <w:tc>
          <w:tcPr>
            <w:tcW w:w="1424" w:type="dxa"/>
            <w:vMerge/>
          </w:tcPr>
          <w:p w:rsidR="00206A83" w:rsidRPr="000A2861" w:rsidRDefault="00206A83" w:rsidP="007970A4">
            <w:pPr>
              <w:ind w:left="0" w:right="0"/>
            </w:pPr>
          </w:p>
        </w:tc>
        <w:tc>
          <w:tcPr>
            <w:tcW w:w="1067" w:type="dxa"/>
            <w:vMerge/>
          </w:tcPr>
          <w:p w:rsidR="00206A83" w:rsidRPr="000A2861" w:rsidRDefault="00206A83" w:rsidP="007970A4">
            <w:pPr>
              <w:ind w:left="0" w:right="0"/>
            </w:pPr>
          </w:p>
        </w:tc>
        <w:tc>
          <w:tcPr>
            <w:tcW w:w="1107" w:type="dxa"/>
            <w:vMerge/>
          </w:tcPr>
          <w:p w:rsidR="00206A83" w:rsidRPr="000A2861" w:rsidRDefault="00206A83" w:rsidP="007970A4">
            <w:pPr>
              <w:ind w:left="0" w:right="0"/>
            </w:pPr>
          </w:p>
        </w:tc>
        <w:tc>
          <w:tcPr>
            <w:tcW w:w="1107" w:type="dxa"/>
          </w:tcPr>
          <w:p w:rsidR="00206A83" w:rsidRPr="000A2861" w:rsidRDefault="00206A83" w:rsidP="007970A4">
            <w:pPr>
              <w:ind w:left="0" w:right="0"/>
            </w:pPr>
            <w:r>
              <w:t>1000</w:t>
            </w:r>
          </w:p>
        </w:tc>
        <w:tc>
          <w:tcPr>
            <w:tcW w:w="1107" w:type="dxa"/>
          </w:tcPr>
          <w:p w:rsidR="00206A83" w:rsidRPr="000A2861" w:rsidRDefault="00206A83" w:rsidP="007970A4">
            <w:pPr>
              <w:ind w:left="0" w:right="0"/>
            </w:pPr>
            <w:r>
              <w:t>1750</w:t>
            </w:r>
          </w:p>
        </w:tc>
        <w:tc>
          <w:tcPr>
            <w:tcW w:w="1107" w:type="dxa"/>
          </w:tcPr>
          <w:p w:rsidR="00206A83" w:rsidRPr="000A2861" w:rsidRDefault="00206A83" w:rsidP="007970A4">
            <w:pPr>
              <w:ind w:left="0" w:right="0"/>
            </w:pPr>
            <w:r>
              <w:t>138</w:t>
            </w:r>
          </w:p>
        </w:tc>
        <w:tc>
          <w:tcPr>
            <w:tcW w:w="843" w:type="dxa"/>
          </w:tcPr>
          <w:p w:rsidR="00206A83" w:rsidRPr="00607021" w:rsidRDefault="00206A83" w:rsidP="007970A4">
            <w:pPr>
              <w:ind w:left="0" w:right="0"/>
            </w:pPr>
            <w:r w:rsidRPr="00607021">
              <w:t>17.5</w:t>
            </w:r>
          </w:p>
        </w:tc>
        <w:tc>
          <w:tcPr>
            <w:tcW w:w="843" w:type="dxa"/>
          </w:tcPr>
          <w:p w:rsidR="00206A83" w:rsidRPr="000A2861" w:rsidRDefault="00206A83" w:rsidP="007970A4">
            <w:pPr>
              <w:ind w:left="0" w:right="0"/>
            </w:pPr>
            <w:r w:rsidRPr="000A2861">
              <w:t>–</w:t>
            </w:r>
          </w:p>
        </w:tc>
      </w:tr>
      <w:tr w:rsidR="00DD5FA2" w:rsidRPr="007068A9" w:rsidTr="007970A4">
        <w:trPr>
          <w:trHeight w:val="145"/>
        </w:trPr>
        <w:tc>
          <w:tcPr>
            <w:tcW w:w="1424" w:type="dxa"/>
            <w:vMerge w:val="restart"/>
          </w:tcPr>
          <w:p w:rsidR="00206A83" w:rsidRPr="000A2861" w:rsidRDefault="00206A83" w:rsidP="007970A4">
            <w:pPr>
              <w:ind w:left="0" w:right="0"/>
            </w:pPr>
            <w:r w:rsidRPr="007970A4">
              <w:rPr>
                <w:b/>
              </w:rPr>
              <w:t>Monkey</w:t>
            </w:r>
            <w:r w:rsidRPr="000A2861">
              <w:br/>
              <w:t>Cynomolgus</w:t>
            </w:r>
          </w:p>
        </w:tc>
        <w:tc>
          <w:tcPr>
            <w:tcW w:w="1067" w:type="dxa"/>
            <w:vMerge w:val="restart"/>
          </w:tcPr>
          <w:p w:rsidR="00206A83" w:rsidRPr="000A2861" w:rsidRDefault="00206A83" w:rsidP="007970A4">
            <w:pPr>
              <w:ind w:left="0" w:right="0"/>
            </w:pPr>
            <w:r>
              <w:t>5 weeks</w:t>
            </w:r>
          </w:p>
        </w:tc>
        <w:tc>
          <w:tcPr>
            <w:tcW w:w="1107" w:type="dxa"/>
            <w:vMerge w:val="restart"/>
          </w:tcPr>
          <w:p w:rsidR="00206A83" w:rsidRPr="000A2861" w:rsidRDefault="00206A83" w:rsidP="007970A4">
            <w:pPr>
              <w:ind w:left="0" w:right="0"/>
            </w:pPr>
            <w:r>
              <w:t>weekly</w:t>
            </w:r>
          </w:p>
        </w:tc>
        <w:tc>
          <w:tcPr>
            <w:tcW w:w="1107" w:type="dxa"/>
          </w:tcPr>
          <w:p w:rsidR="00206A83" w:rsidRPr="000A2861" w:rsidRDefault="00206A83" w:rsidP="007970A4">
            <w:pPr>
              <w:ind w:left="0" w:right="0"/>
            </w:pPr>
            <w:r>
              <w:t>50</w:t>
            </w:r>
          </w:p>
        </w:tc>
        <w:tc>
          <w:tcPr>
            <w:tcW w:w="1107" w:type="dxa"/>
          </w:tcPr>
          <w:p w:rsidR="00206A83" w:rsidRPr="000A2861" w:rsidRDefault="00206A83" w:rsidP="007970A4">
            <w:pPr>
              <w:ind w:left="0" w:right="0"/>
            </w:pPr>
            <w:r>
              <w:t>50</w:t>
            </w:r>
          </w:p>
        </w:tc>
        <w:tc>
          <w:tcPr>
            <w:tcW w:w="1107" w:type="dxa"/>
          </w:tcPr>
          <w:p w:rsidR="00206A83" w:rsidRPr="000A2861" w:rsidRDefault="00206A83" w:rsidP="007970A4">
            <w:pPr>
              <w:ind w:left="0" w:right="0"/>
            </w:pPr>
            <w:r>
              <w:t>6.5</w:t>
            </w:r>
          </w:p>
        </w:tc>
        <w:tc>
          <w:tcPr>
            <w:tcW w:w="843" w:type="dxa"/>
          </w:tcPr>
          <w:p w:rsidR="00206A83" w:rsidRPr="00607021" w:rsidRDefault="00206A83" w:rsidP="007970A4">
            <w:pPr>
              <w:ind w:left="0" w:right="0"/>
            </w:pPr>
            <w:r w:rsidRPr="00607021">
              <w:t>0.5</w:t>
            </w:r>
          </w:p>
        </w:tc>
        <w:tc>
          <w:tcPr>
            <w:tcW w:w="843" w:type="dxa"/>
          </w:tcPr>
          <w:p w:rsidR="00206A83" w:rsidRPr="000A2861" w:rsidRDefault="00206A83" w:rsidP="007970A4">
            <w:pPr>
              <w:ind w:left="0" w:right="0"/>
            </w:pPr>
            <w:r>
              <w:t>0.4</w:t>
            </w:r>
          </w:p>
        </w:tc>
      </w:tr>
      <w:tr w:rsidR="00DD5FA2" w:rsidRPr="007068A9" w:rsidTr="007970A4">
        <w:trPr>
          <w:trHeight w:val="145"/>
        </w:trPr>
        <w:tc>
          <w:tcPr>
            <w:tcW w:w="1424" w:type="dxa"/>
            <w:vMerge/>
          </w:tcPr>
          <w:p w:rsidR="00206A83" w:rsidRPr="000A2861" w:rsidRDefault="00206A83" w:rsidP="007970A4">
            <w:pPr>
              <w:ind w:left="0" w:right="0"/>
            </w:pPr>
          </w:p>
        </w:tc>
        <w:tc>
          <w:tcPr>
            <w:tcW w:w="1067" w:type="dxa"/>
            <w:vMerge/>
          </w:tcPr>
          <w:p w:rsidR="00206A83" w:rsidRDefault="00206A83" w:rsidP="007970A4">
            <w:pPr>
              <w:ind w:left="0" w:right="0"/>
            </w:pPr>
          </w:p>
        </w:tc>
        <w:tc>
          <w:tcPr>
            <w:tcW w:w="1107" w:type="dxa"/>
            <w:vMerge/>
          </w:tcPr>
          <w:p w:rsidR="00206A83" w:rsidRDefault="00206A83" w:rsidP="007970A4">
            <w:pPr>
              <w:ind w:left="0" w:right="0"/>
            </w:pPr>
          </w:p>
        </w:tc>
        <w:tc>
          <w:tcPr>
            <w:tcW w:w="1107" w:type="dxa"/>
          </w:tcPr>
          <w:p w:rsidR="00206A83" w:rsidRPr="000A2861" w:rsidRDefault="00206A83" w:rsidP="007970A4">
            <w:pPr>
              <w:ind w:left="0" w:right="0"/>
            </w:pPr>
            <w:r>
              <w:t>200</w:t>
            </w:r>
          </w:p>
        </w:tc>
        <w:tc>
          <w:tcPr>
            <w:tcW w:w="1107" w:type="dxa"/>
          </w:tcPr>
          <w:p w:rsidR="00206A83" w:rsidRPr="000A2861" w:rsidRDefault="00206A83" w:rsidP="007970A4">
            <w:pPr>
              <w:ind w:left="0" w:right="0"/>
            </w:pPr>
            <w:r>
              <w:t>200</w:t>
            </w:r>
          </w:p>
        </w:tc>
        <w:tc>
          <w:tcPr>
            <w:tcW w:w="1107" w:type="dxa"/>
          </w:tcPr>
          <w:p w:rsidR="00206A83" w:rsidRPr="000A2861" w:rsidRDefault="00206A83" w:rsidP="007970A4">
            <w:pPr>
              <w:ind w:left="0" w:right="0"/>
            </w:pPr>
            <w:r>
              <w:t>41.8</w:t>
            </w:r>
          </w:p>
        </w:tc>
        <w:tc>
          <w:tcPr>
            <w:tcW w:w="843" w:type="dxa"/>
          </w:tcPr>
          <w:p w:rsidR="00206A83" w:rsidRPr="00607021" w:rsidRDefault="00206A83" w:rsidP="007970A4">
            <w:pPr>
              <w:ind w:left="0" w:right="0"/>
            </w:pPr>
            <w:r w:rsidRPr="00607021">
              <w:t>2</w:t>
            </w:r>
          </w:p>
        </w:tc>
        <w:tc>
          <w:tcPr>
            <w:tcW w:w="843" w:type="dxa"/>
          </w:tcPr>
          <w:p w:rsidR="00206A83" w:rsidRPr="000A2861" w:rsidRDefault="00206A83" w:rsidP="007970A4">
            <w:pPr>
              <w:ind w:left="0" w:right="0"/>
            </w:pPr>
            <w:r>
              <w:t>2.7</w:t>
            </w:r>
          </w:p>
        </w:tc>
      </w:tr>
      <w:tr w:rsidR="00DD5FA2" w:rsidRPr="007068A9" w:rsidTr="007970A4">
        <w:trPr>
          <w:trHeight w:val="145"/>
        </w:trPr>
        <w:tc>
          <w:tcPr>
            <w:tcW w:w="1424" w:type="dxa"/>
            <w:vMerge/>
          </w:tcPr>
          <w:p w:rsidR="00206A83" w:rsidRPr="000A2861" w:rsidRDefault="00206A83" w:rsidP="007970A4">
            <w:pPr>
              <w:ind w:left="0" w:right="0"/>
            </w:pPr>
          </w:p>
        </w:tc>
        <w:tc>
          <w:tcPr>
            <w:tcW w:w="1067" w:type="dxa"/>
            <w:vMerge/>
          </w:tcPr>
          <w:p w:rsidR="00206A83" w:rsidRDefault="00206A83" w:rsidP="007970A4">
            <w:pPr>
              <w:ind w:left="0" w:right="0"/>
            </w:pPr>
          </w:p>
        </w:tc>
        <w:tc>
          <w:tcPr>
            <w:tcW w:w="1107" w:type="dxa"/>
            <w:vMerge/>
          </w:tcPr>
          <w:p w:rsidR="00206A83" w:rsidRDefault="00206A83" w:rsidP="007970A4">
            <w:pPr>
              <w:ind w:left="0" w:right="0"/>
            </w:pPr>
          </w:p>
        </w:tc>
        <w:tc>
          <w:tcPr>
            <w:tcW w:w="1107" w:type="dxa"/>
          </w:tcPr>
          <w:p w:rsidR="00206A83" w:rsidRPr="000A2861" w:rsidRDefault="00206A83" w:rsidP="007970A4">
            <w:pPr>
              <w:ind w:left="0" w:right="0"/>
            </w:pPr>
            <w:r>
              <w:t>1000</w:t>
            </w:r>
          </w:p>
        </w:tc>
        <w:tc>
          <w:tcPr>
            <w:tcW w:w="1107" w:type="dxa"/>
          </w:tcPr>
          <w:p w:rsidR="00206A83" w:rsidRPr="000A2861" w:rsidRDefault="00206A83" w:rsidP="007970A4">
            <w:pPr>
              <w:ind w:left="0" w:right="0"/>
            </w:pPr>
            <w:r>
              <w:t>1000</w:t>
            </w:r>
          </w:p>
        </w:tc>
        <w:tc>
          <w:tcPr>
            <w:tcW w:w="1107" w:type="dxa"/>
          </w:tcPr>
          <w:p w:rsidR="00206A83" w:rsidRPr="000A2861" w:rsidRDefault="00206A83" w:rsidP="007970A4">
            <w:pPr>
              <w:ind w:left="0" w:right="0"/>
            </w:pPr>
            <w:r>
              <w:t>236</w:t>
            </w:r>
          </w:p>
        </w:tc>
        <w:tc>
          <w:tcPr>
            <w:tcW w:w="843" w:type="dxa"/>
          </w:tcPr>
          <w:p w:rsidR="00206A83" w:rsidRPr="00607021" w:rsidRDefault="00206A83" w:rsidP="007970A4">
            <w:pPr>
              <w:ind w:left="0" w:right="0"/>
            </w:pPr>
            <w:r w:rsidRPr="00607021">
              <w:t>10</w:t>
            </w:r>
          </w:p>
        </w:tc>
        <w:tc>
          <w:tcPr>
            <w:tcW w:w="843" w:type="dxa"/>
          </w:tcPr>
          <w:p w:rsidR="00206A83" w:rsidRPr="000A2861" w:rsidRDefault="00206A83" w:rsidP="007970A4">
            <w:pPr>
              <w:ind w:left="0" w:right="0"/>
            </w:pPr>
            <w:r>
              <w:t>15</w:t>
            </w:r>
          </w:p>
        </w:tc>
      </w:tr>
      <w:tr w:rsidR="00DD5FA2" w:rsidRPr="007068A9" w:rsidTr="007970A4">
        <w:trPr>
          <w:trHeight w:val="227"/>
        </w:trPr>
        <w:tc>
          <w:tcPr>
            <w:tcW w:w="1424" w:type="dxa"/>
            <w:vMerge/>
          </w:tcPr>
          <w:p w:rsidR="00206A83" w:rsidRPr="000A2861" w:rsidRDefault="00206A83" w:rsidP="007970A4">
            <w:pPr>
              <w:ind w:left="0" w:right="0"/>
            </w:pPr>
          </w:p>
        </w:tc>
        <w:tc>
          <w:tcPr>
            <w:tcW w:w="1067" w:type="dxa"/>
            <w:vMerge w:val="restart"/>
          </w:tcPr>
          <w:p w:rsidR="00206A83" w:rsidRPr="000A2861" w:rsidRDefault="00206A83" w:rsidP="007970A4">
            <w:pPr>
              <w:ind w:left="0" w:right="0"/>
            </w:pPr>
            <w:r>
              <w:t>27 weeks</w:t>
            </w:r>
          </w:p>
        </w:tc>
        <w:tc>
          <w:tcPr>
            <w:tcW w:w="1107" w:type="dxa"/>
            <w:vMerge w:val="restart"/>
          </w:tcPr>
          <w:p w:rsidR="00206A83" w:rsidRPr="000A2861" w:rsidRDefault="00206A83" w:rsidP="007970A4">
            <w:pPr>
              <w:ind w:left="0" w:right="0"/>
            </w:pPr>
            <w:r>
              <w:t>weekly</w:t>
            </w:r>
          </w:p>
        </w:tc>
        <w:tc>
          <w:tcPr>
            <w:tcW w:w="1107" w:type="dxa"/>
          </w:tcPr>
          <w:p w:rsidR="00206A83" w:rsidRPr="000A2861" w:rsidRDefault="00206A83" w:rsidP="007970A4">
            <w:pPr>
              <w:ind w:left="0" w:right="0"/>
            </w:pPr>
            <w:r>
              <w:t>50</w:t>
            </w:r>
          </w:p>
        </w:tc>
        <w:tc>
          <w:tcPr>
            <w:tcW w:w="1107" w:type="dxa"/>
          </w:tcPr>
          <w:p w:rsidR="00206A83" w:rsidRPr="000A2861" w:rsidRDefault="00206A83" w:rsidP="007970A4">
            <w:pPr>
              <w:ind w:left="0" w:right="0"/>
            </w:pPr>
            <w:r>
              <w:t>50</w:t>
            </w:r>
          </w:p>
        </w:tc>
        <w:tc>
          <w:tcPr>
            <w:tcW w:w="1107" w:type="dxa"/>
          </w:tcPr>
          <w:p w:rsidR="00206A83" w:rsidRPr="000A2861" w:rsidRDefault="00206A83" w:rsidP="007970A4">
            <w:pPr>
              <w:ind w:left="0" w:right="0"/>
            </w:pPr>
            <w:r>
              <w:t>8.6</w:t>
            </w:r>
          </w:p>
        </w:tc>
        <w:tc>
          <w:tcPr>
            <w:tcW w:w="843" w:type="dxa"/>
          </w:tcPr>
          <w:p w:rsidR="00206A83" w:rsidRPr="00607021" w:rsidRDefault="00206A83" w:rsidP="007970A4">
            <w:pPr>
              <w:ind w:left="0" w:right="0"/>
            </w:pPr>
            <w:r w:rsidRPr="00607021">
              <w:t>0.5</w:t>
            </w:r>
          </w:p>
        </w:tc>
        <w:tc>
          <w:tcPr>
            <w:tcW w:w="843" w:type="dxa"/>
          </w:tcPr>
          <w:p w:rsidR="00206A83" w:rsidRPr="000A2861" w:rsidRDefault="00206A83" w:rsidP="007970A4">
            <w:pPr>
              <w:ind w:left="0" w:right="0"/>
            </w:pPr>
            <w:r>
              <w:t>0.6</w:t>
            </w:r>
          </w:p>
        </w:tc>
      </w:tr>
      <w:tr w:rsidR="00DD5FA2" w:rsidRPr="007068A9" w:rsidTr="007970A4">
        <w:trPr>
          <w:trHeight w:val="227"/>
        </w:trPr>
        <w:tc>
          <w:tcPr>
            <w:tcW w:w="1424" w:type="dxa"/>
            <w:vMerge/>
          </w:tcPr>
          <w:p w:rsidR="00206A83" w:rsidRPr="000A2861" w:rsidRDefault="00206A83" w:rsidP="007970A4">
            <w:pPr>
              <w:ind w:left="0" w:right="0"/>
            </w:pPr>
          </w:p>
        </w:tc>
        <w:tc>
          <w:tcPr>
            <w:tcW w:w="1067" w:type="dxa"/>
            <w:vMerge/>
          </w:tcPr>
          <w:p w:rsidR="00206A83" w:rsidRPr="000A2861" w:rsidRDefault="00206A83" w:rsidP="007970A4">
            <w:pPr>
              <w:ind w:left="0" w:right="0"/>
            </w:pPr>
          </w:p>
        </w:tc>
        <w:tc>
          <w:tcPr>
            <w:tcW w:w="1107" w:type="dxa"/>
            <w:vMerge/>
          </w:tcPr>
          <w:p w:rsidR="00206A83" w:rsidRPr="000A2861" w:rsidRDefault="00206A83" w:rsidP="007970A4">
            <w:pPr>
              <w:ind w:left="0" w:right="0"/>
            </w:pPr>
          </w:p>
        </w:tc>
        <w:tc>
          <w:tcPr>
            <w:tcW w:w="1107" w:type="dxa"/>
          </w:tcPr>
          <w:p w:rsidR="00206A83" w:rsidRPr="000A2861" w:rsidRDefault="00206A83" w:rsidP="007970A4">
            <w:pPr>
              <w:ind w:left="0" w:right="0"/>
            </w:pPr>
            <w:r>
              <w:t>200</w:t>
            </w:r>
          </w:p>
        </w:tc>
        <w:tc>
          <w:tcPr>
            <w:tcW w:w="1107" w:type="dxa"/>
          </w:tcPr>
          <w:p w:rsidR="00206A83" w:rsidRPr="000A2861" w:rsidRDefault="00206A83" w:rsidP="007970A4">
            <w:pPr>
              <w:ind w:left="0" w:right="0"/>
            </w:pPr>
            <w:r>
              <w:t>200</w:t>
            </w:r>
          </w:p>
        </w:tc>
        <w:tc>
          <w:tcPr>
            <w:tcW w:w="1107" w:type="dxa"/>
          </w:tcPr>
          <w:p w:rsidR="00206A83" w:rsidRPr="000A2861" w:rsidRDefault="00206A83" w:rsidP="007970A4">
            <w:pPr>
              <w:ind w:left="0" w:right="0"/>
            </w:pPr>
            <w:r>
              <w:t>50.3</w:t>
            </w:r>
          </w:p>
        </w:tc>
        <w:tc>
          <w:tcPr>
            <w:tcW w:w="843" w:type="dxa"/>
          </w:tcPr>
          <w:p w:rsidR="00206A83" w:rsidRPr="00607021" w:rsidRDefault="00206A83" w:rsidP="007970A4">
            <w:pPr>
              <w:ind w:left="0" w:right="0"/>
            </w:pPr>
            <w:r w:rsidRPr="00607021">
              <w:t>2</w:t>
            </w:r>
          </w:p>
        </w:tc>
        <w:tc>
          <w:tcPr>
            <w:tcW w:w="843" w:type="dxa"/>
          </w:tcPr>
          <w:p w:rsidR="00206A83" w:rsidRPr="000A2861" w:rsidRDefault="00206A83" w:rsidP="007970A4">
            <w:pPr>
              <w:ind w:left="0" w:right="0"/>
            </w:pPr>
            <w:r>
              <w:t>3.3</w:t>
            </w:r>
          </w:p>
        </w:tc>
      </w:tr>
      <w:tr w:rsidR="00DD5FA2" w:rsidRPr="007068A9" w:rsidTr="007970A4">
        <w:trPr>
          <w:trHeight w:val="227"/>
        </w:trPr>
        <w:tc>
          <w:tcPr>
            <w:tcW w:w="1424" w:type="dxa"/>
            <w:vMerge/>
          </w:tcPr>
          <w:p w:rsidR="00206A83" w:rsidRPr="000A2861" w:rsidRDefault="00206A83" w:rsidP="007970A4">
            <w:pPr>
              <w:ind w:left="0" w:right="0"/>
            </w:pPr>
          </w:p>
        </w:tc>
        <w:tc>
          <w:tcPr>
            <w:tcW w:w="1067" w:type="dxa"/>
            <w:vMerge/>
          </w:tcPr>
          <w:p w:rsidR="00206A83" w:rsidRPr="000A2861" w:rsidRDefault="00206A83" w:rsidP="007970A4">
            <w:pPr>
              <w:ind w:left="0" w:right="0"/>
            </w:pPr>
          </w:p>
        </w:tc>
        <w:tc>
          <w:tcPr>
            <w:tcW w:w="1107" w:type="dxa"/>
            <w:vMerge/>
          </w:tcPr>
          <w:p w:rsidR="00206A83" w:rsidRPr="000A2861" w:rsidRDefault="00206A83" w:rsidP="007970A4">
            <w:pPr>
              <w:ind w:left="0" w:right="0"/>
            </w:pPr>
          </w:p>
        </w:tc>
        <w:tc>
          <w:tcPr>
            <w:tcW w:w="1107" w:type="dxa"/>
          </w:tcPr>
          <w:p w:rsidR="00206A83" w:rsidRPr="000A2861" w:rsidRDefault="00206A83" w:rsidP="007970A4">
            <w:pPr>
              <w:ind w:left="0" w:right="0"/>
            </w:pPr>
            <w:r>
              <w:t>1000</w:t>
            </w:r>
          </w:p>
        </w:tc>
        <w:tc>
          <w:tcPr>
            <w:tcW w:w="1107" w:type="dxa"/>
          </w:tcPr>
          <w:p w:rsidR="00206A83" w:rsidRPr="000A2861" w:rsidRDefault="00206A83" w:rsidP="007970A4">
            <w:pPr>
              <w:ind w:left="0" w:right="0"/>
            </w:pPr>
            <w:r>
              <w:t>1000</w:t>
            </w:r>
          </w:p>
        </w:tc>
        <w:tc>
          <w:tcPr>
            <w:tcW w:w="1107" w:type="dxa"/>
          </w:tcPr>
          <w:p w:rsidR="00206A83" w:rsidRPr="000A2861" w:rsidRDefault="00206A83" w:rsidP="007970A4">
            <w:pPr>
              <w:ind w:left="0" w:right="0"/>
            </w:pPr>
            <w:r>
              <w:t>302.5</w:t>
            </w:r>
          </w:p>
        </w:tc>
        <w:tc>
          <w:tcPr>
            <w:tcW w:w="843" w:type="dxa"/>
          </w:tcPr>
          <w:p w:rsidR="00206A83" w:rsidRPr="00607021" w:rsidRDefault="00206A83" w:rsidP="007970A4">
            <w:pPr>
              <w:ind w:left="0" w:right="0"/>
            </w:pPr>
            <w:r w:rsidRPr="00607021">
              <w:t>10</w:t>
            </w:r>
          </w:p>
        </w:tc>
        <w:tc>
          <w:tcPr>
            <w:tcW w:w="843" w:type="dxa"/>
          </w:tcPr>
          <w:p w:rsidR="00206A83" w:rsidRPr="000A2861" w:rsidRDefault="00206A83" w:rsidP="007970A4">
            <w:pPr>
              <w:ind w:left="0" w:right="0"/>
            </w:pPr>
            <w:r>
              <w:t>20</w:t>
            </w:r>
          </w:p>
        </w:tc>
      </w:tr>
      <w:tr w:rsidR="00DD5FA2" w:rsidRPr="007068A9" w:rsidTr="007970A4">
        <w:trPr>
          <w:trHeight w:val="227"/>
        </w:trPr>
        <w:tc>
          <w:tcPr>
            <w:tcW w:w="1424" w:type="dxa"/>
          </w:tcPr>
          <w:p w:rsidR="00206A83" w:rsidRPr="000A2861" w:rsidRDefault="00206A83" w:rsidP="007970A4">
            <w:pPr>
              <w:ind w:left="0" w:right="0"/>
            </w:pPr>
            <w:r w:rsidRPr="007970A4">
              <w:rPr>
                <w:b/>
              </w:rPr>
              <w:t>Human</w:t>
            </w:r>
            <w:r w:rsidRPr="000A2861">
              <w:br/>
            </w:r>
            <w:r>
              <w:t>Hem B patients</w:t>
            </w:r>
          </w:p>
        </w:tc>
        <w:tc>
          <w:tcPr>
            <w:tcW w:w="1067" w:type="dxa"/>
          </w:tcPr>
          <w:p w:rsidR="00206A83" w:rsidRDefault="00206A83" w:rsidP="007970A4">
            <w:pPr>
              <w:ind w:left="0" w:right="0"/>
            </w:pPr>
            <w:r>
              <w:t>Single dose</w:t>
            </w:r>
          </w:p>
        </w:tc>
        <w:tc>
          <w:tcPr>
            <w:tcW w:w="1107" w:type="dxa"/>
          </w:tcPr>
          <w:p w:rsidR="00206A83" w:rsidRPr="00110577" w:rsidRDefault="00206A83" w:rsidP="007970A4">
            <w:pPr>
              <w:ind w:left="0" w:right="0"/>
            </w:pPr>
            <w:r w:rsidRPr="00110577">
              <w:t>(</w:t>
            </w:r>
            <w:r w:rsidR="00110577">
              <w:t xml:space="preserve">Study </w:t>
            </w:r>
            <w:r w:rsidRPr="00110577">
              <w:t>SYN-FIXFc-07-001)</w:t>
            </w:r>
          </w:p>
        </w:tc>
        <w:tc>
          <w:tcPr>
            <w:tcW w:w="1107" w:type="dxa"/>
          </w:tcPr>
          <w:p w:rsidR="00206A83" w:rsidRPr="000A2861" w:rsidRDefault="00206A83" w:rsidP="007970A4">
            <w:pPr>
              <w:ind w:left="0" w:right="0"/>
            </w:pPr>
            <w:r>
              <w:t>100</w:t>
            </w:r>
          </w:p>
        </w:tc>
        <w:tc>
          <w:tcPr>
            <w:tcW w:w="1107" w:type="dxa"/>
          </w:tcPr>
          <w:p w:rsidR="00206A83" w:rsidRPr="000A2861" w:rsidRDefault="00206A83" w:rsidP="007970A4">
            <w:pPr>
              <w:ind w:left="0" w:right="0"/>
            </w:pPr>
            <w:r>
              <w:t>100</w:t>
            </w:r>
          </w:p>
        </w:tc>
        <w:tc>
          <w:tcPr>
            <w:tcW w:w="1107" w:type="dxa"/>
          </w:tcPr>
          <w:p w:rsidR="00206A83" w:rsidRPr="000A2861" w:rsidRDefault="00206A83" w:rsidP="007970A4">
            <w:pPr>
              <w:ind w:left="0" w:right="0"/>
            </w:pPr>
            <w:r>
              <w:t>15.4</w:t>
            </w:r>
          </w:p>
        </w:tc>
        <w:tc>
          <w:tcPr>
            <w:tcW w:w="843" w:type="dxa"/>
          </w:tcPr>
          <w:p w:rsidR="00206A83" w:rsidRPr="00607021" w:rsidRDefault="00206A83" w:rsidP="007970A4">
            <w:pPr>
              <w:ind w:left="0" w:right="0"/>
            </w:pPr>
            <w:r w:rsidRPr="00607021">
              <w:t>–</w:t>
            </w:r>
          </w:p>
        </w:tc>
        <w:tc>
          <w:tcPr>
            <w:tcW w:w="843" w:type="dxa"/>
          </w:tcPr>
          <w:p w:rsidR="00206A83" w:rsidRPr="000A2861" w:rsidRDefault="00206A83" w:rsidP="007970A4">
            <w:pPr>
              <w:ind w:left="0" w:right="0"/>
            </w:pPr>
            <w:r w:rsidRPr="000A2861">
              <w:t>–</w:t>
            </w:r>
          </w:p>
        </w:tc>
      </w:tr>
    </w:tbl>
    <w:p w:rsidR="00206A83" w:rsidRPr="002A6C42" w:rsidRDefault="00206A83" w:rsidP="007970A4">
      <w:pPr>
        <w:pStyle w:val="TableDescription"/>
      </w:pPr>
      <w:r w:rsidRPr="002A6C42">
        <w:t>*Because rats were dosed once every 4 days doses converted to weekly estimate values by divi</w:t>
      </w:r>
      <w:r w:rsidR="00150C2E">
        <w:t>di</w:t>
      </w:r>
      <w:r w:rsidRPr="002A6C42">
        <w:t xml:space="preserve">ng by 4 and multiplying by 7; ^values from the last sampling day (rats: </w:t>
      </w:r>
      <w:r w:rsidR="00A97C7A" w:rsidRPr="002A6C42">
        <w:t>D</w:t>
      </w:r>
      <w:r w:rsidRPr="002A6C42">
        <w:t xml:space="preserve">ay 29; monkeys </w:t>
      </w:r>
      <w:r w:rsidR="00A97C7A" w:rsidRPr="002A6C42">
        <w:t>D</w:t>
      </w:r>
      <w:r w:rsidRPr="002A6C42">
        <w:t xml:space="preserve">ay 30 and </w:t>
      </w:r>
      <w:r w:rsidR="00A97C7A" w:rsidRPr="002A6C42">
        <w:t>D</w:t>
      </w:r>
      <w:r w:rsidRPr="002A6C42">
        <w:t>ay 183), shown as average male and female values</w:t>
      </w:r>
      <w:r w:rsidR="000E6D57" w:rsidRPr="002A6C42">
        <w:t>.</w:t>
      </w:r>
    </w:p>
    <w:p w:rsidR="00206A83" w:rsidRPr="007970A4" w:rsidRDefault="00206A83" w:rsidP="007970A4">
      <w:pPr>
        <w:pStyle w:val="Heading4"/>
      </w:pPr>
      <w:r>
        <w:t>Major toxicities</w:t>
      </w:r>
    </w:p>
    <w:p w:rsidR="00206A83" w:rsidRPr="002A6C42" w:rsidRDefault="00206A83" w:rsidP="007970A4">
      <w:r w:rsidRPr="002A6C42">
        <w:t xml:space="preserve">Repeated doses of </w:t>
      </w:r>
      <w:proofErr w:type="spellStart"/>
      <w:r w:rsidRPr="002A6C42">
        <w:t>rFIXFc</w:t>
      </w:r>
      <w:proofErr w:type="spellEnd"/>
      <w:r w:rsidRPr="002A6C42">
        <w:t xml:space="preserve"> were well tolerated in both animal species used in the toxicity studies: rats and cynomolgus monkeys. No deaths were observed in any of the studies and </w:t>
      </w:r>
      <w:r w:rsidRPr="002A6C42">
        <w:lastRenderedPageBreak/>
        <w:t>there were no overt treatment</w:t>
      </w:r>
      <w:r w:rsidR="00A97C7A" w:rsidRPr="002A6C42">
        <w:t xml:space="preserve"> </w:t>
      </w:r>
      <w:r w:rsidRPr="002A6C42">
        <w:t xml:space="preserve">related clinical signs. In the longer duration monkey study, clinical signs consistent with a hypersensitivity reaction and likely associated with antibody development were noted, such as swelling of nose/muzzle, reddening of ears and genitalia, swelling of forelimb, which were transient and were not coincidental with gross pathological or histopathological changes. The data indicate a potential for hypersensitivity </w:t>
      </w:r>
      <w:r w:rsidR="007970A4">
        <w:t>reactions during clinical use.</w:t>
      </w:r>
    </w:p>
    <w:p w:rsidR="00206A83" w:rsidRPr="002A6C42" w:rsidRDefault="00206A83" w:rsidP="007970A4">
      <w:r w:rsidRPr="002A6C42">
        <w:t xml:space="preserve">Antidrug antibodies were detected in monkeys that received weekly doses of </w:t>
      </w:r>
      <w:proofErr w:type="spellStart"/>
      <w:r w:rsidRPr="002A6C42">
        <w:t>rFIXFc</w:t>
      </w:r>
      <w:proofErr w:type="spellEnd"/>
      <w:r w:rsidRPr="002A6C42">
        <w:t xml:space="preserve"> for 27 weeks. Onset of development was earliest in the highest dose treated animals (1000 IU/kg, IV) with a significant majority of animals from this group positive for antibodies by </w:t>
      </w:r>
      <w:r w:rsidR="00A97C7A" w:rsidRPr="002A6C42">
        <w:t>D</w:t>
      </w:r>
      <w:r w:rsidRPr="002A6C42">
        <w:t xml:space="preserve">ay 29. Characterisation of the antibodies determined that they targeted different regions of the </w:t>
      </w:r>
      <w:proofErr w:type="spellStart"/>
      <w:r w:rsidRPr="002A6C42">
        <w:t>rFIXFc</w:t>
      </w:r>
      <w:proofErr w:type="spellEnd"/>
      <w:r w:rsidRPr="002A6C42">
        <w:t xml:space="preserve"> protein (</w:t>
      </w:r>
      <w:r w:rsidR="000E6D57" w:rsidRPr="002A6C42">
        <w:t>that is</w:t>
      </w:r>
      <w:r w:rsidRPr="002A6C42">
        <w:t xml:space="preserve"> the intact </w:t>
      </w:r>
      <w:proofErr w:type="spellStart"/>
      <w:r w:rsidRPr="002A6C42">
        <w:t>rFIXFc</w:t>
      </w:r>
      <w:proofErr w:type="spellEnd"/>
      <w:r w:rsidRPr="002A6C42">
        <w:t xml:space="preserve"> entity, the Fc moiety or the </w:t>
      </w:r>
      <w:proofErr w:type="spellStart"/>
      <w:r w:rsidRPr="002A6C42">
        <w:t>rFIX</w:t>
      </w:r>
      <w:proofErr w:type="spellEnd"/>
      <w:r w:rsidRPr="002A6C42">
        <w:t xml:space="preserve"> moiety). The clinical relevance of anti-drug antibody production in animals is uncertain, as it is not always predictive of the situation in human subjects. The potential for antibody production and its effect on </w:t>
      </w:r>
      <w:proofErr w:type="spellStart"/>
      <w:r w:rsidRPr="002A6C42">
        <w:t>rFIXFc</w:t>
      </w:r>
      <w:proofErr w:type="spellEnd"/>
      <w:r w:rsidRPr="002A6C42">
        <w:t xml:space="preserve"> exposures, as well as the potential to affect the activity of other FIX products, needs to rely solely on clinical data.</w:t>
      </w:r>
    </w:p>
    <w:p w:rsidR="00206A83" w:rsidRPr="007970A4" w:rsidRDefault="00206A83" w:rsidP="007970A4">
      <w:pPr>
        <w:pStyle w:val="Heading4"/>
      </w:pPr>
      <w:bookmarkStart w:id="56" w:name="_Toc294861730"/>
      <w:proofErr w:type="spellStart"/>
      <w:r>
        <w:t>Genotoxicity</w:t>
      </w:r>
      <w:proofErr w:type="spellEnd"/>
      <w:r w:rsidRPr="001258AE">
        <w:t xml:space="preserve"> </w:t>
      </w:r>
      <w:r>
        <w:t xml:space="preserve">and </w:t>
      </w:r>
      <w:r w:rsidR="00110577">
        <w:t>c</w:t>
      </w:r>
      <w:r w:rsidRPr="001258AE">
        <w:t>arcinogenicity</w:t>
      </w:r>
      <w:bookmarkEnd w:id="56"/>
    </w:p>
    <w:p w:rsidR="00206A83" w:rsidRPr="002A6C42" w:rsidRDefault="00206A83" w:rsidP="007970A4">
      <w:r w:rsidRPr="002A6C42">
        <w:t xml:space="preserve">No </w:t>
      </w:r>
      <w:proofErr w:type="spellStart"/>
      <w:r w:rsidRPr="002A6C42">
        <w:t>genotoxicity</w:t>
      </w:r>
      <w:proofErr w:type="spellEnd"/>
      <w:r w:rsidRPr="002A6C42">
        <w:t xml:space="preserve"> studies with </w:t>
      </w:r>
      <w:proofErr w:type="spellStart"/>
      <w:r w:rsidRPr="002A6C42">
        <w:t>rFIXFc</w:t>
      </w:r>
      <w:proofErr w:type="spellEnd"/>
      <w:r w:rsidRPr="002A6C42">
        <w:t xml:space="preserve"> were submitted which is acceptable given the nature of the product (protein) and the absence of a chemical linker (</w:t>
      </w:r>
      <w:r w:rsidR="00110577" w:rsidRPr="002A6C42">
        <w:t xml:space="preserve">see </w:t>
      </w:r>
      <w:r w:rsidRPr="002A6C42">
        <w:t>ICH S6</w:t>
      </w:r>
      <w:r w:rsidR="00110577" w:rsidRPr="002A6C42">
        <w:t xml:space="preserve"> (R1)</w:t>
      </w:r>
      <w:r w:rsidRPr="002A6C42">
        <w:t>). The absence of carcinogenicity studies is also acceptable on the grounds that ICH guidance regards standard carcinogenicity studies as inappropriate for ascertaining the carcinogenicity of biotechnology</w:t>
      </w:r>
      <w:r w:rsidR="00120026" w:rsidRPr="002A6C42">
        <w:t xml:space="preserve"> </w:t>
      </w:r>
      <w:r w:rsidR="007970A4">
        <w:t>derived products.</w:t>
      </w:r>
    </w:p>
    <w:p w:rsidR="00206A83" w:rsidRPr="007970A4" w:rsidRDefault="00206A83" w:rsidP="007970A4">
      <w:pPr>
        <w:pStyle w:val="Heading4"/>
      </w:pPr>
      <w:r>
        <w:t>Reproductive toxicity</w:t>
      </w:r>
    </w:p>
    <w:p w:rsidR="00206A83" w:rsidRPr="002A6C42" w:rsidRDefault="00206A83" w:rsidP="007970A4">
      <w:r w:rsidRPr="002A6C42">
        <w:t xml:space="preserve">The sponsor did not conduct reproductive toxicity studies on </w:t>
      </w:r>
      <w:proofErr w:type="spellStart"/>
      <w:r w:rsidRPr="002A6C42">
        <w:t>rFIXFc</w:t>
      </w:r>
      <w:proofErr w:type="spellEnd"/>
      <w:r w:rsidRPr="002A6C42">
        <w:t xml:space="preserve"> nor do they plan to conduct any in the future. This is acceptable in view of the fact that males with a sex</w:t>
      </w:r>
      <w:r w:rsidR="004054B0" w:rsidRPr="002A6C42">
        <w:t xml:space="preserve"> </w:t>
      </w:r>
      <w:r w:rsidRPr="002A6C42">
        <w:t xml:space="preserve">linked disease are the intended patient population and exposure to females during pregnancy and </w:t>
      </w:r>
      <w:proofErr w:type="spellStart"/>
      <w:r w:rsidRPr="002A6C42">
        <w:t>embryofetal</w:t>
      </w:r>
      <w:proofErr w:type="spellEnd"/>
      <w:r w:rsidRPr="002A6C42">
        <w:t xml:space="preserve"> development is remote. The sponsor highlighted the lack of test article findings on the male reproductive organs of rats and monkeys from the repeat dose toxicity studies as evidence that fertility was unlikely to be affected. Other FIX products have been approved for registration without studies assessing reproduct</w:t>
      </w:r>
      <w:r w:rsidR="007970A4">
        <w:t>ive and developmental toxicity.</w:t>
      </w:r>
    </w:p>
    <w:p w:rsidR="00206A83" w:rsidRDefault="00206A83" w:rsidP="007970A4">
      <w:pPr>
        <w:pStyle w:val="Heading5"/>
      </w:pPr>
      <w:r>
        <w:t xml:space="preserve">Pregnancy </w:t>
      </w:r>
      <w:r w:rsidRPr="007970A4">
        <w:t>classification</w:t>
      </w:r>
    </w:p>
    <w:p w:rsidR="00206A83" w:rsidRPr="00FF170D" w:rsidRDefault="00206A83" w:rsidP="007970A4">
      <w:r>
        <w:t>The sponsor did not nominate a p</w:t>
      </w:r>
      <w:r w:rsidR="00110577">
        <w:t xml:space="preserve">regnancy category for </w:t>
      </w:r>
      <w:proofErr w:type="spellStart"/>
      <w:r w:rsidR="00110577">
        <w:t>rFIXFc</w:t>
      </w:r>
      <w:proofErr w:type="spellEnd"/>
      <w:r w:rsidR="00110577">
        <w:t xml:space="preserve">. </w:t>
      </w:r>
      <w:r>
        <w:t xml:space="preserve">Whilst the patient population affected by haemophilia B and intended to use </w:t>
      </w:r>
      <w:proofErr w:type="spellStart"/>
      <w:r>
        <w:t>rFIXFc</w:t>
      </w:r>
      <w:proofErr w:type="spellEnd"/>
      <w:r>
        <w:t xml:space="preserve"> is males with a sex</w:t>
      </w:r>
      <w:r w:rsidR="004054B0">
        <w:t xml:space="preserve"> </w:t>
      </w:r>
      <w:r>
        <w:t xml:space="preserve">linked disease, there are some rare instances where females are afflicted and thus an appropriate category should be assigned to convey to prescribers potential risks on </w:t>
      </w:r>
      <w:proofErr w:type="spellStart"/>
      <w:r>
        <w:t>fetal</w:t>
      </w:r>
      <w:proofErr w:type="spellEnd"/>
      <w:r>
        <w:t xml:space="preserve"> health arising from maternal exposure. Most of the other recombinant clotting factor substances, including recombinant FIX (</w:t>
      </w:r>
      <w:proofErr w:type="spellStart"/>
      <w:r>
        <w:t>BeneFIX</w:t>
      </w:r>
      <w:proofErr w:type="spellEnd"/>
      <w:r>
        <w:t xml:space="preserve">), have </w:t>
      </w:r>
      <w:r w:rsidR="002A6C42">
        <w:t xml:space="preserve">been assigned </w:t>
      </w:r>
      <w:r>
        <w:t>category B2</w:t>
      </w:r>
      <w:r w:rsidR="00110577" w:rsidRPr="00120026">
        <w:rPr>
          <w:rStyle w:val="FootnoteReference"/>
        </w:rPr>
        <w:footnoteReference w:id="5"/>
      </w:r>
      <w:r>
        <w:t xml:space="preserve">, on the basis that no animal reproductive studies have been conducted to determine effects on </w:t>
      </w:r>
      <w:proofErr w:type="spellStart"/>
      <w:r>
        <w:t>fetal</w:t>
      </w:r>
      <w:proofErr w:type="spellEnd"/>
      <w:r>
        <w:t xml:space="preserve"> development. Thus, </w:t>
      </w:r>
      <w:proofErr w:type="spellStart"/>
      <w:r>
        <w:t>rFIXFc</w:t>
      </w:r>
      <w:proofErr w:type="spellEnd"/>
      <w:r>
        <w:t xml:space="preserve"> should also be assigned </w:t>
      </w:r>
      <w:r w:rsidRPr="004054B0">
        <w:t>Category B2</w:t>
      </w:r>
      <w:r w:rsidR="00112B5A">
        <w:rPr>
          <w:rStyle w:val="FootnoteReference"/>
        </w:rPr>
        <w:footnoteReference w:id="6"/>
      </w:r>
      <w:r w:rsidRPr="00120026">
        <w:t>.</w:t>
      </w:r>
    </w:p>
    <w:p w:rsidR="00206A83" w:rsidRPr="007970A4" w:rsidRDefault="00206A83" w:rsidP="007970A4">
      <w:pPr>
        <w:pStyle w:val="Heading4"/>
      </w:pPr>
      <w:r>
        <w:lastRenderedPageBreak/>
        <w:t>Local tolerance</w:t>
      </w:r>
    </w:p>
    <w:p w:rsidR="00206A83" w:rsidRPr="002A6C42" w:rsidRDefault="00206A83" w:rsidP="007970A4">
      <w:r w:rsidRPr="002A6C42">
        <w:t xml:space="preserve">In rabbits, a slightly higher grade of erythema was observed following IV administration of 566 IU/mL </w:t>
      </w:r>
      <w:proofErr w:type="spellStart"/>
      <w:r w:rsidRPr="002A6C42">
        <w:t>rFIXFc</w:t>
      </w:r>
      <w:proofErr w:type="spellEnd"/>
      <w:r w:rsidRPr="002A6C42">
        <w:t xml:space="preserve"> (slightly higher than the clinical dose) compared with saline, but no evidence of tissue damage. There was no significant difference between treated and control sites following </w:t>
      </w:r>
      <w:proofErr w:type="spellStart"/>
      <w:r w:rsidRPr="002A6C42">
        <w:t>paravenous</w:t>
      </w:r>
      <w:proofErr w:type="spellEnd"/>
      <w:r w:rsidRPr="002A6C42">
        <w:t xml:space="preserve"> injection to rabbits. Overall, local reactions are predicted to be minimal during clinical use.</w:t>
      </w:r>
    </w:p>
    <w:p w:rsidR="00206A83" w:rsidRPr="007970A4" w:rsidRDefault="00206A83" w:rsidP="007970A4">
      <w:pPr>
        <w:pStyle w:val="Heading4"/>
      </w:pPr>
      <w:r w:rsidRPr="00D14021">
        <w:t>Paediatric use</w:t>
      </w:r>
    </w:p>
    <w:p w:rsidR="00206A83" w:rsidRPr="002A6C42" w:rsidRDefault="00206A83" w:rsidP="007970A4">
      <w:r w:rsidRPr="002A6C42">
        <w:t xml:space="preserve">Although </w:t>
      </w:r>
      <w:proofErr w:type="spellStart"/>
      <w:r w:rsidRPr="002A6C42">
        <w:t>rFIXFc</w:t>
      </w:r>
      <w:proofErr w:type="spellEnd"/>
      <w:r w:rsidRPr="002A6C42">
        <w:t xml:space="preserve"> is proposed for u</w:t>
      </w:r>
      <w:r w:rsidR="00574BF2" w:rsidRPr="002A6C42">
        <w:t>se in adults and adolescents (</w:t>
      </w:r>
      <w:r w:rsidR="004054B0" w:rsidRPr="002A6C42">
        <w:t xml:space="preserve">≥ </w:t>
      </w:r>
      <w:r w:rsidRPr="002A6C42">
        <w:t>12 years old), no studies in juvenile animals were performed. There were no significant or nota</w:t>
      </w:r>
      <w:r w:rsidR="004054B0" w:rsidRPr="002A6C42">
        <w:t xml:space="preserve">ble effects noted in the repeat </w:t>
      </w:r>
      <w:r w:rsidRPr="002A6C42">
        <w:t>dose toxicity studies to raise concern about use in a younger patient population.</w:t>
      </w:r>
    </w:p>
    <w:p w:rsidR="008E7846" w:rsidRDefault="008E7846" w:rsidP="007970A4">
      <w:pPr>
        <w:pStyle w:val="Heading3"/>
      </w:pPr>
      <w:bookmarkStart w:id="57" w:name="_Toc404068927"/>
      <w:r>
        <w:t xml:space="preserve">Nonclinical </w:t>
      </w:r>
      <w:r w:rsidRPr="007970A4">
        <w:t>summary</w:t>
      </w:r>
      <w:r>
        <w:t xml:space="preserve"> and conclusions</w:t>
      </w:r>
      <w:bookmarkEnd w:id="54"/>
      <w:bookmarkEnd w:id="55"/>
      <w:bookmarkEnd w:id="57"/>
    </w:p>
    <w:p w:rsidR="00206A83" w:rsidRPr="002A6C42" w:rsidRDefault="00206A83" w:rsidP="007970A4">
      <w:pPr>
        <w:pStyle w:val="ListBullet"/>
      </w:pPr>
      <w:bookmarkStart w:id="58" w:name="_Toc163441353"/>
      <w:bookmarkStart w:id="59" w:name="_Toc163441348"/>
      <w:bookmarkStart w:id="60" w:name="_Toc196046462"/>
      <w:bookmarkStart w:id="61" w:name="_Toc247691516"/>
      <w:bookmarkStart w:id="62" w:name="_Toc314842500"/>
      <w:r w:rsidRPr="002A6C42">
        <w:t>The quality of the nonclinical submission was generally satisfactory, with pertinent studies performed under GLP conditions, meeting most ICH guideline recommendations relevant for biotechnology</w:t>
      </w:r>
      <w:r w:rsidR="004054B0" w:rsidRPr="002A6C42">
        <w:t xml:space="preserve"> </w:t>
      </w:r>
      <w:r w:rsidRPr="002A6C42">
        <w:t>derived therapeutic products. The clinical route (</w:t>
      </w:r>
      <w:r w:rsidR="00574BF2" w:rsidRPr="002A6C42">
        <w:t>IV</w:t>
      </w:r>
      <w:r w:rsidRPr="002A6C42">
        <w:t>) was used and animal models were appropriate and responsiv</w:t>
      </w:r>
      <w:r w:rsidR="007970A4">
        <w:t xml:space="preserve">e to </w:t>
      </w:r>
      <w:proofErr w:type="spellStart"/>
      <w:r w:rsidR="007970A4">
        <w:t>rFIXFc</w:t>
      </w:r>
      <w:proofErr w:type="spellEnd"/>
      <w:r w:rsidR="007970A4">
        <w:t>.</w:t>
      </w:r>
    </w:p>
    <w:p w:rsidR="00206A83" w:rsidRPr="002A6C42" w:rsidRDefault="00206A83" w:rsidP="007970A4">
      <w:pPr>
        <w:pStyle w:val="ListBullet"/>
      </w:pPr>
      <w:proofErr w:type="spellStart"/>
      <w:proofErr w:type="gramStart"/>
      <w:r w:rsidRPr="002A6C42">
        <w:t>rFIXFc</w:t>
      </w:r>
      <w:proofErr w:type="spellEnd"/>
      <w:proofErr w:type="gramEnd"/>
      <w:r w:rsidRPr="002A6C42">
        <w:t xml:space="preserve"> was shown to have comparable clotting activity to the comparator </w:t>
      </w:r>
      <w:proofErr w:type="spellStart"/>
      <w:r w:rsidRPr="002A6C42">
        <w:t>BeneFIX</w:t>
      </w:r>
      <w:proofErr w:type="spellEnd"/>
      <w:r w:rsidRPr="002A6C42">
        <w:t xml:space="preserve"> (</w:t>
      </w:r>
      <w:proofErr w:type="spellStart"/>
      <w:r w:rsidRPr="002A6C42">
        <w:t>rFIX</w:t>
      </w:r>
      <w:proofErr w:type="spellEnd"/>
      <w:r w:rsidRPr="002A6C42">
        <w:t xml:space="preserve">). Affinity for the </w:t>
      </w:r>
      <w:proofErr w:type="spellStart"/>
      <w:r w:rsidRPr="002A6C42">
        <w:t>FcRn</w:t>
      </w:r>
      <w:proofErr w:type="spellEnd"/>
      <w:r w:rsidRPr="002A6C42">
        <w:t xml:space="preserve"> receptor was demonstrated with rat, monkey and human </w:t>
      </w:r>
      <w:proofErr w:type="spellStart"/>
      <w:r w:rsidRPr="002A6C42">
        <w:t>FcRn</w:t>
      </w:r>
      <w:proofErr w:type="spellEnd"/>
      <w:r w:rsidRPr="002A6C42">
        <w:t xml:space="preserve"> receptors. In animal models of haemophilia B (mice and dogs), sustained clotting activity correlated with sustained plasma FIX levels. Both bleeding and prophylactic models were used, thus supporting the proposed indication.</w:t>
      </w:r>
    </w:p>
    <w:p w:rsidR="00206A83" w:rsidRDefault="00206A83" w:rsidP="007970A4">
      <w:pPr>
        <w:pStyle w:val="ListBullet"/>
      </w:pPr>
      <w:r>
        <w:t xml:space="preserve">Safety pharmacology assessments were </w:t>
      </w:r>
      <w:r w:rsidR="00150C2E">
        <w:t>not comprehensive</w:t>
      </w:r>
      <w:r>
        <w:t>. Nonetheless, this is not considered a major deficiency, given the nature of the drug.</w:t>
      </w:r>
    </w:p>
    <w:p w:rsidR="00206A83" w:rsidRDefault="00206A83" w:rsidP="007970A4">
      <w:pPr>
        <w:pStyle w:val="ListBullet"/>
      </w:pPr>
      <w:r>
        <w:t xml:space="preserve">The elimination </w:t>
      </w:r>
      <w:r w:rsidR="000F2F0F">
        <w:t>half-life</w:t>
      </w:r>
      <w:r>
        <w:t xml:space="preserve"> and plasma FIX levels (as AUC) were higher for </w:t>
      </w:r>
      <w:proofErr w:type="spellStart"/>
      <w:r>
        <w:t>rFIXFc</w:t>
      </w:r>
      <w:proofErr w:type="spellEnd"/>
      <w:r>
        <w:t xml:space="preserve"> than </w:t>
      </w:r>
      <w:proofErr w:type="spellStart"/>
      <w:r>
        <w:t>BeneFIX</w:t>
      </w:r>
      <w:proofErr w:type="spellEnd"/>
      <w:r>
        <w:t xml:space="preserve"> across all tested species (mice and rats). Confirming involvement of Fc in conferring longer activity of </w:t>
      </w:r>
      <w:proofErr w:type="spellStart"/>
      <w:r>
        <w:t>rFIXFc</w:t>
      </w:r>
      <w:proofErr w:type="spellEnd"/>
      <w:r>
        <w:t xml:space="preserve">, </w:t>
      </w:r>
      <w:proofErr w:type="spellStart"/>
      <w:r>
        <w:t>FcRn</w:t>
      </w:r>
      <w:proofErr w:type="spellEnd"/>
      <w:r>
        <w:t xml:space="preserve"> knockout mice had comparable elimination </w:t>
      </w:r>
      <w:r w:rsidR="0030781A">
        <w:t>half-lives</w:t>
      </w:r>
      <w:r>
        <w:t xml:space="preserve"> for </w:t>
      </w:r>
      <w:proofErr w:type="spellStart"/>
      <w:r>
        <w:t>rFIXFc</w:t>
      </w:r>
      <w:proofErr w:type="spellEnd"/>
      <w:r>
        <w:t xml:space="preserve"> and </w:t>
      </w:r>
      <w:proofErr w:type="spellStart"/>
      <w:r>
        <w:t>BeneFIX</w:t>
      </w:r>
      <w:proofErr w:type="spellEnd"/>
      <w:r>
        <w:t xml:space="preserve">. Shorter half-lives and lower exposures (AUC) were seen in rats and </w:t>
      </w:r>
      <w:r w:rsidR="00580603">
        <w:t xml:space="preserve">monkeys </w:t>
      </w:r>
      <w:r>
        <w:t>with repeat</w:t>
      </w:r>
      <w:r w:rsidR="004054B0">
        <w:t xml:space="preserve"> </w:t>
      </w:r>
      <w:r>
        <w:t>dosing, which correlated with anti</w:t>
      </w:r>
      <w:r w:rsidRPr="002E5D21">
        <w:t>-</w:t>
      </w:r>
      <w:r>
        <w:t xml:space="preserve">drug antibody production. No studies on the distribution, metabolism or excretion of </w:t>
      </w:r>
      <w:proofErr w:type="spellStart"/>
      <w:r>
        <w:t>rFIXFc</w:t>
      </w:r>
      <w:proofErr w:type="spellEnd"/>
      <w:r>
        <w:t xml:space="preserve"> were submitted, which is acceptable.</w:t>
      </w:r>
    </w:p>
    <w:p w:rsidR="00206A83" w:rsidRDefault="00206A83" w:rsidP="007970A4">
      <w:pPr>
        <w:pStyle w:val="ListBullet"/>
      </w:pPr>
      <w:proofErr w:type="spellStart"/>
      <w:proofErr w:type="gramStart"/>
      <w:r>
        <w:t>rFIXFc</w:t>
      </w:r>
      <w:proofErr w:type="spellEnd"/>
      <w:proofErr w:type="gramEnd"/>
      <w:r>
        <w:t xml:space="preserve"> was well tolerated in repeat</w:t>
      </w:r>
      <w:r w:rsidR="004054B0">
        <w:t xml:space="preserve"> </w:t>
      </w:r>
      <w:r>
        <w:t>dose toxicity studies in rats and monkeys with minimal changes noted at doses significantly higher than the routine clinical dose. The only notable effect</w:t>
      </w:r>
      <w:r w:rsidR="00112B5A">
        <w:t>s</w:t>
      </w:r>
      <w:r>
        <w:t xml:space="preserve"> were signs of a hypersensiti</w:t>
      </w:r>
      <w:r w:rsidR="002A6C42">
        <w:t xml:space="preserve">vity reaction (swelling of nose or </w:t>
      </w:r>
      <w:r>
        <w:t xml:space="preserve">muzzle, reddening of ears and genitalia, </w:t>
      </w:r>
      <w:r w:rsidR="002A6C42">
        <w:t xml:space="preserve">and </w:t>
      </w:r>
      <w:r>
        <w:t xml:space="preserve">swelling of forelimb) in monkeys, which may have correlated with antibody production. Antigenicity was a consistent feature of the chronic dose studies, which reduced circulating </w:t>
      </w:r>
      <w:proofErr w:type="spellStart"/>
      <w:r>
        <w:t>FIXFc</w:t>
      </w:r>
      <w:proofErr w:type="spellEnd"/>
      <w:r>
        <w:t xml:space="preserve"> levels. The clinical relevance of the antibody and hypersensitivity reactions is uncertain, but should at this stage be considered as possible.</w:t>
      </w:r>
    </w:p>
    <w:p w:rsidR="00206A83" w:rsidRDefault="00206A83" w:rsidP="007970A4">
      <w:pPr>
        <w:pStyle w:val="ListBullet"/>
      </w:pPr>
      <w:r>
        <w:t xml:space="preserve">The </w:t>
      </w:r>
      <w:proofErr w:type="spellStart"/>
      <w:r>
        <w:t>thrombogenic</w:t>
      </w:r>
      <w:proofErr w:type="spellEnd"/>
      <w:r>
        <w:t xml:space="preserve"> potential of </w:t>
      </w:r>
      <w:proofErr w:type="spellStart"/>
      <w:r>
        <w:t>rFIXFc</w:t>
      </w:r>
      <w:proofErr w:type="spellEnd"/>
      <w:r>
        <w:t xml:space="preserve"> was no greater than </w:t>
      </w:r>
      <w:proofErr w:type="spellStart"/>
      <w:r>
        <w:t>BeneFIX</w:t>
      </w:r>
      <w:proofErr w:type="spellEnd"/>
      <w:r>
        <w:t xml:space="preserve"> or saline.</w:t>
      </w:r>
    </w:p>
    <w:p w:rsidR="00206A83" w:rsidRDefault="00206A83" w:rsidP="007970A4">
      <w:pPr>
        <w:pStyle w:val="ListBullet"/>
      </w:pPr>
      <w:r>
        <w:t xml:space="preserve">Genotoxicity and carcinogenicity studies on </w:t>
      </w:r>
      <w:proofErr w:type="spellStart"/>
      <w:r>
        <w:t>rFIXFc</w:t>
      </w:r>
      <w:proofErr w:type="spellEnd"/>
      <w:r>
        <w:t xml:space="preserve"> were not conducted, </w:t>
      </w:r>
      <w:r w:rsidRPr="007970A4">
        <w:t>which</w:t>
      </w:r>
      <w:r>
        <w:t xml:space="preserve"> is consistent with ICH guidelines for biotechnology</w:t>
      </w:r>
      <w:r w:rsidR="004054B0">
        <w:t xml:space="preserve"> </w:t>
      </w:r>
      <w:r w:rsidR="007970A4">
        <w:t>derived therapeutic products.</w:t>
      </w:r>
    </w:p>
    <w:p w:rsidR="00206A83" w:rsidRDefault="00206A83" w:rsidP="007970A4">
      <w:pPr>
        <w:pStyle w:val="ListBullet"/>
      </w:pPr>
      <w:r>
        <w:t xml:space="preserve">Local reactions to </w:t>
      </w:r>
      <w:proofErr w:type="spellStart"/>
      <w:r>
        <w:t>rFIXFc</w:t>
      </w:r>
      <w:proofErr w:type="spellEnd"/>
      <w:r>
        <w:t xml:space="preserve"> when tested in rabbits using the intravenous and </w:t>
      </w:r>
      <w:proofErr w:type="spellStart"/>
      <w:r w:rsidRPr="007970A4">
        <w:t>paravenous</w:t>
      </w:r>
      <w:proofErr w:type="spellEnd"/>
      <w:r>
        <w:t xml:space="preserve"> routes were minimal. Significant injection site reactions are not predicted during clinical use.</w:t>
      </w:r>
    </w:p>
    <w:p w:rsidR="00112B5A" w:rsidRDefault="00206A83" w:rsidP="007970A4">
      <w:pPr>
        <w:pStyle w:val="ListBullet"/>
      </w:pPr>
      <w:r>
        <w:t>Overall there are no nonclini</w:t>
      </w:r>
      <w:r w:rsidR="007970A4">
        <w:t>cal objections to registration.</w:t>
      </w:r>
    </w:p>
    <w:p w:rsidR="00206A83" w:rsidRDefault="00112B5A" w:rsidP="00C147B2">
      <w:r>
        <w:t xml:space="preserve">Details of the </w:t>
      </w:r>
      <w:r w:rsidR="0033289A">
        <w:t>nonclinical evaluator</w:t>
      </w:r>
      <w:r>
        <w:t xml:space="preserve">’s </w:t>
      </w:r>
      <w:r w:rsidR="0033289A">
        <w:t xml:space="preserve">recommended </w:t>
      </w:r>
      <w:r>
        <w:t xml:space="preserve">revisions to the </w:t>
      </w:r>
      <w:r w:rsidR="0033289A">
        <w:t>draft PI are beyond the scope of this AusPAR.</w:t>
      </w:r>
    </w:p>
    <w:p w:rsidR="008E7846" w:rsidRPr="00254787" w:rsidRDefault="008E7846" w:rsidP="00C147B2">
      <w:pPr>
        <w:pStyle w:val="Heading2"/>
      </w:pPr>
      <w:bookmarkStart w:id="63" w:name="_Toc404068928"/>
      <w:r w:rsidRPr="0051029E">
        <w:t>IV. Clinical</w:t>
      </w:r>
      <w:bookmarkEnd w:id="60"/>
      <w:r w:rsidRPr="0051029E">
        <w:t xml:space="preserve"> </w:t>
      </w:r>
      <w:r w:rsidR="003A7F6C" w:rsidRPr="00C147B2">
        <w:t>f</w:t>
      </w:r>
      <w:r w:rsidRPr="00C147B2">
        <w:t>indings</w:t>
      </w:r>
      <w:bookmarkEnd w:id="61"/>
      <w:bookmarkEnd w:id="62"/>
      <w:bookmarkEnd w:id="63"/>
    </w:p>
    <w:p w:rsidR="00C80137" w:rsidRDefault="00C80137" w:rsidP="00C147B2">
      <w:bookmarkStart w:id="6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C147B2">
      <w:pPr>
        <w:pStyle w:val="Heading3"/>
      </w:pPr>
      <w:bookmarkStart w:id="65" w:name="_Toc247691517"/>
      <w:bookmarkStart w:id="66" w:name="_Toc314842501"/>
      <w:bookmarkStart w:id="67" w:name="_Toc404068929"/>
      <w:r w:rsidRPr="00C147B2">
        <w:t>Introduction</w:t>
      </w:r>
      <w:bookmarkEnd w:id="64"/>
      <w:bookmarkEnd w:id="65"/>
      <w:bookmarkEnd w:id="66"/>
      <w:bookmarkEnd w:id="67"/>
    </w:p>
    <w:p w:rsidR="00717957" w:rsidRDefault="00717957" w:rsidP="00C147B2">
      <w:r>
        <w:t xml:space="preserve">Eftrenonacog alfa is a fusion protein in which </w:t>
      </w:r>
      <w:proofErr w:type="gramStart"/>
      <w:r>
        <w:t>a</w:t>
      </w:r>
      <w:proofErr w:type="gramEnd"/>
      <w:r>
        <w:t xml:space="preserve"> </w:t>
      </w:r>
      <w:proofErr w:type="spellStart"/>
      <w:r>
        <w:t>rFIX</w:t>
      </w:r>
      <w:proofErr w:type="spellEnd"/>
      <w:r>
        <w:t xml:space="preserve"> molecule is covalently linked to the Fc fragment of an IgG1 molecule.</w:t>
      </w:r>
      <w:r w:rsidR="002A6C42">
        <w:t xml:space="preserve"> </w:t>
      </w:r>
      <w:r>
        <w:t>The proposed indication is:</w:t>
      </w:r>
    </w:p>
    <w:p w:rsidR="00717957" w:rsidRPr="00C147B2" w:rsidRDefault="00393CA5" w:rsidP="00C147B2">
      <w:pPr>
        <w:rPr>
          <w:i/>
        </w:rPr>
      </w:pPr>
      <w:r w:rsidRPr="00C147B2">
        <w:rPr>
          <w:i/>
        </w:rPr>
        <w:t>Alprolix</w:t>
      </w:r>
      <w:r w:rsidR="00717957" w:rsidRPr="00C147B2">
        <w:rPr>
          <w:i/>
        </w:rPr>
        <w:t xml:space="preserve"> is a long-acting anti-haemophilic factor (recombinant) indicated in adults and children (</w:t>
      </w:r>
      <w:r w:rsidR="00944117" w:rsidRPr="00C147B2">
        <w:rPr>
          <w:i/>
        </w:rPr>
        <w:t>≥</w:t>
      </w:r>
      <w:r w:rsidR="002A6C42" w:rsidRPr="00C147B2">
        <w:rPr>
          <w:i/>
        </w:rPr>
        <w:t xml:space="preserve"> </w:t>
      </w:r>
      <w:r w:rsidR="00717957" w:rsidRPr="00C147B2">
        <w:rPr>
          <w:i/>
        </w:rPr>
        <w:t>12 years) with haemophilia B (congenital factor IX deficiency) for:</w:t>
      </w:r>
    </w:p>
    <w:p w:rsidR="00717957" w:rsidRPr="00C147B2" w:rsidRDefault="00717957" w:rsidP="00C147B2">
      <w:pPr>
        <w:pStyle w:val="ListBullet"/>
        <w:rPr>
          <w:i/>
        </w:rPr>
      </w:pPr>
      <w:r w:rsidRPr="00C147B2">
        <w:rPr>
          <w:i/>
        </w:rPr>
        <w:t>Control and prevention of bleeding episodes</w:t>
      </w:r>
      <w:r w:rsidR="00706BB3" w:rsidRPr="00C147B2">
        <w:rPr>
          <w:i/>
        </w:rPr>
        <w:t>.</w:t>
      </w:r>
    </w:p>
    <w:p w:rsidR="00717957" w:rsidRPr="00C147B2" w:rsidRDefault="00717957" w:rsidP="00C147B2">
      <w:pPr>
        <w:pStyle w:val="ListBullet"/>
        <w:rPr>
          <w:i/>
        </w:rPr>
      </w:pPr>
      <w:r w:rsidRPr="00C147B2">
        <w:rPr>
          <w:i/>
        </w:rPr>
        <w:t>Routine prophylaxis to prevent or reduce the frequency of bleeding episodes</w:t>
      </w:r>
      <w:r w:rsidR="00706BB3" w:rsidRPr="00C147B2">
        <w:rPr>
          <w:i/>
        </w:rPr>
        <w:t>.</w:t>
      </w:r>
    </w:p>
    <w:p w:rsidR="00717957" w:rsidRPr="00C147B2" w:rsidRDefault="00717957" w:rsidP="00C147B2">
      <w:pPr>
        <w:pStyle w:val="ListBullet"/>
        <w:rPr>
          <w:i/>
        </w:rPr>
      </w:pPr>
      <w:r w:rsidRPr="00C147B2">
        <w:rPr>
          <w:i/>
        </w:rPr>
        <w:t>Perioperative management (surgical prophylaxis).</w:t>
      </w:r>
    </w:p>
    <w:p w:rsidR="00944117" w:rsidRDefault="00944117" w:rsidP="00C147B2">
      <w:r>
        <w:t xml:space="preserve">The product is presented as a lyophilised powder for injection in the following vial sizes: </w:t>
      </w:r>
      <w:r w:rsidRPr="004E7616">
        <w:t>250, 500, 1000, 2000 or 3000 International Units</w:t>
      </w:r>
      <w:r>
        <w:t xml:space="preserve"> (IU). Each vial is supplied with 5 mL of solvent in a pre-filled syringe.</w:t>
      </w:r>
    </w:p>
    <w:p w:rsidR="00944117" w:rsidRDefault="00944117" w:rsidP="00C147B2">
      <w:r>
        <w:t xml:space="preserve">The product is intended for </w:t>
      </w:r>
      <w:r w:rsidR="002A6C42">
        <w:t xml:space="preserve">IV </w:t>
      </w:r>
      <w:r w:rsidR="00C147B2">
        <w:t>administration only.</w:t>
      </w:r>
    </w:p>
    <w:p w:rsidR="00131DA4" w:rsidRPr="00131DA4" w:rsidRDefault="00944117" w:rsidP="00C147B2">
      <w:r>
        <w:t xml:space="preserve">There </w:t>
      </w:r>
      <w:proofErr w:type="gramStart"/>
      <w:r>
        <w:t>are</w:t>
      </w:r>
      <w:proofErr w:type="gramEnd"/>
      <w:r>
        <w:t xml:space="preserve"> several dosage regimens proposed, depending on the clinical scenario.</w:t>
      </w:r>
    </w:p>
    <w:p w:rsidR="00605AD4" w:rsidRPr="00605AD4" w:rsidRDefault="00605AD4" w:rsidP="00437D09">
      <w:pPr>
        <w:pStyle w:val="Heading4"/>
      </w:pPr>
      <w:bookmarkStart w:id="68" w:name="_Toc196046464"/>
      <w:bookmarkStart w:id="69" w:name="_Toc247691518"/>
      <w:bookmarkStart w:id="70" w:name="_Toc314842502"/>
      <w:r w:rsidRPr="00605AD4">
        <w:t xml:space="preserve">Clinical </w:t>
      </w:r>
      <w:r w:rsidR="00C147B2">
        <w:t>r</w:t>
      </w:r>
      <w:r w:rsidRPr="00605AD4">
        <w:t>ationale</w:t>
      </w:r>
    </w:p>
    <w:p w:rsidR="00944117" w:rsidRPr="002A6C42" w:rsidRDefault="00944117" w:rsidP="00C147B2">
      <w:r w:rsidRPr="002A6C42">
        <w:t>The current standard treatment of congenital FIX deficiency is based on the use of replacement FIX therapy. Two replacement therapy products are currently registered in Australia:</w:t>
      </w:r>
    </w:p>
    <w:p w:rsidR="00944117" w:rsidRPr="002E5D21" w:rsidRDefault="00944117" w:rsidP="00C147B2">
      <w:pPr>
        <w:pStyle w:val="ListBullet"/>
      </w:pPr>
      <w:r w:rsidRPr="002E5D21">
        <w:t>Plasma</w:t>
      </w:r>
      <w:r w:rsidR="002E5D21" w:rsidRPr="002E5D21">
        <w:t xml:space="preserve"> </w:t>
      </w:r>
      <w:r w:rsidRPr="002E5D21">
        <w:t xml:space="preserve">derived </w:t>
      </w:r>
      <w:proofErr w:type="gramStart"/>
      <w:r w:rsidRPr="002E5D21">
        <w:t>FIX</w:t>
      </w:r>
      <w:proofErr w:type="gramEnd"/>
      <w:r w:rsidRPr="002E5D21">
        <w:t xml:space="preserve"> (</w:t>
      </w:r>
      <w:proofErr w:type="spellStart"/>
      <w:r w:rsidR="00B9168A" w:rsidRPr="002E5D21">
        <w:t>MonoFIX</w:t>
      </w:r>
      <w:proofErr w:type="spellEnd"/>
      <w:r w:rsidRPr="002E5D21">
        <w:t>-VF)</w:t>
      </w:r>
      <w:r w:rsidR="002E5D21" w:rsidRPr="002E5D21">
        <w:t>.</w:t>
      </w:r>
    </w:p>
    <w:p w:rsidR="00944117" w:rsidRPr="002E5D21" w:rsidRDefault="00944117" w:rsidP="00C147B2">
      <w:pPr>
        <w:pStyle w:val="ListBullet"/>
      </w:pPr>
      <w:r w:rsidRPr="002E5D21">
        <w:t>Recombinant FIX (</w:t>
      </w:r>
      <w:proofErr w:type="spellStart"/>
      <w:r w:rsidRPr="002E5D21">
        <w:t>nonacog</w:t>
      </w:r>
      <w:proofErr w:type="spellEnd"/>
      <w:r w:rsidRPr="002E5D21">
        <w:t xml:space="preserve"> </w:t>
      </w:r>
      <w:proofErr w:type="spellStart"/>
      <w:r w:rsidRPr="002E5D21">
        <w:t>alfa</w:t>
      </w:r>
      <w:proofErr w:type="spellEnd"/>
      <w:r w:rsidRPr="002E5D21">
        <w:t xml:space="preserve">; </w:t>
      </w:r>
      <w:proofErr w:type="spellStart"/>
      <w:r w:rsidR="00B9168A" w:rsidRPr="002E5D21">
        <w:t>Bene</w:t>
      </w:r>
      <w:r w:rsidRPr="002E5D21">
        <w:t>FIX</w:t>
      </w:r>
      <w:proofErr w:type="spellEnd"/>
      <w:r w:rsidRPr="002E5D21">
        <w:t>).</w:t>
      </w:r>
    </w:p>
    <w:p w:rsidR="00944117" w:rsidRPr="00437D09" w:rsidRDefault="00944117" w:rsidP="00C147B2">
      <w:r w:rsidRPr="00437D09">
        <w:t>The FIX contained in these products has a half-life of approximately 24 h. For the treatment of bleeding episodes and for surgical prophylaxis it is recommended t</w:t>
      </w:r>
      <w:r w:rsidR="000C6A25" w:rsidRPr="00437D09">
        <w:t xml:space="preserve">hat dosing be repeated every 12 to </w:t>
      </w:r>
      <w:r w:rsidRPr="00437D09">
        <w:t>24 h. For routine prophylaxis, dosing is recommended twice per week.</w:t>
      </w:r>
    </w:p>
    <w:p w:rsidR="00944117" w:rsidRPr="002A6C42" w:rsidRDefault="00944117" w:rsidP="00C147B2">
      <w:r w:rsidRPr="002A6C42">
        <w:t>The rationale for the development of eftrenonacog alfa (</w:t>
      </w:r>
      <w:r w:rsidR="00B9168A" w:rsidRPr="002A6C42">
        <w:t>Alprolix</w:t>
      </w:r>
      <w:r w:rsidRPr="002A6C42">
        <w:t xml:space="preserve">) is that combining the </w:t>
      </w:r>
      <w:proofErr w:type="spellStart"/>
      <w:r w:rsidR="002A6C42" w:rsidRPr="002A6C42">
        <w:t>r</w:t>
      </w:r>
      <w:r w:rsidRPr="002A6C42">
        <w:t>FIX</w:t>
      </w:r>
      <w:proofErr w:type="spellEnd"/>
      <w:r w:rsidRPr="002A6C42">
        <w:t xml:space="preserve"> molecule with the Fc fragment of the IgG1 molecule will result in a prolonged half-life, with less frequent dosing required. The draft PI states that eftrenonacog alfa has an elimination half-life of 82 h and the recommended dosage interval for the treatment of bleeding episodes and surgical prophylaxis is up to 48 h. The recommended initial dosage interval for routine prophylaxis is up to 14 days.</w:t>
      </w:r>
    </w:p>
    <w:p w:rsidR="00944117" w:rsidRPr="002A6C42" w:rsidRDefault="00944117" w:rsidP="00C147B2">
      <w:r w:rsidRPr="002A6C42">
        <w:t xml:space="preserve">The prolonged half-life of the molecule occurs because of binding of the Fc fragment with the neonatal Fc receptor for </w:t>
      </w:r>
      <w:proofErr w:type="spellStart"/>
      <w:r w:rsidRPr="002A6C42">
        <w:t>IgG</w:t>
      </w:r>
      <w:proofErr w:type="spellEnd"/>
      <w:r w:rsidRPr="002A6C42">
        <w:t xml:space="preserve"> (</w:t>
      </w:r>
      <w:proofErr w:type="spellStart"/>
      <w:r w:rsidRPr="002A6C42">
        <w:t>FcRn</w:t>
      </w:r>
      <w:proofErr w:type="spellEnd"/>
      <w:r w:rsidRPr="002A6C42">
        <w:t xml:space="preserve">). </w:t>
      </w:r>
      <w:proofErr w:type="spellStart"/>
      <w:r w:rsidRPr="002A6C42">
        <w:t>FcRn</w:t>
      </w:r>
      <w:proofErr w:type="spellEnd"/>
      <w:r w:rsidRPr="002A6C42">
        <w:t xml:space="preserve"> derives its name through its role in the transfer of </w:t>
      </w:r>
      <w:proofErr w:type="spellStart"/>
      <w:r w:rsidRPr="002A6C42">
        <w:t>IgG</w:t>
      </w:r>
      <w:proofErr w:type="spellEnd"/>
      <w:r w:rsidRPr="002A6C42">
        <w:t xml:space="preserve"> from mother to foetus. However, it is also expressed in several adult human tissues and is believed to bind with the Fc fragment of </w:t>
      </w:r>
      <w:proofErr w:type="spellStart"/>
      <w:r w:rsidRPr="002A6C42">
        <w:t>IgG</w:t>
      </w:r>
      <w:proofErr w:type="spellEnd"/>
      <w:r w:rsidRPr="002A6C42">
        <w:t xml:space="preserve"> and prevent </w:t>
      </w:r>
      <w:proofErr w:type="spellStart"/>
      <w:r w:rsidRPr="002A6C42">
        <w:t>IgG</w:t>
      </w:r>
      <w:proofErr w:type="spellEnd"/>
      <w:r w:rsidRPr="002A6C42">
        <w:t xml:space="preserve"> degradation. </w:t>
      </w:r>
      <w:proofErr w:type="spellStart"/>
      <w:r w:rsidRPr="002A6C42">
        <w:t>FcRn</w:t>
      </w:r>
      <w:proofErr w:type="spellEnd"/>
      <w:r w:rsidRPr="002A6C42">
        <w:t xml:space="preserve"> is therefore believed to be responsible for the prolonged half-life of </w:t>
      </w:r>
      <w:proofErr w:type="spellStart"/>
      <w:r w:rsidRPr="002A6C42">
        <w:t>IgG</w:t>
      </w:r>
      <w:proofErr w:type="spellEnd"/>
      <w:r w:rsidRPr="002A6C42">
        <w:t xml:space="preserve"> compared to other endogenous proteins.</w:t>
      </w:r>
    </w:p>
    <w:p w:rsidR="00944117" w:rsidRPr="002A6C42" w:rsidRDefault="00944117" w:rsidP="00C147B2">
      <w:r w:rsidRPr="002A6C42">
        <w:lastRenderedPageBreak/>
        <w:t xml:space="preserve">Currently registered products that are fusion proteins combining the Fc fragment of an IgG1 molecule with another active molecule include </w:t>
      </w:r>
      <w:proofErr w:type="spellStart"/>
      <w:r w:rsidRPr="002A6C42">
        <w:t>romiplostim</w:t>
      </w:r>
      <w:proofErr w:type="spellEnd"/>
      <w:r w:rsidRPr="002A6C42">
        <w:t xml:space="preserve"> and </w:t>
      </w:r>
      <w:proofErr w:type="spellStart"/>
      <w:r w:rsidRPr="002A6C42">
        <w:t>etanercept</w:t>
      </w:r>
      <w:proofErr w:type="spellEnd"/>
      <w:r w:rsidRPr="002A6C42">
        <w:t>.</w:t>
      </w:r>
    </w:p>
    <w:p w:rsidR="00437D09" w:rsidRPr="00437D09" w:rsidRDefault="00437D09" w:rsidP="00C147B2">
      <w:pPr>
        <w:pStyle w:val="Heading4"/>
      </w:pPr>
      <w:bookmarkStart w:id="71" w:name="_Toc272414607"/>
      <w:bookmarkStart w:id="72" w:name="_Toc290846229"/>
      <w:bookmarkStart w:id="73" w:name="_Toc242109026"/>
      <w:r w:rsidRPr="00437D09">
        <w:t>Orphan drug designation</w:t>
      </w:r>
      <w:bookmarkEnd w:id="71"/>
      <w:bookmarkEnd w:id="72"/>
      <w:bookmarkEnd w:id="73"/>
    </w:p>
    <w:p w:rsidR="00437D09" w:rsidRPr="00437D09" w:rsidRDefault="00437D09" w:rsidP="00C147B2">
      <w:r w:rsidRPr="00437D09">
        <w:t>The product was granted orphan drug status by the TGA on 20 September 2012. The orphan indication granted was:</w:t>
      </w:r>
    </w:p>
    <w:p w:rsidR="00437D09" w:rsidRPr="00C147B2" w:rsidRDefault="00437D09" w:rsidP="00C147B2">
      <w:pPr>
        <w:ind w:left="720"/>
        <w:rPr>
          <w:i/>
        </w:rPr>
      </w:pPr>
      <w:r w:rsidRPr="00C147B2">
        <w:rPr>
          <w:i/>
        </w:rPr>
        <w:t>“... the control and prevention of haemorrhagic episodes in patients with haemophilia B (congenital factor IX deficiency or Christmas disease), including the control and prevention of bleeding in surgical settings.”</w:t>
      </w:r>
    </w:p>
    <w:p w:rsidR="00437D09" w:rsidRPr="00437D09" w:rsidRDefault="00437D09" w:rsidP="004C3C63">
      <w:r w:rsidRPr="00437D09">
        <w:t>The indication proposed for registration is narrower than that granted in the orphan designation, in that children aged less than 12 years have been excluded.</w:t>
      </w:r>
    </w:p>
    <w:p w:rsidR="00437D09" w:rsidRPr="00437D09" w:rsidRDefault="00437D09" w:rsidP="004C3C63">
      <w:r w:rsidRPr="00437D09">
        <w:t>The Haemophilia Foundation of Australia estimates that there are approximately 2,800 subjects with haemophilia in Australia</w:t>
      </w:r>
      <w:r>
        <w:rPr>
          <w:rStyle w:val="FootnoteReference"/>
        </w:rPr>
        <w:footnoteReference w:id="7"/>
      </w:r>
      <w:r w:rsidRPr="00437D09">
        <w:t>. Approximately 15-20% of haemophilia subjects have haemophilia B</w:t>
      </w:r>
      <w:r>
        <w:rPr>
          <w:rStyle w:val="FootnoteReference"/>
        </w:rPr>
        <w:footnoteReference w:id="8"/>
      </w:r>
      <w:r w:rsidRPr="00437D09">
        <w:t xml:space="preserve"> and therefore the prevalence of the condition in Austra</w:t>
      </w:r>
      <w:r>
        <w:t>lia would be approximately 420 to</w:t>
      </w:r>
      <w:r w:rsidRPr="00437D09">
        <w:t xml:space="preserve"> 560 subjects.</w:t>
      </w:r>
    </w:p>
    <w:p w:rsidR="00605AD4" w:rsidRPr="00437D09" w:rsidRDefault="00605AD4" w:rsidP="004C3C63">
      <w:pPr>
        <w:pStyle w:val="Heading4"/>
      </w:pPr>
      <w:r w:rsidRPr="00437D09">
        <w:t>Guidance</w:t>
      </w:r>
    </w:p>
    <w:p w:rsidR="00DD7E78" w:rsidRPr="00DD7E78" w:rsidRDefault="00DD7E78" w:rsidP="004C3C63">
      <w:r w:rsidRPr="00DD7E78">
        <w:t xml:space="preserve">The following </w:t>
      </w:r>
      <w:r w:rsidR="00223E5A">
        <w:t>European Medicines Agency (</w:t>
      </w:r>
      <w:r w:rsidRPr="00DD7E78">
        <w:t>EMA</w:t>
      </w:r>
      <w:r w:rsidR="00223E5A">
        <w:t>)</w:t>
      </w:r>
      <w:r w:rsidRPr="00DD7E78">
        <w:t xml:space="preserve"> guidelines, which have been adopted by the TGA, are considered relevant to the current application.</w:t>
      </w:r>
    </w:p>
    <w:p w:rsidR="00DD7E78" w:rsidRPr="00DD7E78" w:rsidRDefault="00DD7E78" w:rsidP="004C3C63">
      <w:pPr>
        <w:pStyle w:val="ListBullet"/>
      </w:pPr>
      <w:r w:rsidRPr="00DD7E78">
        <w:t>Guideline on the Clinical Investigation of the Pharmacokinetics of Therapeutic Proteins (CHMP/EWP/89249/2004); 2007.</w:t>
      </w:r>
    </w:p>
    <w:p w:rsidR="00DD7E78" w:rsidRPr="00DD7E78" w:rsidRDefault="00DD7E78" w:rsidP="004C3C63">
      <w:pPr>
        <w:pStyle w:val="ListBullet"/>
      </w:pPr>
      <w:r w:rsidRPr="00DD7E78">
        <w:t>Points to Consider on Application with 1. Meta-Analyses; 2. One Pivotal Study (CPMP/EWP/2330/99); 2001</w:t>
      </w:r>
      <w:r>
        <w:t>.</w:t>
      </w:r>
    </w:p>
    <w:p w:rsidR="00DD7E78" w:rsidRPr="00DD7E78" w:rsidRDefault="00DD7E78" w:rsidP="004C3C63">
      <w:pPr>
        <w:pStyle w:val="ListBullet"/>
      </w:pPr>
      <w:r w:rsidRPr="00DD7E78">
        <w:t>Note for Guidance on the Clinical Investigation of Recombinant Factor VIII and IX Products (CPMP/BPWG/1561/99); 2000.</w:t>
      </w:r>
    </w:p>
    <w:p w:rsidR="00DD7E78" w:rsidRPr="00DD7E78" w:rsidRDefault="00DD7E78" w:rsidP="004C3C63">
      <w:r w:rsidRPr="00DD7E78">
        <w:t>In Europe, the 2000 guideline on recombinant Factor VIII and IX products has been superseded by a new guideline specific for Factor IX products:</w:t>
      </w:r>
    </w:p>
    <w:p w:rsidR="00DD7E78" w:rsidRPr="00DD7E78" w:rsidRDefault="00DD7E78" w:rsidP="004C3C63">
      <w:pPr>
        <w:pStyle w:val="ListBullet"/>
      </w:pPr>
      <w:r w:rsidRPr="00DD7E78">
        <w:t>Guideline on clinical investigation of recombinant and human plasma-derived factor IX products (EMA/CHMP/BPWP/144552/2009); 2011.</w:t>
      </w:r>
    </w:p>
    <w:p w:rsidR="00DD7E78" w:rsidRPr="00DD7E78" w:rsidRDefault="00DD7E78" w:rsidP="004C3C63">
      <w:r w:rsidRPr="00DD7E78">
        <w:t xml:space="preserve">This later guideline came into effect in Europe in February 2012, but </w:t>
      </w:r>
      <w:r w:rsidR="00185988">
        <w:t xml:space="preserve">had </w:t>
      </w:r>
      <w:r w:rsidRPr="00DD7E78">
        <w:t>not been formally adopted in Australia</w:t>
      </w:r>
      <w:r w:rsidR="00BD2D07">
        <w:t xml:space="preserve"> at the time the CER was prepared</w:t>
      </w:r>
      <w:r w:rsidR="00BD2D07">
        <w:rPr>
          <w:rStyle w:val="FootnoteReference"/>
        </w:rPr>
        <w:footnoteReference w:id="9"/>
      </w:r>
      <w:r w:rsidRPr="00DD7E78">
        <w:t>.</w:t>
      </w:r>
    </w:p>
    <w:p w:rsidR="00605AD4" w:rsidRPr="004C3C63" w:rsidRDefault="00605AD4" w:rsidP="004C3C63">
      <w:pPr>
        <w:pStyle w:val="Heading4"/>
      </w:pPr>
      <w:r w:rsidRPr="00605AD4">
        <w:t>Contents of the clinical dossier</w:t>
      </w:r>
    </w:p>
    <w:p w:rsidR="00EB1E8D" w:rsidRDefault="00EB1E8D" w:rsidP="00CC5836">
      <w:r>
        <w:t>The submission contained the following clinical information:</w:t>
      </w:r>
    </w:p>
    <w:p w:rsidR="00EB1E8D" w:rsidRPr="0038490A" w:rsidRDefault="00EB1E8D" w:rsidP="00CC5836">
      <w:pPr>
        <w:pStyle w:val="ListBullet"/>
      </w:pPr>
      <w:r w:rsidRPr="0038490A">
        <w:t>Module 2</w:t>
      </w:r>
    </w:p>
    <w:p w:rsidR="00EB1E8D" w:rsidRDefault="00EB1E8D" w:rsidP="00CC5836">
      <w:pPr>
        <w:pStyle w:val="ListBullet2"/>
      </w:pPr>
      <w:r w:rsidRPr="0038490A">
        <w:t xml:space="preserve">Clinical </w:t>
      </w:r>
      <w:r>
        <w:t>o</w:t>
      </w:r>
      <w:r w:rsidRPr="0038490A">
        <w:t xml:space="preserve">verview, </w:t>
      </w:r>
      <w:r w:rsidRPr="00CC5836">
        <w:t>summary</w:t>
      </w:r>
      <w:r w:rsidRPr="0038490A">
        <w:t xml:space="preserve"> of </w:t>
      </w:r>
      <w:proofErr w:type="spellStart"/>
      <w:r>
        <w:t>b</w:t>
      </w:r>
      <w:r w:rsidRPr="0038490A">
        <w:t>iopharmaceutic</w:t>
      </w:r>
      <w:proofErr w:type="spellEnd"/>
      <w:r w:rsidRPr="0038490A">
        <w:t xml:space="preserve"> </w:t>
      </w:r>
      <w:r>
        <w:t>s</w:t>
      </w:r>
      <w:r w:rsidRPr="0038490A">
        <w:t xml:space="preserve">tudies and </w:t>
      </w:r>
      <w:r>
        <w:t>a</w:t>
      </w:r>
      <w:r w:rsidRPr="0038490A">
        <w:t xml:space="preserve">nalytical </w:t>
      </w:r>
      <w:r>
        <w:t>m</w:t>
      </w:r>
      <w:r w:rsidRPr="0038490A">
        <w:t xml:space="preserve">ethods, </w:t>
      </w:r>
      <w:r>
        <w:t>s</w:t>
      </w:r>
      <w:r w:rsidRPr="0038490A">
        <w:t xml:space="preserve">ummary of </w:t>
      </w:r>
      <w:r>
        <w:t>c</w:t>
      </w:r>
      <w:r w:rsidRPr="0038490A">
        <w:t xml:space="preserve">linical </w:t>
      </w:r>
      <w:r>
        <w:t>p</w:t>
      </w:r>
      <w:r w:rsidRPr="0038490A">
        <w:t xml:space="preserve">harmacology, </w:t>
      </w:r>
      <w:r>
        <w:t>s</w:t>
      </w:r>
      <w:r w:rsidRPr="0038490A">
        <w:t xml:space="preserve">ummary of </w:t>
      </w:r>
      <w:r>
        <w:t>c</w:t>
      </w:r>
      <w:r w:rsidRPr="0038490A">
        <w:t xml:space="preserve">linical </w:t>
      </w:r>
      <w:r>
        <w:t>e</w:t>
      </w:r>
      <w:r w:rsidRPr="0038490A">
        <w:t>fficacy</w:t>
      </w:r>
      <w:r>
        <w:t xml:space="preserve"> and s</w:t>
      </w:r>
      <w:r w:rsidRPr="0038490A">
        <w:t xml:space="preserve">ummary of </w:t>
      </w:r>
      <w:r>
        <w:t>c</w:t>
      </w:r>
      <w:r w:rsidRPr="0038490A">
        <w:t xml:space="preserve">linical </w:t>
      </w:r>
      <w:r>
        <w:t>s</w:t>
      </w:r>
      <w:r w:rsidRPr="0038490A">
        <w:t>afety</w:t>
      </w:r>
      <w:r w:rsidR="00CC5836">
        <w:t>.</w:t>
      </w:r>
    </w:p>
    <w:p w:rsidR="00EB1E8D" w:rsidRPr="006A08A1" w:rsidRDefault="00CC5836" w:rsidP="00CC5836">
      <w:pPr>
        <w:pStyle w:val="ListBullet"/>
      </w:pPr>
      <w:r>
        <w:t>Module 5</w:t>
      </w:r>
    </w:p>
    <w:p w:rsidR="00EB1E8D" w:rsidRDefault="00EB1E8D" w:rsidP="00CC5836">
      <w:pPr>
        <w:pStyle w:val="ListBullet2"/>
      </w:pPr>
      <w:r>
        <w:lastRenderedPageBreak/>
        <w:t>A full study report of one open</w:t>
      </w:r>
      <w:r w:rsidR="00480303">
        <w:t>-label</w:t>
      </w:r>
      <w:r>
        <w:t>, Phase I/</w:t>
      </w:r>
      <w:proofErr w:type="spellStart"/>
      <w:r>
        <w:t>IIa</w:t>
      </w:r>
      <w:proofErr w:type="spellEnd"/>
      <w:r>
        <w:t xml:space="preserve"> study (SYN-FIXFc-07-001) that examined the safety and pharmacokinetics of escalating single doses of </w:t>
      </w:r>
      <w:proofErr w:type="spellStart"/>
      <w:r w:rsidR="00193457">
        <w:t>r</w:t>
      </w:r>
      <w:r>
        <w:t>FIXFc</w:t>
      </w:r>
      <w:proofErr w:type="spellEnd"/>
      <w:r>
        <w:t xml:space="preserve"> in a total of 14 subjects with haemophilia B.</w:t>
      </w:r>
    </w:p>
    <w:p w:rsidR="00EB1E8D" w:rsidRDefault="00EB1E8D" w:rsidP="00CC5836">
      <w:pPr>
        <w:pStyle w:val="ListBullet2"/>
      </w:pPr>
      <w:r>
        <w:t>A full study report of one open</w:t>
      </w:r>
      <w:r w:rsidR="00480303">
        <w:t>-label</w:t>
      </w:r>
      <w:r>
        <w:t xml:space="preserve">, Phase III pivotal efficacy and safety study (998HB102) that examined the </w:t>
      </w:r>
      <w:r w:rsidR="00E432EA">
        <w:t>PK</w:t>
      </w:r>
      <w:r>
        <w:t xml:space="preserve">, efficacy and safety of </w:t>
      </w:r>
      <w:proofErr w:type="spellStart"/>
      <w:r w:rsidR="00193457">
        <w:t>r</w:t>
      </w:r>
      <w:r>
        <w:t>FIXFc</w:t>
      </w:r>
      <w:proofErr w:type="spellEnd"/>
      <w:r>
        <w:t xml:space="preserve"> in a total of 123 subjects with haemophilia B</w:t>
      </w:r>
      <w:r w:rsidRPr="006A08A1">
        <w:t>.</w:t>
      </w:r>
    </w:p>
    <w:p w:rsidR="00EB1E8D" w:rsidRPr="006A08A1" w:rsidRDefault="00EB1E8D" w:rsidP="00CC5836">
      <w:pPr>
        <w:pStyle w:val="ListBullet2"/>
      </w:pPr>
      <w:r>
        <w:t xml:space="preserve">One population </w:t>
      </w:r>
      <w:r w:rsidR="00E432EA">
        <w:t xml:space="preserve">PK </w:t>
      </w:r>
      <w:r>
        <w:t>analysis of PK data collected in the above two studies.</w:t>
      </w:r>
    </w:p>
    <w:p w:rsidR="00EB1E8D" w:rsidRPr="00651B00" w:rsidRDefault="00EB1E8D" w:rsidP="00CC5836">
      <w:pPr>
        <w:pStyle w:val="ListBullet2"/>
      </w:pPr>
      <w:r w:rsidRPr="00651B00">
        <w:t>Brief safety reports from two ongoing studies (9HB02PED and 9HB01EXT)</w:t>
      </w:r>
      <w:r>
        <w:t>. These reports included limited information regarding serious adverse events and adverse events of special interest.</w:t>
      </w:r>
    </w:p>
    <w:p w:rsidR="00EB1E8D" w:rsidRPr="006A08A1" w:rsidRDefault="00EB1E8D" w:rsidP="00CC5836">
      <w:pPr>
        <w:pStyle w:val="ListBullet2"/>
      </w:pPr>
      <w:r>
        <w:t>Literature references.</w:t>
      </w:r>
    </w:p>
    <w:p w:rsidR="00605AD4" w:rsidRPr="00CC5836" w:rsidRDefault="00605AD4" w:rsidP="00CC5836">
      <w:pPr>
        <w:pStyle w:val="Heading5"/>
      </w:pPr>
      <w:r w:rsidRPr="00605AD4">
        <w:t>Paediatric data</w:t>
      </w:r>
    </w:p>
    <w:p w:rsidR="00EB1E8D" w:rsidRPr="00E432EA" w:rsidRDefault="00EB1E8D" w:rsidP="00CC5836">
      <w:r w:rsidRPr="00E432EA">
        <w:t xml:space="preserve">The pivotal study in the submission included previously treated patients (PTPs) aged 12 years and over and the indication sought by the sponsor is restricted to this group. One of the ongoing studies (9HB02PED) is a trial of the product in PTPs aged less than 12 years. It is planned to enrol at least 20 subjects and completion is expected by </w:t>
      </w:r>
      <w:r w:rsidR="00480303">
        <w:t xml:space="preserve">second quarter (Q2) </w:t>
      </w:r>
      <w:r w:rsidRPr="00E432EA">
        <w:t xml:space="preserve">2015. Another study is planned in previously untreated patients (PUPs) aged less than 18 years, with completion expected in </w:t>
      </w:r>
      <w:r w:rsidR="00480303">
        <w:t xml:space="preserve">Q2 </w:t>
      </w:r>
      <w:r w:rsidRPr="00E432EA">
        <w:t>2019.</w:t>
      </w:r>
    </w:p>
    <w:p w:rsidR="00EB1E8D" w:rsidRPr="00E432EA" w:rsidRDefault="00E432EA" w:rsidP="00CC5836">
      <w:pPr>
        <w:ind w:left="720"/>
      </w:pPr>
      <w:r w:rsidRPr="00700AE4">
        <w:rPr>
          <w:b/>
        </w:rPr>
        <w:t>Evaluator c</w:t>
      </w:r>
      <w:r w:rsidR="00EB1E8D" w:rsidRPr="00700AE4">
        <w:rPr>
          <w:b/>
        </w:rPr>
        <w:t>omment:</w:t>
      </w:r>
      <w:r w:rsidR="00EB1E8D" w:rsidRPr="00E432EA">
        <w:t xml:space="preserve"> EMA </w:t>
      </w:r>
      <w:r w:rsidRPr="00E432EA">
        <w:rPr>
          <w:i/>
        </w:rPr>
        <w:t>Guideline on clinical investigation of recombinant and human plasma-derived factor IX products</w:t>
      </w:r>
      <w:r w:rsidRPr="00E432EA">
        <w:t xml:space="preserve"> (EMA/CHMP/BPWP/144552/2009)</w:t>
      </w:r>
      <w:r>
        <w:t xml:space="preserve">, </w:t>
      </w:r>
      <w:r w:rsidRPr="00E432EA">
        <w:t>2011</w:t>
      </w:r>
      <w:r>
        <w:t xml:space="preserve">, </w:t>
      </w:r>
      <w:r w:rsidR="00EB1E8D" w:rsidRPr="00E432EA">
        <w:t>on recombinant Factor VIII and IX products, which has been adopted by the TGA, indicates that the submission of paediatric data can be delayed until after initial marketing approval. The absence of data on children aged less than 12 years of age in this submission is therefore not considered a deficiency in the application.</w:t>
      </w:r>
    </w:p>
    <w:p w:rsidR="00605AD4" w:rsidRPr="00CC5836" w:rsidRDefault="00605AD4" w:rsidP="00CC5836">
      <w:pPr>
        <w:pStyle w:val="Heading5"/>
      </w:pPr>
      <w:r w:rsidRPr="00605AD4">
        <w:t>Good clinical practice</w:t>
      </w:r>
    </w:p>
    <w:p w:rsidR="00EB1E8D" w:rsidRPr="00586F98" w:rsidRDefault="00EB1E8D" w:rsidP="00CC5836">
      <w:pPr>
        <w:pStyle w:val="NoSpacing"/>
        <w:rPr>
          <w:lang w:eastAsia="ja-JP"/>
        </w:rPr>
      </w:pPr>
      <w:bookmarkStart w:id="74" w:name="_Toc241374282"/>
      <w:r w:rsidRPr="00906D6C">
        <w:t xml:space="preserve">The study reports for the completed studies included assurances that they had been conducted in accordance with applicable guidelines including </w:t>
      </w:r>
      <w:bookmarkEnd w:id="74"/>
      <w:r w:rsidRPr="00906D6C">
        <w:rPr>
          <w:rFonts w:cs="µ'30'48ﬁˇøË–"/>
          <w:lang w:val="en-US"/>
        </w:rPr>
        <w:t>the ICH Guideline on Good Clinical Practice (GCP) and the ethical principles outlined in the Declaration of Helsinki.</w:t>
      </w:r>
    </w:p>
    <w:p w:rsidR="008E7846" w:rsidRPr="003331E1" w:rsidRDefault="008E7846" w:rsidP="003331E1">
      <w:pPr>
        <w:pStyle w:val="Heading3"/>
      </w:pPr>
      <w:bookmarkStart w:id="75" w:name="_Toc404068930"/>
      <w:r w:rsidRPr="00254787">
        <w:t>Pharmacokinetics</w:t>
      </w:r>
      <w:bookmarkEnd w:id="58"/>
      <w:bookmarkEnd w:id="68"/>
      <w:bookmarkEnd w:id="69"/>
      <w:bookmarkEnd w:id="70"/>
      <w:bookmarkEnd w:id="75"/>
    </w:p>
    <w:p w:rsidR="00605AD4" w:rsidRDefault="00605AD4" w:rsidP="003331E1">
      <w:pPr>
        <w:pStyle w:val="Heading4"/>
      </w:pPr>
      <w:r>
        <w:t xml:space="preserve">Studies providing </w:t>
      </w:r>
      <w:r w:rsidRPr="003331E1">
        <w:t>pharmacokinetic</w:t>
      </w:r>
      <w:r w:rsidR="003331E1">
        <w:t xml:space="preserve"> data</w:t>
      </w:r>
    </w:p>
    <w:p w:rsidR="00C83D73" w:rsidRPr="00BD2D07" w:rsidRDefault="00E4197D" w:rsidP="003331E1">
      <w:r w:rsidRPr="00BD2D07">
        <w:t>P</w:t>
      </w:r>
      <w:r w:rsidR="00E432EA" w:rsidRPr="00BD2D07">
        <w:t xml:space="preserve">harmacokinetics </w:t>
      </w:r>
      <w:r w:rsidRPr="00BD2D07">
        <w:t>data were collected in both SYN-FIXFc-07-001 and 998HB102, and a population PK analysis was also conducted on these data.</w:t>
      </w:r>
    </w:p>
    <w:p w:rsidR="00E4197D" w:rsidRPr="00BD2D07" w:rsidRDefault="00E4197D" w:rsidP="003331E1">
      <w:r w:rsidRPr="00BD2D07">
        <w:t>None of these pharmacokinetic studies had deficiencies that excluded their results from consideration. Both studies were conducted in subjects with FIX deficiency (haemophilia B) and hence there were no studies in healthy volunteers.</w:t>
      </w:r>
    </w:p>
    <w:p w:rsidR="00EE2F66" w:rsidRPr="00C83D73" w:rsidRDefault="00EE2F66" w:rsidP="003331E1">
      <w:pPr>
        <w:pStyle w:val="Heading4"/>
      </w:pPr>
      <w:bookmarkStart w:id="76" w:name="_Toc196046481"/>
      <w:bookmarkStart w:id="77" w:name="_Toc247691520"/>
      <w:bookmarkStart w:id="78" w:name="_Toc314842503"/>
      <w:r w:rsidRPr="00C83D73">
        <w:t>Pharmacokinetics in haemophilia B subjects</w:t>
      </w:r>
    </w:p>
    <w:p w:rsidR="00EE2F66" w:rsidRPr="00C83D73" w:rsidRDefault="009F0FB7" w:rsidP="003331E1">
      <w:pPr>
        <w:pStyle w:val="Heading5"/>
      </w:pPr>
      <w:r>
        <w:t>Absorption and b</w:t>
      </w:r>
      <w:r w:rsidR="00EE2F66" w:rsidRPr="00C83D73">
        <w:t>ioavailability</w:t>
      </w:r>
    </w:p>
    <w:p w:rsidR="00EE2F66" w:rsidRPr="0021542B" w:rsidRDefault="00700AE4" w:rsidP="003331E1">
      <w:r>
        <w:t xml:space="preserve">Recombinant </w:t>
      </w:r>
      <w:proofErr w:type="spellStart"/>
      <w:r w:rsidR="00EE2F66" w:rsidRPr="0021542B">
        <w:t>FIXFc</w:t>
      </w:r>
      <w:proofErr w:type="spellEnd"/>
      <w:r w:rsidR="00EE2F66" w:rsidRPr="0021542B">
        <w:t xml:space="preserve"> is only administered </w:t>
      </w:r>
      <w:r w:rsidR="0021542B" w:rsidRPr="0021542B">
        <w:t xml:space="preserve">IV </w:t>
      </w:r>
      <w:r w:rsidR="00EE2F66" w:rsidRPr="0021542B">
        <w:t xml:space="preserve">and by definition has 100% absorption and bioavailability. </w:t>
      </w:r>
      <w:r w:rsidR="0021542B" w:rsidRPr="0021542B">
        <w:t>The time to maximal concentration (</w:t>
      </w:r>
      <w:proofErr w:type="spellStart"/>
      <w:r w:rsidR="00EE2F66" w:rsidRPr="0021542B">
        <w:t>T</w:t>
      </w:r>
      <w:r w:rsidR="00EE2F66" w:rsidRPr="00353633">
        <w:rPr>
          <w:vertAlign w:val="subscript"/>
        </w:rPr>
        <w:t>max</w:t>
      </w:r>
      <w:proofErr w:type="spellEnd"/>
      <w:r w:rsidR="0021542B" w:rsidRPr="0021542B">
        <w:t>)</w:t>
      </w:r>
      <w:r w:rsidR="00EE2F66" w:rsidRPr="0021542B">
        <w:t xml:space="preserve"> occurred immediately after the completion of the infusion.</w:t>
      </w:r>
    </w:p>
    <w:p w:rsidR="0021542B" w:rsidRDefault="0021542B" w:rsidP="003331E1">
      <w:pPr>
        <w:pStyle w:val="Heading5"/>
      </w:pPr>
      <w:r>
        <w:t>Incremental recovery</w:t>
      </w:r>
    </w:p>
    <w:p w:rsidR="00EE2F66" w:rsidRDefault="00EE2F66" w:rsidP="003331E1">
      <w:r w:rsidRPr="0021542B">
        <w:t xml:space="preserve">The incremental recovery of </w:t>
      </w:r>
      <w:proofErr w:type="spellStart"/>
      <w:r w:rsidR="00193457">
        <w:t>r</w:t>
      </w:r>
      <w:r w:rsidRPr="0021542B">
        <w:t>FIXFc</w:t>
      </w:r>
      <w:proofErr w:type="spellEnd"/>
      <w:r w:rsidRPr="0021542B">
        <w:t xml:space="preserve"> was 0.92 IU/</w:t>
      </w:r>
      <w:proofErr w:type="spellStart"/>
      <w:r w:rsidRPr="0021542B">
        <w:t>dL</w:t>
      </w:r>
      <w:proofErr w:type="spellEnd"/>
      <w:r w:rsidRPr="0021542B">
        <w:t xml:space="preserve"> for every 1.0 IU/kg administered. </w:t>
      </w:r>
      <w:r w:rsidR="00C83D73" w:rsidRPr="0021542B">
        <w:t>T</w:t>
      </w:r>
      <w:r w:rsidRPr="0021542B">
        <w:t xml:space="preserve">he incremental recovery of </w:t>
      </w:r>
      <w:proofErr w:type="spellStart"/>
      <w:r w:rsidRPr="0021542B">
        <w:t>BeneFIX</w:t>
      </w:r>
      <w:proofErr w:type="spellEnd"/>
      <w:r w:rsidRPr="0021542B">
        <w:t xml:space="preserve"> was 0.95</w:t>
      </w:r>
      <w:r w:rsidR="00C83D73" w:rsidRPr="0021542B">
        <w:t xml:space="preserve"> IU/</w:t>
      </w:r>
      <w:proofErr w:type="spellStart"/>
      <w:r w:rsidR="00C83D73" w:rsidRPr="0021542B">
        <w:t>dL</w:t>
      </w:r>
      <w:proofErr w:type="spellEnd"/>
      <w:r w:rsidRPr="0021542B">
        <w:t>.</w:t>
      </w:r>
    </w:p>
    <w:p w:rsidR="00750BAB" w:rsidRDefault="00750BAB" w:rsidP="003331E1">
      <w:pPr>
        <w:ind w:left="720"/>
      </w:pPr>
      <w:r w:rsidRPr="00700AE4">
        <w:rPr>
          <w:b/>
        </w:rPr>
        <w:lastRenderedPageBreak/>
        <w:t>Evaluator comment:</w:t>
      </w:r>
      <w:r>
        <w:t xml:space="preserve"> </w:t>
      </w:r>
      <w:r w:rsidRPr="00750BAB">
        <w:t>Factor IX replacement products generally have an incremental recovery of approximately 1.00 IU/</w:t>
      </w:r>
      <w:proofErr w:type="spellStart"/>
      <w:r w:rsidRPr="00750BAB">
        <w:t>dL</w:t>
      </w:r>
      <w:proofErr w:type="spellEnd"/>
      <w:r w:rsidRPr="00750BAB">
        <w:t xml:space="preserve"> for every 1.0 IU/kg administered</w:t>
      </w:r>
      <w:r>
        <w:rPr>
          <w:rStyle w:val="FootnoteReference"/>
        </w:rPr>
        <w:footnoteReference w:id="10"/>
      </w:r>
      <w:r w:rsidRPr="00750BAB">
        <w:t xml:space="preserve">. The value of 0.92 for </w:t>
      </w:r>
      <w:proofErr w:type="spellStart"/>
      <w:r w:rsidR="00193457">
        <w:t>r</w:t>
      </w:r>
      <w:r w:rsidRPr="00750BAB">
        <w:t>FIXFc</w:t>
      </w:r>
      <w:proofErr w:type="spellEnd"/>
      <w:r w:rsidRPr="00750BAB">
        <w:t xml:space="preserve"> is consistent with this. However, </w:t>
      </w:r>
      <w:proofErr w:type="spellStart"/>
      <w:r w:rsidRPr="00750BAB">
        <w:t>BeneFIX</w:t>
      </w:r>
      <w:proofErr w:type="spellEnd"/>
      <w:r w:rsidRPr="00750BAB">
        <w:t xml:space="preserve"> is considered to have a lower recovery than plasma-derived FIX</w:t>
      </w:r>
      <w:r>
        <w:rPr>
          <w:rStyle w:val="FootnoteReference"/>
        </w:rPr>
        <w:footnoteReference w:id="11"/>
      </w:r>
      <w:r w:rsidRPr="00750BAB">
        <w:t xml:space="preserve">. The value for incremental recovery in adults quoted in the Australian PI for </w:t>
      </w:r>
      <w:proofErr w:type="spellStart"/>
      <w:r w:rsidRPr="00750BAB">
        <w:t>Benefix</w:t>
      </w:r>
      <w:proofErr w:type="spellEnd"/>
      <w:r w:rsidRPr="00750BAB">
        <w:t xml:space="preserve"> is 0.72 IU/</w:t>
      </w:r>
      <w:proofErr w:type="spellStart"/>
      <w:r w:rsidRPr="00750BAB">
        <w:t>dL</w:t>
      </w:r>
      <w:proofErr w:type="spellEnd"/>
      <w:r w:rsidRPr="00750BAB">
        <w:t xml:space="preserve"> for every 1.0 IU/kg administered. As the </w:t>
      </w:r>
      <w:proofErr w:type="gramStart"/>
      <w:r w:rsidRPr="00750BAB">
        <w:t>recovery</w:t>
      </w:r>
      <w:proofErr w:type="gramEnd"/>
      <w:r w:rsidRPr="00750BAB">
        <w:t xml:space="preserve"> values for </w:t>
      </w:r>
      <w:proofErr w:type="spellStart"/>
      <w:r w:rsidR="00193457">
        <w:t>r</w:t>
      </w:r>
      <w:r w:rsidRPr="00750BAB">
        <w:t>FIXFc</w:t>
      </w:r>
      <w:proofErr w:type="spellEnd"/>
      <w:r w:rsidRPr="00750BAB">
        <w:t xml:space="preserve"> and </w:t>
      </w:r>
      <w:proofErr w:type="spellStart"/>
      <w:r w:rsidRPr="00750BAB">
        <w:t>Benefix</w:t>
      </w:r>
      <w:proofErr w:type="spellEnd"/>
      <w:r w:rsidRPr="00750BAB">
        <w:t xml:space="preserve"> in this study were comparable, </w:t>
      </w:r>
      <w:proofErr w:type="spellStart"/>
      <w:r w:rsidR="00193457">
        <w:t>r</w:t>
      </w:r>
      <w:r w:rsidRPr="00750BAB">
        <w:t>FIXFc</w:t>
      </w:r>
      <w:proofErr w:type="spellEnd"/>
      <w:r w:rsidRPr="00750BAB">
        <w:t xml:space="preserve"> may also have a lower recovery than plasma-derived FIX.</w:t>
      </w:r>
    </w:p>
    <w:p w:rsidR="00750BAB" w:rsidRPr="003331E1" w:rsidRDefault="00750BAB" w:rsidP="003331E1">
      <w:pPr>
        <w:pStyle w:val="Heading5"/>
      </w:pPr>
      <w:r>
        <w:t>Dose proportionality</w:t>
      </w:r>
    </w:p>
    <w:p w:rsidR="00EE2F66" w:rsidRDefault="00EE2F66" w:rsidP="003331E1">
      <w:r w:rsidRPr="0021542B">
        <w:t xml:space="preserve">Mean </w:t>
      </w:r>
      <w:proofErr w:type="spellStart"/>
      <w:r w:rsidRPr="0021542B">
        <w:t>C</w:t>
      </w:r>
      <w:r w:rsidRPr="0021542B">
        <w:rPr>
          <w:vertAlign w:val="subscript"/>
        </w:rPr>
        <w:t>max</w:t>
      </w:r>
      <w:proofErr w:type="spellEnd"/>
      <w:r w:rsidRPr="0021542B">
        <w:t xml:space="preserve"> and AUC increased in an approximately dose proportional manner for both FIX activity and </w:t>
      </w:r>
      <w:proofErr w:type="spellStart"/>
      <w:r w:rsidR="00193457">
        <w:t>r</w:t>
      </w:r>
      <w:r w:rsidRPr="0021542B">
        <w:t>FIXFc</w:t>
      </w:r>
      <w:proofErr w:type="spellEnd"/>
      <w:r w:rsidRPr="0021542B">
        <w:t xml:space="preserve"> antigen, over the dose range of 25 to 100 IU/kg.</w:t>
      </w:r>
    </w:p>
    <w:p w:rsidR="00750BAB" w:rsidRPr="003331E1" w:rsidRDefault="003331E1" w:rsidP="003331E1">
      <w:pPr>
        <w:pStyle w:val="Heading5"/>
      </w:pPr>
      <w:r>
        <w:t>PK during multiple dosing</w:t>
      </w:r>
    </w:p>
    <w:p w:rsidR="00EE2F66" w:rsidRPr="0021542B" w:rsidRDefault="00EE2F66" w:rsidP="003331E1">
      <w:r w:rsidRPr="0021542B">
        <w:t xml:space="preserve">There was no alteration in the PK of </w:t>
      </w:r>
      <w:proofErr w:type="spellStart"/>
      <w:r w:rsidR="00193457">
        <w:t>r</w:t>
      </w:r>
      <w:r w:rsidRPr="0021542B">
        <w:t>FIXFc</w:t>
      </w:r>
      <w:proofErr w:type="spellEnd"/>
      <w:r w:rsidRPr="0021542B">
        <w:t xml:space="preserve"> after 26 weeks of dosi</w:t>
      </w:r>
      <w:r w:rsidR="003331E1">
        <w:t>ng using a prophylaxis regimen.</w:t>
      </w:r>
    </w:p>
    <w:p w:rsidR="00EE2F66" w:rsidRPr="00C83D73" w:rsidRDefault="00EE2F66" w:rsidP="003331E1">
      <w:pPr>
        <w:pStyle w:val="Heading5"/>
      </w:pPr>
      <w:r w:rsidRPr="003331E1">
        <w:t>Distribution</w:t>
      </w:r>
    </w:p>
    <w:p w:rsidR="00EE2F66" w:rsidRPr="00C83D73" w:rsidRDefault="00EE2F66" w:rsidP="003331E1">
      <w:pPr>
        <w:pStyle w:val="ListBullet"/>
      </w:pPr>
      <w:r w:rsidRPr="00C83D73">
        <w:t xml:space="preserve">In </w:t>
      </w:r>
      <w:r w:rsidRPr="003331E1">
        <w:t>the</w:t>
      </w:r>
      <w:r w:rsidRPr="00C83D73">
        <w:t xml:space="preserve"> conventional PK studies, the volume of distribution at steady state (</w:t>
      </w:r>
      <w:proofErr w:type="spellStart"/>
      <w:r w:rsidRPr="00C83D73">
        <w:t>V</w:t>
      </w:r>
      <w:r w:rsidRPr="00C83D73">
        <w:rPr>
          <w:vertAlign w:val="subscript"/>
        </w:rPr>
        <w:t>ss</w:t>
      </w:r>
      <w:proofErr w:type="spellEnd"/>
      <w:r w:rsidRPr="00C83D73">
        <w:t xml:space="preserve">) varied between 227 and 314 mL/kg (16 to 22 L for a 70 kg individual). In the population PK analysis the estimated </w:t>
      </w:r>
      <w:proofErr w:type="spellStart"/>
      <w:r w:rsidRPr="00C83D73">
        <w:t>V</w:t>
      </w:r>
      <w:r w:rsidRPr="00C83D73">
        <w:rPr>
          <w:vertAlign w:val="subscript"/>
        </w:rPr>
        <w:t>ss</w:t>
      </w:r>
      <w:proofErr w:type="spellEnd"/>
      <w:r w:rsidRPr="00C83D73">
        <w:t xml:space="preserve"> was 271 mL/kg.</w:t>
      </w:r>
    </w:p>
    <w:p w:rsidR="00EE2F66" w:rsidRDefault="00EE2F66" w:rsidP="003331E1">
      <w:pPr>
        <w:pStyle w:val="ListBullet"/>
      </w:pPr>
      <w:r w:rsidRPr="003331E1">
        <w:t>There</w:t>
      </w:r>
      <w:r w:rsidRPr="00C83D73">
        <w:t xml:space="preserve"> were no clinical data submitted on plasma protein binding, erythrocyte distribution or tissue distribution.</w:t>
      </w:r>
    </w:p>
    <w:p w:rsidR="00353633" w:rsidRPr="00353633" w:rsidRDefault="00353633" w:rsidP="003331E1">
      <w:pPr>
        <w:ind w:left="360"/>
      </w:pPr>
      <w:r w:rsidRPr="00700AE4">
        <w:rPr>
          <w:b/>
        </w:rPr>
        <w:t>Evaluator c</w:t>
      </w:r>
      <w:r w:rsidR="00750BAB" w:rsidRPr="00700AE4">
        <w:rPr>
          <w:b/>
        </w:rPr>
        <w:t>omment:</w:t>
      </w:r>
      <w:r w:rsidRPr="00353633">
        <w:t xml:space="preserve"> The guideline on PK of therapeutic proteins adopted by the TGA</w:t>
      </w:r>
      <w:r>
        <w:rPr>
          <w:rStyle w:val="FootnoteReference"/>
        </w:rPr>
        <w:footnoteReference w:id="12"/>
      </w:r>
      <w:r w:rsidRPr="00353633">
        <w:t xml:space="preserve"> states that “... binding capacity to plasma proteins should be studied when considered relevant”. It contains no recommendations regarding the need to measure distribution to tissues. The absence of data on other distribution parameters is not considered a deficiency in the submission.</w:t>
      </w:r>
    </w:p>
    <w:p w:rsidR="00EE2F66" w:rsidRPr="003331E1" w:rsidRDefault="00EE2F66" w:rsidP="003331E1">
      <w:pPr>
        <w:pStyle w:val="Heading5"/>
      </w:pPr>
      <w:r w:rsidRPr="00C83D73">
        <w:t xml:space="preserve">Metabolism and </w:t>
      </w:r>
      <w:r w:rsidR="00C04956" w:rsidRPr="00C83D73">
        <w:t>e</w:t>
      </w:r>
      <w:r w:rsidRPr="00C83D73">
        <w:t>xcretion</w:t>
      </w:r>
    </w:p>
    <w:p w:rsidR="00EE2F66" w:rsidRDefault="00EE2F66" w:rsidP="003331E1">
      <w:pPr>
        <w:pStyle w:val="ListBullet"/>
      </w:pPr>
      <w:r w:rsidRPr="00C83D73">
        <w:t xml:space="preserve">There were no clinical </w:t>
      </w:r>
      <w:r w:rsidRPr="003331E1">
        <w:t>data</w:t>
      </w:r>
      <w:r w:rsidRPr="00C83D73">
        <w:t xml:space="preserve"> in the submission regarding the routes of metabolism and excretion of </w:t>
      </w:r>
      <w:proofErr w:type="spellStart"/>
      <w:r w:rsidR="00193457">
        <w:t>r</w:t>
      </w:r>
      <w:r w:rsidR="003331E1">
        <w:t>FIXFc</w:t>
      </w:r>
      <w:proofErr w:type="spellEnd"/>
      <w:r w:rsidR="003331E1">
        <w:t>.</w:t>
      </w:r>
    </w:p>
    <w:p w:rsidR="00353633" w:rsidRPr="00353633" w:rsidRDefault="00353633" w:rsidP="003331E1">
      <w:pPr>
        <w:ind w:left="360"/>
      </w:pPr>
      <w:r w:rsidRPr="00700AE4">
        <w:rPr>
          <w:b/>
        </w:rPr>
        <w:t>Evaluator comment:</w:t>
      </w:r>
      <w:r w:rsidRPr="00353633">
        <w:t xml:space="preserve"> According to the guideline on PK of therapeutic proteins, the elimination of large proteins can be predicted to occur through catabolism by </w:t>
      </w:r>
      <w:r>
        <w:t>proteolysis</w:t>
      </w:r>
      <w:r w:rsidRPr="00353633">
        <w:t>.</w:t>
      </w:r>
    </w:p>
    <w:p w:rsidR="00353633" w:rsidRPr="00C83D73" w:rsidRDefault="00353633" w:rsidP="003331E1">
      <w:pPr>
        <w:pStyle w:val="Heading5"/>
      </w:pPr>
      <w:r>
        <w:t>Clearance and half life</w:t>
      </w:r>
    </w:p>
    <w:p w:rsidR="00EE2F66" w:rsidRPr="00C83D73" w:rsidRDefault="00EE2F66" w:rsidP="003331E1">
      <w:pPr>
        <w:pStyle w:val="ListBullet"/>
      </w:pPr>
      <w:r w:rsidRPr="00C83D73">
        <w:t xml:space="preserve">Following a </w:t>
      </w:r>
      <w:r w:rsidRPr="003331E1">
        <w:t>single</w:t>
      </w:r>
      <w:r w:rsidRPr="00C83D73">
        <w:t xml:space="preserve"> intravenous dose of </w:t>
      </w:r>
      <w:proofErr w:type="spellStart"/>
      <w:r w:rsidR="00193457">
        <w:t>r</w:t>
      </w:r>
      <w:r w:rsidRPr="00C83D73">
        <w:t>FIXFc</w:t>
      </w:r>
      <w:proofErr w:type="spellEnd"/>
      <w:r w:rsidRPr="00C83D73">
        <w:t>,</w:t>
      </w:r>
      <w:r w:rsidR="00353633">
        <w:t xml:space="preserve"> clearance was measured a</w:t>
      </w:r>
      <w:r w:rsidR="008645C9">
        <w:t>s 3.19 </w:t>
      </w:r>
      <w:r w:rsidRPr="00C83D73">
        <w:t>mL/h/kg. This equates to 3.72 mL/min for a 70 kg individual.</w:t>
      </w:r>
    </w:p>
    <w:p w:rsidR="00EE2F66" w:rsidRPr="00C83D73" w:rsidRDefault="00EE2F66" w:rsidP="003331E1">
      <w:pPr>
        <w:pStyle w:val="ListBullet"/>
      </w:pPr>
      <w:r w:rsidRPr="00C83D73">
        <w:t xml:space="preserve">In the same study, half-life (of FIX activity) was measured as 82.1 h. The half-life of </w:t>
      </w:r>
      <w:proofErr w:type="spellStart"/>
      <w:r w:rsidR="00193457">
        <w:t>r</w:t>
      </w:r>
      <w:r w:rsidRPr="00C83D73">
        <w:t>FIXFc</w:t>
      </w:r>
      <w:proofErr w:type="spellEnd"/>
      <w:r w:rsidRPr="00C83D73">
        <w:t xml:space="preserve"> antigen was longer (up to 145 h), probably due to the greater sensitivity of the </w:t>
      </w:r>
      <w:proofErr w:type="spellStart"/>
      <w:r w:rsidR="00193457">
        <w:t>r</w:t>
      </w:r>
      <w:r w:rsidRPr="00C83D73">
        <w:t>FIXFc</w:t>
      </w:r>
      <w:proofErr w:type="spellEnd"/>
      <w:r w:rsidRPr="00C83D73">
        <w:t xml:space="preserve"> Antigen assay compared to the FIX activity assay.</w:t>
      </w:r>
    </w:p>
    <w:p w:rsidR="00EE2F66" w:rsidRPr="00C83D73" w:rsidRDefault="00EE2F66" w:rsidP="003331E1">
      <w:pPr>
        <w:pStyle w:val="Heading5"/>
      </w:pPr>
      <w:r w:rsidRPr="003331E1">
        <w:lastRenderedPageBreak/>
        <w:t>Intra</w:t>
      </w:r>
      <w:r w:rsidRPr="00C83D73">
        <w:t>- and inter-individual variability of pharmacokinetics</w:t>
      </w:r>
    </w:p>
    <w:p w:rsidR="00EE2F66" w:rsidRPr="00353633" w:rsidRDefault="00EE2F66" w:rsidP="003331E1">
      <w:r w:rsidRPr="00353633">
        <w:t xml:space="preserve">Both inter-individual and intra-individual variability in PK parameters appeared modest. In the population PK analysis, weight was the only covariate that demonstrated an effect on the PK of </w:t>
      </w:r>
      <w:proofErr w:type="spellStart"/>
      <w:r w:rsidR="00193457">
        <w:t>r</w:t>
      </w:r>
      <w:r w:rsidRPr="00353633">
        <w:t>FIXFc</w:t>
      </w:r>
      <w:proofErr w:type="spellEnd"/>
      <w:r w:rsidRPr="00353633">
        <w:t>. All the dosage regimens proposed by the sponsor are weight adjusted.</w:t>
      </w:r>
    </w:p>
    <w:p w:rsidR="00EE2F66" w:rsidRPr="00C83D73" w:rsidRDefault="00EE2F66" w:rsidP="003331E1">
      <w:pPr>
        <w:pStyle w:val="Heading4"/>
      </w:pPr>
      <w:r w:rsidRPr="003331E1">
        <w:t>Pharmacokinetics</w:t>
      </w:r>
      <w:r w:rsidRPr="00C83D73">
        <w:t xml:space="preserve"> in other special populations</w:t>
      </w:r>
    </w:p>
    <w:p w:rsidR="00AF5C6E" w:rsidRDefault="00EE2F66" w:rsidP="003331E1">
      <w:pPr>
        <w:pStyle w:val="ListBullet"/>
      </w:pPr>
      <w:r w:rsidRPr="00C83D73">
        <w:t>There were no clinical data on</w:t>
      </w:r>
      <w:r w:rsidR="003331E1">
        <w:t xml:space="preserve"> the effect of impaired hepatic</w:t>
      </w:r>
    </w:p>
    <w:p w:rsidR="00EE2F66" w:rsidRDefault="00AF5C6E" w:rsidP="003331E1">
      <w:pPr>
        <w:pStyle w:val="ListBullet"/>
      </w:pPr>
      <w:r w:rsidRPr="00AF5C6E">
        <w:t xml:space="preserve">There were no clinical data on the effect </w:t>
      </w:r>
      <w:r w:rsidR="00CE2DE2" w:rsidRPr="00C83D73">
        <w:t xml:space="preserve">renal </w:t>
      </w:r>
      <w:r w:rsidR="00EE2F66" w:rsidRPr="00C83D73">
        <w:t xml:space="preserve">function on </w:t>
      </w:r>
      <w:r w:rsidR="00EE2F66" w:rsidRPr="003331E1">
        <w:t>the</w:t>
      </w:r>
      <w:r w:rsidR="00EE2F66" w:rsidRPr="00C83D73">
        <w:t xml:space="preserve"> PK of </w:t>
      </w:r>
      <w:proofErr w:type="spellStart"/>
      <w:r w:rsidR="00193457">
        <w:t>r</w:t>
      </w:r>
      <w:r w:rsidR="00EE2F66" w:rsidRPr="00C83D73">
        <w:t>FIXFc</w:t>
      </w:r>
      <w:proofErr w:type="spellEnd"/>
      <w:r w:rsidR="00EE2F66" w:rsidRPr="00C83D73">
        <w:t>.</w:t>
      </w:r>
    </w:p>
    <w:p w:rsidR="00AF5C6E" w:rsidRPr="00AF5C6E" w:rsidRDefault="00AF5C6E" w:rsidP="003331E1">
      <w:pPr>
        <w:ind w:left="360"/>
      </w:pPr>
      <w:r w:rsidRPr="001E512D">
        <w:rPr>
          <w:b/>
        </w:rPr>
        <w:t>Evaluator comment:</w:t>
      </w:r>
      <w:r w:rsidRPr="00AF5C6E">
        <w:t xml:space="preserve"> Renal clearance is unlikely to be significant for large proteins such as </w:t>
      </w:r>
      <w:proofErr w:type="spellStart"/>
      <w:r w:rsidR="00193457">
        <w:t>r</w:t>
      </w:r>
      <w:r w:rsidRPr="00AF5C6E">
        <w:t>FIXFc</w:t>
      </w:r>
      <w:proofErr w:type="spellEnd"/>
      <w:r w:rsidRPr="00AF5C6E">
        <w:t>. Hence the absence of PK data in subjects with renal impairment is not considered to be a deficiency in the submission.</w:t>
      </w:r>
    </w:p>
    <w:p w:rsidR="00EE2F66" w:rsidRPr="00C83D73" w:rsidRDefault="00EE2F66" w:rsidP="00952E2C">
      <w:pPr>
        <w:pStyle w:val="ListBullet"/>
      </w:pPr>
      <w:r w:rsidRPr="00C83D73">
        <w:t>In the population PK analysis, age</w:t>
      </w:r>
      <w:r w:rsidR="00CE2DE2" w:rsidRPr="00C83D73">
        <w:t>,</w:t>
      </w:r>
      <w:r w:rsidRPr="00C83D73">
        <w:t xml:space="preserve"> </w:t>
      </w:r>
      <w:r w:rsidR="00CE2DE2" w:rsidRPr="00C83D73">
        <w:t xml:space="preserve">race, blood type or FIX genotype </w:t>
      </w:r>
      <w:r w:rsidRPr="00C83D73">
        <w:t xml:space="preserve">did not affect the PK of </w:t>
      </w:r>
      <w:proofErr w:type="spellStart"/>
      <w:r w:rsidR="00193457">
        <w:t>r</w:t>
      </w:r>
      <w:r w:rsidRPr="00C83D73">
        <w:t>FIXFc</w:t>
      </w:r>
      <w:proofErr w:type="spellEnd"/>
      <w:r w:rsidRPr="00C83D73">
        <w:t>.</w:t>
      </w:r>
    </w:p>
    <w:p w:rsidR="00EE2F66" w:rsidRPr="00A65F68" w:rsidRDefault="00EE2F66" w:rsidP="00A65F68">
      <w:pPr>
        <w:pStyle w:val="Heading4"/>
      </w:pPr>
      <w:r w:rsidRPr="00C83D73">
        <w:t>Pharmacokinetic interactions</w:t>
      </w:r>
    </w:p>
    <w:p w:rsidR="00EE2F66" w:rsidRDefault="00EE2F66" w:rsidP="00A65F68">
      <w:r w:rsidRPr="00C83D73">
        <w:t>The submission contained no clinical data on interactions.</w:t>
      </w:r>
    </w:p>
    <w:p w:rsidR="00C04956" w:rsidRPr="00FB2770" w:rsidRDefault="00C04956" w:rsidP="00A65F68">
      <w:pPr>
        <w:pStyle w:val="Heading4"/>
      </w:pPr>
      <w:r>
        <w:t xml:space="preserve">Evaluator’s conclusions on </w:t>
      </w:r>
      <w:r w:rsidRPr="00A65F68">
        <w:t>pharmacokinetics</w:t>
      </w:r>
    </w:p>
    <w:p w:rsidR="009F13AA" w:rsidRDefault="00C04956" w:rsidP="00A65F68">
      <w:r>
        <w:t xml:space="preserve">The PK of </w:t>
      </w:r>
      <w:proofErr w:type="spellStart"/>
      <w:r w:rsidR="00193457">
        <w:t>r</w:t>
      </w:r>
      <w:r>
        <w:t>FIXFc</w:t>
      </w:r>
      <w:proofErr w:type="spellEnd"/>
      <w:r>
        <w:t xml:space="preserve"> have been adequately characterised, given the rarity of haemophilia B and the fact that </w:t>
      </w:r>
      <w:proofErr w:type="spellStart"/>
      <w:r w:rsidR="00193457">
        <w:t>r</w:t>
      </w:r>
      <w:r>
        <w:t>FIXFc</w:t>
      </w:r>
      <w:proofErr w:type="spellEnd"/>
      <w:r>
        <w:t xml:space="preserve"> is a large protein. In addition, the data generated meet the requirements for PK data laid down in the </w:t>
      </w:r>
      <w:r w:rsidR="00BD2D07" w:rsidRPr="00BD2D07">
        <w:rPr>
          <w:i/>
        </w:rPr>
        <w:t>Guideline on clinical investigation of recombinant and human plasma-derived factor IX products</w:t>
      </w:r>
      <w:r w:rsidR="00BD2D07" w:rsidRPr="00BD2D07">
        <w:t xml:space="preserve"> </w:t>
      </w:r>
      <w:r w:rsidR="00BD2D07">
        <w:t>(</w:t>
      </w:r>
      <w:r w:rsidR="00BD2D07" w:rsidRPr="00BD2D07">
        <w:t>EMA/CHMP/BPWP/144552/2009</w:t>
      </w:r>
      <w:r w:rsidR="00BD2D07">
        <w:t>) for haemophilia B</w:t>
      </w:r>
      <w:r>
        <w:t>.</w:t>
      </w:r>
    </w:p>
    <w:p w:rsidR="008E7846" w:rsidRPr="00A65F68" w:rsidRDefault="008E7846" w:rsidP="00A65F68">
      <w:pPr>
        <w:pStyle w:val="Heading3"/>
      </w:pPr>
      <w:bookmarkStart w:id="79" w:name="_Toc404068931"/>
      <w:r w:rsidRPr="00254787">
        <w:t>Pharmacodynamics</w:t>
      </w:r>
      <w:bookmarkEnd w:id="59"/>
      <w:bookmarkEnd w:id="76"/>
      <w:bookmarkEnd w:id="77"/>
      <w:bookmarkEnd w:id="78"/>
      <w:bookmarkEnd w:id="79"/>
    </w:p>
    <w:p w:rsidR="009F13AA" w:rsidRPr="008645C9" w:rsidRDefault="009F13AA" w:rsidP="00A65F68">
      <w:r w:rsidRPr="008645C9">
        <w:t>F</w:t>
      </w:r>
      <w:r w:rsidR="00BD2D07" w:rsidRPr="008645C9">
        <w:t xml:space="preserve">actor </w:t>
      </w:r>
      <w:r w:rsidRPr="008645C9">
        <w:t xml:space="preserve">IX activity was measured in both the submitted studies. In haemophilia studies this is generally considered to be a pharmacokinetic endpoint and results have therefore been described in </w:t>
      </w:r>
      <w:r w:rsidR="00BD2D07" w:rsidRPr="008645C9">
        <w:t xml:space="preserve">the section on </w:t>
      </w:r>
      <w:r w:rsidR="00DF764F" w:rsidRPr="008645C9">
        <w:rPr>
          <w:i/>
        </w:rPr>
        <w:t>Pharmacokinetics</w:t>
      </w:r>
      <w:r w:rsidR="00BD2D07" w:rsidRPr="008645C9">
        <w:t xml:space="preserve"> (above</w:t>
      </w:r>
      <w:r w:rsidR="00DF764F" w:rsidRPr="008645C9">
        <w:t>)</w:t>
      </w:r>
      <w:r w:rsidRPr="008645C9">
        <w:t>.</w:t>
      </w:r>
    </w:p>
    <w:p w:rsidR="009F13AA" w:rsidRPr="008645C9" w:rsidRDefault="009F13AA" w:rsidP="00A65F68">
      <w:r w:rsidRPr="008645C9">
        <w:t xml:space="preserve">In Study 998HB102, global haemostasis assays were performed, including an exploratory thrombin generation assay and, in some sites, whole blood rotation </w:t>
      </w:r>
      <w:proofErr w:type="spellStart"/>
      <w:r w:rsidRPr="008645C9">
        <w:t>thromboelastometry</w:t>
      </w:r>
      <w:proofErr w:type="spellEnd"/>
      <w:r w:rsidR="00BD2D07" w:rsidRPr="008645C9">
        <w:t xml:space="preserve">. </w:t>
      </w:r>
      <w:r w:rsidRPr="008645C9">
        <w:t>The results were not included in the submitted study report.</w:t>
      </w:r>
    </w:p>
    <w:p w:rsidR="009F13AA" w:rsidRPr="008645C9" w:rsidRDefault="009F13AA" w:rsidP="00A65F68">
      <w:r w:rsidRPr="008645C9">
        <w:t>No other pharmacodynamic data were submitted.</w:t>
      </w:r>
    </w:p>
    <w:p w:rsidR="008E7846" w:rsidRPr="00630FB7" w:rsidRDefault="00605AD4" w:rsidP="00A65F68">
      <w:pPr>
        <w:pStyle w:val="Heading3"/>
      </w:pPr>
      <w:bookmarkStart w:id="80" w:name="_Toc404068932"/>
      <w:r>
        <w:t>Dosage selection for the pivotal stud</w:t>
      </w:r>
      <w:r w:rsidR="00A8133D">
        <w:t>y</w:t>
      </w:r>
      <w:bookmarkEnd w:id="80"/>
    </w:p>
    <w:p w:rsidR="006272A6" w:rsidRPr="00E51762" w:rsidRDefault="006272A6" w:rsidP="00A65F68">
      <w:bookmarkStart w:id="81" w:name="_Toc163441372"/>
      <w:bookmarkStart w:id="82" w:name="_Toc196046485"/>
      <w:bookmarkStart w:id="83" w:name="_Toc247691521"/>
      <w:bookmarkStart w:id="84" w:name="_Toc314842504"/>
      <w:r w:rsidRPr="00E51762">
        <w:t xml:space="preserve">The doses chosen for prophylaxis and episodic treatment arms of the pivotal study </w:t>
      </w:r>
      <w:r w:rsidR="00F47D0F">
        <w:t>(</w:t>
      </w:r>
      <w:r w:rsidR="00F47D0F" w:rsidRPr="00F47D0F">
        <w:t>998HB102</w:t>
      </w:r>
      <w:r w:rsidR="00F47D0F">
        <w:t xml:space="preserve">) </w:t>
      </w:r>
      <w:r w:rsidRPr="00E51762">
        <w:t>we</w:t>
      </w:r>
      <w:r w:rsidR="00F47D0F">
        <w:t>re based on the results of the P</w:t>
      </w:r>
      <w:r w:rsidRPr="00E51762">
        <w:t xml:space="preserve">hase </w:t>
      </w:r>
      <w:r>
        <w:t>I</w:t>
      </w:r>
      <w:r w:rsidRPr="00E51762">
        <w:t>/</w:t>
      </w:r>
      <w:proofErr w:type="spellStart"/>
      <w:r>
        <w:t>II</w:t>
      </w:r>
      <w:r w:rsidRPr="00E51762">
        <w:t>a</w:t>
      </w:r>
      <w:proofErr w:type="spellEnd"/>
      <w:r w:rsidRPr="00E51762">
        <w:t xml:space="preserve"> study (SYN-FIXFc-07-001). The target threshold of the prophylaxis and episodic treatment arms was to maintain FIX activity above 1% for at least 7 days. Based on the results from the Phase </w:t>
      </w:r>
      <w:r>
        <w:t>I</w:t>
      </w:r>
      <w:r w:rsidRPr="00E51762">
        <w:t>/</w:t>
      </w:r>
      <w:proofErr w:type="spellStart"/>
      <w:r>
        <w:t>II</w:t>
      </w:r>
      <w:r w:rsidRPr="00E51762">
        <w:t>a</w:t>
      </w:r>
      <w:proofErr w:type="spellEnd"/>
      <w:r w:rsidRPr="00E51762">
        <w:t xml:space="preserve"> study, the mean and median FIX activity on Day 7 with 50 IU/kg would be 2.55% and 1.89% above baseline, respectively. </w:t>
      </w:r>
      <w:r>
        <w:t>Also</w:t>
      </w:r>
      <w:r w:rsidRPr="00E51762">
        <w:t>, over 70% of the population would have FIX activity of 1% above baseline on Day 7.</w:t>
      </w:r>
    </w:p>
    <w:p w:rsidR="006272A6" w:rsidRDefault="006272A6" w:rsidP="00A65F68">
      <w:r>
        <w:lastRenderedPageBreak/>
        <w:t>Doses selected</w:t>
      </w:r>
      <w:r w:rsidRPr="00E51762">
        <w:t xml:space="preserve"> for treatment for bleeding episodes in all arms and for use during surgery </w:t>
      </w:r>
      <w:r>
        <w:t>were</w:t>
      </w:r>
      <w:r w:rsidRPr="00E51762">
        <w:t xml:space="preserve"> based on clinical practice guidelines for patients with severe </w:t>
      </w:r>
      <w:r w:rsidRPr="009851A9">
        <w:t>haemophilia</w:t>
      </w:r>
      <w:r w:rsidR="00D51426">
        <w:rPr>
          <w:vertAlign w:val="superscript"/>
        </w:rPr>
        <w:t>9</w:t>
      </w:r>
      <w:r w:rsidR="000932A3">
        <w:rPr>
          <w:vertAlign w:val="superscript"/>
        </w:rPr>
        <w:t xml:space="preserve">, </w:t>
      </w:r>
      <w:proofErr w:type="gramStart"/>
      <w:r w:rsidR="000932A3">
        <w:rPr>
          <w:vertAlign w:val="superscript"/>
        </w:rPr>
        <w:t>10</w:t>
      </w:r>
      <w:r w:rsidR="00085CDD" w:rsidRPr="0066762E">
        <w:rPr>
          <w:vertAlign w:val="superscript"/>
        </w:rPr>
        <w:t>,</w:t>
      </w:r>
      <w:r w:rsidR="00085CDD" w:rsidRPr="0066762E">
        <w:rPr>
          <w:rStyle w:val="FootnoteReference"/>
        </w:rPr>
        <w:footnoteReference w:id="13"/>
      </w:r>
      <w:r w:rsidRPr="009851A9">
        <w:t>.</w:t>
      </w:r>
      <w:proofErr w:type="gramEnd"/>
    </w:p>
    <w:p w:rsidR="008E7846" w:rsidRPr="00254787" w:rsidRDefault="008E7846" w:rsidP="00A65F68">
      <w:pPr>
        <w:pStyle w:val="Heading3"/>
      </w:pPr>
      <w:bookmarkStart w:id="85" w:name="_Toc404068933"/>
      <w:r w:rsidRPr="00254787">
        <w:t>Efficacy</w:t>
      </w:r>
      <w:bookmarkEnd w:id="81"/>
      <w:bookmarkEnd w:id="82"/>
      <w:bookmarkEnd w:id="83"/>
      <w:bookmarkEnd w:id="84"/>
      <w:bookmarkEnd w:id="85"/>
    </w:p>
    <w:p w:rsidR="00605AD4" w:rsidRDefault="00605AD4" w:rsidP="00A65F68">
      <w:pPr>
        <w:pStyle w:val="Heading4"/>
      </w:pPr>
      <w:bookmarkStart w:id="86" w:name="_Toc184439992"/>
      <w:bookmarkStart w:id="87" w:name="_Toc184440279"/>
      <w:bookmarkStart w:id="88" w:name="_Toc184444657"/>
      <w:bookmarkStart w:id="89" w:name="_Toc196046487"/>
      <w:r>
        <w:t>Studies providing efficacy data</w:t>
      </w:r>
    </w:p>
    <w:p w:rsidR="004534BB" w:rsidRDefault="004534BB" w:rsidP="00A65F68">
      <w:r>
        <w:t>Only one of the submitted studies (998HB102, also known as the B-LONG study) contained efficacy data.</w:t>
      </w:r>
    </w:p>
    <w:p w:rsidR="00D51426" w:rsidRPr="00D51426" w:rsidRDefault="00F47D0F" w:rsidP="00A65F68">
      <w:r>
        <w:t>This study was an open-label, Phase III trial, with 4 arms</w:t>
      </w:r>
      <w:r w:rsidR="00D51426">
        <w:t xml:space="preserve">, </w:t>
      </w:r>
      <w:r>
        <w:t xml:space="preserve">conducted in </w:t>
      </w:r>
      <w:r w:rsidR="00674261">
        <w:t>PTPs aged 12 years and older</w:t>
      </w:r>
      <w:r w:rsidR="00D51426">
        <w:t xml:space="preserve">. </w:t>
      </w:r>
      <w:r w:rsidR="00D51426" w:rsidRPr="00D51426">
        <w:t>The primary objectives of the study were:</w:t>
      </w:r>
    </w:p>
    <w:p w:rsidR="00D51426" w:rsidRPr="00D51426" w:rsidRDefault="00D51426" w:rsidP="00A65F68">
      <w:pPr>
        <w:pStyle w:val="ListBullet"/>
      </w:pPr>
      <w:r w:rsidRPr="00D51426">
        <w:t xml:space="preserve">To evaluate the safety and tolerability of </w:t>
      </w:r>
      <w:proofErr w:type="spellStart"/>
      <w:r>
        <w:t>r</w:t>
      </w:r>
      <w:r w:rsidRPr="00D51426">
        <w:t>FIXFc</w:t>
      </w:r>
      <w:proofErr w:type="spellEnd"/>
      <w:r w:rsidRPr="00D51426">
        <w:t>;</w:t>
      </w:r>
    </w:p>
    <w:p w:rsidR="00D51426" w:rsidRPr="00D51426" w:rsidRDefault="00D51426" w:rsidP="00A65F68">
      <w:pPr>
        <w:pStyle w:val="ListBullet"/>
      </w:pPr>
      <w:r w:rsidRPr="00D51426">
        <w:t xml:space="preserve">To evaluate the efficacy of </w:t>
      </w:r>
      <w:proofErr w:type="spellStart"/>
      <w:r>
        <w:t>r</w:t>
      </w:r>
      <w:r w:rsidRPr="00D51426">
        <w:t>FIXFc</w:t>
      </w:r>
      <w:proofErr w:type="spellEnd"/>
      <w:r w:rsidRPr="00D51426">
        <w:t xml:space="preserve"> in all treatment arms;</w:t>
      </w:r>
    </w:p>
    <w:p w:rsidR="00D51426" w:rsidRPr="00D51426" w:rsidRDefault="00D51426" w:rsidP="00A65F68">
      <w:pPr>
        <w:pStyle w:val="ListBullet"/>
      </w:pPr>
      <w:r w:rsidRPr="00D51426">
        <w:t xml:space="preserve">To evaluate the effectiveness of prophylaxis over on-demand (episodic) therapy by comparing the annualized number of bleeding episodes between subjects receiving </w:t>
      </w:r>
      <w:proofErr w:type="spellStart"/>
      <w:r w:rsidRPr="00D51426">
        <w:t>FIXFc</w:t>
      </w:r>
      <w:proofErr w:type="spellEnd"/>
      <w:r w:rsidRPr="00D51426">
        <w:t xml:space="preserve"> on each prevention (prophylaxis) regimen (Arm 1 and Arm 2) and subjects receiving </w:t>
      </w:r>
      <w:proofErr w:type="spellStart"/>
      <w:r w:rsidRPr="00D51426">
        <w:t>FIXFc</w:t>
      </w:r>
      <w:proofErr w:type="spellEnd"/>
      <w:r w:rsidRPr="00D51426">
        <w:t xml:space="preserve"> on an episodic regimen (Arm 3).</w:t>
      </w:r>
    </w:p>
    <w:p w:rsidR="00F47D0F" w:rsidRPr="00D51426" w:rsidRDefault="00D51426" w:rsidP="00A65F68">
      <w:r>
        <w:t>D</w:t>
      </w:r>
      <w:r w:rsidR="00674261" w:rsidRPr="00D51426">
        <w:t xml:space="preserve">etails </w:t>
      </w:r>
      <w:r>
        <w:t xml:space="preserve">of this study are provided in </w:t>
      </w:r>
      <w:r w:rsidR="00674261" w:rsidRPr="00D51426">
        <w:t>Attachment 2 of this AusPAR.</w:t>
      </w:r>
    </w:p>
    <w:p w:rsidR="008E7846" w:rsidRPr="00A65F68" w:rsidRDefault="00605AD4" w:rsidP="00A65F68">
      <w:pPr>
        <w:pStyle w:val="Heading4"/>
      </w:pPr>
      <w:r>
        <w:t>Evaluator’s conclusions on efficacy</w:t>
      </w:r>
    </w:p>
    <w:p w:rsidR="004534BB" w:rsidRDefault="004534BB" w:rsidP="00A65F68">
      <w:bookmarkStart w:id="90" w:name="_Toc163441378"/>
      <w:bookmarkStart w:id="91" w:name="_Toc196046495"/>
      <w:bookmarkStart w:id="92" w:name="_Toc247691522"/>
      <w:bookmarkStart w:id="93" w:name="_Toc314842505"/>
      <w:bookmarkEnd w:id="86"/>
      <w:bookmarkEnd w:id="87"/>
      <w:bookmarkEnd w:id="88"/>
      <w:bookmarkEnd w:id="89"/>
      <w:r>
        <w:t xml:space="preserve">The PK data generated in the Phase III study demonstrate that the administration of </w:t>
      </w:r>
      <w:proofErr w:type="spellStart"/>
      <w:r w:rsidR="00193457">
        <w:t>r</w:t>
      </w:r>
      <w:r>
        <w:t>FIXFc</w:t>
      </w:r>
      <w:proofErr w:type="spellEnd"/>
      <w:r>
        <w:t xml:space="preserve"> restores plasma FIX activity levels in subjects with FIX deficiency. The degree to which FIX activity is restored (as measured by C</w:t>
      </w:r>
      <w:r w:rsidRPr="00DF30F1">
        <w:rPr>
          <w:vertAlign w:val="subscript"/>
        </w:rPr>
        <w:t>max</w:t>
      </w:r>
      <w:r>
        <w:t xml:space="preserve"> and incremental recovery) is comparable to that achieved with the registered recombinant FIX product </w:t>
      </w:r>
      <w:proofErr w:type="spellStart"/>
      <w:r>
        <w:t>BeneFIX</w:t>
      </w:r>
      <w:proofErr w:type="spellEnd"/>
      <w:r>
        <w:t xml:space="preserve"> when the two products are administered at the same dose. The half-life and AUC of </w:t>
      </w:r>
      <w:proofErr w:type="spellStart"/>
      <w:r w:rsidR="00193457">
        <w:t>r</w:t>
      </w:r>
      <w:r>
        <w:t>FIXFc</w:t>
      </w:r>
      <w:proofErr w:type="spellEnd"/>
      <w:r>
        <w:t xml:space="preserve"> were approximately double those observed with </w:t>
      </w:r>
      <w:proofErr w:type="spellStart"/>
      <w:r>
        <w:t>BeneFIX</w:t>
      </w:r>
      <w:proofErr w:type="spellEnd"/>
      <w:r>
        <w:t xml:space="preserve">. It would therefore be reasonable to expect that </w:t>
      </w:r>
      <w:proofErr w:type="spellStart"/>
      <w:r w:rsidR="00193457">
        <w:t>r</w:t>
      </w:r>
      <w:r>
        <w:t>FIXFc</w:t>
      </w:r>
      <w:proofErr w:type="spellEnd"/>
      <w:r>
        <w:t xml:space="preserve"> should have comparable clinical efficacy to </w:t>
      </w:r>
      <w:proofErr w:type="spellStart"/>
      <w:r>
        <w:t>BeneFIX</w:t>
      </w:r>
      <w:proofErr w:type="spellEnd"/>
      <w:r>
        <w:t xml:space="preserve"> and that a longer dosage interval should be possible.</w:t>
      </w:r>
    </w:p>
    <w:p w:rsidR="004534BB" w:rsidRDefault="004534BB" w:rsidP="00A65F68">
      <w:r>
        <w:t xml:space="preserve">The data from the pivotal study establish that </w:t>
      </w:r>
      <w:proofErr w:type="spellStart"/>
      <w:r w:rsidR="00193457">
        <w:t>r</w:t>
      </w:r>
      <w:r>
        <w:t>FIXFc</w:t>
      </w:r>
      <w:proofErr w:type="spellEnd"/>
      <w:r>
        <w:t xml:space="preserve"> is effective in the treatment of bleeding episodes. Subjects rated the response to </w:t>
      </w:r>
      <w:proofErr w:type="spellStart"/>
      <w:r w:rsidR="00193457">
        <w:t>r</w:t>
      </w:r>
      <w:r>
        <w:t>FIXFc</w:t>
      </w:r>
      <w:proofErr w:type="spellEnd"/>
      <w:r>
        <w:t xml:space="preserve"> treatment as ‘excellent’ or ‘good’ on 82.0% of occasions. Physicians rated responses as ‘excellent’ or ‘effective’ on 98.8% of occasions. A total of 90.4% of bleeding episodes resolved after a single injection of </w:t>
      </w:r>
      <w:proofErr w:type="spellStart"/>
      <w:r w:rsidR="00193457">
        <w:t>r</w:t>
      </w:r>
      <w:r>
        <w:t>FIXFc</w:t>
      </w:r>
      <w:proofErr w:type="spellEnd"/>
      <w:r>
        <w:t xml:space="preserve">. The dosages used for the treatment of bleeding episodes in the </w:t>
      </w:r>
      <w:r w:rsidR="00674261">
        <w:t xml:space="preserve">study </w:t>
      </w:r>
      <w:r>
        <w:t>are considered appropriate.</w:t>
      </w:r>
    </w:p>
    <w:p w:rsidR="004534BB" w:rsidRDefault="004534BB" w:rsidP="00A65F68">
      <w:r>
        <w:t>The study also established that use of a prophylaxis regimen was superior to use of an on</w:t>
      </w:r>
      <w:r w:rsidR="00C96628">
        <w:noBreakHyphen/>
      </w:r>
      <w:r w:rsidR="00674261">
        <w:t xml:space="preserve">demand or </w:t>
      </w:r>
      <w:r>
        <w:t>episodic regimen. The two prophylaxis regimens tested resulted in reductions in annual bleeding rate of 83% and 87%</w:t>
      </w:r>
      <w:r w:rsidR="00A8133D">
        <w:t>,</w:t>
      </w:r>
      <w:r>
        <w:t xml:space="preserve"> respectively. The two dosage regimens supported by the study</w:t>
      </w:r>
      <w:r w:rsidR="00480303">
        <w:rPr>
          <w:rStyle w:val="FootnoteReference"/>
        </w:rPr>
        <w:footnoteReference w:id="14"/>
      </w:r>
      <w:r>
        <w:t xml:space="preserve"> are:</w:t>
      </w:r>
    </w:p>
    <w:p w:rsidR="004534BB" w:rsidRDefault="004534BB" w:rsidP="00A65F68">
      <w:pPr>
        <w:pStyle w:val="ListBullet"/>
      </w:pPr>
      <w:r>
        <w:t xml:space="preserve">A </w:t>
      </w:r>
      <w:r w:rsidR="00480303">
        <w:t xml:space="preserve">starting </w:t>
      </w:r>
      <w:r>
        <w:t>regimen using a fixed once</w:t>
      </w:r>
      <w:r w:rsidR="00A8133D">
        <w:t xml:space="preserve"> </w:t>
      </w:r>
      <w:r>
        <w:t>weekly interval with a starting dose of 50 IU/kg and subsequent adjustment of the dose</w:t>
      </w:r>
      <w:r w:rsidR="00A8133D">
        <w:t>.</w:t>
      </w:r>
    </w:p>
    <w:p w:rsidR="004534BB" w:rsidRDefault="004534BB" w:rsidP="00A65F68">
      <w:pPr>
        <w:pStyle w:val="ListBullet"/>
      </w:pPr>
      <w:r>
        <w:t xml:space="preserve">A </w:t>
      </w:r>
      <w:r w:rsidR="00480303">
        <w:t xml:space="preserve">starting </w:t>
      </w:r>
      <w:r>
        <w:t>regimen using a fixed dose of 100 IU/kg with an initial dosing interval of 10 days and subsequent adjustment of the dosing interval. The maximum dosing interval should be no more than 14 days.</w:t>
      </w:r>
    </w:p>
    <w:p w:rsidR="004534BB" w:rsidRDefault="004534BB" w:rsidP="00A65F68">
      <w:r>
        <w:lastRenderedPageBreak/>
        <w:t>The study also established efficacy of the product when used in the surgical prophylaxis setting, with response rated as ‘excellent’ or ‘good’ in 100% of major surgeries, and modest blood loss.</w:t>
      </w:r>
    </w:p>
    <w:p w:rsidR="004534BB" w:rsidRPr="00674261" w:rsidRDefault="004534BB" w:rsidP="00A65F68">
      <w:r>
        <w:t xml:space="preserve">The submitted data generally meet the requirements laid down by the </w:t>
      </w:r>
      <w:r w:rsidR="00D51426">
        <w:t xml:space="preserve">relevant </w:t>
      </w:r>
      <w:r>
        <w:t>EMA guidelines</w:t>
      </w:r>
      <w:r w:rsidR="00674261">
        <w:rPr>
          <w:rStyle w:val="FootnoteReference"/>
        </w:rPr>
        <w:footnoteReference w:id="15"/>
      </w:r>
      <w:proofErr w:type="gramStart"/>
      <w:r w:rsidR="00674261" w:rsidRPr="00674261">
        <w:rPr>
          <w:vertAlign w:val="superscript"/>
        </w:rPr>
        <w:t>,</w:t>
      </w:r>
      <w:r w:rsidR="00674261">
        <w:rPr>
          <w:rStyle w:val="FootnoteReference"/>
        </w:rPr>
        <w:footnoteReference w:id="16"/>
      </w:r>
      <w:r w:rsidR="00674261" w:rsidRPr="00674261">
        <w:rPr>
          <w:vertAlign w:val="superscript"/>
        </w:rPr>
        <w:t>,</w:t>
      </w:r>
      <w:r w:rsidR="00674261">
        <w:rPr>
          <w:rStyle w:val="FootnoteReference"/>
        </w:rPr>
        <w:footnoteReference w:id="17"/>
      </w:r>
      <w:r w:rsidR="00674261" w:rsidRPr="00674261">
        <w:t>.</w:t>
      </w:r>
      <w:proofErr w:type="gramEnd"/>
    </w:p>
    <w:p w:rsidR="004534BB" w:rsidRDefault="004534BB" w:rsidP="00A65F68">
      <w:r>
        <w:t>Overall it is concluded that the efficacy of product has been satisfactorily established for use in PTPs aged 12 years or older.</w:t>
      </w:r>
    </w:p>
    <w:p w:rsidR="008E7846" w:rsidRPr="00A65F68" w:rsidRDefault="008E7846" w:rsidP="00A65F68">
      <w:pPr>
        <w:pStyle w:val="Heading3"/>
      </w:pPr>
      <w:bookmarkStart w:id="94" w:name="_Toc404068934"/>
      <w:r w:rsidRPr="002E238E">
        <w:t>Safety</w:t>
      </w:r>
      <w:bookmarkEnd w:id="90"/>
      <w:bookmarkEnd w:id="91"/>
      <w:bookmarkEnd w:id="92"/>
      <w:bookmarkEnd w:id="93"/>
      <w:bookmarkEnd w:id="94"/>
    </w:p>
    <w:p w:rsidR="00605AD4" w:rsidRDefault="00605AD4" w:rsidP="00A65F68">
      <w:pPr>
        <w:pStyle w:val="Heading4"/>
      </w:pPr>
      <w:bookmarkStart w:id="95" w:name="_Toc163441390"/>
      <w:bookmarkStart w:id="96" w:name="_Toc247691524"/>
      <w:bookmarkStart w:id="97" w:name="_Toc314842508"/>
      <w:bookmarkStart w:id="98" w:name="_Toc196046504"/>
      <w:r w:rsidRPr="00A65F68">
        <w:t>Studies</w:t>
      </w:r>
      <w:r w:rsidRPr="00605AD4">
        <w:t xml:space="preserve"> providing </w:t>
      </w:r>
      <w:r w:rsidR="00674261">
        <w:t xml:space="preserve">evaluable </w:t>
      </w:r>
      <w:r w:rsidRPr="00605AD4">
        <w:t>safety data</w:t>
      </w:r>
    </w:p>
    <w:p w:rsidR="004534BB" w:rsidRDefault="004534BB" w:rsidP="00A65F68">
      <w:r>
        <w:t>The following studies provided evaluable safety data:</w:t>
      </w:r>
    </w:p>
    <w:p w:rsidR="004534BB" w:rsidRPr="00230A7C" w:rsidRDefault="004534BB" w:rsidP="00A65F68">
      <w:pPr>
        <w:pStyle w:val="ListBullet"/>
      </w:pPr>
      <w:r w:rsidRPr="00A65F68">
        <w:t>Pivotal</w:t>
      </w:r>
      <w:r w:rsidRPr="00230A7C">
        <w:t xml:space="preserve"> </w:t>
      </w:r>
      <w:r w:rsidR="00480303">
        <w:t xml:space="preserve">Phase III </w:t>
      </w:r>
      <w:r w:rsidRPr="00230A7C">
        <w:t>study (998HB102)</w:t>
      </w:r>
    </w:p>
    <w:p w:rsidR="004534BB" w:rsidRPr="00230A7C" w:rsidRDefault="00D51426" w:rsidP="00A65F68">
      <w:r>
        <w:t>T</w:t>
      </w:r>
      <w:r w:rsidR="004534BB" w:rsidRPr="00230A7C">
        <w:t>he following safety data were collected:</w:t>
      </w:r>
      <w:r w:rsidR="00230A7C">
        <w:t xml:space="preserve"> g</w:t>
      </w:r>
      <w:r w:rsidR="004534BB" w:rsidRPr="00230A7C">
        <w:t>eneral adverse events (AEs)</w:t>
      </w:r>
      <w:r w:rsidR="00230A7C">
        <w:t>, v</w:t>
      </w:r>
      <w:r w:rsidR="004534BB" w:rsidRPr="00230A7C">
        <w:t>ital signs</w:t>
      </w:r>
      <w:r w:rsidR="00230A7C">
        <w:t>,</w:t>
      </w:r>
      <w:r w:rsidR="004534BB" w:rsidRPr="00230A7C">
        <w:t xml:space="preserve"> laboratory tests </w:t>
      </w:r>
      <w:r w:rsidR="00230A7C">
        <w:t>(h</w:t>
      </w:r>
      <w:r w:rsidR="004534BB" w:rsidRPr="00230A7C">
        <w:t>aematology</w:t>
      </w:r>
      <w:r w:rsidR="00230A7C">
        <w:t>, b</w:t>
      </w:r>
      <w:r w:rsidR="004534BB" w:rsidRPr="00230A7C">
        <w:t>iochemistry</w:t>
      </w:r>
      <w:r w:rsidR="00230A7C">
        <w:t>, t</w:t>
      </w:r>
      <w:r w:rsidR="004534BB" w:rsidRPr="00230A7C">
        <w:t xml:space="preserve">otal </w:t>
      </w:r>
      <w:proofErr w:type="spellStart"/>
      <w:r w:rsidR="004534BB" w:rsidRPr="00230A7C">
        <w:t>IgG</w:t>
      </w:r>
      <w:proofErr w:type="spellEnd"/>
      <w:r w:rsidR="004534BB" w:rsidRPr="00230A7C">
        <w:t xml:space="preserve"> and IgG1, IgG2 IgG3, IgG4</w:t>
      </w:r>
      <w:r w:rsidR="00230A7C">
        <w:t>, c</w:t>
      </w:r>
      <w:r w:rsidR="004534BB" w:rsidRPr="00230A7C">
        <w:t>oagulation parameters</w:t>
      </w:r>
      <w:r w:rsidR="00230A7C">
        <w:t>)</w:t>
      </w:r>
      <w:r>
        <w:t>,</w:t>
      </w:r>
      <w:r w:rsidR="00230A7C">
        <w:t xml:space="preserve"> </w:t>
      </w:r>
      <w:r w:rsidR="004534BB" w:rsidRPr="00230A7C">
        <w:t xml:space="preserve">Nijmegen modified Bethesda assay for inhibitors, and </w:t>
      </w:r>
      <w:r>
        <w:t xml:space="preserve">an </w:t>
      </w:r>
      <w:r w:rsidR="004534BB" w:rsidRPr="00230A7C">
        <w:t>assay for anti-</w:t>
      </w:r>
      <w:proofErr w:type="spellStart"/>
      <w:r w:rsidR="004534BB" w:rsidRPr="00230A7C">
        <w:t>FIXFc</w:t>
      </w:r>
      <w:proofErr w:type="spellEnd"/>
      <w:r w:rsidR="004534BB" w:rsidRPr="00230A7C">
        <w:t xml:space="preserve"> antibodies</w:t>
      </w:r>
      <w:r w:rsidR="00F02D30" w:rsidRPr="00230A7C">
        <w:t>.</w:t>
      </w:r>
      <w:r>
        <w:t xml:space="preserve"> </w:t>
      </w:r>
      <w:r w:rsidR="004534BB" w:rsidRPr="00230A7C">
        <w:t>Urinalysis and ECG monitoring were not performed.</w:t>
      </w:r>
    </w:p>
    <w:p w:rsidR="004534BB" w:rsidRPr="00230A7C" w:rsidRDefault="004534BB" w:rsidP="00A65F68">
      <w:pPr>
        <w:pStyle w:val="ListBullet"/>
      </w:pPr>
      <w:r w:rsidRPr="00A65F68">
        <w:t>Clinical</w:t>
      </w:r>
      <w:r w:rsidRPr="00230A7C">
        <w:t xml:space="preserve"> pharmacology study (SYN-FIXFc-07-001)</w:t>
      </w:r>
    </w:p>
    <w:p w:rsidR="004534BB" w:rsidRPr="00230A7C" w:rsidRDefault="004534BB" w:rsidP="00A65F68">
      <w:r w:rsidRPr="00230A7C">
        <w:t xml:space="preserve">Study SYN-FIXFc-07-001 was the first-in-man dose escalation study, which examined safety and PK of </w:t>
      </w:r>
      <w:proofErr w:type="spellStart"/>
      <w:r w:rsidR="00193457">
        <w:t>r</w:t>
      </w:r>
      <w:r w:rsidRPr="00230A7C">
        <w:t>FIXFc</w:t>
      </w:r>
      <w:proofErr w:type="spellEnd"/>
      <w:r w:rsidRPr="00230A7C">
        <w:t xml:space="preserve">. Subjects only received single doses of </w:t>
      </w:r>
      <w:proofErr w:type="spellStart"/>
      <w:r w:rsidR="00193457">
        <w:t>r</w:t>
      </w:r>
      <w:r w:rsidRPr="00230A7C">
        <w:t>FIXFc</w:t>
      </w:r>
      <w:proofErr w:type="spellEnd"/>
      <w:r w:rsidRPr="00230A7C">
        <w:t xml:space="preserve">, over the dose range 1 IU/kg to 100 IU/kg and were monitored daily after the infusion up to </w:t>
      </w:r>
      <w:r w:rsidR="00F02D30" w:rsidRPr="00230A7C">
        <w:t xml:space="preserve">Day </w:t>
      </w:r>
      <w:r w:rsidRPr="00230A7C">
        <w:t xml:space="preserve">11 and had a final study visit on </w:t>
      </w:r>
      <w:r w:rsidR="00F02D30" w:rsidRPr="00230A7C">
        <w:t xml:space="preserve">Day </w:t>
      </w:r>
      <w:r w:rsidR="00A65F68">
        <w:t>30.</w:t>
      </w:r>
    </w:p>
    <w:p w:rsidR="004534BB" w:rsidRDefault="004534BB" w:rsidP="00A65F68">
      <w:pPr>
        <w:pStyle w:val="ListBullet"/>
      </w:pPr>
      <w:r>
        <w:t>Other studies</w:t>
      </w:r>
    </w:p>
    <w:p w:rsidR="004534BB" w:rsidRDefault="004534BB" w:rsidP="00A65F68">
      <w:r>
        <w:t>The submission included brief reports from two ongoing studies:</w:t>
      </w:r>
    </w:p>
    <w:p w:rsidR="004534BB" w:rsidRPr="00D66FA8" w:rsidRDefault="004534BB" w:rsidP="00A65F68">
      <w:pPr>
        <w:pStyle w:val="ListBullet"/>
      </w:pPr>
      <w:r w:rsidRPr="00D66FA8">
        <w:t>Study 9HB02PED. This is an open</w:t>
      </w:r>
      <w:r w:rsidR="00FA3BCA" w:rsidRPr="00D66FA8">
        <w:t xml:space="preserve"> </w:t>
      </w:r>
      <w:r w:rsidRPr="00D66FA8">
        <w:t xml:space="preserve">label multicentre study of the PK, efficacy and safety of </w:t>
      </w:r>
      <w:proofErr w:type="spellStart"/>
      <w:r w:rsidR="00193457" w:rsidRPr="00D66FA8">
        <w:t>r</w:t>
      </w:r>
      <w:r w:rsidRPr="00D66FA8">
        <w:t>FIXFc</w:t>
      </w:r>
      <w:proofErr w:type="spellEnd"/>
      <w:r w:rsidRPr="00D66FA8">
        <w:t xml:space="preserve"> in paediatric (age </w:t>
      </w:r>
      <w:r w:rsidR="00F10BB3">
        <w:t>&lt;</w:t>
      </w:r>
      <w:r w:rsidR="00D2436C" w:rsidRPr="00D66FA8">
        <w:t xml:space="preserve"> </w:t>
      </w:r>
      <w:r w:rsidRPr="00D66FA8">
        <w:t xml:space="preserve">12) PTPs. The </w:t>
      </w:r>
      <w:proofErr w:type="spellStart"/>
      <w:r w:rsidRPr="00D66FA8">
        <w:t>cut off</w:t>
      </w:r>
      <w:proofErr w:type="spellEnd"/>
      <w:r w:rsidRPr="00D66FA8">
        <w:t xml:space="preserve"> date for data to be included in the report was 15 October 2012 and the report itself was dated 12 December 2012. By the </w:t>
      </w:r>
      <w:proofErr w:type="spellStart"/>
      <w:r w:rsidRPr="00D66FA8">
        <w:t>cut off</w:t>
      </w:r>
      <w:proofErr w:type="spellEnd"/>
      <w:r w:rsidRPr="00D66FA8">
        <w:t xml:space="preserve"> date 12 subjects had been enrolled but only 4 subjects had received at least one dose of </w:t>
      </w:r>
      <w:proofErr w:type="spellStart"/>
      <w:r w:rsidR="00193457" w:rsidRPr="00D66FA8">
        <w:t>r</w:t>
      </w:r>
      <w:r w:rsidRPr="00D66FA8">
        <w:t>FIXFc</w:t>
      </w:r>
      <w:proofErr w:type="spellEnd"/>
      <w:r w:rsidRPr="00D66FA8">
        <w:t>. The submitted report was brief (11 pages) and provided information on serious AEs (SAEs) and AEs of special interest only.</w:t>
      </w:r>
    </w:p>
    <w:p w:rsidR="004534BB" w:rsidRPr="00D66FA8" w:rsidRDefault="004534BB" w:rsidP="00A65F68">
      <w:pPr>
        <w:pStyle w:val="ListBullet"/>
      </w:pPr>
      <w:r w:rsidRPr="00D66FA8">
        <w:t xml:space="preserve">Study 9HB01EXT. This is an open label extension study for subjects previously enrolled in either the pivotal </w:t>
      </w:r>
      <w:r w:rsidR="00FA3BCA" w:rsidRPr="00D66FA8">
        <w:t>P</w:t>
      </w:r>
      <w:r w:rsidRPr="00D66FA8">
        <w:t xml:space="preserve">hase III study (998HB102) or the paediatric study (9HB02PED). It is an open label multicentre study of the long term efficacy and safety of </w:t>
      </w:r>
      <w:proofErr w:type="spellStart"/>
      <w:r w:rsidR="00193457" w:rsidRPr="00D66FA8">
        <w:t>r</w:t>
      </w:r>
      <w:r w:rsidRPr="00D66FA8">
        <w:t>FIXFc</w:t>
      </w:r>
      <w:proofErr w:type="spellEnd"/>
      <w:r w:rsidRPr="00D66FA8">
        <w:t xml:space="preserve">. The </w:t>
      </w:r>
      <w:proofErr w:type="spellStart"/>
      <w:r w:rsidRPr="00D66FA8">
        <w:t>cut</w:t>
      </w:r>
      <w:r w:rsidR="00FA3BCA" w:rsidRPr="00D66FA8">
        <w:t xml:space="preserve"> </w:t>
      </w:r>
      <w:r w:rsidRPr="00D66FA8">
        <w:t>off</w:t>
      </w:r>
      <w:proofErr w:type="spellEnd"/>
      <w:r w:rsidRPr="00D66FA8">
        <w:t xml:space="preserve"> date for data to be included in the report was 9 October 2012 and the report itself was dated 12 December 2012. By the </w:t>
      </w:r>
      <w:proofErr w:type="spellStart"/>
      <w:r w:rsidRPr="00D66FA8">
        <w:t>cut off</w:t>
      </w:r>
      <w:proofErr w:type="spellEnd"/>
      <w:r w:rsidRPr="00D66FA8">
        <w:t xml:space="preserve"> date 87 subjects from the </w:t>
      </w:r>
      <w:r w:rsidR="00FA3BCA" w:rsidRPr="00D66FA8">
        <w:t>P</w:t>
      </w:r>
      <w:r w:rsidRPr="00D66FA8">
        <w:t xml:space="preserve">hase III study had been enrolled and all had received at least one dose of </w:t>
      </w:r>
      <w:proofErr w:type="spellStart"/>
      <w:r w:rsidR="00193457" w:rsidRPr="00D66FA8">
        <w:t>r</w:t>
      </w:r>
      <w:r w:rsidRPr="00D66FA8">
        <w:t>FIXFc</w:t>
      </w:r>
      <w:proofErr w:type="spellEnd"/>
      <w:r w:rsidRPr="00D66FA8">
        <w:t>. No subjects from the paediatric study had been enrolled. The submitted report was brief (12 pages) and provided information on SAEs and AEs of special interest only.</w:t>
      </w:r>
    </w:p>
    <w:p w:rsidR="004534BB" w:rsidRDefault="004534BB" w:rsidP="00A65F68">
      <w:pPr>
        <w:pStyle w:val="Heading5"/>
      </w:pPr>
      <w:r>
        <w:t xml:space="preserve">Pivotal studies </w:t>
      </w:r>
      <w:r w:rsidRPr="00027276">
        <w:t xml:space="preserve">that assessed </w:t>
      </w:r>
      <w:r>
        <w:t xml:space="preserve">safety as a </w:t>
      </w:r>
      <w:r w:rsidRPr="00A65F68">
        <w:t>primary</w:t>
      </w:r>
      <w:r>
        <w:t xml:space="preserve"> outcome</w:t>
      </w:r>
    </w:p>
    <w:p w:rsidR="004534BB" w:rsidRDefault="004534BB" w:rsidP="00A65F68">
      <w:r>
        <w:t>There were no pivotal studies that assessed safety as a primary outcome</w:t>
      </w:r>
      <w:r w:rsidR="00087CB2">
        <w:rPr>
          <w:rStyle w:val="FootnoteReference"/>
        </w:rPr>
        <w:footnoteReference w:id="18"/>
      </w:r>
      <w:r>
        <w:t>.</w:t>
      </w:r>
    </w:p>
    <w:p w:rsidR="00605AD4" w:rsidRPr="00A65F68" w:rsidRDefault="00605AD4" w:rsidP="00A65F68">
      <w:pPr>
        <w:pStyle w:val="Heading4"/>
      </w:pPr>
      <w:r w:rsidRPr="00605AD4">
        <w:t>Patient exposure</w:t>
      </w:r>
    </w:p>
    <w:p w:rsidR="00D2436C" w:rsidRDefault="00D2436C" w:rsidP="00A65F68">
      <w:r>
        <w:t>In the studies included in the submission, a total of 141 separate subjects</w:t>
      </w:r>
      <w:r w:rsidR="00FE7F56">
        <w:rPr>
          <w:rStyle w:val="FootnoteReference"/>
        </w:rPr>
        <w:footnoteReference w:id="19"/>
      </w:r>
      <w:r>
        <w:t xml:space="preserve"> received at least one dose of </w:t>
      </w:r>
      <w:proofErr w:type="spellStart"/>
      <w:r w:rsidR="00193457">
        <w:t>r</w:t>
      </w:r>
      <w:r>
        <w:t>FIXFc</w:t>
      </w:r>
      <w:proofErr w:type="spellEnd"/>
      <w:r>
        <w:t xml:space="preserve"> as summarised in the following table.</w:t>
      </w:r>
    </w:p>
    <w:p w:rsidR="00D2436C" w:rsidRPr="000B19C8" w:rsidRDefault="00D66FA8" w:rsidP="00A65F68">
      <w:pPr>
        <w:pStyle w:val="TableTitle"/>
      </w:pPr>
      <w:r>
        <w:t>Table 3:</w:t>
      </w:r>
      <w:r w:rsidR="00230A7C">
        <w:t xml:space="preserve"> </w:t>
      </w:r>
      <w:r w:rsidR="00D2436C" w:rsidRPr="000B19C8">
        <w:t xml:space="preserve">Exposure to </w:t>
      </w:r>
      <w:proofErr w:type="spellStart"/>
      <w:r w:rsidR="00193457">
        <w:t>r</w:t>
      </w:r>
      <w:r w:rsidR="004839FD">
        <w:t>FIXFc</w:t>
      </w:r>
      <w:proofErr w:type="spellEnd"/>
      <w:r w:rsidR="004839FD">
        <w:t xml:space="preserve"> in clinical studies</w:t>
      </w:r>
    </w:p>
    <w:tbl>
      <w:tblPr>
        <w:tblStyle w:val="TableTGAblue"/>
        <w:tblW w:w="0" w:type="auto"/>
        <w:tblInd w:w="108" w:type="dxa"/>
        <w:tblLook w:val="04A0" w:firstRow="1" w:lastRow="0" w:firstColumn="1" w:lastColumn="0" w:noHBand="0" w:noVBand="1"/>
      </w:tblPr>
      <w:tblGrid>
        <w:gridCol w:w="4040"/>
        <w:gridCol w:w="4040"/>
      </w:tblGrid>
      <w:tr w:rsidR="00D2436C" w:rsidTr="004839FD">
        <w:trPr>
          <w:cnfStyle w:val="100000000000" w:firstRow="1" w:lastRow="0" w:firstColumn="0" w:lastColumn="0" w:oddVBand="0" w:evenVBand="0" w:oddHBand="0" w:evenHBand="0" w:firstRowFirstColumn="0" w:firstRowLastColumn="0" w:lastRowFirstColumn="0" w:lastRowLastColumn="0"/>
        </w:trPr>
        <w:tc>
          <w:tcPr>
            <w:tcW w:w="4040" w:type="dxa"/>
          </w:tcPr>
          <w:p w:rsidR="00D2436C" w:rsidRPr="004839FD" w:rsidRDefault="00D2436C" w:rsidP="00A65F68">
            <w:pPr>
              <w:ind w:left="34" w:right="0"/>
            </w:pPr>
            <w:r w:rsidRPr="004839FD">
              <w:t>Study</w:t>
            </w:r>
          </w:p>
        </w:tc>
        <w:tc>
          <w:tcPr>
            <w:tcW w:w="4040" w:type="dxa"/>
          </w:tcPr>
          <w:p w:rsidR="00D2436C" w:rsidRPr="004839FD" w:rsidRDefault="00136E06" w:rsidP="00A65F68">
            <w:pPr>
              <w:ind w:left="34" w:right="0"/>
            </w:pPr>
            <w:r w:rsidRPr="004839FD">
              <w:t>Number of s</w:t>
            </w:r>
            <w:r w:rsidR="00D2436C" w:rsidRPr="004839FD">
              <w:t>ubjects</w:t>
            </w:r>
          </w:p>
        </w:tc>
      </w:tr>
      <w:tr w:rsidR="00D2436C" w:rsidTr="004839FD">
        <w:trPr>
          <w:trHeight w:val="346"/>
        </w:trPr>
        <w:tc>
          <w:tcPr>
            <w:tcW w:w="4040" w:type="dxa"/>
          </w:tcPr>
          <w:p w:rsidR="00D2436C" w:rsidRPr="00FA3BCA" w:rsidRDefault="00D2436C" w:rsidP="00A65F68">
            <w:pPr>
              <w:ind w:left="34" w:right="0"/>
              <w:rPr>
                <w:color w:val="000000"/>
              </w:rPr>
            </w:pPr>
            <w:r w:rsidRPr="00FA3BCA">
              <w:rPr>
                <w:color w:val="000000"/>
              </w:rPr>
              <w:t>Study 998HB102</w:t>
            </w:r>
          </w:p>
        </w:tc>
        <w:tc>
          <w:tcPr>
            <w:tcW w:w="4040" w:type="dxa"/>
          </w:tcPr>
          <w:p w:rsidR="00D2436C" w:rsidRPr="00FA3BCA" w:rsidRDefault="00D2436C" w:rsidP="00A65F68">
            <w:pPr>
              <w:ind w:left="34" w:right="0"/>
              <w:rPr>
                <w:color w:val="000000"/>
              </w:rPr>
            </w:pPr>
            <w:r w:rsidRPr="00FA3BCA">
              <w:rPr>
                <w:color w:val="000000"/>
              </w:rPr>
              <w:t>123</w:t>
            </w:r>
          </w:p>
        </w:tc>
      </w:tr>
      <w:tr w:rsidR="00D2436C" w:rsidRPr="007B67E2" w:rsidTr="004839FD">
        <w:tc>
          <w:tcPr>
            <w:tcW w:w="4040" w:type="dxa"/>
          </w:tcPr>
          <w:p w:rsidR="00D2436C" w:rsidRPr="00FA3BCA" w:rsidRDefault="00D2436C" w:rsidP="00A65F68">
            <w:pPr>
              <w:ind w:left="34" w:right="0"/>
              <w:rPr>
                <w:color w:val="000000"/>
              </w:rPr>
            </w:pPr>
            <w:r w:rsidRPr="00FA3BCA">
              <w:rPr>
                <w:color w:val="000000"/>
              </w:rPr>
              <w:t>Study SYN-FIXFc-07-001</w:t>
            </w:r>
          </w:p>
        </w:tc>
        <w:tc>
          <w:tcPr>
            <w:tcW w:w="4040" w:type="dxa"/>
          </w:tcPr>
          <w:p w:rsidR="00D2436C" w:rsidRPr="00FA3BCA" w:rsidRDefault="00D2436C" w:rsidP="00A65F68">
            <w:pPr>
              <w:ind w:left="34" w:right="0"/>
              <w:rPr>
                <w:color w:val="000000"/>
              </w:rPr>
            </w:pPr>
            <w:r w:rsidRPr="00FA3BCA">
              <w:rPr>
                <w:color w:val="000000"/>
              </w:rPr>
              <w:t>14</w:t>
            </w:r>
          </w:p>
        </w:tc>
      </w:tr>
      <w:tr w:rsidR="00D2436C" w:rsidRPr="007B67E2" w:rsidTr="004839FD">
        <w:tc>
          <w:tcPr>
            <w:tcW w:w="4040" w:type="dxa"/>
          </w:tcPr>
          <w:p w:rsidR="00D2436C" w:rsidRPr="00FA3BCA" w:rsidRDefault="00D2436C" w:rsidP="00A65F68">
            <w:pPr>
              <w:ind w:left="34" w:right="0"/>
              <w:rPr>
                <w:color w:val="000000"/>
              </w:rPr>
            </w:pPr>
            <w:r w:rsidRPr="00FA3BCA">
              <w:rPr>
                <w:color w:val="000000"/>
              </w:rPr>
              <w:t>Study 9HB02PED</w:t>
            </w:r>
          </w:p>
        </w:tc>
        <w:tc>
          <w:tcPr>
            <w:tcW w:w="4040" w:type="dxa"/>
          </w:tcPr>
          <w:p w:rsidR="00D2436C" w:rsidRPr="00FA3BCA" w:rsidRDefault="00D2436C" w:rsidP="00A65F68">
            <w:pPr>
              <w:ind w:left="34" w:right="0"/>
              <w:rPr>
                <w:color w:val="000000"/>
              </w:rPr>
            </w:pPr>
            <w:r w:rsidRPr="00FA3BCA">
              <w:rPr>
                <w:color w:val="000000"/>
              </w:rPr>
              <w:t>4</w:t>
            </w:r>
          </w:p>
        </w:tc>
      </w:tr>
      <w:tr w:rsidR="00D2436C" w:rsidTr="004839FD">
        <w:tc>
          <w:tcPr>
            <w:tcW w:w="4040" w:type="dxa"/>
          </w:tcPr>
          <w:p w:rsidR="00D2436C" w:rsidRPr="00FA3BCA" w:rsidRDefault="00D2436C" w:rsidP="00A65F68">
            <w:pPr>
              <w:ind w:left="34" w:right="0"/>
              <w:rPr>
                <w:color w:val="000000"/>
              </w:rPr>
            </w:pPr>
            <w:r w:rsidRPr="00FA3BCA">
              <w:rPr>
                <w:color w:val="000000"/>
              </w:rPr>
              <w:t>Total</w:t>
            </w:r>
          </w:p>
        </w:tc>
        <w:tc>
          <w:tcPr>
            <w:tcW w:w="4040" w:type="dxa"/>
          </w:tcPr>
          <w:p w:rsidR="00D2436C" w:rsidRPr="00FA3BCA" w:rsidRDefault="00D2436C" w:rsidP="00A65F68">
            <w:pPr>
              <w:ind w:left="34" w:right="0"/>
              <w:rPr>
                <w:color w:val="000000"/>
              </w:rPr>
            </w:pPr>
            <w:r w:rsidRPr="00FA3BCA">
              <w:rPr>
                <w:color w:val="000000"/>
              </w:rPr>
              <w:t>141</w:t>
            </w:r>
            <w:r w:rsidR="00FE7F56" w:rsidRPr="005C0575">
              <w:rPr>
                <w:color w:val="000000"/>
                <w:vertAlign w:val="superscript"/>
              </w:rPr>
              <w:t>19</w:t>
            </w:r>
          </w:p>
        </w:tc>
      </w:tr>
    </w:tbl>
    <w:p w:rsidR="00A65F68" w:rsidRDefault="00230A7C" w:rsidP="00A65F68">
      <w:pPr>
        <w:ind w:left="720"/>
      </w:pPr>
      <w:r w:rsidRPr="00D66FA8">
        <w:rPr>
          <w:b/>
        </w:rPr>
        <w:t>Evaluator c</w:t>
      </w:r>
      <w:r w:rsidR="00D2436C" w:rsidRPr="00D66FA8">
        <w:rPr>
          <w:b/>
        </w:rPr>
        <w:t>omment:</w:t>
      </w:r>
      <w:r w:rsidR="00D2436C" w:rsidRPr="00230A7C">
        <w:t xml:space="preserve"> A total of 87 subjects from 998HB102 continued into the extension study 9HB01EXT and are not included in the table as they are not separate individuals. Subjects in SYN-FIXFc-07-001 received only one dose of </w:t>
      </w:r>
      <w:proofErr w:type="spellStart"/>
      <w:r w:rsidR="00193457">
        <w:t>r</w:t>
      </w:r>
      <w:r w:rsidR="00D2436C" w:rsidRPr="00230A7C">
        <w:t>FIXFc</w:t>
      </w:r>
      <w:proofErr w:type="spellEnd"/>
      <w:r w:rsidR="00D2436C" w:rsidRPr="00230A7C">
        <w:t xml:space="preserve"> and the only data provided for the 4 subjects from 9HB02PED related to SAEs and AEs of special interest. Therefore assessment of the safety of </w:t>
      </w:r>
      <w:proofErr w:type="spellStart"/>
      <w:r w:rsidR="00193457">
        <w:t>r</w:t>
      </w:r>
      <w:r w:rsidR="00D2436C" w:rsidRPr="00230A7C">
        <w:t>FIXFc</w:t>
      </w:r>
      <w:proofErr w:type="spellEnd"/>
      <w:r w:rsidR="00D2436C" w:rsidRPr="00230A7C">
        <w:t xml:space="preserve"> relies almost entirely on the data generated in study 998HB102.</w:t>
      </w:r>
    </w:p>
    <w:p w:rsidR="00D2436C" w:rsidRPr="00230A7C" w:rsidRDefault="00D2436C" w:rsidP="00A65F68">
      <w:pPr>
        <w:ind w:left="720"/>
      </w:pPr>
      <w:r w:rsidRPr="00230A7C">
        <w:t>The most recent EMA guideline on FIX products</w:t>
      </w:r>
      <w:r w:rsidR="00230A7C">
        <w:rPr>
          <w:rStyle w:val="FootnoteReference"/>
        </w:rPr>
        <w:footnoteReference w:id="20"/>
      </w:r>
      <w:r w:rsidRPr="00230A7C">
        <w:t xml:space="preserve"> states that: </w:t>
      </w:r>
      <w:r w:rsidR="004839FD">
        <w:t>‘</w:t>
      </w:r>
      <w:r w:rsidRPr="00230A7C">
        <w:t>The number of patients typically needed to be enrolled into the preauthorisation clinical trials is 40.</w:t>
      </w:r>
      <w:r w:rsidR="004839FD">
        <w:t>’</w:t>
      </w:r>
    </w:p>
    <w:p w:rsidR="00230A7C" w:rsidRDefault="00D2436C" w:rsidP="00A65F68">
      <w:r w:rsidRPr="00230A7C">
        <w:t xml:space="preserve">The extent of exposure in Study 998HB102 in terms of the number of weeks on </w:t>
      </w:r>
      <w:proofErr w:type="spellStart"/>
      <w:r w:rsidR="00193457">
        <w:t>r</w:t>
      </w:r>
      <w:r w:rsidRPr="00230A7C">
        <w:t>FIXFc</w:t>
      </w:r>
      <w:proofErr w:type="spellEnd"/>
      <w:r w:rsidRPr="00230A7C">
        <w:t xml:space="preserve"> is summarised in</w:t>
      </w:r>
      <w:r w:rsidR="004839FD">
        <w:t xml:space="preserve"> Table 4</w:t>
      </w:r>
      <w:r w:rsidR="00A65F68">
        <w:t>.</w:t>
      </w:r>
    </w:p>
    <w:p w:rsidR="00230A7C" w:rsidRPr="004839FD" w:rsidRDefault="00230A7C" w:rsidP="000027DD">
      <w:pPr>
        <w:pStyle w:val="TableTitle"/>
      </w:pPr>
      <w:r w:rsidRPr="004839FD">
        <w:t>Table</w:t>
      </w:r>
      <w:r w:rsidR="004839FD" w:rsidRPr="004839FD">
        <w:t xml:space="preserve"> 4:</w:t>
      </w:r>
      <w:r w:rsidRPr="004839FD">
        <w:t xml:space="preserve"> Study 998HB102</w:t>
      </w:r>
      <w:r w:rsidR="004839FD" w:rsidRPr="004839FD">
        <w:t>:</w:t>
      </w:r>
      <w:r w:rsidR="008815AA">
        <w:t xml:space="preserve"> </w:t>
      </w:r>
      <w:r w:rsidRPr="004839FD">
        <w:t xml:space="preserve">Extent of exposure by number of weeks on </w:t>
      </w:r>
      <w:proofErr w:type="spellStart"/>
      <w:r w:rsidR="00193457" w:rsidRPr="004839FD">
        <w:t>r</w:t>
      </w:r>
      <w:r w:rsidRPr="004839FD">
        <w:t>FIXFc</w:t>
      </w:r>
      <w:proofErr w:type="spellEnd"/>
    </w:p>
    <w:p w:rsidR="00230A7C" w:rsidRPr="00230A7C" w:rsidRDefault="00230A7C" w:rsidP="000027DD">
      <w:r>
        <w:rPr>
          <w:noProof/>
          <w:lang w:eastAsia="en-AU"/>
        </w:rPr>
        <w:drawing>
          <wp:inline distT="0" distB="0" distL="0" distR="0" wp14:anchorId="6F0F2FAA" wp14:editId="34A46EB1">
            <wp:extent cx="4947385" cy="2780790"/>
            <wp:effectExtent l="0" t="0" r="5715" b="635"/>
            <wp:docPr id="10" name="Picture 10" descr="Table 4: Study 998HB102:Extent of exposure by number of weeks on rFIX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47630" cy="2780928"/>
                    </a:xfrm>
                    <a:prstGeom prst="rect">
                      <a:avLst/>
                    </a:prstGeom>
                  </pic:spPr>
                </pic:pic>
              </a:graphicData>
            </a:graphic>
          </wp:inline>
        </w:drawing>
      </w:r>
    </w:p>
    <w:p w:rsidR="00230A7C" w:rsidRDefault="00D2436C" w:rsidP="000027DD">
      <w:r w:rsidRPr="00230A7C">
        <w:t>A total of 115 subjects were on</w:t>
      </w:r>
      <w:r>
        <w:t xml:space="preserve"> </w:t>
      </w:r>
      <w:proofErr w:type="spellStart"/>
      <w:r w:rsidR="00193457">
        <w:t>r</w:t>
      </w:r>
      <w:r>
        <w:t>FIXFc</w:t>
      </w:r>
      <w:proofErr w:type="spellEnd"/>
      <w:r>
        <w:t xml:space="preserve"> for at least 26 weeks, and 56 subjects for at least 52 weeks. The extent of exposure in terms of exposure days and number of injections is summarised in</w:t>
      </w:r>
      <w:r w:rsidR="004839FD">
        <w:t xml:space="preserve"> Table 5</w:t>
      </w:r>
      <w:r w:rsidR="000027DD">
        <w:t>.</w:t>
      </w:r>
    </w:p>
    <w:p w:rsidR="00230A7C" w:rsidRPr="004839FD" w:rsidRDefault="00230A7C" w:rsidP="003130D0">
      <w:pPr>
        <w:pStyle w:val="TableTitle"/>
      </w:pPr>
      <w:bookmarkStart w:id="99" w:name="_Ref241555090"/>
      <w:bookmarkStart w:id="100" w:name="_Toc242109183"/>
      <w:r w:rsidRPr="004839FD">
        <w:t xml:space="preserve">Table </w:t>
      </w:r>
      <w:bookmarkEnd w:id="99"/>
      <w:r w:rsidR="004839FD" w:rsidRPr="004839FD">
        <w:t>5</w:t>
      </w:r>
      <w:r w:rsidRPr="004839FD">
        <w:t>: Study 998HB102</w:t>
      </w:r>
      <w:r w:rsidR="004839FD" w:rsidRPr="004839FD">
        <w:t>:</w:t>
      </w:r>
      <w:r w:rsidR="0016220D">
        <w:t xml:space="preserve"> </w:t>
      </w:r>
      <w:r w:rsidRPr="004839FD">
        <w:t>Extent of exposure by number of exposure days and number of injections</w:t>
      </w:r>
      <w:bookmarkEnd w:id="100"/>
    </w:p>
    <w:p w:rsidR="00230A7C" w:rsidRDefault="00230A7C" w:rsidP="003130D0">
      <w:r>
        <w:rPr>
          <w:noProof/>
          <w:lang w:eastAsia="en-AU"/>
        </w:rPr>
        <w:drawing>
          <wp:inline distT="0" distB="0" distL="0" distR="0" wp14:anchorId="23373F5D" wp14:editId="19869C11">
            <wp:extent cx="4494485" cy="2560320"/>
            <wp:effectExtent l="0" t="0" r="1905" b="0"/>
            <wp:docPr id="14" name="Picture 14" descr="Table 5: Study 998HB102:Extent of exposure by number of exposure days and number of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5809" cy="2561074"/>
                    </a:xfrm>
                    <a:prstGeom prst="rect">
                      <a:avLst/>
                    </a:prstGeom>
                  </pic:spPr>
                </pic:pic>
              </a:graphicData>
            </a:graphic>
          </wp:inline>
        </w:drawing>
      </w:r>
    </w:p>
    <w:p w:rsidR="00D2436C" w:rsidRDefault="00D2436C" w:rsidP="003130D0">
      <w:r>
        <w:t>The median number of exposure days was 49.0 and the median number of injections was 50.0.</w:t>
      </w:r>
    </w:p>
    <w:p w:rsidR="00605AD4" w:rsidRPr="00605AD4" w:rsidRDefault="00605AD4" w:rsidP="003130D0">
      <w:pPr>
        <w:pStyle w:val="Heading4"/>
      </w:pPr>
      <w:r w:rsidRPr="003130D0">
        <w:t>Safety</w:t>
      </w:r>
      <w:r w:rsidRPr="00605AD4">
        <w:t xml:space="preserve"> issues with the potential for major regulatory impact</w:t>
      </w:r>
    </w:p>
    <w:p w:rsidR="00D2436C" w:rsidRPr="00750E1A" w:rsidRDefault="00D2436C" w:rsidP="003130D0">
      <w:pPr>
        <w:pStyle w:val="Heading5"/>
      </w:pPr>
      <w:r w:rsidRPr="003130D0">
        <w:t>Liver</w:t>
      </w:r>
      <w:r w:rsidRPr="00750E1A">
        <w:t xml:space="preserve"> toxicity</w:t>
      </w:r>
    </w:p>
    <w:p w:rsidR="00D2436C" w:rsidRDefault="00F81AE3" w:rsidP="003130D0">
      <w:r>
        <w:t>L</w:t>
      </w:r>
      <w:r w:rsidR="00D2436C">
        <w:t>iver function testing did not suggest any evidence of drug-induced hepatotoxicity.</w:t>
      </w:r>
    </w:p>
    <w:p w:rsidR="00D2436C" w:rsidRPr="00750E1A" w:rsidRDefault="00D2436C" w:rsidP="003130D0">
      <w:pPr>
        <w:pStyle w:val="Heading5"/>
      </w:pPr>
      <w:r w:rsidRPr="003130D0">
        <w:t>Haematological</w:t>
      </w:r>
      <w:r w:rsidRPr="00750E1A">
        <w:t xml:space="preserve"> toxicity</w:t>
      </w:r>
    </w:p>
    <w:p w:rsidR="00D2436C" w:rsidRDefault="00F81AE3" w:rsidP="003130D0">
      <w:r>
        <w:t>H</w:t>
      </w:r>
      <w:r w:rsidR="00D2436C">
        <w:t>aematology testing did not suggest any evidence of drug induced haematological toxicity.</w:t>
      </w:r>
    </w:p>
    <w:p w:rsidR="00D2436C" w:rsidRPr="007839B8" w:rsidRDefault="00D2436C" w:rsidP="003130D0">
      <w:pPr>
        <w:pStyle w:val="Heading5"/>
      </w:pPr>
      <w:r w:rsidRPr="003130D0">
        <w:t>Serious</w:t>
      </w:r>
      <w:r w:rsidRPr="007839B8">
        <w:t xml:space="preserve"> skin reactions</w:t>
      </w:r>
    </w:p>
    <w:p w:rsidR="00D2436C" w:rsidRDefault="00D2436C" w:rsidP="003130D0">
      <w:r>
        <w:t>There were no serious AEs involving the skin reported.</w:t>
      </w:r>
    </w:p>
    <w:p w:rsidR="00D2436C" w:rsidRPr="003F6BE9" w:rsidRDefault="00D2436C" w:rsidP="003130D0">
      <w:pPr>
        <w:pStyle w:val="Heading5"/>
      </w:pPr>
      <w:r w:rsidRPr="003130D0">
        <w:t>Cardiovascular</w:t>
      </w:r>
      <w:r w:rsidRPr="003F6BE9">
        <w:t xml:space="preserve"> safety</w:t>
      </w:r>
    </w:p>
    <w:p w:rsidR="00D2436C" w:rsidRDefault="00D2436C" w:rsidP="003130D0">
      <w:r>
        <w:t>One subject developed an SAE of worsening of angina pectoris during the trial. He had a prior history of ischaemic heart disease including angina pectoris and myocardial infarction. There were no other notable cardiovascular events.</w:t>
      </w:r>
    </w:p>
    <w:p w:rsidR="00D2436C" w:rsidRPr="003130D0" w:rsidRDefault="00D2436C" w:rsidP="003130D0">
      <w:pPr>
        <w:pStyle w:val="Heading5"/>
      </w:pPr>
      <w:r w:rsidRPr="003F6BE9">
        <w:t>Unwanted immunological events</w:t>
      </w:r>
    </w:p>
    <w:p w:rsidR="00D2436C" w:rsidRDefault="00D2436C" w:rsidP="003130D0">
      <w:r>
        <w:t>There were no SAE</w:t>
      </w:r>
      <w:r w:rsidR="003130D0">
        <w:t>s related to the immune system.</w:t>
      </w:r>
    </w:p>
    <w:p w:rsidR="00605AD4" w:rsidRDefault="00605AD4" w:rsidP="003130D0">
      <w:pPr>
        <w:pStyle w:val="Heading4"/>
      </w:pPr>
      <w:r w:rsidRPr="00605AD4">
        <w:t>Post</w:t>
      </w:r>
      <w:r w:rsidR="00F81AE3">
        <w:t xml:space="preserve"> </w:t>
      </w:r>
      <w:r w:rsidRPr="00605AD4">
        <w:t>marketing data</w:t>
      </w:r>
    </w:p>
    <w:p w:rsidR="00D2436C" w:rsidRDefault="00D2436C" w:rsidP="003130D0">
      <w:r>
        <w:t>As the product ha</w:t>
      </w:r>
      <w:r w:rsidR="00517BDD">
        <w:t>d</w:t>
      </w:r>
      <w:r>
        <w:t xml:space="preserve"> not been approved for marketing in any jurisdiction</w:t>
      </w:r>
      <w:r w:rsidR="00517BDD">
        <w:t xml:space="preserve"> at the time of this submission</w:t>
      </w:r>
      <w:r>
        <w:t>, the submission did not include any post</w:t>
      </w:r>
      <w:r w:rsidR="00F81AE3">
        <w:t xml:space="preserve"> </w:t>
      </w:r>
      <w:r>
        <w:t>marketing data.</w:t>
      </w:r>
    </w:p>
    <w:p w:rsidR="00605AD4" w:rsidRPr="00605AD4" w:rsidRDefault="00605AD4" w:rsidP="0079611E">
      <w:pPr>
        <w:pStyle w:val="Heading4"/>
      </w:pPr>
      <w:r w:rsidRPr="00605AD4">
        <w:t xml:space="preserve">Evaluator’s conclusions </w:t>
      </w:r>
      <w:r w:rsidRPr="0079611E">
        <w:t>on</w:t>
      </w:r>
      <w:r w:rsidRPr="00605AD4">
        <w:t xml:space="preserve"> safety</w:t>
      </w:r>
    </w:p>
    <w:p w:rsidR="00D2436C" w:rsidRDefault="00D2436C" w:rsidP="0079611E">
      <w:r>
        <w:t>The overall safety database included a total of 141 subjects</w:t>
      </w:r>
      <w:r w:rsidR="00A261A9">
        <w:rPr>
          <w:rStyle w:val="FootnoteReference"/>
        </w:rPr>
        <w:footnoteReference w:id="21"/>
      </w:r>
      <w:r>
        <w:t>, which is well in excess of the number required by the most recent EMA guideline. The extent of safety testing is therefore considered acceptable.</w:t>
      </w:r>
    </w:p>
    <w:p w:rsidR="00507DD5" w:rsidRDefault="00D2436C" w:rsidP="0079611E">
      <w:r>
        <w:t xml:space="preserve">Known safety issues associated with FIX replacement therapy products include </w:t>
      </w:r>
      <w:r w:rsidR="00507DD5">
        <w:t xml:space="preserve">development of </w:t>
      </w:r>
      <w:r>
        <w:t>inhibitor</w:t>
      </w:r>
      <w:r w:rsidR="00517BDD">
        <w:t>s, thrombotic events</w:t>
      </w:r>
      <w:r>
        <w:t xml:space="preserve"> and allergic</w:t>
      </w:r>
      <w:r w:rsidR="00507DD5">
        <w:t xml:space="preserve"> and </w:t>
      </w:r>
      <w:r w:rsidR="0079611E">
        <w:t>anaphylactic reactions.</w:t>
      </w:r>
    </w:p>
    <w:p w:rsidR="00D2436C" w:rsidRDefault="00D2436C" w:rsidP="0079611E">
      <w:r>
        <w:t xml:space="preserve">The submitted data </w:t>
      </w:r>
      <w:r w:rsidR="00507DD5">
        <w:t xml:space="preserve">for Alprolix </w:t>
      </w:r>
      <w:r>
        <w:t xml:space="preserve">were essentially limited to previously treated patients aged 12 or over, with no prior history of inhibitors. There were no reports of inhibitors or </w:t>
      </w:r>
      <w:r w:rsidR="00517BDD">
        <w:t xml:space="preserve">serious </w:t>
      </w:r>
      <w:r>
        <w:t xml:space="preserve">allergic reactions suggesting that the incidence of these adverse effects is acceptably low, in this population. The submitted data also suggest that the product is not associated with significant thrombotic </w:t>
      </w:r>
      <w:r w:rsidR="004839FD">
        <w:t>AEs</w:t>
      </w:r>
      <w:r>
        <w:t>.</w:t>
      </w:r>
    </w:p>
    <w:p w:rsidR="00D2436C" w:rsidRDefault="00D2436C" w:rsidP="0079611E">
      <w:r>
        <w:t xml:space="preserve">The only treatment related </w:t>
      </w:r>
      <w:r w:rsidR="004839FD">
        <w:t xml:space="preserve">AEs </w:t>
      </w:r>
      <w:r>
        <w:t>that occurred in more than one patient were oral paraesthesia and headache. Neither of these was considered serious. Monitoring of biochemistry, haematology and coagulation parameters and vital signs did not suggest any unexpected toxicities.</w:t>
      </w:r>
    </w:p>
    <w:p w:rsidR="00605AD4" w:rsidRPr="00605AD4" w:rsidRDefault="006E024B" w:rsidP="0079611E">
      <w:pPr>
        <w:pStyle w:val="Heading3"/>
        <w:rPr>
          <w:rFonts w:eastAsia="Cambria"/>
        </w:rPr>
      </w:pPr>
      <w:bookmarkStart w:id="101" w:name="_Toc404068935"/>
      <w:r>
        <w:rPr>
          <w:rFonts w:eastAsia="Cambria"/>
        </w:rPr>
        <w:t>First round b</w:t>
      </w:r>
      <w:r w:rsidR="00605AD4" w:rsidRPr="00605AD4">
        <w:rPr>
          <w:rFonts w:eastAsia="Cambria"/>
        </w:rPr>
        <w:t>enefit-</w:t>
      </w:r>
      <w:r>
        <w:rPr>
          <w:rFonts w:eastAsia="Cambria"/>
        </w:rPr>
        <w:t>risk a</w:t>
      </w:r>
      <w:r w:rsidR="00605AD4" w:rsidRPr="00605AD4">
        <w:rPr>
          <w:rFonts w:eastAsia="Cambria"/>
        </w:rPr>
        <w:t>ssessment</w:t>
      </w:r>
      <w:bookmarkEnd w:id="101"/>
    </w:p>
    <w:p w:rsidR="00605AD4" w:rsidRPr="00605AD4" w:rsidRDefault="00605AD4" w:rsidP="0079611E">
      <w:pPr>
        <w:pStyle w:val="Heading4"/>
      </w:pPr>
      <w:r w:rsidRPr="00605AD4">
        <w:t>First round assessment of benefits</w:t>
      </w:r>
    </w:p>
    <w:p w:rsidR="0080473A" w:rsidRPr="00006B0B" w:rsidRDefault="0080473A" w:rsidP="0079611E">
      <w:r w:rsidRPr="00006B0B">
        <w:t xml:space="preserve">The benefits of </w:t>
      </w:r>
      <w:proofErr w:type="spellStart"/>
      <w:r w:rsidR="00193457">
        <w:t>r</w:t>
      </w:r>
      <w:r w:rsidRPr="00006B0B">
        <w:t>FIXFc</w:t>
      </w:r>
      <w:proofErr w:type="spellEnd"/>
      <w:r w:rsidRPr="00006B0B">
        <w:t xml:space="preserve"> in the proposed indication are:</w:t>
      </w:r>
    </w:p>
    <w:p w:rsidR="0080473A" w:rsidRPr="00006B0B" w:rsidRDefault="0080473A" w:rsidP="0079611E">
      <w:pPr>
        <w:pStyle w:val="ListBullet"/>
      </w:pPr>
      <w:r w:rsidRPr="00006B0B">
        <w:t>Efficacy in the control of bleeding episodes</w:t>
      </w:r>
      <w:r w:rsidR="00507DD5">
        <w:t>;</w:t>
      </w:r>
    </w:p>
    <w:p w:rsidR="0080473A" w:rsidRPr="00006B0B" w:rsidRDefault="0080473A" w:rsidP="0079611E">
      <w:pPr>
        <w:pStyle w:val="ListBullet"/>
      </w:pPr>
      <w:r w:rsidRPr="00006B0B">
        <w:t>Efficacy in the prevention of bleeding episodes when administered as routine prophylaxis</w:t>
      </w:r>
      <w:r w:rsidR="00507DD5">
        <w:t>;</w:t>
      </w:r>
    </w:p>
    <w:p w:rsidR="0080473A" w:rsidRPr="00006B0B" w:rsidRDefault="0080473A" w:rsidP="0079611E">
      <w:pPr>
        <w:pStyle w:val="ListBullet"/>
      </w:pPr>
      <w:r w:rsidRPr="00006B0B">
        <w:t>Efficacy in the management of bleeding asso</w:t>
      </w:r>
      <w:r w:rsidR="00507DD5">
        <w:t>ciated with surgical procedures;</w:t>
      </w:r>
    </w:p>
    <w:p w:rsidR="0080473A" w:rsidRPr="00006B0B" w:rsidRDefault="0080473A" w:rsidP="0079611E">
      <w:pPr>
        <w:pStyle w:val="ListBullet"/>
      </w:pPr>
      <w:r w:rsidRPr="00006B0B">
        <w:t>A reduced frequency of dosing when compared to currently available FIX replacement products</w:t>
      </w:r>
      <w:r w:rsidR="00507DD5">
        <w:t>;</w:t>
      </w:r>
    </w:p>
    <w:p w:rsidR="0080473A" w:rsidRDefault="0080473A" w:rsidP="0079611E">
      <w:pPr>
        <w:pStyle w:val="ListBullet"/>
      </w:pPr>
      <w:r w:rsidRPr="00006B0B">
        <w:t>A decreased risk of viral transmission compared to plasma</w:t>
      </w:r>
      <w:r w:rsidR="00F23D6E">
        <w:t xml:space="preserve"> </w:t>
      </w:r>
      <w:r w:rsidRPr="00006B0B">
        <w:t>derived FIX</w:t>
      </w:r>
      <w:r>
        <w:t>.</w:t>
      </w:r>
    </w:p>
    <w:p w:rsidR="00605AD4" w:rsidRPr="00605AD4" w:rsidRDefault="00605AD4" w:rsidP="0079611E">
      <w:pPr>
        <w:pStyle w:val="Heading4"/>
      </w:pPr>
      <w:r w:rsidRPr="0079611E">
        <w:t>First</w:t>
      </w:r>
      <w:r w:rsidRPr="00605AD4">
        <w:t xml:space="preserve"> round assessment of risks</w:t>
      </w:r>
    </w:p>
    <w:p w:rsidR="0080473A" w:rsidRDefault="0080473A" w:rsidP="0079611E">
      <w:r>
        <w:t xml:space="preserve">The risks of </w:t>
      </w:r>
      <w:proofErr w:type="spellStart"/>
      <w:r w:rsidR="00193457">
        <w:t>r</w:t>
      </w:r>
      <w:r>
        <w:t>FIXFc</w:t>
      </w:r>
      <w:proofErr w:type="spellEnd"/>
      <w:r>
        <w:t xml:space="preserve"> in the proposed indication are:</w:t>
      </w:r>
    </w:p>
    <w:p w:rsidR="0080473A" w:rsidRDefault="0080473A" w:rsidP="0079611E">
      <w:pPr>
        <w:pStyle w:val="ListBullet"/>
      </w:pPr>
      <w:r>
        <w:t>A possible risk of inhibitor development</w:t>
      </w:r>
      <w:r w:rsidR="00517BDD">
        <w:t xml:space="preserve">, </w:t>
      </w:r>
      <w:r w:rsidR="003E11E0">
        <w:t xml:space="preserve">vascular </w:t>
      </w:r>
      <w:r w:rsidR="00517BDD">
        <w:t>thrombotic events</w:t>
      </w:r>
      <w:r>
        <w:t xml:space="preserve"> and allergic reactions. The available data suggest that the incidence of these effects in the proposed population is acceptably low.</w:t>
      </w:r>
    </w:p>
    <w:p w:rsidR="00605AD4" w:rsidRPr="00605AD4" w:rsidRDefault="00605AD4" w:rsidP="0079611E">
      <w:pPr>
        <w:pStyle w:val="Heading4"/>
      </w:pPr>
      <w:r w:rsidRPr="0079611E">
        <w:t>First</w:t>
      </w:r>
      <w:r w:rsidRPr="00605AD4">
        <w:t xml:space="preserve"> round assessment of benefit-risk balance</w:t>
      </w:r>
    </w:p>
    <w:p w:rsidR="0080473A" w:rsidRDefault="0080473A" w:rsidP="0079611E">
      <w:r>
        <w:t xml:space="preserve">The benefit-risk balance of </w:t>
      </w:r>
      <w:proofErr w:type="spellStart"/>
      <w:r w:rsidR="00193457">
        <w:t>r</w:t>
      </w:r>
      <w:r>
        <w:t>FIXFc</w:t>
      </w:r>
      <w:proofErr w:type="spellEnd"/>
      <w:r>
        <w:t>, in previously treated subjects aged 12 years or over, is considered favourable. The submitted data support use for episodic (on</w:t>
      </w:r>
      <w:r w:rsidR="00C96628">
        <w:t>-</w:t>
      </w:r>
      <w:r>
        <w:t>demand) therapy, routine prophylaxis and surgical prophylaxis when the product is given</w:t>
      </w:r>
      <w:r w:rsidRPr="00B801D2">
        <w:t xml:space="preserve"> </w:t>
      </w:r>
      <w:r>
        <w:t>by bolus infusion.</w:t>
      </w:r>
    </w:p>
    <w:p w:rsidR="0080473A" w:rsidRDefault="0080473A" w:rsidP="0079611E">
      <w:r>
        <w:t>The current data do not support use of the product:</w:t>
      </w:r>
    </w:p>
    <w:p w:rsidR="0080473A" w:rsidRPr="00006B0B" w:rsidRDefault="00507DD5" w:rsidP="0079611E">
      <w:pPr>
        <w:pStyle w:val="ListBullet"/>
      </w:pPr>
      <w:r>
        <w:t>in children aged less 12 years;</w:t>
      </w:r>
    </w:p>
    <w:p w:rsidR="0080473A" w:rsidRPr="00006B0B" w:rsidRDefault="0080473A" w:rsidP="0079611E">
      <w:pPr>
        <w:pStyle w:val="ListBullet"/>
      </w:pPr>
      <w:r w:rsidRPr="00006B0B">
        <w:t>in previously untreated patients</w:t>
      </w:r>
      <w:r w:rsidR="00507DD5">
        <w:t>;</w:t>
      </w:r>
    </w:p>
    <w:p w:rsidR="0080473A" w:rsidRPr="00006B0B" w:rsidRDefault="0080473A" w:rsidP="0080473A">
      <w:pPr>
        <w:pStyle w:val="ListBullet"/>
        <w:numPr>
          <w:ilvl w:val="0"/>
          <w:numId w:val="1"/>
        </w:numPr>
      </w:pPr>
      <w:r w:rsidRPr="00006B0B">
        <w:t>by continuous infusion in surgery</w:t>
      </w:r>
      <w:r w:rsidR="00507DD5">
        <w:t>;</w:t>
      </w:r>
    </w:p>
    <w:p w:rsidR="0080473A" w:rsidRPr="00006B0B" w:rsidRDefault="0080473A" w:rsidP="0079611E">
      <w:pPr>
        <w:pStyle w:val="ListBullet"/>
      </w:pPr>
      <w:proofErr w:type="gramStart"/>
      <w:r w:rsidRPr="00006B0B">
        <w:t>for</w:t>
      </w:r>
      <w:proofErr w:type="gramEnd"/>
      <w:r w:rsidRPr="00006B0B">
        <w:t xml:space="preserve"> immune tolerance induction (ITI) in patients with FIX inhibitors.</w:t>
      </w:r>
    </w:p>
    <w:p w:rsidR="00605AD4" w:rsidRPr="00605AD4" w:rsidRDefault="0080473A" w:rsidP="0079611E">
      <w:r>
        <w:t xml:space="preserve">The </w:t>
      </w:r>
      <w:r w:rsidR="0030781A">
        <w:t>sponsor</w:t>
      </w:r>
      <w:r>
        <w:t xml:space="preserve"> is not seeking approval for use in these situations at the current time.</w:t>
      </w:r>
    </w:p>
    <w:p w:rsidR="00605AD4" w:rsidRPr="00605AD4" w:rsidRDefault="00605AD4" w:rsidP="0079611E">
      <w:pPr>
        <w:pStyle w:val="Heading4"/>
      </w:pPr>
      <w:r w:rsidRPr="00605AD4">
        <w:t xml:space="preserve">First </w:t>
      </w:r>
      <w:r w:rsidR="006E024B">
        <w:t>r</w:t>
      </w:r>
      <w:r w:rsidRPr="00605AD4">
        <w:t xml:space="preserve">ound </w:t>
      </w:r>
      <w:r w:rsidR="006E024B">
        <w:t>R</w:t>
      </w:r>
      <w:r w:rsidRPr="00605AD4">
        <w:t xml:space="preserve">ecommendation </w:t>
      </w:r>
      <w:r w:rsidR="006E024B" w:rsidRPr="0079611E">
        <w:t>r</w:t>
      </w:r>
      <w:r w:rsidRPr="0079611E">
        <w:t>egarding</w:t>
      </w:r>
      <w:r w:rsidRPr="00605AD4">
        <w:t xml:space="preserve"> </w:t>
      </w:r>
      <w:r w:rsidR="006E024B">
        <w:t>a</w:t>
      </w:r>
      <w:r w:rsidRPr="00605AD4">
        <w:t>uthorisation</w:t>
      </w:r>
    </w:p>
    <w:p w:rsidR="0080473A" w:rsidRDefault="0080473A" w:rsidP="0079611E">
      <w:r>
        <w:t>It is recommended that the application for registration be approved.</w:t>
      </w:r>
    </w:p>
    <w:p w:rsidR="00507DD5" w:rsidRDefault="00507DD5" w:rsidP="0079611E">
      <w:r>
        <w:t>The clinical evaluator</w:t>
      </w:r>
      <w:r w:rsidR="004839FD">
        <w:t>’</w:t>
      </w:r>
      <w:r>
        <w:t>s recommended revisions to clinical aspects of the draft PI are beyond the scope of the AusPAR.</w:t>
      </w:r>
    </w:p>
    <w:p w:rsidR="00605AD4" w:rsidRPr="0079611E" w:rsidRDefault="00605AD4" w:rsidP="0079611E">
      <w:pPr>
        <w:pStyle w:val="Heading3"/>
        <w:rPr>
          <w:rFonts w:eastAsia="Cambria"/>
        </w:rPr>
      </w:pPr>
      <w:bookmarkStart w:id="102" w:name="_Toc404068936"/>
      <w:r w:rsidRPr="00605AD4">
        <w:rPr>
          <w:rFonts w:eastAsia="Cambria"/>
        </w:rPr>
        <w:t xml:space="preserve">Clinical </w:t>
      </w:r>
      <w:r w:rsidR="006E024B">
        <w:rPr>
          <w:rFonts w:eastAsia="Cambria"/>
        </w:rPr>
        <w:t>q</w:t>
      </w:r>
      <w:r w:rsidRPr="00605AD4">
        <w:rPr>
          <w:rFonts w:eastAsia="Cambria"/>
        </w:rPr>
        <w:t>uestions</w:t>
      </w:r>
      <w:bookmarkEnd w:id="102"/>
    </w:p>
    <w:p w:rsidR="0080473A" w:rsidRPr="0079611E" w:rsidRDefault="0080473A" w:rsidP="0079611E">
      <w:pPr>
        <w:pStyle w:val="Heading4"/>
      </w:pPr>
      <w:r w:rsidRPr="00006B0B">
        <w:t>General</w:t>
      </w:r>
    </w:p>
    <w:p w:rsidR="0080473A" w:rsidRPr="00006B0B" w:rsidRDefault="0080473A" w:rsidP="0079611E">
      <w:r w:rsidRPr="00006B0B">
        <w:t xml:space="preserve">Please provide an assurance that the lyophilised product proposed for registration in Australia is identical to that used in the pivotal </w:t>
      </w:r>
      <w:r w:rsidR="00F23D6E" w:rsidRPr="00006B0B">
        <w:t xml:space="preserve">Phase </w:t>
      </w:r>
      <w:r>
        <w:t>III</w:t>
      </w:r>
      <w:r w:rsidRPr="00006B0B">
        <w:t xml:space="preserve"> study (with respect to formulation and manufacturing processes).</w:t>
      </w:r>
    </w:p>
    <w:p w:rsidR="0080473A" w:rsidRPr="0079611E" w:rsidRDefault="0080473A" w:rsidP="0079611E">
      <w:pPr>
        <w:pStyle w:val="Heading4"/>
      </w:pPr>
      <w:r w:rsidRPr="00006B0B">
        <w:t>Safety</w:t>
      </w:r>
    </w:p>
    <w:p w:rsidR="0080473A" w:rsidRPr="00006B0B" w:rsidRDefault="0080473A" w:rsidP="0079611E">
      <w:r w:rsidRPr="00006B0B">
        <w:t xml:space="preserve">One subject in </w:t>
      </w:r>
      <w:r>
        <w:t xml:space="preserve">Study </w:t>
      </w:r>
      <w:r w:rsidRPr="00006B0B">
        <w:t>998HB102 developed clinically significant elevations of creatinine and urea</w:t>
      </w:r>
      <w:r w:rsidR="00B0127D">
        <w:t>:</w:t>
      </w:r>
      <w:r w:rsidRPr="00006B0B">
        <w:t xml:space="preserve"> urea was elevated at screening </w:t>
      </w:r>
      <w:proofErr w:type="gramStart"/>
      <w:r w:rsidRPr="00006B0B">
        <w:t xml:space="preserve">(10.7 </w:t>
      </w:r>
      <w:proofErr w:type="spellStart"/>
      <w:r w:rsidRPr="00006B0B">
        <w:t>mmol</w:t>
      </w:r>
      <w:proofErr w:type="spellEnd"/>
      <w:r w:rsidRPr="00006B0B">
        <w:t>/L)</w:t>
      </w:r>
      <w:proofErr w:type="gramEnd"/>
      <w:r w:rsidRPr="00006B0B">
        <w:t xml:space="preserve">, normal at baseline and elevated at </w:t>
      </w:r>
      <w:r>
        <w:t>W</w:t>
      </w:r>
      <w:r w:rsidRPr="00006B0B">
        <w:t xml:space="preserve">eek 26 (15.7) and </w:t>
      </w:r>
      <w:r>
        <w:t>W</w:t>
      </w:r>
      <w:r w:rsidRPr="00006B0B">
        <w:t xml:space="preserve">eek 52 (16.1). </w:t>
      </w:r>
      <w:r w:rsidR="00B0127D">
        <w:t>C</w:t>
      </w:r>
      <w:r w:rsidRPr="00006B0B">
        <w:t xml:space="preserve">reatinine was at a borderline level at screening </w:t>
      </w:r>
      <w:proofErr w:type="gramStart"/>
      <w:r w:rsidRPr="00006B0B">
        <w:t xml:space="preserve">(118 </w:t>
      </w:r>
      <w:r>
        <w:t>µ</w:t>
      </w:r>
      <w:proofErr w:type="spellStart"/>
      <w:r w:rsidRPr="00006B0B">
        <w:t>mol</w:t>
      </w:r>
      <w:proofErr w:type="spellEnd"/>
      <w:r w:rsidRPr="00006B0B">
        <w:t>/L)</w:t>
      </w:r>
      <w:proofErr w:type="gramEnd"/>
      <w:r w:rsidRPr="00006B0B">
        <w:t xml:space="preserve">, normal at baseline and elevated at </w:t>
      </w:r>
      <w:r>
        <w:t>W</w:t>
      </w:r>
      <w:r w:rsidRPr="00006B0B">
        <w:t xml:space="preserve">eek 26 (255) and </w:t>
      </w:r>
      <w:r>
        <w:t>W</w:t>
      </w:r>
      <w:r w:rsidRPr="00006B0B">
        <w:t>eek 52 (158). It is noted that the subject had a number of medical conditions at base</w:t>
      </w:r>
      <w:r w:rsidR="00766A81">
        <w:t>line including morbid obesity, T</w:t>
      </w:r>
      <w:r w:rsidRPr="00006B0B">
        <w:t xml:space="preserve">ype II diabetes, hypertension, high cholesterol and bipedal oedema. The development of renal impairment in this subject does not appear to have been reported as an </w:t>
      </w:r>
      <w:r w:rsidR="004839FD">
        <w:t>AE</w:t>
      </w:r>
      <w:r w:rsidRPr="00006B0B">
        <w:t xml:space="preserve"> and the study report does not comment on the case. Is the sponsor able to provide any further information or comment in relation to this subject to exclude a nephrotoxic effect of </w:t>
      </w:r>
      <w:proofErr w:type="spellStart"/>
      <w:r w:rsidR="00193457">
        <w:t>r</w:t>
      </w:r>
      <w:r w:rsidRPr="00006B0B">
        <w:t>FIXFc</w:t>
      </w:r>
      <w:proofErr w:type="spellEnd"/>
      <w:r w:rsidRPr="00006B0B">
        <w:t>?</w:t>
      </w:r>
      <w:r w:rsidR="00FE7F56">
        <w:rPr>
          <w:rStyle w:val="FootnoteReference"/>
        </w:rPr>
        <w:footnoteReference w:id="22"/>
      </w:r>
    </w:p>
    <w:p w:rsidR="00605AD4" w:rsidRPr="00605AD4" w:rsidRDefault="006E024B" w:rsidP="0079611E">
      <w:pPr>
        <w:pStyle w:val="Heading3"/>
        <w:rPr>
          <w:rFonts w:eastAsia="Cambria"/>
        </w:rPr>
      </w:pPr>
      <w:bookmarkStart w:id="103" w:name="_Toc404068937"/>
      <w:r>
        <w:rPr>
          <w:rFonts w:eastAsia="Cambria"/>
        </w:rPr>
        <w:t>Second r</w:t>
      </w:r>
      <w:r w:rsidR="00605AD4" w:rsidRPr="00605AD4">
        <w:rPr>
          <w:rFonts w:eastAsia="Cambria"/>
        </w:rPr>
        <w:t xml:space="preserve">ound </w:t>
      </w:r>
      <w:r>
        <w:rPr>
          <w:rFonts w:eastAsia="Cambria"/>
        </w:rPr>
        <w:t>e</w:t>
      </w:r>
      <w:r w:rsidR="00605AD4" w:rsidRPr="00605AD4">
        <w:rPr>
          <w:rFonts w:eastAsia="Cambria"/>
        </w:rPr>
        <w:t>valuation of clinical data submitted in response to questions</w:t>
      </w:r>
      <w:bookmarkEnd w:id="103"/>
    </w:p>
    <w:p w:rsidR="00B0127D" w:rsidRDefault="00B0127D" w:rsidP="0079611E">
      <w:r>
        <w:t xml:space="preserve">The sponsor’s responses to </w:t>
      </w:r>
      <w:r w:rsidR="004839FD">
        <w:t xml:space="preserve">the </w:t>
      </w:r>
      <w:r>
        <w:t xml:space="preserve">clinical questions </w:t>
      </w:r>
      <w:r w:rsidR="004839FD">
        <w:t xml:space="preserve">(above) </w:t>
      </w:r>
      <w:r>
        <w:t xml:space="preserve">are </w:t>
      </w:r>
      <w:r w:rsidR="00135272">
        <w:t xml:space="preserve">taken into account </w:t>
      </w:r>
      <w:r>
        <w:t xml:space="preserve">in the Delegate’s overview (see </w:t>
      </w:r>
      <w:r w:rsidRPr="00135272">
        <w:rPr>
          <w:i/>
        </w:rPr>
        <w:t>Overall conclusion and risk/benefit assessment</w:t>
      </w:r>
      <w:r>
        <w:t>, below). Therefore a second round eval</w:t>
      </w:r>
      <w:r w:rsidR="0079611E">
        <w:t>uation report was not prepared.</w:t>
      </w:r>
    </w:p>
    <w:p w:rsidR="00605AD4" w:rsidRPr="0079611E" w:rsidRDefault="00605AD4" w:rsidP="0079611E">
      <w:pPr>
        <w:pStyle w:val="Heading4"/>
      </w:pPr>
      <w:r w:rsidRPr="00605AD4">
        <w:t xml:space="preserve">Second </w:t>
      </w:r>
      <w:r w:rsidR="006E024B">
        <w:t>r</w:t>
      </w:r>
      <w:r w:rsidRPr="00605AD4">
        <w:t xml:space="preserve">ound </w:t>
      </w:r>
      <w:r w:rsidR="006E024B">
        <w:t>b</w:t>
      </w:r>
      <w:r w:rsidRPr="00605AD4">
        <w:t>enefit-</w:t>
      </w:r>
      <w:r w:rsidR="006E024B">
        <w:t>r</w:t>
      </w:r>
      <w:r w:rsidRPr="00605AD4">
        <w:t xml:space="preserve">isk </w:t>
      </w:r>
      <w:r w:rsidR="006E024B">
        <w:t>a</w:t>
      </w:r>
      <w:r w:rsidRPr="00605AD4">
        <w:t>ssessment</w:t>
      </w:r>
    </w:p>
    <w:p w:rsidR="00605AD4" w:rsidRPr="00605AD4" w:rsidRDefault="0080473A" w:rsidP="0079611E">
      <w:r>
        <w:t>Not applicable</w:t>
      </w:r>
      <w:r w:rsidR="0079611E">
        <w:t>.</w:t>
      </w:r>
    </w:p>
    <w:p w:rsidR="008E7846" w:rsidRPr="0079611E" w:rsidRDefault="008E7846" w:rsidP="0079611E">
      <w:pPr>
        <w:pStyle w:val="Heading2"/>
      </w:pPr>
      <w:bookmarkStart w:id="104" w:name="_Toc404068938"/>
      <w:r w:rsidRPr="00235932">
        <w:t xml:space="preserve">V. </w:t>
      </w:r>
      <w:proofErr w:type="spellStart"/>
      <w:r w:rsidRPr="00235932">
        <w:t>Pharmacovigilance</w:t>
      </w:r>
      <w:proofErr w:type="spellEnd"/>
      <w:r w:rsidRPr="00235932">
        <w:t xml:space="preserve"> findings</w:t>
      </w:r>
      <w:bookmarkEnd w:id="96"/>
      <w:bookmarkEnd w:id="97"/>
      <w:bookmarkEnd w:id="104"/>
    </w:p>
    <w:p w:rsidR="008E7846" w:rsidRPr="007F6107" w:rsidRDefault="00386150" w:rsidP="007F6107">
      <w:pPr>
        <w:pStyle w:val="Heading3"/>
      </w:pPr>
      <w:bookmarkStart w:id="105" w:name="_Toc247691526"/>
      <w:bookmarkStart w:id="106" w:name="_Toc314842509"/>
      <w:bookmarkStart w:id="107" w:name="_Toc404068939"/>
      <w:r>
        <w:rPr>
          <w:lang w:eastAsia="en-AU"/>
        </w:rPr>
        <w:t>Risk m</w:t>
      </w:r>
      <w:r w:rsidR="008E7846">
        <w:rPr>
          <w:lang w:eastAsia="en-AU"/>
        </w:rPr>
        <w:t xml:space="preserve">anagement </w:t>
      </w:r>
      <w:r>
        <w:rPr>
          <w:lang w:eastAsia="en-AU"/>
        </w:rPr>
        <w:t>p</w:t>
      </w:r>
      <w:r w:rsidR="008E7846">
        <w:rPr>
          <w:lang w:eastAsia="en-AU"/>
        </w:rPr>
        <w:t>lan</w:t>
      </w:r>
      <w:bookmarkEnd w:id="105"/>
      <w:bookmarkEnd w:id="106"/>
      <w:bookmarkEnd w:id="107"/>
    </w:p>
    <w:p w:rsidR="008E7846" w:rsidRDefault="008E7846" w:rsidP="007F6107">
      <w:r>
        <w:rPr>
          <w:lang w:eastAsia="en-AU"/>
        </w:rPr>
        <w:t>The sponsor submitted a Risk Management Plan</w:t>
      </w:r>
      <w:r w:rsidR="008218F5">
        <w:rPr>
          <w:lang w:eastAsia="en-AU"/>
        </w:rPr>
        <w:t xml:space="preserve"> (RMP),</w:t>
      </w:r>
      <w:r w:rsidR="006F25B8">
        <w:rPr>
          <w:lang w:eastAsia="en-AU"/>
        </w:rPr>
        <w:t xml:space="preserve"> </w:t>
      </w:r>
      <w:proofErr w:type="spellStart"/>
      <w:r w:rsidR="00131DA4">
        <w:t>Alprolix</w:t>
      </w:r>
      <w:proofErr w:type="spellEnd"/>
      <w:r w:rsidR="00131DA4">
        <w:t xml:space="preserve"> </w:t>
      </w:r>
      <w:proofErr w:type="spellStart"/>
      <w:r w:rsidR="00131DA4">
        <w:t>Aus</w:t>
      </w:r>
      <w:proofErr w:type="spellEnd"/>
      <w:r w:rsidR="00131DA4">
        <w:t>-RMP version 1 (data lock point 15 October 2012)</w:t>
      </w:r>
      <w:r w:rsidR="008218F5">
        <w:t>,</w:t>
      </w:r>
      <w:r w:rsidR="00131DA4">
        <w:t xml:space="preserve"> </w:t>
      </w:r>
      <w:r>
        <w:rPr>
          <w:lang w:eastAsia="en-AU"/>
        </w:rPr>
        <w:t>which was reviewed by the TGA’s Office of Product Review (OPR).</w:t>
      </w:r>
    </w:p>
    <w:p w:rsidR="008E7846" w:rsidRPr="007F6107" w:rsidRDefault="003A7F6C" w:rsidP="007F6107">
      <w:pPr>
        <w:pStyle w:val="Heading4"/>
      </w:pPr>
      <w:r>
        <w:rPr>
          <w:lang w:eastAsia="en-AU"/>
        </w:rPr>
        <w:t>Safety s</w:t>
      </w:r>
      <w:r w:rsidR="008E7846">
        <w:rPr>
          <w:lang w:eastAsia="en-AU"/>
        </w:rPr>
        <w:t>pecification</w:t>
      </w:r>
    </w:p>
    <w:p w:rsidR="008E7846" w:rsidRDefault="008E7846" w:rsidP="007F6107">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w:t>
      </w:r>
      <w:r w:rsidR="004839FD">
        <w:rPr>
          <w:lang w:eastAsia="en-AU"/>
        </w:rPr>
        <w:t>Table 6</w:t>
      </w:r>
      <w:r w:rsidR="007F6107">
        <w:rPr>
          <w:lang w:eastAsia="en-AU"/>
        </w:rPr>
        <w:t>.</w:t>
      </w:r>
    </w:p>
    <w:p w:rsidR="00105DD9" w:rsidRDefault="004839FD" w:rsidP="007F6107">
      <w:pPr>
        <w:pStyle w:val="TableTitle"/>
        <w:rPr>
          <w:lang w:eastAsia="en-AU"/>
        </w:rPr>
      </w:pPr>
      <w:r>
        <w:rPr>
          <w:lang w:eastAsia="en-AU"/>
        </w:rPr>
        <w:t>Table 6:</w:t>
      </w:r>
      <w:r w:rsidR="00105DD9">
        <w:rPr>
          <w:lang w:eastAsia="en-AU"/>
        </w:rPr>
        <w:t xml:space="preserve"> Summary of ongoing safety concerns</w:t>
      </w:r>
    </w:p>
    <w:tbl>
      <w:tblPr>
        <w:tblStyle w:val="TableTGAblue"/>
        <w:tblW w:w="0" w:type="auto"/>
        <w:tblLook w:val="04A0" w:firstRow="1" w:lastRow="0" w:firstColumn="1" w:lastColumn="0" w:noHBand="0" w:noVBand="1"/>
      </w:tblPr>
      <w:tblGrid>
        <w:gridCol w:w="3227"/>
        <w:gridCol w:w="5493"/>
      </w:tblGrid>
      <w:tr w:rsidR="001C7DAF" w:rsidRPr="004839FD" w:rsidTr="008218F5">
        <w:trPr>
          <w:cnfStyle w:val="100000000000" w:firstRow="1" w:lastRow="0" w:firstColumn="0" w:lastColumn="0" w:oddVBand="0" w:evenVBand="0" w:oddHBand="0" w:evenHBand="0" w:firstRowFirstColumn="0" w:firstRowLastColumn="0" w:lastRowFirstColumn="0" w:lastRowLastColumn="0"/>
        </w:trPr>
        <w:tc>
          <w:tcPr>
            <w:tcW w:w="3227" w:type="dxa"/>
          </w:tcPr>
          <w:p w:rsidR="001C7DAF" w:rsidRPr="004839FD" w:rsidRDefault="008218F5" w:rsidP="007F6107">
            <w:pPr>
              <w:ind w:left="0" w:right="34"/>
            </w:pPr>
            <w:r w:rsidRPr="004839FD">
              <w:t>Risk</w:t>
            </w:r>
          </w:p>
        </w:tc>
        <w:tc>
          <w:tcPr>
            <w:tcW w:w="5493" w:type="dxa"/>
          </w:tcPr>
          <w:p w:rsidR="001C7DAF" w:rsidRPr="004839FD" w:rsidRDefault="008218F5" w:rsidP="007F6107">
            <w:pPr>
              <w:ind w:left="0" w:right="34"/>
            </w:pPr>
            <w:r w:rsidRPr="004839FD">
              <w:t>Planned actions(s)</w:t>
            </w:r>
          </w:p>
        </w:tc>
      </w:tr>
      <w:tr w:rsidR="001C7DAF" w:rsidRPr="004839FD" w:rsidTr="008218F5">
        <w:tc>
          <w:tcPr>
            <w:tcW w:w="3227" w:type="dxa"/>
          </w:tcPr>
          <w:p w:rsidR="001C7DAF" w:rsidRPr="004839FD" w:rsidRDefault="001C7DAF" w:rsidP="007F6107">
            <w:pPr>
              <w:ind w:left="0" w:right="34"/>
            </w:pPr>
            <w:r w:rsidRPr="004839FD">
              <w:t>Important identified risks</w:t>
            </w:r>
          </w:p>
        </w:tc>
        <w:tc>
          <w:tcPr>
            <w:tcW w:w="5493" w:type="dxa"/>
          </w:tcPr>
          <w:p w:rsidR="001C7DAF" w:rsidRPr="004839FD" w:rsidRDefault="001C7DAF" w:rsidP="007F6107">
            <w:pPr>
              <w:ind w:left="0" w:right="34"/>
            </w:pPr>
            <w:r w:rsidRPr="004839FD">
              <w:t>None</w:t>
            </w:r>
          </w:p>
        </w:tc>
      </w:tr>
      <w:tr w:rsidR="001C7DAF" w:rsidRPr="004839FD" w:rsidTr="008218F5">
        <w:tc>
          <w:tcPr>
            <w:tcW w:w="3227" w:type="dxa"/>
          </w:tcPr>
          <w:p w:rsidR="001C7DAF" w:rsidRPr="004839FD" w:rsidRDefault="001C7DAF" w:rsidP="007F6107">
            <w:pPr>
              <w:ind w:left="0" w:right="34"/>
            </w:pPr>
            <w:r w:rsidRPr="004839FD">
              <w:t>Important potential risks</w:t>
            </w:r>
          </w:p>
        </w:tc>
        <w:tc>
          <w:tcPr>
            <w:tcW w:w="5493" w:type="dxa"/>
          </w:tcPr>
          <w:p w:rsidR="001C7DAF" w:rsidRPr="004839FD" w:rsidRDefault="001C7DAF" w:rsidP="007F6107">
            <w:pPr>
              <w:ind w:left="0" w:right="34"/>
            </w:pPr>
            <w:r w:rsidRPr="004839FD">
              <w:t>Inhibitor development</w:t>
            </w:r>
          </w:p>
          <w:p w:rsidR="00105DD9" w:rsidRPr="004839FD" w:rsidRDefault="00105DD9" w:rsidP="007F6107">
            <w:pPr>
              <w:ind w:left="0" w:right="34"/>
            </w:pPr>
            <w:r w:rsidRPr="004839FD">
              <w:t xml:space="preserve">An inhibitor is defined as a neutralizing antibody value </w:t>
            </w:r>
            <w:r w:rsidR="003746D8" w:rsidRPr="004839FD">
              <w:t xml:space="preserve">≥ </w:t>
            </w:r>
            <w:r w:rsidRPr="004839FD">
              <w:t>0.6 BU/mL by Nijmegen-modified Bethesda assay and confirmed on retesting within 2 to 4 weeks.</w:t>
            </w:r>
          </w:p>
          <w:p w:rsidR="001C7DAF" w:rsidRPr="004839FD" w:rsidRDefault="001C7DAF" w:rsidP="007F6107">
            <w:pPr>
              <w:ind w:left="0" w:right="34"/>
            </w:pPr>
            <w:r w:rsidRPr="004839FD">
              <w:t>Allergic reaction or anaphylaxis</w:t>
            </w:r>
          </w:p>
          <w:p w:rsidR="001C7DAF" w:rsidRPr="004839FD" w:rsidRDefault="001C7DAF" w:rsidP="007F6107">
            <w:pPr>
              <w:ind w:left="0" w:right="34"/>
            </w:pPr>
            <w:r w:rsidRPr="004839FD">
              <w:t xml:space="preserve">A serious allergic reaction associated with administration of </w:t>
            </w:r>
            <w:proofErr w:type="spellStart"/>
            <w:r w:rsidRPr="004839FD">
              <w:t>rFIXFc</w:t>
            </w:r>
            <w:proofErr w:type="spellEnd"/>
            <w:r w:rsidRPr="004839FD">
              <w:t xml:space="preserve"> is defined as an event that is ≥ Grade 2 on the Recommendations for Grading of Acute and Subacute Toxic Effects on the WHO scale.</w:t>
            </w:r>
          </w:p>
          <w:p w:rsidR="001C7DAF" w:rsidRPr="004839FD" w:rsidRDefault="001C7DAF" w:rsidP="007F6107">
            <w:pPr>
              <w:ind w:left="0" w:right="34"/>
            </w:pPr>
            <w:r w:rsidRPr="004839FD">
              <w:t>Thrombotic events</w:t>
            </w:r>
          </w:p>
          <w:p w:rsidR="001C7DAF" w:rsidRPr="004839FD" w:rsidRDefault="001C7DAF" w:rsidP="007F6107">
            <w:pPr>
              <w:ind w:left="0" w:right="34"/>
            </w:pPr>
            <w:r w:rsidRPr="004839FD">
              <w:t xml:space="preserve">A thrombotic event in association with the administration of </w:t>
            </w:r>
            <w:proofErr w:type="spellStart"/>
            <w:r w:rsidRPr="004839FD">
              <w:t>rFIXFc</w:t>
            </w:r>
            <w:proofErr w:type="spellEnd"/>
            <w:r w:rsidRPr="004839FD">
              <w:t xml:space="preserve"> is defined as any event suggestive of a vascular thrombotic event with the exception of IV injection thrombophlebitis.</w:t>
            </w:r>
          </w:p>
        </w:tc>
      </w:tr>
      <w:tr w:rsidR="001C7DAF" w:rsidRPr="004839FD" w:rsidTr="008218F5">
        <w:tc>
          <w:tcPr>
            <w:tcW w:w="3227" w:type="dxa"/>
          </w:tcPr>
          <w:p w:rsidR="001C7DAF" w:rsidRPr="004839FD" w:rsidRDefault="001C7DAF" w:rsidP="007F6107">
            <w:pPr>
              <w:ind w:left="0" w:right="34"/>
            </w:pPr>
            <w:r w:rsidRPr="004839FD">
              <w:t>Important missing information</w:t>
            </w:r>
          </w:p>
        </w:tc>
        <w:tc>
          <w:tcPr>
            <w:tcW w:w="5493" w:type="dxa"/>
          </w:tcPr>
          <w:p w:rsidR="001C7DAF" w:rsidRPr="004839FD" w:rsidRDefault="001C7DAF" w:rsidP="007F6107">
            <w:pPr>
              <w:ind w:left="0" w:right="34"/>
            </w:pPr>
            <w:r w:rsidRPr="004839FD">
              <w:t>Safety profile in patients ≥ 65 years old</w:t>
            </w:r>
          </w:p>
          <w:p w:rsidR="001C7DAF" w:rsidRPr="004839FD" w:rsidRDefault="001C7DAF" w:rsidP="007F6107">
            <w:pPr>
              <w:ind w:left="0" w:right="34"/>
            </w:pPr>
            <w:r w:rsidRPr="004839FD">
              <w:t xml:space="preserve">Safety profile in children </w:t>
            </w:r>
            <w:r w:rsidR="00F10BB3">
              <w:t>&lt;</w:t>
            </w:r>
            <w:r w:rsidRPr="004839FD">
              <w:t xml:space="preserve"> 12 years old</w:t>
            </w:r>
          </w:p>
        </w:tc>
      </w:tr>
    </w:tbl>
    <w:p w:rsidR="00424CDB" w:rsidRDefault="00424CDB" w:rsidP="007F6107">
      <w:bookmarkStart w:id="108" w:name="_Toc247691527"/>
      <w:r w:rsidRPr="00424CDB">
        <w:t>OPR evaluator comment:</w:t>
      </w:r>
      <w:r>
        <w:t xml:space="preserve"> </w:t>
      </w:r>
      <w:r w:rsidRPr="00424CDB">
        <w:t xml:space="preserve">Notwithstanding the evaluation of the non-clinical and clinical aspects of the </w:t>
      </w:r>
      <w:r>
        <w:t>safety specifications</w:t>
      </w:r>
      <w:r w:rsidRPr="00424CDB">
        <w:t>, the summary of ongoing safety concerns appear to be consistent with th</w:t>
      </w:r>
      <w:r w:rsidR="007F6107">
        <w:t>at included in the proposed PI.</w:t>
      </w:r>
    </w:p>
    <w:p w:rsidR="00424CDB" w:rsidRPr="007F6107" w:rsidRDefault="00424CDB" w:rsidP="007F6107">
      <w:pPr>
        <w:pStyle w:val="Heading4"/>
      </w:pPr>
      <w:proofErr w:type="spellStart"/>
      <w:r>
        <w:t>Pharmacovigilance</w:t>
      </w:r>
      <w:proofErr w:type="spellEnd"/>
      <w:r>
        <w:t xml:space="preserve"> </w:t>
      </w:r>
      <w:r w:rsidR="007F6107">
        <w:t>plan</w:t>
      </w:r>
    </w:p>
    <w:p w:rsidR="00220FC0" w:rsidRDefault="00220FC0" w:rsidP="007F6107">
      <w:r>
        <w:t xml:space="preserve">The following is a summary of pharmacovigilance activities proposed in the </w:t>
      </w:r>
      <w:proofErr w:type="spellStart"/>
      <w:r>
        <w:t>Aus</w:t>
      </w:r>
      <w:proofErr w:type="spellEnd"/>
      <w:r w:rsidR="008218F5">
        <w:t>-</w:t>
      </w:r>
      <w:r w:rsidR="007F6107">
        <w:t>RMP:</w:t>
      </w:r>
    </w:p>
    <w:p w:rsidR="00220FC0" w:rsidRDefault="004839FD" w:rsidP="007F6107">
      <w:pPr>
        <w:pStyle w:val="TableTitle"/>
      </w:pPr>
      <w:r>
        <w:t>Table 7</w:t>
      </w:r>
      <w:r w:rsidR="00424CDB" w:rsidRPr="00424CDB">
        <w:t>:</w:t>
      </w:r>
      <w:r w:rsidR="00220FC0" w:rsidRPr="00424CDB">
        <w:t xml:space="preserve"> Pharmacovigilance activities proposed by the sponsor</w:t>
      </w:r>
    </w:p>
    <w:tbl>
      <w:tblPr>
        <w:tblStyle w:val="TableTGAblue"/>
        <w:tblW w:w="0" w:type="auto"/>
        <w:tblLook w:val="04A0" w:firstRow="1" w:lastRow="0" w:firstColumn="1" w:lastColumn="0" w:noHBand="0" w:noVBand="1"/>
      </w:tblPr>
      <w:tblGrid>
        <w:gridCol w:w="3652"/>
        <w:gridCol w:w="5068"/>
      </w:tblGrid>
      <w:tr w:rsidR="00220FC0" w:rsidRPr="004839FD" w:rsidTr="00655285">
        <w:trPr>
          <w:cnfStyle w:val="100000000000" w:firstRow="1" w:lastRow="0" w:firstColumn="0" w:lastColumn="0" w:oddVBand="0" w:evenVBand="0" w:oddHBand="0" w:evenHBand="0" w:firstRowFirstColumn="0" w:firstRowLastColumn="0" w:lastRowFirstColumn="0" w:lastRowLastColumn="0"/>
        </w:trPr>
        <w:tc>
          <w:tcPr>
            <w:tcW w:w="4077" w:type="dxa"/>
          </w:tcPr>
          <w:p w:rsidR="00220FC0" w:rsidRPr="004839FD" w:rsidRDefault="00220FC0" w:rsidP="007F6107">
            <w:pPr>
              <w:ind w:left="0" w:right="50"/>
            </w:pPr>
            <w:r w:rsidRPr="004839FD">
              <w:t>Safety concern</w:t>
            </w:r>
          </w:p>
        </w:tc>
        <w:tc>
          <w:tcPr>
            <w:tcW w:w="5778" w:type="dxa"/>
          </w:tcPr>
          <w:p w:rsidR="00220FC0" w:rsidRPr="004839FD" w:rsidRDefault="00220FC0" w:rsidP="007F6107">
            <w:pPr>
              <w:ind w:left="34" w:right="0"/>
            </w:pPr>
            <w:r w:rsidRPr="004839FD">
              <w:t>Planned action(s)</w:t>
            </w:r>
          </w:p>
        </w:tc>
      </w:tr>
      <w:tr w:rsidR="00220FC0" w:rsidRPr="004839FD" w:rsidTr="00655285">
        <w:tc>
          <w:tcPr>
            <w:tcW w:w="4077" w:type="dxa"/>
          </w:tcPr>
          <w:p w:rsidR="00220FC0" w:rsidRPr="004839FD" w:rsidRDefault="00220FC0" w:rsidP="007F6107">
            <w:pPr>
              <w:ind w:left="0" w:right="50"/>
            </w:pPr>
            <w:r w:rsidRPr="004839FD">
              <w:t>Important identified risks</w:t>
            </w:r>
          </w:p>
        </w:tc>
        <w:tc>
          <w:tcPr>
            <w:tcW w:w="5778" w:type="dxa"/>
          </w:tcPr>
          <w:p w:rsidR="00220FC0" w:rsidRPr="004839FD" w:rsidRDefault="00220FC0" w:rsidP="007F6107">
            <w:pPr>
              <w:ind w:left="34" w:right="0"/>
            </w:pPr>
            <w:r w:rsidRPr="004839FD">
              <w:t>N/A</w:t>
            </w:r>
          </w:p>
        </w:tc>
      </w:tr>
      <w:tr w:rsidR="00220FC0" w:rsidRPr="004839FD" w:rsidTr="00655285">
        <w:tc>
          <w:tcPr>
            <w:tcW w:w="9855" w:type="dxa"/>
            <w:gridSpan w:val="2"/>
          </w:tcPr>
          <w:p w:rsidR="00220FC0" w:rsidRPr="007F6107" w:rsidRDefault="00220FC0" w:rsidP="00862F71">
            <w:pPr>
              <w:keepNext/>
              <w:ind w:left="0" w:right="51"/>
              <w:rPr>
                <w:b/>
              </w:rPr>
            </w:pPr>
            <w:r w:rsidRPr="007F6107">
              <w:rPr>
                <w:b/>
              </w:rPr>
              <w:t>Important potential risks</w:t>
            </w:r>
          </w:p>
        </w:tc>
      </w:tr>
      <w:tr w:rsidR="00220FC0" w:rsidRPr="004839FD" w:rsidTr="00655285">
        <w:tc>
          <w:tcPr>
            <w:tcW w:w="4077" w:type="dxa"/>
          </w:tcPr>
          <w:p w:rsidR="00220FC0" w:rsidRPr="004839FD" w:rsidRDefault="007F6107" w:rsidP="007F6107">
            <w:pPr>
              <w:ind w:left="0" w:right="50"/>
            </w:pPr>
            <w:r>
              <w:t>Inhibitor development:</w:t>
            </w:r>
          </w:p>
          <w:p w:rsidR="00220FC0" w:rsidRPr="004839FD" w:rsidRDefault="00220FC0" w:rsidP="007F6107">
            <w:pPr>
              <w:ind w:left="0" w:right="50"/>
            </w:pPr>
            <w:r w:rsidRPr="004839FD">
              <w:t xml:space="preserve">An inhibitor is defined as a neutralizing antibody value </w:t>
            </w:r>
            <w:r w:rsidR="00803EA8" w:rsidRPr="004839FD">
              <w:t xml:space="preserve">≥ </w:t>
            </w:r>
            <w:r w:rsidRPr="004839FD">
              <w:t>0.6 BU/mL by Nijmegen</w:t>
            </w:r>
            <w:r w:rsidR="00803EA8" w:rsidRPr="004839FD">
              <w:t xml:space="preserve"> </w:t>
            </w:r>
            <w:r w:rsidRPr="004839FD">
              <w:t>modified Bethesda assay and confirmed on retesting within 2 to 4 weeks</w:t>
            </w:r>
          </w:p>
        </w:tc>
        <w:tc>
          <w:tcPr>
            <w:tcW w:w="5778" w:type="dxa"/>
          </w:tcPr>
          <w:p w:rsidR="00220FC0" w:rsidRPr="004839FD" w:rsidRDefault="00220FC0" w:rsidP="007F6107">
            <w:pPr>
              <w:ind w:left="34" w:right="0"/>
            </w:pPr>
            <w:r w:rsidRPr="004839FD">
              <w:t>Routine pharmacovigilance activities:</w:t>
            </w:r>
          </w:p>
          <w:p w:rsidR="00220FC0" w:rsidRPr="004839FD" w:rsidRDefault="00220FC0" w:rsidP="007F6107">
            <w:pPr>
              <w:pStyle w:val="ListBullet"/>
            </w:pPr>
            <w:r w:rsidRPr="004839FD">
              <w:t>Cumulative analyses in Periodic Safety Update Reports (PSURs)</w:t>
            </w:r>
            <w:r w:rsidR="00D12FBC" w:rsidRPr="004839FD">
              <w:t>.</w:t>
            </w:r>
          </w:p>
          <w:p w:rsidR="00220FC0" w:rsidRPr="004839FD" w:rsidRDefault="00220FC0" w:rsidP="007F6107">
            <w:pPr>
              <w:pStyle w:val="ListBullet"/>
            </w:pPr>
            <w:proofErr w:type="spellStart"/>
            <w:r w:rsidRPr="004839FD">
              <w:t>Pediatric</w:t>
            </w:r>
            <w:proofErr w:type="spellEnd"/>
            <w:r w:rsidRPr="004839FD">
              <w:t xml:space="preserve"> study 9HB02PED</w:t>
            </w:r>
            <w:r w:rsidR="00D12FBC" w:rsidRPr="004839FD">
              <w:t>.</w:t>
            </w:r>
          </w:p>
          <w:p w:rsidR="00220FC0" w:rsidRPr="004839FD" w:rsidRDefault="00220FC0" w:rsidP="007F6107">
            <w:pPr>
              <w:pStyle w:val="ListBullet"/>
            </w:pPr>
            <w:r w:rsidRPr="004839FD">
              <w:t>Safety extension study 9HB01EXT</w:t>
            </w:r>
            <w:r w:rsidR="00D12FBC" w:rsidRPr="004839FD">
              <w:t>.</w:t>
            </w:r>
          </w:p>
          <w:p w:rsidR="00220FC0" w:rsidRPr="004839FD" w:rsidRDefault="00220FC0" w:rsidP="007F6107">
            <w:r w:rsidRPr="004839FD">
              <w:t>Additional pharmacovigilance activities:</w:t>
            </w:r>
          </w:p>
          <w:p w:rsidR="00220FC0" w:rsidRPr="004839FD" w:rsidRDefault="00220FC0" w:rsidP="007F6107">
            <w:pPr>
              <w:pStyle w:val="ListBullet"/>
            </w:pPr>
            <w:r w:rsidRPr="004839FD">
              <w:t>Expedited reporting to regulators of an inhibitor</w:t>
            </w:r>
            <w:r w:rsidR="00D12FBC" w:rsidRPr="004839FD">
              <w:t>.</w:t>
            </w:r>
          </w:p>
          <w:p w:rsidR="00220FC0" w:rsidRPr="004839FD" w:rsidRDefault="00220FC0" w:rsidP="007F6107">
            <w:pPr>
              <w:pStyle w:val="ListBullet"/>
            </w:pPr>
            <w:r w:rsidRPr="004839FD">
              <w:t>Targeted follow-up by questionnaire of an inhibitor from spontaneous reports, other programs where data are being handled as solicited, and all clinical trial SAEs</w:t>
            </w:r>
            <w:r w:rsidR="00D12FBC" w:rsidRPr="004839FD">
              <w:t>.</w:t>
            </w:r>
          </w:p>
        </w:tc>
      </w:tr>
      <w:tr w:rsidR="00220FC0" w:rsidRPr="004839FD" w:rsidTr="00655285">
        <w:tc>
          <w:tcPr>
            <w:tcW w:w="4077" w:type="dxa"/>
          </w:tcPr>
          <w:p w:rsidR="00220FC0" w:rsidRPr="004839FD" w:rsidRDefault="00220FC0" w:rsidP="007F6107">
            <w:pPr>
              <w:ind w:left="0" w:right="50"/>
            </w:pPr>
            <w:r w:rsidRPr="004839FD">
              <w:t>Allergic reactions or anaphylaxis</w:t>
            </w:r>
          </w:p>
          <w:p w:rsidR="00220FC0" w:rsidRPr="004839FD" w:rsidRDefault="00220FC0" w:rsidP="007F6107">
            <w:pPr>
              <w:ind w:left="0" w:right="50"/>
            </w:pPr>
            <w:r w:rsidRPr="004839FD">
              <w:t xml:space="preserve">A serious allergic reaction associated with administration of </w:t>
            </w:r>
            <w:proofErr w:type="spellStart"/>
            <w:r w:rsidRPr="004839FD">
              <w:t>rFIXFc</w:t>
            </w:r>
            <w:proofErr w:type="spellEnd"/>
            <w:r w:rsidRPr="004839FD">
              <w:t xml:space="preserve"> is defined as an event that is </w:t>
            </w:r>
            <w:r w:rsidR="00803EA8" w:rsidRPr="004839FD">
              <w:t xml:space="preserve">≥ </w:t>
            </w:r>
            <w:r w:rsidRPr="004839FD">
              <w:t>Grade 2 on the Recommendations for Grading of Acute and Subacute Toxic Effects on the WHO scale</w:t>
            </w:r>
          </w:p>
        </w:tc>
        <w:tc>
          <w:tcPr>
            <w:tcW w:w="5778" w:type="dxa"/>
          </w:tcPr>
          <w:p w:rsidR="00220FC0" w:rsidRPr="004839FD" w:rsidRDefault="00220FC0" w:rsidP="007F6107">
            <w:pPr>
              <w:ind w:left="34"/>
            </w:pPr>
            <w:r w:rsidRPr="004839FD">
              <w:t>Routine pharmacovigilance activities:</w:t>
            </w:r>
          </w:p>
          <w:p w:rsidR="00220FC0" w:rsidRPr="004839FD" w:rsidRDefault="00220FC0" w:rsidP="007F6107">
            <w:pPr>
              <w:pStyle w:val="ListBullet"/>
            </w:pPr>
            <w:r w:rsidRPr="004839FD">
              <w:t>Cumulative analyses in PSURs</w:t>
            </w:r>
            <w:r w:rsidR="00D12FBC" w:rsidRPr="004839FD">
              <w:t>.</w:t>
            </w:r>
          </w:p>
          <w:p w:rsidR="00220FC0" w:rsidRPr="004839FD" w:rsidRDefault="00220FC0" w:rsidP="007F6107">
            <w:pPr>
              <w:pStyle w:val="ListBullet"/>
            </w:pPr>
            <w:proofErr w:type="spellStart"/>
            <w:r w:rsidRPr="004839FD">
              <w:t>Pediatric</w:t>
            </w:r>
            <w:proofErr w:type="spellEnd"/>
            <w:r w:rsidRPr="004839FD">
              <w:t xml:space="preserve"> study 9HB02PED</w:t>
            </w:r>
            <w:r w:rsidR="00D12FBC" w:rsidRPr="004839FD">
              <w:t>.</w:t>
            </w:r>
          </w:p>
          <w:p w:rsidR="00220FC0" w:rsidRPr="004839FD" w:rsidRDefault="00220FC0" w:rsidP="007F6107">
            <w:pPr>
              <w:pStyle w:val="ListBullet"/>
            </w:pPr>
            <w:r w:rsidRPr="004839FD">
              <w:t>Safety extension study 9HB01EXT</w:t>
            </w:r>
            <w:r w:rsidR="00D12FBC" w:rsidRPr="004839FD">
              <w:t>.</w:t>
            </w:r>
          </w:p>
          <w:p w:rsidR="00220FC0" w:rsidRPr="004839FD" w:rsidRDefault="00220FC0" w:rsidP="007F6107">
            <w:r w:rsidRPr="004839FD">
              <w:t>Enhanced pharmacovigilance activities:</w:t>
            </w:r>
          </w:p>
          <w:p w:rsidR="00220FC0" w:rsidRPr="004839FD" w:rsidRDefault="00220FC0" w:rsidP="007F6107">
            <w:pPr>
              <w:pStyle w:val="ListBullet"/>
            </w:pPr>
            <w:r w:rsidRPr="004839FD">
              <w:t>Expedited reporting to regulators of a serious allergic reaction or anaphylaxis</w:t>
            </w:r>
            <w:r w:rsidR="00D12FBC" w:rsidRPr="004839FD">
              <w:t>.</w:t>
            </w:r>
          </w:p>
          <w:p w:rsidR="00220FC0" w:rsidRPr="004839FD" w:rsidRDefault="00220FC0" w:rsidP="007F6107">
            <w:pPr>
              <w:pStyle w:val="ListBullet"/>
            </w:pPr>
            <w:r w:rsidRPr="004839FD">
              <w:t>Targeted follow-up by questionnaire of a serious allergic reaction or anaphylaxis from spontaneous reports, other programs where data are being handled as solicited, and all clinical trial SAEs</w:t>
            </w:r>
            <w:r w:rsidR="00D12FBC" w:rsidRPr="004839FD">
              <w:t>.</w:t>
            </w:r>
          </w:p>
        </w:tc>
      </w:tr>
      <w:tr w:rsidR="00220FC0" w:rsidRPr="004839FD" w:rsidTr="00655285">
        <w:tc>
          <w:tcPr>
            <w:tcW w:w="4077" w:type="dxa"/>
          </w:tcPr>
          <w:p w:rsidR="00220FC0" w:rsidRPr="004839FD" w:rsidRDefault="00220FC0" w:rsidP="007F6107">
            <w:pPr>
              <w:ind w:left="0" w:right="50"/>
            </w:pPr>
            <w:r w:rsidRPr="004839FD">
              <w:t>Thrombotic events</w:t>
            </w:r>
          </w:p>
          <w:p w:rsidR="00220FC0" w:rsidRPr="004839FD" w:rsidRDefault="00220FC0" w:rsidP="007F6107">
            <w:pPr>
              <w:ind w:left="0" w:right="50"/>
            </w:pPr>
            <w:r w:rsidRPr="004839FD">
              <w:t xml:space="preserve">A thrombotic event in association with the administration of </w:t>
            </w:r>
            <w:proofErr w:type="spellStart"/>
            <w:r w:rsidRPr="004839FD">
              <w:t>rFIXFc</w:t>
            </w:r>
            <w:proofErr w:type="spellEnd"/>
            <w:r w:rsidRPr="004839FD">
              <w:t xml:space="preserve"> is defined as any event suggestive of a vascular thrombotic event with the exception of IV injection thrombophlebitis</w:t>
            </w:r>
          </w:p>
        </w:tc>
        <w:tc>
          <w:tcPr>
            <w:tcW w:w="5778" w:type="dxa"/>
          </w:tcPr>
          <w:p w:rsidR="00220FC0" w:rsidRPr="004839FD" w:rsidRDefault="00220FC0" w:rsidP="007F6107">
            <w:pPr>
              <w:ind w:left="34"/>
            </w:pPr>
            <w:r w:rsidRPr="004839FD">
              <w:t>Routine pharmacovigilance activities:</w:t>
            </w:r>
          </w:p>
          <w:p w:rsidR="00220FC0" w:rsidRPr="004839FD" w:rsidRDefault="00220FC0" w:rsidP="007F6107">
            <w:pPr>
              <w:pStyle w:val="ListBullet"/>
            </w:pPr>
            <w:r w:rsidRPr="004839FD">
              <w:t>Cumulative analyses in PSURs</w:t>
            </w:r>
            <w:r w:rsidR="00D12FBC" w:rsidRPr="004839FD">
              <w:t>.</w:t>
            </w:r>
          </w:p>
          <w:p w:rsidR="00220FC0" w:rsidRPr="004839FD" w:rsidRDefault="00220FC0" w:rsidP="007F6107">
            <w:pPr>
              <w:pStyle w:val="ListBullet"/>
            </w:pPr>
            <w:proofErr w:type="spellStart"/>
            <w:r w:rsidRPr="004839FD">
              <w:t>Pediatric</w:t>
            </w:r>
            <w:proofErr w:type="spellEnd"/>
            <w:r w:rsidRPr="004839FD">
              <w:t xml:space="preserve"> study 9HB02PED</w:t>
            </w:r>
            <w:r w:rsidR="00D12FBC" w:rsidRPr="004839FD">
              <w:t>.</w:t>
            </w:r>
          </w:p>
          <w:p w:rsidR="00220FC0" w:rsidRPr="004839FD" w:rsidRDefault="00220FC0" w:rsidP="007F6107">
            <w:pPr>
              <w:pStyle w:val="ListBullet"/>
            </w:pPr>
            <w:r w:rsidRPr="004839FD">
              <w:t>Safety extension study 9HB01EXT</w:t>
            </w:r>
            <w:r w:rsidR="00D12FBC" w:rsidRPr="004839FD">
              <w:t>.</w:t>
            </w:r>
          </w:p>
          <w:p w:rsidR="00220FC0" w:rsidRPr="004839FD" w:rsidRDefault="00220FC0" w:rsidP="007F6107">
            <w:r w:rsidRPr="004839FD">
              <w:t>Enhanced pharmacovigilance activities:</w:t>
            </w:r>
          </w:p>
          <w:p w:rsidR="00220FC0" w:rsidRPr="004839FD" w:rsidRDefault="00220FC0" w:rsidP="007F6107">
            <w:pPr>
              <w:pStyle w:val="ListBullet"/>
            </w:pPr>
            <w:r w:rsidRPr="004839FD">
              <w:t>Expedited reporting to regulators of serious thrombotic events</w:t>
            </w:r>
            <w:r w:rsidR="00D12FBC" w:rsidRPr="004839FD">
              <w:t>.</w:t>
            </w:r>
          </w:p>
          <w:p w:rsidR="00220FC0" w:rsidRPr="004839FD" w:rsidRDefault="00220FC0" w:rsidP="007F6107">
            <w:pPr>
              <w:pStyle w:val="ListBullet"/>
            </w:pPr>
            <w:r w:rsidRPr="004839FD">
              <w:t>Targeted follow-up by questionnaire of serious thrombotic events from spontaneous reports, and other programs where data are being handled as solicited, and all clinical trial SAEs</w:t>
            </w:r>
            <w:r w:rsidR="00D12FBC" w:rsidRPr="004839FD">
              <w:t>.</w:t>
            </w:r>
          </w:p>
        </w:tc>
      </w:tr>
      <w:tr w:rsidR="00220FC0" w:rsidRPr="004839FD" w:rsidTr="00655285">
        <w:tc>
          <w:tcPr>
            <w:tcW w:w="9855" w:type="dxa"/>
            <w:gridSpan w:val="2"/>
          </w:tcPr>
          <w:p w:rsidR="00220FC0" w:rsidRPr="007F6107" w:rsidRDefault="00220FC0" w:rsidP="007F6107">
            <w:pPr>
              <w:keepNext/>
              <w:ind w:left="0" w:right="51"/>
              <w:rPr>
                <w:b/>
              </w:rPr>
            </w:pPr>
            <w:r w:rsidRPr="007F6107">
              <w:rPr>
                <w:b/>
              </w:rPr>
              <w:t>Important missing information</w:t>
            </w:r>
          </w:p>
        </w:tc>
      </w:tr>
      <w:tr w:rsidR="00220FC0" w:rsidRPr="004839FD" w:rsidTr="00655285">
        <w:tc>
          <w:tcPr>
            <w:tcW w:w="4077" w:type="dxa"/>
          </w:tcPr>
          <w:p w:rsidR="00220FC0" w:rsidRPr="004839FD" w:rsidRDefault="00220FC0" w:rsidP="00862F71">
            <w:pPr>
              <w:keepNext/>
              <w:ind w:left="0" w:right="51"/>
            </w:pPr>
            <w:r w:rsidRPr="004839FD">
              <w:t xml:space="preserve">Safety profile in patients aged </w:t>
            </w:r>
            <w:r w:rsidR="00532355" w:rsidRPr="004839FD">
              <w:t xml:space="preserve">≥ </w:t>
            </w:r>
            <w:r w:rsidRPr="004839FD">
              <w:t>65 years old</w:t>
            </w:r>
          </w:p>
        </w:tc>
        <w:tc>
          <w:tcPr>
            <w:tcW w:w="5778" w:type="dxa"/>
          </w:tcPr>
          <w:p w:rsidR="00220FC0" w:rsidRPr="004839FD" w:rsidRDefault="00220FC0" w:rsidP="007F6107">
            <w:pPr>
              <w:ind w:left="34"/>
            </w:pPr>
            <w:r w:rsidRPr="004839FD">
              <w:t>Routine pharmacovigilance activities:</w:t>
            </w:r>
          </w:p>
          <w:p w:rsidR="00220FC0" w:rsidRPr="004839FD" w:rsidRDefault="00220FC0" w:rsidP="007F6107">
            <w:pPr>
              <w:pStyle w:val="ListBullet"/>
            </w:pPr>
            <w:r w:rsidRPr="004839FD">
              <w:t>Cumulative analyses in PSURs</w:t>
            </w:r>
            <w:r w:rsidR="00D12FBC" w:rsidRPr="004839FD">
              <w:t>.</w:t>
            </w:r>
          </w:p>
          <w:p w:rsidR="00220FC0" w:rsidRPr="004839FD" w:rsidRDefault="00220FC0" w:rsidP="007F6107">
            <w:pPr>
              <w:pStyle w:val="ListBullet"/>
            </w:pPr>
            <w:r w:rsidRPr="004839FD">
              <w:t>Limited data from safety extension study 9HB01EXT</w:t>
            </w:r>
            <w:r w:rsidR="00D12FBC" w:rsidRPr="004839FD">
              <w:t>.</w:t>
            </w:r>
          </w:p>
        </w:tc>
      </w:tr>
      <w:tr w:rsidR="00220FC0" w:rsidRPr="004839FD" w:rsidTr="00655285">
        <w:tc>
          <w:tcPr>
            <w:tcW w:w="4077" w:type="dxa"/>
          </w:tcPr>
          <w:p w:rsidR="00220FC0" w:rsidRPr="004839FD" w:rsidRDefault="00220FC0" w:rsidP="007F6107">
            <w:pPr>
              <w:ind w:left="0" w:right="50"/>
            </w:pPr>
            <w:r w:rsidRPr="004839FD">
              <w:t xml:space="preserve">Safety profile in children </w:t>
            </w:r>
            <w:r w:rsidR="00F10BB3">
              <w:t>&lt;</w:t>
            </w:r>
            <w:r w:rsidR="00532355" w:rsidRPr="004839FD">
              <w:t xml:space="preserve"> </w:t>
            </w:r>
            <w:r w:rsidRPr="004839FD">
              <w:t>12 years old</w:t>
            </w:r>
          </w:p>
        </w:tc>
        <w:tc>
          <w:tcPr>
            <w:tcW w:w="5778" w:type="dxa"/>
          </w:tcPr>
          <w:p w:rsidR="00220FC0" w:rsidRPr="004839FD" w:rsidRDefault="00220FC0" w:rsidP="007F6107">
            <w:pPr>
              <w:ind w:left="34"/>
            </w:pPr>
            <w:r w:rsidRPr="004839FD">
              <w:t>Routine pharmacovigilance activities:</w:t>
            </w:r>
          </w:p>
          <w:p w:rsidR="00220FC0" w:rsidRPr="004839FD" w:rsidRDefault="00220FC0" w:rsidP="007F6107">
            <w:pPr>
              <w:pStyle w:val="ListBullet"/>
            </w:pPr>
            <w:r w:rsidRPr="004839FD">
              <w:t>Cumulative analyses in PSURs</w:t>
            </w:r>
            <w:r w:rsidR="00D12FBC" w:rsidRPr="004839FD">
              <w:t>.</w:t>
            </w:r>
          </w:p>
          <w:p w:rsidR="00220FC0" w:rsidRPr="004839FD" w:rsidRDefault="00220FC0" w:rsidP="007F6107">
            <w:pPr>
              <w:pStyle w:val="ListBullet"/>
            </w:pPr>
            <w:proofErr w:type="spellStart"/>
            <w:r w:rsidRPr="004839FD">
              <w:t>Pediatric</w:t>
            </w:r>
            <w:proofErr w:type="spellEnd"/>
            <w:r w:rsidRPr="004839FD">
              <w:t xml:space="preserve"> study 9HB02PED</w:t>
            </w:r>
            <w:r w:rsidR="00D12FBC" w:rsidRPr="004839FD">
              <w:t>.</w:t>
            </w:r>
          </w:p>
          <w:p w:rsidR="00220FC0" w:rsidRPr="004839FD" w:rsidRDefault="00220FC0" w:rsidP="007F6107">
            <w:pPr>
              <w:pStyle w:val="ListBullet"/>
            </w:pPr>
            <w:r w:rsidRPr="004839FD">
              <w:t>Potentially limited data from safety extension study 9HB01EXT</w:t>
            </w:r>
            <w:r w:rsidR="00D12FBC" w:rsidRPr="004839FD">
              <w:t>.</w:t>
            </w:r>
          </w:p>
        </w:tc>
      </w:tr>
    </w:tbl>
    <w:p w:rsidR="008218F5" w:rsidRPr="00862F71" w:rsidRDefault="008218F5" w:rsidP="00862F71">
      <w:pPr>
        <w:pStyle w:val="Heading4"/>
      </w:pPr>
      <w:bookmarkStart w:id="109" w:name="_Toc336331576"/>
      <w:bookmarkStart w:id="110" w:name="_Toc369689532"/>
      <w:r w:rsidRPr="008218F5">
        <w:t>R</w:t>
      </w:r>
      <w:r>
        <w:t>isk minimisation activities</w:t>
      </w:r>
      <w:bookmarkEnd w:id="109"/>
      <w:bookmarkEnd w:id="110"/>
    </w:p>
    <w:p w:rsidR="008218F5" w:rsidRPr="008218F5" w:rsidRDefault="008218F5" w:rsidP="00862F71">
      <w:r w:rsidRPr="008218F5">
        <w:t xml:space="preserve">The sponsor </w:t>
      </w:r>
      <w:r w:rsidR="00DF2CAB">
        <w:t>has stated</w:t>
      </w:r>
      <w:r w:rsidRPr="008218F5">
        <w:t xml:space="preserve">: ‘Because the most important risks of </w:t>
      </w:r>
      <w:proofErr w:type="spellStart"/>
      <w:r w:rsidRPr="008218F5">
        <w:t>rFIXFc</w:t>
      </w:r>
      <w:proofErr w:type="spellEnd"/>
      <w:r w:rsidRPr="008218F5">
        <w:t xml:space="preserve"> treatment remain potential risks rather than known risks, it is proposed that the potential risks can be a</w:t>
      </w:r>
      <w:r w:rsidR="0016220D">
        <w:t>ppropriately managed and minimis</w:t>
      </w:r>
      <w:r w:rsidRPr="008218F5">
        <w:t>ed by guidance in the Product Information without requireme</w:t>
      </w:r>
      <w:r w:rsidR="0016220D">
        <w:t>nt for any enhanced risk minimis</w:t>
      </w:r>
      <w:r w:rsidR="00862F71">
        <w:t>ation.’</w:t>
      </w:r>
    </w:p>
    <w:p w:rsidR="008218F5" w:rsidRPr="00862F71" w:rsidRDefault="00862F71" w:rsidP="00862F71">
      <w:pPr>
        <w:pStyle w:val="Heading4"/>
      </w:pPr>
      <w:r>
        <w:t>Risk minimisation plan</w:t>
      </w:r>
    </w:p>
    <w:p w:rsidR="008218F5" w:rsidRPr="008218F5" w:rsidRDefault="008218F5" w:rsidP="00862F71">
      <w:r w:rsidRPr="008218F5">
        <w:t>Routine risk minimisation is propos</w:t>
      </w:r>
      <w:r w:rsidR="00862F71">
        <w:t>ed for all the safety concerns.</w:t>
      </w:r>
    </w:p>
    <w:p w:rsidR="00690E94" w:rsidRPr="00862F71" w:rsidRDefault="00690E94" w:rsidP="00862F71">
      <w:pPr>
        <w:pStyle w:val="Heading4"/>
      </w:pPr>
      <w:bookmarkStart w:id="111" w:name="_Toc336331581"/>
      <w:bookmarkStart w:id="112" w:name="_Toc369689537"/>
      <w:r>
        <w:t>Reconciliation of issues outlined in the RMP report</w:t>
      </w:r>
    </w:p>
    <w:p w:rsidR="008218F5" w:rsidRDefault="00690E94" w:rsidP="00862F71">
      <w:r w:rsidRPr="00690E94">
        <w:t xml:space="preserve">The following </w:t>
      </w:r>
      <w:r w:rsidR="00DC7468">
        <w:t xml:space="preserve">provides </w:t>
      </w:r>
      <w:r w:rsidRPr="00690E94">
        <w:t>the OPR</w:t>
      </w:r>
      <w:r w:rsidR="00DC7468">
        <w:t xml:space="preserve"> evaluator</w:t>
      </w:r>
      <w:r w:rsidRPr="00690E94">
        <w:t xml:space="preserve">’s </w:t>
      </w:r>
      <w:r>
        <w:t xml:space="preserve">recommendations in the </w:t>
      </w:r>
      <w:r w:rsidRPr="00690E94">
        <w:t xml:space="preserve">first round evaluation </w:t>
      </w:r>
      <w:r>
        <w:t xml:space="preserve">report, </w:t>
      </w:r>
      <w:r w:rsidR="00DC7468">
        <w:t xml:space="preserve">a summary of the </w:t>
      </w:r>
      <w:r w:rsidRPr="00690E94">
        <w:t xml:space="preserve">sponsor’s responses to </w:t>
      </w:r>
      <w:r>
        <w:t xml:space="preserve">these </w:t>
      </w:r>
      <w:r w:rsidR="00DC7468">
        <w:t>recommendations</w:t>
      </w:r>
      <w:r w:rsidR="00DF2CAB">
        <w:t>,</w:t>
      </w:r>
      <w:r w:rsidR="00DC7468">
        <w:t xml:space="preserve"> </w:t>
      </w:r>
      <w:r w:rsidRPr="00690E94">
        <w:t>and the OPR</w:t>
      </w:r>
      <w:r w:rsidR="00DC7468">
        <w:t xml:space="preserve"> evaluator</w:t>
      </w:r>
      <w:r w:rsidRPr="00690E94">
        <w:t>’s evaluation of the sponsor’s responses.</w:t>
      </w:r>
      <w:bookmarkEnd w:id="111"/>
      <w:bookmarkEnd w:id="112"/>
    </w:p>
    <w:p w:rsidR="00690E94" w:rsidRPr="00862F71" w:rsidRDefault="00690E94" w:rsidP="00862F71">
      <w:pPr>
        <w:pStyle w:val="Heading5"/>
      </w:pPr>
      <w:r w:rsidRPr="00690E94">
        <w:t>Recommendation</w:t>
      </w:r>
      <w:r>
        <w:t xml:space="preserve"> 1</w:t>
      </w:r>
    </w:p>
    <w:p w:rsidR="008218F5" w:rsidRDefault="008218F5" w:rsidP="00862F71">
      <w:pPr>
        <w:pStyle w:val="Numberbullet0"/>
        <w:numPr>
          <w:ilvl w:val="0"/>
          <w:numId w:val="0"/>
        </w:numPr>
        <w:ind w:left="425"/>
      </w:pPr>
      <w:r w:rsidRPr="008218F5">
        <w:t xml:space="preserve">Safety considerations may be raised by the nonclinical and clinical evaluators through the </w:t>
      </w:r>
      <w:r w:rsidR="00E85535">
        <w:t xml:space="preserve">TGA </w:t>
      </w:r>
      <w:r w:rsidRPr="008218F5">
        <w:t xml:space="preserve">consolidated request </w:t>
      </w:r>
      <w:r w:rsidR="00E85535">
        <w:t xml:space="preserve">for further information </w:t>
      </w:r>
      <w:r w:rsidRPr="008218F5">
        <w:t xml:space="preserve">or the </w:t>
      </w:r>
      <w:r w:rsidR="00E85535">
        <w:t>n</w:t>
      </w:r>
      <w:r w:rsidRPr="008218F5">
        <w:t xml:space="preserve">onclinical and </w:t>
      </w:r>
      <w:r w:rsidR="00E85535">
        <w:t>c</w:t>
      </w:r>
      <w:r w:rsidRPr="008218F5">
        <w:t xml:space="preserve">linical </w:t>
      </w:r>
      <w:r w:rsidR="00E85535">
        <w:t>e</w:t>
      </w:r>
      <w:r w:rsidRPr="008218F5">
        <w:t xml:space="preserve">valuation </w:t>
      </w:r>
      <w:r w:rsidR="00E85535">
        <w:t xml:space="preserve">reports respectively. </w:t>
      </w:r>
      <w:r w:rsidRPr="008218F5">
        <w:t>It is important to ensure that the information provided in response to these includes a consideration of the relevance for the R</w:t>
      </w:r>
      <w:r w:rsidR="00E85535">
        <w:t>MP</w:t>
      </w:r>
      <w:r w:rsidRPr="008218F5">
        <w:t>, and any specific information needed to address this issue in the RMP.</w:t>
      </w:r>
      <w:r w:rsidR="00E85535">
        <w:t xml:space="preserve"> </w:t>
      </w:r>
      <w:r w:rsidRPr="008218F5">
        <w:t>For any safety considerations so raised, the sponsor should provide information that is relevant and necessary to address the issue in the RMP.</w:t>
      </w:r>
    </w:p>
    <w:p w:rsidR="00690E94" w:rsidRDefault="00690E94" w:rsidP="00862F71">
      <w:r w:rsidRPr="00690E94">
        <w:t xml:space="preserve">The sponsor acknowledged </w:t>
      </w:r>
      <w:r>
        <w:t>this statement and confirmed</w:t>
      </w:r>
      <w:r w:rsidRPr="00690E94">
        <w:t xml:space="preserve"> that consideration has been given to comments</w:t>
      </w:r>
      <w:r>
        <w:t xml:space="preserve"> from other TGA sources.</w:t>
      </w:r>
    </w:p>
    <w:p w:rsidR="00690E94" w:rsidRPr="00690E94" w:rsidRDefault="00690E94" w:rsidP="00862F71">
      <w:r>
        <w:t xml:space="preserve">OPR evaluator comment: </w:t>
      </w:r>
      <w:r w:rsidRPr="00690E94">
        <w:t>The sponsor’s response is satisfactory.</w:t>
      </w:r>
    </w:p>
    <w:p w:rsidR="008218F5" w:rsidRPr="00690E94" w:rsidRDefault="00690E94" w:rsidP="00862F71">
      <w:pPr>
        <w:pStyle w:val="Heading5"/>
      </w:pPr>
      <w:r w:rsidRPr="00690E94">
        <w:t>Recommendation</w:t>
      </w:r>
      <w:r>
        <w:t xml:space="preserve"> 2</w:t>
      </w:r>
    </w:p>
    <w:p w:rsidR="008218F5" w:rsidRDefault="008218F5" w:rsidP="00862F71">
      <w:pPr>
        <w:pStyle w:val="Numberbullet0"/>
        <w:numPr>
          <w:ilvl w:val="0"/>
          <w:numId w:val="0"/>
        </w:numPr>
        <w:ind w:left="425"/>
      </w:pPr>
      <w:r w:rsidRPr="008218F5">
        <w:t xml:space="preserve">It should be noted that clinical studies are considered ‘additional pharmacovigilance activities’ whilst reporting of findings and </w:t>
      </w:r>
      <w:r w:rsidR="004839FD">
        <w:t>AE</w:t>
      </w:r>
      <w:r w:rsidRPr="008218F5">
        <w:t>s in the PSURs are consider</w:t>
      </w:r>
      <w:r w:rsidR="00862F71">
        <w:t xml:space="preserve">ed ‘routine </w:t>
      </w:r>
      <w:proofErr w:type="spellStart"/>
      <w:r w:rsidR="00862F71">
        <w:t>pharmacovigilance</w:t>
      </w:r>
      <w:proofErr w:type="spellEnd"/>
      <w:r w:rsidR="00862F71">
        <w:t>’.</w:t>
      </w:r>
    </w:p>
    <w:p w:rsidR="00690E94" w:rsidRPr="00690E94" w:rsidRDefault="00690E94" w:rsidP="00862F71">
      <w:r w:rsidRPr="00690E94">
        <w:t xml:space="preserve">The sponsor acknowledged this statement and </w:t>
      </w:r>
      <w:r>
        <w:t xml:space="preserve">agreed to modify </w:t>
      </w:r>
      <w:r w:rsidR="00DC7468">
        <w:t xml:space="preserve">relevant </w:t>
      </w:r>
      <w:r>
        <w:t>tables in the RMP accordingly</w:t>
      </w:r>
      <w:r w:rsidRPr="00690E94">
        <w:t>.</w:t>
      </w:r>
    </w:p>
    <w:p w:rsidR="00690E94" w:rsidRPr="00690E94" w:rsidRDefault="00690E94" w:rsidP="00862F71">
      <w:r w:rsidRPr="00690E94">
        <w:t>OPR evaluator comment: The sponsor’s response is satisfactory.</w:t>
      </w:r>
    </w:p>
    <w:p w:rsidR="00690E94" w:rsidRPr="00862F71" w:rsidRDefault="00690E94" w:rsidP="00862F71">
      <w:pPr>
        <w:pStyle w:val="Heading5"/>
      </w:pPr>
      <w:r w:rsidRPr="00690E94">
        <w:t>Recommendation</w:t>
      </w:r>
      <w:r>
        <w:t xml:space="preserve"> 3</w:t>
      </w:r>
    </w:p>
    <w:p w:rsidR="008218F5" w:rsidRDefault="008218F5" w:rsidP="00862F71">
      <w:pPr>
        <w:pStyle w:val="Numberbullet0"/>
        <w:numPr>
          <w:ilvl w:val="0"/>
          <w:numId w:val="0"/>
        </w:numPr>
        <w:ind w:left="425"/>
      </w:pPr>
      <w:r w:rsidRPr="008218F5">
        <w:t xml:space="preserve">The sponsor should provide an attachment to the RMP </w:t>
      </w:r>
      <w:r w:rsidRPr="00862F71">
        <w:t>setting</w:t>
      </w:r>
      <w:r w:rsidRPr="008218F5">
        <w:t xml:space="preserve"> out all the forthcoming studies and the anticipated dates for</w:t>
      </w:r>
      <w:r w:rsidR="00862F71">
        <w:t xml:space="preserve"> their submission in Australia.</w:t>
      </w:r>
    </w:p>
    <w:p w:rsidR="00DC7468" w:rsidRDefault="0021373C" w:rsidP="00862F71">
      <w:r>
        <w:t>S</w:t>
      </w:r>
      <w:r w:rsidR="002B39F9">
        <w:t xml:space="preserve">ponsor’s response (in part): </w:t>
      </w:r>
      <w:r w:rsidR="00DC7468" w:rsidRPr="00DC7468">
        <w:t xml:space="preserve">‘Should the Delegate request an attachment to the RMP as recommended by the evaluator, </w:t>
      </w:r>
      <w:proofErr w:type="spellStart"/>
      <w:r w:rsidR="00DC7468" w:rsidRPr="00DC7468">
        <w:t>Biogen</w:t>
      </w:r>
      <w:proofErr w:type="spellEnd"/>
      <w:r w:rsidR="00DC7468" w:rsidRPr="00DC7468">
        <w:t xml:space="preserve"> Idec agrees to provide such an attachment setting out a forthcoming study and the anticipated date for its submission in Australia.’</w:t>
      </w:r>
    </w:p>
    <w:p w:rsidR="002B39F9" w:rsidRDefault="002B39F9" w:rsidP="00862F71">
      <w:pPr>
        <w:rPr>
          <w:lang w:eastAsia="en-AU"/>
        </w:rPr>
      </w:pPr>
      <w:r w:rsidRPr="002B39F9">
        <w:t>OPR evaluator comment:</w:t>
      </w:r>
      <w:r>
        <w:t xml:space="preserve"> </w:t>
      </w:r>
      <w:r>
        <w:rPr>
          <w:lang w:eastAsia="en-AU"/>
        </w:rPr>
        <w:t xml:space="preserve">It is recommended that the Delegate requests the sponsor to submit an attachment to the </w:t>
      </w:r>
      <w:proofErr w:type="spellStart"/>
      <w:r>
        <w:rPr>
          <w:lang w:eastAsia="en-AU"/>
        </w:rPr>
        <w:t>Aus</w:t>
      </w:r>
      <w:proofErr w:type="spellEnd"/>
      <w:r>
        <w:rPr>
          <w:lang w:eastAsia="en-AU"/>
        </w:rPr>
        <w:t>-RMP setting out all the forthcoming studies and the anticipated dates for their submission in Australia. This will ensure key milestones of post-marketing pharmacovigilance and risk minimisation activities are cl</w:t>
      </w:r>
      <w:r w:rsidR="00862F71">
        <w:rPr>
          <w:lang w:eastAsia="en-AU"/>
        </w:rPr>
        <w:t>early identified and monitored.</w:t>
      </w:r>
    </w:p>
    <w:p w:rsidR="002B39F9" w:rsidRPr="00BA5547" w:rsidRDefault="002B39F9" w:rsidP="00862F71">
      <w:r w:rsidRPr="00BA5547">
        <w:t xml:space="preserve">In addition, ‘use in previously untreated patients’ should be added to the safety concern list under ‘Missing Information’. The planned study to evaluate the safety and efficacy of </w:t>
      </w:r>
      <w:proofErr w:type="spellStart"/>
      <w:r w:rsidRPr="00BA5547">
        <w:t>rFIXFc</w:t>
      </w:r>
      <w:proofErr w:type="spellEnd"/>
      <w:r w:rsidRPr="00BA5547">
        <w:t xml:space="preserve"> in previously untreated patients should be added as an additional pharmacovigilance activity.</w:t>
      </w:r>
    </w:p>
    <w:p w:rsidR="002B39F9" w:rsidRPr="00862F71" w:rsidRDefault="002B39F9" w:rsidP="00862F71">
      <w:pPr>
        <w:pStyle w:val="Heading5"/>
      </w:pPr>
      <w:r w:rsidRPr="002B39F9">
        <w:t xml:space="preserve">Recommendation </w:t>
      </w:r>
      <w:r>
        <w:t>4</w:t>
      </w:r>
    </w:p>
    <w:p w:rsidR="008218F5" w:rsidRPr="002B39F9" w:rsidRDefault="008218F5" w:rsidP="00862F71">
      <w:pPr>
        <w:pStyle w:val="Numberbullet0"/>
        <w:numPr>
          <w:ilvl w:val="0"/>
          <w:numId w:val="0"/>
        </w:numPr>
        <w:ind w:left="425"/>
      </w:pPr>
      <w:r w:rsidRPr="002B39F9">
        <w:t xml:space="preserve">It is expected </w:t>
      </w:r>
      <w:r w:rsidRPr="00862F71">
        <w:t>that</w:t>
      </w:r>
      <w:r w:rsidRPr="002B39F9">
        <w:t xml:space="preserve"> updates and findings of the ongoing studies will be communicated to the TGA and included in PSURs when available. It is recommended that results of these studies are communicated to the TGA at the same time as they are communicated to other regulatory agencies.</w:t>
      </w:r>
    </w:p>
    <w:p w:rsidR="002B39F9" w:rsidRPr="0021373C" w:rsidRDefault="0021373C" w:rsidP="00862F71">
      <w:r>
        <w:t xml:space="preserve">Sponsor’s response: </w:t>
      </w:r>
      <w:r w:rsidRPr="0021373C">
        <w:t>‘</w:t>
      </w:r>
      <w:proofErr w:type="spellStart"/>
      <w:r w:rsidRPr="0021373C">
        <w:t>Biogen</w:t>
      </w:r>
      <w:proofErr w:type="spellEnd"/>
      <w:r w:rsidRPr="0021373C">
        <w:t xml:space="preserve"> Idec will continually assess the emerging data obtained from ongoing studies within the pharmacovigilance plan as well as from spontaneous and other sources. The data collected via the described pharmacovigilance plan will inform any required updates to risk minimization measures. Results of these studies will be communicated to regulatory agencies, including TGA in clinical study reports. PSURs will include relevant analyses and will be submitted according to the local regulations. Important potential risks will be reported in an expedited manner to regulators as outlined in the RMP.’</w:t>
      </w:r>
    </w:p>
    <w:p w:rsidR="0021373C" w:rsidRPr="0021373C" w:rsidRDefault="0021373C" w:rsidP="00862F71">
      <w:r w:rsidRPr="0021373C">
        <w:t>OPR evaluator comment: The sponsor’s response is satisfactory.</w:t>
      </w:r>
    </w:p>
    <w:p w:rsidR="0021373C" w:rsidRPr="00862F71" w:rsidRDefault="0021373C" w:rsidP="00862F71">
      <w:pPr>
        <w:pStyle w:val="Heading5"/>
      </w:pPr>
      <w:r>
        <w:t>Recommendation 5</w:t>
      </w:r>
    </w:p>
    <w:p w:rsidR="008218F5" w:rsidRPr="002B39F9" w:rsidRDefault="008218F5" w:rsidP="00862F71">
      <w:pPr>
        <w:pStyle w:val="Numberbullet0"/>
        <w:numPr>
          <w:ilvl w:val="0"/>
          <w:numId w:val="0"/>
        </w:numPr>
        <w:ind w:left="425"/>
      </w:pPr>
      <w:r w:rsidRPr="002B39F9">
        <w:t xml:space="preserve">It is recommended that the Australian Bleeding Disorders </w:t>
      </w:r>
      <w:r w:rsidRPr="00862F71">
        <w:t>Registry</w:t>
      </w:r>
      <w:r w:rsidRPr="002B39F9">
        <w:t xml:space="preserve"> be used to monitor patients who receive A</w:t>
      </w:r>
      <w:r w:rsidR="00A472B5">
        <w:t>l</w:t>
      </w:r>
      <w:r w:rsidRPr="002B39F9">
        <w:t>prolix. Relevant findings from the Registry should be reported in the P</w:t>
      </w:r>
      <w:r w:rsidR="00E85535" w:rsidRPr="002B39F9">
        <w:t xml:space="preserve">eriodic </w:t>
      </w:r>
      <w:r w:rsidRPr="002B39F9">
        <w:t>S</w:t>
      </w:r>
      <w:r w:rsidR="00E85535" w:rsidRPr="002B39F9">
        <w:t xml:space="preserve">afety </w:t>
      </w:r>
      <w:r w:rsidRPr="002B39F9">
        <w:t>U</w:t>
      </w:r>
      <w:r w:rsidR="00E85535" w:rsidRPr="002B39F9">
        <w:t xml:space="preserve">pdate </w:t>
      </w:r>
      <w:r w:rsidRPr="002B39F9">
        <w:t>R</w:t>
      </w:r>
      <w:r w:rsidR="00E85535" w:rsidRPr="002B39F9">
        <w:t>eport</w:t>
      </w:r>
      <w:r w:rsidRPr="002B39F9">
        <w:t xml:space="preserve">s </w:t>
      </w:r>
      <w:r w:rsidR="00E85535" w:rsidRPr="002B39F9">
        <w:t xml:space="preserve">(PSURs) </w:t>
      </w:r>
      <w:r w:rsidRPr="002B39F9">
        <w:t>and communicated to the TGA.</w:t>
      </w:r>
    </w:p>
    <w:p w:rsidR="00834E8E" w:rsidRDefault="00834E8E" w:rsidP="00862F71">
      <w:r w:rsidRPr="00834E8E">
        <w:t>Sponsor’s response: ‘</w:t>
      </w:r>
      <w:proofErr w:type="spellStart"/>
      <w:r w:rsidRPr="00834E8E">
        <w:t>Biogen</w:t>
      </w:r>
      <w:proofErr w:type="spellEnd"/>
      <w:r w:rsidRPr="00834E8E">
        <w:t xml:space="preserve"> Idec acknowledges the recommendation to use the Australian Bleeding Disorders Registry to monitor patients who receive A</w:t>
      </w:r>
      <w:r>
        <w:t xml:space="preserve">lprolix </w:t>
      </w:r>
      <w:r w:rsidRPr="00834E8E">
        <w:t>and will contact the Registry to obtain additional information required to assess the feasibility of implementing this recommendation.’</w:t>
      </w:r>
    </w:p>
    <w:p w:rsidR="00834E8E" w:rsidRPr="00834E8E" w:rsidRDefault="00834E8E" w:rsidP="00862F71">
      <w:r w:rsidRPr="00834E8E">
        <w:t>OPR evaluator comment: The sponsor’s response is satisfactory.</w:t>
      </w:r>
    </w:p>
    <w:p w:rsidR="00834E8E" w:rsidRPr="00834E8E" w:rsidRDefault="00834E8E" w:rsidP="00862F71">
      <w:pPr>
        <w:pStyle w:val="Heading5"/>
      </w:pPr>
      <w:r w:rsidRPr="00834E8E">
        <w:t xml:space="preserve">Recommendation </w:t>
      </w:r>
      <w:r>
        <w:t>6</w:t>
      </w:r>
    </w:p>
    <w:p w:rsidR="008218F5" w:rsidRPr="002B39F9" w:rsidRDefault="008218F5" w:rsidP="00862F71">
      <w:pPr>
        <w:pStyle w:val="Numberbullet0"/>
        <w:numPr>
          <w:ilvl w:val="0"/>
          <w:numId w:val="0"/>
        </w:numPr>
        <w:ind w:left="425"/>
      </w:pPr>
      <w:r w:rsidRPr="002B39F9">
        <w:t>In determining the appropriate risk minimisation measures, each safety concern needs to be individually considered and the selection of the most suitable risk minimisation measures should take into account the seriousness of the potential adverse reaction(s) and its severity, its preventability or the clinical actions required to mitigate the risk, the indication, the route of administration, the target population and the healthcare setting for the use of the product. The sponsor should therefore provide justification to why routine risk minimisation will be sufficient to reduce the risks described in the safety specification.</w:t>
      </w:r>
    </w:p>
    <w:p w:rsidR="00834E8E" w:rsidRPr="00834E8E" w:rsidRDefault="00834E8E" w:rsidP="00862F71">
      <w:r w:rsidRPr="00834E8E">
        <w:t xml:space="preserve">Sponsor’s response: ‘As noted in the RMP, </w:t>
      </w:r>
      <w:proofErr w:type="spellStart"/>
      <w:r w:rsidRPr="00834E8E">
        <w:t>rFIXFc</w:t>
      </w:r>
      <w:proofErr w:type="spellEnd"/>
      <w:r w:rsidRPr="00834E8E">
        <w:t xml:space="preserve"> was well tolerated in clinical development and the AE profile was generally consistent with that expected of the haemophilia B population. There were no cases of inhibitor formation, anaphylaxis or vascular thrombosis. Because the most important risks of </w:t>
      </w:r>
      <w:proofErr w:type="spellStart"/>
      <w:r w:rsidRPr="00834E8E">
        <w:t>rFIXFc</w:t>
      </w:r>
      <w:proofErr w:type="spellEnd"/>
      <w:r w:rsidRPr="00834E8E">
        <w:t xml:space="preserve"> treatment remain potential risks rather than known risks, it is proposed that the potential risks can be appropriately managed and minimized by guidance in the Product Information without a requirement for any enhanced risk minimization. Information from all sources will continuously </w:t>
      </w:r>
      <w:proofErr w:type="gramStart"/>
      <w:r w:rsidRPr="00834E8E">
        <w:t>be</w:t>
      </w:r>
      <w:proofErr w:type="gramEnd"/>
      <w:r w:rsidRPr="00834E8E">
        <w:t xml:space="preserve"> assessed and appropriate changes to risk minimization measures, including labelling documents, will be undertaken as needed.’</w:t>
      </w:r>
    </w:p>
    <w:p w:rsidR="00834E8E" w:rsidRPr="00834E8E" w:rsidRDefault="00834E8E" w:rsidP="00862F71">
      <w:r w:rsidRPr="00834E8E">
        <w:t>OPR evaluator comment: The sponsor’s response is satisfactory.</w:t>
      </w:r>
    </w:p>
    <w:p w:rsidR="00834E8E" w:rsidRPr="00834E8E" w:rsidRDefault="00834E8E" w:rsidP="00862F71">
      <w:pPr>
        <w:pStyle w:val="Heading5"/>
      </w:pPr>
      <w:r w:rsidRPr="00834E8E">
        <w:t>Re</w:t>
      </w:r>
      <w:r>
        <w:t>commendation 7</w:t>
      </w:r>
    </w:p>
    <w:p w:rsidR="008218F5" w:rsidRDefault="008218F5" w:rsidP="00862F71">
      <w:r w:rsidRPr="002B39F9">
        <w:t xml:space="preserve">As the product is expected to be self-administered </w:t>
      </w:r>
      <w:r w:rsidR="00E85535" w:rsidRPr="002B39F9">
        <w:t xml:space="preserve">IV </w:t>
      </w:r>
      <w:r w:rsidRPr="002B39F9">
        <w:t xml:space="preserve">by a proportion of patients, there is an increased risk of inappropriate preparation, administration and storage of the product at home which can have potentially severe consequences. The sponsor should undertake to provide additional educational material and periodic training to patients and their carers on important points regarding the correct indication, preparation, storage and </w:t>
      </w:r>
      <w:r w:rsidR="00862F71">
        <w:t>administration of the product.</w:t>
      </w:r>
    </w:p>
    <w:p w:rsidR="00834E8E" w:rsidRPr="00834E8E" w:rsidRDefault="00834E8E" w:rsidP="00862F71">
      <w:r w:rsidRPr="00834E8E">
        <w:t xml:space="preserve">Sponsor’s response (in part): </w:t>
      </w:r>
      <w:r>
        <w:t>‘</w:t>
      </w:r>
      <w:proofErr w:type="spellStart"/>
      <w:r w:rsidRPr="00834E8E">
        <w:t>Biogen</w:t>
      </w:r>
      <w:proofErr w:type="spellEnd"/>
      <w:r w:rsidRPr="00834E8E">
        <w:t xml:space="preserve"> Idec acknowledges that appropriate materials and training will be required in order to ensure appropriate preparation, administration and storage of the product for those patients and carers who ch</w:t>
      </w:r>
      <w:r>
        <w:t xml:space="preserve">oose to self-administer </w:t>
      </w:r>
      <w:proofErr w:type="spellStart"/>
      <w:r>
        <w:t>Alprolix</w:t>
      </w:r>
      <w:proofErr w:type="spellEnd"/>
      <w:r>
        <w:t>’</w:t>
      </w:r>
      <w:r w:rsidR="00862F71">
        <w:t>.</w:t>
      </w:r>
    </w:p>
    <w:p w:rsidR="00834E8E" w:rsidRDefault="00834E8E" w:rsidP="00862F71">
      <w:pPr>
        <w:rPr>
          <w:lang w:eastAsia="en-AU"/>
        </w:rPr>
      </w:pPr>
      <w:r w:rsidRPr="00834E8E">
        <w:t>OPR evaluator comment: The sponsor’s response is satisfactory.</w:t>
      </w:r>
      <w:r>
        <w:t xml:space="preserve"> </w:t>
      </w:r>
      <w:r>
        <w:rPr>
          <w:lang w:eastAsia="en-AU"/>
        </w:rPr>
        <w:t>The sponsor should add the additional educational materials including the Directions for Use, infusion training kits, and patient pack in the RMP as additiona</w:t>
      </w:r>
      <w:r w:rsidR="00862F71">
        <w:rPr>
          <w:lang w:eastAsia="en-AU"/>
        </w:rPr>
        <w:t>l risk minimisation activities.</w:t>
      </w:r>
    </w:p>
    <w:p w:rsidR="00834E8E" w:rsidRPr="00834E8E" w:rsidRDefault="00834E8E" w:rsidP="00862F71">
      <w:r w:rsidRPr="00FE583B">
        <w:rPr>
          <w:lang w:eastAsia="en-AU"/>
        </w:rPr>
        <w:t>Printed educational materials for healthcare providers and patients/carers that have not been previously provided to the TGA should be submitted for review before they are supplied.</w:t>
      </w:r>
    </w:p>
    <w:p w:rsidR="00834E8E" w:rsidRPr="00862F71" w:rsidRDefault="00834E8E" w:rsidP="00862F71">
      <w:pPr>
        <w:pStyle w:val="Heading5"/>
      </w:pPr>
      <w:r w:rsidRPr="00834E8E">
        <w:t>Recommendations 8, 9 and 10</w:t>
      </w:r>
    </w:p>
    <w:p w:rsidR="00834E8E" w:rsidRDefault="00834E8E" w:rsidP="00862F71">
      <w:r>
        <w:t xml:space="preserve">These related to recommended amendments to statements in the PI (and consequently, to the Consumer Medicine Information) with the aim to strengthen </w:t>
      </w:r>
      <w:r w:rsidRPr="00834E8E">
        <w:t>routine risk minimisation activities</w:t>
      </w:r>
      <w:r>
        <w:t>. Details of these recommendations, the sponsor’s responses and follow-up recommendations from the OPR evaluator are beyond the scope of the AusPAR.</w:t>
      </w:r>
    </w:p>
    <w:p w:rsidR="00834E8E" w:rsidRPr="007D4546" w:rsidRDefault="007D4546" w:rsidP="00862F71">
      <w:pPr>
        <w:pStyle w:val="Heading4"/>
      </w:pPr>
      <w:r w:rsidRPr="007D4546">
        <w:t>Advice from the Advisory Commi</w:t>
      </w:r>
      <w:r w:rsidR="00862F71">
        <w:t>ttee on the Safety of Medicines</w:t>
      </w:r>
    </w:p>
    <w:p w:rsidR="007D4546" w:rsidRPr="002B39F9" w:rsidRDefault="007D4546" w:rsidP="00862F71">
      <w:r>
        <w:t xml:space="preserve">This application was submitted for advice from the March 2014 meeting of the </w:t>
      </w:r>
      <w:r w:rsidRPr="007D4546">
        <w:t xml:space="preserve">Advisory Committee on the Safety of Medicines </w:t>
      </w:r>
      <w:r w:rsidR="00862F71">
        <w:t>(ACSOM).</w:t>
      </w:r>
    </w:p>
    <w:p w:rsidR="00220FC0" w:rsidRPr="001C4DD3" w:rsidRDefault="008E7846" w:rsidP="00862F71">
      <w:pPr>
        <w:pStyle w:val="Heading4"/>
      </w:pPr>
      <w:r w:rsidRPr="00346BBF">
        <w:t xml:space="preserve">Summary of </w:t>
      </w:r>
      <w:r w:rsidR="003A7F6C" w:rsidRPr="00346BBF">
        <w:t>r</w:t>
      </w:r>
      <w:r w:rsidRPr="00346BBF">
        <w:t>ecommendations</w:t>
      </w:r>
      <w:r w:rsidR="00220FC0" w:rsidRPr="001C4DD3">
        <w:t xml:space="preserve"> </w:t>
      </w:r>
      <w:r w:rsidR="007D4546">
        <w:t xml:space="preserve">to the </w:t>
      </w:r>
      <w:r w:rsidR="00862F71">
        <w:t>d</w:t>
      </w:r>
      <w:r w:rsidR="007D4546" w:rsidRPr="00862F71">
        <w:t>elegate</w:t>
      </w:r>
    </w:p>
    <w:p w:rsidR="008E7846" w:rsidRDefault="00220FC0" w:rsidP="00862F71">
      <w:r w:rsidRPr="00107999">
        <w:t xml:space="preserve">It is considered that the sponsor’s response to the </w:t>
      </w:r>
      <w:r w:rsidR="007D4546">
        <w:t xml:space="preserve">OPR evaluator’s recommendations (above) </w:t>
      </w:r>
      <w:r w:rsidRPr="00143C9D">
        <w:t>has</w:t>
      </w:r>
      <w:r>
        <w:t xml:space="preserve"> adequately addressed most</w:t>
      </w:r>
      <w:r w:rsidRPr="00143C9D">
        <w:t xml:space="preserve"> of the issues identified in the RMP evaluation report</w:t>
      </w:r>
      <w:r>
        <w:t xml:space="preserve">. </w:t>
      </w:r>
      <w:r w:rsidRPr="00143C9D">
        <w:t xml:space="preserve">Outstanding issues </w:t>
      </w:r>
      <w:r>
        <w:t xml:space="preserve">are </w:t>
      </w:r>
      <w:r w:rsidR="007D4546">
        <w:t>identified above</w:t>
      </w:r>
      <w:r w:rsidRPr="00346BBF">
        <w:t>.</w:t>
      </w:r>
    </w:p>
    <w:p w:rsidR="00220FC0" w:rsidRPr="00862F71" w:rsidRDefault="00220FC0" w:rsidP="00862F71">
      <w:pPr>
        <w:pStyle w:val="Heading5"/>
      </w:pPr>
      <w:r w:rsidRPr="009C6C8E">
        <w:t>Suggested wording</w:t>
      </w:r>
      <w:r w:rsidR="00862F71">
        <w:t xml:space="preserve"> for conditions of registration</w:t>
      </w:r>
    </w:p>
    <w:p w:rsidR="00220FC0" w:rsidRDefault="00220FC0" w:rsidP="00862F71">
      <w:r w:rsidRPr="00107999">
        <w:t xml:space="preserve">Implement </w:t>
      </w:r>
      <w:proofErr w:type="spellStart"/>
      <w:r w:rsidR="00F32312">
        <w:t>Aus</w:t>
      </w:r>
      <w:proofErr w:type="spellEnd"/>
      <w:r w:rsidR="007D4546">
        <w:t>-</w:t>
      </w:r>
      <w:r>
        <w:t>RMP</w:t>
      </w:r>
      <w:r w:rsidRPr="00107999">
        <w:t xml:space="preserve"> </w:t>
      </w:r>
      <w:r w:rsidRPr="00D56053">
        <w:t>version 1 (data lock point 15 October 2012)</w:t>
      </w:r>
      <w:r>
        <w:t xml:space="preserve"> </w:t>
      </w:r>
      <w:r w:rsidRPr="00107999">
        <w:t>and any future updates as a condition of registration.</w:t>
      </w:r>
    </w:p>
    <w:p w:rsidR="008E7846" w:rsidRPr="00862F71" w:rsidRDefault="008E7846" w:rsidP="00862F71">
      <w:pPr>
        <w:pStyle w:val="Heading2"/>
      </w:pPr>
      <w:bookmarkStart w:id="113" w:name="_Toc314842510"/>
      <w:bookmarkStart w:id="114" w:name="_Toc404068940"/>
      <w:r w:rsidRPr="00964CF5">
        <w:t>VI. Overall conclusion and risk/benefit assessment</w:t>
      </w:r>
      <w:bookmarkEnd w:id="98"/>
      <w:bookmarkEnd w:id="108"/>
      <w:bookmarkEnd w:id="113"/>
      <w:bookmarkEnd w:id="114"/>
    </w:p>
    <w:p w:rsidR="008E7846" w:rsidRDefault="008E7846" w:rsidP="00862F71">
      <w:bookmarkStart w:id="115" w:name="_Toc247691528"/>
      <w:r>
        <w:t xml:space="preserve">The submission was summarised in the following </w:t>
      </w:r>
      <w:r w:rsidRPr="00EF5C48">
        <w:t xml:space="preserve">Delegate’s </w:t>
      </w:r>
      <w:r>
        <w:t>overview</w:t>
      </w:r>
      <w:r w:rsidRPr="00EF5C48">
        <w:t xml:space="preserve"> and recommendation</w:t>
      </w:r>
      <w:r>
        <w:t>s:</w:t>
      </w:r>
    </w:p>
    <w:p w:rsidR="008E7846" w:rsidRPr="00862F71" w:rsidRDefault="008E7846" w:rsidP="00862F71">
      <w:pPr>
        <w:pStyle w:val="Heading3"/>
      </w:pPr>
      <w:bookmarkStart w:id="116" w:name="_Toc314842511"/>
      <w:bookmarkStart w:id="117" w:name="_Toc404068941"/>
      <w:r>
        <w:t>Quality</w:t>
      </w:r>
      <w:bookmarkEnd w:id="115"/>
      <w:bookmarkEnd w:id="116"/>
      <w:bookmarkEnd w:id="117"/>
    </w:p>
    <w:p w:rsidR="00220FC0" w:rsidRDefault="00220FC0" w:rsidP="00862F71">
      <w:bookmarkStart w:id="118" w:name="_Toc314842512"/>
      <w:r>
        <w:t>There was</w:t>
      </w:r>
      <w:r w:rsidR="00FF2F4A">
        <w:t xml:space="preserve"> no objection to registration. </w:t>
      </w:r>
      <w:r>
        <w:t>Conditions of registration were recommended, regarding batch release conditions.</w:t>
      </w:r>
    </w:p>
    <w:p w:rsidR="00220FC0" w:rsidRPr="00A0661C" w:rsidRDefault="00220FC0" w:rsidP="00862F71">
      <w:r>
        <w:t>Measured f</w:t>
      </w:r>
      <w:r w:rsidRPr="00A0661C">
        <w:rPr>
          <w:lang w:eastAsia="en-AU"/>
        </w:rPr>
        <w:t xml:space="preserve">unctional characteristics of </w:t>
      </w:r>
      <w:proofErr w:type="spellStart"/>
      <w:r w:rsidRPr="00A0661C">
        <w:rPr>
          <w:lang w:eastAsia="en-AU"/>
        </w:rPr>
        <w:t>rFIXFc</w:t>
      </w:r>
      <w:proofErr w:type="spellEnd"/>
      <w:r w:rsidRPr="00A0661C">
        <w:rPr>
          <w:lang w:eastAsia="en-AU"/>
        </w:rPr>
        <w:t xml:space="preserve"> </w:t>
      </w:r>
      <w:r>
        <w:rPr>
          <w:lang w:eastAsia="en-AU"/>
        </w:rPr>
        <w:t>were</w:t>
      </w:r>
      <w:r w:rsidRPr="00A0661C">
        <w:rPr>
          <w:lang w:eastAsia="en-AU"/>
        </w:rPr>
        <w:t xml:space="preserve"> consistent with expected FIX and Fc functionalities</w:t>
      </w:r>
      <w:r>
        <w:t>. There was no indication from characterisation of biological activity that Fc fusion impeded FIX functionality.</w:t>
      </w:r>
    </w:p>
    <w:p w:rsidR="008E7846" w:rsidRPr="00DA0654" w:rsidRDefault="008E7846" w:rsidP="00862F71">
      <w:pPr>
        <w:pStyle w:val="Heading3"/>
      </w:pPr>
      <w:bookmarkStart w:id="119" w:name="_Toc404068942"/>
      <w:r w:rsidRPr="00DA0654">
        <w:lastRenderedPageBreak/>
        <w:t>Nonclinical</w:t>
      </w:r>
      <w:bookmarkEnd w:id="118"/>
      <w:bookmarkEnd w:id="119"/>
    </w:p>
    <w:p w:rsidR="00220FC0" w:rsidRPr="005F2745" w:rsidRDefault="00220FC0" w:rsidP="00862F71">
      <w:bookmarkStart w:id="120" w:name="_Toc247691530"/>
      <w:bookmarkStart w:id="121" w:name="_Toc314842513"/>
      <w:r w:rsidRPr="005F2745">
        <w:t>There was</w:t>
      </w:r>
      <w:r w:rsidR="005F2745" w:rsidRPr="005F2745">
        <w:t xml:space="preserve"> no objection to registration. </w:t>
      </w:r>
      <w:r w:rsidRPr="005F2745">
        <w:t xml:space="preserve">Evidence was shown that </w:t>
      </w:r>
      <w:proofErr w:type="spellStart"/>
      <w:r w:rsidRPr="005F2745">
        <w:t>FcRn</w:t>
      </w:r>
      <w:proofErr w:type="spellEnd"/>
      <w:r w:rsidRPr="005F2745">
        <w:t xml:space="preserve"> KO mice had comparable elimination half-lives for </w:t>
      </w:r>
      <w:proofErr w:type="spellStart"/>
      <w:r w:rsidRPr="005F2745">
        <w:t>rFIXFc</w:t>
      </w:r>
      <w:proofErr w:type="spellEnd"/>
      <w:r w:rsidRPr="005F2745">
        <w:t xml:space="preserve"> and </w:t>
      </w:r>
      <w:proofErr w:type="spellStart"/>
      <w:r w:rsidRPr="005F2745">
        <w:t>BeneFIX</w:t>
      </w:r>
      <w:proofErr w:type="spellEnd"/>
      <w:r w:rsidRPr="005F2745">
        <w:t xml:space="preserve">, supporting the proposed basis for the long half-life observed for </w:t>
      </w:r>
      <w:r w:rsidR="00DA0654" w:rsidRPr="005F2745">
        <w:t>Alprolix</w:t>
      </w:r>
      <w:r w:rsidRPr="005F2745">
        <w:t>.</w:t>
      </w:r>
    </w:p>
    <w:p w:rsidR="008E7846" w:rsidRDefault="008E7846" w:rsidP="00862F71">
      <w:pPr>
        <w:pStyle w:val="Heading3"/>
      </w:pPr>
      <w:bookmarkStart w:id="122" w:name="_Toc404068943"/>
      <w:r>
        <w:t>Clinical</w:t>
      </w:r>
      <w:bookmarkEnd w:id="120"/>
      <w:bookmarkEnd w:id="121"/>
      <w:bookmarkEnd w:id="122"/>
    </w:p>
    <w:p w:rsidR="00220FC0" w:rsidRPr="00DA0654" w:rsidRDefault="00220FC0" w:rsidP="00862F71">
      <w:pPr>
        <w:pStyle w:val="Heading4"/>
      </w:pPr>
      <w:bookmarkStart w:id="123" w:name="_Toc314842514"/>
      <w:r w:rsidRPr="00DA0654">
        <w:t>Overview of data</w:t>
      </w:r>
    </w:p>
    <w:p w:rsidR="00220FC0" w:rsidRPr="00135272" w:rsidRDefault="00220FC0" w:rsidP="00862F71">
      <w:r w:rsidRPr="00135272">
        <w:t>The pivotal study was called 998HB102 or “B-LONG”; a report has been published</w:t>
      </w:r>
      <w:bookmarkStart w:id="124" w:name="_Ref394996590"/>
      <w:r w:rsidRPr="00135272">
        <w:rPr>
          <w:vertAlign w:val="superscript"/>
        </w:rPr>
        <w:footnoteReference w:id="23"/>
      </w:r>
      <w:bookmarkEnd w:id="124"/>
      <w:r w:rsidR="005F2745" w:rsidRPr="00135272">
        <w:t xml:space="preserve">. </w:t>
      </w:r>
      <w:r w:rsidRPr="00135272">
        <w:t xml:space="preserve">The study was a Phase </w:t>
      </w:r>
      <w:r w:rsidR="00113CBC" w:rsidRPr="00135272">
        <w:t>III</w:t>
      </w:r>
      <w:r w:rsidRPr="00135272">
        <w:t xml:space="preserve"> study of PK, efficacy and safe</w:t>
      </w:r>
      <w:r w:rsidR="005F2745" w:rsidRPr="00135272">
        <w:t>ty in 123 subjects with severe h</w:t>
      </w:r>
      <w:r w:rsidRPr="00135272">
        <w:t xml:space="preserve">aemophilia B. Subjects were PTPs aged </w:t>
      </w:r>
      <w:r w:rsidR="00C96628">
        <w:t>≥</w:t>
      </w:r>
      <w:r w:rsidR="005F2745" w:rsidRPr="00135272">
        <w:t xml:space="preserve">12 years. </w:t>
      </w:r>
      <w:r w:rsidRPr="00135272">
        <w:t xml:space="preserve">In a subgroup, PK comparisons were made with </w:t>
      </w:r>
      <w:proofErr w:type="spellStart"/>
      <w:r w:rsidRPr="00135272">
        <w:t>BeneFIX</w:t>
      </w:r>
      <w:proofErr w:type="spellEnd"/>
      <w:r w:rsidRPr="00135272">
        <w:t>.</w:t>
      </w:r>
    </w:p>
    <w:p w:rsidR="00220FC0" w:rsidRPr="00135272" w:rsidRDefault="00220FC0" w:rsidP="00862F71">
      <w:r w:rsidRPr="00135272">
        <w:t xml:space="preserve">There was also a first-in-human, Phase </w:t>
      </w:r>
      <w:r w:rsidR="00113CBC" w:rsidRPr="00135272">
        <w:t>I/</w:t>
      </w:r>
      <w:proofErr w:type="spellStart"/>
      <w:r w:rsidR="00113CBC" w:rsidRPr="00135272">
        <w:t>IIa</w:t>
      </w:r>
      <w:proofErr w:type="spellEnd"/>
      <w:r w:rsidR="00C96628">
        <w:t xml:space="preserve"> study called “</w:t>
      </w:r>
      <w:r w:rsidRPr="00135272">
        <w:t>SYN</w:t>
      </w:r>
      <w:r w:rsidR="00055C44" w:rsidRPr="00135272">
        <w:t xml:space="preserve">-FIXFc-07-001” in 14 subjects. </w:t>
      </w:r>
      <w:r w:rsidRPr="00135272">
        <w:t>Escalating single doses were studied.</w:t>
      </w:r>
    </w:p>
    <w:p w:rsidR="00220FC0" w:rsidRPr="00135272" w:rsidRDefault="00220FC0" w:rsidP="00862F71">
      <w:r w:rsidRPr="00135272">
        <w:t>There was a population PK study drawing on results from the above two studies.</w:t>
      </w:r>
    </w:p>
    <w:p w:rsidR="00220FC0" w:rsidRPr="00135272" w:rsidRDefault="00220FC0" w:rsidP="00862F71">
      <w:r w:rsidRPr="00135272">
        <w:t xml:space="preserve">There were safety reports from the ongoing studies 9HB02PED and 9HB01EXT. Study 9HB02PED is a trial in PTPs aged </w:t>
      </w:r>
      <w:r w:rsidR="00F10BB3">
        <w:t>&lt;</w:t>
      </w:r>
      <w:r w:rsidR="00DA0654" w:rsidRPr="00135272">
        <w:t xml:space="preserve"> </w:t>
      </w:r>
      <w:r w:rsidRPr="00135272">
        <w:t>12 y</w:t>
      </w:r>
      <w:r w:rsidR="00135272">
        <w:t>ear</w:t>
      </w:r>
      <w:r w:rsidRPr="00135272">
        <w:t xml:space="preserve">s (planned enrolment </w:t>
      </w:r>
      <w:r w:rsidR="002A76A5" w:rsidRPr="00135272">
        <w:t>approximately</w:t>
      </w:r>
      <w:r w:rsidR="00DA0654" w:rsidRPr="00135272">
        <w:t xml:space="preserve"> </w:t>
      </w:r>
      <w:r w:rsidRPr="00135272">
        <w:t xml:space="preserve">20; completion </w:t>
      </w:r>
      <w:r w:rsidR="002A76A5" w:rsidRPr="00135272">
        <w:t>approximately</w:t>
      </w:r>
      <w:r w:rsidR="00DA0654" w:rsidRPr="00135272">
        <w:t xml:space="preserve"> </w:t>
      </w:r>
      <w:r w:rsidRPr="00135272">
        <w:t>June 2015). Study 9HB01EXT is an extension study for subjects previously enrolled in either 99HB102 or the paediatric study.</w:t>
      </w:r>
    </w:p>
    <w:p w:rsidR="00220FC0" w:rsidRPr="00135272" w:rsidRDefault="00220FC0" w:rsidP="00862F71">
      <w:r w:rsidRPr="00135272">
        <w:t xml:space="preserve">In the pivotal study, 117/123 subjects exclusively used the lyophilised formulation made using a 15000 L bioreactor. The lyophilised product proposed for registration is essentially the same as that predominantly used in the Phase </w:t>
      </w:r>
      <w:r w:rsidR="00DA0654" w:rsidRPr="00135272">
        <w:t xml:space="preserve">III </w:t>
      </w:r>
      <w:r w:rsidRPr="00135272">
        <w:t>study.</w:t>
      </w:r>
    </w:p>
    <w:p w:rsidR="00220FC0" w:rsidRPr="00862F71" w:rsidRDefault="00862F71" w:rsidP="00862F71">
      <w:pPr>
        <w:pStyle w:val="Heading4"/>
      </w:pPr>
      <w:r>
        <w:t>Pharmacokinetics</w:t>
      </w:r>
    </w:p>
    <w:p w:rsidR="00220FC0" w:rsidRPr="00754045" w:rsidRDefault="00220FC0" w:rsidP="00862F71">
      <w:r w:rsidRPr="00DA0654">
        <w:t>Incremental recovery (IR) was 0.92 IU/</w:t>
      </w:r>
      <w:proofErr w:type="spellStart"/>
      <w:r w:rsidRPr="00DA0654">
        <w:t>d</w:t>
      </w:r>
      <w:r w:rsidR="00437055">
        <w:t>L</w:t>
      </w:r>
      <w:proofErr w:type="spellEnd"/>
      <w:r w:rsidRPr="00DA0654">
        <w:t xml:space="preserve"> for every 1.0 IU/kg given, similar to the result for </w:t>
      </w:r>
      <w:proofErr w:type="spellStart"/>
      <w:r w:rsidRPr="00DA0654">
        <w:t>Bene</w:t>
      </w:r>
      <w:r w:rsidR="00055C44">
        <w:t>FIX</w:t>
      </w:r>
      <w:proofErr w:type="spellEnd"/>
      <w:r w:rsidRPr="00DA0654">
        <w:t xml:space="preserve"> (0.95) in the same study. The evaluator drew attention to the high IR for </w:t>
      </w:r>
      <w:proofErr w:type="spellStart"/>
      <w:r w:rsidRPr="00DA0654">
        <w:t>Bene</w:t>
      </w:r>
      <w:r w:rsidR="001908ED" w:rsidRPr="00DA0654">
        <w:t>FIX</w:t>
      </w:r>
      <w:proofErr w:type="spellEnd"/>
      <w:r w:rsidRPr="00DA0654">
        <w:t xml:space="preserve"> relative to results from earlier studies, and raised the </w:t>
      </w:r>
      <w:r w:rsidRPr="00754045">
        <w:t xml:space="preserve">possibility that </w:t>
      </w:r>
      <w:proofErr w:type="spellStart"/>
      <w:r w:rsidRPr="00754045">
        <w:t>rFIXFc</w:t>
      </w:r>
      <w:proofErr w:type="spellEnd"/>
      <w:r w:rsidRPr="00754045">
        <w:t xml:space="preserve"> may, like </w:t>
      </w:r>
      <w:proofErr w:type="spellStart"/>
      <w:r w:rsidRPr="00754045">
        <w:t>Bene</w:t>
      </w:r>
      <w:r w:rsidR="001908ED" w:rsidRPr="00754045">
        <w:t>FIX</w:t>
      </w:r>
      <w:proofErr w:type="spellEnd"/>
      <w:r w:rsidRPr="00754045">
        <w:t>, have a lower IR than plasma</w:t>
      </w:r>
      <w:r w:rsidR="00754045" w:rsidRPr="00754045">
        <w:t xml:space="preserve"> </w:t>
      </w:r>
      <w:r w:rsidRPr="00754045">
        <w:t>derived FIX.</w:t>
      </w:r>
    </w:p>
    <w:p w:rsidR="00220FC0" w:rsidRPr="00754045" w:rsidRDefault="00220FC0" w:rsidP="00862F71">
      <w:r w:rsidRPr="00754045">
        <w:t>No other PK concerns were noted by the clinical evaluator.</w:t>
      </w:r>
    </w:p>
    <w:p w:rsidR="00220FC0" w:rsidRPr="00754045" w:rsidRDefault="00220FC0" w:rsidP="00862F71">
      <w:r w:rsidRPr="00754045">
        <w:t xml:space="preserve">The </w:t>
      </w:r>
      <w:r w:rsidRPr="00055C44">
        <w:t>half-life</w:t>
      </w:r>
      <w:r w:rsidRPr="00754045">
        <w:t xml:space="preserve"> in terms of FIX activity was measured as 82.1 h </w:t>
      </w:r>
      <w:r w:rsidRPr="00C96628">
        <w:t>(see discussion in Powell et al 2013, page 2319</w:t>
      </w:r>
      <w:r w:rsidR="00C96628">
        <w:t>)</w:t>
      </w:r>
      <w:r w:rsidR="00135272">
        <w:t xml:space="preserve">. </w:t>
      </w:r>
      <w:r w:rsidR="00766A81">
        <w:t xml:space="preserve">The </w:t>
      </w:r>
      <w:r w:rsidRPr="00754045">
        <w:t xml:space="preserve">‘time to 3% FIX activity’ is longer for </w:t>
      </w:r>
      <w:proofErr w:type="spellStart"/>
      <w:r w:rsidRPr="00754045">
        <w:t>Alprolix</w:t>
      </w:r>
      <w:proofErr w:type="spellEnd"/>
      <w:r w:rsidRPr="00754045">
        <w:t xml:space="preserve"> than for </w:t>
      </w:r>
      <w:proofErr w:type="spellStart"/>
      <w:r w:rsidRPr="00754045">
        <w:t>Bene</w:t>
      </w:r>
      <w:r w:rsidR="001908ED" w:rsidRPr="00754045">
        <w:t>FIX</w:t>
      </w:r>
      <w:proofErr w:type="spellEnd"/>
      <w:r w:rsidRPr="00754045">
        <w:t xml:space="preserve"> (5.7 days v</w:t>
      </w:r>
      <w:r w:rsidR="00754045">
        <w:t>ersu</w:t>
      </w:r>
      <w:r w:rsidRPr="00754045">
        <w:t>s 2.8 days).</w:t>
      </w:r>
    </w:p>
    <w:p w:rsidR="00220FC0" w:rsidRPr="00754045" w:rsidRDefault="00220FC0" w:rsidP="00862F71">
      <w:r w:rsidRPr="00754045">
        <w:t xml:space="preserve">Also relevant given that albumin and </w:t>
      </w:r>
      <w:proofErr w:type="spellStart"/>
      <w:r w:rsidRPr="00754045">
        <w:t>IgG</w:t>
      </w:r>
      <w:proofErr w:type="spellEnd"/>
      <w:r w:rsidRPr="00754045">
        <w:t xml:space="preserve"> may be handled by the same </w:t>
      </w:r>
      <w:proofErr w:type="spellStart"/>
      <w:r w:rsidRPr="00754045">
        <w:t>FcRn</w:t>
      </w:r>
      <w:proofErr w:type="spellEnd"/>
      <w:r w:rsidRPr="00754045">
        <w:t xml:space="preserve"> mechanism as </w:t>
      </w:r>
      <w:proofErr w:type="spellStart"/>
      <w:r w:rsidRPr="00754045">
        <w:t>Alprolix</w:t>
      </w:r>
      <w:proofErr w:type="spellEnd"/>
      <w:r w:rsidRPr="00754045">
        <w:t>, the population PK</w:t>
      </w:r>
      <w:r w:rsidR="00754045">
        <w:t xml:space="preserve"> analysis drawing on the Phase I</w:t>
      </w:r>
      <w:r w:rsidRPr="00754045">
        <w:t>/</w:t>
      </w:r>
      <w:proofErr w:type="spellStart"/>
      <w:r w:rsidR="00754045">
        <w:t>IIa</w:t>
      </w:r>
      <w:proofErr w:type="spellEnd"/>
      <w:r w:rsidRPr="00754045">
        <w:t xml:space="preserve"> and Phase </w:t>
      </w:r>
      <w:r w:rsidR="00754045">
        <w:t>III</w:t>
      </w:r>
      <w:r w:rsidRPr="00754045">
        <w:t xml:space="preserve"> studies included (amongst other variables) IgG1 concentration and albumin concentration but found body weight to be the only covariate significantly affecting PK.</w:t>
      </w:r>
    </w:p>
    <w:p w:rsidR="00220FC0" w:rsidRPr="00754045" w:rsidRDefault="00220FC0" w:rsidP="00862F71">
      <w:pPr>
        <w:pStyle w:val="Heading4"/>
      </w:pPr>
      <w:r w:rsidRPr="00754045">
        <w:t>Efficacy</w:t>
      </w:r>
    </w:p>
    <w:p w:rsidR="00220FC0" w:rsidRPr="00754045" w:rsidRDefault="00220FC0" w:rsidP="00862F71">
      <w:pPr>
        <w:pStyle w:val="Heading5"/>
      </w:pPr>
      <w:r w:rsidRPr="00754045">
        <w:t>Choice of dose regimen</w:t>
      </w:r>
    </w:p>
    <w:p w:rsidR="00220FC0" w:rsidRPr="00135272" w:rsidRDefault="00220FC0" w:rsidP="00862F71">
      <w:r w:rsidRPr="00135272">
        <w:t xml:space="preserve">Dose regimen in B-LONG was chosen on the basis of results from the Phase </w:t>
      </w:r>
      <w:r w:rsidR="00754045" w:rsidRPr="00135272">
        <w:t>I</w:t>
      </w:r>
      <w:r w:rsidRPr="00135272">
        <w:t>/</w:t>
      </w:r>
      <w:proofErr w:type="spellStart"/>
      <w:r w:rsidR="00754045" w:rsidRPr="00135272">
        <w:t>II</w:t>
      </w:r>
      <w:r w:rsidRPr="00135272">
        <w:t>a</w:t>
      </w:r>
      <w:proofErr w:type="spellEnd"/>
      <w:r w:rsidRPr="00135272">
        <w:t xml:space="preserve"> single dose study SYN-FIXFc-07-001 (at 50 IU/kg, over 70% of the population would have FIX activity of 1% above baseline on Day 7).</w:t>
      </w:r>
    </w:p>
    <w:p w:rsidR="00220FC0" w:rsidRPr="00754045" w:rsidRDefault="00220FC0" w:rsidP="00862F71">
      <w:pPr>
        <w:pStyle w:val="Heading5"/>
      </w:pPr>
      <w:r w:rsidRPr="00754045">
        <w:lastRenderedPageBreak/>
        <w:t xml:space="preserve">Pivotal </w:t>
      </w:r>
      <w:r w:rsidR="00135272">
        <w:t xml:space="preserve">study: </w:t>
      </w:r>
      <w:r w:rsidRPr="00754045">
        <w:t>Study 998HB102 (“B-LONG”)</w:t>
      </w:r>
    </w:p>
    <w:p w:rsidR="00220FC0" w:rsidRPr="00754045" w:rsidRDefault="00220FC0" w:rsidP="00862F71">
      <w:r w:rsidRPr="00754045">
        <w:t>This was an open</w:t>
      </w:r>
      <w:r w:rsidR="00754045" w:rsidRPr="00754045">
        <w:t xml:space="preserve"> </w:t>
      </w:r>
      <w:r w:rsidRPr="00754045">
        <w:t>label study across 17 countries (including Australia), conducted from 2010</w:t>
      </w:r>
      <w:r w:rsidR="00754045" w:rsidRPr="00754045">
        <w:t xml:space="preserve"> to </w:t>
      </w:r>
      <w:r w:rsidR="00135272">
        <w:t xml:space="preserve">2012. </w:t>
      </w:r>
      <w:r w:rsidRPr="00754045">
        <w:t>Those studied were previousl</w:t>
      </w:r>
      <w:r w:rsidR="00135272">
        <w:t>y treated patients with severe h</w:t>
      </w:r>
      <w:r w:rsidRPr="00754045">
        <w:t xml:space="preserve">aemophilia B (endogenous FIX </w:t>
      </w:r>
      <w:r w:rsidR="00C96628">
        <w:t>≤</w:t>
      </w:r>
      <w:r w:rsidR="00754045">
        <w:t xml:space="preserve"> </w:t>
      </w:r>
      <w:r w:rsidRPr="00754045">
        <w:t>2% of normal levels) aged 12 years and older (</w:t>
      </w:r>
      <w:r w:rsidR="00135272">
        <w:t xml:space="preserve">inclusion and exclusion criteria are detailed in the CER (Attachment 2). </w:t>
      </w:r>
      <w:r w:rsidRPr="00754045">
        <w:t xml:space="preserve">There were four treatment arms, summarised </w:t>
      </w:r>
      <w:r w:rsidR="00135272">
        <w:t>below</w:t>
      </w:r>
      <w:r w:rsidRPr="00754045">
        <w:t>:</w:t>
      </w:r>
    </w:p>
    <w:p w:rsidR="00220FC0" w:rsidRPr="00055C44" w:rsidRDefault="00220FC0" w:rsidP="00862F71">
      <w:pPr>
        <w:pStyle w:val="Numberbullet0"/>
        <w:numPr>
          <w:ilvl w:val="0"/>
          <w:numId w:val="18"/>
        </w:numPr>
      </w:pPr>
      <w:r w:rsidRPr="00055C44">
        <w:t xml:space="preserve">50 IU/kg initial dose then PK assessment to individualise dose for a prophylaxis regime at a fixed 7 day interval (a subgroup was used in a sequential, non-randomised PK comparison of </w:t>
      </w:r>
      <w:proofErr w:type="spellStart"/>
      <w:r w:rsidRPr="00055C44">
        <w:t>Alprolix</w:t>
      </w:r>
      <w:proofErr w:type="spellEnd"/>
      <w:r w:rsidRPr="00055C44">
        <w:t xml:space="preserve"> and </w:t>
      </w:r>
      <w:proofErr w:type="spellStart"/>
      <w:r w:rsidR="001908ED" w:rsidRPr="00055C44">
        <w:t>BeneFIX</w:t>
      </w:r>
      <w:proofErr w:type="spellEnd"/>
      <w:r w:rsidRPr="00055C44">
        <w:t>, and to compare Alprolix at initial and 26 week timepoints)</w:t>
      </w:r>
      <w:r w:rsidR="00754045" w:rsidRPr="00055C44">
        <w:t>.</w:t>
      </w:r>
    </w:p>
    <w:p w:rsidR="00220FC0" w:rsidRPr="00055C44" w:rsidRDefault="00220FC0" w:rsidP="00862F71">
      <w:pPr>
        <w:pStyle w:val="Numberbullet0"/>
      </w:pPr>
      <w:r w:rsidRPr="00055C44">
        <w:t>100 IU/kg initial dose then PK assessment to individualise dose interval (initially set at 10 days) for a prophylaxis regime using a fixed 100 IU/kg dose</w:t>
      </w:r>
      <w:r w:rsidR="00754045" w:rsidRPr="00055C44">
        <w:t>.</w:t>
      </w:r>
    </w:p>
    <w:p w:rsidR="00220FC0" w:rsidRPr="00055C44" w:rsidRDefault="00220FC0" w:rsidP="00862F71">
      <w:pPr>
        <w:pStyle w:val="Numberbullet0"/>
      </w:pPr>
      <w:r w:rsidRPr="00862F71">
        <w:t>50</w:t>
      </w:r>
      <w:r w:rsidRPr="00055C44">
        <w:t xml:space="preserve"> IU/kg initial dose then PK assessment to determine dose to be used for an on</w:t>
      </w:r>
      <w:r w:rsidR="00C96628">
        <w:noBreakHyphen/>
      </w:r>
      <w:r w:rsidRPr="00055C44">
        <w:t>demand regimen</w:t>
      </w:r>
      <w:r w:rsidR="00754045" w:rsidRPr="00055C44">
        <w:t>.</w:t>
      </w:r>
    </w:p>
    <w:p w:rsidR="00220FC0" w:rsidRPr="00B314AB" w:rsidRDefault="00220FC0" w:rsidP="00862F71">
      <w:pPr>
        <w:pStyle w:val="Numberbullet0"/>
      </w:pPr>
      <w:r w:rsidRPr="00862F71">
        <w:t>Subjects</w:t>
      </w:r>
      <w:r w:rsidRPr="00055C44">
        <w:t xml:space="preserve"> scheduled for surgery. 50 IU/kg initial dose then PK assessment and treatment with 40-100 IU/kg for perioperative management.</w:t>
      </w:r>
    </w:p>
    <w:p w:rsidR="00220FC0" w:rsidRPr="00754045" w:rsidRDefault="00220FC0" w:rsidP="00862F71">
      <w:r w:rsidRPr="00754045">
        <w:t xml:space="preserve">Subjects were not randomised into these arms; rather, they were assigned an arm based on “standard of care and investigator decision, following </w:t>
      </w:r>
      <w:r w:rsidR="00135272">
        <w:t xml:space="preserve">discussion with each subject”. </w:t>
      </w:r>
      <w:r w:rsidRPr="00754045">
        <w:t xml:space="preserve">Most patients </w:t>
      </w:r>
      <w:r w:rsidR="00DA7B19" w:rsidRPr="00DA7B19">
        <w:t>self</w:t>
      </w:r>
      <w:r w:rsidR="00DA7B19">
        <w:t>-</w:t>
      </w:r>
      <w:r w:rsidRPr="00DA7B19">
        <w:t>administered</w:t>
      </w:r>
      <w:r w:rsidRPr="00754045">
        <w:t xml:space="preserve"> Alprolix, at home.</w:t>
      </w:r>
    </w:p>
    <w:p w:rsidR="00220FC0" w:rsidRPr="00754045" w:rsidRDefault="00220FC0" w:rsidP="00862F71">
      <w:r w:rsidRPr="00754045">
        <w:t>123 males were enrolled, a reasonable number given the rarity of the disease but also the requirement for sufficient clinical data noting the novel design of eftrenonacog alfa:</w:t>
      </w:r>
    </w:p>
    <w:p w:rsidR="00220FC0" w:rsidRPr="00B314AB" w:rsidRDefault="00220FC0" w:rsidP="00862F71">
      <w:pPr>
        <w:pStyle w:val="ListBullet"/>
      </w:pPr>
      <w:r w:rsidRPr="00862F71">
        <w:t>Arm</w:t>
      </w:r>
      <w:r w:rsidRPr="00B314AB">
        <w:t xml:space="preserve"> 1 (prophylaxis, </w:t>
      </w:r>
      <w:r>
        <w:t>weekly, dose-adjusted</w:t>
      </w:r>
      <w:r w:rsidRPr="00B314AB">
        <w:t xml:space="preserve">) had </w:t>
      </w:r>
      <w:r w:rsidRPr="00754045">
        <w:t>63</w:t>
      </w:r>
      <w:r w:rsidRPr="00B314AB">
        <w:t xml:space="preserve"> subjects</w:t>
      </w:r>
      <w:r w:rsidR="007C632E">
        <w:t>.</w:t>
      </w:r>
    </w:p>
    <w:p w:rsidR="00220FC0" w:rsidRPr="00B314AB" w:rsidRDefault="00220FC0" w:rsidP="00862F71">
      <w:pPr>
        <w:pStyle w:val="ListBullet"/>
      </w:pPr>
      <w:r w:rsidRPr="00862F71">
        <w:t>Arm</w:t>
      </w:r>
      <w:r w:rsidRPr="00B314AB">
        <w:t xml:space="preserve"> 2 (prophylaxis, </w:t>
      </w:r>
      <w:r>
        <w:t xml:space="preserve">interval-adjusted, </w:t>
      </w:r>
      <w:r w:rsidRPr="00B314AB">
        <w:t xml:space="preserve">100 IU/kg) had </w:t>
      </w:r>
      <w:r w:rsidRPr="00754045">
        <w:t>29</w:t>
      </w:r>
      <w:r w:rsidRPr="00B314AB">
        <w:t xml:space="preserve"> subjects</w:t>
      </w:r>
      <w:r w:rsidR="007C632E">
        <w:t>.</w:t>
      </w:r>
    </w:p>
    <w:p w:rsidR="00220FC0" w:rsidRPr="00B314AB" w:rsidRDefault="00C96628" w:rsidP="00862F71">
      <w:pPr>
        <w:pStyle w:val="ListBullet"/>
      </w:pPr>
      <w:r w:rsidRPr="00862F71">
        <w:t>Arm</w:t>
      </w:r>
      <w:r>
        <w:t xml:space="preserve"> 3 (on-</w:t>
      </w:r>
      <w:r w:rsidR="00220FC0" w:rsidRPr="00B314AB">
        <w:t xml:space="preserve">demand) had </w:t>
      </w:r>
      <w:r w:rsidR="00220FC0" w:rsidRPr="007C632E">
        <w:t>27</w:t>
      </w:r>
      <w:r w:rsidR="00220FC0" w:rsidRPr="00B314AB">
        <w:t xml:space="preserve"> subjects</w:t>
      </w:r>
      <w:r w:rsidR="007C632E">
        <w:t>.</w:t>
      </w:r>
    </w:p>
    <w:p w:rsidR="00220FC0" w:rsidRPr="00B314AB" w:rsidRDefault="00220FC0" w:rsidP="00862F71">
      <w:pPr>
        <w:pStyle w:val="ListBullet"/>
      </w:pPr>
      <w:r w:rsidRPr="00862F71">
        <w:t>Arm</w:t>
      </w:r>
      <w:r w:rsidRPr="00B314AB">
        <w:t xml:space="preserve"> 4 (</w:t>
      </w:r>
      <w:r w:rsidRPr="00135272">
        <w:t>peri</w:t>
      </w:r>
      <w:r w:rsidR="00DA7B19" w:rsidRPr="00135272">
        <w:t>-</w:t>
      </w:r>
      <w:r w:rsidRPr="00135272">
        <w:t>operative</w:t>
      </w:r>
      <w:r w:rsidRPr="00B314AB">
        <w:t xml:space="preserve">) had 4 subjects (though </w:t>
      </w:r>
      <w:r w:rsidRPr="007C632E">
        <w:t>12</w:t>
      </w:r>
      <w:r w:rsidRPr="00B314AB">
        <w:t xml:space="preserve"> participated in this Arm in total, </w:t>
      </w:r>
      <w:r w:rsidR="007C632E">
        <w:t>that is,</w:t>
      </w:r>
      <w:r w:rsidRPr="00B314AB">
        <w:t xml:space="preserve"> 8 came across from other arms)</w:t>
      </w:r>
      <w:r w:rsidR="007C632E">
        <w:t>.</w:t>
      </w:r>
    </w:p>
    <w:p w:rsidR="00220FC0" w:rsidRPr="00C96628" w:rsidRDefault="00220FC0" w:rsidP="00862F71">
      <w:r w:rsidRPr="007C632E">
        <w:t xml:space="preserve">All subjects had severe haemophilia B (baseline FIX levels </w:t>
      </w:r>
      <w:r w:rsidR="00F10BB3">
        <w:t>&lt;</w:t>
      </w:r>
      <w:r w:rsidR="007C632E">
        <w:t xml:space="preserve"> </w:t>
      </w:r>
      <w:r w:rsidRPr="007C632E">
        <w:t xml:space="preserve">2%, mostly </w:t>
      </w:r>
      <w:r w:rsidR="00F10BB3">
        <w:t>&lt;</w:t>
      </w:r>
      <w:r w:rsidR="007C632E">
        <w:t xml:space="preserve"> </w:t>
      </w:r>
      <w:r w:rsidRPr="007C632E">
        <w:t xml:space="preserve">1%). Prior to </w:t>
      </w:r>
      <w:r w:rsidRPr="00C96628">
        <w:t>enrolment, 60% had received episodic dosing, 40% prophylactic. 11 subjects were 12</w:t>
      </w:r>
      <w:r w:rsidR="007C632E" w:rsidRPr="00C96628">
        <w:t xml:space="preserve"> to </w:t>
      </w:r>
      <w:r w:rsidRPr="00C96628">
        <w:t>17 years of age (</w:t>
      </w:r>
      <w:r w:rsidR="007C632E" w:rsidRPr="00C96628">
        <w:t>two</w:t>
      </w:r>
      <w:r w:rsidRPr="00C96628">
        <w:t xml:space="preserve"> were 12 y</w:t>
      </w:r>
      <w:r w:rsidR="00135272" w:rsidRPr="00C96628">
        <w:t>ea</w:t>
      </w:r>
      <w:r w:rsidRPr="00C96628">
        <w:t xml:space="preserve">rs of age, </w:t>
      </w:r>
      <w:r w:rsidR="007C632E" w:rsidRPr="00C96628">
        <w:t>two</w:t>
      </w:r>
      <w:r w:rsidRPr="00C96628">
        <w:t xml:space="preserve"> were 14 y</w:t>
      </w:r>
      <w:r w:rsidR="00135272" w:rsidRPr="00C96628">
        <w:t>ea</w:t>
      </w:r>
      <w:r w:rsidRPr="00C96628">
        <w:t xml:space="preserve">rs, </w:t>
      </w:r>
      <w:r w:rsidR="007C632E" w:rsidRPr="00C96628">
        <w:t xml:space="preserve">three </w:t>
      </w:r>
      <w:r w:rsidRPr="00C96628">
        <w:t>were 15 y</w:t>
      </w:r>
      <w:r w:rsidR="00135272" w:rsidRPr="00C96628">
        <w:t>ea</w:t>
      </w:r>
      <w:r w:rsidRPr="00C96628">
        <w:t xml:space="preserve">rs, </w:t>
      </w:r>
      <w:r w:rsidR="007C632E" w:rsidRPr="00C96628">
        <w:t>one</w:t>
      </w:r>
      <w:r w:rsidRPr="00C96628">
        <w:t xml:space="preserve"> was 16 y</w:t>
      </w:r>
      <w:r w:rsidR="00135272" w:rsidRPr="00C96628">
        <w:t>ea</w:t>
      </w:r>
      <w:r w:rsidRPr="00C96628">
        <w:t xml:space="preserve">rs, </w:t>
      </w:r>
      <w:r w:rsidR="007C632E" w:rsidRPr="00C96628">
        <w:t>three</w:t>
      </w:r>
      <w:r w:rsidRPr="00C96628">
        <w:t xml:space="preserve"> were 17 y</w:t>
      </w:r>
      <w:r w:rsidR="00135272" w:rsidRPr="00C96628">
        <w:t>ea</w:t>
      </w:r>
      <w:r w:rsidRPr="00C96628">
        <w:t>rs); the median age was 30 years.</w:t>
      </w:r>
    </w:p>
    <w:p w:rsidR="00220FC0" w:rsidRPr="00C96628" w:rsidRDefault="00220FC0" w:rsidP="00862F71">
      <w:r w:rsidRPr="00C96628">
        <w:t>The primary efficacy endpoint was the annuali</w:t>
      </w:r>
      <w:r w:rsidR="00055C44" w:rsidRPr="00C96628">
        <w:t>sed bleeding rate (ABR) in the ‘</w:t>
      </w:r>
      <w:r w:rsidRPr="00C96628">
        <w:t>efficacy period</w:t>
      </w:r>
      <w:r w:rsidR="00055C44" w:rsidRPr="00C96628">
        <w:t>’</w:t>
      </w:r>
      <w:r w:rsidRPr="00C96628">
        <w:t xml:space="preserve"> (</w:t>
      </w:r>
      <w:r w:rsidR="00135272" w:rsidRPr="00C96628">
        <w:t xml:space="preserve">see Attachment 2, </w:t>
      </w:r>
      <w:r w:rsidRPr="00C96628">
        <w:t xml:space="preserve">CER, </w:t>
      </w:r>
      <w:r w:rsidR="00135272" w:rsidRPr="00C96628">
        <w:t>for definition</w:t>
      </w:r>
      <w:r w:rsidR="00766A81" w:rsidRPr="00C96628">
        <w:t xml:space="preserve"> of A</w:t>
      </w:r>
      <w:r w:rsidR="00F3734F">
        <w:t>B</w:t>
      </w:r>
      <w:r w:rsidR="00766A81" w:rsidRPr="00C96628">
        <w:t>R</w:t>
      </w:r>
      <w:r w:rsidR="00135272" w:rsidRPr="00C96628">
        <w:t xml:space="preserve">). </w:t>
      </w:r>
      <w:r w:rsidR="003A62D3">
        <w:t xml:space="preserve">Annualised bleeding rate (negative binomial model) </w:t>
      </w:r>
      <w:r w:rsidRPr="00C96628">
        <w:t>was 3.12 in Arm 1 (prophylaxis, 7 day interval), 2.40 in Arm 2 (prophylaxis, 100 IU/kg), and 18.67 in Arm 3 (on</w:t>
      </w:r>
      <w:r w:rsidR="00C96628" w:rsidRPr="00C96628">
        <w:t>-</w:t>
      </w:r>
      <w:r w:rsidRPr="00C96628">
        <w:t xml:space="preserve">demand). There was no real change in bleeding rate from pre-study once the population had been stratified by prior use of prophylactic </w:t>
      </w:r>
      <w:r w:rsidR="005F3ECC" w:rsidRPr="00C96628">
        <w:t>versus</w:t>
      </w:r>
      <w:r w:rsidRPr="00C96628">
        <w:t xml:space="preserve"> on</w:t>
      </w:r>
      <w:r w:rsidR="00C96628" w:rsidRPr="00C96628">
        <w:t>-</w:t>
      </w:r>
      <w:r w:rsidRPr="00C96628">
        <w:t>demand therapy. The pattern of dosage adjustment in Arm 1 supports a starting dose of 50 IU/kg then change of dose based on PK or clinical need. The pattern of dose interval adjustment in Arm 2 supports initial use at 100 IU/kg every 10 days, and a maximum interval of 14 days.</w:t>
      </w:r>
    </w:p>
    <w:p w:rsidR="00220FC0" w:rsidRPr="007C632E" w:rsidRDefault="00220FC0" w:rsidP="00862F71">
      <w:r w:rsidRPr="007C632E">
        <w:t xml:space="preserve">The sponsor’s </w:t>
      </w:r>
      <w:r w:rsidR="00C96628">
        <w:t xml:space="preserve">pharmacokinetics/pharmacodynamics </w:t>
      </w:r>
      <w:r w:rsidRPr="007C632E">
        <w:t xml:space="preserve">analysis suggests that in the prophylaxis setting bleeding was less likely with FIX activity </w:t>
      </w:r>
      <w:r w:rsidR="00F10BB3">
        <w:t>&gt;</w:t>
      </w:r>
      <w:r w:rsidR="005F3ECC">
        <w:t xml:space="preserve"> </w:t>
      </w:r>
      <w:r w:rsidRPr="007C632E">
        <w:t>10%. This supports the evaluator’s view about dose regimen. Modelling suggests t</w:t>
      </w:r>
      <w:r w:rsidR="00C96628">
        <w:t>hat the 14 day interval for 100 </w:t>
      </w:r>
      <w:r w:rsidRPr="007C632E">
        <w:t>IU/kg dosing be used only after PK</w:t>
      </w:r>
      <w:r w:rsidR="009D1E14">
        <w:t xml:space="preserve"> </w:t>
      </w:r>
      <w:r w:rsidRPr="007C632E">
        <w:t>based dose regimen individualisation (</w:t>
      </w:r>
      <w:r w:rsidR="005F3ECC">
        <w:t>that is,</w:t>
      </w:r>
      <w:r w:rsidRPr="007C632E">
        <w:t xml:space="preserve"> not at the outset) and that an interval </w:t>
      </w:r>
      <w:r w:rsidR="00F10BB3">
        <w:t>&gt;</w:t>
      </w:r>
      <w:r w:rsidR="005F3ECC">
        <w:t xml:space="preserve"> </w:t>
      </w:r>
      <w:r w:rsidRPr="007C632E">
        <w:t>14 days should not be used.</w:t>
      </w:r>
    </w:p>
    <w:p w:rsidR="00220FC0" w:rsidRPr="007C632E" w:rsidRDefault="00220FC0" w:rsidP="00862F71">
      <w:r w:rsidRPr="007C632E">
        <w:t>There were 14 major surgical procedures in 12 subjects in Arm 4</w:t>
      </w:r>
      <w:r w:rsidR="009D1E14">
        <w:t>:</w:t>
      </w:r>
      <w:r w:rsidRPr="007C632E">
        <w:t xml:space="preserve"> mainly orthopaedic, with no or few major abdominal operations though one patient underwent repair of a </w:t>
      </w:r>
      <w:r w:rsidRPr="007C632E">
        <w:lastRenderedPageBreak/>
        <w:t>large abdominal fistula (and needed packed cells and FFP due to diffuse oozing from the wound). Responses for major procedures were rated as excellent (</w:t>
      </w:r>
      <w:r w:rsidRPr="00A43CFF">
        <w:t>13/14) or good (1/14)</w:t>
      </w:r>
      <w:r w:rsidRPr="007C632E">
        <w:t>.</w:t>
      </w:r>
    </w:p>
    <w:p w:rsidR="00220FC0" w:rsidRPr="00862F71" w:rsidRDefault="00220FC0" w:rsidP="00862F71">
      <w:pPr>
        <w:pStyle w:val="Heading4"/>
      </w:pPr>
      <w:r w:rsidRPr="005F3ECC">
        <w:t>Safety</w:t>
      </w:r>
    </w:p>
    <w:p w:rsidR="00220FC0" w:rsidRPr="00B314AB" w:rsidRDefault="00220FC0" w:rsidP="00862F71">
      <w:r w:rsidRPr="00B314AB">
        <w:t>Most data were from pivotal study 998HB102</w:t>
      </w:r>
      <w:r w:rsidR="00766A81">
        <w:t xml:space="preserve">. </w:t>
      </w:r>
      <w:r w:rsidRPr="00B314AB">
        <w:t xml:space="preserve">In </w:t>
      </w:r>
      <w:r>
        <w:t>that</w:t>
      </w:r>
      <w:r w:rsidRPr="00B314AB">
        <w:t xml:space="preserve"> study, 11</w:t>
      </w:r>
      <w:r w:rsidR="00072280">
        <w:t>3</w:t>
      </w:r>
      <w:r w:rsidRPr="00B314AB">
        <w:t xml:space="preserve"> su</w:t>
      </w:r>
      <w:r w:rsidR="00344748">
        <w:t>bjects received Alprolix for 26 or more</w:t>
      </w:r>
      <w:r w:rsidRPr="00B314AB">
        <w:t xml:space="preserve"> weeks, and 56 for at least 1 year.</w:t>
      </w:r>
    </w:p>
    <w:p w:rsidR="00220FC0" w:rsidRPr="00B314AB" w:rsidRDefault="009F068E" w:rsidP="00862F71">
      <w:r>
        <w:t>The c</w:t>
      </w:r>
      <w:r w:rsidR="00220FC0" w:rsidRPr="00B314AB">
        <w:t xml:space="preserve">linical </w:t>
      </w:r>
      <w:r>
        <w:t>e</w:t>
      </w:r>
      <w:r w:rsidR="00220FC0" w:rsidRPr="00B314AB">
        <w:t>valuator drew attention to the report of hypertension in 6 subjects in the pivotal study (5.0%), aged 33</w:t>
      </w:r>
      <w:r w:rsidR="004F6A55">
        <w:t xml:space="preserve"> to </w:t>
      </w:r>
      <w:r w:rsidR="00220FC0" w:rsidRPr="00B314AB">
        <w:t>56 y</w:t>
      </w:r>
      <w:r>
        <w:t>ea</w:t>
      </w:r>
      <w:r w:rsidR="00220FC0" w:rsidRPr="00B314AB">
        <w:t xml:space="preserve">rs, with 2/6 having a </w:t>
      </w:r>
      <w:r>
        <w:t xml:space="preserve">prior history of hypertension. </w:t>
      </w:r>
      <w:r w:rsidR="00220FC0" w:rsidRPr="00B314AB">
        <w:t xml:space="preserve">Treatment was required in 3 subjects. Blood pressure </w:t>
      </w:r>
      <w:r w:rsidR="00766A81">
        <w:t xml:space="preserve">(BP) </w:t>
      </w:r>
      <w:r w:rsidR="00220FC0" w:rsidRPr="00B314AB">
        <w:t xml:space="preserve">was also increased in one subject given </w:t>
      </w:r>
      <w:r w:rsidR="00F10BB3">
        <w:t>&lt;</w:t>
      </w:r>
      <w:r w:rsidR="004F6A55">
        <w:t xml:space="preserve"> </w:t>
      </w:r>
      <w:r w:rsidR="00220FC0" w:rsidRPr="00B314AB">
        <w:t xml:space="preserve">50 IU/kg and in one subject given 50 IU/kg in the Phase </w:t>
      </w:r>
      <w:r w:rsidR="004F6A55">
        <w:t>I</w:t>
      </w:r>
      <w:r w:rsidR="00220FC0" w:rsidRPr="00B314AB">
        <w:t>/</w:t>
      </w:r>
      <w:proofErr w:type="spellStart"/>
      <w:r w:rsidR="004F6A55">
        <w:t>II</w:t>
      </w:r>
      <w:r w:rsidR="00766A81">
        <w:t>a</w:t>
      </w:r>
      <w:proofErr w:type="spellEnd"/>
      <w:r w:rsidR="00766A81">
        <w:t xml:space="preserve"> study. </w:t>
      </w:r>
      <w:r w:rsidR="00220FC0">
        <w:t>However</w:t>
      </w:r>
      <w:r w:rsidR="00220FC0" w:rsidRPr="00B314AB">
        <w:t xml:space="preserve">, </w:t>
      </w:r>
      <w:r w:rsidR="00220FC0">
        <w:t>BP</w:t>
      </w:r>
      <w:r w:rsidR="00220FC0" w:rsidRPr="00B314AB">
        <w:t xml:space="preserve"> monitoring revealed a more pronounced signal for low </w:t>
      </w:r>
      <w:r w:rsidR="00766A81">
        <w:t>BP</w:t>
      </w:r>
      <w:r w:rsidR="00220FC0" w:rsidRPr="00B314AB">
        <w:t xml:space="preserve"> than for high </w:t>
      </w:r>
      <w:r w:rsidR="00766A81">
        <w:t>BP</w:t>
      </w:r>
      <w:r w:rsidR="00220FC0" w:rsidRPr="00B314AB">
        <w:t>. A cross-section</w:t>
      </w:r>
      <w:r w:rsidR="00220FC0">
        <w:t>al</w:t>
      </w:r>
      <w:r w:rsidR="00220FC0" w:rsidRPr="00B314AB">
        <w:t xml:space="preserve"> study cited by the sponsor</w:t>
      </w:r>
      <w:r w:rsidR="00C96628" w:rsidRPr="00B314AB">
        <w:rPr>
          <w:rStyle w:val="FootnoteReference"/>
          <w:rFonts w:asciiTheme="minorHAnsi" w:hAnsiTheme="minorHAnsi"/>
          <w:sz w:val="24"/>
          <w:szCs w:val="24"/>
        </w:rPr>
        <w:footnoteReference w:id="24"/>
      </w:r>
      <w:r w:rsidR="00220FC0" w:rsidRPr="00B314AB">
        <w:t xml:space="preserve"> claims an increased prevalence of hypertension in haemophilia (mostly haemophilia A).</w:t>
      </w:r>
    </w:p>
    <w:p w:rsidR="00220FC0" w:rsidRPr="00B314AB" w:rsidRDefault="00220FC0" w:rsidP="00862F71">
      <w:r w:rsidRPr="00B314AB">
        <w:t xml:space="preserve">There were no AEs suggestive of </w:t>
      </w:r>
      <w:r w:rsidR="009F01D1">
        <w:t xml:space="preserve">serious </w:t>
      </w:r>
      <w:r w:rsidRPr="00B314AB">
        <w:t xml:space="preserve">allergic reactions or </w:t>
      </w:r>
      <w:r w:rsidR="009F01D1">
        <w:t xml:space="preserve">vascular </w:t>
      </w:r>
      <w:r w:rsidRPr="00B314AB">
        <w:t>thrombosis.</w:t>
      </w:r>
    </w:p>
    <w:p w:rsidR="00220FC0" w:rsidRPr="00B314AB" w:rsidRDefault="00220FC0" w:rsidP="00862F71">
      <w:r w:rsidRPr="00B314AB">
        <w:t xml:space="preserve">One subject developed elevated creatinine and urea but that subject had </w:t>
      </w:r>
      <w:r>
        <w:t>co-morbidities</w:t>
      </w:r>
      <w:r w:rsidRPr="00B314AB">
        <w:t xml:space="preserve"> including Type </w:t>
      </w:r>
      <w:r w:rsidR="00766A81">
        <w:t>II</w:t>
      </w:r>
      <w:r w:rsidRPr="00B314AB">
        <w:t xml:space="preserve"> diabetes and hypertension</w:t>
      </w:r>
      <w:r>
        <w:t xml:space="preserve">, and used (amongst other medications) </w:t>
      </w:r>
      <w:proofErr w:type="spellStart"/>
      <w:r>
        <w:t>celecoxib</w:t>
      </w:r>
      <w:proofErr w:type="spellEnd"/>
      <w:r>
        <w:t xml:space="preserve"> and furosemide</w:t>
      </w:r>
      <w:r w:rsidRPr="00B314AB">
        <w:t xml:space="preserve">. No other subjects in </w:t>
      </w:r>
      <w:r>
        <w:t>B-LONG</w:t>
      </w:r>
      <w:r w:rsidRPr="00B314AB">
        <w:t xml:space="preserve"> had elevated urea </w:t>
      </w:r>
      <w:r>
        <w:t>and</w:t>
      </w:r>
      <w:r w:rsidRPr="00B314AB">
        <w:t xml:space="preserve"> creatinine.</w:t>
      </w:r>
      <w:r>
        <w:t xml:space="preserve"> In </w:t>
      </w:r>
      <w:r w:rsidR="00766A81">
        <w:t xml:space="preserve">the Delegate’s </w:t>
      </w:r>
      <w:r>
        <w:t>view, this product is unlikely to be nephrotoxic.</w:t>
      </w:r>
    </w:p>
    <w:p w:rsidR="00220FC0" w:rsidRPr="00B314AB" w:rsidRDefault="00220FC0" w:rsidP="00862F71">
      <w:r w:rsidRPr="00B314AB">
        <w:t>There was no evidence of inhibitor development</w:t>
      </w:r>
      <w:r w:rsidR="00766A81">
        <w:t xml:space="preserve">. </w:t>
      </w:r>
      <w:r w:rsidRPr="00B314AB">
        <w:t>The evaluator notes the studied population would be at low risk of inhibitor development, so any difference between Alprolix and existing FIX products in risk of inhibitor development may not be inferred from this study.</w:t>
      </w:r>
    </w:p>
    <w:p w:rsidR="007B6132" w:rsidRPr="00862F71" w:rsidRDefault="007B6132" w:rsidP="00862F71">
      <w:pPr>
        <w:pStyle w:val="Heading4"/>
      </w:pPr>
      <w:r w:rsidRPr="007B6132">
        <w:t>Clin</w:t>
      </w:r>
      <w:r w:rsidR="00862F71">
        <w:t>ical evaluator’s recommendation</w:t>
      </w:r>
    </w:p>
    <w:p w:rsidR="00220FC0" w:rsidRPr="00490125" w:rsidRDefault="00220FC0" w:rsidP="00862F71">
      <w:r w:rsidRPr="00490125">
        <w:t xml:space="preserve">The </w:t>
      </w:r>
      <w:r w:rsidR="00490125" w:rsidRPr="00490125">
        <w:t xml:space="preserve">clinical </w:t>
      </w:r>
      <w:r w:rsidRPr="00490125">
        <w:t>evaluator recommend</w:t>
      </w:r>
      <w:r w:rsidR="00490125">
        <w:t>ed</w:t>
      </w:r>
      <w:r w:rsidRPr="00490125">
        <w:t xml:space="preserve"> the application be approved</w:t>
      </w:r>
      <w:r w:rsidR="00490125">
        <w:t>.</w:t>
      </w:r>
    </w:p>
    <w:p w:rsidR="008E7846" w:rsidRPr="00862F71" w:rsidRDefault="00386150" w:rsidP="00862F71">
      <w:pPr>
        <w:pStyle w:val="Heading3"/>
      </w:pPr>
      <w:bookmarkStart w:id="125" w:name="_Toc404068944"/>
      <w:r w:rsidRPr="004F6A55">
        <w:rPr>
          <w:lang w:eastAsia="en-AU"/>
        </w:rPr>
        <w:t>Risk m</w:t>
      </w:r>
      <w:r w:rsidR="008E7846" w:rsidRPr="004F6A55">
        <w:rPr>
          <w:lang w:eastAsia="en-AU"/>
        </w:rPr>
        <w:t xml:space="preserve">anagement </w:t>
      </w:r>
      <w:r w:rsidRPr="004F6A55">
        <w:rPr>
          <w:lang w:eastAsia="en-AU"/>
        </w:rPr>
        <w:t>p</w:t>
      </w:r>
      <w:r w:rsidR="008E7846" w:rsidRPr="004F6A55">
        <w:rPr>
          <w:lang w:eastAsia="en-AU"/>
        </w:rPr>
        <w:t>lan</w:t>
      </w:r>
      <w:bookmarkEnd w:id="123"/>
      <w:bookmarkEnd w:id="125"/>
    </w:p>
    <w:p w:rsidR="00220FC0" w:rsidRPr="00657471" w:rsidRDefault="00220FC0" w:rsidP="00862F71">
      <w:r w:rsidRPr="00657471">
        <w:t xml:space="preserve">The RMP proposed by the sponsor was considered generally acceptable by the TGA’s OPR. The following condition of registration </w:t>
      </w:r>
      <w:r w:rsidR="00766A81">
        <w:t>is recommended</w:t>
      </w:r>
      <w:r w:rsidRPr="00657471">
        <w:t>:</w:t>
      </w:r>
    </w:p>
    <w:p w:rsidR="00220FC0" w:rsidRPr="00657471" w:rsidRDefault="00220FC0" w:rsidP="00862F71">
      <w:pPr>
        <w:pStyle w:val="ListBullet"/>
      </w:pPr>
      <w:r w:rsidRPr="00657471">
        <w:t xml:space="preserve">Implement </w:t>
      </w:r>
      <w:proofErr w:type="spellStart"/>
      <w:r w:rsidRPr="00657471">
        <w:t>Aus</w:t>
      </w:r>
      <w:proofErr w:type="spellEnd"/>
      <w:r w:rsidR="00490125">
        <w:t>-</w:t>
      </w:r>
      <w:r w:rsidRPr="00657471">
        <w:t>RMP version 1 (data lock point 15 October 2012) and any future updates as a condition of registration.</w:t>
      </w:r>
    </w:p>
    <w:p w:rsidR="00220FC0" w:rsidRPr="00490125" w:rsidRDefault="001F6ADA" w:rsidP="00862F71">
      <w:r>
        <w:t xml:space="preserve">In response to this overview, the Delegate requested the </w:t>
      </w:r>
      <w:r w:rsidR="00220FC0" w:rsidRPr="00490125">
        <w:t>sponsor provide an attachment to the RMP setting out all the forthcoming studies and the anticipated dates for their submission in Australia.</w:t>
      </w:r>
    </w:p>
    <w:p w:rsidR="008E7846" w:rsidRPr="00862F71" w:rsidRDefault="00AA0ED0" w:rsidP="00862F71">
      <w:pPr>
        <w:pStyle w:val="Heading3"/>
      </w:pPr>
      <w:bookmarkStart w:id="126" w:name="_Toc247691531"/>
      <w:bookmarkStart w:id="127" w:name="_Toc314842515"/>
      <w:bookmarkStart w:id="128" w:name="_Toc196046505"/>
      <w:bookmarkStart w:id="129" w:name="_Toc196046949"/>
      <w:bookmarkStart w:id="130" w:name="_Toc404068945"/>
      <w:r>
        <w:lastRenderedPageBreak/>
        <w:t>Risk-benefit a</w:t>
      </w:r>
      <w:r w:rsidR="008E7846">
        <w:t>nalysis</w:t>
      </w:r>
      <w:bookmarkEnd w:id="126"/>
      <w:bookmarkEnd w:id="127"/>
      <w:bookmarkEnd w:id="130"/>
    </w:p>
    <w:p w:rsidR="00D23139" w:rsidRDefault="00862F71" w:rsidP="00862F71">
      <w:pPr>
        <w:pStyle w:val="Heading4"/>
      </w:pPr>
      <w:r>
        <w:t>Delegate’s considerations</w:t>
      </w:r>
    </w:p>
    <w:p w:rsidR="00220FC0" w:rsidRPr="00862F71" w:rsidRDefault="00220FC0" w:rsidP="00862F71">
      <w:pPr>
        <w:pStyle w:val="Heading5"/>
      </w:pPr>
      <w:r w:rsidRPr="00ED0FE0">
        <w:t>Pharmacology</w:t>
      </w:r>
    </w:p>
    <w:p w:rsidR="00220FC0" w:rsidRPr="00ED0FE0" w:rsidRDefault="00490125" w:rsidP="00862F71">
      <w:r>
        <w:t>In the response to this overview, t</w:t>
      </w:r>
      <w:r w:rsidR="00220FC0" w:rsidRPr="00ED0FE0">
        <w:t xml:space="preserve">he sponsor should address whether there are known polymorphisms of the gene expressing </w:t>
      </w:r>
      <w:proofErr w:type="spellStart"/>
      <w:r w:rsidR="00220FC0" w:rsidRPr="00ED0FE0">
        <w:t>FcRn</w:t>
      </w:r>
      <w:proofErr w:type="spellEnd"/>
      <w:r w:rsidR="00220FC0" w:rsidRPr="00ED0FE0">
        <w:t xml:space="preserve"> that may predictably affect </w:t>
      </w:r>
      <w:proofErr w:type="spellStart"/>
      <w:r w:rsidR="00220FC0" w:rsidRPr="00ED0FE0">
        <w:t>FcFIX</w:t>
      </w:r>
      <w:proofErr w:type="spellEnd"/>
      <w:r w:rsidR="00220FC0" w:rsidRPr="00ED0FE0">
        <w:t xml:space="preserve"> half-life</w:t>
      </w:r>
      <w:r w:rsidR="003B2F0D">
        <w:rPr>
          <w:rStyle w:val="FootnoteReference"/>
        </w:rPr>
        <w:footnoteReference w:id="25"/>
      </w:r>
      <w:r w:rsidR="00220FC0" w:rsidRPr="00ED0FE0">
        <w:t>.</w:t>
      </w:r>
    </w:p>
    <w:p w:rsidR="00220FC0" w:rsidRPr="00862F71" w:rsidRDefault="00220FC0" w:rsidP="00862F71">
      <w:pPr>
        <w:pStyle w:val="Heading5"/>
      </w:pPr>
      <w:r w:rsidRPr="00B314AB">
        <w:t>Efficacy</w:t>
      </w:r>
    </w:p>
    <w:p w:rsidR="00220FC0" w:rsidRPr="00ED0FE0" w:rsidRDefault="00220FC0" w:rsidP="00862F71">
      <w:r w:rsidRPr="00ED0FE0">
        <w:t>The lack of randomisation (especially for Arms 1</w:t>
      </w:r>
      <w:r w:rsidR="0071366D">
        <w:t xml:space="preserve"> to </w:t>
      </w:r>
      <w:r w:rsidRPr="00ED0FE0">
        <w:t>3) makes any formal comparisons of efficacy across arms problematic, but the better outcomes in prophylactic arms relative to on</w:t>
      </w:r>
      <w:r w:rsidR="00C96628">
        <w:noBreakHyphen/>
      </w:r>
      <w:r w:rsidRPr="00ED0FE0">
        <w:t>demand arms recur in other studies of FIX replacement in haemophilia B. It is not possible to state that Arm 1’s approach (</w:t>
      </w:r>
      <w:r w:rsidR="0071366D">
        <w:t>that is,</w:t>
      </w:r>
      <w:r w:rsidRPr="00ED0FE0">
        <w:t xml:space="preserve"> weekly, </w:t>
      </w:r>
      <w:r w:rsidRPr="0071366D">
        <w:t>dose</w:t>
      </w:r>
      <w:r w:rsidR="0071366D" w:rsidRPr="0071366D">
        <w:t xml:space="preserve"> </w:t>
      </w:r>
      <w:r w:rsidRPr="0071366D">
        <w:t>adjusted</w:t>
      </w:r>
      <w:r w:rsidRPr="00ED0FE0">
        <w:t>) is better than Arm 2’s (in</w:t>
      </w:r>
      <w:r w:rsidR="00ED0FE0" w:rsidRPr="00ED0FE0">
        <w:t xml:space="preserve">terval </w:t>
      </w:r>
      <w:r w:rsidRPr="00ED0FE0">
        <w:t>adjusted, 100 IU/kg) because a large difference in mean ABR was not seen, and subjects were not randomised into the arms so confounding factors are likely to exist (and there was only fair balance of measured baseline characteristics such as age, across these arms).</w:t>
      </w:r>
    </w:p>
    <w:p w:rsidR="00220FC0" w:rsidRPr="0071366D" w:rsidRDefault="00220FC0" w:rsidP="00862F71">
      <w:r w:rsidRPr="0071366D">
        <w:t>Regarding dosage at a fixed dose of 100 IU/kg, the evaluator recommend</w:t>
      </w:r>
      <w:r w:rsidR="001F6ADA">
        <w:t>ed</w:t>
      </w:r>
      <w:r w:rsidRPr="0071366D">
        <w:t xml:space="preserve"> the dosing interval not exceed 14 days. </w:t>
      </w:r>
      <w:r w:rsidR="0071366D">
        <w:t>The Delegate</w:t>
      </w:r>
      <w:r w:rsidRPr="0071366D">
        <w:t xml:space="preserve"> support</w:t>
      </w:r>
      <w:r w:rsidR="0071366D">
        <w:t>s</w:t>
      </w:r>
      <w:r w:rsidRPr="0071366D">
        <w:t xml:space="preserve"> the evaluator’s view that the</w:t>
      </w:r>
      <w:r w:rsidR="001F6ADA">
        <w:t xml:space="preserve"> </w:t>
      </w:r>
      <w:r w:rsidRPr="0071366D">
        <w:t xml:space="preserve">experience </w:t>
      </w:r>
      <w:r w:rsidR="001F6ADA">
        <w:t xml:space="preserve">is </w:t>
      </w:r>
      <w:r w:rsidR="001F6ADA" w:rsidRPr="001F6ADA">
        <w:t xml:space="preserve">too limited </w:t>
      </w:r>
      <w:r w:rsidRPr="0071366D">
        <w:t xml:space="preserve">to recommend dosing intervals </w:t>
      </w:r>
      <w:r w:rsidR="00F10BB3">
        <w:t>&gt;</w:t>
      </w:r>
      <w:r w:rsidR="00A43CFF">
        <w:t xml:space="preserve"> </w:t>
      </w:r>
      <w:r w:rsidRPr="0071366D">
        <w:t>14 days. In addition, although the sponsor points to the fraction of patients with, for e</w:t>
      </w:r>
      <w:r w:rsidR="00344748">
        <w:t>xample, a dosing interval of 14 or more</w:t>
      </w:r>
      <w:r w:rsidRPr="0071366D">
        <w:t xml:space="preserve"> days </w:t>
      </w:r>
      <w:r w:rsidR="005A1C47">
        <w:t>‘</w:t>
      </w:r>
      <w:r w:rsidRPr="0071366D">
        <w:t>in the last 3 months of the study</w:t>
      </w:r>
      <w:r w:rsidR="005A1C47">
        <w:t>’</w:t>
      </w:r>
      <w:r w:rsidRPr="0071366D">
        <w:t xml:space="preserve">, the ABRs discussed above refer to the ‘efficacy period’ (not just the last 3 months). </w:t>
      </w:r>
      <w:r w:rsidR="001F6ADA">
        <w:t>The Delegate proposed to seek ACPM advice on whether this view is supported by the commit</w:t>
      </w:r>
      <w:r w:rsidR="001F6ADA" w:rsidRPr="001F6ADA">
        <w:t xml:space="preserve">tee or whether it </w:t>
      </w:r>
      <w:r w:rsidRPr="001F6ADA">
        <w:t xml:space="preserve">consider that dosing intervals </w:t>
      </w:r>
      <w:r w:rsidR="00F10BB3">
        <w:t>&gt;</w:t>
      </w:r>
      <w:r w:rsidR="0071366D" w:rsidRPr="001F6ADA">
        <w:t xml:space="preserve"> </w:t>
      </w:r>
      <w:r w:rsidRPr="001F6ADA">
        <w:t>14 days might be recommended in the PI since the dose regimen is to be ‘individualised</w:t>
      </w:r>
      <w:r w:rsidR="001F6ADA" w:rsidRPr="001F6ADA">
        <w:t>’ on the basis of PK assessment.</w:t>
      </w:r>
    </w:p>
    <w:p w:rsidR="00220FC0" w:rsidRPr="00862F71" w:rsidRDefault="00220FC0" w:rsidP="00862F71">
      <w:pPr>
        <w:pStyle w:val="Heading5"/>
      </w:pPr>
      <w:r w:rsidRPr="0071366D">
        <w:t>Safety</w:t>
      </w:r>
    </w:p>
    <w:p w:rsidR="00220FC0" w:rsidRPr="0071366D" w:rsidRDefault="00220FC0" w:rsidP="00862F71">
      <w:r w:rsidRPr="0071366D">
        <w:t xml:space="preserve">The safety profile of Alprolix is broadly consistent with other recombinant FIX products, in the population studied. Inhibitor development was not seen but any difference in the rate of significant inhibitor development between </w:t>
      </w:r>
      <w:proofErr w:type="spellStart"/>
      <w:r w:rsidRPr="0071366D">
        <w:t>Alprolix</w:t>
      </w:r>
      <w:proofErr w:type="spellEnd"/>
      <w:r w:rsidRPr="0071366D">
        <w:t xml:space="preserve"> and other </w:t>
      </w:r>
      <w:proofErr w:type="spellStart"/>
      <w:r w:rsidRPr="0071366D">
        <w:t>rFIX</w:t>
      </w:r>
      <w:proofErr w:type="spellEnd"/>
      <w:r w:rsidRPr="0071366D">
        <w:t xml:space="preserve"> products may be better detected in studies of previously untreated and/or paediatric patients.</w:t>
      </w:r>
    </w:p>
    <w:p w:rsidR="00220FC0" w:rsidRPr="00500EC5" w:rsidRDefault="00220FC0" w:rsidP="00862F71">
      <w:r>
        <w:t>Tangentially, the sponsor’s website claims that interim paediatric data show a prolonged half-life of Alprolix in children</w:t>
      </w:r>
      <w:r w:rsidR="00490125">
        <w:t>;</w:t>
      </w:r>
      <w:r w:rsidR="00DA7B19">
        <w:t xml:space="preserve"> h</w:t>
      </w:r>
      <w:r>
        <w:t>owever no data have been reviewed here</w:t>
      </w:r>
      <w:r w:rsidR="003B2F0D">
        <w:rPr>
          <w:rStyle w:val="FootnoteReference"/>
        </w:rPr>
        <w:footnoteReference w:id="26"/>
      </w:r>
      <w:r>
        <w:t>.</w:t>
      </w:r>
    </w:p>
    <w:p w:rsidR="00220FC0" w:rsidRPr="0071366D" w:rsidRDefault="00220FC0" w:rsidP="00862F71">
      <w:pPr>
        <w:pStyle w:val="Heading5"/>
      </w:pPr>
      <w:r w:rsidRPr="0071366D">
        <w:t>Overall risk-benefit</w:t>
      </w:r>
    </w:p>
    <w:p w:rsidR="00220FC0" w:rsidRPr="0071366D" w:rsidRDefault="00220FC0" w:rsidP="00862F71">
      <w:r w:rsidRPr="00437055">
        <w:t>Benefit-risk</w:t>
      </w:r>
      <w:r w:rsidRPr="0071366D">
        <w:t xml:space="preserve"> is favourable in the studied population. The product has the advantage of requiring less frequent dosing (but whether the fixed dose or fixed interval approach is better is unclear). Less frequent dosing is particularly significant in the prophylactic setting and access to this product may encourage more patients to adopt prophylaxis.</w:t>
      </w:r>
    </w:p>
    <w:p w:rsidR="00220FC0" w:rsidRPr="00862F71" w:rsidRDefault="00220FC0" w:rsidP="00862F71">
      <w:pPr>
        <w:pStyle w:val="Heading5"/>
      </w:pPr>
      <w:r w:rsidRPr="004834D6">
        <w:t>Summary of issues</w:t>
      </w:r>
    </w:p>
    <w:p w:rsidR="00220FC0" w:rsidRPr="00150691" w:rsidRDefault="0071366D" w:rsidP="00862F71">
      <w:proofErr w:type="spellStart"/>
      <w:r>
        <w:t>Alprolix</w:t>
      </w:r>
      <w:proofErr w:type="spellEnd"/>
      <w:r w:rsidRPr="00B314AB">
        <w:t xml:space="preserve"> </w:t>
      </w:r>
      <w:r w:rsidR="00220FC0" w:rsidRPr="00B314AB">
        <w:t xml:space="preserve">is a FIX molecule </w:t>
      </w:r>
      <w:r w:rsidR="00220FC0" w:rsidRPr="00B314AB">
        <w:rPr>
          <w:rFonts w:eastAsia="TimesNewRoman" w:cs="TimesNewRoman"/>
        </w:rPr>
        <w:t xml:space="preserve">covalently attached to the </w:t>
      </w:r>
      <w:proofErr w:type="spellStart"/>
      <w:r w:rsidR="00220FC0" w:rsidRPr="00B314AB">
        <w:rPr>
          <w:rFonts w:eastAsia="TimesNewRoman" w:cs="TimesNewRoman"/>
        </w:rPr>
        <w:t>dimeric</w:t>
      </w:r>
      <w:proofErr w:type="spellEnd"/>
      <w:r w:rsidR="00220FC0" w:rsidRPr="00B314AB">
        <w:rPr>
          <w:rFonts w:eastAsia="TimesNewRoman" w:cs="TimesNewRoman"/>
        </w:rPr>
        <w:t xml:space="preserve"> Fc domain of human IgG1. It </w:t>
      </w:r>
      <w:r w:rsidR="00220FC0" w:rsidRPr="00B314AB">
        <w:t>has a prolonged half-life, by virtue of this F</w:t>
      </w:r>
      <w:r w:rsidR="001F6ADA" w:rsidRPr="001F6ADA">
        <w:t>c</w:t>
      </w:r>
      <w:r w:rsidR="00220FC0" w:rsidRPr="00B314AB">
        <w:t xml:space="preserve"> component. This allows a longer dosing interval, seemingly without any impact on efficacy or safety but completed trials have been limited to previously treated patients 12</w:t>
      </w:r>
      <w:r w:rsidR="00344748">
        <w:t xml:space="preserve"> years </w:t>
      </w:r>
      <w:r w:rsidR="00220FC0" w:rsidRPr="00B314AB">
        <w:t xml:space="preserve">of age </w:t>
      </w:r>
      <w:r w:rsidR="00344748">
        <w:t xml:space="preserve">or older </w:t>
      </w:r>
      <w:r w:rsidR="00220FC0" w:rsidRPr="00B314AB">
        <w:t xml:space="preserve">and there is no experience in </w:t>
      </w:r>
      <w:r w:rsidR="00220FC0" w:rsidRPr="004834D6">
        <w:t>treatment</w:t>
      </w:r>
      <w:r w:rsidR="00A43CFF" w:rsidRPr="004834D6">
        <w:t xml:space="preserve"> </w:t>
      </w:r>
      <w:r w:rsidR="00490125">
        <w:t xml:space="preserve">naïve </w:t>
      </w:r>
      <w:r w:rsidR="00220FC0" w:rsidRPr="00B314AB">
        <w:t>subj</w:t>
      </w:r>
      <w:r w:rsidR="00490125">
        <w:t xml:space="preserve">ects and no meaningful efficacy or </w:t>
      </w:r>
      <w:r w:rsidR="00220FC0" w:rsidRPr="00B314AB">
        <w:t xml:space="preserve">safety information in </w:t>
      </w:r>
      <w:r w:rsidR="00220FC0" w:rsidRPr="00B314AB">
        <w:lastRenderedPageBreak/>
        <w:t>the paediatric population. Inhibitor formation has not been observed but the population studied to date has an intrinsically lower risk of inhibitor formation.</w:t>
      </w:r>
    </w:p>
    <w:p w:rsidR="00D23139" w:rsidRDefault="00D23139" w:rsidP="00862F71">
      <w:pPr>
        <w:pStyle w:val="Heading4"/>
      </w:pPr>
      <w:r w:rsidRPr="00220FC0">
        <w:t>Proposed action</w:t>
      </w:r>
    </w:p>
    <w:p w:rsidR="00490125" w:rsidRDefault="00220FC0" w:rsidP="00862F71">
      <w:r>
        <w:t>The Delegate had</w:t>
      </w:r>
      <w:r w:rsidRPr="00B314AB">
        <w:t xml:space="preserve"> no reason to say, at this time, that Alprolix should not be approved for registration.</w:t>
      </w:r>
    </w:p>
    <w:p w:rsidR="00490125" w:rsidRPr="002D4C69" w:rsidRDefault="005864EF" w:rsidP="00862F71">
      <w:pPr>
        <w:rPr>
          <w:rFonts w:asciiTheme="minorHAnsi" w:eastAsiaTheme="minorHAnsi" w:hAnsiTheme="minorHAnsi" w:cs="Arial"/>
          <w:sz w:val="24"/>
          <w:szCs w:val="24"/>
        </w:rPr>
      </w:pPr>
      <w:r>
        <w:t xml:space="preserve">The Delegate’s proposed </w:t>
      </w:r>
      <w:r w:rsidR="00490125">
        <w:t xml:space="preserve">revisions </w:t>
      </w:r>
      <w:r w:rsidR="00490125" w:rsidRPr="00B314AB">
        <w:t>to the PI</w:t>
      </w:r>
      <w:r w:rsidR="00490125">
        <w:t xml:space="preserve">, and </w:t>
      </w:r>
      <w:r w:rsidR="00C96628">
        <w:t xml:space="preserve">details of </w:t>
      </w:r>
      <w:r w:rsidR="00490125">
        <w:t xml:space="preserve">PI related </w:t>
      </w:r>
      <w:r w:rsidR="001F6ADA">
        <w:t xml:space="preserve">requests for information from the </w:t>
      </w:r>
      <w:r w:rsidR="00490125">
        <w:t>sponsor</w:t>
      </w:r>
      <w:r>
        <w:t>,</w:t>
      </w:r>
      <w:r w:rsidR="00490125">
        <w:t xml:space="preserve"> </w:t>
      </w:r>
      <w:r w:rsidR="00490125" w:rsidRPr="00B314AB">
        <w:t>are</w:t>
      </w:r>
      <w:r w:rsidR="00490125">
        <w:t xml:space="preserve"> beyond the scope of the </w:t>
      </w:r>
      <w:proofErr w:type="spellStart"/>
      <w:r w:rsidR="00490125">
        <w:t>AusPAR</w:t>
      </w:r>
      <w:proofErr w:type="spellEnd"/>
      <w:r>
        <w:t>.</w:t>
      </w:r>
    </w:p>
    <w:p w:rsidR="00D23139" w:rsidRPr="00862F71" w:rsidRDefault="00D23139" w:rsidP="00862F71">
      <w:pPr>
        <w:pStyle w:val="Heading4"/>
      </w:pPr>
      <w:r w:rsidRPr="00446A86">
        <w:t>Request for ACPM advice</w:t>
      </w:r>
    </w:p>
    <w:p w:rsidR="00220FC0" w:rsidRPr="00B314AB" w:rsidRDefault="00741883" w:rsidP="00862F71">
      <w:r w:rsidRPr="00F36BA4">
        <w:t>The Delegate proposed to seek general advice on this application from the ACPM</w:t>
      </w:r>
      <w:r>
        <w:t xml:space="preserve"> and </w:t>
      </w:r>
      <w:r w:rsidRPr="00F36BA4">
        <w:t xml:space="preserve">in addition to </w:t>
      </w:r>
      <w:r>
        <w:t xml:space="preserve">request the committee </w:t>
      </w:r>
      <w:r w:rsidR="00220FC0" w:rsidRPr="00B314AB">
        <w:t>provide advice on the following specific issues:</w:t>
      </w:r>
    </w:p>
    <w:p w:rsidR="00220FC0" w:rsidRPr="00741883" w:rsidRDefault="00741883" w:rsidP="00862F71">
      <w:pPr>
        <w:pStyle w:val="Numberbullet0"/>
        <w:numPr>
          <w:ilvl w:val="0"/>
          <w:numId w:val="19"/>
        </w:numPr>
      </w:pPr>
      <w:r>
        <w:t>In what h</w:t>
      </w:r>
      <w:r w:rsidR="00220FC0" w:rsidRPr="00741883">
        <w:t>aemophilia B population if any does</w:t>
      </w:r>
      <w:r w:rsidR="001F6ADA">
        <w:t xml:space="preserve"> </w:t>
      </w:r>
      <w:r w:rsidR="00446A86" w:rsidRPr="00741883">
        <w:t xml:space="preserve">Alprolix </w:t>
      </w:r>
      <w:r w:rsidR="00220FC0" w:rsidRPr="00741883">
        <w:t xml:space="preserve">have a </w:t>
      </w:r>
      <w:r w:rsidR="00220FC0" w:rsidRPr="00862F71">
        <w:t>positive</w:t>
      </w:r>
      <w:r w:rsidR="00220FC0" w:rsidRPr="00741883">
        <w:t xml:space="preserve"> benefit-risk balance?</w:t>
      </w:r>
    </w:p>
    <w:p w:rsidR="00220FC0" w:rsidRPr="00741883" w:rsidRDefault="00220FC0" w:rsidP="00862F71">
      <w:r w:rsidRPr="00741883">
        <w:t>If a population with positive benefit-risk balance can be defined, then:</w:t>
      </w:r>
    </w:p>
    <w:p w:rsidR="00220FC0" w:rsidRPr="00741883" w:rsidRDefault="00220FC0" w:rsidP="00862F71">
      <w:pPr>
        <w:pStyle w:val="Numberbullet0"/>
      </w:pPr>
      <w:r w:rsidRPr="00741883">
        <w:t xml:space="preserve">Is evidence sufficient to support dosing using the 100 IU/kg </w:t>
      </w:r>
      <w:r w:rsidRPr="00862F71">
        <w:t>dose</w:t>
      </w:r>
      <w:r w:rsidRPr="00741883">
        <w:t xml:space="preserve"> at intervals </w:t>
      </w:r>
      <w:r w:rsidR="00F10BB3">
        <w:t>&gt;</w:t>
      </w:r>
      <w:r w:rsidR="00446A86" w:rsidRPr="00741883">
        <w:t xml:space="preserve"> </w:t>
      </w:r>
      <w:r w:rsidRPr="00741883">
        <w:t>14 days?</w:t>
      </w:r>
    </w:p>
    <w:p w:rsidR="00220FC0" w:rsidRPr="00741883" w:rsidRDefault="00220FC0" w:rsidP="00862F71">
      <w:r w:rsidRPr="00741883">
        <w:t xml:space="preserve">The committee </w:t>
      </w:r>
      <w:r w:rsidR="00741883">
        <w:t>wa</w:t>
      </w:r>
      <w:r w:rsidRPr="00741883">
        <w:t xml:space="preserve">s </w:t>
      </w:r>
      <w:r w:rsidR="00741883">
        <w:t xml:space="preserve">also </w:t>
      </w:r>
      <w:r w:rsidRPr="00741883">
        <w:t>requested to provide advice on any other issues that may be relevant to:</w:t>
      </w:r>
    </w:p>
    <w:p w:rsidR="00220FC0" w:rsidRPr="00741883" w:rsidRDefault="00220FC0" w:rsidP="00862F71">
      <w:pPr>
        <w:pStyle w:val="ListBullet"/>
      </w:pPr>
      <w:proofErr w:type="gramStart"/>
      <w:r w:rsidRPr="00741883">
        <w:t>a</w:t>
      </w:r>
      <w:proofErr w:type="gramEnd"/>
      <w:r w:rsidRPr="00741883">
        <w:t xml:space="preserve"> decision on whether or not to approve this application (</w:t>
      </w:r>
      <w:r w:rsidRPr="00862F71">
        <w:t>including</w:t>
      </w:r>
      <w:r w:rsidRPr="00741883">
        <w:t xml:space="preserve"> conditions of registration)</w:t>
      </w:r>
      <w:r w:rsidR="00446A86" w:rsidRPr="00741883">
        <w:t>.</w:t>
      </w:r>
    </w:p>
    <w:p w:rsidR="00220FC0" w:rsidRPr="00741883" w:rsidRDefault="00220FC0" w:rsidP="00862F71">
      <w:pPr>
        <w:pStyle w:val="ListBullet"/>
      </w:pPr>
      <w:proofErr w:type="gramStart"/>
      <w:r w:rsidRPr="00741883">
        <w:t>negotiation</w:t>
      </w:r>
      <w:proofErr w:type="gramEnd"/>
      <w:r w:rsidRPr="00741883">
        <w:t xml:space="preserve"> of an acceptable Product Information document</w:t>
      </w:r>
      <w:r w:rsidR="00446A86" w:rsidRPr="00741883">
        <w:t>.</w:t>
      </w:r>
    </w:p>
    <w:p w:rsidR="00D23139" w:rsidRPr="00862F71" w:rsidRDefault="00D23139" w:rsidP="00862F71">
      <w:pPr>
        <w:pStyle w:val="Heading4"/>
      </w:pPr>
      <w:r w:rsidRPr="004834D6">
        <w:t xml:space="preserve">Response from </w:t>
      </w:r>
      <w:r w:rsidR="00140DA1">
        <w:t>s</w:t>
      </w:r>
      <w:r w:rsidR="0030781A" w:rsidRPr="004834D6">
        <w:t>ponsor</w:t>
      </w:r>
    </w:p>
    <w:p w:rsidR="00AF6477" w:rsidRPr="00862F71" w:rsidRDefault="00140DA1" w:rsidP="00862F71">
      <w:pPr>
        <w:rPr>
          <w:b/>
          <w:i/>
        </w:rPr>
      </w:pPr>
      <w:r w:rsidRPr="00862F71">
        <w:rPr>
          <w:b/>
          <w:i/>
        </w:rPr>
        <w:t>Topic 1</w:t>
      </w:r>
      <w:r w:rsidR="00E30567" w:rsidRPr="00862F71">
        <w:rPr>
          <w:b/>
          <w:i/>
        </w:rPr>
        <w:t>:</w:t>
      </w:r>
      <w:r w:rsidR="00AF6477" w:rsidRPr="00862F71">
        <w:rPr>
          <w:b/>
          <w:i/>
        </w:rPr>
        <w:t xml:space="preserve"> </w:t>
      </w:r>
      <w:r w:rsidR="004E78D1" w:rsidRPr="00862F71">
        <w:rPr>
          <w:b/>
          <w:i/>
        </w:rPr>
        <w:t xml:space="preserve">In the </w:t>
      </w:r>
      <w:r w:rsidR="00AF6477" w:rsidRPr="00862F71">
        <w:rPr>
          <w:b/>
          <w:i/>
        </w:rPr>
        <w:t xml:space="preserve">Delegate’s </w:t>
      </w:r>
      <w:r w:rsidRPr="00862F71">
        <w:rPr>
          <w:b/>
          <w:i/>
        </w:rPr>
        <w:t>overview, ACPM’</w:t>
      </w:r>
      <w:r w:rsidR="00AF6477" w:rsidRPr="00862F71">
        <w:rPr>
          <w:b/>
          <w:i/>
        </w:rPr>
        <w:t>s advice is being soug</w:t>
      </w:r>
      <w:r w:rsidR="00862F71" w:rsidRPr="00862F71">
        <w:rPr>
          <w:b/>
          <w:i/>
        </w:rPr>
        <w:t>ht on the following questions:</w:t>
      </w:r>
    </w:p>
    <w:p w:rsidR="00AF6477" w:rsidRPr="00862F71" w:rsidRDefault="00AF6477" w:rsidP="00862F71">
      <w:pPr>
        <w:pStyle w:val="ListBullet"/>
      </w:pPr>
      <w:r w:rsidRPr="00862F71">
        <w:t>In what haemophilia B population if any does Alprolix have a</w:t>
      </w:r>
      <w:r w:rsidR="00862F71" w:rsidRPr="00862F71">
        <w:t xml:space="preserve"> positive benefit-risk balance?</w:t>
      </w:r>
    </w:p>
    <w:p w:rsidR="00AF6477" w:rsidRPr="00862F71" w:rsidRDefault="00AF6477" w:rsidP="00862F71">
      <w:pPr>
        <w:pStyle w:val="ListBullet"/>
      </w:pPr>
      <w:r w:rsidRPr="00862F71">
        <w:t xml:space="preserve">If a population with positive benefit-risk balance can be defined, then is evidence sufficient to support dosing using the 100 IU/kg dose at intervals </w:t>
      </w:r>
      <w:r w:rsidR="00F10BB3" w:rsidRPr="00862F71">
        <w:t>&gt;</w:t>
      </w:r>
      <w:r w:rsidR="00862F71" w:rsidRPr="00862F71">
        <w:t xml:space="preserve"> 14 days?</w:t>
      </w:r>
    </w:p>
    <w:p w:rsidR="00AF6477" w:rsidRPr="00862F71" w:rsidRDefault="00AF6477" w:rsidP="00862F71">
      <w:r w:rsidRPr="00862F71">
        <w:t xml:space="preserve">Similarly, </w:t>
      </w:r>
      <w:r w:rsidR="00140DA1" w:rsidRPr="00862F71">
        <w:t xml:space="preserve">the Delegate proposes to ask </w:t>
      </w:r>
      <w:r w:rsidRPr="00862F71">
        <w:t xml:space="preserve">ACPM whether they support the view that the dosing interval not exceed 14 days or consider that dosing intervals </w:t>
      </w:r>
      <w:r w:rsidR="00F10BB3" w:rsidRPr="00862F71">
        <w:t>&gt;</w:t>
      </w:r>
      <w:r w:rsidRPr="00862F71">
        <w:t xml:space="preserve"> 14 days might be recommended in the PI since the dose regimen is to be individualised on the basis of PK assessment.</w:t>
      </w:r>
    </w:p>
    <w:p w:rsidR="00AF6477" w:rsidRPr="00E30567" w:rsidRDefault="00766A81" w:rsidP="00862F71">
      <w:bookmarkStart w:id="131" w:name="_Toc379445587"/>
      <w:r>
        <w:t xml:space="preserve">Sponsor </w:t>
      </w:r>
      <w:r w:rsidR="00E30567">
        <w:t>r</w:t>
      </w:r>
      <w:r w:rsidR="00AF6477" w:rsidRPr="00E30567">
        <w:t>esponse</w:t>
      </w:r>
      <w:bookmarkEnd w:id="131"/>
      <w:r w:rsidR="00862F71">
        <w:t>:</w:t>
      </w:r>
    </w:p>
    <w:p w:rsidR="00AF6477" w:rsidRPr="00AF6477" w:rsidRDefault="00AF6477" w:rsidP="00862F71">
      <w:r w:rsidRPr="00AF6477">
        <w:t xml:space="preserve">Alprolix represents an important therapeutic innovation as the first potential therapy for haemophilia B with a modification that enables the prolongation of circulating half-life while preserving full clinical activity as demonstrated by the Phase </w:t>
      </w:r>
      <w:r>
        <w:t>III</w:t>
      </w:r>
      <w:r w:rsidR="00862F71">
        <w:t xml:space="preserve"> study (998HB102) results.</w:t>
      </w:r>
    </w:p>
    <w:p w:rsidR="00AF6477" w:rsidRPr="00AF6477" w:rsidRDefault="00AF6477" w:rsidP="00862F71">
      <w:r w:rsidRPr="00AF6477">
        <w:t xml:space="preserve">The Phase </w:t>
      </w:r>
      <w:r>
        <w:t>III</w:t>
      </w:r>
      <w:r w:rsidRPr="00AF6477">
        <w:t xml:space="preserve"> study enrolled 123 PTPs </w:t>
      </w:r>
      <w:r w:rsidR="00140DA1">
        <w:t xml:space="preserve">≥ </w:t>
      </w:r>
      <w:r w:rsidRPr="00AF6477">
        <w:t>12 years of age with severe haemophilia B. The subjects were representative in terms of race, geographic location, and disease co-morbidities. The study included 11 subjects 12 to 17 years of age, allowing evaluation of Alprolix in this adolescent group.</w:t>
      </w:r>
    </w:p>
    <w:p w:rsidR="00AF6477" w:rsidRPr="00AF6477" w:rsidRDefault="00AF6477" w:rsidP="00862F71">
      <w:r w:rsidRPr="00AF6477">
        <w:t>Alprolix showed a significantly improved elimination half-life (2.43</w:t>
      </w:r>
      <w:r>
        <w:t xml:space="preserve"> </w:t>
      </w:r>
      <w:r w:rsidRPr="00AF6477">
        <w:t xml:space="preserve">fold longer) in a subgroup of 22 subjects compared to </w:t>
      </w:r>
      <w:proofErr w:type="spellStart"/>
      <w:r w:rsidRPr="00FD1043">
        <w:t>BeneFIX</w:t>
      </w:r>
      <w:proofErr w:type="spellEnd"/>
      <w:r w:rsidRPr="00AF6477">
        <w:t xml:space="preserve">; the prolongation of half-life of Alprolix was </w:t>
      </w:r>
      <w:r w:rsidRPr="00AF6477">
        <w:lastRenderedPageBreak/>
        <w:t>also observed in all other study subjects. There was sufficient exposure to allow for an adequate evaluation of ABR</w:t>
      </w:r>
      <w:r w:rsidR="00473CCC">
        <w:t xml:space="preserve"> and inhibitor incidence. </w:t>
      </w:r>
      <w:r w:rsidRPr="00AF6477">
        <w:t>Alprolix was generally well tolerated with an acceptable safety profile across all subgroups studies. No inhibitor was detected in any subject exposed to Alprolix and no anaphylactic, serious hypersensitivity, or vascular thrombotic events were reported. Efficacy was demonstrated for the treatment of episodic bleeding as well as for routine prophylaxis and perioperative management. In all subgroups studied, including in subjects 12</w:t>
      </w:r>
      <w:r>
        <w:t xml:space="preserve"> to </w:t>
      </w:r>
      <w:r w:rsidRPr="00AF6477">
        <w:t xml:space="preserve">18 years of age, efficacy was consistent with the overall group. All subjects in the sequential PK group had a prolongation of half-life compared to </w:t>
      </w:r>
      <w:proofErr w:type="spellStart"/>
      <w:r w:rsidRPr="00AF6477">
        <w:t>Benefix</w:t>
      </w:r>
      <w:proofErr w:type="spellEnd"/>
      <w:r w:rsidRPr="00AF6477">
        <w:t>. Both a weekly dosing regimen and an individualized interval regimen were associated with a significant reduction in ABR (</w:t>
      </w:r>
      <w:r w:rsidR="00F10BB3">
        <w:t>&gt;</w:t>
      </w:r>
      <w:r w:rsidR="00E30567" w:rsidRPr="00E30567">
        <w:t> </w:t>
      </w:r>
      <w:r w:rsidRPr="00AF6477">
        <w:t>80%) compared to episodic (on</w:t>
      </w:r>
      <w:r w:rsidR="00C96628">
        <w:t>-</w:t>
      </w:r>
      <w:r w:rsidR="00862F71">
        <w:t>demand) treatment.</w:t>
      </w:r>
    </w:p>
    <w:p w:rsidR="00AF6477" w:rsidRPr="00AF6477" w:rsidRDefault="00AF6477" w:rsidP="00862F71">
      <w:r w:rsidRPr="00AF6477">
        <w:t xml:space="preserve">The clinical development program for Alprolix used a stepwise approach to gain experience with Alprolix in previously treated patients 12 years of age and older prior to investigating Alprolix in younger subjects. As noted in </w:t>
      </w:r>
      <w:r w:rsidR="00473CCC">
        <w:t>r</w:t>
      </w:r>
      <w:r w:rsidRPr="00AF6477">
        <w:t>esponse to Topic 5</w:t>
      </w:r>
      <w:r w:rsidR="00473CCC">
        <w:t xml:space="preserve"> (below)</w:t>
      </w:r>
      <w:r w:rsidRPr="00AF6477">
        <w:t xml:space="preserve">, </w:t>
      </w:r>
      <w:proofErr w:type="spellStart"/>
      <w:r w:rsidRPr="00AF6477">
        <w:t>Biogen</w:t>
      </w:r>
      <w:proofErr w:type="spellEnd"/>
      <w:r w:rsidRPr="00AF6477">
        <w:t xml:space="preserve"> Idec plans to submit a post approval variation to the TGA for Alprolix, including data from the ongoing paediatric study (9HB02PED), as well as revised draft </w:t>
      </w:r>
      <w:r w:rsidR="00766A81" w:rsidRPr="00AF6477">
        <w:t>labelling</w:t>
      </w:r>
      <w:r w:rsidRPr="00AF6477">
        <w:t xml:space="preserve"> in order to amend the Alprolix indication to include patients </w:t>
      </w:r>
      <w:r w:rsidR="00F10BB3">
        <w:t>&lt;</w:t>
      </w:r>
      <w:r w:rsidRPr="00AF6477">
        <w:t xml:space="preserve"> 12 </w:t>
      </w:r>
      <w:r w:rsidR="00766A81">
        <w:t>years of age. As also noted in r</w:t>
      </w:r>
      <w:r w:rsidRPr="00AF6477">
        <w:t>esponse to Topic 3</w:t>
      </w:r>
      <w:r w:rsidR="00766A81">
        <w:t xml:space="preserve"> (below)</w:t>
      </w:r>
      <w:r w:rsidRPr="00AF6477">
        <w:t>, a study (998HB303) is currently planned to evaluate safety and efficacy in previously untreated patients (P</w:t>
      </w:r>
      <w:r w:rsidR="00862F71">
        <w:t>UPs) with severe haemophilia B.</w:t>
      </w:r>
    </w:p>
    <w:p w:rsidR="00AF6477" w:rsidRDefault="00AF6477" w:rsidP="00862F71">
      <w:r w:rsidRPr="00AF6477">
        <w:t>The overall benefit-risk profile of Alprolix is positive for the treatment of individuals with haemophilia B. This positive benefit-risk profile was consistent across all subgroups studied. As a generally well</w:t>
      </w:r>
      <w:r>
        <w:t xml:space="preserve"> </w:t>
      </w:r>
      <w:r w:rsidRPr="00AF6477">
        <w:t>tolerated, long</w:t>
      </w:r>
      <w:r>
        <w:t xml:space="preserve"> </w:t>
      </w:r>
      <w:r w:rsidRPr="00AF6477">
        <w:t>acting replacement factor, Alprolix offers the potential to improve acceptance of prophylactic treatment and offers sustained protection in the setting of prophylaxis and efficacy in the setting of control of bleeding and perioperative management. Reducing the frequency of treatment is expected to confer public health benefits in terms of compliance and improved long</w:t>
      </w:r>
      <w:r>
        <w:t xml:space="preserve"> </w:t>
      </w:r>
      <w:r w:rsidRPr="00AF6477">
        <w:t xml:space="preserve">term outcomes in patients with haemophilia B. The population evaluated in the Phase </w:t>
      </w:r>
      <w:r>
        <w:t>III</w:t>
      </w:r>
      <w:r w:rsidRPr="00AF6477">
        <w:t xml:space="preserve"> study results is representative of the general population of adults and adolescents </w:t>
      </w:r>
      <w:r w:rsidR="00766A81">
        <w:t xml:space="preserve">≥ </w:t>
      </w:r>
      <w:r w:rsidRPr="00AF6477">
        <w:t xml:space="preserve">12 years of age with haemophilia B, which is the population proposed in the draft </w:t>
      </w:r>
      <w:r w:rsidR="00766A81" w:rsidRPr="00AF6477">
        <w:t>labelling</w:t>
      </w:r>
      <w:r w:rsidRPr="00AF6477">
        <w:t xml:space="preserve">. Further support for the proposed dosing guidance specific to the subset of patients who may benefit from dosing intervals </w:t>
      </w:r>
      <w:r w:rsidR="00F10BB3">
        <w:t>&gt;</w:t>
      </w:r>
      <w:r>
        <w:t xml:space="preserve"> </w:t>
      </w:r>
      <w:r w:rsidRPr="00AF6477">
        <w:t>14 days is provided in Response to Topic 7.</w:t>
      </w:r>
    </w:p>
    <w:p w:rsidR="00957516" w:rsidRPr="00862F71" w:rsidRDefault="00957516" w:rsidP="00862F71">
      <w:pPr>
        <w:rPr>
          <w:b/>
          <w:i/>
        </w:rPr>
      </w:pPr>
      <w:bookmarkStart w:id="132" w:name="_Toc379445589"/>
      <w:r w:rsidRPr="00862F71">
        <w:rPr>
          <w:b/>
          <w:i/>
        </w:rPr>
        <w:t>Topic 2:</w:t>
      </w:r>
      <w:bookmarkEnd w:id="132"/>
      <w:r w:rsidR="004834D6" w:rsidRPr="00862F71">
        <w:rPr>
          <w:b/>
          <w:i/>
        </w:rPr>
        <w:t xml:space="preserve"> In</w:t>
      </w:r>
      <w:r w:rsidR="00E30567" w:rsidRPr="00862F71">
        <w:rPr>
          <w:b/>
          <w:i/>
        </w:rPr>
        <w:t xml:space="preserve"> the Delegate’s o</w:t>
      </w:r>
      <w:r w:rsidRPr="00862F71">
        <w:rPr>
          <w:b/>
          <w:i/>
        </w:rPr>
        <w:t>verview, it was noted that blood pressure monitoring revealed a more pronounced signal for low blood pressure than for high.</w:t>
      </w:r>
    </w:p>
    <w:p w:rsidR="00957516" w:rsidRPr="00E30567" w:rsidRDefault="00E30567" w:rsidP="00862F71">
      <w:bookmarkStart w:id="133" w:name="_Toc375319833"/>
      <w:bookmarkStart w:id="134" w:name="_Toc379445590"/>
      <w:r>
        <w:t>Sponsor r</w:t>
      </w:r>
      <w:r w:rsidR="00957516" w:rsidRPr="00E30567">
        <w:t>esponse</w:t>
      </w:r>
      <w:bookmarkEnd w:id="133"/>
      <w:r>
        <w:t>:</w:t>
      </w:r>
    </w:p>
    <w:p w:rsidR="00957516" w:rsidRDefault="00957516" w:rsidP="00862F71">
      <w:r w:rsidRPr="00B80849">
        <w:t xml:space="preserve">In the Phase </w:t>
      </w:r>
      <w:r>
        <w:t>III</w:t>
      </w:r>
      <w:r w:rsidRPr="00B80849">
        <w:t xml:space="preserve"> study (998HB102), </w:t>
      </w:r>
      <w:r>
        <w:t>abnormal low BP was</w:t>
      </w:r>
      <w:r w:rsidRPr="00B80849">
        <w:t xml:space="preserve"> </w:t>
      </w:r>
      <w:r>
        <w:t>pre-</w:t>
      </w:r>
      <w:r w:rsidRPr="00B80849">
        <w:t>defined</w:t>
      </w:r>
      <w:r>
        <w:t xml:space="preserve"> as follows:</w:t>
      </w:r>
    </w:p>
    <w:p w:rsidR="00957516" w:rsidRPr="00512A73" w:rsidRDefault="00957516" w:rsidP="00862F71">
      <w:pPr>
        <w:pStyle w:val="ListBullet"/>
      </w:pPr>
      <w:r w:rsidRPr="00512A73">
        <w:t xml:space="preserve">Systolic </w:t>
      </w:r>
      <w:r w:rsidR="001F6ADA">
        <w:t xml:space="preserve">BP </w:t>
      </w:r>
      <w:r w:rsidR="00F10BB3">
        <w:t>&lt;</w:t>
      </w:r>
      <w:r w:rsidRPr="00512A73">
        <w:t xml:space="preserve"> 90 mmHg or </w:t>
      </w:r>
      <w:r w:rsidR="00F10BB3">
        <w:t>&gt;</w:t>
      </w:r>
      <w:r w:rsidRPr="00512A73">
        <w:t xml:space="preserve"> 30 mmHg decrease from baseline.</w:t>
      </w:r>
    </w:p>
    <w:p w:rsidR="00957516" w:rsidRPr="00512A73" w:rsidRDefault="00957516" w:rsidP="00862F71">
      <w:pPr>
        <w:pStyle w:val="ListBullet"/>
      </w:pPr>
      <w:r w:rsidRPr="00512A73">
        <w:t xml:space="preserve">Diastolic </w:t>
      </w:r>
      <w:r w:rsidR="001F6ADA">
        <w:t xml:space="preserve">BP </w:t>
      </w:r>
      <w:r w:rsidR="00F10BB3">
        <w:t>&lt;</w:t>
      </w:r>
      <w:r w:rsidRPr="00512A73">
        <w:t xml:space="preserve"> 50 mmHg or </w:t>
      </w:r>
      <w:r w:rsidR="00F10BB3">
        <w:t>&gt;</w:t>
      </w:r>
      <w:r w:rsidRPr="00512A73">
        <w:t xml:space="preserve"> 20 mmHg decrease from baseline.</w:t>
      </w:r>
    </w:p>
    <w:p w:rsidR="00957516" w:rsidRDefault="00957516" w:rsidP="00862F71">
      <w:r>
        <w:t xml:space="preserve">Of the 114 </w:t>
      </w:r>
      <w:r w:rsidRPr="006D4A70">
        <w:t xml:space="preserve">subjects </w:t>
      </w:r>
      <w:r>
        <w:t xml:space="preserve">in the Phase III study with vital signs evaluated (with a baseline assessment and at least 1 post-baseline assessment) </w:t>
      </w:r>
      <w:r w:rsidRPr="006D4A70">
        <w:t>in Arms 1, 2, and 3 combined</w:t>
      </w:r>
      <w:r>
        <w:t>, there were 5 subjects (4.4%) with an abnormal low systolic BP assessment; and 9 subjects (7.9%) with an abnormal low diastolic BP assessment, including 3 subjects with abnormal low systolic and diastolic BP values. These 11 unique s</w:t>
      </w:r>
      <w:r w:rsidRPr="00997AC7">
        <w:t>ubje</w:t>
      </w:r>
      <w:r>
        <w:t xml:space="preserve">cts were between </w:t>
      </w:r>
      <w:r w:rsidRPr="00997AC7">
        <w:t xml:space="preserve">12 to 56 years </w:t>
      </w:r>
      <w:r>
        <w:t>of age (mean 31 years). B</w:t>
      </w:r>
      <w:r w:rsidR="001F6ADA">
        <w:t xml:space="preserve">lood pressure </w:t>
      </w:r>
      <w:r>
        <w:t xml:space="preserve">abnormalities were generally mild, transient, and none were associated with an </w:t>
      </w:r>
      <w:r w:rsidR="004839FD">
        <w:t>AE</w:t>
      </w:r>
      <w:r>
        <w:t xml:space="preserve"> suggestive of hypotension, hypersensitivity or anaphylaxis. </w:t>
      </w:r>
      <w:r w:rsidRPr="001F6ADA">
        <w:t>All 11 subjects completed the Phase III study</w:t>
      </w:r>
      <w:r>
        <w:t>.</w:t>
      </w:r>
    </w:p>
    <w:p w:rsidR="00957516" w:rsidRDefault="00957516" w:rsidP="00862F71">
      <w:pPr>
        <w:rPr>
          <w:rFonts w:eastAsia="Calibri"/>
          <w:lang w:eastAsia="ja-JP"/>
        </w:rPr>
      </w:pPr>
      <w:r w:rsidRPr="00E50719">
        <w:t>Overall, there was no pattern</w:t>
      </w:r>
      <w:r>
        <w:t xml:space="preserve"> or consistent trend in abnormal decrease</w:t>
      </w:r>
      <w:r w:rsidRPr="00E50719">
        <w:t xml:space="preserve"> in </w:t>
      </w:r>
      <w:r w:rsidR="001F6ADA">
        <w:t xml:space="preserve">BP </w:t>
      </w:r>
      <w:r>
        <w:t>observed in the Phase III study. The data do</w:t>
      </w:r>
      <w:r w:rsidRPr="00997AC7">
        <w:t xml:space="preserve"> not suggest an association of hypotension with </w:t>
      </w:r>
      <w:r>
        <w:t>Alprolix</w:t>
      </w:r>
      <w:r w:rsidRPr="00997AC7">
        <w:t>.</w:t>
      </w:r>
    </w:p>
    <w:p w:rsidR="00957516" w:rsidRPr="00862F71" w:rsidRDefault="00957516" w:rsidP="00862F71">
      <w:pPr>
        <w:rPr>
          <w:b/>
          <w:i/>
        </w:rPr>
      </w:pPr>
      <w:bookmarkStart w:id="135" w:name="_Toc379445594"/>
      <w:bookmarkEnd w:id="134"/>
      <w:r w:rsidRPr="00862F71">
        <w:rPr>
          <w:b/>
          <w:i/>
        </w:rPr>
        <w:t>Topic 3:</w:t>
      </w:r>
      <w:bookmarkEnd w:id="135"/>
      <w:r w:rsidRPr="00862F71">
        <w:rPr>
          <w:b/>
          <w:i/>
        </w:rPr>
        <w:t xml:space="preserve"> </w:t>
      </w:r>
      <w:r w:rsidR="000F2F0F" w:rsidRPr="00862F71">
        <w:rPr>
          <w:b/>
          <w:i/>
        </w:rPr>
        <w:t>In</w:t>
      </w:r>
      <w:r w:rsidR="00E30567" w:rsidRPr="00862F71">
        <w:rPr>
          <w:b/>
          <w:i/>
        </w:rPr>
        <w:t xml:space="preserve"> the Delegate’s o</w:t>
      </w:r>
      <w:r w:rsidRPr="00862F71">
        <w:rPr>
          <w:b/>
          <w:i/>
        </w:rPr>
        <w:t>verview, it was noted that the sponsor should provide an attachment to the RMP setting out all the forthcoming studies and the anticipated dates for their submission in Australia.</w:t>
      </w:r>
    </w:p>
    <w:p w:rsidR="00957516" w:rsidRPr="00E30567" w:rsidRDefault="00E30567" w:rsidP="00862F71">
      <w:bookmarkStart w:id="136" w:name="_Toc379445595"/>
      <w:r>
        <w:t>Sponsor r</w:t>
      </w:r>
      <w:r w:rsidR="00957516" w:rsidRPr="00E30567">
        <w:t>esponse</w:t>
      </w:r>
      <w:bookmarkEnd w:id="136"/>
      <w:r>
        <w:t>:</w:t>
      </w:r>
    </w:p>
    <w:p w:rsidR="00AF6477" w:rsidRPr="00957516" w:rsidRDefault="00957516" w:rsidP="00862F71">
      <w:proofErr w:type="spellStart"/>
      <w:r w:rsidRPr="00957516">
        <w:t>Biogen</w:t>
      </w:r>
      <w:proofErr w:type="spellEnd"/>
      <w:r w:rsidRPr="00957516">
        <w:t xml:space="preserve"> Idec agrees to provide such an attachment setting out a forthcoming study and the anticipated date for its submission in Australia. An open</w:t>
      </w:r>
      <w:r>
        <w:t xml:space="preserve"> l</w:t>
      </w:r>
      <w:r w:rsidRPr="00957516">
        <w:t>abel, multicent</w:t>
      </w:r>
      <w:r w:rsidR="00512A73">
        <w:t>re</w:t>
      </w:r>
      <w:r w:rsidRPr="00957516">
        <w:t xml:space="preserve"> study (998HB303) is currently planned to evaluate the safety and efficacy of Alprolix in the prevention and treatment of bleeding in previously untreated patients (PUPs) with severe haemophilia B. The study will end when 40 PUPs reach 100 EDs with Alprolix. It is estimated that the first subject</w:t>
      </w:r>
      <w:r>
        <w:t xml:space="preserve"> </w:t>
      </w:r>
      <w:r w:rsidRPr="00957516">
        <w:t>will be consented in late 2014 and that the study duration will be approximately 8 years.</w:t>
      </w:r>
    </w:p>
    <w:p w:rsidR="00BB1D34" w:rsidRPr="00862F71" w:rsidRDefault="00BB1D34" w:rsidP="00862F71">
      <w:pPr>
        <w:rPr>
          <w:b/>
          <w:i/>
        </w:rPr>
      </w:pPr>
      <w:bookmarkStart w:id="137" w:name="_Toc379445596"/>
      <w:r w:rsidRPr="00862F71">
        <w:rPr>
          <w:b/>
          <w:i/>
        </w:rPr>
        <w:t>Topic 4:</w:t>
      </w:r>
      <w:bookmarkEnd w:id="137"/>
      <w:r w:rsidRPr="00862F71">
        <w:rPr>
          <w:b/>
          <w:i/>
        </w:rPr>
        <w:t xml:space="preserve"> </w:t>
      </w:r>
      <w:r w:rsidR="000F2F0F" w:rsidRPr="00862F71">
        <w:rPr>
          <w:b/>
          <w:i/>
        </w:rPr>
        <w:t>In</w:t>
      </w:r>
      <w:r w:rsidR="00E30567" w:rsidRPr="00862F71">
        <w:rPr>
          <w:b/>
          <w:i/>
        </w:rPr>
        <w:t xml:space="preserve"> the Delegate’s o</w:t>
      </w:r>
      <w:r w:rsidRPr="00862F71">
        <w:rPr>
          <w:b/>
          <w:i/>
        </w:rPr>
        <w:t xml:space="preserve">verview, it was noted that the sponsor should address in </w:t>
      </w:r>
      <w:r w:rsidR="001F6ADA" w:rsidRPr="00862F71">
        <w:rPr>
          <w:b/>
          <w:i/>
        </w:rPr>
        <w:t xml:space="preserve">[this] </w:t>
      </w:r>
      <w:r w:rsidRPr="00862F71">
        <w:rPr>
          <w:b/>
          <w:i/>
        </w:rPr>
        <w:t xml:space="preserve">response whether there are known polymorphisms of the gene expressing </w:t>
      </w:r>
      <w:proofErr w:type="spellStart"/>
      <w:r w:rsidRPr="00862F71">
        <w:rPr>
          <w:b/>
          <w:i/>
        </w:rPr>
        <w:t>FcRn</w:t>
      </w:r>
      <w:proofErr w:type="spellEnd"/>
      <w:r w:rsidRPr="00862F71">
        <w:rPr>
          <w:b/>
          <w:i/>
        </w:rPr>
        <w:t xml:space="preserve"> that may predi</w:t>
      </w:r>
      <w:r w:rsidR="000F2F0F" w:rsidRPr="00862F71">
        <w:rPr>
          <w:b/>
          <w:i/>
        </w:rPr>
        <w:t xml:space="preserve">ctably affect </w:t>
      </w:r>
      <w:proofErr w:type="spellStart"/>
      <w:r w:rsidR="000F2F0F" w:rsidRPr="00862F71">
        <w:rPr>
          <w:b/>
          <w:i/>
        </w:rPr>
        <w:t>FcFIX</w:t>
      </w:r>
      <w:proofErr w:type="spellEnd"/>
      <w:r w:rsidR="000F2F0F" w:rsidRPr="00862F71">
        <w:rPr>
          <w:b/>
          <w:i/>
        </w:rPr>
        <w:t xml:space="preserve"> half-</w:t>
      </w:r>
      <w:r w:rsidRPr="00862F71">
        <w:rPr>
          <w:b/>
          <w:i/>
        </w:rPr>
        <w:t>life</w:t>
      </w:r>
      <w:r w:rsidR="00D52D50" w:rsidRPr="00862F71">
        <w:rPr>
          <w:b/>
          <w:i/>
        </w:rPr>
        <w:t>.</w:t>
      </w:r>
    </w:p>
    <w:p w:rsidR="00BB1D34" w:rsidRPr="00E30567" w:rsidRDefault="00E30567" w:rsidP="00862F71">
      <w:r w:rsidRPr="00E30567">
        <w:t>Sponsor response</w:t>
      </w:r>
      <w:r w:rsidR="001F6ADA">
        <w:t>:</w:t>
      </w:r>
    </w:p>
    <w:p w:rsidR="00BB1D34" w:rsidRDefault="00BB1D34" w:rsidP="004F50B8">
      <w:r w:rsidRPr="00BB1D34">
        <w:t xml:space="preserve">The </w:t>
      </w:r>
      <w:proofErr w:type="spellStart"/>
      <w:r w:rsidRPr="00BB1D34">
        <w:t>FcRn</w:t>
      </w:r>
      <w:proofErr w:type="spellEnd"/>
      <w:r w:rsidRPr="00BB1D34">
        <w:t xml:space="preserve"> is encoded by FCGRT, a 14 kb gene. Few data are available on the potential polymorphisms of FCGRT. A variable number tandem repeat (VNTR) located in the promoter of FCGRT has been described and its impact on </w:t>
      </w:r>
      <w:r w:rsidR="00D52D50">
        <w:t>monoclonal antibodies (</w:t>
      </w:r>
      <w:proofErr w:type="spellStart"/>
      <w:r w:rsidRPr="00BB1D34">
        <w:t>mAb</w:t>
      </w:r>
      <w:proofErr w:type="spellEnd"/>
      <w:r w:rsidR="00D52D50">
        <w:t>)</w:t>
      </w:r>
      <w:r w:rsidRPr="00BB1D34">
        <w:t xml:space="preserve"> PK was studied</w:t>
      </w:r>
      <w:r w:rsidR="000F2F0F">
        <w:rPr>
          <w:rStyle w:val="FootnoteReference"/>
        </w:rPr>
        <w:footnoteReference w:id="27"/>
      </w:r>
      <w:r w:rsidR="00C96628">
        <w:t xml:space="preserve">. </w:t>
      </w:r>
      <w:r w:rsidRPr="00BB1D34">
        <w:t xml:space="preserve">No effects were seen of VNTR genotype on elimination clearance or distribution volume of the </w:t>
      </w:r>
      <w:proofErr w:type="spellStart"/>
      <w:r w:rsidRPr="00BB1D34">
        <w:t>mAb</w:t>
      </w:r>
      <w:proofErr w:type="spellEnd"/>
      <w:r w:rsidR="000F2F0F">
        <w:rPr>
          <w:rStyle w:val="FootnoteReference"/>
        </w:rPr>
        <w:footnoteReference w:id="28"/>
      </w:r>
      <w:r w:rsidRPr="00BB1D34">
        <w:t>. Furthermore, it was reported that FCGRT is rarely affected by copy number variation (CNV). In the one individual who had 3 copies of FCGRT (all others had 2 copies)</w:t>
      </w:r>
      <w:proofErr w:type="gramStart"/>
      <w:r w:rsidRPr="00BB1D34">
        <w:t>,</w:t>
      </w:r>
      <w:proofErr w:type="gramEnd"/>
      <w:r w:rsidRPr="00BB1D34">
        <w:t xml:space="preserve"> the </w:t>
      </w:r>
      <w:proofErr w:type="spellStart"/>
      <w:r w:rsidRPr="00BB1D34">
        <w:t>mAb</w:t>
      </w:r>
      <w:proofErr w:type="spellEnd"/>
      <w:r w:rsidRPr="00BB1D34">
        <w:t xml:space="preserve"> concentrations and PK were no different than those with 2 copies of the gene. In conclusion, known polymorphisms of the FCGRT gene do not appear to affect half-life of </w:t>
      </w:r>
      <w:proofErr w:type="spellStart"/>
      <w:r w:rsidRPr="00BB1D34">
        <w:t>IgGs</w:t>
      </w:r>
      <w:proofErr w:type="spellEnd"/>
      <w:r w:rsidRPr="00BB1D34">
        <w:t xml:space="preserve"> and presumably Fc-containing proteins.</w:t>
      </w:r>
    </w:p>
    <w:p w:rsidR="001B158D" w:rsidRPr="004F50B8" w:rsidRDefault="001B158D" w:rsidP="004F50B8">
      <w:pPr>
        <w:rPr>
          <w:b/>
          <w:i/>
        </w:rPr>
      </w:pPr>
      <w:bookmarkStart w:id="138" w:name="_Toc379445598"/>
      <w:r w:rsidRPr="004F50B8">
        <w:rPr>
          <w:b/>
          <w:i/>
        </w:rPr>
        <w:t>Topic 5:</w:t>
      </w:r>
      <w:bookmarkEnd w:id="138"/>
      <w:r w:rsidRPr="004F50B8">
        <w:rPr>
          <w:b/>
          <w:i/>
        </w:rPr>
        <w:t xml:space="preserve"> </w:t>
      </w:r>
      <w:r w:rsidR="00D52D50" w:rsidRPr="004F50B8">
        <w:rPr>
          <w:b/>
          <w:i/>
        </w:rPr>
        <w:t>In</w:t>
      </w:r>
      <w:r w:rsidRPr="004F50B8">
        <w:rPr>
          <w:b/>
          <w:i/>
        </w:rPr>
        <w:t xml:space="preserve"> the Delegate’s </w:t>
      </w:r>
      <w:r w:rsidR="00E30567" w:rsidRPr="004F50B8">
        <w:rPr>
          <w:b/>
          <w:i/>
        </w:rPr>
        <w:t>o</w:t>
      </w:r>
      <w:r w:rsidRPr="004F50B8">
        <w:rPr>
          <w:b/>
          <w:i/>
        </w:rPr>
        <w:t xml:space="preserve">verview, it is noted that, </w:t>
      </w:r>
      <w:r w:rsidR="00E30567" w:rsidRPr="004F50B8">
        <w:rPr>
          <w:b/>
          <w:i/>
        </w:rPr>
        <w:t>‘</w:t>
      </w:r>
      <w:r w:rsidRPr="004F50B8">
        <w:rPr>
          <w:b/>
          <w:i/>
        </w:rPr>
        <w:t>tangentially, the sponsor’s website claims that interim paediatric data show a prolonged half-life of Alprolix in children, however, no data have been reviewed here</w:t>
      </w:r>
      <w:r w:rsidR="00E30567" w:rsidRPr="004F50B8">
        <w:rPr>
          <w:b/>
          <w:i/>
        </w:rPr>
        <w:t>’</w:t>
      </w:r>
      <w:r w:rsidRPr="004F50B8">
        <w:rPr>
          <w:b/>
          <w:i/>
        </w:rPr>
        <w:t>.</w:t>
      </w:r>
    </w:p>
    <w:p w:rsidR="001B158D" w:rsidRPr="00E30567" w:rsidRDefault="00E30567" w:rsidP="004F50B8">
      <w:r w:rsidRPr="00E30567">
        <w:t>Sponsor response</w:t>
      </w:r>
      <w:r w:rsidR="00F27FEF">
        <w:t>:</w:t>
      </w:r>
    </w:p>
    <w:p w:rsidR="001B158D" w:rsidRPr="001B158D" w:rsidRDefault="004E78D1" w:rsidP="004F50B8">
      <w:r>
        <w:t>The original marketing authoris</w:t>
      </w:r>
      <w:r w:rsidR="001B158D" w:rsidRPr="001B158D">
        <w:t xml:space="preserve">ation applications for Alprolix in the United States (US) and Australia included results from the Phase </w:t>
      </w:r>
      <w:r w:rsidR="001B158D">
        <w:t>III</w:t>
      </w:r>
      <w:r w:rsidR="001B158D" w:rsidRPr="001B158D">
        <w:t xml:space="preserve"> study (998HB102) demonstrating the safety and efficacy and prolonged PK of Alprolix in subjects 12 years of age</w:t>
      </w:r>
      <w:r w:rsidR="004F50B8">
        <w:t xml:space="preserve"> and older with haemophilia B.</w:t>
      </w:r>
    </w:p>
    <w:p w:rsidR="001B158D" w:rsidRPr="001B158D" w:rsidRDefault="001B158D" w:rsidP="004F50B8">
      <w:r w:rsidRPr="001B158D">
        <w:t xml:space="preserve">The US Food and Drug Administration (FDA) accepted </w:t>
      </w:r>
      <w:proofErr w:type="spellStart"/>
      <w:r w:rsidRPr="001B158D">
        <w:t>Biogen</w:t>
      </w:r>
      <w:proofErr w:type="spellEnd"/>
      <w:r w:rsidRPr="001B158D">
        <w:t xml:space="preserve"> Idec’s proposal to provide newly available interim pharmacokinetic (PK) data from the ongoing paediatric study (9HB02PED), as well as revised draft label</w:t>
      </w:r>
      <w:r w:rsidR="004E78D1">
        <w:t>l</w:t>
      </w:r>
      <w:r w:rsidRPr="001B158D">
        <w:t xml:space="preserve">ing broadening the indication to patients less than 12 years of age, during the initial review of the application. This interim paediatric PK data, which is referenced on </w:t>
      </w:r>
      <w:proofErr w:type="spellStart"/>
      <w:r w:rsidRPr="001B158D">
        <w:t>Biogen</w:t>
      </w:r>
      <w:proofErr w:type="spellEnd"/>
      <w:r w:rsidRPr="001B158D">
        <w:t xml:space="preserve"> Idec’s website, supports the extrapolation of the benefits of Alprolix observed in </w:t>
      </w:r>
      <w:proofErr w:type="gramStart"/>
      <w:r w:rsidRPr="001B158D">
        <w:t>subjects</w:t>
      </w:r>
      <w:proofErr w:type="gramEnd"/>
      <w:r w:rsidRPr="001B158D">
        <w:t xml:space="preserve"> </w:t>
      </w:r>
      <w:r w:rsidR="0072781B">
        <w:t>≥</w:t>
      </w:r>
      <w:r w:rsidRPr="001B158D">
        <w:t xml:space="preserve"> 12 years of age to patients </w:t>
      </w:r>
      <w:r w:rsidR="00F10BB3">
        <w:t>&lt;</w:t>
      </w:r>
      <w:r w:rsidRPr="001B158D">
        <w:t xml:space="preserve"> 12 years of age and enables guidance of dosing in these younger paediatric patients.</w:t>
      </w:r>
    </w:p>
    <w:p w:rsidR="001B158D" w:rsidRDefault="001B158D" w:rsidP="004F50B8">
      <w:proofErr w:type="spellStart"/>
      <w:r w:rsidRPr="001B158D">
        <w:t>Biogen</w:t>
      </w:r>
      <w:proofErr w:type="spellEnd"/>
      <w:r w:rsidRPr="001B158D">
        <w:t> Idec</w:t>
      </w:r>
      <w:r w:rsidR="00F27FEF">
        <w:t xml:space="preserve"> </w:t>
      </w:r>
      <w:r w:rsidRPr="001B158D">
        <w:t xml:space="preserve">plans to submit a post approval variation to the TGA for Alprolix, including data from the ongoing paediatric study (9HB02PED), as well as revised draft </w:t>
      </w:r>
      <w:r w:rsidR="00F27FEF" w:rsidRPr="001B158D">
        <w:t>labelling</w:t>
      </w:r>
      <w:r w:rsidRPr="001B158D">
        <w:t xml:space="preserve"> in order to amend the Alprolix indication to include patients </w:t>
      </w:r>
      <w:r w:rsidR="00F10BB3">
        <w:t>&lt;</w:t>
      </w:r>
      <w:r w:rsidRPr="001B158D">
        <w:t xml:space="preserve"> 12 years of age.</w:t>
      </w:r>
    </w:p>
    <w:p w:rsidR="00F27FEF" w:rsidRPr="001B158D" w:rsidRDefault="00F27FEF" w:rsidP="004F50B8">
      <w:r>
        <w:t>The remainder of the sponsor’s response addressed matters relating to PI revisions and is beyond the scope of the AusPAR.</w:t>
      </w:r>
    </w:p>
    <w:p w:rsidR="008E7846" w:rsidRDefault="004F50B8" w:rsidP="004F50B8">
      <w:pPr>
        <w:pStyle w:val="Heading4"/>
      </w:pPr>
      <w:r>
        <w:t>Advisory c</w:t>
      </w:r>
      <w:r w:rsidR="008E7846" w:rsidRPr="00604389">
        <w:t xml:space="preserve">ommittee </w:t>
      </w:r>
      <w:r>
        <w:t>c</w:t>
      </w:r>
      <w:r w:rsidR="008E7846" w:rsidRPr="00604389">
        <w:t>onsiderations</w:t>
      </w:r>
    </w:p>
    <w:p w:rsidR="008E7846" w:rsidRDefault="00D23139" w:rsidP="004F50B8">
      <w:r w:rsidRPr="00D23139">
        <w:t>The Advisory Committee on Prescription Medicines (ACPM), having considered the evaluations and the Delegate’s overview, as well as the sponsor’s response to these documents, advised the following:</w:t>
      </w:r>
    </w:p>
    <w:p w:rsidR="00AA28D3" w:rsidRPr="003E4C2F" w:rsidRDefault="00AA28D3" w:rsidP="004F50B8">
      <w:pPr>
        <w:rPr>
          <w:lang w:eastAsia="ja-JP"/>
        </w:rPr>
      </w:pPr>
      <w:r w:rsidRPr="003E4C2F">
        <w:rPr>
          <w:lang w:eastAsia="ja-JP"/>
        </w:rPr>
        <w:t>The submission seeks to register a new chemical entity.</w:t>
      </w:r>
    </w:p>
    <w:p w:rsidR="00AA28D3" w:rsidRPr="002F7C84" w:rsidRDefault="00AA28D3" w:rsidP="004F50B8">
      <w:pPr>
        <w:rPr>
          <w:lang w:eastAsia="ja-JP"/>
        </w:rPr>
      </w:pPr>
      <w:r w:rsidRPr="008827F7">
        <w:rPr>
          <w:lang w:eastAsia="ja-JP"/>
        </w:rPr>
        <w:t xml:space="preserve">The ACPM, taking into account the submitted evidence of efficacy, safety and quality, considered </w:t>
      </w:r>
      <w:r w:rsidR="00604389" w:rsidRPr="002F7C84">
        <w:rPr>
          <w:lang w:eastAsia="ja-JP"/>
        </w:rPr>
        <w:t xml:space="preserve">Alprolix </w:t>
      </w:r>
      <w:r w:rsidRPr="002F7C84">
        <w:rPr>
          <w:lang w:eastAsia="ja-JP"/>
        </w:rPr>
        <w:t>lyophilised powder for injection containing 250, 500, 1000, 2000, 3000 IU of eftrenonacog alfa</w:t>
      </w:r>
      <w:r>
        <w:rPr>
          <w:lang w:eastAsia="ja-JP"/>
        </w:rPr>
        <w:t xml:space="preserve"> </w:t>
      </w:r>
      <w:r w:rsidRPr="008827F7">
        <w:rPr>
          <w:lang w:eastAsia="ja-JP"/>
        </w:rPr>
        <w:t>to have an overall positive benefit</w:t>
      </w:r>
      <w:r w:rsidR="00637E32">
        <w:rPr>
          <w:lang w:eastAsia="ja-JP"/>
        </w:rPr>
        <w:t>-</w:t>
      </w:r>
      <w:r w:rsidRPr="008827F7">
        <w:rPr>
          <w:lang w:eastAsia="ja-JP"/>
        </w:rPr>
        <w:t>risk profile for the indication;</w:t>
      </w:r>
    </w:p>
    <w:p w:rsidR="00AA28D3" w:rsidRPr="004F50B8" w:rsidRDefault="00604389" w:rsidP="004F50B8">
      <w:pPr>
        <w:rPr>
          <w:i/>
        </w:rPr>
      </w:pPr>
      <w:r w:rsidRPr="004F50B8">
        <w:rPr>
          <w:i/>
        </w:rPr>
        <w:t xml:space="preserve">Alprolix </w:t>
      </w:r>
      <w:r w:rsidR="00AA28D3" w:rsidRPr="004F50B8">
        <w:rPr>
          <w:i/>
        </w:rPr>
        <w:t>is a long-acting anti-haemophilic factor (recombinant) indicated in adults and children (</w:t>
      </w:r>
      <w:r w:rsidR="00F10BB3" w:rsidRPr="004F50B8">
        <w:rPr>
          <w:i/>
        </w:rPr>
        <w:t>&gt;</w:t>
      </w:r>
      <w:r w:rsidR="00AA28D3" w:rsidRPr="004F50B8">
        <w:rPr>
          <w:i/>
        </w:rPr>
        <w:t>12 years) with haemophilia B (congenital factor IX deficiency) for:</w:t>
      </w:r>
    </w:p>
    <w:p w:rsidR="00AA28D3" w:rsidRPr="004F50B8" w:rsidRDefault="00AA28D3" w:rsidP="004F50B8">
      <w:pPr>
        <w:pStyle w:val="ListBullet"/>
        <w:rPr>
          <w:i/>
        </w:rPr>
      </w:pPr>
      <w:r w:rsidRPr="004F50B8">
        <w:rPr>
          <w:i/>
        </w:rPr>
        <w:t>Control and prevention of bleeding episodes</w:t>
      </w:r>
      <w:r w:rsidR="00F27FEF" w:rsidRPr="004F50B8">
        <w:rPr>
          <w:i/>
        </w:rPr>
        <w:t>;</w:t>
      </w:r>
    </w:p>
    <w:p w:rsidR="00AA28D3" w:rsidRPr="004F50B8" w:rsidRDefault="00AA28D3" w:rsidP="004F50B8">
      <w:pPr>
        <w:pStyle w:val="ListBullet"/>
        <w:rPr>
          <w:i/>
        </w:rPr>
      </w:pPr>
      <w:r w:rsidRPr="004F50B8">
        <w:rPr>
          <w:i/>
        </w:rPr>
        <w:t>Routine prophylaxis to prevent or reduce the frequency of bleeding episodes</w:t>
      </w:r>
      <w:r w:rsidR="00F27FEF" w:rsidRPr="004F50B8">
        <w:rPr>
          <w:i/>
        </w:rPr>
        <w:t>;</w:t>
      </w:r>
    </w:p>
    <w:p w:rsidR="00AA28D3" w:rsidRPr="004F50B8" w:rsidRDefault="00AA28D3" w:rsidP="004F50B8">
      <w:pPr>
        <w:pStyle w:val="ListBullet"/>
        <w:rPr>
          <w:i/>
        </w:rPr>
      </w:pPr>
      <w:r w:rsidRPr="004F50B8">
        <w:rPr>
          <w:i/>
        </w:rPr>
        <w:t>Perioperative management (surgical prophylaxis)</w:t>
      </w:r>
      <w:r w:rsidR="00393CA5" w:rsidRPr="004F50B8">
        <w:rPr>
          <w:i/>
        </w:rPr>
        <w:t>.</w:t>
      </w:r>
    </w:p>
    <w:p w:rsidR="00AA28D3" w:rsidRPr="004F50B8" w:rsidRDefault="00AA28D3" w:rsidP="004F50B8">
      <w:pPr>
        <w:pStyle w:val="Heading5"/>
        <w:rPr>
          <w:rFonts w:eastAsia="MS Mincho"/>
        </w:rPr>
      </w:pPr>
      <w:r w:rsidRPr="003E4C2F">
        <w:rPr>
          <w:rFonts w:eastAsia="MS Mincho"/>
          <w:lang w:eastAsia="ja-JP"/>
        </w:rPr>
        <w:t>Proposed conditions of registration:</w:t>
      </w:r>
    </w:p>
    <w:p w:rsidR="00AA28D3" w:rsidRPr="00E94EE5" w:rsidRDefault="00AA28D3" w:rsidP="004F50B8">
      <w:pPr>
        <w:rPr>
          <w:lang w:eastAsia="ja-JP"/>
        </w:rPr>
      </w:pPr>
      <w:r w:rsidRPr="003E4C2F">
        <w:rPr>
          <w:lang w:eastAsia="ja-JP"/>
        </w:rPr>
        <w:t xml:space="preserve">The ACPM agreed with the </w:t>
      </w:r>
      <w:r w:rsidR="004E78D1">
        <w:rPr>
          <w:lang w:eastAsia="ja-JP"/>
        </w:rPr>
        <w:t>D</w:t>
      </w:r>
      <w:r w:rsidRPr="003E4C2F">
        <w:rPr>
          <w:lang w:eastAsia="ja-JP"/>
        </w:rPr>
        <w:t>elegate on the propo</w:t>
      </w:r>
      <w:r w:rsidR="004F50B8">
        <w:rPr>
          <w:lang w:eastAsia="ja-JP"/>
        </w:rPr>
        <w:t>sed conditions of registration.</w:t>
      </w:r>
    </w:p>
    <w:p w:rsidR="00AA28D3" w:rsidRPr="003E4C2F" w:rsidRDefault="00AA28D3" w:rsidP="004F50B8">
      <w:pPr>
        <w:pStyle w:val="Heading5"/>
        <w:rPr>
          <w:rFonts w:eastAsia="MS Mincho"/>
          <w:u w:val="single"/>
          <w:lang w:eastAsia="ja-JP"/>
        </w:rPr>
      </w:pPr>
      <w:r w:rsidRPr="003E4C2F">
        <w:rPr>
          <w:rFonts w:eastAsia="MS Mincho"/>
          <w:lang w:eastAsia="ja-JP"/>
        </w:rPr>
        <w:t>Proposed Product Information (PI)/Consumer Medicine Information (CMI) amendments:</w:t>
      </w:r>
    </w:p>
    <w:p w:rsidR="00AA28D3" w:rsidRDefault="00910FA6" w:rsidP="004F50B8">
      <w:pPr>
        <w:rPr>
          <w:lang w:eastAsia="ja-JP"/>
        </w:rPr>
      </w:pPr>
      <w:r>
        <w:rPr>
          <w:lang w:eastAsia="ja-JP"/>
        </w:rPr>
        <w:t>The ACPM agreed with the D</w:t>
      </w:r>
      <w:r w:rsidR="00AA28D3" w:rsidRPr="003E4C2F">
        <w:rPr>
          <w:lang w:eastAsia="ja-JP"/>
        </w:rPr>
        <w:t xml:space="preserve">elegate to the proposed amendments to the PPI and CMI and specifically advised on </w:t>
      </w:r>
      <w:r w:rsidR="004F50B8">
        <w:rPr>
          <w:lang w:eastAsia="ja-JP"/>
        </w:rPr>
        <w:t>the inclusion of the following:</w:t>
      </w:r>
    </w:p>
    <w:p w:rsidR="00AA28D3" w:rsidRPr="00694C48" w:rsidRDefault="00AA28D3" w:rsidP="004F50B8">
      <w:pPr>
        <w:pStyle w:val="ListBullet"/>
      </w:pPr>
      <w:proofErr w:type="gramStart"/>
      <w:r w:rsidRPr="00DC2DCE">
        <w:t>a</w:t>
      </w:r>
      <w:proofErr w:type="gramEnd"/>
      <w:r w:rsidRPr="00DC2DCE">
        <w:t xml:space="preserve"> statement in t</w:t>
      </w:r>
      <w:r w:rsidRPr="00FF1FA8">
        <w:t xml:space="preserve">he </w:t>
      </w:r>
      <w:r w:rsidR="00910FA6" w:rsidRPr="00910FA6">
        <w:rPr>
          <w:i/>
        </w:rPr>
        <w:t>Dosage and Administration</w:t>
      </w:r>
      <w:r w:rsidR="00910FA6">
        <w:rPr>
          <w:caps/>
        </w:rPr>
        <w:t xml:space="preserve"> </w:t>
      </w:r>
      <w:r w:rsidRPr="004F50B8">
        <w:t>section</w:t>
      </w:r>
      <w:r w:rsidRPr="00FF1FA8">
        <w:t xml:space="preserve"> of the PI and relevant sections of the CMI regarding appropriate directions for use.</w:t>
      </w:r>
    </w:p>
    <w:p w:rsidR="00AA28D3" w:rsidRDefault="00AA28D3" w:rsidP="004F50B8">
      <w:pPr>
        <w:pStyle w:val="ListBullet"/>
      </w:pPr>
      <w:r>
        <w:t>A statement on travel advice in the PI.</w:t>
      </w:r>
    </w:p>
    <w:p w:rsidR="00AA28D3" w:rsidRPr="00694C48" w:rsidRDefault="00AA28D3" w:rsidP="004F50B8">
      <w:pPr>
        <w:pStyle w:val="ListBullet"/>
      </w:pPr>
      <w:r>
        <w:t xml:space="preserve">Amendment of the CMI to better reflect Australian circumstances and with reference to the standard CMI template and the Usability </w:t>
      </w:r>
      <w:r w:rsidRPr="004F50B8">
        <w:t>Guidelines</w:t>
      </w:r>
      <w:r>
        <w:t>.</w:t>
      </w:r>
    </w:p>
    <w:p w:rsidR="00AA28D3" w:rsidRPr="004F50B8" w:rsidRDefault="00C706D6" w:rsidP="004F50B8">
      <w:pPr>
        <w:pStyle w:val="Heading5"/>
        <w:rPr>
          <w:rFonts w:eastAsia="MS Mincho"/>
          <w:highlight w:val="yellow"/>
        </w:rPr>
      </w:pPr>
      <w:r>
        <w:rPr>
          <w:rFonts w:eastAsia="MS Mincho"/>
          <w:lang w:eastAsia="ja-JP"/>
        </w:rPr>
        <w:t>Specific a</w:t>
      </w:r>
      <w:r w:rsidR="00AA28D3" w:rsidRPr="003E4C2F">
        <w:rPr>
          <w:rFonts w:eastAsia="MS Mincho"/>
          <w:lang w:eastAsia="ja-JP"/>
        </w:rPr>
        <w:t>dvice:</w:t>
      </w:r>
    </w:p>
    <w:p w:rsidR="00AA28D3" w:rsidRPr="0073113A" w:rsidRDefault="00AA28D3" w:rsidP="004F50B8">
      <w:pPr>
        <w:rPr>
          <w:lang w:eastAsia="ja-JP"/>
        </w:rPr>
      </w:pPr>
      <w:r w:rsidRPr="0073113A">
        <w:rPr>
          <w:lang w:eastAsia="ja-JP"/>
        </w:rPr>
        <w:t xml:space="preserve">The committee </w:t>
      </w:r>
      <w:r w:rsidR="00393CA5">
        <w:rPr>
          <w:lang w:eastAsia="ja-JP"/>
        </w:rPr>
        <w:t>wa</w:t>
      </w:r>
      <w:r w:rsidRPr="0073113A">
        <w:rPr>
          <w:lang w:eastAsia="ja-JP"/>
        </w:rPr>
        <w:t>s requested to provide advice on the following specific issue:</w:t>
      </w:r>
    </w:p>
    <w:p w:rsidR="00AA28D3" w:rsidRPr="0073113A" w:rsidRDefault="00DF7EF8" w:rsidP="004F50B8">
      <w:pPr>
        <w:pStyle w:val="ListBullet"/>
        <w:rPr>
          <w:lang w:eastAsia="ja-JP"/>
        </w:rPr>
      </w:pPr>
      <w:r>
        <w:rPr>
          <w:lang w:eastAsia="ja-JP"/>
        </w:rPr>
        <w:t>In what h</w:t>
      </w:r>
      <w:r w:rsidR="00AA28D3" w:rsidRPr="0073113A">
        <w:rPr>
          <w:lang w:eastAsia="ja-JP"/>
        </w:rPr>
        <w:t xml:space="preserve">aemophilia B population if any does </w:t>
      </w:r>
      <w:proofErr w:type="spellStart"/>
      <w:r w:rsidR="00393CA5" w:rsidRPr="004F50B8">
        <w:t>Alprolix</w:t>
      </w:r>
      <w:proofErr w:type="spellEnd"/>
      <w:r w:rsidR="00393CA5" w:rsidRPr="0073113A">
        <w:rPr>
          <w:lang w:eastAsia="ja-JP"/>
        </w:rPr>
        <w:t xml:space="preserve"> </w:t>
      </w:r>
      <w:r w:rsidR="00AA28D3" w:rsidRPr="0073113A">
        <w:rPr>
          <w:lang w:eastAsia="ja-JP"/>
        </w:rPr>
        <w:t>have a positive benefit-risk balance?</w:t>
      </w:r>
    </w:p>
    <w:p w:rsidR="00AA28D3" w:rsidRDefault="00AA28D3" w:rsidP="004F50B8">
      <w:pPr>
        <w:rPr>
          <w:lang w:eastAsia="ja-JP"/>
        </w:rPr>
      </w:pPr>
      <w:r>
        <w:rPr>
          <w:lang w:eastAsia="ja-JP"/>
        </w:rPr>
        <w:t xml:space="preserve">The ACPM advised that the evidence submitted demonstrated </w:t>
      </w:r>
      <w:r w:rsidRPr="0073113A">
        <w:rPr>
          <w:lang w:eastAsia="ja-JP"/>
        </w:rPr>
        <w:t>a positive benefit-risk balance</w:t>
      </w:r>
      <w:r>
        <w:rPr>
          <w:lang w:eastAsia="ja-JP"/>
        </w:rPr>
        <w:t xml:space="preserve"> in the population delineated in the indication and derived</w:t>
      </w:r>
      <w:r w:rsidR="00910FA6">
        <w:rPr>
          <w:lang w:eastAsia="ja-JP"/>
        </w:rPr>
        <w:t xml:space="preserve"> from the clinical trials. The c</w:t>
      </w:r>
      <w:r>
        <w:rPr>
          <w:lang w:eastAsia="ja-JP"/>
        </w:rPr>
        <w:t>ommittee noted that although t</w:t>
      </w:r>
      <w:r w:rsidRPr="004C778D">
        <w:rPr>
          <w:lang w:eastAsia="ja-JP"/>
        </w:rPr>
        <w:t>he pivotal study was performed in heavily treatment experienced men and bo</w:t>
      </w:r>
      <w:r>
        <w:rPr>
          <w:lang w:eastAsia="ja-JP"/>
        </w:rPr>
        <w:t xml:space="preserve">ys with severe haemophilia B </w:t>
      </w:r>
      <w:r>
        <w:rPr>
          <w:rFonts w:cs="Cambria"/>
          <w:color w:val="000000"/>
        </w:rPr>
        <w:t xml:space="preserve">the ACPM was of the view that it is likely that </w:t>
      </w:r>
      <w:r w:rsidR="00393CA5" w:rsidRPr="0073113A">
        <w:rPr>
          <w:lang w:eastAsia="ja-JP"/>
        </w:rPr>
        <w:t xml:space="preserve">Alprolix </w:t>
      </w:r>
      <w:r>
        <w:rPr>
          <w:rFonts w:cs="Cambria"/>
          <w:color w:val="000000"/>
        </w:rPr>
        <w:t>will be shown to be effective in newly diagnosed patients in the</w:t>
      </w:r>
      <w:r w:rsidR="004F50B8">
        <w:rPr>
          <w:rFonts w:cs="Cambria"/>
          <w:color w:val="000000"/>
        </w:rPr>
        <w:t xml:space="preserve"> ongoing studies on that topic.</w:t>
      </w:r>
    </w:p>
    <w:p w:rsidR="00AA28D3" w:rsidRDefault="00AA28D3" w:rsidP="004F50B8">
      <w:pPr>
        <w:rPr>
          <w:highlight w:val="yellow"/>
          <w:lang w:eastAsia="ja-JP"/>
        </w:rPr>
      </w:pPr>
      <w:r>
        <w:rPr>
          <w:lang w:eastAsia="ja-JP"/>
        </w:rPr>
        <w:t xml:space="preserve">In addition, the ACPM noted that </w:t>
      </w:r>
      <w:r w:rsidR="00393CA5" w:rsidRPr="002F7C84">
        <w:rPr>
          <w:lang w:eastAsia="ja-JP"/>
        </w:rPr>
        <w:t>Alprolix</w:t>
      </w:r>
      <w:r w:rsidR="00393CA5">
        <w:rPr>
          <w:lang w:eastAsia="ja-JP"/>
        </w:rPr>
        <w:t xml:space="preserve"> </w:t>
      </w:r>
      <w:r>
        <w:rPr>
          <w:lang w:eastAsia="ja-JP"/>
        </w:rPr>
        <w:t xml:space="preserve">will be useful for patients on regular </w:t>
      </w:r>
      <w:r w:rsidRPr="00105F51">
        <w:rPr>
          <w:lang w:eastAsia="ja-JP"/>
        </w:rPr>
        <w:t>prophylaxis as</w:t>
      </w:r>
      <w:r w:rsidRPr="00105F51">
        <w:rPr>
          <w:rFonts w:asciiTheme="minorHAnsi" w:eastAsiaTheme="minorEastAsia" w:hAnsi="Calibri" w:cstheme="minorBidi"/>
          <w:kern w:val="24"/>
        </w:rPr>
        <w:t xml:space="preserve"> the </w:t>
      </w:r>
      <w:r>
        <w:rPr>
          <w:rFonts w:asciiTheme="minorHAnsi" w:eastAsiaTheme="minorEastAsia" w:hAnsi="Calibri" w:cstheme="minorBidi"/>
          <w:kern w:val="24"/>
        </w:rPr>
        <w:t>p</w:t>
      </w:r>
      <w:r w:rsidRPr="00105F51">
        <w:rPr>
          <w:lang w:eastAsia="ja-JP"/>
        </w:rPr>
        <w:t xml:space="preserve">rolongation of </w:t>
      </w:r>
      <w:r w:rsidR="008B2A23">
        <w:rPr>
          <w:lang w:eastAsia="ja-JP"/>
        </w:rPr>
        <w:t>‘</w:t>
      </w:r>
      <w:r w:rsidRPr="00105F51">
        <w:rPr>
          <w:lang w:eastAsia="ja-JP"/>
        </w:rPr>
        <w:t>effective</w:t>
      </w:r>
      <w:r w:rsidR="008B2A23">
        <w:rPr>
          <w:lang w:eastAsia="ja-JP"/>
        </w:rPr>
        <w:t>’</w:t>
      </w:r>
      <w:r w:rsidRPr="00105F51">
        <w:rPr>
          <w:lang w:eastAsia="ja-JP"/>
        </w:rPr>
        <w:t xml:space="preserve"> factor IX levels reduces exposure to bleeding risk</w:t>
      </w:r>
      <w:r>
        <w:rPr>
          <w:lang w:eastAsia="ja-JP"/>
        </w:rPr>
        <w:t>. For patients using on</w:t>
      </w:r>
      <w:r w:rsidR="008B2A23">
        <w:rPr>
          <w:lang w:eastAsia="ja-JP"/>
        </w:rPr>
        <w:t>-</w:t>
      </w:r>
      <w:r>
        <w:rPr>
          <w:lang w:eastAsia="ja-JP"/>
        </w:rPr>
        <w:t xml:space="preserve">demand therapy, there may be benefits from the more prolonged </w:t>
      </w:r>
      <w:r w:rsidR="008B2A23">
        <w:rPr>
          <w:lang w:eastAsia="ja-JP"/>
        </w:rPr>
        <w:t>‘</w:t>
      </w:r>
      <w:r w:rsidRPr="00105F51">
        <w:rPr>
          <w:lang w:eastAsia="ja-JP"/>
        </w:rPr>
        <w:t>effective</w:t>
      </w:r>
      <w:r w:rsidR="008B2A23">
        <w:rPr>
          <w:lang w:eastAsia="ja-JP"/>
        </w:rPr>
        <w:t>’</w:t>
      </w:r>
      <w:r w:rsidRPr="00105F51">
        <w:rPr>
          <w:lang w:eastAsia="ja-JP"/>
        </w:rPr>
        <w:t xml:space="preserve"> factor IX levels</w:t>
      </w:r>
      <w:r>
        <w:rPr>
          <w:lang w:eastAsia="ja-JP"/>
        </w:rPr>
        <w:t xml:space="preserve"> as well as a reduction in infusions to treat bleeding episodes. The ACPM also considered that it was reasonable</w:t>
      </w:r>
      <w:r w:rsidRPr="00365800">
        <w:rPr>
          <w:lang w:eastAsia="ja-JP"/>
        </w:rPr>
        <w:t xml:space="preserve"> to extend</w:t>
      </w:r>
      <w:r>
        <w:rPr>
          <w:lang w:eastAsia="ja-JP"/>
        </w:rPr>
        <w:t xml:space="preserve"> availability of product to </w:t>
      </w:r>
      <w:r w:rsidRPr="00365800">
        <w:rPr>
          <w:lang w:eastAsia="ja-JP"/>
        </w:rPr>
        <w:t xml:space="preserve">children under the age of 12 years as </w:t>
      </w:r>
      <w:r>
        <w:rPr>
          <w:lang w:eastAsia="ja-JP"/>
        </w:rPr>
        <w:t xml:space="preserve">this patient group is included in the extension study (Study </w:t>
      </w:r>
      <w:r w:rsidRPr="00EF5C79">
        <w:rPr>
          <w:lang w:eastAsia="ja-JP"/>
        </w:rPr>
        <w:t>9HB01EXT</w:t>
      </w:r>
      <w:r>
        <w:rPr>
          <w:lang w:eastAsia="ja-JP"/>
        </w:rPr>
        <w:t>).</w:t>
      </w:r>
    </w:p>
    <w:p w:rsidR="00AA28D3" w:rsidRPr="0073113A" w:rsidRDefault="00AA28D3" w:rsidP="004F50B8">
      <w:pPr>
        <w:pStyle w:val="ListBullet"/>
        <w:rPr>
          <w:lang w:eastAsia="ja-JP"/>
        </w:rPr>
      </w:pPr>
      <w:r w:rsidRPr="0073113A">
        <w:rPr>
          <w:lang w:eastAsia="ja-JP"/>
        </w:rPr>
        <w:t>If a population with positive benefit-risk balance can be defined, then:</w:t>
      </w:r>
    </w:p>
    <w:p w:rsidR="00AA28D3" w:rsidRPr="0073113A" w:rsidRDefault="00AA28D3" w:rsidP="004F50B8">
      <w:pPr>
        <w:pStyle w:val="ListBullet2"/>
        <w:rPr>
          <w:lang w:eastAsia="ja-JP"/>
        </w:rPr>
      </w:pPr>
      <w:r w:rsidRPr="0073113A">
        <w:rPr>
          <w:lang w:eastAsia="ja-JP"/>
        </w:rPr>
        <w:t xml:space="preserve">Is evidence sufficient to support dosing using the 100 IU/kg dose </w:t>
      </w:r>
      <w:r w:rsidRPr="004F50B8">
        <w:t>at</w:t>
      </w:r>
      <w:r w:rsidRPr="0073113A">
        <w:rPr>
          <w:lang w:eastAsia="ja-JP"/>
        </w:rPr>
        <w:t xml:space="preserve"> intervals </w:t>
      </w:r>
      <w:r w:rsidR="00F10BB3">
        <w:rPr>
          <w:lang w:eastAsia="ja-JP"/>
        </w:rPr>
        <w:t>&gt;</w:t>
      </w:r>
      <w:r w:rsidR="00894DAC">
        <w:rPr>
          <w:lang w:eastAsia="ja-JP"/>
        </w:rPr>
        <w:t> </w:t>
      </w:r>
      <w:r w:rsidRPr="0073113A">
        <w:rPr>
          <w:lang w:eastAsia="ja-JP"/>
        </w:rPr>
        <w:t>14</w:t>
      </w:r>
      <w:r>
        <w:rPr>
          <w:lang w:eastAsia="ja-JP"/>
        </w:rPr>
        <w:t> </w:t>
      </w:r>
      <w:r w:rsidRPr="0073113A">
        <w:rPr>
          <w:lang w:eastAsia="ja-JP"/>
        </w:rPr>
        <w:t>days?</w:t>
      </w:r>
    </w:p>
    <w:p w:rsidR="00AA28D3" w:rsidRDefault="00AA28D3" w:rsidP="004F50B8">
      <w:pPr>
        <w:rPr>
          <w:highlight w:val="yellow"/>
          <w:lang w:eastAsia="ja-JP"/>
        </w:rPr>
      </w:pPr>
      <w:r>
        <w:rPr>
          <w:lang w:eastAsia="ja-JP"/>
        </w:rPr>
        <w:t xml:space="preserve">The ACPM noted that in Arm </w:t>
      </w:r>
      <w:r w:rsidR="008B2A23">
        <w:rPr>
          <w:lang w:eastAsia="ja-JP"/>
        </w:rPr>
        <w:t>2</w:t>
      </w:r>
      <w:r>
        <w:rPr>
          <w:lang w:eastAsia="ja-JP"/>
        </w:rPr>
        <w:t xml:space="preserve"> of the pivotal study (Study </w:t>
      </w:r>
      <w:r w:rsidRPr="00EF5C79">
        <w:rPr>
          <w:lang w:eastAsia="ja-JP"/>
        </w:rPr>
        <w:t>99HB102</w:t>
      </w:r>
      <w:r>
        <w:rPr>
          <w:lang w:eastAsia="ja-JP"/>
        </w:rPr>
        <w:t>)</w:t>
      </w:r>
      <w:r w:rsidRPr="00EF5C79">
        <w:rPr>
          <w:lang w:eastAsia="ja-JP"/>
        </w:rPr>
        <w:t>, with dosing base</w:t>
      </w:r>
      <w:r>
        <w:rPr>
          <w:lang w:eastAsia="ja-JP"/>
        </w:rPr>
        <w:t xml:space="preserve">d on a target of </w:t>
      </w:r>
      <w:r w:rsidR="00F10BB3">
        <w:rPr>
          <w:lang w:eastAsia="ja-JP"/>
        </w:rPr>
        <w:t>&gt;</w:t>
      </w:r>
      <w:r w:rsidR="008B2A23">
        <w:rPr>
          <w:lang w:eastAsia="ja-JP"/>
        </w:rPr>
        <w:t xml:space="preserve"> </w:t>
      </w:r>
      <w:r>
        <w:rPr>
          <w:lang w:eastAsia="ja-JP"/>
        </w:rPr>
        <w:t>3% of normal factor IX levels, the mean</w:t>
      </w:r>
      <w:r w:rsidRPr="00EF5C79">
        <w:rPr>
          <w:lang w:eastAsia="ja-JP"/>
        </w:rPr>
        <w:t xml:space="preserve"> number of days between infusions was 13 with annualised bleeding rates comparable to prior prophylactic therapy. However, the </w:t>
      </w:r>
      <w:r>
        <w:rPr>
          <w:lang w:eastAsia="ja-JP"/>
        </w:rPr>
        <w:t>evidence suggests</w:t>
      </w:r>
      <w:r w:rsidRPr="00EF5C79">
        <w:rPr>
          <w:lang w:eastAsia="ja-JP"/>
        </w:rPr>
        <w:t xml:space="preserve"> that bleeding episodes were </w:t>
      </w:r>
      <w:r>
        <w:rPr>
          <w:lang w:eastAsia="ja-JP"/>
        </w:rPr>
        <w:t xml:space="preserve">significantly less likely when factor </w:t>
      </w:r>
      <w:r w:rsidRPr="00EF5C79">
        <w:rPr>
          <w:lang w:eastAsia="ja-JP"/>
        </w:rPr>
        <w:t xml:space="preserve">IX levels were </w:t>
      </w:r>
      <w:r w:rsidR="00F10BB3">
        <w:rPr>
          <w:lang w:eastAsia="ja-JP"/>
        </w:rPr>
        <w:t>&gt;</w:t>
      </w:r>
      <w:r w:rsidRPr="00EF5C79">
        <w:rPr>
          <w:lang w:eastAsia="ja-JP"/>
        </w:rPr>
        <w:t xml:space="preserve"> 10%. </w:t>
      </w:r>
      <w:r w:rsidRPr="008B2A23">
        <w:rPr>
          <w:rFonts w:cs="Cambria"/>
          <w:color w:val="000000"/>
        </w:rPr>
        <w:t>The ACPM considered that pharmacokinetic data and information on the timing of bleeding episodes in patients in Arm 2 could potentially support extension of dosing beyond 14 days</w:t>
      </w:r>
      <w:r w:rsidR="008B2A23">
        <w:rPr>
          <w:rFonts w:ascii="Times New Roman" w:hAnsi="Times New Roman"/>
          <w:color w:val="000000"/>
        </w:rPr>
        <w:t>.</w:t>
      </w:r>
    </w:p>
    <w:p w:rsidR="00AA28D3" w:rsidRPr="003E4C2F" w:rsidRDefault="00AA28D3" w:rsidP="004F50B8">
      <w:pPr>
        <w:rPr>
          <w:lang w:eastAsia="ja-JP"/>
        </w:rPr>
      </w:pPr>
      <w:r w:rsidRPr="003E4C2F">
        <w:rPr>
          <w:lang w:eastAsia="ja-JP"/>
        </w:rPr>
        <w:t>The ACPM advised that the implementation by the sponsor of the recommendations outlined above to the satisfaction of the TGA, in addition to the evidence of efficacy and safety provided would support the safe and e</w:t>
      </w:r>
      <w:r w:rsidR="004F50B8">
        <w:rPr>
          <w:lang w:eastAsia="ja-JP"/>
        </w:rPr>
        <w:t>ffective use of these products.</w:t>
      </w:r>
    </w:p>
    <w:p w:rsidR="008E7846" w:rsidRPr="004F50B8" w:rsidRDefault="008E7846" w:rsidP="004F50B8">
      <w:pPr>
        <w:pStyle w:val="Heading3"/>
      </w:pPr>
      <w:bookmarkStart w:id="139" w:name="_Toc247691532"/>
      <w:bookmarkStart w:id="140" w:name="_Toc314842516"/>
      <w:bookmarkStart w:id="141" w:name="_Toc404068946"/>
      <w:bookmarkEnd w:id="95"/>
      <w:bookmarkEnd w:id="128"/>
      <w:bookmarkEnd w:id="129"/>
      <w:r>
        <w:t>Outcome</w:t>
      </w:r>
      <w:bookmarkEnd w:id="139"/>
      <w:bookmarkEnd w:id="140"/>
      <w:bookmarkEnd w:id="141"/>
    </w:p>
    <w:p w:rsidR="00FA11B2" w:rsidRDefault="00D23139" w:rsidP="004F50B8">
      <w:bookmarkStart w:id="142" w:name="_Toc247691533"/>
      <w:bookmarkStart w:id="143" w:name="_Toc314842517"/>
      <w:r w:rsidRPr="00FA11B2">
        <w:t xml:space="preserve">Based on a review of quality, safety and efficacy, TGA approved the registration of </w:t>
      </w:r>
      <w:r w:rsidR="00FA11B2" w:rsidRPr="00FA11B2">
        <w:t>Alprolix powder for injection</w:t>
      </w:r>
      <w:r w:rsidR="00910FA6">
        <w:t>,</w:t>
      </w:r>
      <w:r w:rsidR="00FA11B2" w:rsidRPr="00FA11B2">
        <w:t xml:space="preserve"> </w:t>
      </w:r>
      <w:r w:rsidR="00910FA6">
        <w:t xml:space="preserve">containing </w:t>
      </w:r>
      <w:r w:rsidR="00910FA6" w:rsidRPr="00910FA6">
        <w:t>eftrenonacog alfa</w:t>
      </w:r>
      <w:r w:rsidR="00910FA6">
        <w:t xml:space="preserve"> 250 IU, 500 IU, 1000 IU, 2000 IU and 3000 IU</w:t>
      </w:r>
      <w:r w:rsidR="00910FA6" w:rsidRPr="00910FA6">
        <w:t xml:space="preserve"> </w:t>
      </w:r>
      <w:r w:rsidR="00FA11B2" w:rsidRPr="00FA11B2">
        <w:t>and diluent</w:t>
      </w:r>
      <w:r w:rsidRPr="00FA11B2">
        <w:t>, indicated for:</w:t>
      </w:r>
    </w:p>
    <w:p w:rsidR="00FA11B2" w:rsidRPr="004F50B8" w:rsidRDefault="00C706D6" w:rsidP="004F50B8">
      <w:pPr>
        <w:rPr>
          <w:i/>
        </w:rPr>
      </w:pPr>
      <w:r w:rsidRPr="004F50B8">
        <w:rPr>
          <w:i/>
        </w:rPr>
        <w:t xml:space="preserve">Alprolix is a long acting </w:t>
      </w:r>
      <w:r w:rsidR="00FA11B2" w:rsidRPr="004F50B8">
        <w:rPr>
          <w:i/>
        </w:rPr>
        <w:t>anti-haemophilic factor (recombinant) indicated in adults and children (</w:t>
      </w:r>
      <w:r w:rsidR="00910FA6" w:rsidRPr="004F50B8">
        <w:rPr>
          <w:i/>
        </w:rPr>
        <w:t>≥</w:t>
      </w:r>
      <w:r w:rsidR="00531E8D" w:rsidRPr="004F50B8">
        <w:rPr>
          <w:i/>
        </w:rPr>
        <w:t xml:space="preserve"> </w:t>
      </w:r>
      <w:r w:rsidR="00FA11B2" w:rsidRPr="004F50B8">
        <w:rPr>
          <w:i/>
        </w:rPr>
        <w:t>12</w:t>
      </w:r>
      <w:r w:rsidR="00910FA6" w:rsidRPr="004F50B8">
        <w:rPr>
          <w:i/>
        </w:rPr>
        <w:t xml:space="preserve"> </w:t>
      </w:r>
      <w:r w:rsidR="00FA11B2" w:rsidRPr="004F50B8">
        <w:rPr>
          <w:i/>
        </w:rPr>
        <w:t>years) with haemophilia B (congenital factor IX deficiency) for:</w:t>
      </w:r>
    </w:p>
    <w:p w:rsidR="00FA11B2" w:rsidRPr="004F50B8" w:rsidRDefault="00FA11B2" w:rsidP="004F50B8">
      <w:pPr>
        <w:pStyle w:val="ListBullet"/>
        <w:rPr>
          <w:i/>
        </w:rPr>
      </w:pPr>
      <w:r w:rsidRPr="004F50B8">
        <w:rPr>
          <w:i/>
        </w:rPr>
        <w:t xml:space="preserve">Control and </w:t>
      </w:r>
      <w:r w:rsidR="00910FA6" w:rsidRPr="004F50B8">
        <w:rPr>
          <w:i/>
        </w:rPr>
        <w:t>prevention of bleeding episodes;</w:t>
      </w:r>
    </w:p>
    <w:p w:rsidR="00FA11B2" w:rsidRPr="004F50B8" w:rsidRDefault="00FA11B2" w:rsidP="004F50B8">
      <w:pPr>
        <w:pStyle w:val="ListBullet"/>
        <w:rPr>
          <w:i/>
        </w:rPr>
      </w:pPr>
      <w:r w:rsidRPr="004F50B8">
        <w:rPr>
          <w:i/>
        </w:rPr>
        <w:t>Routine prophylaxis to prevent or reduce the</w:t>
      </w:r>
      <w:r w:rsidR="00910FA6" w:rsidRPr="004F50B8">
        <w:rPr>
          <w:i/>
        </w:rPr>
        <w:t xml:space="preserve"> frequency of bleeding episodes;</w:t>
      </w:r>
    </w:p>
    <w:p w:rsidR="00FA11B2" w:rsidRPr="004F50B8" w:rsidRDefault="00FA11B2" w:rsidP="004F50B8">
      <w:pPr>
        <w:pStyle w:val="ListBullet"/>
        <w:rPr>
          <w:i/>
        </w:rPr>
      </w:pPr>
      <w:r w:rsidRPr="004F50B8">
        <w:rPr>
          <w:i/>
        </w:rPr>
        <w:t>Perioperative ma</w:t>
      </w:r>
      <w:r w:rsidR="00C706D6" w:rsidRPr="004F50B8">
        <w:rPr>
          <w:i/>
        </w:rPr>
        <w:t>nagement (surgical prophylaxis)</w:t>
      </w:r>
    </w:p>
    <w:p w:rsidR="00D23139" w:rsidRPr="00D23139" w:rsidRDefault="00D23139" w:rsidP="004F50B8">
      <w:pPr>
        <w:pStyle w:val="Heading4"/>
      </w:pPr>
      <w:r w:rsidRPr="00D23139">
        <w:t xml:space="preserve">Specific conditions of registration applying to </w:t>
      </w:r>
      <w:r w:rsidRPr="004F50B8">
        <w:t>these</w:t>
      </w:r>
      <w:r w:rsidRPr="00D23139">
        <w:t xml:space="preserve"> goods</w:t>
      </w:r>
    </w:p>
    <w:p w:rsidR="00F63DA0" w:rsidRDefault="00F63DA0" w:rsidP="004F50B8">
      <w:pPr>
        <w:pStyle w:val="ListBullet"/>
      </w:pPr>
      <w:r w:rsidRPr="008D7D3F">
        <w:t xml:space="preserve">The ALPROLIX Risk Management Plan, </w:t>
      </w:r>
      <w:proofErr w:type="spellStart"/>
      <w:r w:rsidRPr="008D7D3F">
        <w:t>Aus</w:t>
      </w:r>
      <w:proofErr w:type="spellEnd"/>
      <w:r w:rsidR="00910FA6">
        <w:t>-</w:t>
      </w:r>
      <w:r w:rsidRPr="008D7D3F">
        <w:t xml:space="preserve">RMP </w:t>
      </w:r>
      <w:r w:rsidRPr="004F50B8">
        <w:t>version</w:t>
      </w:r>
      <w:r w:rsidRPr="008D7D3F">
        <w:t xml:space="preserve"> 1</w:t>
      </w:r>
      <w:r w:rsidR="00531E8D" w:rsidRPr="008D7D3F">
        <w:t xml:space="preserve"> </w:t>
      </w:r>
      <w:r w:rsidRPr="008D7D3F">
        <w:t>(data lock point 15 October 2012) and any future updates, as agreed with the TGA will be implemented in Australia</w:t>
      </w:r>
      <w:r w:rsidR="00CD74DC" w:rsidRPr="008D7D3F">
        <w:t>.</w:t>
      </w:r>
    </w:p>
    <w:p w:rsidR="00910FA6" w:rsidRPr="008D7D3F" w:rsidRDefault="00910FA6" w:rsidP="004F50B8">
      <w:r>
        <w:t>Details of additional specific conditions of registration applying to these goods are beyond the scope of the AusPAR.</w:t>
      </w:r>
    </w:p>
    <w:p w:rsidR="008E7846" w:rsidRDefault="008E7846" w:rsidP="004F50B8">
      <w:pPr>
        <w:pStyle w:val="Heading2"/>
      </w:pPr>
      <w:bookmarkStart w:id="144" w:name="_Toc404068947"/>
      <w:proofErr w:type="gramStart"/>
      <w:r>
        <w:t>Attachment 1.</w:t>
      </w:r>
      <w:proofErr w:type="gramEnd"/>
      <w:r w:rsidR="004F50B8">
        <w:t xml:space="preserve"> </w:t>
      </w:r>
      <w:r>
        <w:t xml:space="preserve">Product </w:t>
      </w:r>
      <w:r w:rsidR="00AA0ED0">
        <w:t>I</w:t>
      </w:r>
      <w:r>
        <w:t>nformation</w:t>
      </w:r>
      <w:bookmarkEnd w:id="142"/>
      <w:bookmarkEnd w:id="143"/>
      <w:bookmarkEnd w:id="144"/>
    </w:p>
    <w:p w:rsidR="00170658" w:rsidRDefault="002B3624" w:rsidP="004F50B8">
      <w:pPr>
        <w:rPr>
          <w:rFonts w:ascii="Arial" w:eastAsia="Times New Roman" w:hAnsi="Arial"/>
          <w:b/>
          <w:bCs/>
          <w:sz w:val="32"/>
          <w:szCs w:val="26"/>
          <w:lang w:eastAsia="en-AU"/>
        </w:rPr>
      </w:pPr>
      <w:r w:rsidRPr="002B3624">
        <w:t xml:space="preserve">The Product Information approved for </w:t>
      </w:r>
      <w:r w:rsidR="004E78D1">
        <w:t>Alprolix</w:t>
      </w:r>
      <w:r w:rsidRPr="002B3624">
        <w:t xml:space="preserve"> at the time this AusPAR was published is at Attachment 1. For the most recent Product Information please refer to the TGA website at &lt;</w:t>
      </w:r>
      <w:hyperlink r:id="rId19" w:history="1">
        <w:r w:rsidRPr="000734D8">
          <w:rPr>
            <w:rStyle w:val="Hyperlink"/>
          </w:rPr>
          <w:t>http://www.tga.gov.au/hp/information-medicines-pi.htm</w:t>
        </w:r>
      </w:hyperlink>
      <w:r w:rsidR="004E78D1">
        <w:t>&gt;.</w:t>
      </w:r>
    </w:p>
    <w:p w:rsidR="001C32CD" w:rsidRDefault="00C80137" w:rsidP="004F50B8">
      <w:pPr>
        <w:pStyle w:val="Heading2"/>
        <w:rPr>
          <w:lang w:eastAsia="ja-JP"/>
        </w:rPr>
      </w:pPr>
      <w:bookmarkStart w:id="145" w:name="_Toc404068948"/>
      <w:proofErr w:type="gramStart"/>
      <w:r>
        <w:rPr>
          <w:lang w:eastAsia="en-AU"/>
        </w:rPr>
        <w:t>Attachment 2.</w:t>
      </w:r>
      <w:proofErr w:type="gramEnd"/>
      <w:r>
        <w:rPr>
          <w:lang w:eastAsia="en-AU"/>
        </w:rPr>
        <w:t xml:space="preserve"> Extract from the Clinical Evaluation Report</w:t>
      </w:r>
      <w:bookmarkEnd w:id="145"/>
    </w:p>
    <w:p w:rsidR="00291957" w:rsidRDefault="00291957" w:rsidP="00291957">
      <w:pPr>
        <w:rPr>
          <w:lang w:eastAsia="ja-JP"/>
        </w:rPr>
      </w:pPr>
    </w:p>
    <w:p w:rsidR="00C80137" w:rsidRPr="001D043B" w:rsidRDefault="00C80137" w:rsidP="003A7F6C">
      <w:pPr>
        <w:pStyle w:val="TableTitle"/>
        <w:sectPr w:rsidR="00C80137" w:rsidRPr="001D043B" w:rsidSect="00570FA7">
          <w:headerReference w:type="even" r:id="rId20"/>
          <w:headerReference w:type="default" r:id="rId21"/>
          <w:headerReference w:type="first" r:id="rId22"/>
          <w:footerReference w:type="first" r:id="rId23"/>
          <w:type w:val="continuous"/>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EF4537">
        <w:trPr>
          <w:trHeight w:hRule="exact" w:val="704"/>
        </w:trPr>
        <w:tc>
          <w:tcPr>
            <w:tcW w:w="9175" w:type="dxa"/>
          </w:tcPr>
          <w:p w:rsidR="001C32CD" w:rsidRPr="00487162" w:rsidRDefault="001C32CD" w:rsidP="00EF4537">
            <w:pPr>
              <w:pStyle w:val="TGASignoff"/>
            </w:pPr>
            <w:r w:rsidRPr="00487162">
              <w:t>Therapeutic Goods Administration</w:t>
            </w:r>
          </w:p>
        </w:tc>
      </w:tr>
      <w:tr w:rsidR="001C32CD" w:rsidRPr="004C239D" w:rsidTr="00EF4537">
        <w:trPr>
          <w:trHeight w:val="1221"/>
        </w:trPr>
        <w:tc>
          <w:tcPr>
            <w:tcW w:w="9175" w:type="dxa"/>
            <w:tcMar>
              <w:top w:w="28" w:type="dxa"/>
            </w:tcMar>
          </w:tcPr>
          <w:p w:rsidR="001C32CD" w:rsidRPr="00487162" w:rsidRDefault="001C32CD" w:rsidP="00EF4537">
            <w:pPr>
              <w:pStyle w:val="Address"/>
            </w:pPr>
            <w:r w:rsidRPr="00487162">
              <w:t>PO Box 100 Woden ACT 2606 Australia</w:t>
            </w:r>
          </w:p>
          <w:p w:rsidR="001C32CD" w:rsidRPr="00487162" w:rsidRDefault="001C32CD" w:rsidP="00EF4537">
            <w:pPr>
              <w:pStyle w:val="Address"/>
            </w:pPr>
            <w:r w:rsidRPr="00487162">
              <w:t xml:space="preserve">Email: </w:t>
            </w:r>
            <w:hyperlink r:id="rId24" w:history="1">
              <w:r w:rsidRPr="004C239D">
                <w:rPr>
                  <w:rStyle w:val="Hyperlink"/>
                </w:rPr>
                <w:t>info@tga.gov.au</w:t>
              </w:r>
            </w:hyperlink>
            <w:r w:rsidRPr="00487162">
              <w:t xml:space="preserve">  Phone: 1800 020 653  Fax: 02 6232 8605</w:t>
            </w:r>
          </w:p>
          <w:p w:rsidR="001C32CD" w:rsidRPr="004C239D" w:rsidRDefault="00465E82" w:rsidP="00EF4537">
            <w:pPr>
              <w:pStyle w:val="Address"/>
              <w:spacing w:line="260" w:lineRule="atLeast"/>
              <w:rPr>
                <w:b/>
                <w:color w:val="0000FF"/>
                <w:u w:val="single"/>
              </w:rPr>
            </w:pPr>
            <w:hyperlink r:id="rId25"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26"/>
      <w:headerReference w:type="default" r:id="rId27"/>
      <w:footerReference w:type="default" r:id="rId28"/>
      <w:headerReference w:type="first" r:id="rId29"/>
      <w:footerReference w:type="first" r:id="rId3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E82" w:rsidRDefault="00465E82" w:rsidP="00C40A36">
      <w:pPr>
        <w:spacing w:after="0"/>
      </w:pPr>
      <w:r>
        <w:separator/>
      </w:r>
    </w:p>
  </w:endnote>
  <w:endnote w:type="continuationSeparator" w:id="0">
    <w:p w:rsidR="00465E82" w:rsidRDefault="00465E8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µ'30'48ﬁˇøË–">
    <w:altName w:val="Cambria"/>
    <w:panose1 w:val="00000000000000000000"/>
    <w:charset w:val="4D"/>
    <w:family w:val="auto"/>
    <w:notTrueType/>
    <w:pitch w:val="default"/>
    <w:sig w:usb0="00000003" w:usb1="00000000" w:usb2="00000000" w:usb3="00000000" w:csb0="00000001" w:csb1="00000000"/>
  </w:font>
  <w:font w:name="TimesNewRoman">
    <w:altName w:val="Arial Unicode MS"/>
    <w:panose1 w:val="00000000000000000000"/>
    <w:charset w:val="00"/>
    <w:family w:val="auto"/>
    <w:notTrueType/>
    <w:pitch w:val="default"/>
    <w:sig w:usb0="00000083" w:usb1="090F0000" w:usb2="00000010" w:usb3="00000000" w:csb0="001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65E82" w:rsidRPr="00487162" w:rsidTr="00DB750B">
      <w:trPr>
        <w:trHeight w:val="269"/>
      </w:trPr>
      <w:tc>
        <w:tcPr>
          <w:tcW w:w="7371" w:type="dxa"/>
          <w:tcMar>
            <w:top w:w="142" w:type="dxa"/>
            <w:bottom w:w="0" w:type="dxa"/>
          </w:tcMar>
        </w:tcPr>
        <w:p w:rsidR="00465E82" w:rsidRPr="00487162" w:rsidRDefault="00465E82" w:rsidP="008645C9">
          <w:pPr>
            <w:pStyle w:val="Footer"/>
          </w:pPr>
          <w:r w:rsidRPr="00487162">
            <w:t xml:space="preserve">AusPAR </w:t>
          </w:r>
          <w:proofErr w:type="spellStart"/>
          <w:r>
            <w:t>Alprolix</w:t>
          </w:r>
          <w:proofErr w:type="spellEnd"/>
          <w:r w:rsidRPr="00487162">
            <w:t xml:space="preserve"> </w:t>
          </w:r>
          <w:proofErr w:type="spellStart"/>
          <w:r>
            <w:t>E</w:t>
          </w:r>
          <w:r>
            <w:rPr>
              <w:rFonts w:asciiTheme="minorHAnsi" w:hAnsiTheme="minorHAnsi" w:cs="Arial"/>
              <w:szCs w:val="24"/>
            </w:rPr>
            <w:t>ftrenonacog</w:t>
          </w:r>
          <w:proofErr w:type="spellEnd"/>
          <w:r>
            <w:rPr>
              <w:rFonts w:asciiTheme="minorHAnsi" w:hAnsiTheme="minorHAnsi" w:cs="Arial"/>
              <w:szCs w:val="24"/>
            </w:rPr>
            <w:t xml:space="preserve"> </w:t>
          </w:r>
          <w:proofErr w:type="spellStart"/>
          <w:r>
            <w:rPr>
              <w:rFonts w:asciiTheme="minorHAnsi" w:hAnsiTheme="minorHAnsi" w:cs="Arial"/>
              <w:szCs w:val="24"/>
            </w:rPr>
            <w:t>alfa</w:t>
          </w:r>
          <w:proofErr w:type="spellEnd"/>
          <w:r>
            <w:rPr>
              <w:rFonts w:asciiTheme="minorHAnsi" w:hAnsiTheme="minorHAnsi"/>
            </w:rPr>
            <w:t xml:space="preserve"> </w:t>
          </w:r>
          <w:proofErr w:type="spellStart"/>
          <w:r>
            <w:rPr>
              <w:rFonts w:asciiTheme="minorHAnsi" w:hAnsiTheme="minorHAnsi"/>
            </w:rPr>
            <w:t>Biogen</w:t>
          </w:r>
          <w:proofErr w:type="spellEnd"/>
          <w:r>
            <w:rPr>
              <w:rFonts w:asciiTheme="minorHAnsi" w:hAnsiTheme="minorHAnsi"/>
            </w:rPr>
            <w:t xml:space="preserve"> I</w:t>
          </w:r>
          <w:r w:rsidRPr="004B2DD2">
            <w:rPr>
              <w:rFonts w:asciiTheme="minorHAnsi" w:hAnsiTheme="minorHAnsi"/>
            </w:rPr>
            <w:t>dec</w:t>
          </w:r>
          <w:r>
            <w:rPr>
              <w:rFonts w:asciiTheme="minorHAnsi" w:hAnsiTheme="minorHAnsi"/>
            </w:rPr>
            <w:t xml:space="preserve"> Australia Pty Ltd</w:t>
          </w:r>
          <w:r w:rsidRPr="00487162">
            <w:t xml:space="preserve"> PM-20</w:t>
          </w:r>
          <w:r>
            <w:t>13</w:t>
          </w:r>
          <w:r w:rsidRPr="00487162">
            <w:t>-</w:t>
          </w:r>
          <w:r>
            <w:t>00745</w:t>
          </w:r>
          <w:r w:rsidRPr="00487162">
            <w:t>-</w:t>
          </w:r>
          <w:r>
            <w:t>1-4</w:t>
          </w:r>
          <w:r>
            <w:br/>
          </w:r>
          <w:r w:rsidRPr="00487162">
            <w:t>Date of Finalisation</w:t>
          </w:r>
          <w:r>
            <w:t xml:space="preserve"> 3 November 2014</w:t>
          </w:r>
        </w:p>
      </w:tc>
      <w:tc>
        <w:tcPr>
          <w:tcW w:w="1490" w:type="dxa"/>
          <w:tcMar>
            <w:top w:w="142" w:type="dxa"/>
            <w:bottom w:w="0" w:type="dxa"/>
          </w:tcMar>
        </w:tcPr>
        <w:p w:rsidR="00465E82" w:rsidRPr="00487162" w:rsidRDefault="00465E82" w:rsidP="00DB750B">
          <w:pPr>
            <w:pStyle w:val="Footer"/>
            <w:jc w:val="right"/>
          </w:pPr>
          <w:r w:rsidRPr="00487162">
            <w:t xml:space="preserve">Page </w:t>
          </w:r>
          <w:r>
            <w:fldChar w:fldCharType="begin"/>
          </w:r>
          <w:r>
            <w:instrText xml:space="preserve"> PAGE  \* Arabic </w:instrText>
          </w:r>
          <w:r>
            <w:fldChar w:fldCharType="separate"/>
          </w:r>
          <w:r w:rsidR="00BD77E4">
            <w:rPr>
              <w:noProof/>
            </w:rPr>
            <w:t>3</w:t>
          </w:r>
          <w:r>
            <w:fldChar w:fldCharType="end"/>
          </w:r>
          <w:r w:rsidRPr="00487162">
            <w:t xml:space="preserve"> of </w:t>
          </w:r>
          <w:r>
            <w:fldChar w:fldCharType="begin"/>
          </w:r>
          <w:r>
            <w:instrText xml:space="preserve"> NUMPAGES  \* Arabic </w:instrText>
          </w:r>
          <w:r>
            <w:fldChar w:fldCharType="separate"/>
          </w:r>
          <w:r w:rsidR="00BD77E4">
            <w:rPr>
              <w:noProof/>
            </w:rPr>
            <w:t>43</w:t>
          </w:r>
          <w:r>
            <w:rPr>
              <w:noProof/>
            </w:rPr>
            <w:fldChar w:fldCharType="end"/>
          </w:r>
        </w:p>
      </w:tc>
    </w:tr>
  </w:tbl>
  <w:p w:rsidR="00465E82" w:rsidRDefault="00465E8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65E82" w:rsidRPr="00487162" w:rsidTr="00E45619">
      <w:trPr>
        <w:trHeight w:val="269"/>
      </w:trPr>
      <w:tc>
        <w:tcPr>
          <w:tcW w:w="4519" w:type="dxa"/>
          <w:tcBorders>
            <w:top w:val="single" w:sz="4" w:space="0" w:color="auto"/>
          </w:tcBorders>
          <w:tcMar>
            <w:top w:w="142" w:type="dxa"/>
            <w:bottom w:w="0" w:type="dxa"/>
          </w:tcMar>
        </w:tcPr>
        <w:p w:rsidR="00465E82" w:rsidRPr="00487162" w:rsidRDefault="00465E82" w:rsidP="00FE1DEE">
          <w:pPr>
            <w:pStyle w:val="Footer"/>
          </w:pPr>
          <w:r w:rsidRPr="00487162">
            <w:t>Document title, Part #, Section # - Section title</w:t>
          </w:r>
        </w:p>
        <w:p w:rsidR="00465E82" w:rsidRPr="00487162" w:rsidRDefault="00465E82" w:rsidP="00FE1DEE">
          <w:pPr>
            <w:pStyle w:val="Footer"/>
          </w:pPr>
          <w:r w:rsidRPr="00487162">
            <w:t>V1.0 October 2010</w:t>
          </w:r>
        </w:p>
      </w:tc>
      <w:tc>
        <w:tcPr>
          <w:tcW w:w="4342" w:type="dxa"/>
          <w:tcBorders>
            <w:top w:val="single" w:sz="4" w:space="0" w:color="auto"/>
          </w:tcBorders>
          <w:tcMar>
            <w:top w:w="142" w:type="dxa"/>
            <w:bottom w:w="0" w:type="dxa"/>
          </w:tcMar>
        </w:tcPr>
        <w:p w:rsidR="00465E82" w:rsidRPr="00487162" w:rsidRDefault="00465E8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60</w:t>
          </w:r>
          <w:r>
            <w:rPr>
              <w:noProof/>
            </w:rPr>
            <w:fldChar w:fldCharType="end"/>
          </w:r>
        </w:p>
      </w:tc>
    </w:tr>
  </w:tbl>
  <w:p w:rsidR="00465E82" w:rsidRDefault="00465E82">
    <w:pPr>
      <w:pStyle w:val="Footer"/>
    </w:pPr>
  </w:p>
  <w:p w:rsidR="00465E82" w:rsidRDefault="00465E8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Pr="001C32CD" w:rsidRDefault="00465E8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65E82" w:rsidTr="0010601F">
      <w:trPr>
        <w:trHeight w:val="108"/>
      </w:trPr>
      <w:tc>
        <w:tcPr>
          <w:tcW w:w="8875" w:type="dxa"/>
          <w:gridSpan w:val="2"/>
          <w:tcBorders>
            <w:bottom w:val="single" w:sz="4" w:space="0" w:color="auto"/>
          </w:tcBorders>
          <w:tcMar>
            <w:right w:w="284" w:type="dxa"/>
          </w:tcMar>
        </w:tcPr>
        <w:p w:rsidR="00465E82" w:rsidRDefault="00465E82" w:rsidP="006E08B3">
          <w:pPr>
            <w:pStyle w:val="Heading3"/>
          </w:pPr>
          <w:r>
            <w:t>Copyright</w:t>
          </w:r>
        </w:p>
        <w:p w:rsidR="00465E82" w:rsidRDefault="00465E82" w:rsidP="006E08B3">
          <w:r>
            <w:rPr>
              <w:rFonts w:cs="Arial"/>
            </w:rPr>
            <w:t>©</w:t>
          </w:r>
          <w:r>
            <w:t xml:space="preserve"> Commonwealth of Australia [add year]</w:t>
          </w:r>
        </w:p>
        <w:p w:rsidR="00465E82" w:rsidRDefault="00465E82" w:rsidP="006E08B3"/>
        <w:p w:rsidR="00465E82" w:rsidRDefault="00465E8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65E82" w:rsidRDefault="00465E82" w:rsidP="006E08B3"/>
        <w:p w:rsidR="00465E82" w:rsidRDefault="00465E82" w:rsidP="006E08B3">
          <w:pPr>
            <w:pStyle w:val="Heading3"/>
          </w:pPr>
          <w:r>
            <w:t>Confidentiality</w:t>
          </w:r>
        </w:p>
        <w:p w:rsidR="00465E82" w:rsidRDefault="00465E8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65E82" w:rsidRDefault="00465E82" w:rsidP="006E08B3"/>
        <w:p w:rsidR="00465E82" w:rsidRDefault="00465E82" w:rsidP="006E08B3">
          <w:r>
            <w:t>For submission made by individuals, all personal details, other than your name, will be removed from your submission before it is published on the TGA’s Internet site.</w:t>
          </w:r>
        </w:p>
        <w:p w:rsidR="00465E82" w:rsidRDefault="00465E82" w:rsidP="006E08B3"/>
        <w:p w:rsidR="00465E82" w:rsidRDefault="00465E8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65E82" w:rsidTr="0010601F">
      <w:trPr>
        <w:trHeight w:val="417"/>
      </w:trPr>
      <w:tc>
        <w:tcPr>
          <w:tcW w:w="4519" w:type="dxa"/>
          <w:tcBorders>
            <w:top w:val="single" w:sz="4" w:space="0" w:color="auto"/>
          </w:tcBorders>
          <w:tcMar>
            <w:top w:w="142" w:type="dxa"/>
            <w:bottom w:w="0" w:type="dxa"/>
          </w:tcMar>
        </w:tcPr>
        <w:p w:rsidR="00465E82" w:rsidRDefault="00465E82" w:rsidP="006E08B3">
          <w:r>
            <w:t>Document title, Part #, Section # - Section title</w:t>
          </w:r>
        </w:p>
        <w:p w:rsidR="00465E82" w:rsidRDefault="00465E82" w:rsidP="006E08B3">
          <w:r>
            <w:t>V1.0 October 2010</w:t>
          </w:r>
        </w:p>
      </w:tc>
      <w:tc>
        <w:tcPr>
          <w:tcW w:w="4356" w:type="dxa"/>
          <w:tcBorders>
            <w:top w:val="single" w:sz="4" w:space="0" w:color="auto"/>
          </w:tcBorders>
          <w:tcMar>
            <w:top w:w="142" w:type="dxa"/>
            <w:bottom w:w="0" w:type="dxa"/>
          </w:tcMar>
        </w:tcPr>
        <w:p w:rsidR="00465E82" w:rsidRDefault="00465E8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60</w:t>
          </w:r>
          <w:r>
            <w:rPr>
              <w:noProof/>
            </w:rPr>
            <w:fldChar w:fldCharType="end"/>
          </w:r>
          <w:r>
            <w:t xml:space="preserve">  </w:t>
          </w:r>
        </w:p>
      </w:tc>
    </w:tr>
  </w:tbl>
  <w:p w:rsidR="00465E82" w:rsidRDefault="00465E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E82" w:rsidRDefault="00465E82" w:rsidP="00C40A36">
      <w:pPr>
        <w:spacing w:after="0"/>
      </w:pPr>
      <w:r>
        <w:separator/>
      </w:r>
    </w:p>
  </w:footnote>
  <w:footnote w:type="continuationSeparator" w:id="0">
    <w:p w:rsidR="00465E82" w:rsidRDefault="00465E82" w:rsidP="00C40A36">
      <w:pPr>
        <w:spacing w:after="0"/>
      </w:pPr>
      <w:r>
        <w:continuationSeparator/>
      </w:r>
    </w:p>
  </w:footnote>
  <w:footnote w:id="1">
    <w:p w:rsidR="00465E82" w:rsidRDefault="00465E82" w:rsidP="004543C7">
      <w:pPr>
        <w:pStyle w:val="FootnoteText"/>
      </w:pPr>
      <w:r>
        <w:rPr>
          <w:rStyle w:val="FootnoteReference"/>
        </w:rPr>
        <w:footnoteRef/>
      </w:r>
      <w:r>
        <w:t xml:space="preserve"> </w:t>
      </w:r>
      <w:proofErr w:type="gramStart"/>
      <w:r>
        <w:t>Australian Health Ministers’ Advisory Council (2006).</w:t>
      </w:r>
      <w:proofErr w:type="gramEnd"/>
      <w:r>
        <w:t xml:space="preserve"> </w:t>
      </w:r>
      <w:proofErr w:type="gramStart"/>
      <w:r>
        <w:t>National Blood Authority (</w:t>
      </w:r>
      <w:r w:rsidRPr="004543C7">
        <w:t>NBA</w:t>
      </w:r>
      <w:r>
        <w:t>)/Australian Haemophilia Centre Directors’ Organisation (AHCD).</w:t>
      </w:r>
      <w:proofErr w:type="gramEnd"/>
      <w:r>
        <w:t xml:space="preserve"> </w:t>
      </w:r>
      <w:proofErr w:type="gramStart"/>
      <w:r>
        <w:t>Evidence-based clinical practice guidelines for the use of recombinant and plasma-derived FVIII and FIX Products.</w:t>
      </w:r>
      <w:proofErr w:type="gramEnd"/>
      <w:r>
        <w:t xml:space="preserve"> June 2006.</w:t>
      </w:r>
    </w:p>
  </w:footnote>
  <w:footnote w:id="2">
    <w:p w:rsidR="00465E82" w:rsidRPr="00B532A6" w:rsidRDefault="00465E82" w:rsidP="004543C7">
      <w:pPr>
        <w:pStyle w:val="FootnoteText"/>
      </w:pPr>
      <w:r w:rsidRPr="00B532A6">
        <w:rPr>
          <w:vertAlign w:val="superscript"/>
        </w:rPr>
        <w:footnoteRef/>
      </w:r>
      <w:r w:rsidRPr="00B532A6">
        <w:t xml:space="preserve"> The finally agreed dose for routine prophylaxis is</w:t>
      </w:r>
      <w:r>
        <w:t xml:space="preserve"> </w:t>
      </w:r>
      <w:r w:rsidRPr="00B532A6">
        <w:t>50 IU/kg once weekly or 100 IU/kg once every 10 days.</w:t>
      </w:r>
    </w:p>
  </w:footnote>
  <w:footnote w:id="3">
    <w:p w:rsidR="00465E82" w:rsidRPr="00853686" w:rsidRDefault="00465E82" w:rsidP="007970A4">
      <w:pPr>
        <w:pStyle w:val="FootnoteText"/>
      </w:pPr>
      <w:r w:rsidRPr="00853686">
        <w:rPr>
          <w:vertAlign w:val="superscript"/>
        </w:rPr>
        <w:footnoteRef/>
      </w:r>
      <w:r w:rsidRPr="00853686">
        <w:rPr>
          <w:vertAlign w:val="superscript"/>
        </w:rPr>
        <w:t xml:space="preserve"> </w:t>
      </w:r>
      <w:proofErr w:type="spellStart"/>
      <w:r w:rsidRPr="00853686">
        <w:t>Roopenian</w:t>
      </w:r>
      <w:proofErr w:type="spellEnd"/>
      <w:r w:rsidRPr="00853686">
        <w:t xml:space="preserve">, DC, </w:t>
      </w:r>
      <w:proofErr w:type="spellStart"/>
      <w:r w:rsidRPr="00853686">
        <w:t>Akilesh</w:t>
      </w:r>
      <w:proofErr w:type="spellEnd"/>
      <w:r w:rsidRPr="00853686">
        <w:t xml:space="preserve"> S. </w:t>
      </w:r>
      <w:proofErr w:type="spellStart"/>
      <w:r w:rsidRPr="00853686">
        <w:t>FcRn</w:t>
      </w:r>
      <w:proofErr w:type="spellEnd"/>
      <w:r w:rsidRPr="00853686">
        <w:t xml:space="preserve">: the neonatal Fc receptor comes of age. </w:t>
      </w:r>
      <w:r w:rsidRPr="00FE77A5">
        <w:rPr>
          <w:i/>
        </w:rPr>
        <w:t xml:space="preserve">Nat. Rev. </w:t>
      </w:r>
      <w:proofErr w:type="spellStart"/>
      <w:r w:rsidRPr="00FE77A5">
        <w:rPr>
          <w:i/>
        </w:rPr>
        <w:t>Immunol</w:t>
      </w:r>
      <w:proofErr w:type="spellEnd"/>
      <w:r w:rsidRPr="00853686">
        <w:t xml:space="preserve">. </w:t>
      </w:r>
      <w:r>
        <w:t>2007:</w:t>
      </w:r>
      <w:r w:rsidRPr="00853686">
        <w:t>7(9)</w:t>
      </w:r>
      <w:r>
        <w:t>;</w:t>
      </w:r>
      <w:r w:rsidRPr="00853686">
        <w:t>715-</w:t>
      </w:r>
      <w:r>
        <w:t>7</w:t>
      </w:r>
      <w:r w:rsidRPr="00853686">
        <w:t>25</w:t>
      </w:r>
    </w:p>
  </w:footnote>
  <w:footnote w:id="4">
    <w:p w:rsidR="00465E82" w:rsidRDefault="00465E82" w:rsidP="007970A4">
      <w:pPr>
        <w:pStyle w:val="FootnoteText"/>
      </w:pPr>
      <w:r w:rsidRPr="00A53F20">
        <w:rPr>
          <w:vertAlign w:val="superscript"/>
        </w:rPr>
        <w:footnoteRef/>
      </w:r>
      <w:r w:rsidRPr="00A53F20">
        <w:t xml:space="preserve"> </w:t>
      </w:r>
      <w:proofErr w:type="gramStart"/>
      <w:r w:rsidRPr="00A53F20">
        <w:t>CHMP/ICH/</w:t>
      </w:r>
      <w:r w:rsidRPr="007970A4">
        <w:t>731268</w:t>
      </w:r>
      <w:r w:rsidRPr="00A53F20">
        <w:t>/1998</w:t>
      </w:r>
      <w:r>
        <w:t>.</w:t>
      </w:r>
      <w:proofErr w:type="gramEnd"/>
      <w:r w:rsidRPr="00A53F20">
        <w:t xml:space="preserve"> </w:t>
      </w:r>
      <w:r>
        <w:t xml:space="preserve"> </w:t>
      </w:r>
      <w:proofErr w:type="gramStart"/>
      <w:r w:rsidRPr="00A53F20">
        <w:t xml:space="preserve">ICH </w:t>
      </w:r>
      <w:r>
        <w:t xml:space="preserve">Topic </w:t>
      </w:r>
      <w:r w:rsidRPr="00A53F20">
        <w:t>S6 (R1)</w:t>
      </w:r>
      <w:r>
        <w:t>.</w:t>
      </w:r>
      <w:proofErr w:type="gramEnd"/>
      <w:r w:rsidRPr="00A53F20">
        <w:t xml:space="preserve"> </w:t>
      </w:r>
      <w:proofErr w:type="gramStart"/>
      <w:r>
        <w:t>P</w:t>
      </w:r>
      <w:r w:rsidRPr="00A53F20">
        <w:t>reclinical safety evaluation of biotechnology-derived pharmaceuticals.</w:t>
      </w:r>
      <w:proofErr w:type="gramEnd"/>
    </w:p>
  </w:footnote>
  <w:footnote w:id="5">
    <w:p w:rsidR="00465E82" w:rsidRPr="007970A4" w:rsidRDefault="00465E82" w:rsidP="007970A4">
      <w:pPr>
        <w:pStyle w:val="FootnoteText"/>
        <w:rPr>
          <w:i/>
        </w:rPr>
      </w:pPr>
      <w:r w:rsidRPr="00C12352">
        <w:rPr>
          <w:rStyle w:val="FootnoteReference"/>
          <w:szCs w:val="18"/>
        </w:rPr>
        <w:footnoteRef/>
      </w:r>
      <w:r>
        <w:t xml:space="preserve">Definition of category B2 for use of medicines in pregnancy: </w:t>
      </w:r>
      <w:r w:rsidRPr="007970A4">
        <w:rPr>
          <w:i/>
        </w:rPr>
        <w:t xml:space="preserve">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w:t>
      </w:r>
      <w:proofErr w:type="spellStart"/>
      <w:r w:rsidRPr="007970A4">
        <w:rPr>
          <w:i/>
        </w:rPr>
        <w:t>fetal</w:t>
      </w:r>
      <w:proofErr w:type="spellEnd"/>
      <w:r w:rsidRPr="007970A4">
        <w:rPr>
          <w:i/>
        </w:rPr>
        <w:t xml:space="preserve"> damage.</w:t>
      </w:r>
    </w:p>
  </w:footnote>
  <w:footnote w:id="6">
    <w:p w:rsidR="00465E82" w:rsidRPr="00112B5A" w:rsidRDefault="00465E82" w:rsidP="007970A4">
      <w:pPr>
        <w:pStyle w:val="FootnoteText"/>
      </w:pPr>
      <w:r w:rsidRPr="00112B5A">
        <w:rPr>
          <w:vertAlign w:val="superscript"/>
        </w:rPr>
        <w:footnoteRef/>
      </w:r>
      <w:r w:rsidRPr="00112B5A">
        <w:t xml:space="preserve"> </w:t>
      </w:r>
      <w:r>
        <w:t>The Delegate subsequently assigned e</w:t>
      </w:r>
      <w:r w:rsidRPr="00112B5A">
        <w:t>ftrenonacog alfa to use in pregnancy Category C (</w:t>
      </w:r>
      <w:r w:rsidRPr="007970A4">
        <w:rPr>
          <w:i/>
        </w:rPr>
        <w:t>Drugs which, owing to their pharmacological effects, have caused or may be suspected of causing, harmful effects on the human fetus or neonate without causing malformations. These effects may be reversible. Accompanying texts should be consulted for further details</w:t>
      </w:r>
      <w:r w:rsidRPr="00112B5A">
        <w:t>)</w:t>
      </w:r>
      <w:r>
        <w:t xml:space="preserve"> </w:t>
      </w:r>
      <w:r w:rsidRPr="00112B5A">
        <w:t xml:space="preserve">on the basis that placental transfer is a significant consideration and </w:t>
      </w:r>
      <w:r>
        <w:t>the effects on the developing fetus are unknown.</w:t>
      </w:r>
    </w:p>
  </w:footnote>
  <w:footnote w:id="7">
    <w:p w:rsidR="00465E82" w:rsidRPr="00700AE4" w:rsidRDefault="00465E82" w:rsidP="00CC5836">
      <w:pPr>
        <w:pStyle w:val="FootnoteText"/>
      </w:pPr>
      <w:r w:rsidRPr="00700AE4">
        <w:rPr>
          <w:vertAlign w:val="superscript"/>
        </w:rPr>
        <w:footnoteRef/>
      </w:r>
      <w:r w:rsidRPr="00700AE4">
        <w:t xml:space="preserve"> </w:t>
      </w:r>
      <w:proofErr w:type="gramStart"/>
      <w:r w:rsidRPr="00700AE4">
        <w:t>Haemophilia Foundation Australia.</w:t>
      </w:r>
      <w:proofErr w:type="gramEnd"/>
      <w:r w:rsidRPr="00700AE4">
        <w:t xml:space="preserve"> Haemophilia</w:t>
      </w:r>
      <w:r>
        <w:t>,</w:t>
      </w:r>
      <w:r w:rsidRPr="00700AE4">
        <w:t xml:space="preserve"> July 2013 Available from</w:t>
      </w:r>
      <w:r>
        <w:t>:</w:t>
      </w:r>
      <w:r w:rsidRPr="00700AE4">
        <w:t xml:space="preserve"> </w:t>
      </w:r>
      <w:r>
        <w:t>&lt;</w:t>
      </w:r>
      <w:hyperlink r:id="rId1" w:history="1">
        <w:r w:rsidRPr="00700AE4">
          <w:rPr>
            <w:rStyle w:val="Hyperlink"/>
            <w:szCs w:val="18"/>
          </w:rPr>
          <w:t>http://www.haemophilia.org.au/documents/item/2040</w:t>
        </w:r>
      </w:hyperlink>
      <w:r>
        <w:t>&gt;</w:t>
      </w:r>
    </w:p>
  </w:footnote>
  <w:footnote w:id="8">
    <w:p w:rsidR="00465E82" w:rsidRPr="00700AE4" w:rsidRDefault="00465E82" w:rsidP="00CC5836">
      <w:pPr>
        <w:pStyle w:val="FootnoteText"/>
      </w:pPr>
      <w:r w:rsidRPr="00700AE4">
        <w:rPr>
          <w:vertAlign w:val="superscript"/>
        </w:rPr>
        <w:footnoteRef/>
      </w:r>
      <w:r w:rsidRPr="00700AE4">
        <w:t xml:space="preserve"> Srivastava A, Brewer AK, Mauser-</w:t>
      </w:r>
      <w:proofErr w:type="spellStart"/>
      <w:r w:rsidRPr="00700AE4">
        <w:t>Bunschoten</w:t>
      </w:r>
      <w:proofErr w:type="spellEnd"/>
      <w:r w:rsidRPr="00700AE4">
        <w:t xml:space="preserve"> EP et al. Treatment Guidelines Working Group The World Federation Of </w:t>
      </w:r>
      <w:proofErr w:type="spellStart"/>
      <w:r w:rsidRPr="00700AE4">
        <w:t>Hemophilia</w:t>
      </w:r>
      <w:proofErr w:type="spellEnd"/>
      <w:r w:rsidRPr="00700AE4">
        <w:t xml:space="preserve">. </w:t>
      </w:r>
      <w:proofErr w:type="gramStart"/>
      <w:r w:rsidRPr="00700AE4">
        <w:t xml:space="preserve">Guidelines for the management of </w:t>
      </w:r>
      <w:proofErr w:type="spellStart"/>
      <w:r w:rsidRPr="00700AE4">
        <w:t>hemophilia</w:t>
      </w:r>
      <w:proofErr w:type="spellEnd"/>
      <w:r w:rsidRPr="00700AE4">
        <w:t>.</w:t>
      </w:r>
      <w:proofErr w:type="gramEnd"/>
      <w:r w:rsidRPr="00700AE4">
        <w:t xml:space="preserve"> </w:t>
      </w:r>
      <w:proofErr w:type="gramStart"/>
      <w:r w:rsidRPr="00700AE4">
        <w:rPr>
          <w:i/>
        </w:rPr>
        <w:t>Haemophilia</w:t>
      </w:r>
      <w:r w:rsidRPr="00700AE4">
        <w:t>.</w:t>
      </w:r>
      <w:proofErr w:type="gramEnd"/>
      <w:r w:rsidRPr="00700AE4">
        <w:t xml:space="preserve"> 2013</w:t>
      </w:r>
      <w:r>
        <w:t>;</w:t>
      </w:r>
      <w:r w:rsidRPr="00700AE4">
        <w:t>19:e1-e47</w:t>
      </w:r>
    </w:p>
  </w:footnote>
  <w:footnote w:id="9">
    <w:p w:rsidR="00465E82" w:rsidRPr="00700AE4" w:rsidRDefault="00465E82" w:rsidP="00CC5836">
      <w:pPr>
        <w:pStyle w:val="FootnoteText"/>
      </w:pPr>
      <w:r w:rsidRPr="00700AE4">
        <w:rPr>
          <w:vertAlign w:val="superscript"/>
        </w:rPr>
        <w:footnoteRef/>
      </w:r>
      <w:r w:rsidRPr="00700AE4">
        <w:t xml:space="preserve"> EMA/CHMP/BPWP/144552/2009 was adopted by the TGA effective 1 June 2014</w:t>
      </w:r>
    </w:p>
  </w:footnote>
  <w:footnote w:id="10">
    <w:p w:rsidR="00465E82" w:rsidRDefault="00465E82" w:rsidP="003331E1">
      <w:pPr>
        <w:pStyle w:val="FootnoteText"/>
      </w:pPr>
      <w:r>
        <w:rPr>
          <w:rStyle w:val="FootnoteReference"/>
        </w:rPr>
        <w:footnoteRef/>
      </w:r>
      <w:r>
        <w:t xml:space="preserve"> </w:t>
      </w:r>
      <w:r w:rsidRPr="00700AE4">
        <w:t>Srivastava A, Brewer AK, Mauser-</w:t>
      </w:r>
      <w:proofErr w:type="spellStart"/>
      <w:r w:rsidRPr="00700AE4">
        <w:t>Bunschoten</w:t>
      </w:r>
      <w:proofErr w:type="spellEnd"/>
      <w:r w:rsidRPr="00700AE4">
        <w:t xml:space="preserve"> EP et al. Treatment Guidelines Working Group The World Federation Of </w:t>
      </w:r>
      <w:proofErr w:type="spellStart"/>
      <w:r w:rsidRPr="00700AE4">
        <w:t>Hemophilia</w:t>
      </w:r>
      <w:proofErr w:type="spellEnd"/>
      <w:r w:rsidRPr="00700AE4">
        <w:t xml:space="preserve">. </w:t>
      </w:r>
      <w:proofErr w:type="gramStart"/>
      <w:r w:rsidRPr="00700AE4">
        <w:t xml:space="preserve">Guidelines </w:t>
      </w:r>
      <w:r w:rsidRPr="003331E1">
        <w:t>for</w:t>
      </w:r>
      <w:r w:rsidRPr="00700AE4">
        <w:t xml:space="preserve"> the management of </w:t>
      </w:r>
      <w:proofErr w:type="spellStart"/>
      <w:r w:rsidRPr="00700AE4">
        <w:t>hemophilia</w:t>
      </w:r>
      <w:proofErr w:type="spellEnd"/>
      <w:r w:rsidRPr="00700AE4">
        <w:t>.</w:t>
      </w:r>
      <w:proofErr w:type="gramEnd"/>
      <w:r w:rsidRPr="00700AE4">
        <w:t xml:space="preserve"> </w:t>
      </w:r>
      <w:proofErr w:type="gramStart"/>
      <w:r w:rsidRPr="00700AE4">
        <w:rPr>
          <w:i/>
        </w:rPr>
        <w:t>Haemophilia</w:t>
      </w:r>
      <w:r w:rsidRPr="00700AE4">
        <w:t>.</w:t>
      </w:r>
      <w:proofErr w:type="gramEnd"/>
      <w:r w:rsidRPr="00700AE4">
        <w:t xml:space="preserve"> 2013;19:e1-e47</w:t>
      </w:r>
    </w:p>
  </w:footnote>
  <w:footnote w:id="11">
    <w:p w:rsidR="00465E82" w:rsidRPr="003331E1" w:rsidRDefault="00465E82" w:rsidP="003331E1">
      <w:pPr>
        <w:pStyle w:val="FootnoteText"/>
      </w:pPr>
      <w:r>
        <w:rPr>
          <w:rStyle w:val="FootnoteReference"/>
        </w:rPr>
        <w:footnoteRef/>
      </w:r>
      <w:r>
        <w:t xml:space="preserve"> </w:t>
      </w:r>
      <w:proofErr w:type="spellStart"/>
      <w:r w:rsidRPr="00750BAB">
        <w:t>Franchini</w:t>
      </w:r>
      <w:proofErr w:type="spellEnd"/>
      <w:r w:rsidRPr="00750BAB">
        <w:t xml:space="preserve"> M,</w:t>
      </w:r>
      <w:r>
        <w:t xml:space="preserve"> </w:t>
      </w:r>
      <w:proofErr w:type="spellStart"/>
      <w:r>
        <w:t>Frattini</w:t>
      </w:r>
      <w:proofErr w:type="spellEnd"/>
      <w:r>
        <w:t xml:space="preserve"> F, </w:t>
      </w:r>
      <w:proofErr w:type="spellStart"/>
      <w:proofErr w:type="gramStart"/>
      <w:r>
        <w:t>Crestani</w:t>
      </w:r>
      <w:proofErr w:type="spellEnd"/>
      <w:proofErr w:type="gramEnd"/>
      <w:r>
        <w:t xml:space="preserve"> S et al. </w:t>
      </w:r>
      <w:r w:rsidRPr="00750BAB">
        <w:t xml:space="preserve">Treatment of </w:t>
      </w:r>
      <w:proofErr w:type="spellStart"/>
      <w:r w:rsidRPr="00750BAB">
        <w:t>hemophilia</w:t>
      </w:r>
      <w:proofErr w:type="spellEnd"/>
      <w:r w:rsidRPr="00750BAB">
        <w:t xml:space="preserve"> B: focus on recombinant factor IX. </w:t>
      </w:r>
      <w:r w:rsidRPr="00750BAB">
        <w:rPr>
          <w:i/>
        </w:rPr>
        <w:t>Biologics: Targets and Therapy</w:t>
      </w:r>
      <w:r w:rsidRPr="00750BAB">
        <w:t xml:space="preserve"> 2013</w:t>
      </w:r>
      <w:proofErr w:type="gramStart"/>
      <w:r w:rsidRPr="00750BAB">
        <w:t>;7</w:t>
      </w:r>
      <w:r>
        <w:t>:</w:t>
      </w:r>
      <w:r w:rsidRPr="00750BAB">
        <w:t>33</w:t>
      </w:r>
      <w:proofErr w:type="gramEnd"/>
      <w:r w:rsidRPr="00750BAB">
        <w:t>–38.</w:t>
      </w:r>
    </w:p>
  </w:footnote>
  <w:footnote w:id="12">
    <w:p w:rsidR="00465E82" w:rsidRPr="003331E1" w:rsidRDefault="00465E82" w:rsidP="003331E1">
      <w:pPr>
        <w:pStyle w:val="FootnoteText"/>
      </w:pPr>
      <w:r>
        <w:rPr>
          <w:rStyle w:val="FootnoteReference"/>
        </w:rPr>
        <w:footnoteRef/>
      </w:r>
      <w:r>
        <w:t xml:space="preserve"> </w:t>
      </w:r>
      <w:proofErr w:type="gramStart"/>
      <w:r w:rsidRPr="00353633">
        <w:t>European Medicines Agency.</w:t>
      </w:r>
      <w:proofErr w:type="gramEnd"/>
      <w:r w:rsidRPr="00353633">
        <w:t xml:space="preserve"> </w:t>
      </w:r>
      <w:r w:rsidRPr="003331E1">
        <w:rPr>
          <w:i/>
        </w:rPr>
        <w:t xml:space="preserve">Guideline </w:t>
      </w:r>
      <w:proofErr w:type="gramStart"/>
      <w:r w:rsidRPr="003331E1">
        <w:rPr>
          <w:i/>
        </w:rPr>
        <w:t>On</w:t>
      </w:r>
      <w:proofErr w:type="gramEnd"/>
      <w:r w:rsidRPr="003331E1">
        <w:rPr>
          <w:i/>
        </w:rPr>
        <w:t xml:space="preserve"> The Clinical Investigation Of The Pharmacokinetics Of Therapeutic Proteins</w:t>
      </w:r>
      <w:r w:rsidRPr="00353633">
        <w:t xml:space="preserve"> (CHMP/EWP/89249/2004); 2007.</w:t>
      </w:r>
    </w:p>
  </w:footnote>
  <w:footnote w:id="13">
    <w:p w:rsidR="00465E82" w:rsidRDefault="00465E82" w:rsidP="00A65F68">
      <w:pPr>
        <w:pStyle w:val="FootnoteText"/>
      </w:pPr>
      <w:r w:rsidRPr="00085CDD">
        <w:rPr>
          <w:rStyle w:val="FootnoteReference"/>
          <w:szCs w:val="18"/>
        </w:rPr>
        <w:footnoteRef/>
      </w:r>
      <w:r w:rsidRPr="00085CDD">
        <w:t xml:space="preserve"> </w:t>
      </w:r>
      <w:proofErr w:type="spellStart"/>
      <w:r w:rsidRPr="00085CDD">
        <w:t>Wiedel</w:t>
      </w:r>
      <w:proofErr w:type="spellEnd"/>
      <w:r w:rsidRPr="00085CDD">
        <w:t xml:space="preserve"> J, </w:t>
      </w:r>
      <w:proofErr w:type="spellStart"/>
      <w:r w:rsidRPr="00085CDD">
        <w:t>Stabler</w:t>
      </w:r>
      <w:proofErr w:type="spellEnd"/>
      <w:r w:rsidRPr="00085CDD">
        <w:t xml:space="preserve"> S, </w:t>
      </w:r>
      <w:proofErr w:type="spellStart"/>
      <w:r w:rsidRPr="00085CDD">
        <w:t>Geraghty</w:t>
      </w:r>
      <w:proofErr w:type="spellEnd"/>
      <w:r w:rsidRPr="00085CDD">
        <w:t xml:space="preserve"> S, et al.</w:t>
      </w:r>
      <w:r>
        <w:t xml:space="preserve"> </w:t>
      </w:r>
      <w:r w:rsidRPr="00085CDD">
        <w:t xml:space="preserve">Joint replacement surgery in </w:t>
      </w:r>
      <w:proofErr w:type="spellStart"/>
      <w:r w:rsidRPr="00085CDD">
        <w:t>hemophilia</w:t>
      </w:r>
      <w:proofErr w:type="spellEnd"/>
      <w:r w:rsidRPr="00085CDD">
        <w:t xml:space="preserve">. </w:t>
      </w:r>
      <w:proofErr w:type="gramStart"/>
      <w:r w:rsidRPr="00D51426">
        <w:rPr>
          <w:i/>
        </w:rPr>
        <w:t xml:space="preserve">Treatment of </w:t>
      </w:r>
      <w:proofErr w:type="spellStart"/>
      <w:r w:rsidRPr="00D51426">
        <w:rPr>
          <w:i/>
        </w:rPr>
        <w:t>Hemophilia</w:t>
      </w:r>
      <w:proofErr w:type="spellEnd"/>
      <w:r>
        <w:t>.</w:t>
      </w:r>
      <w:proofErr w:type="gramEnd"/>
      <w:r>
        <w:t xml:space="preserve"> June 2010</w:t>
      </w:r>
      <w:proofErr w:type="gramStart"/>
      <w:r>
        <w:t>;</w:t>
      </w:r>
      <w:r w:rsidRPr="00085CDD">
        <w:t>50</w:t>
      </w:r>
      <w:r>
        <w:t>:1</w:t>
      </w:r>
      <w:proofErr w:type="gramEnd"/>
      <w:r>
        <w:t>-12.</w:t>
      </w:r>
    </w:p>
  </w:footnote>
  <w:footnote w:id="14">
    <w:p w:rsidR="00465E82" w:rsidRDefault="00465E82" w:rsidP="00A65F68">
      <w:pPr>
        <w:pStyle w:val="FootnoteText"/>
      </w:pPr>
      <w:r>
        <w:rPr>
          <w:rStyle w:val="FootnoteReference"/>
        </w:rPr>
        <w:footnoteRef/>
      </w:r>
      <w:r>
        <w:t xml:space="preserve"> See approved PI for finally approved </w:t>
      </w:r>
      <w:r w:rsidRPr="00A65F68">
        <w:t>dosage</w:t>
      </w:r>
      <w:r>
        <w:t xml:space="preserve"> regimen, which recommends starting regimens of either 50 IU/kg once weekly or 100 IU/kg once every 10 days. Either regimen may be adjusted based on patient response.</w:t>
      </w:r>
    </w:p>
  </w:footnote>
  <w:footnote w:id="15">
    <w:p w:rsidR="00465E82" w:rsidRDefault="00465E82" w:rsidP="00A65F68">
      <w:pPr>
        <w:pStyle w:val="FootnoteText"/>
      </w:pPr>
      <w:r>
        <w:rPr>
          <w:rStyle w:val="FootnoteReference"/>
        </w:rPr>
        <w:footnoteRef/>
      </w:r>
      <w:r>
        <w:t xml:space="preserve"> </w:t>
      </w:r>
      <w:proofErr w:type="gramStart"/>
      <w:r w:rsidRPr="00674261">
        <w:t>European Medicines Agency.</w:t>
      </w:r>
      <w:proofErr w:type="gramEnd"/>
      <w:r w:rsidRPr="00674261">
        <w:t xml:space="preserve"> </w:t>
      </w:r>
      <w:proofErr w:type="gramStart"/>
      <w:r w:rsidRPr="00674261">
        <w:t xml:space="preserve">Points to </w:t>
      </w:r>
      <w:r w:rsidRPr="00A65F68">
        <w:t>Consider</w:t>
      </w:r>
      <w:r w:rsidRPr="00674261">
        <w:t xml:space="preserve"> on Application with 1.</w:t>
      </w:r>
      <w:proofErr w:type="gramEnd"/>
      <w:r w:rsidRPr="00674261">
        <w:t xml:space="preserve"> </w:t>
      </w:r>
      <w:proofErr w:type="gramStart"/>
      <w:r w:rsidRPr="00674261">
        <w:t>Meta-Analyses; 2.</w:t>
      </w:r>
      <w:proofErr w:type="gramEnd"/>
      <w:r w:rsidRPr="00674261">
        <w:t xml:space="preserve"> </w:t>
      </w:r>
      <w:proofErr w:type="gramStart"/>
      <w:r w:rsidRPr="00674261">
        <w:t>One Pivotal Study (CPMP/EWP/2330/99); 2001.</w:t>
      </w:r>
      <w:proofErr w:type="gramEnd"/>
    </w:p>
  </w:footnote>
  <w:footnote w:id="16">
    <w:p w:rsidR="00465E82" w:rsidRDefault="00465E82" w:rsidP="00A65F68">
      <w:pPr>
        <w:pStyle w:val="FootnoteText"/>
      </w:pPr>
      <w:r>
        <w:rPr>
          <w:rStyle w:val="FootnoteReference"/>
        </w:rPr>
        <w:footnoteRef/>
      </w:r>
      <w:r>
        <w:t xml:space="preserve"> </w:t>
      </w:r>
      <w:proofErr w:type="gramStart"/>
      <w:r w:rsidRPr="00674261">
        <w:t>European Medicines Agency.</w:t>
      </w:r>
      <w:proofErr w:type="gramEnd"/>
      <w:r w:rsidRPr="00674261">
        <w:t xml:space="preserve"> Note for </w:t>
      </w:r>
      <w:r w:rsidRPr="00A65F68">
        <w:t>Guidance</w:t>
      </w:r>
      <w:r w:rsidRPr="00674261">
        <w:t xml:space="preserve"> on the Clinical Investigation of Recombinant Factor VIII and IX Products (CPMP/BPWG/1561/99); 2000.</w:t>
      </w:r>
    </w:p>
  </w:footnote>
  <w:footnote w:id="17">
    <w:p w:rsidR="00465E82" w:rsidRDefault="00465E82" w:rsidP="00A65F68">
      <w:pPr>
        <w:pStyle w:val="FootnoteText"/>
      </w:pPr>
      <w:r>
        <w:rPr>
          <w:rStyle w:val="FootnoteReference"/>
        </w:rPr>
        <w:footnoteRef/>
      </w:r>
      <w:r>
        <w:t xml:space="preserve"> </w:t>
      </w:r>
      <w:proofErr w:type="gramStart"/>
      <w:r w:rsidRPr="00674261">
        <w:t>European Medicines Agency.</w:t>
      </w:r>
      <w:proofErr w:type="gramEnd"/>
      <w:r w:rsidRPr="00674261">
        <w:t xml:space="preserve"> </w:t>
      </w:r>
      <w:proofErr w:type="gramStart"/>
      <w:r w:rsidRPr="00674261">
        <w:t xml:space="preserve">Guideline </w:t>
      </w:r>
      <w:r w:rsidRPr="00A65F68">
        <w:t>on</w:t>
      </w:r>
      <w:r w:rsidRPr="00674261">
        <w:t xml:space="preserve"> clinical investigation of recombinant and human plasma-derived factor IX products (EMA/CHMP/BPWP/144552/2009); 2011.</w:t>
      </w:r>
      <w:proofErr w:type="gramEnd"/>
    </w:p>
  </w:footnote>
  <w:footnote w:id="18">
    <w:p w:rsidR="00465E82" w:rsidRDefault="00465E82" w:rsidP="00A65F68">
      <w:pPr>
        <w:pStyle w:val="FootnoteText"/>
      </w:pPr>
      <w:r>
        <w:rPr>
          <w:rStyle w:val="FootnoteReference"/>
        </w:rPr>
        <w:footnoteRef/>
      </w:r>
      <w:r>
        <w:t xml:space="preserve"> Sponsor clarification: A primary objective of Study 998HB102 was “to evaluate the safety and tolerability of </w:t>
      </w:r>
      <w:proofErr w:type="spellStart"/>
      <w:r>
        <w:t>rFIXFc</w:t>
      </w:r>
      <w:proofErr w:type="spellEnd"/>
      <w:r>
        <w:t>”.</w:t>
      </w:r>
    </w:p>
  </w:footnote>
  <w:footnote w:id="19">
    <w:p w:rsidR="00465E82" w:rsidRDefault="00465E82" w:rsidP="00A65F68">
      <w:pPr>
        <w:pStyle w:val="FootnoteText"/>
      </w:pPr>
      <w:r>
        <w:rPr>
          <w:rStyle w:val="FootnoteReference"/>
        </w:rPr>
        <w:footnoteRef/>
      </w:r>
      <w:r>
        <w:t xml:space="preserve"> Sponsor clarification: </w:t>
      </w:r>
      <w:r w:rsidRPr="00A65F68">
        <w:t>These</w:t>
      </w:r>
      <w:r>
        <w:t xml:space="preserve"> subjects were not necessarily unique as there is a possibility of overlap of subjects from Phase I/</w:t>
      </w:r>
      <w:proofErr w:type="spellStart"/>
      <w:r>
        <w:t>IIa</w:t>
      </w:r>
      <w:proofErr w:type="spellEnd"/>
      <w:r>
        <w:t xml:space="preserve"> to Phase III. The sponsor suggested the total included more than 130 unique subjects exposed to </w:t>
      </w:r>
      <w:proofErr w:type="spellStart"/>
      <w:r>
        <w:t>rFIXFc</w:t>
      </w:r>
      <w:proofErr w:type="spellEnd"/>
      <w:r>
        <w:t>.</w:t>
      </w:r>
    </w:p>
  </w:footnote>
  <w:footnote w:id="20">
    <w:p w:rsidR="00465E82" w:rsidRDefault="00465E82" w:rsidP="003130D0">
      <w:pPr>
        <w:pStyle w:val="FootnoteText"/>
      </w:pPr>
      <w:r>
        <w:rPr>
          <w:rStyle w:val="FootnoteReference"/>
        </w:rPr>
        <w:footnoteRef/>
      </w:r>
      <w:r>
        <w:t xml:space="preserve"> </w:t>
      </w:r>
      <w:proofErr w:type="gramStart"/>
      <w:r w:rsidRPr="00230A7C">
        <w:t>European Medicines Agency.</w:t>
      </w:r>
      <w:proofErr w:type="gramEnd"/>
      <w:r w:rsidRPr="00230A7C">
        <w:t xml:space="preserve"> </w:t>
      </w:r>
      <w:proofErr w:type="gramStart"/>
      <w:r w:rsidRPr="00230A7C">
        <w:t>Guideline on clinical investigation of recombinant and human plasma-derived factor IX products (EMA/CHMP/BPWP/</w:t>
      </w:r>
      <w:r w:rsidRPr="003130D0">
        <w:t>144552</w:t>
      </w:r>
      <w:r w:rsidRPr="00230A7C">
        <w:t>/2009); 2011.</w:t>
      </w:r>
      <w:proofErr w:type="gramEnd"/>
    </w:p>
  </w:footnote>
  <w:footnote w:id="21">
    <w:p w:rsidR="00465E82" w:rsidRDefault="00465E82" w:rsidP="0079611E">
      <w:pPr>
        <w:pStyle w:val="FootnoteText"/>
      </w:pPr>
      <w:r>
        <w:rPr>
          <w:rStyle w:val="FootnoteReference"/>
        </w:rPr>
        <w:footnoteRef/>
      </w:r>
      <w:r>
        <w:t xml:space="preserve"> Sponsor clarification: These subjects were not necessarily unique as there is a possibility of overlap of subjects from Phase I/</w:t>
      </w:r>
      <w:proofErr w:type="spellStart"/>
      <w:r>
        <w:t>IIa</w:t>
      </w:r>
      <w:proofErr w:type="spellEnd"/>
      <w:r>
        <w:t xml:space="preserve"> to Phase III. The sponsor </w:t>
      </w:r>
      <w:r w:rsidRPr="0079611E">
        <w:t>suggested</w:t>
      </w:r>
      <w:r>
        <w:t xml:space="preserve"> the total included more than 130 unique subjects exposed to </w:t>
      </w:r>
      <w:proofErr w:type="spellStart"/>
      <w:r>
        <w:t>rFIXFc</w:t>
      </w:r>
      <w:proofErr w:type="spellEnd"/>
      <w:r>
        <w:t>.</w:t>
      </w:r>
    </w:p>
  </w:footnote>
  <w:footnote w:id="22">
    <w:p w:rsidR="00465E82" w:rsidRDefault="00465E82" w:rsidP="0079611E">
      <w:pPr>
        <w:pStyle w:val="FootnoteText"/>
      </w:pPr>
      <w:r>
        <w:rPr>
          <w:rStyle w:val="FootnoteReference"/>
        </w:rPr>
        <w:footnoteRef/>
      </w:r>
      <w:r>
        <w:t xml:space="preserve"> The sponsor provided information about this subject in the </w:t>
      </w:r>
      <w:r w:rsidRPr="0079611E">
        <w:t>response</w:t>
      </w:r>
      <w:r w:rsidRPr="00B937F4">
        <w:t xml:space="preserve"> to </w:t>
      </w:r>
      <w:r>
        <w:t>a TGA r</w:t>
      </w:r>
      <w:r w:rsidRPr="00B937F4">
        <w:t>equest</w:t>
      </w:r>
      <w:r>
        <w:t xml:space="preserve"> for further information</w:t>
      </w:r>
      <w:r w:rsidRPr="00B937F4">
        <w:t xml:space="preserve">, and </w:t>
      </w:r>
      <w:r>
        <w:t xml:space="preserve">concluded </w:t>
      </w:r>
      <w:r w:rsidRPr="00B937F4">
        <w:t xml:space="preserve">that a nephrotoxic effect of </w:t>
      </w:r>
      <w:proofErr w:type="spellStart"/>
      <w:r w:rsidRPr="00B937F4">
        <w:t>rFIXFc</w:t>
      </w:r>
      <w:proofErr w:type="spellEnd"/>
      <w:r w:rsidRPr="00B937F4">
        <w:t xml:space="preserve"> treatment is unlikely based on chemistry data from non-clinical to</w:t>
      </w:r>
      <w:r>
        <w:t>xicology studies and the Phase III</w:t>
      </w:r>
      <w:r w:rsidRPr="00B937F4">
        <w:t xml:space="preserve"> study, and further review of da</w:t>
      </w:r>
      <w:r>
        <w:t xml:space="preserve">ta for this subject </w:t>
      </w:r>
      <w:r w:rsidRPr="00B937F4">
        <w:t>demonstrating multiple factors potentially contributing to his renal insufficiency.</w:t>
      </w:r>
    </w:p>
  </w:footnote>
  <w:footnote w:id="23">
    <w:p w:rsidR="00465E82" w:rsidRDefault="00465E82" w:rsidP="00862F71">
      <w:pPr>
        <w:pStyle w:val="FootnoteText"/>
      </w:pPr>
      <w:r>
        <w:rPr>
          <w:rStyle w:val="FootnoteReference"/>
        </w:rPr>
        <w:footnoteRef/>
      </w:r>
      <w:r>
        <w:t xml:space="preserve"> Powell et al. Phase III study of recombinant Factor IX Fc Fusion protein in </w:t>
      </w:r>
      <w:r w:rsidRPr="00862F71">
        <w:t>haemophilia</w:t>
      </w:r>
      <w:r>
        <w:t xml:space="preserve"> B. </w:t>
      </w:r>
      <w:r w:rsidRPr="00C96628">
        <w:rPr>
          <w:i/>
        </w:rPr>
        <w:t>NEJM</w:t>
      </w:r>
      <w:r>
        <w:t xml:space="preserve"> 2013;369: 2313-2323.</w:t>
      </w:r>
    </w:p>
  </w:footnote>
  <w:footnote w:id="24">
    <w:p w:rsidR="00465E82" w:rsidRDefault="00465E82" w:rsidP="00862F71">
      <w:pPr>
        <w:pStyle w:val="FootnoteText"/>
      </w:pPr>
      <w:r>
        <w:rPr>
          <w:rStyle w:val="FootnoteReference"/>
        </w:rPr>
        <w:footnoteRef/>
      </w:r>
      <w:r>
        <w:t xml:space="preserve"> </w:t>
      </w:r>
      <w:proofErr w:type="gramStart"/>
      <w:r>
        <w:t xml:space="preserve">Van de </w:t>
      </w:r>
      <w:proofErr w:type="spellStart"/>
      <w:r>
        <w:t>Putte</w:t>
      </w:r>
      <w:proofErr w:type="spellEnd"/>
      <w:r>
        <w:t xml:space="preserve"> et al. Increased prevalence of </w:t>
      </w:r>
      <w:r w:rsidRPr="00862F71">
        <w:t>hypertension</w:t>
      </w:r>
      <w:r>
        <w:t xml:space="preserve"> in haemophilia patients.</w:t>
      </w:r>
      <w:proofErr w:type="gramEnd"/>
      <w:r>
        <w:t xml:space="preserve"> </w:t>
      </w:r>
      <w:proofErr w:type="spellStart"/>
      <w:r w:rsidRPr="00C96628">
        <w:rPr>
          <w:i/>
        </w:rPr>
        <w:t>Thromb</w:t>
      </w:r>
      <w:proofErr w:type="spellEnd"/>
      <w:r w:rsidRPr="00C96628">
        <w:rPr>
          <w:i/>
        </w:rPr>
        <w:t xml:space="preserve"> </w:t>
      </w:r>
      <w:proofErr w:type="spellStart"/>
      <w:r w:rsidRPr="00C96628">
        <w:rPr>
          <w:i/>
        </w:rPr>
        <w:t>Haemost</w:t>
      </w:r>
      <w:proofErr w:type="spellEnd"/>
      <w:r>
        <w:t>. 2012</w:t>
      </w:r>
      <w:proofErr w:type="gramStart"/>
      <w:r>
        <w:t>;108:750</w:t>
      </w:r>
      <w:proofErr w:type="gramEnd"/>
      <w:r>
        <w:t>-755.</w:t>
      </w:r>
    </w:p>
  </w:footnote>
  <w:footnote w:id="25">
    <w:p w:rsidR="00465E82" w:rsidRPr="00862F71" w:rsidRDefault="00465E82" w:rsidP="00862F71">
      <w:pPr>
        <w:pStyle w:val="FootnoteText"/>
      </w:pPr>
      <w:r>
        <w:rPr>
          <w:rStyle w:val="FootnoteReference"/>
        </w:rPr>
        <w:footnoteRef/>
      </w:r>
      <w:r>
        <w:t xml:space="preserve"> </w:t>
      </w:r>
      <w:r w:rsidRPr="00D30C7F">
        <w:t>The Sponsor provided further information in the</w:t>
      </w:r>
      <w:r>
        <w:t xml:space="preserve"> Pre-ACPM response: The neonatal Fc receptor (</w:t>
      </w:r>
      <w:proofErr w:type="spellStart"/>
      <w:r>
        <w:t>FcRn</w:t>
      </w:r>
      <w:proofErr w:type="spellEnd"/>
      <w:r>
        <w:t xml:space="preserve">) is encoded by FCGRT. Known polymorphisms of the FCGRT gene do not appear to affect half-life of </w:t>
      </w:r>
      <w:proofErr w:type="spellStart"/>
      <w:r>
        <w:t>IgGs</w:t>
      </w:r>
      <w:proofErr w:type="spellEnd"/>
      <w:r>
        <w:t xml:space="preserve"> and presumably Fc-containing proteins.</w:t>
      </w:r>
    </w:p>
  </w:footnote>
  <w:footnote w:id="26">
    <w:p w:rsidR="00465E82" w:rsidRDefault="00465E82" w:rsidP="00862F71">
      <w:pPr>
        <w:pStyle w:val="FootnoteText"/>
      </w:pPr>
      <w:r>
        <w:rPr>
          <w:rStyle w:val="FootnoteReference"/>
        </w:rPr>
        <w:footnoteRef/>
      </w:r>
      <w:r>
        <w:t xml:space="preserve"> Sponsor comment: this data was not available at the time of submission and so could not be included in the dossier.</w:t>
      </w:r>
    </w:p>
  </w:footnote>
  <w:footnote w:id="27">
    <w:p w:rsidR="00465E82" w:rsidRPr="00F27FEF" w:rsidRDefault="00465E82" w:rsidP="004F50B8">
      <w:pPr>
        <w:pStyle w:val="FootnoteText"/>
      </w:pPr>
      <w:r w:rsidRPr="00F27FEF">
        <w:rPr>
          <w:vertAlign w:val="superscript"/>
        </w:rPr>
        <w:footnoteRef/>
      </w:r>
      <w:r w:rsidRPr="00F27FEF">
        <w:t xml:space="preserve"> Sachs UJH, </w:t>
      </w:r>
      <w:proofErr w:type="spellStart"/>
      <w:r w:rsidRPr="00F27FEF">
        <w:t>Socher</w:t>
      </w:r>
      <w:proofErr w:type="spellEnd"/>
      <w:r w:rsidRPr="00F27FEF">
        <w:t xml:space="preserve"> I, </w:t>
      </w:r>
      <w:proofErr w:type="spellStart"/>
      <w:r w:rsidRPr="00F27FEF">
        <w:t>Braeunlich</w:t>
      </w:r>
      <w:proofErr w:type="spellEnd"/>
      <w:r w:rsidRPr="00F27FEF">
        <w:t xml:space="preserve"> CG et al. A variable number of tandem repeat polymorphism influences the transcriptional activity of the neonatal Fc receptor α-chain promoter. </w:t>
      </w:r>
      <w:proofErr w:type="gramStart"/>
      <w:r w:rsidRPr="001929AE">
        <w:rPr>
          <w:i/>
        </w:rPr>
        <w:t>Immunology</w:t>
      </w:r>
      <w:r w:rsidRPr="00F27FEF">
        <w:t>.</w:t>
      </w:r>
      <w:proofErr w:type="gramEnd"/>
      <w:r w:rsidRPr="00F27FEF">
        <w:t xml:space="preserve"> </w:t>
      </w:r>
      <w:r>
        <w:t>2006</w:t>
      </w:r>
      <w:proofErr w:type="gramStart"/>
      <w:r>
        <w:t>;</w:t>
      </w:r>
      <w:r w:rsidRPr="00F27FEF">
        <w:t>119</w:t>
      </w:r>
      <w:proofErr w:type="gramEnd"/>
      <w:r w:rsidRPr="00F27FEF">
        <w:t>: 83-89.</w:t>
      </w:r>
    </w:p>
  </w:footnote>
  <w:footnote w:id="28">
    <w:p w:rsidR="00465E82" w:rsidRPr="00F27FEF" w:rsidRDefault="00465E82" w:rsidP="004F50B8">
      <w:pPr>
        <w:pStyle w:val="FootnoteText"/>
      </w:pPr>
      <w:r w:rsidRPr="00F27FEF">
        <w:rPr>
          <w:vertAlign w:val="superscript"/>
        </w:rPr>
        <w:footnoteRef/>
      </w:r>
      <w:r w:rsidRPr="00F27FEF">
        <w:t xml:space="preserve"> </w:t>
      </w:r>
      <w:proofErr w:type="spellStart"/>
      <w:proofErr w:type="gramStart"/>
      <w:r w:rsidRPr="00F27FEF">
        <w:t>Passot</w:t>
      </w:r>
      <w:proofErr w:type="spellEnd"/>
      <w:r w:rsidRPr="00F27FEF">
        <w:t xml:space="preserve"> C, </w:t>
      </w:r>
      <w:proofErr w:type="spellStart"/>
      <w:r w:rsidRPr="00F27FEF">
        <w:t>Azzopardi</w:t>
      </w:r>
      <w:proofErr w:type="spellEnd"/>
      <w:r w:rsidRPr="00F27FEF">
        <w:t xml:space="preserve"> N, Renault S et al. Influence of FCGRT gene polymorphisms on pharmacokinetics of therapeutic antibodies.</w:t>
      </w:r>
      <w:proofErr w:type="gramEnd"/>
      <w:r w:rsidRPr="00F27FEF">
        <w:t xml:space="preserve"> </w:t>
      </w:r>
      <w:proofErr w:type="spellStart"/>
      <w:proofErr w:type="gramStart"/>
      <w:r w:rsidRPr="001929AE">
        <w:rPr>
          <w:i/>
        </w:rPr>
        <w:t>mAbs</w:t>
      </w:r>
      <w:proofErr w:type="spellEnd"/>
      <w:proofErr w:type="gramEnd"/>
      <w:r w:rsidRPr="00F27FEF">
        <w:t xml:space="preserve">. </w:t>
      </w:r>
      <w:r>
        <w:t>2013</w:t>
      </w:r>
      <w:proofErr w:type="gramStart"/>
      <w:r>
        <w:t>;</w:t>
      </w:r>
      <w:r w:rsidRPr="00F27FEF">
        <w:t>5:4</w:t>
      </w:r>
      <w:proofErr w:type="gramEnd"/>
      <w:r w:rsidRPr="00F27FEF">
        <w:t>, 614-619.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pPr>
      <w:rPr>
        <w:noProof/>
        <w:lang w:eastAsia="en-AU"/>
      </w:rPr>
    </w:pPr>
    <w:r w:rsidRPr="00347824">
      <w:rPr>
        <w:noProof/>
        <w:lang w:eastAsia="en-AU"/>
      </w:rPr>
      <w:drawing>
        <wp:anchor distT="0" distB="0" distL="114300" distR="114300" simplePos="0" relativeHeight="251658240" behindDoc="1" locked="0" layoutInCell="1" allowOverlap="1" wp14:anchorId="2D601EE4" wp14:editId="5B8DC98C">
          <wp:simplePos x="0" y="0"/>
          <wp:positionH relativeFrom="column">
            <wp:posOffset>-1089660</wp:posOffset>
          </wp:positionH>
          <wp:positionV relativeFrom="paragraph">
            <wp:posOffset>-577519</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465E82" w:rsidRDefault="00465E82" w:rsidP="00593AD1">
    <w:pPr>
      <w:pStyle w:val="HeaderNoLine"/>
    </w:pPr>
    <w:r>
      <w:rPr>
        <w:noProof/>
        <w:lang w:eastAsia="en-AU"/>
      </w:rPr>
      <w:drawing>
        <wp:inline distT="0" distB="0" distL="0" distR="0" wp14:anchorId="6979ECF4" wp14:editId="05843877">
          <wp:extent cx="5394960" cy="7635240"/>
          <wp:effectExtent l="0" t="0" r="0" b="381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pPr>
      <w:pStyle w:val="Header"/>
    </w:pPr>
  </w:p>
  <w:p w:rsidR="00465E82" w:rsidRDefault="00465E8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pPr>
      <w:pStyle w:val="Header"/>
    </w:pPr>
    <w:r>
      <w:t>Therapeutic Goods Administration</w:t>
    </w:r>
  </w:p>
  <w:p w:rsidR="00465E82" w:rsidRDefault="00465E8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82" w:rsidRDefault="00465E82" w:rsidP="006E08B3">
    <w:r>
      <w:t>Therapeutic Goods Administration</w:t>
    </w:r>
  </w:p>
  <w:p w:rsidR="00465E82" w:rsidRDefault="00465E8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365B32"/>
    <w:lvl w:ilvl="0">
      <w:start w:val="1"/>
      <w:numFmt w:val="decimal"/>
      <w:lvlText w:val="%1."/>
      <w:lvlJc w:val="left"/>
      <w:pPr>
        <w:tabs>
          <w:tab w:val="num" w:pos="1492"/>
        </w:tabs>
        <w:ind w:left="1492" w:hanging="360"/>
      </w:pPr>
    </w:lvl>
  </w:abstractNum>
  <w:abstractNum w:abstractNumId="1">
    <w:nsid w:val="FFFFFF7D"/>
    <w:multiLevelType w:val="singleLevel"/>
    <w:tmpl w:val="5B5EA6E0"/>
    <w:lvl w:ilvl="0">
      <w:start w:val="1"/>
      <w:numFmt w:val="decimal"/>
      <w:lvlText w:val="%1."/>
      <w:lvlJc w:val="left"/>
      <w:pPr>
        <w:tabs>
          <w:tab w:val="num" w:pos="1209"/>
        </w:tabs>
        <w:ind w:left="1209" w:hanging="360"/>
      </w:pPr>
    </w:lvl>
  </w:abstractNum>
  <w:abstractNum w:abstractNumId="2">
    <w:nsid w:val="FFFFFF7E"/>
    <w:multiLevelType w:val="singleLevel"/>
    <w:tmpl w:val="5CC0B7B6"/>
    <w:lvl w:ilvl="0">
      <w:start w:val="1"/>
      <w:numFmt w:val="decimal"/>
      <w:lvlText w:val="%1."/>
      <w:lvlJc w:val="left"/>
      <w:pPr>
        <w:tabs>
          <w:tab w:val="num" w:pos="926"/>
        </w:tabs>
        <w:ind w:left="926" w:hanging="360"/>
      </w:pPr>
    </w:lvl>
  </w:abstractNum>
  <w:abstractNum w:abstractNumId="3">
    <w:nsid w:val="FFFFFF7F"/>
    <w:multiLevelType w:val="singleLevel"/>
    <w:tmpl w:val="2CD684E8"/>
    <w:lvl w:ilvl="0">
      <w:start w:val="1"/>
      <w:numFmt w:val="decimal"/>
      <w:lvlText w:val="%1."/>
      <w:lvlJc w:val="left"/>
      <w:pPr>
        <w:tabs>
          <w:tab w:val="num" w:pos="643"/>
        </w:tabs>
        <w:ind w:left="643" w:hanging="360"/>
      </w:pPr>
    </w:lvl>
  </w:abstractNum>
  <w:abstractNum w:abstractNumId="4">
    <w:nsid w:val="FFFFFF80"/>
    <w:multiLevelType w:val="singleLevel"/>
    <w:tmpl w:val="8B92F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7656E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9F60D210"/>
    <w:lvl w:ilvl="0">
      <w:start w:val="1"/>
      <w:numFmt w:val="decimal"/>
      <w:lvlText w:val="%1."/>
      <w:lvlJc w:val="left"/>
      <w:pPr>
        <w:tabs>
          <w:tab w:val="num" w:pos="360"/>
        </w:tabs>
        <w:ind w:left="360" w:hanging="360"/>
      </w:pPr>
    </w:lvl>
  </w:abstractNum>
  <w:abstractNum w:abstractNumId="7">
    <w:nsid w:val="10053F11"/>
    <w:multiLevelType w:val="multilevel"/>
    <w:tmpl w:val="141EFF9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15A6DDD"/>
    <w:multiLevelType w:val="hybridMultilevel"/>
    <w:tmpl w:val="E9529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926BA9"/>
    <w:multiLevelType w:val="hybridMultilevel"/>
    <w:tmpl w:val="B9C2F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0D25CC"/>
    <w:multiLevelType w:val="hybridMultilevel"/>
    <w:tmpl w:val="A94423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D880F9D"/>
    <w:multiLevelType w:val="hybridMultilevel"/>
    <w:tmpl w:val="7FB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AC02909"/>
    <w:multiLevelType w:val="hybridMultilevel"/>
    <w:tmpl w:val="D6F61B0E"/>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1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7">
    <w:nsid w:val="52FE2CFA"/>
    <w:multiLevelType w:val="hybridMultilevel"/>
    <w:tmpl w:val="387EC0CA"/>
    <w:lvl w:ilvl="0" w:tplc="474A4A64">
      <w:start w:val="1"/>
      <w:numFmt w:val="bullet"/>
      <w:pStyle w:val="C-BulletIndented"/>
      <w:lvlText w:val="-"/>
      <w:lvlJc w:val="left"/>
      <w:pPr>
        <w:tabs>
          <w:tab w:val="num" w:pos="1440"/>
        </w:tabs>
        <w:ind w:left="1440" w:hanging="360"/>
      </w:pPr>
      <w:rPr>
        <w:rFonts w:ascii="Symbol" w:hAnsi="Symbol" w:hint="default"/>
        <w:b w:val="0"/>
        <w:i w:val="0"/>
        <w:caps w:val="0"/>
        <w:strike w:val="0"/>
        <w:dstrike w:val="0"/>
        <w:outline w:val="0"/>
        <w:shadow w:val="0"/>
        <w:emboss w:val="0"/>
        <w:imprint w:val="0"/>
        <w:vanish w:val="0"/>
        <w:sz w:val="24"/>
        <w:u w:val="none"/>
        <w:vertAlign w:val="base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C980D01"/>
    <w:multiLevelType w:val="hybridMultilevel"/>
    <w:tmpl w:val="29BECD02"/>
    <w:lvl w:ilvl="0"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outline w:val="0"/>
        <w:shadow w:val="0"/>
        <w:emboss w:val="0"/>
        <w:imprint w:val="0"/>
        <w:vanish w:val="0"/>
        <w:sz w:val="24"/>
        <w:u w:val="none"/>
        <w:vertAlign w:val="base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7"/>
  </w:num>
  <w:num w:numId="3">
    <w:abstractNumId w:val="11"/>
  </w:num>
  <w:num w:numId="4">
    <w:abstractNumId w:val="7"/>
    <w:lvlOverride w:ilvl="0">
      <w:lvl w:ilvl="0">
        <w:start w:val="1"/>
        <w:numFmt w:val="decimal"/>
        <w:pStyle w:val="Numberbullet0"/>
        <w:lvlText w:val="%1."/>
        <w:lvlJc w:val="left"/>
        <w:pPr>
          <w:ind w:left="425" w:hanging="42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6"/>
  </w:num>
  <w:num w:numId="6">
    <w:abstractNumId w:val="9"/>
  </w:num>
  <w:num w:numId="7">
    <w:abstractNumId w:val="8"/>
  </w:num>
  <w:num w:numId="8">
    <w:abstractNumId w:val="13"/>
  </w:num>
  <w:num w:numId="9">
    <w:abstractNumId w:val="14"/>
  </w:num>
  <w:num w:numId="10">
    <w:abstractNumId w:val="18"/>
  </w:num>
  <w:num w:numId="11">
    <w:abstractNumId w:val="15"/>
  </w:num>
  <w:num w:numId="12">
    <w:abstractNumId w:val="17"/>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num>
  <w:num w:numId="22">
    <w:abstractNumId w:val="5"/>
  </w:num>
  <w:num w:numId="23">
    <w:abstractNumId w:val="4"/>
  </w:num>
  <w:num w:numId="24">
    <w:abstractNumId w:val="6"/>
  </w:num>
  <w:num w:numId="25">
    <w:abstractNumId w:val="3"/>
  </w:num>
  <w:num w:numId="26">
    <w:abstractNumId w:val="2"/>
  </w:num>
  <w:num w:numId="27">
    <w:abstractNumId w:val="1"/>
  </w:num>
  <w:num w:numId="2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3C9"/>
    <w:rsid w:val="00002031"/>
    <w:rsid w:val="000027DD"/>
    <w:rsid w:val="00002EE4"/>
    <w:rsid w:val="00004734"/>
    <w:rsid w:val="00006B22"/>
    <w:rsid w:val="0000713E"/>
    <w:rsid w:val="0001276A"/>
    <w:rsid w:val="000147B1"/>
    <w:rsid w:val="00016770"/>
    <w:rsid w:val="00020C8D"/>
    <w:rsid w:val="000246AE"/>
    <w:rsid w:val="000248C9"/>
    <w:rsid w:val="00025C67"/>
    <w:rsid w:val="000350D9"/>
    <w:rsid w:val="00035640"/>
    <w:rsid w:val="000422FC"/>
    <w:rsid w:val="00044772"/>
    <w:rsid w:val="0005559E"/>
    <w:rsid w:val="00055C44"/>
    <w:rsid w:val="000604D6"/>
    <w:rsid w:val="00066479"/>
    <w:rsid w:val="00066BE5"/>
    <w:rsid w:val="00072280"/>
    <w:rsid w:val="000734D8"/>
    <w:rsid w:val="000765DF"/>
    <w:rsid w:val="00077775"/>
    <w:rsid w:val="000804A4"/>
    <w:rsid w:val="00085CDD"/>
    <w:rsid w:val="00087CB2"/>
    <w:rsid w:val="00090471"/>
    <w:rsid w:val="000932A3"/>
    <w:rsid w:val="00096AA7"/>
    <w:rsid w:val="000A0E45"/>
    <w:rsid w:val="000A3AED"/>
    <w:rsid w:val="000B3532"/>
    <w:rsid w:val="000B3A75"/>
    <w:rsid w:val="000C690F"/>
    <w:rsid w:val="000C6A25"/>
    <w:rsid w:val="000D1295"/>
    <w:rsid w:val="000D391B"/>
    <w:rsid w:val="000D3D6D"/>
    <w:rsid w:val="000D4FC7"/>
    <w:rsid w:val="000D61C7"/>
    <w:rsid w:val="000D62B6"/>
    <w:rsid w:val="000E1F3C"/>
    <w:rsid w:val="000E6D57"/>
    <w:rsid w:val="000E6DDB"/>
    <w:rsid w:val="000F2F0F"/>
    <w:rsid w:val="000F4869"/>
    <w:rsid w:val="000F5B42"/>
    <w:rsid w:val="000F6E6F"/>
    <w:rsid w:val="00105DD9"/>
    <w:rsid w:val="0010601F"/>
    <w:rsid w:val="00106EBB"/>
    <w:rsid w:val="0010788A"/>
    <w:rsid w:val="00107A31"/>
    <w:rsid w:val="00110577"/>
    <w:rsid w:val="00110EA5"/>
    <w:rsid w:val="001128A0"/>
    <w:rsid w:val="00112B5A"/>
    <w:rsid w:val="00112F56"/>
    <w:rsid w:val="00113341"/>
    <w:rsid w:val="00113CBC"/>
    <w:rsid w:val="001169B8"/>
    <w:rsid w:val="00120026"/>
    <w:rsid w:val="0012106B"/>
    <w:rsid w:val="00125318"/>
    <w:rsid w:val="001276B4"/>
    <w:rsid w:val="001305A2"/>
    <w:rsid w:val="00131DA4"/>
    <w:rsid w:val="00133238"/>
    <w:rsid w:val="00134725"/>
    <w:rsid w:val="00135272"/>
    <w:rsid w:val="00136E06"/>
    <w:rsid w:val="00140DA1"/>
    <w:rsid w:val="0014197B"/>
    <w:rsid w:val="001420EE"/>
    <w:rsid w:val="001436C1"/>
    <w:rsid w:val="001447CD"/>
    <w:rsid w:val="00144BE2"/>
    <w:rsid w:val="00150A05"/>
    <w:rsid w:val="00150C2E"/>
    <w:rsid w:val="001516B1"/>
    <w:rsid w:val="00154EBB"/>
    <w:rsid w:val="00155B2C"/>
    <w:rsid w:val="00156316"/>
    <w:rsid w:val="0016220D"/>
    <w:rsid w:val="00162D14"/>
    <w:rsid w:val="00164C3D"/>
    <w:rsid w:val="00165389"/>
    <w:rsid w:val="00166CA1"/>
    <w:rsid w:val="00170658"/>
    <w:rsid w:val="00174A06"/>
    <w:rsid w:val="0017693F"/>
    <w:rsid w:val="0018110E"/>
    <w:rsid w:val="00181684"/>
    <w:rsid w:val="001843C6"/>
    <w:rsid w:val="001850E0"/>
    <w:rsid w:val="00185988"/>
    <w:rsid w:val="001908ED"/>
    <w:rsid w:val="001929AE"/>
    <w:rsid w:val="00193457"/>
    <w:rsid w:val="001A08F3"/>
    <w:rsid w:val="001A2158"/>
    <w:rsid w:val="001A525F"/>
    <w:rsid w:val="001B079E"/>
    <w:rsid w:val="001B09F9"/>
    <w:rsid w:val="001B158D"/>
    <w:rsid w:val="001B3F4C"/>
    <w:rsid w:val="001B520A"/>
    <w:rsid w:val="001B5C90"/>
    <w:rsid w:val="001B6448"/>
    <w:rsid w:val="001C32CD"/>
    <w:rsid w:val="001C4DD3"/>
    <w:rsid w:val="001C5736"/>
    <w:rsid w:val="001C7DAF"/>
    <w:rsid w:val="001D0FB4"/>
    <w:rsid w:val="001D2984"/>
    <w:rsid w:val="001D544E"/>
    <w:rsid w:val="001D7695"/>
    <w:rsid w:val="001E07CF"/>
    <w:rsid w:val="001E512D"/>
    <w:rsid w:val="001E59F1"/>
    <w:rsid w:val="001F086C"/>
    <w:rsid w:val="001F34B6"/>
    <w:rsid w:val="001F49EB"/>
    <w:rsid w:val="001F6ADA"/>
    <w:rsid w:val="001F6CBA"/>
    <w:rsid w:val="00201D4E"/>
    <w:rsid w:val="00206A83"/>
    <w:rsid w:val="002076C9"/>
    <w:rsid w:val="0021373C"/>
    <w:rsid w:val="0021542B"/>
    <w:rsid w:val="002163C1"/>
    <w:rsid w:val="00217FDD"/>
    <w:rsid w:val="00220B8A"/>
    <w:rsid w:val="00220FC0"/>
    <w:rsid w:val="002217CE"/>
    <w:rsid w:val="00223E5A"/>
    <w:rsid w:val="00224C85"/>
    <w:rsid w:val="002257F3"/>
    <w:rsid w:val="00230A7C"/>
    <w:rsid w:val="00233456"/>
    <w:rsid w:val="002339A5"/>
    <w:rsid w:val="00235932"/>
    <w:rsid w:val="00236956"/>
    <w:rsid w:val="00240110"/>
    <w:rsid w:val="002408F7"/>
    <w:rsid w:val="00240A08"/>
    <w:rsid w:val="00256585"/>
    <w:rsid w:val="00257848"/>
    <w:rsid w:val="002655AB"/>
    <w:rsid w:val="0027084A"/>
    <w:rsid w:val="00286434"/>
    <w:rsid w:val="00286C59"/>
    <w:rsid w:val="00290697"/>
    <w:rsid w:val="00290987"/>
    <w:rsid w:val="00291957"/>
    <w:rsid w:val="002942D1"/>
    <w:rsid w:val="00294F17"/>
    <w:rsid w:val="0029501A"/>
    <w:rsid w:val="002A6C42"/>
    <w:rsid w:val="002A76A5"/>
    <w:rsid w:val="002B1638"/>
    <w:rsid w:val="002B3624"/>
    <w:rsid w:val="002B39F9"/>
    <w:rsid w:val="002B6C0E"/>
    <w:rsid w:val="002D78A5"/>
    <w:rsid w:val="002E40B3"/>
    <w:rsid w:val="002E4899"/>
    <w:rsid w:val="002E4C9A"/>
    <w:rsid w:val="002E5D21"/>
    <w:rsid w:val="002F04C3"/>
    <w:rsid w:val="002F11F8"/>
    <w:rsid w:val="002F13D8"/>
    <w:rsid w:val="002F15A6"/>
    <w:rsid w:val="002F3F56"/>
    <w:rsid w:val="002F44B5"/>
    <w:rsid w:val="003003B3"/>
    <w:rsid w:val="0030781A"/>
    <w:rsid w:val="00311AC0"/>
    <w:rsid w:val="0031249A"/>
    <w:rsid w:val="003130D0"/>
    <w:rsid w:val="00315DFC"/>
    <w:rsid w:val="00315EDD"/>
    <w:rsid w:val="00315FCF"/>
    <w:rsid w:val="003173B3"/>
    <w:rsid w:val="00322657"/>
    <w:rsid w:val="003227A7"/>
    <w:rsid w:val="0032583B"/>
    <w:rsid w:val="00327883"/>
    <w:rsid w:val="0033289A"/>
    <w:rsid w:val="003331E1"/>
    <w:rsid w:val="00335504"/>
    <w:rsid w:val="00344748"/>
    <w:rsid w:val="00346BBF"/>
    <w:rsid w:val="00347824"/>
    <w:rsid w:val="00350567"/>
    <w:rsid w:val="0035120B"/>
    <w:rsid w:val="003521E8"/>
    <w:rsid w:val="00353633"/>
    <w:rsid w:val="0035628F"/>
    <w:rsid w:val="003723A3"/>
    <w:rsid w:val="003728F3"/>
    <w:rsid w:val="003746D8"/>
    <w:rsid w:val="0037496E"/>
    <w:rsid w:val="003763C9"/>
    <w:rsid w:val="00385AAF"/>
    <w:rsid w:val="00386150"/>
    <w:rsid w:val="003874CE"/>
    <w:rsid w:val="00390900"/>
    <w:rsid w:val="00393CA5"/>
    <w:rsid w:val="003A0810"/>
    <w:rsid w:val="003A62D3"/>
    <w:rsid w:val="003A7F6C"/>
    <w:rsid w:val="003B2F0D"/>
    <w:rsid w:val="003B4D60"/>
    <w:rsid w:val="003B7E39"/>
    <w:rsid w:val="003C2CA0"/>
    <w:rsid w:val="003C58DC"/>
    <w:rsid w:val="003C6E7A"/>
    <w:rsid w:val="003D1E62"/>
    <w:rsid w:val="003D389B"/>
    <w:rsid w:val="003E11E0"/>
    <w:rsid w:val="003E2486"/>
    <w:rsid w:val="003E3208"/>
    <w:rsid w:val="003E71EB"/>
    <w:rsid w:val="003F0B04"/>
    <w:rsid w:val="003F55C2"/>
    <w:rsid w:val="0040134E"/>
    <w:rsid w:val="004054B0"/>
    <w:rsid w:val="004059CE"/>
    <w:rsid w:val="00413383"/>
    <w:rsid w:val="00424CDB"/>
    <w:rsid w:val="004334C7"/>
    <w:rsid w:val="00437055"/>
    <w:rsid w:val="00437CA4"/>
    <w:rsid w:val="00437D09"/>
    <w:rsid w:val="00440A2D"/>
    <w:rsid w:val="00441AA9"/>
    <w:rsid w:val="00446A86"/>
    <w:rsid w:val="004534BB"/>
    <w:rsid w:val="004543C7"/>
    <w:rsid w:val="004564A7"/>
    <w:rsid w:val="00456F63"/>
    <w:rsid w:val="004577C7"/>
    <w:rsid w:val="004617BF"/>
    <w:rsid w:val="00463620"/>
    <w:rsid w:val="00463658"/>
    <w:rsid w:val="00464F94"/>
    <w:rsid w:val="00465E82"/>
    <w:rsid w:val="00470078"/>
    <w:rsid w:val="004722CC"/>
    <w:rsid w:val="0047233C"/>
    <w:rsid w:val="00473CCC"/>
    <w:rsid w:val="00480303"/>
    <w:rsid w:val="00482F34"/>
    <w:rsid w:val="004834D6"/>
    <w:rsid w:val="004839FD"/>
    <w:rsid w:val="00490125"/>
    <w:rsid w:val="004936E4"/>
    <w:rsid w:val="00494E60"/>
    <w:rsid w:val="0049507E"/>
    <w:rsid w:val="00497487"/>
    <w:rsid w:val="004B6C74"/>
    <w:rsid w:val="004B7B76"/>
    <w:rsid w:val="004B7CBD"/>
    <w:rsid w:val="004C239D"/>
    <w:rsid w:val="004C2DCA"/>
    <w:rsid w:val="004C3C63"/>
    <w:rsid w:val="004C6A8E"/>
    <w:rsid w:val="004C7EF3"/>
    <w:rsid w:val="004D3491"/>
    <w:rsid w:val="004E0B52"/>
    <w:rsid w:val="004E1116"/>
    <w:rsid w:val="004E78D1"/>
    <w:rsid w:val="004F0C4A"/>
    <w:rsid w:val="004F0F38"/>
    <w:rsid w:val="004F4491"/>
    <w:rsid w:val="004F50B8"/>
    <w:rsid w:val="004F6A55"/>
    <w:rsid w:val="004F74C7"/>
    <w:rsid w:val="00501051"/>
    <w:rsid w:val="00501921"/>
    <w:rsid w:val="00507DD5"/>
    <w:rsid w:val="0051029E"/>
    <w:rsid w:val="00512A73"/>
    <w:rsid w:val="005176FB"/>
    <w:rsid w:val="00517BDD"/>
    <w:rsid w:val="005222C6"/>
    <w:rsid w:val="00522E07"/>
    <w:rsid w:val="00524A54"/>
    <w:rsid w:val="00530354"/>
    <w:rsid w:val="00531E8D"/>
    <w:rsid w:val="00532355"/>
    <w:rsid w:val="00533166"/>
    <w:rsid w:val="0053625B"/>
    <w:rsid w:val="005434C6"/>
    <w:rsid w:val="00543B39"/>
    <w:rsid w:val="00546154"/>
    <w:rsid w:val="00546330"/>
    <w:rsid w:val="00550096"/>
    <w:rsid w:val="00550A43"/>
    <w:rsid w:val="00555280"/>
    <w:rsid w:val="00555564"/>
    <w:rsid w:val="005573A2"/>
    <w:rsid w:val="00557FF9"/>
    <w:rsid w:val="00564F54"/>
    <w:rsid w:val="00570FA7"/>
    <w:rsid w:val="00574BF2"/>
    <w:rsid w:val="00576378"/>
    <w:rsid w:val="00577130"/>
    <w:rsid w:val="00577945"/>
    <w:rsid w:val="00577E38"/>
    <w:rsid w:val="00580603"/>
    <w:rsid w:val="00585322"/>
    <w:rsid w:val="005857C6"/>
    <w:rsid w:val="005864EF"/>
    <w:rsid w:val="00592F6E"/>
    <w:rsid w:val="00593AD1"/>
    <w:rsid w:val="005A063A"/>
    <w:rsid w:val="005A12CA"/>
    <w:rsid w:val="005A1C47"/>
    <w:rsid w:val="005A4E48"/>
    <w:rsid w:val="005A68B6"/>
    <w:rsid w:val="005B3BBE"/>
    <w:rsid w:val="005C0575"/>
    <w:rsid w:val="005C5570"/>
    <w:rsid w:val="005C79A4"/>
    <w:rsid w:val="005D0483"/>
    <w:rsid w:val="005D0C6C"/>
    <w:rsid w:val="005D5442"/>
    <w:rsid w:val="005D787D"/>
    <w:rsid w:val="005D7BA8"/>
    <w:rsid w:val="005E2968"/>
    <w:rsid w:val="005F2745"/>
    <w:rsid w:val="005F3ECC"/>
    <w:rsid w:val="005F704E"/>
    <w:rsid w:val="00603F32"/>
    <w:rsid w:val="00604389"/>
    <w:rsid w:val="00604920"/>
    <w:rsid w:val="00605AD4"/>
    <w:rsid w:val="00607021"/>
    <w:rsid w:val="006118F4"/>
    <w:rsid w:val="006249D8"/>
    <w:rsid w:val="00625A6E"/>
    <w:rsid w:val="006272A6"/>
    <w:rsid w:val="00632398"/>
    <w:rsid w:val="0063501C"/>
    <w:rsid w:val="00637E32"/>
    <w:rsid w:val="00640FC3"/>
    <w:rsid w:val="00641782"/>
    <w:rsid w:val="00642020"/>
    <w:rsid w:val="0065337B"/>
    <w:rsid w:val="0065352C"/>
    <w:rsid w:val="0065419D"/>
    <w:rsid w:val="00655285"/>
    <w:rsid w:val="00657471"/>
    <w:rsid w:val="006604D8"/>
    <w:rsid w:val="00664A5B"/>
    <w:rsid w:val="0066696F"/>
    <w:rsid w:val="0066762E"/>
    <w:rsid w:val="00674261"/>
    <w:rsid w:val="00675312"/>
    <w:rsid w:val="006763D2"/>
    <w:rsid w:val="00680C08"/>
    <w:rsid w:val="00690E94"/>
    <w:rsid w:val="006931B1"/>
    <w:rsid w:val="006A0EFB"/>
    <w:rsid w:val="006A15C0"/>
    <w:rsid w:val="006A573C"/>
    <w:rsid w:val="006B05B1"/>
    <w:rsid w:val="006B51D8"/>
    <w:rsid w:val="006C005D"/>
    <w:rsid w:val="006C1E8D"/>
    <w:rsid w:val="006C3E2A"/>
    <w:rsid w:val="006C642F"/>
    <w:rsid w:val="006C74ED"/>
    <w:rsid w:val="006D03E5"/>
    <w:rsid w:val="006D3DAB"/>
    <w:rsid w:val="006D5D3E"/>
    <w:rsid w:val="006E024B"/>
    <w:rsid w:val="006E08B3"/>
    <w:rsid w:val="006E1991"/>
    <w:rsid w:val="006F17AC"/>
    <w:rsid w:val="006F25B8"/>
    <w:rsid w:val="006F4807"/>
    <w:rsid w:val="006F572E"/>
    <w:rsid w:val="006F7F04"/>
    <w:rsid w:val="00700AE4"/>
    <w:rsid w:val="00702483"/>
    <w:rsid w:val="00703C51"/>
    <w:rsid w:val="007046D6"/>
    <w:rsid w:val="00705DB0"/>
    <w:rsid w:val="00706BB3"/>
    <w:rsid w:val="0071366D"/>
    <w:rsid w:val="00713A89"/>
    <w:rsid w:val="00714D42"/>
    <w:rsid w:val="00717824"/>
    <w:rsid w:val="00717957"/>
    <w:rsid w:val="00722B57"/>
    <w:rsid w:val="0072781B"/>
    <w:rsid w:val="00730F8A"/>
    <w:rsid w:val="00735594"/>
    <w:rsid w:val="0074073C"/>
    <w:rsid w:val="00741883"/>
    <w:rsid w:val="00742433"/>
    <w:rsid w:val="0074253D"/>
    <w:rsid w:val="0074429B"/>
    <w:rsid w:val="0074662E"/>
    <w:rsid w:val="00750BAB"/>
    <w:rsid w:val="00754045"/>
    <w:rsid w:val="007615BC"/>
    <w:rsid w:val="0076220B"/>
    <w:rsid w:val="00762F05"/>
    <w:rsid w:val="007652FF"/>
    <w:rsid w:val="00765D94"/>
    <w:rsid w:val="00766A81"/>
    <w:rsid w:val="00770EF1"/>
    <w:rsid w:val="00773EF7"/>
    <w:rsid w:val="00774E1D"/>
    <w:rsid w:val="00775359"/>
    <w:rsid w:val="0077564F"/>
    <w:rsid w:val="0077675A"/>
    <w:rsid w:val="00780355"/>
    <w:rsid w:val="007819FD"/>
    <w:rsid w:val="00781FCC"/>
    <w:rsid w:val="007852CD"/>
    <w:rsid w:val="00785721"/>
    <w:rsid w:val="00791FC5"/>
    <w:rsid w:val="00793A59"/>
    <w:rsid w:val="0079611E"/>
    <w:rsid w:val="007970A4"/>
    <w:rsid w:val="007A011B"/>
    <w:rsid w:val="007B116C"/>
    <w:rsid w:val="007B2951"/>
    <w:rsid w:val="007B3979"/>
    <w:rsid w:val="007B6132"/>
    <w:rsid w:val="007B6E9F"/>
    <w:rsid w:val="007C1216"/>
    <w:rsid w:val="007C1AF7"/>
    <w:rsid w:val="007C632E"/>
    <w:rsid w:val="007D4546"/>
    <w:rsid w:val="007D6494"/>
    <w:rsid w:val="007F6107"/>
    <w:rsid w:val="00802971"/>
    <w:rsid w:val="00803EA8"/>
    <w:rsid w:val="0080473A"/>
    <w:rsid w:val="00805D27"/>
    <w:rsid w:val="00812C21"/>
    <w:rsid w:val="00820A68"/>
    <w:rsid w:val="00821776"/>
    <w:rsid w:val="008218F5"/>
    <w:rsid w:val="008321F5"/>
    <w:rsid w:val="00832369"/>
    <w:rsid w:val="00834660"/>
    <w:rsid w:val="00834E8E"/>
    <w:rsid w:val="00836BC2"/>
    <w:rsid w:val="008374C6"/>
    <w:rsid w:val="00840A9A"/>
    <w:rsid w:val="0085156D"/>
    <w:rsid w:val="00853686"/>
    <w:rsid w:val="00854693"/>
    <w:rsid w:val="0085641B"/>
    <w:rsid w:val="00857136"/>
    <w:rsid w:val="0086154F"/>
    <w:rsid w:val="00862F71"/>
    <w:rsid w:val="008645C9"/>
    <w:rsid w:val="008815AA"/>
    <w:rsid w:val="00885B11"/>
    <w:rsid w:val="00886D15"/>
    <w:rsid w:val="00887DD8"/>
    <w:rsid w:val="00894DAC"/>
    <w:rsid w:val="00896018"/>
    <w:rsid w:val="008960DD"/>
    <w:rsid w:val="0089635C"/>
    <w:rsid w:val="008A07B2"/>
    <w:rsid w:val="008A1BBF"/>
    <w:rsid w:val="008A2B9D"/>
    <w:rsid w:val="008A2CCC"/>
    <w:rsid w:val="008A3D9F"/>
    <w:rsid w:val="008A5E0B"/>
    <w:rsid w:val="008A6D59"/>
    <w:rsid w:val="008B2A23"/>
    <w:rsid w:val="008B4B03"/>
    <w:rsid w:val="008B596F"/>
    <w:rsid w:val="008C159F"/>
    <w:rsid w:val="008C1623"/>
    <w:rsid w:val="008C1850"/>
    <w:rsid w:val="008C51A9"/>
    <w:rsid w:val="008D2994"/>
    <w:rsid w:val="008D6CDC"/>
    <w:rsid w:val="008D7D3F"/>
    <w:rsid w:val="008E6B0A"/>
    <w:rsid w:val="008E7846"/>
    <w:rsid w:val="008F1CCC"/>
    <w:rsid w:val="008F2967"/>
    <w:rsid w:val="008F4AA0"/>
    <w:rsid w:val="008F6943"/>
    <w:rsid w:val="00902157"/>
    <w:rsid w:val="00902A21"/>
    <w:rsid w:val="00907FA8"/>
    <w:rsid w:val="00910FA6"/>
    <w:rsid w:val="0091264B"/>
    <w:rsid w:val="00912E16"/>
    <w:rsid w:val="00920330"/>
    <w:rsid w:val="0092191D"/>
    <w:rsid w:val="009219D7"/>
    <w:rsid w:val="00922D53"/>
    <w:rsid w:val="00923B70"/>
    <w:rsid w:val="00924482"/>
    <w:rsid w:val="00925014"/>
    <w:rsid w:val="00930237"/>
    <w:rsid w:val="00933CE1"/>
    <w:rsid w:val="009402C5"/>
    <w:rsid w:val="00940A89"/>
    <w:rsid w:val="00944117"/>
    <w:rsid w:val="00946EA5"/>
    <w:rsid w:val="00952E2C"/>
    <w:rsid w:val="00957516"/>
    <w:rsid w:val="00957D41"/>
    <w:rsid w:val="00963C08"/>
    <w:rsid w:val="00963FCB"/>
    <w:rsid w:val="00964CF5"/>
    <w:rsid w:val="0098124C"/>
    <w:rsid w:val="0098585A"/>
    <w:rsid w:val="009921DD"/>
    <w:rsid w:val="00994A2A"/>
    <w:rsid w:val="00995D9D"/>
    <w:rsid w:val="009A4CBE"/>
    <w:rsid w:val="009A4CED"/>
    <w:rsid w:val="009A690D"/>
    <w:rsid w:val="009B1585"/>
    <w:rsid w:val="009B1D12"/>
    <w:rsid w:val="009B416B"/>
    <w:rsid w:val="009C24DD"/>
    <w:rsid w:val="009C4404"/>
    <w:rsid w:val="009C4BD5"/>
    <w:rsid w:val="009C4C70"/>
    <w:rsid w:val="009D1E14"/>
    <w:rsid w:val="009D55F0"/>
    <w:rsid w:val="009D7B77"/>
    <w:rsid w:val="009E0BB0"/>
    <w:rsid w:val="009E3FBB"/>
    <w:rsid w:val="009E5B10"/>
    <w:rsid w:val="009F01D1"/>
    <w:rsid w:val="009F068E"/>
    <w:rsid w:val="009F0FB7"/>
    <w:rsid w:val="009F13AA"/>
    <w:rsid w:val="00A102E4"/>
    <w:rsid w:val="00A12C42"/>
    <w:rsid w:val="00A14DF7"/>
    <w:rsid w:val="00A16208"/>
    <w:rsid w:val="00A16B3B"/>
    <w:rsid w:val="00A261A9"/>
    <w:rsid w:val="00A27070"/>
    <w:rsid w:val="00A316C1"/>
    <w:rsid w:val="00A31ABF"/>
    <w:rsid w:val="00A3246D"/>
    <w:rsid w:val="00A36FA7"/>
    <w:rsid w:val="00A41FF1"/>
    <w:rsid w:val="00A43CFF"/>
    <w:rsid w:val="00A44DDB"/>
    <w:rsid w:val="00A472B5"/>
    <w:rsid w:val="00A475B7"/>
    <w:rsid w:val="00A47AF7"/>
    <w:rsid w:val="00A47C3E"/>
    <w:rsid w:val="00A50226"/>
    <w:rsid w:val="00A53F20"/>
    <w:rsid w:val="00A60BAD"/>
    <w:rsid w:val="00A610C6"/>
    <w:rsid w:val="00A65F68"/>
    <w:rsid w:val="00A71181"/>
    <w:rsid w:val="00A73CAE"/>
    <w:rsid w:val="00A8133D"/>
    <w:rsid w:val="00A84E36"/>
    <w:rsid w:val="00A87E75"/>
    <w:rsid w:val="00A93463"/>
    <w:rsid w:val="00A964D1"/>
    <w:rsid w:val="00A97C7A"/>
    <w:rsid w:val="00AA0ED0"/>
    <w:rsid w:val="00AA2100"/>
    <w:rsid w:val="00AA28D3"/>
    <w:rsid w:val="00AB0538"/>
    <w:rsid w:val="00AB372B"/>
    <w:rsid w:val="00AC2B40"/>
    <w:rsid w:val="00AC2BB2"/>
    <w:rsid w:val="00AC2C3C"/>
    <w:rsid w:val="00AC512D"/>
    <w:rsid w:val="00AD0083"/>
    <w:rsid w:val="00AD3935"/>
    <w:rsid w:val="00AE1EA0"/>
    <w:rsid w:val="00AE3D33"/>
    <w:rsid w:val="00AE65EB"/>
    <w:rsid w:val="00AE67A7"/>
    <w:rsid w:val="00AF1D94"/>
    <w:rsid w:val="00AF5C6E"/>
    <w:rsid w:val="00AF60C5"/>
    <w:rsid w:val="00AF6477"/>
    <w:rsid w:val="00B009C6"/>
    <w:rsid w:val="00B0127D"/>
    <w:rsid w:val="00B01548"/>
    <w:rsid w:val="00B052A8"/>
    <w:rsid w:val="00B12D0C"/>
    <w:rsid w:val="00B21D29"/>
    <w:rsid w:val="00B25034"/>
    <w:rsid w:val="00B32F1A"/>
    <w:rsid w:val="00B33588"/>
    <w:rsid w:val="00B33863"/>
    <w:rsid w:val="00B35566"/>
    <w:rsid w:val="00B3578C"/>
    <w:rsid w:val="00B36264"/>
    <w:rsid w:val="00B37D17"/>
    <w:rsid w:val="00B4175E"/>
    <w:rsid w:val="00B452CE"/>
    <w:rsid w:val="00B532A6"/>
    <w:rsid w:val="00B53424"/>
    <w:rsid w:val="00B54C25"/>
    <w:rsid w:val="00B6077C"/>
    <w:rsid w:val="00B6098A"/>
    <w:rsid w:val="00B615A6"/>
    <w:rsid w:val="00B618D5"/>
    <w:rsid w:val="00B67C40"/>
    <w:rsid w:val="00B76B91"/>
    <w:rsid w:val="00B77EB1"/>
    <w:rsid w:val="00B811C6"/>
    <w:rsid w:val="00B855B0"/>
    <w:rsid w:val="00B8763C"/>
    <w:rsid w:val="00B87B55"/>
    <w:rsid w:val="00B9017D"/>
    <w:rsid w:val="00B9168A"/>
    <w:rsid w:val="00B92E08"/>
    <w:rsid w:val="00BA1328"/>
    <w:rsid w:val="00BA3D08"/>
    <w:rsid w:val="00BA5547"/>
    <w:rsid w:val="00BB1D34"/>
    <w:rsid w:val="00BC3132"/>
    <w:rsid w:val="00BC46F8"/>
    <w:rsid w:val="00BC622A"/>
    <w:rsid w:val="00BD2D07"/>
    <w:rsid w:val="00BD2E70"/>
    <w:rsid w:val="00BD77E4"/>
    <w:rsid w:val="00BE0A78"/>
    <w:rsid w:val="00BE2AE3"/>
    <w:rsid w:val="00BE6263"/>
    <w:rsid w:val="00BE79F0"/>
    <w:rsid w:val="00BF046D"/>
    <w:rsid w:val="00BF1190"/>
    <w:rsid w:val="00BF245C"/>
    <w:rsid w:val="00BF5D04"/>
    <w:rsid w:val="00BF6F88"/>
    <w:rsid w:val="00C00C68"/>
    <w:rsid w:val="00C04956"/>
    <w:rsid w:val="00C1164D"/>
    <w:rsid w:val="00C11864"/>
    <w:rsid w:val="00C12352"/>
    <w:rsid w:val="00C1269A"/>
    <w:rsid w:val="00C141D1"/>
    <w:rsid w:val="00C147B2"/>
    <w:rsid w:val="00C16312"/>
    <w:rsid w:val="00C16861"/>
    <w:rsid w:val="00C17AA4"/>
    <w:rsid w:val="00C3593E"/>
    <w:rsid w:val="00C404A6"/>
    <w:rsid w:val="00C40A36"/>
    <w:rsid w:val="00C44419"/>
    <w:rsid w:val="00C45E7B"/>
    <w:rsid w:val="00C471B1"/>
    <w:rsid w:val="00C6316B"/>
    <w:rsid w:val="00C634A9"/>
    <w:rsid w:val="00C64586"/>
    <w:rsid w:val="00C70060"/>
    <w:rsid w:val="00C706D6"/>
    <w:rsid w:val="00C70D53"/>
    <w:rsid w:val="00C73D0B"/>
    <w:rsid w:val="00C772FF"/>
    <w:rsid w:val="00C80137"/>
    <w:rsid w:val="00C801AF"/>
    <w:rsid w:val="00C80256"/>
    <w:rsid w:val="00C80CE7"/>
    <w:rsid w:val="00C81D9F"/>
    <w:rsid w:val="00C81DFD"/>
    <w:rsid w:val="00C83D73"/>
    <w:rsid w:val="00C90015"/>
    <w:rsid w:val="00C9504B"/>
    <w:rsid w:val="00C96628"/>
    <w:rsid w:val="00C9747E"/>
    <w:rsid w:val="00C97C44"/>
    <w:rsid w:val="00CA3FD5"/>
    <w:rsid w:val="00CB6BC0"/>
    <w:rsid w:val="00CC1B7C"/>
    <w:rsid w:val="00CC5836"/>
    <w:rsid w:val="00CC5AFB"/>
    <w:rsid w:val="00CC727F"/>
    <w:rsid w:val="00CD74DC"/>
    <w:rsid w:val="00CE2DE2"/>
    <w:rsid w:val="00CE6989"/>
    <w:rsid w:val="00CF089A"/>
    <w:rsid w:val="00CF15C3"/>
    <w:rsid w:val="00CF2B6F"/>
    <w:rsid w:val="00CF58B6"/>
    <w:rsid w:val="00D017ED"/>
    <w:rsid w:val="00D0347C"/>
    <w:rsid w:val="00D040D3"/>
    <w:rsid w:val="00D04C65"/>
    <w:rsid w:val="00D12FBC"/>
    <w:rsid w:val="00D201D2"/>
    <w:rsid w:val="00D2040C"/>
    <w:rsid w:val="00D20430"/>
    <w:rsid w:val="00D224FE"/>
    <w:rsid w:val="00D22556"/>
    <w:rsid w:val="00D23139"/>
    <w:rsid w:val="00D2436C"/>
    <w:rsid w:val="00D3042E"/>
    <w:rsid w:val="00D425BB"/>
    <w:rsid w:val="00D45D2A"/>
    <w:rsid w:val="00D47ECF"/>
    <w:rsid w:val="00D51426"/>
    <w:rsid w:val="00D52364"/>
    <w:rsid w:val="00D52D50"/>
    <w:rsid w:val="00D6493E"/>
    <w:rsid w:val="00D66FA8"/>
    <w:rsid w:val="00D67681"/>
    <w:rsid w:val="00D716B5"/>
    <w:rsid w:val="00D7195D"/>
    <w:rsid w:val="00D72462"/>
    <w:rsid w:val="00D7301E"/>
    <w:rsid w:val="00D75679"/>
    <w:rsid w:val="00D779F6"/>
    <w:rsid w:val="00D83AE1"/>
    <w:rsid w:val="00D85334"/>
    <w:rsid w:val="00D855D4"/>
    <w:rsid w:val="00D913FB"/>
    <w:rsid w:val="00D93466"/>
    <w:rsid w:val="00D961E1"/>
    <w:rsid w:val="00DA0654"/>
    <w:rsid w:val="00DA1124"/>
    <w:rsid w:val="00DA37D9"/>
    <w:rsid w:val="00DA7B19"/>
    <w:rsid w:val="00DA7D40"/>
    <w:rsid w:val="00DB22F9"/>
    <w:rsid w:val="00DB6124"/>
    <w:rsid w:val="00DB750B"/>
    <w:rsid w:val="00DB75B7"/>
    <w:rsid w:val="00DC22C8"/>
    <w:rsid w:val="00DC6E02"/>
    <w:rsid w:val="00DC7468"/>
    <w:rsid w:val="00DD5FA2"/>
    <w:rsid w:val="00DD6230"/>
    <w:rsid w:val="00DD7E78"/>
    <w:rsid w:val="00DE02AE"/>
    <w:rsid w:val="00DE215B"/>
    <w:rsid w:val="00DE2555"/>
    <w:rsid w:val="00DE25AD"/>
    <w:rsid w:val="00DF1D7F"/>
    <w:rsid w:val="00DF2CAB"/>
    <w:rsid w:val="00DF4BE4"/>
    <w:rsid w:val="00DF764F"/>
    <w:rsid w:val="00DF7EF8"/>
    <w:rsid w:val="00E02FB4"/>
    <w:rsid w:val="00E039C6"/>
    <w:rsid w:val="00E20571"/>
    <w:rsid w:val="00E235F7"/>
    <w:rsid w:val="00E23659"/>
    <w:rsid w:val="00E239D4"/>
    <w:rsid w:val="00E25707"/>
    <w:rsid w:val="00E26130"/>
    <w:rsid w:val="00E30567"/>
    <w:rsid w:val="00E34C25"/>
    <w:rsid w:val="00E36226"/>
    <w:rsid w:val="00E40B22"/>
    <w:rsid w:val="00E4197D"/>
    <w:rsid w:val="00E432EA"/>
    <w:rsid w:val="00E45619"/>
    <w:rsid w:val="00E4588F"/>
    <w:rsid w:val="00E46BAD"/>
    <w:rsid w:val="00E46DA3"/>
    <w:rsid w:val="00E51BB1"/>
    <w:rsid w:val="00E52240"/>
    <w:rsid w:val="00E553E9"/>
    <w:rsid w:val="00E624A5"/>
    <w:rsid w:val="00E709F9"/>
    <w:rsid w:val="00E70BD0"/>
    <w:rsid w:val="00E72A4B"/>
    <w:rsid w:val="00E7344E"/>
    <w:rsid w:val="00E8096A"/>
    <w:rsid w:val="00E85535"/>
    <w:rsid w:val="00EA5368"/>
    <w:rsid w:val="00EB0798"/>
    <w:rsid w:val="00EB1E8D"/>
    <w:rsid w:val="00EB40AD"/>
    <w:rsid w:val="00EB586E"/>
    <w:rsid w:val="00EB5FC8"/>
    <w:rsid w:val="00EB6D93"/>
    <w:rsid w:val="00EC3609"/>
    <w:rsid w:val="00EC56F2"/>
    <w:rsid w:val="00EC68BD"/>
    <w:rsid w:val="00EC7A85"/>
    <w:rsid w:val="00ED0FE0"/>
    <w:rsid w:val="00ED2CF9"/>
    <w:rsid w:val="00ED3CAD"/>
    <w:rsid w:val="00ED42A9"/>
    <w:rsid w:val="00ED5A41"/>
    <w:rsid w:val="00EE1DE8"/>
    <w:rsid w:val="00EE2F66"/>
    <w:rsid w:val="00EE32F9"/>
    <w:rsid w:val="00EF4537"/>
    <w:rsid w:val="00F02D30"/>
    <w:rsid w:val="00F033EC"/>
    <w:rsid w:val="00F04D6F"/>
    <w:rsid w:val="00F04F68"/>
    <w:rsid w:val="00F10BB3"/>
    <w:rsid w:val="00F12670"/>
    <w:rsid w:val="00F13F22"/>
    <w:rsid w:val="00F14B27"/>
    <w:rsid w:val="00F15552"/>
    <w:rsid w:val="00F16922"/>
    <w:rsid w:val="00F23D6E"/>
    <w:rsid w:val="00F27FEF"/>
    <w:rsid w:val="00F3148D"/>
    <w:rsid w:val="00F32312"/>
    <w:rsid w:val="00F325C5"/>
    <w:rsid w:val="00F32FE0"/>
    <w:rsid w:val="00F35298"/>
    <w:rsid w:val="00F3734F"/>
    <w:rsid w:val="00F47333"/>
    <w:rsid w:val="00F47D0F"/>
    <w:rsid w:val="00F47E37"/>
    <w:rsid w:val="00F53C07"/>
    <w:rsid w:val="00F54B65"/>
    <w:rsid w:val="00F63026"/>
    <w:rsid w:val="00F63DA0"/>
    <w:rsid w:val="00F640B6"/>
    <w:rsid w:val="00F71DF6"/>
    <w:rsid w:val="00F80E40"/>
    <w:rsid w:val="00F81AE3"/>
    <w:rsid w:val="00F848D9"/>
    <w:rsid w:val="00F92BD8"/>
    <w:rsid w:val="00F96230"/>
    <w:rsid w:val="00FA11B2"/>
    <w:rsid w:val="00FA2919"/>
    <w:rsid w:val="00FA35F0"/>
    <w:rsid w:val="00FA3BCA"/>
    <w:rsid w:val="00FA59A9"/>
    <w:rsid w:val="00FA5B82"/>
    <w:rsid w:val="00FA639E"/>
    <w:rsid w:val="00FB2444"/>
    <w:rsid w:val="00FB6977"/>
    <w:rsid w:val="00FC25E4"/>
    <w:rsid w:val="00FC4EF7"/>
    <w:rsid w:val="00FD0824"/>
    <w:rsid w:val="00FD1043"/>
    <w:rsid w:val="00FD119B"/>
    <w:rsid w:val="00FD3004"/>
    <w:rsid w:val="00FE1DEE"/>
    <w:rsid w:val="00FE23E9"/>
    <w:rsid w:val="00FE72B9"/>
    <w:rsid w:val="00FE7781"/>
    <w:rsid w:val="00FE77A5"/>
    <w:rsid w:val="00FE7F56"/>
    <w:rsid w:val="00FF2126"/>
    <w:rsid w:val="00FF2F4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543C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3559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EF4537"/>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rsid w:val="00206A8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206A83"/>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206A83"/>
    <w:pPr>
      <w:keepNext/>
      <w:spacing w:before="0" w:after="110" w:line="252" w:lineRule="auto"/>
      <w:outlineLvl w:val="1"/>
    </w:pPr>
    <w:rPr>
      <w:rFonts w:eastAsia="Times New Roman"/>
      <w:b/>
      <w:snapToGrid w:val="0"/>
      <w:kern w:val="16"/>
      <w:szCs w:val="24"/>
    </w:rPr>
  </w:style>
  <w:style w:type="character" w:styleId="IntenseEmphasis">
    <w:name w:val="Intense Emphasis"/>
    <w:basedOn w:val="DefaultParagraphFont"/>
    <w:uiPriority w:val="21"/>
    <w:qFormat/>
    <w:rsid w:val="00206A83"/>
    <w:rPr>
      <w:b/>
      <w:bCs/>
      <w:i/>
      <w:iCs/>
      <w:color w:val="002C47" w:themeColor="accent1"/>
    </w:rPr>
  </w:style>
  <w:style w:type="paragraph" w:customStyle="1" w:styleId="AssessmentSubsection">
    <w:name w:val="Assessment Subsection"/>
    <w:basedOn w:val="Standard"/>
    <w:next w:val="Standard"/>
    <w:rsid w:val="00206A83"/>
    <w:pPr>
      <w:keepNext/>
      <w:spacing w:after="110"/>
      <w:outlineLvl w:val="2"/>
    </w:pPr>
    <w:rPr>
      <w:b/>
      <w:i/>
    </w:rPr>
  </w:style>
  <w:style w:type="paragraph" w:customStyle="1" w:styleId="TableCaption">
    <w:name w:val="Table Caption"/>
    <w:basedOn w:val="Standard"/>
    <w:next w:val="Standard"/>
    <w:link w:val="TableCaptionChar"/>
    <w:rsid w:val="00206A83"/>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rsid w:val="00206A83"/>
    <w:pPr>
      <w:spacing w:after="0"/>
    </w:pPr>
    <w:rPr>
      <w:rFonts w:eastAsia="Cambria"/>
      <w:snapToGrid/>
      <w:kern w:val="0"/>
      <w:sz w:val="16"/>
      <w:szCs w:val="16"/>
    </w:rPr>
  </w:style>
  <w:style w:type="character" w:customStyle="1" w:styleId="TableTitleChar">
    <w:name w:val="Table Title Char"/>
    <w:basedOn w:val="StandardChar"/>
    <w:link w:val="TableTitle"/>
    <w:rsid w:val="00206A83"/>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206A83"/>
    <w:rPr>
      <w:rFonts w:ascii="Cambria" w:eastAsia="Cambria" w:hAnsi="Cambria" w:cs="Times New Roman"/>
      <w:sz w:val="19"/>
    </w:rPr>
  </w:style>
  <w:style w:type="character" w:customStyle="1" w:styleId="TableCaptionChar">
    <w:name w:val="Table Caption Char"/>
    <w:basedOn w:val="TabletextChar"/>
    <w:link w:val="TableCaption"/>
    <w:rsid w:val="00206A83"/>
    <w:rPr>
      <w:rFonts w:ascii="Cambria" w:eastAsia="Cambria" w:hAnsi="Cambria" w:cs="Times New Roman"/>
      <w:sz w:val="19"/>
    </w:rPr>
  </w:style>
  <w:style w:type="character" w:customStyle="1" w:styleId="WhiteSpaceChar">
    <w:name w:val="White Space Char"/>
    <w:basedOn w:val="TabletextChar"/>
    <w:link w:val="WhiteSpace"/>
    <w:rsid w:val="00206A83"/>
    <w:rPr>
      <w:rFonts w:ascii="Cambria" w:eastAsia="Cambria" w:hAnsi="Cambria" w:cs="Times New Roman"/>
      <w:sz w:val="16"/>
      <w:szCs w:val="16"/>
    </w:rPr>
  </w:style>
  <w:style w:type="paragraph" w:customStyle="1" w:styleId="AssessmentSubsection2">
    <w:name w:val="Assessment Subsection 2"/>
    <w:basedOn w:val="AssessmentSubsection"/>
    <w:next w:val="Standard"/>
    <w:rsid w:val="00206A83"/>
    <w:pPr>
      <w:outlineLvl w:val="3"/>
    </w:pPr>
    <w:rPr>
      <w:b w:val="0"/>
    </w:rPr>
  </w:style>
  <w:style w:type="character" w:customStyle="1" w:styleId="SectionHeadingCharChar">
    <w:name w:val="Section Heading Char Char"/>
    <w:basedOn w:val="DefaultParagraphFont"/>
    <w:link w:val="SectionHeading"/>
    <w:locked/>
    <w:rsid w:val="00206A83"/>
    <w:rPr>
      <w:rFonts w:ascii="Cambria" w:eastAsia="Times New Roman" w:hAnsi="Cambria" w:cs="Times New Roman"/>
      <w:b/>
      <w:caps/>
      <w:kern w:val="16"/>
      <w:szCs w:val="24"/>
    </w:rPr>
  </w:style>
  <w:style w:type="paragraph" w:customStyle="1" w:styleId="SectionHeading">
    <w:name w:val="Section Heading"/>
    <w:basedOn w:val="Normal"/>
    <w:next w:val="Normal"/>
    <w:link w:val="SectionHeadingCharChar"/>
    <w:rsid w:val="00206A83"/>
    <w:pPr>
      <w:keepNext/>
      <w:snapToGrid w:val="0"/>
      <w:spacing w:before="0" w:after="220" w:line="252" w:lineRule="auto"/>
      <w:outlineLvl w:val="0"/>
    </w:pPr>
    <w:rPr>
      <w:rFonts w:eastAsia="Times New Roman"/>
      <w:b/>
      <w:caps/>
      <w:kern w:val="16"/>
      <w:szCs w:val="24"/>
    </w:rPr>
  </w:style>
  <w:style w:type="paragraph" w:customStyle="1" w:styleId="Bulletpoint">
    <w:name w:val="Bullet point"/>
    <w:basedOn w:val="Normal"/>
    <w:rsid w:val="00206A83"/>
    <w:pPr>
      <w:numPr>
        <w:numId w:val="5"/>
      </w:numPr>
      <w:tabs>
        <w:tab w:val="clear" w:pos="369"/>
        <w:tab w:val="left" w:pos="397"/>
        <w:tab w:val="num" w:pos="511"/>
      </w:tabs>
      <w:snapToGrid w:val="0"/>
      <w:spacing w:before="0" w:after="180" w:line="252" w:lineRule="auto"/>
    </w:pPr>
    <w:rPr>
      <w:rFonts w:eastAsia="Times New Roman"/>
      <w:kern w:val="16"/>
      <w:szCs w:val="24"/>
    </w:rPr>
  </w:style>
  <w:style w:type="character" w:styleId="CommentReference">
    <w:name w:val="annotation reference"/>
    <w:basedOn w:val="DefaultParagraphFont"/>
    <w:uiPriority w:val="99"/>
    <w:semiHidden/>
    <w:unhideWhenUsed/>
    <w:rsid w:val="00131DA4"/>
    <w:rPr>
      <w:sz w:val="16"/>
      <w:szCs w:val="16"/>
    </w:rPr>
  </w:style>
  <w:style w:type="paragraph" w:styleId="CommentText">
    <w:name w:val="annotation text"/>
    <w:basedOn w:val="Normal"/>
    <w:link w:val="CommentTextChar"/>
    <w:uiPriority w:val="99"/>
    <w:semiHidden/>
    <w:unhideWhenUsed/>
    <w:rsid w:val="00131DA4"/>
    <w:pPr>
      <w:spacing w:line="240" w:lineRule="auto"/>
    </w:pPr>
    <w:rPr>
      <w:sz w:val="20"/>
      <w:szCs w:val="20"/>
    </w:rPr>
  </w:style>
  <w:style w:type="character" w:customStyle="1" w:styleId="CommentTextChar">
    <w:name w:val="Comment Text Char"/>
    <w:basedOn w:val="DefaultParagraphFont"/>
    <w:link w:val="CommentText"/>
    <w:uiPriority w:val="99"/>
    <w:semiHidden/>
    <w:rsid w:val="00131DA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31DA4"/>
    <w:rPr>
      <w:b/>
      <w:bCs/>
    </w:rPr>
  </w:style>
  <w:style w:type="character" w:customStyle="1" w:styleId="CommentSubjectChar">
    <w:name w:val="Comment Subject Char"/>
    <w:basedOn w:val="CommentTextChar"/>
    <w:link w:val="CommentSubject"/>
    <w:uiPriority w:val="99"/>
    <w:semiHidden/>
    <w:rsid w:val="00131DA4"/>
    <w:rPr>
      <w:rFonts w:ascii="Cambria" w:eastAsia="Cambria" w:hAnsi="Cambria" w:cs="Times New Roman"/>
      <w:b/>
      <w:bCs/>
      <w:sz w:val="20"/>
      <w:szCs w:val="20"/>
    </w:rPr>
  </w:style>
  <w:style w:type="paragraph" w:customStyle="1" w:styleId="Abbreviations">
    <w:name w:val="Abbreviations"/>
    <w:basedOn w:val="Normal"/>
    <w:rsid w:val="00131DA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st1">
    <w:name w:val="st1"/>
    <w:basedOn w:val="DefaultParagraphFont"/>
    <w:rsid w:val="00220FC0"/>
  </w:style>
  <w:style w:type="paragraph" w:styleId="BodyText">
    <w:name w:val="Body Text"/>
    <w:basedOn w:val="Normal"/>
    <w:link w:val="BodyTextChar"/>
    <w:uiPriority w:val="1"/>
    <w:qFormat/>
    <w:rsid w:val="009C4C70"/>
    <w:pPr>
      <w:widowControl w:val="0"/>
      <w:spacing w:before="0" w:after="0" w:line="240" w:lineRule="auto"/>
      <w:ind w:left="123"/>
    </w:pPr>
    <w:rPr>
      <w:rFonts w:ascii="Arial" w:eastAsia="Arial" w:hAnsi="Arial" w:cstheme="minorBidi"/>
      <w:lang w:val="en-US"/>
    </w:rPr>
  </w:style>
  <w:style w:type="character" w:customStyle="1" w:styleId="BodyTextChar">
    <w:name w:val="Body Text Char"/>
    <w:basedOn w:val="DefaultParagraphFont"/>
    <w:link w:val="BodyText"/>
    <w:uiPriority w:val="1"/>
    <w:rsid w:val="009C4C70"/>
    <w:rPr>
      <w:rFonts w:ascii="Arial" w:eastAsia="Arial" w:hAnsi="Arial"/>
      <w:lang w:val="en-US"/>
    </w:rPr>
  </w:style>
  <w:style w:type="character" w:styleId="Emphasis">
    <w:name w:val="Emphasis"/>
    <w:basedOn w:val="DefaultParagraphFont"/>
    <w:uiPriority w:val="20"/>
    <w:qFormat/>
    <w:rsid w:val="00907FA8"/>
    <w:rPr>
      <w:i/>
      <w:iCs/>
    </w:rPr>
  </w:style>
  <w:style w:type="character" w:customStyle="1" w:styleId="apple-converted-space">
    <w:name w:val="apple-converted-space"/>
    <w:basedOn w:val="DefaultParagraphFont"/>
    <w:rsid w:val="00907FA8"/>
  </w:style>
  <w:style w:type="paragraph" w:styleId="EndnoteText">
    <w:name w:val="endnote text"/>
    <w:basedOn w:val="Normal"/>
    <w:link w:val="EndnoteTextChar"/>
    <w:uiPriority w:val="99"/>
    <w:semiHidden/>
    <w:unhideWhenUsed/>
    <w:rsid w:val="006118F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118F4"/>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6118F4"/>
    <w:rPr>
      <w:vertAlign w:val="superscript"/>
    </w:rPr>
  </w:style>
  <w:style w:type="paragraph" w:styleId="NormalWeb">
    <w:name w:val="Normal (Web)"/>
    <w:basedOn w:val="Normal"/>
    <w:uiPriority w:val="99"/>
    <w:semiHidden/>
    <w:unhideWhenUsed/>
    <w:rsid w:val="006118F4"/>
    <w:pPr>
      <w:spacing w:before="100" w:beforeAutospacing="1" w:after="100" w:afterAutospacing="1" w:line="240" w:lineRule="auto"/>
    </w:pPr>
    <w:rPr>
      <w:rFonts w:ascii="Times New Roman" w:eastAsia="Times New Roman" w:hAnsi="Times New Roman"/>
      <w:sz w:val="24"/>
      <w:szCs w:val="24"/>
      <w:lang w:eastAsia="en-AU"/>
    </w:rPr>
  </w:style>
  <w:style w:type="paragraph" w:styleId="TOC4">
    <w:name w:val="toc 4"/>
    <w:basedOn w:val="Normal"/>
    <w:next w:val="Normal"/>
    <w:autoRedefine/>
    <w:uiPriority w:val="39"/>
    <w:semiHidden/>
    <w:unhideWhenUsed/>
    <w:rsid w:val="00170658"/>
    <w:pPr>
      <w:spacing w:after="100"/>
      <w:ind w:left="660"/>
    </w:pPr>
  </w:style>
  <w:style w:type="paragraph" w:customStyle="1" w:styleId="Bullet1">
    <w:name w:val="Bullet 1"/>
    <w:basedOn w:val="Normal"/>
    <w:rsid w:val="00735594"/>
    <w:pPr>
      <w:numPr>
        <w:numId w:val="8"/>
      </w:numPr>
      <w:spacing w:after="0" w:line="240" w:lineRule="auto"/>
    </w:pPr>
    <w:rPr>
      <w:rFonts w:eastAsia="Times New Roman"/>
      <w:kern w:val="24"/>
      <w:szCs w:val="24"/>
      <w:lang w:eastAsia="en-AU"/>
    </w:rPr>
  </w:style>
  <w:style w:type="paragraph" w:customStyle="1" w:styleId="Bullet2">
    <w:name w:val="Bullet 2"/>
    <w:basedOn w:val="Bullet1"/>
    <w:rsid w:val="00735594"/>
    <w:pPr>
      <w:numPr>
        <w:numId w:val="9"/>
      </w:numPr>
    </w:pPr>
  </w:style>
  <w:style w:type="paragraph" w:customStyle="1" w:styleId="Comment1">
    <w:name w:val="Comment 1"/>
    <w:basedOn w:val="Normal"/>
    <w:next w:val="Normal"/>
    <w:qFormat/>
    <w:rsid w:val="0073559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73559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735594"/>
    <w:rPr>
      <w:rFonts w:asciiTheme="majorHAnsi" w:eastAsiaTheme="majorEastAsia" w:hAnsiTheme="majorHAnsi" w:cstheme="majorBidi"/>
      <w:color w:val="404040" w:themeColor="text1" w:themeTint="BF"/>
      <w:sz w:val="20"/>
      <w:szCs w:val="20"/>
    </w:rPr>
  </w:style>
  <w:style w:type="paragraph" w:customStyle="1" w:styleId="C-Heading1">
    <w:name w:val="C-Heading 1"/>
    <w:next w:val="Normal"/>
    <w:rsid w:val="00AF6477"/>
    <w:pPr>
      <w:keepNext/>
      <w:pageBreakBefore/>
      <w:numPr>
        <w:numId w:val="11"/>
      </w:numPr>
      <w:spacing w:before="480" w:after="120" w:line="240" w:lineRule="auto"/>
      <w:outlineLvl w:val="0"/>
    </w:pPr>
    <w:rPr>
      <w:rFonts w:ascii="Times New Roman" w:eastAsia="Times New Roman" w:hAnsi="Times New Roman" w:cs="Times New Roman"/>
      <w:b/>
      <w:caps/>
      <w:sz w:val="28"/>
      <w:szCs w:val="20"/>
      <w:lang w:val="en-US"/>
    </w:rPr>
  </w:style>
  <w:style w:type="paragraph" w:customStyle="1" w:styleId="C-Heading2">
    <w:name w:val="C-Heading 2"/>
    <w:next w:val="Normal"/>
    <w:rsid w:val="00AF6477"/>
    <w:pPr>
      <w:keepNext/>
      <w:numPr>
        <w:ilvl w:val="1"/>
        <w:numId w:val="11"/>
      </w:numPr>
      <w:spacing w:before="240" w:after="0" w:line="240" w:lineRule="auto"/>
      <w:outlineLvl w:val="1"/>
    </w:pPr>
    <w:rPr>
      <w:rFonts w:ascii="Times New Roman" w:eastAsia="Times New Roman" w:hAnsi="Times New Roman" w:cs="Times New Roman"/>
      <w:b/>
      <w:sz w:val="28"/>
      <w:szCs w:val="20"/>
      <w:lang w:val="en-US"/>
    </w:rPr>
  </w:style>
  <w:style w:type="paragraph" w:customStyle="1" w:styleId="C-Heading3">
    <w:name w:val="C-Heading 3"/>
    <w:next w:val="Normal"/>
    <w:rsid w:val="00AF6477"/>
    <w:pPr>
      <w:keepNext/>
      <w:numPr>
        <w:ilvl w:val="2"/>
        <w:numId w:val="11"/>
      </w:numPr>
      <w:spacing w:before="240" w:after="0" w:line="240" w:lineRule="auto"/>
      <w:outlineLvl w:val="2"/>
    </w:pPr>
    <w:rPr>
      <w:rFonts w:ascii="Times New Roman" w:eastAsia="Times New Roman" w:hAnsi="Times New Roman" w:cs="Times New Roman"/>
      <w:b/>
      <w:sz w:val="24"/>
      <w:szCs w:val="20"/>
      <w:lang w:val="en-US"/>
    </w:rPr>
  </w:style>
  <w:style w:type="paragraph" w:customStyle="1" w:styleId="C-Heading4">
    <w:name w:val="C-Heading 4"/>
    <w:next w:val="Normal"/>
    <w:rsid w:val="00AF6477"/>
    <w:pPr>
      <w:keepNext/>
      <w:numPr>
        <w:ilvl w:val="3"/>
        <w:numId w:val="11"/>
      </w:numPr>
      <w:spacing w:before="240" w:after="0" w:line="240" w:lineRule="auto"/>
      <w:outlineLvl w:val="3"/>
    </w:pPr>
    <w:rPr>
      <w:rFonts w:ascii="Times New Roman" w:eastAsia="Times New Roman" w:hAnsi="Times New Roman" w:cs="Times New Roman"/>
      <w:b/>
      <w:sz w:val="24"/>
      <w:szCs w:val="20"/>
      <w:lang w:val="en-US"/>
    </w:rPr>
  </w:style>
  <w:style w:type="paragraph" w:customStyle="1" w:styleId="C-Heading5">
    <w:name w:val="C-Heading 5"/>
    <w:next w:val="Normal"/>
    <w:rsid w:val="00AF6477"/>
    <w:pPr>
      <w:keepNext/>
      <w:numPr>
        <w:ilvl w:val="4"/>
        <w:numId w:val="11"/>
      </w:numPr>
      <w:spacing w:before="240" w:after="0" w:line="240" w:lineRule="auto"/>
      <w:outlineLvl w:val="4"/>
    </w:pPr>
    <w:rPr>
      <w:rFonts w:ascii="Times New Roman" w:eastAsia="Times New Roman" w:hAnsi="Times New Roman" w:cs="Times New Roman"/>
      <w:b/>
      <w:sz w:val="24"/>
      <w:szCs w:val="20"/>
      <w:lang w:val="en-US"/>
    </w:rPr>
  </w:style>
  <w:style w:type="paragraph" w:customStyle="1" w:styleId="C-Heading6">
    <w:name w:val="C-Heading 6"/>
    <w:next w:val="Normal"/>
    <w:rsid w:val="00AF6477"/>
    <w:pPr>
      <w:keepNext/>
      <w:numPr>
        <w:ilvl w:val="5"/>
        <w:numId w:val="11"/>
      </w:numPr>
      <w:tabs>
        <w:tab w:val="clear" w:pos="1080"/>
        <w:tab w:val="num" w:pos="1224"/>
        <w:tab w:val="num" w:pos="1309"/>
      </w:tabs>
      <w:spacing w:before="240" w:after="0" w:line="240" w:lineRule="auto"/>
      <w:ind w:left="1224" w:hanging="1224"/>
      <w:outlineLvl w:val="5"/>
    </w:pPr>
    <w:rPr>
      <w:rFonts w:ascii="Times New Roman" w:eastAsia="Times New Roman" w:hAnsi="Times New Roman" w:cs="Times New Roman"/>
      <w:b/>
      <w:sz w:val="24"/>
      <w:szCs w:val="20"/>
      <w:lang w:val="en-US"/>
    </w:rPr>
  </w:style>
  <w:style w:type="paragraph" w:customStyle="1" w:styleId="C-Bullet">
    <w:name w:val="C-Bullet"/>
    <w:link w:val="C-BulletChar"/>
    <w:rsid w:val="00AF6477"/>
    <w:pPr>
      <w:numPr>
        <w:numId w:val="10"/>
      </w:numPr>
      <w:spacing w:before="120" w:after="120" w:line="280" w:lineRule="atLeast"/>
    </w:pPr>
    <w:rPr>
      <w:rFonts w:ascii="Times New Roman" w:eastAsia="Times New Roman" w:hAnsi="Times New Roman" w:cs="Times New Roman"/>
      <w:sz w:val="24"/>
      <w:szCs w:val="20"/>
      <w:lang w:val="en-US"/>
    </w:rPr>
  </w:style>
  <w:style w:type="paragraph" w:customStyle="1" w:styleId="C-Heading1nopagebreak">
    <w:name w:val="C-Heading 1 (no page break"/>
    <w:aliases w:val="non-numbered)"/>
    <w:basedOn w:val="Normal"/>
    <w:next w:val="Normal"/>
    <w:rsid w:val="00AF6477"/>
    <w:pPr>
      <w:keepNext/>
      <w:tabs>
        <w:tab w:val="left" w:pos="1080"/>
      </w:tabs>
      <w:spacing w:before="480" w:line="240" w:lineRule="auto"/>
      <w:ind w:left="1080" w:hanging="1080"/>
      <w:outlineLvl w:val="0"/>
    </w:pPr>
    <w:rPr>
      <w:rFonts w:ascii="Times New Roman" w:eastAsia="Times New Roman" w:hAnsi="Times New Roman"/>
      <w:b/>
      <w:caps/>
      <w:sz w:val="28"/>
      <w:szCs w:val="20"/>
      <w:lang w:val="en-US"/>
    </w:rPr>
  </w:style>
  <w:style w:type="character" w:customStyle="1" w:styleId="C-BulletChar">
    <w:name w:val="C-Bullet Char"/>
    <w:link w:val="C-Bullet"/>
    <w:rsid w:val="00AF6477"/>
    <w:rPr>
      <w:rFonts w:ascii="Times New Roman" w:eastAsia="Times New Roman" w:hAnsi="Times New Roman" w:cs="Times New Roman"/>
      <w:sz w:val="24"/>
      <w:szCs w:val="20"/>
      <w:lang w:val="en-US"/>
    </w:rPr>
  </w:style>
  <w:style w:type="paragraph" w:customStyle="1" w:styleId="C-BodyText">
    <w:name w:val="C-Body Text"/>
    <w:link w:val="C-BodyTextChar2"/>
    <w:rsid w:val="00AF6477"/>
    <w:p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rsid w:val="00AF6477"/>
    <w:pPr>
      <w:numPr>
        <w:numId w:val="12"/>
      </w:numPr>
      <w:spacing w:before="120" w:after="120" w:line="280" w:lineRule="atLeast"/>
    </w:pPr>
    <w:rPr>
      <w:rFonts w:ascii="Times New Roman" w:eastAsia="Times New Roman" w:hAnsi="Times New Roman" w:cs="Arial"/>
      <w:sz w:val="24"/>
      <w:szCs w:val="20"/>
      <w:lang w:val="en-US"/>
    </w:rPr>
  </w:style>
  <w:style w:type="paragraph" w:customStyle="1" w:styleId="C-Heading2non-numbered">
    <w:name w:val="C-Heading 2 (non-numbered)"/>
    <w:basedOn w:val="C-Heading2"/>
    <w:next w:val="C-BodyText"/>
    <w:rsid w:val="00AF6477"/>
    <w:pPr>
      <w:numPr>
        <w:ilvl w:val="0"/>
        <w:numId w:val="0"/>
      </w:numPr>
      <w:tabs>
        <w:tab w:val="left" w:pos="1080"/>
      </w:tabs>
      <w:ind w:left="1080" w:hanging="1080"/>
    </w:pPr>
  </w:style>
  <w:style w:type="character" w:customStyle="1" w:styleId="C-BodyTextChar2">
    <w:name w:val="C-Body Text Char2"/>
    <w:link w:val="C-BodyText"/>
    <w:locked/>
    <w:rsid w:val="00AF6477"/>
    <w:rPr>
      <w:rFonts w:ascii="Times New Roman" w:eastAsia="Times New Roman" w:hAnsi="Times New Roman" w:cs="Times New Roman"/>
      <w:sz w:val="24"/>
      <w:szCs w:val="20"/>
      <w:lang w:val="en-US"/>
    </w:rPr>
  </w:style>
  <w:style w:type="paragraph" w:customStyle="1" w:styleId="Default">
    <w:name w:val="Default"/>
    <w:rsid w:val="002F04C3"/>
    <w:pPr>
      <w:autoSpaceDE w:val="0"/>
      <w:autoSpaceDN w:val="0"/>
      <w:adjustRightInd w:val="0"/>
      <w:spacing w:after="0" w:line="240" w:lineRule="auto"/>
    </w:pPr>
    <w:rPr>
      <w:rFonts w:ascii="Calibri" w:hAnsi="Calibri" w:cs="Calibri"/>
      <w:color w:val="000000"/>
      <w:sz w:val="24"/>
      <w:szCs w:val="24"/>
    </w:rPr>
  </w:style>
  <w:style w:type="table" w:customStyle="1" w:styleId="TableTGAblue1">
    <w:name w:val="Table TGA blue1"/>
    <w:basedOn w:val="TableNormal"/>
    <w:uiPriority w:val="99"/>
    <w:qFormat/>
    <w:rsid w:val="00B6077C"/>
    <w:pPr>
      <w:spacing w:after="0" w:line="240" w:lineRule="auto"/>
    </w:pPr>
    <w:rPr>
      <w:rFonts w:ascii="Cambria" w:eastAsia="Cambria" w:hAnsi="Cambria" w:cs="Times New Roman"/>
      <w:color w:val="000000"/>
      <w:szCs w:val="21"/>
      <w:lang w:eastAsia="en-AU"/>
    </w:rPr>
    <w:tblPr>
      <w:tblInd w:w="0" w:type="dxa"/>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CellMar>
        <w:top w:w="0" w:type="dxa"/>
        <w:left w:w="108" w:type="dxa"/>
        <w:bottom w:w="0" w:type="dxa"/>
        <w:right w:w="108" w:type="dxa"/>
      </w:tblCellMar>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Spacing">
    <w:name w:val="No Spacing"/>
    <w:uiPriority w:val="1"/>
    <w:rsid w:val="00CC5836"/>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543C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3559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EF4537"/>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rsid w:val="00206A8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206A83"/>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206A83"/>
    <w:pPr>
      <w:keepNext/>
      <w:spacing w:before="0" w:after="110" w:line="252" w:lineRule="auto"/>
      <w:outlineLvl w:val="1"/>
    </w:pPr>
    <w:rPr>
      <w:rFonts w:eastAsia="Times New Roman"/>
      <w:b/>
      <w:snapToGrid w:val="0"/>
      <w:kern w:val="16"/>
      <w:szCs w:val="24"/>
    </w:rPr>
  </w:style>
  <w:style w:type="character" w:styleId="IntenseEmphasis">
    <w:name w:val="Intense Emphasis"/>
    <w:basedOn w:val="DefaultParagraphFont"/>
    <w:uiPriority w:val="21"/>
    <w:qFormat/>
    <w:rsid w:val="00206A83"/>
    <w:rPr>
      <w:b/>
      <w:bCs/>
      <w:i/>
      <w:iCs/>
      <w:color w:val="002C47" w:themeColor="accent1"/>
    </w:rPr>
  </w:style>
  <w:style w:type="paragraph" w:customStyle="1" w:styleId="AssessmentSubsection">
    <w:name w:val="Assessment Subsection"/>
    <w:basedOn w:val="Standard"/>
    <w:next w:val="Standard"/>
    <w:rsid w:val="00206A83"/>
    <w:pPr>
      <w:keepNext/>
      <w:spacing w:after="110"/>
      <w:outlineLvl w:val="2"/>
    </w:pPr>
    <w:rPr>
      <w:b/>
      <w:i/>
    </w:rPr>
  </w:style>
  <w:style w:type="paragraph" w:customStyle="1" w:styleId="TableCaption">
    <w:name w:val="Table Caption"/>
    <w:basedOn w:val="Standard"/>
    <w:next w:val="Standard"/>
    <w:link w:val="TableCaptionChar"/>
    <w:rsid w:val="00206A83"/>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rsid w:val="00206A83"/>
    <w:pPr>
      <w:spacing w:after="0"/>
    </w:pPr>
    <w:rPr>
      <w:rFonts w:eastAsia="Cambria"/>
      <w:snapToGrid/>
      <w:kern w:val="0"/>
      <w:sz w:val="16"/>
      <w:szCs w:val="16"/>
    </w:rPr>
  </w:style>
  <w:style w:type="character" w:customStyle="1" w:styleId="TableTitleChar">
    <w:name w:val="Table Title Char"/>
    <w:basedOn w:val="StandardChar"/>
    <w:link w:val="TableTitle"/>
    <w:rsid w:val="00206A83"/>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206A83"/>
    <w:rPr>
      <w:rFonts w:ascii="Cambria" w:eastAsia="Cambria" w:hAnsi="Cambria" w:cs="Times New Roman"/>
      <w:sz w:val="19"/>
    </w:rPr>
  </w:style>
  <w:style w:type="character" w:customStyle="1" w:styleId="TableCaptionChar">
    <w:name w:val="Table Caption Char"/>
    <w:basedOn w:val="TabletextChar"/>
    <w:link w:val="TableCaption"/>
    <w:rsid w:val="00206A83"/>
    <w:rPr>
      <w:rFonts w:ascii="Cambria" w:eastAsia="Cambria" w:hAnsi="Cambria" w:cs="Times New Roman"/>
      <w:sz w:val="19"/>
    </w:rPr>
  </w:style>
  <w:style w:type="character" w:customStyle="1" w:styleId="WhiteSpaceChar">
    <w:name w:val="White Space Char"/>
    <w:basedOn w:val="TabletextChar"/>
    <w:link w:val="WhiteSpace"/>
    <w:rsid w:val="00206A83"/>
    <w:rPr>
      <w:rFonts w:ascii="Cambria" w:eastAsia="Cambria" w:hAnsi="Cambria" w:cs="Times New Roman"/>
      <w:sz w:val="16"/>
      <w:szCs w:val="16"/>
    </w:rPr>
  </w:style>
  <w:style w:type="paragraph" w:customStyle="1" w:styleId="AssessmentSubsection2">
    <w:name w:val="Assessment Subsection 2"/>
    <w:basedOn w:val="AssessmentSubsection"/>
    <w:next w:val="Standard"/>
    <w:rsid w:val="00206A83"/>
    <w:pPr>
      <w:outlineLvl w:val="3"/>
    </w:pPr>
    <w:rPr>
      <w:b w:val="0"/>
    </w:rPr>
  </w:style>
  <w:style w:type="character" w:customStyle="1" w:styleId="SectionHeadingCharChar">
    <w:name w:val="Section Heading Char Char"/>
    <w:basedOn w:val="DefaultParagraphFont"/>
    <w:link w:val="SectionHeading"/>
    <w:locked/>
    <w:rsid w:val="00206A83"/>
    <w:rPr>
      <w:rFonts w:ascii="Cambria" w:eastAsia="Times New Roman" w:hAnsi="Cambria" w:cs="Times New Roman"/>
      <w:b/>
      <w:caps/>
      <w:kern w:val="16"/>
      <w:szCs w:val="24"/>
    </w:rPr>
  </w:style>
  <w:style w:type="paragraph" w:customStyle="1" w:styleId="SectionHeading">
    <w:name w:val="Section Heading"/>
    <w:basedOn w:val="Normal"/>
    <w:next w:val="Normal"/>
    <w:link w:val="SectionHeadingCharChar"/>
    <w:rsid w:val="00206A83"/>
    <w:pPr>
      <w:keepNext/>
      <w:snapToGrid w:val="0"/>
      <w:spacing w:before="0" w:after="220" w:line="252" w:lineRule="auto"/>
      <w:outlineLvl w:val="0"/>
    </w:pPr>
    <w:rPr>
      <w:rFonts w:eastAsia="Times New Roman"/>
      <w:b/>
      <w:caps/>
      <w:kern w:val="16"/>
      <w:szCs w:val="24"/>
    </w:rPr>
  </w:style>
  <w:style w:type="paragraph" w:customStyle="1" w:styleId="Bulletpoint">
    <w:name w:val="Bullet point"/>
    <w:basedOn w:val="Normal"/>
    <w:rsid w:val="00206A83"/>
    <w:pPr>
      <w:numPr>
        <w:numId w:val="5"/>
      </w:numPr>
      <w:tabs>
        <w:tab w:val="clear" w:pos="369"/>
        <w:tab w:val="left" w:pos="397"/>
        <w:tab w:val="num" w:pos="511"/>
      </w:tabs>
      <w:snapToGrid w:val="0"/>
      <w:spacing w:before="0" w:after="180" w:line="252" w:lineRule="auto"/>
    </w:pPr>
    <w:rPr>
      <w:rFonts w:eastAsia="Times New Roman"/>
      <w:kern w:val="16"/>
      <w:szCs w:val="24"/>
    </w:rPr>
  </w:style>
  <w:style w:type="character" w:styleId="CommentReference">
    <w:name w:val="annotation reference"/>
    <w:basedOn w:val="DefaultParagraphFont"/>
    <w:uiPriority w:val="99"/>
    <w:semiHidden/>
    <w:unhideWhenUsed/>
    <w:rsid w:val="00131DA4"/>
    <w:rPr>
      <w:sz w:val="16"/>
      <w:szCs w:val="16"/>
    </w:rPr>
  </w:style>
  <w:style w:type="paragraph" w:styleId="CommentText">
    <w:name w:val="annotation text"/>
    <w:basedOn w:val="Normal"/>
    <w:link w:val="CommentTextChar"/>
    <w:uiPriority w:val="99"/>
    <w:semiHidden/>
    <w:unhideWhenUsed/>
    <w:rsid w:val="00131DA4"/>
    <w:pPr>
      <w:spacing w:line="240" w:lineRule="auto"/>
    </w:pPr>
    <w:rPr>
      <w:sz w:val="20"/>
      <w:szCs w:val="20"/>
    </w:rPr>
  </w:style>
  <w:style w:type="character" w:customStyle="1" w:styleId="CommentTextChar">
    <w:name w:val="Comment Text Char"/>
    <w:basedOn w:val="DefaultParagraphFont"/>
    <w:link w:val="CommentText"/>
    <w:uiPriority w:val="99"/>
    <w:semiHidden/>
    <w:rsid w:val="00131DA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31DA4"/>
    <w:rPr>
      <w:b/>
      <w:bCs/>
    </w:rPr>
  </w:style>
  <w:style w:type="character" w:customStyle="1" w:styleId="CommentSubjectChar">
    <w:name w:val="Comment Subject Char"/>
    <w:basedOn w:val="CommentTextChar"/>
    <w:link w:val="CommentSubject"/>
    <w:uiPriority w:val="99"/>
    <w:semiHidden/>
    <w:rsid w:val="00131DA4"/>
    <w:rPr>
      <w:rFonts w:ascii="Cambria" w:eastAsia="Cambria" w:hAnsi="Cambria" w:cs="Times New Roman"/>
      <w:b/>
      <w:bCs/>
      <w:sz w:val="20"/>
      <w:szCs w:val="20"/>
    </w:rPr>
  </w:style>
  <w:style w:type="paragraph" w:customStyle="1" w:styleId="Abbreviations">
    <w:name w:val="Abbreviations"/>
    <w:basedOn w:val="Normal"/>
    <w:rsid w:val="00131DA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st1">
    <w:name w:val="st1"/>
    <w:basedOn w:val="DefaultParagraphFont"/>
    <w:rsid w:val="00220FC0"/>
  </w:style>
  <w:style w:type="paragraph" w:styleId="BodyText">
    <w:name w:val="Body Text"/>
    <w:basedOn w:val="Normal"/>
    <w:link w:val="BodyTextChar"/>
    <w:uiPriority w:val="1"/>
    <w:qFormat/>
    <w:rsid w:val="009C4C70"/>
    <w:pPr>
      <w:widowControl w:val="0"/>
      <w:spacing w:before="0" w:after="0" w:line="240" w:lineRule="auto"/>
      <w:ind w:left="123"/>
    </w:pPr>
    <w:rPr>
      <w:rFonts w:ascii="Arial" w:eastAsia="Arial" w:hAnsi="Arial" w:cstheme="minorBidi"/>
      <w:lang w:val="en-US"/>
    </w:rPr>
  </w:style>
  <w:style w:type="character" w:customStyle="1" w:styleId="BodyTextChar">
    <w:name w:val="Body Text Char"/>
    <w:basedOn w:val="DefaultParagraphFont"/>
    <w:link w:val="BodyText"/>
    <w:uiPriority w:val="1"/>
    <w:rsid w:val="009C4C70"/>
    <w:rPr>
      <w:rFonts w:ascii="Arial" w:eastAsia="Arial" w:hAnsi="Arial"/>
      <w:lang w:val="en-US"/>
    </w:rPr>
  </w:style>
  <w:style w:type="character" w:styleId="Emphasis">
    <w:name w:val="Emphasis"/>
    <w:basedOn w:val="DefaultParagraphFont"/>
    <w:uiPriority w:val="20"/>
    <w:qFormat/>
    <w:rsid w:val="00907FA8"/>
    <w:rPr>
      <w:i/>
      <w:iCs/>
    </w:rPr>
  </w:style>
  <w:style w:type="character" w:customStyle="1" w:styleId="apple-converted-space">
    <w:name w:val="apple-converted-space"/>
    <w:basedOn w:val="DefaultParagraphFont"/>
    <w:rsid w:val="00907FA8"/>
  </w:style>
  <w:style w:type="paragraph" w:styleId="EndnoteText">
    <w:name w:val="endnote text"/>
    <w:basedOn w:val="Normal"/>
    <w:link w:val="EndnoteTextChar"/>
    <w:uiPriority w:val="99"/>
    <w:semiHidden/>
    <w:unhideWhenUsed/>
    <w:rsid w:val="006118F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118F4"/>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6118F4"/>
    <w:rPr>
      <w:vertAlign w:val="superscript"/>
    </w:rPr>
  </w:style>
  <w:style w:type="paragraph" w:styleId="NormalWeb">
    <w:name w:val="Normal (Web)"/>
    <w:basedOn w:val="Normal"/>
    <w:uiPriority w:val="99"/>
    <w:semiHidden/>
    <w:unhideWhenUsed/>
    <w:rsid w:val="006118F4"/>
    <w:pPr>
      <w:spacing w:before="100" w:beforeAutospacing="1" w:after="100" w:afterAutospacing="1" w:line="240" w:lineRule="auto"/>
    </w:pPr>
    <w:rPr>
      <w:rFonts w:ascii="Times New Roman" w:eastAsia="Times New Roman" w:hAnsi="Times New Roman"/>
      <w:sz w:val="24"/>
      <w:szCs w:val="24"/>
      <w:lang w:eastAsia="en-AU"/>
    </w:rPr>
  </w:style>
  <w:style w:type="paragraph" w:styleId="TOC4">
    <w:name w:val="toc 4"/>
    <w:basedOn w:val="Normal"/>
    <w:next w:val="Normal"/>
    <w:autoRedefine/>
    <w:uiPriority w:val="39"/>
    <w:semiHidden/>
    <w:unhideWhenUsed/>
    <w:rsid w:val="00170658"/>
    <w:pPr>
      <w:spacing w:after="100"/>
      <w:ind w:left="660"/>
    </w:pPr>
  </w:style>
  <w:style w:type="paragraph" w:customStyle="1" w:styleId="Bullet1">
    <w:name w:val="Bullet 1"/>
    <w:basedOn w:val="Normal"/>
    <w:rsid w:val="00735594"/>
    <w:pPr>
      <w:numPr>
        <w:numId w:val="8"/>
      </w:numPr>
      <w:spacing w:after="0" w:line="240" w:lineRule="auto"/>
    </w:pPr>
    <w:rPr>
      <w:rFonts w:eastAsia="Times New Roman"/>
      <w:kern w:val="24"/>
      <w:szCs w:val="24"/>
      <w:lang w:eastAsia="en-AU"/>
    </w:rPr>
  </w:style>
  <w:style w:type="paragraph" w:customStyle="1" w:styleId="Bullet2">
    <w:name w:val="Bullet 2"/>
    <w:basedOn w:val="Bullet1"/>
    <w:rsid w:val="00735594"/>
    <w:pPr>
      <w:numPr>
        <w:numId w:val="9"/>
      </w:numPr>
    </w:pPr>
  </w:style>
  <w:style w:type="paragraph" w:customStyle="1" w:styleId="Comment1">
    <w:name w:val="Comment 1"/>
    <w:basedOn w:val="Normal"/>
    <w:next w:val="Normal"/>
    <w:qFormat/>
    <w:rsid w:val="0073559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73559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735594"/>
    <w:rPr>
      <w:rFonts w:asciiTheme="majorHAnsi" w:eastAsiaTheme="majorEastAsia" w:hAnsiTheme="majorHAnsi" w:cstheme="majorBidi"/>
      <w:color w:val="404040" w:themeColor="text1" w:themeTint="BF"/>
      <w:sz w:val="20"/>
      <w:szCs w:val="20"/>
    </w:rPr>
  </w:style>
  <w:style w:type="paragraph" w:customStyle="1" w:styleId="C-Heading1">
    <w:name w:val="C-Heading 1"/>
    <w:next w:val="Normal"/>
    <w:rsid w:val="00AF6477"/>
    <w:pPr>
      <w:keepNext/>
      <w:pageBreakBefore/>
      <w:numPr>
        <w:numId w:val="11"/>
      </w:numPr>
      <w:spacing w:before="480" w:after="120" w:line="240" w:lineRule="auto"/>
      <w:outlineLvl w:val="0"/>
    </w:pPr>
    <w:rPr>
      <w:rFonts w:ascii="Times New Roman" w:eastAsia="Times New Roman" w:hAnsi="Times New Roman" w:cs="Times New Roman"/>
      <w:b/>
      <w:caps/>
      <w:sz w:val="28"/>
      <w:szCs w:val="20"/>
      <w:lang w:val="en-US"/>
    </w:rPr>
  </w:style>
  <w:style w:type="paragraph" w:customStyle="1" w:styleId="C-Heading2">
    <w:name w:val="C-Heading 2"/>
    <w:next w:val="Normal"/>
    <w:rsid w:val="00AF6477"/>
    <w:pPr>
      <w:keepNext/>
      <w:numPr>
        <w:ilvl w:val="1"/>
        <w:numId w:val="11"/>
      </w:numPr>
      <w:spacing w:before="240" w:after="0" w:line="240" w:lineRule="auto"/>
      <w:outlineLvl w:val="1"/>
    </w:pPr>
    <w:rPr>
      <w:rFonts w:ascii="Times New Roman" w:eastAsia="Times New Roman" w:hAnsi="Times New Roman" w:cs="Times New Roman"/>
      <w:b/>
      <w:sz w:val="28"/>
      <w:szCs w:val="20"/>
      <w:lang w:val="en-US"/>
    </w:rPr>
  </w:style>
  <w:style w:type="paragraph" w:customStyle="1" w:styleId="C-Heading3">
    <w:name w:val="C-Heading 3"/>
    <w:next w:val="Normal"/>
    <w:rsid w:val="00AF6477"/>
    <w:pPr>
      <w:keepNext/>
      <w:numPr>
        <w:ilvl w:val="2"/>
        <w:numId w:val="11"/>
      </w:numPr>
      <w:spacing w:before="240" w:after="0" w:line="240" w:lineRule="auto"/>
      <w:outlineLvl w:val="2"/>
    </w:pPr>
    <w:rPr>
      <w:rFonts w:ascii="Times New Roman" w:eastAsia="Times New Roman" w:hAnsi="Times New Roman" w:cs="Times New Roman"/>
      <w:b/>
      <w:sz w:val="24"/>
      <w:szCs w:val="20"/>
      <w:lang w:val="en-US"/>
    </w:rPr>
  </w:style>
  <w:style w:type="paragraph" w:customStyle="1" w:styleId="C-Heading4">
    <w:name w:val="C-Heading 4"/>
    <w:next w:val="Normal"/>
    <w:rsid w:val="00AF6477"/>
    <w:pPr>
      <w:keepNext/>
      <w:numPr>
        <w:ilvl w:val="3"/>
        <w:numId w:val="11"/>
      </w:numPr>
      <w:spacing w:before="240" w:after="0" w:line="240" w:lineRule="auto"/>
      <w:outlineLvl w:val="3"/>
    </w:pPr>
    <w:rPr>
      <w:rFonts w:ascii="Times New Roman" w:eastAsia="Times New Roman" w:hAnsi="Times New Roman" w:cs="Times New Roman"/>
      <w:b/>
      <w:sz w:val="24"/>
      <w:szCs w:val="20"/>
      <w:lang w:val="en-US"/>
    </w:rPr>
  </w:style>
  <w:style w:type="paragraph" w:customStyle="1" w:styleId="C-Heading5">
    <w:name w:val="C-Heading 5"/>
    <w:next w:val="Normal"/>
    <w:rsid w:val="00AF6477"/>
    <w:pPr>
      <w:keepNext/>
      <w:numPr>
        <w:ilvl w:val="4"/>
        <w:numId w:val="11"/>
      </w:numPr>
      <w:spacing w:before="240" w:after="0" w:line="240" w:lineRule="auto"/>
      <w:outlineLvl w:val="4"/>
    </w:pPr>
    <w:rPr>
      <w:rFonts w:ascii="Times New Roman" w:eastAsia="Times New Roman" w:hAnsi="Times New Roman" w:cs="Times New Roman"/>
      <w:b/>
      <w:sz w:val="24"/>
      <w:szCs w:val="20"/>
      <w:lang w:val="en-US"/>
    </w:rPr>
  </w:style>
  <w:style w:type="paragraph" w:customStyle="1" w:styleId="C-Heading6">
    <w:name w:val="C-Heading 6"/>
    <w:next w:val="Normal"/>
    <w:rsid w:val="00AF6477"/>
    <w:pPr>
      <w:keepNext/>
      <w:numPr>
        <w:ilvl w:val="5"/>
        <w:numId w:val="11"/>
      </w:numPr>
      <w:tabs>
        <w:tab w:val="clear" w:pos="1080"/>
        <w:tab w:val="num" w:pos="1224"/>
        <w:tab w:val="num" w:pos="1309"/>
      </w:tabs>
      <w:spacing w:before="240" w:after="0" w:line="240" w:lineRule="auto"/>
      <w:ind w:left="1224" w:hanging="1224"/>
      <w:outlineLvl w:val="5"/>
    </w:pPr>
    <w:rPr>
      <w:rFonts w:ascii="Times New Roman" w:eastAsia="Times New Roman" w:hAnsi="Times New Roman" w:cs="Times New Roman"/>
      <w:b/>
      <w:sz w:val="24"/>
      <w:szCs w:val="20"/>
      <w:lang w:val="en-US"/>
    </w:rPr>
  </w:style>
  <w:style w:type="paragraph" w:customStyle="1" w:styleId="C-Bullet">
    <w:name w:val="C-Bullet"/>
    <w:link w:val="C-BulletChar"/>
    <w:rsid w:val="00AF6477"/>
    <w:pPr>
      <w:numPr>
        <w:numId w:val="10"/>
      </w:numPr>
      <w:spacing w:before="120" w:after="120" w:line="280" w:lineRule="atLeast"/>
    </w:pPr>
    <w:rPr>
      <w:rFonts w:ascii="Times New Roman" w:eastAsia="Times New Roman" w:hAnsi="Times New Roman" w:cs="Times New Roman"/>
      <w:sz w:val="24"/>
      <w:szCs w:val="20"/>
      <w:lang w:val="en-US"/>
    </w:rPr>
  </w:style>
  <w:style w:type="paragraph" w:customStyle="1" w:styleId="C-Heading1nopagebreak">
    <w:name w:val="C-Heading 1 (no page break"/>
    <w:aliases w:val="non-numbered)"/>
    <w:basedOn w:val="Normal"/>
    <w:next w:val="Normal"/>
    <w:rsid w:val="00AF6477"/>
    <w:pPr>
      <w:keepNext/>
      <w:tabs>
        <w:tab w:val="left" w:pos="1080"/>
      </w:tabs>
      <w:spacing w:before="480" w:line="240" w:lineRule="auto"/>
      <w:ind w:left="1080" w:hanging="1080"/>
      <w:outlineLvl w:val="0"/>
    </w:pPr>
    <w:rPr>
      <w:rFonts w:ascii="Times New Roman" w:eastAsia="Times New Roman" w:hAnsi="Times New Roman"/>
      <w:b/>
      <w:caps/>
      <w:sz w:val="28"/>
      <w:szCs w:val="20"/>
      <w:lang w:val="en-US"/>
    </w:rPr>
  </w:style>
  <w:style w:type="character" w:customStyle="1" w:styleId="C-BulletChar">
    <w:name w:val="C-Bullet Char"/>
    <w:link w:val="C-Bullet"/>
    <w:rsid w:val="00AF6477"/>
    <w:rPr>
      <w:rFonts w:ascii="Times New Roman" w:eastAsia="Times New Roman" w:hAnsi="Times New Roman" w:cs="Times New Roman"/>
      <w:sz w:val="24"/>
      <w:szCs w:val="20"/>
      <w:lang w:val="en-US"/>
    </w:rPr>
  </w:style>
  <w:style w:type="paragraph" w:customStyle="1" w:styleId="C-BodyText">
    <w:name w:val="C-Body Text"/>
    <w:link w:val="C-BodyTextChar2"/>
    <w:rsid w:val="00AF6477"/>
    <w:p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rsid w:val="00AF6477"/>
    <w:pPr>
      <w:numPr>
        <w:numId w:val="12"/>
      </w:numPr>
      <w:spacing w:before="120" w:after="120" w:line="280" w:lineRule="atLeast"/>
    </w:pPr>
    <w:rPr>
      <w:rFonts w:ascii="Times New Roman" w:eastAsia="Times New Roman" w:hAnsi="Times New Roman" w:cs="Arial"/>
      <w:sz w:val="24"/>
      <w:szCs w:val="20"/>
      <w:lang w:val="en-US"/>
    </w:rPr>
  </w:style>
  <w:style w:type="paragraph" w:customStyle="1" w:styleId="C-Heading2non-numbered">
    <w:name w:val="C-Heading 2 (non-numbered)"/>
    <w:basedOn w:val="C-Heading2"/>
    <w:next w:val="C-BodyText"/>
    <w:rsid w:val="00AF6477"/>
    <w:pPr>
      <w:numPr>
        <w:ilvl w:val="0"/>
        <w:numId w:val="0"/>
      </w:numPr>
      <w:tabs>
        <w:tab w:val="left" w:pos="1080"/>
      </w:tabs>
      <w:ind w:left="1080" w:hanging="1080"/>
    </w:pPr>
  </w:style>
  <w:style w:type="character" w:customStyle="1" w:styleId="C-BodyTextChar2">
    <w:name w:val="C-Body Text Char2"/>
    <w:link w:val="C-BodyText"/>
    <w:locked/>
    <w:rsid w:val="00AF6477"/>
    <w:rPr>
      <w:rFonts w:ascii="Times New Roman" w:eastAsia="Times New Roman" w:hAnsi="Times New Roman" w:cs="Times New Roman"/>
      <w:sz w:val="24"/>
      <w:szCs w:val="20"/>
      <w:lang w:val="en-US"/>
    </w:rPr>
  </w:style>
  <w:style w:type="paragraph" w:customStyle="1" w:styleId="Default">
    <w:name w:val="Default"/>
    <w:rsid w:val="002F04C3"/>
    <w:pPr>
      <w:autoSpaceDE w:val="0"/>
      <w:autoSpaceDN w:val="0"/>
      <w:adjustRightInd w:val="0"/>
      <w:spacing w:after="0" w:line="240" w:lineRule="auto"/>
    </w:pPr>
    <w:rPr>
      <w:rFonts w:ascii="Calibri" w:hAnsi="Calibri" w:cs="Calibri"/>
      <w:color w:val="000000"/>
      <w:sz w:val="24"/>
      <w:szCs w:val="24"/>
    </w:rPr>
  </w:style>
  <w:style w:type="table" w:customStyle="1" w:styleId="TableTGAblue1">
    <w:name w:val="Table TGA blue1"/>
    <w:basedOn w:val="TableNormal"/>
    <w:uiPriority w:val="99"/>
    <w:qFormat/>
    <w:rsid w:val="00B6077C"/>
    <w:pPr>
      <w:spacing w:after="0" w:line="240" w:lineRule="auto"/>
    </w:pPr>
    <w:rPr>
      <w:rFonts w:ascii="Cambria" w:eastAsia="Cambria" w:hAnsi="Cambria" w:cs="Times New Roman"/>
      <w:color w:val="000000"/>
      <w:szCs w:val="21"/>
      <w:lang w:eastAsia="en-AU"/>
    </w:rPr>
    <w:tblPr>
      <w:tblInd w:w="0" w:type="dxa"/>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CellMar>
        <w:top w:w="0" w:type="dxa"/>
        <w:left w:w="108" w:type="dxa"/>
        <w:bottom w:w="0" w:type="dxa"/>
        <w:right w:w="108" w:type="dxa"/>
      </w:tblCellMar>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Spacing">
    <w:name w:val="No Spacing"/>
    <w:uiPriority w:val="1"/>
    <w:rsid w:val="00CC5836"/>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0641">
      <w:bodyDiv w:val="1"/>
      <w:marLeft w:val="0"/>
      <w:marRight w:val="0"/>
      <w:marTop w:val="0"/>
      <w:marBottom w:val="0"/>
      <w:divBdr>
        <w:top w:val="none" w:sz="0" w:space="0" w:color="auto"/>
        <w:left w:val="none" w:sz="0" w:space="0" w:color="auto"/>
        <w:bottom w:val="none" w:sz="0" w:space="0" w:color="auto"/>
        <w:right w:val="none" w:sz="0" w:space="0" w:color="auto"/>
      </w:divBdr>
    </w:div>
    <w:div w:id="584075217">
      <w:bodyDiv w:val="1"/>
      <w:marLeft w:val="0"/>
      <w:marRight w:val="0"/>
      <w:marTop w:val="0"/>
      <w:marBottom w:val="0"/>
      <w:divBdr>
        <w:top w:val="none" w:sz="0" w:space="0" w:color="auto"/>
        <w:left w:val="none" w:sz="0" w:space="0" w:color="auto"/>
        <w:bottom w:val="none" w:sz="0" w:space="0" w:color="auto"/>
        <w:right w:val="none" w:sz="0" w:space="0" w:color="auto"/>
      </w:divBdr>
    </w:div>
    <w:div w:id="636182539">
      <w:bodyDiv w:val="1"/>
      <w:marLeft w:val="0"/>
      <w:marRight w:val="0"/>
      <w:marTop w:val="0"/>
      <w:marBottom w:val="0"/>
      <w:divBdr>
        <w:top w:val="none" w:sz="0" w:space="0" w:color="auto"/>
        <w:left w:val="none" w:sz="0" w:space="0" w:color="auto"/>
        <w:bottom w:val="none" w:sz="0" w:space="0" w:color="auto"/>
        <w:right w:val="none" w:sz="0" w:space="0" w:color="auto"/>
      </w:divBdr>
    </w:div>
    <w:div w:id="669992316">
      <w:bodyDiv w:val="1"/>
      <w:marLeft w:val="0"/>
      <w:marRight w:val="0"/>
      <w:marTop w:val="0"/>
      <w:marBottom w:val="0"/>
      <w:divBdr>
        <w:top w:val="none" w:sz="0" w:space="0" w:color="auto"/>
        <w:left w:val="none" w:sz="0" w:space="0" w:color="auto"/>
        <w:bottom w:val="none" w:sz="0" w:space="0" w:color="auto"/>
        <w:right w:val="none" w:sz="0" w:space="0" w:color="auto"/>
      </w:divBdr>
    </w:div>
    <w:div w:id="687489999">
      <w:bodyDiv w:val="1"/>
      <w:marLeft w:val="0"/>
      <w:marRight w:val="0"/>
      <w:marTop w:val="0"/>
      <w:marBottom w:val="0"/>
      <w:divBdr>
        <w:top w:val="none" w:sz="0" w:space="0" w:color="auto"/>
        <w:left w:val="none" w:sz="0" w:space="0" w:color="auto"/>
        <w:bottom w:val="none" w:sz="0" w:space="0" w:color="auto"/>
        <w:right w:val="none" w:sz="0" w:space="0" w:color="auto"/>
      </w:divBdr>
    </w:div>
    <w:div w:id="698356275">
      <w:bodyDiv w:val="1"/>
      <w:marLeft w:val="0"/>
      <w:marRight w:val="0"/>
      <w:marTop w:val="0"/>
      <w:marBottom w:val="0"/>
      <w:divBdr>
        <w:top w:val="none" w:sz="0" w:space="0" w:color="auto"/>
        <w:left w:val="none" w:sz="0" w:space="0" w:color="auto"/>
        <w:bottom w:val="none" w:sz="0" w:space="0" w:color="auto"/>
        <w:right w:val="none" w:sz="0" w:space="0" w:color="auto"/>
      </w:divBdr>
    </w:div>
    <w:div w:id="793408744">
      <w:bodyDiv w:val="1"/>
      <w:marLeft w:val="0"/>
      <w:marRight w:val="0"/>
      <w:marTop w:val="0"/>
      <w:marBottom w:val="0"/>
      <w:divBdr>
        <w:top w:val="none" w:sz="0" w:space="0" w:color="auto"/>
        <w:left w:val="none" w:sz="0" w:space="0" w:color="auto"/>
        <w:bottom w:val="none" w:sz="0" w:space="0" w:color="auto"/>
        <w:right w:val="none" w:sz="0" w:space="0" w:color="auto"/>
      </w:divBdr>
    </w:div>
    <w:div w:id="870918284">
      <w:bodyDiv w:val="1"/>
      <w:marLeft w:val="0"/>
      <w:marRight w:val="0"/>
      <w:marTop w:val="0"/>
      <w:marBottom w:val="0"/>
      <w:divBdr>
        <w:top w:val="none" w:sz="0" w:space="0" w:color="auto"/>
        <w:left w:val="none" w:sz="0" w:space="0" w:color="auto"/>
        <w:bottom w:val="none" w:sz="0" w:space="0" w:color="auto"/>
        <w:right w:val="none" w:sz="0" w:space="0" w:color="auto"/>
      </w:divBdr>
    </w:div>
    <w:div w:id="1032145200">
      <w:bodyDiv w:val="1"/>
      <w:marLeft w:val="0"/>
      <w:marRight w:val="0"/>
      <w:marTop w:val="0"/>
      <w:marBottom w:val="0"/>
      <w:divBdr>
        <w:top w:val="none" w:sz="0" w:space="0" w:color="auto"/>
        <w:left w:val="none" w:sz="0" w:space="0" w:color="auto"/>
        <w:bottom w:val="none" w:sz="0" w:space="0" w:color="auto"/>
        <w:right w:val="none" w:sz="0" w:space="0" w:color="auto"/>
      </w:divBdr>
    </w:div>
    <w:div w:id="1063261032">
      <w:bodyDiv w:val="1"/>
      <w:marLeft w:val="0"/>
      <w:marRight w:val="0"/>
      <w:marTop w:val="0"/>
      <w:marBottom w:val="0"/>
      <w:divBdr>
        <w:top w:val="none" w:sz="0" w:space="0" w:color="auto"/>
        <w:left w:val="none" w:sz="0" w:space="0" w:color="auto"/>
        <w:bottom w:val="none" w:sz="0" w:space="0" w:color="auto"/>
        <w:right w:val="none" w:sz="0" w:space="0" w:color="auto"/>
      </w:divBdr>
    </w:div>
    <w:div w:id="1069303507">
      <w:bodyDiv w:val="1"/>
      <w:marLeft w:val="0"/>
      <w:marRight w:val="0"/>
      <w:marTop w:val="0"/>
      <w:marBottom w:val="0"/>
      <w:divBdr>
        <w:top w:val="none" w:sz="0" w:space="0" w:color="auto"/>
        <w:left w:val="none" w:sz="0" w:space="0" w:color="auto"/>
        <w:bottom w:val="none" w:sz="0" w:space="0" w:color="auto"/>
        <w:right w:val="none" w:sz="0" w:space="0" w:color="auto"/>
      </w:divBdr>
    </w:div>
    <w:div w:id="1092698080">
      <w:bodyDiv w:val="1"/>
      <w:marLeft w:val="0"/>
      <w:marRight w:val="0"/>
      <w:marTop w:val="0"/>
      <w:marBottom w:val="0"/>
      <w:divBdr>
        <w:top w:val="none" w:sz="0" w:space="0" w:color="auto"/>
        <w:left w:val="none" w:sz="0" w:space="0" w:color="auto"/>
        <w:bottom w:val="none" w:sz="0" w:space="0" w:color="auto"/>
        <w:right w:val="none" w:sz="0" w:space="0" w:color="auto"/>
      </w:divBdr>
    </w:div>
    <w:div w:id="1643926285">
      <w:bodyDiv w:val="1"/>
      <w:marLeft w:val="0"/>
      <w:marRight w:val="0"/>
      <w:marTop w:val="0"/>
      <w:marBottom w:val="0"/>
      <w:divBdr>
        <w:top w:val="none" w:sz="0" w:space="0" w:color="auto"/>
        <w:left w:val="none" w:sz="0" w:space="0" w:color="auto"/>
        <w:bottom w:val="none" w:sz="0" w:space="0" w:color="auto"/>
        <w:right w:val="none" w:sz="0" w:space="0" w:color="auto"/>
      </w:divBdr>
    </w:div>
    <w:div w:id="1875531943">
      <w:bodyDiv w:val="1"/>
      <w:marLeft w:val="0"/>
      <w:marRight w:val="0"/>
      <w:marTop w:val="0"/>
      <w:marBottom w:val="0"/>
      <w:divBdr>
        <w:top w:val="none" w:sz="0" w:space="0" w:color="auto"/>
        <w:left w:val="none" w:sz="0" w:space="0" w:color="auto"/>
        <w:bottom w:val="none" w:sz="0" w:space="0" w:color="auto"/>
        <w:right w:val="none" w:sz="0" w:space="0" w:color="auto"/>
      </w:divBdr>
    </w:div>
    <w:div w:id="1992637913">
      <w:bodyDiv w:val="1"/>
      <w:marLeft w:val="0"/>
      <w:marRight w:val="0"/>
      <w:marTop w:val="0"/>
      <w:marBottom w:val="0"/>
      <w:divBdr>
        <w:top w:val="none" w:sz="0" w:space="0" w:color="auto"/>
        <w:left w:val="none" w:sz="0" w:space="0" w:color="auto"/>
        <w:bottom w:val="none" w:sz="0" w:space="0" w:color="auto"/>
        <w:right w:val="none" w:sz="0" w:space="0" w:color="auto"/>
      </w:divBdr>
    </w:div>
    <w:div w:id="2056151371">
      <w:bodyDiv w:val="1"/>
      <w:marLeft w:val="0"/>
      <w:marRight w:val="0"/>
      <w:marTop w:val="0"/>
      <w:marBottom w:val="0"/>
      <w:divBdr>
        <w:top w:val="none" w:sz="0" w:space="0" w:color="auto"/>
        <w:left w:val="none" w:sz="0" w:space="0" w:color="auto"/>
        <w:bottom w:val="none" w:sz="0" w:space="0" w:color="auto"/>
        <w:right w:val="none" w:sz="0" w:space="0" w:color="auto"/>
      </w:divBdr>
    </w:div>
    <w:div w:id="2103185233">
      <w:bodyDiv w:val="1"/>
      <w:marLeft w:val="0"/>
      <w:marRight w:val="0"/>
      <w:marTop w:val="0"/>
      <w:marBottom w:val="0"/>
      <w:divBdr>
        <w:top w:val="none" w:sz="0" w:space="0" w:color="auto"/>
        <w:left w:val="none" w:sz="0" w:space="0" w:color="auto"/>
        <w:bottom w:val="none" w:sz="0" w:space="0" w:color="auto"/>
        <w:right w:val="none" w:sz="0" w:space="0" w:color="auto"/>
      </w:divBdr>
    </w:div>
    <w:div w:id="213721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hyperlink" Target="http://www.tga.gov.au/hp/information-medicines-pi.ht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haemophilia.org.au/documents/item/20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5522C-319D-4F1B-8053-99C6DA1C2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374</TotalTime>
  <Pages>43</Pages>
  <Words>14707</Words>
  <Characters>83830</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98341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Eftrenonacog Alfa</dc:title>
  <dc:subject>prescription medicine regulation</dc:subject>
  <dc:creator>Therapeutic Goods Administration</dc:creator>
  <cp:keywords>auspar, prescription, medicine, assessment, regulation, australia, eftrenonacog, alfa, alprolix, biogen, idec</cp:keywords>
  <cp:lastModifiedBy>Dixon, Jenna</cp:lastModifiedBy>
  <cp:revision>48</cp:revision>
  <cp:lastPrinted>2014-08-06T06:49:00Z</cp:lastPrinted>
  <dcterms:created xsi:type="dcterms:W3CDTF">2014-10-28T23:28:00Z</dcterms:created>
  <dcterms:modified xsi:type="dcterms:W3CDTF">2014-11-17T23:14:00Z</dcterms:modified>
  <cp:category>external publication</cp:category>
</cp:coreProperties>
</file>