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tblGrid>
      <w:tr w:rsidR="008E7846" w:rsidRPr="00487162" w:rsidTr="006434DA">
        <w:trPr>
          <w:trHeight w:val="1863"/>
        </w:trPr>
        <w:tc>
          <w:tcPr>
            <w:tcW w:w="5920" w:type="dxa"/>
            <w:tcBorders>
              <w:top w:val="nil"/>
              <w:left w:val="nil"/>
              <w:bottom w:val="nil"/>
              <w:right w:val="nil"/>
            </w:tcBorders>
          </w:tcPr>
          <w:p w:rsidR="008E7846" w:rsidRPr="0017078F" w:rsidRDefault="006434DA" w:rsidP="00A21085">
            <w:pPr>
              <w:rPr>
                <w:rFonts w:ascii="Arial" w:hAnsi="Arial" w:cs="Arial"/>
                <w:b/>
                <w:color w:val="002C47"/>
                <w:sz w:val="36"/>
                <w:szCs w:val="36"/>
              </w:rPr>
            </w:pPr>
            <w:r>
              <w:rPr>
                <w:rFonts w:ascii="Arial" w:hAnsi="Arial" w:cs="Arial"/>
                <w:b/>
                <w:color w:val="002C47"/>
                <w:sz w:val="36"/>
                <w:szCs w:val="36"/>
              </w:rPr>
              <w:t xml:space="preserve">Date of CER: 29 </w:t>
            </w:r>
            <w:r w:rsidR="00A21085">
              <w:rPr>
                <w:rFonts w:ascii="Arial" w:hAnsi="Arial" w:cs="Arial"/>
                <w:b/>
                <w:color w:val="002C47"/>
                <w:sz w:val="36"/>
                <w:szCs w:val="36"/>
              </w:rPr>
              <w:t>September 2013</w:t>
            </w:r>
          </w:p>
        </w:tc>
      </w:tr>
    </w:tbl>
    <w:p w:rsidR="004429F8" w:rsidRPr="004429F8" w:rsidRDefault="004429F8" w:rsidP="004429F8">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A21085">
            <w:pPr>
              <w:pStyle w:val="Title"/>
              <w:rPr>
                <w:color w:val="FFFFFF"/>
              </w:rPr>
            </w:pPr>
            <w:r>
              <w:rPr>
                <w:color w:val="FFFFFF"/>
              </w:rPr>
              <w:t>Extract from the Clinical Evaluation Report</w:t>
            </w:r>
            <w:r w:rsidRPr="00A964D1">
              <w:rPr>
                <w:color w:val="FFFFFF"/>
              </w:rPr>
              <w:t xml:space="preserve"> for </w:t>
            </w:r>
            <w:r w:rsidR="00A21085">
              <w:rPr>
                <w:color w:val="FFFFFF"/>
              </w:rPr>
              <w:t>e</w:t>
            </w:r>
            <w:r w:rsidR="00A21085" w:rsidRPr="00A21085">
              <w:rPr>
                <w:color w:val="FFFFFF"/>
              </w:rPr>
              <w:t xml:space="preserve">ftrenonacog </w:t>
            </w:r>
            <w:r w:rsidR="00A21085">
              <w:rPr>
                <w:color w:val="FFFFFF"/>
              </w:rPr>
              <w:t>a</w:t>
            </w:r>
            <w:r w:rsidR="00A21085" w:rsidRPr="00A21085">
              <w:rPr>
                <w:color w:val="FFFFFF"/>
              </w:rPr>
              <w:t>lfa</w:t>
            </w:r>
          </w:p>
        </w:tc>
      </w:tr>
      <w:tr w:rsidR="00E07F15" w:rsidRPr="00B64760" w:rsidTr="00E07F15">
        <w:tc>
          <w:tcPr>
            <w:tcW w:w="9079" w:type="dxa"/>
          </w:tcPr>
          <w:p w:rsidR="00E07F15" w:rsidRPr="008E7846" w:rsidRDefault="00E07F15" w:rsidP="00A21085">
            <w:pPr>
              <w:pStyle w:val="Subtitle"/>
              <w:rPr>
                <w:color w:val="FFFFFF"/>
              </w:rPr>
            </w:pPr>
            <w:r w:rsidRPr="008E7846">
              <w:rPr>
                <w:color w:val="FFFFFF"/>
              </w:rPr>
              <w:t xml:space="preserve">Proprietary Product Name: </w:t>
            </w:r>
            <w:proofErr w:type="spellStart"/>
            <w:r w:rsidR="00A21085">
              <w:rPr>
                <w:color w:val="FFFFFF"/>
              </w:rPr>
              <w:t>Alprolix</w:t>
            </w:r>
            <w:proofErr w:type="spellEnd"/>
          </w:p>
        </w:tc>
      </w:tr>
      <w:tr w:rsidR="00E07F15" w:rsidRPr="00B64760" w:rsidTr="00E07F15">
        <w:trPr>
          <w:trHeight w:val="486"/>
        </w:trPr>
        <w:tc>
          <w:tcPr>
            <w:tcW w:w="9079" w:type="dxa"/>
          </w:tcPr>
          <w:p w:rsidR="00E07F15" w:rsidRPr="008E7846" w:rsidRDefault="00A21085" w:rsidP="00A21085">
            <w:pPr>
              <w:pStyle w:val="Subtitle"/>
              <w:rPr>
                <w:color w:val="FFFFFF"/>
              </w:rPr>
            </w:pPr>
            <w:r>
              <w:rPr>
                <w:color w:val="FFFFFF"/>
              </w:rPr>
              <w:t xml:space="preserve">Sponsor: </w:t>
            </w:r>
            <w:proofErr w:type="spellStart"/>
            <w:r>
              <w:rPr>
                <w:color w:val="FFFFFF"/>
              </w:rPr>
              <w:t>Biogen</w:t>
            </w:r>
            <w:proofErr w:type="spellEnd"/>
            <w:r>
              <w:rPr>
                <w:color w:val="FFFFFF"/>
              </w:rPr>
              <w:t xml:space="preserve"> Idec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9926BC">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9926B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926B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926B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926BC">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B2F23">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2217D2" w:rsidRDefault="004924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4074068" w:history="1">
        <w:r w:rsidR="002217D2" w:rsidRPr="00E0337B">
          <w:rPr>
            <w:rStyle w:val="Hyperlink"/>
            <w:noProof/>
          </w:rPr>
          <w:t>List of abbreviations</w:t>
        </w:r>
        <w:r w:rsidR="002217D2">
          <w:rPr>
            <w:noProof/>
            <w:webHidden/>
          </w:rPr>
          <w:tab/>
        </w:r>
        <w:r w:rsidR="002217D2">
          <w:rPr>
            <w:noProof/>
            <w:webHidden/>
          </w:rPr>
          <w:fldChar w:fldCharType="begin"/>
        </w:r>
        <w:r w:rsidR="002217D2">
          <w:rPr>
            <w:noProof/>
            <w:webHidden/>
          </w:rPr>
          <w:instrText xml:space="preserve"> PAGEREF _Toc404074068 \h </w:instrText>
        </w:r>
        <w:r w:rsidR="002217D2">
          <w:rPr>
            <w:noProof/>
            <w:webHidden/>
          </w:rPr>
        </w:r>
        <w:r w:rsidR="002217D2">
          <w:rPr>
            <w:noProof/>
            <w:webHidden/>
          </w:rPr>
          <w:fldChar w:fldCharType="separate"/>
        </w:r>
        <w:r w:rsidR="002217D2">
          <w:rPr>
            <w:noProof/>
            <w:webHidden/>
          </w:rPr>
          <w:t>5</w:t>
        </w:r>
        <w:r w:rsidR="002217D2">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69" w:history="1">
        <w:r w:rsidRPr="00E0337B">
          <w:rPr>
            <w:rStyle w:val="Hyperlink"/>
            <w:noProof/>
            <w:lang w:eastAsia="en-AU"/>
          </w:rPr>
          <w:t>1.</w:t>
        </w:r>
        <w:r>
          <w:rPr>
            <w:rFonts w:asciiTheme="minorHAnsi" w:eastAsiaTheme="minorEastAsia" w:hAnsiTheme="minorHAnsi" w:cstheme="minorBidi"/>
            <w:b w:val="0"/>
            <w:noProof/>
            <w:sz w:val="22"/>
            <w:lang w:eastAsia="en-AU"/>
          </w:rPr>
          <w:tab/>
        </w:r>
        <w:r w:rsidRPr="00E0337B">
          <w:rPr>
            <w:rStyle w:val="Hyperlink"/>
            <w:noProof/>
            <w:lang w:eastAsia="en-AU"/>
          </w:rPr>
          <w:t>Introduction</w:t>
        </w:r>
        <w:r>
          <w:rPr>
            <w:noProof/>
            <w:webHidden/>
          </w:rPr>
          <w:tab/>
        </w:r>
        <w:r>
          <w:rPr>
            <w:noProof/>
            <w:webHidden/>
          </w:rPr>
          <w:fldChar w:fldCharType="begin"/>
        </w:r>
        <w:r>
          <w:rPr>
            <w:noProof/>
            <w:webHidden/>
          </w:rPr>
          <w:instrText xml:space="preserve"> PAGEREF _Toc404074069 \h </w:instrText>
        </w:r>
        <w:r>
          <w:rPr>
            <w:noProof/>
            <w:webHidden/>
          </w:rPr>
        </w:r>
        <w:r>
          <w:rPr>
            <w:noProof/>
            <w:webHidden/>
          </w:rPr>
          <w:fldChar w:fldCharType="separate"/>
        </w:r>
        <w:r>
          <w:rPr>
            <w:noProof/>
            <w:webHidden/>
          </w:rPr>
          <w:t>6</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70" w:history="1">
        <w:r w:rsidRPr="00E0337B">
          <w:rPr>
            <w:rStyle w:val="Hyperlink"/>
            <w:noProof/>
          </w:rPr>
          <w:t>1.1.</w:t>
        </w:r>
        <w:r>
          <w:rPr>
            <w:rFonts w:asciiTheme="minorHAnsi" w:eastAsiaTheme="minorEastAsia" w:hAnsiTheme="minorHAnsi" w:cstheme="minorBidi"/>
            <w:noProof/>
            <w:lang w:eastAsia="en-AU"/>
          </w:rPr>
          <w:tab/>
        </w:r>
        <w:r w:rsidRPr="00E0337B">
          <w:rPr>
            <w:rStyle w:val="Hyperlink"/>
            <w:noProof/>
          </w:rPr>
          <w:t>Orphan drug designation</w:t>
        </w:r>
        <w:r>
          <w:rPr>
            <w:noProof/>
            <w:webHidden/>
          </w:rPr>
          <w:tab/>
        </w:r>
        <w:r>
          <w:rPr>
            <w:noProof/>
            <w:webHidden/>
          </w:rPr>
          <w:fldChar w:fldCharType="begin"/>
        </w:r>
        <w:r>
          <w:rPr>
            <w:noProof/>
            <w:webHidden/>
          </w:rPr>
          <w:instrText xml:space="preserve"> PAGEREF _Toc404074070 \h </w:instrText>
        </w:r>
        <w:r>
          <w:rPr>
            <w:noProof/>
            <w:webHidden/>
          </w:rPr>
        </w:r>
        <w:r>
          <w:rPr>
            <w:noProof/>
            <w:webHidden/>
          </w:rPr>
          <w:fldChar w:fldCharType="separate"/>
        </w:r>
        <w:r>
          <w:rPr>
            <w:noProof/>
            <w:webHidden/>
          </w:rPr>
          <w:t>6</w:t>
        </w:r>
        <w:r>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71" w:history="1">
        <w:r w:rsidRPr="00E0337B">
          <w:rPr>
            <w:rStyle w:val="Hyperlink"/>
            <w:noProof/>
          </w:rPr>
          <w:t>2.</w:t>
        </w:r>
        <w:r>
          <w:rPr>
            <w:rFonts w:asciiTheme="minorHAnsi" w:eastAsiaTheme="minorEastAsia" w:hAnsiTheme="minorHAnsi" w:cstheme="minorBidi"/>
            <w:b w:val="0"/>
            <w:noProof/>
            <w:sz w:val="22"/>
            <w:lang w:eastAsia="en-AU"/>
          </w:rPr>
          <w:tab/>
        </w:r>
        <w:r w:rsidRPr="00E0337B">
          <w:rPr>
            <w:rStyle w:val="Hyperlink"/>
            <w:noProof/>
          </w:rPr>
          <w:t>Clinical rationale</w:t>
        </w:r>
        <w:r>
          <w:rPr>
            <w:noProof/>
            <w:webHidden/>
          </w:rPr>
          <w:tab/>
        </w:r>
        <w:r>
          <w:rPr>
            <w:noProof/>
            <w:webHidden/>
          </w:rPr>
          <w:fldChar w:fldCharType="begin"/>
        </w:r>
        <w:r>
          <w:rPr>
            <w:noProof/>
            <w:webHidden/>
          </w:rPr>
          <w:instrText xml:space="preserve"> PAGEREF _Toc404074071 \h </w:instrText>
        </w:r>
        <w:r>
          <w:rPr>
            <w:noProof/>
            <w:webHidden/>
          </w:rPr>
        </w:r>
        <w:r>
          <w:rPr>
            <w:noProof/>
            <w:webHidden/>
          </w:rPr>
          <w:fldChar w:fldCharType="separate"/>
        </w:r>
        <w:r>
          <w:rPr>
            <w:noProof/>
            <w:webHidden/>
          </w:rPr>
          <w:t>7</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72" w:history="1">
        <w:r w:rsidRPr="00E0337B">
          <w:rPr>
            <w:rStyle w:val="Hyperlink"/>
            <w:noProof/>
          </w:rPr>
          <w:t>2.1.</w:t>
        </w:r>
        <w:r>
          <w:rPr>
            <w:rFonts w:asciiTheme="minorHAnsi" w:eastAsiaTheme="minorEastAsia" w:hAnsiTheme="minorHAnsi" w:cstheme="minorBidi"/>
            <w:noProof/>
            <w:lang w:eastAsia="en-AU"/>
          </w:rPr>
          <w:tab/>
        </w:r>
        <w:r w:rsidRPr="00E0337B">
          <w:rPr>
            <w:rStyle w:val="Hyperlink"/>
            <w:noProof/>
          </w:rPr>
          <w:t>Guidance</w:t>
        </w:r>
        <w:r>
          <w:rPr>
            <w:noProof/>
            <w:webHidden/>
          </w:rPr>
          <w:tab/>
        </w:r>
        <w:r>
          <w:rPr>
            <w:noProof/>
            <w:webHidden/>
          </w:rPr>
          <w:fldChar w:fldCharType="begin"/>
        </w:r>
        <w:r>
          <w:rPr>
            <w:noProof/>
            <w:webHidden/>
          </w:rPr>
          <w:instrText xml:space="preserve"> PAGEREF _Toc404074072 \h </w:instrText>
        </w:r>
        <w:r>
          <w:rPr>
            <w:noProof/>
            <w:webHidden/>
          </w:rPr>
        </w:r>
        <w:r>
          <w:rPr>
            <w:noProof/>
            <w:webHidden/>
          </w:rPr>
          <w:fldChar w:fldCharType="separate"/>
        </w:r>
        <w:r>
          <w:rPr>
            <w:noProof/>
            <w:webHidden/>
          </w:rPr>
          <w:t>7</w:t>
        </w:r>
        <w:r>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73" w:history="1">
        <w:r w:rsidRPr="00E0337B">
          <w:rPr>
            <w:rStyle w:val="Hyperlink"/>
            <w:noProof/>
            <w:lang w:eastAsia="en-AU"/>
          </w:rPr>
          <w:t>3.</w:t>
        </w:r>
        <w:r>
          <w:rPr>
            <w:rFonts w:asciiTheme="minorHAnsi" w:eastAsiaTheme="minorEastAsia" w:hAnsiTheme="minorHAnsi" w:cstheme="minorBidi"/>
            <w:b w:val="0"/>
            <w:noProof/>
            <w:sz w:val="22"/>
            <w:lang w:eastAsia="en-AU"/>
          </w:rPr>
          <w:tab/>
        </w:r>
        <w:r w:rsidRPr="00E0337B">
          <w:rPr>
            <w:rStyle w:val="Hyperlink"/>
            <w:noProof/>
            <w:lang w:eastAsia="en-AU"/>
          </w:rPr>
          <w:t xml:space="preserve">Contents of the clinical </w:t>
        </w:r>
        <w:r w:rsidRPr="00E0337B">
          <w:rPr>
            <w:rStyle w:val="Hyperlink"/>
            <w:noProof/>
          </w:rPr>
          <w:t>dossier</w:t>
        </w:r>
        <w:r>
          <w:rPr>
            <w:noProof/>
            <w:webHidden/>
          </w:rPr>
          <w:tab/>
        </w:r>
        <w:r>
          <w:rPr>
            <w:noProof/>
            <w:webHidden/>
          </w:rPr>
          <w:fldChar w:fldCharType="begin"/>
        </w:r>
        <w:r>
          <w:rPr>
            <w:noProof/>
            <w:webHidden/>
          </w:rPr>
          <w:instrText xml:space="preserve"> PAGEREF _Toc404074073 \h </w:instrText>
        </w:r>
        <w:r>
          <w:rPr>
            <w:noProof/>
            <w:webHidden/>
          </w:rPr>
        </w:r>
        <w:r>
          <w:rPr>
            <w:noProof/>
            <w:webHidden/>
          </w:rPr>
          <w:fldChar w:fldCharType="separate"/>
        </w:r>
        <w:r>
          <w:rPr>
            <w:noProof/>
            <w:webHidden/>
          </w:rPr>
          <w:t>8</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74" w:history="1">
        <w:r w:rsidRPr="00E0337B">
          <w:rPr>
            <w:rStyle w:val="Hyperlink"/>
            <w:noProof/>
          </w:rPr>
          <w:t>3.1.</w:t>
        </w:r>
        <w:r>
          <w:rPr>
            <w:rFonts w:asciiTheme="minorHAnsi" w:eastAsiaTheme="minorEastAsia" w:hAnsiTheme="minorHAnsi" w:cstheme="minorBidi"/>
            <w:noProof/>
            <w:lang w:eastAsia="en-AU"/>
          </w:rPr>
          <w:tab/>
        </w:r>
        <w:r w:rsidRPr="00E0337B">
          <w:rPr>
            <w:rStyle w:val="Hyperlink"/>
            <w:noProof/>
          </w:rPr>
          <w:t>Scope of the clinical dossier</w:t>
        </w:r>
        <w:r>
          <w:rPr>
            <w:noProof/>
            <w:webHidden/>
          </w:rPr>
          <w:tab/>
        </w:r>
        <w:r>
          <w:rPr>
            <w:noProof/>
            <w:webHidden/>
          </w:rPr>
          <w:fldChar w:fldCharType="begin"/>
        </w:r>
        <w:r>
          <w:rPr>
            <w:noProof/>
            <w:webHidden/>
          </w:rPr>
          <w:instrText xml:space="preserve"> PAGEREF _Toc404074074 \h </w:instrText>
        </w:r>
        <w:r>
          <w:rPr>
            <w:noProof/>
            <w:webHidden/>
          </w:rPr>
        </w:r>
        <w:r>
          <w:rPr>
            <w:noProof/>
            <w:webHidden/>
          </w:rPr>
          <w:fldChar w:fldCharType="separate"/>
        </w:r>
        <w:r>
          <w:rPr>
            <w:noProof/>
            <w:webHidden/>
          </w:rPr>
          <w:t>8</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75" w:history="1">
        <w:r w:rsidRPr="00E0337B">
          <w:rPr>
            <w:rStyle w:val="Hyperlink"/>
            <w:noProof/>
          </w:rPr>
          <w:t>3.2.</w:t>
        </w:r>
        <w:r>
          <w:rPr>
            <w:rFonts w:asciiTheme="minorHAnsi" w:eastAsiaTheme="minorEastAsia" w:hAnsiTheme="minorHAnsi" w:cstheme="minorBidi"/>
            <w:noProof/>
            <w:lang w:eastAsia="en-AU"/>
          </w:rPr>
          <w:tab/>
        </w:r>
        <w:r w:rsidRPr="00E0337B">
          <w:rPr>
            <w:rStyle w:val="Hyperlink"/>
            <w:noProof/>
          </w:rPr>
          <w:t>Paediatric data</w:t>
        </w:r>
        <w:r>
          <w:rPr>
            <w:noProof/>
            <w:webHidden/>
          </w:rPr>
          <w:tab/>
        </w:r>
        <w:r>
          <w:rPr>
            <w:noProof/>
            <w:webHidden/>
          </w:rPr>
          <w:fldChar w:fldCharType="begin"/>
        </w:r>
        <w:r>
          <w:rPr>
            <w:noProof/>
            <w:webHidden/>
          </w:rPr>
          <w:instrText xml:space="preserve"> PAGEREF _Toc404074075 \h </w:instrText>
        </w:r>
        <w:r>
          <w:rPr>
            <w:noProof/>
            <w:webHidden/>
          </w:rPr>
        </w:r>
        <w:r>
          <w:rPr>
            <w:noProof/>
            <w:webHidden/>
          </w:rPr>
          <w:fldChar w:fldCharType="separate"/>
        </w:r>
        <w:r>
          <w:rPr>
            <w:noProof/>
            <w:webHidden/>
          </w:rPr>
          <w:t>8</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76" w:history="1">
        <w:r w:rsidRPr="00E0337B">
          <w:rPr>
            <w:rStyle w:val="Hyperlink"/>
            <w:noProof/>
          </w:rPr>
          <w:t>3.3.</w:t>
        </w:r>
        <w:r>
          <w:rPr>
            <w:rFonts w:asciiTheme="minorHAnsi" w:eastAsiaTheme="minorEastAsia" w:hAnsiTheme="minorHAnsi" w:cstheme="minorBidi"/>
            <w:noProof/>
            <w:lang w:eastAsia="en-AU"/>
          </w:rPr>
          <w:tab/>
        </w:r>
        <w:r w:rsidRPr="00E0337B">
          <w:rPr>
            <w:rStyle w:val="Hyperlink"/>
            <w:noProof/>
          </w:rPr>
          <w:t>Good clinical practice</w:t>
        </w:r>
        <w:r>
          <w:rPr>
            <w:noProof/>
            <w:webHidden/>
          </w:rPr>
          <w:tab/>
        </w:r>
        <w:r>
          <w:rPr>
            <w:noProof/>
            <w:webHidden/>
          </w:rPr>
          <w:fldChar w:fldCharType="begin"/>
        </w:r>
        <w:r>
          <w:rPr>
            <w:noProof/>
            <w:webHidden/>
          </w:rPr>
          <w:instrText xml:space="preserve"> PAGEREF _Toc404074076 \h </w:instrText>
        </w:r>
        <w:r>
          <w:rPr>
            <w:noProof/>
            <w:webHidden/>
          </w:rPr>
        </w:r>
        <w:r>
          <w:rPr>
            <w:noProof/>
            <w:webHidden/>
          </w:rPr>
          <w:fldChar w:fldCharType="separate"/>
        </w:r>
        <w:r>
          <w:rPr>
            <w:noProof/>
            <w:webHidden/>
          </w:rPr>
          <w:t>8</w:t>
        </w:r>
        <w:r>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77" w:history="1">
        <w:r w:rsidRPr="00E0337B">
          <w:rPr>
            <w:rStyle w:val="Hyperlink"/>
            <w:noProof/>
          </w:rPr>
          <w:t>4.</w:t>
        </w:r>
        <w:r>
          <w:rPr>
            <w:rFonts w:asciiTheme="minorHAnsi" w:eastAsiaTheme="minorEastAsia" w:hAnsiTheme="minorHAnsi" w:cstheme="minorBidi"/>
            <w:b w:val="0"/>
            <w:noProof/>
            <w:sz w:val="22"/>
            <w:lang w:eastAsia="en-AU"/>
          </w:rPr>
          <w:tab/>
        </w:r>
        <w:r w:rsidRPr="00E0337B">
          <w:rPr>
            <w:rStyle w:val="Hyperlink"/>
            <w:noProof/>
          </w:rPr>
          <w:t>Pharmacokinetics</w:t>
        </w:r>
        <w:r>
          <w:rPr>
            <w:noProof/>
            <w:webHidden/>
          </w:rPr>
          <w:tab/>
        </w:r>
        <w:r>
          <w:rPr>
            <w:noProof/>
            <w:webHidden/>
          </w:rPr>
          <w:fldChar w:fldCharType="begin"/>
        </w:r>
        <w:r>
          <w:rPr>
            <w:noProof/>
            <w:webHidden/>
          </w:rPr>
          <w:instrText xml:space="preserve"> PAGEREF _Toc404074077 \h </w:instrText>
        </w:r>
        <w:r>
          <w:rPr>
            <w:noProof/>
            <w:webHidden/>
          </w:rPr>
        </w:r>
        <w:r>
          <w:rPr>
            <w:noProof/>
            <w:webHidden/>
          </w:rPr>
          <w:fldChar w:fldCharType="separate"/>
        </w:r>
        <w:r>
          <w:rPr>
            <w:noProof/>
            <w:webHidden/>
          </w:rPr>
          <w:t>9</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78" w:history="1">
        <w:r w:rsidRPr="00E0337B">
          <w:rPr>
            <w:rStyle w:val="Hyperlink"/>
            <w:noProof/>
          </w:rPr>
          <w:t>4.1.</w:t>
        </w:r>
        <w:r>
          <w:rPr>
            <w:rFonts w:asciiTheme="minorHAnsi" w:eastAsiaTheme="minorEastAsia" w:hAnsiTheme="minorHAnsi" w:cstheme="minorBidi"/>
            <w:noProof/>
            <w:lang w:eastAsia="en-AU"/>
          </w:rPr>
          <w:tab/>
        </w:r>
        <w:r w:rsidRPr="00E0337B">
          <w:rPr>
            <w:rStyle w:val="Hyperlink"/>
            <w:noProof/>
          </w:rPr>
          <w:t>Studies providing pharmacokinetic data</w:t>
        </w:r>
        <w:r>
          <w:rPr>
            <w:noProof/>
            <w:webHidden/>
          </w:rPr>
          <w:tab/>
        </w:r>
        <w:r>
          <w:rPr>
            <w:noProof/>
            <w:webHidden/>
          </w:rPr>
          <w:fldChar w:fldCharType="begin"/>
        </w:r>
        <w:r>
          <w:rPr>
            <w:noProof/>
            <w:webHidden/>
          </w:rPr>
          <w:instrText xml:space="preserve"> PAGEREF _Toc404074078 \h </w:instrText>
        </w:r>
        <w:r>
          <w:rPr>
            <w:noProof/>
            <w:webHidden/>
          </w:rPr>
        </w:r>
        <w:r>
          <w:rPr>
            <w:noProof/>
            <w:webHidden/>
          </w:rPr>
          <w:fldChar w:fldCharType="separate"/>
        </w:r>
        <w:r>
          <w:rPr>
            <w:noProof/>
            <w:webHidden/>
          </w:rPr>
          <w:t>9</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79" w:history="1">
        <w:r w:rsidRPr="00E0337B">
          <w:rPr>
            <w:rStyle w:val="Hyperlink"/>
            <w:noProof/>
          </w:rPr>
          <w:t>4.2.</w:t>
        </w:r>
        <w:r>
          <w:rPr>
            <w:rFonts w:asciiTheme="minorHAnsi" w:eastAsiaTheme="minorEastAsia" w:hAnsiTheme="minorHAnsi" w:cstheme="minorBidi"/>
            <w:noProof/>
            <w:lang w:eastAsia="en-AU"/>
          </w:rPr>
          <w:tab/>
        </w:r>
        <w:r w:rsidRPr="00E0337B">
          <w:rPr>
            <w:rStyle w:val="Hyperlink"/>
            <w:noProof/>
          </w:rPr>
          <w:t>Summary of pharmacokinetics</w:t>
        </w:r>
        <w:r>
          <w:rPr>
            <w:noProof/>
            <w:webHidden/>
          </w:rPr>
          <w:tab/>
        </w:r>
        <w:r>
          <w:rPr>
            <w:noProof/>
            <w:webHidden/>
          </w:rPr>
          <w:fldChar w:fldCharType="begin"/>
        </w:r>
        <w:r>
          <w:rPr>
            <w:noProof/>
            <w:webHidden/>
          </w:rPr>
          <w:instrText xml:space="preserve"> PAGEREF _Toc404074079 \h </w:instrText>
        </w:r>
        <w:r>
          <w:rPr>
            <w:noProof/>
            <w:webHidden/>
          </w:rPr>
        </w:r>
        <w:r>
          <w:rPr>
            <w:noProof/>
            <w:webHidden/>
          </w:rPr>
          <w:fldChar w:fldCharType="separate"/>
        </w:r>
        <w:r>
          <w:rPr>
            <w:noProof/>
            <w:webHidden/>
          </w:rPr>
          <w:t>9</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80" w:history="1">
        <w:r w:rsidRPr="00E0337B">
          <w:rPr>
            <w:rStyle w:val="Hyperlink"/>
            <w:noProof/>
          </w:rPr>
          <w:t>4.3.</w:t>
        </w:r>
        <w:r>
          <w:rPr>
            <w:rFonts w:asciiTheme="minorHAnsi" w:eastAsiaTheme="minorEastAsia" w:hAnsiTheme="minorHAnsi" w:cstheme="minorBidi"/>
            <w:noProof/>
            <w:lang w:eastAsia="en-AU"/>
          </w:rPr>
          <w:tab/>
        </w:r>
        <w:r w:rsidRPr="00E0337B">
          <w:rPr>
            <w:rStyle w:val="Hyperlink"/>
            <w:noProof/>
          </w:rPr>
          <w:t>Evaluator’s overall conclusions on pharmacokinetics</w:t>
        </w:r>
        <w:r>
          <w:rPr>
            <w:noProof/>
            <w:webHidden/>
          </w:rPr>
          <w:tab/>
        </w:r>
        <w:r>
          <w:rPr>
            <w:noProof/>
            <w:webHidden/>
          </w:rPr>
          <w:fldChar w:fldCharType="begin"/>
        </w:r>
        <w:r>
          <w:rPr>
            <w:noProof/>
            <w:webHidden/>
          </w:rPr>
          <w:instrText xml:space="preserve"> PAGEREF _Toc404074080 \h </w:instrText>
        </w:r>
        <w:r>
          <w:rPr>
            <w:noProof/>
            <w:webHidden/>
          </w:rPr>
        </w:r>
        <w:r>
          <w:rPr>
            <w:noProof/>
            <w:webHidden/>
          </w:rPr>
          <w:fldChar w:fldCharType="separate"/>
        </w:r>
        <w:r>
          <w:rPr>
            <w:noProof/>
            <w:webHidden/>
          </w:rPr>
          <w:t>12</w:t>
        </w:r>
        <w:r>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81" w:history="1">
        <w:r w:rsidRPr="00E0337B">
          <w:rPr>
            <w:rStyle w:val="Hyperlink"/>
            <w:noProof/>
          </w:rPr>
          <w:t>5.</w:t>
        </w:r>
        <w:r>
          <w:rPr>
            <w:rFonts w:asciiTheme="minorHAnsi" w:eastAsiaTheme="minorEastAsia" w:hAnsiTheme="minorHAnsi" w:cstheme="minorBidi"/>
            <w:b w:val="0"/>
            <w:noProof/>
            <w:sz w:val="22"/>
            <w:lang w:eastAsia="en-AU"/>
          </w:rPr>
          <w:tab/>
        </w:r>
        <w:r w:rsidRPr="00E0337B">
          <w:rPr>
            <w:rStyle w:val="Hyperlink"/>
            <w:noProof/>
          </w:rPr>
          <w:t>Pharmacodynamics</w:t>
        </w:r>
        <w:r>
          <w:rPr>
            <w:noProof/>
            <w:webHidden/>
          </w:rPr>
          <w:tab/>
        </w:r>
        <w:r>
          <w:rPr>
            <w:noProof/>
            <w:webHidden/>
          </w:rPr>
          <w:fldChar w:fldCharType="begin"/>
        </w:r>
        <w:r>
          <w:rPr>
            <w:noProof/>
            <w:webHidden/>
          </w:rPr>
          <w:instrText xml:space="preserve"> PAGEREF _Toc404074081 \h </w:instrText>
        </w:r>
        <w:r>
          <w:rPr>
            <w:noProof/>
            <w:webHidden/>
          </w:rPr>
        </w:r>
        <w:r>
          <w:rPr>
            <w:noProof/>
            <w:webHidden/>
          </w:rPr>
          <w:fldChar w:fldCharType="separate"/>
        </w:r>
        <w:r>
          <w:rPr>
            <w:noProof/>
            <w:webHidden/>
          </w:rPr>
          <w:t>12</w:t>
        </w:r>
        <w:r>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82" w:history="1">
        <w:r w:rsidRPr="00E0337B">
          <w:rPr>
            <w:rStyle w:val="Hyperlink"/>
            <w:noProof/>
          </w:rPr>
          <w:t>6.</w:t>
        </w:r>
        <w:r>
          <w:rPr>
            <w:rFonts w:asciiTheme="minorHAnsi" w:eastAsiaTheme="minorEastAsia" w:hAnsiTheme="minorHAnsi" w:cstheme="minorBidi"/>
            <w:b w:val="0"/>
            <w:noProof/>
            <w:sz w:val="22"/>
            <w:lang w:eastAsia="en-AU"/>
          </w:rPr>
          <w:tab/>
        </w:r>
        <w:r w:rsidRPr="00E0337B">
          <w:rPr>
            <w:rStyle w:val="Hyperlink"/>
            <w:noProof/>
          </w:rPr>
          <w:t>Dosage selection for the pivotal studies</w:t>
        </w:r>
        <w:r>
          <w:rPr>
            <w:noProof/>
            <w:webHidden/>
          </w:rPr>
          <w:tab/>
        </w:r>
        <w:r>
          <w:rPr>
            <w:noProof/>
            <w:webHidden/>
          </w:rPr>
          <w:fldChar w:fldCharType="begin"/>
        </w:r>
        <w:r>
          <w:rPr>
            <w:noProof/>
            <w:webHidden/>
          </w:rPr>
          <w:instrText xml:space="preserve"> PAGEREF _Toc404074082 \h </w:instrText>
        </w:r>
        <w:r>
          <w:rPr>
            <w:noProof/>
            <w:webHidden/>
          </w:rPr>
        </w:r>
        <w:r>
          <w:rPr>
            <w:noProof/>
            <w:webHidden/>
          </w:rPr>
          <w:fldChar w:fldCharType="separate"/>
        </w:r>
        <w:r>
          <w:rPr>
            <w:noProof/>
            <w:webHidden/>
          </w:rPr>
          <w:t>13</w:t>
        </w:r>
        <w:r>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83" w:history="1">
        <w:r w:rsidRPr="00E0337B">
          <w:rPr>
            <w:rStyle w:val="Hyperlink"/>
            <w:noProof/>
          </w:rPr>
          <w:t>7.</w:t>
        </w:r>
        <w:r>
          <w:rPr>
            <w:rFonts w:asciiTheme="minorHAnsi" w:eastAsiaTheme="minorEastAsia" w:hAnsiTheme="minorHAnsi" w:cstheme="minorBidi"/>
            <w:b w:val="0"/>
            <w:noProof/>
            <w:sz w:val="22"/>
            <w:lang w:eastAsia="en-AU"/>
          </w:rPr>
          <w:tab/>
        </w:r>
        <w:r w:rsidRPr="00E0337B">
          <w:rPr>
            <w:rStyle w:val="Hyperlink"/>
            <w:noProof/>
          </w:rPr>
          <w:t>Clinical efficacy</w:t>
        </w:r>
        <w:r>
          <w:rPr>
            <w:noProof/>
            <w:webHidden/>
          </w:rPr>
          <w:tab/>
        </w:r>
        <w:r>
          <w:rPr>
            <w:noProof/>
            <w:webHidden/>
          </w:rPr>
          <w:fldChar w:fldCharType="begin"/>
        </w:r>
        <w:r>
          <w:rPr>
            <w:noProof/>
            <w:webHidden/>
          </w:rPr>
          <w:instrText xml:space="preserve"> PAGEREF _Toc404074083 \h </w:instrText>
        </w:r>
        <w:r>
          <w:rPr>
            <w:noProof/>
            <w:webHidden/>
          </w:rPr>
        </w:r>
        <w:r>
          <w:rPr>
            <w:noProof/>
            <w:webHidden/>
          </w:rPr>
          <w:fldChar w:fldCharType="separate"/>
        </w:r>
        <w:r>
          <w:rPr>
            <w:noProof/>
            <w:webHidden/>
          </w:rPr>
          <w:t>13</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84" w:history="1">
        <w:r w:rsidRPr="00E0337B">
          <w:rPr>
            <w:rStyle w:val="Hyperlink"/>
            <w:noProof/>
          </w:rPr>
          <w:t>7.1.</w:t>
        </w:r>
        <w:r>
          <w:rPr>
            <w:rFonts w:asciiTheme="minorHAnsi" w:eastAsiaTheme="minorEastAsia" w:hAnsiTheme="minorHAnsi" w:cstheme="minorBidi"/>
            <w:noProof/>
            <w:lang w:eastAsia="en-AU"/>
          </w:rPr>
          <w:tab/>
        </w:r>
        <w:r w:rsidRPr="00E0337B">
          <w:rPr>
            <w:rStyle w:val="Hyperlink"/>
            <w:noProof/>
          </w:rPr>
          <w:t>Pivotal efficacy study</w:t>
        </w:r>
        <w:r>
          <w:rPr>
            <w:noProof/>
            <w:webHidden/>
          </w:rPr>
          <w:tab/>
        </w:r>
        <w:r>
          <w:rPr>
            <w:noProof/>
            <w:webHidden/>
          </w:rPr>
          <w:fldChar w:fldCharType="begin"/>
        </w:r>
        <w:r>
          <w:rPr>
            <w:noProof/>
            <w:webHidden/>
          </w:rPr>
          <w:instrText xml:space="preserve"> PAGEREF _Toc404074084 \h </w:instrText>
        </w:r>
        <w:r>
          <w:rPr>
            <w:noProof/>
            <w:webHidden/>
          </w:rPr>
        </w:r>
        <w:r>
          <w:rPr>
            <w:noProof/>
            <w:webHidden/>
          </w:rPr>
          <w:fldChar w:fldCharType="separate"/>
        </w:r>
        <w:r>
          <w:rPr>
            <w:noProof/>
            <w:webHidden/>
          </w:rPr>
          <w:t>13</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85" w:history="1">
        <w:r w:rsidRPr="00E0337B">
          <w:rPr>
            <w:rStyle w:val="Hyperlink"/>
            <w:noProof/>
          </w:rPr>
          <w:t>7.2.</w:t>
        </w:r>
        <w:r>
          <w:rPr>
            <w:rFonts w:asciiTheme="minorHAnsi" w:eastAsiaTheme="minorEastAsia" w:hAnsiTheme="minorHAnsi" w:cstheme="minorBidi"/>
            <w:noProof/>
            <w:lang w:eastAsia="en-AU"/>
          </w:rPr>
          <w:tab/>
        </w:r>
        <w:r w:rsidRPr="00E0337B">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_Toc404074085 \h </w:instrText>
        </w:r>
        <w:r>
          <w:rPr>
            <w:noProof/>
            <w:webHidden/>
          </w:rPr>
        </w:r>
        <w:r>
          <w:rPr>
            <w:noProof/>
            <w:webHidden/>
          </w:rPr>
          <w:fldChar w:fldCharType="separate"/>
        </w:r>
        <w:r>
          <w:rPr>
            <w:noProof/>
            <w:webHidden/>
          </w:rPr>
          <w:t>29</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86" w:history="1">
        <w:r w:rsidRPr="00E0337B">
          <w:rPr>
            <w:rStyle w:val="Hyperlink"/>
            <w:noProof/>
          </w:rPr>
          <w:t>7.3.</w:t>
        </w:r>
        <w:r>
          <w:rPr>
            <w:rFonts w:asciiTheme="minorHAnsi" w:eastAsiaTheme="minorEastAsia" w:hAnsiTheme="minorHAnsi" w:cstheme="minorBidi"/>
            <w:noProof/>
            <w:lang w:eastAsia="en-AU"/>
          </w:rPr>
          <w:tab/>
        </w:r>
        <w:r w:rsidRPr="00E0337B">
          <w:rPr>
            <w:rStyle w:val="Hyperlink"/>
            <w:noProof/>
          </w:rPr>
          <w:t>Evaluator’s conclusions on clinical efficacy</w:t>
        </w:r>
        <w:r>
          <w:rPr>
            <w:noProof/>
            <w:webHidden/>
          </w:rPr>
          <w:tab/>
        </w:r>
        <w:r>
          <w:rPr>
            <w:noProof/>
            <w:webHidden/>
          </w:rPr>
          <w:fldChar w:fldCharType="begin"/>
        </w:r>
        <w:r>
          <w:rPr>
            <w:noProof/>
            <w:webHidden/>
          </w:rPr>
          <w:instrText xml:space="preserve"> PAGEREF _Toc404074086 \h </w:instrText>
        </w:r>
        <w:r>
          <w:rPr>
            <w:noProof/>
            <w:webHidden/>
          </w:rPr>
        </w:r>
        <w:r>
          <w:rPr>
            <w:noProof/>
            <w:webHidden/>
          </w:rPr>
          <w:fldChar w:fldCharType="separate"/>
        </w:r>
        <w:r>
          <w:rPr>
            <w:noProof/>
            <w:webHidden/>
          </w:rPr>
          <w:t>29</w:t>
        </w:r>
        <w:r>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87" w:history="1">
        <w:r w:rsidRPr="00E0337B">
          <w:rPr>
            <w:rStyle w:val="Hyperlink"/>
            <w:noProof/>
          </w:rPr>
          <w:t>8.</w:t>
        </w:r>
        <w:r>
          <w:rPr>
            <w:rFonts w:asciiTheme="minorHAnsi" w:eastAsiaTheme="minorEastAsia" w:hAnsiTheme="minorHAnsi" w:cstheme="minorBidi"/>
            <w:b w:val="0"/>
            <w:noProof/>
            <w:sz w:val="22"/>
            <w:lang w:eastAsia="en-AU"/>
          </w:rPr>
          <w:tab/>
        </w:r>
        <w:r w:rsidRPr="00E0337B">
          <w:rPr>
            <w:rStyle w:val="Hyperlink"/>
            <w:noProof/>
          </w:rPr>
          <w:t>Clinical safety</w:t>
        </w:r>
        <w:r>
          <w:rPr>
            <w:noProof/>
            <w:webHidden/>
          </w:rPr>
          <w:tab/>
        </w:r>
        <w:r>
          <w:rPr>
            <w:noProof/>
            <w:webHidden/>
          </w:rPr>
          <w:fldChar w:fldCharType="begin"/>
        </w:r>
        <w:r>
          <w:rPr>
            <w:noProof/>
            <w:webHidden/>
          </w:rPr>
          <w:instrText xml:space="preserve"> PAGEREF _Toc404074087 \h </w:instrText>
        </w:r>
        <w:r>
          <w:rPr>
            <w:noProof/>
            <w:webHidden/>
          </w:rPr>
        </w:r>
        <w:r>
          <w:rPr>
            <w:noProof/>
            <w:webHidden/>
          </w:rPr>
          <w:fldChar w:fldCharType="separate"/>
        </w:r>
        <w:r>
          <w:rPr>
            <w:noProof/>
            <w:webHidden/>
          </w:rPr>
          <w:t>30</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88" w:history="1">
        <w:r w:rsidRPr="00E0337B">
          <w:rPr>
            <w:rStyle w:val="Hyperlink"/>
            <w:noProof/>
          </w:rPr>
          <w:t>8.1.</w:t>
        </w:r>
        <w:r>
          <w:rPr>
            <w:rFonts w:asciiTheme="minorHAnsi" w:eastAsiaTheme="minorEastAsia" w:hAnsiTheme="minorHAnsi" w:cstheme="minorBidi"/>
            <w:noProof/>
            <w:lang w:eastAsia="en-AU"/>
          </w:rPr>
          <w:tab/>
        </w:r>
        <w:r w:rsidRPr="00E0337B">
          <w:rPr>
            <w:rStyle w:val="Hyperlink"/>
            <w:noProof/>
          </w:rPr>
          <w:t>Studies providing evaluable safety data</w:t>
        </w:r>
        <w:r>
          <w:rPr>
            <w:noProof/>
            <w:webHidden/>
          </w:rPr>
          <w:tab/>
        </w:r>
        <w:r>
          <w:rPr>
            <w:noProof/>
            <w:webHidden/>
          </w:rPr>
          <w:fldChar w:fldCharType="begin"/>
        </w:r>
        <w:r>
          <w:rPr>
            <w:noProof/>
            <w:webHidden/>
          </w:rPr>
          <w:instrText xml:space="preserve"> PAGEREF _Toc404074088 \h </w:instrText>
        </w:r>
        <w:r>
          <w:rPr>
            <w:noProof/>
            <w:webHidden/>
          </w:rPr>
        </w:r>
        <w:r>
          <w:rPr>
            <w:noProof/>
            <w:webHidden/>
          </w:rPr>
          <w:fldChar w:fldCharType="separate"/>
        </w:r>
        <w:r>
          <w:rPr>
            <w:noProof/>
            <w:webHidden/>
          </w:rPr>
          <w:t>30</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89" w:history="1">
        <w:r w:rsidRPr="00E0337B">
          <w:rPr>
            <w:rStyle w:val="Hyperlink"/>
            <w:noProof/>
          </w:rPr>
          <w:t>8.2.</w:t>
        </w:r>
        <w:r>
          <w:rPr>
            <w:rFonts w:asciiTheme="minorHAnsi" w:eastAsiaTheme="minorEastAsia" w:hAnsiTheme="minorHAnsi" w:cstheme="minorBidi"/>
            <w:noProof/>
            <w:lang w:eastAsia="en-AU"/>
          </w:rPr>
          <w:tab/>
        </w:r>
        <w:r w:rsidRPr="00E0337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_Toc404074089 \h </w:instrText>
        </w:r>
        <w:r>
          <w:rPr>
            <w:noProof/>
            <w:webHidden/>
          </w:rPr>
        </w:r>
        <w:r>
          <w:rPr>
            <w:noProof/>
            <w:webHidden/>
          </w:rPr>
          <w:fldChar w:fldCharType="separate"/>
        </w:r>
        <w:r>
          <w:rPr>
            <w:noProof/>
            <w:webHidden/>
          </w:rPr>
          <w:t>33</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0" w:history="1">
        <w:r w:rsidRPr="00E0337B">
          <w:rPr>
            <w:rStyle w:val="Hyperlink"/>
            <w:noProof/>
          </w:rPr>
          <w:t>8.3.</w:t>
        </w:r>
        <w:r>
          <w:rPr>
            <w:rFonts w:asciiTheme="minorHAnsi" w:eastAsiaTheme="minorEastAsia" w:hAnsiTheme="minorHAnsi" w:cstheme="minorBidi"/>
            <w:noProof/>
            <w:lang w:eastAsia="en-AU"/>
          </w:rPr>
          <w:tab/>
        </w:r>
        <w:r w:rsidRPr="00E0337B">
          <w:rPr>
            <w:rStyle w:val="Hyperlink"/>
            <w:noProof/>
          </w:rPr>
          <w:t>Patient exposure</w:t>
        </w:r>
        <w:r>
          <w:rPr>
            <w:noProof/>
            <w:webHidden/>
          </w:rPr>
          <w:tab/>
        </w:r>
        <w:r>
          <w:rPr>
            <w:noProof/>
            <w:webHidden/>
          </w:rPr>
          <w:fldChar w:fldCharType="begin"/>
        </w:r>
        <w:r>
          <w:rPr>
            <w:noProof/>
            <w:webHidden/>
          </w:rPr>
          <w:instrText xml:space="preserve"> PAGEREF _Toc404074090 \h </w:instrText>
        </w:r>
        <w:r>
          <w:rPr>
            <w:noProof/>
            <w:webHidden/>
          </w:rPr>
        </w:r>
        <w:r>
          <w:rPr>
            <w:noProof/>
            <w:webHidden/>
          </w:rPr>
          <w:fldChar w:fldCharType="separate"/>
        </w:r>
        <w:r>
          <w:rPr>
            <w:noProof/>
            <w:webHidden/>
          </w:rPr>
          <w:t>33</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1" w:history="1">
        <w:r w:rsidRPr="00E0337B">
          <w:rPr>
            <w:rStyle w:val="Hyperlink"/>
            <w:noProof/>
          </w:rPr>
          <w:t>8.4.</w:t>
        </w:r>
        <w:r>
          <w:rPr>
            <w:rFonts w:asciiTheme="minorHAnsi" w:eastAsiaTheme="minorEastAsia" w:hAnsiTheme="minorHAnsi" w:cstheme="minorBidi"/>
            <w:noProof/>
            <w:lang w:eastAsia="en-AU"/>
          </w:rPr>
          <w:tab/>
        </w:r>
        <w:r w:rsidRPr="00E0337B">
          <w:rPr>
            <w:rStyle w:val="Hyperlink"/>
            <w:noProof/>
          </w:rPr>
          <w:t>Adverse events</w:t>
        </w:r>
        <w:r>
          <w:rPr>
            <w:noProof/>
            <w:webHidden/>
          </w:rPr>
          <w:tab/>
        </w:r>
        <w:r>
          <w:rPr>
            <w:noProof/>
            <w:webHidden/>
          </w:rPr>
          <w:fldChar w:fldCharType="begin"/>
        </w:r>
        <w:r>
          <w:rPr>
            <w:noProof/>
            <w:webHidden/>
          </w:rPr>
          <w:instrText xml:space="preserve"> PAGEREF _Toc404074091 \h </w:instrText>
        </w:r>
        <w:r>
          <w:rPr>
            <w:noProof/>
            <w:webHidden/>
          </w:rPr>
        </w:r>
        <w:r>
          <w:rPr>
            <w:noProof/>
            <w:webHidden/>
          </w:rPr>
          <w:fldChar w:fldCharType="separate"/>
        </w:r>
        <w:r>
          <w:rPr>
            <w:noProof/>
            <w:webHidden/>
          </w:rPr>
          <w:t>35</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2" w:history="1">
        <w:r w:rsidRPr="00E0337B">
          <w:rPr>
            <w:rStyle w:val="Hyperlink"/>
            <w:noProof/>
          </w:rPr>
          <w:t>8.5.</w:t>
        </w:r>
        <w:r>
          <w:rPr>
            <w:rFonts w:asciiTheme="minorHAnsi" w:eastAsiaTheme="minorEastAsia" w:hAnsiTheme="minorHAnsi" w:cstheme="minorBidi"/>
            <w:noProof/>
            <w:lang w:eastAsia="en-AU"/>
          </w:rPr>
          <w:tab/>
        </w:r>
        <w:r w:rsidRPr="00E0337B">
          <w:rPr>
            <w:rStyle w:val="Hyperlink"/>
            <w:noProof/>
          </w:rPr>
          <w:t>Laboratory tests</w:t>
        </w:r>
        <w:r>
          <w:rPr>
            <w:noProof/>
            <w:webHidden/>
          </w:rPr>
          <w:tab/>
        </w:r>
        <w:r>
          <w:rPr>
            <w:noProof/>
            <w:webHidden/>
          </w:rPr>
          <w:fldChar w:fldCharType="begin"/>
        </w:r>
        <w:r>
          <w:rPr>
            <w:noProof/>
            <w:webHidden/>
          </w:rPr>
          <w:instrText xml:space="preserve"> PAGEREF _Toc404074092 \h </w:instrText>
        </w:r>
        <w:r>
          <w:rPr>
            <w:noProof/>
            <w:webHidden/>
          </w:rPr>
        </w:r>
        <w:r>
          <w:rPr>
            <w:noProof/>
            <w:webHidden/>
          </w:rPr>
          <w:fldChar w:fldCharType="separate"/>
        </w:r>
        <w:r>
          <w:rPr>
            <w:noProof/>
            <w:webHidden/>
          </w:rPr>
          <w:t>38</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3" w:history="1">
        <w:r w:rsidRPr="00E0337B">
          <w:rPr>
            <w:rStyle w:val="Hyperlink"/>
            <w:noProof/>
          </w:rPr>
          <w:t>8.6.</w:t>
        </w:r>
        <w:r>
          <w:rPr>
            <w:rFonts w:asciiTheme="minorHAnsi" w:eastAsiaTheme="minorEastAsia" w:hAnsiTheme="minorHAnsi" w:cstheme="minorBidi"/>
            <w:noProof/>
            <w:lang w:eastAsia="en-AU"/>
          </w:rPr>
          <w:tab/>
        </w:r>
        <w:r w:rsidRPr="00E0337B">
          <w:rPr>
            <w:rStyle w:val="Hyperlink"/>
            <w:noProof/>
          </w:rPr>
          <w:t>Post-marketing experience</w:t>
        </w:r>
        <w:r>
          <w:rPr>
            <w:noProof/>
            <w:webHidden/>
          </w:rPr>
          <w:tab/>
        </w:r>
        <w:r>
          <w:rPr>
            <w:noProof/>
            <w:webHidden/>
          </w:rPr>
          <w:fldChar w:fldCharType="begin"/>
        </w:r>
        <w:r>
          <w:rPr>
            <w:noProof/>
            <w:webHidden/>
          </w:rPr>
          <w:instrText xml:space="preserve"> PAGEREF _Toc404074093 \h </w:instrText>
        </w:r>
        <w:r>
          <w:rPr>
            <w:noProof/>
            <w:webHidden/>
          </w:rPr>
        </w:r>
        <w:r>
          <w:rPr>
            <w:noProof/>
            <w:webHidden/>
          </w:rPr>
          <w:fldChar w:fldCharType="separate"/>
        </w:r>
        <w:r>
          <w:rPr>
            <w:noProof/>
            <w:webHidden/>
          </w:rPr>
          <w:t>42</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4" w:history="1">
        <w:r w:rsidRPr="00E0337B">
          <w:rPr>
            <w:rStyle w:val="Hyperlink"/>
            <w:noProof/>
          </w:rPr>
          <w:t>8.7.</w:t>
        </w:r>
        <w:r>
          <w:rPr>
            <w:rFonts w:asciiTheme="minorHAnsi" w:eastAsiaTheme="minorEastAsia" w:hAnsiTheme="minorHAnsi" w:cstheme="minorBidi"/>
            <w:noProof/>
            <w:lang w:eastAsia="en-AU"/>
          </w:rPr>
          <w:tab/>
        </w:r>
        <w:r w:rsidRPr="00E0337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_Toc404074094 \h </w:instrText>
        </w:r>
        <w:r>
          <w:rPr>
            <w:noProof/>
            <w:webHidden/>
          </w:rPr>
        </w:r>
        <w:r>
          <w:rPr>
            <w:noProof/>
            <w:webHidden/>
          </w:rPr>
          <w:fldChar w:fldCharType="separate"/>
        </w:r>
        <w:r>
          <w:rPr>
            <w:noProof/>
            <w:webHidden/>
          </w:rPr>
          <w:t>42</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5" w:history="1">
        <w:r w:rsidRPr="00E0337B">
          <w:rPr>
            <w:rStyle w:val="Hyperlink"/>
            <w:noProof/>
          </w:rPr>
          <w:t>8.8.</w:t>
        </w:r>
        <w:r>
          <w:rPr>
            <w:rFonts w:asciiTheme="minorHAnsi" w:eastAsiaTheme="minorEastAsia" w:hAnsiTheme="minorHAnsi" w:cstheme="minorBidi"/>
            <w:noProof/>
            <w:lang w:eastAsia="en-AU"/>
          </w:rPr>
          <w:tab/>
        </w:r>
        <w:r w:rsidRPr="00E0337B">
          <w:rPr>
            <w:rStyle w:val="Hyperlink"/>
            <w:noProof/>
          </w:rPr>
          <w:t>Evaluator’s overall conclusions on clinical safety</w:t>
        </w:r>
        <w:r>
          <w:rPr>
            <w:noProof/>
            <w:webHidden/>
          </w:rPr>
          <w:tab/>
        </w:r>
        <w:r>
          <w:rPr>
            <w:noProof/>
            <w:webHidden/>
          </w:rPr>
          <w:fldChar w:fldCharType="begin"/>
        </w:r>
        <w:r>
          <w:rPr>
            <w:noProof/>
            <w:webHidden/>
          </w:rPr>
          <w:instrText xml:space="preserve"> PAGEREF _Toc404074095 \h </w:instrText>
        </w:r>
        <w:r>
          <w:rPr>
            <w:noProof/>
            <w:webHidden/>
          </w:rPr>
        </w:r>
        <w:r>
          <w:rPr>
            <w:noProof/>
            <w:webHidden/>
          </w:rPr>
          <w:fldChar w:fldCharType="separate"/>
        </w:r>
        <w:r>
          <w:rPr>
            <w:noProof/>
            <w:webHidden/>
          </w:rPr>
          <w:t>42</w:t>
        </w:r>
        <w:r>
          <w:rPr>
            <w:noProof/>
            <w:webHidden/>
          </w:rPr>
          <w:fldChar w:fldCharType="end"/>
        </w:r>
      </w:hyperlink>
    </w:p>
    <w:p w:rsidR="002217D2" w:rsidRDefault="002217D2">
      <w:pPr>
        <w:pStyle w:val="TOC2"/>
        <w:tabs>
          <w:tab w:val="left" w:pos="1100"/>
        </w:tabs>
        <w:rPr>
          <w:rFonts w:asciiTheme="minorHAnsi" w:eastAsiaTheme="minorEastAsia" w:hAnsiTheme="minorHAnsi" w:cstheme="minorBidi"/>
          <w:b w:val="0"/>
          <w:noProof/>
          <w:sz w:val="22"/>
          <w:lang w:eastAsia="en-AU"/>
        </w:rPr>
      </w:pPr>
      <w:hyperlink w:anchor="_Toc404074096" w:history="1">
        <w:r w:rsidRPr="00E0337B">
          <w:rPr>
            <w:rStyle w:val="Hyperlink"/>
            <w:noProof/>
          </w:rPr>
          <w:t>9.</w:t>
        </w:r>
        <w:r>
          <w:rPr>
            <w:rFonts w:asciiTheme="minorHAnsi" w:eastAsiaTheme="minorEastAsia" w:hAnsiTheme="minorHAnsi" w:cstheme="minorBidi"/>
            <w:b w:val="0"/>
            <w:noProof/>
            <w:sz w:val="22"/>
            <w:lang w:eastAsia="en-AU"/>
          </w:rPr>
          <w:tab/>
        </w:r>
        <w:r w:rsidRPr="00E0337B">
          <w:rPr>
            <w:rStyle w:val="Hyperlink"/>
            <w:noProof/>
          </w:rPr>
          <w:t>First round benefit-risk assessment</w:t>
        </w:r>
        <w:r>
          <w:rPr>
            <w:noProof/>
            <w:webHidden/>
          </w:rPr>
          <w:tab/>
        </w:r>
        <w:r>
          <w:rPr>
            <w:noProof/>
            <w:webHidden/>
          </w:rPr>
          <w:fldChar w:fldCharType="begin"/>
        </w:r>
        <w:r>
          <w:rPr>
            <w:noProof/>
            <w:webHidden/>
          </w:rPr>
          <w:instrText xml:space="preserve"> PAGEREF _Toc404074096 \h </w:instrText>
        </w:r>
        <w:r>
          <w:rPr>
            <w:noProof/>
            <w:webHidden/>
          </w:rPr>
        </w:r>
        <w:r>
          <w:rPr>
            <w:noProof/>
            <w:webHidden/>
          </w:rPr>
          <w:fldChar w:fldCharType="separate"/>
        </w:r>
        <w:r>
          <w:rPr>
            <w:noProof/>
            <w:webHidden/>
          </w:rPr>
          <w:t>42</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7" w:history="1">
        <w:r w:rsidRPr="00E0337B">
          <w:rPr>
            <w:rStyle w:val="Hyperlink"/>
            <w:noProof/>
          </w:rPr>
          <w:t>9.1.</w:t>
        </w:r>
        <w:r>
          <w:rPr>
            <w:rFonts w:asciiTheme="minorHAnsi" w:eastAsiaTheme="minorEastAsia" w:hAnsiTheme="minorHAnsi" w:cstheme="minorBidi"/>
            <w:noProof/>
            <w:lang w:eastAsia="en-AU"/>
          </w:rPr>
          <w:tab/>
        </w:r>
        <w:r w:rsidRPr="00E0337B">
          <w:rPr>
            <w:rStyle w:val="Hyperlink"/>
            <w:noProof/>
          </w:rPr>
          <w:t>First round assessment of benefits</w:t>
        </w:r>
        <w:r>
          <w:rPr>
            <w:noProof/>
            <w:webHidden/>
          </w:rPr>
          <w:tab/>
        </w:r>
        <w:r>
          <w:rPr>
            <w:noProof/>
            <w:webHidden/>
          </w:rPr>
          <w:fldChar w:fldCharType="begin"/>
        </w:r>
        <w:r>
          <w:rPr>
            <w:noProof/>
            <w:webHidden/>
          </w:rPr>
          <w:instrText xml:space="preserve"> PAGEREF _Toc404074097 \h </w:instrText>
        </w:r>
        <w:r>
          <w:rPr>
            <w:noProof/>
            <w:webHidden/>
          </w:rPr>
        </w:r>
        <w:r>
          <w:rPr>
            <w:noProof/>
            <w:webHidden/>
          </w:rPr>
          <w:fldChar w:fldCharType="separate"/>
        </w:r>
        <w:r>
          <w:rPr>
            <w:noProof/>
            <w:webHidden/>
          </w:rPr>
          <w:t>42</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8" w:history="1">
        <w:r w:rsidRPr="00E0337B">
          <w:rPr>
            <w:rStyle w:val="Hyperlink"/>
            <w:noProof/>
          </w:rPr>
          <w:t>9.2.</w:t>
        </w:r>
        <w:r>
          <w:rPr>
            <w:rFonts w:asciiTheme="minorHAnsi" w:eastAsiaTheme="minorEastAsia" w:hAnsiTheme="minorHAnsi" w:cstheme="minorBidi"/>
            <w:noProof/>
            <w:lang w:eastAsia="en-AU"/>
          </w:rPr>
          <w:tab/>
        </w:r>
        <w:r w:rsidRPr="00E0337B">
          <w:rPr>
            <w:rStyle w:val="Hyperlink"/>
            <w:noProof/>
          </w:rPr>
          <w:t>First round assessment of risks</w:t>
        </w:r>
        <w:r>
          <w:rPr>
            <w:noProof/>
            <w:webHidden/>
          </w:rPr>
          <w:tab/>
        </w:r>
        <w:r>
          <w:rPr>
            <w:noProof/>
            <w:webHidden/>
          </w:rPr>
          <w:fldChar w:fldCharType="begin"/>
        </w:r>
        <w:r>
          <w:rPr>
            <w:noProof/>
            <w:webHidden/>
          </w:rPr>
          <w:instrText xml:space="preserve"> PAGEREF _Toc404074098 \h </w:instrText>
        </w:r>
        <w:r>
          <w:rPr>
            <w:noProof/>
            <w:webHidden/>
          </w:rPr>
        </w:r>
        <w:r>
          <w:rPr>
            <w:noProof/>
            <w:webHidden/>
          </w:rPr>
          <w:fldChar w:fldCharType="separate"/>
        </w:r>
        <w:r>
          <w:rPr>
            <w:noProof/>
            <w:webHidden/>
          </w:rPr>
          <w:t>43</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099" w:history="1">
        <w:r w:rsidRPr="00E0337B">
          <w:rPr>
            <w:rStyle w:val="Hyperlink"/>
            <w:noProof/>
          </w:rPr>
          <w:t>9.3.</w:t>
        </w:r>
        <w:r>
          <w:rPr>
            <w:rFonts w:asciiTheme="minorHAnsi" w:eastAsiaTheme="minorEastAsia" w:hAnsiTheme="minorHAnsi" w:cstheme="minorBidi"/>
            <w:noProof/>
            <w:lang w:eastAsia="en-AU"/>
          </w:rPr>
          <w:tab/>
        </w:r>
        <w:r w:rsidRPr="00E0337B">
          <w:rPr>
            <w:rStyle w:val="Hyperlink"/>
            <w:noProof/>
          </w:rPr>
          <w:t>First round assessment of benefit-risk balance</w:t>
        </w:r>
        <w:r>
          <w:rPr>
            <w:noProof/>
            <w:webHidden/>
          </w:rPr>
          <w:tab/>
        </w:r>
        <w:r>
          <w:rPr>
            <w:noProof/>
            <w:webHidden/>
          </w:rPr>
          <w:fldChar w:fldCharType="begin"/>
        </w:r>
        <w:r>
          <w:rPr>
            <w:noProof/>
            <w:webHidden/>
          </w:rPr>
          <w:instrText xml:space="preserve"> PAGEREF _Toc404074099 \h </w:instrText>
        </w:r>
        <w:r>
          <w:rPr>
            <w:noProof/>
            <w:webHidden/>
          </w:rPr>
        </w:r>
        <w:r>
          <w:rPr>
            <w:noProof/>
            <w:webHidden/>
          </w:rPr>
          <w:fldChar w:fldCharType="separate"/>
        </w:r>
        <w:r>
          <w:rPr>
            <w:noProof/>
            <w:webHidden/>
          </w:rPr>
          <w:t>43</w:t>
        </w:r>
        <w:r>
          <w:rPr>
            <w:noProof/>
            <w:webHidden/>
          </w:rPr>
          <w:fldChar w:fldCharType="end"/>
        </w:r>
      </w:hyperlink>
    </w:p>
    <w:p w:rsidR="002217D2" w:rsidRDefault="002217D2">
      <w:pPr>
        <w:pStyle w:val="TOC2"/>
        <w:tabs>
          <w:tab w:val="left" w:pos="1320"/>
        </w:tabs>
        <w:rPr>
          <w:rFonts w:asciiTheme="minorHAnsi" w:eastAsiaTheme="minorEastAsia" w:hAnsiTheme="minorHAnsi" w:cstheme="minorBidi"/>
          <w:b w:val="0"/>
          <w:noProof/>
          <w:sz w:val="22"/>
          <w:lang w:eastAsia="en-AU"/>
        </w:rPr>
      </w:pPr>
      <w:hyperlink w:anchor="_Toc404074100" w:history="1">
        <w:r w:rsidRPr="00E0337B">
          <w:rPr>
            <w:rStyle w:val="Hyperlink"/>
            <w:noProof/>
          </w:rPr>
          <w:t>10.</w:t>
        </w:r>
        <w:r>
          <w:rPr>
            <w:rFonts w:asciiTheme="minorHAnsi" w:eastAsiaTheme="minorEastAsia" w:hAnsiTheme="minorHAnsi" w:cstheme="minorBidi"/>
            <w:b w:val="0"/>
            <w:noProof/>
            <w:sz w:val="22"/>
            <w:lang w:eastAsia="en-AU"/>
          </w:rPr>
          <w:tab/>
        </w:r>
        <w:r w:rsidRPr="00E0337B">
          <w:rPr>
            <w:rStyle w:val="Hyperlink"/>
            <w:noProof/>
          </w:rPr>
          <w:t>First round recommendation regarding authorisation</w:t>
        </w:r>
        <w:r>
          <w:rPr>
            <w:noProof/>
            <w:webHidden/>
          </w:rPr>
          <w:tab/>
        </w:r>
        <w:r>
          <w:rPr>
            <w:noProof/>
            <w:webHidden/>
          </w:rPr>
          <w:fldChar w:fldCharType="begin"/>
        </w:r>
        <w:r>
          <w:rPr>
            <w:noProof/>
            <w:webHidden/>
          </w:rPr>
          <w:instrText xml:space="preserve"> PAGEREF _Toc404074100 \h </w:instrText>
        </w:r>
        <w:r>
          <w:rPr>
            <w:noProof/>
            <w:webHidden/>
          </w:rPr>
        </w:r>
        <w:r>
          <w:rPr>
            <w:noProof/>
            <w:webHidden/>
          </w:rPr>
          <w:fldChar w:fldCharType="separate"/>
        </w:r>
        <w:r>
          <w:rPr>
            <w:noProof/>
            <w:webHidden/>
          </w:rPr>
          <w:t>43</w:t>
        </w:r>
        <w:r>
          <w:rPr>
            <w:noProof/>
            <w:webHidden/>
          </w:rPr>
          <w:fldChar w:fldCharType="end"/>
        </w:r>
      </w:hyperlink>
    </w:p>
    <w:p w:rsidR="002217D2" w:rsidRDefault="002217D2">
      <w:pPr>
        <w:pStyle w:val="TOC2"/>
        <w:tabs>
          <w:tab w:val="left" w:pos="1320"/>
        </w:tabs>
        <w:rPr>
          <w:rFonts w:asciiTheme="minorHAnsi" w:eastAsiaTheme="minorEastAsia" w:hAnsiTheme="minorHAnsi" w:cstheme="minorBidi"/>
          <w:b w:val="0"/>
          <w:noProof/>
          <w:sz w:val="22"/>
          <w:lang w:eastAsia="en-AU"/>
        </w:rPr>
      </w:pPr>
      <w:hyperlink w:anchor="_Toc404074101" w:history="1">
        <w:r w:rsidRPr="00E0337B">
          <w:rPr>
            <w:rStyle w:val="Hyperlink"/>
            <w:noProof/>
          </w:rPr>
          <w:t>11.</w:t>
        </w:r>
        <w:r>
          <w:rPr>
            <w:rFonts w:asciiTheme="minorHAnsi" w:eastAsiaTheme="minorEastAsia" w:hAnsiTheme="minorHAnsi" w:cstheme="minorBidi"/>
            <w:b w:val="0"/>
            <w:noProof/>
            <w:sz w:val="22"/>
            <w:lang w:eastAsia="en-AU"/>
          </w:rPr>
          <w:tab/>
        </w:r>
        <w:r w:rsidRPr="00E0337B">
          <w:rPr>
            <w:rStyle w:val="Hyperlink"/>
            <w:noProof/>
          </w:rPr>
          <w:t>Clinical questions</w:t>
        </w:r>
        <w:r>
          <w:rPr>
            <w:noProof/>
            <w:webHidden/>
          </w:rPr>
          <w:tab/>
        </w:r>
        <w:r>
          <w:rPr>
            <w:noProof/>
            <w:webHidden/>
          </w:rPr>
          <w:fldChar w:fldCharType="begin"/>
        </w:r>
        <w:r>
          <w:rPr>
            <w:noProof/>
            <w:webHidden/>
          </w:rPr>
          <w:instrText xml:space="preserve"> PAGEREF _Toc404074101 \h </w:instrText>
        </w:r>
        <w:r>
          <w:rPr>
            <w:noProof/>
            <w:webHidden/>
          </w:rPr>
        </w:r>
        <w:r>
          <w:rPr>
            <w:noProof/>
            <w:webHidden/>
          </w:rPr>
          <w:fldChar w:fldCharType="separate"/>
        </w:r>
        <w:r>
          <w:rPr>
            <w:noProof/>
            <w:webHidden/>
          </w:rPr>
          <w:t>43</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102" w:history="1">
        <w:r w:rsidRPr="00E0337B">
          <w:rPr>
            <w:rStyle w:val="Hyperlink"/>
            <w:noProof/>
          </w:rPr>
          <w:t>11.1.</w:t>
        </w:r>
        <w:r>
          <w:rPr>
            <w:rFonts w:asciiTheme="minorHAnsi" w:eastAsiaTheme="minorEastAsia" w:hAnsiTheme="minorHAnsi" w:cstheme="minorBidi"/>
            <w:noProof/>
            <w:lang w:eastAsia="en-AU"/>
          </w:rPr>
          <w:tab/>
        </w:r>
        <w:r w:rsidRPr="00E0337B">
          <w:rPr>
            <w:rStyle w:val="Hyperlink"/>
            <w:noProof/>
          </w:rPr>
          <w:t>General</w:t>
        </w:r>
        <w:r>
          <w:rPr>
            <w:noProof/>
            <w:webHidden/>
          </w:rPr>
          <w:tab/>
        </w:r>
        <w:r>
          <w:rPr>
            <w:noProof/>
            <w:webHidden/>
          </w:rPr>
          <w:fldChar w:fldCharType="begin"/>
        </w:r>
        <w:r>
          <w:rPr>
            <w:noProof/>
            <w:webHidden/>
          </w:rPr>
          <w:instrText xml:space="preserve"> PAGEREF _Toc404074102 \h </w:instrText>
        </w:r>
        <w:r>
          <w:rPr>
            <w:noProof/>
            <w:webHidden/>
          </w:rPr>
        </w:r>
        <w:r>
          <w:rPr>
            <w:noProof/>
            <w:webHidden/>
          </w:rPr>
          <w:fldChar w:fldCharType="separate"/>
        </w:r>
        <w:r>
          <w:rPr>
            <w:noProof/>
            <w:webHidden/>
          </w:rPr>
          <w:t>43</w:t>
        </w:r>
        <w:r>
          <w:rPr>
            <w:noProof/>
            <w:webHidden/>
          </w:rPr>
          <w:fldChar w:fldCharType="end"/>
        </w:r>
      </w:hyperlink>
    </w:p>
    <w:p w:rsidR="002217D2" w:rsidRDefault="002217D2">
      <w:pPr>
        <w:pStyle w:val="TOC3"/>
        <w:tabs>
          <w:tab w:val="left" w:pos="1760"/>
        </w:tabs>
        <w:rPr>
          <w:rFonts w:asciiTheme="minorHAnsi" w:eastAsiaTheme="minorEastAsia" w:hAnsiTheme="minorHAnsi" w:cstheme="minorBidi"/>
          <w:noProof/>
          <w:lang w:eastAsia="en-AU"/>
        </w:rPr>
      </w:pPr>
      <w:hyperlink w:anchor="_Toc404074103" w:history="1">
        <w:r w:rsidRPr="00E0337B">
          <w:rPr>
            <w:rStyle w:val="Hyperlink"/>
            <w:noProof/>
          </w:rPr>
          <w:t>11.2.</w:t>
        </w:r>
        <w:r>
          <w:rPr>
            <w:rFonts w:asciiTheme="minorHAnsi" w:eastAsiaTheme="minorEastAsia" w:hAnsiTheme="minorHAnsi" w:cstheme="minorBidi"/>
            <w:noProof/>
            <w:lang w:eastAsia="en-AU"/>
          </w:rPr>
          <w:tab/>
        </w:r>
        <w:r w:rsidRPr="00E0337B">
          <w:rPr>
            <w:rStyle w:val="Hyperlink"/>
            <w:noProof/>
          </w:rPr>
          <w:t>Safety</w:t>
        </w:r>
        <w:r>
          <w:rPr>
            <w:noProof/>
            <w:webHidden/>
          </w:rPr>
          <w:tab/>
        </w:r>
        <w:r>
          <w:rPr>
            <w:noProof/>
            <w:webHidden/>
          </w:rPr>
          <w:fldChar w:fldCharType="begin"/>
        </w:r>
        <w:r>
          <w:rPr>
            <w:noProof/>
            <w:webHidden/>
          </w:rPr>
          <w:instrText xml:space="preserve"> PAGEREF _Toc404074103 \h </w:instrText>
        </w:r>
        <w:r>
          <w:rPr>
            <w:noProof/>
            <w:webHidden/>
          </w:rPr>
        </w:r>
        <w:r>
          <w:rPr>
            <w:noProof/>
            <w:webHidden/>
          </w:rPr>
          <w:fldChar w:fldCharType="separate"/>
        </w:r>
        <w:r>
          <w:rPr>
            <w:noProof/>
            <w:webHidden/>
          </w:rPr>
          <w:t>43</w:t>
        </w:r>
        <w:r>
          <w:rPr>
            <w:noProof/>
            <w:webHidden/>
          </w:rPr>
          <w:fldChar w:fldCharType="end"/>
        </w:r>
      </w:hyperlink>
    </w:p>
    <w:p w:rsidR="002217D2" w:rsidRDefault="002217D2">
      <w:pPr>
        <w:pStyle w:val="TOC2"/>
        <w:tabs>
          <w:tab w:val="left" w:pos="1320"/>
        </w:tabs>
        <w:rPr>
          <w:rFonts w:asciiTheme="minorHAnsi" w:eastAsiaTheme="minorEastAsia" w:hAnsiTheme="minorHAnsi" w:cstheme="minorBidi"/>
          <w:b w:val="0"/>
          <w:noProof/>
          <w:sz w:val="22"/>
          <w:lang w:eastAsia="en-AU"/>
        </w:rPr>
      </w:pPr>
      <w:hyperlink w:anchor="_Toc404074104" w:history="1">
        <w:r w:rsidRPr="00E0337B">
          <w:rPr>
            <w:rStyle w:val="Hyperlink"/>
            <w:noProof/>
          </w:rPr>
          <w:t>12.</w:t>
        </w:r>
        <w:r>
          <w:rPr>
            <w:rFonts w:asciiTheme="minorHAnsi" w:eastAsiaTheme="minorEastAsia" w:hAnsiTheme="minorHAnsi" w:cstheme="minorBidi"/>
            <w:b w:val="0"/>
            <w:noProof/>
            <w:sz w:val="22"/>
            <w:lang w:eastAsia="en-AU"/>
          </w:rPr>
          <w:tab/>
        </w:r>
        <w:r w:rsidRPr="00E0337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_Toc404074104 \h </w:instrText>
        </w:r>
        <w:r>
          <w:rPr>
            <w:noProof/>
            <w:webHidden/>
          </w:rPr>
        </w:r>
        <w:r>
          <w:rPr>
            <w:noProof/>
            <w:webHidden/>
          </w:rPr>
          <w:fldChar w:fldCharType="separate"/>
        </w:r>
        <w:r>
          <w:rPr>
            <w:noProof/>
            <w:webHidden/>
          </w:rPr>
          <w:t>44</w:t>
        </w:r>
        <w:r>
          <w:rPr>
            <w:noProof/>
            <w:webHidden/>
          </w:rPr>
          <w:fldChar w:fldCharType="end"/>
        </w:r>
      </w:hyperlink>
    </w:p>
    <w:p w:rsidR="002217D2" w:rsidRDefault="002217D2">
      <w:pPr>
        <w:pStyle w:val="TOC2"/>
        <w:tabs>
          <w:tab w:val="left" w:pos="1320"/>
        </w:tabs>
        <w:rPr>
          <w:rFonts w:asciiTheme="minorHAnsi" w:eastAsiaTheme="minorEastAsia" w:hAnsiTheme="minorHAnsi" w:cstheme="minorBidi"/>
          <w:b w:val="0"/>
          <w:noProof/>
          <w:sz w:val="22"/>
          <w:lang w:eastAsia="en-AU"/>
        </w:rPr>
      </w:pPr>
      <w:hyperlink w:anchor="_Toc404074105" w:history="1">
        <w:r w:rsidRPr="00E0337B">
          <w:rPr>
            <w:rStyle w:val="Hyperlink"/>
            <w:noProof/>
          </w:rPr>
          <w:t>13.</w:t>
        </w:r>
        <w:r>
          <w:rPr>
            <w:rFonts w:asciiTheme="minorHAnsi" w:eastAsiaTheme="minorEastAsia" w:hAnsiTheme="minorHAnsi" w:cstheme="minorBidi"/>
            <w:b w:val="0"/>
            <w:noProof/>
            <w:sz w:val="22"/>
            <w:lang w:eastAsia="en-AU"/>
          </w:rPr>
          <w:tab/>
        </w:r>
        <w:r w:rsidRPr="00E0337B">
          <w:rPr>
            <w:rStyle w:val="Hyperlink"/>
            <w:noProof/>
          </w:rPr>
          <w:t>Second round benefit-risk assessment</w:t>
        </w:r>
        <w:r>
          <w:rPr>
            <w:noProof/>
            <w:webHidden/>
          </w:rPr>
          <w:tab/>
        </w:r>
        <w:r>
          <w:rPr>
            <w:noProof/>
            <w:webHidden/>
          </w:rPr>
          <w:fldChar w:fldCharType="begin"/>
        </w:r>
        <w:r>
          <w:rPr>
            <w:noProof/>
            <w:webHidden/>
          </w:rPr>
          <w:instrText xml:space="preserve"> PAGEREF _Toc404074105 \h </w:instrText>
        </w:r>
        <w:r>
          <w:rPr>
            <w:noProof/>
            <w:webHidden/>
          </w:rPr>
        </w:r>
        <w:r>
          <w:rPr>
            <w:noProof/>
            <w:webHidden/>
          </w:rPr>
          <w:fldChar w:fldCharType="separate"/>
        </w:r>
        <w:r>
          <w:rPr>
            <w:noProof/>
            <w:webHidden/>
          </w:rPr>
          <w:t>44</w:t>
        </w:r>
        <w:r>
          <w:rPr>
            <w:noProof/>
            <w:webHidden/>
          </w:rPr>
          <w:fldChar w:fldCharType="end"/>
        </w:r>
      </w:hyperlink>
    </w:p>
    <w:p w:rsidR="002217D2" w:rsidRDefault="002217D2">
      <w:pPr>
        <w:pStyle w:val="TOC2"/>
        <w:tabs>
          <w:tab w:val="left" w:pos="1320"/>
        </w:tabs>
        <w:rPr>
          <w:rFonts w:asciiTheme="minorHAnsi" w:eastAsiaTheme="minorEastAsia" w:hAnsiTheme="minorHAnsi" w:cstheme="minorBidi"/>
          <w:b w:val="0"/>
          <w:noProof/>
          <w:sz w:val="22"/>
          <w:lang w:eastAsia="en-AU"/>
        </w:rPr>
      </w:pPr>
      <w:hyperlink w:anchor="_Toc404074106" w:history="1">
        <w:r w:rsidRPr="00E0337B">
          <w:rPr>
            <w:rStyle w:val="Hyperlink"/>
            <w:noProof/>
          </w:rPr>
          <w:t>14.</w:t>
        </w:r>
        <w:r>
          <w:rPr>
            <w:rFonts w:asciiTheme="minorHAnsi" w:eastAsiaTheme="minorEastAsia" w:hAnsiTheme="minorHAnsi" w:cstheme="minorBidi"/>
            <w:b w:val="0"/>
            <w:noProof/>
            <w:sz w:val="22"/>
            <w:lang w:eastAsia="en-AU"/>
          </w:rPr>
          <w:tab/>
        </w:r>
        <w:r w:rsidRPr="00E0337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_Toc404074106 \h </w:instrText>
        </w:r>
        <w:r>
          <w:rPr>
            <w:noProof/>
            <w:webHidden/>
          </w:rPr>
        </w:r>
        <w:r>
          <w:rPr>
            <w:noProof/>
            <w:webHidden/>
          </w:rPr>
          <w:fldChar w:fldCharType="separate"/>
        </w:r>
        <w:r>
          <w:rPr>
            <w:noProof/>
            <w:webHidden/>
          </w:rPr>
          <w:t>44</w:t>
        </w:r>
        <w:r>
          <w:rPr>
            <w:noProof/>
            <w:webHidden/>
          </w:rPr>
          <w:fldChar w:fldCharType="end"/>
        </w:r>
      </w:hyperlink>
    </w:p>
    <w:p w:rsidR="003A7F6C" w:rsidRPr="00B811C6" w:rsidRDefault="002217D2" w:rsidP="002217D2">
      <w:pPr>
        <w:pStyle w:val="TOC2"/>
        <w:tabs>
          <w:tab w:val="left" w:pos="1320"/>
        </w:tabs>
      </w:pPr>
      <w:hyperlink w:anchor="_Toc404074107" w:history="1">
        <w:r w:rsidRPr="00E0337B">
          <w:rPr>
            <w:rStyle w:val="Hyperlink"/>
            <w:noProof/>
          </w:rPr>
          <w:t>15.</w:t>
        </w:r>
        <w:r>
          <w:rPr>
            <w:rFonts w:asciiTheme="minorHAnsi" w:eastAsiaTheme="minorEastAsia" w:hAnsiTheme="minorHAnsi" w:cstheme="minorBidi"/>
            <w:b w:val="0"/>
            <w:noProof/>
            <w:sz w:val="22"/>
            <w:lang w:eastAsia="en-AU"/>
          </w:rPr>
          <w:tab/>
        </w:r>
        <w:r w:rsidRPr="00E0337B">
          <w:rPr>
            <w:rStyle w:val="Hyperlink"/>
            <w:noProof/>
          </w:rPr>
          <w:t>References</w:t>
        </w:r>
        <w:r>
          <w:rPr>
            <w:noProof/>
            <w:webHidden/>
          </w:rPr>
          <w:tab/>
        </w:r>
        <w:r>
          <w:rPr>
            <w:noProof/>
            <w:webHidden/>
          </w:rPr>
          <w:fldChar w:fldCharType="begin"/>
        </w:r>
        <w:r>
          <w:rPr>
            <w:noProof/>
            <w:webHidden/>
          </w:rPr>
          <w:instrText xml:space="preserve"> PAGEREF _Toc404074107 \h </w:instrText>
        </w:r>
        <w:r>
          <w:rPr>
            <w:noProof/>
            <w:webHidden/>
          </w:rPr>
        </w:r>
        <w:r>
          <w:rPr>
            <w:noProof/>
            <w:webHidden/>
          </w:rPr>
          <w:fldChar w:fldCharType="separate"/>
        </w:r>
        <w:r>
          <w:rPr>
            <w:noProof/>
            <w:webHidden/>
          </w:rPr>
          <w:t>44</w:t>
        </w:r>
        <w:r>
          <w:rPr>
            <w:noProof/>
            <w:webHidden/>
          </w:rPr>
          <w:fldChar w:fldCharType="end"/>
        </w:r>
      </w:hyperlink>
      <w:r w:rsidR="004924E0">
        <w:fldChar w:fldCharType="end"/>
      </w:r>
      <w:bookmarkStart w:id="2" w:name="_Toc314842482"/>
      <w:bookmarkStart w:id="3" w:name="_GoBack"/>
      <w:bookmarkEnd w:id="3"/>
    </w:p>
    <w:p w:rsidR="00586F98" w:rsidRDefault="00A206FB" w:rsidP="000B2F23">
      <w:pPr>
        <w:pStyle w:val="Heading2"/>
        <w:numPr>
          <w:ilvl w:val="0"/>
          <w:numId w:val="0"/>
        </w:numPr>
        <w:ind w:left="567" w:hanging="567"/>
      </w:pPr>
      <w:bookmarkStart w:id="4" w:name="_Toc351716269"/>
      <w:bookmarkStart w:id="5" w:name="_Toc351718881"/>
      <w:bookmarkStart w:id="6" w:name="_Toc355338616"/>
      <w:r>
        <w:br w:type="page"/>
      </w:r>
      <w:bookmarkStart w:id="7" w:name="_Toc404074068"/>
      <w:r w:rsidR="00586F98">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0B2F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534E7C" w:rsidRDefault="00586F98" w:rsidP="000B2F23">
            <w:pPr>
              <w:ind w:left="0" w:right="0"/>
              <w:rPr>
                <w:b w:val="0"/>
                <w:lang w:eastAsia="en-AU"/>
              </w:rPr>
            </w:pPr>
            <w:r w:rsidRPr="00534E7C">
              <w:rPr>
                <w:lang w:eastAsia="en-AU"/>
              </w:rPr>
              <w:t>Abbreviation</w:t>
            </w:r>
          </w:p>
        </w:tc>
        <w:tc>
          <w:tcPr>
            <w:tcW w:w="6911" w:type="dxa"/>
          </w:tcPr>
          <w:p w:rsidR="00586F98" w:rsidRPr="00534E7C" w:rsidRDefault="00586F98" w:rsidP="000B2F23">
            <w:pPr>
              <w:ind w:left="0" w:right="0"/>
              <w:cnfStyle w:val="100000000000" w:firstRow="1" w:lastRow="0" w:firstColumn="0" w:lastColumn="0" w:oddVBand="0" w:evenVBand="0" w:oddHBand="0" w:evenHBand="0" w:firstRowFirstColumn="0" w:firstRowLastColumn="0" w:lastRowFirstColumn="0" w:lastRowLastColumn="0"/>
              <w:rPr>
                <w:b w:val="0"/>
                <w:lang w:eastAsia="en-AU"/>
              </w:rPr>
            </w:pPr>
            <w:r w:rsidRPr="00534E7C">
              <w:rPr>
                <w:lang w:eastAsia="en-AU"/>
              </w:rPr>
              <w:t>Meaning</w:t>
            </w:r>
          </w:p>
        </w:tc>
      </w:tr>
      <w:tr w:rsidR="00586F98" w:rsidTr="000B2F23">
        <w:tc>
          <w:tcPr>
            <w:cnfStyle w:val="001000000000" w:firstRow="0" w:lastRow="0" w:firstColumn="1" w:lastColumn="0" w:oddVBand="0" w:evenVBand="0" w:oddHBand="0" w:evenHBand="0" w:firstRowFirstColumn="0" w:firstRowLastColumn="0" w:lastRowFirstColumn="0" w:lastRowLastColumn="0"/>
            <w:tcW w:w="1890" w:type="dxa"/>
          </w:tcPr>
          <w:p w:rsidR="00586F98" w:rsidRPr="007D38C5" w:rsidRDefault="00A21085" w:rsidP="000B2F23">
            <w:pPr>
              <w:ind w:left="0" w:right="0"/>
            </w:pPr>
            <w:r>
              <w:t>AE</w:t>
            </w:r>
          </w:p>
        </w:tc>
        <w:tc>
          <w:tcPr>
            <w:tcW w:w="6911" w:type="dxa"/>
          </w:tcPr>
          <w:p w:rsidR="00586F98"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Adverse Event</w:t>
            </w:r>
          </w:p>
        </w:tc>
      </w:tr>
      <w:tr w:rsidR="00586F98" w:rsidRPr="00A21085" w:rsidTr="000B2F23">
        <w:tc>
          <w:tcPr>
            <w:cnfStyle w:val="001000000000" w:firstRow="0" w:lastRow="0" w:firstColumn="1" w:lastColumn="0" w:oddVBand="0" w:evenVBand="0" w:oddHBand="0" w:evenHBand="0" w:firstRowFirstColumn="0" w:firstRowLastColumn="0" w:lastRowFirstColumn="0" w:lastRowLastColumn="0"/>
            <w:tcW w:w="1890" w:type="dxa"/>
          </w:tcPr>
          <w:p w:rsidR="00586F98" w:rsidRPr="00A21085" w:rsidRDefault="00A21085" w:rsidP="000B2F23">
            <w:pPr>
              <w:ind w:left="0" w:right="0"/>
            </w:pPr>
            <w:r w:rsidRPr="00A21085">
              <w:t>ALT</w:t>
            </w:r>
          </w:p>
        </w:tc>
        <w:tc>
          <w:tcPr>
            <w:tcW w:w="6911" w:type="dxa"/>
          </w:tcPr>
          <w:p w:rsidR="00396C92" w:rsidRPr="00A21085" w:rsidRDefault="00A21085" w:rsidP="000B2F23">
            <w:pPr>
              <w:ind w:left="0" w:right="0"/>
              <w:cnfStyle w:val="000000000000" w:firstRow="0" w:lastRow="0" w:firstColumn="0" w:lastColumn="0" w:oddVBand="0" w:evenVBand="0" w:oddHBand="0" w:evenHBand="0" w:firstRowFirstColumn="0" w:firstRowLastColumn="0" w:lastRowFirstColumn="0" w:lastRowLastColumn="0"/>
            </w:pPr>
            <w:r w:rsidRPr="00A21085">
              <w:t>Alanine Transaminase</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proofErr w:type="spellStart"/>
            <w:r>
              <w:t>aPPT</w:t>
            </w:r>
            <w:proofErr w:type="spellEnd"/>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 xml:space="preserve">Activated Partial </w:t>
            </w:r>
            <w:proofErr w:type="spellStart"/>
            <w:r>
              <w:t>Thromboplastin</w:t>
            </w:r>
            <w:proofErr w:type="spellEnd"/>
            <w:r>
              <w:t xml:space="preserve"> Time</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AST</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Aspartate Transaminase</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ARTG</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Australia</w:t>
            </w:r>
            <w:r w:rsidR="007D38C5">
              <w:t>n Register of Therapeutic Goods</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AUC</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Area Under the Concentration vs. Time Curve</w:t>
            </w:r>
          </w:p>
        </w:tc>
      </w:tr>
      <w:tr w:rsidR="00B65561" w:rsidTr="000B2F23">
        <w:tc>
          <w:tcPr>
            <w:cnfStyle w:val="001000000000" w:firstRow="0" w:lastRow="0" w:firstColumn="1" w:lastColumn="0" w:oddVBand="0" w:evenVBand="0" w:oddHBand="0" w:evenHBand="0" w:firstRowFirstColumn="0" w:firstRowLastColumn="0" w:lastRowFirstColumn="0" w:lastRowLastColumn="0"/>
            <w:tcW w:w="1890" w:type="dxa"/>
          </w:tcPr>
          <w:p w:rsidR="00B65561" w:rsidRDefault="00B65561" w:rsidP="000B2F23">
            <w:pPr>
              <w:ind w:left="0" w:right="0"/>
            </w:pPr>
            <w:r>
              <w:t>BP</w:t>
            </w:r>
          </w:p>
        </w:tc>
        <w:tc>
          <w:tcPr>
            <w:tcW w:w="6911" w:type="dxa"/>
          </w:tcPr>
          <w:p w:rsidR="00B65561" w:rsidRDefault="00B65561" w:rsidP="000B2F23">
            <w:pPr>
              <w:ind w:left="0" w:right="0"/>
              <w:cnfStyle w:val="000000000000" w:firstRow="0" w:lastRow="0" w:firstColumn="0" w:lastColumn="0" w:oddVBand="0" w:evenVBand="0" w:oddHBand="0" w:evenHBand="0" w:firstRowFirstColumn="0" w:firstRowLastColumn="0" w:lastRowFirstColumn="0" w:lastRowLastColumn="0"/>
            </w:pPr>
            <w:r>
              <w:t>Blood Pressure</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BUN</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Blood Urea Nitrogen</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Cmax</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Maximum Concentration</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ECG</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Electrocardiogra</w:t>
            </w:r>
            <w:r w:rsidR="00270BF1">
              <w:t>m</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ECLA</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proofErr w:type="spellStart"/>
            <w:r>
              <w:t>Electrochemiluminescence</w:t>
            </w:r>
            <w:proofErr w:type="spellEnd"/>
            <w:r>
              <w:t>-based bridging ELISA</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ELISA</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 xml:space="preserve">Enzyme-linked </w:t>
            </w:r>
            <w:proofErr w:type="spellStart"/>
            <w:r>
              <w:t>immunosorbent</w:t>
            </w:r>
            <w:proofErr w:type="spellEnd"/>
            <w:r>
              <w:t xml:space="preserve"> assay</w:t>
            </w:r>
          </w:p>
        </w:tc>
      </w:tr>
      <w:tr w:rsidR="00017AC2" w:rsidTr="000B2F23">
        <w:tc>
          <w:tcPr>
            <w:cnfStyle w:val="001000000000" w:firstRow="0" w:lastRow="0" w:firstColumn="1" w:lastColumn="0" w:oddVBand="0" w:evenVBand="0" w:oddHBand="0" w:evenHBand="0" w:firstRowFirstColumn="0" w:firstRowLastColumn="0" w:lastRowFirstColumn="0" w:lastRowLastColumn="0"/>
            <w:tcW w:w="1890" w:type="dxa"/>
          </w:tcPr>
          <w:p w:rsidR="00017AC2" w:rsidRDefault="00017AC2" w:rsidP="000B2F23">
            <w:pPr>
              <w:ind w:left="0" w:right="0"/>
            </w:pPr>
            <w:r>
              <w:t>EDs</w:t>
            </w:r>
          </w:p>
        </w:tc>
        <w:tc>
          <w:tcPr>
            <w:tcW w:w="6911" w:type="dxa"/>
          </w:tcPr>
          <w:p w:rsidR="00017AC2" w:rsidRDefault="00017AC2" w:rsidP="000B2F23">
            <w:pPr>
              <w:ind w:left="0" w:right="0"/>
              <w:cnfStyle w:val="000000000000" w:firstRow="0" w:lastRow="0" w:firstColumn="0" w:lastColumn="0" w:oddVBand="0" w:evenVBand="0" w:oddHBand="0" w:evenHBand="0" w:firstRowFirstColumn="0" w:firstRowLastColumn="0" w:lastRowFirstColumn="0" w:lastRowLastColumn="0"/>
            </w:pPr>
            <w:r>
              <w:t>Exposure Days</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EMA</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European Medicines Agency</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FIX</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Factor IX</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proofErr w:type="spellStart"/>
            <w:r>
              <w:t>FIXFc</w:t>
            </w:r>
            <w:proofErr w:type="spellEnd"/>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Eftrenonacog alfa</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FDA</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Food and Drug Administration</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ICH</w:t>
            </w:r>
          </w:p>
        </w:tc>
        <w:tc>
          <w:tcPr>
            <w:tcW w:w="6911" w:type="dxa"/>
          </w:tcPr>
          <w:p w:rsidR="00A21085" w:rsidRPr="007D38C5" w:rsidRDefault="00217B82" w:rsidP="000B2F23">
            <w:pPr>
              <w:ind w:left="0" w:right="0"/>
              <w:cnfStyle w:val="000000000000" w:firstRow="0" w:lastRow="0" w:firstColumn="0" w:lastColumn="0" w:oddVBand="0" w:evenVBand="0" w:oddHBand="0" w:evenHBand="0" w:firstRowFirstColumn="0" w:firstRowLastColumn="0" w:lastRowFirstColumn="0" w:lastRowLastColumn="0"/>
            </w:pPr>
            <w:r w:rsidRPr="00315DFC">
              <w:t>International Conference on Harmonisation of Technical Requirements for Registration of Pharmaceuticals for Human Use</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LDH</w:t>
            </w:r>
          </w:p>
        </w:tc>
        <w:tc>
          <w:tcPr>
            <w:tcW w:w="6911" w:type="dxa"/>
          </w:tcPr>
          <w:p w:rsidR="00A21085" w:rsidRPr="007D38C5" w:rsidRDefault="00A21085" w:rsidP="000B2F23">
            <w:pPr>
              <w:ind w:left="0" w:right="0"/>
              <w:cnfStyle w:val="000000000000" w:firstRow="0" w:lastRow="0" w:firstColumn="0" w:lastColumn="0" w:oddVBand="0" w:evenVBand="0" w:oddHBand="0" w:evenHBand="0" w:firstRowFirstColumn="0" w:firstRowLastColumn="0" w:lastRowFirstColumn="0" w:lastRowLastColumn="0"/>
            </w:pPr>
            <w:r>
              <w:t>Lactate Dehydrogenase</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LFTs</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Liver Function Tests</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PI</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Product Information</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PK</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Pharmacokinetics</w:t>
            </w:r>
          </w:p>
        </w:tc>
      </w:tr>
      <w:tr w:rsidR="00A21085" w:rsidRPr="007D38C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rsidRPr="007D38C5">
              <w:t>PT</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rsidRPr="007D38C5">
              <w:t>Prothrombin Time</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lastRenderedPageBreak/>
              <w:t>PTP</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Previously Treated Patient</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PUP</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Previously Untreated Patient</w:t>
            </w:r>
          </w:p>
        </w:tc>
      </w:tr>
      <w:tr w:rsidR="006764FD" w:rsidTr="000B2F23">
        <w:tc>
          <w:tcPr>
            <w:cnfStyle w:val="001000000000" w:firstRow="0" w:lastRow="0" w:firstColumn="1" w:lastColumn="0" w:oddVBand="0" w:evenVBand="0" w:oddHBand="0" w:evenHBand="0" w:firstRowFirstColumn="0" w:firstRowLastColumn="0" w:lastRowFirstColumn="0" w:lastRowLastColumn="0"/>
            <w:tcW w:w="1890" w:type="dxa"/>
          </w:tcPr>
          <w:p w:rsidR="006764FD" w:rsidRDefault="006764FD" w:rsidP="000B2F23">
            <w:pPr>
              <w:ind w:left="0" w:right="0"/>
            </w:pPr>
            <w:r>
              <w:t>RBC</w:t>
            </w:r>
          </w:p>
        </w:tc>
        <w:tc>
          <w:tcPr>
            <w:tcW w:w="6911" w:type="dxa"/>
          </w:tcPr>
          <w:p w:rsidR="006764FD" w:rsidRDefault="006764FD" w:rsidP="000B2F23">
            <w:pPr>
              <w:ind w:left="0" w:right="0"/>
              <w:cnfStyle w:val="000000000000" w:firstRow="0" w:lastRow="0" w:firstColumn="0" w:lastColumn="0" w:oddVBand="0" w:evenVBand="0" w:oddHBand="0" w:evenHBand="0" w:firstRowFirstColumn="0" w:firstRowLastColumn="0" w:lastRowFirstColumn="0" w:lastRowLastColumn="0"/>
            </w:pPr>
            <w:r>
              <w:t>Red blood cell</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proofErr w:type="spellStart"/>
            <w:r>
              <w:t>rFIXFc</w:t>
            </w:r>
            <w:proofErr w:type="spellEnd"/>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Eftrenonacog alfa</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SAE</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Serious Adverse Event</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TAT</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Thrombin-</w:t>
            </w:r>
            <w:proofErr w:type="spellStart"/>
            <w:r>
              <w:t>Antithrombin</w:t>
            </w:r>
            <w:proofErr w:type="spellEnd"/>
            <w:r>
              <w:t xml:space="preserve"> Complex</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TGA</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Therapeutic Goods Administration</w:t>
            </w:r>
          </w:p>
        </w:tc>
      </w:tr>
      <w:tr w:rsidR="00AC1DE4" w:rsidTr="000B2F23">
        <w:tc>
          <w:tcPr>
            <w:cnfStyle w:val="001000000000" w:firstRow="0" w:lastRow="0" w:firstColumn="1" w:lastColumn="0" w:oddVBand="0" w:evenVBand="0" w:oddHBand="0" w:evenHBand="0" w:firstRowFirstColumn="0" w:firstRowLastColumn="0" w:lastRowFirstColumn="0" w:lastRowLastColumn="0"/>
            <w:tcW w:w="1890" w:type="dxa"/>
          </w:tcPr>
          <w:p w:rsidR="00AC1DE4" w:rsidRDefault="00AC1DE4" w:rsidP="000B2F23">
            <w:pPr>
              <w:ind w:left="0" w:right="0"/>
            </w:pPr>
            <w:proofErr w:type="spellStart"/>
            <w:r>
              <w:t>V</w:t>
            </w:r>
            <w:r w:rsidRPr="00AC1DE4">
              <w:rPr>
                <w:vertAlign w:val="subscript"/>
              </w:rPr>
              <w:t>ss</w:t>
            </w:r>
            <w:proofErr w:type="spellEnd"/>
          </w:p>
        </w:tc>
        <w:tc>
          <w:tcPr>
            <w:tcW w:w="6911" w:type="dxa"/>
          </w:tcPr>
          <w:p w:rsidR="00AC1DE4" w:rsidRDefault="00AC1DE4" w:rsidP="000B2F23">
            <w:pPr>
              <w:ind w:left="0" w:right="0"/>
              <w:cnfStyle w:val="000000000000" w:firstRow="0" w:lastRow="0" w:firstColumn="0" w:lastColumn="0" w:oddVBand="0" w:evenVBand="0" w:oddHBand="0" w:evenHBand="0" w:firstRowFirstColumn="0" w:firstRowLastColumn="0" w:lastRowFirstColumn="0" w:lastRowLastColumn="0"/>
            </w:pPr>
            <w:r>
              <w:t>Volume of distribution at steady state</w:t>
            </w:r>
          </w:p>
        </w:tc>
      </w:tr>
      <w:tr w:rsidR="00A21085" w:rsidTr="000B2F23">
        <w:tc>
          <w:tcPr>
            <w:cnfStyle w:val="001000000000" w:firstRow="0" w:lastRow="0" w:firstColumn="1" w:lastColumn="0" w:oddVBand="0" w:evenVBand="0" w:oddHBand="0" w:evenHBand="0" w:firstRowFirstColumn="0" w:firstRowLastColumn="0" w:lastRowFirstColumn="0" w:lastRowLastColumn="0"/>
            <w:tcW w:w="1890" w:type="dxa"/>
          </w:tcPr>
          <w:p w:rsidR="00A21085" w:rsidRPr="007D38C5" w:rsidRDefault="007D38C5" w:rsidP="000B2F23">
            <w:pPr>
              <w:ind w:left="0" w:right="0"/>
            </w:pPr>
            <w:r>
              <w:t>WBC</w:t>
            </w:r>
          </w:p>
        </w:tc>
        <w:tc>
          <w:tcPr>
            <w:tcW w:w="6911" w:type="dxa"/>
          </w:tcPr>
          <w:p w:rsidR="00A21085" w:rsidRPr="007D38C5" w:rsidRDefault="007D38C5" w:rsidP="000B2F23">
            <w:pPr>
              <w:ind w:left="0" w:right="0"/>
              <w:cnfStyle w:val="000000000000" w:firstRow="0" w:lastRow="0" w:firstColumn="0" w:lastColumn="0" w:oddVBand="0" w:evenVBand="0" w:oddHBand="0" w:evenHBand="0" w:firstRowFirstColumn="0" w:firstRowLastColumn="0" w:lastRowFirstColumn="0" w:lastRowLastColumn="0"/>
            </w:pPr>
            <w:r>
              <w:t>White Blood Cell</w:t>
            </w:r>
          </w:p>
        </w:tc>
      </w:tr>
    </w:tbl>
    <w:p w:rsidR="00652C96" w:rsidRDefault="00652C96" w:rsidP="000B2F23">
      <w:pPr>
        <w:pStyle w:val="Heading2"/>
        <w:rPr>
          <w:lang w:eastAsia="en-AU"/>
        </w:rPr>
      </w:pPr>
      <w:bookmarkStart w:id="8" w:name="_Toc351718900"/>
      <w:bookmarkStart w:id="9" w:name="_Toc355338635"/>
      <w:bookmarkStart w:id="10" w:name="_Toc404074069"/>
      <w:r>
        <w:rPr>
          <w:lang w:eastAsia="en-AU"/>
        </w:rPr>
        <w:t>Introduction</w:t>
      </w:r>
      <w:bookmarkEnd w:id="10"/>
    </w:p>
    <w:p w:rsidR="00652C96" w:rsidRPr="006434DA" w:rsidRDefault="00652C96" w:rsidP="000B2F23">
      <w:r w:rsidRPr="006434DA">
        <w:t>This is a full submission to register the product as a new chemical entity.</w:t>
      </w:r>
    </w:p>
    <w:p w:rsidR="00652C96" w:rsidRPr="006434DA" w:rsidRDefault="00652C96" w:rsidP="000B2F23">
      <w:r w:rsidRPr="006434DA">
        <w:t>Eftrenonacog alfa is a fusion protein in which a recombinant factor IX (</w:t>
      </w:r>
      <w:proofErr w:type="spellStart"/>
      <w:r w:rsidRPr="006434DA">
        <w:t>rFIX</w:t>
      </w:r>
      <w:proofErr w:type="spellEnd"/>
      <w:r w:rsidRPr="006434DA">
        <w:t>) molecule is covalently linked to the Fc fragment of an immunoglobulin G1 (IgG1) molecule.</w:t>
      </w:r>
    </w:p>
    <w:p w:rsidR="00652C96" w:rsidRDefault="00652C96" w:rsidP="000B2F23">
      <w:r>
        <w:t>The proposed indication is:</w:t>
      </w:r>
    </w:p>
    <w:p w:rsidR="00652C96" w:rsidRPr="000B2F23" w:rsidRDefault="00652C96" w:rsidP="000B2F23">
      <w:pPr>
        <w:rPr>
          <w:i/>
        </w:rPr>
      </w:pPr>
      <w:r w:rsidRPr="000B2F23">
        <w:rPr>
          <w:i/>
        </w:rPr>
        <w:t>ALPROLIX is a long-acting anti-haemophilic factor (recombinant) indicated in adults and children (≥ 12 years) with haemophilia B (congenital factor IX deficiency) for:</w:t>
      </w:r>
    </w:p>
    <w:p w:rsidR="00652C96" w:rsidRPr="000B2F23" w:rsidRDefault="00652C96" w:rsidP="000B2F23">
      <w:pPr>
        <w:pStyle w:val="ListBullet"/>
        <w:rPr>
          <w:i/>
        </w:rPr>
      </w:pPr>
      <w:r w:rsidRPr="000B2F23">
        <w:rPr>
          <w:i/>
        </w:rPr>
        <w:t>Control and prevention of bleeding episodes;</w:t>
      </w:r>
    </w:p>
    <w:p w:rsidR="00652C96" w:rsidRPr="000B2F23" w:rsidRDefault="00652C96" w:rsidP="000B2F23">
      <w:pPr>
        <w:pStyle w:val="ListBullet"/>
        <w:rPr>
          <w:i/>
        </w:rPr>
      </w:pPr>
      <w:r w:rsidRPr="000B2F23">
        <w:rPr>
          <w:i/>
        </w:rPr>
        <w:t>Routine prophylaxis to prevent or reduce the frequency of bleeding episodes;</w:t>
      </w:r>
    </w:p>
    <w:p w:rsidR="00652C96" w:rsidRPr="000B2F23" w:rsidRDefault="00652C96" w:rsidP="000B2F23">
      <w:pPr>
        <w:pStyle w:val="ListBullet"/>
        <w:rPr>
          <w:i/>
        </w:rPr>
      </w:pPr>
      <w:r w:rsidRPr="000B2F23">
        <w:rPr>
          <w:i/>
        </w:rPr>
        <w:t>Perioperative management (surgical prophylaxis).</w:t>
      </w:r>
    </w:p>
    <w:p w:rsidR="00652C96" w:rsidRPr="006434DA" w:rsidRDefault="00652C96" w:rsidP="000B2F23">
      <w:r w:rsidRPr="006434DA">
        <w:t>In the submitted documentation, eftrenonacog alfa is referred to by the abbreviations ‘</w:t>
      </w:r>
      <w:proofErr w:type="spellStart"/>
      <w:r w:rsidRPr="006434DA">
        <w:t>rFIXFc</w:t>
      </w:r>
      <w:proofErr w:type="spellEnd"/>
      <w:r w:rsidRPr="006434DA">
        <w:t>’ or ‘</w:t>
      </w:r>
      <w:proofErr w:type="spellStart"/>
      <w:r w:rsidRPr="006434DA">
        <w:t>FIXFc</w:t>
      </w:r>
      <w:proofErr w:type="spellEnd"/>
      <w:r w:rsidRPr="006434DA">
        <w:t xml:space="preserve">’. The abbreviation </w:t>
      </w:r>
      <w:proofErr w:type="spellStart"/>
      <w:r w:rsidRPr="006434DA">
        <w:t>FIXFc</w:t>
      </w:r>
      <w:proofErr w:type="spellEnd"/>
      <w:r w:rsidRPr="006434DA">
        <w:t xml:space="preserve"> will be used in this report.</w:t>
      </w:r>
    </w:p>
    <w:p w:rsidR="006434DA" w:rsidRDefault="006434DA" w:rsidP="000B2F23">
      <w:pPr>
        <w:pStyle w:val="Heading3"/>
      </w:pPr>
      <w:bookmarkStart w:id="11" w:name="_Toc404074070"/>
      <w:r>
        <w:t>Orphan drug designation</w:t>
      </w:r>
      <w:bookmarkEnd w:id="11"/>
    </w:p>
    <w:p w:rsidR="007541F3" w:rsidRPr="006434DA" w:rsidRDefault="007541F3" w:rsidP="000B2F23">
      <w:r w:rsidRPr="006434DA">
        <w:t>The product was granted orphan drug status by the TGA on 20 September 2012. The orphan indication granted was:</w:t>
      </w:r>
    </w:p>
    <w:p w:rsidR="007541F3" w:rsidRPr="000B2F23" w:rsidRDefault="007541F3" w:rsidP="000B2F23">
      <w:pPr>
        <w:ind w:left="720"/>
        <w:rPr>
          <w:i/>
        </w:rPr>
      </w:pPr>
      <w:r w:rsidRPr="000B2F23">
        <w:rPr>
          <w:i/>
        </w:rPr>
        <w:t>‘... the control and prevention of haemorrhagic episodes in patients with haemophilia B (congenital factor IX deficiency or Christmas disease), including the control and prevention of bleeding in surgical settings.’</w:t>
      </w:r>
    </w:p>
    <w:p w:rsidR="007541F3" w:rsidRPr="006434DA" w:rsidRDefault="007541F3" w:rsidP="000B2F23">
      <w:r w:rsidRPr="006434DA">
        <w:t>The indication proposed for registration is narrower than that granted in the orphan designation, in that children aged less than 12 years have been excluded.</w:t>
      </w:r>
    </w:p>
    <w:p w:rsidR="007541F3" w:rsidRPr="006434DA" w:rsidRDefault="007541F3" w:rsidP="000B2F23">
      <w:r w:rsidRPr="006434DA">
        <w:t>The Haemophilia Foundation of Australia estimates that there are approximately 2,800 subjects with haemophilia in Australia (4). Approximately 15-20% of haemophilia subjects have haemophilia B (5) and therefore the prevalence of the condition in Australia would be approximately 420 – 560 subjects.</w:t>
      </w:r>
    </w:p>
    <w:p w:rsidR="00586F98" w:rsidRDefault="00586F98" w:rsidP="000B2F23">
      <w:pPr>
        <w:pStyle w:val="Heading2"/>
      </w:pPr>
      <w:bookmarkStart w:id="12" w:name="_Toc404074071"/>
      <w:r>
        <w:lastRenderedPageBreak/>
        <w:t>Clinical rationale</w:t>
      </w:r>
      <w:bookmarkEnd w:id="12"/>
    </w:p>
    <w:p w:rsidR="00EC2548" w:rsidRDefault="00EC2548" w:rsidP="000B2F23">
      <w:r>
        <w:t>The current standard treatment of congenital factor IX (FIX) deficiency is based on the use of replacement FIX therapy. Two replacement therapy products are currently registered in Australia:</w:t>
      </w:r>
    </w:p>
    <w:p w:rsidR="00EC2548" w:rsidRDefault="00EC2548" w:rsidP="000B2F23">
      <w:pPr>
        <w:pStyle w:val="ListBullet"/>
      </w:pPr>
      <w:r w:rsidRPr="006434DA">
        <w:t>Plasma</w:t>
      </w:r>
      <w:r w:rsidR="00476F3E">
        <w:t xml:space="preserve"> </w:t>
      </w:r>
      <w:r>
        <w:t>derived FIX (</w:t>
      </w:r>
      <w:proofErr w:type="spellStart"/>
      <w:r w:rsidR="00842D33">
        <w:t>Mono</w:t>
      </w:r>
      <w:r>
        <w:t>FIX</w:t>
      </w:r>
      <w:proofErr w:type="spellEnd"/>
      <w:r>
        <w:t>-VF, CSL Ltd) which is manufactured from blood donated to the Australian Red Cross Blood Service</w:t>
      </w:r>
      <w:r w:rsidR="00942D4D">
        <w:t>.</w:t>
      </w:r>
    </w:p>
    <w:p w:rsidR="00EC2548" w:rsidRDefault="00EC2548" w:rsidP="000B2F23">
      <w:pPr>
        <w:pStyle w:val="ListBullet"/>
      </w:pPr>
      <w:r w:rsidRPr="006434DA">
        <w:t>Recombinant</w:t>
      </w:r>
      <w:r>
        <w:t xml:space="preserve"> FIX (</w:t>
      </w:r>
      <w:proofErr w:type="spellStart"/>
      <w:r>
        <w:t>nonacog</w:t>
      </w:r>
      <w:proofErr w:type="spellEnd"/>
      <w:r>
        <w:t xml:space="preserve"> </w:t>
      </w:r>
      <w:proofErr w:type="spellStart"/>
      <w:r>
        <w:t>alfa</w:t>
      </w:r>
      <w:proofErr w:type="spellEnd"/>
      <w:r>
        <w:t xml:space="preserve">; </w:t>
      </w:r>
      <w:proofErr w:type="spellStart"/>
      <w:r w:rsidR="00842D33">
        <w:t>Bene</w:t>
      </w:r>
      <w:r>
        <w:t>FIX</w:t>
      </w:r>
      <w:proofErr w:type="spellEnd"/>
      <w:r>
        <w:t>; Pfizer Australia Pty Ltd).</w:t>
      </w:r>
    </w:p>
    <w:p w:rsidR="00EC2548" w:rsidRPr="006434DA" w:rsidRDefault="00EC2548" w:rsidP="000B2F23">
      <w:r w:rsidRPr="006434DA">
        <w:t>The FIX contained in these products has a half-life of approximately 24 h (1</w:t>
      </w:r>
      <w:proofErr w:type="gramStart"/>
      <w:r w:rsidRPr="006434DA">
        <w:t>,2</w:t>
      </w:r>
      <w:proofErr w:type="gramEnd"/>
      <w:r w:rsidRPr="006434DA">
        <w:t>). For the treatment of bleeding episodes and for surgical prophylaxis it is recommended t</w:t>
      </w:r>
      <w:r w:rsidR="00842D33" w:rsidRPr="006434DA">
        <w:t xml:space="preserve">hat dosing be repeated every 12 to </w:t>
      </w:r>
      <w:r w:rsidRPr="006434DA">
        <w:t>24 h. For routine prophylaxis, dosing is recommended twice per week.</w:t>
      </w:r>
    </w:p>
    <w:p w:rsidR="00EC2548" w:rsidRPr="006434DA" w:rsidRDefault="00EC2548" w:rsidP="000B2F23">
      <w:r w:rsidRPr="006434DA">
        <w:t>The rationale for the development of eftrenonacog alfa (</w:t>
      </w:r>
      <w:r w:rsidR="00842D33" w:rsidRPr="006434DA">
        <w:t>Alprolix</w:t>
      </w:r>
      <w:r w:rsidRPr="006434DA">
        <w:t>) is that combining the FIX molecule with the Fc fragment of the IgG1 molecule will result in a prolonged half-life, with less frequent dosing required. The draft PI states that eftrenonac</w:t>
      </w:r>
      <w:r w:rsidR="00842D33" w:rsidRPr="006434DA">
        <w:t>og alfa has an elimination half</w:t>
      </w:r>
      <w:r w:rsidR="00476F3E" w:rsidRPr="006434DA">
        <w:t>-</w:t>
      </w:r>
      <w:r w:rsidRPr="006434DA">
        <w:t>life of 82 h and the recommended dosage interval for the treatment of bleeding episodes and</w:t>
      </w:r>
      <w:r>
        <w:t xml:space="preserve"> </w:t>
      </w:r>
      <w:r w:rsidRPr="006434DA">
        <w:t>surgical prophylaxis is up to 48 h. The recommended initial dosage interval for routine prophylaxis is up to 14 days.</w:t>
      </w:r>
    </w:p>
    <w:p w:rsidR="00EC2548" w:rsidRPr="006434DA" w:rsidRDefault="00EC2548" w:rsidP="000B2F23">
      <w:r w:rsidRPr="006434DA">
        <w:t xml:space="preserve">The prolonged </w:t>
      </w:r>
      <w:proofErr w:type="spellStart"/>
      <w:r w:rsidRPr="006434DA">
        <w:t>half</w:t>
      </w:r>
      <w:r w:rsidR="00842D33" w:rsidRPr="006434DA">
        <w:t xml:space="preserve"> </w:t>
      </w:r>
      <w:r w:rsidRPr="006434DA">
        <w:t>life</w:t>
      </w:r>
      <w:proofErr w:type="spellEnd"/>
      <w:r w:rsidRPr="006434DA">
        <w:t xml:space="preserve"> of the molecule occurs because of binding of the Fc fragment with the neonatal Fc receptor for </w:t>
      </w:r>
      <w:proofErr w:type="spellStart"/>
      <w:r w:rsidRPr="006434DA">
        <w:t>IgG</w:t>
      </w:r>
      <w:proofErr w:type="spellEnd"/>
      <w:r w:rsidRPr="006434DA">
        <w:t xml:space="preserve"> (</w:t>
      </w:r>
      <w:proofErr w:type="spellStart"/>
      <w:r w:rsidRPr="006434DA">
        <w:t>FcRn</w:t>
      </w:r>
      <w:proofErr w:type="spellEnd"/>
      <w:r w:rsidRPr="006434DA">
        <w:t xml:space="preserve">). </w:t>
      </w:r>
      <w:proofErr w:type="spellStart"/>
      <w:r w:rsidRPr="006434DA">
        <w:t>FcRn</w:t>
      </w:r>
      <w:proofErr w:type="spellEnd"/>
      <w:r w:rsidRPr="006434DA">
        <w:t xml:space="preserve"> derives its name through its role in the transfer of </w:t>
      </w:r>
      <w:proofErr w:type="spellStart"/>
      <w:r w:rsidRPr="006434DA">
        <w:t>IgG</w:t>
      </w:r>
      <w:proofErr w:type="spellEnd"/>
      <w:r w:rsidRPr="006434DA">
        <w:t xml:space="preserve"> from mother to foetus. However, it is also expressed in several adult human tissues and is believed to bind with the Fc fragment of </w:t>
      </w:r>
      <w:proofErr w:type="spellStart"/>
      <w:r w:rsidRPr="006434DA">
        <w:t>IgG</w:t>
      </w:r>
      <w:proofErr w:type="spellEnd"/>
      <w:r w:rsidRPr="006434DA">
        <w:t xml:space="preserve"> and prevent </w:t>
      </w:r>
      <w:proofErr w:type="spellStart"/>
      <w:r w:rsidRPr="006434DA">
        <w:t>IgG</w:t>
      </w:r>
      <w:proofErr w:type="spellEnd"/>
      <w:r w:rsidRPr="006434DA">
        <w:t xml:space="preserve"> degradation. </w:t>
      </w:r>
      <w:proofErr w:type="spellStart"/>
      <w:r w:rsidRPr="006434DA">
        <w:t>FcRn</w:t>
      </w:r>
      <w:proofErr w:type="spellEnd"/>
      <w:r w:rsidRPr="006434DA">
        <w:t xml:space="preserve"> is therefore believed to be responsible for the prolonged half-life of </w:t>
      </w:r>
      <w:proofErr w:type="spellStart"/>
      <w:r w:rsidRPr="006434DA">
        <w:t>IgG</w:t>
      </w:r>
      <w:proofErr w:type="spellEnd"/>
      <w:r w:rsidRPr="006434DA">
        <w:t xml:space="preserve"> compared to other endogenous proteins (3).</w:t>
      </w:r>
    </w:p>
    <w:p w:rsidR="00EC2548" w:rsidRPr="006434DA" w:rsidRDefault="00EC2548" w:rsidP="000B2F23">
      <w:r>
        <w:t xml:space="preserve">Currently registered products that are fusion proteins combining the Fc fragment of an IgG1 </w:t>
      </w:r>
      <w:r w:rsidRPr="006434DA">
        <w:t xml:space="preserve">molecule with another active molecule include </w:t>
      </w:r>
      <w:proofErr w:type="spellStart"/>
      <w:r w:rsidRPr="006434DA">
        <w:t>romiplostim</w:t>
      </w:r>
      <w:proofErr w:type="spellEnd"/>
      <w:r w:rsidRPr="006434DA">
        <w:t xml:space="preserve"> and </w:t>
      </w:r>
      <w:proofErr w:type="spellStart"/>
      <w:r w:rsidRPr="006434DA">
        <w:t>etanercept</w:t>
      </w:r>
      <w:proofErr w:type="spellEnd"/>
      <w:r w:rsidRPr="006434DA">
        <w:t>.</w:t>
      </w:r>
    </w:p>
    <w:p w:rsidR="006434DA" w:rsidRPr="006434DA" w:rsidRDefault="006434DA" w:rsidP="000B2F23">
      <w:pPr>
        <w:pStyle w:val="Heading3"/>
      </w:pPr>
      <w:bookmarkStart w:id="13" w:name="_Toc272414609"/>
      <w:bookmarkStart w:id="14" w:name="_Toc290846231"/>
      <w:bookmarkStart w:id="15" w:name="_Toc242109028"/>
      <w:bookmarkStart w:id="16" w:name="_Toc404074072"/>
      <w:r w:rsidRPr="006434DA">
        <w:t>Guidance</w:t>
      </w:r>
      <w:bookmarkEnd w:id="13"/>
      <w:bookmarkEnd w:id="14"/>
      <w:bookmarkEnd w:id="15"/>
      <w:bookmarkEnd w:id="16"/>
    </w:p>
    <w:p w:rsidR="006434DA" w:rsidRPr="006434DA" w:rsidRDefault="006434DA" w:rsidP="000B2F23">
      <w:r w:rsidRPr="006434DA">
        <w:t>The following EMA guidelines, which have been adopted by the TGA, are considered relevant to the current application.</w:t>
      </w:r>
    </w:p>
    <w:p w:rsidR="006434DA" w:rsidRPr="006434DA" w:rsidRDefault="006434DA" w:rsidP="000B2F23">
      <w:pPr>
        <w:pStyle w:val="Numberbullet0"/>
      </w:pPr>
      <w:r w:rsidRPr="000B2F23">
        <w:t>Guideline</w:t>
      </w:r>
      <w:r w:rsidRPr="006434DA">
        <w:t xml:space="preserve"> on the Clinical Investigation of the Pharmacokinetics of Therapeutic Proteins (CHMP/EWP/89249/2004); 2007 (6).</w:t>
      </w:r>
    </w:p>
    <w:p w:rsidR="006434DA" w:rsidRPr="006434DA" w:rsidRDefault="006434DA" w:rsidP="000B2F23">
      <w:pPr>
        <w:pStyle w:val="Numberbullet0"/>
      </w:pPr>
      <w:r w:rsidRPr="006434DA">
        <w:t xml:space="preserve">Points </w:t>
      </w:r>
      <w:r w:rsidRPr="000B2F23">
        <w:t>to</w:t>
      </w:r>
      <w:r w:rsidRPr="006434DA">
        <w:t xml:space="preserve"> Consider on Application with 1. Meta-Analyses; 2. One Pivotal Study (CPMP/EWP/2330/99); 2001. (7)</w:t>
      </w:r>
    </w:p>
    <w:p w:rsidR="006434DA" w:rsidRPr="006434DA" w:rsidRDefault="006434DA" w:rsidP="000B2F23">
      <w:pPr>
        <w:pStyle w:val="Numberbullet0"/>
      </w:pPr>
      <w:r w:rsidRPr="006434DA">
        <w:t xml:space="preserve">Note </w:t>
      </w:r>
      <w:r w:rsidRPr="000B2F23">
        <w:t>for</w:t>
      </w:r>
      <w:r w:rsidRPr="006434DA">
        <w:t xml:space="preserve"> Guidance on the Clinical Investigation of Recombinant Factor VIII and IX Products (CPMP/BPWG/1561/99); 2000 (8).</w:t>
      </w:r>
    </w:p>
    <w:p w:rsidR="006434DA" w:rsidRPr="006434DA" w:rsidRDefault="006434DA" w:rsidP="000B2F23">
      <w:r w:rsidRPr="006434DA">
        <w:t>In Europe, the 2000 guideline on recombinant Factor VIII and IX products has been superseded by a new guideline specific for Factor IX products:</w:t>
      </w:r>
    </w:p>
    <w:p w:rsidR="006434DA" w:rsidRPr="006434DA" w:rsidRDefault="006434DA" w:rsidP="000B2F23">
      <w:pPr>
        <w:pStyle w:val="Numberbullet0"/>
      </w:pPr>
      <w:r w:rsidRPr="000B2F23">
        <w:t>Guideline</w:t>
      </w:r>
      <w:r w:rsidRPr="006434DA">
        <w:t xml:space="preserve"> on clinical investigation of recombinant and human plasma-derived factor IX products (EMA/CHMP/BPWP/144552/2009); 2011 (9).</w:t>
      </w:r>
    </w:p>
    <w:p w:rsidR="006434DA" w:rsidRPr="006434DA" w:rsidRDefault="006434DA" w:rsidP="000B2F23">
      <w:r w:rsidRPr="006434DA">
        <w:t>This later guideline came into effect in Europe in February 2012, but has not yet been formally adopted in Australia.</w:t>
      </w:r>
    </w:p>
    <w:p w:rsidR="006434DA" w:rsidRPr="006434DA" w:rsidRDefault="006434DA" w:rsidP="000B2F23">
      <w:r w:rsidRPr="006434DA">
        <w:t>Compliance with these guidelines will be considered in the relevant sections of this report.</w:t>
      </w:r>
    </w:p>
    <w:p w:rsidR="00586F98" w:rsidRDefault="00586F98" w:rsidP="000B2F23">
      <w:pPr>
        <w:pStyle w:val="Heading2"/>
        <w:rPr>
          <w:lang w:eastAsia="en-AU"/>
        </w:rPr>
      </w:pPr>
      <w:bookmarkStart w:id="17" w:name="_Toc404074073"/>
      <w:r>
        <w:rPr>
          <w:lang w:eastAsia="en-AU"/>
        </w:rPr>
        <w:lastRenderedPageBreak/>
        <w:t xml:space="preserve">Contents of the clinical </w:t>
      </w:r>
      <w:r w:rsidRPr="000B2F23">
        <w:t>dossier</w:t>
      </w:r>
      <w:bookmarkEnd w:id="8"/>
      <w:bookmarkEnd w:id="9"/>
      <w:bookmarkEnd w:id="17"/>
    </w:p>
    <w:p w:rsidR="00586F98" w:rsidRDefault="00586F98" w:rsidP="000B2F23">
      <w:pPr>
        <w:pStyle w:val="Heading3"/>
      </w:pPr>
      <w:bookmarkStart w:id="18" w:name="_Toc404074074"/>
      <w:r>
        <w:t>Scope of the clinical dossier</w:t>
      </w:r>
      <w:bookmarkEnd w:id="18"/>
    </w:p>
    <w:p w:rsidR="00842D33" w:rsidRDefault="00842D33" w:rsidP="000B2F23">
      <w:r>
        <w:t>The submission contained the following clinical information:</w:t>
      </w:r>
    </w:p>
    <w:p w:rsidR="00906D6C" w:rsidRPr="0038490A" w:rsidRDefault="00906D6C" w:rsidP="000B2F23">
      <w:pPr>
        <w:pStyle w:val="ListBullet"/>
      </w:pPr>
      <w:r w:rsidRPr="0038490A">
        <w:t>Module 2</w:t>
      </w:r>
    </w:p>
    <w:p w:rsidR="00906D6C" w:rsidRDefault="00906D6C" w:rsidP="000B2F23">
      <w:pPr>
        <w:pStyle w:val="ListBullet2"/>
      </w:pPr>
      <w:r w:rsidRPr="0038490A">
        <w:t xml:space="preserve">Clinical </w:t>
      </w:r>
      <w:r w:rsidR="00942D4D">
        <w:t>o</w:t>
      </w:r>
      <w:r w:rsidRPr="0038490A">
        <w:t xml:space="preserve">verview, </w:t>
      </w:r>
      <w:r w:rsidR="00942D4D">
        <w:t>s</w:t>
      </w:r>
      <w:r w:rsidRPr="0038490A">
        <w:t xml:space="preserve">ummary of </w:t>
      </w:r>
      <w:proofErr w:type="spellStart"/>
      <w:r w:rsidR="00942D4D" w:rsidRPr="000B2F23">
        <w:t>b</w:t>
      </w:r>
      <w:r w:rsidRPr="000B2F23">
        <w:t>iopharmaceutic</w:t>
      </w:r>
      <w:proofErr w:type="spellEnd"/>
      <w:r w:rsidRPr="0038490A">
        <w:t xml:space="preserve"> </w:t>
      </w:r>
      <w:r w:rsidR="00942D4D">
        <w:t>s</w:t>
      </w:r>
      <w:r w:rsidRPr="0038490A">
        <w:t xml:space="preserve">tudies and </w:t>
      </w:r>
      <w:r w:rsidR="00942D4D">
        <w:t>a</w:t>
      </w:r>
      <w:r w:rsidRPr="0038490A">
        <w:t xml:space="preserve">nalytical </w:t>
      </w:r>
      <w:r w:rsidR="00942D4D">
        <w:t>m</w:t>
      </w:r>
      <w:r w:rsidRPr="0038490A">
        <w:t xml:space="preserve">ethods, </w:t>
      </w:r>
      <w:r w:rsidR="00942D4D">
        <w:t>s</w:t>
      </w:r>
      <w:r w:rsidRPr="0038490A">
        <w:t xml:space="preserve">ummary of </w:t>
      </w:r>
      <w:r w:rsidR="00942D4D">
        <w:t>c</w:t>
      </w:r>
      <w:r w:rsidRPr="0038490A">
        <w:t xml:space="preserve">linical </w:t>
      </w:r>
      <w:r w:rsidR="00942D4D">
        <w:t>p</w:t>
      </w:r>
      <w:r w:rsidRPr="0038490A">
        <w:t xml:space="preserve">harmacology, </w:t>
      </w:r>
      <w:r w:rsidR="00942D4D">
        <w:t>s</w:t>
      </w:r>
      <w:r w:rsidRPr="0038490A">
        <w:t xml:space="preserve">ummary of </w:t>
      </w:r>
      <w:r w:rsidR="00942D4D">
        <w:t>c</w:t>
      </w:r>
      <w:r w:rsidRPr="0038490A">
        <w:t xml:space="preserve">linical </w:t>
      </w:r>
      <w:r w:rsidR="00942D4D">
        <w:t>e</w:t>
      </w:r>
      <w:r w:rsidRPr="0038490A">
        <w:t>fficacy</w:t>
      </w:r>
      <w:r>
        <w:t xml:space="preserve"> and </w:t>
      </w:r>
      <w:r w:rsidR="00942D4D">
        <w:t>s</w:t>
      </w:r>
      <w:r w:rsidRPr="0038490A">
        <w:t xml:space="preserve">ummary of </w:t>
      </w:r>
      <w:r w:rsidR="00942D4D">
        <w:t>c</w:t>
      </w:r>
      <w:r w:rsidRPr="0038490A">
        <w:t xml:space="preserve">linical </w:t>
      </w:r>
      <w:r w:rsidR="00942D4D">
        <w:t>s</w:t>
      </w:r>
      <w:r w:rsidRPr="0038490A">
        <w:t>afety</w:t>
      </w:r>
      <w:r w:rsidR="000B2F23">
        <w:t>.</w:t>
      </w:r>
    </w:p>
    <w:p w:rsidR="00842D33" w:rsidRPr="006A08A1" w:rsidRDefault="000B2F23" w:rsidP="000B2F23">
      <w:pPr>
        <w:pStyle w:val="ListBullet"/>
      </w:pPr>
      <w:r>
        <w:t>Module 5</w:t>
      </w:r>
    </w:p>
    <w:p w:rsidR="00842D33" w:rsidRDefault="00842D33" w:rsidP="000B2F23">
      <w:pPr>
        <w:pStyle w:val="ListBullet2"/>
      </w:pPr>
      <w:r>
        <w:t>A full study report of one open</w:t>
      </w:r>
      <w:r w:rsidR="009E21D1">
        <w:t>-label</w:t>
      </w:r>
      <w:r>
        <w:t xml:space="preserve">, Phase </w:t>
      </w:r>
      <w:r w:rsidR="00906D6C">
        <w:t>I/</w:t>
      </w:r>
      <w:proofErr w:type="spellStart"/>
      <w:r w:rsidR="00906D6C">
        <w:t>II</w:t>
      </w:r>
      <w:r>
        <w:t>a</w:t>
      </w:r>
      <w:proofErr w:type="spellEnd"/>
      <w:r>
        <w:t xml:space="preserve"> study (SYN-FIXFc-07-001) that examined the safety and pharmacokinetics </w:t>
      </w:r>
      <w:r w:rsidR="00476F3E">
        <w:t xml:space="preserve">(PK) </w:t>
      </w:r>
      <w:r>
        <w:t xml:space="preserve">of escalating single doses of </w:t>
      </w:r>
      <w:proofErr w:type="spellStart"/>
      <w:r>
        <w:t>FIXFc</w:t>
      </w:r>
      <w:proofErr w:type="spellEnd"/>
      <w:r>
        <w:t xml:space="preserve"> in a total of 14 subjects with haemophilia B.</w:t>
      </w:r>
    </w:p>
    <w:p w:rsidR="00842D33" w:rsidRDefault="00842D33" w:rsidP="000B2F23">
      <w:pPr>
        <w:pStyle w:val="ListBullet2"/>
      </w:pPr>
      <w:r>
        <w:t>A full study report of one open</w:t>
      </w:r>
      <w:r w:rsidR="009E21D1">
        <w:t>-label</w:t>
      </w:r>
      <w:r>
        <w:t xml:space="preserve">, Phase </w:t>
      </w:r>
      <w:r w:rsidR="00906D6C">
        <w:t>III</w:t>
      </w:r>
      <w:r>
        <w:t xml:space="preserve"> pivotal efficacy and safety study (</w:t>
      </w:r>
      <w:r w:rsidR="00CD7F19">
        <w:t>998HB102</w:t>
      </w:r>
      <w:r>
        <w:t xml:space="preserve">) that examined the </w:t>
      </w:r>
      <w:r w:rsidR="00476F3E">
        <w:t>PK</w:t>
      </w:r>
      <w:r>
        <w:t xml:space="preserve">, efficacy and safety of </w:t>
      </w:r>
      <w:proofErr w:type="spellStart"/>
      <w:r>
        <w:t>FIXFc</w:t>
      </w:r>
      <w:proofErr w:type="spellEnd"/>
      <w:r>
        <w:t xml:space="preserve"> in a total of 123 subjects with haemophilia B</w:t>
      </w:r>
      <w:r w:rsidRPr="006A08A1">
        <w:t>.</w:t>
      </w:r>
    </w:p>
    <w:p w:rsidR="00842D33" w:rsidRPr="006A08A1" w:rsidRDefault="00842D33" w:rsidP="000B2F23">
      <w:pPr>
        <w:pStyle w:val="ListBullet2"/>
      </w:pPr>
      <w:r>
        <w:t xml:space="preserve">One </w:t>
      </w:r>
      <w:r w:rsidRPr="000B2F23">
        <w:t>population</w:t>
      </w:r>
      <w:r>
        <w:t xml:space="preserve"> pharmacokinetic analysis of PK data collected in the above two studies.</w:t>
      </w:r>
    </w:p>
    <w:p w:rsidR="00842D33" w:rsidRPr="00651B00" w:rsidRDefault="00842D33" w:rsidP="000B2F23">
      <w:pPr>
        <w:pStyle w:val="ListBullet2"/>
      </w:pPr>
      <w:r w:rsidRPr="00651B00">
        <w:t>Brief safety reports from two ongoing studies (9HB02PED and 9HB01EXT)</w:t>
      </w:r>
      <w:r>
        <w:t>. These reports included limited information regarding serious adverse events and adverse events of special interest.</w:t>
      </w:r>
    </w:p>
    <w:p w:rsidR="00842D33" w:rsidRPr="006A08A1" w:rsidRDefault="00842D33" w:rsidP="000B2F23">
      <w:pPr>
        <w:pStyle w:val="ListBullet2"/>
      </w:pPr>
      <w:r w:rsidRPr="000B2F23">
        <w:t>Literature</w:t>
      </w:r>
      <w:r>
        <w:t xml:space="preserve"> references.</w:t>
      </w:r>
    </w:p>
    <w:p w:rsidR="00586F98" w:rsidRDefault="00586F98" w:rsidP="000B2F23">
      <w:pPr>
        <w:pStyle w:val="Heading3"/>
      </w:pPr>
      <w:bookmarkStart w:id="19" w:name="_Toc404074075"/>
      <w:r w:rsidRPr="000B2F23">
        <w:t>Paediatric</w:t>
      </w:r>
      <w:r>
        <w:t xml:space="preserve"> data</w:t>
      </w:r>
      <w:bookmarkEnd w:id="19"/>
    </w:p>
    <w:p w:rsidR="00906D6C" w:rsidRDefault="00906D6C" w:rsidP="000B2F23">
      <w:r w:rsidRPr="00482367">
        <w:t xml:space="preserve">The pivotal study in the submission included </w:t>
      </w:r>
      <w:r>
        <w:t>previously treated patients (PTPs) aged 12 years and over and the indication sought by the sponsor is restricted to this group. One of the ongoing studies (</w:t>
      </w:r>
      <w:r w:rsidRPr="00651B00">
        <w:t>9HB02PED</w:t>
      </w:r>
      <w:r>
        <w:t>) is a trial of the product in PTPs aged less than 12 years. It is planned to enrol at least 20 subjects and completion is expected by June 2015. Another study is planned in previously untreated patients (PUPs) aged less than 18 years, with completion expected in June 2019.</w:t>
      </w:r>
    </w:p>
    <w:p w:rsidR="00586F98" w:rsidRPr="006434DA" w:rsidRDefault="00906D6C" w:rsidP="000B2F23">
      <w:pPr>
        <w:ind w:left="720"/>
      </w:pPr>
      <w:r w:rsidRPr="006434DA">
        <w:rPr>
          <w:b/>
        </w:rPr>
        <w:t>Comment:</w:t>
      </w:r>
      <w:r w:rsidR="00942D4D" w:rsidRPr="006434DA">
        <w:t xml:space="preserve"> </w:t>
      </w:r>
      <w:r w:rsidRPr="006434DA">
        <w:t>The</w:t>
      </w:r>
      <w:r w:rsidR="00B65561" w:rsidRPr="006434DA">
        <w:t xml:space="preserve"> European Medicines Agency</w:t>
      </w:r>
      <w:r w:rsidRPr="006434DA">
        <w:t xml:space="preserve"> </w:t>
      </w:r>
      <w:r w:rsidR="00B65561" w:rsidRPr="006434DA">
        <w:t>(</w:t>
      </w:r>
      <w:r w:rsidRPr="006434DA">
        <w:t>EMA</w:t>
      </w:r>
      <w:r w:rsidR="00B65561" w:rsidRPr="006434DA">
        <w:t>)</w:t>
      </w:r>
      <w:r w:rsidRPr="006434DA">
        <w:t xml:space="preserve"> guideline on recombinant Factor VIII and IX products (8), which has been adopted by the TGA, indicates that the submission of paediatric data can be delayed until after initial marketing approval. The absence of data on children aged less than 12 years of age in this submission is therefore not considered a deficiency in the application.</w:t>
      </w:r>
    </w:p>
    <w:p w:rsidR="00586F98" w:rsidRDefault="00586F98" w:rsidP="000B2F23">
      <w:pPr>
        <w:pStyle w:val="Heading3"/>
      </w:pPr>
      <w:bookmarkStart w:id="20" w:name="_Toc404074076"/>
      <w:r>
        <w:t>Good clinical practice</w:t>
      </w:r>
      <w:bookmarkEnd w:id="20"/>
    </w:p>
    <w:p w:rsidR="00586F98" w:rsidRPr="006434DA" w:rsidRDefault="00906D6C" w:rsidP="000B2F23">
      <w:bookmarkStart w:id="21" w:name="_Toc241374282"/>
      <w:r w:rsidRPr="006434DA">
        <w:t xml:space="preserve">The study reports for the completed studies included assurances that they had been conducted in accordance with applicable guidelines including </w:t>
      </w:r>
      <w:bookmarkEnd w:id="21"/>
      <w:r w:rsidRPr="006434DA">
        <w:t>the International Conference on Harmonisation (ICH) Guideline on Good Clinical Practice and the ethical principles outlined in the Declaration of Helsinki.</w:t>
      </w:r>
    </w:p>
    <w:p w:rsidR="00586F98" w:rsidRPr="005C3E82" w:rsidRDefault="00586F98" w:rsidP="000B2F23">
      <w:pPr>
        <w:pStyle w:val="Heading2"/>
      </w:pPr>
      <w:bookmarkStart w:id="22" w:name="_Toc355338639"/>
      <w:bookmarkStart w:id="23" w:name="_Toc404074077"/>
      <w:r w:rsidRPr="005C3E82">
        <w:lastRenderedPageBreak/>
        <w:t>Pharmacokinetics</w:t>
      </w:r>
      <w:bookmarkEnd w:id="22"/>
      <w:bookmarkEnd w:id="23"/>
    </w:p>
    <w:p w:rsidR="00217B82" w:rsidRPr="005C3E82" w:rsidRDefault="00217B82" w:rsidP="000B2F23">
      <w:pPr>
        <w:pStyle w:val="Heading3"/>
      </w:pPr>
      <w:bookmarkStart w:id="24" w:name="_Ref271017296"/>
      <w:bookmarkStart w:id="25" w:name="_Ref271018924"/>
      <w:bookmarkStart w:id="26" w:name="_Ref271018934"/>
      <w:bookmarkStart w:id="27" w:name="_Toc272414614"/>
      <w:bookmarkStart w:id="28" w:name="_Toc290846238"/>
      <w:bookmarkStart w:id="29" w:name="_Toc242109035"/>
      <w:bookmarkStart w:id="30" w:name="_Toc404074078"/>
      <w:r w:rsidRPr="005C3E82">
        <w:t>Studies</w:t>
      </w:r>
      <w:bookmarkEnd w:id="24"/>
      <w:bookmarkEnd w:id="25"/>
      <w:bookmarkEnd w:id="26"/>
      <w:r w:rsidRPr="005C3E82">
        <w:t xml:space="preserve"> providing </w:t>
      </w:r>
      <w:r w:rsidRPr="000B2F23">
        <w:t>pharmacokinetic</w:t>
      </w:r>
      <w:r w:rsidRPr="005C3E82">
        <w:t xml:space="preserve"> data</w:t>
      </w:r>
      <w:bookmarkEnd w:id="27"/>
      <w:bookmarkEnd w:id="28"/>
      <w:bookmarkEnd w:id="29"/>
      <w:bookmarkEnd w:id="30"/>
    </w:p>
    <w:p w:rsidR="00217B82" w:rsidRDefault="00217B82" w:rsidP="000B2F23">
      <w:r>
        <w:t xml:space="preserve">Pharmacokinetic data were collected in both SYN-FIXFc-07-001 and </w:t>
      </w:r>
      <w:r w:rsidR="00CD7F19">
        <w:t>998HB102</w:t>
      </w:r>
      <w:r>
        <w:t xml:space="preserve">, and a population PK analysis was also conducted on these data. </w:t>
      </w:r>
      <w:r w:rsidRPr="001E0258">
        <w:t xml:space="preserve">Summaries of the </w:t>
      </w:r>
      <w:r w:rsidR="00502DBA" w:rsidRPr="001E0258">
        <w:t>PK</w:t>
      </w:r>
      <w:r w:rsidRPr="001E0258">
        <w:t xml:space="preserve"> studies are presented </w:t>
      </w:r>
      <w:r w:rsidR="00502DBA" w:rsidRPr="001E0258">
        <w:t>below</w:t>
      </w:r>
      <w:r w:rsidRPr="001E0258">
        <w:t>.</w:t>
      </w:r>
    </w:p>
    <w:p w:rsidR="00217B82" w:rsidRDefault="00217B82" w:rsidP="000B2F23">
      <w:r>
        <w:t xml:space="preserve">None of these </w:t>
      </w:r>
      <w:r w:rsidR="00502DBA">
        <w:t>PK</w:t>
      </w:r>
      <w:r>
        <w:t xml:space="preserve"> studies had deficiencies that excluded their results from consideration. Both studies were conducted in subjects with FIX deficiency (haemophilia B) and hence there were no studies in healthy volunteers.</w:t>
      </w:r>
    </w:p>
    <w:p w:rsidR="00217B82" w:rsidRDefault="00217B82" w:rsidP="000B2F23">
      <w:pPr>
        <w:pStyle w:val="Heading3"/>
      </w:pPr>
      <w:bookmarkStart w:id="31" w:name="_Ref269118175"/>
      <w:bookmarkStart w:id="32" w:name="_Toc272414616"/>
      <w:bookmarkStart w:id="33" w:name="_Toc290846239"/>
      <w:bookmarkStart w:id="34" w:name="_Toc242109036"/>
      <w:bookmarkStart w:id="35" w:name="_Toc404074079"/>
      <w:r>
        <w:t>Summary of pharmacokinetics</w:t>
      </w:r>
      <w:bookmarkEnd w:id="31"/>
      <w:bookmarkEnd w:id="32"/>
      <w:bookmarkEnd w:id="33"/>
      <w:bookmarkEnd w:id="34"/>
      <w:bookmarkEnd w:id="35"/>
    </w:p>
    <w:p w:rsidR="00217B82" w:rsidRDefault="00217B82" w:rsidP="000B2F23">
      <w:r>
        <w:t xml:space="preserve">The information in the following summary is derived from conventional </w:t>
      </w:r>
      <w:r w:rsidR="001E0258">
        <w:t>PK</w:t>
      </w:r>
      <w:r>
        <w:t xml:space="preserve"> studies unless otherwise stated.</w:t>
      </w:r>
    </w:p>
    <w:p w:rsidR="00217B82" w:rsidRPr="00BC6586" w:rsidRDefault="00217B82" w:rsidP="000B2F23">
      <w:pPr>
        <w:pStyle w:val="Heading4"/>
      </w:pPr>
      <w:bookmarkStart w:id="36" w:name="_Toc272414617"/>
      <w:bookmarkStart w:id="37" w:name="_Toc290846240"/>
      <w:bookmarkStart w:id="38" w:name="_Toc242109037"/>
      <w:r w:rsidRPr="00BC6586">
        <w:t>Physicochemical characteristics of the active substance</w:t>
      </w:r>
      <w:bookmarkEnd w:id="36"/>
      <w:bookmarkEnd w:id="37"/>
      <w:bookmarkEnd w:id="38"/>
    </w:p>
    <w:p w:rsidR="00217B82" w:rsidRDefault="00217B82" w:rsidP="000B2F23">
      <w:r w:rsidRPr="00BC6586">
        <w:t xml:space="preserve">The following information is derived from the Sponsor’s summaries in Module 2. </w:t>
      </w:r>
      <w:proofErr w:type="spellStart"/>
      <w:r>
        <w:t>FIXFc</w:t>
      </w:r>
      <w:proofErr w:type="spellEnd"/>
      <w:r>
        <w:t xml:space="preserve"> is a fusion protein combining human coagulation factor IX and the Fc domain of a human IgG1 antibody. It contains 867 amino acids and has a molecular weight of approximately 98 </w:t>
      </w:r>
      <w:proofErr w:type="spellStart"/>
      <w:r>
        <w:t>kilodaltons</w:t>
      </w:r>
      <w:proofErr w:type="spellEnd"/>
      <w:r w:rsidR="003E1751">
        <w:t xml:space="preserve">. </w:t>
      </w:r>
      <w:r>
        <w:t>It is produced by recombinant DNA technology in a human embryonic kidney (HEK) cell line.</w:t>
      </w:r>
    </w:p>
    <w:p w:rsidR="00217B82" w:rsidRPr="00BC6586" w:rsidRDefault="00217B82" w:rsidP="000B2F23">
      <w:pPr>
        <w:pStyle w:val="Heading4"/>
      </w:pPr>
      <w:bookmarkStart w:id="39" w:name="_Ref271189106"/>
      <w:bookmarkStart w:id="40" w:name="_Ref271189143"/>
      <w:bookmarkStart w:id="41" w:name="_Toc272414618"/>
      <w:bookmarkStart w:id="42" w:name="_Toc290846241"/>
      <w:bookmarkStart w:id="43" w:name="_Toc242109038"/>
      <w:r w:rsidRPr="00BC6586">
        <w:t xml:space="preserve">Pharmacokinetics in </w:t>
      </w:r>
      <w:bookmarkEnd w:id="39"/>
      <w:bookmarkEnd w:id="40"/>
      <w:bookmarkEnd w:id="41"/>
      <w:bookmarkEnd w:id="42"/>
      <w:r w:rsidRPr="00BC6586">
        <w:t>haemophilia B subjects</w:t>
      </w:r>
      <w:bookmarkEnd w:id="43"/>
    </w:p>
    <w:p w:rsidR="00217B82" w:rsidRPr="007F2319" w:rsidRDefault="00217B82" w:rsidP="000B2F23">
      <w:pPr>
        <w:pStyle w:val="Heading5"/>
      </w:pPr>
      <w:bookmarkStart w:id="44" w:name="_Toc272414619"/>
      <w:bookmarkStart w:id="45" w:name="_Toc290846242"/>
      <w:bookmarkStart w:id="46" w:name="_Toc242109039"/>
      <w:r w:rsidRPr="007F2319">
        <w:t>Absorption</w:t>
      </w:r>
      <w:bookmarkEnd w:id="44"/>
      <w:bookmarkEnd w:id="45"/>
      <w:r w:rsidRPr="007F2319">
        <w:t>/</w:t>
      </w:r>
      <w:r w:rsidR="000B2F23">
        <w:t>b</w:t>
      </w:r>
      <w:r w:rsidRPr="007F2319">
        <w:t>ioavailability</w:t>
      </w:r>
      <w:bookmarkEnd w:id="46"/>
    </w:p>
    <w:p w:rsidR="00217B82" w:rsidRPr="00E675C1" w:rsidRDefault="00217B82" w:rsidP="000B2F23">
      <w:proofErr w:type="spellStart"/>
      <w:r>
        <w:t>FIXFc</w:t>
      </w:r>
      <w:proofErr w:type="spellEnd"/>
      <w:r>
        <w:t xml:space="preserve"> is only administered intravenously </w:t>
      </w:r>
      <w:r w:rsidR="00502DBA">
        <w:t xml:space="preserve">(IV) </w:t>
      </w:r>
      <w:r>
        <w:t xml:space="preserve">and by definition has 100% absorption and bioavailability. </w:t>
      </w:r>
      <w:proofErr w:type="spellStart"/>
      <w:r>
        <w:t>T</w:t>
      </w:r>
      <w:r w:rsidRPr="00D076BA">
        <w:rPr>
          <w:vertAlign w:val="subscript"/>
        </w:rPr>
        <w:t>max</w:t>
      </w:r>
      <w:proofErr w:type="spellEnd"/>
      <w:r>
        <w:t xml:space="preserve"> occurred immediately after the completion of the infusion.</w:t>
      </w:r>
    </w:p>
    <w:p w:rsidR="00217B82" w:rsidRPr="007F2319" w:rsidRDefault="00217B82" w:rsidP="000B2F23">
      <w:pPr>
        <w:pStyle w:val="Heading6"/>
      </w:pPr>
      <w:r w:rsidRPr="000B2F23">
        <w:t>Incremental</w:t>
      </w:r>
      <w:r w:rsidRPr="007F2319">
        <w:t xml:space="preserve"> recovery</w:t>
      </w:r>
    </w:p>
    <w:p w:rsidR="00217B82" w:rsidRDefault="00217B82" w:rsidP="000B2F23">
      <w:r>
        <w:t xml:space="preserve">The incremental recovery of </w:t>
      </w:r>
      <w:proofErr w:type="spellStart"/>
      <w:r>
        <w:t>FIXFc</w:t>
      </w:r>
      <w:proofErr w:type="spellEnd"/>
      <w:r>
        <w:t xml:space="preserve"> was 0.92 IU/</w:t>
      </w:r>
      <w:proofErr w:type="spellStart"/>
      <w:r>
        <w:t>dL</w:t>
      </w:r>
      <w:proofErr w:type="spellEnd"/>
      <w:r>
        <w:t xml:space="preserve"> for every 1.0 IU/kg </w:t>
      </w:r>
      <w:r w:rsidRPr="00F20128">
        <w:t xml:space="preserve">administered (Table </w:t>
      </w:r>
      <w:r w:rsidR="00D13332" w:rsidRPr="00F20128">
        <w:t>1</w:t>
      </w:r>
      <w:r w:rsidRPr="00F20128">
        <w:t>).</w:t>
      </w:r>
      <w:r>
        <w:t xml:space="preserve"> In the same study, the incremental recover</w:t>
      </w:r>
      <w:r w:rsidR="00363DF7">
        <w:t>y</w:t>
      </w:r>
      <w:r>
        <w:t xml:space="preserve"> of </w:t>
      </w:r>
      <w:proofErr w:type="spellStart"/>
      <w:r>
        <w:t>BeneFIX</w:t>
      </w:r>
      <w:proofErr w:type="spellEnd"/>
      <w:r>
        <w:t xml:space="preserve"> was 0.95.</w:t>
      </w:r>
    </w:p>
    <w:p w:rsidR="00C56483" w:rsidRDefault="00C56483" w:rsidP="000B2F23">
      <w:pPr>
        <w:pStyle w:val="TableTitle"/>
      </w:pPr>
      <w:r w:rsidRPr="00F20128">
        <w:lastRenderedPageBreak/>
        <w:t xml:space="preserve">Table 1: Study </w:t>
      </w:r>
      <w:r w:rsidR="00CD7F19">
        <w:t>998HB102</w:t>
      </w:r>
      <w:r w:rsidRPr="00F20128">
        <w:t xml:space="preserve"> – Comparison of PK (FIX activity) after single doses of 50 IU/kg of </w:t>
      </w:r>
      <w:proofErr w:type="spellStart"/>
      <w:r w:rsidRPr="00F20128">
        <w:t>BeneFIX</w:t>
      </w:r>
      <w:proofErr w:type="spellEnd"/>
      <w:r w:rsidRPr="00F20128">
        <w:t xml:space="preserve"> and </w:t>
      </w:r>
      <w:proofErr w:type="spellStart"/>
      <w:r w:rsidRPr="00F20128">
        <w:t>FIXFc</w:t>
      </w:r>
      <w:proofErr w:type="spellEnd"/>
      <w:r w:rsidRPr="00F20128">
        <w:t xml:space="preserve"> (2-compartmental analysis)</w:t>
      </w:r>
    </w:p>
    <w:p w:rsidR="00D13332" w:rsidRDefault="00903CDF" w:rsidP="000B2F23">
      <w:r>
        <w:rPr>
          <w:noProof/>
          <w:lang w:eastAsia="en-AU"/>
        </w:rPr>
        <w:drawing>
          <wp:inline distT="0" distB="0" distL="0" distR="0" wp14:anchorId="7A073A0B" wp14:editId="024AAAA4">
            <wp:extent cx="5676900" cy="3606800"/>
            <wp:effectExtent l="0" t="0" r="0" b="0"/>
            <wp:docPr id="26" name="Picture 1" descr="Table 1: Study 998HB-102 – Comparison of PK (FIX activity) after single doses of 50 IU/kg of BeneFIX and FIXFc (2-compartment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tudy 998HB-102 – Comparison of PK (FIX activity) after single doses of 50 IU/kg of BeneFIX and FIXFc (2-compartmental analys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606800"/>
                    </a:xfrm>
                    <a:prstGeom prst="rect">
                      <a:avLst/>
                    </a:prstGeom>
                    <a:noFill/>
                    <a:ln>
                      <a:noFill/>
                    </a:ln>
                  </pic:spPr>
                </pic:pic>
              </a:graphicData>
            </a:graphic>
          </wp:inline>
        </w:drawing>
      </w:r>
    </w:p>
    <w:p w:rsidR="00217B82" w:rsidRPr="005C3E82" w:rsidRDefault="00217B82" w:rsidP="00903CDF">
      <w:pPr>
        <w:ind w:left="720"/>
      </w:pPr>
      <w:r w:rsidRPr="005C3E82">
        <w:rPr>
          <w:b/>
        </w:rPr>
        <w:t>Comment:</w:t>
      </w:r>
      <w:r w:rsidR="00942D4D" w:rsidRPr="005C3E82">
        <w:rPr>
          <w:b/>
        </w:rPr>
        <w:t xml:space="preserve"> </w:t>
      </w:r>
      <w:r w:rsidRPr="005C3E82">
        <w:t>Factor IX replacement products generally have an incremental recovery of approximately 1.00 IU/</w:t>
      </w:r>
      <w:proofErr w:type="spellStart"/>
      <w:r w:rsidRPr="005C3E82">
        <w:t>dL</w:t>
      </w:r>
      <w:proofErr w:type="spellEnd"/>
      <w:r w:rsidRPr="005C3E82">
        <w:t xml:space="preserve"> for every 1.0 IU/kg administered (5). The value of 0.92 for </w:t>
      </w:r>
      <w:proofErr w:type="spellStart"/>
      <w:r w:rsidRPr="005C3E82">
        <w:t>FIXFc</w:t>
      </w:r>
      <w:proofErr w:type="spellEnd"/>
      <w:r w:rsidRPr="005C3E82">
        <w:t xml:space="preserve"> is consistent with this. However, </w:t>
      </w:r>
      <w:proofErr w:type="spellStart"/>
      <w:r w:rsidRPr="005C3E82">
        <w:t>BeneFIX</w:t>
      </w:r>
      <w:proofErr w:type="spellEnd"/>
      <w:r w:rsidRPr="005C3E82">
        <w:t xml:space="preserve"> is considered to have a lower recovery than plasma-derived FIX (10). The value for incremental recovery in adults quoted in the Australian PI for </w:t>
      </w:r>
      <w:proofErr w:type="spellStart"/>
      <w:r w:rsidRPr="005C3E82">
        <w:t>BeneFIX</w:t>
      </w:r>
      <w:proofErr w:type="spellEnd"/>
      <w:r w:rsidRPr="005C3E82">
        <w:t xml:space="preserve"> is 0.72 IU/</w:t>
      </w:r>
      <w:proofErr w:type="spellStart"/>
      <w:r w:rsidRPr="005C3E82">
        <w:t>dL</w:t>
      </w:r>
      <w:proofErr w:type="spellEnd"/>
      <w:r w:rsidRPr="005C3E82">
        <w:t xml:space="preserve"> for every 1.0 IU/kg administered. As the recovery values for </w:t>
      </w:r>
      <w:proofErr w:type="spellStart"/>
      <w:r w:rsidRPr="005C3E82">
        <w:t>FIXFc</w:t>
      </w:r>
      <w:proofErr w:type="spellEnd"/>
      <w:r w:rsidRPr="005C3E82">
        <w:t xml:space="preserve"> and </w:t>
      </w:r>
      <w:proofErr w:type="spellStart"/>
      <w:r w:rsidRPr="005C3E82">
        <w:t>BeneFIX</w:t>
      </w:r>
      <w:proofErr w:type="spellEnd"/>
      <w:r w:rsidRPr="005C3E82">
        <w:t xml:space="preserve"> in this study were comparable, </w:t>
      </w:r>
      <w:proofErr w:type="spellStart"/>
      <w:r w:rsidRPr="005C3E82">
        <w:t>FIXFc</w:t>
      </w:r>
      <w:proofErr w:type="spellEnd"/>
      <w:r w:rsidRPr="005C3E82">
        <w:t xml:space="preserve"> may also have a lower recovery than plasma-derived FIX.</w:t>
      </w:r>
    </w:p>
    <w:p w:rsidR="00217B82" w:rsidRPr="00266047" w:rsidRDefault="00217B82" w:rsidP="00903CDF">
      <w:pPr>
        <w:pStyle w:val="Heading6"/>
      </w:pPr>
      <w:r w:rsidRPr="00266047">
        <w:t>Dose proportionality</w:t>
      </w:r>
    </w:p>
    <w:p w:rsidR="00217B82" w:rsidRDefault="00217B82" w:rsidP="00903CDF">
      <w:r>
        <w:t xml:space="preserve">Mean </w:t>
      </w:r>
      <w:r w:rsidRPr="003E09A8">
        <w:t>C</w:t>
      </w:r>
      <w:r w:rsidRPr="003E09A8">
        <w:rPr>
          <w:vertAlign w:val="subscript"/>
        </w:rPr>
        <w:t>max</w:t>
      </w:r>
      <w:r>
        <w:t xml:space="preserve"> and AUC increased in an approximately dose proportional manner for both FIX activity and </w:t>
      </w:r>
      <w:proofErr w:type="spellStart"/>
      <w:r>
        <w:t>FIXFc</w:t>
      </w:r>
      <w:proofErr w:type="spellEnd"/>
      <w:r>
        <w:t xml:space="preserve"> antigen, over the dose range of 25</w:t>
      </w:r>
      <w:r w:rsidR="002A327C">
        <w:t xml:space="preserve"> to </w:t>
      </w:r>
      <w:r>
        <w:t>100 IU/kg.</w:t>
      </w:r>
    </w:p>
    <w:p w:rsidR="00903CDF" w:rsidRDefault="00743103" w:rsidP="00903CDF">
      <w:pPr>
        <w:pStyle w:val="TableTitle"/>
      </w:pPr>
      <w:r w:rsidRPr="00743103">
        <w:t xml:space="preserve">Table </w:t>
      </w:r>
      <w:r w:rsidR="001E0258">
        <w:t>2</w:t>
      </w:r>
      <w:r w:rsidRPr="00743103">
        <w:t>:</w:t>
      </w:r>
      <w:r>
        <w:t xml:space="preserve"> </w:t>
      </w:r>
      <w:r w:rsidRPr="00743103">
        <w:t>Phase I/</w:t>
      </w:r>
      <w:proofErr w:type="spellStart"/>
      <w:r w:rsidRPr="00743103">
        <w:t>IIa</w:t>
      </w:r>
      <w:proofErr w:type="spellEnd"/>
      <w:r w:rsidRPr="00743103">
        <w:t xml:space="preserve"> Study (SYN-FIXFc-07-001) – FIX activity PK Parameters (Mean ± SD)</w:t>
      </w:r>
    </w:p>
    <w:p w:rsidR="00743103" w:rsidRDefault="00903CDF" w:rsidP="00903CDF">
      <w:r>
        <w:rPr>
          <w:noProof/>
          <w:lang w:eastAsia="en-AU"/>
        </w:rPr>
        <w:drawing>
          <wp:inline distT="0" distB="0" distL="0" distR="0" wp14:anchorId="0581059C" wp14:editId="41C0F5B6">
            <wp:extent cx="5739130" cy="1907540"/>
            <wp:effectExtent l="0" t="0" r="0" b="0"/>
            <wp:docPr id="3" name="Picture 3" descr="Table 2: Phase I/IIa Study (SYN-FIXFc-07-001) – FIX activity PK Parameters (Mean ± 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Phase I/IIa Study (SYN-FIXFc-07-001) – FIX activity PK Parameters (Mean ± S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9130" cy="1907540"/>
                    </a:xfrm>
                    <a:prstGeom prst="rect">
                      <a:avLst/>
                    </a:prstGeom>
                    <a:noFill/>
                    <a:ln>
                      <a:noFill/>
                    </a:ln>
                  </pic:spPr>
                </pic:pic>
              </a:graphicData>
            </a:graphic>
          </wp:inline>
        </w:drawing>
      </w:r>
    </w:p>
    <w:p w:rsidR="00743103" w:rsidRDefault="00D13332" w:rsidP="00903CDF">
      <w:pPr>
        <w:pStyle w:val="TableTitle"/>
      </w:pPr>
      <w:r w:rsidRPr="00743103">
        <w:lastRenderedPageBreak/>
        <w:t xml:space="preserve">Table </w:t>
      </w:r>
      <w:r>
        <w:t>3</w:t>
      </w:r>
      <w:r w:rsidRPr="00743103">
        <w:t>:</w:t>
      </w:r>
      <w:r>
        <w:t xml:space="preserve"> </w:t>
      </w:r>
      <w:r w:rsidRPr="00743103">
        <w:t>Phase I/</w:t>
      </w:r>
      <w:proofErr w:type="spellStart"/>
      <w:r w:rsidRPr="00743103">
        <w:t>IIa</w:t>
      </w:r>
      <w:proofErr w:type="spellEnd"/>
      <w:r w:rsidRPr="00743103">
        <w:t xml:space="preserve"> Study (SYN-FIXFc-07-001) – </w:t>
      </w:r>
      <w:proofErr w:type="spellStart"/>
      <w:r>
        <w:t>r</w:t>
      </w:r>
      <w:r w:rsidRPr="00743103">
        <w:t>FIX</w:t>
      </w:r>
      <w:r>
        <w:t>Fc</w:t>
      </w:r>
      <w:proofErr w:type="spellEnd"/>
      <w:r w:rsidRPr="00743103">
        <w:t xml:space="preserve"> </w:t>
      </w:r>
      <w:proofErr w:type="spellStart"/>
      <w:r w:rsidRPr="00743103">
        <w:t>a</w:t>
      </w:r>
      <w:r>
        <w:t>nitgen</w:t>
      </w:r>
      <w:proofErr w:type="spellEnd"/>
      <w:r w:rsidRPr="00743103">
        <w:t xml:space="preserve"> PK Parameters (Mean ± SD)</w:t>
      </w:r>
    </w:p>
    <w:p w:rsidR="00D13332" w:rsidRDefault="00903CDF" w:rsidP="00903CDF">
      <w:r>
        <w:rPr>
          <w:noProof/>
          <w:lang w:eastAsia="en-AU"/>
        </w:rPr>
        <w:drawing>
          <wp:inline distT="0" distB="0" distL="0" distR="0" wp14:anchorId="229F0EE5" wp14:editId="4B0B39D6">
            <wp:extent cx="5749925" cy="1553845"/>
            <wp:effectExtent l="0" t="0" r="0" b="0"/>
            <wp:docPr id="4" name="Picture 4" descr="Table 3: Phase I/IIa Study (SYN-FIXFc-07-001) – rFIXFc anitgen PK Parameters (Mean ±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Phase I/IIa Study (SYN-FIXFc-07-001) – rFIXFc anitgen PK Parameters (Mean ± S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925" cy="1553845"/>
                    </a:xfrm>
                    <a:prstGeom prst="rect">
                      <a:avLst/>
                    </a:prstGeom>
                    <a:noFill/>
                    <a:ln>
                      <a:noFill/>
                    </a:ln>
                  </pic:spPr>
                </pic:pic>
              </a:graphicData>
            </a:graphic>
          </wp:inline>
        </w:drawing>
      </w:r>
    </w:p>
    <w:p w:rsidR="00217B82" w:rsidRPr="00266047" w:rsidRDefault="00217B82" w:rsidP="00903CDF">
      <w:pPr>
        <w:pStyle w:val="Heading6"/>
      </w:pPr>
      <w:r w:rsidRPr="00266047">
        <w:t>PK during multiple-dosing</w:t>
      </w:r>
    </w:p>
    <w:p w:rsidR="00217B82" w:rsidRDefault="00217B82" w:rsidP="00903CDF">
      <w:r>
        <w:t xml:space="preserve">There was no alteration in the PK of </w:t>
      </w:r>
      <w:proofErr w:type="spellStart"/>
      <w:r>
        <w:t>FIXFc</w:t>
      </w:r>
      <w:proofErr w:type="spellEnd"/>
      <w:r>
        <w:t xml:space="preserve"> after 26 weeks of dosing using a prophylaxis regimen </w:t>
      </w:r>
      <w:r w:rsidRPr="00F20128">
        <w:t>(Table 4).</w:t>
      </w:r>
    </w:p>
    <w:p w:rsidR="00D13332" w:rsidRDefault="00D13332" w:rsidP="00903CDF">
      <w:pPr>
        <w:pStyle w:val="TableTitle"/>
      </w:pPr>
      <w:r>
        <w:t xml:space="preserve">Table 4: Study </w:t>
      </w:r>
      <w:r w:rsidR="00CD7F19">
        <w:t>998HB102</w:t>
      </w:r>
      <w:r>
        <w:t xml:space="preserve"> – Comparison of PK (FIX activity) after single doses of 50 IU/kg of </w:t>
      </w:r>
      <w:proofErr w:type="spellStart"/>
      <w:r>
        <w:t>FIXFc</w:t>
      </w:r>
      <w:proofErr w:type="spellEnd"/>
      <w:r>
        <w:t xml:space="preserve"> at baseline and 26 weeks (2-compartmental analysis)</w:t>
      </w:r>
    </w:p>
    <w:p w:rsidR="00D13332" w:rsidRDefault="00903CDF" w:rsidP="00903CDF">
      <w:r>
        <w:rPr>
          <w:noProof/>
          <w:lang w:eastAsia="en-AU"/>
        </w:rPr>
        <w:drawing>
          <wp:inline distT="0" distB="0" distL="0" distR="0" wp14:anchorId="08B6ADFF" wp14:editId="633DCEA6">
            <wp:extent cx="5132705" cy="3225800"/>
            <wp:effectExtent l="0" t="0" r="0" b="0"/>
            <wp:docPr id="5" name="Picture 5" descr="Table 4: Study 998HB-102 – Comparison of PK (FIX activity) after single doses of 50 IU/kg of FIXFc at baseline and 26 weeks (2-compartment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Study 998HB-102 – Comparison of PK (FIX activity) after single doses of 50 IU/kg of FIXFc at baseline and 26 weeks (2-compartmental analys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2705" cy="3225800"/>
                    </a:xfrm>
                    <a:prstGeom prst="rect">
                      <a:avLst/>
                    </a:prstGeom>
                    <a:noFill/>
                    <a:ln>
                      <a:noFill/>
                    </a:ln>
                  </pic:spPr>
                </pic:pic>
              </a:graphicData>
            </a:graphic>
          </wp:inline>
        </w:drawing>
      </w:r>
    </w:p>
    <w:p w:rsidR="00217B82" w:rsidRPr="00D076BA" w:rsidRDefault="00217B82" w:rsidP="00903CDF">
      <w:pPr>
        <w:pStyle w:val="Heading5"/>
      </w:pPr>
      <w:bookmarkStart w:id="47" w:name="_Toc241374288"/>
      <w:bookmarkStart w:id="48" w:name="_Toc272414621"/>
      <w:bookmarkStart w:id="49" w:name="_Toc290846244"/>
      <w:bookmarkStart w:id="50" w:name="_Toc242109040"/>
      <w:r w:rsidRPr="00D076BA">
        <w:t>Distribution</w:t>
      </w:r>
      <w:bookmarkEnd w:id="47"/>
      <w:bookmarkEnd w:id="48"/>
      <w:bookmarkEnd w:id="49"/>
      <w:bookmarkEnd w:id="50"/>
    </w:p>
    <w:p w:rsidR="00217B82" w:rsidRPr="00D076BA" w:rsidRDefault="00217B82" w:rsidP="00903CDF">
      <w:pPr>
        <w:pStyle w:val="Heading6"/>
      </w:pPr>
      <w:r w:rsidRPr="00D076BA">
        <w:t>Volume of distribution</w:t>
      </w:r>
    </w:p>
    <w:p w:rsidR="00217B82" w:rsidRDefault="00217B82" w:rsidP="00903CDF">
      <w:r>
        <w:t>In the conventional PK studies, the volume of distribution at steady state (</w:t>
      </w:r>
      <w:proofErr w:type="spellStart"/>
      <w:r>
        <w:t>V</w:t>
      </w:r>
      <w:r w:rsidRPr="00AC1DE4">
        <w:rPr>
          <w:vertAlign w:val="subscript"/>
        </w:rPr>
        <w:t>ss</w:t>
      </w:r>
      <w:proofErr w:type="spellEnd"/>
      <w:r>
        <w:t>) varied between 227</w:t>
      </w:r>
      <w:r w:rsidR="00F940C9">
        <w:t xml:space="preserve"> and </w:t>
      </w:r>
      <w:r>
        <w:t>314 mL/kg (16</w:t>
      </w:r>
      <w:r w:rsidR="00F940C9">
        <w:t xml:space="preserve"> to </w:t>
      </w:r>
      <w:r>
        <w:t xml:space="preserve">22 L for a 70 kg individual). In the population PK analysis the estimated </w:t>
      </w:r>
      <w:proofErr w:type="spellStart"/>
      <w:r>
        <w:t>V</w:t>
      </w:r>
      <w:r w:rsidRPr="009851A9">
        <w:rPr>
          <w:vertAlign w:val="subscript"/>
        </w:rPr>
        <w:t>ss</w:t>
      </w:r>
      <w:proofErr w:type="spellEnd"/>
      <w:r>
        <w:t xml:space="preserve"> was 271 mL/kg.</w:t>
      </w:r>
    </w:p>
    <w:p w:rsidR="00217B82" w:rsidRPr="00397F3E" w:rsidRDefault="00217B82" w:rsidP="00903CDF">
      <w:pPr>
        <w:pStyle w:val="Heading6"/>
      </w:pPr>
      <w:r>
        <w:t xml:space="preserve">Other </w:t>
      </w:r>
      <w:r w:rsidRPr="00903CDF">
        <w:t>distribution</w:t>
      </w:r>
      <w:r>
        <w:t xml:space="preserve"> parameters</w:t>
      </w:r>
    </w:p>
    <w:p w:rsidR="00217B82" w:rsidRDefault="00217B82" w:rsidP="00903CDF">
      <w:r>
        <w:t>There were no clinical data submitted on plasma protein binding, erythrocyte distribution or tissue distribution.</w:t>
      </w:r>
    </w:p>
    <w:p w:rsidR="00217B82" w:rsidRPr="005C3E82" w:rsidRDefault="00217B82" w:rsidP="00903CDF">
      <w:pPr>
        <w:ind w:left="720"/>
      </w:pPr>
      <w:r w:rsidRPr="005C3E82">
        <w:rPr>
          <w:b/>
        </w:rPr>
        <w:t>Comment:</w:t>
      </w:r>
      <w:r w:rsidR="00942D4D" w:rsidRPr="005C3E82">
        <w:t xml:space="preserve"> </w:t>
      </w:r>
      <w:r w:rsidRPr="005C3E82">
        <w:t>The guideline on PK of therapeutic proteins adopted by the TGA (6) states that</w:t>
      </w:r>
      <w:r w:rsidR="00942D4D" w:rsidRPr="005C3E82">
        <w:t xml:space="preserve"> </w:t>
      </w:r>
      <w:r w:rsidRPr="005C3E82">
        <w:t>“... binding capacity to plasma proteins should be studied when considered relevant”. It contains no recommendations regarding the need to measure distribution to tissues. The absence of data on other distribution parameters is not considered a deficiency in the submission.</w:t>
      </w:r>
    </w:p>
    <w:p w:rsidR="00217B82" w:rsidRPr="002F33B1" w:rsidRDefault="00217B82" w:rsidP="00903CDF">
      <w:pPr>
        <w:pStyle w:val="Heading5"/>
      </w:pPr>
      <w:bookmarkStart w:id="51" w:name="_Toc272414622"/>
      <w:bookmarkStart w:id="52" w:name="_Toc290846245"/>
      <w:bookmarkStart w:id="53" w:name="_Toc242109041"/>
      <w:r w:rsidRPr="00834C7D">
        <w:lastRenderedPageBreak/>
        <w:t>Metabolism</w:t>
      </w:r>
      <w:bookmarkEnd w:id="51"/>
      <w:bookmarkEnd w:id="52"/>
      <w:r>
        <w:t xml:space="preserve"> and </w:t>
      </w:r>
      <w:r w:rsidR="00903CDF" w:rsidRPr="00903CDF">
        <w:t>e</w:t>
      </w:r>
      <w:r w:rsidRPr="00903CDF">
        <w:t>xcretion</w:t>
      </w:r>
      <w:bookmarkEnd w:id="53"/>
    </w:p>
    <w:p w:rsidR="00217B82" w:rsidRDefault="00217B82" w:rsidP="00903CDF">
      <w:pPr>
        <w:pStyle w:val="Heading6"/>
      </w:pPr>
      <w:r>
        <w:t xml:space="preserve">Routes of </w:t>
      </w:r>
      <w:r w:rsidRPr="00903CDF">
        <w:t>metabolism</w:t>
      </w:r>
      <w:r>
        <w:t xml:space="preserve"> and excretion</w:t>
      </w:r>
    </w:p>
    <w:p w:rsidR="00217B82" w:rsidRDefault="00217B82" w:rsidP="00903CDF">
      <w:r>
        <w:t>There were no clinical data in the submission regarding the routes of met</w:t>
      </w:r>
      <w:r w:rsidR="00903CDF">
        <w:t xml:space="preserve">abolism and excretion of </w:t>
      </w:r>
      <w:proofErr w:type="spellStart"/>
      <w:r w:rsidR="00903CDF">
        <w:t>FIXFc</w:t>
      </w:r>
      <w:proofErr w:type="spellEnd"/>
      <w:r w:rsidR="00903CDF">
        <w:t>.</w:t>
      </w:r>
    </w:p>
    <w:p w:rsidR="00217B82" w:rsidRPr="00654769" w:rsidRDefault="00065D0B" w:rsidP="00903CDF">
      <w:pPr>
        <w:ind w:left="720"/>
      </w:pPr>
      <w:r w:rsidRPr="005C3E82">
        <w:rPr>
          <w:b/>
        </w:rPr>
        <w:t>Comment:</w:t>
      </w:r>
      <w:r w:rsidRPr="00654769">
        <w:t xml:space="preserve"> </w:t>
      </w:r>
      <w:r w:rsidR="00217B82" w:rsidRPr="00654769">
        <w:t>According to the guideline on PK of therapeutic proteins, the elimination of large proteins can be predicted to occur through catabolism by proteolysis.</w:t>
      </w:r>
    </w:p>
    <w:p w:rsidR="00217B82" w:rsidRPr="00386B0A" w:rsidRDefault="00217B82" w:rsidP="00903CDF">
      <w:pPr>
        <w:pStyle w:val="Heading6"/>
      </w:pPr>
      <w:r>
        <w:t>Clearance</w:t>
      </w:r>
    </w:p>
    <w:p w:rsidR="00217B82" w:rsidRDefault="00217B82" w:rsidP="00903CDF">
      <w:r>
        <w:t xml:space="preserve">Following a single intravenous dose of </w:t>
      </w:r>
      <w:proofErr w:type="spellStart"/>
      <w:r>
        <w:t>FIXFc</w:t>
      </w:r>
      <w:proofErr w:type="spellEnd"/>
      <w:r>
        <w:t>, clearance was measured as 3.19 mL/</w:t>
      </w:r>
      <w:proofErr w:type="spellStart"/>
      <w:r>
        <w:t>hr</w:t>
      </w:r>
      <w:proofErr w:type="spellEnd"/>
      <w:r>
        <w:t xml:space="preserve">/kg </w:t>
      </w:r>
      <w:r w:rsidRPr="005C3E82">
        <w:t xml:space="preserve">(Table </w:t>
      </w:r>
      <w:r w:rsidR="003D2B82" w:rsidRPr="005C3E82">
        <w:t>1</w:t>
      </w:r>
      <w:r w:rsidR="00AC18E9" w:rsidRPr="005C3E82">
        <w:t xml:space="preserve"> above</w:t>
      </w:r>
      <w:r w:rsidRPr="005C3E82">
        <w:t>).</w:t>
      </w:r>
      <w:r w:rsidRPr="009851A9">
        <w:t xml:space="preserve"> This equates to 3.72 mL/min for a 70 kg individual.</w:t>
      </w:r>
    </w:p>
    <w:p w:rsidR="00217B82" w:rsidRDefault="00217B82" w:rsidP="00903CDF">
      <w:pPr>
        <w:pStyle w:val="Heading6"/>
      </w:pPr>
      <w:r>
        <w:t>Half-life</w:t>
      </w:r>
    </w:p>
    <w:p w:rsidR="00217B82" w:rsidRPr="005C3E82" w:rsidRDefault="00217B82" w:rsidP="00903CDF">
      <w:r w:rsidRPr="005C3E82">
        <w:t>In the same study, half-life (of FIX activity) was measured as 82.1 h (Table 1</w:t>
      </w:r>
      <w:r w:rsidR="008064F3" w:rsidRPr="005C3E82">
        <w:t xml:space="preserve"> above</w:t>
      </w:r>
      <w:r w:rsidRPr="005C3E82">
        <w:t xml:space="preserve">). The half-life of </w:t>
      </w:r>
      <w:proofErr w:type="spellStart"/>
      <w:r w:rsidRPr="005C3E82">
        <w:t>FIXFc</w:t>
      </w:r>
      <w:proofErr w:type="spellEnd"/>
      <w:r w:rsidRPr="005C3E82">
        <w:t xml:space="preserve"> antigen was longer (up to 145 hours), probably due to the greater sensitivity of the </w:t>
      </w:r>
      <w:proofErr w:type="spellStart"/>
      <w:r w:rsidRPr="005C3E82">
        <w:t>FIXFc</w:t>
      </w:r>
      <w:proofErr w:type="spellEnd"/>
      <w:r w:rsidRPr="005C3E82">
        <w:t xml:space="preserve"> </w:t>
      </w:r>
      <w:r w:rsidR="003D2B82" w:rsidRPr="005C3E82">
        <w:t>a</w:t>
      </w:r>
      <w:r w:rsidRPr="005C3E82">
        <w:t>ntigen assay compared to the FIX activity assay.</w:t>
      </w:r>
    </w:p>
    <w:p w:rsidR="00217B82" w:rsidRPr="00D35BE3" w:rsidRDefault="00217B82" w:rsidP="00903CDF">
      <w:pPr>
        <w:pStyle w:val="Heading5"/>
      </w:pPr>
      <w:bookmarkStart w:id="54" w:name="_Toc241374291"/>
      <w:bookmarkStart w:id="55" w:name="_Toc272414624"/>
      <w:bookmarkStart w:id="56" w:name="_Toc290846247"/>
      <w:bookmarkStart w:id="57" w:name="_Toc242109042"/>
      <w:r w:rsidRPr="00D35BE3">
        <w:t>Intra- and inter-individual variability</w:t>
      </w:r>
      <w:bookmarkEnd w:id="54"/>
      <w:r w:rsidRPr="00D35BE3">
        <w:t xml:space="preserve"> of pharmacokinetics</w:t>
      </w:r>
      <w:bookmarkEnd w:id="55"/>
      <w:bookmarkEnd w:id="56"/>
      <w:bookmarkEnd w:id="57"/>
    </w:p>
    <w:p w:rsidR="00217B82" w:rsidRDefault="00217B82" w:rsidP="00903CDF">
      <w:r>
        <w:t xml:space="preserve">Both inter-individual and intra-individual variability in PK parameters appeared modest. In the population PK analysis, weight was the only covariate that demonstrated an effect on the PK of </w:t>
      </w:r>
      <w:proofErr w:type="spellStart"/>
      <w:r>
        <w:t>FIXFc</w:t>
      </w:r>
      <w:proofErr w:type="spellEnd"/>
      <w:r>
        <w:t>. All the dosage regimens proposed by the sponsor are weight</w:t>
      </w:r>
      <w:r w:rsidR="00F940C9">
        <w:t xml:space="preserve"> </w:t>
      </w:r>
      <w:r>
        <w:t>adjusted.</w:t>
      </w:r>
    </w:p>
    <w:p w:rsidR="00217B82" w:rsidRPr="00BE7F1E" w:rsidRDefault="00217B82" w:rsidP="00903CDF">
      <w:pPr>
        <w:pStyle w:val="Heading4"/>
      </w:pPr>
      <w:bookmarkStart w:id="58" w:name="_Toc241374293"/>
      <w:bookmarkStart w:id="59" w:name="_Toc272414626"/>
      <w:bookmarkStart w:id="60" w:name="_Toc290846249"/>
      <w:bookmarkStart w:id="61" w:name="_Toc242109043"/>
      <w:r w:rsidRPr="00BE7F1E">
        <w:t>Pharmacokinetics in other special populations</w:t>
      </w:r>
      <w:bookmarkEnd w:id="58"/>
      <w:bookmarkEnd w:id="59"/>
      <w:bookmarkEnd w:id="60"/>
      <w:bookmarkEnd w:id="61"/>
    </w:p>
    <w:p w:rsidR="00217B82" w:rsidRPr="00BE7F1E" w:rsidRDefault="00217B82" w:rsidP="00903CDF">
      <w:pPr>
        <w:pStyle w:val="Heading5"/>
      </w:pPr>
      <w:bookmarkStart w:id="62" w:name="_Toc272414627"/>
      <w:bookmarkStart w:id="63" w:name="_Toc290846250"/>
      <w:bookmarkStart w:id="64" w:name="_Toc242109044"/>
      <w:r w:rsidRPr="00BE7F1E">
        <w:t xml:space="preserve">Pharmacokinetics in subjects with impaired hepatic </w:t>
      </w:r>
      <w:r w:rsidRPr="00903CDF">
        <w:t>function</w:t>
      </w:r>
      <w:bookmarkEnd w:id="62"/>
      <w:bookmarkEnd w:id="63"/>
      <w:bookmarkEnd w:id="64"/>
    </w:p>
    <w:p w:rsidR="00217B82" w:rsidRDefault="00217B82" w:rsidP="00903CDF">
      <w:r>
        <w:t xml:space="preserve">There were no clinical data on the effect of impaired hepatic function on the PK of </w:t>
      </w:r>
      <w:proofErr w:type="spellStart"/>
      <w:r>
        <w:t>FIXFc</w:t>
      </w:r>
      <w:proofErr w:type="spellEnd"/>
      <w:r>
        <w:t>.</w:t>
      </w:r>
    </w:p>
    <w:p w:rsidR="00217B82" w:rsidRPr="00BE7F1E" w:rsidRDefault="00217B82" w:rsidP="00903CDF">
      <w:pPr>
        <w:pStyle w:val="Heading5"/>
      </w:pPr>
      <w:bookmarkStart w:id="65" w:name="_Toc272414628"/>
      <w:bookmarkStart w:id="66" w:name="_Toc290846251"/>
      <w:bookmarkStart w:id="67" w:name="_Toc242109045"/>
      <w:r w:rsidRPr="00BE7F1E">
        <w:t>Pharmacokinetics in subjects with impaired renal function</w:t>
      </w:r>
      <w:bookmarkEnd w:id="65"/>
      <w:bookmarkEnd w:id="66"/>
      <w:bookmarkEnd w:id="67"/>
    </w:p>
    <w:p w:rsidR="00217B82" w:rsidRDefault="00217B82" w:rsidP="00903CDF">
      <w:r>
        <w:t xml:space="preserve">There were no clinical data on the effect of impaired renal function on the PK of </w:t>
      </w:r>
      <w:proofErr w:type="spellStart"/>
      <w:r>
        <w:t>FIXFc</w:t>
      </w:r>
      <w:proofErr w:type="spellEnd"/>
      <w:r>
        <w:t>.</w:t>
      </w:r>
    </w:p>
    <w:p w:rsidR="00217B82" w:rsidRPr="00065D0B" w:rsidRDefault="00217B82" w:rsidP="00903CDF">
      <w:pPr>
        <w:ind w:left="720"/>
      </w:pPr>
      <w:r w:rsidRPr="005C3E82">
        <w:rPr>
          <w:b/>
        </w:rPr>
        <w:t>Comm</w:t>
      </w:r>
      <w:r w:rsidR="00065D0B" w:rsidRPr="005C3E82">
        <w:rPr>
          <w:b/>
        </w:rPr>
        <w:t>ent:</w:t>
      </w:r>
      <w:r w:rsidR="00065D0B">
        <w:t xml:space="preserve"> </w:t>
      </w:r>
      <w:r w:rsidRPr="00065D0B">
        <w:t xml:space="preserve">Renal clearance is unlikely to be significant for large proteins such as </w:t>
      </w:r>
      <w:proofErr w:type="spellStart"/>
      <w:r w:rsidRPr="00065D0B">
        <w:t>FIXFc</w:t>
      </w:r>
      <w:proofErr w:type="spellEnd"/>
      <w:r w:rsidRPr="00065D0B">
        <w:t>. Hence the absence of PK data in subjects with renal impairment is not considered to be a deficiency in the submission.</w:t>
      </w:r>
    </w:p>
    <w:p w:rsidR="00217B82" w:rsidRPr="00536307" w:rsidRDefault="00217B82" w:rsidP="00903CDF">
      <w:pPr>
        <w:pStyle w:val="Heading5"/>
      </w:pPr>
      <w:bookmarkStart w:id="68" w:name="_Toc272414629"/>
      <w:bookmarkStart w:id="69" w:name="_Toc290846252"/>
      <w:bookmarkStart w:id="70" w:name="_Toc242109046"/>
      <w:r w:rsidRPr="00536307">
        <w:t>Pharmacokinetics according to age</w:t>
      </w:r>
      <w:bookmarkEnd w:id="68"/>
      <w:bookmarkEnd w:id="69"/>
      <w:bookmarkEnd w:id="70"/>
    </w:p>
    <w:p w:rsidR="00217B82" w:rsidRDefault="00217B82" w:rsidP="00903CDF">
      <w:r>
        <w:t xml:space="preserve">In the population PK analysis, age did not affect the PK of </w:t>
      </w:r>
      <w:proofErr w:type="spellStart"/>
      <w:r>
        <w:t>FIXFc</w:t>
      </w:r>
      <w:proofErr w:type="spellEnd"/>
      <w:r>
        <w:t>.</w:t>
      </w:r>
    </w:p>
    <w:p w:rsidR="00217B82" w:rsidRPr="00536307" w:rsidRDefault="00217B82" w:rsidP="00903CDF">
      <w:pPr>
        <w:pStyle w:val="Heading5"/>
      </w:pPr>
      <w:bookmarkStart w:id="71" w:name="_Toc272414630"/>
      <w:bookmarkStart w:id="72" w:name="_Toc290846253"/>
      <w:bookmarkStart w:id="73" w:name="_Toc242109047"/>
      <w:r w:rsidRPr="00536307">
        <w:t xml:space="preserve">Pharmacokinetics related to </w:t>
      </w:r>
      <w:r w:rsidRPr="00903CDF">
        <w:t>genetic</w:t>
      </w:r>
      <w:r w:rsidRPr="00536307">
        <w:t xml:space="preserve"> factors</w:t>
      </w:r>
      <w:bookmarkEnd w:id="71"/>
      <w:bookmarkEnd w:id="72"/>
      <w:bookmarkEnd w:id="73"/>
    </w:p>
    <w:p w:rsidR="00217B82" w:rsidRDefault="00217B82" w:rsidP="00903CDF">
      <w:r>
        <w:t xml:space="preserve">In the population PK analysis, race, blood type or FIX genotype did not affect the PK of </w:t>
      </w:r>
      <w:proofErr w:type="spellStart"/>
      <w:r>
        <w:t>FIXFc</w:t>
      </w:r>
      <w:proofErr w:type="spellEnd"/>
      <w:r>
        <w:t>.</w:t>
      </w:r>
    </w:p>
    <w:p w:rsidR="00217B82" w:rsidRPr="002F33B1" w:rsidRDefault="00217B82" w:rsidP="00903CDF">
      <w:pPr>
        <w:pStyle w:val="Heading4"/>
      </w:pPr>
      <w:bookmarkStart w:id="74" w:name="_Toc241374294"/>
      <w:bookmarkStart w:id="75" w:name="_Toc272414632"/>
      <w:bookmarkStart w:id="76" w:name="_Toc290846255"/>
      <w:bookmarkStart w:id="77" w:name="_Toc242109048"/>
      <w:r w:rsidRPr="002F33B1">
        <w:t>Pharmacokinetic interactions</w:t>
      </w:r>
      <w:bookmarkEnd w:id="74"/>
      <w:bookmarkEnd w:id="75"/>
      <w:bookmarkEnd w:id="76"/>
      <w:bookmarkEnd w:id="77"/>
    </w:p>
    <w:p w:rsidR="00217B82" w:rsidRDefault="00217B82" w:rsidP="00903CDF">
      <w:r>
        <w:t>The submission contained no clinical data on interactions.</w:t>
      </w:r>
    </w:p>
    <w:p w:rsidR="00217B82" w:rsidRDefault="00217B82" w:rsidP="00903CDF">
      <w:pPr>
        <w:pStyle w:val="Heading3"/>
      </w:pPr>
      <w:bookmarkStart w:id="78" w:name="_Toc241374296"/>
      <w:bookmarkStart w:id="79" w:name="_Ref269982040"/>
      <w:bookmarkStart w:id="80" w:name="_Ref271018704"/>
      <w:bookmarkStart w:id="81" w:name="_Ref271018755"/>
      <w:bookmarkStart w:id="82" w:name="_Toc272414635"/>
      <w:bookmarkStart w:id="83" w:name="_Toc290846258"/>
      <w:bookmarkStart w:id="84" w:name="_Toc242109049"/>
      <w:bookmarkStart w:id="85" w:name="_Toc404074080"/>
      <w:r>
        <w:t xml:space="preserve">Evaluator’s overall conclusions on </w:t>
      </w:r>
      <w:r w:rsidRPr="00903CDF">
        <w:t>pharmacokinetics</w:t>
      </w:r>
      <w:bookmarkEnd w:id="78"/>
      <w:bookmarkEnd w:id="79"/>
      <w:bookmarkEnd w:id="80"/>
      <w:bookmarkEnd w:id="81"/>
      <w:bookmarkEnd w:id="82"/>
      <w:bookmarkEnd w:id="83"/>
      <w:bookmarkEnd w:id="84"/>
      <w:bookmarkEnd w:id="85"/>
    </w:p>
    <w:p w:rsidR="00217B82" w:rsidRPr="005C3E82" w:rsidRDefault="00217B82" w:rsidP="00903CDF">
      <w:r w:rsidRPr="005C3E82">
        <w:t xml:space="preserve">The PK of </w:t>
      </w:r>
      <w:proofErr w:type="spellStart"/>
      <w:r w:rsidRPr="005C3E82">
        <w:t>FIXFc</w:t>
      </w:r>
      <w:proofErr w:type="spellEnd"/>
      <w:r w:rsidRPr="005C3E82">
        <w:t xml:space="preserve"> </w:t>
      </w:r>
      <w:proofErr w:type="gramStart"/>
      <w:r w:rsidRPr="005C3E82">
        <w:t>have</w:t>
      </w:r>
      <w:proofErr w:type="gramEnd"/>
      <w:r w:rsidRPr="005C3E82">
        <w:t xml:space="preserve"> been adequately characterised, given the rarity of haemophilia B and the fact that </w:t>
      </w:r>
      <w:proofErr w:type="spellStart"/>
      <w:r w:rsidRPr="005C3E82">
        <w:t>FIXFc</w:t>
      </w:r>
      <w:proofErr w:type="spellEnd"/>
      <w:r w:rsidRPr="005C3E82">
        <w:t xml:space="preserve"> is a large protein. In addition, the data generated meet the requirements for PK data laid down in the 2012 EMA haemophilia B guideline.</w:t>
      </w:r>
    </w:p>
    <w:p w:rsidR="00586F98" w:rsidRPr="00301573" w:rsidRDefault="00586F98" w:rsidP="00205D74">
      <w:pPr>
        <w:pStyle w:val="Heading2"/>
      </w:pPr>
      <w:bookmarkStart w:id="86" w:name="_Toc404074081"/>
      <w:r w:rsidRPr="00301573">
        <w:t>Pharmacodynamics</w:t>
      </w:r>
      <w:bookmarkEnd w:id="86"/>
    </w:p>
    <w:p w:rsidR="00301573" w:rsidRPr="00F20128" w:rsidRDefault="00301573" w:rsidP="00205D74">
      <w:r w:rsidRPr="00F20128">
        <w:t xml:space="preserve">FIX activity was measured in both the submitted studies. In haemophilia studies this is generally considered to be a pharmacokinetic endpoint and results have therefore been described in section </w:t>
      </w:r>
      <w:r w:rsidR="00652C96" w:rsidRPr="00F20128">
        <w:t>4</w:t>
      </w:r>
      <w:r w:rsidRPr="00F20128">
        <w:t xml:space="preserve"> of this report.</w:t>
      </w:r>
    </w:p>
    <w:p w:rsidR="00301573" w:rsidRPr="00F20128" w:rsidRDefault="002C00B6" w:rsidP="00205D74">
      <w:r w:rsidRPr="00F20128">
        <w:lastRenderedPageBreak/>
        <w:t>In S</w:t>
      </w:r>
      <w:r w:rsidR="00301573" w:rsidRPr="00F20128">
        <w:t xml:space="preserve">tudy </w:t>
      </w:r>
      <w:r w:rsidR="00CD7F19">
        <w:t>998HB102</w:t>
      </w:r>
      <w:r w:rsidR="00301573" w:rsidRPr="00F20128">
        <w:t xml:space="preserve">, global haemostasis assays were performed, including an exploratory thrombin generation assay and, in some sites, whole blood rotation </w:t>
      </w:r>
      <w:proofErr w:type="spellStart"/>
      <w:r w:rsidR="00301573" w:rsidRPr="00F20128">
        <w:t>thromboelastometry</w:t>
      </w:r>
      <w:proofErr w:type="spellEnd"/>
      <w:r w:rsidR="00301573" w:rsidRPr="00F20128">
        <w:t xml:space="preserve"> (ROTEM). The results were not included in the submitted study report.</w:t>
      </w:r>
    </w:p>
    <w:p w:rsidR="00301573" w:rsidRPr="00F20128" w:rsidRDefault="00301573" w:rsidP="00F20128">
      <w:r w:rsidRPr="00F20128">
        <w:t>No other pharmacodynamic data were submitted.</w:t>
      </w:r>
    </w:p>
    <w:p w:rsidR="00586F98" w:rsidRDefault="00C22678" w:rsidP="00205D74">
      <w:pPr>
        <w:pStyle w:val="Heading2"/>
      </w:pPr>
      <w:bookmarkStart w:id="87" w:name="_Toc404074082"/>
      <w:r>
        <w:t>Dosage selection for the pivotal studies</w:t>
      </w:r>
      <w:bookmarkEnd w:id="87"/>
    </w:p>
    <w:p w:rsidR="00301573" w:rsidRPr="005C3E82" w:rsidRDefault="00301573" w:rsidP="00205D74">
      <w:r w:rsidRPr="005C3E82">
        <w:t xml:space="preserve">The doses chosen for prophylaxis and episodic treatment arms of the pivotal study (see section </w:t>
      </w:r>
      <w:r w:rsidR="00652C96" w:rsidRPr="005C3E82">
        <w:t>7.1.1.3</w:t>
      </w:r>
      <w:r w:rsidRPr="005C3E82">
        <w:t xml:space="preserve"> below) were based on the results of the phase I/</w:t>
      </w:r>
      <w:proofErr w:type="spellStart"/>
      <w:r w:rsidRPr="005C3E82">
        <w:t>IIa</w:t>
      </w:r>
      <w:proofErr w:type="spellEnd"/>
      <w:r w:rsidRPr="005C3E82">
        <w:t xml:space="preserve"> study (SYN-FIXFc-07-001). The target threshold of the prophylaxis and episodic treatment arms was to maintain FIX activity above 1% for at least 7 days. Based on the results from the Phase I/</w:t>
      </w:r>
      <w:proofErr w:type="spellStart"/>
      <w:r w:rsidRPr="005C3E82">
        <w:t>IIa</w:t>
      </w:r>
      <w:proofErr w:type="spellEnd"/>
      <w:r w:rsidRPr="005C3E82">
        <w:t xml:space="preserve"> study, the mean and median FIX activity on Day 7 with 50 IU/kg would be 2.55% and 1.89% above baseline, respectively. Also, over 70% of the population would have FIX activity of 1% above baseline on Day 7.</w:t>
      </w:r>
    </w:p>
    <w:p w:rsidR="00301573" w:rsidRPr="005C3E82" w:rsidRDefault="00301573" w:rsidP="00205D74">
      <w:r w:rsidRPr="005C3E82">
        <w:t xml:space="preserve">Doses selected for treatment for bleeding episodes in all arms and for use during surgery were based on clinical practice guidelines for patients with severe haemophilia (5, 11, </w:t>
      </w:r>
      <w:proofErr w:type="gramStart"/>
      <w:r w:rsidRPr="005C3E82">
        <w:t>12</w:t>
      </w:r>
      <w:proofErr w:type="gramEnd"/>
      <w:r w:rsidRPr="005C3E82">
        <w:t>).</w:t>
      </w:r>
    </w:p>
    <w:p w:rsidR="00C22678" w:rsidRDefault="00C22678" w:rsidP="00205D74">
      <w:pPr>
        <w:pStyle w:val="Heading2"/>
      </w:pPr>
      <w:bookmarkStart w:id="88" w:name="_Toc404074083"/>
      <w:r>
        <w:t>Clinical efficacy</w:t>
      </w:r>
      <w:bookmarkEnd w:id="88"/>
    </w:p>
    <w:p w:rsidR="00301573" w:rsidRDefault="00301573" w:rsidP="00205D74">
      <w:pPr>
        <w:pStyle w:val="Heading3"/>
      </w:pPr>
      <w:bookmarkStart w:id="89" w:name="_Ref271037274"/>
      <w:bookmarkStart w:id="90" w:name="_Toc272414652"/>
      <w:bookmarkStart w:id="91" w:name="_Toc290846274"/>
      <w:bookmarkStart w:id="92" w:name="_Toc242109053"/>
      <w:bookmarkStart w:id="93" w:name="_Toc404074084"/>
      <w:r>
        <w:t>Pivotal efficacy stud</w:t>
      </w:r>
      <w:bookmarkEnd w:id="89"/>
      <w:bookmarkEnd w:id="90"/>
      <w:bookmarkEnd w:id="91"/>
      <w:r>
        <w:t>y</w:t>
      </w:r>
      <w:bookmarkEnd w:id="92"/>
      <w:bookmarkEnd w:id="93"/>
    </w:p>
    <w:p w:rsidR="00301573" w:rsidRDefault="00301573" w:rsidP="00205D74">
      <w:r>
        <w:t>Only one of the submitted studies (</w:t>
      </w:r>
      <w:r w:rsidR="00CD7F19">
        <w:t>998HB102</w:t>
      </w:r>
      <w:r>
        <w:t>, also known as the B-LONG study) contained efficacy data.</w:t>
      </w:r>
    </w:p>
    <w:p w:rsidR="00301573" w:rsidRPr="003C0A48" w:rsidRDefault="00301573" w:rsidP="00205D74">
      <w:pPr>
        <w:pStyle w:val="Heading4"/>
      </w:pPr>
      <w:bookmarkStart w:id="94" w:name="_Ref243301615"/>
      <w:bookmarkStart w:id="95" w:name="_Ref271040927"/>
      <w:bookmarkStart w:id="96" w:name="_Ref271040932"/>
      <w:bookmarkStart w:id="97" w:name="_Toc272414653"/>
      <w:bookmarkStart w:id="98" w:name="_Toc290846275"/>
      <w:bookmarkStart w:id="99" w:name="_Toc242109054"/>
      <w:r w:rsidRPr="003C0A48">
        <w:t>S</w:t>
      </w:r>
      <w:r>
        <w:t xml:space="preserve">tudy </w:t>
      </w:r>
      <w:bookmarkEnd w:id="94"/>
      <w:bookmarkEnd w:id="95"/>
      <w:bookmarkEnd w:id="96"/>
      <w:bookmarkEnd w:id="97"/>
      <w:bookmarkEnd w:id="98"/>
      <w:r w:rsidR="00CD7F19">
        <w:t>998HB102</w:t>
      </w:r>
      <w:r>
        <w:t xml:space="preserve"> (B-LONG)</w:t>
      </w:r>
      <w:bookmarkEnd w:id="99"/>
    </w:p>
    <w:p w:rsidR="00301573" w:rsidRPr="003C0A48" w:rsidRDefault="00301573" w:rsidP="00205D74">
      <w:pPr>
        <w:pStyle w:val="Heading5"/>
      </w:pPr>
      <w:bookmarkStart w:id="100" w:name="_Toc242109055"/>
      <w:r w:rsidRPr="003C0A48">
        <w:t>Study design, objectives, locations and dates</w:t>
      </w:r>
      <w:bookmarkEnd w:id="100"/>
    </w:p>
    <w:p w:rsidR="00301573" w:rsidRDefault="00301573" w:rsidP="00205D74">
      <w:r>
        <w:t xml:space="preserve">This study was an open-label, Phase III trial, with 4 arms. The design is summarised in </w:t>
      </w:r>
      <w:r w:rsidR="00F20128">
        <w:t xml:space="preserve">Figure 1. </w:t>
      </w:r>
      <w:r>
        <w:t>It was conducted in previously treated patients (PTPs) aged 12 years and older.</w:t>
      </w:r>
    </w:p>
    <w:p w:rsidR="00CA0EE1" w:rsidRPr="00205D74" w:rsidRDefault="00CA0EE1" w:rsidP="00205D74">
      <w:pPr>
        <w:pStyle w:val="FigureTitle"/>
      </w:pPr>
      <w:bookmarkStart w:id="101" w:name="_Ref240438229"/>
      <w:bookmarkStart w:id="102" w:name="_Ref240438195"/>
      <w:bookmarkStart w:id="103" w:name="_Toc242109199"/>
      <w:r w:rsidRPr="00CA0EE1">
        <w:t xml:space="preserve">Figure </w:t>
      </w:r>
      <w:bookmarkEnd w:id="101"/>
      <w:r w:rsidR="00F20128">
        <w:t>1</w:t>
      </w:r>
      <w:r w:rsidRPr="00CA0EE1">
        <w:t xml:space="preserve">: Design of Study </w:t>
      </w:r>
      <w:r w:rsidR="00CD7F19">
        <w:t>998HB102</w:t>
      </w:r>
      <w:bookmarkEnd w:id="102"/>
      <w:bookmarkEnd w:id="103"/>
    </w:p>
    <w:p w:rsidR="00CA0EE1" w:rsidRPr="00CA0EE1" w:rsidRDefault="00903CDF" w:rsidP="00205D74">
      <w:r>
        <w:rPr>
          <w:noProof/>
          <w:lang w:eastAsia="en-AU"/>
        </w:rPr>
        <w:drawing>
          <wp:inline distT="0" distB="0" distL="0" distR="0" wp14:anchorId="552DAD4A" wp14:editId="545DDACE">
            <wp:extent cx="5721985" cy="3343275"/>
            <wp:effectExtent l="0" t="0" r="0" b="0"/>
            <wp:docPr id="6" name="Picture 6" descr="Figure 1: Design of Study 998HB-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Design of Study 998HB-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985" cy="3343275"/>
                    </a:xfrm>
                    <a:prstGeom prst="rect">
                      <a:avLst/>
                    </a:prstGeom>
                    <a:noFill/>
                    <a:ln>
                      <a:noFill/>
                    </a:ln>
                  </pic:spPr>
                </pic:pic>
              </a:graphicData>
            </a:graphic>
          </wp:inline>
        </w:drawing>
      </w:r>
    </w:p>
    <w:p w:rsidR="00301573" w:rsidRDefault="00301573" w:rsidP="00205D74">
      <w:pPr>
        <w:pStyle w:val="ListBullet"/>
      </w:pPr>
      <w:r>
        <w:lastRenderedPageBreak/>
        <w:t xml:space="preserve">In </w:t>
      </w:r>
      <w:r w:rsidRPr="00D27090">
        <w:t>Arm 1</w:t>
      </w:r>
      <w:r>
        <w:t xml:space="preserve"> of the study, subjects underwent an initial PK assessment after a dose of 50 IU/kg of </w:t>
      </w:r>
      <w:proofErr w:type="spellStart"/>
      <w:r>
        <w:t>FIXFc</w:t>
      </w:r>
      <w:proofErr w:type="spellEnd"/>
      <w:r>
        <w:t xml:space="preserve">. They were then treated with a </w:t>
      </w:r>
      <w:r w:rsidRPr="00D27090">
        <w:t>prophylaxis</w:t>
      </w:r>
      <w:r>
        <w:t xml:space="preserve"> regimen, with a dose of </w:t>
      </w:r>
      <w:proofErr w:type="spellStart"/>
      <w:r>
        <w:t>FIXFc</w:t>
      </w:r>
      <w:proofErr w:type="spellEnd"/>
      <w:r>
        <w:t xml:space="preserve"> given at a </w:t>
      </w:r>
      <w:r w:rsidRPr="00D27090">
        <w:t>fixed interval of once every 7 days</w:t>
      </w:r>
      <w:r>
        <w:t xml:space="preserve"> at a dose indicated by the subject’s baseline PK assessment that ensured a target trough of 1% to 3% above baseline or higher, as clinically indicated.</w:t>
      </w:r>
    </w:p>
    <w:p w:rsidR="00301573" w:rsidRDefault="00301573" w:rsidP="00205D74">
      <w:pPr>
        <w:pStyle w:val="ListBullet2"/>
      </w:pPr>
      <w:r>
        <w:t xml:space="preserve">A </w:t>
      </w:r>
      <w:r w:rsidRPr="00205D74">
        <w:t>subgroup</w:t>
      </w:r>
      <w:r>
        <w:t xml:space="preserve"> of patients in Arm 1 (referred to as the </w:t>
      </w:r>
      <w:r w:rsidRPr="00087DD7">
        <w:t>‘sequential PK subgroup’</w:t>
      </w:r>
      <w:r>
        <w:t>) also under</w:t>
      </w:r>
      <w:r w:rsidR="00017AC2">
        <w:t xml:space="preserve">went a PK comparison of </w:t>
      </w:r>
      <w:proofErr w:type="spellStart"/>
      <w:r w:rsidR="00017AC2">
        <w:t>FIXFc</w:t>
      </w:r>
      <w:proofErr w:type="spellEnd"/>
      <w:r w:rsidR="00017AC2">
        <w:t xml:space="preserve"> versus</w:t>
      </w:r>
      <w:r>
        <w:t xml:space="preserve"> </w:t>
      </w:r>
      <w:proofErr w:type="spellStart"/>
      <w:r>
        <w:t>BeneFIX</w:t>
      </w:r>
      <w:proofErr w:type="spellEnd"/>
      <w:r>
        <w:t xml:space="preserve">, and a PK comparison of initial </w:t>
      </w:r>
      <w:proofErr w:type="spellStart"/>
      <w:r>
        <w:t>FIXFc</w:t>
      </w:r>
      <w:proofErr w:type="spellEnd"/>
      <w:r>
        <w:t xml:space="preserve"> PK v</w:t>
      </w:r>
      <w:r w:rsidR="00017AC2">
        <w:t>ersu</w:t>
      </w:r>
      <w:r>
        <w:t xml:space="preserve">s </w:t>
      </w:r>
      <w:proofErr w:type="spellStart"/>
      <w:r>
        <w:t>FIXFc</w:t>
      </w:r>
      <w:proofErr w:type="spellEnd"/>
      <w:r>
        <w:t xml:space="preserve"> PK after 26 weeks.</w:t>
      </w:r>
    </w:p>
    <w:p w:rsidR="00301573" w:rsidRDefault="00301573" w:rsidP="00205D74">
      <w:pPr>
        <w:pStyle w:val="ListBullet"/>
      </w:pPr>
      <w:r>
        <w:t xml:space="preserve">In </w:t>
      </w:r>
      <w:r w:rsidRPr="00D27090">
        <w:t>Arm 2</w:t>
      </w:r>
      <w:r>
        <w:t xml:space="preserve">, subjects underwent an initial PK assessment after a dose of 100 IU/kg of </w:t>
      </w:r>
      <w:proofErr w:type="spellStart"/>
      <w:r>
        <w:t>FIXFc</w:t>
      </w:r>
      <w:proofErr w:type="spellEnd"/>
      <w:r>
        <w:t xml:space="preserve">. They were then treated with a </w:t>
      </w:r>
      <w:r w:rsidRPr="00D27090">
        <w:t>prophylaxis</w:t>
      </w:r>
      <w:r>
        <w:t xml:space="preserve"> regimen, with a </w:t>
      </w:r>
      <w:r w:rsidRPr="00D27090">
        <w:t xml:space="preserve">fixed dose of 100 IU/kg </w:t>
      </w:r>
      <w:proofErr w:type="spellStart"/>
      <w:r w:rsidRPr="00D27090">
        <w:t>FIXFc</w:t>
      </w:r>
      <w:proofErr w:type="spellEnd"/>
      <w:r>
        <w:t xml:space="preserve"> given at a </w:t>
      </w:r>
      <w:r w:rsidRPr="00397E74">
        <w:t>dose interval</w:t>
      </w:r>
      <w:r>
        <w:t xml:space="preserve"> indicated by the subject’s baseline PK assessment that ensured a target trough of 1% to 3% above baseline or higher, as clinically indicated.</w:t>
      </w:r>
    </w:p>
    <w:p w:rsidR="00301573" w:rsidRPr="00C43FC3" w:rsidRDefault="00301573" w:rsidP="00205D74">
      <w:pPr>
        <w:pStyle w:val="ListBullet"/>
        <w:rPr>
          <w:lang w:val="en-US"/>
        </w:rPr>
      </w:pPr>
      <w:r>
        <w:t xml:space="preserve">In </w:t>
      </w:r>
      <w:r w:rsidRPr="00D27090">
        <w:t>Arm 3</w:t>
      </w:r>
      <w:r>
        <w:t>,</w:t>
      </w:r>
      <w:r w:rsidRPr="00C43FC3">
        <w:t xml:space="preserve"> </w:t>
      </w:r>
      <w:r>
        <w:t xml:space="preserve">subjects underwent an initial PK assessment after a dose of 50 IU/kg of </w:t>
      </w:r>
      <w:proofErr w:type="spellStart"/>
      <w:r>
        <w:t>FIXFc</w:t>
      </w:r>
      <w:proofErr w:type="spellEnd"/>
      <w:r>
        <w:t xml:space="preserve">. They were then treated with an </w:t>
      </w:r>
      <w:r w:rsidRPr="00D27090">
        <w:t>on</w:t>
      </w:r>
      <w:r w:rsidR="00D27090">
        <w:t xml:space="preserve"> </w:t>
      </w:r>
      <w:r w:rsidRPr="00D27090">
        <w:t>demand</w:t>
      </w:r>
      <w:r>
        <w:t xml:space="preserve"> regimen, at a dose of </w:t>
      </w:r>
      <w:r w:rsidRPr="00C43FC3">
        <w:rPr>
          <w:lang w:val="en-US"/>
        </w:rPr>
        <w:t xml:space="preserve">20 to 100 IU/kg </w:t>
      </w:r>
      <w:proofErr w:type="spellStart"/>
      <w:r w:rsidRPr="00C43FC3">
        <w:rPr>
          <w:lang w:val="en-US"/>
        </w:rPr>
        <w:t>rFIXFc</w:t>
      </w:r>
      <w:proofErr w:type="spellEnd"/>
      <w:r w:rsidRPr="00C43FC3">
        <w:rPr>
          <w:lang w:val="en-US"/>
        </w:rPr>
        <w:t xml:space="preserve">, or the dose indicated by the subject’s baseline PK to target </w:t>
      </w:r>
      <w:proofErr w:type="gramStart"/>
      <w:r w:rsidRPr="00C43FC3">
        <w:rPr>
          <w:lang w:val="en-US"/>
        </w:rPr>
        <w:t>a</w:t>
      </w:r>
      <w:r>
        <w:rPr>
          <w:lang w:val="en-US"/>
        </w:rPr>
        <w:t xml:space="preserve"> </w:t>
      </w:r>
      <w:r w:rsidRPr="00C43FC3">
        <w:rPr>
          <w:lang w:val="en-US"/>
        </w:rPr>
        <w:t>plasma</w:t>
      </w:r>
      <w:proofErr w:type="gramEnd"/>
      <w:r w:rsidRPr="00C43FC3">
        <w:rPr>
          <w:lang w:val="en-US"/>
        </w:rPr>
        <w:t xml:space="preserve"> </w:t>
      </w:r>
      <w:r>
        <w:rPr>
          <w:lang w:val="en-US"/>
        </w:rPr>
        <w:t xml:space="preserve">FIX activity </w:t>
      </w:r>
      <w:r w:rsidRPr="00C43FC3">
        <w:rPr>
          <w:lang w:val="en-US"/>
        </w:rPr>
        <w:t xml:space="preserve">level of 20% to 100%, as needed for the treatment of </w:t>
      </w:r>
      <w:r>
        <w:rPr>
          <w:lang w:val="en-US"/>
        </w:rPr>
        <w:t xml:space="preserve">episodes of </w:t>
      </w:r>
      <w:r w:rsidRPr="00C43FC3">
        <w:rPr>
          <w:lang w:val="en-US"/>
        </w:rPr>
        <w:t>mild to severe bleeding</w:t>
      </w:r>
      <w:r>
        <w:rPr>
          <w:lang w:val="en-US"/>
        </w:rPr>
        <w:t>.</w:t>
      </w:r>
    </w:p>
    <w:p w:rsidR="00301573" w:rsidRDefault="00301573" w:rsidP="00205D74">
      <w:pPr>
        <w:pStyle w:val="ListBullet"/>
      </w:pPr>
      <w:r w:rsidRPr="00D27090">
        <w:t>Arm 4</w:t>
      </w:r>
      <w:r>
        <w:t xml:space="preserve"> enrolled subjects scheduled for surgery. Subjects underwent an initial PK assessment prior to surgery following a dose of 50 IU/kg of </w:t>
      </w:r>
      <w:proofErr w:type="spellStart"/>
      <w:r>
        <w:t>FIXFc</w:t>
      </w:r>
      <w:proofErr w:type="spellEnd"/>
      <w:r>
        <w:t xml:space="preserve">. They were then treated with doses of 40 to 100 IU/kg </w:t>
      </w:r>
      <w:proofErr w:type="spellStart"/>
      <w:r>
        <w:t>rFIXFc</w:t>
      </w:r>
      <w:proofErr w:type="spellEnd"/>
      <w:r>
        <w:t>, as needed for surgical prophylaxis (perioperative management) and the treatment of bleeding episodes.</w:t>
      </w:r>
    </w:p>
    <w:p w:rsidR="00301573" w:rsidRPr="00F20128" w:rsidRDefault="00301573" w:rsidP="00205D74">
      <w:r w:rsidRPr="005E58D1">
        <w:t xml:space="preserve">The PK results for the study </w:t>
      </w:r>
      <w:r w:rsidR="005E58D1" w:rsidRPr="005E58D1">
        <w:t xml:space="preserve">are </w:t>
      </w:r>
      <w:r w:rsidRPr="005E58D1">
        <w:t xml:space="preserve">summarised </w:t>
      </w:r>
      <w:r w:rsidRPr="00F20128">
        <w:t xml:space="preserve">in </w:t>
      </w:r>
      <w:r w:rsidR="00E67E0A">
        <w:t>Table</w:t>
      </w:r>
      <w:r w:rsidR="00311C0E" w:rsidRPr="00F20128">
        <w:t xml:space="preserve"> </w:t>
      </w:r>
      <w:r w:rsidR="00D057C8" w:rsidRPr="00F20128">
        <w:t>1</w:t>
      </w:r>
      <w:r w:rsidR="00E67E0A">
        <w:t xml:space="preserve"> </w:t>
      </w:r>
      <w:r w:rsidR="00311C0E" w:rsidRPr="00F20128">
        <w:t xml:space="preserve">above; Tables </w:t>
      </w:r>
      <w:r w:rsidR="00D057C8" w:rsidRPr="00F20128">
        <w:t>5 to 7</w:t>
      </w:r>
      <w:r w:rsidR="00E67E0A">
        <w:t xml:space="preserve"> below</w:t>
      </w:r>
      <w:r w:rsidRPr="00F20128">
        <w:t>.</w:t>
      </w:r>
    </w:p>
    <w:p w:rsidR="00311C0E" w:rsidRPr="005654B5" w:rsidRDefault="00311C0E" w:rsidP="00205D74">
      <w:pPr>
        <w:pStyle w:val="TableTitle"/>
      </w:pPr>
      <w:r w:rsidRPr="005654B5">
        <w:lastRenderedPageBreak/>
        <w:t xml:space="preserve">Table </w:t>
      </w:r>
      <w:r w:rsidR="00D057C8">
        <w:t>5</w:t>
      </w:r>
      <w:r>
        <w:t xml:space="preserve">: </w:t>
      </w:r>
      <w:r w:rsidRPr="005654B5">
        <w:t xml:space="preserve">Study </w:t>
      </w:r>
      <w:r w:rsidR="00CD7F19">
        <w:t>998HB102</w:t>
      </w:r>
      <w:r w:rsidRPr="005654B5">
        <w:t xml:space="preserve"> – Comparison of PK (</w:t>
      </w:r>
      <w:proofErr w:type="spellStart"/>
      <w:r w:rsidRPr="005654B5">
        <w:t>FIXFc</w:t>
      </w:r>
      <w:proofErr w:type="spellEnd"/>
      <w:r w:rsidRPr="005654B5">
        <w:t xml:space="preserve"> Antigen) after single doses of 50 IU/kg of </w:t>
      </w:r>
      <w:proofErr w:type="spellStart"/>
      <w:r w:rsidRPr="005654B5">
        <w:t>FIXFc</w:t>
      </w:r>
      <w:proofErr w:type="spellEnd"/>
      <w:r w:rsidRPr="005654B5">
        <w:t xml:space="preserve"> at baseline and 26 weeks (compartmental analysis)</w:t>
      </w:r>
    </w:p>
    <w:p w:rsidR="00AC18E9" w:rsidRDefault="00903CDF" w:rsidP="00205D74">
      <w:r>
        <w:rPr>
          <w:noProof/>
          <w:lang w:eastAsia="en-AU"/>
        </w:rPr>
        <w:drawing>
          <wp:inline distT="0" distB="0" distL="0" distR="0" wp14:anchorId="2F9FF265" wp14:editId="2622D333">
            <wp:extent cx="5727700" cy="5963285"/>
            <wp:effectExtent l="0" t="0" r="0" b="0"/>
            <wp:docPr id="7" name="Picture 15" descr="Study 998HB-102 – Comparison of PK (FIXFc Antigen) after single doses of 50 IU/kg of FIXFc at baseline and 26 weeks (compartment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y 998HB-102 – Comparison of PK (FIXFc Antigen) after single doses of 50 IU/kg of FIXFc at baseline and 26 weeks (compartmental analys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5963285"/>
                    </a:xfrm>
                    <a:prstGeom prst="rect">
                      <a:avLst/>
                    </a:prstGeom>
                    <a:noFill/>
                    <a:ln>
                      <a:noFill/>
                    </a:ln>
                  </pic:spPr>
                </pic:pic>
              </a:graphicData>
            </a:graphic>
          </wp:inline>
        </w:drawing>
      </w:r>
    </w:p>
    <w:p w:rsidR="00311C0E" w:rsidRDefault="00311C0E" w:rsidP="00205D74">
      <w:pPr>
        <w:pStyle w:val="TableTitle"/>
      </w:pPr>
      <w:r>
        <w:lastRenderedPageBreak/>
        <w:t xml:space="preserve">Table </w:t>
      </w:r>
      <w:r w:rsidR="00D057C8">
        <w:t>6</w:t>
      </w:r>
      <w:r>
        <w:t xml:space="preserve">: Study </w:t>
      </w:r>
      <w:r w:rsidR="00CD7F19">
        <w:t>998HB102</w:t>
      </w:r>
      <w:r>
        <w:t xml:space="preserve"> – PK results (FIX activity) for other arms (2-compartmental analysis)</w:t>
      </w:r>
    </w:p>
    <w:p w:rsidR="00AC18E9" w:rsidRDefault="00903CDF" w:rsidP="00205D74">
      <w:r>
        <w:rPr>
          <w:noProof/>
          <w:lang w:eastAsia="en-AU"/>
        </w:rPr>
        <w:drawing>
          <wp:inline distT="0" distB="0" distL="0" distR="0" wp14:anchorId="210D2272" wp14:editId="0FEF3DDE">
            <wp:extent cx="5767070" cy="3640455"/>
            <wp:effectExtent l="0" t="0" r="0" b="0"/>
            <wp:docPr id="8" name="Picture 16" descr="Study 998HB-102 – PK results (FIX activity) for other arms (2-compartment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udy 998HB-102 – PK results (FIX activity) for other arms (2-compartmental analys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070" cy="3640455"/>
                    </a:xfrm>
                    <a:prstGeom prst="rect">
                      <a:avLst/>
                    </a:prstGeom>
                    <a:noFill/>
                    <a:ln>
                      <a:noFill/>
                    </a:ln>
                  </pic:spPr>
                </pic:pic>
              </a:graphicData>
            </a:graphic>
          </wp:inline>
        </w:drawing>
      </w:r>
    </w:p>
    <w:p w:rsidR="00311C0E" w:rsidRDefault="00311C0E" w:rsidP="00205D74">
      <w:pPr>
        <w:pStyle w:val="TableTitle"/>
      </w:pPr>
      <w:r>
        <w:t xml:space="preserve">Table </w:t>
      </w:r>
      <w:r w:rsidR="00D057C8">
        <w:t>7</w:t>
      </w:r>
      <w:r>
        <w:t xml:space="preserve">: Study </w:t>
      </w:r>
      <w:r w:rsidR="00CD7F19">
        <w:t>998HB102</w:t>
      </w:r>
      <w:r>
        <w:t xml:space="preserve"> – PK results (</w:t>
      </w:r>
      <w:proofErr w:type="spellStart"/>
      <w:r>
        <w:t>FIXFc</w:t>
      </w:r>
      <w:proofErr w:type="spellEnd"/>
      <w:r>
        <w:t xml:space="preserve"> Antigen) for other arms (compartmental analysis)</w:t>
      </w:r>
    </w:p>
    <w:p w:rsidR="00311C0E" w:rsidRDefault="00903CDF" w:rsidP="00205D74">
      <w:r>
        <w:rPr>
          <w:noProof/>
          <w:lang w:eastAsia="en-AU"/>
        </w:rPr>
        <w:drawing>
          <wp:inline distT="0" distB="0" distL="0" distR="0" wp14:anchorId="682527F1" wp14:editId="747A2E86">
            <wp:extent cx="5744210" cy="3321050"/>
            <wp:effectExtent l="0" t="0" r="0" b="0"/>
            <wp:docPr id="9" name="Picture 17" descr="Study 998HB-102 – PK results (FIXFc Antigen) for other arms (compartment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udy 998HB-102 – PK results (FIXFc Antigen) for other arms (compartmental analy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4210" cy="3321050"/>
                    </a:xfrm>
                    <a:prstGeom prst="rect">
                      <a:avLst/>
                    </a:prstGeom>
                    <a:noFill/>
                    <a:ln>
                      <a:noFill/>
                    </a:ln>
                  </pic:spPr>
                </pic:pic>
              </a:graphicData>
            </a:graphic>
          </wp:inline>
        </w:drawing>
      </w:r>
    </w:p>
    <w:p w:rsidR="00301573" w:rsidRDefault="00301573" w:rsidP="00205D74">
      <w:r>
        <w:t xml:space="preserve">The </w:t>
      </w:r>
      <w:r w:rsidRPr="00E67E0A">
        <w:rPr>
          <w:b/>
        </w:rPr>
        <w:t>primary objectives</w:t>
      </w:r>
      <w:r>
        <w:t xml:space="preserve"> of the study were as follows:</w:t>
      </w:r>
    </w:p>
    <w:p w:rsidR="00301573" w:rsidRDefault="00301573" w:rsidP="00205D74">
      <w:pPr>
        <w:pStyle w:val="ListBullet"/>
      </w:pPr>
      <w:r>
        <w:t xml:space="preserve">To evaluate the safety and tolerability of </w:t>
      </w:r>
      <w:proofErr w:type="spellStart"/>
      <w:r>
        <w:t>FIXFc</w:t>
      </w:r>
      <w:proofErr w:type="spellEnd"/>
      <w:r w:rsidR="00065D0B">
        <w:t>.</w:t>
      </w:r>
    </w:p>
    <w:p w:rsidR="00301573" w:rsidRDefault="00301573" w:rsidP="00205D74">
      <w:pPr>
        <w:pStyle w:val="ListBullet"/>
      </w:pPr>
      <w:r>
        <w:t xml:space="preserve">To evaluate the efficacy of </w:t>
      </w:r>
      <w:proofErr w:type="spellStart"/>
      <w:r>
        <w:t>FIXFc</w:t>
      </w:r>
      <w:proofErr w:type="spellEnd"/>
      <w:r>
        <w:t xml:space="preserve"> in all treatment </w:t>
      </w:r>
      <w:r w:rsidRPr="00205D74">
        <w:t>arms</w:t>
      </w:r>
      <w:r w:rsidR="00065D0B">
        <w:t>.</w:t>
      </w:r>
    </w:p>
    <w:p w:rsidR="00301573" w:rsidRDefault="00301573" w:rsidP="00205D74">
      <w:pPr>
        <w:pStyle w:val="ListBullet"/>
      </w:pPr>
      <w:r>
        <w:t>To evaluate the effectiveness of prophylaxis over on</w:t>
      </w:r>
      <w:r w:rsidR="00D27090">
        <w:t xml:space="preserve"> </w:t>
      </w:r>
      <w:r>
        <w:t>demand (episodic) therapy by comparing the annuali</w:t>
      </w:r>
      <w:r w:rsidR="00D27090">
        <w:t>s</w:t>
      </w:r>
      <w:r>
        <w:t xml:space="preserve">ed number of bleeding episodes between subjects receiving </w:t>
      </w:r>
      <w:proofErr w:type="spellStart"/>
      <w:r>
        <w:t>FIXFc</w:t>
      </w:r>
      <w:proofErr w:type="spellEnd"/>
      <w:r>
        <w:t xml:space="preserve"> on </w:t>
      </w:r>
      <w:r>
        <w:lastRenderedPageBreak/>
        <w:t>each prevention (prophylaxis) regimen (</w:t>
      </w:r>
      <w:r w:rsidRPr="0087400B">
        <w:t>Arm 1</w:t>
      </w:r>
      <w:r>
        <w:t xml:space="preserve"> </w:t>
      </w:r>
      <w:r w:rsidRPr="0087400B">
        <w:t>and Arm 2</w:t>
      </w:r>
      <w:r>
        <w:t xml:space="preserve">) and subjects receiving </w:t>
      </w:r>
      <w:proofErr w:type="spellStart"/>
      <w:r>
        <w:t>FIXFc</w:t>
      </w:r>
      <w:proofErr w:type="spellEnd"/>
      <w:r>
        <w:t xml:space="preserve"> on an episodic regimen (</w:t>
      </w:r>
      <w:r w:rsidRPr="0087400B">
        <w:t>Arm 3</w:t>
      </w:r>
      <w:r>
        <w:t>).</w:t>
      </w:r>
    </w:p>
    <w:p w:rsidR="00301573" w:rsidRDefault="00301573" w:rsidP="00205D74">
      <w:r>
        <w:t xml:space="preserve">The </w:t>
      </w:r>
      <w:r w:rsidRPr="00E67E0A">
        <w:rPr>
          <w:b/>
        </w:rPr>
        <w:t>secondary objectives</w:t>
      </w:r>
      <w:r>
        <w:t xml:space="preserve"> of the study were as follows:</w:t>
      </w:r>
    </w:p>
    <w:p w:rsidR="00301573" w:rsidRDefault="00301573" w:rsidP="00205D74">
      <w:pPr>
        <w:pStyle w:val="ListBullet"/>
      </w:pPr>
      <w:r>
        <w:t xml:space="preserve">To evaluate and assess the PK parameter estimates of </w:t>
      </w:r>
      <w:proofErr w:type="spellStart"/>
      <w:r>
        <w:t>FIXFc</w:t>
      </w:r>
      <w:proofErr w:type="spellEnd"/>
      <w:r>
        <w:t xml:space="preserve"> and </w:t>
      </w:r>
      <w:proofErr w:type="spellStart"/>
      <w:r>
        <w:t>BeneFIX</w:t>
      </w:r>
      <w:proofErr w:type="spellEnd"/>
      <w:r>
        <w:t xml:space="preserve"> at baseline in the sequential PK subgroup as well as </w:t>
      </w:r>
      <w:proofErr w:type="spellStart"/>
      <w:r>
        <w:t>FIXFc</w:t>
      </w:r>
      <w:proofErr w:type="spellEnd"/>
      <w:r>
        <w:t xml:space="preserve"> at Week 26</w:t>
      </w:r>
      <w:r w:rsidR="00D373BD">
        <w:t>.</w:t>
      </w:r>
    </w:p>
    <w:p w:rsidR="00301573" w:rsidRDefault="00301573" w:rsidP="00205D74">
      <w:pPr>
        <w:pStyle w:val="ListBullet"/>
      </w:pPr>
      <w:r>
        <w:t>To evaluate subjects’ response to treatment</w:t>
      </w:r>
      <w:r w:rsidR="00D373BD">
        <w:t>.</w:t>
      </w:r>
    </w:p>
    <w:p w:rsidR="00301573" w:rsidRDefault="00301573" w:rsidP="00017AC2">
      <w:pPr>
        <w:pStyle w:val="ListBullet"/>
      </w:pPr>
      <w:r>
        <w:t xml:space="preserve">To evaluate </w:t>
      </w:r>
      <w:proofErr w:type="spellStart"/>
      <w:r>
        <w:t>FIXFc</w:t>
      </w:r>
      <w:proofErr w:type="spellEnd"/>
      <w:r>
        <w:t xml:space="preserve"> consumption.</w:t>
      </w:r>
    </w:p>
    <w:p w:rsidR="00301573" w:rsidRDefault="00301573" w:rsidP="00205D74">
      <w:r>
        <w:t xml:space="preserve">The study was a multinational trial that enrolled subjects from 50 centres in 17 countries (Australia, Belgium, Brazil, Canada, China, France, Germany, Hong Kong, India, Italy, Japan, New Zealand, Russia, South Africa, Sweden, the United Kingdom, and the United States). The study commenced in January 2010 and ended in July 2012. The study report was dated 14 December 2012. </w:t>
      </w:r>
      <w:r w:rsidRPr="007502D6">
        <w:t>The study does not appear to have been published other than in conference abstract form</w:t>
      </w:r>
      <w:r>
        <w:t>.</w:t>
      </w:r>
    </w:p>
    <w:p w:rsidR="00301573" w:rsidRPr="004B259C" w:rsidRDefault="00301573" w:rsidP="00205D74">
      <w:pPr>
        <w:pStyle w:val="Heading5"/>
      </w:pPr>
      <w:bookmarkStart w:id="104" w:name="_Toc242109056"/>
      <w:r w:rsidRPr="004B259C">
        <w:t>Inclusion and exclusion criteria</w:t>
      </w:r>
      <w:bookmarkEnd w:id="104"/>
    </w:p>
    <w:p w:rsidR="00CA0EE1" w:rsidRPr="00CA0EE1" w:rsidRDefault="00301573" w:rsidP="00205D74">
      <w:r w:rsidRPr="00205D74">
        <w:rPr>
          <w:b/>
        </w:rPr>
        <w:t>Inclusion criteria</w:t>
      </w:r>
      <w:r w:rsidRPr="00CA0EE1">
        <w:t xml:space="preserve"> are </w:t>
      </w:r>
      <w:r w:rsidR="00CA0EE1" w:rsidRPr="00CA0EE1">
        <w:t>as follows:</w:t>
      </w:r>
    </w:p>
    <w:p w:rsidR="00CA0EE1" w:rsidRPr="00CA0EE1" w:rsidRDefault="00CA0EE1" w:rsidP="00205D74">
      <w:pPr>
        <w:pStyle w:val="Numberbullet0"/>
        <w:numPr>
          <w:ilvl w:val="0"/>
          <w:numId w:val="9"/>
        </w:numPr>
      </w:pPr>
      <w:r w:rsidRPr="00CA0EE1">
        <w:t xml:space="preserve">Able to </w:t>
      </w:r>
      <w:r w:rsidRPr="00205D74">
        <w:t>understand</w:t>
      </w:r>
      <w:r w:rsidRPr="00CA0EE1">
        <w:t xml:space="preserve"> the purpose and risks of the study and to provide signed and dated informed consent and authorization to use protected health information in accordance with national and local subject privacy regulations. If the subject was younger than 18 years of age, then a parent or guardian was to have signed the ICF and the subject was to have signed the assent form as consistent with local authorities.</w:t>
      </w:r>
    </w:p>
    <w:p w:rsidR="00CA0EE1" w:rsidRPr="00CA0EE1" w:rsidRDefault="00CA0EE1" w:rsidP="00205D74">
      <w:pPr>
        <w:pStyle w:val="Numberbullet0"/>
      </w:pPr>
      <w:r w:rsidRPr="00CA0EE1">
        <w:t>Male, 12 years of age or older, and weighing at least 40 kg.</w:t>
      </w:r>
    </w:p>
    <w:p w:rsidR="00CA0EE1" w:rsidRPr="00CA0EE1" w:rsidRDefault="00CA0EE1" w:rsidP="00205D74">
      <w:pPr>
        <w:pStyle w:val="Numberbullet0"/>
      </w:pPr>
      <w:r w:rsidRPr="00CA0EE1">
        <w:t xml:space="preserve">Severe </w:t>
      </w:r>
      <w:proofErr w:type="spellStart"/>
      <w:r w:rsidRPr="00CA0EE1">
        <w:t>hemophilia</w:t>
      </w:r>
      <w:proofErr w:type="spellEnd"/>
      <w:r w:rsidRPr="00CA0EE1">
        <w:t xml:space="preserve"> B, defined as ≤ 2 IU/</w:t>
      </w:r>
      <w:proofErr w:type="spellStart"/>
      <w:r w:rsidRPr="00CA0EE1">
        <w:t>dL</w:t>
      </w:r>
      <w:proofErr w:type="spellEnd"/>
      <w:r w:rsidRPr="00CA0EE1">
        <w:t xml:space="preserve"> (≤ 2%) endogenous FIX activity, as determined from the central laboratory at the time of screening. If the screening result was &gt; 2%, then the severity of </w:t>
      </w:r>
      <w:proofErr w:type="spellStart"/>
      <w:r w:rsidRPr="00CA0EE1">
        <w:t>hemophilia</w:t>
      </w:r>
      <w:proofErr w:type="spellEnd"/>
      <w:r w:rsidRPr="00CA0EE1">
        <w:t xml:space="preserve"> B was to have been confirmed by documented historical evidence from a certified clinical laboratory demonstrating ≤ 2% factor IX coagulant activity, by the medical record, or by a documented genotype known to produce severe </w:t>
      </w:r>
      <w:proofErr w:type="spellStart"/>
      <w:r w:rsidRPr="00CA0EE1">
        <w:t>hemophilia</w:t>
      </w:r>
      <w:proofErr w:type="spellEnd"/>
      <w:r w:rsidRPr="00CA0EE1">
        <w:t xml:space="preserve"> B.</w:t>
      </w:r>
    </w:p>
    <w:p w:rsidR="00CA0EE1" w:rsidRPr="00CA0EE1" w:rsidRDefault="00CA0EE1" w:rsidP="00205D74">
      <w:pPr>
        <w:pStyle w:val="Numberbullet0"/>
      </w:pPr>
      <w:r w:rsidRPr="00CA0EE1">
        <w:t>A PTP, defined as having at least 100 prior EDs to any recombinant or plasma derived FIX product (fresh frozen plasma treatment was not to be considered in the count of the documented EDs).</w:t>
      </w:r>
    </w:p>
    <w:p w:rsidR="00CA0EE1" w:rsidRPr="00CA0EE1" w:rsidRDefault="00CA0EE1" w:rsidP="00205D74">
      <w:pPr>
        <w:pStyle w:val="Numberbullet0"/>
      </w:pPr>
      <w:r w:rsidRPr="00CA0EE1">
        <w:t>Bleeding events and/or treatment with FIX during the prior 12 weeks, as documented in the subject’s medical records.</w:t>
      </w:r>
    </w:p>
    <w:p w:rsidR="00CA0EE1" w:rsidRPr="00CA0EE1" w:rsidRDefault="00CA0EE1" w:rsidP="00205D74">
      <w:pPr>
        <w:pStyle w:val="Numberbullet0"/>
      </w:pPr>
      <w:r w:rsidRPr="00CA0EE1">
        <w:t xml:space="preserve">Greater than or equal to 8 bleeding episodes in the 52 weeks prior to </w:t>
      </w:r>
      <w:r w:rsidR="00E67E0A" w:rsidRPr="00CA0EE1">
        <w:t>enrolment</w:t>
      </w:r>
      <w:r w:rsidRPr="00CA0EE1">
        <w:t xml:space="preserve"> in the study, if treating with an on-demand (episodic) regimen.</w:t>
      </w:r>
    </w:p>
    <w:p w:rsidR="00CA0EE1" w:rsidRPr="00CA0EE1" w:rsidRDefault="00CA0EE1" w:rsidP="00205D74">
      <w:pPr>
        <w:pStyle w:val="Numberbullet0"/>
      </w:pPr>
      <w:r w:rsidRPr="00CA0EE1">
        <w:t>A platelet count ≥ 100,000 cells/µL.</w:t>
      </w:r>
    </w:p>
    <w:p w:rsidR="00CA0EE1" w:rsidRPr="00CA0EE1" w:rsidRDefault="00CA0EE1" w:rsidP="00CA0EE1">
      <w:pPr>
        <w:pStyle w:val="Numberbullet0"/>
      </w:pPr>
      <w:proofErr w:type="spellStart"/>
      <w:r w:rsidRPr="00CA0EE1">
        <w:t>Immunocompetent</w:t>
      </w:r>
      <w:proofErr w:type="spellEnd"/>
      <w:r w:rsidRPr="00CA0EE1">
        <w:t>, as determined by the Investigator’s review of the subject’s medical history.</w:t>
      </w:r>
    </w:p>
    <w:p w:rsidR="00CA0EE1" w:rsidRPr="00CA0EE1" w:rsidRDefault="00CA0EE1" w:rsidP="00205D74">
      <w:pPr>
        <w:pStyle w:val="Numberbullet0"/>
      </w:pPr>
      <w:r w:rsidRPr="00CA0EE1">
        <w:t xml:space="preserve">Viral load of &lt; 400 copies/mL, if </w:t>
      </w:r>
      <w:r w:rsidRPr="00205D74">
        <w:t>HIV</w:t>
      </w:r>
      <w:r w:rsidRPr="00CA0EE1">
        <w:t xml:space="preserve"> antibody positive.</w:t>
      </w:r>
    </w:p>
    <w:p w:rsidR="00CA0EE1" w:rsidRPr="00CA0EE1" w:rsidRDefault="00CA0EE1" w:rsidP="00205D74">
      <w:pPr>
        <w:pStyle w:val="Numberbullet0"/>
      </w:pPr>
      <w:r w:rsidRPr="00CA0EE1">
        <w:t>An international normalized ratio &lt; 1.40, as defined by the testing laboratory’s normal range.</w:t>
      </w:r>
    </w:p>
    <w:p w:rsidR="00CA0EE1" w:rsidRPr="00CA0EE1" w:rsidRDefault="00CA0EE1" w:rsidP="00205D74">
      <w:pPr>
        <w:pStyle w:val="Numberbullet0"/>
      </w:pPr>
      <w:r w:rsidRPr="00CA0EE1">
        <w:t>Subjects entering directly into Arm 4 (Surgery) were to have met all other eligibility criteria AND required major elective surgery.</w:t>
      </w:r>
    </w:p>
    <w:p w:rsidR="00301573" w:rsidRDefault="00CA0EE1" w:rsidP="00205D74">
      <w:r w:rsidRPr="00205D74">
        <w:rPr>
          <w:b/>
        </w:rPr>
        <w:t>E</w:t>
      </w:r>
      <w:r w:rsidR="00301573" w:rsidRPr="00205D74">
        <w:rPr>
          <w:b/>
        </w:rPr>
        <w:t>xclusion criteria</w:t>
      </w:r>
      <w:r w:rsidR="00301573">
        <w:t xml:space="preserve"> </w:t>
      </w:r>
      <w:r>
        <w:t>are as follo</w:t>
      </w:r>
      <w:r w:rsidR="00205D74">
        <w:t>ws:</w:t>
      </w:r>
    </w:p>
    <w:p w:rsidR="00CA0EE1" w:rsidRPr="00CA0EE1" w:rsidRDefault="00CA0EE1" w:rsidP="00205D74">
      <w:pPr>
        <w:pStyle w:val="Numberbullet0"/>
        <w:numPr>
          <w:ilvl w:val="0"/>
          <w:numId w:val="10"/>
        </w:numPr>
      </w:pPr>
      <w:r w:rsidRPr="00CA0EE1">
        <w:t xml:space="preserve">Prior history </w:t>
      </w:r>
      <w:r w:rsidRPr="00205D74">
        <w:t>of</w:t>
      </w:r>
      <w:r w:rsidRPr="00CA0EE1">
        <w:t xml:space="preserve">, or currently detectable inhibitor, as defined by the reporting laboratory (family history of inhibitors was not to be used to exclude the subject) with a positive </w:t>
      </w:r>
      <w:r w:rsidRPr="00CA0EE1">
        <w:lastRenderedPageBreak/>
        <w:t>inhibitor value ≥ 0.6 BU/mL (≥ 1.0 BU/mL only for laboratories with a historical lower sensitivity cut-off for inhibitor detection of 1.0 BU/mL).</w:t>
      </w:r>
    </w:p>
    <w:p w:rsidR="00CA0EE1" w:rsidRPr="00CA0EE1" w:rsidRDefault="00CA0EE1" w:rsidP="00205D74">
      <w:pPr>
        <w:pStyle w:val="Numberbullet0"/>
      </w:pPr>
      <w:r w:rsidRPr="00CA0EE1">
        <w:t xml:space="preserve">Presence of any other coagulation disorder in addition to </w:t>
      </w:r>
      <w:proofErr w:type="spellStart"/>
      <w:r w:rsidRPr="00CA0EE1">
        <w:t>hemophilia</w:t>
      </w:r>
      <w:proofErr w:type="spellEnd"/>
      <w:r w:rsidRPr="00CA0EE1">
        <w:t xml:space="preserve"> B.</w:t>
      </w:r>
    </w:p>
    <w:p w:rsidR="00CA0EE1" w:rsidRPr="00CA0EE1" w:rsidRDefault="00CA0EE1" w:rsidP="00205D74">
      <w:pPr>
        <w:pStyle w:val="Numberbullet0"/>
      </w:pPr>
      <w:r w:rsidRPr="00CA0EE1">
        <w:t xml:space="preserve">Prior history of anaphylaxis associated with any FIX or IV </w:t>
      </w:r>
      <w:r w:rsidRPr="00205D74">
        <w:t>immunoglobulin</w:t>
      </w:r>
      <w:r w:rsidRPr="00CA0EE1">
        <w:t xml:space="preserve"> administration.</w:t>
      </w:r>
    </w:p>
    <w:p w:rsidR="00CA0EE1" w:rsidRPr="00CA0EE1" w:rsidRDefault="00CA0EE1" w:rsidP="00205D74">
      <w:pPr>
        <w:pStyle w:val="Numberbullet0"/>
      </w:pPr>
      <w:r w:rsidRPr="00CA0EE1">
        <w:t>Abnormal renal function, defined as serum creatinine &gt; 2.0 mg/</w:t>
      </w:r>
      <w:proofErr w:type="spellStart"/>
      <w:r w:rsidRPr="00CA0EE1">
        <w:t>dL</w:t>
      </w:r>
      <w:proofErr w:type="spellEnd"/>
      <w:r w:rsidRPr="00CA0EE1">
        <w:t>.</w:t>
      </w:r>
    </w:p>
    <w:p w:rsidR="00CA0EE1" w:rsidRPr="00CA0EE1" w:rsidRDefault="00CA0EE1" w:rsidP="00CA0EE1">
      <w:pPr>
        <w:pStyle w:val="Numberbullet0"/>
      </w:pPr>
      <w:r w:rsidRPr="00CA0EE1">
        <w:t>Active hepatic disease defined as an aspartate aminotransferase (AST) or alanine aminotransferase (ALT) greater than 5 times the upper limit of normal.</w:t>
      </w:r>
    </w:p>
    <w:p w:rsidR="00CA0EE1" w:rsidRPr="00CA0EE1" w:rsidRDefault="00CA0EE1" w:rsidP="00205D74">
      <w:pPr>
        <w:pStyle w:val="Numberbullet0"/>
      </w:pPr>
      <w:r w:rsidRPr="00CA0EE1">
        <w:t xml:space="preserve">For Sequential PK subgroup receiving </w:t>
      </w:r>
      <w:proofErr w:type="spellStart"/>
      <w:r w:rsidRPr="00CA0EE1">
        <w:t>BeneFIX</w:t>
      </w:r>
      <w:proofErr w:type="spellEnd"/>
      <w:r w:rsidRPr="00CA0EE1">
        <w:t xml:space="preserve">, an allergy to Chinese </w:t>
      </w:r>
      <w:r w:rsidRPr="00205D74">
        <w:t>hamster</w:t>
      </w:r>
      <w:r w:rsidRPr="00CA0EE1">
        <w:t xml:space="preserve"> proteins.</w:t>
      </w:r>
    </w:p>
    <w:p w:rsidR="00CA0EE1" w:rsidRPr="00CA0EE1" w:rsidRDefault="00CA0EE1" w:rsidP="00205D74">
      <w:pPr>
        <w:pStyle w:val="Numberbullet0"/>
      </w:pPr>
      <w:r w:rsidRPr="00CA0EE1">
        <w:t xml:space="preserve">Any concurrent clinically significant major disease that, in the opinion </w:t>
      </w:r>
      <w:r w:rsidRPr="00205D74">
        <w:t>of</w:t>
      </w:r>
      <w:r w:rsidRPr="00CA0EE1">
        <w:t xml:space="preserve"> the Investigator, made the subject unsuitable for </w:t>
      </w:r>
      <w:r w:rsidR="005777D3" w:rsidRPr="00CA0EE1">
        <w:t>enrolment</w:t>
      </w:r>
      <w:r w:rsidRPr="00CA0EE1">
        <w:t>.</w:t>
      </w:r>
    </w:p>
    <w:p w:rsidR="00CA0EE1" w:rsidRPr="00CA0EE1" w:rsidRDefault="00CA0EE1" w:rsidP="00205D74">
      <w:pPr>
        <w:pStyle w:val="Numberbullet0"/>
      </w:pPr>
      <w:r w:rsidRPr="00CA0EE1">
        <w:t>Inability or unwillingness to refrain from taking additional prophylactic doses of FIX prior to sports activity or increased physical activity.</w:t>
      </w:r>
    </w:p>
    <w:p w:rsidR="00CA0EE1" w:rsidRPr="00CA0EE1" w:rsidRDefault="00CA0EE1" w:rsidP="00205D74">
      <w:pPr>
        <w:pStyle w:val="Numberbullet0"/>
      </w:pPr>
      <w:r w:rsidRPr="00CA0EE1">
        <w:t>Concurrent systemic treatment with immunosuppressant drugs within the last 12 weeks prior to the study entry (exceptions: ribavirin, treatment of HCV and HIV and/or systemic steroids [a total of 2 pulse treatments within 7 days ≤1 mg/kg] and/or inhaled steroids).</w:t>
      </w:r>
    </w:p>
    <w:p w:rsidR="00CA0EE1" w:rsidRDefault="00CA0EE1" w:rsidP="00205D74">
      <w:pPr>
        <w:pStyle w:val="Numberbullet0"/>
      </w:pPr>
      <w:r w:rsidRPr="00CA0EE1">
        <w:t xml:space="preserve">Current </w:t>
      </w:r>
      <w:r w:rsidR="00E67E0A" w:rsidRPr="00CA0EE1">
        <w:t>enrolment</w:t>
      </w:r>
      <w:r w:rsidRPr="00CA0EE1">
        <w:t xml:space="preserve"> (within the past 30 days) in any other clinical study involving investigational drugs.</w:t>
      </w:r>
    </w:p>
    <w:p w:rsidR="00CA0EE1" w:rsidRDefault="00CA0EE1" w:rsidP="00205D74">
      <w:pPr>
        <w:pStyle w:val="Numberbullet0"/>
      </w:pPr>
      <w:r w:rsidRPr="00CA0EE1">
        <w:t xml:space="preserve">Inability to enter accurate and timely information regarding injections and bleeding episodes into an </w:t>
      </w:r>
      <w:proofErr w:type="spellStart"/>
      <w:r w:rsidRPr="00CA0EE1">
        <w:t>eDiary</w:t>
      </w:r>
      <w:proofErr w:type="spellEnd"/>
      <w:r w:rsidRPr="00CA0EE1">
        <w:t xml:space="preserve"> and inadequate parental/caregiver support to manage this (per the Investigator’s judgment)</w:t>
      </w:r>
    </w:p>
    <w:p w:rsidR="00301573" w:rsidRDefault="00301573" w:rsidP="00205D74">
      <w:pPr>
        <w:ind w:left="425"/>
      </w:pPr>
      <w:r w:rsidRPr="003F76CB">
        <w:rPr>
          <w:b/>
        </w:rPr>
        <w:t>Comment:</w:t>
      </w:r>
      <w:r w:rsidR="00D27090">
        <w:t xml:space="preserve"> </w:t>
      </w:r>
      <w:r w:rsidRPr="00D27090">
        <w:t xml:space="preserve">The inclusion and exclusion criteria are generally consistent with those required by the relevant EMA guidelines for an initial study in PTPs. The EMA guidelines define a PTP as a subject who has had more than </w:t>
      </w:r>
      <w:r w:rsidRPr="00B73AF0">
        <w:t>150 exposure days (EDs</w:t>
      </w:r>
      <w:r w:rsidRPr="00D27090">
        <w:t xml:space="preserve">) whereas the inclusion criteria specified only more than 100 </w:t>
      </w:r>
      <w:proofErr w:type="spellStart"/>
      <w:r w:rsidRPr="00D27090">
        <w:t>EDs.</w:t>
      </w:r>
      <w:proofErr w:type="spellEnd"/>
    </w:p>
    <w:p w:rsidR="00301573" w:rsidRPr="004B259C" w:rsidRDefault="00301573" w:rsidP="00284F16">
      <w:pPr>
        <w:pStyle w:val="Heading5"/>
      </w:pPr>
      <w:bookmarkStart w:id="105" w:name="_Ref241206471"/>
      <w:bookmarkStart w:id="106" w:name="_Toc242109057"/>
      <w:r w:rsidRPr="004B259C">
        <w:t>Study treatments</w:t>
      </w:r>
      <w:bookmarkEnd w:id="105"/>
      <w:bookmarkEnd w:id="106"/>
    </w:p>
    <w:p w:rsidR="00301573" w:rsidRPr="00127C00" w:rsidRDefault="00301573" w:rsidP="00284F16">
      <w:r w:rsidRPr="00127C00">
        <w:t xml:space="preserve">In Arm 1, subjects received a prophylaxis regimen involving an infusion of </w:t>
      </w:r>
      <w:proofErr w:type="spellStart"/>
      <w:r w:rsidRPr="00127C00">
        <w:t>FIXFc</w:t>
      </w:r>
      <w:proofErr w:type="spellEnd"/>
      <w:r w:rsidRPr="00127C00">
        <w:t xml:space="preserve"> at a fixed dosing interval of once every 7 days. The dose was 50 IU/kg initially but this dose was adjusted (based on each subject’s baseline PK assessment) to ensure a target trough level of 1 to 3% above baseline (or higher if clinically indicated). Subjects were to be treated for up to 52 weeks.</w:t>
      </w:r>
    </w:p>
    <w:p w:rsidR="00301573" w:rsidRPr="00127C00" w:rsidRDefault="00301573" w:rsidP="00284F16">
      <w:r w:rsidRPr="00127C00">
        <w:t xml:space="preserve">In Arm 2, subjects received a prophylaxis regimen involving an infusion of </w:t>
      </w:r>
      <w:proofErr w:type="spellStart"/>
      <w:r w:rsidRPr="00127C00">
        <w:t>FIXFc</w:t>
      </w:r>
      <w:proofErr w:type="spellEnd"/>
      <w:r w:rsidRPr="00127C00">
        <w:t xml:space="preserve"> at a fixed dose of 100 IU/kg. The dose interval was every 10 days initially, but this interval was adjusted (based on each subject’s baseline PK assessment) to ensure a target trough level of 1 to 3% above baseline (or higher if clinically indicated). Subjects in Arm 2 were to have up to 50 </w:t>
      </w:r>
      <w:proofErr w:type="spellStart"/>
      <w:r w:rsidRPr="00127C00">
        <w:t>rFIXFc</w:t>
      </w:r>
      <w:proofErr w:type="spellEnd"/>
      <w:r w:rsidRPr="00127C00">
        <w:t xml:space="preserve"> exposure days before completing the study.</w:t>
      </w:r>
    </w:p>
    <w:p w:rsidR="00301573" w:rsidRPr="00127C00" w:rsidRDefault="00301573" w:rsidP="00284F16">
      <w:r w:rsidRPr="00127C00">
        <w:t xml:space="preserve">In Arm 3, subjects received episodic treatment with </w:t>
      </w:r>
      <w:proofErr w:type="spellStart"/>
      <w:r w:rsidRPr="00127C00">
        <w:t>FIXFc</w:t>
      </w:r>
      <w:proofErr w:type="spellEnd"/>
      <w:r w:rsidRPr="00127C00">
        <w:t xml:space="preserve"> (</w:t>
      </w:r>
      <w:r w:rsidR="00620E4B" w:rsidRPr="00127C00">
        <w:t>that is,</w:t>
      </w:r>
      <w:r w:rsidRPr="00127C00">
        <w:t xml:space="preserve"> only at the time of bleeding episodes) involving an infusion of 20 </w:t>
      </w:r>
      <w:r w:rsidR="00620E4B" w:rsidRPr="00127C00">
        <w:t xml:space="preserve">to </w:t>
      </w:r>
      <w:r w:rsidRPr="00127C00">
        <w:t xml:space="preserve">100 IU/kg </w:t>
      </w:r>
      <w:proofErr w:type="spellStart"/>
      <w:r w:rsidRPr="00127C00">
        <w:t>FIXFc</w:t>
      </w:r>
      <w:proofErr w:type="spellEnd"/>
      <w:r w:rsidRPr="00127C00">
        <w:t xml:space="preserve">, or the dose required (based on each subject’s baseline PK assessment) to ensure a target level of 20 </w:t>
      </w:r>
      <w:r w:rsidR="00620E4B" w:rsidRPr="00127C00">
        <w:t>to</w:t>
      </w:r>
      <w:r w:rsidRPr="00127C00">
        <w:t xml:space="preserve"> 100% FIX activity. Subjects were to be treated for up to 52 weeks.</w:t>
      </w:r>
    </w:p>
    <w:p w:rsidR="00301573" w:rsidRPr="00127C00" w:rsidRDefault="00301573" w:rsidP="00284F16">
      <w:r w:rsidRPr="00127C00">
        <w:t xml:space="preserve">For all treatment arms, the following served as a guide for treating bleeding episodes with </w:t>
      </w:r>
      <w:proofErr w:type="spellStart"/>
      <w:r w:rsidRPr="00127C00">
        <w:t>rFIXFc</w:t>
      </w:r>
      <w:proofErr w:type="spellEnd"/>
      <w:r w:rsidRPr="00127C00">
        <w:t>:</w:t>
      </w:r>
    </w:p>
    <w:p w:rsidR="00301573" w:rsidRDefault="00301573" w:rsidP="00284F16">
      <w:pPr>
        <w:pStyle w:val="ListBullet"/>
      </w:pPr>
      <w:r>
        <w:t>Minor bleeding episodes (superficial, early haemorrhages, early haemorrhages into joints, haematuria, mucous membrane, epistaxis): 20 to 30 IU/kg (20% to 30% FIX level), to be repeated at 48 hours if needed</w:t>
      </w:r>
      <w:r w:rsidR="00D373BD">
        <w:t>.</w:t>
      </w:r>
    </w:p>
    <w:p w:rsidR="00301573" w:rsidRDefault="00301573" w:rsidP="00284F16">
      <w:pPr>
        <w:pStyle w:val="ListBullet"/>
      </w:pPr>
      <w:r>
        <w:t xml:space="preserve">Moderate to major bleeding episodes (haemorrhages into muscles, haemorrhages into the oral cavity, definite </w:t>
      </w:r>
      <w:proofErr w:type="spellStart"/>
      <w:r>
        <w:t>haemarthroses</w:t>
      </w:r>
      <w:proofErr w:type="spellEnd"/>
      <w:r>
        <w:t xml:space="preserve">, known trauma, minor surgical procedures, epistaxis): </w:t>
      </w:r>
      <w:r>
        <w:lastRenderedPageBreak/>
        <w:t>25 to 50 IU/kg (25% to 50% FIX level), or (</w:t>
      </w:r>
      <w:proofErr w:type="spellStart"/>
      <w:r>
        <w:t>haemarthroses</w:t>
      </w:r>
      <w:proofErr w:type="spellEnd"/>
      <w:r>
        <w:t>, with limited motion) 40 to 80 IU/kg (40% to 80% FIX level), to be repeated at 48 hours if needed</w:t>
      </w:r>
      <w:r w:rsidR="00D373BD">
        <w:t>.</w:t>
      </w:r>
    </w:p>
    <w:p w:rsidR="00301573" w:rsidRDefault="00301573" w:rsidP="00284F16">
      <w:pPr>
        <w:pStyle w:val="ListBullet"/>
      </w:pPr>
      <w:r>
        <w:t>Major to life</w:t>
      </w:r>
      <w:r w:rsidR="00671098">
        <w:t xml:space="preserve"> </w:t>
      </w:r>
      <w:r>
        <w:t xml:space="preserve">threatening bleeding episodes (epistaxis, pharyngeal, retropharyngeal, </w:t>
      </w:r>
      <w:proofErr w:type="spellStart"/>
      <w:r>
        <w:t>intrathoracic</w:t>
      </w:r>
      <w:proofErr w:type="spellEnd"/>
      <w:r>
        <w:t xml:space="preserve">, gastrointestinal, </w:t>
      </w:r>
      <w:r w:rsidR="00620E4B">
        <w:t xml:space="preserve">central nervous system </w:t>
      </w:r>
      <w:r w:rsidR="00CF56EC">
        <w:t>[</w:t>
      </w:r>
      <w:r>
        <w:t>CNS</w:t>
      </w:r>
      <w:r w:rsidR="00CF56EC">
        <w:t>]</w:t>
      </w:r>
      <w:r>
        <w:t xml:space="preserve">, intra-abdominal, or retroperitoneal bleeding, or </w:t>
      </w:r>
      <w:proofErr w:type="spellStart"/>
      <w:r>
        <w:t>iliopsoas</w:t>
      </w:r>
      <w:proofErr w:type="spellEnd"/>
      <w:r>
        <w:t xml:space="preserve"> sheath): 50 to 100 IU/kg (50% to 100% FIX level) </w:t>
      </w:r>
      <w:r w:rsidR="007420B7">
        <w:t>(</w:t>
      </w:r>
      <w:r>
        <w:t>80 to 100 IU/kg, or 80% to 100% FIX level, for CNS bleeding episodes</w:t>
      </w:r>
      <w:r w:rsidR="007420B7">
        <w:t>)</w:t>
      </w:r>
      <w:r>
        <w:t>, to be repeated at 24 to 48 hours as needed.</w:t>
      </w:r>
    </w:p>
    <w:p w:rsidR="00301573" w:rsidRDefault="00301573" w:rsidP="00284F16">
      <w:r>
        <w:t xml:space="preserve">In </w:t>
      </w:r>
      <w:r w:rsidRPr="00671098">
        <w:t>Arm 4</w:t>
      </w:r>
      <w:r>
        <w:t xml:space="preserve">, subjects received </w:t>
      </w:r>
      <w:r w:rsidRPr="00671098">
        <w:t>surgical prophylaxis</w:t>
      </w:r>
      <w:r>
        <w:t xml:space="preserve"> with </w:t>
      </w:r>
      <w:proofErr w:type="spellStart"/>
      <w:r>
        <w:t>FIXFc</w:t>
      </w:r>
      <w:proofErr w:type="spellEnd"/>
      <w:r>
        <w:t xml:space="preserve"> involving an infusion of 20 </w:t>
      </w:r>
      <w:r w:rsidR="0087400B">
        <w:t>to</w:t>
      </w:r>
      <w:r>
        <w:t xml:space="preserve"> 100 IU/kg </w:t>
      </w:r>
      <w:proofErr w:type="spellStart"/>
      <w:r>
        <w:t>FIXFc</w:t>
      </w:r>
      <w:proofErr w:type="spellEnd"/>
      <w:r>
        <w:t>, as required.</w:t>
      </w:r>
    </w:p>
    <w:p w:rsidR="00301573" w:rsidRDefault="00301573" w:rsidP="00284F16">
      <w:r>
        <w:t xml:space="preserve">All subjects (except those participating exclusively in </w:t>
      </w:r>
      <w:r w:rsidRPr="0087400B">
        <w:t>Arm 4</w:t>
      </w:r>
      <w:r>
        <w:t xml:space="preserve">) who completed the study or were still enrolled when the </w:t>
      </w:r>
      <w:r w:rsidR="007420B7">
        <w:t>s</w:t>
      </w:r>
      <w:r>
        <w:t>ponsor ended the study were to be offered the option of entering an extension study (under a separate protocol, Study 9HB01EXT).</w:t>
      </w:r>
    </w:p>
    <w:p w:rsidR="00301573" w:rsidRDefault="00301573" w:rsidP="00284F16">
      <w:r>
        <w:t xml:space="preserve">All infusions of </w:t>
      </w:r>
      <w:proofErr w:type="spellStart"/>
      <w:r>
        <w:t>FIXFc</w:t>
      </w:r>
      <w:proofErr w:type="spellEnd"/>
      <w:r>
        <w:t xml:space="preserve"> were administered over approximately 10 minutes.</w:t>
      </w:r>
    </w:p>
    <w:p w:rsidR="00301573" w:rsidRDefault="00301573" w:rsidP="00284F16">
      <w:r>
        <w:t>Medications that were pr</w:t>
      </w:r>
      <w:r w:rsidR="00284F16">
        <w:t>ohibited during the trial were:</w:t>
      </w:r>
    </w:p>
    <w:p w:rsidR="00301573" w:rsidRPr="00942D4D" w:rsidRDefault="00301573" w:rsidP="00284F16">
      <w:pPr>
        <w:pStyle w:val="ListBullet"/>
      </w:pPr>
      <w:r w:rsidRPr="00942D4D">
        <w:t xml:space="preserve">Blood products, such as red blood cells, platelets, </w:t>
      </w:r>
      <w:r w:rsidRPr="00284F16">
        <w:t>and</w:t>
      </w:r>
      <w:r w:rsidRPr="00942D4D">
        <w:t xml:space="preserve"> fresh frozen plasma, except as required during a surgery or acute clinical care</w:t>
      </w:r>
      <w:r w:rsidR="00D373BD">
        <w:t>.</w:t>
      </w:r>
    </w:p>
    <w:p w:rsidR="00301573" w:rsidRPr="00942D4D" w:rsidRDefault="00301573" w:rsidP="00284F16">
      <w:pPr>
        <w:pStyle w:val="ListBullet"/>
      </w:pPr>
      <w:r w:rsidRPr="00942D4D">
        <w:t>Aspirin or ibuprofen (other non-steroidal anti-</w:t>
      </w:r>
      <w:r w:rsidRPr="00284F16">
        <w:t>inflammatory</w:t>
      </w:r>
      <w:r w:rsidRPr="00942D4D">
        <w:t xml:space="preserve"> drugs were permitted)</w:t>
      </w:r>
      <w:r w:rsidR="00D373BD">
        <w:t>.</w:t>
      </w:r>
    </w:p>
    <w:p w:rsidR="00301573" w:rsidRPr="00942D4D" w:rsidRDefault="00301573" w:rsidP="00942D4D">
      <w:pPr>
        <w:pStyle w:val="ListBullet"/>
      </w:pPr>
      <w:r w:rsidRPr="00942D4D">
        <w:t xml:space="preserve">Any other FIX product (excluding </w:t>
      </w:r>
      <w:proofErr w:type="spellStart"/>
      <w:r w:rsidRPr="00942D4D">
        <w:t>BeneFIX</w:t>
      </w:r>
      <w:proofErr w:type="spellEnd"/>
      <w:r w:rsidRPr="00942D4D">
        <w:t xml:space="preserve"> during the sequential PK portion of Arm 1)</w:t>
      </w:r>
      <w:r w:rsidR="00D373BD">
        <w:t>.</w:t>
      </w:r>
    </w:p>
    <w:p w:rsidR="00301573" w:rsidRPr="004B259C" w:rsidRDefault="00301573" w:rsidP="00284F16">
      <w:pPr>
        <w:pStyle w:val="Heading5"/>
      </w:pPr>
      <w:bookmarkStart w:id="107" w:name="_Toc242109058"/>
      <w:r w:rsidRPr="004B259C">
        <w:t>Efficacy variables and outcomes</w:t>
      </w:r>
      <w:bookmarkEnd w:id="107"/>
    </w:p>
    <w:p w:rsidR="00301573" w:rsidRPr="00127C00" w:rsidRDefault="00301573" w:rsidP="00284F16">
      <w:r w:rsidRPr="00127C00">
        <w:t>Subjects used an electronic patient diary (</w:t>
      </w:r>
      <w:proofErr w:type="spellStart"/>
      <w:r w:rsidRPr="00127C00">
        <w:t>eDiary</w:t>
      </w:r>
      <w:proofErr w:type="spellEnd"/>
      <w:r w:rsidRPr="00127C00">
        <w:t>) during the study to record details of</w:t>
      </w:r>
      <w:r w:rsidR="0087400B" w:rsidRPr="00127C00">
        <w:t xml:space="preserve"> </w:t>
      </w:r>
      <w:proofErr w:type="spellStart"/>
      <w:r w:rsidRPr="00127C00">
        <w:t>FIXFc</w:t>
      </w:r>
      <w:proofErr w:type="spellEnd"/>
      <w:r w:rsidRPr="00127C00">
        <w:t xml:space="preserve"> administration, bleeding episodes and responses to </w:t>
      </w:r>
      <w:proofErr w:type="spellStart"/>
      <w:r w:rsidRPr="00127C00">
        <w:t>rFIXFc</w:t>
      </w:r>
      <w:proofErr w:type="spellEnd"/>
      <w:r w:rsidRPr="00127C00">
        <w:t xml:space="preserve"> treatment. Scheduled clinic visits for Arms 1, 2 and 3 were at screening (Visit 1), baseline (Visit 2), </w:t>
      </w:r>
      <w:r w:rsidR="007420B7" w:rsidRPr="00127C00">
        <w:t>W</w:t>
      </w:r>
      <w:r w:rsidRPr="00127C00">
        <w:t xml:space="preserve">eek 4 (Visit 3), </w:t>
      </w:r>
      <w:r w:rsidR="007420B7" w:rsidRPr="00127C00">
        <w:t>W</w:t>
      </w:r>
      <w:r w:rsidRPr="00127C00">
        <w:t xml:space="preserve">eek 16 (Visit 4), </w:t>
      </w:r>
      <w:r w:rsidR="007420B7" w:rsidRPr="00127C00">
        <w:t>W</w:t>
      </w:r>
      <w:r w:rsidRPr="00127C00">
        <w:t xml:space="preserve">eek 26 (Visit 5), </w:t>
      </w:r>
      <w:r w:rsidR="007420B7" w:rsidRPr="00127C00">
        <w:t>W</w:t>
      </w:r>
      <w:r w:rsidRPr="00127C00">
        <w:t xml:space="preserve">eek 39 (Visit 6) and </w:t>
      </w:r>
      <w:r w:rsidR="007420B7" w:rsidRPr="00127C00">
        <w:t>W</w:t>
      </w:r>
      <w:r w:rsidRPr="00127C00">
        <w:t xml:space="preserve">eek 52 (Visit 7). Scheduled visits for Arm 4 were at screening (Visit 1), baseline (Visit 2), </w:t>
      </w:r>
      <w:proofErr w:type="gramStart"/>
      <w:r w:rsidRPr="00127C00">
        <w:t>the</w:t>
      </w:r>
      <w:proofErr w:type="gramEnd"/>
      <w:r w:rsidRPr="00127C00">
        <w:t xml:space="preserve"> day of surgery (Visit 3), 1 week post</w:t>
      </w:r>
      <w:r w:rsidR="00127C00" w:rsidRPr="00127C00">
        <w:t>-</w:t>
      </w:r>
      <w:r w:rsidRPr="00127C00">
        <w:t>op</w:t>
      </w:r>
      <w:r w:rsidR="0087400B" w:rsidRPr="00127C00">
        <w:t>erative</w:t>
      </w:r>
      <w:r w:rsidRPr="00127C00">
        <w:t xml:space="preserve"> (Visit 4), and 1 week post recovery (Visit 5).</w:t>
      </w:r>
    </w:p>
    <w:p w:rsidR="00301573" w:rsidRPr="004B259C" w:rsidRDefault="00301573" w:rsidP="00284F16">
      <w:r w:rsidRPr="004B259C">
        <w:t>The main efficacy variables were:</w:t>
      </w:r>
    </w:p>
    <w:p w:rsidR="00301573" w:rsidRPr="004B259C" w:rsidRDefault="00301573" w:rsidP="00284F16">
      <w:pPr>
        <w:pStyle w:val="ListBullet"/>
      </w:pPr>
      <w:r>
        <w:t>The number of bleeding episodes</w:t>
      </w:r>
      <w:r w:rsidR="00D373BD">
        <w:t>.</w:t>
      </w:r>
    </w:p>
    <w:p w:rsidR="00301573" w:rsidRPr="004B259C" w:rsidRDefault="00301573" w:rsidP="00284F16">
      <w:pPr>
        <w:pStyle w:val="ListBullet"/>
      </w:pPr>
      <w:r>
        <w:t xml:space="preserve">The response to treatment with </w:t>
      </w:r>
      <w:proofErr w:type="spellStart"/>
      <w:r>
        <w:t>FIXFc</w:t>
      </w:r>
      <w:proofErr w:type="spellEnd"/>
      <w:r>
        <w:t xml:space="preserve"> for bleeding episodes</w:t>
      </w:r>
      <w:r w:rsidR="00D373BD">
        <w:t>.</w:t>
      </w:r>
    </w:p>
    <w:p w:rsidR="00301573" w:rsidRDefault="00301573" w:rsidP="00284F16">
      <w:pPr>
        <w:pStyle w:val="ListBullet"/>
      </w:pPr>
      <w:r>
        <w:t xml:space="preserve">The number and frequency of </w:t>
      </w:r>
      <w:proofErr w:type="spellStart"/>
      <w:r>
        <w:t>FIXFc</w:t>
      </w:r>
      <w:proofErr w:type="spellEnd"/>
      <w:r>
        <w:t xml:space="preserve"> infusions for the treatment of bleeding episodes</w:t>
      </w:r>
      <w:r w:rsidR="00D373BD">
        <w:t>.</w:t>
      </w:r>
    </w:p>
    <w:p w:rsidR="00301573" w:rsidRPr="004B259C" w:rsidRDefault="00301573" w:rsidP="0087400B">
      <w:pPr>
        <w:pStyle w:val="ListBullet"/>
      </w:pPr>
      <w:r>
        <w:t>Quality of Life (</w:t>
      </w:r>
      <w:proofErr w:type="spellStart"/>
      <w:r>
        <w:t>QoL</w:t>
      </w:r>
      <w:proofErr w:type="spellEnd"/>
      <w:r>
        <w:t>).</w:t>
      </w:r>
    </w:p>
    <w:p w:rsidR="00301573" w:rsidRPr="00127C00" w:rsidRDefault="00301573" w:rsidP="00284F16">
      <w:r w:rsidRPr="00127C00">
        <w:t>The primary efficacy outcome was the a</w:t>
      </w:r>
      <w:r w:rsidR="00D373BD" w:rsidRPr="00127C00">
        <w:t>nnualised bleeding rate during ‘</w:t>
      </w:r>
      <w:r w:rsidRPr="00127C00">
        <w:t>the efficacy period</w:t>
      </w:r>
      <w:r w:rsidR="00D373BD" w:rsidRPr="00127C00">
        <w:t>’</w:t>
      </w:r>
      <w:r w:rsidRPr="00127C00">
        <w:t xml:space="preserve">. Further explanation of this endpoint is given </w:t>
      </w:r>
      <w:r w:rsidR="003F76CB" w:rsidRPr="00127C00">
        <w:t>below</w:t>
      </w:r>
      <w:r w:rsidRPr="00127C00">
        <w:t>. The rates observed in the two prophylaxis arms (Arms 1 and 2) were to be compared with the rate observed in the episodic treatment arm (Arm 3).</w:t>
      </w:r>
    </w:p>
    <w:p w:rsidR="00F3513F" w:rsidRPr="003F76CB" w:rsidRDefault="00404980" w:rsidP="00284F16">
      <w:pPr>
        <w:pStyle w:val="Heading5"/>
        <w:numPr>
          <w:ilvl w:val="0"/>
          <w:numId w:val="0"/>
        </w:numPr>
      </w:pPr>
      <w:bookmarkStart w:id="108" w:name="_Toc242109157"/>
      <w:r w:rsidRPr="003F76CB">
        <w:t>Annualised</w:t>
      </w:r>
      <w:r w:rsidR="00F3513F" w:rsidRPr="003F76CB">
        <w:t xml:space="preserve"> bleeding rate (Primary endpoint)</w:t>
      </w:r>
      <w:bookmarkEnd w:id="108"/>
      <w:r w:rsidR="003F76CB" w:rsidRPr="003F76CB">
        <w:t>:</w:t>
      </w:r>
    </w:p>
    <w:p w:rsidR="000C3AB7" w:rsidRPr="003F76CB" w:rsidRDefault="000C3AB7" w:rsidP="00284F16">
      <w:r w:rsidRPr="003F76CB">
        <w:t>The number of bleeding episodes was annualised for each subject using the following formula:</w:t>
      </w:r>
    </w:p>
    <w:p w:rsidR="000C3AB7" w:rsidRPr="003F76CB" w:rsidRDefault="00AF676A" w:rsidP="00284F16">
      <w:pPr>
        <w:ind w:left="2835" w:hanging="2835"/>
      </w:pPr>
      <w:r>
        <w:t>Annualised bleeding rate =</w:t>
      </w:r>
      <w:r w:rsidR="003F76CB">
        <w:tab/>
        <w:t>[</w:t>
      </w:r>
      <w:r w:rsidR="000C3AB7" w:rsidRPr="003F76CB">
        <w:t>(Number of bleeding episodes during the efficacy period</w:t>
      </w:r>
      <w:r w:rsidR="003F76CB">
        <w:t>)</w:t>
      </w:r>
      <w:r w:rsidR="00284F16">
        <w:t xml:space="preserve"> </w:t>
      </w:r>
      <w:r w:rsidR="000C3AB7" w:rsidRPr="003F76CB">
        <w:t>/</w:t>
      </w:r>
      <w:r w:rsidR="00284F16">
        <w:t xml:space="preserve"> </w:t>
      </w:r>
      <w:r w:rsidR="003F76CB">
        <w:t>(</w:t>
      </w:r>
      <w:r w:rsidR="000C3AB7" w:rsidRPr="003F76CB">
        <w:t>Total number of days during the efficacy period)</w:t>
      </w:r>
      <w:r w:rsidR="003F76CB">
        <w:t>]</w:t>
      </w:r>
      <w:r w:rsidR="00284F16">
        <w:t xml:space="preserve"> </w:t>
      </w:r>
      <w:r w:rsidR="000C3AB7" w:rsidRPr="003F76CB">
        <w:t>x 365.25</w:t>
      </w:r>
    </w:p>
    <w:p w:rsidR="000C3AB7" w:rsidRPr="003F76CB" w:rsidRDefault="000C3AB7" w:rsidP="00284F16">
      <w:pPr>
        <w:pStyle w:val="Heading6"/>
        <w:numPr>
          <w:ilvl w:val="0"/>
          <w:numId w:val="0"/>
        </w:numPr>
      </w:pPr>
      <w:r w:rsidRPr="003F76CB">
        <w:t xml:space="preserve">Efficacy </w:t>
      </w:r>
      <w:r w:rsidR="00284F16">
        <w:t>p</w:t>
      </w:r>
      <w:r w:rsidRPr="003F76CB">
        <w:t>eriod</w:t>
      </w:r>
    </w:p>
    <w:p w:rsidR="000C3AB7" w:rsidRPr="003F76CB" w:rsidRDefault="000C3AB7" w:rsidP="00284F16">
      <w:r w:rsidRPr="003F76CB">
        <w:t xml:space="preserve">In Arms 1 and 2, the efficacy period started with the date and time of first prophylactic dose following a completed PK sampling period and ended with the last dose administered (for prophylaxis or a bleeding episode) as recorded in the </w:t>
      </w:r>
      <w:proofErr w:type="spellStart"/>
      <w:r w:rsidRPr="003F76CB">
        <w:t>eCRF</w:t>
      </w:r>
      <w:proofErr w:type="spellEnd"/>
      <w:r w:rsidRPr="003F76CB">
        <w:t xml:space="preserve"> or </w:t>
      </w:r>
      <w:proofErr w:type="spellStart"/>
      <w:r w:rsidRPr="003F76CB">
        <w:t>eDiary</w:t>
      </w:r>
      <w:proofErr w:type="spellEnd"/>
      <w:r w:rsidRPr="003F76CB">
        <w:t xml:space="preserve">. The efficacy period was interrupted for the repeat PK period in Arm 1 (sequential PK subgroup) and for all </w:t>
      </w:r>
      <w:r w:rsidRPr="003F76CB">
        <w:lastRenderedPageBreak/>
        <w:t>surgical/rehabilitation periods (for both major and minor surgeries) in Arms 1 and 2. The efficacy period continued up to the last dose (for prophylaxis or treatment of a bleeding episode) before the repeat PK dose or up to the last dose (for prophylaxis or treatment of a bleeding episode) before the start of a surgical/rehabilitation period, and then resumed at the next prophylactic dose following the end of the PK or surgical/rehabilitation period.</w:t>
      </w:r>
    </w:p>
    <w:p w:rsidR="000C3AB7" w:rsidRPr="003F76CB" w:rsidRDefault="000C3AB7" w:rsidP="00284F16">
      <w:r w:rsidRPr="003F76CB">
        <w:t xml:space="preserve">In Arm 3, the efficacy period started 1 minute following the last PK sampling </w:t>
      </w:r>
      <w:proofErr w:type="spellStart"/>
      <w:r w:rsidRPr="003F76CB">
        <w:t>timepoint</w:t>
      </w:r>
      <w:proofErr w:type="spellEnd"/>
      <w:r w:rsidRPr="003F76CB">
        <w:t xml:space="preserve"> and ended with either the date of last contact or the date of the last entry into the </w:t>
      </w:r>
      <w:proofErr w:type="spellStart"/>
      <w:r w:rsidRPr="003F76CB">
        <w:t>eDiary</w:t>
      </w:r>
      <w:proofErr w:type="spellEnd"/>
      <w:r w:rsidRPr="003F76CB">
        <w:t>, whichever was later. The efficacy period was interrupted 1 minute before the start of a surgical/rehabilitation period and restarted at 00:01 the day following the end of the surgical/rehabilitation period.</w:t>
      </w:r>
    </w:p>
    <w:p w:rsidR="000C3AB7" w:rsidRPr="003F76CB" w:rsidRDefault="000C3AB7" w:rsidP="00284F16">
      <w:pPr>
        <w:pStyle w:val="Heading6"/>
        <w:numPr>
          <w:ilvl w:val="0"/>
          <w:numId w:val="0"/>
        </w:numPr>
      </w:pPr>
      <w:r w:rsidRPr="003F76CB">
        <w:t xml:space="preserve">Exploratory </w:t>
      </w:r>
      <w:r w:rsidR="00284F16">
        <w:t>s</w:t>
      </w:r>
      <w:r w:rsidRPr="003F76CB">
        <w:t xml:space="preserve">ensitivity </w:t>
      </w:r>
      <w:r w:rsidR="00284F16">
        <w:t>a</w:t>
      </w:r>
      <w:r w:rsidRPr="003F76CB">
        <w:t xml:space="preserve">nalyses of the </w:t>
      </w:r>
      <w:r w:rsidR="00284F16">
        <w:t>p</w:t>
      </w:r>
      <w:r w:rsidRPr="003F76CB">
        <w:t xml:space="preserve">rimary </w:t>
      </w:r>
      <w:r w:rsidR="00284F16">
        <w:t>e</w:t>
      </w:r>
      <w:r w:rsidRPr="003F76CB">
        <w:t xml:space="preserve">fficacy </w:t>
      </w:r>
      <w:r w:rsidR="00284F16">
        <w:t>e</w:t>
      </w:r>
      <w:r w:rsidRPr="003F76CB">
        <w:t>ndpoint</w:t>
      </w:r>
    </w:p>
    <w:p w:rsidR="000C3AB7" w:rsidRPr="003F76CB" w:rsidRDefault="000C3AB7" w:rsidP="00284F16">
      <w:r w:rsidRPr="003F76CB">
        <w:t>Sensitivity analyses were performed for annualised bleeding rate:</w:t>
      </w:r>
    </w:p>
    <w:p w:rsidR="000C3AB7" w:rsidRPr="003F76CB" w:rsidRDefault="000C3AB7" w:rsidP="00284F16">
      <w:pPr>
        <w:pStyle w:val="ListBullet"/>
      </w:pPr>
      <w:proofErr w:type="gramStart"/>
      <w:r w:rsidRPr="003F76CB">
        <w:t>based</w:t>
      </w:r>
      <w:proofErr w:type="gramEnd"/>
      <w:r w:rsidRPr="003F76CB">
        <w:t xml:space="preserve"> on all bleeds as recorded by the subject.</w:t>
      </w:r>
    </w:p>
    <w:p w:rsidR="000C3AB7" w:rsidRPr="003F76CB" w:rsidRDefault="000C3AB7" w:rsidP="00284F16">
      <w:pPr>
        <w:pStyle w:val="ListBullet"/>
      </w:pPr>
      <w:proofErr w:type="gramStart"/>
      <w:r w:rsidRPr="003F76CB">
        <w:t>excluding</w:t>
      </w:r>
      <w:proofErr w:type="gramEnd"/>
      <w:r w:rsidRPr="003F76CB">
        <w:t xml:space="preserve"> subjects with major protocol deviations potentially impacting the primary efficacy endpoint.</w:t>
      </w:r>
    </w:p>
    <w:p w:rsidR="000C3AB7" w:rsidRPr="003F76CB" w:rsidRDefault="000C3AB7" w:rsidP="00284F16">
      <w:pPr>
        <w:pStyle w:val="ListBullet"/>
      </w:pPr>
      <w:proofErr w:type="gramStart"/>
      <w:r w:rsidRPr="003F76CB">
        <w:t>for</w:t>
      </w:r>
      <w:proofErr w:type="gramEnd"/>
      <w:r w:rsidRPr="003F76CB">
        <w:t xml:space="preserve"> the last 6 months on study for subjects with at </w:t>
      </w:r>
      <w:r w:rsidRPr="00284F16">
        <w:t>least</w:t>
      </w:r>
      <w:r w:rsidRPr="003F76CB">
        <w:t xml:space="preserve"> 9 months on study, and for the last 3 months on study for subjects with at least 6 months on study.</w:t>
      </w:r>
    </w:p>
    <w:p w:rsidR="000C3AB7" w:rsidRPr="003F76CB" w:rsidRDefault="000C3AB7" w:rsidP="00284F16">
      <w:pPr>
        <w:pStyle w:val="ListBullet"/>
      </w:pPr>
      <w:proofErr w:type="gramStart"/>
      <w:r w:rsidRPr="003F76CB">
        <w:t>by</w:t>
      </w:r>
      <w:proofErr w:type="gramEnd"/>
      <w:r w:rsidRPr="003F76CB">
        <w:t xml:space="preserve"> the prophylactic dose compliance rate (&lt; 80%, ≥ 80%, Arms 1 and 2), by the prophylactic dosing interval compliance rate (&lt; 80%, ≤ 80%, Arms 1 and 2), and by the overall prophylactic dose and dosing interval compliance rate (&lt; 80%, ≥ 80%, Arms 1 and 2).</w:t>
      </w:r>
    </w:p>
    <w:p w:rsidR="000C3AB7" w:rsidRPr="003F76CB" w:rsidRDefault="000C3AB7" w:rsidP="00284F16">
      <w:pPr>
        <w:pStyle w:val="Heading6"/>
        <w:numPr>
          <w:ilvl w:val="0"/>
          <w:numId w:val="0"/>
        </w:numPr>
      </w:pPr>
      <w:r w:rsidRPr="003F76CB">
        <w:t xml:space="preserve">Exploratory </w:t>
      </w:r>
      <w:r w:rsidR="00284F16">
        <w:t>s</w:t>
      </w:r>
      <w:r w:rsidRPr="003F76CB">
        <w:t xml:space="preserve">ubgroup </w:t>
      </w:r>
      <w:r w:rsidR="00284F16">
        <w:t>a</w:t>
      </w:r>
      <w:r w:rsidRPr="003F76CB">
        <w:t xml:space="preserve">nalyses of the </w:t>
      </w:r>
      <w:r w:rsidR="00284F16">
        <w:t>p</w:t>
      </w:r>
      <w:r w:rsidRPr="003F76CB">
        <w:t xml:space="preserve">rimary </w:t>
      </w:r>
      <w:r w:rsidR="00284F16">
        <w:t>e</w:t>
      </w:r>
      <w:r w:rsidRPr="003F76CB">
        <w:t xml:space="preserve">fficacy </w:t>
      </w:r>
      <w:r w:rsidR="00284F16">
        <w:t>e</w:t>
      </w:r>
      <w:r w:rsidRPr="003F76CB">
        <w:t>ndpoint</w:t>
      </w:r>
    </w:p>
    <w:p w:rsidR="000C3AB7" w:rsidRPr="003F76CB" w:rsidRDefault="000C3AB7" w:rsidP="00284F16">
      <w:r w:rsidRPr="003F76CB">
        <w:t>Subgroup analyses were performed for annualised bleeding rate:</w:t>
      </w:r>
    </w:p>
    <w:p w:rsidR="000C3AB7" w:rsidRPr="003F76CB" w:rsidRDefault="000C3AB7" w:rsidP="00284F16">
      <w:pPr>
        <w:pStyle w:val="ListBullet"/>
      </w:pPr>
      <w:r w:rsidRPr="003F76CB">
        <w:t xml:space="preserve">by </w:t>
      </w:r>
      <w:proofErr w:type="spellStart"/>
      <w:r w:rsidRPr="003F76CB">
        <w:t>prestudy</w:t>
      </w:r>
      <w:proofErr w:type="spellEnd"/>
      <w:r w:rsidRPr="003F76CB">
        <w:t xml:space="preserve"> treatment</w:t>
      </w:r>
    </w:p>
    <w:p w:rsidR="000C3AB7" w:rsidRPr="003F76CB" w:rsidRDefault="000C3AB7" w:rsidP="00284F16">
      <w:pPr>
        <w:pStyle w:val="ListBullet"/>
      </w:pPr>
      <w:proofErr w:type="gramStart"/>
      <w:r w:rsidRPr="003F76CB">
        <w:t>by</w:t>
      </w:r>
      <w:proofErr w:type="gramEnd"/>
      <w:r w:rsidRPr="003F76CB">
        <w:t xml:space="preserve"> severity of </w:t>
      </w:r>
      <w:proofErr w:type="spellStart"/>
      <w:r w:rsidRPr="003F76CB">
        <w:t>hemophilia</w:t>
      </w:r>
      <w:proofErr w:type="spellEnd"/>
      <w:r w:rsidRPr="003F76CB">
        <w:t xml:space="preserve"> at baseline (estimated </w:t>
      </w:r>
      <w:r w:rsidRPr="00284F16">
        <w:t>bleeds</w:t>
      </w:r>
      <w:r w:rsidRPr="003F76CB">
        <w:t xml:space="preserve"> in the prior 12 months; 0, 1 to 11, 12 to 23, 24 to 35, ≥ 36).</w:t>
      </w:r>
    </w:p>
    <w:p w:rsidR="000C3AB7" w:rsidRPr="003F76CB" w:rsidRDefault="000C3AB7" w:rsidP="00284F16">
      <w:pPr>
        <w:pStyle w:val="ListBullet"/>
      </w:pPr>
      <w:proofErr w:type="gramStart"/>
      <w:r w:rsidRPr="003F76CB">
        <w:t>by</w:t>
      </w:r>
      <w:proofErr w:type="gramEnd"/>
      <w:r w:rsidRPr="003F76CB">
        <w:t xml:space="preserve"> the number of target joints (none present, ≤ </w:t>
      </w:r>
      <w:r w:rsidRPr="00284F16">
        <w:t>median</w:t>
      </w:r>
      <w:r w:rsidRPr="003F76CB">
        <w:t xml:space="preserve"> of the number present, &gt;median of the number present).</w:t>
      </w:r>
    </w:p>
    <w:p w:rsidR="003F76CB" w:rsidRPr="003F76CB" w:rsidRDefault="000C3AB7" w:rsidP="00284F16">
      <w:pPr>
        <w:pStyle w:val="ListBullet"/>
      </w:pPr>
      <w:proofErr w:type="gramStart"/>
      <w:r w:rsidRPr="003F76CB">
        <w:t>by</w:t>
      </w:r>
      <w:proofErr w:type="gramEnd"/>
      <w:r w:rsidRPr="003F76CB">
        <w:t xml:space="preserve"> age (12 to 17 years, 18 to 64 years, 65 years </w:t>
      </w:r>
      <w:r w:rsidRPr="00284F16">
        <w:t>and</w:t>
      </w:r>
      <w:r w:rsidRPr="003F76CB">
        <w:t xml:space="preserve"> older).</w:t>
      </w:r>
    </w:p>
    <w:p w:rsidR="00301573" w:rsidRPr="004656B3" w:rsidRDefault="00301573" w:rsidP="00284F16">
      <w:pPr>
        <w:pStyle w:val="Heading4"/>
        <w:numPr>
          <w:ilvl w:val="0"/>
          <w:numId w:val="0"/>
        </w:numPr>
        <w:ind w:left="1134" w:hanging="964"/>
      </w:pPr>
      <w:r w:rsidRPr="004656B3">
        <w:t>Secondary efficacy outcomes included:</w:t>
      </w:r>
    </w:p>
    <w:p w:rsidR="00301573" w:rsidRPr="004B259C" w:rsidRDefault="00301573" w:rsidP="00284F16">
      <w:pPr>
        <w:pStyle w:val="ListBullet"/>
      </w:pPr>
      <w:r>
        <w:t xml:space="preserve">Subject’s assessment of response to </w:t>
      </w:r>
      <w:proofErr w:type="spellStart"/>
      <w:r>
        <w:t>FIXFc</w:t>
      </w:r>
      <w:proofErr w:type="spellEnd"/>
      <w:r>
        <w:t xml:space="preserve"> injection using a 4</w:t>
      </w:r>
      <w:r w:rsidR="00D373BD">
        <w:t xml:space="preserve"> </w:t>
      </w:r>
      <w:r w:rsidR="00284F16">
        <w:t>point bleeding response scale</w:t>
      </w:r>
    </w:p>
    <w:p w:rsidR="00301573" w:rsidRPr="004B259C" w:rsidRDefault="00301573" w:rsidP="00284F16">
      <w:pPr>
        <w:pStyle w:val="ListBullet"/>
      </w:pPr>
      <w:r>
        <w:t xml:space="preserve">Physician’s global assessment of response to </w:t>
      </w:r>
      <w:proofErr w:type="spellStart"/>
      <w:r>
        <w:t>FIXFc</w:t>
      </w:r>
      <w:proofErr w:type="spellEnd"/>
      <w:r>
        <w:t xml:space="preserve"> injection using a 4</w:t>
      </w:r>
      <w:r w:rsidR="00D373BD">
        <w:t xml:space="preserve"> </w:t>
      </w:r>
      <w:r>
        <w:t>point bleeding response scale</w:t>
      </w:r>
    </w:p>
    <w:p w:rsidR="00301573" w:rsidRDefault="00301573" w:rsidP="00284F16">
      <w:pPr>
        <w:pStyle w:val="ListBullet"/>
      </w:pPr>
      <w:r>
        <w:t xml:space="preserve">Total </w:t>
      </w:r>
      <w:r w:rsidR="00404980">
        <w:t>annualised</w:t>
      </w:r>
      <w:r w:rsidR="00284F16">
        <w:t xml:space="preserve"> </w:t>
      </w:r>
      <w:proofErr w:type="spellStart"/>
      <w:r w:rsidR="00284F16">
        <w:t>FIXFc</w:t>
      </w:r>
      <w:proofErr w:type="spellEnd"/>
      <w:r w:rsidR="00284F16">
        <w:t xml:space="preserve"> consumption per subject</w:t>
      </w:r>
    </w:p>
    <w:p w:rsidR="00301573" w:rsidRDefault="00301573" w:rsidP="00284F16">
      <w:pPr>
        <w:pStyle w:val="ListBullet"/>
      </w:pPr>
      <w:r>
        <w:t>Annuali</w:t>
      </w:r>
      <w:r w:rsidR="00D373BD">
        <w:t>s</w:t>
      </w:r>
      <w:r>
        <w:t xml:space="preserve">ed bleeding rate by type (traumatic </w:t>
      </w:r>
      <w:r w:rsidRPr="00284F16">
        <w:t>v</w:t>
      </w:r>
      <w:r w:rsidR="005B7775" w:rsidRPr="00284F16">
        <w:t>ersu</w:t>
      </w:r>
      <w:r w:rsidRPr="00284F16">
        <w:t>s</w:t>
      </w:r>
      <w:r>
        <w:t xml:space="preserve"> spontaneous) and location of bleeding episode</w:t>
      </w:r>
      <w:r w:rsidR="00D373BD">
        <w:t>.</w:t>
      </w:r>
    </w:p>
    <w:p w:rsidR="00301573" w:rsidRDefault="00301573" w:rsidP="00284F16">
      <w:pPr>
        <w:pStyle w:val="ListBullet"/>
      </w:pPr>
      <w:r>
        <w:t xml:space="preserve">Time from last injection of </w:t>
      </w:r>
      <w:proofErr w:type="spellStart"/>
      <w:r>
        <w:t>FIXFc</w:t>
      </w:r>
      <w:proofErr w:type="spellEnd"/>
      <w:r>
        <w:t xml:space="preserve"> to the bleeding episode</w:t>
      </w:r>
      <w:r w:rsidR="00D373BD">
        <w:t>.</w:t>
      </w:r>
    </w:p>
    <w:p w:rsidR="00301573" w:rsidRDefault="00301573" w:rsidP="00284F16">
      <w:pPr>
        <w:pStyle w:val="ListBullet"/>
      </w:pPr>
      <w:r>
        <w:t xml:space="preserve">Number of injections and dose of </w:t>
      </w:r>
      <w:proofErr w:type="spellStart"/>
      <w:r>
        <w:t>FIXFc</w:t>
      </w:r>
      <w:proofErr w:type="spellEnd"/>
      <w:r>
        <w:t xml:space="preserve"> to </w:t>
      </w:r>
      <w:r w:rsidRPr="00284F16">
        <w:t>resolve</w:t>
      </w:r>
      <w:r>
        <w:t xml:space="preserve"> a bleeding episode</w:t>
      </w:r>
      <w:r w:rsidR="00D373BD">
        <w:t>.</w:t>
      </w:r>
    </w:p>
    <w:p w:rsidR="00301573" w:rsidRPr="00E23158" w:rsidRDefault="00301573" w:rsidP="00284F16">
      <w:pPr>
        <w:pStyle w:val="ListBullet"/>
      </w:pPr>
      <w:r w:rsidRPr="00E23158">
        <w:t xml:space="preserve">Quality of life (in adult subjects) using a </w:t>
      </w:r>
      <w:r w:rsidRPr="00284F16">
        <w:t>haemophilia</w:t>
      </w:r>
      <w:r w:rsidR="005B7775" w:rsidRPr="00E23158">
        <w:t xml:space="preserve"> </w:t>
      </w:r>
      <w:r w:rsidRPr="00E23158">
        <w:t>specific instrument (</w:t>
      </w:r>
      <w:proofErr w:type="spellStart"/>
      <w:r w:rsidRPr="00E23158">
        <w:t>Haem</w:t>
      </w:r>
      <w:proofErr w:type="spellEnd"/>
      <w:r w:rsidRPr="00E23158">
        <w:t>-A-</w:t>
      </w:r>
      <w:proofErr w:type="spellStart"/>
      <w:r w:rsidRPr="00E23158">
        <w:t>QoL</w:t>
      </w:r>
      <w:proofErr w:type="spellEnd"/>
      <w:r w:rsidRPr="00E23158">
        <w:t>)</w:t>
      </w:r>
      <w:r w:rsidR="006E691C">
        <w:t xml:space="preserve"> was also used</w:t>
      </w:r>
      <w:r w:rsidRPr="00E23158">
        <w:t>. It was also intended to use a paediatric haemophilia</w:t>
      </w:r>
      <w:r w:rsidR="005B7775" w:rsidRPr="00E23158">
        <w:t xml:space="preserve"> </w:t>
      </w:r>
      <w:r w:rsidRPr="00E23158">
        <w:t xml:space="preserve">specific </w:t>
      </w:r>
      <w:proofErr w:type="spellStart"/>
      <w:r w:rsidRPr="00E23158">
        <w:t>QoL</w:t>
      </w:r>
      <w:proofErr w:type="spellEnd"/>
      <w:r w:rsidRPr="00E23158">
        <w:t xml:space="preserve"> instrument (</w:t>
      </w:r>
      <w:proofErr w:type="spellStart"/>
      <w:r w:rsidRPr="00E23158">
        <w:t>Haemo-QoL</w:t>
      </w:r>
      <w:proofErr w:type="spellEnd"/>
      <w:r w:rsidRPr="00E23158">
        <w:t>) in adolescents, however</w:t>
      </w:r>
      <w:r w:rsidR="00D373BD" w:rsidRPr="00E23158">
        <w:t>,</w:t>
      </w:r>
      <w:r w:rsidRPr="00E23158">
        <w:t xml:space="preserve"> too few responses were obtained, and this endpoint will not be discussed further.</w:t>
      </w:r>
    </w:p>
    <w:p w:rsidR="002D3368" w:rsidRDefault="006E691C" w:rsidP="00284F16">
      <w:pPr>
        <w:pStyle w:val="ListBullet"/>
      </w:pPr>
      <w:r>
        <w:lastRenderedPageBreak/>
        <w:t xml:space="preserve">Information was provided on the </w:t>
      </w:r>
      <w:r w:rsidR="00301573" w:rsidRPr="00E23158">
        <w:t>endpoints used to assess efficacy in the surgical prophylaxis setting (Arm 4)</w:t>
      </w:r>
      <w:r>
        <w:t>.</w:t>
      </w:r>
    </w:p>
    <w:p w:rsidR="00E23158" w:rsidRPr="006E691C" w:rsidRDefault="00E23158" w:rsidP="00284F16">
      <w:pPr>
        <w:ind w:left="360"/>
      </w:pPr>
      <w:r w:rsidRPr="006E691C">
        <w:rPr>
          <w:b/>
        </w:rPr>
        <w:t>Comment:</w:t>
      </w:r>
      <w:r w:rsidRPr="006E691C">
        <w:t xml:space="preserve"> The efficacy endpoints were appropriate for establishing efficacy in haemophilia B, and were generally consistent with those recommended in the EMA guidelines.</w:t>
      </w:r>
    </w:p>
    <w:p w:rsidR="00301573" w:rsidRPr="004B259C" w:rsidRDefault="00301573" w:rsidP="00284F16">
      <w:pPr>
        <w:pStyle w:val="Heading5"/>
      </w:pPr>
      <w:bookmarkStart w:id="109" w:name="_Toc242109059"/>
      <w:r w:rsidRPr="00284F16">
        <w:t>Randomisation</w:t>
      </w:r>
      <w:r w:rsidRPr="004B259C">
        <w:t xml:space="preserve"> and blinding methods</w:t>
      </w:r>
      <w:bookmarkEnd w:id="109"/>
    </w:p>
    <w:p w:rsidR="00301573" w:rsidRPr="00127C00" w:rsidRDefault="00301573" w:rsidP="00284F16">
      <w:r w:rsidRPr="00127C00">
        <w:t xml:space="preserve">Subjects were not randomised to the four treatment arms. They were to be assigned to treatment arms </w:t>
      </w:r>
      <w:r w:rsidR="00D373BD" w:rsidRPr="00127C00">
        <w:t>‘</w:t>
      </w:r>
      <w:r w:rsidRPr="00127C00">
        <w:t>according to the standard of care and investigator decision, following discussion with each subject</w:t>
      </w:r>
      <w:r w:rsidR="00D373BD" w:rsidRPr="00127C00">
        <w:t>’</w:t>
      </w:r>
      <w:r w:rsidR="00284F16">
        <w:t>.</w:t>
      </w:r>
    </w:p>
    <w:p w:rsidR="00301573" w:rsidRPr="00127C00" w:rsidRDefault="00301573" w:rsidP="00284F16">
      <w:r w:rsidRPr="00127C00">
        <w:t>Subjects receiving a prophylaxis treatment regimen prior to study start were to join Arms 1 or 2 only. Subjects receiving on-demand (episodic) treatment prior to study start were to be allowed to enrol in Arm 1, 2, or 3. Subjects could enrol into Arm 4 either from any of the other treatment arms or as new subjects scheduled for major surgery that required surgical prophylaxis.</w:t>
      </w:r>
    </w:p>
    <w:p w:rsidR="00301573" w:rsidRPr="00127C00" w:rsidRDefault="00301573" w:rsidP="00284F16">
      <w:r w:rsidRPr="00127C00">
        <w:t>All treatment arms were open</w:t>
      </w:r>
      <w:r w:rsidR="005B7775" w:rsidRPr="00127C00">
        <w:t xml:space="preserve"> </w:t>
      </w:r>
      <w:r w:rsidRPr="00127C00">
        <w:t>label. There was no blinding.</w:t>
      </w:r>
    </w:p>
    <w:p w:rsidR="00301573" w:rsidRPr="00D373BD" w:rsidRDefault="00301573" w:rsidP="00284F16">
      <w:pPr>
        <w:ind w:left="720"/>
      </w:pPr>
      <w:r w:rsidRPr="00F92B9E">
        <w:rPr>
          <w:b/>
        </w:rPr>
        <w:t>Comment:</w:t>
      </w:r>
      <w:r w:rsidR="00D373BD">
        <w:t xml:space="preserve"> </w:t>
      </w:r>
      <w:r w:rsidRPr="00D373BD">
        <w:t>The use of an open-label design without blinding and without a comparator is consistent with the recommendations of the EMA haemophilia guidelines.</w:t>
      </w:r>
    </w:p>
    <w:p w:rsidR="00301573" w:rsidRDefault="00301573" w:rsidP="00284F16">
      <w:pPr>
        <w:pStyle w:val="Heading5"/>
      </w:pPr>
      <w:bookmarkStart w:id="110" w:name="_Toc242109060"/>
      <w:r>
        <w:t xml:space="preserve">Analysis </w:t>
      </w:r>
      <w:r w:rsidRPr="00284F16">
        <w:t>populations</w:t>
      </w:r>
      <w:bookmarkEnd w:id="110"/>
    </w:p>
    <w:p w:rsidR="00301573" w:rsidRPr="00127C00" w:rsidRDefault="00D373BD" w:rsidP="00284F16">
      <w:r w:rsidRPr="00127C00">
        <w:t>The ‘</w:t>
      </w:r>
      <w:r w:rsidR="00301573" w:rsidRPr="00127C00">
        <w:t>All-Enrolled Analysis Set</w:t>
      </w:r>
      <w:r w:rsidRPr="00127C00">
        <w:t>’</w:t>
      </w:r>
      <w:r w:rsidR="00301573" w:rsidRPr="00127C00">
        <w:t xml:space="preserve"> was defined as subjects who were registered as enrolled and assigned a unique subject identification number. The </w:t>
      </w:r>
      <w:r w:rsidRPr="00127C00">
        <w:t>‘</w:t>
      </w:r>
      <w:r w:rsidR="00301573" w:rsidRPr="00127C00">
        <w:t>Full Analysis Set</w:t>
      </w:r>
      <w:r w:rsidRPr="00127C00">
        <w:t>’</w:t>
      </w:r>
      <w:r w:rsidR="00301573" w:rsidRPr="00127C00">
        <w:t xml:space="preserve"> (FAS) was defined as subjects who received at least 1 dose of </w:t>
      </w:r>
      <w:proofErr w:type="spellStart"/>
      <w:r w:rsidR="00301573" w:rsidRPr="00127C00">
        <w:t>rFIXFc</w:t>
      </w:r>
      <w:proofErr w:type="spellEnd"/>
      <w:r w:rsidR="00301573" w:rsidRPr="00127C00">
        <w:t xml:space="preserve">. The analysis of efficacy was performed in this population. Subjects in Arm 1 who received a dose of </w:t>
      </w:r>
      <w:proofErr w:type="spellStart"/>
      <w:r w:rsidR="00301573" w:rsidRPr="00127C00">
        <w:t>BeneFIX</w:t>
      </w:r>
      <w:proofErr w:type="spellEnd"/>
      <w:r w:rsidR="00301573" w:rsidRPr="00127C00">
        <w:t xml:space="preserve">, but did not receive any </w:t>
      </w:r>
      <w:proofErr w:type="spellStart"/>
      <w:r w:rsidR="00301573" w:rsidRPr="00127C00">
        <w:t>rFIXFc</w:t>
      </w:r>
      <w:proofErr w:type="spellEnd"/>
      <w:r w:rsidR="00301573" w:rsidRPr="00127C00">
        <w:t xml:space="preserve"> were not included in this population.</w:t>
      </w:r>
    </w:p>
    <w:p w:rsidR="00301573" w:rsidRPr="00127C00" w:rsidRDefault="00301573" w:rsidP="00284F16">
      <w:r w:rsidRPr="00127C00">
        <w:t xml:space="preserve">The </w:t>
      </w:r>
      <w:r w:rsidR="00D373BD" w:rsidRPr="00127C00">
        <w:t>‘</w:t>
      </w:r>
      <w:r w:rsidRPr="00127C00">
        <w:t>Safety Analysis Set</w:t>
      </w:r>
      <w:r w:rsidR="00D373BD" w:rsidRPr="00127C00">
        <w:t>’</w:t>
      </w:r>
      <w:r w:rsidRPr="00127C00">
        <w:t xml:space="preserve"> was defined as subjects who received at least 1 dose of </w:t>
      </w:r>
      <w:proofErr w:type="spellStart"/>
      <w:r w:rsidRPr="00127C00">
        <w:t>BeneFIX</w:t>
      </w:r>
      <w:proofErr w:type="spellEnd"/>
      <w:r w:rsidRPr="00127C00">
        <w:t xml:space="preserve"> or at least 1 dose of </w:t>
      </w:r>
      <w:proofErr w:type="spellStart"/>
      <w:r w:rsidRPr="00127C00">
        <w:t>rFIXFc</w:t>
      </w:r>
      <w:proofErr w:type="spellEnd"/>
      <w:r w:rsidRPr="00127C00">
        <w:t>. The analysis of safety was performed in this population.</w:t>
      </w:r>
    </w:p>
    <w:p w:rsidR="00301573" w:rsidRPr="004B259C" w:rsidDel="0081373E" w:rsidRDefault="00301573" w:rsidP="00284F16">
      <w:pPr>
        <w:pStyle w:val="Heading5"/>
      </w:pPr>
      <w:bookmarkStart w:id="111" w:name="_Toc242109061"/>
      <w:r w:rsidRPr="004B259C" w:rsidDel="0081373E">
        <w:t>Sample size</w:t>
      </w:r>
      <w:bookmarkEnd w:id="111"/>
    </w:p>
    <w:p w:rsidR="00301573" w:rsidRPr="00127C00" w:rsidRDefault="00301573" w:rsidP="00284F16">
      <w:r w:rsidRPr="00127C00">
        <w:t>Sample size was based mainly on clinical considerations rather than statistical ones. The 2000 EMA guideline (8) recommended that the initial study in PTPs should include 20 subjects and 5 subjects undergoing surgery. According to the sponsor the FDA requires that the incidence of inhibitor development should be no more than one in 50 subject</w:t>
      </w:r>
      <w:r w:rsidR="00284F16">
        <w:t>s treated for 50 exposure days.</w:t>
      </w:r>
    </w:p>
    <w:p w:rsidR="00301573" w:rsidRPr="00127C00" w:rsidRDefault="00301573" w:rsidP="00284F16">
      <w:r w:rsidRPr="00127C00">
        <w:t>The sponsor also calculated the sample size necessary to demonstrate superiority of prophylaxis (Arm 1) over episodic treatment (Arm 3). Assuming that:</w:t>
      </w:r>
    </w:p>
    <w:p w:rsidR="00301573" w:rsidRDefault="00301573" w:rsidP="00284F16">
      <w:pPr>
        <w:pStyle w:val="ListBullet"/>
        <w:rPr>
          <w:lang w:val="en-US"/>
        </w:rPr>
      </w:pPr>
      <w:r>
        <w:rPr>
          <w:lang w:val="en-US"/>
        </w:rPr>
        <w:t>the minimum of follow-up time for subjects is 48 weeks in Arm 1 and 26 weeks in Arm 3</w:t>
      </w:r>
      <w:r w:rsidR="00F92B9E">
        <w:rPr>
          <w:lang w:val="en-US"/>
        </w:rPr>
        <w:t>;</w:t>
      </w:r>
    </w:p>
    <w:p w:rsidR="00301573" w:rsidRDefault="00301573" w:rsidP="00284F16">
      <w:pPr>
        <w:pStyle w:val="ListBullet"/>
        <w:rPr>
          <w:lang w:val="en-US"/>
        </w:rPr>
      </w:pPr>
      <w:r>
        <w:rPr>
          <w:lang w:val="en-US"/>
        </w:rPr>
        <w:t xml:space="preserve">the true </w:t>
      </w:r>
      <w:proofErr w:type="spellStart"/>
      <w:r w:rsidR="00404980">
        <w:rPr>
          <w:lang w:val="en-US"/>
        </w:rPr>
        <w:t>annualised</w:t>
      </w:r>
      <w:proofErr w:type="spellEnd"/>
      <w:r>
        <w:rPr>
          <w:lang w:val="en-US"/>
        </w:rPr>
        <w:t xml:space="preserve"> bleeding rate for subjects in Arm 3 is at least 8 bleeds per subject per year, and a 50% reduction in this rate with prophylaxis would be clinically important</w:t>
      </w:r>
      <w:r w:rsidR="00F92B9E">
        <w:rPr>
          <w:lang w:val="en-US"/>
        </w:rPr>
        <w:t>;</w:t>
      </w:r>
    </w:p>
    <w:p w:rsidR="005777D3" w:rsidRDefault="00301573" w:rsidP="00284F16">
      <w:pPr>
        <w:pStyle w:val="ListBullet"/>
        <w:rPr>
          <w:lang w:val="en-US"/>
        </w:rPr>
      </w:pPr>
      <w:r w:rsidRPr="005777D3">
        <w:rPr>
          <w:lang w:val="en-US"/>
        </w:rPr>
        <w:t>the retention rate would be 80%</w:t>
      </w:r>
      <w:r w:rsidR="00F92B9E" w:rsidRPr="005777D3">
        <w:rPr>
          <w:lang w:val="en-US"/>
        </w:rPr>
        <w:t>;</w:t>
      </w:r>
    </w:p>
    <w:p w:rsidR="00301573" w:rsidRPr="005777D3" w:rsidRDefault="00301573" w:rsidP="00284F16">
      <w:pPr>
        <w:rPr>
          <w:lang w:val="en-US"/>
        </w:rPr>
      </w:pPr>
      <w:proofErr w:type="gramStart"/>
      <w:r w:rsidRPr="005777D3">
        <w:rPr>
          <w:lang w:val="en-US"/>
        </w:rPr>
        <w:t>then</w:t>
      </w:r>
      <w:proofErr w:type="gramEnd"/>
      <w:r w:rsidRPr="005777D3">
        <w:rPr>
          <w:lang w:val="en-US"/>
        </w:rPr>
        <w:t xml:space="preserve"> a sample size of 40 subjects in Arm 1 and 16 subjects in Arm 3 would give the study a 95% power at the 2</w:t>
      </w:r>
      <w:r w:rsidR="00D373BD" w:rsidRPr="005777D3">
        <w:rPr>
          <w:lang w:val="en-US"/>
        </w:rPr>
        <w:t xml:space="preserve"> </w:t>
      </w:r>
      <w:r w:rsidRPr="005777D3">
        <w:rPr>
          <w:lang w:val="en-US"/>
        </w:rPr>
        <w:t>sided 0.05 level of significance.</w:t>
      </w:r>
    </w:p>
    <w:p w:rsidR="00301573" w:rsidRDefault="00301573" w:rsidP="00284F16">
      <w:r>
        <w:t>The sponsor chose to enrol a total of 100 subjects, with 50 subjects in Arm 1, 25 subjects in Arm 2, 20 subjects in Arm 3 and 5 subjects in Arm 4.</w:t>
      </w:r>
    </w:p>
    <w:p w:rsidR="00301573" w:rsidRPr="004B259C" w:rsidRDefault="00301573" w:rsidP="00284F16">
      <w:pPr>
        <w:pStyle w:val="Heading5"/>
      </w:pPr>
      <w:bookmarkStart w:id="112" w:name="_Toc242109062"/>
      <w:r w:rsidRPr="004B259C">
        <w:t>Statistical methods</w:t>
      </w:r>
      <w:bookmarkEnd w:id="112"/>
    </w:p>
    <w:p w:rsidR="00301573" w:rsidRDefault="00301573" w:rsidP="00284F16">
      <w:r>
        <w:t>For the primary endpoint of annuali</w:t>
      </w:r>
      <w:r w:rsidR="00404980">
        <w:t>s</w:t>
      </w:r>
      <w:r>
        <w:t>ed bleeding rate, the statistical analysis plan described the planned statistical methods as follows:</w:t>
      </w:r>
    </w:p>
    <w:p w:rsidR="00301573" w:rsidRPr="00404980" w:rsidRDefault="0098213B" w:rsidP="00284F16">
      <w:pPr>
        <w:pStyle w:val="ListBullet"/>
        <w:numPr>
          <w:ilvl w:val="0"/>
          <w:numId w:val="0"/>
        </w:numPr>
        <w:ind w:left="360"/>
      </w:pPr>
      <w:r w:rsidRPr="00404980">
        <w:t>‘</w:t>
      </w:r>
      <w:r w:rsidR="00301573" w:rsidRPr="00404980">
        <w:t>The comparison of annuali</w:t>
      </w:r>
      <w:r w:rsidR="00404980">
        <w:t>s</w:t>
      </w:r>
      <w:r w:rsidR="00301573" w:rsidRPr="00404980">
        <w:t>ed bleeding rates between the 2 prevention regimens (Arms 1 and 2) and the on-demand regimen (Arm 3) will be performed in a hierarchical, step-down fashion as follows:</w:t>
      </w:r>
    </w:p>
    <w:p w:rsidR="00301573" w:rsidRPr="00F92B9E" w:rsidRDefault="00301573" w:rsidP="00284F16">
      <w:pPr>
        <w:pStyle w:val="ListBullet2"/>
      </w:pPr>
      <w:r w:rsidRPr="00F92B9E">
        <w:lastRenderedPageBreak/>
        <w:t xml:space="preserve">The analysis will proceed by comparing </w:t>
      </w:r>
      <w:r w:rsidR="00404980" w:rsidRPr="00F92B9E">
        <w:t>annualised</w:t>
      </w:r>
      <w:r w:rsidRPr="00F92B9E">
        <w:t xml:space="preserve"> bleeding rates between Arm 1 (Prevention Regimen, Fixed-Weekly Interval) and Arm 3 (On-demand Regimen). A Poisson regression model will fit treatment arm as a covariate (Arm 1 or Arm 3). If the treatment factor in the Poisson regression model fails to show statistical significance at the 2</w:t>
      </w:r>
      <w:r w:rsidR="00404980" w:rsidRPr="00F92B9E">
        <w:t>-</w:t>
      </w:r>
      <w:r w:rsidRPr="00F92B9E">
        <w:t xml:space="preserve">sided 5% level, then testing will stop and the study will have failed to demonstrate a difference between any prevention regimen and the on-demand regimen. If the estimated ratio of </w:t>
      </w:r>
      <w:r w:rsidR="00404980" w:rsidRPr="00F92B9E">
        <w:t>annualised</w:t>
      </w:r>
      <w:r w:rsidRPr="00F92B9E">
        <w:t xml:space="preserve"> bleeding episodes is less than 0.5 for Arm 1</w:t>
      </w:r>
      <w:proofErr w:type="gramStart"/>
      <w:r w:rsidRPr="00F92B9E">
        <w:t>:Arm</w:t>
      </w:r>
      <w:proofErr w:type="gramEnd"/>
      <w:r w:rsidRPr="00F92B9E">
        <w:t xml:space="preserve"> 3, then clinical importance of the fixed</w:t>
      </w:r>
      <w:r w:rsidR="0098213B" w:rsidRPr="00F92B9E">
        <w:t xml:space="preserve"> </w:t>
      </w:r>
      <w:r w:rsidRPr="00F92B9E">
        <w:t>weekly</w:t>
      </w:r>
      <w:r w:rsidR="0098213B" w:rsidRPr="00F92B9E">
        <w:t xml:space="preserve"> </w:t>
      </w:r>
      <w:r w:rsidRPr="00F92B9E">
        <w:t>interval prevention regimen will have been demonstrated. If the treatment factor in the model is significant at the 2</w:t>
      </w:r>
      <w:r w:rsidR="00404980" w:rsidRPr="00F92B9E">
        <w:t>-</w:t>
      </w:r>
      <w:r w:rsidRPr="00F92B9E">
        <w:t>sided 5% level testing will proceed to the comparison of Arm 2 (Prevention Regimen, Individualized Interval) with Arm 3 (On-demand Regimen) in the same fashion. If the treatment factor in the model for Arm 2 versus Arm 3 is significant at the 2</w:t>
      </w:r>
      <w:r w:rsidR="00404980" w:rsidRPr="00F92B9E">
        <w:t>-</w:t>
      </w:r>
      <w:r w:rsidRPr="00F92B9E">
        <w:t xml:space="preserve">sided 5% level and the estimated ratio of </w:t>
      </w:r>
      <w:r w:rsidR="00404980" w:rsidRPr="00F92B9E">
        <w:t>annualised</w:t>
      </w:r>
      <w:r w:rsidRPr="00F92B9E">
        <w:t xml:space="preserve"> bleeding episodes is less than 0.5 for Arm 2</w:t>
      </w:r>
      <w:proofErr w:type="gramStart"/>
      <w:r w:rsidRPr="00F92B9E">
        <w:t>:Arm</w:t>
      </w:r>
      <w:proofErr w:type="gramEnd"/>
      <w:r w:rsidRPr="00F92B9E">
        <w:t xml:space="preserve"> 3, then clinical importance of the individuali</w:t>
      </w:r>
      <w:r w:rsidR="00404980" w:rsidRPr="00F92B9E">
        <w:t>s</w:t>
      </w:r>
      <w:r w:rsidRPr="00F92B9E">
        <w:t>ed-interval prevention regimen will have been demonstrated.</w:t>
      </w:r>
    </w:p>
    <w:p w:rsidR="00301573" w:rsidRPr="00F92B9E" w:rsidRDefault="00301573" w:rsidP="00284F16">
      <w:pPr>
        <w:pStyle w:val="ListBullet2"/>
      </w:pPr>
      <w:r w:rsidRPr="00F92B9E">
        <w:t xml:space="preserve">A dispersion test will be conducted to check the model fit. If no over-dispersion can be detected at the </w:t>
      </w:r>
      <w:r w:rsidR="00404980" w:rsidRPr="00F92B9E">
        <w:t>2-</w:t>
      </w:r>
      <w:r w:rsidRPr="00F92B9E">
        <w:t>sided 5% level of significance, results of the Poisson regression will be used to interpret the comparison between regimens. Otherwise, a negative binomial regression model will be applied to the data.</w:t>
      </w:r>
    </w:p>
    <w:p w:rsidR="00301573" w:rsidRPr="00F92B9E" w:rsidRDefault="00301573" w:rsidP="00284F16">
      <w:r w:rsidRPr="00F92B9E">
        <w:t>Test results will be tabulated by treatment arm along with the annuali</w:t>
      </w:r>
      <w:r w:rsidR="00404980" w:rsidRPr="00F92B9E">
        <w:t>s</w:t>
      </w:r>
      <w:r w:rsidRPr="00F92B9E">
        <w:t>ed bleeding rate ratios and their 95% confidence intervals</w:t>
      </w:r>
      <w:r w:rsidR="00F92B9E">
        <w:t>”</w:t>
      </w:r>
      <w:r w:rsidRPr="00F92B9E">
        <w:t>.</w:t>
      </w:r>
    </w:p>
    <w:p w:rsidR="00301573" w:rsidRDefault="00301573" w:rsidP="00284F16">
      <w:r>
        <w:t>Descriptive statistics were used to summarise data on the secondary endpoints.</w:t>
      </w:r>
    </w:p>
    <w:p w:rsidR="00301573" w:rsidRPr="004B259C" w:rsidRDefault="00301573" w:rsidP="00284F16">
      <w:pPr>
        <w:pStyle w:val="Heading5"/>
      </w:pPr>
      <w:bookmarkStart w:id="113" w:name="_Toc242109063"/>
      <w:r w:rsidRPr="004B259C">
        <w:t>Participant flow</w:t>
      </w:r>
      <w:bookmarkEnd w:id="113"/>
    </w:p>
    <w:p w:rsidR="00301573" w:rsidRDefault="00301573" w:rsidP="00284F16">
      <w:r>
        <w:t>A total of 123 unique subjects were enrolled in the study</w:t>
      </w:r>
      <w:r w:rsidR="00130DFC">
        <w:t>:</w:t>
      </w:r>
      <w:r>
        <w:t xml:space="preserve"> 63 in Arm1, 29 in Arm 2, 27 in Arm 3 and 4 in Arm 4. There were 8 subjects who participated in both Arm 4 and one of the other arms, giving a total of 12 subjects who participated in Arm 4. A total of 115 subjects (93.5%) completed the study.</w:t>
      </w:r>
    </w:p>
    <w:p w:rsidR="00301573" w:rsidRDefault="00301573" w:rsidP="00284F16">
      <w:pPr>
        <w:pStyle w:val="Heading5"/>
      </w:pPr>
      <w:bookmarkStart w:id="114" w:name="_Toc242109064"/>
      <w:r>
        <w:t>Major protocol violations/deviations</w:t>
      </w:r>
      <w:bookmarkEnd w:id="114"/>
    </w:p>
    <w:p w:rsidR="00301573" w:rsidRPr="00F92B9E" w:rsidRDefault="00301573" w:rsidP="00284F16">
      <w:r w:rsidRPr="00F92B9E">
        <w:t xml:space="preserve">Four subjects had major protocol deviations that could possibly impact on the analysis of the primary endpoint. Two subjects were non-compliant with dosing; one subject administered excessive doses of </w:t>
      </w:r>
      <w:proofErr w:type="spellStart"/>
      <w:r w:rsidRPr="00F92B9E">
        <w:t>FIXFc</w:t>
      </w:r>
      <w:proofErr w:type="spellEnd"/>
      <w:r w:rsidRPr="00F92B9E">
        <w:t xml:space="preserve"> and one subject received a non-study FIX product. A sensitivity analysis of the primary endpoint, which excluded these subjects, was conducted.</w:t>
      </w:r>
    </w:p>
    <w:p w:rsidR="00301573" w:rsidRPr="00F92B9E" w:rsidRDefault="00301573" w:rsidP="00284F16">
      <w:r w:rsidRPr="00F92B9E">
        <w:t>Other major protocol deviations were considered unlikely to affect the analysis and included consent issues (28 subjects), incorrect dosing (3 subjects) and use of excluded medications (11 subjects).</w:t>
      </w:r>
    </w:p>
    <w:p w:rsidR="00301573" w:rsidRPr="004B259C" w:rsidRDefault="00301573" w:rsidP="00284F16">
      <w:pPr>
        <w:pStyle w:val="Heading5"/>
      </w:pPr>
      <w:bookmarkStart w:id="115" w:name="_Toc242109065"/>
      <w:r w:rsidRPr="004B259C">
        <w:t>Baseline data</w:t>
      </w:r>
      <w:bookmarkEnd w:id="115"/>
    </w:p>
    <w:p w:rsidR="00301573" w:rsidRPr="00127C00" w:rsidRDefault="00301573" w:rsidP="00284F16">
      <w:r w:rsidRPr="00127C00">
        <w:t xml:space="preserve">Baseline demographics are shown in </w:t>
      </w:r>
      <w:r w:rsidR="008D493D">
        <w:t>Table 8</w:t>
      </w:r>
      <w:r w:rsidRPr="00127C00">
        <w:t xml:space="preserve">. All subjects were male. Baseline disease characteristics are shown in </w:t>
      </w:r>
      <w:r w:rsidR="00674270" w:rsidRPr="00127C00">
        <w:t xml:space="preserve">Table </w:t>
      </w:r>
      <w:r w:rsidR="008D493D">
        <w:t>9</w:t>
      </w:r>
      <w:r w:rsidRPr="00127C00">
        <w:t xml:space="preserve">. All subjects had severe haemophilia B, with baseline FIX levels </w:t>
      </w:r>
      <w:r w:rsidR="00674270" w:rsidRPr="00127C00">
        <w:t>&lt;</w:t>
      </w:r>
      <w:r w:rsidRPr="00127C00">
        <w:t xml:space="preserve"> 2%, and the majority having levels </w:t>
      </w:r>
      <w:r w:rsidR="00674270" w:rsidRPr="00127C00">
        <w:t>&lt;</w:t>
      </w:r>
      <w:r w:rsidRPr="00127C00">
        <w:t xml:space="preserve"> 1%. Prior to enrolment, 60% of subjects had been on an episodic dosage regimen and 40% on a prophylaxis regimen. The median number of bleeding episodes in the previous 12 months was 12.0.</w:t>
      </w:r>
    </w:p>
    <w:p w:rsidR="0098743A" w:rsidRDefault="0098743A" w:rsidP="00811CA8">
      <w:pPr>
        <w:pStyle w:val="TableTitle"/>
      </w:pPr>
      <w:bookmarkStart w:id="116" w:name="_Ref241295659"/>
      <w:bookmarkStart w:id="117" w:name="_Toc242109164"/>
      <w:r>
        <w:lastRenderedPageBreak/>
        <w:t xml:space="preserve">Table </w:t>
      </w:r>
      <w:bookmarkEnd w:id="116"/>
      <w:r w:rsidR="008D493D">
        <w:t>8</w:t>
      </w:r>
      <w:r>
        <w:rPr>
          <w:noProof/>
        </w:rPr>
        <w:t xml:space="preserve">: </w:t>
      </w:r>
      <w:r>
        <w:t xml:space="preserve">Study </w:t>
      </w:r>
      <w:r w:rsidR="00CD7F19">
        <w:t>998HB102</w:t>
      </w:r>
      <w:r>
        <w:t xml:space="preserve"> – Baseline Demographics</w:t>
      </w:r>
      <w:bookmarkEnd w:id="117"/>
    </w:p>
    <w:p w:rsidR="0098743A" w:rsidRDefault="00903CDF" w:rsidP="00811CA8">
      <w:r>
        <w:rPr>
          <w:noProof/>
          <w:lang w:eastAsia="en-AU"/>
        </w:rPr>
        <w:drawing>
          <wp:inline distT="0" distB="0" distL="0" distR="0" wp14:anchorId="0E57D30D" wp14:editId="5A4863AD">
            <wp:extent cx="5749925" cy="3635375"/>
            <wp:effectExtent l="0" t="0" r="0" b="0"/>
            <wp:docPr id="10" name="Picture 10" descr="Table 8: Study 998HB-102 –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Study 998HB-102 – Baseline Demographi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9925" cy="3635375"/>
                    </a:xfrm>
                    <a:prstGeom prst="rect">
                      <a:avLst/>
                    </a:prstGeom>
                    <a:noFill/>
                    <a:ln>
                      <a:noFill/>
                    </a:ln>
                  </pic:spPr>
                </pic:pic>
              </a:graphicData>
            </a:graphic>
          </wp:inline>
        </w:drawing>
      </w:r>
    </w:p>
    <w:p w:rsidR="0098743A" w:rsidRDefault="0098743A" w:rsidP="00811CA8">
      <w:pPr>
        <w:pStyle w:val="TableTitle"/>
      </w:pPr>
      <w:bookmarkStart w:id="118" w:name="_Ref241296000"/>
      <w:bookmarkStart w:id="119" w:name="_Toc242109165"/>
      <w:r>
        <w:t xml:space="preserve">Table </w:t>
      </w:r>
      <w:bookmarkEnd w:id="118"/>
      <w:r w:rsidR="008D493D">
        <w:t>9</w:t>
      </w:r>
      <w:r>
        <w:rPr>
          <w:noProof/>
        </w:rPr>
        <w:t>:</w:t>
      </w:r>
      <w:r>
        <w:t xml:space="preserve"> Study </w:t>
      </w:r>
      <w:r w:rsidR="00CD7F19">
        <w:t>998HB102</w:t>
      </w:r>
      <w:r>
        <w:t xml:space="preserve"> – Baseline Disease characteristics</w:t>
      </w:r>
      <w:bookmarkEnd w:id="119"/>
    </w:p>
    <w:p w:rsidR="0098743A" w:rsidRDefault="00903CDF" w:rsidP="00811CA8">
      <w:r>
        <w:rPr>
          <w:noProof/>
          <w:lang w:eastAsia="en-AU"/>
        </w:rPr>
        <w:drawing>
          <wp:inline distT="0" distB="0" distL="0" distR="0" wp14:anchorId="2624C867" wp14:editId="6C28E81D">
            <wp:extent cx="5749925" cy="3797935"/>
            <wp:effectExtent l="0" t="0" r="0" b="0"/>
            <wp:docPr id="11" name="Picture 11" descr="Table 9: Study 998HB-102 –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Study 998HB-102 – Baseline Disease characterist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925" cy="3797935"/>
                    </a:xfrm>
                    <a:prstGeom prst="rect">
                      <a:avLst/>
                    </a:prstGeom>
                    <a:noFill/>
                    <a:ln>
                      <a:noFill/>
                    </a:ln>
                  </pic:spPr>
                </pic:pic>
              </a:graphicData>
            </a:graphic>
          </wp:inline>
        </w:drawing>
      </w:r>
    </w:p>
    <w:p w:rsidR="00301573" w:rsidRPr="004B259C" w:rsidRDefault="00301573" w:rsidP="00811CA8">
      <w:pPr>
        <w:pStyle w:val="Heading5"/>
      </w:pPr>
      <w:bookmarkStart w:id="120" w:name="_Toc242109066"/>
      <w:r w:rsidRPr="004B259C">
        <w:t>Results for the primary efficacy outcome</w:t>
      </w:r>
      <w:bookmarkEnd w:id="120"/>
    </w:p>
    <w:p w:rsidR="00301573" w:rsidRDefault="00301573" w:rsidP="00811CA8">
      <w:r>
        <w:t xml:space="preserve">Results for the annualised bleeding rate in Arms 1, 2 and 3 are summarised in </w:t>
      </w:r>
      <w:r w:rsidR="00674270" w:rsidRPr="00127C00">
        <w:t xml:space="preserve">Table </w:t>
      </w:r>
      <w:r w:rsidR="008D493D">
        <w:t>10</w:t>
      </w:r>
      <w:r w:rsidR="00674270" w:rsidRPr="00127C00">
        <w:t>.</w:t>
      </w:r>
      <w:r>
        <w:t xml:space="preserve"> The rate was analysed using negative binomial regression, as the test for </w:t>
      </w:r>
      <w:proofErr w:type="spellStart"/>
      <w:r>
        <w:t>overdispersion</w:t>
      </w:r>
      <w:proofErr w:type="spellEnd"/>
      <w:r>
        <w:t xml:space="preserve"> in the Poisson model had indicated greater variability than would be expected from a Poisson distribution.</w:t>
      </w:r>
    </w:p>
    <w:p w:rsidR="00301573" w:rsidRDefault="00301573" w:rsidP="00811CA8">
      <w:r>
        <w:lastRenderedPageBreak/>
        <w:t xml:space="preserve">The annual bleeding rate was </w:t>
      </w:r>
      <w:r w:rsidRPr="00674270">
        <w:t>3.12 in Arm 1, 2.40 in Arm 2 and 18.67</w:t>
      </w:r>
      <w:r>
        <w:t xml:space="preserve"> in Arm 3. The bleeding rate was statistically significantly lower (p</w:t>
      </w:r>
      <w:r w:rsidR="00130DFC">
        <w:t xml:space="preserve"> </w:t>
      </w:r>
      <w:r w:rsidR="00674270">
        <w:t>&lt;</w:t>
      </w:r>
      <w:r w:rsidR="00130DFC">
        <w:t xml:space="preserve"> </w:t>
      </w:r>
      <w:r>
        <w:t>0.001) in both prophylaxis arms when compared to Arm 3.</w:t>
      </w:r>
    </w:p>
    <w:p w:rsidR="00301573" w:rsidRDefault="00301573" w:rsidP="00301573">
      <w:r>
        <w:t xml:space="preserve">The various sensitivity analyses conducted on annualised bleeding rate gave comparable results to the primary efficacy analysis. The lower bleeding rates with prophylaxis were also observed in all the pre-specified subgroup analyses. </w:t>
      </w:r>
      <w:r w:rsidR="00AF676A">
        <w:t xml:space="preserve">Figure 2 </w:t>
      </w:r>
      <w:r>
        <w:t>illustrates the results of the subgroup analyses for subjects in Arm 1.</w:t>
      </w:r>
    </w:p>
    <w:p w:rsidR="000B3688" w:rsidRDefault="000B3688" w:rsidP="00811CA8">
      <w:pPr>
        <w:pStyle w:val="TableTitle"/>
      </w:pPr>
      <w:bookmarkStart w:id="121" w:name="_Ref241380869"/>
      <w:bookmarkStart w:id="122" w:name="_Toc242109166"/>
      <w:r>
        <w:t xml:space="preserve">Table </w:t>
      </w:r>
      <w:bookmarkEnd w:id="121"/>
      <w:r w:rsidR="008D493D">
        <w:t>10</w:t>
      </w:r>
      <w:r>
        <w:rPr>
          <w:noProof/>
        </w:rPr>
        <w:t>:</w:t>
      </w:r>
      <w:r>
        <w:t xml:space="preserve"> Study </w:t>
      </w:r>
      <w:r w:rsidR="00CD7F19">
        <w:t>998HB102</w:t>
      </w:r>
      <w:r>
        <w:t xml:space="preserve"> – Results for </w:t>
      </w:r>
      <w:r w:rsidR="00404980">
        <w:t>annualised</w:t>
      </w:r>
      <w:r>
        <w:t xml:space="preserve"> bleeding rate (Primary endpoint)</w:t>
      </w:r>
      <w:bookmarkEnd w:id="122"/>
    </w:p>
    <w:p w:rsidR="000B3688" w:rsidRDefault="00903CDF" w:rsidP="00811CA8">
      <w:pPr>
        <w:rPr>
          <w:noProof/>
          <w:lang w:eastAsia="en-AU"/>
        </w:rPr>
      </w:pPr>
      <w:r>
        <w:rPr>
          <w:noProof/>
          <w:lang w:eastAsia="en-AU"/>
        </w:rPr>
        <w:drawing>
          <wp:inline distT="0" distB="0" distL="0" distR="0" wp14:anchorId="785D926C" wp14:editId="38C73D09">
            <wp:extent cx="5031740" cy="4425950"/>
            <wp:effectExtent l="0" t="0" r="0" b="0"/>
            <wp:docPr id="12" name="Picture 12" descr="Study 998HB-102 – Results for annualized bleeding rate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dy 998HB-102 – Results for annualized bleeding rate (Primary endpoi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1740" cy="4425950"/>
                    </a:xfrm>
                    <a:prstGeom prst="rect">
                      <a:avLst/>
                    </a:prstGeom>
                    <a:noFill/>
                    <a:ln>
                      <a:noFill/>
                    </a:ln>
                  </pic:spPr>
                </pic:pic>
              </a:graphicData>
            </a:graphic>
          </wp:inline>
        </w:drawing>
      </w:r>
    </w:p>
    <w:p w:rsidR="000F357D" w:rsidRPr="00811CA8" w:rsidRDefault="000F357D" w:rsidP="00811CA8">
      <w:pPr>
        <w:pStyle w:val="FigureTitle"/>
      </w:pPr>
      <w:bookmarkStart w:id="123" w:name="_Ref241382601"/>
      <w:bookmarkStart w:id="124" w:name="_Toc242109200"/>
      <w:r>
        <w:lastRenderedPageBreak/>
        <w:t xml:space="preserve">Figure </w:t>
      </w:r>
      <w:bookmarkEnd w:id="123"/>
      <w:r w:rsidR="00AF676A">
        <w:t>2</w:t>
      </w:r>
      <w:r>
        <w:t xml:space="preserve"> - Study </w:t>
      </w:r>
      <w:r w:rsidR="00CD7F19">
        <w:t>998HB102</w:t>
      </w:r>
      <w:r>
        <w:t xml:space="preserve"> – Subgroup analyses for annualized bleeding rate (Arm 1)</w:t>
      </w:r>
      <w:bookmarkEnd w:id="124"/>
    </w:p>
    <w:p w:rsidR="000F357D" w:rsidRDefault="00903CDF" w:rsidP="00811CA8">
      <w:r>
        <w:rPr>
          <w:noProof/>
          <w:lang w:eastAsia="en-AU"/>
        </w:rPr>
        <w:drawing>
          <wp:inline distT="0" distB="0" distL="0" distR="0" wp14:anchorId="4E7D493A" wp14:editId="376F106F">
            <wp:extent cx="5542280" cy="3248025"/>
            <wp:effectExtent l="0" t="0" r="0" b="0"/>
            <wp:docPr id="13" name="Picture 48" descr="Study 998HB-102 – Subgroup analyses for annualized bleeding rate (A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udy 998HB-102 – Subgroup analyses for annualized bleeding rate (Ar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2280" cy="3248025"/>
                    </a:xfrm>
                    <a:prstGeom prst="rect">
                      <a:avLst/>
                    </a:prstGeom>
                    <a:noFill/>
                    <a:ln>
                      <a:noFill/>
                    </a:ln>
                  </pic:spPr>
                </pic:pic>
              </a:graphicData>
            </a:graphic>
          </wp:inline>
        </w:drawing>
      </w:r>
    </w:p>
    <w:p w:rsidR="00301573" w:rsidRPr="00127C00" w:rsidRDefault="008D493D" w:rsidP="00811CA8">
      <w:r>
        <w:t>Table 11</w:t>
      </w:r>
      <w:r w:rsidR="00301573" w:rsidRPr="00CD0A2A">
        <w:t xml:space="preserve"> compares the on-study bleeding rate with the number of bleeds experienced in the preceding 12 months prior to study entry. It shows that subjects that switched from an episodic regimen of FIX to a prophylaxis regimen of </w:t>
      </w:r>
      <w:proofErr w:type="spellStart"/>
      <w:r w:rsidR="00301573" w:rsidRPr="00CD0A2A">
        <w:t>FIXFc</w:t>
      </w:r>
      <w:proofErr w:type="spellEnd"/>
      <w:r w:rsidR="00301573" w:rsidRPr="00CD0A2A">
        <w:t xml:space="preserve"> had a marked reduction in bleeding rate. Those that continued with a prophylaxis or episodic regimen had no notable change in bleeding rate.</w:t>
      </w:r>
    </w:p>
    <w:p w:rsidR="001233AF" w:rsidRPr="00127C00" w:rsidRDefault="001233AF" w:rsidP="00811CA8">
      <w:pPr>
        <w:pStyle w:val="TableTitle"/>
      </w:pPr>
      <w:bookmarkStart w:id="125" w:name="_Ref241384910"/>
      <w:bookmarkStart w:id="126" w:name="_Toc242109167"/>
      <w:r w:rsidRPr="00127C00">
        <w:t xml:space="preserve">Table </w:t>
      </w:r>
      <w:bookmarkEnd w:id="125"/>
      <w:r w:rsidR="008D493D">
        <w:t>11</w:t>
      </w:r>
      <w:r w:rsidRPr="00127C00">
        <w:t xml:space="preserve"> - Study </w:t>
      </w:r>
      <w:r w:rsidR="00CD7F19">
        <w:t>998HB102</w:t>
      </w:r>
      <w:r w:rsidRPr="00127C00">
        <w:t xml:space="preserve"> – Number of bleeding episodes in the prior 12 months compared with the on-study annualised bleeding rate by pre-study FIX regimen</w:t>
      </w:r>
      <w:bookmarkEnd w:id="126"/>
    </w:p>
    <w:p w:rsidR="001233AF" w:rsidRDefault="00903CDF" w:rsidP="00301573">
      <w:r>
        <w:rPr>
          <w:noProof/>
          <w:lang w:eastAsia="en-AU"/>
        </w:rPr>
        <w:drawing>
          <wp:inline distT="0" distB="0" distL="0" distR="0" wp14:anchorId="3AD64E69" wp14:editId="4A8AF50D">
            <wp:extent cx="5508625" cy="3001010"/>
            <wp:effectExtent l="0" t="0" r="0" b="0"/>
            <wp:docPr id="14" name="Picture 49" descr="Study 998HB-102 – Number of bleeding episodes in the prior 12 months compared with the on-study annualised bleeding rate by pre-study FIX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udy 998HB-102 – Number of bleeding episodes in the prior 12 months compared with the on-study annualised bleeding rate by pre-study FIX regim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8625" cy="3001010"/>
                    </a:xfrm>
                    <a:prstGeom prst="rect">
                      <a:avLst/>
                    </a:prstGeom>
                    <a:noFill/>
                    <a:ln>
                      <a:noFill/>
                    </a:ln>
                  </pic:spPr>
                </pic:pic>
              </a:graphicData>
            </a:graphic>
          </wp:inline>
        </w:drawing>
      </w:r>
    </w:p>
    <w:p w:rsidR="00301573" w:rsidRPr="004B259C" w:rsidRDefault="00301573" w:rsidP="00811CA8">
      <w:pPr>
        <w:pStyle w:val="Heading5"/>
      </w:pPr>
      <w:bookmarkStart w:id="127" w:name="_Toc242109067"/>
      <w:r w:rsidRPr="004B259C">
        <w:t xml:space="preserve">Results for </w:t>
      </w:r>
      <w:r>
        <w:t>secondary</w:t>
      </w:r>
      <w:r w:rsidRPr="004B259C">
        <w:t xml:space="preserve"> </w:t>
      </w:r>
      <w:r w:rsidRPr="00811CA8">
        <w:t>efficacy</w:t>
      </w:r>
      <w:r w:rsidRPr="004B259C">
        <w:t xml:space="preserve"> outcomes</w:t>
      </w:r>
      <w:r>
        <w:t xml:space="preserve"> (Arms 1, 2 and 3)</w:t>
      </w:r>
      <w:bookmarkEnd w:id="127"/>
    </w:p>
    <w:p w:rsidR="00301573" w:rsidRDefault="00301573" w:rsidP="00811CA8">
      <w:pPr>
        <w:pStyle w:val="Heading6"/>
      </w:pPr>
      <w:r>
        <w:t>Subject’s assessment of response</w:t>
      </w:r>
    </w:p>
    <w:p w:rsidR="00301573" w:rsidRPr="00CD0A2A" w:rsidRDefault="00301573" w:rsidP="00811CA8">
      <w:r w:rsidRPr="00CD0A2A">
        <w:t xml:space="preserve">The results for the subjects’ assessment of response following a bleeding episode </w:t>
      </w:r>
      <w:r w:rsidR="00CD0A2A">
        <w:t>showed</w:t>
      </w:r>
      <w:r w:rsidRPr="00CD0A2A">
        <w:t xml:space="preserve"> Response was rated as ‘excellent’ or ‘good’ on 82.0% of occasions.</w:t>
      </w:r>
    </w:p>
    <w:p w:rsidR="00301573" w:rsidRDefault="00301573" w:rsidP="00811CA8">
      <w:pPr>
        <w:pStyle w:val="Heading6"/>
      </w:pPr>
      <w:r>
        <w:lastRenderedPageBreak/>
        <w:t>Physician’s global assessment of response</w:t>
      </w:r>
    </w:p>
    <w:p w:rsidR="00301573" w:rsidRDefault="00301573" w:rsidP="00811CA8">
      <w:r>
        <w:t xml:space="preserve">The results for the physicians’ assessment of response following a bleeding episode </w:t>
      </w:r>
      <w:r w:rsidR="00CD0A2A">
        <w:t>showed</w:t>
      </w:r>
      <w:r>
        <w:t xml:space="preserve"> Responses were rated excellent or effective on 98.8% of occasions.</w:t>
      </w:r>
    </w:p>
    <w:p w:rsidR="00301573" w:rsidRPr="000B23A5" w:rsidRDefault="00301573" w:rsidP="00811CA8">
      <w:pPr>
        <w:ind w:left="720"/>
      </w:pPr>
      <w:r w:rsidRPr="00ED21C5">
        <w:rPr>
          <w:b/>
        </w:rPr>
        <w:t>Comment:</w:t>
      </w:r>
      <w:r w:rsidR="00130DFC" w:rsidRPr="000B23A5">
        <w:t xml:space="preserve"> </w:t>
      </w:r>
      <w:r w:rsidRPr="000B23A5">
        <w:t xml:space="preserve">The above two endpoints are subjectively assessed and the trial design did not include a comparator for efficacy. The </w:t>
      </w:r>
      <w:proofErr w:type="spellStart"/>
      <w:r w:rsidRPr="000B23A5">
        <w:t>MonoFIX</w:t>
      </w:r>
      <w:proofErr w:type="spellEnd"/>
      <w:r w:rsidRPr="000B23A5">
        <w:t xml:space="preserve">-VF PI states that in a trial of 11 subjects, </w:t>
      </w:r>
      <w:r w:rsidR="00ED21C5" w:rsidRPr="00ED21C5">
        <w:rPr>
          <w:i/>
        </w:rPr>
        <w:t>“</w:t>
      </w:r>
      <w:r w:rsidRPr="00ED21C5">
        <w:rPr>
          <w:i/>
        </w:rPr>
        <w:t>the product was considered to be effective by the patient or his guardian in 98% of administrations</w:t>
      </w:r>
      <w:r w:rsidR="00ED21C5" w:rsidRPr="00ED21C5">
        <w:rPr>
          <w:i/>
        </w:rPr>
        <w:t>”</w:t>
      </w:r>
      <w:r w:rsidRPr="000B23A5">
        <w:t xml:space="preserve">. The </w:t>
      </w:r>
      <w:proofErr w:type="spellStart"/>
      <w:r w:rsidRPr="000B23A5">
        <w:t>BeneFIX</w:t>
      </w:r>
      <w:proofErr w:type="spellEnd"/>
      <w:r w:rsidRPr="000B23A5">
        <w:t xml:space="preserve"> PI states that, in a trial of 20 patients: </w:t>
      </w:r>
      <w:r w:rsidR="00ED21C5" w:rsidRPr="00ED21C5">
        <w:rPr>
          <w:i/>
        </w:rPr>
        <w:t>“</w:t>
      </w:r>
      <w:r w:rsidRPr="00ED21C5">
        <w:rPr>
          <w:i/>
        </w:rPr>
        <w:t>Response was rated excellent or good for 85% of infusions</w:t>
      </w:r>
      <w:r w:rsidR="00ED21C5" w:rsidRPr="00ED21C5">
        <w:rPr>
          <w:i/>
        </w:rPr>
        <w:t>”</w:t>
      </w:r>
      <w:r w:rsidRPr="000B23A5">
        <w:t>. It is not clear whether this statement relates to subject or physician assessment.</w:t>
      </w:r>
    </w:p>
    <w:p w:rsidR="00301573" w:rsidRPr="00DE62F8" w:rsidRDefault="00301573" w:rsidP="00811CA8">
      <w:pPr>
        <w:pStyle w:val="Heading6"/>
      </w:pPr>
      <w:r w:rsidRPr="00DE62F8">
        <w:t>Total annuali</w:t>
      </w:r>
      <w:r w:rsidR="00130DFC" w:rsidRPr="00DE62F8">
        <w:t>s</w:t>
      </w:r>
      <w:r w:rsidRPr="00DE62F8">
        <w:t xml:space="preserve">ed </w:t>
      </w:r>
      <w:proofErr w:type="spellStart"/>
      <w:r w:rsidRPr="00DE62F8">
        <w:t>FIXFc</w:t>
      </w:r>
      <w:proofErr w:type="spellEnd"/>
      <w:r w:rsidRPr="00DE62F8">
        <w:t xml:space="preserve"> consumption per subject</w:t>
      </w:r>
    </w:p>
    <w:p w:rsidR="00301573" w:rsidRDefault="00301573" w:rsidP="00811CA8">
      <w:r>
        <w:t xml:space="preserve">Results for total annualised </w:t>
      </w:r>
      <w:proofErr w:type="spellStart"/>
      <w:r>
        <w:t>FIXFc</w:t>
      </w:r>
      <w:proofErr w:type="spellEnd"/>
      <w:r>
        <w:t xml:space="preserve"> consumption are shown in</w:t>
      </w:r>
      <w:r w:rsidR="00CC5C78">
        <w:t xml:space="preserve"> Table </w:t>
      </w:r>
      <w:r w:rsidR="008D493D">
        <w:t>1</w:t>
      </w:r>
      <w:r w:rsidR="00CC5C78">
        <w:t>2</w:t>
      </w:r>
      <w:r w:rsidRPr="00CC5C78">
        <w:t>.</w:t>
      </w:r>
      <w:r>
        <w:t xml:space="preserve"> Consumption was g</w:t>
      </w:r>
      <w:r w:rsidR="00811CA8">
        <w:t>reater in the prophylaxis arms.</w:t>
      </w:r>
    </w:p>
    <w:p w:rsidR="003F7A2F" w:rsidRDefault="003F7A2F" w:rsidP="00811CA8">
      <w:pPr>
        <w:pStyle w:val="TableTitle"/>
      </w:pPr>
      <w:bookmarkStart w:id="128" w:name="_Ref241390710"/>
      <w:bookmarkStart w:id="129" w:name="_Toc242109170"/>
      <w:r>
        <w:t xml:space="preserve">Table </w:t>
      </w:r>
      <w:r w:rsidR="008D493D">
        <w:t>1</w:t>
      </w:r>
      <w:r w:rsidR="00CC5C78">
        <w:t>2</w:t>
      </w:r>
      <w:bookmarkEnd w:id="128"/>
      <w:r>
        <w:rPr>
          <w:noProof/>
        </w:rPr>
        <w:t>:</w:t>
      </w:r>
      <w:r>
        <w:t xml:space="preserve"> Study </w:t>
      </w:r>
      <w:r w:rsidR="00CD7F19">
        <w:t>998HB102</w:t>
      </w:r>
      <w:r>
        <w:t xml:space="preserve"> – Results for total </w:t>
      </w:r>
      <w:r w:rsidR="00404980">
        <w:t>annualised</w:t>
      </w:r>
      <w:r>
        <w:t xml:space="preserve"> </w:t>
      </w:r>
      <w:proofErr w:type="spellStart"/>
      <w:r>
        <w:t>FIXFc</w:t>
      </w:r>
      <w:proofErr w:type="spellEnd"/>
      <w:r>
        <w:t xml:space="preserve"> consumption – IU/kg (Secondary endpoint)</w:t>
      </w:r>
      <w:bookmarkEnd w:id="129"/>
    </w:p>
    <w:p w:rsidR="00B32656" w:rsidRDefault="00903CDF" w:rsidP="00811CA8">
      <w:r>
        <w:rPr>
          <w:noProof/>
          <w:lang w:eastAsia="en-AU"/>
        </w:rPr>
        <w:drawing>
          <wp:inline distT="0" distB="0" distL="0" distR="0" wp14:anchorId="4FE7C492" wp14:editId="096CEE82">
            <wp:extent cx="5721985" cy="2479675"/>
            <wp:effectExtent l="0" t="0" r="0" b="0"/>
            <wp:docPr id="15" name="Picture 15" descr="Study 998HB-102 – Results for total annualised FIXFc consumption – IU/kg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y 998HB-102 – Results for total annualised FIXFc consumption – IU/kg (Secondary endpoi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985" cy="2479675"/>
                    </a:xfrm>
                    <a:prstGeom prst="rect">
                      <a:avLst/>
                    </a:prstGeom>
                    <a:noFill/>
                    <a:ln>
                      <a:noFill/>
                    </a:ln>
                  </pic:spPr>
                </pic:pic>
              </a:graphicData>
            </a:graphic>
          </wp:inline>
        </w:drawing>
      </w:r>
    </w:p>
    <w:p w:rsidR="00301573" w:rsidRDefault="00301573" w:rsidP="00811CA8">
      <w:pPr>
        <w:pStyle w:val="Heading6"/>
      </w:pPr>
      <w:r>
        <w:t>Annuali</w:t>
      </w:r>
      <w:r w:rsidR="00130DFC">
        <w:t>s</w:t>
      </w:r>
      <w:r>
        <w:t xml:space="preserve">ed bleeding rate by type and location </w:t>
      </w:r>
      <w:r w:rsidRPr="00811CA8">
        <w:t>of</w:t>
      </w:r>
      <w:r>
        <w:t xml:space="preserve"> bleeding episode</w:t>
      </w:r>
    </w:p>
    <w:p w:rsidR="00301573" w:rsidRDefault="00301573" w:rsidP="00811CA8">
      <w:r>
        <w:t xml:space="preserve">Results are shown in </w:t>
      </w:r>
      <w:r w:rsidR="00683D0D" w:rsidRPr="008D493D">
        <w:t xml:space="preserve">Table </w:t>
      </w:r>
      <w:r w:rsidR="008D493D" w:rsidRPr="008D493D">
        <w:t>13</w:t>
      </w:r>
      <w:r w:rsidRPr="008D493D">
        <w:t>.</w:t>
      </w:r>
      <w:r>
        <w:t xml:space="preserve"> In all three Arms, haemorrhages most commonly occurred into joints. Spontaneous haemorrhages were more c</w:t>
      </w:r>
      <w:r w:rsidR="00811CA8">
        <w:t>ommon than those due to trauma.</w:t>
      </w:r>
    </w:p>
    <w:p w:rsidR="00E016AB" w:rsidRDefault="00E016AB" w:rsidP="00811CA8">
      <w:pPr>
        <w:pStyle w:val="TableTitle"/>
      </w:pPr>
      <w:bookmarkStart w:id="130" w:name="_Ref241391441"/>
      <w:bookmarkStart w:id="131" w:name="_Toc242109171"/>
      <w:r>
        <w:lastRenderedPageBreak/>
        <w:t>Table</w:t>
      </w:r>
      <w:bookmarkEnd w:id="130"/>
      <w:r w:rsidR="008D493D">
        <w:t xml:space="preserve"> 13</w:t>
      </w:r>
      <w:r>
        <w:rPr>
          <w:noProof/>
        </w:rPr>
        <w:t>:</w:t>
      </w:r>
      <w:r>
        <w:t xml:space="preserve"> Study </w:t>
      </w:r>
      <w:r w:rsidR="00CD7F19">
        <w:t>998HB102</w:t>
      </w:r>
      <w:r>
        <w:t xml:space="preserve"> – Results for </w:t>
      </w:r>
      <w:r w:rsidR="00404980">
        <w:t>annualised</w:t>
      </w:r>
      <w:r>
        <w:t xml:space="preserve"> bleeding rate by type and location of bleeding episode (Secondary endpoint)</w:t>
      </w:r>
      <w:bookmarkEnd w:id="131"/>
    </w:p>
    <w:p w:rsidR="00E016AB" w:rsidRDefault="00903CDF" w:rsidP="00811CA8">
      <w:r>
        <w:rPr>
          <w:noProof/>
          <w:lang w:eastAsia="en-AU"/>
        </w:rPr>
        <w:drawing>
          <wp:inline distT="0" distB="0" distL="0" distR="0" wp14:anchorId="3306A00F" wp14:editId="20372715">
            <wp:extent cx="5682615" cy="2675890"/>
            <wp:effectExtent l="0" t="0" r="0" b="0"/>
            <wp:docPr id="16" name="Picture 55" descr="Study 998HB102 – Results for annualised bleeding rate by type and location of bleeding episode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udy 998HB102 – Results for annualised bleeding rate by type and location of bleeding episode (Secondary endpoi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2615" cy="2675890"/>
                    </a:xfrm>
                    <a:prstGeom prst="rect">
                      <a:avLst/>
                    </a:prstGeom>
                    <a:noFill/>
                    <a:ln>
                      <a:noFill/>
                    </a:ln>
                  </pic:spPr>
                </pic:pic>
              </a:graphicData>
            </a:graphic>
          </wp:inline>
        </w:drawing>
      </w:r>
    </w:p>
    <w:p w:rsidR="00301573" w:rsidRDefault="00301573" w:rsidP="00811CA8">
      <w:pPr>
        <w:pStyle w:val="Heading6"/>
      </w:pPr>
      <w:r>
        <w:t xml:space="preserve">Time from last injection of </w:t>
      </w:r>
      <w:proofErr w:type="spellStart"/>
      <w:r>
        <w:t>FIXFc</w:t>
      </w:r>
      <w:proofErr w:type="spellEnd"/>
      <w:r>
        <w:t xml:space="preserve"> to the </w:t>
      </w:r>
      <w:r w:rsidRPr="00811CA8">
        <w:t>next</w:t>
      </w:r>
      <w:r>
        <w:t xml:space="preserve"> bleeding episode</w:t>
      </w:r>
    </w:p>
    <w:p w:rsidR="00301573" w:rsidRDefault="00301573" w:rsidP="00811CA8">
      <w:r>
        <w:t xml:space="preserve">Results are shown </w:t>
      </w:r>
      <w:r w:rsidR="00B84DFE">
        <w:t>in Table 14.</w:t>
      </w:r>
      <w:r>
        <w:t xml:space="preserve"> The number of days between the last dose of </w:t>
      </w:r>
      <w:proofErr w:type="spellStart"/>
      <w:r>
        <w:t>FIXFc</w:t>
      </w:r>
      <w:proofErr w:type="spellEnd"/>
      <w:r>
        <w:t xml:space="preserve"> (to </w:t>
      </w:r>
      <w:r w:rsidRPr="00130DFC">
        <w:t>treat</w:t>
      </w:r>
      <w:r>
        <w:t xml:space="preserve"> a bleeding episode) and the next bleeding episode was greater in the prophylaxis arms, as might be expected.</w:t>
      </w:r>
    </w:p>
    <w:p w:rsidR="00E016AB" w:rsidRDefault="00E016AB" w:rsidP="00811CA8">
      <w:pPr>
        <w:pStyle w:val="TableTitle"/>
      </w:pPr>
      <w:bookmarkStart w:id="132" w:name="_Ref241392070"/>
      <w:bookmarkStart w:id="133" w:name="_Toc242109172"/>
      <w:r>
        <w:t xml:space="preserve">Table </w:t>
      </w:r>
      <w:bookmarkEnd w:id="132"/>
      <w:r w:rsidR="008D493D">
        <w:t>14</w:t>
      </w:r>
      <w:r w:rsidR="00CC5C78">
        <w:t>:</w:t>
      </w:r>
      <w:r>
        <w:t xml:space="preserve"> Study </w:t>
      </w:r>
      <w:r w:rsidR="00CD7F19">
        <w:t>998HB102</w:t>
      </w:r>
      <w:r>
        <w:t xml:space="preserve"> – Results for number of days from last injection of </w:t>
      </w:r>
      <w:proofErr w:type="spellStart"/>
      <w:r>
        <w:t>FIXFc</w:t>
      </w:r>
      <w:proofErr w:type="spellEnd"/>
      <w:r>
        <w:t xml:space="preserve"> to the next bleeding episode (Secondary endpoint)</w:t>
      </w:r>
      <w:bookmarkEnd w:id="133"/>
    </w:p>
    <w:p w:rsidR="00E016AB" w:rsidRDefault="00903CDF" w:rsidP="00811CA8">
      <w:r>
        <w:rPr>
          <w:noProof/>
          <w:lang w:eastAsia="en-AU"/>
        </w:rPr>
        <w:drawing>
          <wp:inline distT="0" distB="0" distL="0" distR="0" wp14:anchorId="7EE31CFA" wp14:editId="69DBA68B">
            <wp:extent cx="5721985" cy="3982720"/>
            <wp:effectExtent l="0" t="0" r="0" b="0"/>
            <wp:docPr id="17" name="Picture 17" descr="Study 998HB102 – Results for number of days from last injection of FIXFc to the next bleeding episode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udy 998HB102 – Results for number of days from last injection of FIXFc to the next bleeding episode (Secondary endpoi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1985" cy="3982720"/>
                    </a:xfrm>
                    <a:prstGeom prst="rect">
                      <a:avLst/>
                    </a:prstGeom>
                    <a:noFill/>
                    <a:ln>
                      <a:noFill/>
                    </a:ln>
                  </pic:spPr>
                </pic:pic>
              </a:graphicData>
            </a:graphic>
          </wp:inline>
        </w:drawing>
      </w:r>
    </w:p>
    <w:p w:rsidR="00301573" w:rsidRDefault="00301573" w:rsidP="00811CA8">
      <w:pPr>
        <w:pStyle w:val="Heading6"/>
      </w:pPr>
      <w:r>
        <w:lastRenderedPageBreak/>
        <w:t xml:space="preserve">Number of injections and dose of </w:t>
      </w:r>
      <w:proofErr w:type="spellStart"/>
      <w:r>
        <w:t>FIXFc</w:t>
      </w:r>
      <w:proofErr w:type="spellEnd"/>
      <w:r>
        <w:t xml:space="preserve"> to resolve a bleeding episode</w:t>
      </w:r>
    </w:p>
    <w:p w:rsidR="00301573" w:rsidRPr="00CD0A2A" w:rsidRDefault="00301573" w:rsidP="00811CA8">
      <w:r w:rsidRPr="00CD0A2A">
        <w:t>A total of 636 bleeding episodes occurred in Arms 1, 2 and 3</w:t>
      </w:r>
      <w:r w:rsidR="00AF676A">
        <w:t xml:space="preserve">; </w:t>
      </w:r>
      <w:r w:rsidRPr="00CD0A2A">
        <w:t xml:space="preserve">575 (90.4%) of these episodes resolved after a single injection of </w:t>
      </w:r>
      <w:proofErr w:type="spellStart"/>
      <w:r w:rsidRPr="00CD0A2A">
        <w:t>FIXFc</w:t>
      </w:r>
      <w:proofErr w:type="spellEnd"/>
      <w:r w:rsidRPr="00CD0A2A">
        <w:t xml:space="preserve">. The median total dose of </w:t>
      </w:r>
      <w:proofErr w:type="spellStart"/>
      <w:r w:rsidRPr="00CD0A2A">
        <w:t>FIXFc</w:t>
      </w:r>
      <w:proofErr w:type="spellEnd"/>
      <w:r w:rsidRPr="00CD0A2A">
        <w:t xml:space="preserve"> required to resolve bleeds was 46.99 IU/kg, with a range of 7.9 to 263.9 IU/kg.</w:t>
      </w:r>
    </w:p>
    <w:p w:rsidR="00301573" w:rsidRDefault="00301573" w:rsidP="00811CA8">
      <w:pPr>
        <w:pStyle w:val="Heading6"/>
      </w:pPr>
      <w:r>
        <w:t xml:space="preserve">Quality of </w:t>
      </w:r>
      <w:r w:rsidR="00811CA8">
        <w:t>l</w:t>
      </w:r>
      <w:r>
        <w:t>ife</w:t>
      </w:r>
    </w:p>
    <w:p w:rsidR="00301573" w:rsidRDefault="00301573" w:rsidP="00811CA8">
      <w:r>
        <w:t xml:space="preserve">Adults participating in Arms 1 and 2 completed the </w:t>
      </w:r>
      <w:proofErr w:type="spellStart"/>
      <w:r>
        <w:t>Haem</w:t>
      </w:r>
      <w:proofErr w:type="spellEnd"/>
      <w:r>
        <w:t>-A-</w:t>
      </w:r>
      <w:proofErr w:type="spellStart"/>
      <w:r>
        <w:t>QoL</w:t>
      </w:r>
      <w:proofErr w:type="spellEnd"/>
      <w:r>
        <w:t xml:space="preserve"> instrument. This was administered at baseline, 26 weeks and 52 weeks. A total of 58 subjects aged 18 or older completed the questionnaire at baseline, Week 26, and/or Week 52. There were 38 from Arm 1 and 20 from Arm 2.</w:t>
      </w:r>
    </w:p>
    <w:p w:rsidR="00301573" w:rsidRDefault="00301573" w:rsidP="00811CA8">
      <w:r>
        <w:t xml:space="preserve">The </w:t>
      </w:r>
      <w:r w:rsidR="00683D0D">
        <w:t>W</w:t>
      </w:r>
      <w:r>
        <w:t xml:space="preserve">eek 26 results are shown in </w:t>
      </w:r>
      <w:r w:rsidR="008D493D">
        <w:t xml:space="preserve">Table 15, </w:t>
      </w:r>
      <w:r>
        <w:t>with results presented by subjects</w:t>
      </w:r>
      <w:r w:rsidR="003A426B">
        <w:t>’</w:t>
      </w:r>
      <w:r>
        <w:t xml:space="preserve"> pre-study regimen (prophylaxis or on-demand). There were small decreases in scores (implying improved quality of life) in total score and in various domains. Results at 52 weeks were similar.</w:t>
      </w:r>
    </w:p>
    <w:p w:rsidR="00C5426A" w:rsidRDefault="00C5426A" w:rsidP="00811CA8">
      <w:pPr>
        <w:pStyle w:val="TableTitle"/>
      </w:pPr>
      <w:bookmarkStart w:id="134" w:name="_Ref241400359"/>
      <w:bookmarkStart w:id="135" w:name="_Toc242109175"/>
      <w:r>
        <w:t>Table</w:t>
      </w:r>
      <w:bookmarkEnd w:id="134"/>
      <w:r w:rsidR="008D493D">
        <w:t xml:space="preserve"> 15</w:t>
      </w:r>
      <w:r>
        <w:rPr>
          <w:noProof/>
        </w:rPr>
        <w:t>:</w:t>
      </w:r>
      <w:r>
        <w:t xml:space="preserve"> Study </w:t>
      </w:r>
      <w:r w:rsidR="00CD7F19">
        <w:t>998HB102</w:t>
      </w:r>
      <w:r>
        <w:t xml:space="preserve"> – Results for </w:t>
      </w:r>
      <w:proofErr w:type="spellStart"/>
      <w:r>
        <w:t>Haem</w:t>
      </w:r>
      <w:proofErr w:type="spellEnd"/>
      <w:r>
        <w:t>-A-</w:t>
      </w:r>
      <w:proofErr w:type="spellStart"/>
      <w:r>
        <w:t>QoL</w:t>
      </w:r>
      <w:proofErr w:type="spellEnd"/>
      <w:r>
        <w:t xml:space="preserve"> – Arms 1 and 2 pooled (Secondary endpoint)</w:t>
      </w:r>
      <w:bookmarkEnd w:id="135"/>
    </w:p>
    <w:p w:rsidR="00C5426A" w:rsidRDefault="00903CDF" w:rsidP="00811CA8">
      <w:r>
        <w:rPr>
          <w:noProof/>
          <w:lang w:eastAsia="en-AU"/>
        </w:rPr>
        <w:drawing>
          <wp:inline distT="0" distB="0" distL="0" distR="0" wp14:anchorId="2A9108C6" wp14:editId="190A6B73">
            <wp:extent cx="5733415" cy="2434590"/>
            <wp:effectExtent l="0" t="0" r="0" b="0"/>
            <wp:docPr id="18" name="Picture 62" descr="Study 998HB-102 – Results for Haem-A-QoL – Arms 1 and 2 pooled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udy 998HB-102 – Results for Haem-A-QoL – Arms 1 and 2 pooled (Secondary endpoi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3415" cy="2434590"/>
                    </a:xfrm>
                    <a:prstGeom prst="rect">
                      <a:avLst/>
                    </a:prstGeom>
                    <a:noFill/>
                    <a:ln>
                      <a:noFill/>
                    </a:ln>
                  </pic:spPr>
                </pic:pic>
              </a:graphicData>
            </a:graphic>
          </wp:inline>
        </w:drawing>
      </w:r>
    </w:p>
    <w:p w:rsidR="00301573" w:rsidRPr="00AA7C3B" w:rsidRDefault="00301573" w:rsidP="00811CA8">
      <w:pPr>
        <w:ind w:left="720"/>
      </w:pPr>
      <w:r w:rsidRPr="00ED21C5">
        <w:rPr>
          <w:b/>
        </w:rPr>
        <w:t>Comment:</w:t>
      </w:r>
      <w:r w:rsidR="003A426B">
        <w:t xml:space="preserve"> </w:t>
      </w:r>
      <w:r w:rsidRPr="00AA7C3B">
        <w:t>The submission did not contain any information on what is considered a clinically significant change in score for this instrument. Most of the changes were small (less than 10 points on a scale of 0</w:t>
      </w:r>
      <w:r w:rsidR="00AA7C3B">
        <w:t xml:space="preserve"> to</w:t>
      </w:r>
      <w:r w:rsidRPr="00AA7C3B">
        <w:t xml:space="preserve">100) and may not have been clinically meaningful. Furthermore, in the absence of a control group it is not possible to conclude that any improvements in </w:t>
      </w:r>
      <w:proofErr w:type="spellStart"/>
      <w:r w:rsidRPr="00AA7C3B">
        <w:t>QoL</w:t>
      </w:r>
      <w:proofErr w:type="spellEnd"/>
      <w:r w:rsidRPr="00AA7C3B">
        <w:t xml:space="preserve"> were due to </w:t>
      </w:r>
      <w:proofErr w:type="spellStart"/>
      <w:r w:rsidRPr="00AA7C3B">
        <w:t>FIXFc</w:t>
      </w:r>
      <w:proofErr w:type="spellEnd"/>
      <w:r w:rsidRPr="00AA7C3B">
        <w:t xml:space="preserve"> administration.</w:t>
      </w:r>
    </w:p>
    <w:p w:rsidR="00301573" w:rsidRDefault="00301573" w:rsidP="00811CA8">
      <w:pPr>
        <w:pStyle w:val="Heading5"/>
      </w:pPr>
      <w:bookmarkStart w:id="136" w:name="_Toc242109068"/>
      <w:r>
        <w:t>Dosing in prophylaxis arms (Arms 1 and 2)</w:t>
      </w:r>
      <w:bookmarkEnd w:id="136"/>
    </w:p>
    <w:p w:rsidR="00301573" w:rsidRDefault="00301573" w:rsidP="00811CA8">
      <w:r>
        <w:t>In Arm 1, subjects were treated on a once weekly prophylaxis regimen. The initial dose was 50 IU/kg and subsequent doses were adjusted based on PK data or clinical need, with the once weekly dosing interval being maintained. The actual dosages used over the duration of the study are summarised in</w:t>
      </w:r>
      <w:r w:rsidR="007872D5">
        <w:t xml:space="preserve"> </w:t>
      </w:r>
      <w:r w:rsidR="00CD0A2A">
        <w:t>the dossier</w:t>
      </w:r>
      <w:r w:rsidR="00AA7C3B">
        <w:t>. The mean (</w:t>
      </w:r>
      <w:r w:rsidR="00ED21C5">
        <w:t>±</w:t>
      </w:r>
      <w:r>
        <w:t xml:space="preserve"> SD) weekly dose over the </w:t>
      </w:r>
      <w:r w:rsidR="00AA7C3B">
        <w:t>course of the study was 46.26 (</w:t>
      </w:r>
      <w:r w:rsidR="00ED21C5" w:rsidRPr="00ED21C5">
        <w:t>±</w:t>
      </w:r>
      <w:r>
        <w:t>11.30) IU/kg. The median weekly dose was 45.17 IU/kg and the range of values was 25.0 to 74.3 IU/kg. The median number of dose changes made was 1.0 (range 0 to 5).</w:t>
      </w:r>
    </w:p>
    <w:p w:rsidR="00301573" w:rsidRDefault="00301573" w:rsidP="00811CA8">
      <w:pPr>
        <w:ind w:left="720"/>
      </w:pPr>
      <w:r w:rsidRPr="00ED21C5">
        <w:rPr>
          <w:b/>
        </w:rPr>
        <w:t>Comment:</w:t>
      </w:r>
      <w:r w:rsidR="00AA7C3B">
        <w:t xml:space="preserve"> </w:t>
      </w:r>
      <w:r w:rsidRPr="00AA7C3B">
        <w:t>These data support the proposed once</w:t>
      </w:r>
      <w:r w:rsidR="00AA7C3B">
        <w:t xml:space="preserve"> </w:t>
      </w:r>
      <w:r w:rsidRPr="00AA7C3B">
        <w:t>weekly dosage regimen, with a starting dose of 50 IU/kg and subsequent adjustment of dose as required.</w:t>
      </w:r>
    </w:p>
    <w:p w:rsidR="00301573" w:rsidRDefault="00301573" w:rsidP="00811CA8">
      <w:r>
        <w:t>In Arm 2, subjects were treated with a fixed dose of 100IU/kg and an initial dosage interval of 10 days, with subsequent adjustment of the dosage interval based on PK data or clinical need. The actual dosage intervals used in the study are summarised in</w:t>
      </w:r>
      <w:r w:rsidR="00ED21C5">
        <w:t xml:space="preserve"> the dossier</w:t>
      </w:r>
      <w:r>
        <w:t>. Over the whole study, the m</w:t>
      </w:r>
      <w:r w:rsidR="00AA7C3B">
        <w:t>ean dosage interval was 12.17 (</w:t>
      </w:r>
      <w:r w:rsidR="00683D0D">
        <w:t>±</w:t>
      </w:r>
      <w:r>
        <w:t xml:space="preserve"> 2.02) days. The median dosage interval was 12.53 days with a range of 7.8 </w:t>
      </w:r>
      <w:r w:rsidR="00AA7C3B">
        <w:t>to</w:t>
      </w:r>
      <w:r>
        <w:t xml:space="preserve"> 15.9 days. The median number of dose changes made was 2.0 (range 0 to 5).</w:t>
      </w:r>
    </w:p>
    <w:p w:rsidR="00301573" w:rsidRDefault="00301573" w:rsidP="00811CA8">
      <w:r>
        <w:lastRenderedPageBreak/>
        <w:t>If the analysis of dosing intervals used in Arm 2 is restricted to the last 3 months of the study (and to only those subjects that had at least 6 months on study), the mean dosing interval was increased to 12.99 days (median 14.00) and a range of 7.7 to 20.8 days.</w:t>
      </w:r>
    </w:p>
    <w:p w:rsidR="00683D0D" w:rsidRPr="00CD0A2A" w:rsidRDefault="00ED21C5" w:rsidP="00811CA8">
      <w:proofErr w:type="gramStart"/>
      <w:r w:rsidRPr="00CD0A2A">
        <w:t>For</w:t>
      </w:r>
      <w:r w:rsidR="00683D0D" w:rsidRPr="00CD0A2A">
        <w:t xml:space="preserve"> proportion of patients who achieved an average dosing interval of at least 14 days</w:t>
      </w:r>
      <w:r w:rsidRPr="00CD0A2A">
        <w:t>:</w:t>
      </w:r>
      <w:r w:rsidR="00683D0D" w:rsidRPr="00CD0A2A">
        <w:t xml:space="preserve"> Only a small proportion of patients (11.5%) achieved an average dosing interval of at least 14 days over the whole period of the study.</w:t>
      </w:r>
      <w:proofErr w:type="gramEnd"/>
      <w:r w:rsidR="00683D0D" w:rsidRPr="00CD0A2A">
        <w:t xml:space="preserve"> However, if the analysis is restricted to the last 3 months of the study (and to only those subjects that had at least 6 months on study), a total of 53.8% of subjects achieved a dosing interval of at least 14 days. This suggests that the dosing interval can be increased over time in some patients, based on PK data or clinical experience.</w:t>
      </w:r>
    </w:p>
    <w:p w:rsidR="00301573" w:rsidRPr="00AA7C3B" w:rsidRDefault="00301573" w:rsidP="00811CA8">
      <w:pPr>
        <w:ind w:left="720"/>
      </w:pPr>
      <w:r w:rsidRPr="00ED21C5">
        <w:rPr>
          <w:b/>
        </w:rPr>
        <w:t>Comment:</w:t>
      </w:r>
      <w:r w:rsidR="00AA7C3B">
        <w:t xml:space="preserve"> </w:t>
      </w:r>
      <w:r w:rsidRPr="00AA7C3B">
        <w:t xml:space="preserve">The draft PI states that one of the recommended prophylaxis regimens is 100 IU/kg given every </w:t>
      </w:r>
      <w:r w:rsidR="00AA7C3B">
        <w:t xml:space="preserve">10 to </w:t>
      </w:r>
      <w:r w:rsidRPr="00AA7C3B">
        <w:t>14 days, with subsequent adjustment as required. This implies that patients can be commenced on a 14</w:t>
      </w:r>
      <w:r w:rsidR="00AA7C3B">
        <w:t xml:space="preserve"> </w:t>
      </w:r>
      <w:r w:rsidRPr="00AA7C3B">
        <w:t>day dosage interval, which was not the strategy used in the pivotal study</w:t>
      </w:r>
      <w:r w:rsidR="00CD7F19">
        <w:rPr>
          <w:rStyle w:val="FootnoteReference"/>
        </w:rPr>
        <w:footnoteReference w:id="1"/>
      </w:r>
      <w:r w:rsidRPr="00AA7C3B">
        <w:t>. It would be prudent for the PI to recommend that patients be commenced on 100 IU/kg every 10 days, with subsequent titration of the dosage interval based on experience. The number of patients who were managed with a dosage interval greater than 14 days was very small (n</w:t>
      </w:r>
      <w:r w:rsidR="00AA7C3B">
        <w:t xml:space="preserve"> </w:t>
      </w:r>
      <w:r w:rsidR="001720D8">
        <w:t>=</w:t>
      </w:r>
      <w:r w:rsidR="00AA7C3B">
        <w:t xml:space="preserve"> </w:t>
      </w:r>
      <w:r w:rsidRPr="00AA7C3B">
        <w:t>5). Until further experience with longer intervals is available it would be prudent to restrict the maximum dosage interval to 14 days.</w:t>
      </w:r>
    </w:p>
    <w:p w:rsidR="00301573" w:rsidRPr="004B259C" w:rsidRDefault="00301573" w:rsidP="00811CA8">
      <w:pPr>
        <w:pStyle w:val="Heading5"/>
      </w:pPr>
      <w:bookmarkStart w:id="137" w:name="_Toc242109069"/>
      <w:r w:rsidRPr="004B259C">
        <w:t xml:space="preserve">Results for </w:t>
      </w:r>
      <w:r>
        <w:t>secondary</w:t>
      </w:r>
      <w:r w:rsidRPr="004B259C">
        <w:t xml:space="preserve"> </w:t>
      </w:r>
      <w:r w:rsidRPr="00811CA8">
        <w:t>efficacy</w:t>
      </w:r>
      <w:r w:rsidRPr="004B259C">
        <w:t xml:space="preserve"> outcomes</w:t>
      </w:r>
      <w:r>
        <w:t xml:space="preserve"> (Arm 4 - surgery)</w:t>
      </w:r>
      <w:bookmarkEnd w:id="137"/>
    </w:p>
    <w:p w:rsidR="00301573" w:rsidRDefault="00301573" w:rsidP="00811CA8">
      <w:r>
        <w:t>A total of 14 major surgical procedures were performed in the total of 12 subjects who participated in Arm 4. Using the 4</w:t>
      </w:r>
      <w:r w:rsidR="00AA7C3B">
        <w:t xml:space="preserve"> </w:t>
      </w:r>
      <w:r>
        <w:t>point assessment scale the patient</w:t>
      </w:r>
      <w:r w:rsidR="001720D8">
        <w:t>’</w:t>
      </w:r>
      <w:r>
        <w:t xml:space="preserve">s response was assessed as </w:t>
      </w:r>
      <w:r w:rsidR="001720D8">
        <w:t>‘</w:t>
      </w:r>
      <w:r>
        <w:t>excellent</w:t>
      </w:r>
      <w:r w:rsidR="001720D8">
        <w:t>’</w:t>
      </w:r>
      <w:r>
        <w:t xml:space="preserve"> for 13 procedures and </w:t>
      </w:r>
      <w:r w:rsidR="001720D8">
        <w:t>‘</w:t>
      </w:r>
      <w:r>
        <w:t>good</w:t>
      </w:r>
      <w:r w:rsidR="001720D8">
        <w:t>’</w:t>
      </w:r>
      <w:r>
        <w:t xml:space="preserve"> for 1 procedure. The mean estimated blood loss was 80.4 mL during surgery and 58.1 mL postoperatively.</w:t>
      </w:r>
    </w:p>
    <w:p w:rsidR="00301573" w:rsidRDefault="00301573" w:rsidP="00811CA8">
      <w:r>
        <w:t>Two subjects required blood products. A 43</w:t>
      </w:r>
      <w:r w:rsidR="00AA7C3B">
        <w:t xml:space="preserve"> </w:t>
      </w:r>
      <w:r>
        <w:t>year old who underwent repair of a large abdominal fistula had diffuse oozing from the wound and received packed cells and fresh frozen plasma. A 30</w:t>
      </w:r>
      <w:r w:rsidR="00AA7C3B">
        <w:t xml:space="preserve"> </w:t>
      </w:r>
      <w:r>
        <w:t>year old who had a total knee replacement was found to be anaemic postoperatively, despite an intraoperative blood loss of only 250 mL. He received packed cells on day 3.</w:t>
      </w:r>
    </w:p>
    <w:p w:rsidR="00301573" w:rsidRDefault="00301573" w:rsidP="00811CA8">
      <w:r>
        <w:t xml:space="preserve">A total of 15 </w:t>
      </w:r>
      <w:r w:rsidRPr="00AA7C3B">
        <w:t>minor</w:t>
      </w:r>
      <w:r>
        <w:t xml:space="preserve"> surgeries were performed in 13 subjects. </w:t>
      </w:r>
      <w:r w:rsidRPr="009D0D20">
        <w:t>H</w:t>
      </w:r>
      <w:r>
        <w:t>a</w:t>
      </w:r>
      <w:r w:rsidRPr="009D0D20">
        <w:t>emostasis was rated as excellent o</w:t>
      </w:r>
      <w:r>
        <w:t>r good for 11 and as fair for 1. Response was not recorded for the other 3 subjects.</w:t>
      </w:r>
    </w:p>
    <w:p w:rsidR="00301573" w:rsidRPr="00ED21C5" w:rsidRDefault="00AA7C3B" w:rsidP="00811CA8">
      <w:pPr>
        <w:ind w:left="720"/>
      </w:pPr>
      <w:r w:rsidRPr="0098034B">
        <w:rPr>
          <w:b/>
        </w:rPr>
        <w:t>Comment:</w:t>
      </w:r>
      <w:r w:rsidRPr="00ED21C5">
        <w:t xml:space="preserve"> </w:t>
      </w:r>
      <w:r w:rsidR="00301573" w:rsidRPr="00ED21C5">
        <w:t xml:space="preserve">The EMA guidelines (8, 9) require that efficacy be assessed in a least 5 </w:t>
      </w:r>
      <w:proofErr w:type="gramStart"/>
      <w:r w:rsidR="00301573" w:rsidRPr="00ED21C5">
        <w:t>subjects</w:t>
      </w:r>
      <w:proofErr w:type="gramEnd"/>
      <w:r w:rsidR="00301573" w:rsidRPr="00ED21C5">
        <w:t xml:space="preserve"> undergoing at least 10 major surgical procedures. The data generated by the sponsor meets this requirement.</w:t>
      </w:r>
    </w:p>
    <w:p w:rsidR="00301573" w:rsidRDefault="00301573" w:rsidP="00811CA8">
      <w:pPr>
        <w:pStyle w:val="Heading3"/>
      </w:pPr>
      <w:bookmarkStart w:id="138" w:name="_Toc241374312"/>
      <w:bookmarkStart w:id="139" w:name="_Toc272414656"/>
      <w:bookmarkStart w:id="140" w:name="_Toc290846281"/>
      <w:bookmarkStart w:id="141" w:name="_Toc242109070"/>
      <w:bookmarkStart w:id="142" w:name="_Toc404074085"/>
      <w:r>
        <w:t>Analyses performed across trials (pooled analyses and meta-analyses)</w:t>
      </w:r>
      <w:bookmarkEnd w:id="138"/>
      <w:bookmarkEnd w:id="139"/>
      <w:bookmarkEnd w:id="140"/>
      <w:bookmarkEnd w:id="141"/>
      <w:bookmarkEnd w:id="142"/>
    </w:p>
    <w:p w:rsidR="00301573" w:rsidRDefault="00301573" w:rsidP="00811CA8">
      <w:r>
        <w:t>Not applicable.</w:t>
      </w:r>
    </w:p>
    <w:p w:rsidR="00301573" w:rsidRPr="003C0A48" w:rsidRDefault="00301573" w:rsidP="00811CA8">
      <w:pPr>
        <w:pStyle w:val="Heading3"/>
      </w:pPr>
      <w:bookmarkStart w:id="143" w:name="_Toc242109071"/>
      <w:bookmarkStart w:id="144" w:name="_Ref271126605"/>
      <w:bookmarkStart w:id="145" w:name="_Toc272414657"/>
      <w:bookmarkStart w:id="146" w:name="_Toc290846282"/>
      <w:bookmarkStart w:id="147" w:name="_Toc404074086"/>
      <w:r w:rsidRPr="003C0A48">
        <w:t>Evaluator’s conclusions on clinical efficacy</w:t>
      </w:r>
      <w:bookmarkEnd w:id="143"/>
      <w:bookmarkEnd w:id="144"/>
      <w:bookmarkEnd w:id="145"/>
      <w:bookmarkEnd w:id="146"/>
      <w:bookmarkEnd w:id="147"/>
    </w:p>
    <w:p w:rsidR="00301573" w:rsidRPr="0098034B" w:rsidRDefault="00301573" w:rsidP="00811CA8">
      <w:r w:rsidRPr="0098034B">
        <w:t xml:space="preserve">The PK data generated in the Phase </w:t>
      </w:r>
      <w:r w:rsidR="00AA7C3B" w:rsidRPr="0098034B">
        <w:t>III</w:t>
      </w:r>
      <w:r w:rsidRPr="0098034B">
        <w:t xml:space="preserve"> study demonstrate that the administration of </w:t>
      </w:r>
      <w:proofErr w:type="spellStart"/>
      <w:r w:rsidRPr="0098034B">
        <w:t>FIXFc</w:t>
      </w:r>
      <w:proofErr w:type="spellEnd"/>
      <w:r w:rsidRPr="0098034B">
        <w:t xml:space="preserve"> restores plasma FIX activity levels in subjects with FIX deficiency. The degree to which FIX activity is restored (as measured by Cmax and incremental recovery) is comparable to that achieved with the registered recombinant FIX product </w:t>
      </w:r>
      <w:proofErr w:type="spellStart"/>
      <w:r w:rsidRPr="0098034B">
        <w:t>BeneFIX</w:t>
      </w:r>
      <w:proofErr w:type="spellEnd"/>
      <w:r w:rsidRPr="0098034B">
        <w:t xml:space="preserve"> when the two products are administered at the same dose. The half-life and AUC of </w:t>
      </w:r>
      <w:proofErr w:type="spellStart"/>
      <w:r w:rsidRPr="0098034B">
        <w:t>FIXFc</w:t>
      </w:r>
      <w:proofErr w:type="spellEnd"/>
      <w:r w:rsidRPr="0098034B">
        <w:t xml:space="preserve"> were approximately double those observed with </w:t>
      </w:r>
      <w:proofErr w:type="spellStart"/>
      <w:r w:rsidRPr="0098034B">
        <w:t>BeneFIX</w:t>
      </w:r>
      <w:proofErr w:type="spellEnd"/>
      <w:r w:rsidRPr="0098034B">
        <w:t xml:space="preserve">. It would therefore be reasonable to expect that </w:t>
      </w:r>
      <w:proofErr w:type="spellStart"/>
      <w:r w:rsidRPr="0098034B">
        <w:t>FIXFc</w:t>
      </w:r>
      <w:proofErr w:type="spellEnd"/>
      <w:r w:rsidRPr="0098034B">
        <w:t xml:space="preserve"> should have comparable clinical efficacy to </w:t>
      </w:r>
      <w:proofErr w:type="spellStart"/>
      <w:r w:rsidRPr="0098034B">
        <w:t>BeneFIX</w:t>
      </w:r>
      <w:proofErr w:type="spellEnd"/>
      <w:r w:rsidRPr="0098034B">
        <w:t xml:space="preserve"> and that a longer dosage interval should be possible.</w:t>
      </w:r>
    </w:p>
    <w:p w:rsidR="00301573" w:rsidRPr="0098034B" w:rsidRDefault="00301573" w:rsidP="00811CA8">
      <w:r w:rsidRPr="0098034B">
        <w:lastRenderedPageBreak/>
        <w:t xml:space="preserve">The data from the pivotal study establish that </w:t>
      </w:r>
      <w:proofErr w:type="spellStart"/>
      <w:r w:rsidRPr="0098034B">
        <w:t>FIXFc</w:t>
      </w:r>
      <w:proofErr w:type="spellEnd"/>
      <w:r w:rsidRPr="0098034B">
        <w:t xml:space="preserve"> is effective in the treatment of bleeding episodes. Subjects rated the response to </w:t>
      </w:r>
      <w:proofErr w:type="spellStart"/>
      <w:r w:rsidRPr="0098034B">
        <w:t>FIXFc</w:t>
      </w:r>
      <w:proofErr w:type="spellEnd"/>
      <w:r w:rsidRPr="0098034B">
        <w:t xml:space="preserve"> treatment as ‘excellent’ or ‘good’ on 82.0% of occasions. Physicians rated responses as ‘excellent’ or ‘effective’ on 98.8% of occasions. A total of 90.4% of bleeding episodes resolved after a single injection of </w:t>
      </w:r>
      <w:proofErr w:type="spellStart"/>
      <w:r w:rsidRPr="0098034B">
        <w:t>FIXFc</w:t>
      </w:r>
      <w:proofErr w:type="spellEnd"/>
      <w:r w:rsidRPr="0098034B">
        <w:t>. The dosages used for the treatment of bleeding episodes in the study (see section</w:t>
      </w:r>
      <w:r w:rsidR="00F40E3C">
        <w:t xml:space="preserve"> 7.1.1.3</w:t>
      </w:r>
      <w:r w:rsidRPr="0098034B">
        <w:t>) are considered appropriate.</w:t>
      </w:r>
    </w:p>
    <w:p w:rsidR="00301573" w:rsidRPr="0098034B" w:rsidRDefault="00301573" w:rsidP="00811CA8">
      <w:r w:rsidRPr="0098034B">
        <w:t>The study also established that use of a prophylaxis regimen was superior to use of an on-demand/episodic regimen. The two prophylaxis regimens tested resulted in reductions in annual bleeding rate of 83% and 87% respectively. The two dosage regimens supported by the study are:</w:t>
      </w:r>
    </w:p>
    <w:p w:rsidR="00301573" w:rsidRDefault="00301573" w:rsidP="00811CA8">
      <w:pPr>
        <w:pStyle w:val="ListBullet"/>
      </w:pPr>
      <w:r>
        <w:t>A regimen using a fixed once</w:t>
      </w:r>
      <w:r w:rsidR="00BA04D8">
        <w:t xml:space="preserve"> </w:t>
      </w:r>
      <w:r>
        <w:t>weekly interval with a starting dose of 50 IU/kg and subsequent adjustment of the dose; or</w:t>
      </w:r>
    </w:p>
    <w:p w:rsidR="00301573" w:rsidRDefault="00301573" w:rsidP="00811CA8">
      <w:pPr>
        <w:pStyle w:val="ListBullet"/>
      </w:pPr>
      <w:r>
        <w:t>A regimen using a fixed dose of 100 IU/kg with an initial dosing interval of 10 days and subsequent adjustment of the dosing interval. The maximum dosing interval should be no more than 14 days</w:t>
      </w:r>
      <w:r w:rsidR="00CD7F19">
        <w:rPr>
          <w:rStyle w:val="FootnoteReference"/>
        </w:rPr>
        <w:footnoteReference w:id="2"/>
      </w:r>
      <w:r>
        <w:t>.</w:t>
      </w:r>
    </w:p>
    <w:p w:rsidR="00301573" w:rsidRDefault="00301573" w:rsidP="00811CA8">
      <w:r>
        <w:t>The study also established efficacy of the product when used in the surgical prophylaxis setting, with response rated as ‘excellent’ or ‘good’ in 100% of major surgeries, and modest blood loss.</w:t>
      </w:r>
    </w:p>
    <w:p w:rsidR="00301573" w:rsidRPr="0098034B" w:rsidRDefault="00301573" w:rsidP="00811CA8">
      <w:r>
        <w:t xml:space="preserve">The submitted data generally meet the requirements laid down by the EMA </w:t>
      </w:r>
      <w:r w:rsidR="00811CA8">
        <w:t xml:space="preserve">guidelines (7, 8, </w:t>
      </w:r>
      <w:proofErr w:type="gramStart"/>
      <w:r w:rsidR="00811CA8">
        <w:t>9</w:t>
      </w:r>
      <w:proofErr w:type="gramEnd"/>
      <w:r w:rsidR="00811CA8">
        <w:t>).</w:t>
      </w:r>
    </w:p>
    <w:p w:rsidR="00301573" w:rsidRDefault="00301573" w:rsidP="00811CA8">
      <w:r>
        <w:t>Overall it is concluded that the efficacy of product has been satisfactorily established for use in PTPs aged 12 years or older.</w:t>
      </w:r>
    </w:p>
    <w:p w:rsidR="00C22678" w:rsidRDefault="00C22678" w:rsidP="00811CA8">
      <w:pPr>
        <w:pStyle w:val="Heading2"/>
      </w:pPr>
      <w:bookmarkStart w:id="148" w:name="_Toc404074087"/>
      <w:r>
        <w:t>Clinical safety</w:t>
      </w:r>
      <w:bookmarkEnd w:id="148"/>
    </w:p>
    <w:p w:rsidR="002850FE" w:rsidRPr="004B259C" w:rsidRDefault="002850FE" w:rsidP="00811CA8">
      <w:pPr>
        <w:pStyle w:val="Heading3"/>
      </w:pPr>
      <w:bookmarkStart w:id="149" w:name="_Toc272414659"/>
      <w:bookmarkStart w:id="150" w:name="_Toc290846284"/>
      <w:bookmarkStart w:id="151" w:name="_Toc242109073"/>
      <w:bookmarkStart w:id="152" w:name="_Toc404074088"/>
      <w:r>
        <w:t xml:space="preserve">Studies </w:t>
      </w:r>
      <w:r w:rsidRPr="00811CA8">
        <w:t>providing</w:t>
      </w:r>
      <w:r>
        <w:t xml:space="preserve"> evaluable safety data</w:t>
      </w:r>
      <w:bookmarkEnd w:id="149"/>
      <w:bookmarkEnd w:id="150"/>
      <w:bookmarkEnd w:id="151"/>
      <w:bookmarkEnd w:id="152"/>
    </w:p>
    <w:p w:rsidR="002850FE" w:rsidRDefault="002850FE" w:rsidP="00811CA8">
      <w:bookmarkStart w:id="153" w:name="_Ref268776745"/>
      <w:r>
        <w:t>The following studies provided evaluable safety data:</w:t>
      </w:r>
    </w:p>
    <w:p w:rsidR="002850FE" w:rsidRPr="00027276" w:rsidRDefault="002850FE" w:rsidP="00811CA8">
      <w:pPr>
        <w:pStyle w:val="Heading4"/>
      </w:pPr>
      <w:r w:rsidRPr="00027276">
        <w:t>Pivotal</w:t>
      </w:r>
      <w:r w:rsidR="00CD7F19">
        <w:t xml:space="preserve"> </w:t>
      </w:r>
      <w:r w:rsidR="00295D1E">
        <w:t>(</w:t>
      </w:r>
      <w:r w:rsidR="00CD7F19">
        <w:t xml:space="preserve">Phase </w:t>
      </w:r>
      <w:r w:rsidR="00CD7F19" w:rsidRPr="00811CA8">
        <w:t>III</w:t>
      </w:r>
      <w:r w:rsidR="00295D1E">
        <w:t>)</w:t>
      </w:r>
      <w:r w:rsidRPr="00027276">
        <w:t xml:space="preserve"> efficacy stud</w:t>
      </w:r>
      <w:bookmarkEnd w:id="153"/>
      <w:r>
        <w:t>y (</w:t>
      </w:r>
      <w:r w:rsidR="00CD7F19">
        <w:t>998HB102</w:t>
      </w:r>
      <w:r>
        <w:t>)</w:t>
      </w:r>
    </w:p>
    <w:p w:rsidR="002850FE" w:rsidRDefault="002850FE" w:rsidP="00811CA8">
      <w:r>
        <w:t xml:space="preserve">In the pivotal </w:t>
      </w:r>
      <w:r w:rsidR="00295D1E">
        <w:t>(</w:t>
      </w:r>
      <w:r w:rsidR="00CD7F19">
        <w:t>Phase III</w:t>
      </w:r>
      <w:r w:rsidR="00295D1E">
        <w:t>)</w:t>
      </w:r>
      <w:r w:rsidR="00CD7F19">
        <w:t xml:space="preserve"> </w:t>
      </w:r>
      <w:r>
        <w:t>study, the following safety data were collected:</w:t>
      </w:r>
    </w:p>
    <w:p w:rsidR="002850FE" w:rsidRDefault="002850FE" w:rsidP="00811CA8">
      <w:pPr>
        <w:pStyle w:val="ListBullet"/>
      </w:pPr>
      <w:r>
        <w:t>General adverse events (AEs) were assessed at each study visit and again at 30 days after completion of the study (by telephone) for Arms 1, 2 and 3. For Arm 4 AEs were assessed at each study visit.</w:t>
      </w:r>
    </w:p>
    <w:p w:rsidR="002850FE" w:rsidRDefault="002850FE" w:rsidP="00811CA8">
      <w:pPr>
        <w:pStyle w:val="ListBullet"/>
      </w:pPr>
      <w:r>
        <w:t xml:space="preserve">Vital signs were </w:t>
      </w:r>
      <w:r w:rsidRPr="00811CA8">
        <w:t>measured</w:t>
      </w:r>
      <w:r>
        <w:t xml:space="preserve"> at every study visit in early versions of the protocol but were only measured at screening and baseline in later versions.</w:t>
      </w:r>
    </w:p>
    <w:p w:rsidR="002850FE" w:rsidRDefault="002850FE" w:rsidP="00811CA8">
      <w:pPr>
        <w:pStyle w:val="ListBullet"/>
      </w:pPr>
      <w:r>
        <w:t>The following laboratory tests were performed:</w:t>
      </w:r>
    </w:p>
    <w:p w:rsidR="002850FE" w:rsidRDefault="002850FE" w:rsidP="00811CA8">
      <w:pPr>
        <w:pStyle w:val="ListBullet2"/>
      </w:pPr>
      <w:r>
        <w:t>Haematology</w:t>
      </w:r>
      <w:r w:rsidR="006764FD">
        <w:t>:</w:t>
      </w:r>
      <w:r>
        <w:t xml:space="preserve"> white blood cell </w:t>
      </w:r>
      <w:r w:rsidR="00B82682">
        <w:t>(WBC)</w:t>
      </w:r>
      <w:r>
        <w:t xml:space="preserve"> </w:t>
      </w:r>
      <w:r w:rsidR="00B82682">
        <w:t xml:space="preserve">count </w:t>
      </w:r>
      <w:r>
        <w:t xml:space="preserve">with differential, </w:t>
      </w:r>
      <w:r w:rsidR="006764FD">
        <w:t>red blood cell (</w:t>
      </w:r>
      <w:r>
        <w:t>RBC</w:t>
      </w:r>
      <w:r w:rsidR="006764FD">
        <w:t>)</w:t>
      </w:r>
      <w:r>
        <w:t xml:space="preserve">, haemoglobin, </w:t>
      </w:r>
      <w:r w:rsidRPr="00811CA8">
        <w:t>haematocrit</w:t>
      </w:r>
      <w:r>
        <w:t>, and platelet count;</w:t>
      </w:r>
      <w:r w:rsidRPr="002D772F">
        <w:t xml:space="preserve"> </w:t>
      </w:r>
      <w:r>
        <w:t xml:space="preserve">(at screening, baseline, </w:t>
      </w:r>
      <w:r w:rsidR="006764FD">
        <w:t>W</w:t>
      </w:r>
      <w:r>
        <w:t xml:space="preserve">eek 26 and </w:t>
      </w:r>
      <w:r w:rsidR="006764FD">
        <w:t>W</w:t>
      </w:r>
      <w:r>
        <w:t>eek 52 in Arms 1</w:t>
      </w:r>
      <w:r w:rsidR="006764FD">
        <w:t xml:space="preserve"> to </w:t>
      </w:r>
      <w:r>
        <w:t>3 and at screening, baseline, the day of surgery and 1 week post recovery in Arm 4)</w:t>
      </w:r>
      <w:r w:rsidR="006764FD">
        <w:t>.</w:t>
      </w:r>
    </w:p>
    <w:p w:rsidR="002850FE" w:rsidRPr="00841282" w:rsidRDefault="002850FE" w:rsidP="00811CA8">
      <w:pPr>
        <w:pStyle w:val="ListBullet2"/>
      </w:pPr>
      <w:r>
        <w:t>Biochemistry</w:t>
      </w:r>
      <w:r w:rsidR="006764FD">
        <w:t>:</w:t>
      </w:r>
      <w:r>
        <w:t xml:space="preserve"> </w:t>
      </w:r>
      <w:r w:rsidRPr="00FB1477">
        <w:t>sodium, potassium, chloride, carbon dioxide</w:t>
      </w:r>
      <w:r w:rsidR="0089445B">
        <w:t>,</w:t>
      </w:r>
      <w:r w:rsidRPr="00FB1477">
        <w:t xml:space="preserve"> glucose, total protein, albumin, direct bilirubin, indirect bilirubin, AST, ALT, alkaline phosphatase, </w:t>
      </w:r>
      <w:r w:rsidR="00270BF1">
        <w:t>blood urea nitrogen</w:t>
      </w:r>
      <w:r w:rsidR="00270BF1" w:rsidRPr="00FB1477">
        <w:t xml:space="preserve"> </w:t>
      </w:r>
      <w:r w:rsidR="00270BF1">
        <w:t>(</w:t>
      </w:r>
      <w:r w:rsidRPr="00FB1477">
        <w:t>BUN</w:t>
      </w:r>
      <w:r w:rsidR="00270BF1">
        <w:t>)</w:t>
      </w:r>
      <w:r w:rsidRPr="00FB1477">
        <w:t>, and serum creatinine</w:t>
      </w:r>
      <w:r>
        <w:t xml:space="preserve"> (at screening, baseline, </w:t>
      </w:r>
      <w:r w:rsidR="002865E9">
        <w:t xml:space="preserve">Week </w:t>
      </w:r>
      <w:r>
        <w:t xml:space="preserve">26 and </w:t>
      </w:r>
      <w:r w:rsidR="002865E9">
        <w:t xml:space="preserve">Week </w:t>
      </w:r>
      <w:r>
        <w:t>52 in Arms 1</w:t>
      </w:r>
      <w:r w:rsidR="00270BF1">
        <w:t xml:space="preserve"> to </w:t>
      </w:r>
      <w:r>
        <w:t>3 and at screening, baseline, the day of surgery and 1 week post recovery in Arm 4)</w:t>
      </w:r>
      <w:r w:rsidR="00270BF1">
        <w:t>.</w:t>
      </w:r>
    </w:p>
    <w:p w:rsidR="002850FE" w:rsidRDefault="002850FE" w:rsidP="00811CA8">
      <w:pPr>
        <w:pStyle w:val="ListBullet2"/>
      </w:pPr>
      <w:r w:rsidRPr="00FB1477">
        <w:lastRenderedPageBreak/>
        <w:t xml:space="preserve">Total </w:t>
      </w:r>
      <w:proofErr w:type="spellStart"/>
      <w:r w:rsidRPr="00FB1477">
        <w:t>IgG</w:t>
      </w:r>
      <w:proofErr w:type="spellEnd"/>
      <w:r w:rsidRPr="00FB1477">
        <w:t xml:space="preserve"> and IgG1, IgG2 IgG3, IgG4</w:t>
      </w:r>
      <w:r>
        <w:rPr>
          <w:rFonts w:ascii="V⁄NHﬁˇøË–" w:hAnsi="V⁄NHﬁˇøË–" w:cs="V⁄NHﬁˇøË–"/>
          <w:sz w:val="18"/>
          <w:szCs w:val="18"/>
          <w:lang w:val="en-US"/>
        </w:rPr>
        <w:t xml:space="preserve"> </w:t>
      </w:r>
      <w:r w:rsidRPr="00FB1477">
        <w:t>we</w:t>
      </w:r>
      <w:r>
        <w:t xml:space="preserve">re measured at each study visit in all </w:t>
      </w:r>
      <w:r w:rsidR="00270BF1">
        <w:t>a</w:t>
      </w:r>
      <w:r>
        <w:t>rms</w:t>
      </w:r>
      <w:r w:rsidR="00270BF1">
        <w:t>.</w:t>
      </w:r>
    </w:p>
    <w:p w:rsidR="002850FE" w:rsidRPr="00C570B8" w:rsidRDefault="002850FE" w:rsidP="00811CA8">
      <w:pPr>
        <w:pStyle w:val="ListBullet2"/>
      </w:pPr>
      <w:r>
        <w:t>Coagulation parameters</w:t>
      </w:r>
      <w:r w:rsidR="00270BF1">
        <w:t>:</w:t>
      </w:r>
      <w:r>
        <w:t xml:space="preserve"> fibrin degradation products (</w:t>
      </w:r>
      <w:r w:rsidRPr="00C570B8">
        <w:t>F1+2</w:t>
      </w:r>
      <w:r>
        <w:t>)</w:t>
      </w:r>
      <w:r w:rsidRPr="00C570B8">
        <w:t xml:space="preserve">, </w:t>
      </w:r>
      <w:r>
        <w:t>thrombin</w:t>
      </w:r>
      <w:r w:rsidR="00270BF1">
        <w:t>-</w:t>
      </w:r>
      <w:proofErr w:type="spellStart"/>
      <w:r w:rsidRPr="00811CA8">
        <w:t>antithrombin</w:t>
      </w:r>
      <w:proofErr w:type="spellEnd"/>
      <w:r>
        <w:t xml:space="preserve"> complexes (</w:t>
      </w:r>
      <w:r w:rsidRPr="00C570B8">
        <w:t>TAT</w:t>
      </w:r>
      <w:r>
        <w:t>)</w:t>
      </w:r>
      <w:r w:rsidRPr="00C570B8">
        <w:t xml:space="preserve">, and D-dimer were assessed in subjects in the Arm 1 Sequential PK subgroup </w:t>
      </w:r>
      <w:r>
        <w:t>at</w:t>
      </w:r>
      <w:r w:rsidRPr="00C570B8">
        <w:t xml:space="preserve"> </w:t>
      </w:r>
      <w:r>
        <w:t>s</w:t>
      </w:r>
      <w:r w:rsidRPr="00C570B8">
        <w:t xml:space="preserve">creening, at </w:t>
      </w:r>
      <w:proofErr w:type="spellStart"/>
      <w:r w:rsidRPr="00C570B8">
        <w:t>predosing</w:t>
      </w:r>
      <w:proofErr w:type="spellEnd"/>
      <w:r w:rsidRPr="00C570B8">
        <w:t xml:space="preserve"> and at 1, 6, and 24 h following the </w:t>
      </w:r>
      <w:proofErr w:type="spellStart"/>
      <w:r w:rsidRPr="00C570B8">
        <w:t>BeneFIX</w:t>
      </w:r>
      <w:proofErr w:type="spellEnd"/>
      <w:r w:rsidRPr="00C570B8">
        <w:t xml:space="preserve"> injection; at pre</w:t>
      </w:r>
      <w:r>
        <w:t>-</w:t>
      </w:r>
      <w:r w:rsidRPr="00C570B8">
        <w:t xml:space="preserve">dosing and at 1, 6 and 24 h following </w:t>
      </w:r>
      <w:proofErr w:type="spellStart"/>
      <w:r w:rsidRPr="00C570B8">
        <w:t>rFIXFc</w:t>
      </w:r>
      <w:proofErr w:type="spellEnd"/>
      <w:r w:rsidRPr="00C570B8">
        <w:t xml:space="preserve"> injection on Day 1 and Week 26; and at </w:t>
      </w:r>
      <w:proofErr w:type="spellStart"/>
      <w:r w:rsidRPr="00C570B8">
        <w:t>predosing</w:t>
      </w:r>
      <w:proofErr w:type="spellEnd"/>
      <w:r w:rsidRPr="00C570B8">
        <w:t xml:space="preserve"> for the Week 52 </w:t>
      </w:r>
      <w:proofErr w:type="spellStart"/>
      <w:r w:rsidRPr="00C570B8">
        <w:t>rFIXFc</w:t>
      </w:r>
      <w:proofErr w:type="spellEnd"/>
      <w:r w:rsidRPr="00C570B8">
        <w:t xml:space="preserve"> injection. </w:t>
      </w:r>
      <w:r>
        <w:t>Prothrombin time (</w:t>
      </w:r>
      <w:r w:rsidRPr="00C570B8">
        <w:t>PT</w:t>
      </w:r>
      <w:r>
        <w:t>)</w:t>
      </w:r>
      <w:r w:rsidRPr="00C570B8">
        <w:t xml:space="preserve"> was assessed in subjects in the Arm 1 Sequential PK </w:t>
      </w:r>
      <w:r>
        <w:t>subgroup at s</w:t>
      </w:r>
      <w:r w:rsidRPr="00C570B8">
        <w:t xml:space="preserve">creening, and at </w:t>
      </w:r>
      <w:proofErr w:type="spellStart"/>
      <w:r w:rsidRPr="00C570B8">
        <w:t>predosing</w:t>
      </w:r>
      <w:proofErr w:type="spellEnd"/>
      <w:r w:rsidRPr="00C570B8">
        <w:t xml:space="preserve"> and 6 and 24 h following the </w:t>
      </w:r>
      <w:proofErr w:type="spellStart"/>
      <w:r w:rsidRPr="00C570B8">
        <w:t>BeneFIX</w:t>
      </w:r>
      <w:proofErr w:type="spellEnd"/>
      <w:r w:rsidRPr="00C570B8">
        <w:t xml:space="preserve"> injection and the first </w:t>
      </w:r>
      <w:proofErr w:type="spellStart"/>
      <w:r w:rsidRPr="00C570B8">
        <w:t>rFIXFc</w:t>
      </w:r>
      <w:proofErr w:type="spellEnd"/>
      <w:r w:rsidRPr="00C570B8">
        <w:t xml:space="preserve"> injection on Day 1.</w:t>
      </w:r>
    </w:p>
    <w:p w:rsidR="002850FE" w:rsidRPr="00FB1477" w:rsidRDefault="002850FE" w:rsidP="00811CA8">
      <w:pPr>
        <w:pStyle w:val="ListBullet2"/>
      </w:pPr>
      <w:r>
        <w:t>Nijmegen</w:t>
      </w:r>
      <w:r w:rsidR="00270BF1">
        <w:t xml:space="preserve"> </w:t>
      </w:r>
      <w:r>
        <w:t xml:space="preserve">modified </w:t>
      </w:r>
      <w:r w:rsidRPr="00FB1477">
        <w:t>Bethesda assay for inhibitors</w:t>
      </w:r>
      <w:r>
        <w:t>, and an assay for anti-</w:t>
      </w:r>
      <w:proofErr w:type="spellStart"/>
      <w:r>
        <w:t>FIXFc</w:t>
      </w:r>
      <w:proofErr w:type="spellEnd"/>
      <w:r>
        <w:t xml:space="preserve"> antibodies</w:t>
      </w:r>
      <w:r w:rsidRPr="00FB1477">
        <w:t xml:space="preserve"> </w:t>
      </w:r>
      <w:r>
        <w:t>were</w:t>
      </w:r>
      <w:r w:rsidRPr="00FB1477">
        <w:t xml:space="preserve"> taken at </w:t>
      </w:r>
      <w:r>
        <w:t>each study visit for all Arms;</w:t>
      </w:r>
    </w:p>
    <w:p w:rsidR="002850FE" w:rsidRDefault="002850FE" w:rsidP="00811CA8">
      <w:r>
        <w:t>Urinalysis and ECG monitoring were not performed.</w:t>
      </w:r>
    </w:p>
    <w:p w:rsidR="002850FE" w:rsidRDefault="002850FE" w:rsidP="00811CA8">
      <w:pPr>
        <w:rPr>
          <w:lang w:val="en-US"/>
        </w:rPr>
      </w:pPr>
      <w:r>
        <w:rPr>
          <w:lang w:val="en-US"/>
        </w:rPr>
        <w:t xml:space="preserve">The schedule for safety monitoring in Arms 1, 2 and 3 is </w:t>
      </w:r>
      <w:proofErr w:type="spellStart"/>
      <w:r>
        <w:rPr>
          <w:lang w:val="en-US"/>
        </w:rPr>
        <w:t>summarised</w:t>
      </w:r>
      <w:proofErr w:type="spellEnd"/>
      <w:r>
        <w:rPr>
          <w:lang w:val="en-US"/>
        </w:rPr>
        <w:t xml:space="preserve"> in</w:t>
      </w:r>
      <w:r w:rsidR="00BA04D8">
        <w:rPr>
          <w:lang w:val="en-US"/>
        </w:rPr>
        <w:t xml:space="preserve"> </w:t>
      </w:r>
      <w:r w:rsidR="008D493D">
        <w:rPr>
          <w:lang w:val="en-US"/>
        </w:rPr>
        <w:t>Table 16</w:t>
      </w:r>
      <w:r>
        <w:rPr>
          <w:lang w:val="en-US"/>
        </w:rPr>
        <w:t>.</w:t>
      </w:r>
    </w:p>
    <w:p w:rsidR="000632B1" w:rsidRDefault="000632B1" w:rsidP="00811CA8">
      <w:pPr>
        <w:pStyle w:val="TableTitle"/>
      </w:pPr>
      <w:bookmarkStart w:id="154" w:name="_Ref240001101"/>
      <w:bookmarkStart w:id="155" w:name="_Toc242109180"/>
      <w:bookmarkStart w:id="156" w:name="_Ref269204367"/>
      <w:r>
        <w:t>Table</w:t>
      </w:r>
      <w:bookmarkEnd w:id="154"/>
      <w:r w:rsidR="008D493D">
        <w:t xml:space="preserve"> 16</w:t>
      </w:r>
      <w:r>
        <w:rPr>
          <w:noProof/>
        </w:rPr>
        <w:t>:</w:t>
      </w:r>
      <w:r>
        <w:t xml:space="preserve"> Safety monitoring for Study </w:t>
      </w:r>
      <w:r w:rsidR="00CD7F19">
        <w:t>998HB102</w:t>
      </w:r>
      <w:r>
        <w:t xml:space="preserve"> (B-LONG)</w:t>
      </w:r>
      <w:bookmarkEnd w:id="155"/>
    </w:p>
    <w:p w:rsidR="002850FE" w:rsidRDefault="00903CDF" w:rsidP="00811CA8">
      <w:pPr>
        <w:rPr>
          <w:noProof/>
          <w:lang w:eastAsia="en-AU"/>
        </w:rPr>
      </w:pPr>
      <w:r>
        <w:rPr>
          <w:noProof/>
          <w:lang w:eastAsia="en-AU"/>
        </w:rPr>
        <w:drawing>
          <wp:inline distT="0" distB="0" distL="0" distR="0" wp14:anchorId="3FC8D43F" wp14:editId="16835AF1">
            <wp:extent cx="4751705" cy="5991225"/>
            <wp:effectExtent l="0" t="0" r="0" b="0"/>
            <wp:docPr id="19" name="Picture 19" descr="Safety monitoring for Study 998HB-102 (B-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fety monitoring for Study 998HB-102 (B-LO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1705" cy="5991225"/>
                    </a:xfrm>
                    <a:prstGeom prst="rect">
                      <a:avLst/>
                    </a:prstGeom>
                    <a:noFill/>
                    <a:ln>
                      <a:noFill/>
                    </a:ln>
                  </pic:spPr>
                </pic:pic>
              </a:graphicData>
            </a:graphic>
          </wp:inline>
        </w:drawing>
      </w:r>
    </w:p>
    <w:p w:rsidR="00BA04D8" w:rsidRDefault="00BA04D8" w:rsidP="00811CA8">
      <w:pPr>
        <w:pStyle w:val="Heading4"/>
      </w:pPr>
      <w:r>
        <w:lastRenderedPageBreak/>
        <w:t xml:space="preserve">Clinical </w:t>
      </w:r>
      <w:r w:rsidRPr="00811CA8">
        <w:t>pharmacology</w:t>
      </w:r>
      <w:r>
        <w:t xml:space="preserve"> study (SYN-FIXFc-07-001)</w:t>
      </w:r>
    </w:p>
    <w:p w:rsidR="00BA04D8" w:rsidRPr="00CD0A2A" w:rsidRDefault="00BA04D8" w:rsidP="00811CA8">
      <w:r w:rsidRPr="00CD0A2A">
        <w:t xml:space="preserve">Study SYN-FIXFc-07-001 was the first-in-man dose escalation study, which examined safety and PK of </w:t>
      </w:r>
      <w:proofErr w:type="spellStart"/>
      <w:r w:rsidRPr="00CD0A2A">
        <w:t>FIXFc</w:t>
      </w:r>
      <w:proofErr w:type="spellEnd"/>
      <w:r w:rsidRPr="00CD0A2A">
        <w:t>. The PK data have been summarised in</w:t>
      </w:r>
      <w:r w:rsidR="00CD0A2A" w:rsidRPr="00CD0A2A">
        <w:t xml:space="preserve"> section 4. </w:t>
      </w:r>
      <w:r w:rsidRPr="00CD0A2A">
        <w:t xml:space="preserve">Subjects only received single doses of </w:t>
      </w:r>
      <w:proofErr w:type="spellStart"/>
      <w:r w:rsidRPr="00CD0A2A">
        <w:t>FIXFc</w:t>
      </w:r>
      <w:proofErr w:type="spellEnd"/>
      <w:r w:rsidRPr="00CD0A2A">
        <w:t>, over the dose range 1 IU/kg to 100 IU/kg and were monitored daily after the infusion up to Day 11 and had a final study visit on Day 30.</w:t>
      </w:r>
    </w:p>
    <w:p w:rsidR="002850FE" w:rsidRPr="00CD0A2A" w:rsidRDefault="002850FE" w:rsidP="00811CA8">
      <w:r w:rsidRPr="00CD0A2A">
        <w:t>In this study, the following safety data were collected:</w:t>
      </w:r>
    </w:p>
    <w:p w:rsidR="002850FE" w:rsidRDefault="002850FE" w:rsidP="00811CA8">
      <w:pPr>
        <w:pStyle w:val="ListBullet"/>
      </w:pPr>
      <w:r>
        <w:t>General adverse events (AEs) were assessed at each visit.</w:t>
      </w:r>
    </w:p>
    <w:p w:rsidR="002850FE" w:rsidRDefault="002850FE" w:rsidP="00811CA8">
      <w:pPr>
        <w:pStyle w:val="ListBullet"/>
      </w:pPr>
      <w:r>
        <w:t>For the two initial dosing regimens (1.0 and 5.0 IU/kg), vital signs (</w:t>
      </w:r>
      <w:r w:rsidR="00B65561">
        <w:t>blo</w:t>
      </w:r>
      <w:r w:rsidR="00270BF1">
        <w:t>od pressure [</w:t>
      </w:r>
      <w:r>
        <w:rPr>
          <w:lang w:val="en-US"/>
        </w:rPr>
        <w:t>BP</w:t>
      </w:r>
      <w:r w:rsidR="00270BF1">
        <w:rPr>
          <w:lang w:val="en-US"/>
        </w:rPr>
        <w:t>]</w:t>
      </w:r>
      <w:r>
        <w:rPr>
          <w:lang w:val="en-US"/>
        </w:rPr>
        <w:t>, pulse</w:t>
      </w:r>
      <w:r w:rsidRPr="00067B00">
        <w:rPr>
          <w:lang w:val="en-US"/>
        </w:rPr>
        <w:t xml:space="preserve">, </w:t>
      </w:r>
      <w:r>
        <w:rPr>
          <w:lang w:val="en-US"/>
        </w:rPr>
        <w:t>respiratory rate</w:t>
      </w:r>
      <w:r w:rsidRPr="00067B00">
        <w:rPr>
          <w:lang w:val="en-US"/>
        </w:rPr>
        <w:t xml:space="preserve">, oral temperature </w:t>
      </w:r>
      <w:r w:rsidR="000632B1" w:rsidRPr="000632B1">
        <w:rPr>
          <w:lang w:val="en-US"/>
        </w:rPr>
        <w:t>[</w:t>
      </w:r>
      <w:r w:rsidR="00270BF1" w:rsidRPr="000632B1">
        <w:rPr>
          <w:vertAlign w:val="superscript"/>
          <w:lang w:val="en-US"/>
        </w:rPr>
        <w:t>0</w:t>
      </w:r>
      <w:r w:rsidRPr="000632B1">
        <w:rPr>
          <w:lang w:val="en-US"/>
        </w:rPr>
        <w:t>C</w:t>
      </w:r>
      <w:r w:rsidR="000632B1" w:rsidRPr="000632B1">
        <w:rPr>
          <w:lang w:val="en-US"/>
        </w:rPr>
        <w:t>]</w:t>
      </w:r>
      <w:r w:rsidRPr="00067B00">
        <w:rPr>
          <w:lang w:val="en-US"/>
        </w:rPr>
        <w:t>, height, and weight</w:t>
      </w:r>
      <w:r>
        <w:t xml:space="preserve">) and </w:t>
      </w:r>
      <w:r w:rsidR="00270BF1">
        <w:t>electrocardiograms (</w:t>
      </w:r>
      <w:r>
        <w:t>ECGs</w:t>
      </w:r>
      <w:r w:rsidR="00270BF1">
        <w:t>)</w:t>
      </w:r>
      <w:r>
        <w:t xml:space="preserve"> were monitored at each visit. For the higher doses, vital signs and ECGs were monitored on </w:t>
      </w:r>
      <w:r w:rsidR="00B82682">
        <w:t>the day of the infusion and at D</w:t>
      </w:r>
      <w:r>
        <w:t>ay 30.</w:t>
      </w:r>
    </w:p>
    <w:p w:rsidR="002850FE" w:rsidRDefault="002850FE" w:rsidP="00811CA8">
      <w:pPr>
        <w:pStyle w:val="ListBullet"/>
      </w:pPr>
      <w:r>
        <w:t>The following laboratory tests were performed:</w:t>
      </w:r>
    </w:p>
    <w:p w:rsidR="002850FE" w:rsidRDefault="002850FE" w:rsidP="00811CA8">
      <w:pPr>
        <w:pStyle w:val="ListBullet2"/>
      </w:pPr>
      <w:r>
        <w:t xml:space="preserve">Haematology (at screening and </w:t>
      </w:r>
      <w:r w:rsidR="00A37C59">
        <w:t xml:space="preserve">Day </w:t>
      </w:r>
      <w:r>
        <w:t>30)</w:t>
      </w:r>
      <w:r w:rsidR="00A37C59">
        <w:t>:</w:t>
      </w:r>
      <w:r>
        <w:t xml:space="preserve"> WBC count with differential, RBC, haemoglobin, </w:t>
      </w:r>
      <w:r w:rsidR="00A37C59">
        <w:t>haematocrit, and platelet count.</w:t>
      </w:r>
    </w:p>
    <w:p w:rsidR="002850FE" w:rsidRPr="00841282" w:rsidRDefault="002850FE" w:rsidP="00811CA8">
      <w:pPr>
        <w:pStyle w:val="ListBullet2"/>
      </w:pPr>
      <w:r>
        <w:t xml:space="preserve">Biochemistry (at screening and </w:t>
      </w:r>
      <w:r w:rsidR="00A37C59">
        <w:t xml:space="preserve">Day </w:t>
      </w:r>
      <w:r>
        <w:t>30)</w:t>
      </w:r>
      <w:r w:rsidR="00A37C59">
        <w:t>:</w:t>
      </w:r>
      <w:r>
        <w:t xml:space="preserve"> </w:t>
      </w:r>
      <w:r>
        <w:rPr>
          <w:lang w:val="en-US"/>
        </w:rPr>
        <w:t>sodium</w:t>
      </w:r>
      <w:r w:rsidRPr="00841282">
        <w:rPr>
          <w:lang w:val="en-US"/>
        </w:rPr>
        <w:t>, potassi</w:t>
      </w:r>
      <w:r>
        <w:rPr>
          <w:lang w:val="en-US"/>
        </w:rPr>
        <w:t>um, chloride, carbon dioxide</w:t>
      </w:r>
      <w:r w:rsidR="0089445B">
        <w:rPr>
          <w:lang w:val="en-US"/>
        </w:rPr>
        <w:t>,</w:t>
      </w:r>
      <w:r w:rsidRPr="00841282">
        <w:rPr>
          <w:lang w:val="en-US"/>
        </w:rPr>
        <w:t xml:space="preserve"> glucose, total protein, albumin, direct bilirubin, indirect bilirubin, AST, ALT, alkaline phosphatase, BUN, and serum creatinine</w:t>
      </w:r>
      <w:r w:rsidR="00A37C59">
        <w:rPr>
          <w:lang w:val="en-US"/>
        </w:rPr>
        <w:t>.</w:t>
      </w:r>
    </w:p>
    <w:p w:rsidR="002850FE" w:rsidRDefault="002850FE" w:rsidP="00811CA8">
      <w:pPr>
        <w:pStyle w:val="ListBullet2"/>
        <w:rPr>
          <w:lang w:val="en-US"/>
        </w:rPr>
      </w:pPr>
      <w:r>
        <w:rPr>
          <w:lang w:val="en-US"/>
        </w:rPr>
        <w:t xml:space="preserve">Urinalysis (at screening and </w:t>
      </w:r>
      <w:r w:rsidR="00A37C59">
        <w:rPr>
          <w:lang w:val="en-US"/>
        </w:rPr>
        <w:t xml:space="preserve">Day </w:t>
      </w:r>
      <w:r>
        <w:rPr>
          <w:lang w:val="en-US"/>
        </w:rPr>
        <w:t>30)</w:t>
      </w:r>
      <w:r w:rsidR="00A37C59">
        <w:rPr>
          <w:lang w:val="en-US"/>
        </w:rPr>
        <w:t>:</w:t>
      </w:r>
      <w:r>
        <w:rPr>
          <w:lang w:val="en-US"/>
        </w:rPr>
        <w:t xml:space="preserve"> </w:t>
      </w:r>
      <w:r w:rsidRPr="00841282">
        <w:rPr>
          <w:lang w:val="en-US"/>
        </w:rPr>
        <w:t>pH, appearance, color, specific gravity, protein, and glucose</w:t>
      </w:r>
      <w:r w:rsidR="00A37C59">
        <w:rPr>
          <w:lang w:val="en-US"/>
        </w:rPr>
        <w:t>.</w:t>
      </w:r>
    </w:p>
    <w:p w:rsidR="002850FE" w:rsidRPr="00A37C59" w:rsidRDefault="002850FE" w:rsidP="00811CA8">
      <w:pPr>
        <w:pStyle w:val="ListBullet2"/>
      </w:pPr>
      <w:r w:rsidRPr="00A37C59">
        <w:t xml:space="preserve">Coagulation </w:t>
      </w:r>
      <w:proofErr w:type="gramStart"/>
      <w:r w:rsidRPr="00A37C59">
        <w:t>studies  (</w:t>
      </w:r>
      <w:proofErr w:type="gramEnd"/>
      <w:r w:rsidRPr="00A37C59">
        <w:t xml:space="preserve">at screening, </w:t>
      </w:r>
      <w:r w:rsidR="00A37C59" w:rsidRPr="00A37C59">
        <w:t>D</w:t>
      </w:r>
      <w:r w:rsidRPr="00A37C59">
        <w:t xml:space="preserve">ay </w:t>
      </w:r>
      <w:r w:rsidR="00A37C59" w:rsidRPr="00A37C59">
        <w:t>1 and on D</w:t>
      </w:r>
      <w:r w:rsidRPr="00A37C59">
        <w:t>ay 30)</w:t>
      </w:r>
      <w:r w:rsidR="00A37C59" w:rsidRPr="00A37C59">
        <w:t>:</w:t>
      </w:r>
      <w:r w:rsidRPr="00A37C59">
        <w:t xml:space="preserve"> </w:t>
      </w:r>
      <w:r w:rsidR="00A37C59" w:rsidRPr="00A37C59">
        <w:t>prothrombin time (</w:t>
      </w:r>
      <w:r w:rsidRPr="00A37C59">
        <w:t>PT</w:t>
      </w:r>
      <w:r w:rsidR="00A37C59" w:rsidRPr="00A37C59">
        <w:t>)</w:t>
      </w:r>
      <w:r w:rsidRPr="00A37C59">
        <w:t xml:space="preserve">, </w:t>
      </w:r>
      <w:r w:rsidR="00A37C59" w:rsidRPr="00A37C59">
        <w:t xml:space="preserve">activated partial </w:t>
      </w:r>
      <w:proofErr w:type="spellStart"/>
      <w:r w:rsidR="00A37C59" w:rsidRPr="00A37C59">
        <w:t>thromboplastin</w:t>
      </w:r>
      <w:proofErr w:type="spellEnd"/>
      <w:r w:rsidR="00A37C59" w:rsidRPr="00A37C59">
        <w:t xml:space="preserve"> time</w:t>
      </w:r>
      <w:r w:rsidR="0089445B">
        <w:t xml:space="preserve"> </w:t>
      </w:r>
      <w:r w:rsidR="00A37C59" w:rsidRPr="00A37C59">
        <w:t>(</w:t>
      </w:r>
      <w:proofErr w:type="spellStart"/>
      <w:r w:rsidRPr="00A37C59">
        <w:t>aPPT</w:t>
      </w:r>
      <w:proofErr w:type="spellEnd"/>
      <w:r w:rsidR="00A37C59">
        <w:t>)</w:t>
      </w:r>
      <w:r w:rsidRPr="00A37C59">
        <w:t>, d-dimer, thrombin-</w:t>
      </w:r>
      <w:proofErr w:type="spellStart"/>
      <w:r w:rsidRPr="00A37C59">
        <w:t>antithrombin</w:t>
      </w:r>
      <w:proofErr w:type="spellEnd"/>
      <w:r w:rsidRPr="00A37C59">
        <w:t xml:space="preserve"> (TAT) complex</w:t>
      </w:r>
      <w:r w:rsidR="00A37C59">
        <w:t>.</w:t>
      </w:r>
    </w:p>
    <w:p w:rsidR="002850FE" w:rsidRDefault="002850FE" w:rsidP="00811CA8">
      <w:pPr>
        <w:pStyle w:val="ListBullet2"/>
        <w:rPr>
          <w:lang w:val="en-US"/>
        </w:rPr>
      </w:pPr>
      <w:r>
        <w:rPr>
          <w:lang w:val="en-US"/>
        </w:rPr>
        <w:t xml:space="preserve">Bethesda assay for inhibitors and </w:t>
      </w:r>
      <w:r>
        <w:t>anti-</w:t>
      </w:r>
      <w:proofErr w:type="spellStart"/>
      <w:r>
        <w:t>FIXFc</w:t>
      </w:r>
      <w:proofErr w:type="spellEnd"/>
      <w:r>
        <w:t xml:space="preserve"> antibodies</w:t>
      </w:r>
      <w:r w:rsidR="0089445B">
        <w:t xml:space="preserve"> - </w:t>
      </w:r>
      <w:r>
        <w:rPr>
          <w:lang w:val="en-US"/>
        </w:rPr>
        <w:t>taken at s</w:t>
      </w:r>
      <w:r w:rsidRPr="0037175A">
        <w:rPr>
          <w:lang w:val="en-US"/>
        </w:rPr>
        <w:t>creening, just prior to</w:t>
      </w:r>
      <w:r>
        <w:rPr>
          <w:lang w:val="en-US"/>
        </w:rPr>
        <w:t xml:space="preserve"> </w:t>
      </w:r>
      <w:proofErr w:type="spellStart"/>
      <w:r w:rsidRPr="0037175A">
        <w:rPr>
          <w:lang w:val="en-US"/>
        </w:rPr>
        <w:t>FIXFc</w:t>
      </w:r>
      <w:proofErr w:type="spellEnd"/>
      <w:r w:rsidRPr="0037175A">
        <w:rPr>
          <w:lang w:val="en-US"/>
        </w:rPr>
        <w:t xml:space="preserve"> administration</w:t>
      </w:r>
      <w:r>
        <w:rPr>
          <w:lang w:val="en-US"/>
        </w:rPr>
        <w:t xml:space="preserve"> on </w:t>
      </w:r>
      <w:r w:rsidR="00A37C59">
        <w:rPr>
          <w:lang w:val="en-US"/>
        </w:rPr>
        <w:t>D</w:t>
      </w:r>
      <w:r>
        <w:rPr>
          <w:lang w:val="en-US"/>
        </w:rPr>
        <w:t>ay 1</w:t>
      </w:r>
      <w:r w:rsidRPr="0037175A">
        <w:rPr>
          <w:lang w:val="en-US"/>
        </w:rPr>
        <w:t>, at 1 time</w:t>
      </w:r>
      <w:r>
        <w:rPr>
          <w:lang w:val="en-US"/>
        </w:rPr>
        <w:t xml:space="preserve"> </w:t>
      </w:r>
      <w:r w:rsidRPr="0037175A">
        <w:rPr>
          <w:lang w:val="en-US"/>
        </w:rPr>
        <w:t xml:space="preserve">point within 7 to 10 days after </w:t>
      </w:r>
      <w:proofErr w:type="spellStart"/>
      <w:r w:rsidRPr="0037175A">
        <w:rPr>
          <w:lang w:val="en-US"/>
        </w:rPr>
        <w:t>FIXFc</w:t>
      </w:r>
      <w:proofErr w:type="spellEnd"/>
      <w:r w:rsidRPr="0037175A">
        <w:rPr>
          <w:lang w:val="en-US"/>
        </w:rPr>
        <w:t xml:space="preserve">, and at </w:t>
      </w:r>
      <w:r w:rsidR="00A37C59">
        <w:rPr>
          <w:lang w:val="en-US"/>
        </w:rPr>
        <w:t>D</w:t>
      </w:r>
      <w:r>
        <w:rPr>
          <w:lang w:val="en-US"/>
        </w:rPr>
        <w:t>ay 30.</w:t>
      </w:r>
    </w:p>
    <w:p w:rsidR="002850FE" w:rsidRDefault="00CD0A2A" w:rsidP="00811CA8">
      <w:pPr>
        <w:rPr>
          <w:lang w:val="en-US"/>
        </w:rPr>
      </w:pPr>
      <w:r>
        <w:rPr>
          <w:lang w:val="en-US"/>
        </w:rPr>
        <w:t xml:space="preserve">Information was provided on the </w:t>
      </w:r>
      <w:r w:rsidR="002850FE">
        <w:rPr>
          <w:lang w:val="en-US"/>
        </w:rPr>
        <w:t>schedule for safety monitoring.</w:t>
      </w:r>
    </w:p>
    <w:p w:rsidR="002850FE" w:rsidRDefault="002850FE" w:rsidP="00811CA8">
      <w:pPr>
        <w:pStyle w:val="Heading4"/>
      </w:pPr>
      <w:r>
        <w:t>Other studies</w:t>
      </w:r>
    </w:p>
    <w:p w:rsidR="002850FE" w:rsidRDefault="002850FE" w:rsidP="00811CA8">
      <w:r>
        <w:t>The submission included brief reports from two ongoing studies:</w:t>
      </w:r>
    </w:p>
    <w:p w:rsidR="002850FE" w:rsidRPr="00A37C59" w:rsidRDefault="002850FE" w:rsidP="00811CA8">
      <w:pPr>
        <w:pStyle w:val="ListBullet"/>
      </w:pPr>
      <w:r w:rsidRPr="00A37C59">
        <w:t>Study 9HB02PED. This is an open</w:t>
      </w:r>
      <w:r w:rsidR="0089445B">
        <w:t xml:space="preserve"> </w:t>
      </w:r>
      <w:r w:rsidRPr="00A37C59">
        <w:t xml:space="preserve">label multicentre study of the PK, efficacy and safety of </w:t>
      </w:r>
      <w:proofErr w:type="spellStart"/>
      <w:r w:rsidRPr="00A37C59">
        <w:t>FIXFc</w:t>
      </w:r>
      <w:proofErr w:type="spellEnd"/>
      <w:r w:rsidRPr="00A37C59">
        <w:t xml:space="preserve"> in paediatric (age </w:t>
      </w:r>
      <w:r w:rsidR="0089445B">
        <w:t>&lt;</w:t>
      </w:r>
      <w:r w:rsidR="00414129">
        <w:t xml:space="preserve"> </w:t>
      </w:r>
      <w:r w:rsidRPr="00A37C59">
        <w:t>12) PTPs. The study planned to enrol at least 20 subjects with severe haemophilia B, and at least 50 previous exposure days, to receive a weekly prophylaxis regimen for approximately 50 weeks. Safety assessments included monitoring of AEs including AEs of special interest (inhibitor development, allergic reactions, thrombotic events), and laboratory testing (haematology, biochemistry, Nijmegen</w:t>
      </w:r>
      <w:r w:rsidR="0089445B">
        <w:t xml:space="preserve"> </w:t>
      </w:r>
      <w:r w:rsidRPr="00A37C59">
        <w:t>modified Bethesda assay for inhibitors, and an assay for anti-</w:t>
      </w:r>
      <w:proofErr w:type="spellStart"/>
      <w:r w:rsidRPr="00A37C59">
        <w:t>FIXFc</w:t>
      </w:r>
      <w:proofErr w:type="spellEnd"/>
      <w:r w:rsidRPr="00A37C59">
        <w:t xml:space="preserve"> antibodies).</w:t>
      </w:r>
    </w:p>
    <w:p w:rsidR="002850FE" w:rsidRDefault="002850FE" w:rsidP="00811CA8">
      <w:pPr>
        <w:pStyle w:val="ListBullet"/>
        <w:numPr>
          <w:ilvl w:val="0"/>
          <w:numId w:val="0"/>
        </w:numPr>
        <w:ind w:left="360"/>
      </w:pPr>
      <w:r w:rsidRPr="006E520A">
        <w:t>The first patient was enrolled</w:t>
      </w:r>
      <w:r w:rsidR="000B19C8">
        <w:t xml:space="preserve"> in June 2012. The </w:t>
      </w:r>
      <w:proofErr w:type="spellStart"/>
      <w:r w:rsidR="000B19C8">
        <w:t xml:space="preserve">cut </w:t>
      </w:r>
      <w:r>
        <w:t>off</w:t>
      </w:r>
      <w:proofErr w:type="spellEnd"/>
      <w:r>
        <w:t xml:space="preserve"> date for data to be included in the report was 15 October 2012 and the report itself was dated 12 December 2012. By the </w:t>
      </w:r>
      <w:proofErr w:type="spellStart"/>
      <w:r>
        <w:t>cut</w:t>
      </w:r>
      <w:r w:rsidR="000B19C8">
        <w:t xml:space="preserve"> </w:t>
      </w:r>
      <w:r>
        <w:t>off</w:t>
      </w:r>
      <w:proofErr w:type="spellEnd"/>
      <w:r>
        <w:t xml:space="preserve"> date 12 subjects had been enrolled but only 4 subjects had received at least one dose of </w:t>
      </w:r>
      <w:proofErr w:type="spellStart"/>
      <w:r>
        <w:t>FIXFc</w:t>
      </w:r>
      <w:proofErr w:type="spellEnd"/>
      <w:r>
        <w:t>. The submitted report was brief (11 pages) and provided information on serious AEs (SAEs) and AEs of special interest only.</w:t>
      </w:r>
    </w:p>
    <w:p w:rsidR="002850FE" w:rsidRPr="000B19C8" w:rsidRDefault="002850FE" w:rsidP="00811CA8">
      <w:pPr>
        <w:pStyle w:val="ListBullet"/>
      </w:pPr>
      <w:r w:rsidRPr="000B19C8">
        <w:t xml:space="preserve">Study 9HB01EXT. This is an open label extension study for subjects previously enrolled in either the pivotal phase </w:t>
      </w:r>
      <w:r w:rsidR="000B19C8">
        <w:t>III</w:t>
      </w:r>
      <w:r w:rsidRPr="000B19C8">
        <w:t xml:space="preserve"> study (</w:t>
      </w:r>
      <w:r w:rsidR="00CD7F19">
        <w:t>998HB102</w:t>
      </w:r>
      <w:r w:rsidRPr="000B19C8">
        <w:t>) or the paediatric study (9HB02PED). It is an open</w:t>
      </w:r>
      <w:r w:rsidR="000B19C8">
        <w:t xml:space="preserve"> </w:t>
      </w:r>
      <w:r w:rsidRPr="000B19C8">
        <w:t>label multicentre study of the long</w:t>
      </w:r>
      <w:r w:rsidR="000B19C8">
        <w:t xml:space="preserve"> </w:t>
      </w:r>
      <w:r w:rsidRPr="000B19C8">
        <w:t xml:space="preserve">term efficacy and safety of </w:t>
      </w:r>
      <w:proofErr w:type="spellStart"/>
      <w:r w:rsidRPr="000B19C8">
        <w:t>FIXFc</w:t>
      </w:r>
      <w:proofErr w:type="spellEnd"/>
      <w:r w:rsidRPr="000B19C8">
        <w:t xml:space="preserve">. The study expected to enrol approximately 120 subjects from the Phase </w:t>
      </w:r>
      <w:r w:rsidR="000B19C8">
        <w:t>III</w:t>
      </w:r>
      <w:r w:rsidRPr="000B19C8">
        <w:t xml:space="preserve"> study and approximately 20 subjects from the paediatric study. Treatment could be either an episodic or a prophylaxis regimen. Treatment would continue for up to 4 years or until the product </w:t>
      </w:r>
      <w:r w:rsidRPr="000B19C8">
        <w:lastRenderedPageBreak/>
        <w:t>became commercially available. Safety assessments included monitoring of AEs including AEs of special interest (inhibitor development, allergic reactions, thrombotic events), and laboratory testing (haematology, biochemistry, Nijmegen</w:t>
      </w:r>
      <w:r w:rsidR="000B19C8">
        <w:t xml:space="preserve"> </w:t>
      </w:r>
      <w:r w:rsidRPr="000B19C8">
        <w:t>modified Bethesda assay for inhibitors).</w:t>
      </w:r>
    </w:p>
    <w:p w:rsidR="002850FE" w:rsidRPr="000B19C8" w:rsidRDefault="002850FE" w:rsidP="00811CA8">
      <w:pPr>
        <w:pStyle w:val="ListBullet"/>
        <w:numPr>
          <w:ilvl w:val="0"/>
          <w:numId w:val="0"/>
        </w:numPr>
        <w:ind w:left="360"/>
      </w:pPr>
      <w:r w:rsidRPr="000B19C8">
        <w:t xml:space="preserve">The first patient was enrolled in December 2011. The cut-off date for data to be included in the report was 9 October 2012 and the report itself was dated 12 December 2012. By the </w:t>
      </w:r>
      <w:proofErr w:type="spellStart"/>
      <w:r w:rsidRPr="000B19C8">
        <w:t>cut</w:t>
      </w:r>
      <w:r w:rsidR="000B19C8">
        <w:t xml:space="preserve"> </w:t>
      </w:r>
      <w:r w:rsidRPr="000B19C8">
        <w:t>off</w:t>
      </w:r>
      <w:proofErr w:type="spellEnd"/>
      <w:r w:rsidRPr="000B19C8">
        <w:t xml:space="preserve"> date 87 subjects from the phase </w:t>
      </w:r>
      <w:r w:rsidR="000B19C8">
        <w:t>III</w:t>
      </w:r>
      <w:r w:rsidRPr="000B19C8">
        <w:t xml:space="preserve"> study had been enrolled and all had received at least one dose of </w:t>
      </w:r>
      <w:proofErr w:type="spellStart"/>
      <w:r w:rsidRPr="000B19C8">
        <w:t>FIXFc</w:t>
      </w:r>
      <w:proofErr w:type="spellEnd"/>
      <w:r w:rsidRPr="000B19C8">
        <w:t xml:space="preserve">. No subjects from the paediatric study had been enrolled. The submitted report was brief (12 </w:t>
      </w:r>
      <w:r w:rsidRPr="00811CA8">
        <w:t>pages</w:t>
      </w:r>
      <w:r w:rsidRPr="000B19C8">
        <w:t>) and provided information on serious AEs (SAEs) and AEs of special interest only.</w:t>
      </w:r>
    </w:p>
    <w:p w:rsidR="002850FE" w:rsidRDefault="002850FE" w:rsidP="00811CA8">
      <w:r>
        <w:t>The studies contributing to the safety database are summarised in</w:t>
      </w:r>
      <w:r w:rsidR="00AF676A">
        <w:t xml:space="preserve"> Figure 3</w:t>
      </w:r>
      <w:r>
        <w:t>.</w:t>
      </w:r>
    </w:p>
    <w:p w:rsidR="007A5247" w:rsidRPr="007A5247" w:rsidRDefault="007A5247" w:rsidP="00811CA8">
      <w:pPr>
        <w:pStyle w:val="FigureTitle"/>
      </w:pPr>
      <w:r w:rsidRPr="007A5247">
        <w:t xml:space="preserve">Figure </w:t>
      </w:r>
      <w:r w:rsidR="00AF676A">
        <w:t>3</w:t>
      </w:r>
      <w:r w:rsidRPr="007A5247">
        <w:t>: Summary of studies contributing to the safety database</w:t>
      </w:r>
    </w:p>
    <w:p w:rsidR="007A5247" w:rsidRPr="005C2CD3" w:rsidRDefault="00903CDF" w:rsidP="00811CA8">
      <w:r>
        <w:rPr>
          <w:noProof/>
          <w:lang w:eastAsia="en-AU"/>
        </w:rPr>
        <w:drawing>
          <wp:inline distT="0" distB="0" distL="0" distR="0" wp14:anchorId="48449229" wp14:editId="09A81B18">
            <wp:extent cx="5262245" cy="3376930"/>
            <wp:effectExtent l="0" t="0" r="0" b="0"/>
            <wp:docPr id="20" name="Picture 20" descr="Summary of studies contributing to the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mmary of studies contributing to the safety database."/>
                    <pic:cNvPicPr>
                      <a:picLocks noChangeAspect="1" noChangeArrowheads="1"/>
                    </pic:cNvPicPr>
                  </pic:nvPicPr>
                  <pic:blipFill>
                    <a:blip r:embed="rId33">
                      <a:extLst>
                        <a:ext uri="{28A0092B-C50C-407E-A947-70E740481C1C}">
                          <a14:useLocalDpi xmlns:a14="http://schemas.microsoft.com/office/drawing/2010/main" val="0"/>
                        </a:ext>
                      </a:extLst>
                    </a:blip>
                    <a:srcRect b="6932"/>
                    <a:stretch>
                      <a:fillRect/>
                    </a:stretch>
                  </pic:blipFill>
                  <pic:spPr bwMode="auto">
                    <a:xfrm>
                      <a:off x="0" y="0"/>
                      <a:ext cx="5262245" cy="3376930"/>
                    </a:xfrm>
                    <a:prstGeom prst="rect">
                      <a:avLst/>
                    </a:prstGeom>
                    <a:noFill/>
                    <a:ln>
                      <a:noFill/>
                    </a:ln>
                  </pic:spPr>
                </pic:pic>
              </a:graphicData>
            </a:graphic>
          </wp:inline>
        </w:drawing>
      </w:r>
    </w:p>
    <w:p w:rsidR="002850FE" w:rsidRDefault="002850FE" w:rsidP="00811CA8">
      <w:pPr>
        <w:pStyle w:val="Heading3"/>
      </w:pPr>
      <w:bookmarkStart w:id="157" w:name="_Ref271195835"/>
      <w:bookmarkStart w:id="158" w:name="_Ref271195841"/>
      <w:bookmarkStart w:id="159" w:name="_Toc272414660"/>
      <w:bookmarkStart w:id="160" w:name="_Toc290846285"/>
      <w:bookmarkStart w:id="161" w:name="_Toc242109074"/>
      <w:bookmarkStart w:id="162" w:name="_Toc404074089"/>
      <w:r>
        <w:t xml:space="preserve">Pivotal studies </w:t>
      </w:r>
      <w:r w:rsidRPr="00027276">
        <w:t xml:space="preserve">that </w:t>
      </w:r>
      <w:r w:rsidRPr="00811CA8">
        <w:t>assessed</w:t>
      </w:r>
      <w:r w:rsidRPr="00027276">
        <w:t xml:space="preserve"> </w:t>
      </w:r>
      <w:r>
        <w:t>safety as a primary outcome</w:t>
      </w:r>
      <w:bookmarkEnd w:id="156"/>
      <w:bookmarkEnd w:id="157"/>
      <w:bookmarkEnd w:id="158"/>
      <w:bookmarkEnd w:id="159"/>
      <w:bookmarkEnd w:id="160"/>
      <w:bookmarkEnd w:id="161"/>
      <w:bookmarkEnd w:id="162"/>
    </w:p>
    <w:p w:rsidR="002850FE" w:rsidRDefault="002850FE" w:rsidP="00811CA8">
      <w:r>
        <w:t>There were no pivotal studies that assessed safety as a primary outcome</w:t>
      </w:r>
      <w:r w:rsidR="00CD7F19">
        <w:rPr>
          <w:rStyle w:val="FootnoteReference"/>
        </w:rPr>
        <w:footnoteReference w:id="3"/>
      </w:r>
      <w:r>
        <w:t>.</w:t>
      </w:r>
    </w:p>
    <w:p w:rsidR="002850FE" w:rsidRDefault="002850FE" w:rsidP="00811CA8">
      <w:pPr>
        <w:pStyle w:val="Heading3"/>
      </w:pPr>
      <w:bookmarkStart w:id="163" w:name="_Toc241374318"/>
      <w:bookmarkStart w:id="164" w:name="_Ref271196630"/>
      <w:bookmarkStart w:id="165" w:name="_Toc272414662"/>
      <w:bookmarkStart w:id="166" w:name="_Toc290846300"/>
      <w:bookmarkStart w:id="167" w:name="_Toc242109075"/>
      <w:bookmarkStart w:id="168" w:name="_Toc404074090"/>
      <w:r>
        <w:t>Patient exposure</w:t>
      </w:r>
      <w:bookmarkEnd w:id="163"/>
      <w:bookmarkEnd w:id="164"/>
      <w:bookmarkEnd w:id="165"/>
      <w:bookmarkEnd w:id="166"/>
      <w:bookmarkEnd w:id="167"/>
      <w:bookmarkEnd w:id="168"/>
    </w:p>
    <w:p w:rsidR="002850FE" w:rsidRDefault="002850FE" w:rsidP="00811CA8">
      <w:r>
        <w:t>In the studies included in the submission, a total of 141 separate subjects</w:t>
      </w:r>
      <w:r w:rsidR="00CD7F19">
        <w:rPr>
          <w:rStyle w:val="FootnoteReference"/>
        </w:rPr>
        <w:footnoteReference w:id="4"/>
      </w:r>
      <w:r>
        <w:t xml:space="preserve"> received at least one dose of </w:t>
      </w:r>
      <w:proofErr w:type="spellStart"/>
      <w:r>
        <w:t>FIXFc</w:t>
      </w:r>
      <w:proofErr w:type="spellEnd"/>
      <w:r>
        <w:t xml:space="preserve"> as summarised in the following table.</w:t>
      </w:r>
    </w:p>
    <w:p w:rsidR="002850FE" w:rsidRPr="000B19C8" w:rsidRDefault="002850FE" w:rsidP="00811CA8">
      <w:pPr>
        <w:pStyle w:val="TableTitle"/>
      </w:pPr>
      <w:bookmarkStart w:id="169" w:name="_Toc242109151"/>
      <w:proofErr w:type="gramStart"/>
      <w:r w:rsidRPr="000B19C8">
        <w:t>Table</w:t>
      </w:r>
      <w:r w:rsidR="00CD0A2A">
        <w:t xml:space="preserve"> </w:t>
      </w:r>
      <w:r w:rsidR="008D493D">
        <w:t>17</w:t>
      </w:r>
      <w:r w:rsidR="000B19C8">
        <w:t>:</w:t>
      </w:r>
      <w:r w:rsidRPr="000B19C8">
        <w:t xml:space="preserve"> Exposure to </w:t>
      </w:r>
      <w:proofErr w:type="spellStart"/>
      <w:r w:rsidRPr="000B19C8">
        <w:t>FIXFc</w:t>
      </w:r>
      <w:proofErr w:type="spellEnd"/>
      <w:r w:rsidRPr="000B19C8">
        <w:t xml:space="preserve"> in clinical studies.</w:t>
      </w:r>
      <w:bookmarkEnd w:id="169"/>
      <w:proofErr w:type="gramEnd"/>
    </w:p>
    <w:tbl>
      <w:tblPr>
        <w:tblStyle w:val="TableTGAblue"/>
        <w:tblW w:w="0" w:type="auto"/>
        <w:tblLook w:val="04A0" w:firstRow="1" w:lastRow="0" w:firstColumn="1" w:lastColumn="0" w:noHBand="0" w:noVBand="1"/>
      </w:tblPr>
      <w:tblGrid>
        <w:gridCol w:w="4448"/>
        <w:gridCol w:w="4449"/>
      </w:tblGrid>
      <w:tr w:rsidR="002850FE" w:rsidRPr="008D493D" w:rsidTr="00811C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48" w:type="dxa"/>
          </w:tcPr>
          <w:p w:rsidR="002850FE" w:rsidRPr="008D493D" w:rsidRDefault="002850FE" w:rsidP="00811CA8">
            <w:pPr>
              <w:ind w:left="0" w:right="0"/>
              <w:rPr>
                <w:b w:val="0"/>
              </w:rPr>
            </w:pPr>
            <w:r w:rsidRPr="008D493D">
              <w:t>Study</w:t>
            </w:r>
          </w:p>
        </w:tc>
        <w:tc>
          <w:tcPr>
            <w:tcW w:w="4449" w:type="dxa"/>
          </w:tcPr>
          <w:p w:rsidR="002850FE" w:rsidRPr="008D493D" w:rsidRDefault="002850FE" w:rsidP="00811CA8">
            <w:pPr>
              <w:ind w:left="0" w:right="0"/>
              <w:cnfStyle w:val="100000000000" w:firstRow="1" w:lastRow="0" w:firstColumn="0" w:lastColumn="0" w:oddVBand="0" w:evenVBand="0" w:oddHBand="0" w:evenHBand="0" w:firstRowFirstColumn="0" w:firstRowLastColumn="0" w:lastRowFirstColumn="0" w:lastRowLastColumn="0"/>
              <w:rPr>
                <w:b w:val="0"/>
              </w:rPr>
            </w:pPr>
            <w:r w:rsidRPr="008D493D">
              <w:t>Number of Subjects</w:t>
            </w:r>
          </w:p>
        </w:tc>
      </w:tr>
      <w:tr w:rsidR="002850FE" w:rsidRPr="008D493D" w:rsidTr="00811CA8">
        <w:tc>
          <w:tcPr>
            <w:cnfStyle w:val="001000000000" w:firstRow="0" w:lastRow="0" w:firstColumn="1" w:lastColumn="0" w:oddVBand="0" w:evenVBand="0" w:oddHBand="0" w:evenHBand="0" w:firstRowFirstColumn="0" w:firstRowLastColumn="0" w:lastRowFirstColumn="0" w:lastRowLastColumn="0"/>
            <w:tcW w:w="4448" w:type="dxa"/>
          </w:tcPr>
          <w:p w:rsidR="002850FE" w:rsidRPr="008D493D" w:rsidRDefault="002850FE" w:rsidP="00811CA8">
            <w:pPr>
              <w:ind w:left="0" w:right="0"/>
            </w:pPr>
            <w:r w:rsidRPr="008D493D">
              <w:t xml:space="preserve">Study </w:t>
            </w:r>
            <w:r w:rsidR="00CD7F19">
              <w:t>998HB102</w:t>
            </w:r>
          </w:p>
        </w:tc>
        <w:tc>
          <w:tcPr>
            <w:tcW w:w="4449" w:type="dxa"/>
          </w:tcPr>
          <w:p w:rsidR="002850FE" w:rsidRPr="008D493D" w:rsidRDefault="002850FE" w:rsidP="00811CA8">
            <w:pPr>
              <w:ind w:left="0" w:right="0"/>
              <w:cnfStyle w:val="000000000000" w:firstRow="0" w:lastRow="0" w:firstColumn="0" w:lastColumn="0" w:oddVBand="0" w:evenVBand="0" w:oddHBand="0" w:evenHBand="0" w:firstRowFirstColumn="0" w:firstRowLastColumn="0" w:lastRowFirstColumn="0" w:lastRowLastColumn="0"/>
            </w:pPr>
            <w:r w:rsidRPr="008D493D">
              <w:t>123</w:t>
            </w:r>
          </w:p>
        </w:tc>
      </w:tr>
      <w:tr w:rsidR="002850FE" w:rsidRPr="008D493D" w:rsidTr="00811CA8">
        <w:tc>
          <w:tcPr>
            <w:cnfStyle w:val="001000000000" w:firstRow="0" w:lastRow="0" w:firstColumn="1" w:lastColumn="0" w:oddVBand="0" w:evenVBand="0" w:oddHBand="0" w:evenHBand="0" w:firstRowFirstColumn="0" w:firstRowLastColumn="0" w:lastRowFirstColumn="0" w:lastRowLastColumn="0"/>
            <w:tcW w:w="4448" w:type="dxa"/>
          </w:tcPr>
          <w:p w:rsidR="002850FE" w:rsidRPr="008D493D" w:rsidRDefault="002850FE" w:rsidP="00811CA8">
            <w:pPr>
              <w:ind w:left="0" w:right="0"/>
            </w:pPr>
            <w:r w:rsidRPr="008D493D">
              <w:lastRenderedPageBreak/>
              <w:t>Study SYN-FIXFc-07-001</w:t>
            </w:r>
          </w:p>
        </w:tc>
        <w:tc>
          <w:tcPr>
            <w:tcW w:w="4449" w:type="dxa"/>
          </w:tcPr>
          <w:p w:rsidR="002850FE" w:rsidRPr="008D493D" w:rsidRDefault="002850FE" w:rsidP="00811CA8">
            <w:pPr>
              <w:ind w:left="0" w:right="0"/>
              <w:cnfStyle w:val="000000000000" w:firstRow="0" w:lastRow="0" w:firstColumn="0" w:lastColumn="0" w:oddVBand="0" w:evenVBand="0" w:oddHBand="0" w:evenHBand="0" w:firstRowFirstColumn="0" w:firstRowLastColumn="0" w:lastRowFirstColumn="0" w:lastRowLastColumn="0"/>
            </w:pPr>
            <w:r w:rsidRPr="008D493D">
              <w:t>14</w:t>
            </w:r>
          </w:p>
        </w:tc>
      </w:tr>
      <w:tr w:rsidR="002850FE" w:rsidRPr="008D493D" w:rsidTr="00811CA8">
        <w:tc>
          <w:tcPr>
            <w:cnfStyle w:val="001000000000" w:firstRow="0" w:lastRow="0" w:firstColumn="1" w:lastColumn="0" w:oddVBand="0" w:evenVBand="0" w:oddHBand="0" w:evenHBand="0" w:firstRowFirstColumn="0" w:firstRowLastColumn="0" w:lastRowFirstColumn="0" w:lastRowLastColumn="0"/>
            <w:tcW w:w="4448" w:type="dxa"/>
          </w:tcPr>
          <w:p w:rsidR="002850FE" w:rsidRPr="008D493D" w:rsidRDefault="002850FE" w:rsidP="00811CA8">
            <w:pPr>
              <w:ind w:left="0" w:right="0"/>
            </w:pPr>
            <w:r w:rsidRPr="008D493D">
              <w:t>Study 9HB02PED</w:t>
            </w:r>
          </w:p>
        </w:tc>
        <w:tc>
          <w:tcPr>
            <w:tcW w:w="4449" w:type="dxa"/>
          </w:tcPr>
          <w:p w:rsidR="002850FE" w:rsidRPr="008D493D" w:rsidRDefault="002850FE" w:rsidP="00811CA8">
            <w:pPr>
              <w:ind w:left="0" w:right="0"/>
              <w:cnfStyle w:val="000000000000" w:firstRow="0" w:lastRow="0" w:firstColumn="0" w:lastColumn="0" w:oddVBand="0" w:evenVBand="0" w:oddHBand="0" w:evenHBand="0" w:firstRowFirstColumn="0" w:firstRowLastColumn="0" w:lastRowFirstColumn="0" w:lastRowLastColumn="0"/>
            </w:pPr>
            <w:r w:rsidRPr="008D493D">
              <w:t>4</w:t>
            </w:r>
          </w:p>
        </w:tc>
      </w:tr>
      <w:tr w:rsidR="002850FE" w:rsidRPr="008D493D" w:rsidTr="00811CA8">
        <w:tc>
          <w:tcPr>
            <w:cnfStyle w:val="001000000000" w:firstRow="0" w:lastRow="0" w:firstColumn="1" w:lastColumn="0" w:oddVBand="0" w:evenVBand="0" w:oddHBand="0" w:evenHBand="0" w:firstRowFirstColumn="0" w:firstRowLastColumn="0" w:lastRowFirstColumn="0" w:lastRowLastColumn="0"/>
            <w:tcW w:w="4448" w:type="dxa"/>
          </w:tcPr>
          <w:p w:rsidR="002850FE" w:rsidRPr="008D493D" w:rsidRDefault="002850FE" w:rsidP="00811CA8">
            <w:pPr>
              <w:ind w:left="0" w:right="0"/>
            </w:pPr>
            <w:r w:rsidRPr="008D493D">
              <w:t>Total</w:t>
            </w:r>
          </w:p>
        </w:tc>
        <w:tc>
          <w:tcPr>
            <w:tcW w:w="4449" w:type="dxa"/>
          </w:tcPr>
          <w:p w:rsidR="002850FE" w:rsidRPr="008D493D" w:rsidRDefault="002850FE" w:rsidP="00811CA8">
            <w:pPr>
              <w:ind w:left="0" w:right="0"/>
              <w:cnfStyle w:val="000000000000" w:firstRow="0" w:lastRow="0" w:firstColumn="0" w:lastColumn="0" w:oddVBand="0" w:evenVBand="0" w:oddHBand="0" w:evenHBand="0" w:firstRowFirstColumn="0" w:firstRowLastColumn="0" w:lastRowFirstColumn="0" w:lastRowLastColumn="0"/>
            </w:pPr>
            <w:r w:rsidRPr="008D493D">
              <w:t>141</w:t>
            </w:r>
            <w:r w:rsidR="00CD7F19" w:rsidRPr="00295D1E">
              <w:rPr>
                <w:vertAlign w:val="superscript"/>
              </w:rPr>
              <w:t>4</w:t>
            </w:r>
          </w:p>
        </w:tc>
      </w:tr>
    </w:tbl>
    <w:p w:rsidR="002850FE" w:rsidRPr="008D493D" w:rsidRDefault="002850FE" w:rsidP="00811CA8">
      <w:pPr>
        <w:ind w:left="720"/>
      </w:pPr>
      <w:r w:rsidRPr="00811CA8">
        <w:rPr>
          <w:b/>
        </w:rPr>
        <w:t>Comment:</w:t>
      </w:r>
      <w:r w:rsidR="000B19C8" w:rsidRPr="008D493D">
        <w:t xml:space="preserve"> </w:t>
      </w:r>
      <w:r w:rsidRPr="008D493D">
        <w:t xml:space="preserve">A total of 87 subjects from </w:t>
      </w:r>
      <w:r w:rsidR="00CD7F19">
        <w:t>998HB102</w:t>
      </w:r>
      <w:r w:rsidRPr="008D493D">
        <w:t xml:space="preserve"> continued into the extension study 9HB01EXT and are not included in the table as they are not separate individuals. Subjects in SYN-FIXFc-07-001 received only one dose of </w:t>
      </w:r>
      <w:proofErr w:type="spellStart"/>
      <w:r w:rsidRPr="008D493D">
        <w:t>FIXFc</w:t>
      </w:r>
      <w:proofErr w:type="spellEnd"/>
      <w:r w:rsidRPr="008D493D">
        <w:t xml:space="preserve"> and the only data provided for the 4 subjects from 9HB02PED related to SAEs and AEs of special interest. Therefore assessment of the safety of </w:t>
      </w:r>
      <w:proofErr w:type="spellStart"/>
      <w:r w:rsidRPr="008D493D">
        <w:t>FIXFc</w:t>
      </w:r>
      <w:proofErr w:type="spellEnd"/>
      <w:r w:rsidRPr="008D493D">
        <w:t xml:space="preserve"> relies almost entirely on the data generated in study </w:t>
      </w:r>
      <w:r w:rsidR="00CD7F19">
        <w:t>998HB102</w:t>
      </w:r>
      <w:r w:rsidRPr="008D493D">
        <w:t>.</w:t>
      </w:r>
    </w:p>
    <w:p w:rsidR="002850FE" w:rsidRPr="008D493D" w:rsidRDefault="002850FE" w:rsidP="00811CA8">
      <w:pPr>
        <w:ind w:left="720"/>
      </w:pPr>
      <w:r w:rsidRPr="008D493D">
        <w:t>The most recent EMA guideline on FIX products (9) states that: “The number of patients typically needed to be enrolled into the preauthorisation clinical trials is 40.</w:t>
      </w:r>
    </w:p>
    <w:p w:rsidR="002850FE" w:rsidRPr="008D493D" w:rsidRDefault="002850FE" w:rsidP="00811CA8">
      <w:r w:rsidRPr="008D493D">
        <w:t xml:space="preserve">The extent of exposure in </w:t>
      </w:r>
      <w:r w:rsidR="000B19C8" w:rsidRPr="008D493D">
        <w:t>S</w:t>
      </w:r>
      <w:r w:rsidRPr="008D493D">
        <w:t xml:space="preserve">tudy </w:t>
      </w:r>
      <w:r w:rsidR="00CD7F19">
        <w:t>998HB102</w:t>
      </w:r>
      <w:r w:rsidRPr="008D493D">
        <w:t xml:space="preserve"> in terms of the number of weeks on </w:t>
      </w:r>
      <w:proofErr w:type="spellStart"/>
      <w:r w:rsidRPr="008D493D">
        <w:t>FIXFc</w:t>
      </w:r>
      <w:proofErr w:type="spellEnd"/>
      <w:r w:rsidRPr="008D493D">
        <w:t xml:space="preserve"> is summarised in </w:t>
      </w:r>
      <w:r w:rsidR="003F29EE" w:rsidRPr="008D493D">
        <w:t xml:space="preserve">Table </w:t>
      </w:r>
      <w:r w:rsidR="008D493D">
        <w:t>18</w:t>
      </w:r>
      <w:r w:rsidRPr="008D493D">
        <w:t xml:space="preserve">. A total of 115 subjects were on </w:t>
      </w:r>
      <w:proofErr w:type="spellStart"/>
      <w:r w:rsidRPr="008D493D">
        <w:t>FIXFc</w:t>
      </w:r>
      <w:proofErr w:type="spellEnd"/>
      <w:r w:rsidRPr="008D493D">
        <w:t xml:space="preserve"> for at least 26 weeks, and 56 subjects for at least 52 weeks. The extent of exposure in terms of exposure days and number of injections is summarised in</w:t>
      </w:r>
      <w:r w:rsidR="003F29EE" w:rsidRPr="008D493D">
        <w:t xml:space="preserve"> Table </w:t>
      </w:r>
      <w:r w:rsidR="008D493D">
        <w:t>19</w:t>
      </w:r>
      <w:r w:rsidRPr="008D493D">
        <w:t>. The median number of exposure days was 49.0 and the median number of injections was 50.0.</w:t>
      </w:r>
    </w:p>
    <w:p w:rsidR="00907656" w:rsidRDefault="00907656" w:rsidP="00811CA8">
      <w:pPr>
        <w:pStyle w:val="TableTitle"/>
      </w:pPr>
      <w:bookmarkStart w:id="170" w:name="_Ref241554731"/>
      <w:bookmarkStart w:id="171" w:name="_Toc242109182"/>
      <w:r>
        <w:t>Table</w:t>
      </w:r>
      <w:bookmarkEnd w:id="170"/>
      <w:r w:rsidR="008D493D">
        <w:t xml:space="preserve"> 18</w:t>
      </w:r>
      <w:r>
        <w:rPr>
          <w:noProof/>
        </w:rPr>
        <w:t>:</w:t>
      </w:r>
      <w:r>
        <w:t xml:space="preserve"> Study 998HB102 - Extent of exposure by number of weeks on </w:t>
      </w:r>
      <w:proofErr w:type="spellStart"/>
      <w:r>
        <w:t>FIXFc</w:t>
      </w:r>
      <w:bookmarkEnd w:id="171"/>
      <w:proofErr w:type="spellEnd"/>
    </w:p>
    <w:p w:rsidR="00907656" w:rsidRDefault="00903CDF" w:rsidP="00811CA8">
      <w:pPr>
        <w:rPr>
          <w:noProof/>
          <w:lang w:eastAsia="en-AU"/>
        </w:rPr>
      </w:pPr>
      <w:r>
        <w:rPr>
          <w:noProof/>
          <w:lang w:eastAsia="en-AU"/>
        </w:rPr>
        <w:drawing>
          <wp:inline distT="0" distB="0" distL="0" distR="0" wp14:anchorId="11242649" wp14:editId="32DD8BB2">
            <wp:extent cx="5660390" cy="3124835"/>
            <wp:effectExtent l="0" t="0" r="0" b="0"/>
            <wp:docPr id="21" name="Picture 79" descr="Study 998HB102 - Extent of exposure by number of weeks on FIX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udy 998HB102 - Extent of exposure by number of weeks on FIXF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0390" cy="3124835"/>
                    </a:xfrm>
                    <a:prstGeom prst="rect">
                      <a:avLst/>
                    </a:prstGeom>
                    <a:noFill/>
                    <a:ln>
                      <a:noFill/>
                    </a:ln>
                  </pic:spPr>
                </pic:pic>
              </a:graphicData>
            </a:graphic>
          </wp:inline>
        </w:drawing>
      </w:r>
    </w:p>
    <w:p w:rsidR="00907656" w:rsidRDefault="00907656" w:rsidP="00811CA8">
      <w:pPr>
        <w:pStyle w:val="TableTitle"/>
      </w:pPr>
      <w:bookmarkStart w:id="172" w:name="_Ref241555090"/>
      <w:bookmarkStart w:id="173" w:name="_Toc242109183"/>
      <w:r>
        <w:lastRenderedPageBreak/>
        <w:t>Table</w:t>
      </w:r>
      <w:bookmarkEnd w:id="172"/>
      <w:r w:rsidR="008D493D">
        <w:t xml:space="preserve"> 19</w:t>
      </w:r>
      <w:r>
        <w:rPr>
          <w:noProof/>
        </w:rPr>
        <w:t>:</w:t>
      </w:r>
      <w:r>
        <w:t xml:space="preserve"> Study 998HB102 - Extent of exposure by number of exposure days and number of injections</w:t>
      </w:r>
      <w:bookmarkEnd w:id="173"/>
    </w:p>
    <w:p w:rsidR="00907656" w:rsidRDefault="00903CDF" w:rsidP="00811CA8">
      <w:r>
        <w:rPr>
          <w:noProof/>
          <w:lang w:eastAsia="en-AU"/>
        </w:rPr>
        <w:drawing>
          <wp:inline distT="0" distB="0" distL="0" distR="0" wp14:anchorId="784508F2" wp14:editId="0B753197">
            <wp:extent cx="5733415" cy="3281680"/>
            <wp:effectExtent l="0" t="0" r="0" b="0"/>
            <wp:docPr id="22" name="Picture 80" descr="Study 998HB102 - Extent of exposure by number of exposure days and number of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tudy 998HB102 - Extent of exposure by number of exposure days and number of injec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3415" cy="3281680"/>
                    </a:xfrm>
                    <a:prstGeom prst="rect">
                      <a:avLst/>
                    </a:prstGeom>
                    <a:noFill/>
                    <a:ln>
                      <a:noFill/>
                    </a:ln>
                  </pic:spPr>
                </pic:pic>
              </a:graphicData>
            </a:graphic>
          </wp:inline>
        </w:drawing>
      </w:r>
    </w:p>
    <w:p w:rsidR="002850FE" w:rsidRDefault="002850FE" w:rsidP="00811CA8">
      <w:pPr>
        <w:pStyle w:val="Heading3"/>
      </w:pPr>
      <w:bookmarkStart w:id="174" w:name="_Toc241374319"/>
      <w:bookmarkStart w:id="175" w:name="_Ref271044764"/>
      <w:bookmarkStart w:id="176" w:name="_Toc272414663"/>
      <w:bookmarkStart w:id="177" w:name="_Toc290846301"/>
      <w:bookmarkStart w:id="178" w:name="_Toc242109076"/>
      <w:bookmarkStart w:id="179" w:name="_Toc404074091"/>
      <w:r>
        <w:t>Adverse events</w:t>
      </w:r>
      <w:bookmarkEnd w:id="174"/>
      <w:bookmarkEnd w:id="175"/>
      <w:bookmarkEnd w:id="176"/>
      <w:bookmarkEnd w:id="177"/>
      <w:bookmarkEnd w:id="178"/>
      <w:bookmarkEnd w:id="179"/>
    </w:p>
    <w:p w:rsidR="002850FE" w:rsidRDefault="002850FE" w:rsidP="00811CA8">
      <w:r>
        <w:t xml:space="preserve">The overall incidence of AEs, SAEs etc. in the phase </w:t>
      </w:r>
      <w:r w:rsidR="000B19C8">
        <w:t>III</w:t>
      </w:r>
      <w:r>
        <w:t xml:space="preserve"> study is summarised in </w:t>
      </w:r>
      <w:r w:rsidR="005A495E">
        <w:t xml:space="preserve">Table </w:t>
      </w:r>
      <w:r w:rsidR="008D493D">
        <w:t>20</w:t>
      </w:r>
      <w:r>
        <w:t>.</w:t>
      </w:r>
    </w:p>
    <w:p w:rsidR="00907656" w:rsidRDefault="00907656" w:rsidP="00811CA8">
      <w:pPr>
        <w:pStyle w:val="TableTitle"/>
      </w:pPr>
      <w:bookmarkStart w:id="180" w:name="_Ref241555730"/>
      <w:bookmarkStart w:id="181" w:name="_Toc242109184"/>
      <w:proofErr w:type="gramStart"/>
      <w:r>
        <w:t>Table</w:t>
      </w:r>
      <w:bookmarkEnd w:id="180"/>
      <w:r w:rsidR="007226C7">
        <w:t xml:space="preserve"> </w:t>
      </w:r>
      <w:r w:rsidR="008D493D">
        <w:t>20</w:t>
      </w:r>
      <w:r>
        <w:rPr>
          <w:noProof/>
        </w:rPr>
        <w:t>:</w:t>
      </w:r>
      <w:r>
        <w:t xml:space="preserve"> Study </w:t>
      </w:r>
      <w:r w:rsidR="00CD7F19">
        <w:t>998HB102</w:t>
      </w:r>
      <w:r>
        <w:t xml:space="preserve"> – overall incidence of AEs / SAEs etc.</w:t>
      </w:r>
      <w:bookmarkEnd w:id="181"/>
      <w:proofErr w:type="gramEnd"/>
    </w:p>
    <w:p w:rsidR="00907656" w:rsidRDefault="00903CDF" w:rsidP="00811CA8">
      <w:r>
        <w:rPr>
          <w:noProof/>
          <w:lang w:eastAsia="en-AU"/>
        </w:rPr>
        <w:drawing>
          <wp:inline distT="0" distB="0" distL="0" distR="0" wp14:anchorId="29FC2322" wp14:editId="48DC8872">
            <wp:extent cx="5733415" cy="3820160"/>
            <wp:effectExtent l="0" t="0" r="0" b="0"/>
            <wp:docPr id="23" name="Picture 23" descr="Study 998HB-102 – overall incidence of AEs / SA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udy 998HB-102 – overall incidence of AEs / SAEs et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415" cy="3820160"/>
                    </a:xfrm>
                    <a:prstGeom prst="rect">
                      <a:avLst/>
                    </a:prstGeom>
                    <a:noFill/>
                    <a:ln>
                      <a:noFill/>
                    </a:ln>
                  </pic:spPr>
                </pic:pic>
              </a:graphicData>
            </a:graphic>
          </wp:inline>
        </w:drawing>
      </w:r>
    </w:p>
    <w:p w:rsidR="002850FE" w:rsidRPr="00C27CB6" w:rsidRDefault="002850FE" w:rsidP="00811CA8">
      <w:pPr>
        <w:pStyle w:val="Heading4"/>
      </w:pPr>
      <w:bookmarkStart w:id="182" w:name="_Ref272317284"/>
      <w:bookmarkStart w:id="183" w:name="_Ref272333565"/>
      <w:bookmarkStart w:id="184" w:name="_Toc272414664"/>
      <w:bookmarkStart w:id="185" w:name="_Toc290846302"/>
      <w:bookmarkStart w:id="186" w:name="_Toc242109077"/>
      <w:r>
        <w:lastRenderedPageBreak/>
        <w:t xml:space="preserve">All adverse </w:t>
      </w:r>
      <w:r w:rsidRPr="00811CA8">
        <w:t>events</w:t>
      </w:r>
      <w:r>
        <w:t xml:space="preserve"> (irrespective of relationship to study treatment)</w:t>
      </w:r>
      <w:bookmarkEnd w:id="182"/>
      <w:bookmarkEnd w:id="183"/>
      <w:bookmarkEnd w:id="184"/>
      <w:bookmarkEnd w:id="185"/>
      <w:bookmarkEnd w:id="186"/>
    </w:p>
    <w:p w:rsidR="002850FE" w:rsidRDefault="002850FE" w:rsidP="00811CA8">
      <w:pPr>
        <w:pStyle w:val="Heading5"/>
      </w:pPr>
      <w:bookmarkStart w:id="187" w:name="_Toc242109078"/>
      <w:r>
        <w:t xml:space="preserve">Study </w:t>
      </w:r>
      <w:r w:rsidR="00CD7F19" w:rsidRPr="00811CA8">
        <w:t>998HB102</w:t>
      </w:r>
      <w:bookmarkEnd w:id="187"/>
    </w:p>
    <w:p w:rsidR="002850FE" w:rsidRDefault="002850FE" w:rsidP="00811CA8">
      <w:r>
        <w:t xml:space="preserve">Over the whole study period AEs occurred </w:t>
      </w:r>
      <w:r w:rsidRPr="000B19C8">
        <w:t>in 76.4%</w:t>
      </w:r>
      <w:r>
        <w:t xml:space="preserve"> of subjects. Common AEs that occurred in Arms 1, 2 and 3 are shown in </w:t>
      </w:r>
      <w:r w:rsidR="008D493D">
        <w:t>Table 21</w:t>
      </w:r>
      <w:r w:rsidR="00907656">
        <w:t>.</w:t>
      </w:r>
    </w:p>
    <w:p w:rsidR="00907656" w:rsidRDefault="00907656" w:rsidP="00811CA8">
      <w:pPr>
        <w:pStyle w:val="TableTitle"/>
      </w:pPr>
      <w:bookmarkStart w:id="188" w:name="_Ref241556366"/>
      <w:bookmarkStart w:id="189" w:name="_Toc242109185"/>
      <w:r>
        <w:t>Table</w:t>
      </w:r>
      <w:bookmarkEnd w:id="188"/>
      <w:r w:rsidR="00EE17A2">
        <w:t xml:space="preserve"> </w:t>
      </w:r>
      <w:r w:rsidR="008D493D">
        <w:t>21</w:t>
      </w:r>
      <w:r>
        <w:rPr>
          <w:noProof/>
        </w:rPr>
        <w:t>:</w:t>
      </w:r>
      <w:r>
        <w:t xml:space="preserve"> Study </w:t>
      </w:r>
      <w:r w:rsidR="00CD7F19">
        <w:t>998HB102</w:t>
      </w:r>
      <w:r>
        <w:t xml:space="preserve"> – Common AEs (incidence </w:t>
      </w:r>
      <w:r w:rsidR="00EE17A2">
        <w:t>&gt;</w:t>
      </w:r>
      <w:r>
        <w:t xml:space="preserve"> 3%) in Arms 1, 2 and 3</w:t>
      </w:r>
      <w:bookmarkEnd w:id="189"/>
    </w:p>
    <w:p w:rsidR="00907656" w:rsidRDefault="00903CDF" w:rsidP="00811CA8">
      <w:r>
        <w:rPr>
          <w:noProof/>
          <w:lang w:eastAsia="en-AU"/>
        </w:rPr>
        <w:drawing>
          <wp:inline distT="0" distB="0" distL="0" distR="0" wp14:anchorId="4F6B66FD" wp14:editId="665ACF20">
            <wp:extent cx="5705475" cy="2726055"/>
            <wp:effectExtent l="0" t="0" r="0" b="0"/>
            <wp:docPr id="24" name="Picture 83" descr="Study 998HB-102 – Common AEs (incidence &gt; 3%) in Arm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udy 998HB-102 – Common AEs (incidence &gt; 3%) in Arms 1, 2 and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475" cy="2726055"/>
                    </a:xfrm>
                    <a:prstGeom prst="rect">
                      <a:avLst/>
                    </a:prstGeom>
                    <a:noFill/>
                    <a:ln>
                      <a:noFill/>
                    </a:ln>
                  </pic:spPr>
                </pic:pic>
              </a:graphicData>
            </a:graphic>
          </wp:inline>
        </w:drawing>
      </w:r>
    </w:p>
    <w:p w:rsidR="002850FE" w:rsidRPr="000B19C8" w:rsidRDefault="002850FE" w:rsidP="00811CA8">
      <w:pPr>
        <w:ind w:left="720"/>
      </w:pPr>
      <w:r w:rsidRPr="00F44688">
        <w:rPr>
          <w:b/>
        </w:rPr>
        <w:t>Comment:</w:t>
      </w:r>
      <w:r w:rsidR="000B19C8">
        <w:t xml:space="preserve"> </w:t>
      </w:r>
      <w:r w:rsidRPr="000B19C8">
        <w:t xml:space="preserve">As the study was </w:t>
      </w:r>
      <w:r w:rsidRPr="00EE17A2">
        <w:t>designed</w:t>
      </w:r>
      <w:r w:rsidRPr="000B19C8">
        <w:t xml:space="preserve"> without a comparator arm, it is difficult to implicate </w:t>
      </w:r>
      <w:proofErr w:type="spellStart"/>
      <w:r w:rsidRPr="000B19C8">
        <w:t>FIXFc</w:t>
      </w:r>
      <w:proofErr w:type="spellEnd"/>
      <w:r w:rsidRPr="000B19C8">
        <w:t xml:space="preserve"> in the causality of any of these AEs. Most of the common AEs would be expected to occur in a population of subjects followed for any length of time (infections, headache). Others (arthralgia, musculoskeletal pain) would be expected in a haemophilia population.</w:t>
      </w:r>
    </w:p>
    <w:p w:rsidR="002850FE" w:rsidRDefault="002850FE" w:rsidP="00811CA8">
      <w:r>
        <w:t xml:space="preserve">Hypertension was reported in 6 subjects (5.0%). Only 2 of these subjects had a prior history of hypertension. Investigators rated severity as mild or moderate in all cases, however treatment was required in 3 of the subjects. The investigators considered that the hypertension was unrelated or unlikely to be related to </w:t>
      </w:r>
      <w:proofErr w:type="spellStart"/>
      <w:r>
        <w:t>FIXFc</w:t>
      </w:r>
      <w:proofErr w:type="spellEnd"/>
      <w:r>
        <w:t xml:space="preserve"> treatment.</w:t>
      </w:r>
    </w:p>
    <w:p w:rsidR="002850FE" w:rsidRPr="007E599C" w:rsidRDefault="002850FE" w:rsidP="00811CA8">
      <w:r>
        <w:t xml:space="preserve">Of the 12 subjects who underwent major surgery (Arm 4), 10 (83.3%) reported </w:t>
      </w:r>
      <w:proofErr w:type="gramStart"/>
      <w:r>
        <w:t>AEs.</w:t>
      </w:r>
      <w:proofErr w:type="gramEnd"/>
      <w:r>
        <w:t xml:space="preserve"> A wide variety of AEs were reported, consistent with a population of patients that had undergone major surgery.</w:t>
      </w:r>
    </w:p>
    <w:p w:rsidR="002850FE" w:rsidRDefault="002850FE" w:rsidP="00811CA8">
      <w:pPr>
        <w:pStyle w:val="Heading5"/>
      </w:pPr>
      <w:bookmarkStart w:id="190" w:name="_Toc242109079"/>
      <w:r>
        <w:t>Study SYN-FIXFc-07-001</w:t>
      </w:r>
      <w:bookmarkEnd w:id="190"/>
    </w:p>
    <w:p w:rsidR="002850FE" w:rsidRDefault="002850FE" w:rsidP="00811CA8">
      <w:r>
        <w:t xml:space="preserve">AEs experienced in the phase </w:t>
      </w:r>
      <w:proofErr w:type="gramStart"/>
      <w:r>
        <w:t>I/</w:t>
      </w:r>
      <w:proofErr w:type="spellStart"/>
      <w:r>
        <w:t>IIa</w:t>
      </w:r>
      <w:proofErr w:type="spellEnd"/>
      <w:proofErr w:type="gramEnd"/>
      <w:r>
        <w:t xml:space="preserve"> study</w:t>
      </w:r>
      <w:r w:rsidR="00C02CAE">
        <w:t>:</w:t>
      </w:r>
      <w:r>
        <w:t xml:space="preserve"> A total of 16 AEs were experienced by a total of 7 patients. Two AEs were considered moderate in severity (1 subject with abdominal adhesions and 1 subject with gastroenteritis). The remaining AEs were reported as mild in severity. The only adverse events that occurred in more than 1 subject were sinusitis (n</w:t>
      </w:r>
      <w:r w:rsidR="00673FAC">
        <w:t xml:space="preserve"> </w:t>
      </w:r>
      <w:r w:rsidR="00492986">
        <w:t>=</w:t>
      </w:r>
      <w:r w:rsidR="00673FAC">
        <w:t xml:space="preserve"> </w:t>
      </w:r>
      <w:r>
        <w:t>2) and increased TAT complex (n</w:t>
      </w:r>
      <w:r w:rsidR="00673FAC">
        <w:t xml:space="preserve"> </w:t>
      </w:r>
      <w:r w:rsidR="00492986">
        <w:t>=</w:t>
      </w:r>
      <w:r w:rsidR="00673FAC">
        <w:t xml:space="preserve"> </w:t>
      </w:r>
      <w:r>
        <w:t xml:space="preserve">2). The elevated TAT complex levels are </w:t>
      </w:r>
      <w:r w:rsidRPr="00C02CAE">
        <w:t>discussed below in section</w:t>
      </w:r>
      <w:r w:rsidR="00492986" w:rsidRPr="00C02CAE">
        <w:t xml:space="preserve"> </w:t>
      </w:r>
      <w:r w:rsidR="00C75C85" w:rsidRPr="00C02CAE">
        <w:t>8</w:t>
      </w:r>
      <w:r w:rsidR="00492986" w:rsidRPr="00C02CAE">
        <w:t>.5.5</w:t>
      </w:r>
      <w:r w:rsidRPr="00C02CAE">
        <w:t>.</w:t>
      </w:r>
    </w:p>
    <w:p w:rsidR="002850FE" w:rsidRPr="00D12012" w:rsidRDefault="002850FE" w:rsidP="00811CA8">
      <w:pPr>
        <w:pStyle w:val="Heading4"/>
      </w:pPr>
      <w:bookmarkStart w:id="191" w:name="_Ref272333567"/>
      <w:bookmarkStart w:id="192" w:name="_Toc272414665"/>
      <w:bookmarkStart w:id="193" w:name="_Toc290846303"/>
      <w:bookmarkStart w:id="194" w:name="_Toc242109080"/>
      <w:r>
        <w:t>Treatment</w:t>
      </w:r>
      <w:r w:rsidR="007226C7">
        <w:t xml:space="preserve"> </w:t>
      </w:r>
      <w:r>
        <w:t>related adverse events (adverse drug reactions)</w:t>
      </w:r>
      <w:bookmarkEnd w:id="191"/>
      <w:bookmarkEnd w:id="192"/>
      <w:bookmarkEnd w:id="193"/>
      <w:bookmarkEnd w:id="194"/>
    </w:p>
    <w:p w:rsidR="002850FE" w:rsidRDefault="002850FE" w:rsidP="00811CA8">
      <w:pPr>
        <w:pStyle w:val="Heading5"/>
      </w:pPr>
      <w:bookmarkStart w:id="195" w:name="_Toc242109081"/>
      <w:r>
        <w:t xml:space="preserve">Study </w:t>
      </w:r>
      <w:r w:rsidR="00CD7F19">
        <w:t>998HB102</w:t>
      </w:r>
      <w:bookmarkEnd w:id="195"/>
    </w:p>
    <w:p w:rsidR="002850FE" w:rsidRDefault="002850FE" w:rsidP="00811CA8">
      <w:r>
        <w:t>Treatment</w:t>
      </w:r>
      <w:r w:rsidR="00673FAC">
        <w:t xml:space="preserve"> </w:t>
      </w:r>
      <w:r>
        <w:t xml:space="preserve">related AEs occurred in </w:t>
      </w:r>
      <w:r w:rsidRPr="00673FAC">
        <w:t>8.1%</w:t>
      </w:r>
      <w:r>
        <w:t xml:space="preserve"> of subjects. Those occurring in Arms 1, 2 and 3 are shown in</w:t>
      </w:r>
      <w:r w:rsidR="00492986">
        <w:t xml:space="preserve"> Table </w:t>
      </w:r>
      <w:r w:rsidR="00C02CAE">
        <w:t>22</w:t>
      </w:r>
      <w:r>
        <w:t>. The only events that occurred in more than one subject were headache and oral paraesthesia. None of the AEs that occurred in Arm 4 wer</w:t>
      </w:r>
      <w:r w:rsidR="00F12D4E">
        <w:t>e considered treatment related.</w:t>
      </w:r>
    </w:p>
    <w:p w:rsidR="00F12D4E" w:rsidRDefault="00F12D4E" w:rsidP="00811CA8">
      <w:pPr>
        <w:pStyle w:val="TableTitle"/>
        <w:rPr>
          <w:szCs w:val="20"/>
        </w:rPr>
      </w:pPr>
      <w:bookmarkStart w:id="196" w:name="_Ref241567154"/>
      <w:bookmarkStart w:id="197" w:name="_Toc242109187"/>
      <w:r>
        <w:lastRenderedPageBreak/>
        <w:t>Table</w:t>
      </w:r>
      <w:bookmarkEnd w:id="196"/>
      <w:r w:rsidR="00C02CAE">
        <w:t xml:space="preserve"> 22</w:t>
      </w:r>
      <w:r>
        <w:rPr>
          <w:noProof/>
        </w:rPr>
        <w:t>:</w:t>
      </w:r>
      <w:r>
        <w:t xml:space="preserve"> Study </w:t>
      </w:r>
      <w:r w:rsidR="00CD7F19">
        <w:t>998HB102</w:t>
      </w:r>
      <w:r>
        <w:t xml:space="preserve"> – Treatment-related adverse events (in Arms 1, 2 and 3)</w:t>
      </w:r>
      <w:bookmarkEnd w:id="197"/>
    </w:p>
    <w:p w:rsidR="00F12D4E" w:rsidRDefault="00903CDF" w:rsidP="00811CA8">
      <w:r>
        <w:rPr>
          <w:noProof/>
          <w:lang w:eastAsia="en-AU"/>
        </w:rPr>
        <w:drawing>
          <wp:inline distT="0" distB="0" distL="0" distR="0" wp14:anchorId="44C8E8F3" wp14:editId="6A9D8273">
            <wp:extent cx="5284470" cy="3208655"/>
            <wp:effectExtent l="0" t="0" r="0" b="0"/>
            <wp:docPr id="25" name="Picture 87" descr="Study 998HB-102 – Treatment-related adverse events (in Arm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udy 998HB-102 – Treatment-related adverse events (in Arms 1, 2 and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4470" cy="3208655"/>
                    </a:xfrm>
                    <a:prstGeom prst="rect">
                      <a:avLst/>
                    </a:prstGeom>
                    <a:noFill/>
                    <a:ln>
                      <a:noFill/>
                    </a:ln>
                  </pic:spPr>
                </pic:pic>
              </a:graphicData>
            </a:graphic>
          </wp:inline>
        </w:drawing>
      </w:r>
    </w:p>
    <w:p w:rsidR="002850FE" w:rsidRDefault="002850FE" w:rsidP="00AF1AE0">
      <w:pPr>
        <w:pStyle w:val="Heading5"/>
      </w:pPr>
      <w:bookmarkStart w:id="198" w:name="_Toc242109082"/>
      <w:r>
        <w:t>Study SYN-FIXFc-07-001</w:t>
      </w:r>
      <w:bookmarkEnd w:id="198"/>
    </w:p>
    <w:p w:rsidR="002850FE" w:rsidRDefault="002850FE" w:rsidP="00AF1AE0">
      <w:r>
        <w:t xml:space="preserve">One of the 14 </w:t>
      </w:r>
      <w:proofErr w:type="gramStart"/>
      <w:r>
        <w:t>subjects</w:t>
      </w:r>
      <w:proofErr w:type="gramEnd"/>
      <w:r>
        <w:t xml:space="preserve"> experienced altered taste and headache considered related to the </w:t>
      </w:r>
      <w:proofErr w:type="spellStart"/>
      <w:r>
        <w:t>FIXFc</w:t>
      </w:r>
      <w:proofErr w:type="spellEnd"/>
      <w:r>
        <w:t xml:space="preserve"> infusion. Both were rated as mild. None of the other AEs were considered related to </w:t>
      </w:r>
      <w:proofErr w:type="spellStart"/>
      <w:r>
        <w:t>FIXFc</w:t>
      </w:r>
      <w:proofErr w:type="spellEnd"/>
      <w:r>
        <w:t>.</w:t>
      </w:r>
    </w:p>
    <w:p w:rsidR="002850FE" w:rsidRPr="00213E77" w:rsidRDefault="002850FE" w:rsidP="00AF1AE0">
      <w:pPr>
        <w:pStyle w:val="Heading4"/>
      </w:pPr>
      <w:bookmarkStart w:id="199" w:name="_Toc241374320"/>
      <w:bookmarkStart w:id="200" w:name="_Ref272333507"/>
      <w:bookmarkStart w:id="201" w:name="_Toc272414666"/>
      <w:bookmarkStart w:id="202" w:name="_Toc290846304"/>
      <w:bookmarkStart w:id="203" w:name="_Toc242109083"/>
      <w:r>
        <w:t>Deaths and other serious adverse events</w:t>
      </w:r>
      <w:bookmarkEnd w:id="199"/>
      <w:bookmarkEnd w:id="200"/>
      <w:bookmarkEnd w:id="201"/>
      <w:bookmarkEnd w:id="202"/>
      <w:bookmarkEnd w:id="203"/>
    </w:p>
    <w:p w:rsidR="002850FE" w:rsidRDefault="002850FE" w:rsidP="00AF1AE0">
      <w:pPr>
        <w:pStyle w:val="Heading5"/>
      </w:pPr>
      <w:bookmarkStart w:id="204" w:name="_Toc242109084"/>
      <w:r>
        <w:t xml:space="preserve">Study </w:t>
      </w:r>
      <w:r w:rsidR="00CD7F19">
        <w:t>998HB102</w:t>
      </w:r>
      <w:bookmarkEnd w:id="204"/>
    </w:p>
    <w:p w:rsidR="002850FE" w:rsidRDefault="002850FE" w:rsidP="00AF1AE0">
      <w:r>
        <w:t>Ther</w:t>
      </w:r>
      <w:r w:rsidR="00AF1AE0">
        <w:t>e were no deaths in this study.</w:t>
      </w:r>
    </w:p>
    <w:p w:rsidR="002850FE" w:rsidRDefault="002850FE" w:rsidP="00AF1AE0">
      <w:r>
        <w:t xml:space="preserve">Serious AEs (SAEs) occurring in Arms 1, 2 and 3. There were two SAEs of cellulitis. Otherwise there were single reports of various event terms. Only one of the SAEs was assessed as being related to </w:t>
      </w:r>
      <w:proofErr w:type="spellStart"/>
      <w:r>
        <w:t>FIXFc</w:t>
      </w:r>
      <w:proofErr w:type="spellEnd"/>
      <w:r>
        <w:t xml:space="preserve"> (a case of renal colic due to clot</w:t>
      </w:r>
      <w:r w:rsidR="00AF1AE0">
        <w:t xml:space="preserve"> in the setting of haematuria).</w:t>
      </w:r>
    </w:p>
    <w:p w:rsidR="00552300" w:rsidRDefault="00F44688" w:rsidP="00AF1AE0">
      <w:r>
        <w:t>For s</w:t>
      </w:r>
      <w:r w:rsidR="00552300">
        <w:t>erious AEs occurring in Arm 4</w:t>
      </w:r>
      <w:r w:rsidR="00AF676A">
        <w:t>:</w:t>
      </w:r>
      <w:r w:rsidR="00552300">
        <w:t xml:space="preserve"> None of these were assessed as being related to </w:t>
      </w:r>
      <w:proofErr w:type="spellStart"/>
      <w:r w:rsidR="00552300">
        <w:t>FIXFc</w:t>
      </w:r>
      <w:proofErr w:type="spellEnd"/>
      <w:r w:rsidR="00552300">
        <w:t>.</w:t>
      </w:r>
    </w:p>
    <w:p w:rsidR="002850FE" w:rsidRDefault="002850FE" w:rsidP="00AF1AE0">
      <w:pPr>
        <w:pStyle w:val="Heading5"/>
      </w:pPr>
      <w:bookmarkStart w:id="205" w:name="_Toc242109085"/>
      <w:r>
        <w:t>Study SYN-FIXFc-07-001</w:t>
      </w:r>
      <w:bookmarkEnd w:id="205"/>
    </w:p>
    <w:p w:rsidR="002850FE" w:rsidRDefault="002850FE" w:rsidP="00AF1AE0">
      <w:r>
        <w:t>There were no deaths in this study. Two SAEs were reported.</w:t>
      </w:r>
    </w:p>
    <w:p w:rsidR="002850FE" w:rsidRPr="00673FAC" w:rsidRDefault="002850FE" w:rsidP="00AF1AE0">
      <w:pPr>
        <w:pStyle w:val="ListBullet"/>
      </w:pPr>
      <w:r w:rsidRPr="00673FAC">
        <w:t>An 18 year</w:t>
      </w:r>
      <w:r w:rsidR="00673FAC">
        <w:t xml:space="preserve"> </w:t>
      </w:r>
      <w:r w:rsidRPr="00673FAC">
        <w:t xml:space="preserve">old male developed abdominal pain 1 day after infusion of 50 IU/kg. He had a past history of laparotomy and excision of an intra-abdominal mass. CT scan revealed a small bowel obstruction that settled with conservative management. The SAE was considered not related to </w:t>
      </w:r>
      <w:proofErr w:type="spellStart"/>
      <w:r w:rsidRPr="00673FAC">
        <w:t>FIXFc</w:t>
      </w:r>
      <w:proofErr w:type="spellEnd"/>
      <w:r w:rsidRPr="00673FAC">
        <w:t>.</w:t>
      </w:r>
    </w:p>
    <w:p w:rsidR="002850FE" w:rsidRPr="00673FAC" w:rsidRDefault="002850FE" w:rsidP="00EA19FD">
      <w:pPr>
        <w:pStyle w:val="ListBullet"/>
      </w:pPr>
      <w:r w:rsidRPr="00673FAC">
        <w:t>A 20</w:t>
      </w:r>
      <w:r w:rsidR="00673FAC">
        <w:t xml:space="preserve"> </w:t>
      </w:r>
      <w:r w:rsidRPr="00673FAC">
        <w:t>year</w:t>
      </w:r>
      <w:r w:rsidR="00673FAC">
        <w:t xml:space="preserve"> </w:t>
      </w:r>
      <w:r w:rsidRPr="00673FAC">
        <w:t xml:space="preserve">old male with a history of bipolar disorder was hospitalised for increasing depression two weeks after infusion </w:t>
      </w:r>
      <w:proofErr w:type="gramStart"/>
      <w:r w:rsidRPr="00673FAC">
        <w:t xml:space="preserve">of 100 </w:t>
      </w:r>
      <w:r w:rsidR="00B9570B">
        <w:t>µ</w:t>
      </w:r>
      <w:r w:rsidRPr="00673FAC">
        <w:t>g/kg</w:t>
      </w:r>
      <w:proofErr w:type="gramEnd"/>
      <w:r w:rsidRPr="00673FAC">
        <w:t xml:space="preserve">. The event was considered unrelated to </w:t>
      </w:r>
      <w:proofErr w:type="spellStart"/>
      <w:r w:rsidRPr="00673FAC">
        <w:t>FIXFc</w:t>
      </w:r>
      <w:proofErr w:type="spellEnd"/>
      <w:r w:rsidRPr="00673FAC">
        <w:t>.</w:t>
      </w:r>
    </w:p>
    <w:p w:rsidR="002850FE" w:rsidRDefault="002850FE" w:rsidP="00EA19FD">
      <w:pPr>
        <w:pStyle w:val="Heading5"/>
      </w:pPr>
      <w:bookmarkStart w:id="206" w:name="_Toc242109086"/>
      <w:r>
        <w:t xml:space="preserve">Study </w:t>
      </w:r>
      <w:r w:rsidRPr="007B67E2">
        <w:t>9HB02PED</w:t>
      </w:r>
      <w:bookmarkEnd w:id="206"/>
    </w:p>
    <w:p w:rsidR="002850FE" w:rsidRDefault="002850FE" w:rsidP="00EA19FD">
      <w:r>
        <w:t>There were no deaths or serious adverse events reported in the 4 subjects enrolled to date in the paediatric study.</w:t>
      </w:r>
    </w:p>
    <w:p w:rsidR="002850FE" w:rsidRPr="001B6463" w:rsidRDefault="002850FE" w:rsidP="00EA19FD">
      <w:pPr>
        <w:pStyle w:val="Heading5"/>
      </w:pPr>
      <w:bookmarkStart w:id="207" w:name="_Toc242109087"/>
      <w:r w:rsidRPr="001B6463">
        <w:t>Study 9HB01EXT</w:t>
      </w:r>
      <w:bookmarkEnd w:id="207"/>
    </w:p>
    <w:p w:rsidR="002850FE" w:rsidRDefault="002850FE" w:rsidP="00EA19FD">
      <w:r>
        <w:t>There were no deaths reporte</w:t>
      </w:r>
      <w:r w:rsidR="00AF676A">
        <w:t xml:space="preserve">d in the open extension study. </w:t>
      </w:r>
      <w:r>
        <w:t>A total of 4 SAEs in 4 subjects had been reported by the time of data cut</w:t>
      </w:r>
      <w:r w:rsidR="00B9570B">
        <w:t xml:space="preserve"> </w:t>
      </w:r>
      <w:r>
        <w:t xml:space="preserve">off. None of the events were considered related to </w:t>
      </w:r>
      <w:proofErr w:type="spellStart"/>
      <w:r>
        <w:t>FIXFc</w:t>
      </w:r>
      <w:proofErr w:type="spellEnd"/>
      <w:r>
        <w:t>.</w:t>
      </w:r>
    </w:p>
    <w:p w:rsidR="002850FE" w:rsidRPr="008F73B4" w:rsidRDefault="002850FE" w:rsidP="00EA19FD">
      <w:pPr>
        <w:pStyle w:val="Heading4"/>
      </w:pPr>
      <w:bookmarkStart w:id="208" w:name="_Toc241374325"/>
      <w:bookmarkStart w:id="209" w:name="_Ref272333477"/>
      <w:bookmarkStart w:id="210" w:name="_Toc272414667"/>
      <w:bookmarkStart w:id="211" w:name="_Toc290846305"/>
      <w:bookmarkStart w:id="212" w:name="_Toc242109088"/>
      <w:r>
        <w:lastRenderedPageBreak/>
        <w:t xml:space="preserve">Discontinuation due to adverse </w:t>
      </w:r>
      <w:r w:rsidRPr="00EA19FD">
        <w:t>events</w:t>
      </w:r>
      <w:bookmarkEnd w:id="208"/>
      <w:bookmarkEnd w:id="209"/>
      <w:bookmarkEnd w:id="210"/>
      <w:bookmarkEnd w:id="211"/>
      <w:bookmarkEnd w:id="212"/>
    </w:p>
    <w:p w:rsidR="002850FE" w:rsidRDefault="002850FE" w:rsidP="00EA19FD">
      <w:pPr>
        <w:pStyle w:val="Heading5"/>
      </w:pPr>
      <w:bookmarkStart w:id="213" w:name="_Toc242109089"/>
      <w:r>
        <w:t xml:space="preserve">Study </w:t>
      </w:r>
      <w:r w:rsidR="00CD7F19">
        <w:t>998HB102</w:t>
      </w:r>
      <w:bookmarkEnd w:id="213"/>
    </w:p>
    <w:p w:rsidR="002850FE" w:rsidRDefault="002850FE" w:rsidP="00EA19FD">
      <w:r>
        <w:t xml:space="preserve">Two subjects were discontinued from </w:t>
      </w:r>
      <w:proofErr w:type="spellStart"/>
      <w:r>
        <w:t>FIXFc</w:t>
      </w:r>
      <w:proofErr w:type="spellEnd"/>
      <w:r>
        <w:t xml:space="preserve"> following an AE.</w:t>
      </w:r>
    </w:p>
    <w:p w:rsidR="002850FE" w:rsidRPr="00673FAC" w:rsidRDefault="002850FE" w:rsidP="00EA19FD">
      <w:pPr>
        <w:pStyle w:val="ListBullet"/>
      </w:pPr>
      <w:r w:rsidRPr="00673FAC">
        <w:t>A 50 year</w:t>
      </w:r>
      <w:r w:rsidR="00673FAC">
        <w:t xml:space="preserve"> </w:t>
      </w:r>
      <w:r w:rsidRPr="00673FAC">
        <w:t xml:space="preserve">old male developed </w:t>
      </w:r>
      <w:proofErr w:type="gramStart"/>
      <w:r w:rsidRPr="00673FAC">
        <w:t>an infected</w:t>
      </w:r>
      <w:proofErr w:type="gramEnd"/>
      <w:r w:rsidRPr="00673FAC">
        <w:t xml:space="preserve"> </w:t>
      </w:r>
      <w:r w:rsidRPr="00EA19FD">
        <w:t>knee</w:t>
      </w:r>
      <w:r w:rsidRPr="00673FAC">
        <w:t xml:space="preserve"> replacement prosthesis while travelling overseas. He was hospitalised and underwent a surgical procedure to treat the infection. It was not possible to conduct the surgery using </w:t>
      </w:r>
      <w:proofErr w:type="spellStart"/>
      <w:r w:rsidRPr="00673FAC">
        <w:t>FIXFc</w:t>
      </w:r>
      <w:proofErr w:type="spellEnd"/>
      <w:r w:rsidRPr="00673FAC">
        <w:t>, as the drug could not be imported. The d</w:t>
      </w:r>
      <w:r w:rsidR="00EA19FD">
        <w:t>rug was therefore discontinued.</w:t>
      </w:r>
    </w:p>
    <w:p w:rsidR="002850FE" w:rsidRPr="00673FAC" w:rsidRDefault="002850FE" w:rsidP="00EA19FD">
      <w:pPr>
        <w:pStyle w:val="ListBullet"/>
      </w:pPr>
      <w:r w:rsidRPr="00673FAC">
        <w:t>A 19</w:t>
      </w:r>
      <w:r w:rsidR="00673FAC">
        <w:t xml:space="preserve"> </w:t>
      </w:r>
      <w:r w:rsidRPr="00673FAC">
        <w:t>year</w:t>
      </w:r>
      <w:r w:rsidR="00673FAC">
        <w:t xml:space="preserve"> </w:t>
      </w:r>
      <w:r w:rsidRPr="00673FAC">
        <w:t xml:space="preserve">old male sustained </w:t>
      </w:r>
      <w:r w:rsidRPr="00EA19FD">
        <w:t>renal</w:t>
      </w:r>
      <w:r w:rsidRPr="00673FAC">
        <w:t xml:space="preserve"> and head injuries following a motorbike accident while travelling in another country. He was hospitalised and underwent surgery. It was not possible to conduct the surgery using </w:t>
      </w:r>
      <w:proofErr w:type="spellStart"/>
      <w:r w:rsidRPr="00673FAC">
        <w:t>FIXFc</w:t>
      </w:r>
      <w:proofErr w:type="spellEnd"/>
      <w:r w:rsidRPr="00673FAC">
        <w:t>, as the drug could not be imported. The drug was therefo</w:t>
      </w:r>
      <w:r w:rsidR="00EA19FD">
        <w:t>re discontinued.</w:t>
      </w:r>
    </w:p>
    <w:p w:rsidR="002850FE" w:rsidRPr="00673FAC" w:rsidRDefault="002850FE" w:rsidP="00EA19FD">
      <w:r w:rsidRPr="00673FAC">
        <w:t xml:space="preserve">Neither of these AEs was considered related to </w:t>
      </w:r>
      <w:proofErr w:type="spellStart"/>
      <w:r w:rsidRPr="00673FAC">
        <w:t>FIXFc</w:t>
      </w:r>
      <w:proofErr w:type="spellEnd"/>
      <w:r w:rsidRPr="00673FAC">
        <w:t>.</w:t>
      </w:r>
    </w:p>
    <w:p w:rsidR="002850FE" w:rsidRPr="00673FAC" w:rsidRDefault="002850FE" w:rsidP="00EA19FD">
      <w:pPr>
        <w:ind w:left="720"/>
      </w:pPr>
      <w:r w:rsidRPr="00F44688">
        <w:rPr>
          <w:b/>
        </w:rPr>
        <w:t>Comment:</w:t>
      </w:r>
      <w:r w:rsidR="00673FAC" w:rsidRPr="00673FAC">
        <w:t xml:space="preserve"> </w:t>
      </w:r>
      <w:r w:rsidRPr="00673FAC">
        <w:t xml:space="preserve">Neither of these subjects was truly discontinued due to an AE. In both cases discontinuation was due to inability to access </w:t>
      </w:r>
      <w:proofErr w:type="spellStart"/>
      <w:r w:rsidRPr="00673FAC">
        <w:t>FIXFc</w:t>
      </w:r>
      <w:proofErr w:type="spellEnd"/>
      <w:r w:rsidRPr="00673FAC">
        <w:t xml:space="preserve"> while overseas.</w:t>
      </w:r>
    </w:p>
    <w:p w:rsidR="002850FE" w:rsidRDefault="002850FE" w:rsidP="00EA19FD">
      <w:pPr>
        <w:pStyle w:val="Heading5"/>
      </w:pPr>
      <w:bookmarkStart w:id="214" w:name="_Toc242109090"/>
      <w:r>
        <w:t>Study SYN-FIXFc-07-001</w:t>
      </w:r>
      <w:bookmarkEnd w:id="214"/>
    </w:p>
    <w:p w:rsidR="002850FE" w:rsidRDefault="002850FE" w:rsidP="00EA19FD">
      <w:r>
        <w:t>No patients were discontinued due to AEs in this study.</w:t>
      </w:r>
    </w:p>
    <w:p w:rsidR="002850FE" w:rsidRDefault="002850FE" w:rsidP="00EA19FD">
      <w:pPr>
        <w:pStyle w:val="Heading4"/>
      </w:pPr>
      <w:bookmarkStart w:id="215" w:name="_Toc242109091"/>
      <w:r>
        <w:t xml:space="preserve">Adverse events of </w:t>
      </w:r>
      <w:r w:rsidRPr="00EA19FD">
        <w:t>special</w:t>
      </w:r>
      <w:r>
        <w:t xml:space="preserve"> interest</w:t>
      </w:r>
      <w:bookmarkEnd w:id="215"/>
    </w:p>
    <w:p w:rsidR="002850FE" w:rsidRDefault="002850FE" w:rsidP="00EA19FD">
      <w:r w:rsidRPr="00CD0A2A">
        <w:t>Three adverse events of special interest were inhib</w:t>
      </w:r>
      <w:r w:rsidR="00673FAC" w:rsidRPr="00CD0A2A">
        <w:t>itor development (discussed in S</w:t>
      </w:r>
      <w:r w:rsidRPr="00CD0A2A">
        <w:t xml:space="preserve">ection </w:t>
      </w:r>
      <w:r w:rsidR="00382343" w:rsidRPr="00CD0A2A">
        <w:t>7.5.7</w:t>
      </w:r>
      <w:r w:rsidRPr="00CD0A2A">
        <w:t>), allergic reactions and thrombotic adverse events.</w:t>
      </w:r>
    </w:p>
    <w:p w:rsidR="002850FE" w:rsidRDefault="002850FE" w:rsidP="00EA19FD">
      <w:r>
        <w:t xml:space="preserve">There were no AEs suggestive of </w:t>
      </w:r>
      <w:r w:rsidR="001361AE">
        <w:t xml:space="preserve">serious </w:t>
      </w:r>
      <w:r>
        <w:t>allergic reactions or thrombotic adverse events in any of the four studies.</w:t>
      </w:r>
    </w:p>
    <w:p w:rsidR="002850FE" w:rsidRDefault="002850FE" w:rsidP="00EA19FD">
      <w:pPr>
        <w:pStyle w:val="Heading3"/>
      </w:pPr>
      <w:bookmarkStart w:id="216" w:name="_Toc241374321"/>
      <w:bookmarkStart w:id="217" w:name="_Ref271044780"/>
      <w:bookmarkStart w:id="218" w:name="_Ref271196640"/>
      <w:bookmarkStart w:id="219" w:name="_Ref272333085"/>
      <w:bookmarkStart w:id="220" w:name="_Toc272414668"/>
      <w:bookmarkStart w:id="221" w:name="_Toc290846306"/>
      <w:bookmarkStart w:id="222" w:name="_Toc242109092"/>
      <w:bookmarkStart w:id="223" w:name="_Toc404074092"/>
      <w:r>
        <w:t>Laboratory tests</w:t>
      </w:r>
      <w:bookmarkEnd w:id="216"/>
      <w:bookmarkEnd w:id="217"/>
      <w:bookmarkEnd w:id="218"/>
      <w:bookmarkEnd w:id="219"/>
      <w:bookmarkEnd w:id="220"/>
      <w:bookmarkEnd w:id="221"/>
      <w:bookmarkEnd w:id="222"/>
      <w:bookmarkEnd w:id="223"/>
    </w:p>
    <w:p w:rsidR="002850FE" w:rsidRDefault="002850FE" w:rsidP="00EA19FD">
      <w:pPr>
        <w:pStyle w:val="Heading4"/>
      </w:pPr>
      <w:bookmarkStart w:id="224" w:name="_Toc272414669"/>
      <w:bookmarkStart w:id="225" w:name="_Toc290846307"/>
      <w:bookmarkStart w:id="226" w:name="_Ref241652973"/>
      <w:bookmarkStart w:id="227" w:name="_Ref241653005"/>
      <w:bookmarkStart w:id="228" w:name="_Toc242109093"/>
      <w:r>
        <w:t>Liver function</w:t>
      </w:r>
      <w:bookmarkEnd w:id="224"/>
      <w:bookmarkEnd w:id="225"/>
      <w:bookmarkEnd w:id="226"/>
      <w:bookmarkEnd w:id="227"/>
      <w:bookmarkEnd w:id="228"/>
    </w:p>
    <w:p w:rsidR="002850FE" w:rsidRPr="00243A9D" w:rsidRDefault="002850FE" w:rsidP="00EA19FD">
      <w:pPr>
        <w:pStyle w:val="Heading5"/>
      </w:pPr>
      <w:bookmarkStart w:id="229" w:name="_Toc242109094"/>
      <w:r w:rsidRPr="00243A9D">
        <w:t xml:space="preserve">Study </w:t>
      </w:r>
      <w:r w:rsidR="00CD7F19">
        <w:t>998HB102</w:t>
      </w:r>
      <w:bookmarkEnd w:id="229"/>
    </w:p>
    <w:p w:rsidR="002850FE" w:rsidRPr="00AF676A" w:rsidRDefault="00F44688" w:rsidP="00EA19FD">
      <w:r w:rsidRPr="00AF676A">
        <w:t>T</w:t>
      </w:r>
      <w:r w:rsidR="002850FE" w:rsidRPr="00AF676A">
        <w:t>here were six subjects who experienced clinically significant elevations</w:t>
      </w:r>
      <w:r w:rsidR="00243A9D" w:rsidRPr="00AF676A">
        <w:t xml:space="preserve"> of LFTs (transaminases </w:t>
      </w:r>
      <w:r w:rsidR="00382343" w:rsidRPr="00AF676A">
        <w:t>&gt;</w:t>
      </w:r>
      <w:r w:rsidR="002850FE" w:rsidRPr="00AF676A">
        <w:t xml:space="preserve"> 3</w:t>
      </w:r>
      <w:r w:rsidR="00243A9D" w:rsidRPr="00AF676A">
        <w:t xml:space="preserve"> times</w:t>
      </w:r>
      <w:r w:rsidR="002850FE" w:rsidRPr="00AF676A">
        <w:t xml:space="preserve"> </w:t>
      </w:r>
      <w:r w:rsidR="00243A9D" w:rsidRPr="00AF676A">
        <w:t>upper limit of normal</w:t>
      </w:r>
      <w:r w:rsidR="002850FE" w:rsidRPr="00AF676A">
        <w:t xml:space="preserve"> or bilirubin </w:t>
      </w:r>
      <w:r w:rsidR="00382343" w:rsidRPr="00AF676A">
        <w:t>≥</w:t>
      </w:r>
      <w:r w:rsidR="002850FE" w:rsidRPr="00AF676A">
        <w:t xml:space="preserve"> 34.2 </w:t>
      </w:r>
      <w:r w:rsidR="008A04BD" w:rsidRPr="00AF676A">
        <w:t>µ</w:t>
      </w:r>
      <w:proofErr w:type="spellStart"/>
      <w:r w:rsidR="002850FE" w:rsidRPr="00AF676A">
        <w:t>mol</w:t>
      </w:r>
      <w:proofErr w:type="spellEnd"/>
      <w:r w:rsidR="002850FE" w:rsidRPr="00AF676A">
        <w:t>/L). The individual patient data on these six patients have been reviewed. Four of the six patients had hepatitis C infection at baseline (one of whom also had hepatitis B infection). All these four subjects had abnormal transaminases at screening and/or baseline. None had significant elevations of bilirubin during the study.</w:t>
      </w:r>
    </w:p>
    <w:p w:rsidR="002850FE" w:rsidRPr="00AF676A" w:rsidRDefault="002850FE" w:rsidP="00EA19FD">
      <w:r w:rsidRPr="00AF676A">
        <w:t xml:space="preserve">One of the other 2 subjects also had abnormal transaminases at screening and/or baseline and developed a clinically significant elevation of AST at </w:t>
      </w:r>
      <w:r w:rsidR="00382343" w:rsidRPr="00AF676A">
        <w:t>W</w:t>
      </w:r>
      <w:r w:rsidRPr="00AF676A">
        <w:t xml:space="preserve">eek 26, which returned to normal at </w:t>
      </w:r>
      <w:r w:rsidR="00382343" w:rsidRPr="00AF676A">
        <w:t xml:space="preserve">Week </w:t>
      </w:r>
      <w:r w:rsidRPr="00AF676A">
        <w:t xml:space="preserve">52. He had no significant elevations of bilirubin. The other subject had minor elevation of bilirubin at screening and baseline and a clinically significant reading </w:t>
      </w:r>
      <w:proofErr w:type="gramStart"/>
      <w:r w:rsidRPr="00AF676A">
        <w:t xml:space="preserve">(44 </w:t>
      </w:r>
      <w:r w:rsidR="008A04BD" w:rsidRPr="00AF676A">
        <w:t>µ</w:t>
      </w:r>
      <w:proofErr w:type="spellStart"/>
      <w:r w:rsidRPr="00AF676A">
        <w:t>mol</w:t>
      </w:r>
      <w:proofErr w:type="spellEnd"/>
      <w:r w:rsidRPr="00AF676A">
        <w:t>/L)</w:t>
      </w:r>
      <w:proofErr w:type="gramEnd"/>
      <w:r w:rsidRPr="00AF676A">
        <w:t xml:space="preserve"> at </w:t>
      </w:r>
      <w:r w:rsidR="00382343" w:rsidRPr="00AF676A">
        <w:t xml:space="preserve">Week </w:t>
      </w:r>
      <w:r w:rsidRPr="00AF676A">
        <w:t>52. He had no abnormalities of AST or ALT at any stage.</w:t>
      </w:r>
    </w:p>
    <w:p w:rsidR="002850FE" w:rsidRPr="00382343" w:rsidRDefault="002850FE" w:rsidP="00EA19FD">
      <w:pPr>
        <w:ind w:left="720"/>
      </w:pPr>
      <w:r w:rsidRPr="00F44688">
        <w:rPr>
          <w:b/>
        </w:rPr>
        <w:t>Comment:</w:t>
      </w:r>
      <w:r w:rsidR="008A04BD" w:rsidRPr="00382343">
        <w:t xml:space="preserve"> </w:t>
      </w:r>
      <w:r w:rsidRPr="00382343">
        <w:t>The pattern of elevated LFTs observed in this st</w:t>
      </w:r>
      <w:r w:rsidR="008A04BD" w:rsidRPr="00382343">
        <w:t xml:space="preserve">udy is not consistent with drug </w:t>
      </w:r>
      <w:r w:rsidRPr="00382343">
        <w:t>induced hepatotoxicity. A large proportion of patients enrolled in the study (56.9%) were hepatitis C positive at baseline.</w:t>
      </w:r>
    </w:p>
    <w:p w:rsidR="002850FE" w:rsidRDefault="002850FE" w:rsidP="00EA19FD">
      <w:pPr>
        <w:pStyle w:val="Heading5"/>
      </w:pPr>
      <w:bookmarkStart w:id="230" w:name="_Toc242109095"/>
      <w:r>
        <w:t>Study SYN-FIXFc-07-001</w:t>
      </w:r>
      <w:bookmarkEnd w:id="230"/>
    </w:p>
    <w:p w:rsidR="002850FE" w:rsidRDefault="002850FE" w:rsidP="00EA19FD">
      <w:r>
        <w:t>No clinically significant changes from baseline were recorded.</w:t>
      </w:r>
    </w:p>
    <w:p w:rsidR="002850FE" w:rsidRDefault="002850FE" w:rsidP="00EA19FD">
      <w:pPr>
        <w:pStyle w:val="Heading4"/>
      </w:pPr>
      <w:bookmarkStart w:id="231" w:name="_Toc272414670"/>
      <w:bookmarkStart w:id="232" w:name="_Toc290846308"/>
      <w:bookmarkStart w:id="233" w:name="_Toc242109096"/>
      <w:r>
        <w:lastRenderedPageBreak/>
        <w:t>Kidney function</w:t>
      </w:r>
      <w:bookmarkEnd w:id="231"/>
      <w:bookmarkEnd w:id="232"/>
      <w:bookmarkEnd w:id="233"/>
    </w:p>
    <w:p w:rsidR="002850FE" w:rsidRDefault="002850FE" w:rsidP="00EA19FD">
      <w:pPr>
        <w:pStyle w:val="Heading5"/>
      </w:pPr>
      <w:bookmarkStart w:id="234" w:name="_Toc242109097"/>
      <w:r>
        <w:t xml:space="preserve">Study </w:t>
      </w:r>
      <w:r w:rsidR="00CD7F19" w:rsidRPr="00EA19FD">
        <w:t>998HB102</w:t>
      </w:r>
      <w:bookmarkEnd w:id="234"/>
    </w:p>
    <w:p w:rsidR="002850FE" w:rsidRPr="00AF676A" w:rsidRDefault="00F44688" w:rsidP="00EA19FD">
      <w:r w:rsidRPr="00AF676A">
        <w:t xml:space="preserve">For </w:t>
      </w:r>
      <w:r w:rsidR="002850FE" w:rsidRPr="00AF676A">
        <w:t>incidence of clinically significant elevations in urea and creatinine</w:t>
      </w:r>
      <w:r w:rsidRPr="00AF676A">
        <w:t xml:space="preserve">: </w:t>
      </w:r>
      <w:r w:rsidR="002850FE" w:rsidRPr="00AF676A">
        <w:t>One subject (a 46</w:t>
      </w:r>
      <w:r w:rsidR="000A2214" w:rsidRPr="00AF676A">
        <w:t xml:space="preserve"> </w:t>
      </w:r>
      <w:r w:rsidR="002850FE" w:rsidRPr="00AF676A">
        <w:t xml:space="preserve">year old white male) developed clinically significant elevations of creatinine and urea. His urea was elevated at screening </w:t>
      </w:r>
      <w:proofErr w:type="gramStart"/>
      <w:r w:rsidR="002850FE" w:rsidRPr="00AF676A">
        <w:t xml:space="preserve">(10.7 </w:t>
      </w:r>
      <w:proofErr w:type="spellStart"/>
      <w:r w:rsidR="002850FE" w:rsidRPr="00AF676A">
        <w:t>mmol</w:t>
      </w:r>
      <w:proofErr w:type="spellEnd"/>
      <w:r w:rsidR="002850FE" w:rsidRPr="00AF676A">
        <w:t>/L)</w:t>
      </w:r>
      <w:proofErr w:type="gramEnd"/>
      <w:r w:rsidR="002850FE" w:rsidRPr="00AF676A">
        <w:t xml:space="preserve">, normal at baseline and elevated at </w:t>
      </w:r>
      <w:r w:rsidR="000A2214" w:rsidRPr="00AF676A">
        <w:t xml:space="preserve">Week </w:t>
      </w:r>
      <w:r w:rsidR="002850FE" w:rsidRPr="00AF676A">
        <w:t xml:space="preserve">26 (15.7) and </w:t>
      </w:r>
      <w:r w:rsidR="000A2214" w:rsidRPr="00AF676A">
        <w:t xml:space="preserve">Week </w:t>
      </w:r>
      <w:r w:rsidR="002850FE" w:rsidRPr="00AF676A">
        <w:t xml:space="preserve">52 (16.1). His creatinine was </w:t>
      </w:r>
      <w:proofErr w:type="gramStart"/>
      <w:r w:rsidR="002850FE" w:rsidRPr="00AF676A">
        <w:t>borderline</w:t>
      </w:r>
      <w:proofErr w:type="gramEnd"/>
      <w:r w:rsidR="002850FE" w:rsidRPr="00AF676A">
        <w:t xml:space="preserve"> at screening (118 </w:t>
      </w:r>
      <w:r w:rsidR="000A2214" w:rsidRPr="00AF676A">
        <w:t>µ</w:t>
      </w:r>
      <w:proofErr w:type="spellStart"/>
      <w:r w:rsidR="002850FE" w:rsidRPr="00AF676A">
        <w:t>mol</w:t>
      </w:r>
      <w:proofErr w:type="spellEnd"/>
      <w:r w:rsidR="002850FE" w:rsidRPr="00AF676A">
        <w:t xml:space="preserve">/L), normal at baseline and elevated at </w:t>
      </w:r>
      <w:r w:rsidR="000A2214" w:rsidRPr="00AF676A">
        <w:t xml:space="preserve">Week </w:t>
      </w:r>
      <w:r w:rsidR="002850FE" w:rsidRPr="00AF676A">
        <w:t>26 (255) and week 52 (158). The subject had a number of medical conditions at baseline</w:t>
      </w:r>
      <w:r w:rsidR="000A2214" w:rsidRPr="00AF676A">
        <w:t>:</w:t>
      </w:r>
      <w:r w:rsidR="002850FE" w:rsidRPr="00AF676A">
        <w:t xml:space="preserve"> morbid obesity (187 </w:t>
      </w:r>
      <w:proofErr w:type="spellStart"/>
      <w:r w:rsidR="002850FE" w:rsidRPr="00AF676A">
        <w:t>kgs</w:t>
      </w:r>
      <w:proofErr w:type="spellEnd"/>
      <w:r w:rsidR="002850FE" w:rsidRPr="00AF676A">
        <w:t xml:space="preserve">), type II diabetes, hypertension, high </w:t>
      </w:r>
      <w:r w:rsidR="00EA19FD">
        <w:t>cholesterol and bipedal oedema.</w:t>
      </w:r>
    </w:p>
    <w:p w:rsidR="002850FE" w:rsidRPr="00382343" w:rsidRDefault="000A2214" w:rsidP="00EA19FD">
      <w:pPr>
        <w:ind w:left="720"/>
      </w:pPr>
      <w:r w:rsidRPr="00F44688">
        <w:rPr>
          <w:b/>
        </w:rPr>
        <w:t>Comment:</w:t>
      </w:r>
      <w:r w:rsidRPr="00382343">
        <w:t xml:space="preserve"> </w:t>
      </w:r>
      <w:r w:rsidR="002850FE" w:rsidRPr="00382343">
        <w:t xml:space="preserve">The development of renal impairment in this subject does not appear to have been reported as an adverse event and the study report does not comment on the case. The sponsor should be asked if any further information exists on this subject to exclude a nephrotoxic effect of </w:t>
      </w:r>
      <w:proofErr w:type="spellStart"/>
      <w:r w:rsidR="002850FE" w:rsidRPr="00382343">
        <w:t>FIXFc</w:t>
      </w:r>
      <w:proofErr w:type="spellEnd"/>
      <w:r w:rsidR="00CD7F19">
        <w:rPr>
          <w:rStyle w:val="FootnoteReference"/>
        </w:rPr>
        <w:footnoteReference w:id="5"/>
      </w:r>
      <w:r w:rsidR="00EA19FD">
        <w:t>.</w:t>
      </w:r>
    </w:p>
    <w:p w:rsidR="002850FE" w:rsidRDefault="002850FE" w:rsidP="00EA19FD">
      <w:pPr>
        <w:pStyle w:val="Heading5"/>
      </w:pPr>
      <w:bookmarkStart w:id="235" w:name="_Toc242109098"/>
      <w:r>
        <w:t>Study SYN-FIXFc-07-</w:t>
      </w:r>
      <w:r w:rsidRPr="00EA19FD">
        <w:t>001</w:t>
      </w:r>
      <w:bookmarkEnd w:id="235"/>
    </w:p>
    <w:p w:rsidR="002850FE" w:rsidRDefault="002850FE" w:rsidP="00EA19FD">
      <w:r>
        <w:t>No clinically significant changes from baseline were recorded for urea or creatinine.</w:t>
      </w:r>
    </w:p>
    <w:p w:rsidR="002850FE" w:rsidRDefault="002850FE" w:rsidP="00EA19FD">
      <w:pPr>
        <w:pStyle w:val="Heading4"/>
      </w:pPr>
      <w:bookmarkStart w:id="236" w:name="_Toc272414671"/>
      <w:bookmarkStart w:id="237" w:name="_Toc290846309"/>
      <w:bookmarkStart w:id="238" w:name="_Toc242109099"/>
      <w:r>
        <w:t>Other clinical chemistry</w:t>
      </w:r>
      <w:bookmarkEnd w:id="236"/>
      <w:bookmarkEnd w:id="237"/>
      <w:bookmarkEnd w:id="238"/>
    </w:p>
    <w:p w:rsidR="002850FE" w:rsidRDefault="002850FE" w:rsidP="00EA19FD">
      <w:pPr>
        <w:pStyle w:val="Heading5"/>
      </w:pPr>
      <w:bookmarkStart w:id="239" w:name="_Toc242109100"/>
      <w:r>
        <w:t xml:space="preserve">Study </w:t>
      </w:r>
      <w:r w:rsidR="00CD7F19">
        <w:t>998HB102</w:t>
      </w:r>
      <w:bookmarkEnd w:id="239"/>
    </w:p>
    <w:p w:rsidR="002850FE" w:rsidRPr="00AF676A" w:rsidRDefault="00F44688" w:rsidP="00EA19FD">
      <w:r w:rsidRPr="00AF676A">
        <w:t xml:space="preserve">For </w:t>
      </w:r>
      <w:r w:rsidR="002850FE" w:rsidRPr="00AF676A">
        <w:t>incidence of clinically significant elevations in other biochemistry parameters</w:t>
      </w:r>
      <w:r w:rsidRPr="00AF676A">
        <w:t>:</w:t>
      </w:r>
      <w:r w:rsidR="002850FE" w:rsidRPr="00AF676A">
        <w:t xml:space="preserve"> Clinically significant elevations in glucose (</w:t>
      </w:r>
      <w:r w:rsidR="00C65C08" w:rsidRPr="00AF676A">
        <w:t>&gt;</w:t>
      </w:r>
      <w:r w:rsidR="002850FE" w:rsidRPr="00AF676A">
        <w:t xml:space="preserve"> 9.71 </w:t>
      </w:r>
      <w:proofErr w:type="spellStart"/>
      <w:r w:rsidR="002850FE" w:rsidRPr="00AF676A">
        <w:t>mmol</w:t>
      </w:r>
      <w:proofErr w:type="spellEnd"/>
      <w:r w:rsidR="002850FE" w:rsidRPr="00AF676A">
        <w:t>/L) occurred in five patients. The sponsor argues that only random blood glucose levels were measured and these do not allow for adequate assessment and interpretation of results. Clinically significant abnormalities in other biochemistry parameters were infrequent.</w:t>
      </w:r>
    </w:p>
    <w:p w:rsidR="002850FE" w:rsidRDefault="002850FE" w:rsidP="00EA19FD">
      <w:pPr>
        <w:pStyle w:val="Heading5"/>
      </w:pPr>
      <w:bookmarkStart w:id="240" w:name="_Toc242109101"/>
      <w:r>
        <w:t>Study SYN-FIXFc-07-001</w:t>
      </w:r>
      <w:bookmarkEnd w:id="240"/>
    </w:p>
    <w:p w:rsidR="002850FE" w:rsidRDefault="002850FE" w:rsidP="00EA19FD">
      <w:r>
        <w:t>No clinically significant changes from baseline were recorded on other biochemistry tests.</w:t>
      </w:r>
    </w:p>
    <w:p w:rsidR="002850FE" w:rsidRDefault="002850FE" w:rsidP="00EA19FD">
      <w:pPr>
        <w:pStyle w:val="Heading4"/>
      </w:pPr>
      <w:bookmarkStart w:id="241" w:name="_Toc272414672"/>
      <w:bookmarkStart w:id="242" w:name="_Toc290846310"/>
      <w:bookmarkStart w:id="243" w:name="_Ref241653146"/>
      <w:bookmarkStart w:id="244" w:name="_Toc242109102"/>
      <w:r>
        <w:t>Haematology</w:t>
      </w:r>
      <w:bookmarkEnd w:id="241"/>
      <w:bookmarkEnd w:id="242"/>
      <w:bookmarkEnd w:id="243"/>
      <w:bookmarkEnd w:id="244"/>
    </w:p>
    <w:p w:rsidR="002850FE" w:rsidRDefault="002850FE" w:rsidP="00EA19FD">
      <w:pPr>
        <w:pStyle w:val="Heading5"/>
      </w:pPr>
      <w:bookmarkStart w:id="245" w:name="_Toc242109103"/>
      <w:r>
        <w:t xml:space="preserve">Study </w:t>
      </w:r>
      <w:r w:rsidR="00CD7F19">
        <w:t>998HB102</w:t>
      </w:r>
      <w:bookmarkEnd w:id="245"/>
    </w:p>
    <w:p w:rsidR="002850FE" w:rsidRPr="00AF676A" w:rsidRDefault="002850FE" w:rsidP="00EA19FD">
      <w:r w:rsidRPr="00AF676A">
        <w:t>Clinically significant changes in haematology parameters</w:t>
      </w:r>
      <w:r w:rsidR="009B4E95" w:rsidRPr="00AF676A">
        <w:t>:</w:t>
      </w:r>
      <w:r w:rsidRPr="00AF676A">
        <w:t xml:space="preserve"> Clinically significant changes in white cells (total WBC, neutrophils or lymphocytes) occurred in 8 subjects. In these subjects abnormalities were often present at baseline or were abnormal at one time point only.</w:t>
      </w:r>
      <w:r w:rsidR="00383DD0" w:rsidRPr="00AF676A">
        <w:t xml:space="preserve"> Six</w:t>
      </w:r>
      <w:r w:rsidRPr="00AF676A">
        <w:t xml:space="preserve"> had pre-existing medical conditions (such as HIV, hepatitis, or advanced hepatic disease) and/or were on concomitant medications (</w:t>
      </w:r>
      <w:r w:rsidR="00C65C08" w:rsidRPr="00AF676A">
        <w:t>for example</w:t>
      </w:r>
      <w:r w:rsidRPr="00AF676A">
        <w:t xml:space="preserve">, </w:t>
      </w:r>
      <w:proofErr w:type="spellStart"/>
      <w:r w:rsidRPr="00AF676A">
        <w:t>sulfamethoxazole</w:t>
      </w:r>
      <w:proofErr w:type="spellEnd"/>
      <w:r w:rsidRPr="00AF676A">
        <w:t xml:space="preserve"> and trimethoprim, lamivudine, and famotidine) tha</w:t>
      </w:r>
      <w:r w:rsidR="00C65C08" w:rsidRPr="00AF676A">
        <w:t>t may have affected WBC counts.</w:t>
      </w:r>
    </w:p>
    <w:p w:rsidR="002850FE" w:rsidRPr="00AF676A" w:rsidRDefault="002850FE" w:rsidP="00EA19FD">
      <w:r w:rsidRPr="00AF676A">
        <w:t>One subject developed a clinically significant low platelet count (75</w:t>
      </w:r>
      <w:r w:rsidR="00581D85" w:rsidRPr="00AF676A">
        <w:t xml:space="preserve"> x</w:t>
      </w:r>
      <w:r w:rsidRPr="00AF676A">
        <w:t xml:space="preserve"> 10</w:t>
      </w:r>
      <w:r w:rsidRPr="00AF676A">
        <w:rPr>
          <w:vertAlign w:val="superscript"/>
        </w:rPr>
        <w:t>9</w:t>
      </w:r>
      <w:r w:rsidRPr="00AF676A">
        <w:t xml:space="preserve">/L) at </w:t>
      </w:r>
      <w:r w:rsidR="00383DD0" w:rsidRPr="00AF676A">
        <w:t xml:space="preserve">Week </w:t>
      </w:r>
      <w:r w:rsidRPr="00AF676A">
        <w:t xml:space="preserve">26. He had low counts at screening and baseline (105 and 110) and the count recovered to 140 at </w:t>
      </w:r>
      <w:r w:rsidR="00383DD0" w:rsidRPr="00AF676A">
        <w:t xml:space="preserve">Week </w:t>
      </w:r>
      <w:r w:rsidRPr="00AF676A">
        <w:t>52.</w:t>
      </w:r>
    </w:p>
    <w:p w:rsidR="002850FE" w:rsidRPr="00581D85" w:rsidRDefault="002850FE" w:rsidP="00EA19FD">
      <w:pPr>
        <w:ind w:left="720"/>
      </w:pPr>
      <w:r w:rsidRPr="009B4E95">
        <w:rPr>
          <w:b/>
        </w:rPr>
        <w:t>Comment:</w:t>
      </w:r>
      <w:r w:rsidRPr="00581D85">
        <w:t xml:space="preserve"> The pattern of reduced white cells and platelets in these subjects did not suggest a </w:t>
      </w:r>
      <w:proofErr w:type="spellStart"/>
      <w:r w:rsidRPr="00581D85">
        <w:t>myelotoxic</w:t>
      </w:r>
      <w:proofErr w:type="spellEnd"/>
      <w:r w:rsidRPr="00581D85">
        <w:t xml:space="preserve"> effect of </w:t>
      </w:r>
      <w:proofErr w:type="spellStart"/>
      <w:r w:rsidRPr="00581D85">
        <w:t>FIXFc</w:t>
      </w:r>
      <w:proofErr w:type="spellEnd"/>
      <w:r w:rsidRPr="00581D85">
        <w:t xml:space="preserve">. There were no cases of </w:t>
      </w:r>
      <w:proofErr w:type="spellStart"/>
      <w:r w:rsidRPr="00581D85">
        <w:t>agranulocytosis</w:t>
      </w:r>
      <w:proofErr w:type="spellEnd"/>
      <w:r w:rsidRPr="00581D85">
        <w:t>.</w:t>
      </w:r>
    </w:p>
    <w:p w:rsidR="002850FE" w:rsidRDefault="002850FE" w:rsidP="00EA19FD">
      <w:pPr>
        <w:pStyle w:val="Heading5"/>
      </w:pPr>
      <w:bookmarkStart w:id="246" w:name="_Toc242109104"/>
      <w:r>
        <w:t>Study SYN-FIXFc-07-001</w:t>
      </w:r>
      <w:bookmarkEnd w:id="246"/>
    </w:p>
    <w:p w:rsidR="002850FE" w:rsidRDefault="002850FE" w:rsidP="00EA19FD">
      <w:r>
        <w:t>No clinically significant changes from baseline were recorded on haematology testing.</w:t>
      </w:r>
    </w:p>
    <w:p w:rsidR="002850FE" w:rsidRPr="002F21AE" w:rsidRDefault="002850FE" w:rsidP="00BE621F">
      <w:pPr>
        <w:pStyle w:val="Heading4"/>
      </w:pPr>
      <w:bookmarkStart w:id="247" w:name="_Ref240348568"/>
      <w:bookmarkStart w:id="248" w:name="_Toc242109105"/>
      <w:r w:rsidRPr="002F21AE">
        <w:lastRenderedPageBreak/>
        <w:t>Coagulation parameters</w:t>
      </w:r>
      <w:bookmarkEnd w:id="247"/>
      <w:bookmarkEnd w:id="248"/>
    </w:p>
    <w:p w:rsidR="002850FE" w:rsidRDefault="002850FE" w:rsidP="00BE621F">
      <w:pPr>
        <w:pStyle w:val="Heading5"/>
      </w:pPr>
      <w:bookmarkStart w:id="249" w:name="_Toc242109106"/>
      <w:r>
        <w:t xml:space="preserve">Study </w:t>
      </w:r>
      <w:r w:rsidR="00CD7F19">
        <w:t>998HB102</w:t>
      </w:r>
      <w:bookmarkEnd w:id="249"/>
    </w:p>
    <w:p w:rsidR="002850FE" w:rsidRPr="009B4E95" w:rsidRDefault="002850FE" w:rsidP="00BE621F">
      <w:r w:rsidRPr="00AF676A">
        <w:t xml:space="preserve">Fibrinogen fragments (F1+F2), TAT complex and d-dimer were measured in subjects in the </w:t>
      </w:r>
      <w:r w:rsidR="00581D85" w:rsidRPr="00AF676A">
        <w:t>Arm 1</w:t>
      </w:r>
      <w:r w:rsidR="00AF676A" w:rsidRPr="00AF676A">
        <w:t xml:space="preserve"> </w:t>
      </w:r>
      <w:r w:rsidRPr="00AF676A">
        <w:t xml:space="preserve">sequential PK subgroup, before and after </w:t>
      </w:r>
      <w:proofErr w:type="spellStart"/>
      <w:r w:rsidRPr="00AF676A">
        <w:t>BeneFIX</w:t>
      </w:r>
      <w:proofErr w:type="spellEnd"/>
      <w:r w:rsidRPr="00AF676A">
        <w:t xml:space="preserve"> and before and after </w:t>
      </w:r>
      <w:proofErr w:type="spellStart"/>
      <w:r w:rsidRPr="00AF676A">
        <w:t>FIXFc</w:t>
      </w:r>
      <w:proofErr w:type="spellEnd"/>
      <w:r w:rsidRPr="00AF676A">
        <w:t xml:space="preserve"> at baseline and </w:t>
      </w:r>
      <w:r w:rsidR="00383DD0" w:rsidRPr="00AF676A">
        <w:t xml:space="preserve">Week </w:t>
      </w:r>
      <w:r w:rsidRPr="00AF676A">
        <w:t xml:space="preserve">26. Prothrombin time was measured before and after </w:t>
      </w:r>
      <w:proofErr w:type="spellStart"/>
      <w:r w:rsidRPr="00AF676A">
        <w:t>BeneFIX</w:t>
      </w:r>
      <w:proofErr w:type="spellEnd"/>
      <w:r w:rsidRPr="00AF676A">
        <w:t xml:space="preserve"> and before and after </w:t>
      </w:r>
      <w:proofErr w:type="spellStart"/>
      <w:r w:rsidRPr="00AF676A">
        <w:t>FIXFc</w:t>
      </w:r>
      <w:proofErr w:type="spellEnd"/>
      <w:r w:rsidRPr="00AF676A">
        <w:t xml:space="preserve"> </w:t>
      </w:r>
      <w:r w:rsidRPr="009B4E95">
        <w:t>at baseline. Three subjects had elevations of d-dimer, but these were also elevated prior to dosing. No other trends were apparent.</w:t>
      </w:r>
    </w:p>
    <w:p w:rsidR="002850FE" w:rsidRPr="002F21AE" w:rsidRDefault="002850FE" w:rsidP="00BE621F">
      <w:pPr>
        <w:pStyle w:val="Heading5"/>
      </w:pPr>
      <w:bookmarkStart w:id="250" w:name="_Toc242109107"/>
      <w:r w:rsidRPr="002F21AE">
        <w:t>Study SYN-FIXFc-07-001</w:t>
      </w:r>
      <w:bookmarkEnd w:id="250"/>
    </w:p>
    <w:p w:rsidR="002850FE" w:rsidRDefault="002850FE" w:rsidP="00BE621F">
      <w:r>
        <w:t>No clinically significant changes from baseline were re</w:t>
      </w:r>
      <w:r w:rsidR="00BE621F">
        <w:t xml:space="preserve">corded for PT, </w:t>
      </w:r>
      <w:proofErr w:type="spellStart"/>
      <w:r w:rsidR="00BE621F">
        <w:t>aPPT</w:t>
      </w:r>
      <w:proofErr w:type="spellEnd"/>
      <w:r w:rsidR="00BE621F">
        <w:t xml:space="preserve"> or d-dimer.</w:t>
      </w:r>
    </w:p>
    <w:p w:rsidR="002850FE" w:rsidRDefault="002850FE" w:rsidP="00BE621F">
      <w:r>
        <w:t>In this study, levels of TAT complex were also measured.</w:t>
      </w:r>
      <w:r w:rsidRPr="00133806">
        <w:t xml:space="preserve"> TAT levels are an indicator </w:t>
      </w:r>
      <w:r>
        <w:t>of</w:t>
      </w:r>
      <w:r w:rsidRPr="00133806">
        <w:t xml:space="preserve"> activation of the blood clotting system</w:t>
      </w:r>
      <w:r>
        <w:t xml:space="preserve">, and the normal value for the assay used was </w:t>
      </w:r>
      <w:r w:rsidR="00581D85">
        <w:t>&lt;</w:t>
      </w:r>
      <w:r>
        <w:t xml:space="preserve"> 5.1 ng/mL. Two subjects developed elevated TAT levels post infusion of </w:t>
      </w:r>
      <w:proofErr w:type="spellStart"/>
      <w:r>
        <w:t>FI</w:t>
      </w:r>
      <w:r w:rsidR="00581D85">
        <w:t>XFc</w:t>
      </w:r>
      <w:proofErr w:type="spellEnd"/>
      <w:r w:rsidR="00581D85">
        <w:t>.</w:t>
      </w:r>
    </w:p>
    <w:p w:rsidR="002850FE" w:rsidRPr="005D6D0D" w:rsidRDefault="002850FE" w:rsidP="00BE621F">
      <w:pPr>
        <w:pStyle w:val="ListBullet"/>
      </w:pPr>
      <w:r w:rsidRPr="005D6D0D">
        <w:t>Subject 200007 was a 27</w:t>
      </w:r>
      <w:r w:rsidR="005D6D0D">
        <w:t xml:space="preserve"> </w:t>
      </w:r>
      <w:r w:rsidRPr="005D6D0D">
        <w:t>year</w:t>
      </w:r>
      <w:r w:rsidR="005D6D0D">
        <w:t xml:space="preserve"> </w:t>
      </w:r>
      <w:r w:rsidRPr="005D6D0D">
        <w:t>old black male who develo</w:t>
      </w:r>
      <w:r w:rsidR="00AF676A">
        <w:t xml:space="preserve">ped elevated levels </w:t>
      </w:r>
      <w:proofErr w:type="gramStart"/>
      <w:r w:rsidR="00AF676A">
        <w:t>(up to 22.1 </w:t>
      </w:r>
      <w:r w:rsidRPr="005D6D0D">
        <w:t>ng/mL)</w:t>
      </w:r>
      <w:proofErr w:type="gramEnd"/>
      <w:r w:rsidRPr="005D6D0D">
        <w:t xml:space="preserve"> on days 1 and 2, after infusion of 50 IU/kg</w:t>
      </w:r>
      <w:r w:rsidR="005D6D0D">
        <w:t>.</w:t>
      </w:r>
    </w:p>
    <w:p w:rsidR="002850FE" w:rsidRPr="005D6D0D" w:rsidRDefault="002850FE" w:rsidP="00BE621F">
      <w:pPr>
        <w:pStyle w:val="ListBullet"/>
      </w:pPr>
      <w:r w:rsidRPr="005D6D0D">
        <w:t>Subject 200011 was a 32</w:t>
      </w:r>
      <w:r w:rsidR="005D6D0D">
        <w:t xml:space="preserve"> </w:t>
      </w:r>
      <w:r w:rsidRPr="005D6D0D">
        <w:t>year</w:t>
      </w:r>
      <w:r w:rsidR="005D6D0D">
        <w:t xml:space="preserve"> </w:t>
      </w:r>
      <w:r w:rsidRPr="005D6D0D">
        <w:t xml:space="preserve">old white male who </w:t>
      </w:r>
      <w:r w:rsidRPr="00BE621F">
        <w:t>developed</w:t>
      </w:r>
      <w:r w:rsidRPr="005D6D0D">
        <w:t xml:space="preserve"> elevated levels on day 1 (up to 43.1 ng/mL) and again on day 4 (15.4 ng/mL) after infusion of 100 IU/kg.</w:t>
      </w:r>
    </w:p>
    <w:p w:rsidR="002850FE" w:rsidRPr="00AF676A" w:rsidRDefault="002850FE" w:rsidP="00BE621F">
      <w:r w:rsidRPr="00AF676A">
        <w:t>The sponsor concluded that these elevations were not due to in</w:t>
      </w:r>
      <w:r w:rsidR="005D6D0D" w:rsidRPr="00AF676A">
        <w:t xml:space="preserve"> </w:t>
      </w:r>
      <w:r w:rsidRPr="00AF676A">
        <w:t xml:space="preserve">vivo activation of the clotting system caused by the infusion of </w:t>
      </w:r>
      <w:proofErr w:type="spellStart"/>
      <w:r w:rsidRPr="00AF676A">
        <w:t>FIXFc</w:t>
      </w:r>
      <w:proofErr w:type="spellEnd"/>
      <w:r w:rsidRPr="00AF676A">
        <w:t>. Neither patient developed elevated d-dimer levels or had clinical evidence of thrombosis. The two patients came from the same centre (and were the only patients treated at this centre) and elevated TAT levels were not observed at any other centre. The sponsor states that elevated TAT levels may be caused by prolonged use of tourniquets (</w:t>
      </w:r>
      <w:r w:rsidR="005D6D0D" w:rsidRPr="00AF676A">
        <w:t>for example</w:t>
      </w:r>
      <w:r w:rsidRPr="00AF676A">
        <w:t xml:space="preserve">, </w:t>
      </w:r>
      <w:r w:rsidR="00581D85" w:rsidRPr="00AF676A">
        <w:t>≥</w:t>
      </w:r>
      <w:r w:rsidR="005D6D0D" w:rsidRPr="00AF676A">
        <w:t xml:space="preserve"> </w:t>
      </w:r>
      <w:r w:rsidRPr="00AF676A">
        <w:t>3 minutes or even earlier), difficult venepuncture, an inadequately mixed sample, a sample containing clot or by strenuous exercise. There was also no clear correlation between FIX activity levels and TAT levels in these patients.</w:t>
      </w:r>
    </w:p>
    <w:p w:rsidR="002850FE" w:rsidRPr="00581D85" w:rsidRDefault="005D6D0D" w:rsidP="00BE621F">
      <w:pPr>
        <w:ind w:left="720"/>
      </w:pPr>
      <w:r w:rsidRPr="009B4E95">
        <w:rPr>
          <w:b/>
        </w:rPr>
        <w:t>Comment:</w:t>
      </w:r>
      <w:r w:rsidRPr="00581D85">
        <w:t xml:space="preserve"> </w:t>
      </w:r>
      <w:r w:rsidR="002850FE" w:rsidRPr="00581D85">
        <w:t>The sponsor’s explanation for the elevated TAT levels in these two patients is considered acceptable.</w:t>
      </w:r>
    </w:p>
    <w:p w:rsidR="002850FE" w:rsidRDefault="002850FE" w:rsidP="00BE621F">
      <w:pPr>
        <w:pStyle w:val="Heading4"/>
      </w:pPr>
      <w:bookmarkStart w:id="251" w:name="_Toc242109108"/>
      <w:r>
        <w:t xml:space="preserve">Serum </w:t>
      </w:r>
      <w:r w:rsidRPr="00BE621F">
        <w:t>Immunoglobulin</w:t>
      </w:r>
      <w:r>
        <w:t xml:space="preserve"> concentrations</w:t>
      </w:r>
      <w:bookmarkEnd w:id="251"/>
    </w:p>
    <w:p w:rsidR="002850FE" w:rsidRDefault="002850FE" w:rsidP="00BE621F">
      <w:pPr>
        <w:pStyle w:val="Heading5"/>
      </w:pPr>
      <w:bookmarkStart w:id="252" w:name="_Toc242109109"/>
      <w:r>
        <w:t xml:space="preserve">Study </w:t>
      </w:r>
      <w:r w:rsidR="00CD7F19">
        <w:t>998HB102</w:t>
      </w:r>
      <w:bookmarkEnd w:id="252"/>
    </w:p>
    <w:p w:rsidR="002850FE" w:rsidRDefault="002850FE" w:rsidP="00BE621F">
      <w:r>
        <w:t xml:space="preserve">No clinically significant changes were observed on testing for total immunoglobulin G or </w:t>
      </w:r>
      <w:proofErr w:type="spellStart"/>
      <w:r>
        <w:t>IgG</w:t>
      </w:r>
      <w:proofErr w:type="spellEnd"/>
      <w:r>
        <w:t xml:space="preserve"> subclasses.</w:t>
      </w:r>
    </w:p>
    <w:p w:rsidR="002850FE" w:rsidRPr="00DC0137" w:rsidRDefault="002850FE" w:rsidP="00BE621F">
      <w:pPr>
        <w:pStyle w:val="Heading4"/>
      </w:pPr>
      <w:bookmarkStart w:id="253" w:name="_Ref241819906"/>
      <w:bookmarkStart w:id="254" w:name="_Ref241824047"/>
      <w:bookmarkStart w:id="255" w:name="_Toc242109110"/>
      <w:proofErr w:type="gramStart"/>
      <w:r>
        <w:t xml:space="preserve">Inhibitor </w:t>
      </w:r>
      <w:r w:rsidRPr="00BE621F">
        <w:t>development</w:t>
      </w:r>
      <w:r>
        <w:t xml:space="preserve"> / antigenicity.</w:t>
      </w:r>
      <w:bookmarkEnd w:id="253"/>
      <w:bookmarkEnd w:id="254"/>
      <w:bookmarkEnd w:id="255"/>
      <w:proofErr w:type="gramEnd"/>
    </w:p>
    <w:p w:rsidR="002850FE" w:rsidRDefault="002850FE" w:rsidP="00BE621F">
      <w:pPr>
        <w:pStyle w:val="Heading5"/>
      </w:pPr>
      <w:bookmarkStart w:id="256" w:name="_Toc242109111"/>
      <w:r>
        <w:t xml:space="preserve">Study </w:t>
      </w:r>
      <w:r w:rsidR="00CD7F19">
        <w:t>998HB102</w:t>
      </w:r>
      <w:bookmarkEnd w:id="256"/>
    </w:p>
    <w:p w:rsidR="002850FE" w:rsidRPr="00AF676A" w:rsidRDefault="002850FE" w:rsidP="00BE621F">
      <w:r w:rsidRPr="00AF676A">
        <w:t>Plasma samples were tested for FIX inhibitors at a central laboratory using the Nijmegen</w:t>
      </w:r>
      <w:r w:rsidR="005D6D0D" w:rsidRPr="00AF676A">
        <w:t xml:space="preserve"> </w:t>
      </w:r>
      <w:r w:rsidRPr="00AF676A">
        <w:t xml:space="preserve">modified Bethesda assay. Formation of an inhibitor was defined as a value of </w:t>
      </w:r>
      <w:r w:rsidR="00581D85" w:rsidRPr="00AF676A">
        <w:t>≥</w:t>
      </w:r>
      <w:r w:rsidR="005D6D0D" w:rsidRPr="00AF676A">
        <w:t xml:space="preserve"> </w:t>
      </w:r>
      <w:r w:rsidRPr="00AF676A">
        <w:t xml:space="preserve">0.6 Bethesda Units/mL. Samples were collected at screening, baseline and at each study visit. No subject developed an inhibitor during the study. For subjects who received at least 1 dose of the 15,000 L bioreactor scale </w:t>
      </w:r>
      <w:proofErr w:type="spellStart"/>
      <w:r w:rsidRPr="00AF676A">
        <w:t>FIXFc</w:t>
      </w:r>
      <w:proofErr w:type="spellEnd"/>
      <w:r w:rsidRPr="00AF676A">
        <w:t xml:space="preserve"> product and who had a valid inhibitor test (n</w:t>
      </w:r>
      <w:r w:rsidR="005D6D0D" w:rsidRPr="00AF676A">
        <w:t xml:space="preserve"> </w:t>
      </w:r>
      <w:r w:rsidR="00876B03" w:rsidRPr="00AF676A">
        <w:t>=</w:t>
      </w:r>
      <w:r w:rsidR="005D6D0D" w:rsidRPr="00AF676A">
        <w:t xml:space="preserve"> </w:t>
      </w:r>
      <w:r w:rsidRPr="00AF676A">
        <w:t xml:space="preserve">121) the estimated inhibitor development rate was 0% (95% </w:t>
      </w:r>
      <w:r w:rsidR="005D6D0D" w:rsidRPr="00AF676A">
        <w:t xml:space="preserve">confidence interval </w:t>
      </w:r>
      <w:r w:rsidRPr="00AF676A">
        <w:t xml:space="preserve">0% to 3.00%). If the analysis was restricted to subjects who had at least 50 exposure days to </w:t>
      </w:r>
      <w:proofErr w:type="spellStart"/>
      <w:r w:rsidRPr="00AF676A">
        <w:t>FIXFc</w:t>
      </w:r>
      <w:proofErr w:type="spellEnd"/>
      <w:r w:rsidRPr="00AF676A">
        <w:t xml:space="preserve"> (n=55), the estimated inhibitor development rate was 0% (95% </w:t>
      </w:r>
      <w:r w:rsidR="005D6D0D" w:rsidRPr="00AF676A">
        <w:t>confidence interval</w:t>
      </w:r>
      <w:r w:rsidRPr="00AF676A">
        <w:t xml:space="preserve"> 0% to 6.49%)</w:t>
      </w:r>
      <w:r w:rsidR="007B32C3" w:rsidRPr="00AF676A">
        <w:t>.</w:t>
      </w:r>
    </w:p>
    <w:p w:rsidR="002850FE" w:rsidRPr="00AF676A" w:rsidRDefault="002850FE" w:rsidP="00AF676A">
      <w:r w:rsidRPr="00AF676A">
        <w:t>Samples were also tested for anti-</w:t>
      </w:r>
      <w:proofErr w:type="spellStart"/>
      <w:r w:rsidRPr="00AF676A">
        <w:t>FIXFc</w:t>
      </w:r>
      <w:proofErr w:type="spellEnd"/>
      <w:r w:rsidRPr="00AF676A">
        <w:t xml:space="preserve"> antibodies using a validated </w:t>
      </w:r>
      <w:proofErr w:type="spellStart"/>
      <w:r w:rsidRPr="00AF676A">
        <w:t>electrochemiluminescence</w:t>
      </w:r>
      <w:proofErr w:type="spellEnd"/>
      <w:r w:rsidR="005D6D0D" w:rsidRPr="00AF676A">
        <w:t xml:space="preserve"> </w:t>
      </w:r>
      <w:r w:rsidRPr="00AF676A">
        <w:t xml:space="preserve">based bridging </w:t>
      </w:r>
      <w:r w:rsidR="005D6D0D" w:rsidRPr="00AF676A">
        <w:t>E</w:t>
      </w:r>
      <w:r w:rsidR="007B32C3" w:rsidRPr="00AF676A">
        <w:t>LISA</w:t>
      </w:r>
      <w:r w:rsidR="00643082" w:rsidRPr="00AF676A">
        <w:t xml:space="preserve"> (ECLA</w:t>
      </w:r>
      <w:r w:rsidRPr="00AF676A">
        <w:t xml:space="preserve">). Three subjects had a weakly positive test at baseline (prior to any </w:t>
      </w:r>
      <w:proofErr w:type="spellStart"/>
      <w:r w:rsidRPr="00AF676A">
        <w:t>FIXFc</w:t>
      </w:r>
      <w:proofErr w:type="spellEnd"/>
      <w:r w:rsidRPr="00AF676A">
        <w:t xml:space="preserve"> administration) but reverted to negative during the study.</w:t>
      </w:r>
    </w:p>
    <w:p w:rsidR="002850FE" w:rsidRDefault="002850FE" w:rsidP="00BE621F">
      <w:r>
        <w:t xml:space="preserve">One other subject had borderline negative tests at screening, baseline and every study visit until </w:t>
      </w:r>
      <w:r w:rsidR="007B32C3">
        <w:t>D</w:t>
      </w:r>
      <w:r>
        <w:t xml:space="preserve">ay 338, when he had a borderline positive result. His FIX activity level at </w:t>
      </w:r>
      <w:r w:rsidR="00643082">
        <w:t xml:space="preserve">Day </w:t>
      </w:r>
      <w:r>
        <w:t xml:space="preserve">338 was 15.4%, </w:t>
      </w:r>
      <w:r>
        <w:lastRenderedPageBreak/>
        <w:t xml:space="preserve">which was consistent with that predicted by his baseline PK profile (13.5%), suggesting that the antibody did not alter the PK of </w:t>
      </w:r>
      <w:proofErr w:type="spellStart"/>
      <w:r>
        <w:t>FIXFc</w:t>
      </w:r>
      <w:proofErr w:type="spellEnd"/>
      <w:r>
        <w:t>. The patient did not experience any adverse events suggestive of loss of efficacy or allergic reactions.</w:t>
      </w:r>
    </w:p>
    <w:p w:rsidR="002850FE" w:rsidRPr="00DC0137" w:rsidRDefault="002850FE" w:rsidP="00BE621F">
      <w:pPr>
        <w:pStyle w:val="Heading5"/>
      </w:pPr>
      <w:bookmarkStart w:id="257" w:name="_Toc242109112"/>
      <w:r w:rsidRPr="00DC0137">
        <w:t>Study SYN-FIXFc-07-001</w:t>
      </w:r>
      <w:bookmarkEnd w:id="257"/>
    </w:p>
    <w:p w:rsidR="002850FE" w:rsidRPr="00AF676A" w:rsidRDefault="002850FE" w:rsidP="00BE621F">
      <w:r w:rsidRPr="00AF676A">
        <w:t>In this study, plasma samples were tested for FIX inhibitors at a central laboratory using the Nijmegen</w:t>
      </w:r>
      <w:r w:rsidR="005A60BD" w:rsidRPr="00AF676A">
        <w:t xml:space="preserve"> </w:t>
      </w:r>
      <w:r w:rsidRPr="00AF676A">
        <w:t xml:space="preserve">modified Bethesda assay. Samples were collected at screening, just prior to </w:t>
      </w:r>
      <w:proofErr w:type="spellStart"/>
      <w:r w:rsidRPr="00AF676A">
        <w:t>FIXFc</w:t>
      </w:r>
      <w:proofErr w:type="spellEnd"/>
      <w:r w:rsidRPr="00AF676A">
        <w:t xml:space="preserve"> administration on </w:t>
      </w:r>
      <w:r w:rsidR="00643082" w:rsidRPr="00AF676A">
        <w:t xml:space="preserve">Day </w:t>
      </w:r>
      <w:r w:rsidRPr="00AF676A">
        <w:t xml:space="preserve">1, at 1 time point within 7 to 10 days after </w:t>
      </w:r>
      <w:proofErr w:type="spellStart"/>
      <w:r w:rsidRPr="00AF676A">
        <w:t>FIXFc</w:t>
      </w:r>
      <w:proofErr w:type="spellEnd"/>
      <w:r w:rsidRPr="00AF676A">
        <w:t xml:space="preserve">, and at </w:t>
      </w:r>
      <w:r w:rsidR="00643082" w:rsidRPr="00AF676A">
        <w:t xml:space="preserve">Day </w:t>
      </w:r>
      <w:r w:rsidRPr="00AF676A">
        <w:t>30. All inhibitor tests were negative (</w:t>
      </w:r>
      <w:r w:rsidR="007B32C3" w:rsidRPr="00AF676A">
        <w:t>&lt;</w:t>
      </w:r>
      <w:r w:rsidRPr="00AF676A">
        <w:t xml:space="preserve"> 0.7 BU/mL).</w:t>
      </w:r>
    </w:p>
    <w:p w:rsidR="002850FE" w:rsidRPr="00AF676A" w:rsidRDefault="002850FE" w:rsidP="00BE621F">
      <w:r w:rsidRPr="00AF676A">
        <w:t>Samples were also tested for anti-</w:t>
      </w:r>
      <w:proofErr w:type="spellStart"/>
      <w:r w:rsidRPr="00AF676A">
        <w:t>FIXFc</w:t>
      </w:r>
      <w:proofErr w:type="spellEnd"/>
      <w:r w:rsidRPr="00AF676A">
        <w:t xml:space="preserve"> antibodies using a validated ECLA. No patient tested positive.</w:t>
      </w:r>
    </w:p>
    <w:p w:rsidR="002850FE" w:rsidRDefault="002850FE" w:rsidP="00BE621F">
      <w:pPr>
        <w:pStyle w:val="Heading5"/>
      </w:pPr>
      <w:bookmarkStart w:id="258" w:name="_Toc242109113"/>
      <w:r>
        <w:t xml:space="preserve">Study </w:t>
      </w:r>
      <w:r w:rsidRPr="007B67E2">
        <w:t>9HB02PED</w:t>
      </w:r>
      <w:bookmarkEnd w:id="258"/>
    </w:p>
    <w:p w:rsidR="002850FE" w:rsidRDefault="002850FE" w:rsidP="00BE621F">
      <w:r>
        <w:t>There were no inhibitors detected in the 4 subjects enrolled to date in the paediatric study.</w:t>
      </w:r>
    </w:p>
    <w:p w:rsidR="002850FE" w:rsidRPr="001B6463" w:rsidRDefault="002850FE" w:rsidP="00BE621F">
      <w:pPr>
        <w:pStyle w:val="Heading5"/>
      </w:pPr>
      <w:bookmarkStart w:id="259" w:name="_Toc242109114"/>
      <w:r w:rsidRPr="001B6463">
        <w:t>Study 9HB01EXT</w:t>
      </w:r>
      <w:bookmarkEnd w:id="259"/>
    </w:p>
    <w:p w:rsidR="002850FE" w:rsidRDefault="002850FE" w:rsidP="00BE621F">
      <w:r>
        <w:t>There were no inhibitors detected in the extension study.</w:t>
      </w:r>
    </w:p>
    <w:p w:rsidR="002850FE" w:rsidRPr="00CF3839" w:rsidRDefault="002850FE" w:rsidP="00BE621F">
      <w:pPr>
        <w:ind w:left="720"/>
      </w:pPr>
      <w:r w:rsidRPr="00CF3839">
        <w:rPr>
          <w:b/>
        </w:rPr>
        <w:t>Comment:</w:t>
      </w:r>
      <w:r w:rsidR="005A60BD" w:rsidRPr="00CF3839">
        <w:t xml:space="preserve"> </w:t>
      </w:r>
      <w:r w:rsidRPr="00CF3839">
        <w:t>The major safety issue associated with FIX replacement products is the development of inhibitors. These develop in less than 5% of haemophilia B patients overall, but in 9</w:t>
      </w:r>
      <w:r w:rsidR="005A60BD" w:rsidRPr="00CF3839">
        <w:t xml:space="preserve"> to </w:t>
      </w:r>
      <w:r w:rsidRPr="00CF3839">
        <w:t xml:space="preserve">23% of patients with severe FIX deficiency (13). They usually occur early in treatment. In an international registry of haemophilia B subjects with inhibitors, development of inhibitors occurred after a median of 11 exposure days (range 2 </w:t>
      </w:r>
      <w:r w:rsidR="005A60BD" w:rsidRPr="00CF3839">
        <w:t>to</w:t>
      </w:r>
      <w:r w:rsidRPr="00CF3839">
        <w:t xml:space="preserve"> 180 EDs) (14). As </w:t>
      </w:r>
      <w:proofErr w:type="spellStart"/>
      <w:r w:rsidRPr="00CF3839">
        <w:t>FIXFc</w:t>
      </w:r>
      <w:proofErr w:type="spellEnd"/>
      <w:r w:rsidRPr="00CF3839">
        <w:t xml:space="preserve"> is a novel molecule, it is possible that it may be more antigenic than plasma derived or recombinant FIX and be associated with a higher rate of inhibitor development. The results of the inhibitor testing in the phase </w:t>
      </w:r>
      <w:r w:rsidR="005A60BD" w:rsidRPr="00CF3839">
        <w:t>III</w:t>
      </w:r>
      <w:r w:rsidRPr="00CF3839">
        <w:t xml:space="preserve"> study are reassuring. However, this study only enrolled subjects who had already had at least 100 prior EDs and it excluded subjects with a history of inhibitors. This population would have a low risk of inhibitor development.</w:t>
      </w:r>
    </w:p>
    <w:p w:rsidR="002850FE" w:rsidRPr="00CF3839" w:rsidRDefault="002850FE" w:rsidP="00BE621F">
      <w:pPr>
        <w:ind w:left="720"/>
      </w:pPr>
      <w:r w:rsidRPr="00CF3839">
        <w:t xml:space="preserve">The sponsor is conducting a study in previously treated children. However, enrolment is restricted to subjects with at least 50 EDs and no history of inhibitor. In order to reliably document the rate of inhibitor development associated with </w:t>
      </w:r>
      <w:proofErr w:type="spellStart"/>
      <w:r w:rsidRPr="00CF3839">
        <w:t>FIXFc</w:t>
      </w:r>
      <w:proofErr w:type="spellEnd"/>
      <w:r w:rsidRPr="00CF3839">
        <w:t xml:space="preserve"> it would be necessary to conduct a study in PUPs. The new EMA guideline on FIX products (9) requires that a study in PUPs be conducted for novel proteins, but suggests that it can be submitted after initial marketing approval. The sponsor has indicated in Module 1 of the submission that it plans to undertake such a study, which will not be completed until 2019.</w:t>
      </w:r>
    </w:p>
    <w:p w:rsidR="002850FE" w:rsidRPr="00B17907" w:rsidRDefault="002850FE" w:rsidP="00BE621F">
      <w:pPr>
        <w:pStyle w:val="Heading4"/>
      </w:pPr>
      <w:bookmarkStart w:id="260" w:name="_Toc272414675"/>
      <w:bookmarkStart w:id="261" w:name="_Toc290846313"/>
      <w:bookmarkStart w:id="262" w:name="_Toc242109115"/>
      <w:r w:rsidRPr="00B17907">
        <w:t>Electrocardiograph</w:t>
      </w:r>
      <w:bookmarkEnd w:id="260"/>
      <w:bookmarkEnd w:id="261"/>
      <w:bookmarkEnd w:id="262"/>
    </w:p>
    <w:p w:rsidR="002850FE" w:rsidRDefault="002850FE" w:rsidP="00BE621F">
      <w:pPr>
        <w:pStyle w:val="Heading5"/>
      </w:pPr>
      <w:bookmarkStart w:id="263" w:name="_Toc242109116"/>
      <w:r>
        <w:t xml:space="preserve">Study </w:t>
      </w:r>
      <w:r w:rsidR="00CD7F19">
        <w:t>998HB102</w:t>
      </w:r>
      <w:bookmarkEnd w:id="263"/>
    </w:p>
    <w:p w:rsidR="002850FE" w:rsidRDefault="002850FE" w:rsidP="00BE621F">
      <w:r>
        <w:t>ECGs were not monitored during the pivotal study.</w:t>
      </w:r>
    </w:p>
    <w:p w:rsidR="002850FE" w:rsidRPr="004E37D6" w:rsidRDefault="002850FE" w:rsidP="00BE621F">
      <w:pPr>
        <w:pStyle w:val="Heading5"/>
      </w:pPr>
      <w:bookmarkStart w:id="264" w:name="_Toc242109117"/>
      <w:r w:rsidRPr="004E37D6">
        <w:t>Study SYN-FIXFc-07-001</w:t>
      </w:r>
      <w:bookmarkEnd w:id="264"/>
    </w:p>
    <w:p w:rsidR="002850FE" w:rsidRDefault="002850FE" w:rsidP="00BE621F">
      <w:r>
        <w:t>There were no clinically significant ECG changes observed in this study.</w:t>
      </w:r>
    </w:p>
    <w:p w:rsidR="002850FE" w:rsidRPr="00B17907" w:rsidRDefault="002850FE" w:rsidP="00BE621F">
      <w:pPr>
        <w:pStyle w:val="Heading4"/>
      </w:pPr>
      <w:bookmarkStart w:id="265" w:name="_Toc272414676"/>
      <w:bookmarkStart w:id="266" w:name="_Toc290846314"/>
      <w:bookmarkStart w:id="267" w:name="_Toc242109118"/>
      <w:r w:rsidRPr="00B17907">
        <w:t>Vital signs</w:t>
      </w:r>
      <w:bookmarkEnd w:id="265"/>
      <w:bookmarkEnd w:id="266"/>
      <w:bookmarkEnd w:id="267"/>
    </w:p>
    <w:p w:rsidR="002850FE" w:rsidRDefault="002850FE" w:rsidP="00BE621F">
      <w:pPr>
        <w:pStyle w:val="Heading5"/>
      </w:pPr>
      <w:bookmarkStart w:id="268" w:name="_Toc242109119"/>
      <w:r>
        <w:t xml:space="preserve">Study </w:t>
      </w:r>
      <w:r w:rsidR="00CD7F19">
        <w:t>998HB102</w:t>
      </w:r>
      <w:bookmarkEnd w:id="268"/>
    </w:p>
    <w:p w:rsidR="002850FE" w:rsidRDefault="002850FE" w:rsidP="00BE621F">
      <w:r w:rsidRPr="008F623D">
        <w:t xml:space="preserve">There was no consistent pattern in the incidence of alterations of pulse, </w:t>
      </w:r>
      <w:r w:rsidR="00B65561">
        <w:t>BP</w:t>
      </w:r>
      <w:r w:rsidRPr="008F623D">
        <w:t xml:space="preserve"> and temperature during the trial</w:t>
      </w:r>
      <w:r w:rsidR="00CF3839">
        <w:t>.</w:t>
      </w:r>
    </w:p>
    <w:p w:rsidR="002850FE" w:rsidRPr="00B17907" w:rsidRDefault="002850FE" w:rsidP="00BE621F">
      <w:pPr>
        <w:pStyle w:val="Heading5"/>
      </w:pPr>
      <w:bookmarkStart w:id="269" w:name="_Toc242109120"/>
      <w:r w:rsidRPr="00B17907">
        <w:t>Study SYN-FIXFc-07-001</w:t>
      </w:r>
      <w:bookmarkEnd w:id="269"/>
    </w:p>
    <w:p w:rsidR="002850FE" w:rsidRDefault="002850FE" w:rsidP="00BE621F">
      <w:r>
        <w:t>No clinically significant changes from baseline were observed.</w:t>
      </w:r>
    </w:p>
    <w:p w:rsidR="002850FE" w:rsidRDefault="002850FE" w:rsidP="00BE621F">
      <w:pPr>
        <w:pStyle w:val="Heading3"/>
      </w:pPr>
      <w:bookmarkStart w:id="270" w:name="_Toc241374326"/>
      <w:bookmarkStart w:id="271" w:name="_Ref272333048"/>
      <w:bookmarkStart w:id="272" w:name="_Toc272414679"/>
      <w:bookmarkStart w:id="273" w:name="_Toc290846317"/>
      <w:bookmarkStart w:id="274" w:name="_Toc242109121"/>
      <w:bookmarkStart w:id="275" w:name="_Toc404074093"/>
      <w:r>
        <w:lastRenderedPageBreak/>
        <w:t>Post-marketing experience</w:t>
      </w:r>
      <w:bookmarkEnd w:id="270"/>
      <w:bookmarkEnd w:id="271"/>
      <w:bookmarkEnd w:id="272"/>
      <w:bookmarkEnd w:id="273"/>
      <w:bookmarkEnd w:id="274"/>
      <w:bookmarkEnd w:id="275"/>
    </w:p>
    <w:p w:rsidR="002850FE" w:rsidRDefault="002850FE" w:rsidP="00BE621F">
      <w:r>
        <w:t>As the product ha</w:t>
      </w:r>
      <w:r w:rsidR="001361AE">
        <w:t>d</w:t>
      </w:r>
      <w:r>
        <w:t xml:space="preserve"> not been approved for marketing in any jurisdiction</w:t>
      </w:r>
      <w:r w:rsidR="001361AE">
        <w:t xml:space="preserve"> at the time of submission</w:t>
      </w:r>
      <w:r>
        <w:t>, the submission did not include any post-marketing data.</w:t>
      </w:r>
    </w:p>
    <w:p w:rsidR="002850FE" w:rsidRPr="00750E1A" w:rsidRDefault="002850FE" w:rsidP="00BE621F">
      <w:pPr>
        <w:pStyle w:val="Heading3"/>
      </w:pPr>
      <w:bookmarkStart w:id="276" w:name="_Ref272333005"/>
      <w:bookmarkStart w:id="277" w:name="_Toc272414680"/>
      <w:bookmarkStart w:id="278" w:name="_Toc290846318"/>
      <w:bookmarkStart w:id="279" w:name="_Toc242109122"/>
      <w:bookmarkStart w:id="280" w:name="_Toc404074094"/>
      <w:r w:rsidRPr="00750E1A">
        <w:t xml:space="preserve">Safety issues with the </w:t>
      </w:r>
      <w:r w:rsidRPr="00BE621F">
        <w:t>potential</w:t>
      </w:r>
      <w:r w:rsidRPr="00750E1A">
        <w:t xml:space="preserve"> for major regulatory imp</w:t>
      </w:r>
      <w:bookmarkEnd w:id="276"/>
      <w:bookmarkEnd w:id="277"/>
      <w:r w:rsidRPr="00750E1A">
        <w:t>act</w:t>
      </w:r>
      <w:bookmarkEnd w:id="278"/>
      <w:bookmarkEnd w:id="279"/>
      <w:bookmarkEnd w:id="280"/>
    </w:p>
    <w:p w:rsidR="002850FE" w:rsidRPr="00750E1A" w:rsidRDefault="002850FE" w:rsidP="00BE621F">
      <w:pPr>
        <w:pStyle w:val="Heading4"/>
      </w:pPr>
      <w:bookmarkStart w:id="281" w:name="_Toc272414681"/>
      <w:bookmarkStart w:id="282" w:name="_Toc290846319"/>
      <w:bookmarkStart w:id="283" w:name="_Toc242109123"/>
      <w:r w:rsidRPr="00750E1A">
        <w:t>Liver toxicity</w:t>
      </w:r>
      <w:bookmarkEnd w:id="281"/>
      <w:bookmarkEnd w:id="282"/>
      <w:bookmarkEnd w:id="283"/>
    </w:p>
    <w:p w:rsidR="002850FE" w:rsidRDefault="002850FE" w:rsidP="00BE621F">
      <w:r>
        <w:t xml:space="preserve">As described in </w:t>
      </w:r>
      <w:r w:rsidRPr="00CF3839">
        <w:t xml:space="preserve">section </w:t>
      </w:r>
      <w:r w:rsidR="00CC55CB" w:rsidRPr="00CF3839">
        <w:t>8</w:t>
      </w:r>
      <w:r w:rsidR="002F7281" w:rsidRPr="00CF3839">
        <w:t>.5.</w:t>
      </w:r>
      <w:r w:rsidR="00B84DFE">
        <w:t>1 l</w:t>
      </w:r>
      <w:r>
        <w:t>iver function testing did not suggest any evidence of drug</w:t>
      </w:r>
      <w:r w:rsidR="002F7281">
        <w:t xml:space="preserve"> </w:t>
      </w:r>
      <w:r>
        <w:t>induced hepatotoxicity.</w:t>
      </w:r>
    </w:p>
    <w:p w:rsidR="002850FE" w:rsidRPr="00750E1A" w:rsidRDefault="002850FE" w:rsidP="00BE621F">
      <w:pPr>
        <w:pStyle w:val="Heading4"/>
      </w:pPr>
      <w:bookmarkStart w:id="284" w:name="_Toc272414682"/>
      <w:bookmarkStart w:id="285" w:name="_Toc290846320"/>
      <w:bookmarkStart w:id="286" w:name="_Toc242109124"/>
      <w:r w:rsidRPr="00750E1A">
        <w:t>Haematological toxicity</w:t>
      </w:r>
      <w:bookmarkEnd w:id="284"/>
      <w:bookmarkEnd w:id="285"/>
      <w:bookmarkEnd w:id="286"/>
    </w:p>
    <w:p w:rsidR="002850FE" w:rsidRDefault="002850FE" w:rsidP="00BE621F">
      <w:r>
        <w:t>As de</w:t>
      </w:r>
      <w:r w:rsidR="00B65561">
        <w:t xml:space="preserve">scribed in </w:t>
      </w:r>
      <w:r w:rsidR="002F7281" w:rsidRPr="00CF3839">
        <w:t>s</w:t>
      </w:r>
      <w:r w:rsidRPr="00CF3839">
        <w:t xml:space="preserve">ection </w:t>
      </w:r>
      <w:r w:rsidR="00B84DFE">
        <w:t xml:space="preserve">8.5.4 </w:t>
      </w:r>
      <w:r>
        <w:t>haematology testing did not suggest any evidence of drug</w:t>
      </w:r>
      <w:r w:rsidR="00B65561">
        <w:t xml:space="preserve"> </w:t>
      </w:r>
      <w:r>
        <w:t>induced haematological toxicity.</w:t>
      </w:r>
    </w:p>
    <w:p w:rsidR="002850FE" w:rsidRPr="007839B8" w:rsidRDefault="002850FE" w:rsidP="00BE621F">
      <w:pPr>
        <w:pStyle w:val="Heading4"/>
      </w:pPr>
      <w:bookmarkStart w:id="287" w:name="_Toc272414683"/>
      <w:bookmarkStart w:id="288" w:name="_Toc290846321"/>
      <w:bookmarkStart w:id="289" w:name="_Toc242109125"/>
      <w:r w:rsidRPr="007839B8">
        <w:t>Serious skin reactions</w:t>
      </w:r>
      <w:bookmarkEnd w:id="287"/>
      <w:bookmarkEnd w:id="288"/>
      <w:bookmarkEnd w:id="289"/>
    </w:p>
    <w:p w:rsidR="002850FE" w:rsidRDefault="002850FE" w:rsidP="00BE621F">
      <w:r>
        <w:t>There were no serious AEs involving the skin reported.</w:t>
      </w:r>
    </w:p>
    <w:p w:rsidR="002850FE" w:rsidRPr="003F6BE9" w:rsidRDefault="002850FE" w:rsidP="00BE621F">
      <w:pPr>
        <w:pStyle w:val="Heading4"/>
      </w:pPr>
      <w:bookmarkStart w:id="290" w:name="_Toc272414684"/>
      <w:bookmarkStart w:id="291" w:name="_Toc290846322"/>
      <w:bookmarkStart w:id="292" w:name="_Toc242109126"/>
      <w:r w:rsidRPr="003F6BE9">
        <w:t>Cardiovascular safety</w:t>
      </w:r>
      <w:bookmarkEnd w:id="290"/>
      <w:bookmarkEnd w:id="291"/>
      <w:bookmarkEnd w:id="292"/>
    </w:p>
    <w:p w:rsidR="002850FE" w:rsidRDefault="002850FE" w:rsidP="00BE621F">
      <w:r>
        <w:t>One subject developed an SAE of worsening of angina pectoris during the trial. He had a prior history of ischaemic heart disease including angina pectoris and myocardial infarction. There were no other notable cardiovascular events.</w:t>
      </w:r>
    </w:p>
    <w:p w:rsidR="002850FE" w:rsidRPr="003F6BE9" w:rsidRDefault="002850FE" w:rsidP="00BE621F">
      <w:pPr>
        <w:pStyle w:val="Heading4"/>
      </w:pPr>
      <w:bookmarkStart w:id="293" w:name="_Toc241374323"/>
      <w:bookmarkStart w:id="294" w:name="_Toc272414685"/>
      <w:bookmarkStart w:id="295" w:name="_Toc290846323"/>
      <w:bookmarkStart w:id="296" w:name="_Toc242109127"/>
      <w:r w:rsidRPr="003F6BE9">
        <w:t xml:space="preserve">Unwanted immunological </w:t>
      </w:r>
      <w:r w:rsidRPr="00BE621F">
        <w:t>events</w:t>
      </w:r>
      <w:bookmarkEnd w:id="293"/>
      <w:bookmarkEnd w:id="294"/>
      <w:bookmarkEnd w:id="295"/>
      <w:bookmarkEnd w:id="296"/>
    </w:p>
    <w:p w:rsidR="002850FE" w:rsidRDefault="002850FE" w:rsidP="00BE621F">
      <w:r>
        <w:t>There were no SAEs related to the immune system. Inhibitor development/antigenicity has been discussed.</w:t>
      </w:r>
    </w:p>
    <w:p w:rsidR="002850FE" w:rsidRDefault="002850FE" w:rsidP="00BE621F">
      <w:pPr>
        <w:pStyle w:val="Heading3"/>
      </w:pPr>
      <w:bookmarkStart w:id="297" w:name="_Toc241374328"/>
      <w:bookmarkStart w:id="298" w:name="_Toc272414691"/>
      <w:bookmarkStart w:id="299" w:name="_Toc290846329"/>
      <w:bookmarkStart w:id="300" w:name="_Toc242109128"/>
      <w:bookmarkStart w:id="301" w:name="_Toc404074095"/>
      <w:r>
        <w:t xml:space="preserve">Evaluator’s overall </w:t>
      </w:r>
      <w:r w:rsidRPr="00BE621F">
        <w:t>conclusions</w:t>
      </w:r>
      <w:r>
        <w:t xml:space="preserve"> on clinical safety</w:t>
      </w:r>
      <w:bookmarkEnd w:id="297"/>
      <w:bookmarkEnd w:id="298"/>
      <w:bookmarkEnd w:id="299"/>
      <w:bookmarkEnd w:id="300"/>
      <w:bookmarkEnd w:id="301"/>
    </w:p>
    <w:p w:rsidR="002850FE" w:rsidRDefault="002850FE" w:rsidP="00BE621F">
      <w:r>
        <w:t>The overall safety database included a total of 141 subjects</w:t>
      </w:r>
      <w:r w:rsidR="009D07D7">
        <w:rPr>
          <w:rStyle w:val="FootnoteReference"/>
        </w:rPr>
        <w:footnoteReference w:id="6"/>
      </w:r>
      <w:r>
        <w:t>, which is well in excess of the number required by the most recent EMA guideline. The extent of safety testing is therefore considered acceptable.</w:t>
      </w:r>
    </w:p>
    <w:p w:rsidR="002850FE" w:rsidRDefault="002850FE" w:rsidP="00BE621F">
      <w:r>
        <w:t>Known safety issues associated with FIX replacement therapy products include inhibitor formation and allergic/anaphylactic reactions. The submitted data were essentially limited to previously treated patients aged 12 or over, with no prior history of inhibitors. There were no reports of inhibitors or allergic reactions suggesting that the incidence of these adverse effects is acceptably low, in this population. The submitted data also suggest that the product is not associated with significant thrombotic adverse events.</w:t>
      </w:r>
    </w:p>
    <w:p w:rsidR="002850FE" w:rsidRDefault="002850FE" w:rsidP="00BE621F">
      <w:r>
        <w:t>The only treatment</w:t>
      </w:r>
      <w:r w:rsidR="00B65561">
        <w:t xml:space="preserve"> </w:t>
      </w:r>
      <w:r>
        <w:t>related adverse events that occurred in more than one patient were oral paraesthesia and headache. Neither of these was considered serious. Monitoring of biochemistry, haematology and coagulation parameters and vital signs did not suggest any unexpected toxicities.</w:t>
      </w:r>
    </w:p>
    <w:p w:rsidR="00C22678" w:rsidRDefault="00C22678" w:rsidP="00BE621F">
      <w:pPr>
        <w:pStyle w:val="Heading2"/>
      </w:pPr>
      <w:bookmarkStart w:id="302" w:name="_Toc404074096"/>
      <w:r>
        <w:t>First round benefit-risk assessment</w:t>
      </w:r>
      <w:bookmarkEnd w:id="302"/>
    </w:p>
    <w:p w:rsidR="00006B0B" w:rsidRDefault="00006B0B" w:rsidP="00BE621F">
      <w:pPr>
        <w:pStyle w:val="Heading3"/>
      </w:pPr>
      <w:bookmarkStart w:id="303" w:name="_Toc236802592"/>
      <w:bookmarkStart w:id="304" w:name="_Toc241374331"/>
      <w:bookmarkStart w:id="305" w:name="_Ref272160836"/>
      <w:bookmarkStart w:id="306" w:name="_Toc272414693"/>
      <w:bookmarkStart w:id="307" w:name="_Toc290846331"/>
      <w:bookmarkStart w:id="308" w:name="_Toc242109130"/>
      <w:bookmarkStart w:id="309" w:name="_Toc404074097"/>
      <w:r>
        <w:t>First round assessment of benefits</w:t>
      </w:r>
      <w:bookmarkEnd w:id="303"/>
      <w:bookmarkEnd w:id="304"/>
      <w:bookmarkEnd w:id="305"/>
      <w:bookmarkEnd w:id="306"/>
      <w:bookmarkEnd w:id="307"/>
      <w:bookmarkEnd w:id="308"/>
      <w:bookmarkEnd w:id="309"/>
    </w:p>
    <w:p w:rsidR="00006B0B" w:rsidRPr="00006B0B" w:rsidRDefault="00006B0B" w:rsidP="00BE621F">
      <w:r w:rsidRPr="00006B0B">
        <w:t xml:space="preserve">The benefits of </w:t>
      </w:r>
      <w:proofErr w:type="spellStart"/>
      <w:r w:rsidRPr="00006B0B">
        <w:t>FIXFc</w:t>
      </w:r>
      <w:proofErr w:type="spellEnd"/>
      <w:r w:rsidRPr="00006B0B">
        <w:t xml:space="preserve"> in the proposed indication are:</w:t>
      </w:r>
    </w:p>
    <w:p w:rsidR="00006B0B" w:rsidRPr="00006B0B" w:rsidRDefault="00006B0B" w:rsidP="00BE621F">
      <w:pPr>
        <w:pStyle w:val="ListBullet"/>
      </w:pPr>
      <w:r w:rsidRPr="00006B0B">
        <w:lastRenderedPageBreak/>
        <w:t>Efficacy in the control of bleeding episodes</w:t>
      </w:r>
      <w:r>
        <w:t>.</w:t>
      </w:r>
    </w:p>
    <w:p w:rsidR="00006B0B" w:rsidRPr="00006B0B" w:rsidRDefault="00006B0B" w:rsidP="00006B0B">
      <w:pPr>
        <w:pStyle w:val="ListBullet"/>
      </w:pPr>
      <w:r w:rsidRPr="00006B0B">
        <w:t>Efficacy in the prevention of bleeding episodes when administered as routine prophylaxis</w:t>
      </w:r>
      <w:r>
        <w:t>.</w:t>
      </w:r>
    </w:p>
    <w:p w:rsidR="00006B0B" w:rsidRPr="00006B0B" w:rsidRDefault="00006B0B" w:rsidP="00BE621F">
      <w:pPr>
        <w:pStyle w:val="ListBullet"/>
      </w:pPr>
      <w:r w:rsidRPr="00006B0B">
        <w:t xml:space="preserve">Efficacy in the management of bleeding </w:t>
      </w:r>
      <w:r w:rsidRPr="00BE621F">
        <w:t>associated</w:t>
      </w:r>
      <w:r>
        <w:t xml:space="preserve"> with surgical procedures.</w:t>
      </w:r>
    </w:p>
    <w:p w:rsidR="00006B0B" w:rsidRPr="00006B0B" w:rsidRDefault="00006B0B" w:rsidP="00BE621F">
      <w:pPr>
        <w:pStyle w:val="ListBullet"/>
      </w:pPr>
      <w:r w:rsidRPr="00006B0B">
        <w:t>A reduced frequency of dosing when compared to currently available FIX replacement products</w:t>
      </w:r>
      <w:r>
        <w:t>.</w:t>
      </w:r>
    </w:p>
    <w:p w:rsidR="00006B0B" w:rsidRDefault="00006B0B" w:rsidP="00BE621F">
      <w:pPr>
        <w:pStyle w:val="ListBullet"/>
      </w:pPr>
      <w:r w:rsidRPr="00006B0B">
        <w:t xml:space="preserve">A decreased risk of viral transmission </w:t>
      </w:r>
      <w:r w:rsidRPr="00BE621F">
        <w:t>compared</w:t>
      </w:r>
      <w:r w:rsidRPr="00006B0B">
        <w:t xml:space="preserve"> to plasma</w:t>
      </w:r>
      <w:r w:rsidR="002F7281">
        <w:t xml:space="preserve"> </w:t>
      </w:r>
      <w:r w:rsidRPr="00006B0B">
        <w:t>derived FIX</w:t>
      </w:r>
      <w:r>
        <w:t>.</w:t>
      </w:r>
    </w:p>
    <w:p w:rsidR="00006B0B" w:rsidRDefault="00006B0B" w:rsidP="00BE621F">
      <w:pPr>
        <w:pStyle w:val="Heading3"/>
      </w:pPr>
      <w:bookmarkStart w:id="310" w:name="_Toc236802596"/>
      <w:bookmarkStart w:id="311" w:name="_Toc241374334"/>
      <w:bookmarkStart w:id="312" w:name="_Ref272160964"/>
      <w:bookmarkStart w:id="313" w:name="_Toc272414694"/>
      <w:bookmarkStart w:id="314" w:name="_Toc290846332"/>
      <w:bookmarkStart w:id="315" w:name="_Toc242109131"/>
      <w:bookmarkStart w:id="316" w:name="_Toc404074098"/>
      <w:r>
        <w:t>First round assessment of risks</w:t>
      </w:r>
      <w:bookmarkEnd w:id="310"/>
      <w:bookmarkEnd w:id="311"/>
      <w:bookmarkEnd w:id="312"/>
      <w:bookmarkEnd w:id="313"/>
      <w:bookmarkEnd w:id="314"/>
      <w:bookmarkEnd w:id="315"/>
      <w:bookmarkEnd w:id="316"/>
    </w:p>
    <w:p w:rsidR="00006B0B" w:rsidRDefault="00006B0B" w:rsidP="00BE621F">
      <w:r>
        <w:t xml:space="preserve">The risks of </w:t>
      </w:r>
      <w:proofErr w:type="spellStart"/>
      <w:r>
        <w:t>FIXFc</w:t>
      </w:r>
      <w:proofErr w:type="spellEnd"/>
      <w:r>
        <w:t xml:space="preserve"> in the proposed indication are:</w:t>
      </w:r>
    </w:p>
    <w:p w:rsidR="00006B0B" w:rsidRDefault="00006B0B" w:rsidP="00BE621F">
      <w:pPr>
        <w:pStyle w:val="ListBullet"/>
      </w:pPr>
      <w:r>
        <w:t>A possible risk of inhibitor development</w:t>
      </w:r>
      <w:r w:rsidR="00371A8B">
        <w:t xml:space="preserve">, </w:t>
      </w:r>
      <w:r w:rsidR="00371A8B" w:rsidRPr="00BE621F">
        <w:t>vascular</w:t>
      </w:r>
      <w:r w:rsidR="00371A8B">
        <w:t xml:space="preserve"> thrombotic events</w:t>
      </w:r>
      <w:r>
        <w:t xml:space="preserve"> and allergic reactions. The available data suggest that the incidence of these effects in the proposed population is acceptably low.</w:t>
      </w:r>
    </w:p>
    <w:p w:rsidR="00006B0B" w:rsidRDefault="00006B0B" w:rsidP="00BE621F">
      <w:pPr>
        <w:pStyle w:val="Heading3"/>
      </w:pPr>
      <w:bookmarkStart w:id="317" w:name="_Toc236802597"/>
      <w:bookmarkStart w:id="318" w:name="_Toc241374335"/>
      <w:bookmarkStart w:id="319" w:name="_Toc272414695"/>
      <w:bookmarkStart w:id="320" w:name="_Toc290846333"/>
      <w:bookmarkStart w:id="321" w:name="_Toc242109132"/>
      <w:bookmarkStart w:id="322" w:name="_Toc404074099"/>
      <w:r>
        <w:t xml:space="preserve">First round assessment of </w:t>
      </w:r>
      <w:r w:rsidRPr="00BE621F">
        <w:t>benefit</w:t>
      </w:r>
      <w:r>
        <w:t>-risk balance</w:t>
      </w:r>
      <w:bookmarkEnd w:id="317"/>
      <w:bookmarkEnd w:id="318"/>
      <w:bookmarkEnd w:id="319"/>
      <w:bookmarkEnd w:id="320"/>
      <w:bookmarkEnd w:id="321"/>
      <w:bookmarkEnd w:id="322"/>
    </w:p>
    <w:p w:rsidR="00006B0B" w:rsidRDefault="00006B0B" w:rsidP="00BE621F">
      <w:r>
        <w:t xml:space="preserve">The benefit-risk balance of </w:t>
      </w:r>
      <w:proofErr w:type="spellStart"/>
      <w:r>
        <w:t>FIXFc</w:t>
      </w:r>
      <w:proofErr w:type="spellEnd"/>
      <w:r>
        <w:t>, in previously treated subjects aged 12 years or over, is considered favourable. The submitted data support use for episodic (on</w:t>
      </w:r>
      <w:r w:rsidR="002F7281">
        <w:t xml:space="preserve"> </w:t>
      </w:r>
      <w:r>
        <w:t>demand) therapy, routine prophylaxis and surgical prophylaxis when the product is given</w:t>
      </w:r>
      <w:r w:rsidRPr="00B801D2">
        <w:t xml:space="preserve"> </w:t>
      </w:r>
      <w:r>
        <w:t>by bolus infusion.</w:t>
      </w:r>
    </w:p>
    <w:p w:rsidR="00006B0B" w:rsidRDefault="00006B0B" w:rsidP="00BE621F">
      <w:r>
        <w:t>The current data do not support use of the product:</w:t>
      </w:r>
    </w:p>
    <w:p w:rsidR="00006B0B" w:rsidRPr="00006B0B" w:rsidRDefault="00006B0B" w:rsidP="00BE621F">
      <w:pPr>
        <w:pStyle w:val="ListBullet"/>
      </w:pPr>
      <w:proofErr w:type="gramStart"/>
      <w:r>
        <w:t>in</w:t>
      </w:r>
      <w:proofErr w:type="gramEnd"/>
      <w:r>
        <w:t xml:space="preserve"> children aged less 12 years.</w:t>
      </w:r>
    </w:p>
    <w:p w:rsidR="00006B0B" w:rsidRPr="00006B0B" w:rsidRDefault="00006B0B" w:rsidP="00BE621F">
      <w:pPr>
        <w:pStyle w:val="ListBullet"/>
      </w:pPr>
      <w:proofErr w:type="gramStart"/>
      <w:r w:rsidRPr="00006B0B">
        <w:t>in</w:t>
      </w:r>
      <w:proofErr w:type="gramEnd"/>
      <w:r w:rsidRPr="00006B0B">
        <w:t xml:space="preserve"> previously untreated patients</w:t>
      </w:r>
      <w:r>
        <w:t>.</w:t>
      </w:r>
    </w:p>
    <w:p w:rsidR="00006B0B" w:rsidRPr="00006B0B" w:rsidRDefault="00006B0B" w:rsidP="00006B0B">
      <w:pPr>
        <w:pStyle w:val="ListBullet"/>
      </w:pPr>
      <w:proofErr w:type="gramStart"/>
      <w:r w:rsidRPr="00006B0B">
        <w:t>by</w:t>
      </w:r>
      <w:proofErr w:type="gramEnd"/>
      <w:r w:rsidRPr="00006B0B">
        <w:t xml:space="preserve"> continuous infusion in surgery</w:t>
      </w:r>
      <w:r>
        <w:t>.</w:t>
      </w:r>
    </w:p>
    <w:p w:rsidR="00006B0B" w:rsidRPr="00006B0B" w:rsidRDefault="00006B0B" w:rsidP="00BE621F">
      <w:pPr>
        <w:pStyle w:val="ListBullet"/>
      </w:pPr>
      <w:proofErr w:type="gramStart"/>
      <w:r w:rsidRPr="00006B0B">
        <w:t>for</w:t>
      </w:r>
      <w:proofErr w:type="gramEnd"/>
      <w:r w:rsidRPr="00006B0B">
        <w:t xml:space="preserve"> immune tolerance induction (ITI) in </w:t>
      </w:r>
      <w:r w:rsidRPr="00BE621F">
        <w:t>patients</w:t>
      </w:r>
      <w:r w:rsidRPr="00006B0B">
        <w:t xml:space="preserve"> with FIX inhibitors.</w:t>
      </w:r>
    </w:p>
    <w:p w:rsidR="00006B0B" w:rsidRDefault="002F7281" w:rsidP="00BE621F">
      <w:r>
        <w:t>The s</w:t>
      </w:r>
      <w:r w:rsidR="00006B0B">
        <w:t>ponsor is not seeking approval for use in these situations at the current time.</w:t>
      </w:r>
    </w:p>
    <w:p w:rsidR="00C22678" w:rsidRDefault="00C22678" w:rsidP="00BE621F">
      <w:pPr>
        <w:pStyle w:val="Heading2"/>
      </w:pPr>
      <w:bookmarkStart w:id="323" w:name="_Toc404074100"/>
      <w:r>
        <w:t xml:space="preserve">First round </w:t>
      </w:r>
      <w:r w:rsidRPr="00BE621F">
        <w:t>recommendation</w:t>
      </w:r>
      <w:r>
        <w:t xml:space="preserve"> regarding authorisation</w:t>
      </w:r>
      <w:bookmarkEnd w:id="323"/>
    </w:p>
    <w:p w:rsidR="00006B0B" w:rsidRDefault="00006B0B" w:rsidP="00BE621F">
      <w:r>
        <w:t>It is recommended that the application for registration be approved.</w:t>
      </w:r>
    </w:p>
    <w:p w:rsidR="00C22678" w:rsidRDefault="00C22678" w:rsidP="00BE621F">
      <w:pPr>
        <w:pStyle w:val="Heading2"/>
      </w:pPr>
      <w:bookmarkStart w:id="324" w:name="_Toc404074101"/>
      <w:r>
        <w:t>Clinical questions</w:t>
      </w:r>
      <w:bookmarkEnd w:id="324"/>
    </w:p>
    <w:p w:rsidR="00006B0B" w:rsidRPr="00006B0B" w:rsidRDefault="00006B0B" w:rsidP="00BE621F">
      <w:pPr>
        <w:pStyle w:val="Heading3"/>
      </w:pPr>
      <w:bookmarkStart w:id="325" w:name="_Toc242109139"/>
      <w:bookmarkStart w:id="326" w:name="_Toc404074102"/>
      <w:r w:rsidRPr="00006B0B">
        <w:t>General</w:t>
      </w:r>
      <w:bookmarkEnd w:id="325"/>
      <w:bookmarkEnd w:id="326"/>
    </w:p>
    <w:p w:rsidR="009926BC" w:rsidRDefault="00006B0B" w:rsidP="00BE621F">
      <w:proofErr w:type="gramStart"/>
      <w:r w:rsidRPr="00006B0B">
        <w:t>Question 1</w:t>
      </w:r>
      <w:r w:rsidR="009926BC">
        <w:t>.</w:t>
      </w:r>
      <w:proofErr w:type="gramEnd"/>
    </w:p>
    <w:p w:rsidR="00006B0B" w:rsidRPr="009926BC" w:rsidRDefault="00006B0B" w:rsidP="00BE621F">
      <w:r w:rsidRPr="009926BC">
        <w:t xml:space="preserve">Please provide an assurance that the lyophilised product proposed for registration in Australia is identical to that used in the pivotal phase </w:t>
      </w:r>
      <w:r w:rsidR="006D12F3" w:rsidRPr="009926BC">
        <w:t>III</w:t>
      </w:r>
      <w:r w:rsidRPr="009926BC">
        <w:t xml:space="preserve"> study (with respect to formulation and manufacturing processes).</w:t>
      </w:r>
    </w:p>
    <w:p w:rsidR="00006B0B" w:rsidRPr="00006B0B" w:rsidRDefault="00006B0B" w:rsidP="00BE621F">
      <w:pPr>
        <w:pStyle w:val="Heading3"/>
      </w:pPr>
      <w:bookmarkStart w:id="327" w:name="_Toc272414705"/>
      <w:bookmarkStart w:id="328" w:name="_Toc290846345"/>
      <w:bookmarkStart w:id="329" w:name="_Toc242109140"/>
      <w:bookmarkStart w:id="330" w:name="_Toc404074103"/>
      <w:r w:rsidRPr="00006B0B">
        <w:t>Safety</w:t>
      </w:r>
      <w:bookmarkEnd w:id="327"/>
      <w:bookmarkEnd w:id="328"/>
      <w:bookmarkEnd w:id="329"/>
      <w:bookmarkEnd w:id="330"/>
    </w:p>
    <w:p w:rsidR="009926BC" w:rsidRPr="009926BC" w:rsidRDefault="00006B0B" w:rsidP="00BE621F">
      <w:proofErr w:type="gramStart"/>
      <w:r w:rsidRPr="009926BC">
        <w:t>Question 2</w:t>
      </w:r>
      <w:r w:rsidR="009926BC">
        <w:t>.</w:t>
      </w:r>
      <w:proofErr w:type="gramEnd"/>
    </w:p>
    <w:p w:rsidR="00006B0B" w:rsidRPr="00006B0B" w:rsidRDefault="00006B0B" w:rsidP="00006B0B">
      <w:r w:rsidRPr="00006B0B">
        <w:t xml:space="preserve">One subject in </w:t>
      </w:r>
      <w:r w:rsidR="006D12F3">
        <w:t xml:space="preserve">Study </w:t>
      </w:r>
      <w:r w:rsidR="00CD7F19">
        <w:t>998HB102</w:t>
      </w:r>
      <w:r w:rsidRPr="00006B0B">
        <w:t xml:space="preserve"> developed clinically significant elevations of creatinine and urea. His urea was elevated at screening </w:t>
      </w:r>
      <w:proofErr w:type="gramStart"/>
      <w:r w:rsidRPr="00006B0B">
        <w:t xml:space="preserve">(10.7 </w:t>
      </w:r>
      <w:proofErr w:type="spellStart"/>
      <w:r w:rsidRPr="00006B0B">
        <w:t>mmol</w:t>
      </w:r>
      <w:proofErr w:type="spellEnd"/>
      <w:r w:rsidRPr="00006B0B">
        <w:t>/L)</w:t>
      </w:r>
      <w:proofErr w:type="gramEnd"/>
      <w:r w:rsidRPr="00006B0B">
        <w:t xml:space="preserve">, normal at baseline and elevated at </w:t>
      </w:r>
      <w:r w:rsidR="006D12F3">
        <w:t>W</w:t>
      </w:r>
      <w:r w:rsidRPr="00006B0B">
        <w:t xml:space="preserve">eek 26 (15.7) and </w:t>
      </w:r>
      <w:r w:rsidR="006D12F3">
        <w:t>W</w:t>
      </w:r>
      <w:r w:rsidRPr="00006B0B">
        <w:t xml:space="preserve">eek 52 (16.1). His creatinine was at a borderline level at screening </w:t>
      </w:r>
      <w:proofErr w:type="gramStart"/>
      <w:r w:rsidRPr="00006B0B">
        <w:t xml:space="preserve">(118 </w:t>
      </w:r>
      <w:r w:rsidR="006D12F3">
        <w:lastRenderedPageBreak/>
        <w:t>µ</w:t>
      </w:r>
      <w:proofErr w:type="spellStart"/>
      <w:r w:rsidRPr="00006B0B">
        <w:t>mol</w:t>
      </w:r>
      <w:proofErr w:type="spellEnd"/>
      <w:r w:rsidRPr="00006B0B">
        <w:t>/L)</w:t>
      </w:r>
      <w:proofErr w:type="gramEnd"/>
      <w:r w:rsidRPr="00006B0B">
        <w:t xml:space="preserve">, normal at baseline and elevated at </w:t>
      </w:r>
      <w:r w:rsidR="006D12F3">
        <w:t>W</w:t>
      </w:r>
      <w:r w:rsidRPr="00006B0B">
        <w:t xml:space="preserve">eek 26 (255) and </w:t>
      </w:r>
      <w:r w:rsidR="006D12F3">
        <w:t>W</w:t>
      </w:r>
      <w:r w:rsidRPr="00006B0B">
        <w:t xml:space="preserve">eek 52 (158). It is noted that the subject had a number of medical conditions at baseline including morbid obesity (187 kg), type II diabetes, hypertension, high cholesterol and bipedal oedema. The development of renal impairment in this subject does not appear to have been reported as an adverse event and the study report does not comment on the case. Is the sponsor able to provide any further information or comment in relation to this subject to exclude a nephrotoxic effect of </w:t>
      </w:r>
      <w:proofErr w:type="spellStart"/>
      <w:r w:rsidRPr="00006B0B">
        <w:t>FIXFc</w:t>
      </w:r>
      <w:proofErr w:type="spellEnd"/>
      <w:r w:rsidR="009D07D7">
        <w:rPr>
          <w:rStyle w:val="FootnoteReference"/>
        </w:rPr>
        <w:footnoteReference w:id="7"/>
      </w:r>
      <w:r w:rsidRPr="00006B0B">
        <w:t>?</w:t>
      </w:r>
    </w:p>
    <w:p w:rsidR="00C618F7" w:rsidRPr="006D12F3" w:rsidRDefault="00C618F7" w:rsidP="00BE621F">
      <w:pPr>
        <w:pStyle w:val="Heading2"/>
      </w:pPr>
      <w:bookmarkStart w:id="331" w:name="_Toc404074104"/>
      <w:r w:rsidRPr="006D12F3">
        <w:t xml:space="preserve">Second round </w:t>
      </w:r>
      <w:r w:rsidRPr="00BE621F">
        <w:t>evaluation</w:t>
      </w:r>
      <w:r w:rsidRPr="006D12F3">
        <w:t xml:space="preserve"> of clinical data submitted in response to questions</w:t>
      </w:r>
      <w:bookmarkEnd w:id="331"/>
    </w:p>
    <w:p w:rsidR="00C618F7" w:rsidRPr="00586F98" w:rsidRDefault="006D12F3" w:rsidP="00BE621F">
      <w:pPr>
        <w:rPr>
          <w:lang w:eastAsia="ja-JP"/>
        </w:rPr>
      </w:pPr>
      <w:r>
        <w:rPr>
          <w:lang w:eastAsia="ja-JP"/>
        </w:rPr>
        <w:t>Not applicable</w:t>
      </w:r>
      <w:r w:rsidR="00EA4D42">
        <w:rPr>
          <w:lang w:eastAsia="ja-JP"/>
        </w:rPr>
        <w:t>.</w:t>
      </w:r>
    </w:p>
    <w:p w:rsidR="00C618F7" w:rsidRDefault="00C618F7" w:rsidP="00BE621F">
      <w:pPr>
        <w:pStyle w:val="Heading2"/>
      </w:pPr>
      <w:bookmarkStart w:id="332" w:name="_Toc404074105"/>
      <w:r>
        <w:t>Second round benefit-</w:t>
      </w:r>
      <w:r w:rsidRPr="00BE621F">
        <w:t>risk</w:t>
      </w:r>
      <w:r>
        <w:t xml:space="preserve"> assessment</w:t>
      </w:r>
      <w:bookmarkEnd w:id="332"/>
    </w:p>
    <w:p w:rsidR="006D12F3" w:rsidRPr="006D12F3" w:rsidRDefault="006D12F3" w:rsidP="00BE621F">
      <w:r w:rsidRPr="006D12F3">
        <w:t>Not applicable</w:t>
      </w:r>
      <w:r w:rsidR="00EA4D42">
        <w:t>.</w:t>
      </w:r>
    </w:p>
    <w:p w:rsidR="00C618F7" w:rsidRDefault="00C618F7" w:rsidP="00BE621F">
      <w:pPr>
        <w:pStyle w:val="Heading2"/>
      </w:pPr>
      <w:bookmarkStart w:id="333" w:name="_Toc404074106"/>
      <w:r>
        <w:t xml:space="preserve">Second round </w:t>
      </w:r>
      <w:r w:rsidRPr="00BE621F">
        <w:t>recommendation</w:t>
      </w:r>
      <w:r>
        <w:t xml:space="preserve"> regarding authorisation</w:t>
      </w:r>
      <w:bookmarkEnd w:id="333"/>
    </w:p>
    <w:p w:rsidR="002546F8" w:rsidRPr="006D12F3" w:rsidRDefault="002546F8" w:rsidP="00BE621F">
      <w:r w:rsidRPr="006D12F3">
        <w:t>Not applicable</w:t>
      </w:r>
      <w:r w:rsidR="00BE621F">
        <w:t>.</w:t>
      </w:r>
    </w:p>
    <w:p w:rsidR="00C618F7" w:rsidRDefault="00C618F7" w:rsidP="00BE621F">
      <w:pPr>
        <w:pStyle w:val="Heading2"/>
      </w:pPr>
      <w:bookmarkStart w:id="334" w:name="_Toc404074107"/>
      <w:r w:rsidRPr="00BE621F">
        <w:t>References</w:t>
      </w:r>
      <w:bookmarkEnd w:id="334"/>
    </w:p>
    <w:bookmarkEnd w:id="0"/>
    <w:bookmarkEnd w:id="1"/>
    <w:bookmarkEnd w:id="2"/>
    <w:p w:rsidR="002546F8" w:rsidRDefault="002546F8" w:rsidP="00BE621F">
      <w:pPr>
        <w:pStyle w:val="Numberbullet0"/>
        <w:numPr>
          <w:ilvl w:val="0"/>
          <w:numId w:val="11"/>
        </w:numPr>
      </w:pPr>
      <w:r w:rsidRPr="00BE621F">
        <w:t>Therapeutic</w:t>
      </w:r>
      <w:r w:rsidRPr="002546F8">
        <w:t xml:space="preserve"> Goods Administration. </w:t>
      </w:r>
      <w:proofErr w:type="spellStart"/>
      <w:r w:rsidRPr="00BE621F">
        <w:rPr>
          <w:i/>
        </w:rPr>
        <w:t>MonoFIX</w:t>
      </w:r>
      <w:proofErr w:type="spellEnd"/>
      <w:r w:rsidRPr="00BE621F">
        <w:rPr>
          <w:i/>
        </w:rPr>
        <w:t>-VF Product Information</w:t>
      </w:r>
      <w:r w:rsidRPr="002546F8">
        <w:t xml:space="preserve"> [online]</w:t>
      </w:r>
      <w:r w:rsidR="002A691C">
        <w:t>.</w:t>
      </w:r>
      <w:r w:rsidRPr="002546F8">
        <w:t xml:space="preserve"> December </w:t>
      </w:r>
      <w:r w:rsidR="00BE621F">
        <w:t>2010 [viewed 3 September 2013].</w:t>
      </w:r>
    </w:p>
    <w:p w:rsidR="002546F8" w:rsidRDefault="002546F8" w:rsidP="00BE621F">
      <w:pPr>
        <w:pStyle w:val="Numberbullet0"/>
        <w:numPr>
          <w:ilvl w:val="0"/>
          <w:numId w:val="11"/>
        </w:numPr>
      </w:pPr>
      <w:r w:rsidRPr="002546F8">
        <w:t xml:space="preserve">Therapeutic Goods Administration. </w:t>
      </w:r>
      <w:proofErr w:type="spellStart"/>
      <w:r w:rsidRPr="00B6299F">
        <w:t>Benefix</w:t>
      </w:r>
      <w:proofErr w:type="spellEnd"/>
      <w:r w:rsidRPr="00B6299F">
        <w:t xml:space="preserve"> Product Information</w:t>
      </w:r>
      <w:r w:rsidRPr="002546F8">
        <w:t xml:space="preserve"> [online]</w:t>
      </w:r>
      <w:r w:rsidR="002A691C">
        <w:t>.</w:t>
      </w:r>
      <w:r w:rsidRPr="002546F8">
        <w:t xml:space="preserve"> 15 August </w:t>
      </w:r>
      <w:r w:rsidR="00BE621F">
        <w:t>2013 [viewed 3 September 2013].</w:t>
      </w:r>
    </w:p>
    <w:p w:rsidR="002546F8" w:rsidRDefault="002546F8" w:rsidP="00BE621F">
      <w:pPr>
        <w:pStyle w:val="Numberbullet0"/>
        <w:numPr>
          <w:ilvl w:val="0"/>
          <w:numId w:val="11"/>
        </w:numPr>
      </w:pPr>
      <w:proofErr w:type="spellStart"/>
      <w:r w:rsidRPr="002546F8">
        <w:t>Roopenian</w:t>
      </w:r>
      <w:proofErr w:type="spellEnd"/>
      <w:r w:rsidRPr="002546F8">
        <w:t xml:space="preserve"> DC, </w:t>
      </w:r>
      <w:proofErr w:type="spellStart"/>
      <w:r w:rsidRPr="002546F8">
        <w:t>Akilesh</w:t>
      </w:r>
      <w:proofErr w:type="spellEnd"/>
      <w:r w:rsidRPr="002546F8">
        <w:t xml:space="preserve"> S</w:t>
      </w:r>
      <w:r w:rsidR="002A691C">
        <w:t xml:space="preserve"> (</w:t>
      </w:r>
      <w:r w:rsidR="002A691C" w:rsidRPr="00BE621F">
        <w:t>2007</w:t>
      </w:r>
      <w:r w:rsidR="002A691C">
        <w:t>)</w:t>
      </w:r>
      <w:r w:rsidRPr="002546F8">
        <w:t xml:space="preserve">. </w:t>
      </w:r>
      <w:proofErr w:type="spellStart"/>
      <w:r w:rsidRPr="002546F8">
        <w:t>FcRn</w:t>
      </w:r>
      <w:proofErr w:type="spellEnd"/>
      <w:r w:rsidRPr="002546F8">
        <w:t xml:space="preserve">: the neonatal Fc receptor comes of age. </w:t>
      </w:r>
      <w:r w:rsidRPr="00BE621F">
        <w:rPr>
          <w:i/>
        </w:rPr>
        <w:t xml:space="preserve">Nat Rev </w:t>
      </w:r>
      <w:proofErr w:type="spellStart"/>
      <w:r w:rsidRPr="00BE621F">
        <w:rPr>
          <w:i/>
        </w:rPr>
        <w:t>Immunol</w:t>
      </w:r>
      <w:proofErr w:type="spellEnd"/>
      <w:r w:rsidRPr="00BE621F">
        <w:rPr>
          <w:i/>
        </w:rPr>
        <w:t xml:space="preserve">. </w:t>
      </w:r>
      <w:r w:rsidRPr="002546F8">
        <w:t xml:space="preserve"> 7(9):715-25.</w:t>
      </w:r>
    </w:p>
    <w:p w:rsidR="002546F8" w:rsidRPr="00B6299F" w:rsidRDefault="002546F8" w:rsidP="00BE621F">
      <w:pPr>
        <w:pStyle w:val="Numberbullet0"/>
        <w:numPr>
          <w:ilvl w:val="0"/>
          <w:numId w:val="11"/>
        </w:numPr>
      </w:pPr>
      <w:r w:rsidRPr="002546F8">
        <w:t xml:space="preserve">Haemophilia Foundation </w:t>
      </w:r>
      <w:r w:rsidRPr="00BE621F">
        <w:t>Australia</w:t>
      </w:r>
      <w:r w:rsidR="002A691C">
        <w:t xml:space="preserve"> (2013)</w:t>
      </w:r>
      <w:r w:rsidRPr="002546F8">
        <w:t xml:space="preserve">. </w:t>
      </w:r>
      <w:r w:rsidRPr="00BE621F">
        <w:rPr>
          <w:i/>
        </w:rPr>
        <w:t>Haemophilia</w:t>
      </w:r>
      <w:r w:rsidRPr="002546F8">
        <w:t xml:space="preserve"> [online]</w:t>
      </w:r>
      <w:r w:rsidR="002A691C">
        <w:t>.</w:t>
      </w:r>
      <w:r w:rsidRPr="002546F8">
        <w:t xml:space="preserve"> July 2</w:t>
      </w:r>
      <w:r w:rsidR="00BE621F">
        <w:t>013 [viewed 21 September 2013].</w:t>
      </w:r>
    </w:p>
    <w:p w:rsidR="002546F8" w:rsidRPr="002546F8" w:rsidRDefault="002546F8" w:rsidP="00BE621F">
      <w:pPr>
        <w:pStyle w:val="Numberbullet0"/>
        <w:numPr>
          <w:ilvl w:val="0"/>
          <w:numId w:val="11"/>
        </w:numPr>
      </w:pPr>
      <w:r w:rsidRPr="002546F8">
        <w:t xml:space="preserve">Srivastava A, </w:t>
      </w:r>
      <w:r w:rsidRPr="00BE621F">
        <w:t>Brewer</w:t>
      </w:r>
      <w:r w:rsidRPr="002546F8">
        <w:t xml:space="preserve"> AK, Mauser-</w:t>
      </w:r>
      <w:proofErr w:type="spellStart"/>
      <w:r w:rsidRPr="002546F8">
        <w:t>Bunschoten</w:t>
      </w:r>
      <w:proofErr w:type="spellEnd"/>
      <w:r w:rsidRPr="002546F8">
        <w:t xml:space="preserve"> EP et al</w:t>
      </w:r>
      <w:r w:rsidR="002A691C">
        <w:t>. (2013)</w:t>
      </w:r>
      <w:r w:rsidRPr="002546F8">
        <w:t xml:space="preserve">. Treatment Guidelines Working Group </w:t>
      </w:r>
      <w:proofErr w:type="gramStart"/>
      <w:r w:rsidRPr="002546F8">
        <w:t>The</w:t>
      </w:r>
      <w:proofErr w:type="gramEnd"/>
      <w:r w:rsidRPr="002546F8">
        <w:t xml:space="preserve"> World Federation Of </w:t>
      </w:r>
      <w:proofErr w:type="spellStart"/>
      <w:r w:rsidRPr="002546F8">
        <w:t>Hemophilia</w:t>
      </w:r>
      <w:proofErr w:type="spellEnd"/>
      <w:r w:rsidRPr="002546F8">
        <w:t xml:space="preserve">. Guidelines for the management of </w:t>
      </w:r>
      <w:proofErr w:type="spellStart"/>
      <w:r w:rsidRPr="002546F8">
        <w:t>hemophilia</w:t>
      </w:r>
      <w:proofErr w:type="spellEnd"/>
      <w:r w:rsidRPr="002546F8">
        <w:t xml:space="preserve">. </w:t>
      </w:r>
      <w:r w:rsidRPr="00BE621F">
        <w:rPr>
          <w:i/>
        </w:rPr>
        <w:t>Haemophilia</w:t>
      </w:r>
      <w:r w:rsidRPr="002546F8">
        <w:t>. 2013 Jan; 19(1): e1-e47</w:t>
      </w:r>
    </w:p>
    <w:p w:rsidR="002546F8" w:rsidRPr="00BE621F" w:rsidRDefault="002546F8" w:rsidP="00BE621F">
      <w:pPr>
        <w:pStyle w:val="Numberbullet0"/>
        <w:numPr>
          <w:ilvl w:val="0"/>
          <w:numId w:val="11"/>
        </w:numPr>
        <w:rPr>
          <w:rStyle w:val="Hyperlink"/>
          <w:color w:val="auto"/>
          <w:u w:val="none"/>
        </w:rPr>
      </w:pPr>
      <w:r w:rsidRPr="002546F8">
        <w:t xml:space="preserve">European </w:t>
      </w:r>
      <w:r w:rsidRPr="00BE621F">
        <w:t>Medicines</w:t>
      </w:r>
      <w:r w:rsidRPr="002546F8">
        <w:t xml:space="preserve"> Agency</w:t>
      </w:r>
      <w:r w:rsidR="002A691C">
        <w:t xml:space="preserve"> (2007)</w:t>
      </w:r>
      <w:r w:rsidRPr="002546F8">
        <w:t xml:space="preserve">. Guideline </w:t>
      </w:r>
      <w:proofErr w:type="gramStart"/>
      <w:r w:rsidRPr="002546F8">
        <w:t>On</w:t>
      </w:r>
      <w:proofErr w:type="gramEnd"/>
      <w:r w:rsidRPr="002546F8">
        <w:t xml:space="preserve"> The Clinical Investigation Of The Pharmacokinetics Of Therapeutic Protei</w:t>
      </w:r>
      <w:r w:rsidR="00BE621F">
        <w:t>ns (CHMP/EWP/89249/2004).</w:t>
      </w:r>
    </w:p>
    <w:p w:rsidR="002546F8" w:rsidRPr="002546F8" w:rsidRDefault="002546F8" w:rsidP="00BE621F">
      <w:pPr>
        <w:pStyle w:val="Numberbullet0"/>
        <w:numPr>
          <w:ilvl w:val="0"/>
          <w:numId w:val="11"/>
        </w:numPr>
      </w:pPr>
      <w:r w:rsidRPr="002546F8">
        <w:t>European Medicines Agency</w:t>
      </w:r>
      <w:r w:rsidR="002A691C">
        <w:t xml:space="preserve"> (2001)</w:t>
      </w:r>
      <w:r w:rsidRPr="002546F8">
        <w:t>. Points to Consider on Application with 1. Meta-Analyses; 2. One Pi</w:t>
      </w:r>
      <w:r w:rsidR="00BE621F">
        <w:t>votal Study (CPMP/EWP/2330/99).</w:t>
      </w:r>
    </w:p>
    <w:p w:rsidR="002546F8" w:rsidRPr="00B6299F" w:rsidRDefault="002546F8" w:rsidP="00BE621F">
      <w:pPr>
        <w:pStyle w:val="Numberbullet0"/>
        <w:numPr>
          <w:ilvl w:val="0"/>
          <w:numId w:val="11"/>
        </w:numPr>
      </w:pPr>
      <w:r w:rsidRPr="002546F8">
        <w:t>European Medicines Agency</w:t>
      </w:r>
      <w:r w:rsidR="002A691C">
        <w:t xml:space="preserve"> (2000)</w:t>
      </w:r>
      <w:r w:rsidRPr="002546F8">
        <w:t>. Note for Guidance on the Clinical Investigation of Recombinant Factor VIII and IX Products (CPMP/BPW</w:t>
      </w:r>
      <w:r w:rsidR="00BE621F">
        <w:t>G/1561/99).</w:t>
      </w:r>
    </w:p>
    <w:p w:rsidR="002546F8" w:rsidRPr="00B6299F" w:rsidRDefault="002546F8" w:rsidP="00BE621F">
      <w:pPr>
        <w:pStyle w:val="Numberbullet0"/>
        <w:numPr>
          <w:ilvl w:val="0"/>
          <w:numId w:val="11"/>
        </w:numPr>
      </w:pPr>
      <w:r w:rsidRPr="002546F8">
        <w:lastRenderedPageBreak/>
        <w:t>European Medicines Agency</w:t>
      </w:r>
      <w:r w:rsidR="002A691C">
        <w:t xml:space="preserve"> (2011)</w:t>
      </w:r>
      <w:r w:rsidRPr="002546F8">
        <w:t>. Guideline on clinical investigation of recombinant and human plasma-derived factor IX produc</w:t>
      </w:r>
      <w:r w:rsidR="00BE621F">
        <w:t>ts (EMA/CHMP/BPWP/144552/2009).</w:t>
      </w:r>
    </w:p>
    <w:p w:rsidR="002546F8" w:rsidRDefault="002546F8" w:rsidP="00BE621F">
      <w:pPr>
        <w:pStyle w:val="Numberbullet0"/>
        <w:numPr>
          <w:ilvl w:val="0"/>
          <w:numId w:val="11"/>
        </w:numPr>
      </w:pPr>
      <w:proofErr w:type="spellStart"/>
      <w:r w:rsidRPr="00BE621F">
        <w:rPr>
          <w:rFonts w:cs="Gill Sans MT"/>
          <w:color w:val="000000"/>
        </w:rPr>
        <w:t>Franchini</w:t>
      </w:r>
      <w:proofErr w:type="spellEnd"/>
      <w:r w:rsidRPr="00BE621F">
        <w:rPr>
          <w:rFonts w:cs="Gill Sans MT"/>
          <w:color w:val="000000"/>
        </w:rPr>
        <w:t xml:space="preserve"> M, </w:t>
      </w:r>
      <w:proofErr w:type="spellStart"/>
      <w:r w:rsidRPr="00BE621F">
        <w:rPr>
          <w:rFonts w:cs="Gill Sans MT"/>
          <w:color w:val="000000"/>
        </w:rPr>
        <w:t>Frattini</w:t>
      </w:r>
      <w:proofErr w:type="spellEnd"/>
      <w:r w:rsidRPr="00BE621F">
        <w:rPr>
          <w:rFonts w:cs="Gill Sans MT"/>
          <w:color w:val="000000"/>
        </w:rPr>
        <w:t xml:space="preserve"> F, </w:t>
      </w:r>
      <w:proofErr w:type="spellStart"/>
      <w:r w:rsidRPr="00BE621F">
        <w:rPr>
          <w:rFonts w:cs="Gill Sans MT"/>
          <w:color w:val="000000"/>
        </w:rPr>
        <w:t>Crestani</w:t>
      </w:r>
      <w:proofErr w:type="spellEnd"/>
      <w:r w:rsidRPr="00BE621F">
        <w:rPr>
          <w:rFonts w:cs="Gill Sans MT"/>
          <w:color w:val="000000"/>
        </w:rPr>
        <w:t xml:space="preserve"> S et al. </w:t>
      </w:r>
      <w:r w:rsidR="002A691C" w:rsidRPr="00BE621F">
        <w:rPr>
          <w:rFonts w:cs="Gill Sans MT"/>
          <w:color w:val="000000"/>
        </w:rPr>
        <w:t>(2013).</w:t>
      </w:r>
      <w:r w:rsidRPr="00BE621F">
        <w:rPr>
          <w:rFonts w:cs="Gill Sans MT"/>
          <w:color w:val="000000"/>
        </w:rPr>
        <w:t xml:space="preserve"> </w:t>
      </w:r>
      <w:r w:rsidRPr="002546F8">
        <w:t xml:space="preserve">Treatment of </w:t>
      </w:r>
      <w:proofErr w:type="spellStart"/>
      <w:r w:rsidRPr="002546F8">
        <w:t>hemophilia</w:t>
      </w:r>
      <w:proofErr w:type="spellEnd"/>
      <w:r w:rsidRPr="002546F8">
        <w:t xml:space="preserve"> B: </w:t>
      </w:r>
      <w:r w:rsidRPr="00BE621F">
        <w:t>focus</w:t>
      </w:r>
      <w:r w:rsidRPr="002546F8">
        <w:t xml:space="preserve"> on recombinant factor IX. </w:t>
      </w:r>
      <w:r w:rsidRPr="00BE621F">
        <w:rPr>
          <w:i/>
        </w:rPr>
        <w:t>Biologics: Targets and Therapy</w:t>
      </w:r>
      <w:r w:rsidR="002A691C" w:rsidRPr="00BE621F">
        <w:rPr>
          <w:i/>
        </w:rPr>
        <w:t xml:space="preserve">. </w:t>
      </w:r>
      <w:r w:rsidRPr="002546F8">
        <w:t xml:space="preserve"> (7) 33–38.</w:t>
      </w:r>
    </w:p>
    <w:p w:rsidR="002546F8" w:rsidRDefault="002546F8" w:rsidP="00BE621F">
      <w:pPr>
        <w:pStyle w:val="Numberbullet0"/>
        <w:numPr>
          <w:ilvl w:val="0"/>
          <w:numId w:val="11"/>
        </w:numPr>
      </w:pPr>
      <w:r w:rsidRPr="002546F8">
        <w:t xml:space="preserve">Roberts HR, </w:t>
      </w:r>
      <w:proofErr w:type="spellStart"/>
      <w:r w:rsidRPr="002546F8">
        <w:t>Eberst</w:t>
      </w:r>
      <w:proofErr w:type="spellEnd"/>
      <w:r w:rsidRPr="002546F8">
        <w:t xml:space="preserve"> ME</w:t>
      </w:r>
      <w:r w:rsidR="002A691C">
        <w:t xml:space="preserve"> (1993)</w:t>
      </w:r>
      <w:r w:rsidRPr="002546F8">
        <w:t xml:space="preserve">. Current management of </w:t>
      </w:r>
      <w:proofErr w:type="spellStart"/>
      <w:r w:rsidRPr="002546F8">
        <w:t>hemophilia</w:t>
      </w:r>
      <w:proofErr w:type="spellEnd"/>
      <w:r w:rsidRPr="002546F8">
        <w:t xml:space="preserve"> B.  </w:t>
      </w:r>
      <w:proofErr w:type="spellStart"/>
      <w:r w:rsidRPr="00BE621F">
        <w:rPr>
          <w:i/>
        </w:rPr>
        <w:t>Hematol</w:t>
      </w:r>
      <w:proofErr w:type="spellEnd"/>
      <w:r w:rsidRPr="00BE621F">
        <w:rPr>
          <w:i/>
        </w:rPr>
        <w:t xml:space="preserve"> </w:t>
      </w:r>
      <w:proofErr w:type="spellStart"/>
      <w:r w:rsidRPr="00BE621F">
        <w:rPr>
          <w:i/>
        </w:rPr>
        <w:t>Oncol</w:t>
      </w:r>
      <w:proofErr w:type="spellEnd"/>
      <w:r w:rsidRPr="00BE621F">
        <w:rPr>
          <w:i/>
        </w:rPr>
        <w:t xml:space="preserve"> </w:t>
      </w:r>
      <w:proofErr w:type="spellStart"/>
      <w:r w:rsidRPr="00BE621F">
        <w:rPr>
          <w:i/>
        </w:rPr>
        <w:t>Clin</w:t>
      </w:r>
      <w:proofErr w:type="spellEnd"/>
      <w:r w:rsidRPr="00BE621F">
        <w:rPr>
          <w:i/>
        </w:rPr>
        <w:t xml:space="preserve"> North Am</w:t>
      </w:r>
      <w:r w:rsidRPr="002546F8">
        <w:t>. 7(6): 1269-80.</w:t>
      </w:r>
    </w:p>
    <w:p w:rsidR="002546F8" w:rsidRPr="00B6299F" w:rsidRDefault="002546F8" w:rsidP="00BE621F">
      <w:pPr>
        <w:pStyle w:val="Numberbullet0"/>
        <w:numPr>
          <w:ilvl w:val="0"/>
          <w:numId w:val="11"/>
        </w:numPr>
      </w:pPr>
      <w:proofErr w:type="spellStart"/>
      <w:r w:rsidRPr="002546F8">
        <w:t>Wiedel</w:t>
      </w:r>
      <w:proofErr w:type="spellEnd"/>
      <w:r w:rsidRPr="002546F8">
        <w:t xml:space="preserve"> J, </w:t>
      </w:r>
      <w:proofErr w:type="spellStart"/>
      <w:r w:rsidRPr="002546F8">
        <w:t>Stabler</w:t>
      </w:r>
      <w:proofErr w:type="spellEnd"/>
      <w:r w:rsidRPr="002546F8">
        <w:t xml:space="preserve"> S, </w:t>
      </w:r>
      <w:proofErr w:type="spellStart"/>
      <w:r w:rsidRPr="002546F8">
        <w:t>Geraghty</w:t>
      </w:r>
      <w:proofErr w:type="spellEnd"/>
      <w:r w:rsidRPr="002546F8">
        <w:t xml:space="preserve"> S, et al. </w:t>
      </w:r>
      <w:r w:rsidR="002A691C">
        <w:t>(</w:t>
      </w:r>
      <w:r w:rsidR="002A691C" w:rsidRPr="002546F8">
        <w:t>2010</w:t>
      </w:r>
      <w:r w:rsidR="002A691C">
        <w:t xml:space="preserve">). </w:t>
      </w:r>
      <w:r w:rsidRPr="002546F8">
        <w:t xml:space="preserve">Joint replacement surgery in </w:t>
      </w:r>
      <w:proofErr w:type="spellStart"/>
      <w:r w:rsidRPr="002546F8">
        <w:t>hemophilia</w:t>
      </w:r>
      <w:proofErr w:type="spellEnd"/>
      <w:r w:rsidRPr="002546F8">
        <w:t>. Treatment of</w:t>
      </w:r>
      <w:r w:rsidR="00BE621F">
        <w:t xml:space="preserve"> </w:t>
      </w:r>
      <w:proofErr w:type="spellStart"/>
      <w:r w:rsidR="00BE621F">
        <w:t>Hemophilia</w:t>
      </w:r>
      <w:proofErr w:type="spellEnd"/>
      <w:r w:rsidR="00BE621F">
        <w:t xml:space="preserve"> [Internet]. No. 50.</w:t>
      </w:r>
    </w:p>
    <w:p w:rsidR="002546F8" w:rsidRPr="00B6299F" w:rsidRDefault="002546F8" w:rsidP="00BE621F">
      <w:pPr>
        <w:pStyle w:val="Numberbullet0"/>
        <w:numPr>
          <w:ilvl w:val="0"/>
          <w:numId w:val="11"/>
        </w:numPr>
      </w:pPr>
      <w:proofErr w:type="spellStart"/>
      <w:r w:rsidRPr="002546F8">
        <w:t>DiMichele</w:t>
      </w:r>
      <w:proofErr w:type="spellEnd"/>
      <w:r w:rsidRPr="002546F8">
        <w:t xml:space="preserve"> D. Inhibitor development in </w:t>
      </w:r>
      <w:r w:rsidRPr="00BE621F">
        <w:t>haemophilia</w:t>
      </w:r>
      <w:r w:rsidRPr="002546F8">
        <w:t xml:space="preserve"> B</w:t>
      </w:r>
      <w:r w:rsidR="002A691C">
        <w:t xml:space="preserve"> (2007)</w:t>
      </w:r>
      <w:r w:rsidRPr="002546F8">
        <w:t xml:space="preserve">: an orphan disease in need of attention. </w:t>
      </w:r>
      <w:r w:rsidRPr="00BE621F">
        <w:rPr>
          <w:i/>
        </w:rPr>
        <w:t xml:space="preserve">Br J </w:t>
      </w:r>
      <w:proofErr w:type="spellStart"/>
      <w:r w:rsidRPr="00BE621F">
        <w:rPr>
          <w:i/>
        </w:rPr>
        <w:t>Haem</w:t>
      </w:r>
      <w:proofErr w:type="spellEnd"/>
      <w:r w:rsidRPr="002546F8">
        <w:t>. 138 (3), 305–315</w:t>
      </w:r>
      <w:r w:rsidR="002A691C">
        <w:t>.</w:t>
      </w:r>
    </w:p>
    <w:p w:rsidR="002546F8" w:rsidRPr="002546F8" w:rsidRDefault="002546F8" w:rsidP="00BE621F">
      <w:pPr>
        <w:pStyle w:val="Numberbullet0"/>
        <w:numPr>
          <w:ilvl w:val="0"/>
          <w:numId w:val="11"/>
        </w:numPr>
      </w:pPr>
      <w:r w:rsidRPr="002546F8">
        <w:t xml:space="preserve">M. </w:t>
      </w:r>
      <w:proofErr w:type="spellStart"/>
      <w:r w:rsidRPr="002546F8">
        <w:t>Chitlur</w:t>
      </w:r>
      <w:proofErr w:type="spellEnd"/>
      <w:r w:rsidRPr="002546F8">
        <w:t xml:space="preserve"> M, </w:t>
      </w:r>
      <w:proofErr w:type="spellStart"/>
      <w:r w:rsidRPr="002546F8">
        <w:t>Warrier</w:t>
      </w:r>
      <w:proofErr w:type="spellEnd"/>
      <w:r w:rsidRPr="002546F8">
        <w:t xml:space="preserve"> I, </w:t>
      </w:r>
      <w:proofErr w:type="spellStart"/>
      <w:r w:rsidRPr="002546F8">
        <w:t>Rajpurkar</w:t>
      </w:r>
      <w:proofErr w:type="spellEnd"/>
      <w:r w:rsidRPr="002546F8">
        <w:t xml:space="preserve"> M et al. </w:t>
      </w:r>
      <w:r w:rsidR="002A691C">
        <w:t>(</w:t>
      </w:r>
      <w:r w:rsidR="002A691C" w:rsidRPr="00BE621F">
        <w:t>2009</w:t>
      </w:r>
      <w:r w:rsidR="002A691C">
        <w:t xml:space="preserve">). </w:t>
      </w:r>
      <w:r w:rsidRPr="002546F8">
        <w:t xml:space="preserve">Inhibitors in factor IX deficiency a report of the ISTH-SSC international FIX inhibitor registry (1997–2006). </w:t>
      </w:r>
      <w:r w:rsidRPr="00BE621F">
        <w:rPr>
          <w:i/>
        </w:rPr>
        <w:t>Haemophilia</w:t>
      </w:r>
      <w:r w:rsidR="002A691C" w:rsidRPr="002A691C">
        <w:t>.</w:t>
      </w:r>
      <w:r w:rsidRPr="002546F8">
        <w:t xml:space="preserve"> 15 (5) 1027–1031</w:t>
      </w:r>
      <w:r w:rsidR="002A691C">
        <w:t>.</w:t>
      </w:r>
    </w:p>
    <w:p w:rsidR="002546F8" w:rsidRPr="002546F8" w:rsidRDefault="002546F8" w:rsidP="00BE621F">
      <w:pPr>
        <w:pStyle w:val="Numberbullet0"/>
        <w:numPr>
          <w:ilvl w:val="0"/>
          <w:numId w:val="11"/>
        </w:numPr>
      </w:pPr>
      <w:r w:rsidRPr="002546F8">
        <w:t xml:space="preserve">Shapiro AD, </w:t>
      </w:r>
      <w:proofErr w:type="spellStart"/>
      <w:r w:rsidRPr="002546F8">
        <w:t>Ragni</w:t>
      </w:r>
      <w:proofErr w:type="spellEnd"/>
      <w:r w:rsidRPr="002546F8">
        <w:t xml:space="preserve"> MV, Valentino LA, et al. </w:t>
      </w:r>
      <w:r w:rsidR="002A691C">
        <w:t>(</w:t>
      </w:r>
      <w:r w:rsidR="002A691C" w:rsidRPr="00BE621F">
        <w:t>2012</w:t>
      </w:r>
      <w:r w:rsidR="002A691C">
        <w:t xml:space="preserve">). </w:t>
      </w:r>
      <w:r w:rsidRPr="002546F8">
        <w:t>Recombinant factor IX-Fc fusion protein (</w:t>
      </w:r>
      <w:proofErr w:type="spellStart"/>
      <w:r w:rsidRPr="002546F8">
        <w:t>rFIXFc</w:t>
      </w:r>
      <w:proofErr w:type="spellEnd"/>
      <w:r w:rsidRPr="002546F8">
        <w:t xml:space="preserve">) demonstrates safety and prolonged activity in a </w:t>
      </w:r>
      <w:r w:rsidR="002A691C">
        <w:t>P</w:t>
      </w:r>
      <w:r w:rsidRPr="002546F8">
        <w:t xml:space="preserve">hase 1/2a study in </w:t>
      </w:r>
      <w:proofErr w:type="spellStart"/>
      <w:r w:rsidRPr="002546F8">
        <w:t>hemophilia</w:t>
      </w:r>
      <w:proofErr w:type="spellEnd"/>
      <w:r w:rsidRPr="002546F8">
        <w:t xml:space="preserve"> B patients. </w:t>
      </w:r>
      <w:r w:rsidRPr="00BE621F">
        <w:rPr>
          <w:i/>
        </w:rPr>
        <w:t>Blood</w:t>
      </w:r>
      <w:r w:rsidRPr="002546F8">
        <w:t>. 119(3): 666-</w:t>
      </w:r>
      <w:r w:rsidR="007F3AD2">
        <w:t>6</w:t>
      </w:r>
      <w:r w:rsidRPr="002546F8">
        <w:t>72.</w:t>
      </w:r>
    </w:p>
    <w:p w:rsidR="008D770F" w:rsidRPr="00AE01C2" w:rsidRDefault="008D770F" w:rsidP="008B5A3E">
      <w:pPr>
        <w:rPr>
          <w:lang w:eastAsia="ja-JP"/>
        </w:rPr>
      </w:pPr>
    </w:p>
    <w:p w:rsidR="003D1E62" w:rsidRPr="001D043B" w:rsidRDefault="003D1E62" w:rsidP="002666AC">
      <w:pPr>
        <w:sectPr w:rsidR="003D1E62" w:rsidRPr="001D043B" w:rsidSect="008D770F">
          <w:headerReference w:type="even" r:id="rId39"/>
          <w:headerReference w:type="default" r:id="rId40"/>
          <w:footerReference w:type="default" r:id="rId41"/>
          <w:headerReference w:type="first" r:id="rId42"/>
          <w:footerReference w:type="first" r:id="rId43"/>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4"/>
      <w:headerReference w:type="default" r:id="rId45"/>
      <w:footerReference w:type="default" r:id="rId46"/>
      <w:headerReference w:type="first" r:id="rId47"/>
      <w:footerReference w:type="first" r:id="rId48"/>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AE0" w:rsidRDefault="00AF1AE0" w:rsidP="00C40A36">
      <w:pPr>
        <w:spacing w:after="0"/>
      </w:pPr>
      <w:r>
        <w:separator/>
      </w:r>
    </w:p>
  </w:endnote>
  <w:endnote w:type="continuationSeparator" w:id="0">
    <w:p w:rsidR="00AF1AE0" w:rsidRDefault="00AF1AE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HﬁˇøË–">
    <w:altName w:val="Cambria"/>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F1AE0" w:rsidRPr="00487162" w:rsidTr="0053625B">
      <w:trPr>
        <w:trHeight w:val="269"/>
      </w:trPr>
      <w:tc>
        <w:tcPr>
          <w:tcW w:w="7938" w:type="dxa"/>
          <w:tcMar>
            <w:top w:w="142" w:type="dxa"/>
            <w:bottom w:w="0" w:type="dxa"/>
          </w:tcMar>
        </w:tcPr>
        <w:p w:rsidR="00AF1AE0" w:rsidRPr="00487162" w:rsidRDefault="00AF1AE0" w:rsidP="00C310B7">
          <w:pPr>
            <w:pStyle w:val="Footer"/>
          </w:pPr>
          <w:r>
            <w:t>Submission</w:t>
          </w:r>
          <w:r w:rsidRPr="00487162">
            <w:t xml:space="preserve"> PM-20</w:t>
          </w:r>
          <w:r>
            <w:t>13-00745</w:t>
          </w:r>
          <w:r w:rsidRPr="00487162">
            <w:t>-</w:t>
          </w:r>
          <w:r>
            <w:t>1</w:t>
          </w:r>
          <w:r w:rsidRPr="00487162">
            <w:t>-</w:t>
          </w:r>
          <w:r>
            <w:t>4 Extract from the Clinical Evaluation Report for eftrenonacog alfa/Alprolix</w:t>
          </w:r>
        </w:p>
      </w:tc>
      <w:tc>
        <w:tcPr>
          <w:tcW w:w="923" w:type="dxa"/>
          <w:tcMar>
            <w:top w:w="142" w:type="dxa"/>
            <w:bottom w:w="0" w:type="dxa"/>
          </w:tcMar>
        </w:tcPr>
        <w:p w:rsidR="00AF1AE0" w:rsidRPr="00487162" w:rsidRDefault="00AF1AE0"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2B58B5">
            <w:rPr>
              <w:noProof/>
            </w:rPr>
            <w:t>46</w:t>
          </w:r>
          <w:r>
            <w:rPr>
              <w:noProof/>
            </w:rPr>
            <w:fldChar w:fldCharType="end"/>
          </w:r>
        </w:p>
      </w:tc>
    </w:tr>
  </w:tbl>
  <w:p w:rsidR="00AF1AE0" w:rsidRDefault="00AF1AE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AF1AE0" w:rsidRPr="00487162" w:rsidTr="00586F98">
      <w:trPr>
        <w:trHeight w:val="269"/>
      </w:trPr>
      <w:tc>
        <w:tcPr>
          <w:tcW w:w="7655" w:type="dxa"/>
          <w:tcMar>
            <w:top w:w="142" w:type="dxa"/>
            <w:bottom w:w="0" w:type="dxa"/>
          </w:tcMar>
        </w:tcPr>
        <w:p w:rsidR="00AF1AE0" w:rsidRPr="00487162" w:rsidRDefault="00AF1AE0" w:rsidP="00C310B7">
          <w:pPr>
            <w:pStyle w:val="Footer"/>
          </w:pPr>
          <w:r>
            <w:t>Submission</w:t>
          </w:r>
          <w:r w:rsidRPr="00487162">
            <w:t xml:space="preserve"> PM-20</w:t>
          </w:r>
          <w:r>
            <w:t>13-00745</w:t>
          </w:r>
          <w:r w:rsidRPr="00487162">
            <w:t>-</w:t>
          </w:r>
          <w:r>
            <w:t>1</w:t>
          </w:r>
          <w:r w:rsidRPr="00487162">
            <w:t>-</w:t>
          </w:r>
          <w:r>
            <w:t>4 Extract from the Clinical Evaluation Report for eftrenonacog alfa/Alprolix</w:t>
          </w:r>
        </w:p>
      </w:tc>
      <w:tc>
        <w:tcPr>
          <w:tcW w:w="1206" w:type="dxa"/>
          <w:tcMar>
            <w:top w:w="142" w:type="dxa"/>
            <w:bottom w:w="0" w:type="dxa"/>
          </w:tcMar>
        </w:tcPr>
        <w:p w:rsidR="00AF1AE0" w:rsidRPr="00487162" w:rsidRDefault="00AF1AE0" w:rsidP="00E45619">
          <w:pPr>
            <w:pStyle w:val="Footer"/>
            <w:jc w:val="right"/>
          </w:pPr>
          <w:r w:rsidRPr="00487162">
            <w:t xml:space="preserve">Page </w:t>
          </w:r>
          <w:r>
            <w:fldChar w:fldCharType="begin"/>
          </w:r>
          <w:r>
            <w:instrText>PAGE</w:instrText>
          </w:r>
          <w:r>
            <w:fldChar w:fldCharType="separate"/>
          </w:r>
          <w:r w:rsidR="002B58B5">
            <w:rPr>
              <w:noProof/>
            </w:rPr>
            <w:t>3</w:t>
          </w:r>
          <w:r>
            <w:fldChar w:fldCharType="end"/>
          </w:r>
          <w:r w:rsidRPr="00487162">
            <w:t xml:space="preserve"> of </w:t>
          </w:r>
          <w:r>
            <w:fldChar w:fldCharType="begin"/>
          </w:r>
          <w:r>
            <w:instrText xml:space="preserve"> NUMPAGES  \* Arabic </w:instrText>
          </w:r>
          <w:r>
            <w:fldChar w:fldCharType="separate"/>
          </w:r>
          <w:r w:rsidR="002B58B5">
            <w:rPr>
              <w:noProof/>
            </w:rPr>
            <w:t>46</w:t>
          </w:r>
          <w:r>
            <w:rPr>
              <w:noProof/>
            </w:rPr>
            <w:fldChar w:fldCharType="end"/>
          </w:r>
        </w:p>
      </w:tc>
    </w:tr>
  </w:tbl>
  <w:p w:rsidR="00AF1AE0" w:rsidRDefault="00AF1AE0"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F1AE0" w:rsidRPr="00487162" w:rsidTr="00E45619">
      <w:trPr>
        <w:trHeight w:val="269"/>
      </w:trPr>
      <w:tc>
        <w:tcPr>
          <w:tcW w:w="4519" w:type="dxa"/>
          <w:tcBorders>
            <w:top w:val="single" w:sz="4" w:space="0" w:color="auto"/>
          </w:tcBorders>
          <w:tcMar>
            <w:top w:w="142" w:type="dxa"/>
            <w:bottom w:w="0" w:type="dxa"/>
          </w:tcMar>
        </w:tcPr>
        <w:p w:rsidR="00AF1AE0" w:rsidRPr="00487162" w:rsidRDefault="00AF1AE0" w:rsidP="00FE1DEE">
          <w:pPr>
            <w:pStyle w:val="Footer"/>
          </w:pPr>
          <w:r w:rsidRPr="00487162">
            <w:t>Document title, Part #, Section # - Section title</w:t>
          </w:r>
        </w:p>
        <w:p w:rsidR="00AF1AE0" w:rsidRPr="00487162" w:rsidRDefault="00AF1AE0" w:rsidP="00FE1DEE">
          <w:pPr>
            <w:pStyle w:val="Footer"/>
          </w:pPr>
          <w:r w:rsidRPr="00487162">
            <w:t>V1.0 October 2010</w:t>
          </w:r>
        </w:p>
      </w:tc>
      <w:tc>
        <w:tcPr>
          <w:tcW w:w="4342" w:type="dxa"/>
          <w:tcBorders>
            <w:top w:val="single" w:sz="4" w:space="0" w:color="auto"/>
          </w:tcBorders>
          <w:tcMar>
            <w:top w:w="142" w:type="dxa"/>
            <w:bottom w:w="0" w:type="dxa"/>
          </w:tcMar>
        </w:tcPr>
        <w:p w:rsidR="00AF1AE0" w:rsidRPr="00487162" w:rsidRDefault="00AF1AE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fldChar w:fldCharType="begin"/>
          </w:r>
          <w:r>
            <w:instrText xml:space="preserve"> NUMPAGES  </w:instrText>
          </w:r>
          <w:r>
            <w:fldChar w:fldCharType="separate"/>
          </w:r>
          <w:r>
            <w:rPr>
              <w:noProof/>
            </w:rPr>
            <w:t>60</w:t>
          </w:r>
          <w:r>
            <w:rPr>
              <w:noProof/>
            </w:rPr>
            <w:fldChar w:fldCharType="end"/>
          </w:r>
        </w:p>
      </w:tc>
    </w:tr>
  </w:tbl>
  <w:p w:rsidR="00AF1AE0" w:rsidRDefault="00AF1A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AF1AE0" w:rsidRPr="00487162" w:rsidTr="008D770F">
      <w:trPr>
        <w:trHeight w:hRule="exact" w:val="564"/>
      </w:trPr>
      <w:tc>
        <w:tcPr>
          <w:tcW w:w="9175" w:type="dxa"/>
        </w:tcPr>
        <w:p w:rsidR="00AF1AE0" w:rsidRPr="00487162" w:rsidRDefault="00AF1AE0" w:rsidP="008E7846">
          <w:pPr>
            <w:pStyle w:val="TGASignoff"/>
          </w:pPr>
          <w:r w:rsidRPr="00487162">
            <w:t>Therapeutic Goods Administration</w:t>
          </w:r>
        </w:p>
      </w:tc>
    </w:tr>
    <w:tr w:rsidR="00AF1AE0" w:rsidRPr="00487162" w:rsidTr="00E45619">
      <w:trPr>
        <w:trHeight w:val="1221"/>
      </w:trPr>
      <w:tc>
        <w:tcPr>
          <w:tcW w:w="9175" w:type="dxa"/>
          <w:tcMar>
            <w:top w:w="28" w:type="dxa"/>
          </w:tcMar>
        </w:tcPr>
        <w:p w:rsidR="00AF1AE0" w:rsidRPr="00487162" w:rsidRDefault="00AF1AE0" w:rsidP="00E45619">
          <w:pPr>
            <w:pStyle w:val="Address"/>
          </w:pPr>
          <w:r w:rsidRPr="00487162">
            <w:t>PO Box 100 Woden ACT 2606 Australia</w:t>
          </w:r>
        </w:p>
        <w:p w:rsidR="00AF1AE0" w:rsidRPr="00487162" w:rsidRDefault="00AF1AE0"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AF1AE0" w:rsidRPr="008D770F" w:rsidRDefault="00AF1AE0" w:rsidP="008D770F">
          <w:pPr>
            <w:pStyle w:val="Address"/>
            <w:spacing w:line="260" w:lineRule="atLeast"/>
            <w:rPr>
              <w:b/>
              <w:color w:val="0000FF"/>
              <w:u w:val="single"/>
            </w:rPr>
          </w:pPr>
          <w:hyperlink r:id="rId2" w:history="1">
            <w:r w:rsidRPr="007C06C7">
              <w:rPr>
                <w:rStyle w:val="Hyperlink"/>
                <w:b/>
              </w:rPr>
              <w:t>http://www.tga.gov.au</w:t>
            </w:r>
          </w:hyperlink>
        </w:p>
      </w:tc>
    </w:tr>
  </w:tbl>
  <w:p w:rsidR="00AF1AE0" w:rsidRDefault="00AF1AE0"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F1AE0" w:rsidTr="0010601F">
      <w:trPr>
        <w:trHeight w:val="108"/>
      </w:trPr>
      <w:tc>
        <w:tcPr>
          <w:tcW w:w="8875" w:type="dxa"/>
          <w:gridSpan w:val="2"/>
          <w:tcBorders>
            <w:bottom w:val="single" w:sz="4" w:space="0" w:color="auto"/>
          </w:tcBorders>
          <w:tcMar>
            <w:right w:w="284" w:type="dxa"/>
          </w:tcMar>
        </w:tcPr>
        <w:p w:rsidR="00AF1AE0" w:rsidRDefault="00AF1AE0" w:rsidP="006E08B3">
          <w:pPr>
            <w:pStyle w:val="Heading3"/>
          </w:pPr>
          <w:r>
            <w:t>Copyright</w:t>
          </w:r>
        </w:p>
        <w:p w:rsidR="00AF1AE0" w:rsidRDefault="00AF1AE0" w:rsidP="006E08B3">
          <w:r>
            <w:rPr>
              <w:rFonts w:cs="Arial"/>
            </w:rPr>
            <w:t>©</w:t>
          </w:r>
          <w:r>
            <w:t xml:space="preserve"> Commonwealth of Australia [add year]</w:t>
          </w:r>
        </w:p>
        <w:p w:rsidR="00AF1AE0" w:rsidRDefault="00AF1AE0" w:rsidP="006E08B3"/>
        <w:p w:rsidR="00AF1AE0" w:rsidRDefault="00AF1AE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F1AE0" w:rsidRDefault="00AF1AE0" w:rsidP="006E08B3"/>
        <w:p w:rsidR="00AF1AE0" w:rsidRDefault="00AF1AE0" w:rsidP="006E08B3">
          <w:pPr>
            <w:pStyle w:val="Heading3"/>
          </w:pPr>
          <w:r>
            <w:t>Confidentiality</w:t>
          </w:r>
        </w:p>
        <w:p w:rsidR="00AF1AE0" w:rsidRDefault="00AF1AE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F1AE0" w:rsidRDefault="00AF1AE0" w:rsidP="006E08B3"/>
        <w:p w:rsidR="00AF1AE0" w:rsidRDefault="00AF1AE0" w:rsidP="006E08B3">
          <w:r>
            <w:t>For submission made by individuals, all personal details, other than your name, will be removed from your submission before it is published on the TGA’s Internet site.</w:t>
          </w:r>
        </w:p>
        <w:p w:rsidR="00AF1AE0" w:rsidRDefault="00AF1AE0" w:rsidP="006E08B3"/>
        <w:p w:rsidR="00AF1AE0" w:rsidRDefault="00AF1AE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F1AE0" w:rsidTr="0010601F">
      <w:trPr>
        <w:trHeight w:val="417"/>
      </w:trPr>
      <w:tc>
        <w:tcPr>
          <w:tcW w:w="4519" w:type="dxa"/>
          <w:tcBorders>
            <w:top w:val="single" w:sz="4" w:space="0" w:color="auto"/>
          </w:tcBorders>
          <w:tcMar>
            <w:top w:w="142" w:type="dxa"/>
            <w:bottom w:w="0" w:type="dxa"/>
          </w:tcMar>
        </w:tcPr>
        <w:p w:rsidR="00AF1AE0" w:rsidRDefault="00AF1AE0" w:rsidP="006E08B3">
          <w:r>
            <w:t>Document title, Part #, Section # - Section title</w:t>
          </w:r>
        </w:p>
        <w:p w:rsidR="00AF1AE0" w:rsidRDefault="00AF1AE0" w:rsidP="006E08B3">
          <w:r>
            <w:t>V1.0 October 2010</w:t>
          </w:r>
        </w:p>
      </w:tc>
      <w:tc>
        <w:tcPr>
          <w:tcW w:w="4356" w:type="dxa"/>
          <w:tcBorders>
            <w:top w:val="single" w:sz="4" w:space="0" w:color="auto"/>
          </w:tcBorders>
          <w:tcMar>
            <w:top w:w="142" w:type="dxa"/>
            <w:bottom w:w="0" w:type="dxa"/>
          </w:tcMar>
        </w:tcPr>
        <w:p w:rsidR="00AF1AE0" w:rsidRDefault="00AF1AE0"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fldChar w:fldCharType="begin"/>
          </w:r>
          <w:r>
            <w:instrText xml:space="preserve"> NUMPAGES  \* Arabic </w:instrText>
          </w:r>
          <w:r>
            <w:fldChar w:fldCharType="separate"/>
          </w:r>
          <w:r>
            <w:rPr>
              <w:noProof/>
            </w:rPr>
            <w:t>60</w:t>
          </w:r>
          <w:r>
            <w:rPr>
              <w:noProof/>
            </w:rPr>
            <w:fldChar w:fldCharType="end"/>
          </w:r>
          <w:r>
            <w:t xml:space="preserve">  </w:t>
          </w:r>
        </w:p>
      </w:tc>
    </w:tr>
  </w:tbl>
  <w:p w:rsidR="00AF1AE0" w:rsidRDefault="00AF1A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AE0" w:rsidRDefault="00AF1AE0" w:rsidP="00C40A36">
      <w:pPr>
        <w:spacing w:after="0"/>
      </w:pPr>
      <w:r>
        <w:separator/>
      </w:r>
    </w:p>
  </w:footnote>
  <w:footnote w:type="continuationSeparator" w:id="0">
    <w:p w:rsidR="00AF1AE0" w:rsidRDefault="00AF1AE0" w:rsidP="00C40A36">
      <w:pPr>
        <w:spacing w:after="0"/>
      </w:pPr>
      <w:r>
        <w:continuationSeparator/>
      </w:r>
    </w:p>
  </w:footnote>
  <w:footnote w:id="1">
    <w:p w:rsidR="00AF1AE0" w:rsidRDefault="00AF1AE0" w:rsidP="00811CA8">
      <w:pPr>
        <w:pStyle w:val="FootnoteText"/>
      </w:pPr>
      <w:r>
        <w:rPr>
          <w:rStyle w:val="FootnoteReference"/>
        </w:rPr>
        <w:footnoteRef/>
      </w:r>
      <w:r>
        <w:t xml:space="preserve"> Sponsor clarification: Pivotal study 998HB102 </w:t>
      </w:r>
      <w:r w:rsidRPr="00811CA8">
        <w:t>allowed</w:t>
      </w:r>
      <w:r>
        <w:t xml:space="preserve"> a 14 day or longer interval.</w:t>
      </w:r>
    </w:p>
  </w:footnote>
  <w:footnote w:id="2">
    <w:p w:rsidR="00AF1AE0" w:rsidRDefault="00AF1AE0" w:rsidP="00811CA8">
      <w:pPr>
        <w:pStyle w:val="FootnoteText"/>
      </w:pPr>
      <w:r>
        <w:rPr>
          <w:rStyle w:val="FootnoteReference"/>
        </w:rPr>
        <w:footnoteRef/>
      </w:r>
      <w:r>
        <w:t xml:space="preserve"> See approved PI for finally approved dosage regimen, which recommends starting regimens of either 50 IU/kg once weekly or 100 IU/kg once every 10 days. Either regimen may be adjusted based on </w:t>
      </w:r>
      <w:r w:rsidRPr="00811CA8">
        <w:t>patient</w:t>
      </w:r>
      <w:r>
        <w:t xml:space="preserve"> response.</w:t>
      </w:r>
    </w:p>
  </w:footnote>
  <w:footnote w:id="3">
    <w:p w:rsidR="00AF1AE0" w:rsidRDefault="00AF1AE0">
      <w:pPr>
        <w:pStyle w:val="FootnoteText"/>
      </w:pPr>
      <w:r>
        <w:rPr>
          <w:rStyle w:val="FootnoteReference"/>
        </w:rPr>
        <w:footnoteRef/>
      </w:r>
      <w:r>
        <w:t xml:space="preserve"> Sponsor clarification: A primary objective of Study 998HB102 was “To evaluate the safety and tolerability of </w:t>
      </w:r>
      <w:proofErr w:type="spellStart"/>
      <w:r>
        <w:t>rFIXFc</w:t>
      </w:r>
      <w:proofErr w:type="spellEnd"/>
      <w:r>
        <w:t>”</w:t>
      </w:r>
    </w:p>
  </w:footnote>
  <w:footnote w:id="4">
    <w:p w:rsidR="00AF1AE0" w:rsidRDefault="00AF1AE0">
      <w:pPr>
        <w:pStyle w:val="FootnoteText"/>
      </w:pPr>
      <w:r>
        <w:rPr>
          <w:rStyle w:val="FootnoteReference"/>
        </w:rPr>
        <w:footnoteRef/>
      </w:r>
      <w:r>
        <w:t xml:space="preserve"> Sponsor clarification: These subjects were not necessarily unique as there is a possibility of overlap of subjects from Phase I/</w:t>
      </w:r>
      <w:proofErr w:type="spellStart"/>
      <w:r>
        <w:t>IIa</w:t>
      </w:r>
      <w:proofErr w:type="spellEnd"/>
      <w:r>
        <w:t xml:space="preserve"> to Phase III. The sponsor suggested the total included more than 130 unique subjects exposed to </w:t>
      </w:r>
      <w:proofErr w:type="spellStart"/>
      <w:r>
        <w:t>rFIXFc</w:t>
      </w:r>
      <w:proofErr w:type="spellEnd"/>
      <w:r>
        <w:t>.</w:t>
      </w:r>
    </w:p>
  </w:footnote>
  <w:footnote w:id="5">
    <w:p w:rsidR="00AF1AE0" w:rsidRPr="00EA19FD" w:rsidRDefault="00AF1AE0" w:rsidP="00EA19FD">
      <w:pPr>
        <w:pStyle w:val="FootnoteText"/>
      </w:pPr>
      <w:r>
        <w:rPr>
          <w:rStyle w:val="FootnoteReference"/>
        </w:rPr>
        <w:footnoteRef/>
      </w:r>
      <w:r>
        <w:t xml:space="preserve"> The sponsor provided information about this subject in the r</w:t>
      </w:r>
      <w:r w:rsidRPr="00B937F4">
        <w:t xml:space="preserve">esponse to </w:t>
      </w:r>
      <w:r>
        <w:t>a TGA r</w:t>
      </w:r>
      <w:r w:rsidRPr="00B937F4">
        <w:t>equest</w:t>
      </w:r>
      <w:r>
        <w:t xml:space="preserve"> for further information</w:t>
      </w:r>
      <w:r w:rsidRPr="00B937F4">
        <w:t xml:space="preserve">, and </w:t>
      </w:r>
      <w:r>
        <w:t xml:space="preserve">concluded </w:t>
      </w:r>
      <w:r w:rsidRPr="00B937F4">
        <w:t xml:space="preserve">that a nephrotoxic effect of </w:t>
      </w:r>
      <w:proofErr w:type="spellStart"/>
      <w:r w:rsidRPr="00B937F4">
        <w:t>rFIXFc</w:t>
      </w:r>
      <w:proofErr w:type="spellEnd"/>
      <w:r w:rsidRPr="00B937F4">
        <w:t xml:space="preserve"> treatment is unlikely based on chemistry data from non-clinical to</w:t>
      </w:r>
      <w:r>
        <w:t>xicology studies and the Phase III</w:t>
      </w:r>
      <w:r w:rsidRPr="00B937F4">
        <w:t xml:space="preserve"> study, and further review of da</w:t>
      </w:r>
      <w:r>
        <w:t xml:space="preserve">ta for this subject </w:t>
      </w:r>
      <w:r w:rsidRPr="00B937F4">
        <w:t>demonstrating multiple factors potentially contributing to his renal insufficiency.</w:t>
      </w:r>
    </w:p>
  </w:footnote>
  <w:footnote w:id="6">
    <w:p w:rsidR="00AF1AE0" w:rsidRDefault="00AF1AE0" w:rsidP="00BE621F">
      <w:pPr>
        <w:pStyle w:val="FootnoteText"/>
      </w:pPr>
      <w:r>
        <w:rPr>
          <w:rStyle w:val="FootnoteReference"/>
        </w:rPr>
        <w:footnoteRef/>
      </w:r>
      <w:r>
        <w:t xml:space="preserve"> Sponsor clarification: These subjects were not necessarily unique as there is a possibility of overlap of subjects from Phase I/</w:t>
      </w:r>
      <w:proofErr w:type="spellStart"/>
      <w:r>
        <w:t>IIa</w:t>
      </w:r>
      <w:proofErr w:type="spellEnd"/>
      <w:r>
        <w:t xml:space="preserve"> to Phase III. The </w:t>
      </w:r>
      <w:r w:rsidRPr="00BE621F">
        <w:t>sponsor</w:t>
      </w:r>
      <w:r>
        <w:t xml:space="preserve"> suggested the total included more than 130 unique subjects exposed to </w:t>
      </w:r>
      <w:proofErr w:type="spellStart"/>
      <w:r>
        <w:t>rFIXFc</w:t>
      </w:r>
      <w:proofErr w:type="spellEnd"/>
      <w:r>
        <w:t>.</w:t>
      </w:r>
    </w:p>
  </w:footnote>
  <w:footnote w:id="7">
    <w:p w:rsidR="00AF1AE0" w:rsidRDefault="00AF1AE0" w:rsidP="00BE621F">
      <w:pPr>
        <w:pStyle w:val="FootnoteText"/>
      </w:pPr>
      <w:r>
        <w:rPr>
          <w:rStyle w:val="FootnoteReference"/>
        </w:rPr>
        <w:footnoteRef/>
      </w:r>
      <w:r>
        <w:t xml:space="preserve"> The sponsor provided information about this subject in the r</w:t>
      </w:r>
      <w:r w:rsidRPr="00B937F4">
        <w:t xml:space="preserve">esponse to </w:t>
      </w:r>
      <w:r>
        <w:t>a TGA r</w:t>
      </w:r>
      <w:r w:rsidRPr="00B937F4">
        <w:t>equest</w:t>
      </w:r>
      <w:r>
        <w:t xml:space="preserve"> for further information</w:t>
      </w:r>
      <w:r w:rsidRPr="00B937F4">
        <w:t xml:space="preserve">, and </w:t>
      </w:r>
      <w:r>
        <w:t xml:space="preserve">concluded </w:t>
      </w:r>
      <w:r w:rsidRPr="00B937F4">
        <w:t xml:space="preserve">that a nephrotoxic effect of </w:t>
      </w:r>
      <w:proofErr w:type="spellStart"/>
      <w:r w:rsidRPr="00B937F4">
        <w:t>rFIXFc</w:t>
      </w:r>
      <w:proofErr w:type="spellEnd"/>
      <w:r w:rsidRPr="00B937F4">
        <w:t xml:space="preserve"> </w:t>
      </w:r>
      <w:r w:rsidRPr="00BE621F">
        <w:t>treatment</w:t>
      </w:r>
      <w:r w:rsidRPr="00B937F4">
        <w:t xml:space="preserve"> is unlikely based on chemistry data from non-clinical to</w:t>
      </w:r>
      <w:r>
        <w:t>xicology studies and the Phase III</w:t>
      </w:r>
      <w:r w:rsidRPr="00B937F4">
        <w:t xml:space="preserve"> study, and further review of da</w:t>
      </w:r>
      <w:r>
        <w:t xml:space="preserve">ta for this subject </w:t>
      </w:r>
      <w:r w:rsidRPr="00B937F4">
        <w:t>demonstrating multiple factors potentially contributing to his renal insufficiency.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0" w:rsidRDefault="00AF1AE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0" w:rsidRDefault="00AF1AE0">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-1084050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pic:spPr>
              </pic:pic>
            </a:graphicData>
          </a:graphic>
          <wp14:sizeRelH relativeFrom="page">
            <wp14:pctWidth>0</wp14:pctWidth>
          </wp14:sizeRelH>
          <wp14:sizeRelV relativeFrom="page">
            <wp14:pctHeight>0</wp14:pctHeight>
          </wp14:sizeRelV>
        </wp:anchor>
      </w:drawing>
    </w:r>
  </w:p>
  <w:p w:rsidR="00AF1AE0" w:rsidRDefault="00AF1AE0" w:rsidP="00593AD1">
    <w:pPr>
      <w:pStyle w:val="HeaderNoLine"/>
    </w:pPr>
    <w:r>
      <w:rPr>
        <w:noProof/>
        <w:lang w:eastAsia="en-AU"/>
      </w:rPr>
      <w:drawing>
        <wp:inline distT="0" distB="0" distL="0" distR="0">
          <wp:extent cx="5396865" cy="7635240"/>
          <wp:effectExtent l="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0" w:rsidRDefault="00AF1A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0" w:rsidRDefault="00AF1AE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0" w:rsidRDefault="00AF1AE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0" w:rsidRDefault="00AF1A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0" w:rsidRDefault="00AF1AE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AE0" w:rsidRDefault="00AF1AE0" w:rsidP="006E08B3">
    <w:r>
      <w:t>Therapeutic Goods Administration</w:t>
    </w:r>
  </w:p>
  <w:p w:rsidR="00AF1AE0" w:rsidRDefault="00AF1AE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D6F61B0E"/>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CB35AEC"/>
    <w:multiLevelType w:val="hybridMultilevel"/>
    <w:tmpl w:val="902C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5"/>
  </w:num>
  <w:num w:numId="6">
    <w:abstractNumId w:val="2"/>
  </w:num>
  <w:num w:numId="7">
    <w:abstractNumId w:val="3"/>
  </w:num>
  <w:num w:numId="8">
    <w:abstractNumId w:val="4"/>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0B"/>
    <w:rsid w:val="00006B22"/>
    <w:rsid w:val="0001276A"/>
    <w:rsid w:val="00012DF3"/>
    <w:rsid w:val="00017AC2"/>
    <w:rsid w:val="000246AE"/>
    <w:rsid w:val="00025C67"/>
    <w:rsid w:val="00040ACB"/>
    <w:rsid w:val="0004502F"/>
    <w:rsid w:val="00045D76"/>
    <w:rsid w:val="0005559E"/>
    <w:rsid w:val="00061004"/>
    <w:rsid w:val="000632B1"/>
    <w:rsid w:val="00063C4E"/>
    <w:rsid w:val="00065D0B"/>
    <w:rsid w:val="00074B1E"/>
    <w:rsid w:val="00077775"/>
    <w:rsid w:val="00087DD7"/>
    <w:rsid w:val="00090471"/>
    <w:rsid w:val="000A2214"/>
    <w:rsid w:val="000A3AED"/>
    <w:rsid w:val="000A63AF"/>
    <w:rsid w:val="000B19C8"/>
    <w:rsid w:val="000B23A5"/>
    <w:rsid w:val="000B2F23"/>
    <w:rsid w:val="000B3532"/>
    <w:rsid w:val="000B3688"/>
    <w:rsid w:val="000B3A75"/>
    <w:rsid w:val="000C283A"/>
    <w:rsid w:val="000C3AB7"/>
    <w:rsid w:val="000C690F"/>
    <w:rsid w:val="000D1295"/>
    <w:rsid w:val="000D391B"/>
    <w:rsid w:val="000D3D6D"/>
    <w:rsid w:val="000D4FC7"/>
    <w:rsid w:val="000D709B"/>
    <w:rsid w:val="000D7968"/>
    <w:rsid w:val="000F02F9"/>
    <w:rsid w:val="000F357D"/>
    <w:rsid w:val="000F4869"/>
    <w:rsid w:val="000F5B42"/>
    <w:rsid w:val="000F6E6F"/>
    <w:rsid w:val="00104613"/>
    <w:rsid w:val="0010601F"/>
    <w:rsid w:val="0010788A"/>
    <w:rsid w:val="00107A31"/>
    <w:rsid w:val="00110EA5"/>
    <w:rsid w:val="00112F56"/>
    <w:rsid w:val="001233AF"/>
    <w:rsid w:val="00125318"/>
    <w:rsid w:val="00127C00"/>
    <w:rsid w:val="001305A2"/>
    <w:rsid w:val="00130DFC"/>
    <w:rsid w:val="00133238"/>
    <w:rsid w:val="001361AE"/>
    <w:rsid w:val="0014197B"/>
    <w:rsid w:val="001447CD"/>
    <w:rsid w:val="001516B1"/>
    <w:rsid w:val="001549A4"/>
    <w:rsid w:val="00154EBB"/>
    <w:rsid w:val="00156316"/>
    <w:rsid w:val="00156DD3"/>
    <w:rsid w:val="00165389"/>
    <w:rsid w:val="0017078F"/>
    <w:rsid w:val="001720D8"/>
    <w:rsid w:val="0017410B"/>
    <w:rsid w:val="0017693F"/>
    <w:rsid w:val="0018110E"/>
    <w:rsid w:val="00181684"/>
    <w:rsid w:val="001835D7"/>
    <w:rsid w:val="0018385D"/>
    <w:rsid w:val="001843C6"/>
    <w:rsid w:val="001850E0"/>
    <w:rsid w:val="001A2158"/>
    <w:rsid w:val="001A525F"/>
    <w:rsid w:val="001B09F9"/>
    <w:rsid w:val="001B3B69"/>
    <w:rsid w:val="001B6448"/>
    <w:rsid w:val="001C0850"/>
    <w:rsid w:val="001E0258"/>
    <w:rsid w:val="001E07CF"/>
    <w:rsid w:val="001E59F1"/>
    <w:rsid w:val="001F4813"/>
    <w:rsid w:val="001F49EB"/>
    <w:rsid w:val="001F6B54"/>
    <w:rsid w:val="001F6CBA"/>
    <w:rsid w:val="002009A5"/>
    <w:rsid w:val="00201D4E"/>
    <w:rsid w:val="00205D74"/>
    <w:rsid w:val="002076C9"/>
    <w:rsid w:val="0021425C"/>
    <w:rsid w:val="00214DC1"/>
    <w:rsid w:val="00217B82"/>
    <w:rsid w:val="00220B8A"/>
    <w:rsid w:val="002217D2"/>
    <w:rsid w:val="002257F3"/>
    <w:rsid w:val="00233456"/>
    <w:rsid w:val="002339A5"/>
    <w:rsid w:val="00243A9D"/>
    <w:rsid w:val="002546F8"/>
    <w:rsid w:val="00257848"/>
    <w:rsid w:val="002666AC"/>
    <w:rsid w:val="0027084A"/>
    <w:rsid w:val="00270BF1"/>
    <w:rsid w:val="0027641A"/>
    <w:rsid w:val="00284F16"/>
    <w:rsid w:val="002850FE"/>
    <w:rsid w:val="0028553E"/>
    <w:rsid w:val="00286434"/>
    <w:rsid w:val="002865E9"/>
    <w:rsid w:val="00286C59"/>
    <w:rsid w:val="00292113"/>
    <w:rsid w:val="002942D1"/>
    <w:rsid w:val="00294A83"/>
    <w:rsid w:val="0029501A"/>
    <w:rsid w:val="002959BE"/>
    <w:rsid w:val="00295D1E"/>
    <w:rsid w:val="002A327C"/>
    <w:rsid w:val="002A691C"/>
    <w:rsid w:val="002B1638"/>
    <w:rsid w:val="002B58B5"/>
    <w:rsid w:val="002C00B6"/>
    <w:rsid w:val="002C63ED"/>
    <w:rsid w:val="002D3368"/>
    <w:rsid w:val="002D6161"/>
    <w:rsid w:val="002E4C9A"/>
    <w:rsid w:val="002F11F8"/>
    <w:rsid w:val="002F3F56"/>
    <w:rsid w:val="002F44B5"/>
    <w:rsid w:val="002F4C25"/>
    <w:rsid w:val="002F7281"/>
    <w:rsid w:val="00301573"/>
    <w:rsid w:val="00311AC0"/>
    <w:rsid w:val="00311C0E"/>
    <w:rsid w:val="0032583B"/>
    <w:rsid w:val="00327883"/>
    <w:rsid w:val="00335504"/>
    <w:rsid w:val="003521E8"/>
    <w:rsid w:val="00363DF7"/>
    <w:rsid w:val="00371A8B"/>
    <w:rsid w:val="003728F3"/>
    <w:rsid w:val="00373252"/>
    <w:rsid w:val="0037496E"/>
    <w:rsid w:val="0037623D"/>
    <w:rsid w:val="003806FC"/>
    <w:rsid w:val="00382343"/>
    <w:rsid w:val="00383DD0"/>
    <w:rsid w:val="00386150"/>
    <w:rsid w:val="003874CE"/>
    <w:rsid w:val="00390900"/>
    <w:rsid w:val="0039450B"/>
    <w:rsid w:val="00396C92"/>
    <w:rsid w:val="003A405B"/>
    <w:rsid w:val="003A426B"/>
    <w:rsid w:val="003A7F6C"/>
    <w:rsid w:val="003B1113"/>
    <w:rsid w:val="003B4D60"/>
    <w:rsid w:val="003B634F"/>
    <w:rsid w:val="003B7E39"/>
    <w:rsid w:val="003C58DC"/>
    <w:rsid w:val="003D0A3B"/>
    <w:rsid w:val="003D1E62"/>
    <w:rsid w:val="003D2B82"/>
    <w:rsid w:val="003E1751"/>
    <w:rsid w:val="003E2486"/>
    <w:rsid w:val="003E3208"/>
    <w:rsid w:val="003F0B04"/>
    <w:rsid w:val="003F29EE"/>
    <w:rsid w:val="003F76CB"/>
    <w:rsid w:val="003F7A2F"/>
    <w:rsid w:val="0040134E"/>
    <w:rsid w:val="00404980"/>
    <w:rsid w:val="00406738"/>
    <w:rsid w:val="00414129"/>
    <w:rsid w:val="00415D59"/>
    <w:rsid w:val="004326A7"/>
    <w:rsid w:val="0043797D"/>
    <w:rsid w:val="00440A2D"/>
    <w:rsid w:val="00441F90"/>
    <w:rsid w:val="004429F8"/>
    <w:rsid w:val="00442BCD"/>
    <w:rsid w:val="00443CC2"/>
    <w:rsid w:val="004564A7"/>
    <w:rsid w:val="004617BF"/>
    <w:rsid w:val="00463658"/>
    <w:rsid w:val="004646D1"/>
    <w:rsid w:val="004656B3"/>
    <w:rsid w:val="00470C7C"/>
    <w:rsid w:val="00472129"/>
    <w:rsid w:val="004722CC"/>
    <w:rsid w:val="00476F3E"/>
    <w:rsid w:val="004924E0"/>
    <w:rsid w:val="00492986"/>
    <w:rsid w:val="004936E4"/>
    <w:rsid w:val="00494825"/>
    <w:rsid w:val="00494E60"/>
    <w:rsid w:val="00497487"/>
    <w:rsid w:val="004A0839"/>
    <w:rsid w:val="004A5CB4"/>
    <w:rsid w:val="004A7E13"/>
    <w:rsid w:val="004B7B76"/>
    <w:rsid w:val="004C2DCA"/>
    <w:rsid w:val="004D4EF7"/>
    <w:rsid w:val="004E1300"/>
    <w:rsid w:val="004E63BD"/>
    <w:rsid w:val="004F0F38"/>
    <w:rsid w:val="00501921"/>
    <w:rsid w:val="00502DBA"/>
    <w:rsid w:val="00530354"/>
    <w:rsid w:val="00533D18"/>
    <w:rsid w:val="00534E7C"/>
    <w:rsid w:val="0053625B"/>
    <w:rsid w:val="005434C6"/>
    <w:rsid w:val="00543B39"/>
    <w:rsid w:val="00550096"/>
    <w:rsid w:val="00552300"/>
    <w:rsid w:val="00557290"/>
    <w:rsid w:val="00557FF9"/>
    <w:rsid w:val="00576378"/>
    <w:rsid w:val="005777D3"/>
    <w:rsid w:val="00577945"/>
    <w:rsid w:val="00577E38"/>
    <w:rsid w:val="00581D85"/>
    <w:rsid w:val="00584004"/>
    <w:rsid w:val="00585322"/>
    <w:rsid w:val="005857C6"/>
    <w:rsid w:val="00586F98"/>
    <w:rsid w:val="00592F6E"/>
    <w:rsid w:val="00593AD1"/>
    <w:rsid w:val="005A495E"/>
    <w:rsid w:val="005A60BD"/>
    <w:rsid w:val="005A68B6"/>
    <w:rsid w:val="005B7775"/>
    <w:rsid w:val="005C2617"/>
    <w:rsid w:val="005C2CD3"/>
    <w:rsid w:val="005C3E82"/>
    <w:rsid w:val="005C5570"/>
    <w:rsid w:val="005C79A4"/>
    <w:rsid w:val="005D5442"/>
    <w:rsid w:val="005D555C"/>
    <w:rsid w:val="005D6D0D"/>
    <w:rsid w:val="005E4BB1"/>
    <w:rsid w:val="005E58D1"/>
    <w:rsid w:val="005F44E4"/>
    <w:rsid w:val="005F597B"/>
    <w:rsid w:val="00603F32"/>
    <w:rsid w:val="00620406"/>
    <w:rsid w:val="00620E4B"/>
    <w:rsid w:val="006249A4"/>
    <w:rsid w:val="00632398"/>
    <w:rsid w:val="00640FC3"/>
    <w:rsid w:val="00642020"/>
    <w:rsid w:val="00643082"/>
    <w:rsid w:val="006434DA"/>
    <w:rsid w:val="00643AF6"/>
    <w:rsid w:val="00646206"/>
    <w:rsid w:val="00652C96"/>
    <w:rsid w:val="0065337B"/>
    <w:rsid w:val="0065419D"/>
    <w:rsid w:val="00654769"/>
    <w:rsid w:val="006604D8"/>
    <w:rsid w:val="006617F0"/>
    <w:rsid w:val="00664A5B"/>
    <w:rsid w:val="00671098"/>
    <w:rsid w:val="00673FAC"/>
    <w:rsid w:val="00674270"/>
    <w:rsid w:val="006763D2"/>
    <w:rsid w:val="006764FD"/>
    <w:rsid w:val="00680A32"/>
    <w:rsid w:val="00680C08"/>
    <w:rsid w:val="00683D0D"/>
    <w:rsid w:val="006931B1"/>
    <w:rsid w:val="006A15C0"/>
    <w:rsid w:val="006C130C"/>
    <w:rsid w:val="006C3E2A"/>
    <w:rsid w:val="006C642F"/>
    <w:rsid w:val="006D03E5"/>
    <w:rsid w:val="006D12F3"/>
    <w:rsid w:val="006D4220"/>
    <w:rsid w:val="006D5D3E"/>
    <w:rsid w:val="006D6AE6"/>
    <w:rsid w:val="006E083B"/>
    <w:rsid w:val="006E08B3"/>
    <w:rsid w:val="006E691C"/>
    <w:rsid w:val="006F17AC"/>
    <w:rsid w:val="006F1D37"/>
    <w:rsid w:val="006F2367"/>
    <w:rsid w:val="006F2796"/>
    <w:rsid w:val="006F572E"/>
    <w:rsid w:val="007046D6"/>
    <w:rsid w:val="00705DB0"/>
    <w:rsid w:val="007226C7"/>
    <w:rsid w:val="00722B57"/>
    <w:rsid w:val="007420B7"/>
    <w:rsid w:val="0074253D"/>
    <w:rsid w:val="00743103"/>
    <w:rsid w:val="0074429B"/>
    <w:rsid w:val="007513B4"/>
    <w:rsid w:val="007541F3"/>
    <w:rsid w:val="007615BC"/>
    <w:rsid w:val="00762F05"/>
    <w:rsid w:val="007652FF"/>
    <w:rsid w:val="00770EF1"/>
    <w:rsid w:val="00773EF7"/>
    <w:rsid w:val="00774E1D"/>
    <w:rsid w:val="0077675A"/>
    <w:rsid w:val="00780355"/>
    <w:rsid w:val="00785721"/>
    <w:rsid w:val="007872D5"/>
    <w:rsid w:val="00793A59"/>
    <w:rsid w:val="007A5247"/>
    <w:rsid w:val="007B1B33"/>
    <w:rsid w:val="007B32C3"/>
    <w:rsid w:val="007B6E9F"/>
    <w:rsid w:val="007C1216"/>
    <w:rsid w:val="007C1AF7"/>
    <w:rsid w:val="007C386A"/>
    <w:rsid w:val="007D38C5"/>
    <w:rsid w:val="007E6E27"/>
    <w:rsid w:val="007F3AD2"/>
    <w:rsid w:val="00805D27"/>
    <w:rsid w:val="008064F3"/>
    <w:rsid w:val="00811CA8"/>
    <w:rsid w:val="00821776"/>
    <w:rsid w:val="008321F5"/>
    <w:rsid w:val="00832369"/>
    <w:rsid w:val="00834660"/>
    <w:rsid w:val="00836BC2"/>
    <w:rsid w:val="008414A0"/>
    <w:rsid w:val="00842D33"/>
    <w:rsid w:val="008534C2"/>
    <w:rsid w:val="008543DA"/>
    <w:rsid w:val="0085641B"/>
    <w:rsid w:val="00857136"/>
    <w:rsid w:val="00857377"/>
    <w:rsid w:val="00860995"/>
    <w:rsid w:val="00861E6E"/>
    <w:rsid w:val="0087400B"/>
    <w:rsid w:val="00876B03"/>
    <w:rsid w:val="00883D10"/>
    <w:rsid w:val="00886D15"/>
    <w:rsid w:val="00887DD8"/>
    <w:rsid w:val="0089445B"/>
    <w:rsid w:val="00896018"/>
    <w:rsid w:val="008960DD"/>
    <w:rsid w:val="0089635C"/>
    <w:rsid w:val="008965CC"/>
    <w:rsid w:val="008A04BD"/>
    <w:rsid w:val="008A2B9D"/>
    <w:rsid w:val="008A5E0B"/>
    <w:rsid w:val="008A6D59"/>
    <w:rsid w:val="008B4B03"/>
    <w:rsid w:val="008B596F"/>
    <w:rsid w:val="008B5A3E"/>
    <w:rsid w:val="008C107C"/>
    <w:rsid w:val="008C159F"/>
    <w:rsid w:val="008C1623"/>
    <w:rsid w:val="008C1850"/>
    <w:rsid w:val="008C4B6C"/>
    <w:rsid w:val="008C51A9"/>
    <w:rsid w:val="008D33B0"/>
    <w:rsid w:val="008D493D"/>
    <w:rsid w:val="008D770F"/>
    <w:rsid w:val="008E7846"/>
    <w:rsid w:val="008F1CCC"/>
    <w:rsid w:val="008F2967"/>
    <w:rsid w:val="008F4090"/>
    <w:rsid w:val="008F6943"/>
    <w:rsid w:val="00902A21"/>
    <w:rsid w:val="00903CDF"/>
    <w:rsid w:val="00906D6C"/>
    <w:rsid w:val="00907656"/>
    <w:rsid w:val="00920330"/>
    <w:rsid w:val="009219D7"/>
    <w:rsid w:val="00922D53"/>
    <w:rsid w:val="00923B70"/>
    <w:rsid w:val="00924482"/>
    <w:rsid w:val="00926BE1"/>
    <w:rsid w:val="00930237"/>
    <w:rsid w:val="00942D4D"/>
    <w:rsid w:val="00946EA5"/>
    <w:rsid w:val="0095160F"/>
    <w:rsid w:val="00956D40"/>
    <w:rsid w:val="00963C08"/>
    <w:rsid w:val="0098034B"/>
    <w:rsid w:val="0098213B"/>
    <w:rsid w:val="0098585A"/>
    <w:rsid w:val="00986509"/>
    <w:rsid w:val="0098669D"/>
    <w:rsid w:val="0098743A"/>
    <w:rsid w:val="009926BC"/>
    <w:rsid w:val="009A4CED"/>
    <w:rsid w:val="009A690D"/>
    <w:rsid w:val="009B1D12"/>
    <w:rsid w:val="009B416B"/>
    <w:rsid w:val="009B4E95"/>
    <w:rsid w:val="009C3DB0"/>
    <w:rsid w:val="009C4BD5"/>
    <w:rsid w:val="009D07D7"/>
    <w:rsid w:val="009D7B77"/>
    <w:rsid w:val="009E0BB0"/>
    <w:rsid w:val="009E21D1"/>
    <w:rsid w:val="009E3FBB"/>
    <w:rsid w:val="009E5D93"/>
    <w:rsid w:val="009F48A8"/>
    <w:rsid w:val="00A04AB8"/>
    <w:rsid w:val="00A06DAB"/>
    <w:rsid w:val="00A102E4"/>
    <w:rsid w:val="00A12C42"/>
    <w:rsid w:val="00A130A3"/>
    <w:rsid w:val="00A14DF7"/>
    <w:rsid w:val="00A206FB"/>
    <w:rsid w:val="00A21085"/>
    <w:rsid w:val="00A235D9"/>
    <w:rsid w:val="00A26B25"/>
    <w:rsid w:val="00A3246D"/>
    <w:rsid w:val="00A329E6"/>
    <w:rsid w:val="00A36FA7"/>
    <w:rsid w:val="00A37C59"/>
    <w:rsid w:val="00A46808"/>
    <w:rsid w:val="00A475B7"/>
    <w:rsid w:val="00A47AF7"/>
    <w:rsid w:val="00A47C3E"/>
    <w:rsid w:val="00A50226"/>
    <w:rsid w:val="00A60BAD"/>
    <w:rsid w:val="00A70ED3"/>
    <w:rsid w:val="00A94E63"/>
    <w:rsid w:val="00A957B7"/>
    <w:rsid w:val="00A964D1"/>
    <w:rsid w:val="00A96910"/>
    <w:rsid w:val="00AA0ED0"/>
    <w:rsid w:val="00AA3499"/>
    <w:rsid w:val="00AA7C3B"/>
    <w:rsid w:val="00AC0FBA"/>
    <w:rsid w:val="00AC18E9"/>
    <w:rsid w:val="00AC1DE4"/>
    <w:rsid w:val="00AC2B40"/>
    <w:rsid w:val="00AC2BB2"/>
    <w:rsid w:val="00AC2C3C"/>
    <w:rsid w:val="00AC512D"/>
    <w:rsid w:val="00AD4552"/>
    <w:rsid w:val="00AE01C2"/>
    <w:rsid w:val="00AE0F68"/>
    <w:rsid w:val="00AE4407"/>
    <w:rsid w:val="00AE65EB"/>
    <w:rsid w:val="00AE67A7"/>
    <w:rsid w:val="00AF1AE0"/>
    <w:rsid w:val="00AF1D94"/>
    <w:rsid w:val="00AF60C5"/>
    <w:rsid w:val="00AF676A"/>
    <w:rsid w:val="00B009C6"/>
    <w:rsid w:val="00B01548"/>
    <w:rsid w:val="00B02208"/>
    <w:rsid w:val="00B1161E"/>
    <w:rsid w:val="00B1425E"/>
    <w:rsid w:val="00B21D29"/>
    <w:rsid w:val="00B25034"/>
    <w:rsid w:val="00B252CA"/>
    <w:rsid w:val="00B26B7A"/>
    <w:rsid w:val="00B31B0D"/>
    <w:rsid w:val="00B32656"/>
    <w:rsid w:val="00B33588"/>
    <w:rsid w:val="00B33863"/>
    <w:rsid w:val="00B37D17"/>
    <w:rsid w:val="00B4175E"/>
    <w:rsid w:val="00B452CE"/>
    <w:rsid w:val="00B53F7C"/>
    <w:rsid w:val="00B54C25"/>
    <w:rsid w:val="00B56ACB"/>
    <w:rsid w:val="00B6299F"/>
    <w:rsid w:val="00B65561"/>
    <w:rsid w:val="00B73AF0"/>
    <w:rsid w:val="00B76B91"/>
    <w:rsid w:val="00B77EB1"/>
    <w:rsid w:val="00B811C6"/>
    <w:rsid w:val="00B82682"/>
    <w:rsid w:val="00B84DFE"/>
    <w:rsid w:val="00B85A87"/>
    <w:rsid w:val="00B9098B"/>
    <w:rsid w:val="00B92E08"/>
    <w:rsid w:val="00B9570B"/>
    <w:rsid w:val="00B96EBE"/>
    <w:rsid w:val="00BA04D8"/>
    <w:rsid w:val="00BB6DED"/>
    <w:rsid w:val="00BC622A"/>
    <w:rsid w:val="00BD4304"/>
    <w:rsid w:val="00BD45E3"/>
    <w:rsid w:val="00BE0A78"/>
    <w:rsid w:val="00BE32D5"/>
    <w:rsid w:val="00BE621F"/>
    <w:rsid w:val="00BE6252"/>
    <w:rsid w:val="00BE79F0"/>
    <w:rsid w:val="00BF046D"/>
    <w:rsid w:val="00BF0A98"/>
    <w:rsid w:val="00BF1190"/>
    <w:rsid w:val="00BF5D04"/>
    <w:rsid w:val="00C02CAE"/>
    <w:rsid w:val="00C1164D"/>
    <w:rsid w:val="00C16861"/>
    <w:rsid w:val="00C22678"/>
    <w:rsid w:val="00C310B7"/>
    <w:rsid w:val="00C404A6"/>
    <w:rsid w:val="00C40A36"/>
    <w:rsid w:val="00C44419"/>
    <w:rsid w:val="00C45E7B"/>
    <w:rsid w:val="00C471B1"/>
    <w:rsid w:val="00C47537"/>
    <w:rsid w:val="00C5426A"/>
    <w:rsid w:val="00C56483"/>
    <w:rsid w:val="00C60FEE"/>
    <w:rsid w:val="00C618F7"/>
    <w:rsid w:val="00C6316B"/>
    <w:rsid w:val="00C634A9"/>
    <w:rsid w:val="00C64586"/>
    <w:rsid w:val="00C65C08"/>
    <w:rsid w:val="00C70D53"/>
    <w:rsid w:val="00C73D0B"/>
    <w:rsid w:val="00C75C85"/>
    <w:rsid w:val="00C772FF"/>
    <w:rsid w:val="00C801AF"/>
    <w:rsid w:val="00C80256"/>
    <w:rsid w:val="00C811C0"/>
    <w:rsid w:val="00C95B56"/>
    <w:rsid w:val="00CA0EE1"/>
    <w:rsid w:val="00CB6BC0"/>
    <w:rsid w:val="00CC1B7C"/>
    <w:rsid w:val="00CC55CB"/>
    <w:rsid w:val="00CC5C78"/>
    <w:rsid w:val="00CC727F"/>
    <w:rsid w:val="00CD0A2A"/>
    <w:rsid w:val="00CD2B58"/>
    <w:rsid w:val="00CD7F19"/>
    <w:rsid w:val="00CF15C3"/>
    <w:rsid w:val="00CF2B6F"/>
    <w:rsid w:val="00CF3839"/>
    <w:rsid w:val="00CF56EC"/>
    <w:rsid w:val="00CF58B6"/>
    <w:rsid w:val="00D017ED"/>
    <w:rsid w:val="00D040D3"/>
    <w:rsid w:val="00D04212"/>
    <w:rsid w:val="00D04851"/>
    <w:rsid w:val="00D04C65"/>
    <w:rsid w:val="00D057C8"/>
    <w:rsid w:val="00D13332"/>
    <w:rsid w:val="00D224FE"/>
    <w:rsid w:val="00D2625B"/>
    <w:rsid w:val="00D27090"/>
    <w:rsid w:val="00D373BD"/>
    <w:rsid w:val="00D50643"/>
    <w:rsid w:val="00D53A31"/>
    <w:rsid w:val="00D5595C"/>
    <w:rsid w:val="00D64204"/>
    <w:rsid w:val="00D6493E"/>
    <w:rsid w:val="00D7301E"/>
    <w:rsid w:val="00D73AC5"/>
    <w:rsid w:val="00D83AE1"/>
    <w:rsid w:val="00D855D4"/>
    <w:rsid w:val="00D93466"/>
    <w:rsid w:val="00DA10CE"/>
    <w:rsid w:val="00DA1124"/>
    <w:rsid w:val="00DA2D61"/>
    <w:rsid w:val="00DB0378"/>
    <w:rsid w:val="00DB75B7"/>
    <w:rsid w:val="00DC6E02"/>
    <w:rsid w:val="00DD2C47"/>
    <w:rsid w:val="00DD51F8"/>
    <w:rsid w:val="00DE02AE"/>
    <w:rsid w:val="00DE62F8"/>
    <w:rsid w:val="00DF1D7F"/>
    <w:rsid w:val="00DF4BE4"/>
    <w:rsid w:val="00E016AB"/>
    <w:rsid w:val="00E02FB4"/>
    <w:rsid w:val="00E03B0A"/>
    <w:rsid w:val="00E07F15"/>
    <w:rsid w:val="00E20571"/>
    <w:rsid w:val="00E23158"/>
    <w:rsid w:val="00E235F7"/>
    <w:rsid w:val="00E23659"/>
    <w:rsid w:val="00E239D4"/>
    <w:rsid w:val="00E26130"/>
    <w:rsid w:val="00E2741C"/>
    <w:rsid w:val="00E40B22"/>
    <w:rsid w:val="00E45619"/>
    <w:rsid w:val="00E4588F"/>
    <w:rsid w:val="00E46936"/>
    <w:rsid w:val="00E46DA3"/>
    <w:rsid w:val="00E51BB1"/>
    <w:rsid w:val="00E53F4F"/>
    <w:rsid w:val="00E55FCF"/>
    <w:rsid w:val="00E624A5"/>
    <w:rsid w:val="00E67E0A"/>
    <w:rsid w:val="00E7344E"/>
    <w:rsid w:val="00E86DBD"/>
    <w:rsid w:val="00E936E3"/>
    <w:rsid w:val="00EA19FD"/>
    <w:rsid w:val="00EA4D42"/>
    <w:rsid w:val="00EB0798"/>
    <w:rsid w:val="00EB40AD"/>
    <w:rsid w:val="00EB586E"/>
    <w:rsid w:val="00EB5FC8"/>
    <w:rsid w:val="00EC2548"/>
    <w:rsid w:val="00ED21C5"/>
    <w:rsid w:val="00ED3CAD"/>
    <w:rsid w:val="00ED5A41"/>
    <w:rsid w:val="00EE0185"/>
    <w:rsid w:val="00EE17A2"/>
    <w:rsid w:val="00EE1DE8"/>
    <w:rsid w:val="00F02E7C"/>
    <w:rsid w:val="00F033EC"/>
    <w:rsid w:val="00F04F68"/>
    <w:rsid w:val="00F12593"/>
    <w:rsid w:val="00F12670"/>
    <w:rsid w:val="00F12D4E"/>
    <w:rsid w:val="00F14B27"/>
    <w:rsid w:val="00F20128"/>
    <w:rsid w:val="00F3148D"/>
    <w:rsid w:val="00F325C5"/>
    <w:rsid w:val="00F32FE0"/>
    <w:rsid w:val="00F3513F"/>
    <w:rsid w:val="00F35298"/>
    <w:rsid w:val="00F360DC"/>
    <w:rsid w:val="00F40E3C"/>
    <w:rsid w:val="00F44688"/>
    <w:rsid w:val="00F45259"/>
    <w:rsid w:val="00F47333"/>
    <w:rsid w:val="00F47E37"/>
    <w:rsid w:val="00F53C07"/>
    <w:rsid w:val="00F54B65"/>
    <w:rsid w:val="00F55736"/>
    <w:rsid w:val="00F62B84"/>
    <w:rsid w:val="00F640B6"/>
    <w:rsid w:val="00F65A46"/>
    <w:rsid w:val="00F80E40"/>
    <w:rsid w:val="00F848D9"/>
    <w:rsid w:val="00F92B9E"/>
    <w:rsid w:val="00F940C9"/>
    <w:rsid w:val="00FA5B82"/>
    <w:rsid w:val="00FA639E"/>
    <w:rsid w:val="00FA7BC2"/>
    <w:rsid w:val="00FC25E4"/>
    <w:rsid w:val="00FC2DF5"/>
    <w:rsid w:val="00FC4EF7"/>
    <w:rsid w:val="00FE1DEE"/>
    <w:rsid w:val="00FF2126"/>
    <w:rsid w:val="00FF365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11CA8"/>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850FE"/>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05D74"/>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character" w:styleId="CommentReference">
    <w:name w:val="annotation reference"/>
    <w:uiPriority w:val="99"/>
    <w:semiHidden/>
    <w:unhideWhenUsed/>
    <w:rsid w:val="00A21085"/>
    <w:rPr>
      <w:sz w:val="16"/>
      <w:szCs w:val="16"/>
    </w:rPr>
  </w:style>
  <w:style w:type="paragraph" w:styleId="CommentText">
    <w:name w:val="annotation text"/>
    <w:basedOn w:val="Normal"/>
    <w:link w:val="CommentTextChar"/>
    <w:uiPriority w:val="99"/>
    <w:semiHidden/>
    <w:unhideWhenUsed/>
    <w:rsid w:val="00A21085"/>
    <w:rPr>
      <w:sz w:val="20"/>
      <w:szCs w:val="20"/>
    </w:rPr>
  </w:style>
  <w:style w:type="character" w:customStyle="1" w:styleId="CommentTextChar">
    <w:name w:val="Comment Text Char"/>
    <w:link w:val="CommentText"/>
    <w:uiPriority w:val="99"/>
    <w:semiHidden/>
    <w:rsid w:val="00A21085"/>
    <w:rPr>
      <w:lang w:eastAsia="en-US"/>
    </w:rPr>
  </w:style>
  <w:style w:type="paragraph" w:styleId="CommentSubject">
    <w:name w:val="annotation subject"/>
    <w:basedOn w:val="CommentText"/>
    <w:next w:val="CommentText"/>
    <w:link w:val="CommentSubjectChar"/>
    <w:uiPriority w:val="99"/>
    <w:semiHidden/>
    <w:unhideWhenUsed/>
    <w:rsid w:val="00A21085"/>
    <w:rPr>
      <w:b/>
      <w:bCs/>
    </w:rPr>
  </w:style>
  <w:style w:type="character" w:customStyle="1" w:styleId="CommentSubjectChar">
    <w:name w:val="Comment Subject Char"/>
    <w:link w:val="CommentSubject"/>
    <w:uiPriority w:val="99"/>
    <w:semiHidden/>
    <w:rsid w:val="00A21085"/>
    <w:rPr>
      <w:b/>
      <w:bCs/>
      <w:lang w:eastAsia="en-US"/>
    </w:rPr>
  </w:style>
  <w:style w:type="paragraph" w:customStyle="1" w:styleId="Abbreviations">
    <w:name w:val="Abbreviations"/>
    <w:basedOn w:val="Normal"/>
    <w:rsid w:val="00A2108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842D33"/>
    <w:pPr>
      <w:numPr>
        <w:numId w:val="6"/>
      </w:numPr>
      <w:spacing w:after="0" w:line="240" w:lineRule="auto"/>
    </w:pPr>
    <w:rPr>
      <w:rFonts w:eastAsia="Times New Roman"/>
      <w:kern w:val="24"/>
      <w:szCs w:val="24"/>
      <w:lang w:eastAsia="en-AU"/>
    </w:rPr>
  </w:style>
  <w:style w:type="paragraph" w:customStyle="1" w:styleId="Bullet2">
    <w:name w:val="Bullet 2"/>
    <w:basedOn w:val="Bullet1"/>
    <w:rsid w:val="00842D33"/>
    <w:pPr>
      <w:numPr>
        <w:numId w:val="7"/>
      </w:numPr>
    </w:pPr>
  </w:style>
  <w:style w:type="paragraph" w:customStyle="1" w:styleId="Comment1">
    <w:name w:val="Comment 1"/>
    <w:basedOn w:val="Normal"/>
    <w:next w:val="Normal"/>
    <w:qFormat/>
    <w:rsid w:val="00217B8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30157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link w:val="Heading8"/>
    <w:uiPriority w:val="9"/>
    <w:semiHidden/>
    <w:rsid w:val="002850FE"/>
    <w:rPr>
      <w:rFonts w:ascii="Calibri" w:eastAsia="Times New Roman" w:hAnsi="Calibri" w:cs="Times New Roman"/>
      <w:i/>
      <w:iCs/>
      <w:sz w:val="24"/>
      <w:szCs w:val="24"/>
      <w:lang w:eastAsia="en-US"/>
    </w:rPr>
  </w:style>
  <w:style w:type="character" w:customStyle="1" w:styleId="apple-converted-space">
    <w:name w:val="apple-converted-space"/>
    <w:rsid w:val="00A37C59"/>
  </w:style>
  <w:style w:type="paragraph" w:styleId="ListParagraph">
    <w:name w:val="List Paragraph"/>
    <w:basedOn w:val="Normal"/>
    <w:uiPriority w:val="34"/>
    <w:qFormat/>
    <w:rsid w:val="002546F8"/>
    <w:pPr>
      <w:spacing w:before="0" w:after="0" w:line="240" w:lineRule="auto"/>
      <w:ind w:left="720"/>
      <w:contextualSpacing/>
    </w:pPr>
    <w:rPr>
      <w:rFonts w:ascii="Calibri" w:eastAsia="MS Mincho" w:hAnsi="Calibri"/>
      <w:sz w:val="24"/>
      <w:szCs w:val="24"/>
      <w:lang w:val="en-US"/>
    </w:rPr>
  </w:style>
  <w:style w:type="paragraph" w:styleId="FootnoteText">
    <w:name w:val="footnote text"/>
    <w:basedOn w:val="Normal"/>
    <w:link w:val="FootnoteTextChar"/>
    <w:uiPriority w:val="99"/>
    <w:unhideWhenUsed/>
    <w:rsid w:val="00811CA8"/>
    <w:pPr>
      <w:spacing w:before="0" w:after="0" w:line="240" w:lineRule="auto"/>
    </w:pPr>
    <w:rPr>
      <w:sz w:val="18"/>
      <w:szCs w:val="20"/>
    </w:rPr>
  </w:style>
  <w:style w:type="character" w:customStyle="1" w:styleId="FootnoteTextChar">
    <w:name w:val="Footnote Text Char"/>
    <w:basedOn w:val="DefaultParagraphFont"/>
    <w:link w:val="FootnoteText"/>
    <w:uiPriority w:val="99"/>
    <w:rsid w:val="00811CA8"/>
    <w:rPr>
      <w:sz w:val="18"/>
      <w:lang w:eastAsia="en-US"/>
    </w:rPr>
  </w:style>
  <w:style w:type="character" w:styleId="FootnoteReference">
    <w:name w:val="footnote reference"/>
    <w:basedOn w:val="DefaultParagraphFont"/>
    <w:uiPriority w:val="99"/>
    <w:semiHidden/>
    <w:unhideWhenUsed/>
    <w:rsid w:val="00CD7F19"/>
    <w:rPr>
      <w:vertAlign w:val="superscript"/>
    </w:rPr>
  </w:style>
  <w:style w:type="paragraph" w:styleId="EndnoteText">
    <w:name w:val="endnote text"/>
    <w:basedOn w:val="Normal"/>
    <w:link w:val="EndnoteTextChar"/>
    <w:uiPriority w:val="99"/>
    <w:semiHidden/>
    <w:unhideWhenUsed/>
    <w:rsid w:val="009D07D7"/>
    <w:rPr>
      <w:sz w:val="20"/>
      <w:szCs w:val="20"/>
    </w:rPr>
  </w:style>
  <w:style w:type="character" w:customStyle="1" w:styleId="EndnoteTextChar">
    <w:name w:val="Endnote Text Char"/>
    <w:basedOn w:val="DefaultParagraphFont"/>
    <w:link w:val="EndnoteText"/>
    <w:uiPriority w:val="99"/>
    <w:semiHidden/>
    <w:rsid w:val="009D07D7"/>
    <w:rPr>
      <w:lang w:eastAsia="en-US"/>
    </w:rPr>
  </w:style>
  <w:style w:type="character" w:styleId="EndnoteReference">
    <w:name w:val="endnote reference"/>
    <w:basedOn w:val="DefaultParagraphFont"/>
    <w:uiPriority w:val="99"/>
    <w:semiHidden/>
    <w:unhideWhenUsed/>
    <w:rsid w:val="009D07D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11CA8"/>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850FE"/>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05D74"/>
    <w:pPr>
      <w:keepNext/>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character" w:styleId="CommentReference">
    <w:name w:val="annotation reference"/>
    <w:uiPriority w:val="99"/>
    <w:semiHidden/>
    <w:unhideWhenUsed/>
    <w:rsid w:val="00A21085"/>
    <w:rPr>
      <w:sz w:val="16"/>
      <w:szCs w:val="16"/>
    </w:rPr>
  </w:style>
  <w:style w:type="paragraph" w:styleId="CommentText">
    <w:name w:val="annotation text"/>
    <w:basedOn w:val="Normal"/>
    <w:link w:val="CommentTextChar"/>
    <w:uiPriority w:val="99"/>
    <w:semiHidden/>
    <w:unhideWhenUsed/>
    <w:rsid w:val="00A21085"/>
    <w:rPr>
      <w:sz w:val="20"/>
      <w:szCs w:val="20"/>
    </w:rPr>
  </w:style>
  <w:style w:type="character" w:customStyle="1" w:styleId="CommentTextChar">
    <w:name w:val="Comment Text Char"/>
    <w:link w:val="CommentText"/>
    <w:uiPriority w:val="99"/>
    <w:semiHidden/>
    <w:rsid w:val="00A21085"/>
    <w:rPr>
      <w:lang w:eastAsia="en-US"/>
    </w:rPr>
  </w:style>
  <w:style w:type="paragraph" w:styleId="CommentSubject">
    <w:name w:val="annotation subject"/>
    <w:basedOn w:val="CommentText"/>
    <w:next w:val="CommentText"/>
    <w:link w:val="CommentSubjectChar"/>
    <w:uiPriority w:val="99"/>
    <w:semiHidden/>
    <w:unhideWhenUsed/>
    <w:rsid w:val="00A21085"/>
    <w:rPr>
      <w:b/>
      <w:bCs/>
    </w:rPr>
  </w:style>
  <w:style w:type="character" w:customStyle="1" w:styleId="CommentSubjectChar">
    <w:name w:val="Comment Subject Char"/>
    <w:link w:val="CommentSubject"/>
    <w:uiPriority w:val="99"/>
    <w:semiHidden/>
    <w:rsid w:val="00A21085"/>
    <w:rPr>
      <w:b/>
      <w:bCs/>
      <w:lang w:eastAsia="en-US"/>
    </w:rPr>
  </w:style>
  <w:style w:type="paragraph" w:customStyle="1" w:styleId="Abbreviations">
    <w:name w:val="Abbreviations"/>
    <w:basedOn w:val="Normal"/>
    <w:rsid w:val="00A2108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842D33"/>
    <w:pPr>
      <w:numPr>
        <w:numId w:val="6"/>
      </w:numPr>
      <w:spacing w:after="0" w:line="240" w:lineRule="auto"/>
    </w:pPr>
    <w:rPr>
      <w:rFonts w:eastAsia="Times New Roman"/>
      <w:kern w:val="24"/>
      <w:szCs w:val="24"/>
      <w:lang w:eastAsia="en-AU"/>
    </w:rPr>
  </w:style>
  <w:style w:type="paragraph" w:customStyle="1" w:styleId="Bullet2">
    <w:name w:val="Bullet 2"/>
    <w:basedOn w:val="Bullet1"/>
    <w:rsid w:val="00842D33"/>
    <w:pPr>
      <w:numPr>
        <w:numId w:val="7"/>
      </w:numPr>
    </w:pPr>
  </w:style>
  <w:style w:type="paragraph" w:customStyle="1" w:styleId="Comment1">
    <w:name w:val="Comment 1"/>
    <w:basedOn w:val="Normal"/>
    <w:next w:val="Normal"/>
    <w:qFormat/>
    <w:rsid w:val="00217B8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30157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link w:val="Heading8"/>
    <w:uiPriority w:val="9"/>
    <w:semiHidden/>
    <w:rsid w:val="002850FE"/>
    <w:rPr>
      <w:rFonts w:ascii="Calibri" w:eastAsia="Times New Roman" w:hAnsi="Calibri" w:cs="Times New Roman"/>
      <w:i/>
      <w:iCs/>
      <w:sz w:val="24"/>
      <w:szCs w:val="24"/>
      <w:lang w:eastAsia="en-US"/>
    </w:rPr>
  </w:style>
  <w:style w:type="character" w:customStyle="1" w:styleId="apple-converted-space">
    <w:name w:val="apple-converted-space"/>
    <w:rsid w:val="00A37C59"/>
  </w:style>
  <w:style w:type="paragraph" w:styleId="ListParagraph">
    <w:name w:val="List Paragraph"/>
    <w:basedOn w:val="Normal"/>
    <w:uiPriority w:val="34"/>
    <w:qFormat/>
    <w:rsid w:val="002546F8"/>
    <w:pPr>
      <w:spacing w:before="0" w:after="0" w:line="240" w:lineRule="auto"/>
      <w:ind w:left="720"/>
      <w:contextualSpacing/>
    </w:pPr>
    <w:rPr>
      <w:rFonts w:ascii="Calibri" w:eastAsia="MS Mincho" w:hAnsi="Calibri"/>
      <w:sz w:val="24"/>
      <w:szCs w:val="24"/>
      <w:lang w:val="en-US"/>
    </w:rPr>
  </w:style>
  <w:style w:type="paragraph" w:styleId="FootnoteText">
    <w:name w:val="footnote text"/>
    <w:basedOn w:val="Normal"/>
    <w:link w:val="FootnoteTextChar"/>
    <w:uiPriority w:val="99"/>
    <w:unhideWhenUsed/>
    <w:rsid w:val="00811CA8"/>
    <w:pPr>
      <w:spacing w:before="0" w:after="0" w:line="240" w:lineRule="auto"/>
    </w:pPr>
    <w:rPr>
      <w:sz w:val="18"/>
      <w:szCs w:val="20"/>
    </w:rPr>
  </w:style>
  <w:style w:type="character" w:customStyle="1" w:styleId="FootnoteTextChar">
    <w:name w:val="Footnote Text Char"/>
    <w:basedOn w:val="DefaultParagraphFont"/>
    <w:link w:val="FootnoteText"/>
    <w:uiPriority w:val="99"/>
    <w:rsid w:val="00811CA8"/>
    <w:rPr>
      <w:sz w:val="18"/>
      <w:lang w:eastAsia="en-US"/>
    </w:rPr>
  </w:style>
  <w:style w:type="character" w:styleId="FootnoteReference">
    <w:name w:val="footnote reference"/>
    <w:basedOn w:val="DefaultParagraphFont"/>
    <w:uiPriority w:val="99"/>
    <w:semiHidden/>
    <w:unhideWhenUsed/>
    <w:rsid w:val="00CD7F19"/>
    <w:rPr>
      <w:vertAlign w:val="superscript"/>
    </w:rPr>
  </w:style>
  <w:style w:type="paragraph" w:styleId="EndnoteText">
    <w:name w:val="endnote text"/>
    <w:basedOn w:val="Normal"/>
    <w:link w:val="EndnoteTextChar"/>
    <w:uiPriority w:val="99"/>
    <w:semiHidden/>
    <w:unhideWhenUsed/>
    <w:rsid w:val="009D07D7"/>
    <w:rPr>
      <w:sz w:val="20"/>
      <w:szCs w:val="20"/>
    </w:rPr>
  </w:style>
  <w:style w:type="character" w:customStyle="1" w:styleId="EndnoteTextChar">
    <w:name w:val="Endnote Text Char"/>
    <w:basedOn w:val="DefaultParagraphFont"/>
    <w:link w:val="EndnoteText"/>
    <w:uiPriority w:val="99"/>
    <w:semiHidden/>
    <w:rsid w:val="009D07D7"/>
    <w:rPr>
      <w:lang w:eastAsia="en-US"/>
    </w:rPr>
  </w:style>
  <w:style w:type="character" w:styleId="EndnoteReference">
    <w:name w:val="endnote reference"/>
    <w:basedOn w:val="DefaultParagraphFont"/>
    <w:uiPriority w:val="99"/>
    <w:semiHidden/>
    <w:unhideWhenUsed/>
    <w:rsid w:val="009D07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3.xml"/><Relationship Id="rId48" Type="http://schemas.openxmlformats.org/officeDocument/2006/relationships/footer" Target="footer5.xml"/><Relationship Id="rId8" Type="http://schemas.openxmlformats.org/officeDocument/2006/relationships/endnotes" Target="endnot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BCB88-CEB1-45A9-920C-CD2435F8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86</TotalTime>
  <Pages>46</Pages>
  <Words>12586</Words>
  <Characters>71742</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84160</CharactersWithSpaces>
  <SharedDoc>false</SharedDoc>
  <HLinks>
    <vt:vector size="282" baseType="variant">
      <vt:variant>
        <vt:i4>1048636</vt:i4>
      </vt:variant>
      <vt:variant>
        <vt:i4>257</vt:i4>
      </vt:variant>
      <vt:variant>
        <vt:i4>0</vt:i4>
      </vt:variant>
      <vt:variant>
        <vt:i4>5</vt:i4>
      </vt:variant>
      <vt:variant>
        <vt:lpwstr/>
      </vt:variant>
      <vt:variant>
        <vt:lpwstr>_Toc395628803</vt:lpwstr>
      </vt:variant>
      <vt:variant>
        <vt:i4>1048636</vt:i4>
      </vt:variant>
      <vt:variant>
        <vt:i4>251</vt:i4>
      </vt:variant>
      <vt:variant>
        <vt:i4>0</vt:i4>
      </vt:variant>
      <vt:variant>
        <vt:i4>5</vt:i4>
      </vt:variant>
      <vt:variant>
        <vt:lpwstr/>
      </vt:variant>
      <vt:variant>
        <vt:lpwstr>_Toc395628802</vt:lpwstr>
      </vt:variant>
      <vt:variant>
        <vt:i4>1048636</vt:i4>
      </vt:variant>
      <vt:variant>
        <vt:i4>245</vt:i4>
      </vt:variant>
      <vt:variant>
        <vt:i4>0</vt:i4>
      </vt:variant>
      <vt:variant>
        <vt:i4>5</vt:i4>
      </vt:variant>
      <vt:variant>
        <vt:lpwstr/>
      </vt:variant>
      <vt:variant>
        <vt:lpwstr>_Toc395628801</vt:lpwstr>
      </vt:variant>
      <vt:variant>
        <vt:i4>1048636</vt:i4>
      </vt:variant>
      <vt:variant>
        <vt:i4>239</vt:i4>
      </vt:variant>
      <vt:variant>
        <vt:i4>0</vt:i4>
      </vt:variant>
      <vt:variant>
        <vt:i4>5</vt:i4>
      </vt:variant>
      <vt:variant>
        <vt:lpwstr/>
      </vt:variant>
      <vt:variant>
        <vt:lpwstr>_Toc395628800</vt:lpwstr>
      </vt:variant>
      <vt:variant>
        <vt:i4>1638451</vt:i4>
      </vt:variant>
      <vt:variant>
        <vt:i4>233</vt:i4>
      </vt:variant>
      <vt:variant>
        <vt:i4>0</vt:i4>
      </vt:variant>
      <vt:variant>
        <vt:i4>5</vt:i4>
      </vt:variant>
      <vt:variant>
        <vt:lpwstr/>
      </vt:variant>
      <vt:variant>
        <vt:lpwstr>_Toc395628799</vt:lpwstr>
      </vt:variant>
      <vt:variant>
        <vt:i4>1638451</vt:i4>
      </vt:variant>
      <vt:variant>
        <vt:i4>227</vt:i4>
      </vt:variant>
      <vt:variant>
        <vt:i4>0</vt:i4>
      </vt:variant>
      <vt:variant>
        <vt:i4>5</vt:i4>
      </vt:variant>
      <vt:variant>
        <vt:lpwstr/>
      </vt:variant>
      <vt:variant>
        <vt:lpwstr>_Toc395628798</vt:lpwstr>
      </vt:variant>
      <vt:variant>
        <vt:i4>1638451</vt:i4>
      </vt:variant>
      <vt:variant>
        <vt:i4>221</vt:i4>
      </vt:variant>
      <vt:variant>
        <vt:i4>0</vt:i4>
      </vt:variant>
      <vt:variant>
        <vt:i4>5</vt:i4>
      </vt:variant>
      <vt:variant>
        <vt:lpwstr/>
      </vt:variant>
      <vt:variant>
        <vt:lpwstr>_Toc395628797</vt:lpwstr>
      </vt:variant>
      <vt:variant>
        <vt:i4>1638451</vt:i4>
      </vt:variant>
      <vt:variant>
        <vt:i4>215</vt:i4>
      </vt:variant>
      <vt:variant>
        <vt:i4>0</vt:i4>
      </vt:variant>
      <vt:variant>
        <vt:i4>5</vt:i4>
      </vt:variant>
      <vt:variant>
        <vt:lpwstr/>
      </vt:variant>
      <vt:variant>
        <vt:lpwstr>_Toc395628796</vt:lpwstr>
      </vt:variant>
      <vt:variant>
        <vt:i4>1638451</vt:i4>
      </vt:variant>
      <vt:variant>
        <vt:i4>209</vt:i4>
      </vt:variant>
      <vt:variant>
        <vt:i4>0</vt:i4>
      </vt:variant>
      <vt:variant>
        <vt:i4>5</vt:i4>
      </vt:variant>
      <vt:variant>
        <vt:lpwstr/>
      </vt:variant>
      <vt:variant>
        <vt:lpwstr>_Toc395628795</vt:lpwstr>
      </vt:variant>
      <vt:variant>
        <vt:i4>1638451</vt:i4>
      </vt:variant>
      <vt:variant>
        <vt:i4>203</vt:i4>
      </vt:variant>
      <vt:variant>
        <vt:i4>0</vt:i4>
      </vt:variant>
      <vt:variant>
        <vt:i4>5</vt:i4>
      </vt:variant>
      <vt:variant>
        <vt:lpwstr/>
      </vt:variant>
      <vt:variant>
        <vt:lpwstr>_Toc395628794</vt:lpwstr>
      </vt:variant>
      <vt:variant>
        <vt:i4>1638451</vt:i4>
      </vt:variant>
      <vt:variant>
        <vt:i4>197</vt:i4>
      </vt:variant>
      <vt:variant>
        <vt:i4>0</vt:i4>
      </vt:variant>
      <vt:variant>
        <vt:i4>5</vt:i4>
      </vt:variant>
      <vt:variant>
        <vt:lpwstr/>
      </vt:variant>
      <vt:variant>
        <vt:lpwstr>_Toc395628793</vt:lpwstr>
      </vt:variant>
      <vt:variant>
        <vt:i4>1638451</vt:i4>
      </vt:variant>
      <vt:variant>
        <vt:i4>191</vt:i4>
      </vt:variant>
      <vt:variant>
        <vt:i4>0</vt:i4>
      </vt:variant>
      <vt:variant>
        <vt:i4>5</vt:i4>
      </vt:variant>
      <vt:variant>
        <vt:lpwstr/>
      </vt:variant>
      <vt:variant>
        <vt:lpwstr>_Toc395628792</vt:lpwstr>
      </vt:variant>
      <vt:variant>
        <vt:i4>1638451</vt:i4>
      </vt:variant>
      <vt:variant>
        <vt:i4>185</vt:i4>
      </vt:variant>
      <vt:variant>
        <vt:i4>0</vt:i4>
      </vt:variant>
      <vt:variant>
        <vt:i4>5</vt:i4>
      </vt:variant>
      <vt:variant>
        <vt:lpwstr/>
      </vt:variant>
      <vt:variant>
        <vt:lpwstr>_Toc395628791</vt:lpwstr>
      </vt:variant>
      <vt:variant>
        <vt:i4>1638451</vt:i4>
      </vt:variant>
      <vt:variant>
        <vt:i4>179</vt:i4>
      </vt:variant>
      <vt:variant>
        <vt:i4>0</vt:i4>
      </vt:variant>
      <vt:variant>
        <vt:i4>5</vt:i4>
      </vt:variant>
      <vt:variant>
        <vt:lpwstr/>
      </vt:variant>
      <vt:variant>
        <vt:lpwstr>_Toc395628790</vt:lpwstr>
      </vt:variant>
      <vt:variant>
        <vt:i4>1572915</vt:i4>
      </vt:variant>
      <vt:variant>
        <vt:i4>173</vt:i4>
      </vt:variant>
      <vt:variant>
        <vt:i4>0</vt:i4>
      </vt:variant>
      <vt:variant>
        <vt:i4>5</vt:i4>
      </vt:variant>
      <vt:variant>
        <vt:lpwstr/>
      </vt:variant>
      <vt:variant>
        <vt:lpwstr>_Toc395628789</vt:lpwstr>
      </vt:variant>
      <vt:variant>
        <vt:i4>1572915</vt:i4>
      </vt:variant>
      <vt:variant>
        <vt:i4>167</vt:i4>
      </vt:variant>
      <vt:variant>
        <vt:i4>0</vt:i4>
      </vt:variant>
      <vt:variant>
        <vt:i4>5</vt:i4>
      </vt:variant>
      <vt:variant>
        <vt:lpwstr/>
      </vt:variant>
      <vt:variant>
        <vt:lpwstr>_Toc395628788</vt:lpwstr>
      </vt:variant>
      <vt:variant>
        <vt:i4>1572915</vt:i4>
      </vt:variant>
      <vt:variant>
        <vt:i4>161</vt:i4>
      </vt:variant>
      <vt:variant>
        <vt:i4>0</vt:i4>
      </vt:variant>
      <vt:variant>
        <vt:i4>5</vt:i4>
      </vt:variant>
      <vt:variant>
        <vt:lpwstr/>
      </vt:variant>
      <vt:variant>
        <vt:lpwstr>_Toc395628787</vt:lpwstr>
      </vt:variant>
      <vt:variant>
        <vt:i4>1572915</vt:i4>
      </vt:variant>
      <vt:variant>
        <vt:i4>155</vt:i4>
      </vt:variant>
      <vt:variant>
        <vt:i4>0</vt:i4>
      </vt:variant>
      <vt:variant>
        <vt:i4>5</vt:i4>
      </vt:variant>
      <vt:variant>
        <vt:lpwstr/>
      </vt:variant>
      <vt:variant>
        <vt:lpwstr>_Toc395628786</vt:lpwstr>
      </vt:variant>
      <vt:variant>
        <vt:i4>1572915</vt:i4>
      </vt:variant>
      <vt:variant>
        <vt:i4>149</vt:i4>
      </vt:variant>
      <vt:variant>
        <vt:i4>0</vt:i4>
      </vt:variant>
      <vt:variant>
        <vt:i4>5</vt:i4>
      </vt:variant>
      <vt:variant>
        <vt:lpwstr/>
      </vt:variant>
      <vt:variant>
        <vt:lpwstr>_Toc395628785</vt:lpwstr>
      </vt:variant>
      <vt:variant>
        <vt:i4>1572915</vt:i4>
      </vt:variant>
      <vt:variant>
        <vt:i4>143</vt:i4>
      </vt:variant>
      <vt:variant>
        <vt:i4>0</vt:i4>
      </vt:variant>
      <vt:variant>
        <vt:i4>5</vt:i4>
      </vt:variant>
      <vt:variant>
        <vt:lpwstr/>
      </vt:variant>
      <vt:variant>
        <vt:lpwstr>_Toc395628784</vt:lpwstr>
      </vt:variant>
      <vt:variant>
        <vt:i4>1572915</vt:i4>
      </vt:variant>
      <vt:variant>
        <vt:i4>137</vt:i4>
      </vt:variant>
      <vt:variant>
        <vt:i4>0</vt:i4>
      </vt:variant>
      <vt:variant>
        <vt:i4>5</vt:i4>
      </vt:variant>
      <vt:variant>
        <vt:lpwstr/>
      </vt:variant>
      <vt:variant>
        <vt:lpwstr>_Toc395628783</vt:lpwstr>
      </vt:variant>
      <vt:variant>
        <vt:i4>1572915</vt:i4>
      </vt:variant>
      <vt:variant>
        <vt:i4>131</vt:i4>
      </vt:variant>
      <vt:variant>
        <vt:i4>0</vt:i4>
      </vt:variant>
      <vt:variant>
        <vt:i4>5</vt:i4>
      </vt:variant>
      <vt:variant>
        <vt:lpwstr/>
      </vt:variant>
      <vt:variant>
        <vt:lpwstr>_Toc395628782</vt:lpwstr>
      </vt:variant>
      <vt:variant>
        <vt:i4>1572915</vt:i4>
      </vt:variant>
      <vt:variant>
        <vt:i4>125</vt:i4>
      </vt:variant>
      <vt:variant>
        <vt:i4>0</vt:i4>
      </vt:variant>
      <vt:variant>
        <vt:i4>5</vt:i4>
      </vt:variant>
      <vt:variant>
        <vt:lpwstr/>
      </vt:variant>
      <vt:variant>
        <vt:lpwstr>_Toc395628781</vt:lpwstr>
      </vt:variant>
      <vt:variant>
        <vt:i4>1572915</vt:i4>
      </vt:variant>
      <vt:variant>
        <vt:i4>119</vt:i4>
      </vt:variant>
      <vt:variant>
        <vt:i4>0</vt:i4>
      </vt:variant>
      <vt:variant>
        <vt:i4>5</vt:i4>
      </vt:variant>
      <vt:variant>
        <vt:lpwstr/>
      </vt:variant>
      <vt:variant>
        <vt:lpwstr>_Toc395628780</vt:lpwstr>
      </vt:variant>
      <vt:variant>
        <vt:i4>1507379</vt:i4>
      </vt:variant>
      <vt:variant>
        <vt:i4>113</vt:i4>
      </vt:variant>
      <vt:variant>
        <vt:i4>0</vt:i4>
      </vt:variant>
      <vt:variant>
        <vt:i4>5</vt:i4>
      </vt:variant>
      <vt:variant>
        <vt:lpwstr/>
      </vt:variant>
      <vt:variant>
        <vt:lpwstr>_Toc395628779</vt:lpwstr>
      </vt:variant>
      <vt:variant>
        <vt:i4>1507379</vt:i4>
      </vt:variant>
      <vt:variant>
        <vt:i4>107</vt:i4>
      </vt:variant>
      <vt:variant>
        <vt:i4>0</vt:i4>
      </vt:variant>
      <vt:variant>
        <vt:i4>5</vt:i4>
      </vt:variant>
      <vt:variant>
        <vt:lpwstr/>
      </vt:variant>
      <vt:variant>
        <vt:lpwstr>_Toc395628778</vt:lpwstr>
      </vt:variant>
      <vt:variant>
        <vt:i4>1507379</vt:i4>
      </vt:variant>
      <vt:variant>
        <vt:i4>101</vt:i4>
      </vt:variant>
      <vt:variant>
        <vt:i4>0</vt:i4>
      </vt:variant>
      <vt:variant>
        <vt:i4>5</vt:i4>
      </vt:variant>
      <vt:variant>
        <vt:lpwstr/>
      </vt:variant>
      <vt:variant>
        <vt:lpwstr>_Toc395628777</vt:lpwstr>
      </vt:variant>
      <vt:variant>
        <vt:i4>1507379</vt:i4>
      </vt:variant>
      <vt:variant>
        <vt:i4>95</vt:i4>
      </vt:variant>
      <vt:variant>
        <vt:i4>0</vt:i4>
      </vt:variant>
      <vt:variant>
        <vt:i4>5</vt:i4>
      </vt:variant>
      <vt:variant>
        <vt:lpwstr/>
      </vt:variant>
      <vt:variant>
        <vt:lpwstr>_Toc395628776</vt:lpwstr>
      </vt:variant>
      <vt:variant>
        <vt:i4>1507379</vt:i4>
      </vt:variant>
      <vt:variant>
        <vt:i4>89</vt:i4>
      </vt:variant>
      <vt:variant>
        <vt:i4>0</vt:i4>
      </vt:variant>
      <vt:variant>
        <vt:i4>5</vt:i4>
      </vt:variant>
      <vt:variant>
        <vt:lpwstr/>
      </vt:variant>
      <vt:variant>
        <vt:lpwstr>_Toc395628775</vt:lpwstr>
      </vt:variant>
      <vt:variant>
        <vt:i4>1507379</vt:i4>
      </vt:variant>
      <vt:variant>
        <vt:i4>83</vt:i4>
      </vt:variant>
      <vt:variant>
        <vt:i4>0</vt:i4>
      </vt:variant>
      <vt:variant>
        <vt:i4>5</vt:i4>
      </vt:variant>
      <vt:variant>
        <vt:lpwstr/>
      </vt:variant>
      <vt:variant>
        <vt:lpwstr>_Toc395628774</vt:lpwstr>
      </vt:variant>
      <vt:variant>
        <vt:i4>1507379</vt:i4>
      </vt:variant>
      <vt:variant>
        <vt:i4>77</vt:i4>
      </vt:variant>
      <vt:variant>
        <vt:i4>0</vt:i4>
      </vt:variant>
      <vt:variant>
        <vt:i4>5</vt:i4>
      </vt:variant>
      <vt:variant>
        <vt:lpwstr/>
      </vt:variant>
      <vt:variant>
        <vt:lpwstr>_Toc395628773</vt:lpwstr>
      </vt:variant>
      <vt:variant>
        <vt:i4>1507379</vt:i4>
      </vt:variant>
      <vt:variant>
        <vt:i4>71</vt:i4>
      </vt:variant>
      <vt:variant>
        <vt:i4>0</vt:i4>
      </vt:variant>
      <vt:variant>
        <vt:i4>5</vt:i4>
      </vt:variant>
      <vt:variant>
        <vt:lpwstr/>
      </vt:variant>
      <vt:variant>
        <vt:lpwstr>_Toc395628772</vt:lpwstr>
      </vt:variant>
      <vt:variant>
        <vt:i4>1507379</vt:i4>
      </vt:variant>
      <vt:variant>
        <vt:i4>65</vt:i4>
      </vt:variant>
      <vt:variant>
        <vt:i4>0</vt:i4>
      </vt:variant>
      <vt:variant>
        <vt:i4>5</vt:i4>
      </vt:variant>
      <vt:variant>
        <vt:lpwstr/>
      </vt:variant>
      <vt:variant>
        <vt:lpwstr>_Toc395628771</vt:lpwstr>
      </vt:variant>
      <vt:variant>
        <vt:i4>1507379</vt:i4>
      </vt:variant>
      <vt:variant>
        <vt:i4>59</vt:i4>
      </vt:variant>
      <vt:variant>
        <vt:i4>0</vt:i4>
      </vt:variant>
      <vt:variant>
        <vt:i4>5</vt:i4>
      </vt:variant>
      <vt:variant>
        <vt:lpwstr/>
      </vt:variant>
      <vt:variant>
        <vt:lpwstr>_Toc395628770</vt:lpwstr>
      </vt:variant>
      <vt:variant>
        <vt:i4>1441843</vt:i4>
      </vt:variant>
      <vt:variant>
        <vt:i4>53</vt:i4>
      </vt:variant>
      <vt:variant>
        <vt:i4>0</vt:i4>
      </vt:variant>
      <vt:variant>
        <vt:i4>5</vt:i4>
      </vt:variant>
      <vt:variant>
        <vt:lpwstr/>
      </vt:variant>
      <vt:variant>
        <vt:lpwstr>_Toc395628769</vt:lpwstr>
      </vt:variant>
      <vt:variant>
        <vt:i4>1441843</vt:i4>
      </vt:variant>
      <vt:variant>
        <vt:i4>47</vt:i4>
      </vt:variant>
      <vt:variant>
        <vt:i4>0</vt:i4>
      </vt:variant>
      <vt:variant>
        <vt:i4>5</vt:i4>
      </vt:variant>
      <vt:variant>
        <vt:lpwstr/>
      </vt:variant>
      <vt:variant>
        <vt:lpwstr>_Toc395628768</vt:lpwstr>
      </vt:variant>
      <vt:variant>
        <vt:i4>1441843</vt:i4>
      </vt:variant>
      <vt:variant>
        <vt:i4>41</vt:i4>
      </vt:variant>
      <vt:variant>
        <vt:i4>0</vt:i4>
      </vt:variant>
      <vt:variant>
        <vt:i4>5</vt:i4>
      </vt:variant>
      <vt:variant>
        <vt:lpwstr/>
      </vt:variant>
      <vt:variant>
        <vt:lpwstr>_Toc395628767</vt:lpwstr>
      </vt:variant>
      <vt:variant>
        <vt:i4>1441843</vt:i4>
      </vt:variant>
      <vt:variant>
        <vt:i4>35</vt:i4>
      </vt:variant>
      <vt:variant>
        <vt:i4>0</vt:i4>
      </vt:variant>
      <vt:variant>
        <vt:i4>5</vt:i4>
      </vt:variant>
      <vt:variant>
        <vt:lpwstr/>
      </vt:variant>
      <vt:variant>
        <vt:lpwstr>_Toc395628766</vt:lpwstr>
      </vt:variant>
      <vt:variant>
        <vt:i4>1441843</vt:i4>
      </vt:variant>
      <vt:variant>
        <vt:i4>29</vt:i4>
      </vt:variant>
      <vt:variant>
        <vt:i4>0</vt:i4>
      </vt:variant>
      <vt:variant>
        <vt:i4>5</vt:i4>
      </vt:variant>
      <vt:variant>
        <vt:lpwstr/>
      </vt:variant>
      <vt:variant>
        <vt:lpwstr>_Toc395628765</vt:lpwstr>
      </vt:variant>
      <vt:variant>
        <vt:i4>1441843</vt:i4>
      </vt:variant>
      <vt:variant>
        <vt:i4>23</vt:i4>
      </vt:variant>
      <vt:variant>
        <vt:i4>0</vt:i4>
      </vt:variant>
      <vt:variant>
        <vt:i4>5</vt:i4>
      </vt:variant>
      <vt:variant>
        <vt:lpwstr/>
      </vt:variant>
      <vt:variant>
        <vt:lpwstr>_Toc395628764</vt:lpwstr>
      </vt:variant>
      <vt:variant>
        <vt:i4>1441843</vt:i4>
      </vt:variant>
      <vt:variant>
        <vt:i4>17</vt:i4>
      </vt:variant>
      <vt:variant>
        <vt:i4>0</vt:i4>
      </vt:variant>
      <vt:variant>
        <vt:i4>5</vt:i4>
      </vt:variant>
      <vt:variant>
        <vt:lpwstr/>
      </vt:variant>
      <vt:variant>
        <vt:lpwstr>_Toc395628763</vt:lpwstr>
      </vt:variant>
      <vt:variant>
        <vt:i4>1441843</vt:i4>
      </vt:variant>
      <vt:variant>
        <vt:i4>11</vt:i4>
      </vt:variant>
      <vt:variant>
        <vt:i4>0</vt:i4>
      </vt:variant>
      <vt:variant>
        <vt:i4>5</vt:i4>
      </vt:variant>
      <vt:variant>
        <vt:lpwstr/>
      </vt:variant>
      <vt:variant>
        <vt:lpwstr>_Toc395628762</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eftrenonacog alfa</dc:title>
  <dc:subject>prescription medicine regulation</dc:subject>
  <dc:creator>Therapeutic Goods Administration</dc:creator>
  <cp:keywords>clinical, evaluation, report, medicine, assessment, regulation, australia, eftrenonacog, alfa, alprolix, biogen, idec</cp:keywords>
  <cp:lastModifiedBy>Dixon, Jenna</cp:lastModifiedBy>
  <cp:revision>18</cp:revision>
  <cp:lastPrinted>2014-08-19T05:31:00Z</cp:lastPrinted>
  <dcterms:created xsi:type="dcterms:W3CDTF">2014-10-29T05:43:00Z</dcterms:created>
  <dcterms:modified xsi:type="dcterms:W3CDTF">2014-11-18T00:40:00Z</dcterms:modified>
  <cp:category>external publication</cp:category>
</cp:coreProperties>
</file>