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rsidTr="00BF1190">
        <w:trPr>
          <w:trHeight w:val="1863"/>
        </w:trPr>
        <w:tc>
          <w:tcPr>
            <w:tcW w:w="3652" w:type="dxa"/>
            <w:tcBorders>
              <w:top w:val="nil"/>
              <w:left w:val="nil"/>
              <w:bottom w:val="nil"/>
              <w:right w:val="nil"/>
            </w:tcBorders>
          </w:tcPr>
          <w:p w:rsidR="008E7846" w:rsidRPr="00096AA7" w:rsidRDefault="00AB264D" w:rsidP="00096AA7">
            <w:pPr>
              <w:rPr>
                <w:rFonts w:ascii="Arial" w:hAnsi="Arial" w:cs="Arial"/>
                <w:b/>
                <w:color w:val="002C47"/>
                <w:sz w:val="36"/>
                <w:szCs w:val="36"/>
              </w:rPr>
            </w:pPr>
            <w:r>
              <w:rPr>
                <w:rFonts w:ascii="Arial" w:hAnsi="Arial" w:cs="Arial"/>
                <w:b/>
                <w:color w:val="002C47"/>
                <w:sz w:val="36"/>
                <w:szCs w:val="36"/>
              </w:rPr>
              <w:t>January 2015</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rsidTr="0032583B">
        <w:trPr>
          <w:trHeight w:val="868"/>
        </w:trPr>
        <w:tc>
          <w:tcPr>
            <w:tcW w:w="9079" w:type="dxa"/>
          </w:tcPr>
          <w:p w:rsidR="0032583B" w:rsidRPr="00A964D1" w:rsidRDefault="0032583B" w:rsidP="006A198D">
            <w:pPr>
              <w:pStyle w:val="Title"/>
              <w:rPr>
                <w:color w:val="FFFFFF" w:themeColor="background1"/>
              </w:rPr>
            </w:pPr>
            <w:r w:rsidRPr="00A964D1">
              <w:rPr>
                <w:color w:val="FFFFFF" w:themeColor="background1"/>
              </w:rPr>
              <w:t>Australian Pu</w:t>
            </w:r>
            <w:r w:rsidR="009514BD">
              <w:rPr>
                <w:color w:val="FFFFFF" w:themeColor="background1"/>
              </w:rPr>
              <w:t xml:space="preserve">blic Assessment Report for </w:t>
            </w:r>
            <w:proofErr w:type="spellStart"/>
            <w:r w:rsidR="00BA7814">
              <w:rPr>
                <w:color w:val="FFFFFF" w:themeColor="background1"/>
              </w:rPr>
              <w:t>e</w:t>
            </w:r>
            <w:r w:rsidR="006A198D">
              <w:rPr>
                <w:color w:val="FFFFFF" w:themeColor="background1"/>
              </w:rPr>
              <w:t>fmor</w:t>
            </w:r>
            <w:r w:rsidR="00BA7814" w:rsidRPr="00BA7814">
              <w:rPr>
                <w:color w:val="FFFFFF" w:themeColor="background1"/>
              </w:rPr>
              <w:t>octocog</w:t>
            </w:r>
            <w:proofErr w:type="spellEnd"/>
            <w:r w:rsidR="00BA7814" w:rsidRPr="00BA7814">
              <w:rPr>
                <w:color w:val="FFFFFF" w:themeColor="background1"/>
              </w:rPr>
              <w:t xml:space="preserve"> </w:t>
            </w:r>
            <w:proofErr w:type="spellStart"/>
            <w:r w:rsidR="00BA7814" w:rsidRPr="00BA7814">
              <w:rPr>
                <w:color w:val="FFFFFF" w:themeColor="background1"/>
              </w:rPr>
              <w:t>alfa</w:t>
            </w:r>
            <w:proofErr w:type="spellEnd"/>
            <w:r w:rsidR="00E104F1">
              <w:rPr>
                <w:rStyle w:val="FootnoteReference"/>
                <w:color w:val="FFFFFF" w:themeColor="background1"/>
              </w:rPr>
              <w:footnoteReference w:id="1"/>
            </w:r>
            <w:r w:rsidR="00BA7814" w:rsidRPr="00BA7814">
              <w:rPr>
                <w:color w:val="FFFFFF" w:themeColor="background1"/>
              </w:rPr>
              <w:t xml:space="preserve"> (</w:t>
            </w:r>
            <w:proofErr w:type="spellStart"/>
            <w:r w:rsidR="00BA7814" w:rsidRPr="00BA7814">
              <w:rPr>
                <w:color w:val="FFFFFF" w:themeColor="background1"/>
              </w:rPr>
              <w:t>rhu</w:t>
            </w:r>
            <w:proofErr w:type="spellEnd"/>
            <w:r w:rsidR="00BA7814" w:rsidRPr="00BA7814">
              <w:rPr>
                <w:color w:val="FFFFFF" w:themeColor="background1"/>
              </w:rPr>
              <w:t>)</w:t>
            </w:r>
          </w:p>
        </w:tc>
      </w:tr>
      <w:tr w:rsidR="0032583B" w:rsidRPr="00B64760" w:rsidTr="0032583B">
        <w:tc>
          <w:tcPr>
            <w:tcW w:w="9079" w:type="dxa"/>
          </w:tcPr>
          <w:p w:rsidR="0032583B" w:rsidRPr="008E7846" w:rsidRDefault="009514BD" w:rsidP="00943C24">
            <w:pPr>
              <w:pStyle w:val="Subtitle"/>
              <w:rPr>
                <w:color w:val="FFFFFF" w:themeColor="background1"/>
              </w:rPr>
            </w:pPr>
            <w:r>
              <w:rPr>
                <w:color w:val="FFFFFF" w:themeColor="background1"/>
              </w:rPr>
              <w:t xml:space="preserve">Proprietary Product Name: </w:t>
            </w:r>
            <w:r w:rsidR="00BA7814" w:rsidRPr="00BA7814">
              <w:rPr>
                <w:color w:val="FFFFFF" w:themeColor="background1"/>
              </w:rPr>
              <w:t>Eloctate</w:t>
            </w:r>
          </w:p>
        </w:tc>
      </w:tr>
      <w:tr w:rsidR="0032583B" w:rsidRPr="00B64760" w:rsidTr="0032583B">
        <w:trPr>
          <w:trHeight w:val="486"/>
        </w:trPr>
        <w:tc>
          <w:tcPr>
            <w:tcW w:w="9079" w:type="dxa"/>
          </w:tcPr>
          <w:p w:rsidR="0032583B" w:rsidRPr="008E7846" w:rsidRDefault="009514BD" w:rsidP="0032583B">
            <w:pPr>
              <w:pStyle w:val="Subtitle"/>
              <w:rPr>
                <w:color w:val="FFFFFF" w:themeColor="background1"/>
              </w:rPr>
            </w:pPr>
            <w:r>
              <w:rPr>
                <w:color w:val="FFFFFF" w:themeColor="background1"/>
              </w:rPr>
              <w:t xml:space="preserve">Sponsor: </w:t>
            </w:r>
            <w:proofErr w:type="spellStart"/>
            <w:r>
              <w:rPr>
                <w:color w:val="FFFFFF" w:themeColor="background1"/>
              </w:rPr>
              <w:t>Biogen</w:t>
            </w:r>
            <w:proofErr w:type="spellEnd"/>
            <w:r>
              <w:rPr>
                <w:color w:val="FFFFFF" w:themeColor="background1"/>
              </w:rPr>
              <w:t xml:space="preserve"> Idec Australia Pty Ltd</w:t>
            </w:r>
          </w:p>
        </w:tc>
      </w:tr>
    </w:tbl>
    <w:p w:rsidR="00450E89" w:rsidRDefault="00450E89" w:rsidP="00924482">
      <w:pPr>
        <w:pStyle w:val="LegalCopy"/>
      </w:pPr>
    </w:p>
    <w:p w:rsidR="00450E89" w:rsidRDefault="00450E89">
      <w:pPr>
        <w:spacing w:before="0" w:after="200" w:line="0" w:lineRule="auto"/>
        <w:rPr>
          <w:sz w:val="17"/>
        </w:rPr>
      </w:pPr>
      <w:r>
        <w:br w:type="page"/>
      </w:r>
    </w:p>
    <w:p w:rsidR="00450E89" w:rsidRPr="001F6CBA" w:rsidRDefault="00450E89" w:rsidP="00450E89">
      <w:pPr>
        <w:pStyle w:val="NonTOCHeading2"/>
      </w:pPr>
      <w:r w:rsidRPr="001F6CBA">
        <w:lastRenderedPageBreak/>
        <w:t>About the Therapeutic Goods Administration (TGA)</w:t>
      </w:r>
    </w:p>
    <w:p w:rsidR="00450E89" w:rsidRDefault="00450E89" w:rsidP="00450E89">
      <w:pPr>
        <w:pStyle w:val="ListBullet"/>
        <w:numPr>
          <w:ilvl w:val="0"/>
          <w:numId w:val="3"/>
        </w:numPr>
        <w:ind w:left="357" w:hanging="357"/>
      </w:pPr>
      <w:r>
        <w:t>The Therapeutic Goods Administration (TGA) is part of the Australian Government Department of Health and is responsible for regulating medicines and medical devices.</w:t>
      </w:r>
    </w:p>
    <w:p w:rsidR="00450E89" w:rsidRDefault="00450E89" w:rsidP="00450E89">
      <w:pPr>
        <w:pStyle w:val="ListBullet"/>
        <w:numPr>
          <w:ilvl w:val="0"/>
          <w:numId w:val="3"/>
        </w:numPr>
        <w:ind w:left="357" w:hanging="357"/>
      </w:pPr>
      <w:r>
        <w:t xml:space="preserve">The TGA administers the </w:t>
      </w:r>
      <w:r w:rsidRPr="00F640B6">
        <w:rPr>
          <w:i/>
        </w:rPr>
        <w:t>Therapeutic Goods Act 1989</w:t>
      </w:r>
      <w:r>
        <w:t xml:space="preserve"> (the Act), applying a risk management approach designed to ensure therapeutic goods supplied in Australia meet acceptable standards of quality, safety and efficacy (performance), when necessary.</w:t>
      </w:r>
    </w:p>
    <w:p w:rsidR="00450E89" w:rsidRDefault="00450E89" w:rsidP="00450E89">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rsidR="00450E89" w:rsidRDefault="00450E89" w:rsidP="00450E89">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rsidR="00450E89" w:rsidRDefault="00450E89" w:rsidP="00450E89">
      <w:pPr>
        <w:pStyle w:val="ListBullet"/>
        <w:numPr>
          <w:ilvl w:val="0"/>
          <w:numId w:val="3"/>
        </w:numPr>
        <w:ind w:left="357" w:hanging="357"/>
      </w:pPr>
      <w:r>
        <w:t>To report a problem with a medicine or medical device, please see the information on the TGA website &lt;</w:t>
      </w:r>
      <w:hyperlink r:id="rId9" w:history="1">
        <w:r w:rsidRPr="003A5406">
          <w:rPr>
            <w:rStyle w:val="Hyperlink"/>
          </w:rPr>
          <w:t>http://www.tga.gov.au</w:t>
        </w:r>
      </w:hyperlink>
      <w:r>
        <w:t>&gt;.</w:t>
      </w:r>
    </w:p>
    <w:p w:rsidR="00450E89" w:rsidRDefault="00450E89" w:rsidP="00450E89">
      <w:pPr>
        <w:pStyle w:val="NonTOCHeading2"/>
      </w:pPr>
      <w:r>
        <w:t xml:space="preserve">About </w:t>
      </w:r>
      <w:proofErr w:type="spellStart"/>
      <w:r>
        <w:t>AusPARs</w:t>
      </w:r>
      <w:proofErr w:type="spellEnd"/>
    </w:p>
    <w:p w:rsidR="00450E89" w:rsidRDefault="00450E89" w:rsidP="00450E89">
      <w:pPr>
        <w:pStyle w:val="ListBullet"/>
        <w:numPr>
          <w:ilvl w:val="0"/>
          <w:numId w:val="3"/>
        </w:numPr>
        <w:ind w:left="357" w:hanging="357"/>
      </w:pPr>
      <w:r>
        <w:t>An Australian Public Assessment Record (</w:t>
      </w:r>
      <w:proofErr w:type="spellStart"/>
      <w:r>
        <w:t>AusPAR</w:t>
      </w:r>
      <w:proofErr w:type="spellEnd"/>
      <w:r>
        <w:t xml:space="preserve">) provides information about the evaluation of a prescription medicine and the considerations that led the TGA to approve or not approve a prescription medicine submission. </w:t>
      </w:r>
    </w:p>
    <w:p w:rsidR="00450E89" w:rsidRDefault="00450E89" w:rsidP="00450E89">
      <w:pPr>
        <w:pStyle w:val="ListBullet"/>
        <w:numPr>
          <w:ilvl w:val="0"/>
          <w:numId w:val="3"/>
        </w:numPr>
        <w:ind w:left="357" w:hanging="357"/>
      </w:pPr>
      <w:proofErr w:type="spellStart"/>
      <w:r>
        <w:t>AusPARs</w:t>
      </w:r>
      <w:proofErr w:type="spellEnd"/>
      <w:r>
        <w:t xml:space="preserve"> are prepared and published by the TGA.</w:t>
      </w:r>
    </w:p>
    <w:p w:rsidR="00450E89" w:rsidRDefault="00450E89" w:rsidP="00450E89">
      <w:pPr>
        <w:pStyle w:val="ListBullet"/>
        <w:numPr>
          <w:ilvl w:val="0"/>
          <w:numId w:val="3"/>
        </w:numPr>
        <w:ind w:left="357" w:hanging="357"/>
      </w:pPr>
      <w:r>
        <w:t xml:space="preserve">An </w:t>
      </w:r>
      <w:proofErr w:type="spellStart"/>
      <w:r>
        <w:t>AusPAR</w:t>
      </w:r>
      <w:proofErr w:type="spellEnd"/>
      <w:r>
        <w:t xml:space="preserve"> is prepared for submissions that relate to new chemical entities, generic medicines, major variations, and extensions of indications.</w:t>
      </w:r>
    </w:p>
    <w:p w:rsidR="00450E89" w:rsidRDefault="00450E89" w:rsidP="00450E89">
      <w:pPr>
        <w:pStyle w:val="ListBullet"/>
        <w:numPr>
          <w:ilvl w:val="0"/>
          <w:numId w:val="3"/>
        </w:numPr>
        <w:ind w:left="357" w:hanging="357"/>
      </w:pPr>
      <w:r>
        <w:t xml:space="preserve">An </w:t>
      </w:r>
      <w:proofErr w:type="spellStart"/>
      <w:r>
        <w:t>AusPAR</w:t>
      </w:r>
      <w:proofErr w:type="spellEnd"/>
      <w:r>
        <w:t xml:space="preserve"> is a static document, in that it will provide information that relates to a submission at a particular point in time.</w:t>
      </w:r>
    </w:p>
    <w:p w:rsidR="00450E89" w:rsidRDefault="00450E89" w:rsidP="00450E89">
      <w:pPr>
        <w:pStyle w:val="ListBullet"/>
        <w:numPr>
          <w:ilvl w:val="0"/>
          <w:numId w:val="3"/>
        </w:numPr>
        <w:ind w:left="357" w:hanging="357"/>
      </w:pPr>
      <w:r>
        <w:t xml:space="preserve">A new </w:t>
      </w:r>
      <w:proofErr w:type="spellStart"/>
      <w:r>
        <w:t>AusPAR</w:t>
      </w:r>
      <w:proofErr w:type="spellEnd"/>
      <w:r>
        <w:t xml:space="preserve"> will be developed to reflect changes to indications and/or major variations to a prescription medicine subject to evaluation by the TGA.</w:t>
      </w:r>
    </w:p>
    <w:p w:rsidR="00450E89" w:rsidRPr="00DF1D7F" w:rsidRDefault="00450E89" w:rsidP="00450E89">
      <w:pPr>
        <w:pStyle w:val="LegalSubheading"/>
        <w:spacing w:before="3120"/>
      </w:pPr>
      <w:r w:rsidRPr="00DF1D7F">
        <w:t>Copyright</w:t>
      </w:r>
    </w:p>
    <w:p w:rsidR="00924482" w:rsidRDefault="00450E89" w:rsidP="00924482">
      <w:pPr>
        <w:pStyle w:val="LegalCopy"/>
        <w:sectPr w:rsidR="00924482" w:rsidSect="003D1E62">
          <w:headerReference w:type="even" r:id="rId10"/>
          <w:headerReference w:type="default" r:id="rId11"/>
          <w:footerReference w:type="even" r:id="rId12"/>
          <w:footerReference w:type="default" r:id="rId13"/>
          <w:headerReference w:type="first" r:id="rId14"/>
          <w:footerReference w:type="first" r:id="rId15"/>
          <w:pgSz w:w="11906" w:h="16838" w:code="9"/>
          <w:pgMar w:top="426" w:right="1701" w:bottom="0" w:left="1701" w:header="907" w:footer="142" w:gutter="0"/>
          <w:pgNumType w:fmt="lowerRoman" w:start="1"/>
          <w:cols w:space="708"/>
          <w:titlePg/>
          <w:docGrid w:linePitch="360"/>
        </w:sectPr>
      </w:pPr>
      <w:r w:rsidRPr="00191B3B">
        <w:rPr>
          <w:rFonts w:cs="Arial"/>
          <w:lang w:val="en-GB"/>
        </w:rPr>
        <w:t>© Comm</w:t>
      </w:r>
      <w:r>
        <w:rPr>
          <w:rFonts w:cs="Arial"/>
          <w:lang w:val="en-GB"/>
        </w:rPr>
        <w:t>onwealth of Australia 2015</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16" w:history="1">
        <w:r w:rsidRPr="00191B3B">
          <w:rPr>
            <w:rStyle w:val="Hyperlink"/>
            <w:rFonts w:cs="Arial"/>
            <w:lang w:val="en-GB"/>
          </w:rPr>
          <w:t>tga.copyright@tga.gov.au</w:t>
        </w:r>
      </w:hyperlink>
      <w:r w:rsidRPr="00191B3B">
        <w:rPr>
          <w:rFonts w:cs="Arial"/>
        </w:rPr>
        <w:t>&gt;.</w:t>
      </w: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Contents</w:t>
          </w:r>
        </w:p>
        <w:p w:rsidR="005D2E54" w:rsidRDefault="00DB6124">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r w:rsidR="00611B92">
            <w:rPr>
              <w:noProof/>
            </w:rPr>
            <w:fldChar w:fldCharType="begin"/>
          </w:r>
          <w:r w:rsidR="00611B92">
            <w:rPr>
              <w:noProof/>
            </w:rPr>
            <w:instrText xml:space="preserve"> HYPERLINK \l "_Toc412817703" </w:instrText>
          </w:r>
          <w:r w:rsidR="00FC2942">
            <w:rPr>
              <w:noProof/>
            </w:rPr>
          </w:r>
          <w:r w:rsidR="00611B92">
            <w:rPr>
              <w:noProof/>
            </w:rPr>
            <w:fldChar w:fldCharType="separate"/>
          </w:r>
          <w:r w:rsidR="005D2E54" w:rsidRPr="00F879EB">
            <w:rPr>
              <w:rStyle w:val="Hyperlink"/>
              <w:noProof/>
            </w:rPr>
            <w:t xml:space="preserve">List of </w:t>
          </w:r>
          <w:bookmarkStart w:id="2" w:name="_GoBack"/>
          <w:bookmarkEnd w:id="2"/>
          <w:r w:rsidR="005D2E54" w:rsidRPr="00F879EB">
            <w:rPr>
              <w:rStyle w:val="Hyperlink"/>
              <w:noProof/>
            </w:rPr>
            <w:t>the most common abbreviations used in this AusPAR</w:t>
          </w:r>
          <w:r w:rsidR="005D2E54">
            <w:rPr>
              <w:noProof/>
              <w:webHidden/>
            </w:rPr>
            <w:tab/>
          </w:r>
          <w:r w:rsidR="005D2E54">
            <w:rPr>
              <w:noProof/>
              <w:webHidden/>
            </w:rPr>
            <w:fldChar w:fldCharType="begin"/>
          </w:r>
          <w:r w:rsidR="005D2E54">
            <w:rPr>
              <w:noProof/>
              <w:webHidden/>
            </w:rPr>
            <w:instrText xml:space="preserve"> PAGEREF _Toc412817703 \h </w:instrText>
          </w:r>
          <w:r w:rsidR="005D2E54">
            <w:rPr>
              <w:noProof/>
              <w:webHidden/>
            </w:rPr>
          </w:r>
          <w:r w:rsidR="005D2E54">
            <w:rPr>
              <w:noProof/>
              <w:webHidden/>
            </w:rPr>
            <w:fldChar w:fldCharType="separate"/>
          </w:r>
          <w:r w:rsidR="00FC2942">
            <w:rPr>
              <w:noProof/>
              <w:webHidden/>
            </w:rPr>
            <w:t>5</w:t>
          </w:r>
          <w:r w:rsidR="005D2E54">
            <w:rPr>
              <w:noProof/>
              <w:webHidden/>
            </w:rPr>
            <w:fldChar w:fldCharType="end"/>
          </w:r>
          <w:r w:rsidR="00611B92">
            <w:rPr>
              <w:noProof/>
            </w:rPr>
            <w:fldChar w:fldCharType="end"/>
          </w:r>
        </w:p>
        <w:p w:rsidR="005D2E54" w:rsidRDefault="00611B92">
          <w:pPr>
            <w:pStyle w:val="TOC2"/>
            <w:rPr>
              <w:rFonts w:asciiTheme="minorHAnsi" w:eastAsiaTheme="minorEastAsia" w:hAnsiTheme="minorHAnsi" w:cstheme="minorBidi"/>
              <w:b w:val="0"/>
              <w:noProof/>
              <w:sz w:val="22"/>
              <w:lang w:eastAsia="en-AU"/>
            </w:rPr>
          </w:pPr>
          <w:hyperlink w:anchor="_Toc412817704" w:history="1">
            <w:r w:rsidR="005D2E54" w:rsidRPr="00F879EB">
              <w:rPr>
                <w:rStyle w:val="Hyperlink"/>
                <w:noProof/>
              </w:rPr>
              <w:t>I. Introduction to product submission</w:t>
            </w:r>
            <w:r w:rsidR="005D2E54">
              <w:rPr>
                <w:noProof/>
                <w:webHidden/>
              </w:rPr>
              <w:tab/>
            </w:r>
            <w:r w:rsidR="005D2E54">
              <w:rPr>
                <w:noProof/>
                <w:webHidden/>
              </w:rPr>
              <w:fldChar w:fldCharType="begin"/>
            </w:r>
            <w:r w:rsidR="005D2E54">
              <w:rPr>
                <w:noProof/>
                <w:webHidden/>
              </w:rPr>
              <w:instrText xml:space="preserve"> PAGEREF _Toc412817704 \h </w:instrText>
            </w:r>
            <w:r w:rsidR="005D2E54">
              <w:rPr>
                <w:noProof/>
                <w:webHidden/>
              </w:rPr>
            </w:r>
            <w:r w:rsidR="005D2E54">
              <w:rPr>
                <w:noProof/>
                <w:webHidden/>
              </w:rPr>
              <w:fldChar w:fldCharType="separate"/>
            </w:r>
            <w:r w:rsidR="00FC2942">
              <w:rPr>
                <w:noProof/>
                <w:webHidden/>
              </w:rPr>
              <w:t>8</w:t>
            </w:r>
            <w:r w:rsidR="005D2E54">
              <w:rPr>
                <w:noProof/>
                <w:webHidden/>
              </w:rPr>
              <w:fldChar w:fldCharType="end"/>
            </w:r>
          </w:hyperlink>
        </w:p>
        <w:p w:rsidR="005D2E54" w:rsidRDefault="00611B92">
          <w:pPr>
            <w:pStyle w:val="TOC3"/>
            <w:rPr>
              <w:rFonts w:asciiTheme="minorHAnsi" w:eastAsiaTheme="minorEastAsia" w:hAnsiTheme="minorHAnsi" w:cstheme="minorBidi"/>
              <w:noProof/>
              <w:lang w:eastAsia="en-AU"/>
            </w:rPr>
          </w:pPr>
          <w:hyperlink w:anchor="_Toc412817705" w:history="1">
            <w:r w:rsidR="005D2E54" w:rsidRPr="00F879EB">
              <w:rPr>
                <w:rStyle w:val="Hyperlink"/>
                <w:noProof/>
                <w:lang w:eastAsia="en-AU"/>
              </w:rPr>
              <w:t xml:space="preserve">Submission </w:t>
            </w:r>
            <w:r w:rsidR="005D2E54" w:rsidRPr="00F879EB">
              <w:rPr>
                <w:rStyle w:val="Hyperlink"/>
                <w:noProof/>
              </w:rPr>
              <w:t>details</w:t>
            </w:r>
            <w:r w:rsidR="005D2E54">
              <w:rPr>
                <w:noProof/>
                <w:webHidden/>
              </w:rPr>
              <w:tab/>
            </w:r>
            <w:r w:rsidR="005D2E54">
              <w:rPr>
                <w:noProof/>
                <w:webHidden/>
              </w:rPr>
              <w:fldChar w:fldCharType="begin"/>
            </w:r>
            <w:r w:rsidR="005D2E54">
              <w:rPr>
                <w:noProof/>
                <w:webHidden/>
              </w:rPr>
              <w:instrText xml:space="preserve"> PAGEREF _Toc412817705 \h </w:instrText>
            </w:r>
            <w:r w:rsidR="005D2E54">
              <w:rPr>
                <w:noProof/>
                <w:webHidden/>
              </w:rPr>
            </w:r>
            <w:r w:rsidR="005D2E54">
              <w:rPr>
                <w:noProof/>
                <w:webHidden/>
              </w:rPr>
              <w:fldChar w:fldCharType="separate"/>
            </w:r>
            <w:r w:rsidR="00FC2942">
              <w:rPr>
                <w:noProof/>
                <w:webHidden/>
              </w:rPr>
              <w:t>8</w:t>
            </w:r>
            <w:r w:rsidR="005D2E54">
              <w:rPr>
                <w:noProof/>
                <w:webHidden/>
              </w:rPr>
              <w:fldChar w:fldCharType="end"/>
            </w:r>
          </w:hyperlink>
        </w:p>
        <w:p w:rsidR="005D2E54" w:rsidRDefault="00611B92">
          <w:pPr>
            <w:pStyle w:val="TOC3"/>
            <w:rPr>
              <w:rFonts w:asciiTheme="minorHAnsi" w:eastAsiaTheme="minorEastAsia" w:hAnsiTheme="minorHAnsi" w:cstheme="minorBidi"/>
              <w:noProof/>
              <w:lang w:eastAsia="en-AU"/>
            </w:rPr>
          </w:pPr>
          <w:hyperlink w:anchor="_Toc412817706" w:history="1">
            <w:r w:rsidR="005D2E54" w:rsidRPr="00F879EB">
              <w:rPr>
                <w:rStyle w:val="Hyperlink"/>
                <w:noProof/>
              </w:rPr>
              <w:t>Product background</w:t>
            </w:r>
            <w:r w:rsidR="005D2E54">
              <w:rPr>
                <w:noProof/>
                <w:webHidden/>
              </w:rPr>
              <w:tab/>
            </w:r>
            <w:r w:rsidR="005D2E54">
              <w:rPr>
                <w:noProof/>
                <w:webHidden/>
              </w:rPr>
              <w:fldChar w:fldCharType="begin"/>
            </w:r>
            <w:r w:rsidR="005D2E54">
              <w:rPr>
                <w:noProof/>
                <w:webHidden/>
              </w:rPr>
              <w:instrText xml:space="preserve"> PAGEREF _Toc412817706 \h </w:instrText>
            </w:r>
            <w:r w:rsidR="005D2E54">
              <w:rPr>
                <w:noProof/>
                <w:webHidden/>
              </w:rPr>
            </w:r>
            <w:r w:rsidR="005D2E54">
              <w:rPr>
                <w:noProof/>
                <w:webHidden/>
              </w:rPr>
              <w:fldChar w:fldCharType="separate"/>
            </w:r>
            <w:r w:rsidR="00FC2942">
              <w:rPr>
                <w:noProof/>
                <w:webHidden/>
              </w:rPr>
              <w:t>9</w:t>
            </w:r>
            <w:r w:rsidR="005D2E54">
              <w:rPr>
                <w:noProof/>
                <w:webHidden/>
              </w:rPr>
              <w:fldChar w:fldCharType="end"/>
            </w:r>
          </w:hyperlink>
        </w:p>
        <w:p w:rsidR="005D2E54" w:rsidRDefault="00611B92">
          <w:pPr>
            <w:pStyle w:val="TOC3"/>
            <w:rPr>
              <w:rFonts w:asciiTheme="minorHAnsi" w:eastAsiaTheme="minorEastAsia" w:hAnsiTheme="minorHAnsi" w:cstheme="minorBidi"/>
              <w:noProof/>
              <w:lang w:eastAsia="en-AU"/>
            </w:rPr>
          </w:pPr>
          <w:hyperlink w:anchor="_Toc412817707" w:history="1">
            <w:r w:rsidR="005D2E54" w:rsidRPr="00F879EB">
              <w:rPr>
                <w:rStyle w:val="Hyperlink"/>
                <w:noProof/>
              </w:rPr>
              <w:t>Regulatory status</w:t>
            </w:r>
            <w:r w:rsidR="005D2E54">
              <w:rPr>
                <w:noProof/>
                <w:webHidden/>
              </w:rPr>
              <w:tab/>
            </w:r>
            <w:r w:rsidR="005D2E54">
              <w:rPr>
                <w:noProof/>
                <w:webHidden/>
              </w:rPr>
              <w:fldChar w:fldCharType="begin"/>
            </w:r>
            <w:r w:rsidR="005D2E54">
              <w:rPr>
                <w:noProof/>
                <w:webHidden/>
              </w:rPr>
              <w:instrText xml:space="preserve"> PAGEREF _Toc412817707 \h </w:instrText>
            </w:r>
            <w:r w:rsidR="005D2E54">
              <w:rPr>
                <w:noProof/>
                <w:webHidden/>
              </w:rPr>
            </w:r>
            <w:r w:rsidR="005D2E54">
              <w:rPr>
                <w:noProof/>
                <w:webHidden/>
              </w:rPr>
              <w:fldChar w:fldCharType="separate"/>
            </w:r>
            <w:r w:rsidR="00FC2942">
              <w:rPr>
                <w:noProof/>
                <w:webHidden/>
              </w:rPr>
              <w:t>9</w:t>
            </w:r>
            <w:r w:rsidR="005D2E54">
              <w:rPr>
                <w:noProof/>
                <w:webHidden/>
              </w:rPr>
              <w:fldChar w:fldCharType="end"/>
            </w:r>
          </w:hyperlink>
        </w:p>
        <w:p w:rsidR="005D2E54" w:rsidRDefault="00611B92">
          <w:pPr>
            <w:pStyle w:val="TOC3"/>
            <w:rPr>
              <w:rFonts w:asciiTheme="minorHAnsi" w:eastAsiaTheme="minorEastAsia" w:hAnsiTheme="minorHAnsi" w:cstheme="minorBidi"/>
              <w:noProof/>
              <w:lang w:eastAsia="en-AU"/>
            </w:rPr>
          </w:pPr>
          <w:hyperlink w:anchor="_Toc412817708" w:history="1">
            <w:r w:rsidR="005D2E54" w:rsidRPr="00F879EB">
              <w:rPr>
                <w:rStyle w:val="Hyperlink"/>
                <w:noProof/>
              </w:rPr>
              <w:t>Product Information</w:t>
            </w:r>
            <w:r w:rsidR="005D2E54">
              <w:rPr>
                <w:noProof/>
                <w:webHidden/>
              </w:rPr>
              <w:tab/>
            </w:r>
            <w:r w:rsidR="005D2E54">
              <w:rPr>
                <w:noProof/>
                <w:webHidden/>
              </w:rPr>
              <w:fldChar w:fldCharType="begin"/>
            </w:r>
            <w:r w:rsidR="005D2E54">
              <w:rPr>
                <w:noProof/>
                <w:webHidden/>
              </w:rPr>
              <w:instrText xml:space="preserve"> PAGEREF _Toc412817708 \h </w:instrText>
            </w:r>
            <w:r w:rsidR="005D2E54">
              <w:rPr>
                <w:noProof/>
                <w:webHidden/>
              </w:rPr>
            </w:r>
            <w:r w:rsidR="005D2E54">
              <w:rPr>
                <w:noProof/>
                <w:webHidden/>
              </w:rPr>
              <w:fldChar w:fldCharType="separate"/>
            </w:r>
            <w:r w:rsidR="00FC2942">
              <w:rPr>
                <w:noProof/>
                <w:webHidden/>
              </w:rPr>
              <w:t>9</w:t>
            </w:r>
            <w:r w:rsidR="005D2E54">
              <w:rPr>
                <w:noProof/>
                <w:webHidden/>
              </w:rPr>
              <w:fldChar w:fldCharType="end"/>
            </w:r>
          </w:hyperlink>
        </w:p>
        <w:p w:rsidR="005D2E54" w:rsidRDefault="00611B92">
          <w:pPr>
            <w:pStyle w:val="TOC2"/>
            <w:rPr>
              <w:rFonts w:asciiTheme="minorHAnsi" w:eastAsiaTheme="minorEastAsia" w:hAnsiTheme="minorHAnsi" w:cstheme="minorBidi"/>
              <w:b w:val="0"/>
              <w:noProof/>
              <w:sz w:val="22"/>
              <w:lang w:eastAsia="en-AU"/>
            </w:rPr>
          </w:pPr>
          <w:hyperlink w:anchor="_Toc412817709" w:history="1">
            <w:r w:rsidR="005D2E54" w:rsidRPr="00F879EB">
              <w:rPr>
                <w:rStyle w:val="Hyperlink"/>
                <w:noProof/>
              </w:rPr>
              <w:t>II. Quality findings</w:t>
            </w:r>
            <w:r w:rsidR="005D2E54">
              <w:rPr>
                <w:noProof/>
                <w:webHidden/>
              </w:rPr>
              <w:tab/>
            </w:r>
            <w:r w:rsidR="005D2E54">
              <w:rPr>
                <w:noProof/>
                <w:webHidden/>
              </w:rPr>
              <w:fldChar w:fldCharType="begin"/>
            </w:r>
            <w:r w:rsidR="005D2E54">
              <w:rPr>
                <w:noProof/>
                <w:webHidden/>
              </w:rPr>
              <w:instrText xml:space="preserve"> PAGEREF _Toc412817709 \h </w:instrText>
            </w:r>
            <w:r w:rsidR="005D2E54">
              <w:rPr>
                <w:noProof/>
                <w:webHidden/>
              </w:rPr>
            </w:r>
            <w:r w:rsidR="005D2E54">
              <w:rPr>
                <w:noProof/>
                <w:webHidden/>
              </w:rPr>
              <w:fldChar w:fldCharType="separate"/>
            </w:r>
            <w:r w:rsidR="00FC2942">
              <w:rPr>
                <w:noProof/>
                <w:webHidden/>
              </w:rPr>
              <w:t>9</w:t>
            </w:r>
            <w:r w:rsidR="005D2E54">
              <w:rPr>
                <w:noProof/>
                <w:webHidden/>
              </w:rPr>
              <w:fldChar w:fldCharType="end"/>
            </w:r>
          </w:hyperlink>
        </w:p>
        <w:p w:rsidR="005D2E54" w:rsidRDefault="00611B92">
          <w:pPr>
            <w:pStyle w:val="TOC3"/>
            <w:rPr>
              <w:rFonts w:asciiTheme="minorHAnsi" w:eastAsiaTheme="minorEastAsia" w:hAnsiTheme="minorHAnsi" w:cstheme="minorBidi"/>
              <w:noProof/>
              <w:lang w:eastAsia="en-AU"/>
            </w:rPr>
          </w:pPr>
          <w:hyperlink w:anchor="_Toc412817710" w:history="1">
            <w:r w:rsidR="005D2E54" w:rsidRPr="00F879EB">
              <w:rPr>
                <w:rStyle w:val="Hyperlink"/>
                <w:noProof/>
              </w:rPr>
              <w:t>Introduction</w:t>
            </w:r>
            <w:r w:rsidR="005D2E54">
              <w:rPr>
                <w:noProof/>
                <w:webHidden/>
              </w:rPr>
              <w:tab/>
            </w:r>
            <w:r w:rsidR="005D2E54">
              <w:rPr>
                <w:noProof/>
                <w:webHidden/>
              </w:rPr>
              <w:fldChar w:fldCharType="begin"/>
            </w:r>
            <w:r w:rsidR="005D2E54">
              <w:rPr>
                <w:noProof/>
                <w:webHidden/>
              </w:rPr>
              <w:instrText xml:space="preserve"> PAGEREF _Toc412817710 \h </w:instrText>
            </w:r>
            <w:r w:rsidR="005D2E54">
              <w:rPr>
                <w:noProof/>
                <w:webHidden/>
              </w:rPr>
            </w:r>
            <w:r w:rsidR="005D2E54">
              <w:rPr>
                <w:noProof/>
                <w:webHidden/>
              </w:rPr>
              <w:fldChar w:fldCharType="separate"/>
            </w:r>
            <w:r w:rsidR="00FC2942">
              <w:rPr>
                <w:noProof/>
                <w:webHidden/>
              </w:rPr>
              <w:t>9</w:t>
            </w:r>
            <w:r w:rsidR="005D2E54">
              <w:rPr>
                <w:noProof/>
                <w:webHidden/>
              </w:rPr>
              <w:fldChar w:fldCharType="end"/>
            </w:r>
          </w:hyperlink>
        </w:p>
        <w:p w:rsidR="005D2E54" w:rsidRDefault="00611B92">
          <w:pPr>
            <w:pStyle w:val="TOC3"/>
            <w:rPr>
              <w:rFonts w:asciiTheme="minorHAnsi" w:eastAsiaTheme="minorEastAsia" w:hAnsiTheme="minorHAnsi" w:cstheme="minorBidi"/>
              <w:noProof/>
              <w:lang w:eastAsia="en-AU"/>
            </w:rPr>
          </w:pPr>
          <w:hyperlink w:anchor="_Toc412817711" w:history="1">
            <w:r w:rsidR="005D2E54" w:rsidRPr="00F879EB">
              <w:rPr>
                <w:rStyle w:val="Hyperlink"/>
                <w:noProof/>
              </w:rPr>
              <w:t>Drug substance (active ingredient)</w:t>
            </w:r>
            <w:r w:rsidR="005D2E54">
              <w:rPr>
                <w:noProof/>
                <w:webHidden/>
              </w:rPr>
              <w:tab/>
            </w:r>
            <w:r w:rsidR="005D2E54">
              <w:rPr>
                <w:noProof/>
                <w:webHidden/>
              </w:rPr>
              <w:fldChar w:fldCharType="begin"/>
            </w:r>
            <w:r w:rsidR="005D2E54">
              <w:rPr>
                <w:noProof/>
                <w:webHidden/>
              </w:rPr>
              <w:instrText xml:space="preserve"> PAGEREF _Toc412817711 \h </w:instrText>
            </w:r>
            <w:r w:rsidR="005D2E54">
              <w:rPr>
                <w:noProof/>
                <w:webHidden/>
              </w:rPr>
            </w:r>
            <w:r w:rsidR="005D2E54">
              <w:rPr>
                <w:noProof/>
                <w:webHidden/>
              </w:rPr>
              <w:fldChar w:fldCharType="separate"/>
            </w:r>
            <w:r w:rsidR="00FC2942">
              <w:rPr>
                <w:noProof/>
                <w:webHidden/>
              </w:rPr>
              <w:t>10</w:t>
            </w:r>
            <w:r w:rsidR="005D2E54">
              <w:rPr>
                <w:noProof/>
                <w:webHidden/>
              </w:rPr>
              <w:fldChar w:fldCharType="end"/>
            </w:r>
          </w:hyperlink>
        </w:p>
        <w:p w:rsidR="005D2E54" w:rsidRDefault="00611B92">
          <w:pPr>
            <w:pStyle w:val="TOC3"/>
            <w:rPr>
              <w:rFonts w:asciiTheme="minorHAnsi" w:eastAsiaTheme="minorEastAsia" w:hAnsiTheme="minorHAnsi" w:cstheme="minorBidi"/>
              <w:noProof/>
              <w:lang w:eastAsia="en-AU"/>
            </w:rPr>
          </w:pPr>
          <w:hyperlink w:anchor="_Toc412817712" w:history="1">
            <w:r w:rsidR="005D2E54" w:rsidRPr="00F879EB">
              <w:rPr>
                <w:rStyle w:val="Hyperlink"/>
                <w:noProof/>
              </w:rPr>
              <w:t>Drug product</w:t>
            </w:r>
            <w:r w:rsidR="005D2E54">
              <w:rPr>
                <w:noProof/>
                <w:webHidden/>
              </w:rPr>
              <w:tab/>
            </w:r>
            <w:r w:rsidR="005D2E54">
              <w:rPr>
                <w:noProof/>
                <w:webHidden/>
              </w:rPr>
              <w:fldChar w:fldCharType="begin"/>
            </w:r>
            <w:r w:rsidR="005D2E54">
              <w:rPr>
                <w:noProof/>
                <w:webHidden/>
              </w:rPr>
              <w:instrText xml:space="preserve"> PAGEREF _Toc412817712 \h </w:instrText>
            </w:r>
            <w:r w:rsidR="005D2E54">
              <w:rPr>
                <w:noProof/>
                <w:webHidden/>
              </w:rPr>
            </w:r>
            <w:r w:rsidR="005D2E54">
              <w:rPr>
                <w:noProof/>
                <w:webHidden/>
              </w:rPr>
              <w:fldChar w:fldCharType="separate"/>
            </w:r>
            <w:r w:rsidR="00FC2942">
              <w:rPr>
                <w:noProof/>
                <w:webHidden/>
              </w:rPr>
              <w:t>11</w:t>
            </w:r>
            <w:r w:rsidR="005D2E54">
              <w:rPr>
                <w:noProof/>
                <w:webHidden/>
              </w:rPr>
              <w:fldChar w:fldCharType="end"/>
            </w:r>
          </w:hyperlink>
        </w:p>
        <w:p w:rsidR="005D2E54" w:rsidRDefault="00611B92">
          <w:pPr>
            <w:pStyle w:val="TOC3"/>
            <w:rPr>
              <w:rFonts w:asciiTheme="minorHAnsi" w:eastAsiaTheme="minorEastAsia" w:hAnsiTheme="minorHAnsi" w:cstheme="minorBidi"/>
              <w:noProof/>
              <w:lang w:eastAsia="en-AU"/>
            </w:rPr>
          </w:pPr>
          <w:hyperlink w:anchor="_Toc412817713" w:history="1">
            <w:r w:rsidR="005D2E54" w:rsidRPr="00F879EB">
              <w:rPr>
                <w:rStyle w:val="Hyperlink"/>
                <w:noProof/>
              </w:rPr>
              <w:t>Quality summary and conclusions</w:t>
            </w:r>
            <w:r w:rsidR="005D2E54">
              <w:rPr>
                <w:noProof/>
                <w:webHidden/>
              </w:rPr>
              <w:tab/>
            </w:r>
            <w:r w:rsidR="005D2E54">
              <w:rPr>
                <w:noProof/>
                <w:webHidden/>
              </w:rPr>
              <w:fldChar w:fldCharType="begin"/>
            </w:r>
            <w:r w:rsidR="005D2E54">
              <w:rPr>
                <w:noProof/>
                <w:webHidden/>
              </w:rPr>
              <w:instrText xml:space="preserve"> PAGEREF _Toc412817713 \h </w:instrText>
            </w:r>
            <w:r w:rsidR="005D2E54">
              <w:rPr>
                <w:noProof/>
                <w:webHidden/>
              </w:rPr>
            </w:r>
            <w:r w:rsidR="005D2E54">
              <w:rPr>
                <w:noProof/>
                <w:webHidden/>
              </w:rPr>
              <w:fldChar w:fldCharType="separate"/>
            </w:r>
            <w:r w:rsidR="00FC2942">
              <w:rPr>
                <w:noProof/>
                <w:webHidden/>
              </w:rPr>
              <w:t>12</w:t>
            </w:r>
            <w:r w:rsidR="005D2E54">
              <w:rPr>
                <w:noProof/>
                <w:webHidden/>
              </w:rPr>
              <w:fldChar w:fldCharType="end"/>
            </w:r>
          </w:hyperlink>
        </w:p>
        <w:p w:rsidR="005D2E54" w:rsidRDefault="00611B92">
          <w:pPr>
            <w:pStyle w:val="TOC2"/>
            <w:rPr>
              <w:rFonts w:asciiTheme="minorHAnsi" w:eastAsiaTheme="minorEastAsia" w:hAnsiTheme="minorHAnsi" w:cstheme="minorBidi"/>
              <w:b w:val="0"/>
              <w:noProof/>
              <w:sz w:val="22"/>
              <w:lang w:eastAsia="en-AU"/>
            </w:rPr>
          </w:pPr>
          <w:hyperlink w:anchor="_Toc412817714" w:history="1">
            <w:r w:rsidR="005D2E54" w:rsidRPr="00F879EB">
              <w:rPr>
                <w:rStyle w:val="Hyperlink"/>
                <w:noProof/>
              </w:rPr>
              <w:t>III. Nonclinical findings</w:t>
            </w:r>
            <w:r w:rsidR="005D2E54">
              <w:rPr>
                <w:noProof/>
                <w:webHidden/>
              </w:rPr>
              <w:tab/>
            </w:r>
            <w:r w:rsidR="005D2E54">
              <w:rPr>
                <w:noProof/>
                <w:webHidden/>
              </w:rPr>
              <w:fldChar w:fldCharType="begin"/>
            </w:r>
            <w:r w:rsidR="005D2E54">
              <w:rPr>
                <w:noProof/>
                <w:webHidden/>
              </w:rPr>
              <w:instrText xml:space="preserve"> PAGEREF _Toc412817714 \h </w:instrText>
            </w:r>
            <w:r w:rsidR="005D2E54">
              <w:rPr>
                <w:noProof/>
                <w:webHidden/>
              </w:rPr>
            </w:r>
            <w:r w:rsidR="005D2E54">
              <w:rPr>
                <w:noProof/>
                <w:webHidden/>
              </w:rPr>
              <w:fldChar w:fldCharType="separate"/>
            </w:r>
            <w:r w:rsidR="00FC2942">
              <w:rPr>
                <w:noProof/>
                <w:webHidden/>
              </w:rPr>
              <w:t>12</w:t>
            </w:r>
            <w:r w:rsidR="005D2E54">
              <w:rPr>
                <w:noProof/>
                <w:webHidden/>
              </w:rPr>
              <w:fldChar w:fldCharType="end"/>
            </w:r>
          </w:hyperlink>
        </w:p>
        <w:p w:rsidR="005D2E54" w:rsidRDefault="00611B92">
          <w:pPr>
            <w:pStyle w:val="TOC3"/>
            <w:rPr>
              <w:rFonts w:asciiTheme="minorHAnsi" w:eastAsiaTheme="minorEastAsia" w:hAnsiTheme="minorHAnsi" w:cstheme="minorBidi"/>
              <w:noProof/>
              <w:lang w:eastAsia="en-AU"/>
            </w:rPr>
          </w:pPr>
          <w:hyperlink w:anchor="_Toc412817715" w:history="1">
            <w:r w:rsidR="005D2E54" w:rsidRPr="00F879EB">
              <w:rPr>
                <w:rStyle w:val="Hyperlink"/>
                <w:noProof/>
              </w:rPr>
              <w:t>Introduction</w:t>
            </w:r>
            <w:r w:rsidR="005D2E54">
              <w:rPr>
                <w:noProof/>
                <w:webHidden/>
              </w:rPr>
              <w:tab/>
            </w:r>
            <w:r w:rsidR="005D2E54">
              <w:rPr>
                <w:noProof/>
                <w:webHidden/>
              </w:rPr>
              <w:fldChar w:fldCharType="begin"/>
            </w:r>
            <w:r w:rsidR="005D2E54">
              <w:rPr>
                <w:noProof/>
                <w:webHidden/>
              </w:rPr>
              <w:instrText xml:space="preserve"> PAGEREF _Toc412817715 \h </w:instrText>
            </w:r>
            <w:r w:rsidR="005D2E54">
              <w:rPr>
                <w:noProof/>
                <w:webHidden/>
              </w:rPr>
            </w:r>
            <w:r w:rsidR="005D2E54">
              <w:rPr>
                <w:noProof/>
                <w:webHidden/>
              </w:rPr>
              <w:fldChar w:fldCharType="separate"/>
            </w:r>
            <w:r w:rsidR="00FC2942">
              <w:rPr>
                <w:noProof/>
                <w:webHidden/>
              </w:rPr>
              <w:t>12</w:t>
            </w:r>
            <w:r w:rsidR="005D2E54">
              <w:rPr>
                <w:noProof/>
                <w:webHidden/>
              </w:rPr>
              <w:fldChar w:fldCharType="end"/>
            </w:r>
          </w:hyperlink>
        </w:p>
        <w:p w:rsidR="005D2E54" w:rsidRDefault="00611B92">
          <w:pPr>
            <w:pStyle w:val="TOC3"/>
            <w:rPr>
              <w:rFonts w:asciiTheme="minorHAnsi" w:eastAsiaTheme="minorEastAsia" w:hAnsiTheme="minorHAnsi" w:cstheme="minorBidi"/>
              <w:noProof/>
              <w:lang w:eastAsia="en-AU"/>
            </w:rPr>
          </w:pPr>
          <w:hyperlink w:anchor="_Toc412817716" w:history="1">
            <w:r w:rsidR="005D2E54" w:rsidRPr="00F879EB">
              <w:rPr>
                <w:rStyle w:val="Hyperlink"/>
                <w:noProof/>
              </w:rPr>
              <w:t>Pharmacology</w:t>
            </w:r>
            <w:r w:rsidR="005D2E54">
              <w:rPr>
                <w:noProof/>
                <w:webHidden/>
              </w:rPr>
              <w:tab/>
            </w:r>
            <w:r w:rsidR="005D2E54">
              <w:rPr>
                <w:noProof/>
                <w:webHidden/>
              </w:rPr>
              <w:fldChar w:fldCharType="begin"/>
            </w:r>
            <w:r w:rsidR="005D2E54">
              <w:rPr>
                <w:noProof/>
                <w:webHidden/>
              </w:rPr>
              <w:instrText xml:space="preserve"> PAGEREF _Toc412817716 \h </w:instrText>
            </w:r>
            <w:r w:rsidR="005D2E54">
              <w:rPr>
                <w:noProof/>
                <w:webHidden/>
              </w:rPr>
            </w:r>
            <w:r w:rsidR="005D2E54">
              <w:rPr>
                <w:noProof/>
                <w:webHidden/>
              </w:rPr>
              <w:fldChar w:fldCharType="separate"/>
            </w:r>
            <w:r w:rsidR="00FC2942">
              <w:rPr>
                <w:noProof/>
                <w:webHidden/>
              </w:rPr>
              <w:t>13</w:t>
            </w:r>
            <w:r w:rsidR="005D2E54">
              <w:rPr>
                <w:noProof/>
                <w:webHidden/>
              </w:rPr>
              <w:fldChar w:fldCharType="end"/>
            </w:r>
          </w:hyperlink>
        </w:p>
        <w:p w:rsidR="005D2E54" w:rsidRDefault="00611B92">
          <w:pPr>
            <w:pStyle w:val="TOC3"/>
            <w:rPr>
              <w:rFonts w:asciiTheme="minorHAnsi" w:eastAsiaTheme="minorEastAsia" w:hAnsiTheme="minorHAnsi" w:cstheme="minorBidi"/>
              <w:noProof/>
              <w:lang w:eastAsia="en-AU"/>
            </w:rPr>
          </w:pPr>
          <w:hyperlink w:anchor="_Toc412817717" w:history="1">
            <w:r w:rsidR="005D2E54" w:rsidRPr="00F879EB">
              <w:rPr>
                <w:rStyle w:val="Hyperlink"/>
                <w:noProof/>
              </w:rPr>
              <w:t>Pharmacokinetics</w:t>
            </w:r>
            <w:r w:rsidR="005D2E54">
              <w:rPr>
                <w:noProof/>
                <w:webHidden/>
              </w:rPr>
              <w:tab/>
            </w:r>
            <w:r w:rsidR="005D2E54">
              <w:rPr>
                <w:noProof/>
                <w:webHidden/>
              </w:rPr>
              <w:fldChar w:fldCharType="begin"/>
            </w:r>
            <w:r w:rsidR="005D2E54">
              <w:rPr>
                <w:noProof/>
                <w:webHidden/>
              </w:rPr>
              <w:instrText xml:space="preserve"> PAGEREF _Toc412817717 \h </w:instrText>
            </w:r>
            <w:r w:rsidR="005D2E54">
              <w:rPr>
                <w:noProof/>
                <w:webHidden/>
              </w:rPr>
            </w:r>
            <w:r w:rsidR="005D2E54">
              <w:rPr>
                <w:noProof/>
                <w:webHidden/>
              </w:rPr>
              <w:fldChar w:fldCharType="separate"/>
            </w:r>
            <w:r w:rsidR="00FC2942">
              <w:rPr>
                <w:noProof/>
                <w:webHidden/>
              </w:rPr>
              <w:t>14</w:t>
            </w:r>
            <w:r w:rsidR="005D2E54">
              <w:rPr>
                <w:noProof/>
                <w:webHidden/>
              </w:rPr>
              <w:fldChar w:fldCharType="end"/>
            </w:r>
          </w:hyperlink>
        </w:p>
        <w:p w:rsidR="005D2E54" w:rsidRDefault="00611B92">
          <w:pPr>
            <w:pStyle w:val="TOC3"/>
            <w:rPr>
              <w:rFonts w:asciiTheme="minorHAnsi" w:eastAsiaTheme="minorEastAsia" w:hAnsiTheme="minorHAnsi" w:cstheme="minorBidi"/>
              <w:noProof/>
              <w:lang w:eastAsia="en-AU"/>
            </w:rPr>
          </w:pPr>
          <w:hyperlink w:anchor="_Toc412817718" w:history="1">
            <w:r w:rsidR="005D2E54" w:rsidRPr="00F879EB">
              <w:rPr>
                <w:rStyle w:val="Hyperlink"/>
                <w:noProof/>
              </w:rPr>
              <w:t>Toxicology</w:t>
            </w:r>
            <w:r w:rsidR="005D2E54">
              <w:rPr>
                <w:noProof/>
                <w:webHidden/>
              </w:rPr>
              <w:tab/>
            </w:r>
            <w:r w:rsidR="005D2E54">
              <w:rPr>
                <w:noProof/>
                <w:webHidden/>
              </w:rPr>
              <w:fldChar w:fldCharType="begin"/>
            </w:r>
            <w:r w:rsidR="005D2E54">
              <w:rPr>
                <w:noProof/>
                <w:webHidden/>
              </w:rPr>
              <w:instrText xml:space="preserve"> PAGEREF _Toc412817718 \h </w:instrText>
            </w:r>
            <w:r w:rsidR="005D2E54">
              <w:rPr>
                <w:noProof/>
                <w:webHidden/>
              </w:rPr>
            </w:r>
            <w:r w:rsidR="005D2E54">
              <w:rPr>
                <w:noProof/>
                <w:webHidden/>
              </w:rPr>
              <w:fldChar w:fldCharType="separate"/>
            </w:r>
            <w:r w:rsidR="00FC2942">
              <w:rPr>
                <w:noProof/>
                <w:webHidden/>
              </w:rPr>
              <w:t>15</w:t>
            </w:r>
            <w:r w:rsidR="005D2E54">
              <w:rPr>
                <w:noProof/>
                <w:webHidden/>
              </w:rPr>
              <w:fldChar w:fldCharType="end"/>
            </w:r>
          </w:hyperlink>
        </w:p>
        <w:p w:rsidR="005D2E54" w:rsidRDefault="00611B92">
          <w:pPr>
            <w:pStyle w:val="TOC3"/>
            <w:rPr>
              <w:rFonts w:asciiTheme="minorHAnsi" w:eastAsiaTheme="minorEastAsia" w:hAnsiTheme="minorHAnsi" w:cstheme="minorBidi"/>
              <w:noProof/>
              <w:lang w:eastAsia="en-AU"/>
            </w:rPr>
          </w:pPr>
          <w:hyperlink w:anchor="_Toc412817719" w:history="1">
            <w:r w:rsidR="005D2E54" w:rsidRPr="00F879EB">
              <w:rPr>
                <w:rStyle w:val="Hyperlink"/>
                <w:noProof/>
              </w:rPr>
              <w:t>Nonclinical summary and conclusions</w:t>
            </w:r>
            <w:r w:rsidR="005D2E54">
              <w:rPr>
                <w:noProof/>
                <w:webHidden/>
              </w:rPr>
              <w:tab/>
            </w:r>
            <w:r w:rsidR="005D2E54">
              <w:rPr>
                <w:noProof/>
                <w:webHidden/>
              </w:rPr>
              <w:fldChar w:fldCharType="begin"/>
            </w:r>
            <w:r w:rsidR="005D2E54">
              <w:rPr>
                <w:noProof/>
                <w:webHidden/>
              </w:rPr>
              <w:instrText xml:space="preserve"> PAGEREF _Toc412817719 \h </w:instrText>
            </w:r>
            <w:r w:rsidR="005D2E54">
              <w:rPr>
                <w:noProof/>
                <w:webHidden/>
              </w:rPr>
            </w:r>
            <w:r w:rsidR="005D2E54">
              <w:rPr>
                <w:noProof/>
                <w:webHidden/>
              </w:rPr>
              <w:fldChar w:fldCharType="separate"/>
            </w:r>
            <w:r w:rsidR="00FC2942">
              <w:rPr>
                <w:noProof/>
                <w:webHidden/>
              </w:rPr>
              <w:t>18</w:t>
            </w:r>
            <w:r w:rsidR="005D2E54">
              <w:rPr>
                <w:noProof/>
                <w:webHidden/>
              </w:rPr>
              <w:fldChar w:fldCharType="end"/>
            </w:r>
          </w:hyperlink>
        </w:p>
        <w:p w:rsidR="005D2E54" w:rsidRDefault="00611B92">
          <w:pPr>
            <w:pStyle w:val="TOC2"/>
            <w:rPr>
              <w:rFonts w:asciiTheme="minorHAnsi" w:eastAsiaTheme="minorEastAsia" w:hAnsiTheme="minorHAnsi" w:cstheme="minorBidi"/>
              <w:b w:val="0"/>
              <w:noProof/>
              <w:sz w:val="22"/>
              <w:lang w:eastAsia="en-AU"/>
            </w:rPr>
          </w:pPr>
          <w:hyperlink w:anchor="_Toc412817720" w:history="1">
            <w:r w:rsidR="005D2E54" w:rsidRPr="00F879EB">
              <w:rPr>
                <w:rStyle w:val="Hyperlink"/>
                <w:noProof/>
              </w:rPr>
              <w:t>IV. Clinical findings</w:t>
            </w:r>
            <w:r w:rsidR="005D2E54">
              <w:rPr>
                <w:noProof/>
                <w:webHidden/>
              </w:rPr>
              <w:tab/>
            </w:r>
            <w:r w:rsidR="005D2E54">
              <w:rPr>
                <w:noProof/>
                <w:webHidden/>
              </w:rPr>
              <w:fldChar w:fldCharType="begin"/>
            </w:r>
            <w:r w:rsidR="005D2E54">
              <w:rPr>
                <w:noProof/>
                <w:webHidden/>
              </w:rPr>
              <w:instrText xml:space="preserve"> PAGEREF _Toc412817720 \h </w:instrText>
            </w:r>
            <w:r w:rsidR="005D2E54">
              <w:rPr>
                <w:noProof/>
                <w:webHidden/>
              </w:rPr>
            </w:r>
            <w:r w:rsidR="005D2E54">
              <w:rPr>
                <w:noProof/>
                <w:webHidden/>
              </w:rPr>
              <w:fldChar w:fldCharType="separate"/>
            </w:r>
            <w:r w:rsidR="00FC2942">
              <w:rPr>
                <w:noProof/>
                <w:webHidden/>
              </w:rPr>
              <w:t>19</w:t>
            </w:r>
            <w:r w:rsidR="005D2E54">
              <w:rPr>
                <w:noProof/>
                <w:webHidden/>
              </w:rPr>
              <w:fldChar w:fldCharType="end"/>
            </w:r>
          </w:hyperlink>
        </w:p>
        <w:p w:rsidR="005D2E54" w:rsidRDefault="00611B92">
          <w:pPr>
            <w:pStyle w:val="TOC3"/>
            <w:rPr>
              <w:rFonts w:asciiTheme="minorHAnsi" w:eastAsiaTheme="minorEastAsia" w:hAnsiTheme="minorHAnsi" w:cstheme="minorBidi"/>
              <w:noProof/>
              <w:lang w:eastAsia="en-AU"/>
            </w:rPr>
          </w:pPr>
          <w:hyperlink w:anchor="_Toc412817721" w:history="1">
            <w:r w:rsidR="005D2E54" w:rsidRPr="00F879EB">
              <w:rPr>
                <w:rStyle w:val="Hyperlink"/>
                <w:noProof/>
              </w:rPr>
              <w:t>Introduction</w:t>
            </w:r>
            <w:r w:rsidR="005D2E54">
              <w:rPr>
                <w:noProof/>
                <w:webHidden/>
              </w:rPr>
              <w:tab/>
            </w:r>
            <w:r w:rsidR="005D2E54">
              <w:rPr>
                <w:noProof/>
                <w:webHidden/>
              </w:rPr>
              <w:fldChar w:fldCharType="begin"/>
            </w:r>
            <w:r w:rsidR="005D2E54">
              <w:rPr>
                <w:noProof/>
                <w:webHidden/>
              </w:rPr>
              <w:instrText xml:space="preserve"> PAGEREF _Toc412817721 \h </w:instrText>
            </w:r>
            <w:r w:rsidR="005D2E54">
              <w:rPr>
                <w:noProof/>
                <w:webHidden/>
              </w:rPr>
            </w:r>
            <w:r w:rsidR="005D2E54">
              <w:rPr>
                <w:noProof/>
                <w:webHidden/>
              </w:rPr>
              <w:fldChar w:fldCharType="separate"/>
            </w:r>
            <w:r w:rsidR="00FC2942">
              <w:rPr>
                <w:noProof/>
                <w:webHidden/>
              </w:rPr>
              <w:t>19</w:t>
            </w:r>
            <w:r w:rsidR="005D2E54">
              <w:rPr>
                <w:noProof/>
                <w:webHidden/>
              </w:rPr>
              <w:fldChar w:fldCharType="end"/>
            </w:r>
          </w:hyperlink>
        </w:p>
        <w:p w:rsidR="005D2E54" w:rsidRDefault="00611B92">
          <w:pPr>
            <w:pStyle w:val="TOC3"/>
            <w:rPr>
              <w:rFonts w:asciiTheme="minorHAnsi" w:eastAsiaTheme="minorEastAsia" w:hAnsiTheme="minorHAnsi" w:cstheme="minorBidi"/>
              <w:noProof/>
              <w:lang w:eastAsia="en-AU"/>
            </w:rPr>
          </w:pPr>
          <w:hyperlink w:anchor="_Toc412817722" w:history="1">
            <w:r w:rsidR="005D2E54" w:rsidRPr="00F879EB">
              <w:rPr>
                <w:rStyle w:val="Hyperlink"/>
                <w:noProof/>
              </w:rPr>
              <w:t>Pharmacokinetics</w:t>
            </w:r>
            <w:r w:rsidR="005D2E54">
              <w:rPr>
                <w:noProof/>
                <w:webHidden/>
              </w:rPr>
              <w:tab/>
            </w:r>
            <w:r w:rsidR="005D2E54">
              <w:rPr>
                <w:noProof/>
                <w:webHidden/>
              </w:rPr>
              <w:fldChar w:fldCharType="begin"/>
            </w:r>
            <w:r w:rsidR="005D2E54">
              <w:rPr>
                <w:noProof/>
                <w:webHidden/>
              </w:rPr>
              <w:instrText xml:space="preserve"> PAGEREF _Toc412817722 \h </w:instrText>
            </w:r>
            <w:r w:rsidR="005D2E54">
              <w:rPr>
                <w:noProof/>
                <w:webHidden/>
              </w:rPr>
            </w:r>
            <w:r w:rsidR="005D2E54">
              <w:rPr>
                <w:noProof/>
                <w:webHidden/>
              </w:rPr>
              <w:fldChar w:fldCharType="separate"/>
            </w:r>
            <w:r w:rsidR="00FC2942">
              <w:rPr>
                <w:noProof/>
                <w:webHidden/>
              </w:rPr>
              <w:t>21</w:t>
            </w:r>
            <w:r w:rsidR="005D2E54">
              <w:rPr>
                <w:noProof/>
                <w:webHidden/>
              </w:rPr>
              <w:fldChar w:fldCharType="end"/>
            </w:r>
          </w:hyperlink>
        </w:p>
        <w:p w:rsidR="005D2E54" w:rsidRDefault="00611B92">
          <w:pPr>
            <w:pStyle w:val="TOC3"/>
            <w:rPr>
              <w:rFonts w:asciiTheme="minorHAnsi" w:eastAsiaTheme="minorEastAsia" w:hAnsiTheme="minorHAnsi" w:cstheme="minorBidi"/>
              <w:noProof/>
              <w:lang w:eastAsia="en-AU"/>
            </w:rPr>
          </w:pPr>
          <w:hyperlink w:anchor="_Toc412817723" w:history="1">
            <w:r w:rsidR="005D2E54" w:rsidRPr="00F879EB">
              <w:rPr>
                <w:rStyle w:val="Hyperlink"/>
                <w:noProof/>
              </w:rPr>
              <w:t>Pharmacodynamics</w:t>
            </w:r>
            <w:r w:rsidR="005D2E54">
              <w:rPr>
                <w:noProof/>
                <w:webHidden/>
              </w:rPr>
              <w:tab/>
            </w:r>
            <w:r w:rsidR="005D2E54">
              <w:rPr>
                <w:noProof/>
                <w:webHidden/>
              </w:rPr>
              <w:fldChar w:fldCharType="begin"/>
            </w:r>
            <w:r w:rsidR="005D2E54">
              <w:rPr>
                <w:noProof/>
                <w:webHidden/>
              </w:rPr>
              <w:instrText xml:space="preserve"> PAGEREF _Toc412817723 \h </w:instrText>
            </w:r>
            <w:r w:rsidR="005D2E54">
              <w:rPr>
                <w:noProof/>
                <w:webHidden/>
              </w:rPr>
            </w:r>
            <w:r w:rsidR="005D2E54">
              <w:rPr>
                <w:noProof/>
                <w:webHidden/>
              </w:rPr>
              <w:fldChar w:fldCharType="separate"/>
            </w:r>
            <w:r w:rsidR="00FC2942">
              <w:rPr>
                <w:noProof/>
                <w:webHidden/>
              </w:rPr>
              <w:t>21</w:t>
            </w:r>
            <w:r w:rsidR="005D2E54">
              <w:rPr>
                <w:noProof/>
                <w:webHidden/>
              </w:rPr>
              <w:fldChar w:fldCharType="end"/>
            </w:r>
          </w:hyperlink>
        </w:p>
        <w:p w:rsidR="005D2E54" w:rsidRDefault="00611B92">
          <w:pPr>
            <w:pStyle w:val="TOC3"/>
            <w:rPr>
              <w:rFonts w:asciiTheme="minorHAnsi" w:eastAsiaTheme="minorEastAsia" w:hAnsiTheme="minorHAnsi" w:cstheme="minorBidi"/>
              <w:noProof/>
              <w:lang w:eastAsia="en-AU"/>
            </w:rPr>
          </w:pPr>
          <w:hyperlink w:anchor="_Toc412817724" w:history="1">
            <w:r w:rsidR="005D2E54" w:rsidRPr="00F879EB">
              <w:rPr>
                <w:rStyle w:val="Hyperlink"/>
                <w:noProof/>
              </w:rPr>
              <w:t>Dosage selection for the pivotal study</w:t>
            </w:r>
            <w:r w:rsidR="005D2E54">
              <w:rPr>
                <w:noProof/>
                <w:webHidden/>
              </w:rPr>
              <w:tab/>
            </w:r>
            <w:r w:rsidR="005D2E54">
              <w:rPr>
                <w:noProof/>
                <w:webHidden/>
              </w:rPr>
              <w:fldChar w:fldCharType="begin"/>
            </w:r>
            <w:r w:rsidR="005D2E54">
              <w:rPr>
                <w:noProof/>
                <w:webHidden/>
              </w:rPr>
              <w:instrText xml:space="preserve"> PAGEREF _Toc412817724 \h </w:instrText>
            </w:r>
            <w:r w:rsidR="005D2E54">
              <w:rPr>
                <w:noProof/>
                <w:webHidden/>
              </w:rPr>
            </w:r>
            <w:r w:rsidR="005D2E54">
              <w:rPr>
                <w:noProof/>
                <w:webHidden/>
              </w:rPr>
              <w:fldChar w:fldCharType="separate"/>
            </w:r>
            <w:r w:rsidR="00FC2942">
              <w:rPr>
                <w:noProof/>
                <w:webHidden/>
              </w:rPr>
              <w:t>22</w:t>
            </w:r>
            <w:r w:rsidR="005D2E54">
              <w:rPr>
                <w:noProof/>
                <w:webHidden/>
              </w:rPr>
              <w:fldChar w:fldCharType="end"/>
            </w:r>
          </w:hyperlink>
        </w:p>
        <w:p w:rsidR="005D2E54" w:rsidRDefault="00611B92">
          <w:pPr>
            <w:pStyle w:val="TOC3"/>
            <w:rPr>
              <w:rFonts w:asciiTheme="minorHAnsi" w:eastAsiaTheme="minorEastAsia" w:hAnsiTheme="minorHAnsi" w:cstheme="minorBidi"/>
              <w:noProof/>
              <w:lang w:eastAsia="en-AU"/>
            </w:rPr>
          </w:pPr>
          <w:hyperlink w:anchor="_Toc412817725" w:history="1">
            <w:r w:rsidR="005D2E54" w:rsidRPr="00F879EB">
              <w:rPr>
                <w:rStyle w:val="Hyperlink"/>
                <w:noProof/>
              </w:rPr>
              <w:t>Efficacy</w:t>
            </w:r>
            <w:r w:rsidR="005D2E54">
              <w:rPr>
                <w:noProof/>
                <w:webHidden/>
              </w:rPr>
              <w:tab/>
            </w:r>
            <w:r w:rsidR="005D2E54">
              <w:rPr>
                <w:noProof/>
                <w:webHidden/>
              </w:rPr>
              <w:fldChar w:fldCharType="begin"/>
            </w:r>
            <w:r w:rsidR="005D2E54">
              <w:rPr>
                <w:noProof/>
                <w:webHidden/>
              </w:rPr>
              <w:instrText xml:space="preserve"> PAGEREF _Toc412817725 \h </w:instrText>
            </w:r>
            <w:r w:rsidR="005D2E54">
              <w:rPr>
                <w:noProof/>
                <w:webHidden/>
              </w:rPr>
            </w:r>
            <w:r w:rsidR="005D2E54">
              <w:rPr>
                <w:noProof/>
                <w:webHidden/>
              </w:rPr>
              <w:fldChar w:fldCharType="separate"/>
            </w:r>
            <w:r w:rsidR="00FC2942">
              <w:rPr>
                <w:noProof/>
                <w:webHidden/>
              </w:rPr>
              <w:t>22</w:t>
            </w:r>
            <w:r w:rsidR="005D2E54">
              <w:rPr>
                <w:noProof/>
                <w:webHidden/>
              </w:rPr>
              <w:fldChar w:fldCharType="end"/>
            </w:r>
          </w:hyperlink>
        </w:p>
        <w:p w:rsidR="005D2E54" w:rsidRDefault="00611B92">
          <w:pPr>
            <w:pStyle w:val="TOC3"/>
            <w:rPr>
              <w:rFonts w:asciiTheme="minorHAnsi" w:eastAsiaTheme="minorEastAsia" w:hAnsiTheme="minorHAnsi" w:cstheme="minorBidi"/>
              <w:noProof/>
              <w:lang w:eastAsia="en-AU"/>
            </w:rPr>
          </w:pPr>
          <w:hyperlink w:anchor="_Toc412817726" w:history="1">
            <w:r w:rsidR="005D2E54" w:rsidRPr="00F879EB">
              <w:rPr>
                <w:rStyle w:val="Hyperlink"/>
                <w:noProof/>
              </w:rPr>
              <w:t>Safety</w:t>
            </w:r>
            <w:r w:rsidR="005D2E54">
              <w:rPr>
                <w:noProof/>
                <w:webHidden/>
              </w:rPr>
              <w:tab/>
            </w:r>
            <w:r w:rsidR="005D2E54">
              <w:rPr>
                <w:noProof/>
                <w:webHidden/>
              </w:rPr>
              <w:fldChar w:fldCharType="begin"/>
            </w:r>
            <w:r w:rsidR="005D2E54">
              <w:rPr>
                <w:noProof/>
                <w:webHidden/>
              </w:rPr>
              <w:instrText xml:space="preserve"> PAGEREF _Toc412817726 \h </w:instrText>
            </w:r>
            <w:r w:rsidR="005D2E54">
              <w:rPr>
                <w:noProof/>
                <w:webHidden/>
              </w:rPr>
            </w:r>
            <w:r w:rsidR="005D2E54">
              <w:rPr>
                <w:noProof/>
                <w:webHidden/>
              </w:rPr>
              <w:fldChar w:fldCharType="separate"/>
            </w:r>
            <w:r w:rsidR="00FC2942">
              <w:rPr>
                <w:noProof/>
                <w:webHidden/>
              </w:rPr>
              <w:t>23</w:t>
            </w:r>
            <w:r w:rsidR="005D2E54">
              <w:rPr>
                <w:noProof/>
                <w:webHidden/>
              </w:rPr>
              <w:fldChar w:fldCharType="end"/>
            </w:r>
          </w:hyperlink>
        </w:p>
        <w:p w:rsidR="005D2E54" w:rsidRDefault="00611B92">
          <w:pPr>
            <w:pStyle w:val="TOC3"/>
            <w:rPr>
              <w:rFonts w:asciiTheme="minorHAnsi" w:eastAsiaTheme="minorEastAsia" w:hAnsiTheme="minorHAnsi" w:cstheme="minorBidi"/>
              <w:noProof/>
              <w:lang w:eastAsia="en-AU"/>
            </w:rPr>
          </w:pPr>
          <w:hyperlink w:anchor="_Toc412817727" w:history="1">
            <w:r w:rsidR="005D2E54" w:rsidRPr="00F879EB">
              <w:rPr>
                <w:rStyle w:val="Hyperlink"/>
                <w:noProof/>
              </w:rPr>
              <w:t>First round benefit-risk assessment</w:t>
            </w:r>
            <w:r w:rsidR="005D2E54">
              <w:rPr>
                <w:noProof/>
                <w:webHidden/>
              </w:rPr>
              <w:tab/>
            </w:r>
            <w:r w:rsidR="005D2E54">
              <w:rPr>
                <w:noProof/>
                <w:webHidden/>
              </w:rPr>
              <w:fldChar w:fldCharType="begin"/>
            </w:r>
            <w:r w:rsidR="005D2E54">
              <w:rPr>
                <w:noProof/>
                <w:webHidden/>
              </w:rPr>
              <w:instrText xml:space="preserve"> PAGEREF _Toc412817727 \h </w:instrText>
            </w:r>
            <w:r w:rsidR="005D2E54">
              <w:rPr>
                <w:noProof/>
                <w:webHidden/>
              </w:rPr>
            </w:r>
            <w:r w:rsidR="005D2E54">
              <w:rPr>
                <w:noProof/>
                <w:webHidden/>
              </w:rPr>
              <w:fldChar w:fldCharType="separate"/>
            </w:r>
            <w:r w:rsidR="00FC2942">
              <w:rPr>
                <w:noProof/>
                <w:webHidden/>
              </w:rPr>
              <w:t>25</w:t>
            </w:r>
            <w:r w:rsidR="005D2E54">
              <w:rPr>
                <w:noProof/>
                <w:webHidden/>
              </w:rPr>
              <w:fldChar w:fldCharType="end"/>
            </w:r>
          </w:hyperlink>
        </w:p>
        <w:p w:rsidR="005D2E54" w:rsidRDefault="00611B92">
          <w:pPr>
            <w:pStyle w:val="TOC3"/>
            <w:rPr>
              <w:rFonts w:asciiTheme="minorHAnsi" w:eastAsiaTheme="minorEastAsia" w:hAnsiTheme="minorHAnsi" w:cstheme="minorBidi"/>
              <w:noProof/>
              <w:lang w:eastAsia="en-AU"/>
            </w:rPr>
          </w:pPr>
          <w:hyperlink w:anchor="_Toc412817728" w:history="1">
            <w:r w:rsidR="005D2E54" w:rsidRPr="00F879EB">
              <w:rPr>
                <w:rStyle w:val="Hyperlink"/>
                <w:noProof/>
              </w:rPr>
              <w:t>First round recommendation regarding authorisation</w:t>
            </w:r>
            <w:r w:rsidR="005D2E54">
              <w:rPr>
                <w:noProof/>
                <w:webHidden/>
              </w:rPr>
              <w:tab/>
            </w:r>
            <w:r w:rsidR="005D2E54">
              <w:rPr>
                <w:noProof/>
                <w:webHidden/>
              </w:rPr>
              <w:fldChar w:fldCharType="begin"/>
            </w:r>
            <w:r w:rsidR="005D2E54">
              <w:rPr>
                <w:noProof/>
                <w:webHidden/>
              </w:rPr>
              <w:instrText xml:space="preserve"> PAGEREF _Toc412817728 \h </w:instrText>
            </w:r>
            <w:r w:rsidR="005D2E54">
              <w:rPr>
                <w:noProof/>
                <w:webHidden/>
              </w:rPr>
            </w:r>
            <w:r w:rsidR="005D2E54">
              <w:rPr>
                <w:noProof/>
                <w:webHidden/>
              </w:rPr>
              <w:fldChar w:fldCharType="separate"/>
            </w:r>
            <w:r w:rsidR="00FC2942">
              <w:rPr>
                <w:noProof/>
                <w:webHidden/>
              </w:rPr>
              <w:t>26</w:t>
            </w:r>
            <w:r w:rsidR="005D2E54">
              <w:rPr>
                <w:noProof/>
                <w:webHidden/>
              </w:rPr>
              <w:fldChar w:fldCharType="end"/>
            </w:r>
          </w:hyperlink>
        </w:p>
        <w:p w:rsidR="005D2E54" w:rsidRDefault="00611B92">
          <w:pPr>
            <w:pStyle w:val="TOC3"/>
            <w:rPr>
              <w:rFonts w:asciiTheme="minorHAnsi" w:eastAsiaTheme="minorEastAsia" w:hAnsiTheme="minorHAnsi" w:cstheme="minorBidi"/>
              <w:noProof/>
              <w:lang w:eastAsia="en-AU"/>
            </w:rPr>
          </w:pPr>
          <w:hyperlink w:anchor="_Toc412817729" w:history="1">
            <w:r w:rsidR="005D2E54" w:rsidRPr="00F879EB">
              <w:rPr>
                <w:rStyle w:val="Hyperlink"/>
                <w:noProof/>
              </w:rPr>
              <w:t>Clinical questions</w:t>
            </w:r>
            <w:r w:rsidR="005D2E54">
              <w:rPr>
                <w:noProof/>
                <w:webHidden/>
              </w:rPr>
              <w:tab/>
            </w:r>
            <w:r w:rsidR="005D2E54">
              <w:rPr>
                <w:noProof/>
                <w:webHidden/>
              </w:rPr>
              <w:fldChar w:fldCharType="begin"/>
            </w:r>
            <w:r w:rsidR="005D2E54">
              <w:rPr>
                <w:noProof/>
                <w:webHidden/>
              </w:rPr>
              <w:instrText xml:space="preserve"> PAGEREF _Toc412817729 \h </w:instrText>
            </w:r>
            <w:r w:rsidR="005D2E54">
              <w:rPr>
                <w:noProof/>
                <w:webHidden/>
              </w:rPr>
            </w:r>
            <w:r w:rsidR="005D2E54">
              <w:rPr>
                <w:noProof/>
                <w:webHidden/>
              </w:rPr>
              <w:fldChar w:fldCharType="separate"/>
            </w:r>
            <w:r w:rsidR="00FC2942">
              <w:rPr>
                <w:noProof/>
                <w:webHidden/>
              </w:rPr>
              <w:t>26</w:t>
            </w:r>
            <w:r w:rsidR="005D2E54">
              <w:rPr>
                <w:noProof/>
                <w:webHidden/>
              </w:rPr>
              <w:fldChar w:fldCharType="end"/>
            </w:r>
          </w:hyperlink>
        </w:p>
        <w:p w:rsidR="005D2E54" w:rsidRDefault="00611B92">
          <w:pPr>
            <w:pStyle w:val="TOC3"/>
            <w:rPr>
              <w:rFonts w:asciiTheme="minorHAnsi" w:eastAsiaTheme="minorEastAsia" w:hAnsiTheme="minorHAnsi" w:cstheme="minorBidi"/>
              <w:noProof/>
              <w:lang w:eastAsia="en-AU"/>
            </w:rPr>
          </w:pPr>
          <w:hyperlink w:anchor="_Toc412817730" w:history="1">
            <w:r w:rsidR="005D2E54" w:rsidRPr="00F879EB">
              <w:rPr>
                <w:rStyle w:val="Hyperlink"/>
                <w:noProof/>
              </w:rPr>
              <w:t>Second round evaluation of clinical data submitted in response to questions</w:t>
            </w:r>
            <w:r w:rsidR="005D2E54">
              <w:rPr>
                <w:noProof/>
                <w:webHidden/>
              </w:rPr>
              <w:tab/>
            </w:r>
            <w:r w:rsidR="005D2E54">
              <w:rPr>
                <w:noProof/>
                <w:webHidden/>
              </w:rPr>
              <w:fldChar w:fldCharType="begin"/>
            </w:r>
            <w:r w:rsidR="005D2E54">
              <w:rPr>
                <w:noProof/>
                <w:webHidden/>
              </w:rPr>
              <w:instrText xml:space="preserve"> PAGEREF _Toc412817730 \h </w:instrText>
            </w:r>
            <w:r w:rsidR="005D2E54">
              <w:rPr>
                <w:noProof/>
                <w:webHidden/>
              </w:rPr>
            </w:r>
            <w:r w:rsidR="005D2E54">
              <w:rPr>
                <w:noProof/>
                <w:webHidden/>
              </w:rPr>
              <w:fldChar w:fldCharType="separate"/>
            </w:r>
            <w:r w:rsidR="00FC2942">
              <w:rPr>
                <w:noProof/>
                <w:webHidden/>
              </w:rPr>
              <w:t>27</w:t>
            </w:r>
            <w:r w:rsidR="005D2E54">
              <w:rPr>
                <w:noProof/>
                <w:webHidden/>
              </w:rPr>
              <w:fldChar w:fldCharType="end"/>
            </w:r>
          </w:hyperlink>
        </w:p>
        <w:p w:rsidR="005D2E54" w:rsidRDefault="00611B92">
          <w:pPr>
            <w:pStyle w:val="TOC2"/>
            <w:rPr>
              <w:rFonts w:asciiTheme="minorHAnsi" w:eastAsiaTheme="minorEastAsia" w:hAnsiTheme="minorHAnsi" w:cstheme="minorBidi"/>
              <w:b w:val="0"/>
              <w:noProof/>
              <w:sz w:val="22"/>
              <w:lang w:eastAsia="en-AU"/>
            </w:rPr>
          </w:pPr>
          <w:hyperlink w:anchor="_Toc412817731" w:history="1">
            <w:r w:rsidR="005D2E54" w:rsidRPr="00F879EB">
              <w:rPr>
                <w:rStyle w:val="Hyperlink"/>
                <w:noProof/>
              </w:rPr>
              <w:t>V. Pharmacovigilance findings</w:t>
            </w:r>
            <w:r w:rsidR="005D2E54">
              <w:rPr>
                <w:noProof/>
                <w:webHidden/>
              </w:rPr>
              <w:tab/>
            </w:r>
            <w:r w:rsidR="005D2E54">
              <w:rPr>
                <w:noProof/>
                <w:webHidden/>
              </w:rPr>
              <w:fldChar w:fldCharType="begin"/>
            </w:r>
            <w:r w:rsidR="005D2E54">
              <w:rPr>
                <w:noProof/>
                <w:webHidden/>
              </w:rPr>
              <w:instrText xml:space="preserve"> PAGEREF _Toc412817731 \h </w:instrText>
            </w:r>
            <w:r w:rsidR="005D2E54">
              <w:rPr>
                <w:noProof/>
                <w:webHidden/>
              </w:rPr>
            </w:r>
            <w:r w:rsidR="005D2E54">
              <w:rPr>
                <w:noProof/>
                <w:webHidden/>
              </w:rPr>
              <w:fldChar w:fldCharType="separate"/>
            </w:r>
            <w:r w:rsidR="00FC2942">
              <w:rPr>
                <w:noProof/>
                <w:webHidden/>
              </w:rPr>
              <w:t>27</w:t>
            </w:r>
            <w:r w:rsidR="005D2E54">
              <w:rPr>
                <w:noProof/>
                <w:webHidden/>
              </w:rPr>
              <w:fldChar w:fldCharType="end"/>
            </w:r>
          </w:hyperlink>
        </w:p>
        <w:p w:rsidR="005D2E54" w:rsidRDefault="00611B92">
          <w:pPr>
            <w:pStyle w:val="TOC3"/>
            <w:rPr>
              <w:rFonts w:asciiTheme="minorHAnsi" w:eastAsiaTheme="minorEastAsia" w:hAnsiTheme="minorHAnsi" w:cstheme="minorBidi"/>
              <w:noProof/>
              <w:lang w:eastAsia="en-AU"/>
            </w:rPr>
          </w:pPr>
          <w:hyperlink w:anchor="_Toc412817732" w:history="1">
            <w:r w:rsidR="005D2E54" w:rsidRPr="00F879EB">
              <w:rPr>
                <w:rStyle w:val="Hyperlink"/>
                <w:noProof/>
                <w:lang w:eastAsia="en-AU"/>
              </w:rPr>
              <w:t>Risk management plan</w:t>
            </w:r>
            <w:r w:rsidR="005D2E54">
              <w:rPr>
                <w:noProof/>
                <w:webHidden/>
              </w:rPr>
              <w:tab/>
            </w:r>
            <w:r w:rsidR="005D2E54">
              <w:rPr>
                <w:noProof/>
                <w:webHidden/>
              </w:rPr>
              <w:fldChar w:fldCharType="begin"/>
            </w:r>
            <w:r w:rsidR="005D2E54">
              <w:rPr>
                <w:noProof/>
                <w:webHidden/>
              </w:rPr>
              <w:instrText xml:space="preserve"> PAGEREF _Toc412817732 \h </w:instrText>
            </w:r>
            <w:r w:rsidR="005D2E54">
              <w:rPr>
                <w:noProof/>
                <w:webHidden/>
              </w:rPr>
            </w:r>
            <w:r w:rsidR="005D2E54">
              <w:rPr>
                <w:noProof/>
                <w:webHidden/>
              </w:rPr>
              <w:fldChar w:fldCharType="separate"/>
            </w:r>
            <w:r w:rsidR="00FC2942">
              <w:rPr>
                <w:noProof/>
                <w:webHidden/>
              </w:rPr>
              <w:t>27</w:t>
            </w:r>
            <w:r w:rsidR="005D2E54">
              <w:rPr>
                <w:noProof/>
                <w:webHidden/>
              </w:rPr>
              <w:fldChar w:fldCharType="end"/>
            </w:r>
          </w:hyperlink>
        </w:p>
        <w:p w:rsidR="005D2E54" w:rsidRDefault="00611B92">
          <w:pPr>
            <w:pStyle w:val="TOC2"/>
            <w:rPr>
              <w:rFonts w:asciiTheme="minorHAnsi" w:eastAsiaTheme="minorEastAsia" w:hAnsiTheme="minorHAnsi" w:cstheme="minorBidi"/>
              <w:b w:val="0"/>
              <w:noProof/>
              <w:sz w:val="22"/>
              <w:lang w:eastAsia="en-AU"/>
            </w:rPr>
          </w:pPr>
          <w:hyperlink w:anchor="_Toc412817733" w:history="1">
            <w:r w:rsidR="005D2E54" w:rsidRPr="00F879EB">
              <w:rPr>
                <w:rStyle w:val="Hyperlink"/>
                <w:noProof/>
              </w:rPr>
              <w:t>VI. Overall conclusion and risk/benefit assessment</w:t>
            </w:r>
            <w:r w:rsidR="005D2E54">
              <w:rPr>
                <w:noProof/>
                <w:webHidden/>
              </w:rPr>
              <w:tab/>
            </w:r>
            <w:r w:rsidR="005D2E54">
              <w:rPr>
                <w:noProof/>
                <w:webHidden/>
              </w:rPr>
              <w:fldChar w:fldCharType="begin"/>
            </w:r>
            <w:r w:rsidR="005D2E54">
              <w:rPr>
                <w:noProof/>
                <w:webHidden/>
              </w:rPr>
              <w:instrText xml:space="preserve"> PAGEREF _Toc412817733 \h </w:instrText>
            </w:r>
            <w:r w:rsidR="005D2E54">
              <w:rPr>
                <w:noProof/>
                <w:webHidden/>
              </w:rPr>
            </w:r>
            <w:r w:rsidR="005D2E54">
              <w:rPr>
                <w:noProof/>
                <w:webHidden/>
              </w:rPr>
              <w:fldChar w:fldCharType="separate"/>
            </w:r>
            <w:r w:rsidR="00FC2942">
              <w:rPr>
                <w:noProof/>
                <w:webHidden/>
              </w:rPr>
              <w:t>35</w:t>
            </w:r>
            <w:r w:rsidR="005D2E54">
              <w:rPr>
                <w:noProof/>
                <w:webHidden/>
              </w:rPr>
              <w:fldChar w:fldCharType="end"/>
            </w:r>
          </w:hyperlink>
        </w:p>
        <w:p w:rsidR="005D2E54" w:rsidRDefault="00611B92">
          <w:pPr>
            <w:pStyle w:val="TOC3"/>
            <w:rPr>
              <w:rFonts w:asciiTheme="minorHAnsi" w:eastAsiaTheme="minorEastAsia" w:hAnsiTheme="minorHAnsi" w:cstheme="minorBidi"/>
              <w:noProof/>
              <w:lang w:eastAsia="en-AU"/>
            </w:rPr>
          </w:pPr>
          <w:hyperlink w:anchor="_Toc412817734" w:history="1">
            <w:r w:rsidR="005D2E54" w:rsidRPr="00F879EB">
              <w:rPr>
                <w:rStyle w:val="Hyperlink"/>
                <w:noProof/>
              </w:rPr>
              <w:t>Background</w:t>
            </w:r>
            <w:r w:rsidR="005D2E54">
              <w:rPr>
                <w:noProof/>
                <w:webHidden/>
              </w:rPr>
              <w:tab/>
            </w:r>
            <w:r w:rsidR="005D2E54">
              <w:rPr>
                <w:noProof/>
                <w:webHidden/>
              </w:rPr>
              <w:fldChar w:fldCharType="begin"/>
            </w:r>
            <w:r w:rsidR="005D2E54">
              <w:rPr>
                <w:noProof/>
                <w:webHidden/>
              </w:rPr>
              <w:instrText xml:space="preserve"> PAGEREF _Toc412817734 \h </w:instrText>
            </w:r>
            <w:r w:rsidR="005D2E54">
              <w:rPr>
                <w:noProof/>
                <w:webHidden/>
              </w:rPr>
            </w:r>
            <w:r w:rsidR="005D2E54">
              <w:rPr>
                <w:noProof/>
                <w:webHidden/>
              </w:rPr>
              <w:fldChar w:fldCharType="separate"/>
            </w:r>
            <w:r w:rsidR="00FC2942">
              <w:rPr>
                <w:noProof/>
                <w:webHidden/>
              </w:rPr>
              <w:t>35</w:t>
            </w:r>
            <w:r w:rsidR="005D2E54">
              <w:rPr>
                <w:noProof/>
                <w:webHidden/>
              </w:rPr>
              <w:fldChar w:fldCharType="end"/>
            </w:r>
          </w:hyperlink>
        </w:p>
        <w:p w:rsidR="005D2E54" w:rsidRDefault="00611B92">
          <w:pPr>
            <w:pStyle w:val="TOC3"/>
            <w:rPr>
              <w:rFonts w:asciiTheme="minorHAnsi" w:eastAsiaTheme="minorEastAsia" w:hAnsiTheme="minorHAnsi" w:cstheme="minorBidi"/>
              <w:noProof/>
              <w:lang w:eastAsia="en-AU"/>
            </w:rPr>
          </w:pPr>
          <w:hyperlink w:anchor="_Toc412817735" w:history="1">
            <w:r w:rsidR="005D2E54" w:rsidRPr="00F879EB">
              <w:rPr>
                <w:rStyle w:val="Hyperlink"/>
                <w:noProof/>
              </w:rPr>
              <w:t>Quality</w:t>
            </w:r>
            <w:r w:rsidR="005D2E54">
              <w:rPr>
                <w:noProof/>
                <w:webHidden/>
              </w:rPr>
              <w:tab/>
            </w:r>
            <w:r w:rsidR="005D2E54">
              <w:rPr>
                <w:noProof/>
                <w:webHidden/>
              </w:rPr>
              <w:fldChar w:fldCharType="begin"/>
            </w:r>
            <w:r w:rsidR="005D2E54">
              <w:rPr>
                <w:noProof/>
                <w:webHidden/>
              </w:rPr>
              <w:instrText xml:space="preserve"> PAGEREF _Toc412817735 \h </w:instrText>
            </w:r>
            <w:r w:rsidR="005D2E54">
              <w:rPr>
                <w:noProof/>
                <w:webHidden/>
              </w:rPr>
            </w:r>
            <w:r w:rsidR="005D2E54">
              <w:rPr>
                <w:noProof/>
                <w:webHidden/>
              </w:rPr>
              <w:fldChar w:fldCharType="separate"/>
            </w:r>
            <w:r w:rsidR="00FC2942">
              <w:rPr>
                <w:noProof/>
                <w:webHidden/>
              </w:rPr>
              <w:t>35</w:t>
            </w:r>
            <w:r w:rsidR="005D2E54">
              <w:rPr>
                <w:noProof/>
                <w:webHidden/>
              </w:rPr>
              <w:fldChar w:fldCharType="end"/>
            </w:r>
          </w:hyperlink>
        </w:p>
        <w:p w:rsidR="005D2E54" w:rsidRDefault="00611B92">
          <w:pPr>
            <w:pStyle w:val="TOC3"/>
            <w:rPr>
              <w:rFonts w:asciiTheme="minorHAnsi" w:eastAsiaTheme="minorEastAsia" w:hAnsiTheme="minorHAnsi" w:cstheme="minorBidi"/>
              <w:noProof/>
              <w:lang w:eastAsia="en-AU"/>
            </w:rPr>
          </w:pPr>
          <w:hyperlink w:anchor="_Toc412817736" w:history="1">
            <w:r w:rsidR="005D2E54" w:rsidRPr="00F879EB">
              <w:rPr>
                <w:rStyle w:val="Hyperlink"/>
                <w:noProof/>
              </w:rPr>
              <w:t>Nonclinical</w:t>
            </w:r>
            <w:r w:rsidR="005D2E54">
              <w:rPr>
                <w:noProof/>
                <w:webHidden/>
              </w:rPr>
              <w:tab/>
            </w:r>
            <w:r w:rsidR="005D2E54">
              <w:rPr>
                <w:noProof/>
                <w:webHidden/>
              </w:rPr>
              <w:fldChar w:fldCharType="begin"/>
            </w:r>
            <w:r w:rsidR="005D2E54">
              <w:rPr>
                <w:noProof/>
                <w:webHidden/>
              </w:rPr>
              <w:instrText xml:space="preserve"> PAGEREF _Toc412817736 \h </w:instrText>
            </w:r>
            <w:r w:rsidR="005D2E54">
              <w:rPr>
                <w:noProof/>
                <w:webHidden/>
              </w:rPr>
            </w:r>
            <w:r w:rsidR="005D2E54">
              <w:rPr>
                <w:noProof/>
                <w:webHidden/>
              </w:rPr>
              <w:fldChar w:fldCharType="separate"/>
            </w:r>
            <w:r w:rsidR="00FC2942">
              <w:rPr>
                <w:noProof/>
                <w:webHidden/>
              </w:rPr>
              <w:t>36</w:t>
            </w:r>
            <w:r w:rsidR="005D2E54">
              <w:rPr>
                <w:noProof/>
                <w:webHidden/>
              </w:rPr>
              <w:fldChar w:fldCharType="end"/>
            </w:r>
          </w:hyperlink>
        </w:p>
        <w:p w:rsidR="005D2E54" w:rsidRDefault="00611B92">
          <w:pPr>
            <w:pStyle w:val="TOC3"/>
            <w:rPr>
              <w:rFonts w:asciiTheme="minorHAnsi" w:eastAsiaTheme="minorEastAsia" w:hAnsiTheme="minorHAnsi" w:cstheme="minorBidi"/>
              <w:noProof/>
              <w:lang w:eastAsia="en-AU"/>
            </w:rPr>
          </w:pPr>
          <w:hyperlink w:anchor="_Toc412817737" w:history="1">
            <w:r w:rsidR="005D2E54" w:rsidRPr="00F879EB">
              <w:rPr>
                <w:rStyle w:val="Hyperlink"/>
                <w:noProof/>
              </w:rPr>
              <w:t>Clinical</w:t>
            </w:r>
            <w:r w:rsidR="005D2E54">
              <w:rPr>
                <w:noProof/>
                <w:webHidden/>
              </w:rPr>
              <w:tab/>
            </w:r>
            <w:r w:rsidR="005D2E54">
              <w:rPr>
                <w:noProof/>
                <w:webHidden/>
              </w:rPr>
              <w:fldChar w:fldCharType="begin"/>
            </w:r>
            <w:r w:rsidR="005D2E54">
              <w:rPr>
                <w:noProof/>
                <w:webHidden/>
              </w:rPr>
              <w:instrText xml:space="preserve"> PAGEREF _Toc412817737 \h </w:instrText>
            </w:r>
            <w:r w:rsidR="005D2E54">
              <w:rPr>
                <w:noProof/>
                <w:webHidden/>
              </w:rPr>
            </w:r>
            <w:r w:rsidR="005D2E54">
              <w:rPr>
                <w:noProof/>
                <w:webHidden/>
              </w:rPr>
              <w:fldChar w:fldCharType="separate"/>
            </w:r>
            <w:r w:rsidR="00FC2942">
              <w:rPr>
                <w:noProof/>
                <w:webHidden/>
              </w:rPr>
              <w:t>36</w:t>
            </w:r>
            <w:r w:rsidR="005D2E54">
              <w:rPr>
                <w:noProof/>
                <w:webHidden/>
              </w:rPr>
              <w:fldChar w:fldCharType="end"/>
            </w:r>
          </w:hyperlink>
        </w:p>
        <w:p w:rsidR="005D2E54" w:rsidRDefault="00611B92">
          <w:pPr>
            <w:pStyle w:val="TOC3"/>
            <w:rPr>
              <w:rFonts w:asciiTheme="minorHAnsi" w:eastAsiaTheme="minorEastAsia" w:hAnsiTheme="minorHAnsi" w:cstheme="minorBidi"/>
              <w:noProof/>
              <w:lang w:eastAsia="en-AU"/>
            </w:rPr>
          </w:pPr>
          <w:hyperlink w:anchor="_Toc412817738" w:history="1">
            <w:r w:rsidR="005D2E54" w:rsidRPr="00F879EB">
              <w:rPr>
                <w:rStyle w:val="Hyperlink"/>
                <w:noProof/>
                <w:lang w:eastAsia="en-AU"/>
              </w:rPr>
              <w:t>Risk management plan</w:t>
            </w:r>
            <w:r w:rsidR="005D2E54">
              <w:rPr>
                <w:noProof/>
                <w:webHidden/>
              </w:rPr>
              <w:tab/>
            </w:r>
            <w:r w:rsidR="005D2E54">
              <w:rPr>
                <w:noProof/>
                <w:webHidden/>
              </w:rPr>
              <w:fldChar w:fldCharType="begin"/>
            </w:r>
            <w:r w:rsidR="005D2E54">
              <w:rPr>
                <w:noProof/>
                <w:webHidden/>
              </w:rPr>
              <w:instrText xml:space="preserve"> PAGEREF _Toc412817738 \h </w:instrText>
            </w:r>
            <w:r w:rsidR="005D2E54">
              <w:rPr>
                <w:noProof/>
                <w:webHidden/>
              </w:rPr>
            </w:r>
            <w:r w:rsidR="005D2E54">
              <w:rPr>
                <w:noProof/>
                <w:webHidden/>
              </w:rPr>
              <w:fldChar w:fldCharType="separate"/>
            </w:r>
            <w:r w:rsidR="00FC2942">
              <w:rPr>
                <w:noProof/>
                <w:webHidden/>
              </w:rPr>
              <w:t>38</w:t>
            </w:r>
            <w:r w:rsidR="005D2E54">
              <w:rPr>
                <w:noProof/>
                <w:webHidden/>
              </w:rPr>
              <w:fldChar w:fldCharType="end"/>
            </w:r>
          </w:hyperlink>
        </w:p>
        <w:p w:rsidR="005D2E54" w:rsidRDefault="00611B92">
          <w:pPr>
            <w:pStyle w:val="TOC3"/>
            <w:rPr>
              <w:rFonts w:asciiTheme="minorHAnsi" w:eastAsiaTheme="minorEastAsia" w:hAnsiTheme="minorHAnsi" w:cstheme="minorBidi"/>
              <w:noProof/>
              <w:lang w:eastAsia="en-AU"/>
            </w:rPr>
          </w:pPr>
          <w:hyperlink w:anchor="_Toc412817739" w:history="1">
            <w:r w:rsidR="005D2E54" w:rsidRPr="00F879EB">
              <w:rPr>
                <w:rStyle w:val="Hyperlink"/>
                <w:noProof/>
              </w:rPr>
              <w:t>Risk-benefit analysis</w:t>
            </w:r>
            <w:r w:rsidR="005D2E54">
              <w:rPr>
                <w:noProof/>
                <w:webHidden/>
              </w:rPr>
              <w:tab/>
            </w:r>
            <w:r w:rsidR="005D2E54">
              <w:rPr>
                <w:noProof/>
                <w:webHidden/>
              </w:rPr>
              <w:fldChar w:fldCharType="begin"/>
            </w:r>
            <w:r w:rsidR="005D2E54">
              <w:rPr>
                <w:noProof/>
                <w:webHidden/>
              </w:rPr>
              <w:instrText xml:space="preserve"> PAGEREF _Toc412817739 \h </w:instrText>
            </w:r>
            <w:r w:rsidR="005D2E54">
              <w:rPr>
                <w:noProof/>
                <w:webHidden/>
              </w:rPr>
            </w:r>
            <w:r w:rsidR="005D2E54">
              <w:rPr>
                <w:noProof/>
                <w:webHidden/>
              </w:rPr>
              <w:fldChar w:fldCharType="separate"/>
            </w:r>
            <w:r w:rsidR="00FC2942">
              <w:rPr>
                <w:noProof/>
                <w:webHidden/>
              </w:rPr>
              <w:t>38</w:t>
            </w:r>
            <w:r w:rsidR="005D2E54">
              <w:rPr>
                <w:noProof/>
                <w:webHidden/>
              </w:rPr>
              <w:fldChar w:fldCharType="end"/>
            </w:r>
          </w:hyperlink>
        </w:p>
        <w:p w:rsidR="005D2E54" w:rsidRDefault="00611B92">
          <w:pPr>
            <w:pStyle w:val="TOC3"/>
            <w:rPr>
              <w:rFonts w:asciiTheme="minorHAnsi" w:eastAsiaTheme="minorEastAsia" w:hAnsiTheme="minorHAnsi" w:cstheme="minorBidi"/>
              <w:noProof/>
              <w:lang w:eastAsia="en-AU"/>
            </w:rPr>
          </w:pPr>
          <w:hyperlink w:anchor="_Toc412817740" w:history="1">
            <w:r w:rsidR="005D2E54" w:rsidRPr="00F879EB">
              <w:rPr>
                <w:rStyle w:val="Hyperlink"/>
                <w:noProof/>
              </w:rPr>
              <w:t>Outcome</w:t>
            </w:r>
            <w:r w:rsidR="005D2E54">
              <w:rPr>
                <w:noProof/>
                <w:webHidden/>
              </w:rPr>
              <w:tab/>
            </w:r>
            <w:r w:rsidR="005D2E54">
              <w:rPr>
                <w:noProof/>
                <w:webHidden/>
              </w:rPr>
              <w:fldChar w:fldCharType="begin"/>
            </w:r>
            <w:r w:rsidR="005D2E54">
              <w:rPr>
                <w:noProof/>
                <w:webHidden/>
              </w:rPr>
              <w:instrText xml:space="preserve"> PAGEREF _Toc412817740 \h </w:instrText>
            </w:r>
            <w:r w:rsidR="005D2E54">
              <w:rPr>
                <w:noProof/>
                <w:webHidden/>
              </w:rPr>
            </w:r>
            <w:r w:rsidR="005D2E54">
              <w:rPr>
                <w:noProof/>
                <w:webHidden/>
              </w:rPr>
              <w:fldChar w:fldCharType="separate"/>
            </w:r>
            <w:r w:rsidR="00FC2942">
              <w:rPr>
                <w:noProof/>
                <w:webHidden/>
              </w:rPr>
              <w:t>42</w:t>
            </w:r>
            <w:r w:rsidR="005D2E54">
              <w:rPr>
                <w:noProof/>
                <w:webHidden/>
              </w:rPr>
              <w:fldChar w:fldCharType="end"/>
            </w:r>
          </w:hyperlink>
        </w:p>
        <w:p w:rsidR="005D2E54" w:rsidRDefault="00611B92">
          <w:pPr>
            <w:pStyle w:val="TOC2"/>
            <w:tabs>
              <w:tab w:val="left" w:pos="2448"/>
            </w:tabs>
            <w:rPr>
              <w:rFonts w:asciiTheme="minorHAnsi" w:eastAsiaTheme="minorEastAsia" w:hAnsiTheme="minorHAnsi" w:cstheme="minorBidi"/>
              <w:b w:val="0"/>
              <w:noProof/>
              <w:sz w:val="22"/>
              <w:lang w:eastAsia="en-AU"/>
            </w:rPr>
          </w:pPr>
          <w:hyperlink w:anchor="_Toc412817741" w:history="1">
            <w:r w:rsidR="005D2E54" w:rsidRPr="00F879EB">
              <w:rPr>
                <w:rStyle w:val="Hyperlink"/>
                <w:noProof/>
              </w:rPr>
              <w:t>Attachment 1.</w:t>
            </w:r>
            <w:r w:rsidR="005D2E54">
              <w:rPr>
                <w:rFonts w:asciiTheme="minorHAnsi" w:eastAsiaTheme="minorEastAsia" w:hAnsiTheme="minorHAnsi" w:cstheme="minorBidi"/>
                <w:b w:val="0"/>
                <w:noProof/>
                <w:sz w:val="22"/>
                <w:lang w:eastAsia="en-AU"/>
              </w:rPr>
              <w:tab/>
            </w:r>
            <w:r w:rsidR="005D2E54" w:rsidRPr="00F879EB">
              <w:rPr>
                <w:rStyle w:val="Hyperlink"/>
                <w:noProof/>
              </w:rPr>
              <w:t>Product Information</w:t>
            </w:r>
            <w:r w:rsidR="005D2E54">
              <w:rPr>
                <w:noProof/>
                <w:webHidden/>
              </w:rPr>
              <w:tab/>
            </w:r>
            <w:r w:rsidR="005D2E54">
              <w:rPr>
                <w:noProof/>
                <w:webHidden/>
              </w:rPr>
              <w:fldChar w:fldCharType="begin"/>
            </w:r>
            <w:r w:rsidR="005D2E54">
              <w:rPr>
                <w:noProof/>
                <w:webHidden/>
              </w:rPr>
              <w:instrText xml:space="preserve"> PAGEREF _Toc412817741 \h </w:instrText>
            </w:r>
            <w:r w:rsidR="005D2E54">
              <w:rPr>
                <w:noProof/>
                <w:webHidden/>
              </w:rPr>
            </w:r>
            <w:r w:rsidR="005D2E54">
              <w:rPr>
                <w:noProof/>
                <w:webHidden/>
              </w:rPr>
              <w:fldChar w:fldCharType="separate"/>
            </w:r>
            <w:r w:rsidR="00FC2942">
              <w:rPr>
                <w:noProof/>
                <w:webHidden/>
              </w:rPr>
              <w:t>43</w:t>
            </w:r>
            <w:r w:rsidR="005D2E54">
              <w:rPr>
                <w:noProof/>
                <w:webHidden/>
              </w:rPr>
              <w:fldChar w:fldCharType="end"/>
            </w:r>
          </w:hyperlink>
        </w:p>
        <w:p w:rsidR="005D2E54" w:rsidRDefault="00611B92">
          <w:pPr>
            <w:pStyle w:val="TOC2"/>
            <w:tabs>
              <w:tab w:val="left" w:pos="2448"/>
            </w:tabs>
            <w:rPr>
              <w:rFonts w:asciiTheme="minorHAnsi" w:eastAsiaTheme="minorEastAsia" w:hAnsiTheme="minorHAnsi" w:cstheme="minorBidi"/>
              <w:b w:val="0"/>
              <w:noProof/>
              <w:sz w:val="22"/>
              <w:lang w:eastAsia="en-AU"/>
            </w:rPr>
          </w:pPr>
          <w:hyperlink w:anchor="_Toc412817742" w:history="1">
            <w:r w:rsidR="005D2E54" w:rsidRPr="00F879EB">
              <w:rPr>
                <w:rStyle w:val="Hyperlink"/>
                <w:noProof/>
                <w:lang w:eastAsia="en-AU"/>
              </w:rPr>
              <w:t>Attachment 2.</w:t>
            </w:r>
            <w:r w:rsidR="005D2E54">
              <w:rPr>
                <w:rFonts w:asciiTheme="minorHAnsi" w:eastAsiaTheme="minorEastAsia" w:hAnsiTheme="minorHAnsi" w:cstheme="minorBidi"/>
                <w:b w:val="0"/>
                <w:noProof/>
                <w:sz w:val="22"/>
                <w:lang w:eastAsia="en-AU"/>
              </w:rPr>
              <w:tab/>
            </w:r>
            <w:r w:rsidR="005D2E54" w:rsidRPr="00F879EB">
              <w:rPr>
                <w:rStyle w:val="Hyperlink"/>
                <w:noProof/>
                <w:lang w:eastAsia="en-AU"/>
              </w:rPr>
              <w:t xml:space="preserve">Extract from the </w:t>
            </w:r>
            <w:r w:rsidR="005D2E54" w:rsidRPr="00F879EB">
              <w:rPr>
                <w:rStyle w:val="Hyperlink"/>
                <w:noProof/>
              </w:rPr>
              <w:t>Clinical</w:t>
            </w:r>
            <w:r w:rsidR="005D2E54" w:rsidRPr="00F879EB">
              <w:rPr>
                <w:rStyle w:val="Hyperlink"/>
                <w:noProof/>
                <w:lang w:eastAsia="en-AU"/>
              </w:rPr>
              <w:t xml:space="preserve"> Evaluation Report</w:t>
            </w:r>
            <w:r w:rsidR="005D2E54">
              <w:rPr>
                <w:noProof/>
                <w:webHidden/>
              </w:rPr>
              <w:tab/>
            </w:r>
            <w:r w:rsidR="005D2E54">
              <w:rPr>
                <w:noProof/>
                <w:webHidden/>
              </w:rPr>
              <w:fldChar w:fldCharType="begin"/>
            </w:r>
            <w:r w:rsidR="005D2E54">
              <w:rPr>
                <w:noProof/>
                <w:webHidden/>
              </w:rPr>
              <w:instrText xml:space="preserve"> PAGEREF _Toc412817742 \h </w:instrText>
            </w:r>
            <w:r w:rsidR="005D2E54">
              <w:rPr>
                <w:noProof/>
                <w:webHidden/>
              </w:rPr>
            </w:r>
            <w:r w:rsidR="005D2E54">
              <w:rPr>
                <w:noProof/>
                <w:webHidden/>
              </w:rPr>
              <w:fldChar w:fldCharType="separate"/>
            </w:r>
            <w:r w:rsidR="00FC2942">
              <w:rPr>
                <w:noProof/>
                <w:webHidden/>
              </w:rPr>
              <w:t>43</w:t>
            </w:r>
            <w:r w:rsidR="005D2E54">
              <w:rPr>
                <w:noProof/>
                <w:webHidden/>
              </w:rPr>
              <w:fldChar w:fldCharType="end"/>
            </w:r>
          </w:hyperlink>
        </w:p>
        <w:p w:rsidR="003A7F6C" w:rsidRPr="00B811C6" w:rsidRDefault="00DB6124" w:rsidP="00B811C6">
          <w:pPr>
            <w:pStyle w:val="TOC2"/>
          </w:pPr>
          <w:r>
            <w:fldChar w:fldCharType="end"/>
          </w:r>
        </w:p>
      </w:sdtContent>
    </w:sdt>
    <w:bookmarkStart w:id="3" w:name="_Toc314842482" w:displacedByCustomXml="prev"/>
    <w:p w:rsidR="00FD119B" w:rsidRDefault="00FD119B">
      <w:pPr>
        <w:spacing w:before="0" w:after="200" w:line="0" w:lineRule="auto"/>
      </w:pPr>
      <w:r>
        <w:br w:type="page"/>
      </w:r>
    </w:p>
    <w:p w:rsidR="006A644F" w:rsidRPr="00611B92" w:rsidRDefault="00FD119B" w:rsidP="00611B92">
      <w:pPr>
        <w:pStyle w:val="Heading2"/>
      </w:pPr>
      <w:bookmarkStart w:id="4" w:name="_Toc351716269"/>
      <w:bookmarkStart w:id="5" w:name="_Toc351718881"/>
      <w:bookmarkStart w:id="6" w:name="_Toc355338616"/>
      <w:bookmarkStart w:id="7" w:name="_Toc356306144"/>
      <w:bookmarkStart w:id="8" w:name="_Toc412817703"/>
      <w:r w:rsidRPr="00FD119B">
        <w:lastRenderedPageBreak/>
        <w:t>List of the most common abbreviations</w:t>
      </w:r>
      <w:bookmarkEnd w:id="4"/>
      <w:bookmarkEnd w:id="5"/>
      <w:bookmarkEnd w:id="6"/>
      <w:bookmarkEnd w:id="7"/>
      <w:r w:rsidRPr="00FD119B">
        <w:t xml:space="preserve"> used in this </w:t>
      </w:r>
      <w:proofErr w:type="spellStart"/>
      <w:r w:rsidRPr="004F0C4A">
        <w:t>AusPAR</w:t>
      </w:r>
      <w:bookmarkEnd w:id="8"/>
      <w:proofErr w:type="spellEnd"/>
    </w:p>
    <w:tbl>
      <w:tblPr>
        <w:tblStyle w:val="TableTGAblue"/>
        <w:tblW w:w="0" w:type="auto"/>
        <w:tblLayout w:type="fixed"/>
        <w:tblLook w:val="04A0" w:firstRow="1" w:lastRow="0" w:firstColumn="1" w:lastColumn="0" w:noHBand="0" w:noVBand="1"/>
      </w:tblPr>
      <w:tblGrid>
        <w:gridCol w:w="1951"/>
        <w:gridCol w:w="6769"/>
      </w:tblGrid>
      <w:tr w:rsidR="006A644F" w:rsidTr="00943C24">
        <w:trPr>
          <w:cnfStyle w:val="100000000000" w:firstRow="1" w:lastRow="0" w:firstColumn="0" w:lastColumn="0" w:oddVBand="0" w:evenVBand="0" w:oddHBand="0" w:evenHBand="0" w:firstRowFirstColumn="0" w:firstRowLastColumn="0" w:lastRowFirstColumn="0" w:lastRowLastColumn="0"/>
        </w:trPr>
        <w:tc>
          <w:tcPr>
            <w:tcW w:w="1951" w:type="dxa"/>
          </w:tcPr>
          <w:p w:rsidR="006A644F" w:rsidRDefault="006A644F" w:rsidP="00611B92">
            <w:r>
              <w:t>Abbreviation</w:t>
            </w:r>
          </w:p>
        </w:tc>
        <w:tc>
          <w:tcPr>
            <w:tcW w:w="6769" w:type="dxa"/>
          </w:tcPr>
          <w:p w:rsidR="006A644F" w:rsidRDefault="006A644F" w:rsidP="00611B92">
            <w:r>
              <w:t>Meaning</w:t>
            </w:r>
          </w:p>
        </w:tc>
      </w:tr>
      <w:tr w:rsidR="006A644F" w:rsidRPr="002F5E01" w:rsidTr="00943C24">
        <w:tc>
          <w:tcPr>
            <w:tcW w:w="1951" w:type="dxa"/>
          </w:tcPr>
          <w:p w:rsidR="006A644F" w:rsidRPr="002F5E01" w:rsidRDefault="006A644F" w:rsidP="00611B92">
            <w:proofErr w:type="spellStart"/>
            <w:r w:rsidRPr="002F5E01">
              <w:t>aPTT</w:t>
            </w:r>
            <w:proofErr w:type="spellEnd"/>
          </w:p>
        </w:tc>
        <w:tc>
          <w:tcPr>
            <w:tcW w:w="6769" w:type="dxa"/>
          </w:tcPr>
          <w:p w:rsidR="006A644F" w:rsidRPr="002F5E01" w:rsidRDefault="006A644F" w:rsidP="00611B92">
            <w:r w:rsidRPr="00B5424F">
              <w:t xml:space="preserve">activated partial </w:t>
            </w:r>
            <w:proofErr w:type="spellStart"/>
            <w:r w:rsidRPr="00B5424F">
              <w:t>thromboplastin</w:t>
            </w:r>
            <w:proofErr w:type="spellEnd"/>
            <w:r w:rsidRPr="00B5424F">
              <w:t xml:space="preserve"> time</w:t>
            </w:r>
          </w:p>
        </w:tc>
      </w:tr>
      <w:tr w:rsidR="00DC78A3" w:rsidRPr="002F5E01" w:rsidTr="00943C24">
        <w:tc>
          <w:tcPr>
            <w:tcW w:w="1951" w:type="dxa"/>
          </w:tcPr>
          <w:p w:rsidR="00DC78A3" w:rsidRPr="002F5E01" w:rsidRDefault="00DC78A3" w:rsidP="00611B92">
            <w:r w:rsidRPr="00DC78A3">
              <w:t>ABR</w:t>
            </w:r>
          </w:p>
        </w:tc>
        <w:tc>
          <w:tcPr>
            <w:tcW w:w="6769" w:type="dxa"/>
          </w:tcPr>
          <w:p w:rsidR="00DC78A3" w:rsidRPr="00B5424F" w:rsidRDefault="00DC78A3" w:rsidP="00611B92">
            <w:r>
              <w:t>annualised bleeding rate</w:t>
            </w:r>
          </w:p>
        </w:tc>
      </w:tr>
      <w:tr w:rsidR="00DC78A3" w:rsidRPr="002F5E01" w:rsidTr="00943C24">
        <w:tc>
          <w:tcPr>
            <w:tcW w:w="1951" w:type="dxa"/>
          </w:tcPr>
          <w:p w:rsidR="00DC78A3" w:rsidRPr="00DC78A3" w:rsidRDefault="00DC78A3" w:rsidP="00611B92">
            <w:r>
              <w:t>ACPM</w:t>
            </w:r>
          </w:p>
        </w:tc>
        <w:tc>
          <w:tcPr>
            <w:tcW w:w="6769" w:type="dxa"/>
          </w:tcPr>
          <w:p w:rsidR="00DC78A3" w:rsidRDefault="00DC78A3" w:rsidP="00611B92">
            <w:r>
              <w:t>Advisory Committee for Prescription Medicines</w:t>
            </w:r>
          </w:p>
        </w:tc>
      </w:tr>
      <w:tr w:rsidR="00AF21BF" w:rsidRPr="002F5E01" w:rsidTr="00943C24">
        <w:tc>
          <w:tcPr>
            <w:tcW w:w="1951" w:type="dxa"/>
          </w:tcPr>
          <w:p w:rsidR="00AF21BF" w:rsidRPr="002F5E01" w:rsidRDefault="00AF21BF" w:rsidP="00611B92">
            <w:r w:rsidRPr="00AF21BF">
              <w:t>ACSOM</w:t>
            </w:r>
          </w:p>
        </w:tc>
        <w:tc>
          <w:tcPr>
            <w:tcW w:w="6769" w:type="dxa"/>
          </w:tcPr>
          <w:p w:rsidR="00AF21BF" w:rsidRPr="002F5E01" w:rsidRDefault="00AF21BF" w:rsidP="00611B92">
            <w:r w:rsidRPr="00AF21BF">
              <w:t>Advisory Committee on the Safety of Medicines</w:t>
            </w:r>
          </w:p>
        </w:tc>
      </w:tr>
      <w:tr w:rsidR="00001058" w:rsidRPr="002F5E01" w:rsidTr="00943C24">
        <w:tc>
          <w:tcPr>
            <w:tcW w:w="1951" w:type="dxa"/>
          </w:tcPr>
          <w:p w:rsidR="00001058" w:rsidRPr="00AF21BF" w:rsidRDefault="00001058" w:rsidP="00611B92">
            <w:r>
              <w:t>AE</w:t>
            </w:r>
          </w:p>
        </w:tc>
        <w:tc>
          <w:tcPr>
            <w:tcW w:w="6769" w:type="dxa"/>
          </w:tcPr>
          <w:p w:rsidR="00001058" w:rsidRPr="00AF21BF" w:rsidRDefault="00001058" w:rsidP="00611B92">
            <w:r>
              <w:t>adverse event</w:t>
            </w:r>
          </w:p>
        </w:tc>
      </w:tr>
      <w:tr w:rsidR="00B853BD" w:rsidRPr="002F5E01" w:rsidTr="00943C24">
        <w:tc>
          <w:tcPr>
            <w:tcW w:w="1951" w:type="dxa"/>
          </w:tcPr>
          <w:p w:rsidR="00B853BD" w:rsidRDefault="00B853BD" w:rsidP="00611B92">
            <w:r>
              <w:t>AHCDO</w:t>
            </w:r>
          </w:p>
        </w:tc>
        <w:tc>
          <w:tcPr>
            <w:tcW w:w="6769" w:type="dxa"/>
          </w:tcPr>
          <w:p w:rsidR="00B853BD" w:rsidRDefault="00B853BD" w:rsidP="00611B92">
            <w:r w:rsidRPr="00B853BD">
              <w:t>Australian Haemophilia Centre Directors’ Organisation</w:t>
            </w:r>
          </w:p>
        </w:tc>
      </w:tr>
      <w:tr w:rsidR="00201591" w:rsidRPr="002F5E01" w:rsidTr="00943C24">
        <w:tc>
          <w:tcPr>
            <w:tcW w:w="1951" w:type="dxa"/>
          </w:tcPr>
          <w:p w:rsidR="00201591" w:rsidRPr="00AF21BF" w:rsidRDefault="00201591" w:rsidP="00611B92">
            <w:r w:rsidRPr="00201591">
              <w:t>APC</w:t>
            </w:r>
          </w:p>
        </w:tc>
        <w:tc>
          <w:tcPr>
            <w:tcW w:w="6769" w:type="dxa"/>
          </w:tcPr>
          <w:p w:rsidR="00201591" w:rsidRPr="00AF21BF" w:rsidRDefault="00201591" w:rsidP="00611B92">
            <w:r w:rsidRPr="00201591">
              <w:t>activated protein C</w:t>
            </w:r>
          </w:p>
        </w:tc>
      </w:tr>
      <w:tr w:rsidR="00B75541" w:rsidRPr="002F5E01" w:rsidTr="00943C24">
        <w:tc>
          <w:tcPr>
            <w:tcW w:w="1951" w:type="dxa"/>
          </w:tcPr>
          <w:p w:rsidR="00B75541" w:rsidRPr="00201591" w:rsidRDefault="00B75541" w:rsidP="00611B92">
            <w:r>
              <w:t>ARTG</w:t>
            </w:r>
          </w:p>
        </w:tc>
        <w:tc>
          <w:tcPr>
            <w:tcW w:w="6769" w:type="dxa"/>
          </w:tcPr>
          <w:p w:rsidR="00B75541" w:rsidRPr="00201591" w:rsidRDefault="00B75541" w:rsidP="00611B92">
            <w:r>
              <w:t>Australian Register of Therapeutic Goods</w:t>
            </w:r>
          </w:p>
        </w:tc>
      </w:tr>
      <w:tr w:rsidR="006A644F" w:rsidRPr="002F5E01" w:rsidTr="00943C24">
        <w:tc>
          <w:tcPr>
            <w:tcW w:w="1951" w:type="dxa"/>
          </w:tcPr>
          <w:p w:rsidR="006A644F" w:rsidRPr="002F5E01" w:rsidRDefault="006A644F" w:rsidP="00611B92">
            <w:r w:rsidRPr="002F5E01">
              <w:t>AUC</w:t>
            </w:r>
          </w:p>
        </w:tc>
        <w:tc>
          <w:tcPr>
            <w:tcW w:w="6769" w:type="dxa"/>
          </w:tcPr>
          <w:p w:rsidR="006A644F" w:rsidRPr="002F5E01" w:rsidRDefault="004C7AE7" w:rsidP="00611B92">
            <w:r w:rsidRPr="004C7AE7">
              <w:t>area under the concentration-time curve</w:t>
            </w:r>
          </w:p>
        </w:tc>
      </w:tr>
      <w:tr w:rsidR="006A644F" w:rsidRPr="002F5E01" w:rsidTr="00943C24">
        <w:tc>
          <w:tcPr>
            <w:tcW w:w="1951" w:type="dxa"/>
          </w:tcPr>
          <w:p w:rsidR="006A644F" w:rsidRPr="002F5E01" w:rsidRDefault="006A644F" w:rsidP="00611B92">
            <w:r w:rsidRPr="002F5E01">
              <w:t>BU</w:t>
            </w:r>
          </w:p>
        </w:tc>
        <w:tc>
          <w:tcPr>
            <w:tcW w:w="6769" w:type="dxa"/>
          </w:tcPr>
          <w:p w:rsidR="006A644F" w:rsidRPr="002F5E01" w:rsidRDefault="00DE46B5" w:rsidP="00611B92">
            <w:r w:rsidRPr="00DE46B5">
              <w:t>Bethesda unit</w:t>
            </w:r>
          </w:p>
        </w:tc>
      </w:tr>
      <w:tr w:rsidR="00A865C2" w:rsidRPr="002F5E01" w:rsidTr="00943C24">
        <w:tc>
          <w:tcPr>
            <w:tcW w:w="1951" w:type="dxa"/>
          </w:tcPr>
          <w:p w:rsidR="00A865C2" w:rsidRPr="002F5E01" w:rsidRDefault="00A865C2" w:rsidP="00611B92">
            <w:r>
              <w:t>CER</w:t>
            </w:r>
          </w:p>
        </w:tc>
        <w:tc>
          <w:tcPr>
            <w:tcW w:w="6769" w:type="dxa"/>
          </w:tcPr>
          <w:p w:rsidR="00A865C2" w:rsidRPr="00DE46B5" w:rsidRDefault="00A865C2" w:rsidP="00611B92">
            <w:r>
              <w:t>Clin</w:t>
            </w:r>
            <w:r w:rsidR="004C7AE7">
              <w:t>i</w:t>
            </w:r>
            <w:r>
              <w:t xml:space="preserve">cal evaluation report  </w:t>
            </w:r>
          </w:p>
        </w:tc>
      </w:tr>
      <w:tr w:rsidR="00B75541" w:rsidRPr="002F5E01" w:rsidTr="00943C24">
        <w:tc>
          <w:tcPr>
            <w:tcW w:w="1951" w:type="dxa"/>
          </w:tcPr>
          <w:p w:rsidR="00B75541" w:rsidRPr="002F5E01" w:rsidRDefault="00B75541" w:rsidP="00611B92">
            <w:r>
              <w:t>CHO</w:t>
            </w:r>
          </w:p>
        </w:tc>
        <w:tc>
          <w:tcPr>
            <w:tcW w:w="6769" w:type="dxa"/>
          </w:tcPr>
          <w:p w:rsidR="00B75541" w:rsidRPr="00DE46B5" w:rsidRDefault="00B75541" w:rsidP="00611B92">
            <w:r>
              <w:t>Chinese hamster ovary</w:t>
            </w:r>
          </w:p>
        </w:tc>
      </w:tr>
      <w:tr w:rsidR="006A644F" w:rsidRPr="002F5E01" w:rsidTr="00943C24">
        <w:tc>
          <w:tcPr>
            <w:tcW w:w="1951" w:type="dxa"/>
          </w:tcPr>
          <w:p w:rsidR="006A644F" w:rsidRPr="002F5E01" w:rsidRDefault="006A644F" w:rsidP="00611B92">
            <w:r w:rsidRPr="002F5E01">
              <w:t>CI</w:t>
            </w:r>
          </w:p>
        </w:tc>
        <w:tc>
          <w:tcPr>
            <w:tcW w:w="6769" w:type="dxa"/>
          </w:tcPr>
          <w:p w:rsidR="006A644F" w:rsidRPr="002F5E01" w:rsidRDefault="006A644F" w:rsidP="00611B92">
            <w:r w:rsidRPr="002F5E01">
              <w:t>confidence interval</w:t>
            </w:r>
          </w:p>
        </w:tc>
      </w:tr>
      <w:tr w:rsidR="006A644F" w:rsidRPr="002F5E01" w:rsidTr="00943C24">
        <w:tc>
          <w:tcPr>
            <w:tcW w:w="1951" w:type="dxa"/>
          </w:tcPr>
          <w:p w:rsidR="006A644F" w:rsidRPr="002F5E01" w:rsidRDefault="006A644F" w:rsidP="00611B92">
            <w:proofErr w:type="spellStart"/>
            <w:r w:rsidRPr="002F5E01">
              <w:t>C</w:t>
            </w:r>
            <w:r w:rsidRPr="002F5E01">
              <w:rPr>
                <w:vertAlign w:val="subscript"/>
              </w:rPr>
              <w:t>max</w:t>
            </w:r>
            <w:proofErr w:type="spellEnd"/>
          </w:p>
        </w:tc>
        <w:tc>
          <w:tcPr>
            <w:tcW w:w="6769" w:type="dxa"/>
          </w:tcPr>
          <w:p w:rsidR="006A644F" w:rsidRPr="002F5E01" w:rsidRDefault="006A644F" w:rsidP="00611B92">
            <w:r w:rsidRPr="002F5E01">
              <w:t>maximum plasma activity</w:t>
            </w:r>
          </w:p>
        </w:tc>
      </w:tr>
      <w:tr w:rsidR="00AE1FA7" w:rsidRPr="002F5E01" w:rsidTr="00943C24">
        <w:tc>
          <w:tcPr>
            <w:tcW w:w="1951" w:type="dxa"/>
          </w:tcPr>
          <w:p w:rsidR="00AE1FA7" w:rsidRPr="002F5E01" w:rsidRDefault="00AE1FA7" w:rsidP="00611B92">
            <w:r>
              <w:t>CMI</w:t>
            </w:r>
          </w:p>
        </w:tc>
        <w:tc>
          <w:tcPr>
            <w:tcW w:w="6769" w:type="dxa"/>
          </w:tcPr>
          <w:p w:rsidR="00AE1FA7" w:rsidRPr="002F5E01" w:rsidRDefault="00AE1FA7" w:rsidP="00611B92">
            <w:r>
              <w:t>consumer medicine information</w:t>
            </w:r>
          </w:p>
        </w:tc>
      </w:tr>
      <w:tr w:rsidR="006A644F" w:rsidRPr="002F5E01" w:rsidTr="00943C24">
        <w:tc>
          <w:tcPr>
            <w:tcW w:w="1951" w:type="dxa"/>
          </w:tcPr>
          <w:p w:rsidR="006A644F" w:rsidRPr="002F5E01" w:rsidRDefault="006A644F" w:rsidP="00611B92">
            <w:r w:rsidRPr="002F5E01">
              <w:t>CSR</w:t>
            </w:r>
          </w:p>
        </w:tc>
        <w:tc>
          <w:tcPr>
            <w:tcW w:w="6769" w:type="dxa"/>
          </w:tcPr>
          <w:p w:rsidR="006A644F" w:rsidRPr="002F5E01" w:rsidRDefault="006A644F" w:rsidP="00611B92">
            <w:r w:rsidRPr="002F5E01">
              <w:t>clinical study report</w:t>
            </w:r>
          </w:p>
        </w:tc>
      </w:tr>
      <w:tr w:rsidR="00AE1FA7" w:rsidRPr="002F5E01" w:rsidTr="00943C24">
        <w:tc>
          <w:tcPr>
            <w:tcW w:w="1951" w:type="dxa"/>
          </w:tcPr>
          <w:p w:rsidR="00AE1FA7" w:rsidRPr="002F5E01" w:rsidRDefault="00AE1FA7" w:rsidP="00611B92">
            <w:r>
              <w:t>DFU</w:t>
            </w:r>
          </w:p>
        </w:tc>
        <w:tc>
          <w:tcPr>
            <w:tcW w:w="6769" w:type="dxa"/>
          </w:tcPr>
          <w:p w:rsidR="00AE1FA7" w:rsidRPr="002F5E01" w:rsidRDefault="00AE1FA7" w:rsidP="00611B92">
            <w:r>
              <w:t>directions for use</w:t>
            </w:r>
          </w:p>
        </w:tc>
      </w:tr>
      <w:tr w:rsidR="006E6D9E" w:rsidRPr="002F5E01" w:rsidTr="00943C24">
        <w:tc>
          <w:tcPr>
            <w:tcW w:w="1951" w:type="dxa"/>
          </w:tcPr>
          <w:p w:rsidR="006E6D9E" w:rsidRDefault="006E6D9E" w:rsidP="00611B92">
            <w:r>
              <w:t>EC</w:t>
            </w:r>
            <w:r w:rsidRPr="00934854">
              <w:rPr>
                <w:vertAlign w:val="subscript"/>
              </w:rPr>
              <w:t>50</w:t>
            </w:r>
          </w:p>
        </w:tc>
        <w:tc>
          <w:tcPr>
            <w:tcW w:w="6769" w:type="dxa"/>
          </w:tcPr>
          <w:p w:rsidR="006E6D9E" w:rsidRDefault="00934854" w:rsidP="00611B92">
            <w:r>
              <w:t>50% effective concentration</w:t>
            </w:r>
          </w:p>
        </w:tc>
      </w:tr>
      <w:tr w:rsidR="00BD4E03" w:rsidRPr="002F5E01" w:rsidTr="00943C24">
        <w:tc>
          <w:tcPr>
            <w:tcW w:w="1951" w:type="dxa"/>
          </w:tcPr>
          <w:p w:rsidR="00BD4E03" w:rsidRPr="002F5E01" w:rsidRDefault="00BD4E03" w:rsidP="00611B92">
            <w:r>
              <w:t>ECG</w:t>
            </w:r>
          </w:p>
        </w:tc>
        <w:tc>
          <w:tcPr>
            <w:tcW w:w="6769" w:type="dxa"/>
          </w:tcPr>
          <w:p w:rsidR="00BD4E03" w:rsidRPr="002F5E01" w:rsidRDefault="00BD4E03" w:rsidP="00611B92">
            <w:r>
              <w:t>electro cardio gram</w:t>
            </w:r>
          </w:p>
        </w:tc>
      </w:tr>
      <w:tr w:rsidR="006A644F" w:rsidRPr="002F5E01" w:rsidTr="00943C24">
        <w:tc>
          <w:tcPr>
            <w:tcW w:w="1951" w:type="dxa"/>
          </w:tcPr>
          <w:p w:rsidR="006A644F" w:rsidRPr="002F5E01" w:rsidRDefault="006A644F" w:rsidP="00611B92">
            <w:r w:rsidRPr="002F5E01">
              <w:t>ED</w:t>
            </w:r>
          </w:p>
        </w:tc>
        <w:tc>
          <w:tcPr>
            <w:tcW w:w="6769" w:type="dxa"/>
          </w:tcPr>
          <w:p w:rsidR="006A644F" w:rsidRPr="002F5E01" w:rsidRDefault="006A644F" w:rsidP="00611B92">
            <w:r w:rsidRPr="002F5E01">
              <w:t>exposure day</w:t>
            </w:r>
          </w:p>
        </w:tc>
      </w:tr>
      <w:tr w:rsidR="006A644F" w:rsidRPr="002F5E01" w:rsidTr="00943C24">
        <w:tc>
          <w:tcPr>
            <w:tcW w:w="1951" w:type="dxa"/>
          </w:tcPr>
          <w:p w:rsidR="006A644F" w:rsidRPr="002F5E01" w:rsidRDefault="006A644F" w:rsidP="00611B92">
            <w:r>
              <w:t>EMA</w:t>
            </w:r>
          </w:p>
        </w:tc>
        <w:tc>
          <w:tcPr>
            <w:tcW w:w="6769" w:type="dxa"/>
          </w:tcPr>
          <w:p w:rsidR="006A644F" w:rsidRPr="002F5E01" w:rsidRDefault="006A644F" w:rsidP="00611B92">
            <w:r>
              <w:t>European medicines agency</w:t>
            </w:r>
          </w:p>
        </w:tc>
      </w:tr>
      <w:tr w:rsidR="006A644F" w:rsidRPr="002F5E01" w:rsidTr="00943C24">
        <w:tc>
          <w:tcPr>
            <w:tcW w:w="1951" w:type="dxa"/>
          </w:tcPr>
          <w:p w:rsidR="006A644F" w:rsidRPr="002F5E01" w:rsidRDefault="006A644F" w:rsidP="00611B92">
            <w:proofErr w:type="spellStart"/>
            <w:r w:rsidRPr="002F5E01">
              <w:t>FcRn</w:t>
            </w:r>
            <w:proofErr w:type="spellEnd"/>
          </w:p>
        </w:tc>
        <w:tc>
          <w:tcPr>
            <w:tcW w:w="6769" w:type="dxa"/>
          </w:tcPr>
          <w:p w:rsidR="006A644F" w:rsidRPr="002F5E01" w:rsidRDefault="006A644F" w:rsidP="00611B92">
            <w:r w:rsidRPr="002F5E01">
              <w:t>neonatal Fc receptor</w:t>
            </w:r>
          </w:p>
        </w:tc>
      </w:tr>
      <w:tr w:rsidR="006A644F" w:rsidRPr="002F5E01" w:rsidTr="00943C24">
        <w:tc>
          <w:tcPr>
            <w:tcW w:w="1951" w:type="dxa"/>
          </w:tcPr>
          <w:p w:rsidR="006A644F" w:rsidRPr="002F5E01" w:rsidRDefault="006A644F" w:rsidP="00611B92">
            <w:r w:rsidRPr="002F5E01">
              <w:t>FVIII</w:t>
            </w:r>
          </w:p>
        </w:tc>
        <w:tc>
          <w:tcPr>
            <w:tcW w:w="6769" w:type="dxa"/>
          </w:tcPr>
          <w:p w:rsidR="006A644F" w:rsidRPr="002F5E01" w:rsidRDefault="006A644F" w:rsidP="00611B92">
            <w:r w:rsidRPr="002F5E01">
              <w:t>coagulation factor VIII</w:t>
            </w:r>
          </w:p>
        </w:tc>
      </w:tr>
      <w:tr w:rsidR="006A644F" w:rsidRPr="002F5E01" w:rsidTr="00943C24">
        <w:tc>
          <w:tcPr>
            <w:tcW w:w="1951" w:type="dxa"/>
          </w:tcPr>
          <w:p w:rsidR="006A644F" w:rsidRPr="002F5E01" w:rsidRDefault="006A644F" w:rsidP="00611B92">
            <w:r w:rsidRPr="002F5E01">
              <w:t>GCP</w:t>
            </w:r>
          </w:p>
        </w:tc>
        <w:tc>
          <w:tcPr>
            <w:tcW w:w="6769" w:type="dxa"/>
          </w:tcPr>
          <w:p w:rsidR="006A644F" w:rsidRPr="002F5E01" w:rsidRDefault="006A644F" w:rsidP="00611B92">
            <w:r w:rsidRPr="002F5E01">
              <w:t>Good</w:t>
            </w:r>
            <w:r w:rsidR="00B357EE">
              <w:t xml:space="preserve"> clinical p</w:t>
            </w:r>
            <w:r w:rsidRPr="002F5E01">
              <w:t>ractice</w:t>
            </w:r>
          </w:p>
        </w:tc>
      </w:tr>
      <w:tr w:rsidR="00B357EE" w:rsidRPr="002F5E01" w:rsidTr="00943C24">
        <w:tc>
          <w:tcPr>
            <w:tcW w:w="1951" w:type="dxa"/>
          </w:tcPr>
          <w:p w:rsidR="00B357EE" w:rsidRPr="002F5E01" w:rsidRDefault="00B357EE" w:rsidP="00611B92">
            <w:r>
              <w:lastRenderedPageBreak/>
              <w:t>GLP</w:t>
            </w:r>
          </w:p>
        </w:tc>
        <w:tc>
          <w:tcPr>
            <w:tcW w:w="6769" w:type="dxa"/>
          </w:tcPr>
          <w:p w:rsidR="00B357EE" w:rsidRPr="002F5E01" w:rsidRDefault="00B357EE" w:rsidP="00611B92">
            <w:r>
              <w:t>Good laboratory practice</w:t>
            </w:r>
          </w:p>
        </w:tc>
      </w:tr>
      <w:tr w:rsidR="00BD4E03" w:rsidRPr="002F5E01" w:rsidTr="00943C24">
        <w:tc>
          <w:tcPr>
            <w:tcW w:w="1951" w:type="dxa"/>
          </w:tcPr>
          <w:p w:rsidR="00BD4E03" w:rsidRPr="002F5E01" w:rsidRDefault="00BD4E03" w:rsidP="00611B92">
            <w:r>
              <w:t>h</w:t>
            </w:r>
          </w:p>
        </w:tc>
        <w:tc>
          <w:tcPr>
            <w:tcW w:w="6769" w:type="dxa"/>
          </w:tcPr>
          <w:p w:rsidR="00BD4E03" w:rsidRPr="002F5E01" w:rsidRDefault="00BD4E03" w:rsidP="00611B92">
            <w:r>
              <w:t>hour(s)</w:t>
            </w:r>
          </w:p>
        </w:tc>
      </w:tr>
      <w:tr w:rsidR="006A644F" w:rsidRPr="002F5E01" w:rsidTr="00943C24">
        <w:tc>
          <w:tcPr>
            <w:tcW w:w="1951" w:type="dxa"/>
          </w:tcPr>
          <w:p w:rsidR="006A644F" w:rsidRPr="002F5E01" w:rsidRDefault="00156C0F" w:rsidP="00611B92">
            <w:r w:rsidRPr="00156C0F">
              <w:t xml:space="preserve">HC </w:t>
            </w:r>
            <w:r w:rsidR="006A644F" w:rsidRPr="002F5E01">
              <w:t>HBV</w:t>
            </w:r>
          </w:p>
        </w:tc>
        <w:tc>
          <w:tcPr>
            <w:tcW w:w="6769" w:type="dxa"/>
          </w:tcPr>
          <w:p w:rsidR="006A644F" w:rsidRPr="002F5E01" w:rsidRDefault="006A644F" w:rsidP="00611B92">
            <w:r w:rsidRPr="002F5E01">
              <w:t>hepatitis B virus</w:t>
            </w:r>
          </w:p>
        </w:tc>
      </w:tr>
      <w:tr w:rsidR="006A644F" w:rsidRPr="002F5E01" w:rsidTr="00943C24">
        <w:tc>
          <w:tcPr>
            <w:tcW w:w="1951" w:type="dxa"/>
          </w:tcPr>
          <w:p w:rsidR="006A644F" w:rsidRPr="002F5E01" w:rsidRDefault="006A644F" w:rsidP="00611B92">
            <w:r w:rsidRPr="002F5E01">
              <w:t>HCV</w:t>
            </w:r>
          </w:p>
        </w:tc>
        <w:tc>
          <w:tcPr>
            <w:tcW w:w="6769" w:type="dxa"/>
          </w:tcPr>
          <w:p w:rsidR="006A644F" w:rsidRPr="002F5E01" w:rsidRDefault="006A644F" w:rsidP="00611B92">
            <w:r w:rsidRPr="002F5E01">
              <w:t>hepatitis C virus</w:t>
            </w:r>
          </w:p>
        </w:tc>
      </w:tr>
      <w:tr w:rsidR="00D75D9F" w:rsidRPr="002F5E01" w:rsidTr="00943C24">
        <w:tc>
          <w:tcPr>
            <w:tcW w:w="1951" w:type="dxa"/>
          </w:tcPr>
          <w:p w:rsidR="00D75D9F" w:rsidRPr="002F5E01" w:rsidRDefault="00D75D9F" w:rsidP="00611B92">
            <w:r>
              <w:t>Hem A mice</w:t>
            </w:r>
          </w:p>
        </w:tc>
        <w:tc>
          <w:tcPr>
            <w:tcW w:w="6769" w:type="dxa"/>
          </w:tcPr>
          <w:p w:rsidR="00D75D9F" w:rsidRPr="002F5E01" w:rsidRDefault="00D75D9F" w:rsidP="00611B92">
            <w:r>
              <w:t>Factor FVIII deficient mice</w:t>
            </w:r>
          </w:p>
        </w:tc>
      </w:tr>
      <w:tr w:rsidR="006A644F" w:rsidRPr="002F5E01" w:rsidTr="00943C24">
        <w:tc>
          <w:tcPr>
            <w:tcW w:w="1951" w:type="dxa"/>
          </w:tcPr>
          <w:p w:rsidR="006A644F" w:rsidRPr="002F5E01" w:rsidRDefault="006A644F" w:rsidP="00611B92">
            <w:r w:rsidRPr="002F5E01">
              <w:t>HIV</w:t>
            </w:r>
          </w:p>
        </w:tc>
        <w:tc>
          <w:tcPr>
            <w:tcW w:w="6769" w:type="dxa"/>
          </w:tcPr>
          <w:p w:rsidR="006A644F" w:rsidRPr="002F5E01" w:rsidRDefault="006A644F" w:rsidP="00611B92">
            <w:r w:rsidRPr="002F5E01">
              <w:t>human immunodeficiency virus</w:t>
            </w:r>
          </w:p>
        </w:tc>
      </w:tr>
      <w:tr w:rsidR="00BD4E03" w:rsidRPr="002F5E01" w:rsidTr="00943C24">
        <w:tc>
          <w:tcPr>
            <w:tcW w:w="1951" w:type="dxa"/>
          </w:tcPr>
          <w:p w:rsidR="00BD4E03" w:rsidRPr="002F5E01" w:rsidRDefault="00BD4E03" w:rsidP="00611B92">
            <w:r>
              <w:t>HR</w:t>
            </w:r>
          </w:p>
        </w:tc>
        <w:tc>
          <w:tcPr>
            <w:tcW w:w="6769" w:type="dxa"/>
          </w:tcPr>
          <w:p w:rsidR="00BD4E03" w:rsidRPr="002F5E01" w:rsidRDefault="00BD4E03" w:rsidP="00611B92">
            <w:r>
              <w:t>heart rate</w:t>
            </w:r>
          </w:p>
        </w:tc>
      </w:tr>
      <w:tr w:rsidR="006A644F" w:rsidRPr="002F5E01" w:rsidTr="00943C24">
        <w:tc>
          <w:tcPr>
            <w:tcW w:w="1951" w:type="dxa"/>
          </w:tcPr>
          <w:p w:rsidR="006A644F" w:rsidRPr="002F5E01" w:rsidRDefault="006A644F" w:rsidP="00611B92">
            <w:r w:rsidRPr="002F5E01">
              <w:t>ICH</w:t>
            </w:r>
          </w:p>
        </w:tc>
        <w:tc>
          <w:tcPr>
            <w:tcW w:w="6769" w:type="dxa"/>
          </w:tcPr>
          <w:p w:rsidR="006A644F" w:rsidRPr="002F5E01" w:rsidRDefault="004C7AE7" w:rsidP="00611B92">
            <w:r w:rsidRPr="004C7AE7">
              <w:t xml:space="preserve">International Conference on Harmonisation </w:t>
            </w:r>
            <w:r w:rsidRPr="004C7AE7">
              <w:rPr>
                <w:lang w:val="en"/>
              </w:rPr>
              <w:t>of Technical Requirements for Registration of Pharmaceuticals for Human Use</w:t>
            </w:r>
          </w:p>
        </w:tc>
      </w:tr>
      <w:tr w:rsidR="006A644F" w:rsidRPr="002F5E01" w:rsidTr="00943C24">
        <w:tc>
          <w:tcPr>
            <w:tcW w:w="1951" w:type="dxa"/>
          </w:tcPr>
          <w:p w:rsidR="006A644F" w:rsidRPr="002F5E01" w:rsidRDefault="006A644F" w:rsidP="00611B92">
            <w:proofErr w:type="spellStart"/>
            <w:r w:rsidRPr="002F5E01">
              <w:t>IgG</w:t>
            </w:r>
            <w:proofErr w:type="spellEnd"/>
          </w:p>
        </w:tc>
        <w:tc>
          <w:tcPr>
            <w:tcW w:w="6769" w:type="dxa"/>
          </w:tcPr>
          <w:p w:rsidR="006A644F" w:rsidRPr="002F5E01" w:rsidRDefault="006A644F" w:rsidP="00611B92">
            <w:r w:rsidRPr="002F5E01">
              <w:t>immunoglobulin G</w:t>
            </w:r>
          </w:p>
        </w:tc>
      </w:tr>
      <w:tr w:rsidR="006A644F" w:rsidRPr="002F5E01" w:rsidTr="00943C24">
        <w:tc>
          <w:tcPr>
            <w:tcW w:w="1951" w:type="dxa"/>
          </w:tcPr>
          <w:p w:rsidR="006A644F" w:rsidRPr="002F5E01" w:rsidRDefault="006A644F" w:rsidP="00611B92">
            <w:r w:rsidRPr="002F5E01">
              <w:t>IgG1</w:t>
            </w:r>
          </w:p>
        </w:tc>
        <w:tc>
          <w:tcPr>
            <w:tcW w:w="6769" w:type="dxa"/>
          </w:tcPr>
          <w:p w:rsidR="006A644F" w:rsidRPr="002F5E01" w:rsidRDefault="006A644F" w:rsidP="00611B92">
            <w:r w:rsidRPr="002F5E01">
              <w:t>immunoglobulin G1</w:t>
            </w:r>
          </w:p>
        </w:tc>
      </w:tr>
      <w:tr w:rsidR="006A644F" w:rsidRPr="002F5E01" w:rsidTr="00943C24">
        <w:tc>
          <w:tcPr>
            <w:tcW w:w="1951" w:type="dxa"/>
          </w:tcPr>
          <w:p w:rsidR="006A644F" w:rsidRPr="002F5E01" w:rsidRDefault="006A644F" w:rsidP="00611B92">
            <w:r w:rsidRPr="002F5E01">
              <w:t>ISTH</w:t>
            </w:r>
          </w:p>
        </w:tc>
        <w:tc>
          <w:tcPr>
            <w:tcW w:w="6769" w:type="dxa"/>
          </w:tcPr>
          <w:p w:rsidR="006A644F" w:rsidRPr="002F5E01" w:rsidRDefault="006A644F" w:rsidP="00611B92">
            <w:r w:rsidRPr="002F5E01">
              <w:t>the International Society on Thrombosis and Haemostasis</w:t>
            </w:r>
          </w:p>
        </w:tc>
      </w:tr>
      <w:tr w:rsidR="00001058" w:rsidRPr="002F5E01" w:rsidTr="00943C24">
        <w:tc>
          <w:tcPr>
            <w:tcW w:w="1951" w:type="dxa"/>
          </w:tcPr>
          <w:p w:rsidR="00001058" w:rsidRPr="002F5E01" w:rsidRDefault="00001058" w:rsidP="00611B92">
            <w:r>
              <w:t>ITI</w:t>
            </w:r>
          </w:p>
        </w:tc>
        <w:tc>
          <w:tcPr>
            <w:tcW w:w="6769" w:type="dxa"/>
          </w:tcPr>
          <w:p w:rsidR="00001058" w:rsidRPr="002F5E01" w:rsidRDefault="00001058" w:rsidP="00611B92">
            <w:r>
              <w:t>immune tolerance induction</w:t>
            </w:r>
          </w:p>
        </w:tc>
      </w:tr>
      <w:tr w:rsidR="006A644F" w:rsidRPr="002F5E01" w:rsidTr="00943C24">
        <w:tc>
          <w:tcPr>
            <w:tcW w:w="1951" w:type="dxa"/>
          </w:tcPr>
          <w:p w:rsidR="006A644F" w:rsidRPr="002F5E01" w:rsidRDefault="006A644F" w:rsidP="00611B92">
            <w:r w:rsidRPr="002F5E01">
              <w:t>IU</w:t>
            </w:r>
          </w:p>
        </w:tc>
        <w:tc>
          <w:tcPr>
            <w:tcW w:w="6769" w:type="dxa"/>
          </w:tcPr>
          <w:p w:rsidR="006A644F" w:rsidRPr="002F5E01" w:rsidRDefault="006A644F" w:rsidP="00611B92">
            <w:r w:rsidRPr="002F5E01">
              <w:t>international unit</w:t>
            </w:r>
          </w:p>
        </w:tc>
      </w:tr>
      <w:tr w:rsidR="006A644F" w:rsidRPr="002F5E01" w:rsidTr="00943C24">
        <w:tc>
          <w:tcPr>
            <w:tcW w:w="1951" w:type="dxa"/>
          </w:tcPr>
          <w:p w:rsidR="006A644F" w:rsidRPr="002F5E01" w:rsidRDefault="006A644F" w:rsidP="00611B92">
            <w:r w:rsidRPr="002F5E01">
              <w:t>IV</w:t>
            </w:r>
          </w:p>
        </w:tc>
        <w:tc>
          <w:tcPr>
            <w:tcW w:w="6769" w:type="dxa"/>
          </w:tcPr>
          <w:p w:rsidR="006A644F" w:rsidRPr="002F5E01" w:rsidRDefault="006A644F" w:rsidP="00611B92">
            <w:r w:rsidRPr="002F5E01">
              <w:t>intravenous</w:t>
            </w:r>
          </w:p>
        </w:tc>
      </w:tr>
      <w:tr w:rsidR="00BD4E03" w:rsidRPr="002F5E01" w:rsidTr="00943C24">
        <w:tc>
          <w:tcPr>
            <w:tcW w:w="1951" w:type="dxa"/>
          </w:tcPr>
          <w:p w:rsidR="00BD4E03" w:rsidRPr="002F5E01" w:rsidRDefault="00BD4E03" w:rsidP="00611B92">
            <w:r>
              <w:t>KO</w:t>
            </w:r>
          </w:p>
        </w:tc>
        <w:tc>
          <w:tcPr>
            <w:tcW w:w="6769" w:type="dxa"/>
          </w:tcPr>
          <w:p w:rsidR="00BD4E03" w:rsidRPr="002F5E01" w:rsidRDefault="00BD4E03" w:rsidP="00611B92">
            <w:r>
              <w:t>knock out</w:t>
            </w:r>
          </w:p>
        </w:tc>
      </w:tr>
      <w:tr w:rsidR="00156C0F" w:rsidRPr="002F5E01" w:rsidTr="00943C24">
        <w:tc>
          <w:tcPr>
            <w:tcW w:w="1951" w:type="dxa"/>
          </w:tcPr>
          <w:p w:rsidR="00156C0F" w:rsidRDefault="00156C0F" w:rsidP="00611B92">
            <w:r>
              <w:t>LC</w:t>
            </w:r>
          </w:p>
        </w:tc>
        <w:tc>
          <w:tcPr>
            <w:tcW w:w="6769" w:type="dxa"/>
          </w:tcPr>
          <w:p w:rsidR="00156C0F" w:rsidRDefault="00156C0F" w:rsidP="00611B92">
            <w:r>
              <w:t>light chain</w:t>
            </w:r>
          </w:p>
        </w:tc>
      </w:tr>
      <w:tr w:rsidR="006A644F" w:rsidRPr="002F5E01" w:rsidTr="00943C24">
        <w:tc>
          <w:tcPr>
            <w:tcW w:w="1951" w:type="dxa"/>
          </w:tcPr>
          <w:p w:rsidR="006A644F" w:rsidRPr="002F5E01" w:rsidRDefault="006A644F" w:rsidP="00611B92">
            <w:r w:rsidRPr="002F5E01">
              <w:t>MRT</w:t>
            </w:r>
          </w:p>
        </w:tc>
        <w:tc>
          <w:tcPr>
            <w:tcW w:w="6769" w:type="dxa"/>
          </w:tcPr>
          <w:p w:rsidR="006A644F" w:rsidRPr="002F5E01" w:rsidRDefault="006A644F" w:rsidP="00611B92">
            <w:r w:rsidRPr="002F5E01">
              <w:t>mean residence time</w:t>
            </w:r>
          </w:p>
        </w:tc>
      </w:tr>
      <w:tr w:rsidR="00CE54AC" w:rsidRPr="002F5E01" w:rsidTr="00943C24">
        <w:tc>
          <w:tcPr>
            <w:tcW w:w="1951" w:type="dxa"/>
          </w:tcPr>
          <w:p w:rsidR="00CE54AC" w:rsidRPr="002F5E01" w:rsidRDefault="00CE54AC" w:rsidP="00611B92">
            <w:r>
              <w:t>NBA</w:t>
            </w:r>
          </w:p>
        </w:tc>
        <w:tc>
          <w:tcPr>
            <w:tcW w:w="6769" w:type="dxa"/>
          </w:tcPr>
          <w:p w:rsidR="00CE54AC" w:rsidRPr="002F5E01" w:rsidRDefault="00CE54AC" w:rsidP="00611B92">
            <w:r>
              <w:t>National Blood Authority</w:t>
            </w:r>
          </w:p>
        </w:tc>
      </w:tr>
      <w:tr w:rsidR="00AE1FA7" w:rsidRPr="002F5E01" w:rsidTr="00943C24">
        <w:tc>
          <w:tcPr>
            <w:tcW w:w="1951" w:type="dxa"/>
          </w:tcPr>
          <w:p w:rsidR="00AE1FA7" w:rsidRPr="002F5E01" w:rsidRDefault="00AE1FA7" w:rsidP="00611B92">
            <w:r>
              <w:t>PI</w:t>
            </w:r>
          </w:p>
        </w:tc>
        <w:tc>
          <w:tcPr>
            <w:tcW w:w="6769" w:type="dxa"/>
          </w:tcPr>
          <w:p w:rsidR="00AE1FA7" w:rsidRPr="002F5E01" w:rsidRDefault="00AE1FA7" w:rsidP="00611B92">
            <w:r>
              <w:t>product information</w:t>
            </w:r>
          </w:p>
        </w:tc>
      </w:tr>
      <w:tr w:rsidR="006A644F" w:rsidRPr="002F5E01" w:rsidTr="00943C24">
        <w:tc>
          <w:tcPr>
            <w:tcW w:w="1951" w:type="dxa"/>
          </w:tcPr>
          <w:p w:rsidR="006A644F" w:rsidRPr="002F5E01" w:rsidRDefault="006A644F" w:rsidP="00611B92">
            <w:r w:rsidRPr="002F5E01">
              <w:t>PK</w:t>
            </w:r>
          </w:p>
        </w:tc>
        <w:tc>
          <w:tcPr>
            <w:tcW w:w="6769" w:type="dxa"/>
          </w:tcPr>
          <w:p w:rsidR="006A644F" w:rsidRPr="002F5E01" w:rsidRDefault="004C7AE7" w:rsidP="00611B92">
            <w:r w:rsidRPr="002F5E01">
              <w:t>P</w:t>
            </w:r>
            <w:r w:rsidR="006A644F" w:rsidRPr="002F5E01">
              <w:t>harmacokinetic</w:t>
            </w:r>
            <w:r>
              <w:t>/s</w:t>
            </w:r>
          </w:p>
        </w:tc>
      </w:tr>
      <w:tr w:rsidR="006A644F" w:rsidRPr="002F5E01" w:rsidTr="00943C24">
        <w:tc>
          <w:tcPr>
            <w:tcW w:w="1951" w:type="dxa"/>
          </w:tcPr>
          <w:p w:rsidR="006A644F" w:rsidRPr="002F5E01" w:rsidRDefault="006A644F" w:rsidP="00611B92">
            <w:r w:rsidRPr="002F5E01">
              <w:t>PT</w:t>
            </w:r>
          </w:p>
        </w:tc>
        <w:tc>
          <w:tcPr>
            <w:tcW w:w="6769" w:type="dxa"/>
          </w:tcPr>
          <w:p w:rsidR="006A644F" w:rsidRPr="002F5E01" w:rsidRDefault="006A644F" w:rsidP="00611B92">
            <w:r w:rsidRPr="002F5E01">
              <w:t>prothrombin time</w:t>
            </w:r>
          </w:p>
        </w:tc>
      </w:tr>
      <w:tr w:rsidR="006A644F" w:rsidRPr="002F5E01" w:rsidTr="00943C24">
        <w:tc>
          <w:tcPr>
            <w:tcW w:w="1951" w:type="dxa"/>
          </w:tcPr>
          <w:p w:rsidR="006A644F" w:rsidRPr="002F5E01" w:rsidRDefault="006A644F" w:rsidP="00611B92">
            <w:r w:rsidRPr="002F5E01">
              <w:t>PTP</w:t>
            </w:r>
          </w:p>
        </w:tc>
        <w:tc>
          <w:tcPr>
            <w:tcW w:w="6769" w:type="dxa"/>
          </w:tcPr>
          <w:p w:rsidR="006A644F" w:rsidRPr="002F5E01" w:rsidRDefault="006A644F" w:rsidP="00611B92">
            <w:r w:rsidRPr="002F5E01">
              <w:t>previously treated patient</w:t>
            </w:r>
          </w:p>
        </w:tc>
      </w:tr>
      <w:tr w:rsidR="006A644F" w:rsidRPr="002F5E01" w:rsidTr="00943C24">
        <w:tc>
          <w:tcPr>
            <w:tcW w:w="1951" w:type="dxa"/>
          </w:tcPr>
          <w:p w:rsidR="006A644F" w:rsidRPr="002F5E01" w:rsidRDefault="006A644F" w:rsidP="00611B92">
            <w:r w:rsidRPr="002F5E01">
              <w:t>PUP</w:t>
            </w:r>
          </w:p>
        </w:tc>
        <w:tc>
          <w:tcPr>
            <w:tcW w:w="6769" w:type="dxa"/>
          </w:tcPr>
          <w:p w:rsidR="006A644F" w:rsidRPr="002F5E01" w:rsidRDefault="006A644F" w:rsidP="00611B92">
            <w:r w:rsidRPr="002F5E01">
              <w:t>previously untreated patient</w:t>
            </w:r>
          </w:p>
        </w:tc>
      </w:tr>
      <w:tr w:rsidR="00001058" w:rsidRPr="002F5E01" w:rsidTr="00943C24">
        <w:tc>
          <w:tcPr>
            <w:tcW w:w="1951" w:type="dxa"/>
          </w:tcPr>
          <w:p w:rsidR="00001058" w:rsidRPr="002F5E01" w:rsidRDefault="00001058" w:rsidP="00611B92">
            <w:proofErr w:type="spellStart"/>
            <w:r>
              <w:t>QoL</w:t>
            </w:r>
            <w:proofErr w:type="spellEnd"/>
          </w:p>
        </w:tc>
        <w:tc>
          <w:tcPr>
            <w:tcW w:w="6769" w:type="dxa"/>
          </w:tcPr>
          <w:p w:rsidR="00001058" w:rsidRPr="002F5E01" w:rsidRDefault="00001058" w:rsidP="00611B92">
            <w:r>
              <w:t>quality of life</w:t>
            </w:r>
          </w:p>
        </w:tc>
      </w:tr>
      <w:tr w:rsidR="00DB4141" w:rsidRPr="002F5E01" w:rsidTr="00943C24">
        <w:tc>
          <w:tcPr>
            <w:tcW w:w="1951" w:type="dxa"/>
          </w:tcPr>
          <w:p w:rsidR="00DB4141" w:rsidRPr="002F5E01" w:rsidRDefault="00DB4141" w:rsidP="00611B92">
            <w:r>
              <w:t>RBC</w:t>
            </w:r>
          </w:p>
        </w:tc>
        <w:tc>
          <w:tcPr>
            <w:tcW w:w="6769" w:type="dxa"/>
          </w:tcPr>
          <w:p w:rsidR="00DB4141" w:rsidRPr="002F5E01" w:rsidRDefault="00DB4141" w:rsidP="00611B92">
            <w:r>
              <w:t>red blood cell</w:t>
            </w:r>
            <w:r w:rsidR="004C7AE7">
              <w:t>s</w:t>
            </w:r>
          </w:p>
        </w:tc>
      </w:tr>
      <w:tr w:rsidR="00CD6F35" w:rsidRPr="002F5E01" w:rsidTr="00943C24">
        <w:tc>
          <w:tcPr>
            <w:tcW w:w="1951" w:type="dxa"/>
          </w:tcPr>
          <w:p w:rsidR="00CD6F35" w:rsidRPr="002F5E01" w:rsidRDefault="00CD6F35" w:rsidP="00611B92">
            <w:proofErr w:type="spellStart"/>
            <w:r w:rsidRPr="002F5E01">
              <w:lastRenderedPageBreak/>
              <w:t>rFVIII</w:t>
            </w:r>
            <w:proofErr w:type="spellEnd"/>
          </w:p>
        </w:tc>
        <w:tc>
          <w:tcPr>
            <w:tcW w:w="6769" w:type="dxa"/>
          </w:tcPr>
          <w:p w:rsidR="00CD6F35" w:rsidRPr="002F5E01" w:rsidRDefault="00CD6F35" w:rsidP="00611B92">
            <w:r w:rsidRPr="002F5E01">
              <w:t>recombinant coagulation factor VIII</w:t>
            </w:r>
          </w:p>
        </w:tc>
      </w:tr>
      <w:tr w:rsidR="00CD6F35" w:rsidRPr="002F5E01" w:rsidTr="00943C24">
        <w:tc>
          <w:tcPr>
            <w:tcW w:w="1951" w:type="dxa"/>
          </w:tcPr>
          <w:p w:rsidR="00CD6F35" w:rsidRPr="002F5E01" w:rsidRDefault="00CD6F35" w:rsidP="00611B92">
            <w:proofErr w:type="spellStart"/>
            <w:r w:rsidRPr="0040015B">
              <w:t>rFVIIIFc</w:t>
            </w:r>
            <w:proofErr w:type="spellEnd"/>
          </w:p>
        </w:tc>
        <w:tc>
          <w:tcPr>
            <w:tcW w:w="6769" w:type="dxa"/>
          </w:tcPr>
          <w:p w:rsidR="00CD6F35" w:rsidRPr="002F5E01" w:rsidRDefault="00CD6F35" w:rsidP="00611B92">
            <w:r w:rsidRPr="002F5E01">
              <w:t xml:space="preserve">recombinant coagulation factor </w:t>
            </w:r>
            <w:proofErr w:type="spellStart"/>
            <w:r w:rsidRPr="002F5E01">
              <w:t>VIIIFc</w:t>
            </w:r>
            <w:proofErr w:type="spellEnd"/>
            <w:r w:rsidRPr="002F5E01">
              <w:t xml:space="preserve"> fusion protein</w:t>
            </w:r>
          </w:p>
        </w:tc>
      </w:tr>
      <w:tr w:rsidR="00AE1FA7" w:rsidRPr="002F5E01" w:rsidTr="00943C24">
        <w:tc>
          <w:tcPr>
            <w:tcW w:w="1951" w:type="dxa"/>
          </w:tcPr>
          <w:p w:rsidR="00AE1FA7" w:rsidRPr="0040015B" w:rsidRDefault="00AE1FA7" w:rsidP="00611B92">
            <w:r>
              <w:t>RMP</w:t>
            </w:r>
          </w:p>
        </w:tc>
        <w:tc>
          <w:tcPr>
            <w:tcW w:w="6769" w:type="dxa"/>
          </w:tcPr>
          <w:p w:rsidR="00AE1FA7" w:rsidRPr="002F5E01" w:rsidRDefault="00AE1FA7" w:rsidP="00611B92">
            <w:r>
              <w:t>risk management plan</w:t>
            </w:r>
          </w:p>
        </w:tc>
      </w:tr>
      <w:tr w:rsidR="00CD6F35" w:rsidRPr="002F5E01" w:rsidTr="00943C24">
        <w:tc>
          <w:tcPr>
            <w:tcW w:w="1951" w:type="dxa"/>
          </w:tcPr>
          <w:p w:rsidR="00CD6F35" w:rsidRPr="002F5E01" w:rsidRDefault="00CD6F35" w:rsidP="00611B92">
            <w:r w:rsidRPr="002F5E01">
              <w:t>SAE</w:t>
            </w:r>
          </w:p>
        </w:tc>
        <w:tc>
          <w:tcPr>
            <w:tcW w:w="6769" w:type="dxa"/>
          </w:tcPr>
          <w:p w:rsidR="00CD6F35" w:rsidRPr="002F5E01" w:rsidRDefault="00CD6F35" w:rsidP="00611B92">
            <w:r w:rsidRPr="002F5E01">
              <w:t>serious adverse event</w:t>
            </w:r>
          </w:p>
        </w:tc>
      </w:tr>
      <w:tr w:rsidR="00CD6F35" w:rsidRPr="002F5E01" w:rsidTr="00943C24">
        <w:tc>
          <w:tcPr>
            <w:tcW w:w="1951" w:type="dxa"/>
          </w:tcPr>
          <w:p w:rsidR="00CD6F35" w:rsidRPr="002F5E01" w:rsidRDefault="00CD6F35" w:rsidP="00611B92">
            <w:r w:rsidRPr="002F5E01">
              <w:t>SD</w:t>
            </w:r>
          </w:p>
        </w:tc>
        <w:tc>
          <w:tcPr>
            <w:tcW w:w="6769" w:type="dxa"/>
          </w:tcPr>
          <w:p w:rsidR="00CD6F35" w:rsidRPr="002F5E01" w:rsidRDefault="00CD6F35" w:rsidP="00611B92">
            <w:r w:rsidRPr="002F5E01">
              <w:t>standard deviation</w:t>
            </w:r>
          </w:p>
        </w:tc>
      </w:tr>
      <w:tr w:rsidR="00CD6F35" w:rsidRPr="002F5E01" w:rsidTr="00943C24">
        <w:tc>
          <w:tcPr>
            <w:tcW w:w="1951" w:type="dxa"/>
          </w:tcPr>
          <w:p w:rsidR="00CD6F35" w:rsidRPr="002F5E01" w:rsidRDefault="00934854" w:rsidP="00611B92">
            <w:r>
              <w:t>t</w:t>
            </w:r>
            <w:r w:rsidR="00CD6F35" w:rsidRPr="002D7C72">
              <w:rPr>
                <w:vertAlign w:val="subscript"/>
              </w:rPr>
              <w:t>1/2</w:t>
            </w:r>
          </w:p>
        </w:tc>
        <w:tc>
          <w:tcPr>
            <w:tcW w:w="6769" w:type="dxa"/>
          </w:tcPr>
          <w:p w:rsidR="00CD6F35" w:rsidRPr="002F5E01" w:rsidRDefault="00CD6F35" w:rsidP="00611B92">
            <w:r w:rsidRPr="002F5E01">
              <w:t>half-life</w:t>
            </w:r>
          </w:p>
        </w:tc>
      </w:tr>
      <w:tr w:rsidR="00CD6F35" w:rsidRPr="002F5E01" w:rsidTr="00943C24">
        <w:tc>
          <w:tcPr>
            <w:tcW w:w="1951" w:type="dxa"/>
          </w:tcPr>
          <w:p w:rsidR="00CD6F35" w:rsidRPr="002F5E01" w:rsidRDefault="00CD6F35" w:rsidP="00611B92">
            <w:r w:rsidRPr="002F5E01">
              <w:t>TGA</w:t>
            </w:r>
          </w:p>
        </w:tc>
        <w:tc>
          <w:tcPr>
            <w:tcW w:w="6769" w:type="dxa"/>
          </w:tcPr>
          <w:p w:rsidR="00CD6F35" w:rsidRPr="002F5E01" w:rsidRDefault="00CD6F35" w:rsidP="00611B92">
            <w:r>
              <w:t>Therapeutic Goods Administration</w:t>
            </w:r>
          </w:p>
        </w:tc>
      </w:tr>
      <w:tr w:rsidR="00CD6F35" w:rsidRPr="002F5E01" w:rsidTr="00943C24">
        <w:tc>
          <w:tcPr>
            <w:tcW w:w="1951" w:type="dxa"/>
          </w:tcPr>
          <w:p w:rsidR="00CD6F35" w:rsidRPr="002F5E01" w:rsidRDefault="00CD6F35" w:rsidP="00611B92">
            <w:r w:rsidRPr="002D7C72">
              <w:t>Time 1%</w:t>
            </w:r>
          </w:p>
        </w:tc>
        <w:tc>
          <w:tcPr>
            <w:tcW w:w="6769" w:type="dxa"/>
          </w:tcPr>
          <w:p w:rsidR="00CD6F35" w:rsidRPr="002F5E01" w:rsidRDefault="00CD6F35" w:rsidP="00611B92">
            <w:r w:rsidRPr="002F5E01">
              <w:t>time after dose when FVIII activity has declined to 1 IU/</w:t>
            </w:r>
            <w:proofErr w:type="spellStart"/>
            <w:r w:rsidRPr="002F5E01">
              <w:t>dL</w:t>
            </w:r>
            <w:proofErr w:type="spellEnd"/>
            <w:r w:rsidRPr="002F5E01">
              <w:t xml:space="preserve"> above baseline</w:t>
            </w:r>
          </w:p>
        </w:tc>
      </w:tr>
      <w:tr w:rsidR="00CD6F35" w:rsidRPr="002F5E01" w:rsidTr="00943C24">
        <w:tc>
          <w:tcPr>
            <w:tcW w:w="1951" w:type="dxa"/>
          </w:tcPr>
          <w:p w:rsidR="00CD6F35" w:rsidRPr="002F5E01" w:rsidRDefault="00CD6F35" w:rsidP="00611B92">
            <w:r w:rsidRPr="00596F19">
              <w:t>Time 3%</w:t>
            </w:r>
          </w:p>
        </w:tc>
        <w:tc>
          <w:tcPr>
            <w:tcW w:w="6769" w:type="dxa"/>
          </w:tcPr>
          <w:p w:rsidR="00CD6F35" w:rsidRPr="002F5E01" w:rsidRDefault="00CD6F35" w:rsidP="00611B92">
            <w:r w:rsidRPr="002F5E01">
              <w:t>time after dose when FVIII activity has declined to 3 IU/</w:t>
            </w:r>
            <w:proofErr w:type="spellStart"/>
            <w:r w:rsidRPr="002F5E01">
              <w:t>dL</w:t>
            </w:r>
            <w:proofErr w:type="spellEnd"/>
            <w:r w:rsidRPr="002F5E01">
              <w:t xml:space="preserve"> above baseline</w:t>
            </w:r>
          </w:p>
        </w:tc>
      </w:tr>
      <w:tr w:rsidR="00CD6F35" w:rsidRPr="002F5E01" w:rsidTr="00943C24">
        <w:tc>
          <w:tcPr>
            <w:tcW w:w="1951" w:type="dxa"/>
          </w:tcPr>
          <w:p w:rsidR="00CD6F35" w:rsidRPr="002F5E01" w:rsidRDefault="00CD6F35" w:rsidP="00611B92">
            <w:r>
              <w:t>URTI</w:t>
            </w:r>
          </w:p>
        </w:tc>
        <w:tc>
          <w:tcPr>
            <w:tcW w:w="6769" w:type="dxa"/>
          </w:tcPr>
          <w:p w:rsidR="00CD6F35" w:rsidRPr="002F5E01" w:rsidRDefault="00CD6F35" w:rsidP="00611B92">
            <w:r>
              <w:t>upper respiratory tract infection</w:t>
            </w:r>
          </w:p>
        </w:tc>
      </w:tr>
      <w:tr w:rsidR="00CD6F35" w:rsidRPr="002F5E01" w:rsidTr="00943C24">
        <w:tc>
          <w:tcPr>
            <w:tcW w:w="1951" w:type="dxa"/>
          </w:tcPr>
          <w:p w:rsidR="00CD6F35" w:rsidRPr="002F5E01" w:rsidRDefault="00BC58E1" w:rsidP="00611B92">
            <w:proofErr w:type="spellStart"/>
            <w:r>
              <w:t>v</w:t>
            </w:r>
            <w:r w:rsidR="00CD6F35" w:rsidRPr="002F5E01">
              <w:t>WF</w:t>
            </w:r>
            <w:proofErr w:type="spellEnd"/>
          </w:p>
        </w:tc>
        <w:tc>
          <w:tcPr>
            <w:tcW w:w="6769" w:type="dxa"/>
          </w:tcPr>
          <w:p w:rsidR="00CD6F35" w:rsidRPr="002F5E01" w:rsidRDefault="00CD6F35" w:rsidP="00611B92">
            <w:r w:rsidRPr="002F5E01">
              <w:t xml:space="preserve">von </w:t>
            </w:r>
            <w:proofErr w:type="spellStart"/>
            <w:r w:rsidRPr="002F5E01">
              <w:t>Willebrand</w:t>
            </w:r>
            <w:proofErr w:type="spellEnd"/>
            <w:r w:rsidRPr="002F5E01">
              <w:t xml:space="preserve"> factor</w:t>
            </w:r>
          </w:p>
        </w:tc>
      </w:tr>
      <w:tr w:rsidR="00B75541" w:rsidRPr="002F5E01" w:rsidTr="00943C24">
        <w:tc>
          <w:tcPr>
            <w:tcW w:w="1951" w:type="dxa"/>
          </w:tcPr>
          <w:p w:rsidR="00B75541" w:rsidRDefault="00B75541" w:rsidP="00611B92">
            <w:r>
              <w:t>WFI</w:t>
            </w:r>
          </w:p>
        </w:tc>
        <w:tc>
          <w:tcPr>
            <w:tcW w:w="6769" w:type="dxa"/>
          </w:tcPr>
          <w:p w:rsidR="00B75541" w:rsidRPr="002F5E01" w:rsidRDefault="00B75541" w:rsidP="00611B92">
            <w:r>
              <w:t>water for injection</w:t>
            </w:r>
          </w:p>
        </w:tc>
      </w:tr>
      <w:tr w:rsidR="00CD6F35" w:rsidRPr="002F5E01" w:rsidTr="00943C24">
        <w:tc>
          <w:tcPr>
            <w:tcW w:w="1951" w:type="dxa"/>
          </w:tcPr>
          <w:p w:rsidR="00CD6F35" w:rsidRPr="002F5E01" w:rsidRDefault="00CD6F35" w:rsidP="00611B92">
            <w:r w:rsidRPr="002F5E01">
              <w:t>WHO</w:t>
            </w:r>
          </w:p>
        </w:tc>
        <w:tc>
          <w:tcPr>
            <w:tcW w:w="6769" w:type="dxa"/>
          </w:tcPr>
          <w:p w:rsidR="00CD6F35" w:rsidRPr="002F5E01" w:rsidRDefault="00CD6F35" w:rsidP="00611B92">
            <w:r w:rsidRPr="002F5E01">
              <w:t>World Health Organisation</w:t>
            </w:r>
          </w:p>
        </w:tc>
      </w:tr>
    </w:tbl>
    <w:p w:rsidR="00FD119B" w:rsidRDefault="00FD119B" w:rsidP="00FD119B"/>
    <w:p w:rsidR="00FD119B" w:rsidRPr="00FD119B" w:rsidRDefault="00FD119B" w:rsidP="00FD119B">
      <w:pPr>
        <w:spacing w:before="0" w:after="200" w:line="0" w:lineRule="auto"/>
        <w:rPr>
          <w:b/>
          <w:i/>
          <w:sz w:val="24"/>
          <w:szCs w:val="24"/>
        </w:rPr>
      </w:pPr>
      <w:r w:rsidRPr="00FD119B">
        <w:rPr>
          <w:b/>
          <w:i/>
          <w:sz w:val="24"/>
          <w:szCs w:val="24"/>
        </w:rPr>
        <w:br w:type="page"/>
      </w:r>
    </w:p>
    <w:p w:rsidR="008E7846" w:rsidRPr="00943C24" w:rsidRDefault="00F53C07" w:rsidP="00611B92">
      <w:pPr>
        <w:pStyle w:val="Heading2"/>
      </w:pPr>
      <w:bookmarkStart w:id="9" w:name="_Toc412817704"/>
      <w:r>
        <w:lastRenderedPageBreak/>
        <w:t>I.</w:t>
      </w:r>
      <w:r w:rsidR="008E7846">
        <w:t xml:space="preserve"> Introduction to product submission</w:t>
      </w:r>
      <w:bookmarkEnd w:id="9"/>
      <w:bookmarkEnd w:id="0"/>
      <w:bookmarkEnd w:id="3"/>
    </w:p>
    <w:p w:rsidR="008E7846" w:rsidRPr="00611B92" w:rsidRDefault="008E7846" w:rsidP="00611B92">
      <w:pPr>
        <w:pStyle w:val="Heading3"/>
      </w:pPr>
      <w:bookmarkStart w:id="10" w:name="_Toc247691502"/>
      <w:bookmarkStart w:id="11" w:name="_Toc314842483"/>
      <w:bookmarkStart w:id="12" w:name="_Toc412817705"/>
      <w:r>
        <w:rPr>
          <w:lang w:eastAsia="en-AU"/>
        </w:rPr>
        <w:t xml:space="preserve">Submission </w:t>
      </w:r>
      <w:r w:rsidRPr="00943C24">
        <w:t>details</w:t>
      </w:r>
      <w:bookmarkEnd w:id="10"/>
      <w:bookmarkEnd w:id="11"/>
      <w:bookmarkEnd w:id="12"/>
    </w:p>
    <w:tbl>
      <w:tblPr>
        <w:tblW w:w="9497" w:type="dxa"/>
        <w:tblInd w:w="108" w:type="dxa"/>
        <w:tblLook w:val="01E0" w:firstRow="1" w:lastRow="1" w:firstColumn="1" w:lastColumn="1" w:noHBand="0" w:noVBand="0"/>
      </w:tblPr>
      <w:tblGrid>
        <w:gridCol w:w="2907"/>
        <w:gridCol w:w="6307"/>
        <w:gridCol w:w="283"/>
      </w:tblGrid>
      <w:tr w:rsidR="008E7846" w:rsidRPr="003D1E62" w:rsidTr="00943C24">
        <w:trPr>
          <w:trHeight w:hRule="exact" w:val="454"/>
        </w:trPr>
        <w:tc>
          <w:tcPr>
            <w:tcW w:w="2907" w:type="dxa"/>
          </w:tcPr>
          <w:p w:rsidR="008E7846" w:rsidRPr="003D1E62" w:rsidRDefault="001B5C90" w:rsidP="001B5C90">
            <w:pPr>
              <w:rPr>
                <w:i/>
              </w:rPr>
            </w:pPr>
            <w:r>
              <w:rPr>
                <w:i/>
              </w:rPr>
              <w:t>Type of s</w:t>
            </w:r>
            <w:r w:rsidR="008E7846" w:rsidRPr="003D1E62">
              <w:rPr>
                <w:i/>
              </w:rPr>
              <w:t>ubmission</w:t>
            </w:r>
            <w:r>
              <w:rPr>
                <w:i/>
              </w:rPr>
              <w:t>:</w:t>
            </w:r>
          </w:p>
        </w:tc>
        <w:tc>
          <w:tcPr>
            <w:tcW w:w="6590" w:type="dxa"/>
            <w:gridSpan w:val="2"/>
          </w:tcPr>
          <w:p w:rsidR="008E7846" w:rsidRPr="003D1E62" w:rsidRDefault="008E7846" w:rsidP="009514BD">
            <w:r w:rsidRPr="003D1E62">
              <w:t xml:space="preserve">New </w:t>
            </w:r>
            <w:r w:rsidR="009514BD">
              <w:t>biological</w:t>
            </w:r>
            <w:r w:rsidRPr="003D1E62">
              <w:t xml:space="preserve"> </w:t>
            </w:r>
            <w:r w:rsidR="001B5C90">
              <w:t>e</w:t>
            </w:r>
            <w:r w:rsidR="009514BD">
              <w:t>ntity</w:t>
            </w:r>
          </w:p>
        </w:tc>
      </w:tr>
      <w:tr w:rsidR="008E7846" w:rsidRPr="003D1E62" w:rsidTr="00943C24">
        <w:trPr>
          <w:trHeight w:hRule="exact" w:val="454"/>
        </w:trPr>
        <w:tc>
          <w:tcPr>
            <w:tcW w:w="2907" w:type="dxa"/>
          </w:tcPr>
          <w:p w:rsidR="008E7846" w:rsidRPr="003D1E62" w:rsidRDefault="008E7846" w:rsidP="003D1E62">
            <w:r w:rsidRPr="003D1E62">
              <w:rPr>
                <w:i/>
              </w:rPr>
              <w:t>Decision</w:t>
            </w:r>
            <w:r w:rsidRPr="003D1E62">
              <w:t>:</w:t>
            </w:r>
          </w:p>
        </w:tc>
        <w:tc>
          <w:tcPr>
            <w:tcW w:w="6590" w:type="dxa"/>
            <w:gridSpan w:val="2"/>
          </w:tcPr>
          <w:p w:rsidR="008E7846" w:rsidRPr="003D1E62" w:rsidRDefault="009514BD" w:rsidP="009514BD">
            <w:r>
              <w:t>Approved</w:t>
            </w:r>
          </w:p>
        </w:tc>
      </w:tr>
      <w:tr w:rsidR="008E7846" w:rsidRPr="003D1E62" w:rsidTr="00943C24">
        <w:trPr>
          <w:trHeight w:hRule="exact" w:val="454"/>
        </w:trPr>
        <w:tc>
          <w:tcPr>
            <w:tcW w:w="2907" w:type="dxa"/>
          </w:tcPr>
          <w:p w:rsidR="008E7846" w:rsidRPr="003D1E62" w:rsidRDefault="008E7846" w:rsidP="001B5C90">
            <w:pPr>
              <w:rPr>
                <w:i/>
              </w:rPr>
            </w:pPr>
            <w:r w:rsidRPr="003D1E62">
              <w:rPr>
                <w:i/>
              </w:rPr>
              <w:t xml:space="preserve">Date of </w:t>
            </w:r>
            <w:r w:rsidR="001B5C90">
              <w:rPr>
                <w:i/>
              </w:rPr>
              <w:t>d</w:t>
            </w:r>
            <w:r w:rsidRPr="003D1E62">
              <w:rPr>
                <w:i/>
              </w:rPr>
              <w:t>ecision:</w:t>
            </w:r>
          </w:p>
        </w:tc>
        <w:tc>
          <w:tcPr>
            <w:tcW w:w="6590" w:type="dxa"/>
            <w:gridSpan w:val="2"/>
          </w:tcPr>
          <w:p w:rsidR="008E7846" w:rsidRPr="003D1E62" w:rsidRDefault="00121D68" w:rsidP="00121D68">
            <w:r>
              <w:t>18 June 2014</w:t>
            </w:r>
          </w:p>
        </w:tc>
      </w:tr>
      <w:tr w:rsidR="008E7846" w:rsidRPr="00487162" w:rsidTr="00943C24">
        <w:trPr>
          <w:gridAfter w:val="1"/>
          <w:wAfter w:w="283" w:type="dxa"/>
        </w:trPr>
        <w:tc>
          <w:tcPr>
            <w:tcW w:w="2907" w:type="dxa"/>
          </w:tcPr>
          <w:p w:rsidR="008E7846" w:rsidRPr="00487162" w:rsidRDefault="00121D68" w:rsidP="00E45619">
            <w:pPr>
              <w:rPr>
                <w:i/>
              </w:rPr>
            </w:pPr>
            <w:r>
              <w:rPr>
                <w:i/>
              </w:rPr>
              <w:t>Active ingredient</w:t>
            </w:r>
            <w:r w:rsidR="001B5C90">
              <w:rPr>
                <w:i/>
              </w:rPr>
              <w:t>:</w:t>
            </w:r>
          </w:p>
        </w:tc>
        <w:tc>
          <w:tcPr>
            <w:tcW w:w="6307" w:type="dxa"/>
          </w:tcPr>
          <w:p w:rsidR="008E7846" w:rsidRPr="00487162" w:rsidRDefault="000D43F9" w:rsidP="000D43F9">
            <w:proofErr w:type="spellStart"/>
            <w:r>
              <w:t>Efmoroctocog</w:t>
            </w:r>
            <w:proofErr w:type="spellEnd"/>
            <w:r>
              <w:t xml:space="preserve"> </w:t>
            </w:r>
            <w:proofErr w:type="spellStart"/>
            <w:r w:rsidR="009514BD">
              <w:t>alfa</w:t>
            </w:r>
            <w:proofErr w:type="spellEnd"/>
            <w:r w:rsidR="009514BD">
              <w:t xml:space="preserve"> (</w:t>
            </w:r>
            <w:proofErr w:type="spellStart"/>
            <w:r w:rsidR="009514BD">
              <w:t>rhu</w:t>
            </w:r>
            <w:proofErr w:type="spellEnd"/>
            <w:r w:rsidR="004C7AE7">
              <w:rPr>
                <w:rStyle w:val="FootnoteReference"/>
              </w:rPr>
              <w:footnoteReference w:id="2"/>
            </w:r>
            <w:r w:rsidR="009514BD">
              <w:t>)</w:t>
            </w:r>
            <w:r w:rsidR="006A198D">
              <w:rPr>
                <w:rStyle w:val="FootnoteReference"/>
              </w:rPr>
              <w:footnoteReference w:id="3"/>
            </w:r>
          </w:p>
        </w:tc>
      </w:tr>
      <w:tr w:rsidR="008E7846" w:rsidRPr="00487162" w:rsidTr="00943C24">
        <w:trPr>
          <w:gridAfter w:val="1"/>
          <w:wAfter w:w="283" w:type="dxa"/>
        </w:trPr>
        <w:tc>
          <w:tcPr>
            <w:tcW w:w="2907" w:type="dxa"/>
          </w:tcPr>
          <w:p w:rsidR="008E7846" w:rsidRPr="00487162" w:rsidRDefault="008E7846" w:rsidP="001B5C90">
            <w:pPr>
              <w:rPr>
                <w:i/>
              </w:rPr>
            </w:pPr>
            <w:r w:rsidRPr="00487162">
              <w:rPr>
                <w:i/>
              </w:rPr>
              <w:t>Product</w:t>
            </w:r>
            <w:r w:rsidR="00121D68">
              <w:rPr>
                <w:i/>
              </w:rPr>
              <w:t xml:space="preserve"> name</w:t>
            </w:r>
            <w:r w:rsidR="001B5C90">
              <w:rPr>
                <w:i/>
              </w:rPr>
              <w:t>:</w:t>
            </w:r>
          </w:p>
        </w:tc>
        <w:tc>
          <w:tcPr>
            <w:tcW w:w="6307" w:type="dxa"/>
          </w:tcPr>
          <w:p w:rsidR="008E7846" w:rsidRPr="00487162" w:rsidRDefault="00B92D81" w:rsidP="00E45619">
            <w:r w:rsidRPr="00B92D81">
              <w:t>Eloctate</w:t>
            </w:r>
          </w:p>
        </w:tc>
      </w:tr>
      <w:tr w:rsidR="008E7846" w:rsidRPr="00487162" w:rsidTr="00943C24">
        <w:trPr>
          <w:gridAfter w:val="1"/>
          <w:wAfter w:w="283" w:type="dxa"/>
        </w:trPr>
        <w:tc>
          <w:tcPr>
            <w:tcW w:w="2907" w:type="dxa"/>
          </w:tcPr>
          <w:p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rsidR="008E7846" w:rsidRPr="00487162" w:rsidRDefault="009514BD" w:rsidP="00121D68">
            <w:proofErr w:type="spellStart"/>
            <w:r>
              <w:t>Biogen</w:t>
            </w:r>
            <w:proofErr w:type="spellEnd"/>
            <w:r>
              <w:t xml:space="preserve"> Idec Australia Pty Ltd</w:t>
            </w:r>
            <w:r w:rsidR="00121D68">
              <w:br/>
            </w:r>
            <w:r w:rsidR="00121D68" w:rsidRPr="00121D68">
              <w:t>Suite 1, Level 5 123 Epping Rd</w:t>
            </w:r>
            <w:r w:rsidR="00121D68">
              <w:br/>
              <w:t>North R</w:t>
            </w:r>
            <w:r w:rsidR="00AF21BF">
              <w:t xml:space="preserve">yde, NSW </w:t>
            </w:r>
            <w:r w:rsidR="00943C24">
              <w:t>2113</w:t>
            </w:r>
          </w:p>
        </w:tc>
      </w:tr>
      <w:tr w:rsidR="008E7846" w:rsidRPr="00487162" w:rsidTr="00943C24">
        <w:trPr>
          <w:gridAfter w:val="1"/>
          <w:wAfter w:w="283" w:type="dxa"/>
        </w:trPr>
        <w:tc>
          <w:tcPr>
            <w:tcW w:w="2907" w:type="dxa"/>
          </w:tcPr>
          <w:p w:rsidR="008E7846" w:rsidRPr="00487162" w:rsidRDefault="00121D68" w:rsidP="00E45619">
            <w:pPr>
              <w:rPr>
                <w:i/>
              </w:rPr>
            </w:pPr>
            <w:r>
              <w:rPr>
                <w:i/>
              </w:rPr>
              <w:t>Dose form</w:t>
            </w:r>
            <w:r w:rsidR="001B5C90">
              <w:rPr>
                <w:i/>
              </w:rPr>
              <w:t>:</w:t>
            </w:r>
          </w:p>
        </w:tc>
        <w:tc>
          <w:tcPr>
            <w:tcW w:w="6307" w:type="dxa"/>
          </w:tcPr>
          <w:p w:rsidR="008E7846" w:rsidRPr="00121D68" w:rsidRDefault="00121D68" w:rsidP="00121D68">
            <w:r>
              <w:t>P</w:t>
            </w:r>
            <w:r w:rsidRPr="00121D68">
              <w:t xml:space="preserve">owder for injection </w:t>
            </w:r>
            <w:r w:rsidR="00AF21BF">
              <w:t>and diluent</w:t>
            </w:r>
          </w:p>
        </w:tc>
      </w:tr>
      <w:tr w:rsidR="008E7846" w:rsidRPr="00487162" w:rsidTr="00943C24">
        <w:trPr>
          <w:gridAfter w:val="1"/>
          <w:wAfter w:w="283" w:type="dxa"/>
        </w:trPr>
        <w:tc>
          <w:tcPr>
            <w:tcW w:w="2907" w:type="dxa"/>
          </w:tcPr>
          <w:p w:rsidR="008E7846" w:rsidRPr="00487162" w:rsidRDefault="00943C24" w:rsidP="00574614">
            <w:pPr>
              <w:rPr>
                <w:i/>
              </w:rPr>
            </w:pPr>
            <w:r>
              <w:rPr>
                <w:i/>
              </w:rPr>
              <w:t>Strengths:</w:t>
            </w:r>
          </w:p>
        </w:tc>
        <w:tc>
          <w:tcPr>
            <w:tcW w:w="6307" w:type="dxa"/>
          </w:tcPr>
          <w:p w:rsidR="008E7846" w:rsidRPr="00487162" w:rsidRDefault="00574614" w:rsidP="00574614">
            <w:r w:rsidRPr="00574614">
              <w:t>250</w:t>
            </w:r>
            <w:r>
              <w:t xml:space="preserve"> </w:t>
            </w:r>
            <w:r w:rsidR="009E47A9" w:rsidRPr="009E47A9">
              <w:t>international unit</w:t>
            </w:r>
            <w:r w:rsidR="00B75541">
              <w:t>s</w:t>
            </w:r>
            <w:r w:rsidR="009E47A9" w:rsidRPr="009E47A9">
              <w:t xml:space="preserve"> </w:t>
            </w:r>
            <w:r w:rsidR="009E47A9">
              <w:t>(</w:t>
            </w:r>
            <w:r w:rsidRPr="00574614">
              <w:t>IU</w:t>
            </w:r>
            <w:r w:rsidR="009E47A9">
              <w:t>)</w:t>
            </w:r>
            <w:r w:rsidRPr="00574614">
              <w:t>, 500</w:t>
            </w:r>
            <w:r>
              <w:t xml:space="preserve"> </w:t>
            </w:r>
            <w:r w:rsidRPr="00574614">
              <w:t>IU, 750</w:t>
            </w:r>
            <w:r>
              <w:t xml:space="preserve"> </w:t>
            </w:r>
            <w:r w:rsidRPr="00574614">
              <w:t>IU, 1000</w:t>
            </w:r>
            <w:r>
              <w:t xml:space="preserve"> </w:t>
            </w:r>
            <w:r w:rsidRPr="00574614">
              <w:t>IU, 1500</w:t>
            </w:r>
            <w:r>
              <w:t xml:space="preserve"> </w:t>
            </w:r>
            <w:r w:rsidRPr="00574614">
              <w:t>IU, 2000</w:t>
            </w:r>
            <w:r>
              <w:t xml:space="preserve"> </w:t>
            </w:r>
            <w:r w:rsidRPr="00574614">
              <w:t>IU and 3000</w:t>
            </w:r>
            <w:r>
              <w:t xml:space="preserve"> IU</w:t>
            </w:r>
          </w:p>
        </w:tc>
      </w:tr>
      <w:tr w:rsidR="008E7846" w:rsidRPr="00487162" w:rsidTr="00943C24">
        <w:trPr>
          <w:gridAfter w:val="1"/>
          <w:wAfter w:w="283" w:type="dxa"/>
        </w:trPr>
        <w:tc>
          <w:tcPr>
            <w:tcW w:w="2907" w:type="dxa"/>
          </w:tcPr>
          <w:p w:rsidR="008E7846" w:rsidRPr="00487162" w:rsidRDefault="00574614" w:rsidP="00E45619">
            <w:pPr>
              <w:rPr>
                <w:i/>
              </w:rPr>
            </w:pPr>
            <w:r>
              <w:rPr>
                <w:i/>
              </w:rPr>
              <w:t>Containers</w:t>
            </w:r>
            <w:r w:rsidR="008E7846" w:rsidRPr="00487162">
              <w:rPr>
                <w:i/>
              </w:rPr>
              <w:t>:</w:t>
            </w:r>
          </w:p>
        </w:tc>
        <w:tc>
          <w:tcPr>
            <w:tcW w:w="6307" w:type="dxa"/>
          </w:tcPr>
          <w:p w:rsidR="008E7846" w:rsidRPr="00487162" w:rsidRDefault="00AF21BF" w:rsidP="00AF21BF">
            <w:pPr>
              <w:spacing w:before="240"/>
            </w:pPr>
            <w:r>
              <w:t>Type I glass v</w:t>
            </w:r>
            <w:r w:rsidR="00121D68" w:rsidRPr="00121D68">
              <w:t>ial</w:t>
            </w:r>
            <w:r>
              <w:t xml:space="preserve"> (powder)</w:t>
            </w:r>
            <w:r w:rsidR="00121D68" w:rsidRPr="00121D68">
              <w:t xml:space="preserve"> and pre-filled syringe</w:t>
            </w:r>
            <w:r>
              <w:t xml:space="preserve"> (</w:t>
            </w:r>
            <w:r w:rsidRPr="00AF21BF">
              <w:t>diluent</w:t>
            </w:r>
            <w:r>
              <w:t>)</w:t>
            </w:r>
          </w:p>
        </w:tc>
      </w:tr>
      <w:tr w:rsidR="008E7846" w:rsidRPr="00487162" w:rsidTr="00943C24">
        <w:trPr>
          <w:gridAfter w:val="1"/>
          <w:wAfter w:w="283" w:type="dxa"/>
        </w:trPr>
        <w:tc>
          <w:tcPr>
            <w:tcW w:w="2907" w:type="dxa"/>
          </w:tcPr>
          <w:p w:rsidR="008E7846" w:rsidRPr="00487162" w:rsidRDefault="004C7AE7" w:rsidP="00E45619">
            <w:pPr>
              <w:rPr>
                <w:i/>
              </w:rPr>
            </w:pPr>
            <w:r>
              <w:rPr>
                <w:i/>
              </w:rPr>
              <w:t>Pack size</w:t>
            </w:r>
            <w:r w:rsidR="008E7846" w:rsidRPr="00487162">
              <w:rPr>
                <w:i/>
              </w:rPr>
              <w:t>:</w:t>
            </w:r>
          </w:p>
        </w:tc>
        <w:tc>
          <w:tcPr>
            <w:tcW w:w="6307" w:type="dxa"/>
          </w:tcPr>
          <w:p w:rsidR="008E7846" w:rsidRPr="00487162" w:rsidRDefault="00AF21BF" w:rsidP="00E45619">
            <w:r>
              <w:t>Single</w:t>
            </w:r>
          </w:p>
        </w:tc>
      </w:tr>
      <w:tr w:rsidR="008E7846" w:rsidRPr="00487162" w:rsidTr="00943C24">
        <w:trPr>
          <w:gridAfter w:val="1"/>
          <w:wAfter w:w="283" w:type="dxa"/>
        </w:trPr>
        <w:tc>
          <w:tcPr>
            <w:tcW w:w="2907" w:type="dxa"/>
          </w:tcPr>
          <w:p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rsidR="00574614" w:rsidRPr="00AF21BF" w:rsidRDefault="00574614" w:rsidP="00574614">
            <w:pPr>
              <w:rPr>
                <w:i/>
              </w:rPr>
            </w:pPr>
            <w:r w:rsidRPr="00AF21BF">
              <w:rPr>
                <w:i/>
              </w:rPr>
              <w:t xml:space="preserve">Eloctate is a long-acting </w:t>
            </w:r>
            <w:proofErr w:type="spellStart"/>
            <w:r w:rsidRPr="00AF21BF">
              <w:rPr>
                <w:i/>
              </w:rPr>
              <w:t>antihaemophilic</w:t>
            </w:r>
            <w:proofErr w:type="spellEnd"/>
            <w:r w:rsidRPr="00AF21BF">
              <w:rPr>
                <w:i/>
              </w:rPr>
              <w:t xml:space="preserve"> factor (recombinant) indicated in adults and children (</w:t>
            </w:r>
            <w:r w:rsidR="00FF61A0">
              <w:rPr>
                <w:i/>
              </w:rPr>
              <w:t xml:space="preserve"> ≥</w:t>
            </w:r>
            <w:r w:rsidRPr="00AF21BF">
              <w:rPr>
                <w:i/>
              </w:rPr>
              <w:t xml:space="preserve"> 12 years) with haemophilia A (congenital factor VIII deficiency) for:</w:t>
            </w:r>
          </w:p>
          <w:p w:rsidR="00574614" w:rsidRPr="00AF21BF" w:rsidRDefault="00574614" w:rsidP="00574614">
            <w:pPr>
              <w:pStyle w:val="ListBullet"/>
              <w:rPr>
                <w:i/>
              </w:rPr>
            </w:pPr>
            <w:r w:rsidRPr="00AF21BF">
              <w:rPr>
                <w:i/>
              </w:rPr>
              <w:t>control and prevention of bleeding episodes</w:t>
            </w:r>
          </w:p>
          <w:p w:rsidR="00574614" w:rsidRPr="00AF21BF" w:rsidRDefault="00574614" w:rsidP="00574614">
            <w:pPr>
              <w:pStyle w:val="ListBullet"/>
              <w:rPr>
                <w:i/>
              </w:rPr>
            </w:pPr>
            <w:r w:rsidRPr="00AF21BF">
              <w:rPr>
                <w:i/>
              </w:rPr>
              <w:t>routine prophylaxis to prevent or reduce the frequency of bleeding episodes</w:t>
            </w:r>
          </w:p>
          <w:p w:rsidR="00574614" w:rsidRPr="00AF21BF" w:rsidRDefault="00B75541" w:rsidP="00B75541">
            <w:pPr>
              <w:pStyle w:val="ListBullet"/>
              <w:tabs>
                <w:tab w:val="left" w:pos="3525"/>
              </w:tabs>
              <w:rPr>
                <w:i/>
              </w:rPr>
            </w:pPr>
            <w:r>
              <w:rPr>
                <w:i/>
              </w:rPr>
              <w:t>peri</w:t>
            </w:r>
            <w:r w:rsidR="00574614" w:rsidRPr="00AF21BF">
              <w:rPr>
                <w:i/>
              </w:rPr>
              <w:t>operative management (surgical prophylaxis)</w:t>
            </w:r>
          </w:p>
          <w:p w:rsidR="008E7846" w:rsidRPr="00487162" w:rsidRDefault="00574614" w:rsidP="00574614">
            <w:pPr>
              <w:rPr>
                <w:rFonts w:eastAsia="MS Mincho"/>
                <w:lang w:eastAsia="ja-JP"/>
              </w:rPr>
            </w:pPr>
            <w:r w:rsidRPr="00AF21BF">
              <w:rPr>
                <w:i/>
              </w:rPr>
              <w:t xml:space="preserve">Eloctate does not contain von </w:t>
            </w:r>
            <w:proofErr w:type="spellStart"/>
            <w:r w:rsidRPr="00AF21BF">
              <w:rPr>
                <w:i/>
              </w:rPr>
              <w:t>Willebrand</w:t>
            </w:r>
            <w:proofErr w:type="spellEnd"/>
            <w:r w:rsidRPr="00AF21BF">
              <w:rPr>
                <w:i/>
              </w:rPr>
              <w:t xml:space="preserve"> factor, and therefore is not indicated in patients with von </w:t>
            </w:r>
            <w:proofErr w:type="spellStart"/>
            <w:r w:rsidRPr="00AF21BF">
              <w:rPr>
                <w:i/>
              </w:rPr>
              <w:t>Willebrand’s</w:t>
            </w:r>
            <w:proofErr w:type="spellEnd"/>
            <w:r w:rsidRPr="00AF21BF">
              <w:rPr>
                <w:i/>
              </w:rPr>
              <w:t xml:space="preserve"> disease.</w:t>
            </w:r>
          </w:p>
        </w:tc>
      </w:tr>
      <w:tr w:rsidR="008E7846" w:rsidRPr="00487162" w:rsidTr="00943C24">
        <w:trPr>
          <w:gridAfter w:val="1"/>
          <w:wAfter w:w="283" w:type="dxa"/>
        </w:trPr>
        <w:tc>
          <w:tcPr>
            <w:tcW w:w="2907" w:type="dxa"/>
          </w:tcPr>
          <w:p w:rsidR="008E7846" w:rsidRPr="00487162" w:rsidRDefault="00574614" w:rsidP="00E45619">
            <w:pPr>
              <w:rPr>
                <w:i/>
              </w:rPr>
            </w:pPr>
            <w:r>
              <w:rPr>
                <w:i/>
              </w:rPr>
              <w:t>Route</w:t>
            </w:r>
            <w:r w:rsidR="008E7846" w:rsidRPr="00487162">
              <w:rPr>
                <w:i/>
              </w:rPr>
              <w:t xml:space="preserve"> of administration:</w:t>
            </w:r>
          </w:p>
        </w:tc>
        <w:tc>
          <w:tcPr>
            <w:tcW w:w="6307" w:type="dxa"/>
          </w:tcPr>
          <w:p w:rsidR="008E7846" w:rsidRPr="00487162" w:rsidRDefault="00A92DB4" w:rsidP="00E45619">
            <w:r>
              <w:t xml:space="preserve">Intravenous </w:t>
            </w:r>
            <w:r w:rsidR="00AF21BF">
              <w:t xml:space="preserve">(IV) </w:t>
            </w:r>
            <w:r>
              <w:t>infusion</w:t>
            </w:r>
          </w:p>
        </w:tc>
      </w:tr>
      <w:tr w:rsidR="008E7846" w:rsidRPr="00487162" w:rsidTr="00943C24">
        <w:trPr>
          <w:gridAfter w:val="1"/>
          <w:wAfter w:w="283" w:type="dxa"/>
        </w:trPr>
        <w:tc>
          <w:tcPr>
            <w:tcW w:w="2907" w:type="dxa"/>
          </w:tcPr>
          <w:p w:rsidR="008E7846" w:rsidRPr="00487162" w:rsidRDefault="008E7846" w:rsidP="00E45619">
            <w:pPr>
              <w:rPr>
                <w:i/>
              </w:rPr>
            </w:pPr>
            <w:r w:rsidRPr="00487162">
              <w:rPr>
                <w:i/>
              </w:rPr>
              <w:t>Dosage:</w:t>
            </w:r>
          </w:p>
        </w:tc>
        <w:tc>
          <w:tcPr>
            <w:tcW w:w="6307" w:type="dxa"/>
          </w:tcPr>
          <w:p w:rsidR="008E7846" w:rsidRPr="00487162" w:rsidRDefault="00550533" w:rsidP="00E45619">
            <w:r>
              <w:t xml:space="preserve">Refer to the Product Information </w:t>
            </w:r>
            <w:r w:rsidR="00AF21BF">
              <w:t>(PI;</w:t>
            </w:r>
            <w:r>
              <w:t xml:space="preserve"> Attachment 1)</w:t>
            </w:r>
          </w:p>
        </w:tc>
      </w:tr>
      <w:tr w:rsidR="008E7846" w:rsidRPr="00487162" w:rsidTr="00943C24">
        <w:trPr>
          <w:gridAfter w:val="1"/>
          <w:wAfter w:w="283" w:type="dxa"/>
        </w:trPr>
        <w:tc>
          <w:tcPr>
            <w:tcW w:w="2907" w:type="dxa"/>
          </w:tcPr>
          <w:p w:rsidR="008E7846" w:rsidRPr="00487162" w:rsidRDefault="008E7846" w:rsidP="001B5C90">
            <w:pPr>
              <w:rPr>
                <w:i/>
              </w:rPr>
            </w:pPr>
            <w:r w:rsidRPr="00487162">
              <w:rPr>
                <w:i/>
              </w:rPr>
              <w:t xml:space="preserve">ARTG </w:t>
            </w:r>
            <w:r w:rsidR="001B5C90">
              <w:rPr>
                <w:i/>
              </w:rPr>
              <w:t>n</w:t>
            </w:r>
            <w:r w:rsidR="00574614">
              <w:rPr>
                <w:i/>
              </w:rPr>
              <w:t>umber</w:t>
            </w:r>
            <w:r w:rsidR="00A92DB4">
              <w:rPr>
                <w:i/>
              </w:rPr>
              <w:t>s</w:t>
            </w:r>
            <w:r w:rsidR="001B5C90">
              <w:rPr>
                <w:i/>
              </w:rPr>
              <w:t>:</w:t>
            </w:r>
          </w:p>
        </w:tc>
        <w:tc>
          <w:tcPr>
            <w:tcW w:w="6307" w:type="dxa"/>
          </w:tcPr>
          <w:p w:rsidR="008E7846" w:rsidRPr="00487162" w:rsidRDefault="00A92DB4" w:rsidP="00550533">
            <w:r>
              <w:t>210521</w:t>
            </w:r>
            <w:r w:rsidR="00550533">
              <w:t xml:space="preserve"> (250 IU)</w:t>
            </w:r>
            <w:r>
              <w:t xml:space="preserve">, </w:t>
            </w:r>
            <w:r w:rsidR="00550533" w:rsidRPr="00550533">
              <w:t>210519</w:t>
            </w:r>
            <w:r w:rsidR="00550533">
              <w:t xml:space="preserve"> (500 IU), </w:t>
            </w:r>
            <w:r>
              <w:t>210523</w:t>
            </w:r>
            <w:r w:rsidR="00550533">
              <w:t xml:space="preserve"> (750 IU)</w:t>
            </w:r>
            <w:r>
              <w:t xml:space="preserve">, </w:t>
            </w:r>
            <w:r w:rsidR="00550533" w:rsidRPr="00550533">
              <w:t>210525</w:t>
            </w:r>
            <w:r w:rsidR="00550533">
              <w:t xml:space="preserve"> (1000 IU)</w:t>
            </w:r>
            <w:r w:rsidR="00550533" w:rsidRPr="00550533">
              <w:t>,</w:t>
            </w:r>
            <w:r w:rsidR="00550533">
              <w:t xml:space="preserve"> </w:t>
            </w:r>
            <w:r w:rsidR="00550533" w:rsidRPr="00550533">
              <w:t>210522</w:t>
            </w:r>
            <w:r w:rsidR="00550533">
              <w:t xml:space="preserve"> (1500 IU)</w:t>
            </w:r>
            <w:r w:rsidR="00550533" w:rsidRPr="00550533">
              <w:t>,</w:t>
            </w:r>
            <w:r w:rsidR="00550533">
              <w:t xml:space="preserve"> </w:t>
            </w:r>
            <w:r>
              <w:t>210524</w:t>
            </w:r>
            <w:r w:rsidR="00550533">
              <w:t xml:space="preserve"> (2000 IU), </w:t>
            </w:r>
            <w:r w:rsidR="00550533" w:rsidRPr="00550533">
              <w:t>210520</w:t>
            </w:r>
            <w:r w:rsidR="00550533">
              <w:t xml:space="preserve"> (3000 IU)</w:t>
            </w:r>
            <w:r w:rsidR="00550533" w:rsidRPr="00550533">
              <w:t>.</w:t>
            </w:r>
          </w:p>
        </w:tc>
      </w:tr>
    </w:tbl>
    <w:p w:rsidR="008E7846" w:rsidRPr="00611B92" w:rsidRDefault="008E7846" w:rsidP="00611B92">
      <w:pPr>
        <w:pStyle w:val="Heading3"/>
      </w:pPr>
      <w:bookmarkStart w:id="13" w:name="_Toc247691503"/>
      <w:bookmarkStart w:id="14" w:name="_Toc314842484"/>
      <w:bookmarkStart w:id="15" w:name="_Toc412817706"/>
      <w:r>
        <w:lastRenderedPageBreak/>
        <w:t>Product background</w:t>
      </w:r>
      <w:bookmarkEnd w:id="13"/>
      <w:bookmarkEnd w:id="14"/>
      <w:bookmarkEnd w:id="15"/>
    </w:p>
    <w:p w:rsidR="004C7AE7" w:rsidRDefault="004C7AE7" w:rsidP="00611B92">
      <w:r>
        <w:t>Haemophilia is an inherited, X chromosome-</w:t>
      </w:r>
      <w:r w:rsidRPr="0032685C">
        <w:t>linked bleeding disorder. In Australia there are approximately 2,600 people with haemophilia and nearly all are male. Haemophilia A is the most common form and is due to the deficiency of factor VIII. Reduced blood coagulation results in bleeding which is most commonly internal, usually into the joints or muscles. Over time, recurrent bleeds can cause permanent damage such as arthritis, chronic pain and joint damage requiring surgery.</w:t>
      </w:r>
    </w:p>
    <w:p w:rsidR="004C7AE7" w:rsidRDefault="000D43F9" w:rsidP="00611B92">
      <w:proofErr w:type="spellStart"/>
      <w:r>
        <w:t>Efmoroctocog</w:t>
      </w:r>
      <w:proofErr w:type="spellEnd"/>
      <w:r w:rsidR="004C7AE7" w:rsidRPr="00893DFA">
        <w:t xml:space="preserve"> </w:t>
      </w:r>
      <w:proofErr w:type="spellStart"/>
      <w:r w:rsidR="004C7AE7" w:rsidRPr="00893DFA">
        <w:t>alfa</w:t>
      </w:r>
      <w:proofErr w:type="spellEnd"/>
      <w:r w:rsidR="004C7AE7" w:rsidRPr="00893DFA">
        <w:t xml:space="preserve"> (</w:t>
      </w:r>
      <w:proofErr w:type="spellStart"/>
      <w:r w:rsidR="004C7AE7" w:rsidRPr="00893DFA">
        <w:t>rhu</w:t>
      </w:r>
      <w:proofErr w:type="spellEnd"/>
      <w:r w:rsidR="004C7AE7" w:rsidRPr="00893DFA">
        <w:t xml:space="preserve">) is </w:t>
      </w:r>
      <w:r w:rsidR="004C7AE7">
        <w:t>a recombinant factor VIII (</w:t>
      </w:r>
      <w:proofErr w:type="spellStart"/>
      <w:r w:rsidR="004C7AE7">
        <w:t>rFVIII</w:t>
      </w:r>
      <w:proofErr w:type="spellEnd"/>
      <w:r w:rsidR="004C7AE7">
        <w:t xml:space="preserve">) product that </w:t>
      </w:r>
      <w:r w:rsidR="004C7AE7" w:rsidRPr="00893DFA">
        <w:t>increase</w:t>
      </w:r>
      <w:r w:rsidR="004C7AE7">
        <w:t>s</w:t>
      </w:r>
      <w:r w:rsidR="004C7AE7" w:rsidRPr="00893DFA">
        <w:t xml:space="preserve"> plasma factor VIII levels as a temporary correction of the bleeding tendency in haemophilia A</w:t>
      </w:r>
      <w:r w:rsidR="004C7AE7">
        <w:t>.</w:t>
      </w:r>
    </w:p>
    <w:p w:rsidR="00422D63" w:rsidRPr="00422D63" w:rsidRDefault="00940A89" w:rsidP="00611B92">
      <w:r w:rsidRPr="00940A89">
        <w:t xml:space="preserve">This </w:t>
      </w:r>
      <w:proofErr w:type="spellStart"/>
      <w:r w:rsidRPr="00940A89">
        <w:t>AusPAR</w:t>
      </w:r>
      <w:proofErr w:type="spellEnd"/>
      <w:r w:rsidRPr="00940A89">
        <w:t xml:space="preserve"> describes the application by </w:t>
      </w:r>
      <w:proofErr w:type="spellStart"/>
      <w:r w:rsidR="00574614" w:rsidRPr="00574614">
        <w:t>Biogen</w:t>
      </w:r>
      <w:proofErr w:type="spellEnd"/>
      <w:r w:rsidR="00574614" w:rsidRPr="00574614">
        <w:t xml:space="preserve"> Idec Australia Pty Ltd</w:t>
      </w:r>
      <w:r w:rsidR="00574614">
        <w:t xml:space="preserve"> (</w:t>
      </w:r>
      <w:r w:rsidRPr="00940A89">
        <w:t>the sponsor</w:t>
      </w:r>
      <w:r w:rsidR="00574614">
        <w:t>)</w:t>
      </w:r>
      <w:r w:rsidRPr="00940A89">
        <w:t xml:space="preserve"> to </w:t>
      </w:r>
      <w:r w:rsidRPr="00422D63">
        <w:t xml:space="preserve">register </w:t>
      </w:r>
      <w:proofErr w:type="spellStart"/>
      <w:r w:rsidR="00422D63">
        <w:t>Eloctate</w:t>
      </w:r>
      <w:proofErr w:type="spellEnd"/>
      <w:r w:rsidR="00422D63" w:rsidRPr="00422D63">
        <w:t xml:space="preserve"> (</w:t>
      </w:r>
      <w:proofErr w:type="spellStart"/>
      <w:r w:rsidR="000D43F9">
        <w:t>efmoroctocog</w:t>
      </w:r>
      <w:proofErr w:type="spellEnd"/>
      <w:r w:rsidR="00422D63" w:rsidRPr="00422D63">
        <w:t xml:space="preserve"> </w:t>
      </w:r>
      <w:proofErr w:type="spellStart"/>
      <w:r w:rsidR="00422D63" w:rsidRPr="00422D63">
        <w:t>alfa</w:t>
      </w:r>
      <w:proofErr w:type="spellEnd"/>
      <w:r w:rsidR="001F7B43">
        <w:t xml:space="preserve"> (</w:t>
      </w:r>
      <w:proofErr w:type="spellStart"/>
      <w:r w:rsidR="001F7B43">
        <w:t>rhu</w:t>
      </w:r>
      <w:proofErr w:type="spellEnd"/>
      <w:r w:rsidR="001F7B43">
        <w:t>)</w:t>
      </w:r>
      <w:r w:rsidR="00422D63" w:rsidRPr="00422D63">
        <w:t>) powder for injection,</w:t>
      </w:r>
      <w:r w:rsidR="00AF21BF">
        <w:t xml:space="preserve"> </w:t>
      </w:r>
      <w:r w:rsidR="00422D63" w:rsidRPr="00422D63">
        <w:t>250 IU, 500 IU, 750 IU, 1000 I</w:t>
      </w:r>
      <w:r w:rsidR="00422D63">
        <w:t xml:space="preserve">U, 1500 IU, 2000 IU and 3000 IU </w:t>
      </w:r>
      <w:r w:rsidR="00422D63" w:rsidRPr="00422D63">
        <w:t>for the</w:t>
      </w:r>
      <w:r w:rsidR="00422D63">
        <w:t xml:space="preserve"> </w:t>
      </w:r>
      <w:r w:rsidR="00422D63" w:rsidRPr="00422D63">
        <w:t>following indication:</w:t>
      </w:r>
    </w:p>
    <w:p w:rsidR="00422D63" w:rsidRPr="00611B92" w:rsidRDefault="00422D63" w:rsidP="00611B92">
      <w:pPr>
        <w:rPr>
          <w:i/>
        </w:rPr>
      </w:pPr>
      <w:r w:rsidRPr="00611B92">
        <w:rPr>
          <w:i/>
        </w:rPr>
        <w:t xml:space="preserve">Eloctate is a long-acting </w:t>
      </w:r>
      <w:proofErr w:type="spellStart"/>
      <w:r w:rsidRPr="00611B92">
        <w:rPr>
          <w:i/>
        </w:rPr>
        <w:t>antihaemophilic</w:t>
      </w:r>
      <w:proofErr w:type="spellEnd"/>
      <w:r w:rsidRPr="00611B92">
        <w:rPr>
          <w:i/>
        </w:rPr>
        <w:t xml:space="preserve"> factor (recombinant) indicated in adults and children </w:t>
      </w:r>
      <w:proofErr w:type="gramStart"/>
      <w:r w:rsidRPr="00611B92">
        <w:rPr>
          <w:i/>
        </w:rPr>
        <w:t>(</w:t>
      </w:r>
      <w:r w:rsidR="00B75541" w:rsidRPr="00611B92">
        <w:rPr>
          <w:i/>
        </w:rPr>
        <w:t xml:space="preserve"> </w:t>
      </w:r>
      <w:r w:rsidR="00FC631B" w:rsidRPr="00611B92">
        <w:rPr>
          <w:i/>
        </w:rPr>
        <w:t>≥</w:t>
      </w:r>
      <w:proofErr w:type="gramEnd"/>
      <w:r w:rsidRPr="00611B92">
        <w:rPr>
          <w:i/>
        </w:rPr>
        <w:t xml:space="preserve"> 12 years) with haemophilia A (congenital factor VIII deficiency) for:</w:t>
      </w:r>
    </w:p>
    <w:p w:rsidR="00422D63" w:rsidRPr="00611B92" w:rsidRDefault="00422D63" w:rsidP="00611B92">
      <w:pPr>
        <w:pStyle w:val="ListBullet"/>
        <w:rPr>
          <w:i/>
        </w:rPr>
      </w:pPr>
      <w:r w:rsidRPr="00611B92">
        <w:rPr>
          <w:i/>
        </w:rPr>
        <w:t>Control and prevention of bleeding episodes.</w:t>
      </w:r>
    </w:p>
    <w:p w:rsidR="00422D63" w:rsidRPr="00611B92" w:rsidRDefault="00422D63" w:rsidP="00611B92">
      <w:pPr>
        <w:pStyle w:val="ListBullet"/>
        <w:rPr>
          <w:i/>
        </w:rPr>
      </w:pPr>
      <w:r w:rsidRPr="00611B92">
        <w:rPr>
          <w:i/>
        </w:rPr>
        <w:t>Routine prophylaxis to prevent or reduce the frequency of bleeding episodes.</w:t>
      </w:r>
    </w:p>
    <w:p w:rsidR="00422D63" w:rsidRPr="00611B92" w:rsidRDefault="00422D63" w:rsidP="00611B92">
      <w:pPr>
        <w:pStyle w:val="ListBullet"/>
        <w:rPr>
          <w:i/>
        </w:rPr>
      </w:pPr>
      <w:r w:rsidRPr="00611B92">
        <w:rPr>
          <w:i/>
        </w:rPr>
        <w:t>Perioperative management (surgical prophylaxis).</w:t>
      </w:r>
    </w:p>
    <w:p w:rsidR="008E7846" w:rsidRPr="00611B92" w:rsidRDefault="00422D63" w:rsidP="00611B92">
      <w:pPr>
        <w:rPr>
          <w:i/>
        </w:rPr>
      </w:pPr>
      <w:proofErr w:type="spellStart"/>
      <w:r w:rsidRPr="00611B92">
        <w:rPr>
          <w:i/>
        </w:rPr>
        <w:t>Eloctate</w:t>
      </w:r>
      <w:proofErr w:type="spellEnd"/>
      <w:r w:rsidRPr="00611B92">
        <w:rPr>
          <w:i/>
        </w:rPr>
        <w:t xml:space="preserve"> does not contain von </w:t>
      </w:r>
      <w:proofErr w:type="spellStart"/>
      <w:r w:rsidRPr="00611B92">
        <w:rPr>
          <w:i/>
        </w:rPr>
        <w:t>Willebrand</w:t>
      </w:r>
      <w:proofErr w:type="spellEnd"/>
      <w:r w:rsidRPr="00611B92">
        <w:rPr>
          <w:i/>
        </w:rPr>
        <w:t xml:space="preserve"> factor, and therefore is not indicated in patients with von </w:t>
      </w:r>
      <w:proofErr w:type="spellStart"/>
      <w:r w:rsidRPr="00611B92">
        <w:rPr>
          <w:i/>
        </w:rPr>
        <w:t>Willebrand's</w:t>
      </w:r>
      <w:proofErr w:type="spellEnd"/>
      <w:r w:rsidRPr="00611B92">
        <w:rPr>
          <w:i/>
        </w:rPr>
        <w:t xml:space="preserve"> disease.</w:t>
      </w:r>
    </w:p>
    <w:p w:rsidR="00585E1B" w:rsidRPr="00585E1B" w:rsidRDefault="00585E1B" w:rsidP="00611B92">
      <w:r>
        <w:t xml:space="preserve">The </w:t>
      </w:r>
      <w:r w:rsidR="004C7AE7">
        <w:t xml:space="preserve">TGA </w:t>
      </w:r>
      <w:r>
        <w:t xml:space="preserve">Delegate of the Secretary </w:t>
      </w:r>
      <w:r w:rsidRPr="00585E1B">
        <w:t>designate</w:t>
      </w:r>
      <w:r>
        <w:t>d</w:t>
      </w:r>
      <w:r w:rsidRPr="00585E1B">
        <w:t xml:space="preserve"> recombinant human coagulation factor VIII F</w:t>
      </w:r>
      <w:r w:rsidR="00FC631B">
        <w:t>c</w:t>
      </w:r>
      <w:r w:rsidRPr="00585E1B">
        <w:t xml:space="preserve"> fusion protein as an orphan drug</w:t>
      </w:r>
      <w:r>
        <w:t xml:space="preserve"> </w:t>
      </w:r>
      <w:r w:rsidRPr="00585E1B">
        <w:rPr>
          <w:i/>
        </w:rPr>
        <w:t>for the control and prevention (including routine prophylaxis) of bleeding episodes in adults and children with haemophilia A</w:t>
      </w:r>
      <w:r>
        <w:t xml:space="preserve"> on 23 February 2013.</w:t>
      </w:r>
    </w:p>
    <w:p w:rsidR="008E7846" w:rsidRPr="003F31A2" w:rsidRDefault="00386150" w:rsidP="00611B92">
      <w:pPr>
        <w:pStyle w:val="Heading3"/>
      </w:pPr>
      <w:bookmarkStart w:id="16" w:name="_Toc314842485"/>
      <w:bookmarkStart w:id="17" w:name="_Toc247691504"/>
      <w:bookmarkStart w:id="18" w:name="_Toc412817707"/>
      <w:r>
        <w:t xml:space="preserve">Regulatory </w:t>
      </w:r>
      <w:r w:rsidRPr="00C728FA">
        <w:t>s</w:t>
      </w:r>
      <w:r w:rsidR="008E7846" w:rsidRPr="00C728FA">
        <w:t>tatus</w:t>
      </w:r>
      <w:bookmarkEnd w:id="16"/>
      <w:bookmarkEnd w:id="17"/>
      <w:bookmarkEnd w:id="18"/>
    </w:p>
    <w:p w:rsidR="00940A89" w:rsidRPr="00940A89" w:rsidRDefault="00940A89" w:rsidP="00611B92">
      <w:bookmarkStart w:id="19" w:name="_Toc247691505"/>
      <w:bookmarkStart w:id="20" w:name="_Toc314842486"/>
      <w:r w:rsidRPr="00940A89">
        <w:t>The product received initial registration on the Australian Register of The</w:t>
      </w:r>
      <w:r w:rsidR="00422D63">
        <w:t>rapeutic Goods (ARTG) on 27 June 2014.</w:t>
      </w:r>
    </w:p>
    <w:p w:rsidR="00940A89" w:rsidRPr="00682378" w:rsidRDefault="005D1D69" w:rsidP="00611B92">
      <w:r>
        <w:t xml:space="preserve">At the time this application was considered by the TGA, </w:t>
      </w:r>
      <w:r w:rsidR="00940A89" w:rsidRPr="00940A89">
        <w:t>similar application</w:t>
      </w:r>
      <w:r>
        <w:t>s</w:t>
      </w:r>
      <w:r w:rsidR="00940A89" w:rsidRPr="00940A89">
        <w:t xml:space="preserve"> </w:t>
      </w:r>
      <w:r w:rsidR="00DF5D13">
        <w:t>were</w:t>
      </w:r>
      <w:r w:rsidR="00940A89" w:rsidRPr="00940A89">
        <w:t xml:space="preserve"> under co</w:t>
      </w:r>
      <w:r w:rsidR="00DF5D13">
        <w:t xml:space="preserve">nsideration in </w:t>
      </w:r>
      <w:r>
        <w:t xml:space="preserve">USA, </w:t>
      </w:r>
      <w:r w:rsidR="00DF5D13">
        <w:t>(</w:t>
      </w:r>
      <w:r>
        <w:t>March 2013</w:t>
      </w:r>
      <w:r w:rsidR="00940A89">
        <w:t>)</w:t>
      </w:r>
      <w:r w:rsidR="00DF5D13">
        <w:t>, Canada (July 2013), South Africa (October 2</w:t>
      </w:r>
      <w:r w:rsidR="00FC631B">
        <w:t>01</w:t>
      </w:r>
      <w:r w:rsidR="00DF5D13">
        <w:t>3), and Japan (January 2014)</w:t>
      </w:r>
      <w:r w:rsidR="00940A89">
        <w:t>.</w:t>
      </w:r>
      <w:r w:rsidR="00DF5D13">
        <w:t xml:space="preserve"> Submissions were proposed for New Zealand (2014) and </w:t>
      </w:r>
      <w:r w:rsidR="004C7AE7">
        <w:t>European Union (</w:t>
      </w:r>
      <w:r>
        <w:t>EU</w:t>
      </w:r>
      <w:r w:rsidR="004C7AE7">
        <w:t>)</w:t>
      </w:r>
      <w:r>
        <w:t xml:space="preserve"> </w:t>
      </w:r>
      <w:r w:rsidR="004C7AE7">
        <w:t>European Medicines A</w:t>
      </w:r>
      <w:r w:rsidR="00F659F8" w:rsidRPr="00F659F8">
        <w:t xml:space="preserve">gency </w:t>
      </w:r>
      <w:r w:rsidR="00F659F8">
        <w:t>(</w:t>
      </w:r>
      <w:r>
        <w:t>EMA</w:t>
      </w:r>
      <w:r w:rsidR="00F659F8">
        <w:t>)</w:t>
      </w:r>
      <w:r>
        <w:t xml:space="preserve"> </w:t>
      </w:r>
      <w:r w:rsidR="00DF5D13">
        <w:t>(201</w:t>
      </w:r>
      <w:r w:rsidR="00FC631B">
        <w:t>4</w:t>
      </w:r>
      <w:r>
        <w:t>).</w:t>
      </w:r>
    </w:p>
    <w:p w:rsidR="008E7846" w:rsidRPr="00C728FA" w:rsidRDefault="008E7846" w:rsidP="00611B92">
      <w:pPr>
        <w:pStyle w:val="Heading3"/>
      </w:pPr>
      <w:bookmarkStart w:id="21" w:name="_Toc412817708"/>
      <w:r>
        <w:t>Product Information</w:t>
      </w:r>
      <w:bookmarkEnd w:id="19"/>
      <w:bookmarkEnd w:id="20"/>
      <w:bookmarkEnd w:id="21"/>
    </w:p>
    <w:p w:rsidR="00940A89" w:rsidRDefault="00940A89" w:rsidP="00611B92">
      <w:pPr>
        <w:rPr>
          <w:b/>
          <w:bCs/>
        </w:rPr>
      </w:pPr>
      <w:bookmarkStart w:id="22" w:name="_Toc247691506"/>
      <w:bookmarkStart w:id="23" w:name="_Toc314842487"/>
      <w:r w:rsidRPr="00940A89">
        <w:t xml:space="preserve">The approved Product Information (PI) current at the time this </w:t>
      </w:r>
      <w:proofErr w:type="spellStart"/>
      <w:r w:rsidRPr="00940A89">
        <w:t>AusPAR</w:t>
      </w:r>
      <w:proofErr w:type="spellEnd"/>
      <w:r w:rsidRPr="00940A89">
        <w:t xml:space="preserve"> was prepared can be found as Attachment 1. For the most recent Product Information please refer to the TGA website at &lt;</w:t>
      </w:r>
      <w:hyperlink r:id="rId17" w:history="1">
        <w:r w:rsidR="00C728FA" w:rsidRPr="00C728FA">
          <w:rPr>
            <w:rStyle w:val="Hyperlink"/>
          </w:rPr>
          <w:t>https://www.tga.gov.au/product-information-pi</w:t>
        </w:r>
      </w:hyperlink>
      <w:r w:rsidRPr="00940A89">
        <w:t>&gt;.</w:t>
      </w:r>
    </w:p>
    <w:p w:rsidR="008E7846" w:rsidRPr="0059161D" w:rsidRDefault="008E7846" w:rsidP="00611B92">
      <w:pPr>
        <w:pStyle w:val="Heading2"/>
      </w:pPr>
      <w:bookmarkStart w:id="24" w:name="_Toc412817709"/>
      <w:r>
        <w:t>II. Quality</w:t>
      </w:r>
      <w:bookmarkEnd w:id="1"/>
      <w:r>
        <w:t xml:space="preserve"> findings</w:t>
      </w:r>
      <w:bookmarkEnd w:id="22"/>
      <w:bookmarkEnd w:id="23"/>
      <w:bookmarkEnd w:id="24"/>
    </w:p>
    <w:p w:rsidR="005E1FA7" w:rsidRPr="0059161D" w:rsidRDefault="005E1FA7" w:rsidP="00611B92">
      <w:pPr>
        <w:pStyle w:val="Heading3"/>
      </w:pPr>
      <w:bookmarkStart w:id="25" w:name="_Toc412817710"/>
      <w:bookmarkStart w:id="26" w:name="_Toc247691507"/>
      <w:bookmarkStart w:id="27" w:name="_Toc314842488"/>
      <w:r>
        <w:t>Introduction</w:t>
      </w:r>
      <w:bookmarkEnd w:id="25"/>
    </w:p>
    <w:p w:rsidR="005E1FA7" w:rsidRDefault="005E1FA7" w:rsidP="00611B92">
      <w:r>
        <w:t xml:space="preserve">Currently registered </w:t>
      </w:r>
      <w:proofErr w:type="spellStart"/>
      <w:r w:rsidR="004C7AE7">
        <w:t>r</w:t>
      </w:r>
      <w:r>
        <w:t>FVIII</w:t>
      </w:r>
      <w:proofErr w:type="spellEnd"/>
      <w:r>
        <w:t xml:space="preserve"> products in Australia include</w:t>
      </w:r>
      <w:r w:rsidR="009E5D72">
        <w:t>;</w:t>
      </w:r>
    </w:p>
    <w:p w:rsidR="005E1FA7" w:rsidRPr="005E1FA7" w:rsidRDefault="005E1FA7" w:rsidP="00611B92">
      <w:pPr>
        <w:pStyle w:val="ListBullet"/>
      </w:pPr>
      <w:proofErr w:type="spellStart"/>
      <w:r w:rsidRPr="005E1FA7">
        <w:t>Kogenate</w:t>
      </w:r>
      <w:proofErr w:type="spellEnd"/>
      <w:r w:rsidRPr="005E1FA7">
        <w:t xml:space="preserve"> FS (</w:t>
      </w:r>
      <w:proofErr w:type="spellStart"/>
      <w:r w:rsidRPr="005E1FA7">
        <w:t>octocog</w:t>
      </w:r>
      <w:proofErr w:type="spellEnd"/>
      <w:r w:rsidRPr="005E1FA7">
        <w:t xml:space="preserve"> </w:t>
      </w:r>
      <w:proofErr w:type="spellStart"/>
      <w:r w:rsidRPr="005E1FA7">
        <w:t>alfa</w:t>
      </w:r>
      <w:proofErr w:type="spellEnd"/>
      <w:r w:rsidRPr="005E1FA7">
        <w:t xml:space="preserve">) (full-length FVIII; </w:t>
      </w:r>
      <w:r w:rsidR="00B75541">
        <w:t>baby hamster kidney (</w:t>
      </w:r>
      <w:r w:rsidR="00B75541" w:rsidRPr="00B75541">
        <w:t>BHK</w:t>
      </w:r>
      <w:r w:rsidR="00B75541">
        <w:t>)</w:t>
      </w:r>
      <w:r w:rsidR="00B75541" w:rsidRPr="00B75541">
        <w:t xml:space="preserve"> </w:t>
      </w:r>
      <w:r w:rsidRPr="005E1FA7">
        <w:t>cells; “2</w:t>
      </w:r>
      <w:r w:rsidRPr="004C7AE7">
        <w:rPr>
          <w:vertAlign w:val="superscript"/>
        </w:rPr>
        <w:t>nd</w:t>
      </w:r>
      <w:r w:rsidRPr="005E1FA7">
        <w:t>-generation”)</w:t>
      </w:r>
    </w:p>
    <w:p w:rsidR="005E1FA7" w:rsidRPr="005E1FA7" w:rsidRDefault="005E1FA7" w:rsidP="00611B92">
      <w:pPr>
        <w:pStyle w:val="ListBullet"/>
      </w:pPr>
      <w:proofErr w:type="spellStart"/>
      <w:r w:rsidRPr="005E1FA7">
        <w:lastRenderedPageBreak/>
        <w:t>Advate</w:t>
      </w:r>
      <w:proofErr w:type="spellEnd"/>
      <w:r w:rsidRPr="005E1FA7">
        <w:t xml:space="preserve"> (</w:t>
      </w:r>
      <w:proofErr w:type="spellStart"/>
      <w:r w:rsidRPr="005E1FA7">
        <w:t>octocog</w:t>
      </w:r>
      <w:proofErr w:type="spellEnd"/>
      <w:r w:rsidRPr="005E1FA7">
        <w:t xml:space="preserve"> </w:t>
      </w:r>
      <w:proofErr w:type="spellStart"/>
      <w:r w:rsidRPr="005E1FA7">
        <w:t>alfa</w:t>
      </w:r>
      <w:proofErr w:type="spellEnd"/>
      <w:r w:rsidRPr="005E1FA7">
        <w:t xml:space="preserve">) (full-length FVIII; </w:t>
      </w:r>
      <w:r w:rsidR="00B75541">
        <w:t>Chinese hamster ovary (</w:t>
      </w:r>
      <w:r w:rsidRPr="005E1FA7">
        <w:t>CHO</w:t>
      </w:r>
      <w:r w:rsidR="00B75541">
        <w:t>)</w:t>
      </w:r>
      <w:r w:rsidRPr="005E1FA7">
        <w:t xml:space="preserve"> cells; “3</w:t>
      </w:r>
      <w:r w:rsidRPr="004C7AE7">
        <w:rPr>
          <w:vertAlign w:val="superscript"/>
        </w:rPr>
        <w:t>rd</w:t>
      </w:r>
      <w:r w:rsidRPr="005E1FA7">
        <w:t xml:space="preserve">-generation” i.e. no added </w:t>
      </w:r>
      <w:r w:rsidRPr="00611B92">
        <w:t>human</w:t>
      </w:r>
      <w:r w:rsidRPr="005E1FA7">
        <w:t xml:space="preserve"> or animal proteins in manufacture)</w:t>
      </w:r>
    </w:p>
    <w:p w:rsidR="005E1FA7" w:rsidRPr="005E1FA7" w:rsidRDefault="005E1FA7" w:rsidP="00611B92">
      <w:pPr>
        <w:pStyle w:val="ListBullet"/>
      </w:pPr>
      <w:proofErr w:type="spellStart"/>
      <w:r w:rsidRPr="005E1FA7">
        <w:t>Xyntha</w:t>
      </w:r>
      <w:proofErr w:type="spellEnd"/>
      <w:r w:rsidRPr="005E1FA7">
        <w:t xml:space="preserve"> (</w:t>
      </w:r>
      <w:proofErr w:type="spellStart"/>
      <w:r w:rsidRPr="005E1FA7">
        <w:t>moroctocog</w:t>
      </w:r>
      <w:proofErr w:type="spellEnd"/>
      <w:r w:rsidRPr="005E1FA7">
        <w:t xml:space="preserve"> </w:t>
      </w:r>
      <w:proofErr w:type="spellStart"/>
      <w:r w:rsidRPr="005E1FA7">
        <w:t>alfa</w:t>
      </w:r>
      <w:proofErr w:type="spellEnd"/>
      <w:r w:rsidRPr="005E1FA7">
        <w:t>) (B domain deleted; CHO cells; “3</w:t>
      </w:r>
      <w:r w:rsidRPr="004C7AE7">
        <w:rPr>
          <w:vertAlign w:val="superscript"/>
        </w:rPr>
        <w:t>rd</w:t>
      </w:r>
      <w:r w:rsidRPr="005E1FA7">
        <w:t>-generation”)</w:t>
      </w:r>
    </w:p>
    <w:p w:rsidR="005E1FA7" w:rsidRPr="005E1FA7" w:rsidRDefault="005E1FA7" w:rsidP="00611B92">
      <w:pPr>
        <w:pStyle w:val="ListBullet"/>
      </w:pPr>
      <w:proofErr w:type="spellStart"/>
      <w:r w:rsidRPr="005E1FA7">
        <w:t>NovoEight</w:t>
      </w:r>
      <w:proofErr w:type="spellEnd"/>
      <w:r w:rsidRPr="005E1FA7">
        <w:t xml:space="preserve"> (</w:t>
      </w:r>
      <w:proofErr w:type="spellStart"/>
      <w:r w:rsidRPr="005E1FA7">
        <w:t>turoctocog</w:t>
      </w:r>
      <w:proofErr w:type="spellEnd"/>
      <w:r w:rsidRPr="005E1FA7">
        <w:t xml:space="preserve"> </w:t>
      </w:r>
      <w:proofErr w:type="spellStart"/>
      <w:r w:rsidRPr="005E1FA7">
        <w:t>alfa</w:t>
      </w:r>
      <w:proofErr w:type="spellEnd"/>
      <w:r w:rsidRPr="005E1FA7">
        <w:t>) (truncated B domain; CHO cells; “3</w:t>
      </w:r>
      <w:r w:rsidRPr="004C7AE7">
        <w:rPr>
          <w:vertAlign w:val="superscript"/>
        </w:rPr>
        <w:t>rd</w:t>
      </w:r>
      <w:r w:rsidRPr="005E1FA7">
        <w:t>-generation”)</w:t>
      </w:r>
    </w:p>
    <w:p w:rsidR="005E1FA7" w:rsidRPr="005E1FA7" w:rsidRDefault="005E1FA7" w:rsidP="00611B92">
      <w:proofErr w:type="spellStart"/>
      <w:r>
        <w:t>Eloctate</w:t>
      </w:r>
      <w:proofErr w:type="spellEnd"/>
      <w:r>
        <w:t xml:space="preserve"> is </w:t>
      </w:r>
      <w:r w:rsidR="004972E7">
        <w:t xml:space="preserve">a new generation of </w:t>
      </w:r>
      <w:proofErr w:type="spellStart"/>
      <w:r w:rsidR="004972E7">
        <w:t>rFVIII</w:t>
      </w:r>
      <w:proofErr w:type="spellEnd"/>
      <w:r w:rsidR="004972E7">
        <w:t xml:space="preserve"> product</w:t>
      </w:r>
      <w:r w:rsidR="00B75541">
        <w:t>;</w:t>
      </w:r>
      <w:r w:rsidR="00D80B40">
        <w:t xml:space="preserve"> </w:t>
      </w:r>
      <w:r w:rsidR="004972E7">
        <w:t xml:space="preserve">a B domain deleted FVIII linked to the Fc portion of </w:t>
      </w:r>
      <w:r w:rsidR="00B75541">
        <w:t>Immunoglobulin G (</w:t>
      </w:r>
      <w:proofErr w:type="spellStart"/>
      <w:r w:rsidR="004972E7">
        <w:t>IgG</w:t>
      </w:r>
      <w:proofErr w:type="spellEnd"/>
      <w:r w:rsidR="00B75541">
        <w:t>)</w:t>
      </w:r>
      <w:r w:rsidR="004972E7">
        <w:t xml:space="preserve"> and is produced in a human cell line.</w:t>
      </w:r>
    </w:p>
    <w:p w:rsidR="008E7846" w:rsidRPr="00A83FE2" w:rsidRDefault="008E7846" w:rsidP="00611B92">
      <w:pPr>
        <w:pStyle w:val="Heading3"/>
      </w:pPr>
      <w:bookmarkStart w:id="28" w:name="_Toc412817711"/>
      <w:r w:rsidRPr="008751DC">
        <w:t xml:space="preserve">Drug </w:t>
      </w:r>
      <w:r>
        <w:t>s</w:t>
      </w:r>
      <w:r w:rsidRPr="008751DC">
        <w:t>ubstance</w:t>
      </w:r>
      <w:r>
        <w:t xml:space="preserve"> (active </w:t>
      </w:r>
      <w:r w:rsidRPr="00611B92">
        <w:t>ingredient</w:t>
      </w:r>
      <w:r>
        <w:t>)</w:t>
      </w:r>
      <w:bookmarkEnd w:id="26"/>
      <w:bookmarkEnd w:id="27"/>
      <w:bookmarkEnd w:id="28"/>
    </w:p>
    <w:p w:rsidR="008A3E56" w:rsidRPr="00611B92" w:rsidRDefault="008A3E56" w:rsidP="00611B92">
      <w:pPr>
        <w:pStyle w:val="Heading4"/>
      </w:pPr>
      <w:r w:rsidRPr="008C3801">
        <w:t>Str</w:t>
      </w:r>
      <w:r w:rsidRPr="008C3801">
        <w:rPr>
          <w:rStyle w:val="Heading3Char"/>
          <w:rFonts w:eastAsia="Cambria"/>
        </w:rPr>
        <w:t>u</w:t>
      </w:r>
      <w:r w:rsidRPr="008C3801">
        <w:t>cture</w:t>
      </w:r>
    </w:p>
    <w:p w:rsidR="008C3801" w:rsidRPr="00D80B40" w:rsidRDefault="008A3E56" w:rsidP="00611B92">
      <w:r w:rsidRPr="008C3801">
        <w:t>Reco</w:t>
      </w:r>
      <w:r w:rsidR="00F13700">
        <w:t>mbinant coagulation factor VIII</w:t>
      </w:r>
      <w:r w:rsidR="00FC631B">
        <w:t xml:space="preserve"> </w:t>
      </w:r>
      <w:r w:rsidRPr="008C3801">
        <w:t xml:space="preserve">Fc </w:t>
      </w:r>
      <w:r w:rsidR="00F13700">
        <w:t xml:space="preserve">fusion protein </w:t>
      </w:r>
      <w:r w:rsidRPr="008C3801">
        <w:t>(</w:t>
      </w:r>
      <w:proofErr w:type="spellStart"/>
      <w:r w:rsidRPr="008C3801">
        <w:t>rFVIIIFc</w:t>
      </w:r>
      <w:proofErr w:type="spellEnd"/>
      <w:r w:rsidRPr="008C3801">
        <w:t>) is a fully recombinant fusion protein consi</w:t>
      </w:r>
      <w:r w:rsidR="00B75541">
        <w:t xml:space="preserve">sting of a single molecule of B </w:t>
      </w:r>
      <w:r w:rsidRPr="008C3801">
        <w:t xml:space="preserve">domain deleted human coagulation factor VIII (FVIII) covalently linked to the </w:t>
      </w:r>
      <w:proofErr w:type="spellStart"/>
      <w:r w:rsidRPr="008C3801">
        <w:t>dimeric</w:t>
      </w:r>
      <w:proofErr w:type="spellEnd"/>
      <w:r w:rsidRPr="008C3801">
        <w:t xml:space="preserve"> Fc domain of human immunoglobulin</w:t>
      </w:r>
      <w:r w:rsidR="009E47A9">
        <w:t xml:space="preserve"> G1</w:t>
      </w:r>
      <w:r w:rsidRPr="008C3801">
        <w:t xml:space="preserve"> </w:t>
      </w:r>
      <w:r w:rsidR="009E47A9">
        <w:t>(</w:t>
      </w:r>
      <w:r w:rsidRPr="008C3801">
        <w:t>IgG1</w:t>
      </w:r>
      <w:r w:rsidR="009E47A9">
        <w:t>)</w:t>
      </w:r>
      <w:r w:rsidRPr="008C3801">
        <w:t xml:space="preserve"> with no intervening sequence. </w:t>
      </w:r>
      <w:proofErr w:type="spellStart"/>
      <w:proofErr w:type="gramStart"/>
      <w:r w:rsidRPr="008C3801">
        <w:t>rFVIIIFc</w:t>
      </w:r>
      <w:proofErr w:type="spellEnd"/>
      <w:proofErr w:type="gramEnd"/>
      <w:r w:rsidRPr="008C3801">
        <w:t xml:space="preserve"> is produced in human embryonic kidney </w:t>
      </w:r>
      <w:r w:rsidR="004C7AE7">
        <w:t xml:space="preserve">(HEK) </w:t>
      </w:r>
      <w:r w:rsidRPr="008C3801">
        <w:t xml:space="preserve">cells. </w:t>
      </w:r>
      <w:proofErr w:type="spellStart"/>
      <w:proofErr w:type="gramStart"/>
      <w:r w:rsidRPr="008C3801">
        <w:t>rFVIIIFc</w:t>
      </w:r>
      <w:proofErr w:type="spellEnd"/>
      <w:proofErr w:type="gramEnd"/>
      <w:r w:rsidRPr="008C3801">
        <w:t xml:space="preserve"> is a heterodimer comprised of </w:t>
      </w:r>
      <w:proofErr w:type="spellStart"/>
      <w:r w:rsidRPr="008C3801">
        <w:t>FVIIIFc</w:t>
      </w:r>
      <w:proofErr w:type="spellEnd"/>
      <w:r w:rsidRPr="008C3801">
        <w:t xml:space="preserve"> single chain and Fc single chain associated through disulphide bonds at the hinge regions of the Fc fragments as well as extensive non</w:t>
      </w:r>
      <w:r w:rsidR="00605A98">
        <w:t> </w:t>
      </w:r>
      <w:r w:rsidRPr="008C3801">
        <w:t xml:space="preserve">covalent interactions between the Fc fragments. </w:t>
      </w:r>
      <w:proofErr w:type="spellStart"/>
      <w:proofErr w:type="gramStart"/>
      <w:r w:rsidRPr="008C3801">
        <w:t>rFVIIIFc</w:t>
      </w:r>
      <w:proofErr w:type="spellEnd"/>
      <w:proofErr w:type="gramEnd"/>
      <w:r w:rsidRPr="008C3801">
        <w:t xml:space="preserve"> confers the pro-coagulation function of clotting factor VIII for effective haemostasis. The presence of the Fc domain enables </w:t>
      </w:r>
      <w:proofErr w:type="spellStart"/>
      <w:r w:rsidRPr="008C3801">
        <w:t>rFVIIIFc</w:t>
      </w:r>
      <w:proofErr w:type="spellEnd"/>
      <w:r w:rsidRPr="008C3801">
        <w:t xml:space="preserve"> to bind to the neonatal Fc receptor (</w:t>
      </w:r>
      <w:proofErr w:type="spellStart"/>
      <w:r w:rsidRPr="008C3801">
        <w:t>FcRn</w:t>
      </w:r>
      <w:proofErr w:type="spellEnd"/>
      <w:r w:rsidRPr="008C3801">
        <w:t>)</w:t>
      </w:r>
      <w:r w:rsidR="001F7B43">
        <w:t>,</w:t>
      </w:r>
      <w:r w:rsidRPr="008C3801">
        <w:t xml:space="preserve"> which </w:t>
      </w:r>
      <w:r w:rsidR="001F7B43">
        <w:t>protects</w:t>
      </w:r>
      <w:r w:rsidRPr="008C3801">
        <w:t xml:space="preserve"> Fc containing molecules from catabolism and extending their plasma half-life.</w:t>
      </w:r>
    </w:p>
    <w:p w:rsidR="008C3801" w:rsidRPr="00A83FE2" w:rsidRDefault="008C3801" w:rsidP="00611B92">
      <w:pPr>
        <w:pStyle w:val="FigureTitle"/>
      </w:pPr>
      <w:proofErr w:type="gramStart"/>
      <w:r w:rsidRPr="008C3801">
        <w:t>Figure 1.</w:t>
      </w:r>
      <w:proofErr w:type="gramEnd"/>
      <w:r w:rsidRPr="008C3801">
        <w:t xml:space="preserve"> </w:t>
      </w:r>
      <w:proofErr w:type="gramStart"/>
      <w:r w:rsidRPr="008C3801">
        <w:t xml:space="preserve">Schematic diagram of </w:t>
      </w:r>
      <w:proofErr w:type="spellStart"/>
      <w:r w:rsidRPr="008C3801">
        <w:t>rFVIIIFc</w:t>
      </w:r>
      <w:proofErr w:type="spellEnd"/>
      <w:r w:rsidRPr="008C3801">
        <w:t xml:space="preserve"> structure</w:t>
      </w:r>
      <w:r w:rsidR="003F7EA9">
        <w:t>.</w:t>
      </w:r>
      <w:proofErr w:type="gramEnd"/>
    </w:p>
    <w:p w:rsidR="008A3E56" w:rsidRPr="008C3801" w:rsidRDefault="008C3801" w:rsidP="00A83FE2">
      <w:r>
        <w:rPr>
          <w:noProof/>
          <w:lang w:eastAsia="en-AU"/>
        </w:rPr>
        <w:drawing>
          <wp:inline distT="0" distB="0" distL="0" distR="0" wp14:anchorId="4164B5C0" wp14:editId="4F9D4B4F">
            <wp:extent cx="5400040" cy="3213724"/>
            <wp:effectExtent l="0" t="0" r="0" b="6350"/>
            <wp:docPr id="3" name="Picture 1" descr="Figure 1. Schematic diagram of rFVIIIFc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5400040" cy="3213724"/>
                    </a:xfrm>
                    <a:prstGeom prst="rect">
                      <a:avLst/>
                    </a:prstGeom>
                    <a:noFill/>
                    <a:ln w="9525">
                      <a:noFill/>
                      <a:miter lim="800000"/>
                      <a:headEnd/>
                      <a:tailEnd/>
                    </a:ln>
                  </pic:spPr>
                </pic:pic>
              </a:graphicData>
            </a:graphic>
          </wp:inline>
        </w:drawing>
      </w:r>
    </w:p>
    <w:p w:rsidR="00156A0D" w:rsidRPr="00156A0D" w:rsidRDefault="00156A0D" w:rsidP="00611B92">
      <w:r w:rsidRPr="00156A0D">
        <w:t xml:space="preserve">During </w:t>
      </w:r>
      <w:r w:rsidR="00110D51">
        <w:t>culture</w:t>
      </w:r>
      <w:r w:rsidRPr="00156A0D">
        <w:t xml:space="preserve">, the majority of the FVIII moiety is processed </w:t>
      </w:r>
      <w:proofErr w:type="spellStart"/>
      <w:r w:rsidRPr="00156A0D">
        <w:t>intracellularly</w:t>
      </w:r>
      <w:proofErr w:type="spellEnd"/>
      <w:r w:rsidRPr="00156A0D">
        <w:t xml:space="preserve"> to generate an approximately</w:t>
      </w:r>
      <w:r w:rsidR="00156C0F">
        <w:t xml:space="preserve"> 90 </w:t>
      </w:r>
      <w:proofErr w:type="spellStart"/>
      <w:r w:rsidR="00156C0F">
        <w:t>kDa</w:t>
      </w:r>
      <w:proofErr w:type="spellEnd"/>
      <w:r w:rsidR="00156C0F">
        <w:t xml:space="preserve"> FVIII heavy chain</w:t>
      </w:r>
      <w:r w:rsidRPr="00156A0D">
        <w:t xml:space="preserve"> and an approximately 130 </w:t>
      </w:r>
      <w:proofErr w:type="spellStart"/>
      <w:r w:rsidRPr="00156A0D">
        <w:t>kDa</w:t>
      </w:r>
      <w:proofErr w:type="spellEnd"/>
      <w:r w:rsidR="001F7B43">
        <w:t xml:space="preserve"> FVIII light chain </w:t>
      </w:r>
      <w:r w:rsidRPr="00156A0D">
        <w:t>Fc fusion</w:t>
      </w:r>
      <w:r w:rsidR="00D80B40">
        <w:t xml:space="preserve"> (LC-Fc)</w:t>
      </w:r>
      <w:r>
        <w:t>. T</w:t>
      </w:r>
      <w:r w:rsidRPr="00156A0D">
        <w:t xml:space="preserve">he FVIII heavy chain remains associated to the LC-Fc </w:t>
      </w:r>
      <w:r w:rsidR="00B75541">
        <w:t xml:space="preserve">through metal ion dependent non </w:t>
      </w:r>
      <w:r w:rsidRPr="00156A0D">
        <w:t>covalent interactions.</w:t>
      </w:r>
    </w:p>
    <w:p w:rsidR="00567894" w:rsidRPr="00611B92" w:rsidRDefault="00567894" w:rsidP="00611B92">
      <w:pPr>
        <w:pStyle w:val="Heading4"/>
      </w:pPr>
      <w:r>
        <w:t>Manufacture</w:t>
      </w:r>
    </w:p>
    <w:p w:rsidR="00156A0D" w:rsidRDefault="00156A0D" w:rsidP="00611B92">
      <w:r w:rsidRPr="00156A0D">
        <w:t xml:space="preserve">One cell bank vial is used to produce one discrete batch of </w:t>
      </w:r>
      <w:proofErr w:type="spellStart"/>
      <w:r w:rsidRPr="00156A0D">
        <w:t>rFVIIIFc</w:t>
      </w:r>
      <w:proofErr w:type="spellEnd"/>
      <w:r w:rsidRPr="00156A0D">
        <w:t xml:space="preserve"> drug substance. It is prepared at the </w:t>
      </w:r>
      <w:r>
        <w:t>bioreactor</w:t>
      </w:r>
      <w:r w:rsidRPr="00156A0D">
        <w:t xml:space="preserve"> scale using media that are free of animal derived components</w:t>
      </w:r>
      <w:r w:rsidR="0056195E">
        <w:t xml:space="preserve">. </w:t>
      </w:r>
      <w:r>
        <w:lastRenderedPageBreak/>
        <w:t>Cell bank</w:t>
      </w:r>
      <w:r w:rsidR="0056195E">
        <w:t xml:space="preserve">ing processes are satisfactory. </w:t>
      </w:r>
      <w:r>
        <w:t>All v</w:t>
      </w:r>
      <w:r w:rsidR="00567894">
        <w:t>iral and prion safety issues hav</w:t>
      </w:r>
      <w:r>
        <w:t>e been addressed</w:t>
      </w:r>
      <w:r w:rsidR="00B87ABB">
        <w:t xml:space="preserve"> for the fermentation and purification processes</w:t>
      </w:r>
      <w:r>
        <w:t>.</w:t>
      </w:r>
    </w:p>
    <w:p w:rsidR="00B87ABB" w:rsidRPr="00611B92" w:rsidRDefault="00811D9D" w:rsidP="00611B92">
      <w:pPr>
        <w:pStyle w:val="Heading4"/>
      </w:pPr>
      <w:r>
        <w:t>Physical and c</w:t>
      </w:r>
      <w:r w:rsidR="00B87ABB">
        <w:t xml:space="preserve">hemical </w:t>
      </w:r>
      <w:r w:rsidRPr="00811D9D">
        <w:t>p</w:t>
      </w:r>
      <w:r w:rsidR="00B87ABB" w:rsidRPr="00811D9D">
        <w:t>roperties</w:t>
      </w:r>
    </w:p>
    <w:p w:rsidR="00B87ABB" w:rsidRDefault="00B87ABB" w:rsidP="00611B92">
      <w:r w:rsidRPr="00B87ABB">
        <w:t xml:space="preserve">The majority of </w:t>
      </w:r>
      <w:proofErr w:type="spellStart"/>
      <w:r w:rsidRPr="00B87ABB">
        <w:t>rFVIIIFc</w:t>
      </w:r>
      <w:proofErr w:type="spellEnd"/>
      <w:r w:rsidRPr="00B87ABB">
        <w:t xml:space="preserve"> is cleaved </w:t>
      </w:r>
      <w:proofErr w:type="spellStart"/>
      <w:r w:rsidRPr="00B87ABB">
        <w:t>intracellularly</w:t>
      </w:r>
      <w:proofErr w:type="spellEnd"/>
      <w:r w:rsidRPr="00B87ABB">
        <w:t xml:space="preserve">. </w:t>
      </w:r>
      <w:r>
        <w:t>T</w:t>
      </w:r>
      <w:r w:rsidR="005C79B1">
        <w:t>he non-</w:t>
      </w:r>
      <w:r w:rsidRPr="00B87ABB">
        <w:t>cleaved single chain form</w:t>
      </w:r>
      <w:r>
        <w:t>,</w:t>
      </w:r>
      <w:r w:rsidRPr="00B87ABB">
        <w:t xml:space="preserve"> referred to as </w:t>
      </w:r>
      <w:r w:rsidR="00C31285">
        <w:t xml:space="preserve">single chain </w:t>
      </w:r>
      <w:proofErr w:type="spellStart"/>
      <w:r w:rsidR="00C31285">
        <w:t>rFVIIIFc</w:t>
      </w:r>
      <w:proofErr w:type="spellEnd"/>
      <w:r w:rsidR="00C31285">
        <w:t xml:space="preserve"> (</w:t>
      </w:r>
      <w:proofErr w:type="spellStart"/>
      <w:r w:rsidR="00C31285" w:rsidRPr="00C31285">
        <w:t>SCrFVIIIFc</w:t>
      </w:r>
      <w:proofErr w:type="spellEnd"/>
      <w:r w:rsidR="00C31285">
        <w:t>)</w:t>
      </w:r>
      <w:r w:rsidR="00D80B40">
        <w:t xml:space="preserve"> </w:t>
      </w:r>
      <w:r>
        <w:t xml:space="preserve">The </w:t>
      </w:r>
      <w:proofErr w:type="spellStart"/>
      <w:r w:rsidR="00C31285" w:rsidRPr="00C31285">
        <w:t>SCrFVIIIFc</w:t>
      </w:r>
      <w:proofErr w:type="spellEnd"/>
      <w:r>
        <w:t xml:space="preserve"> </w:t>
      </w:r>
      <w:r w:rsidRPr="00B87ABB">
        <w:t>was isolated and extensively characterised and is active and generally comparable to the processed form, and is considered a product related substance.</w:t>
      </w:r>
    </w:p>
    <w:p w:rsidR="00B87ABB" w:rsidRDefault="00B87ABB" w:rsidP="00611B92">
      <w:proofErr w:type="spellStart"/>
      <w:proofErr w:type="gramStart"/>
      <w:r w:rsidRPr="00B87ABB">
        <w:t>rFVIIIFc</w:t>
      </w:r>
      <w:proofErr w:type="spellEnd"/>
      <w:proofErr w:type="gramEnd"/>
      <w:r w:rsidRPr="00B87ABB">
        <w:t xml:space="preserve"> activity was assessed using the FVIII coagulation assay based on </w:t>
      </w:r>
      <w:r w:rsidR="00C404B3" w:rsidRPr="00C404B3">
        <w:t xml:space="preserve">activated partial </w:t>
      </w:r>
      <w:proofErr w:type="spellStart"/>
      <w:r w:rsidR="00C404B3" w:rsidRPr="00C404B3">
        <w:t>thromboplastin</w:t>
      </w:r>
      <w:proofErr w:type="spellEnd"/>
      <w:r w:rsidR="00C404B3" w:rsidRPr="00C404B3">
        <w:t xml:space="preserve"> time </w:t>
      </w:r>
      <w:r w:rsidR="00C404B3">
        <w:t>(</w:t>
      </w:r>
      <w:proofErr w:type="spellStart"/>
      <w:r w:rsidRPr="00B87ABB">
        <w:t>aPTT</w:t>
      </w:r>
      <w:proofErr w:type="spellEnd"/>
      <w:r w:rsidR="00C404B3">
        <w:t>)</w:t>
      </w:r>
      <w:r w:rsidRPr="00B87ABB">
        <w:t xml:space="preserve">, the FVIII chromogenic assay, and an </w:t>
      </w:r>
      <w:proofErr w:type="spellStart"/>
      <w:r w:rsidRPr="00B87ABB">
        <w:t>FcRn</w:t>
      </w:r>
      <w:proofErr w:type="spellEnd"/>
      <w:r w:rsidRPr="00B87ABB">
        <w:t xml:space="preserve"> binding assay. In addition a number of functional characterisation assays were conducted on </w:t>
      </w:r>
      <w:proofErr w:type="spellStart"/>
      <w:r w:rsidRPr="00B87ABB">
        <w:t>rFVIIIFc</w:t>
      </w:r>
      <w:proofErr w:type="spellEnd"/>
      <w:r w:rsidRPr="00B87ABB">
        <w:t xml:space="preserve"> </w:t>
      </w:r>
      <w:r w:rsidR="00D80B40">
        <w:t>drug substance</w:t>
      </w:r>
      <w:r w:rsidRPr="00B87ABB">
        <w:t xml:space="preserve">. The primary structure agreed with the </w:t>
      </w:r>
      <w:r w:rsidR="00292503">
        <w:t xml:space="preserve">predicted </w:t>
      </w:r>
      <w:r w:rsidRPr="00B87ABB">
        <w:t xml:space="preserve">amino acid sequence. Sites of glycosylation were confirmed by peptide mapping. </w:t>
      </w:r>
      <w:proofErr w:type="spellStart"/>
      <w:proofErr w:type="gramStart"/>
      <w:r>
        <w:t>rFVIIIFc</w:t>
      </w:r>
      <w:proofErr w:type="spellEnd"/>
      <w:proofErr w:type="gramEnd"/>
      <w:r>
        <w:t xml:space="preserve"> post translat</w:t>
      </w:r>
      <w:r w:rsidR="00292503">
        <w:t xml:space="preserve">ional modifications include  </w:t>
      </w:r>
      <w:r w:rsidR="00B75541">
        <w:t xml:space="preserve">N </w:t>
      </w:r>
      <w:r>
        <w:t xml:space="preserve">linked glycosylation sites,  sulphated tyrosine residues, and removal </w:t>
      </w:r>
      <w:r w:rsidR="00292503">
        <w:t xml:space="preserve">of the lysine residues at the C </w:t>
      </w:r>
      <w:r>
        <w:t>termini of both peptide chains.</w:t>
      </w:r>
    </w:p>
    <w:p w:rsidR="00C51C2B" w:rsidRPr="00C51C2B" w:rsidRDefault="00C51C2B" w:rsidP="00611B92">
      <w:pPr>
        <w:pStyle w:val="Heading4"/>
      </w:pPr>
      <w:r w:rsidRPr="00C51C2B">
        <w:t>Specifications</w:t>
      </w:r>
    </w:p>
    <w:p w:rsidR="00C51C2B" w:rsidRDefault="00C51C2B" w:rsidP="00611B92">
      <w:r>
        <w:t>Appropriate validati</w:t>
      </w:r>
      <w:r w:rsidR="00DF5D13">
        <w:t xml:space="preserve">on data have been submitted in </w:t>
      </w:r>
      <w:r>
        <w:t xml:space="preserve">support of the test procedures for the proposed specifications, which control identity, content, </w:t>
      </w:r>
      <w:r w:rsidR="00292503">
        <w:t>biological activity (potency)</w:t>
      </w:r>
      <w:r>
        <w:t xml:space="preserve">, </w:t>
      </w:r>
      <w:r w:rsidR="00550533">
        <w:t>purity</w:t>
      </w:r>
      <w:r>
        <w:t xml:space="preserve"> and </w:t>
      </w:r>
      <w:r w:rsidR="00550533">
        <w:t>other</w:t>
      </w:r>
      <w:r>
        <w:t xml:space="preserve"> biological and physical properties of the drug substance relevant to the dose form and its intended clinical use.</w:t>
      </w:r>
    </w:p>
    <w:p w:rsidR="00C51C2B" w:rsidRDefault="00C51C2B" w:rsidP="00611B92">
      <w:pPr>
        <w:pStyle w:val="Heading4"/>
      </w:pPr>
      <w:r>
        <w:t>Stability</w:t>
      </w:r>
    </w:p>
    <w:p w:rsidR="00C51C2B" w:rsidRPr="00C51C2B" w:rsidRDefault="00C51C2B" w:rsidP="00611B92">
      <w:r>
        <w:t xml:space="preserve">Real time data </w:t>
      </w:r>
      <w:r w:rsidR="00550533">
        <w:t>support the shelf life</w:t>
      </w:r>
      <w:r w:rsidR="00110D51">
        <w:t xml:space="preserve"> </w:t>
      </w:r>
      <w:r w:rsidR="005C79B1">
        <w:t xml:space="preserve">for the drug substance </w:t>
      </w:r>
      <w:r w:rsidR="00B75541">
        <w:t>of 1 year at -70°</w:t>
      </w:r>
      <w:r w:rsidR="00110D51">
        <w:t>C</w:t>
      </w:r>
      <w:r w:rsidR="00550533">
        <w:t>.</w:t>
      </w:r>
    </w:p>
    <w:p w:rsidR="008E7846" w:rsidRDefault="008E7846" w:rsidP="00611B92">
      <w:pPr>
        <w:pStyle w:val="Heading3"/>
      </w:pPr>
      <w:bookmarkStart w:id="29" w:name="_Toc247691508"/>
      <w:bookmarkStart w:id="30" w:name="_Toc314842490"/>
      <w:bookmarkStart w:id="31" w:name="_Toc412817712"/>
      <w:r w:rsidRPr="008751DC">
        <w:t xml:space="preserve">Drug </w:t>
      </w:r>
      <w:r>
        <w:t>p</w:t>
      </w:r>
      <w:r w:rsidRPr="008751DC">
        <w:t>roduct</w:t>
      </w:r>
      <w:bookmarkEnd w:id="29"/>
      <w:bookmarkEnd w:id="30"/>
      <w:bookmarkEnd w:id="31"/>
    </w:p>
    <w:p w:rsidR="008E71E2" w:rsidRPr="008E71E2" w:rsidRDefault="008E71E2" w:rsidP="00611B92">
      <w:r w:rsidRPr="008E71E2">
        <w:t xml:space="preserve">The </w:t>
      </w:r>
      <w:proofErr w:type="spellStart"/>
      <w:r w:rsidRPr="008E71E2">
        <w:t>rFVIIIFc</w:t>
      </w:r>
      <w:proofErr w:type="spellEnd"/>
      <w:r w:rsidRPr="008E71E2">
        <w:t xml:space="preserve"> drug product is a sterile</w:t>
      </w:r>
      <w:r w:rsidR="00B75541">
        <w:t xml:space="preserve">, non </w:t>
      </w:r>
      <w:r w:rsidR="00FF384B">
        <w:t xml:space="preserve">pyrogenic, single use, </w:t>
      </w:r>
      <w:r w:rsidR="00B75541">
        <w:t xml:space="preserve">preservative free, white to off </w:t>
      </w:r>
      <w:r w:rsidR="00FF384B">
        <w:t xml:space="preserve">white, </w:t>
      </w:r>
      <w:r w:rsidRPr="008E71E2">
        <w:t xml:space="preserve">lyophilized powder for injection for </w:t>
      </w:r>
      <w:r w:rsidR="00B357EE">
        <w:t>IV</w:t>
      </w:r>
      <w:r w:rsidRPr="008E71E2">
        <w:t xml:space="preserve"> infusion</w:t>
      </w:r>
      <w:r w:rsidR="00FF384B">
        <w:t xml:space="preserve"> in a single use vial</w:t>
      </w:r>
      <w:r w:rsidRPr="008E71E2">
        <w:t xml:space="preserve">. </w:t>
      </w:r>
      <w:r w:rsidR="00FF384B">
        <w:t xml:space="preserve">Each vial contains nominally 250 </w:t>
      </w:r>
      <w:r w:rsidR="009E5C37">
        <w:t>IU, 500</w:t>
      </w:r>
      <w:r w:rsidR="00FF384B">
        <w:t xml:space="preserve"> IU, 750 IU, 1000 IU, 1500 IU</w:t>
      </w:r>
      <w:r w:rsidR="00FC631B">
        <w:t>, 2000 IU</w:t>
      </w:r>
      <w:r w:rsidR="00FF384B">
        <w:t xml:space="preserve"> or 3000 IU</w:t>
      </w:r>
      <w:r w:rsidR="008C35FC">
        <w:t xml:space="preserve"> of </w:t>
      </w:r>
      <w:proofErr w:type="spellStart"/>
      <w:r w:rsidR="008C35FC">
        <w:t>r</w:t>
      </w:r>
      <w:r w:rsidR="00FF384B">
        <w:t>FVIIIFc</w:t>
      </w:r>
      <w:proofErr w:type="spellEnd"/>
      <w:r w:rsidR="008C35FC">
        <w:t xml:space="preserve"> and is presented in a kit containing </w:t>
      </w:r>
      <w:r w:rsidR="00B75541">
        <w:t>a vial adapter and a pre</w:t>
      </w:r>
      <w:r w:rsidR="008C35FC">
        <w:t>filled diluent s</w:t>
      </w:r>
      <w:r w:rsidR="00297D96">
        <w:t>yringe with 3</w:t>
      </w:r>
      <w:r w:rsidR="004C7AE7">
        <w:t xml:space="preserve"> </w:t>
      </w:r>
      <w:r w:rsidR="00297D96">
        <w:t xml:space="preserve">mL of sterile </w:t>
      </w:r>
      <w:r w:rsidR="00B75541">
        <w:t>water for injection (</w:t>
      </w:r>
      <w:r w:rsidR="00297D96">
        <w:t>WFI</w:t>
      </w:r>
      <w:r w:rsidR="00B75541">
        <w:t>)</w:t>
      </w:r>
      <w:r w:rsidR="00297D96">
        <w:t>.</w:t>
      </w:r>
    </w:p>
    <w:p w:rsidR="00940A89" w:rsidRDefault="00FF384B" w:rsidP="00611B92">
      <w:r w:rsidRPr="00FF384B">
        <w:t xml:space="preserve">The </w:t>
      </w:r>
      <w:proofErr w:type="spellStart"/>
      <w:r w:rsidR="008C35FC">
        <w:t>rFVIIIFc</w:t>
      </w:r>
      <w:proofErr w:type="spellEnd"/>
      <w:r w:rsidR="008C35FC">
        <w:t xml:space="preserve"> drug product is lyophilised in a </w:t>
      </w:r>
      <w:r w:rsidRPr="00FF384B">
        <w:t xml:space="preserve">Type I glass vial closed with a </w:t>
      </w:r>
      <w:proofErr w:type="spellStart"/>
      <w:proofErr w:type="gramStart"/>
      <w:r w:rsidR="00D80B40">
        <w:t>t</w:t>
      </w:r>
      <w:r w:rsidR="005C79B1">
        <w:t>eflon</w:t>
      </w:r>
      <w:proofErr w:type="spellEnd"/>
      <w:proofErr w:type="gramEnd"/>
      <w:r w:rsidR="005C79B1">
        <w:t xml:space="preserve"> </w:t>
      </w:r>
      <w:r w:rsidR="00297D96">
        <w:t xml:space="preserve">coated </w:t>
      </w:r>
      <w:proofErr w:type="spellStart"/>
      <w:r w:rsidR="00297D96">
        <w:t>chlorobutyl</w:t>
      </w:r>
      <w:proofErr w:type="spellEnd"/>
      <w:r w:rsidRPr="00FF384B">
        <w:t xml:space="preserve"> stopper and sealed with a 20</w:t>
      </w:r>
      <w:r>
        <w:t xml:space="preserve"> </w:t>
      </w:r>
      <w:r w:rsidR="00B75541">
        <w:t xml:space="preserve">mm aluminium flip </w:t>
      </w:r>
      <w:r w:rsidRPr="00FF384B">
        <w:t>off crimp seal</w:t>
      </w:r>
      <w:r w:rsidR="008C35FC">
        <w:t>,</w:t>
      </w:r>
      <w:r w:rsidRPr="00FF384B">
        <w:t xml:space="preserve"> with different colours used for different dose strengths.</w:t>
      </w:r>
    </w:p>
    <w:p w:rsidR="00297D96" w:rsidRPr="00297D96" w:rsidRDefault="00297D96" w:rsidP="00611B92">
      <w:r w:rsidRPr="00297D96">
        <w:t xml:space="preserve">The product is reconstituted for use by connecting the prefilled diluent syringe and the product vial using the vial adaptor. The diluent is then added to the powder and the product allowed to dissolve (clear instructions are provided regarding not to shake). Once dissolved the product is returned to the syringe and used as soon as possible. In use data supports the storage of resuspended product </w:t>
      </w:r>
      <w:r>
        <w:t>as described in the PI</w:t>
      </w:r>
      <w:r w:rsidRPr="00297D96">
        <w:t>.</w:t>
      </w:r>
    </w:p>
    <w:p w:rsidR="008C35FC" w:rsidRDefault="008C35FC" w:rsidP="00611B92">
      <w:pPr>
        <w:pStyle w:val="Heading4"/>
      </w:pPr>
      <w:r>
        <w:t>Manufacture</w:t>
      </w:r>
    </w:p>
    <w:p w:rsidR="008C35FC" w:rsidRDefault="008C35FC" w:rsidP="00611B92">
      <w:r>
        <w:t>Information was evaluated on the manufacturing process, including sterilisation</w:t>
      </w:r>
      <w:r w:rsidR="005C79B1">
        <w:t>, lyophilisation</w:t>
      </w:r>
      <w:r>
        <w:t xml:space="preserve"> and filtration steps.</w:t>
      </w:r>
    </w:p>
    <w:p w:rsidR="00F61AB4" w:rsidRPr="00611B92" w:rsidRDefault="00F61AB4" w:rsidP="00611B92">
      <w:pPr>
        <w:pStyle w:val="Heading4"/>
      </w:pPr>
      <w:r>
        <w:lastRenderedPageBreak/>
        <w:t>Specifications</w:t>
      </w:r>
    </w:p>
    <w:p w:rsidR="00F61AB4" w:rsidRDefault="00F61AB4" w:rsidP="00611B92">
      <w:r>
        <w:t>The proposed specifications, which control identity, potency, purity, dose delivery and other physical, chemical and microbiological properties relevant to the clinical use of the product have been evaluated.</w:t>
      </w:r>
    </w:p>
    <w:p w:rsidR="00425B07" w:rsidRDefault="00F61AB4" w:rsidP="00611B92">
      <w:r>
        <w:t xml:space="preserve">The same specifications are applied for all the drug product strengths except for </w:t>
      </w:r>
      <w:r w:rsidR="00E64D82">
        <w:t xml:space="preserve">protein concentration, quantity of </w:t>
      </w:r>
      <w:proofErr w:type="spellStart"/>
      <w:r w:rsidR="00E64D82">
        <w:t>rFVIIIFc</w:t>
      </w:r>
      <w:proofErr w:type="spellEnd"/>
      <w:r w:rsidR="00E64D82">
        <w:t xml:space="preserve"> per vial</w:t>
      </w:r>
      <w:r>
        <w:t xml:space="preserve"> </w:t>
      </w:r>
      <w:r w:rsidR="00E64D82">
        <w:t xml:space="preserve">(as measured by </w:t>
      </w:r>
      <w:r w:rsidR="00297D96">
        <w:t xml:space="preserve">chromogenic </w:t>
      </w:r>
      <w:r w:rsidR="00E64D82">
        <w:t>coagulation activity</w:t>
      </w:r>
      <w:r w:rsidR="00297D96">
        <w:t xml:space="preserve"> assay</w:t>
      </w:r>
      <w:r w:rsidR="00E64D82">
        <w:t>), and endotoxin.</w:t>
      </w:r>
    </w:p>
    <w:p w:rsidR="00E64D82" w:rsidRDefault="00E64D82" w:rsidP="00611B92">
      <w:pPr>
        <w:pStyle w:val="Heading4"/>
      </w:pPr>
      <w:r>
        <w:t>Stability</w:t>
      </w:r>
    </w:p>
    <w:p w:rsidR="00E64D82" w:rsidRDefault="00E64D82" w:rsidP="00611B92">
      <w:r>
        <w:t xml:space="preserve">Stability data have been generated under stressed and real time conditions to characterise the stability profile of the product. </w:t>
      </w:r>
      <w:r w:rsidRPr="00E64D82">
        <w:t xml:space="preserve">The product is not </w:t>
      </w:r>
      <w:proofErr w:type="spellStart"/>
      <w:r w:rsidRPr="00E64D82">
        <w:t>photostable</w:t>
      </w:r>
      <w:proofErr w:type="spellEnd"/>
      <w:r w:rsidRPr="00E64D82">
        <w:t xml:space="preserve"> and should be protected from light. </w:t>
      </w:r>
      <w:r w:rsidR="00B75541">
        <w:t>The lyophilis</w:t>
      </w:r>
      <w:r w:rsidRPr="00E64D82">
        <w:t>ed product is stable when frozen</w:t>
      </w:r>
      <w:r w:rsidR="00FC631B">
        <w:t>. T</w:t>
      </w:r>
      <w:r w:rsidRPr="00E64D82">
        <w:t>he diluent syringe must not be frozen and as they are supplied in the same package</w:t>
      </w:r>
      <w:r w:rsidR="00DF5D13">
        <w:t>,</w:t>
      </w:r>
      <w:r w:rsidRPr="00E64D82">
        <w:t xml:space="preserve"> the storage conditions </w:t>
      </w:r>
      <w:r w:rsidR="00F1021C">
        <w:t>are stipulated on the packaging.</w:t>
      </w:r>
    </w:p>
    <w:p w:rsidR="00F1021C" w:rsidRDefault="00F1021C" w:rsidP="00611B92">
      <w:r>
        <w:t xml:space="preserve">The recommended shelf life is </w:t>
      </w:r>
      <w:r w:rsidR="00B75541">
        <w:t>12 months when stored at 2°</w:t>
      </w:r>
      <w:r w:rsidR="00FB4135">
        <w:t>C to 8</w:t>
      </w:r>
      <w:r w:rsidR="00B75541">
        <w:t>°</w:t>
      </w:r>
      <w:r w:rsidR="00FB4135">
        <w:t xml:space="preserve">C </w:t>
      </w:r>
      <w:r w:rsidR="00BB374B">
        <w:t>which is less than that proposed by the sponsor.</w:t>
      </w:r>
      <w:r w:rsidR="00D80B40">
        <w:t xml:space="preserve"> There was</w:t>
      </w:r>
      <w:r w:rsidR="00425B07">
        <w:t xml:space="preserve"> insufficient data to support the storage of the product for 6 months at room temperature. No variations in storage temperature during shipping have been approved.</w:t>
      </w:r>
    </w:p>
    <w:p w:rsidR="00F1021C" w:rsidRDefault="00F1021C" w:rsidP="00611B92">
      <w:r>
        <w:t xml:space="preserve">In use stability data </w:t>
      </w:r>
      <w:r w:rsidR="00297D96">
        <w:t>support the</w:t>
      </w:r>
      <w:r>
        <w:t xml:space="preserve"> in use conditions described in the PI.</w:t>
      </w:r>
    </w:p>
    <w:p w:rsidR="00081A7C" w:rsidRDefault="00081A7C" w:rsidP="00611B92">
      <w:pPr>
        <w:pStyle w:val="Heading4"/>
      </w:pPr>
      <w:r>
        <w:t>Labelling, packaging and documentation</w:t>
      </w:r>
    </w:p>
    <w:p w:rsidR="00081A7C" w:rsidRPr="00081A7C" w:rsidRDefault="005C79B1" w:rsidP="00611B92">
      <w:r w:rsidRPr="00BC46F8">
        <w:t>Updated labelling, packaging and PI documents were provided in response to requests from TGA for revisions to quality aspects</w:t>
      </w:r>
      <w:r w:rsidR="004972E7">
        <w:t xml:space="preserve"> and are considered acceptable.</w:t>
      </w:r>
    </w:p>
    <w:p w:rsidR="008E7846" w:rsidRPr="007C1165" w:rsidRDefault="008E7846" w:rsidP="00611B92">
      <w:pPr>
        <w:pStyle w:val="Heading3"/>
      </w:pPr>
      <w:bookmarkStart w:id="32" w:name="_Toc247691509"/>
      <w:bookmarkStart w:id="33" w:name="_Toc314842493"/>
      <w:bookmarkStart w:id="34" w:name="_Toc412817713"/>
      <w:r w:rsidRPr="007C1165">
        <w:t>Quality summary and conclusions</w:t>
      </w:r>
      <w:bookmarkEnd w:id="32"/>
      <w:bookmarkEnd w:id="33"/>
      <w:bookmarkEnd w:id="34"/>
    </w:p>
    <w:p w:rsidR="00AE6C36" w:rsidRPr="00AE6C36" w:rsidRDefault="00CF7B6C" w:rsidP="00611B92">
      <w:r w:rsidRPr="007C1165">
        <w:t>The administrative, product usage, chemical, pharmaceutical</w:t>
      </w:r>
      <w:r w:rsidR="002F2BF6">
        <w:t xml:space="preserve"> and </w:t>
      </w:r>
      <w:r w:rsidRPr="007C1165">
        <w:t xml:space="preserve">microbiological data submitted in support of this application have been evaluated in accordance with the Australian legislation, </w:t>
      </w:r>
      <w:proofErr w:type="spellStart"/>
      <w:r w:rsidRPr="007C1165">
        <w:t>pharmacopoeial</w:t>
      </w:r>
      <w:proofErr w:type="spellEnd"/>
      <w:r w:rsidRPr="007C1165">
        <w:t xml:space="preserve"> standards and relevant technical</w:t>
      </w:r>
      <w:r w:rsidR="008E204B">
        <w:t xml:space="preserve"> guidelines adopted by the TGA.</w:t>
      </w:r>
    </w:p>
    <w:p w:rsidR="00AE6C36" w:rsidRPr="00B831DA" w:rsidRDefault="00AE6C36" w:rsidP="00611B92">
      <w:r w:rsidRPr="00B831DA">
        <w:t xml:space="preserve">The use of Schott vials has not been supported by sufficient data and at this stage is not recommended for approval (the approved vials are manufactured by </w:t>
      </w:r>
      <w:proofErr w:type="spellStart"/>
      <w:r w:rsidRPr="00B831DA">
        <w:t>Nipro</w:t>
      </w:r>
      <w:proofErr w:type="spellEnd"/>
      <w:r w:rsidRPr="00B831DA">
        <w:t>)</w:t>
      </w:r>
      <w:r w:rsidR="007F33B3">
        <w:t>.</w:t>
      </w:r>
    </w:p>
    <w:p w:rsidR="00CF7B6C" w:rsidRDefault="006E6D9E" w:rsidP="00611B92">
      <w:bookmarkStart w:id="35" w:name="_Toc196046439"/>
      <w:bookmarkStart w:id="36" w:name="_Toc247691510"/>
      <w:bookmarkStart w:id="37" w:name="_Toc314842494"/>
      <w:r>
        <w:t>The m</w:t>
      </w:r>
      <w:r w:rsidR="00CF7B6C" w:rsidRPr="00CF7B6C">
        <w:t xml:space="preserve">odule 3 </w:t>
      </w:r>
      <w:r w:rsidR="00B831DA">
        <w:t xml:space="preserve">(quality) </w:t>
      </w:r>
      <w:r w:rsidR="00CF7B6C" w:rsidRPr="00CF7B6C">
        <w:t xml:space="preserve">evaluators recommended that </w:t>
      </w:r>
      <w:proofErr w:type="spellStart"/>
      <w:r w:rsidR="00CF7B6C">
        <w:t>Eloctate</w:t>
      </w:r>
      <w:proofErr w:type="spellEnd"/>
      <w:r w:rsidR="00CF7B6C">
        <w:t xml:space="preserve"> (</w:t>
      </w:r>
      <w:proofErr w:type="spellStart"/>
      <w:r w:rsidR="000D43F9">
        <w:t>efmoroctocog</w:t>
      </w:r>
      <w:proofErr w:type="spellEnd"/>
      <w:r w:rsidR="00CF7B6C">
        <w:t xml:space="preserve"> </w:t>
      </w:r>
      <w:proofErr w:type="spellStart"/>
      <w:r w:rsidR="00CF7B6C">
        <w:t>alfa</w:t>
      </w:r>
      <w:proofErr w:type="spellEnd"/>
      <w:r w:rsidR="00CF7B6C">
        <w:t xml:space="preserve"> (</w:t>
      </w:r>
      <w:proofErr w:type="spellStart"/>
      <w:r w:rsidR="00CF7B6C">
        <w:t>rhu</w:t>
      </w:r>
      <w:proofErr w:type="spellEnd"/>
      <w:r w:rsidR="00CF7B6C">
        <w:t xml:space="preserve">)) </w:t>
      </w:r>
      <w:r w:rsidR="007C1165" w:rsidRPr="007C1165">
        <w:t>250 IU, 500 IU, 750 IU, 1000 IU, 1500 IU, 2000 IU and 3000 IU</w:t>
      </w:r>
      <w:r w:rsidR="00CF7B6C" w:rsidRPr="00CF7B6C">
        <w:t xml:space="preserve"> powder for injection vial plus diluent </w:t>
      </w:r>
      <w:r w:rsidR="007C1165">
        <w:t xml:space="preserve">syringe </w:t>
      </w:r>
      <w:r w:rsidR="00CF7B6C" w:rsidRPr="00CF7B6C">
        <w:t>should be approved with the inclusion of specific registration conditions relating to batch release</w:t>
      </w:r>
      <w:r w:rsidR="008E204B">
        <w:t>,</w:t>
      </w:r>
      <w:r w:rsidR="00CF7B6C" w:rsidRPr="00CF7B6C">
        <w:t xml:space="preserve"> testing and certified product details. Details of these conditions are beyond the scope of the </w:t>
      </w:r>
      <w:proofErr w:type="spellStart"/>
      <w:r w:rsidR="00CF7B6C" w:rsidRPr="00CF7B6C">
        <w:t>AusPAR</w:t>
      </w:r>
      <w:proofErr w:type="spellEnd"/>
      <w:r w:rsidR="00CF7B6C" w:rsidRPr="00CF7B6C">
        <w:t>.</w:t>
      </w:r>
    </w:p>
    <w:p w:rsidR="008E7846" w:rsidRDefault="008E7846" w:rsidP="00611B92">
      <w:pPr>
        <w:pStyle w:val="Heading2"/>
      </w:pPr>
      <w:bookmarkStart w:id="38" w:name="_Toc412817714"/>
      <w:r>
        <w:t>III. Nonclinical</w:t>
      </w:r>
      <w:bookmarkEnd w:id="35"/>
      <w:r>
        <w:t xml:space="preserve"> </w:t>
      </w:r>
      <w:r w:rsidRPr="00611B92">
        <w:t>findings</w:t>
      </w:r>
      <w:bookmarkEnd w:id="36"/>
      <w:bookmarkEnd w:id="37"/>
      <w:bookmarkEnd w:id="38"/>
    </w:p>
    <w:p w:rsidR="008E7846" w:rsidRPr="00611B92" w:rsidRDefault="008E7846" w:rsidP="00611B92">
      <w:pPr>
        <w:pStyle w:val="Heading3"/>
      </w:pPr>
      <w:bookmarkStart w:id="39" w:name="_Toc247691511"/>
      <w:bookmarkStart w:id="40" w:name="_Toc314842495"/>
      <w:bookmarkStart w:id="41" w:name="_Toc412817715"/>
      <w:r>
        <w:t>Introduction</w:t>
      </w:r>
      <w:bookmarkEnd w:id="39"/>
      <w:bookmarkEnd w:id="40"/>
      <w:bookmarkEnd w:id="41"/>
    </w:p>
    <w:p w:rsidR="009353B7" w:rsidRPr="00611B92" w:rsidRDefault="009353B7" w:rsidP="00611B92">
      <w:pPr>
        <w:pStyle w:val="Heading4"/>
      </w:pPr>
      <w:bookmarkStart w:id="42" w:name="_Toc294861722"/>
      <w:bookmarkStart w:id="43" w:name="_Toc295290864"/>
      <w:bookmarkStart w:id="44" w:name="_Toc379379172"/>
      <w:r w:rsidRPr="009353B7">
        <w:t>General comments</w:t>
      </w:r>
      <w:bookmarkEnd w:id="42"/>
      <w:bookmarkEnd w:id="43"/>
      <w:bookmarkEnd w:id="44"/>
    </w:p>
    <w:p w:rsidR="009353B7" w:rsidRPr="009353B7" w:rsidRDefault="009353B7" w:rsidP="00611B92">
      <w:r w:rsidRPr="009353B7">
        <w:t xml:space="preserve">The quality of the nonclinical studies was generally satisfactory with most studies performed according to </w:t>
      </w:r>
      <w:r w:rsidR="00B357EE" w:rsidRPr="00B357EE">
        <w:t xml:space="preserve">good laboratory practice </w:t>
      </w:r>
      <w:r w:rsidR="00B357EE">
        <w:t>(</w:t>
      </w:r>
      <w:r w:rsidRPr="009353B7">
        <w:t>GLP</w:t>
      </w:r>
      <w:r w:rsidR="00B357EE">
        <w:t>)</w:t>
      </w:r>
      <w:r w:rsidRPr="009353B7">
        <w:t xml:space="preserve"> </w:t>
      </w:r>
      <w:r w:rsidR="00B831DA">
        <w:t xml:space="preserve">principles </w:t>
      </w:r>
      <w:r w:rsidRPr="009353B7">
        <w:t xml:space="preserve">and protocols were consistent with the </w:t>
      </w:r>
      <w:r w:rsidR="009E47A9" w:rsidRPr="009E47A9">
        <w:t xml:space="preserve">International Conference on </w:t>
      </w:r>
      <w:r w:rsidR="00B831DA" w:rsidRPr="00B831DA">
        <w:t xml:space="preserve">Harmonisation </w:t>
      </w:r>
      <w:r w:rsidR="00B831DA" w:rsidRPr="00B831DA">
        <w:rPr>
          <w:lang w:val="en"/>
        </w:rPr>
        <w:t xml:space="preserve">of Technical Requirements </w:t>
      </w:r>
      <w:r w:rsidR="00B831DA" w:rsidRPr="00B831DA">
        <w:rPr>
          <w:lang w:val="en"/>
        </w:rPr>
        <w:lastRenderedPageBreak/>
        <w:t>for Registration of Pharmaceuticals for Human Use</w:t>
      </w:r>
      <w:r w:rsidR="009E47A9" w:rsidRPr="009E47A9">
        <w:t xml:space="preserve"> </w:t>
      </w:r>
      <w:r w:rsidR="009E47A9">
        <w:t>(</w:t>
      </w:r>
      <w:r w:rsidRPr="009353B7">
        <w:t>ICH</w:t>
      </w:r>
      <w:r w:rsidR="009E47A9">
        <w:t>)</w:t>
      </w:r>
      <w:r w:rsidRPr="009353B7">
        <w:t xml:space="preserve"> guideline for biotechnology-derived therapeutic products (ICH S6</w:t>
      </w:r>
      <w:r w:rsidR="00B831DA">
        <w:rPr>
          <w:rStyle w:val="FootnoteReference"/>
        </w:rPr>
        <w:footnoteReference w:id="4"/>
      </w:r>
      <w:r w:rsidRPr="009353B7">
        <w:t xml:space="preserve">). All animal </w:t>
      </w:r>
      <w:r w:rsidR="00B357EE">
        <w:t>studies used the clinical route (IV</w:t>
      </w:r>
      <w:r w:rsidRPr="009353B7">
        <w:t xml:space="preserve"> administration). The nonclinical testing strategy focussed on the extended elimination half-life of </w:t>
      </w:r>
      <w:proofErr w:type="spellStart"/>
      <w:r w:rsidR="0040015B" w:rsidRPr="006A3D7A">
        <w:t>rFVIIIFc</w:t>
      </w:r>
      <w:proofErr w:type="spellEnd"/>
      <w:r w:rsidR="0040015B" w:rsidRPr="006A3D7A">
        <w:t xml:space="preserve"> </w:t>
      </w:r>
      <w:r w:rsidRPr="009353B7">
        <w:t>relative to existing registered recombinant FVIII products (</w:t>
      </w:r>
      <w:r>
        <w:t xml:space="preserve">for example, </w:t>
      </w:r>
      <w:proofErr w:type="spellStart"/>
      <w:r w:rsidRPr="009353B7">
        <w:t>Advate</w:t>
      </w:r>
      <w:proofErr w:type="spellEnd"/>
      <w:r w:rsidRPr="009353B7">
        <w:t xml:space="preserve"> and </w:t>
      </w:r>
      <w:proofErr w:type="spellStart"/>
      <w:r w:rsidRPr="009353B7">
        <w:t>Xyntha</w:t>
      </w:r>
      <w:proofErr w:type="spellEnd"/>
      <w:r w:rsidRPr="009353B7">
        <w:t>/</w:t>
      </w:r>
      <w:proofErr w:type="spellStart"/>
      <w:r w:rsidRPr="009353B7">
        <w:t>ReFacto</w:t>
      </w:r>
      <w:proofErr w:type="spellEnd"/>
      <w:r w:rsidRPr="009353B7">
        <w:t xml:space="preserve">), with a number of primary pharmacology and pharmacokinetic </w:t>
      </w:r>
      <w:r w:rsidR="003C3118">
        <w:t xml:space="preserve">(PK) </w:t>
      </w:r>
      <w:r w:rsidRPr="009353B7">
        <w:t xml:space="preserve">studies that compared clotting times and activity. These studies demonstrated pharmacological responsiveness to </w:t>
      </w:r>
      <w:proofErr w:type="spellStart"/>
      <w:r w:rsidR="0040015B" w:rsidRPr="0040015B">
        <w:t>rFVIIIFc</w:t>
      </w:r>
      <w:proofErr w:type="spellEnd"/>
      <w:r w:rsidR="0040015B" w:rsidRPr="0040015B">
        <w:t xml:space="preserve"> </w:t>
      </w:r>
      <w:r w:rsidRPr="009353B7">
        <w:t xml:space="preserve">in all tested species, including the rat and </w:t>
      </w:r>
      <w:proofErr w:type="spellStart"/>
      <w:r w:rsidRPr="009353B7">
        <w:t>cynomolgus</w:t>
      </w:r>
      <w:proofErr w:type="spellEnd"/>
      <w:r w:rsidRPr="009353B7">
        <w:t xml:space="preserve"> monkey, which were used in the GLP repeat dose toxicity studies. Determination of safety pharmacology parameters were incorporated into the repeat dose toxicity studies. All repeat dose toxicity studies also monitored antibody development. Local tolerance was assessed in the repeat dose toxicity studies.</w:t>
      </w:r>
    </w:p>
    <w:p w:rsidR="009353B7" w:rsidRPr="00611B92" w:rsidRDefault="009353B7" w:rsidP="00611B92">
      <w:pPr>
        <w:pStyle w:val="Heading5"/>
      </w:pPr>
      <w:bookmarkStart w:id="45" w:name="_Toc379379173"/>
      <w:r w:rsidRPr="009353B7">
        <w:t>Comparability of manufactured batches</w:t>
      </w:r>
      <w:bookmarkEnd w:id="45"/>
    </w:p>
    <w:p w:rsidR="009353B7" w:rsidRPr="009353B7" w:rsidRDefault="00745B63" w:rsidP="00611B92">
      <w:r>
        <w:t>Information on the c</w:t>
      </w:r>
      <w:r w:rsidR="009353B7" w:rsidRPr="009353B7">
        <w:t xml:space="preserve">ommonality of the manufactured batches used in the nonclinical studies to those used in clinical studies </w:t>
      </w:r>
      <w:r>
        <w:t>was provided</w:t>
      </w:r>
      <w:r w:rsidR="009353B7" w:rsidRPr="009353B7">
        <w:t xml:space="preserve">. These batches demonstrated comparable clotting activities/efficacies, </w:t>
      </w:r>
      <w:r w:rsidR="003C3118">
        <w:t>PK</w:t>
      </w:r>
      <w:r w:rsidR="009353B7" w:rsidRPr="009353B7">
        <w:t xml:space="preserve"> profiles and tolerance potentials. Studies used either the frozen liquid formulation of </w:t>
      </w:r>
      <w:proofErr w:type="spellStart"/>
      <w:r w:rsidR="0040015B" w:rsidRPr="0040015B">
        <w:t>rFVIIIFc</w:t>
      </w:r>
      <w:proofErr w:type="spellEnd"/>
      <w:r w:rsidR="0040015B" w:rsidRPr="0040015B">
        <w:t xml:space="preserve"> </w:t>
      </w:r>
      <w:r w:rsidR="009353B7" w:rsidRPr="009353B7">
        <w:t xml:space="preserve">or the lyophilised </w:t>
      </w:r>
      <w:r w:rsidR="007C1165">
        <w:t>forms</w:t>
      </w:r>
      <w:r w:rsidR="009353B7" w:rsidRPr="009353B7">
        <w:t>. Of the two lyophilised formulations</w:t>
      </w:r>
      <w:r>
        <w:t>, the former was used in Phase III</w:t>
      </w:r>
      <w:r w:rsidR="009353B7" w:rsidRPr="009353B7">
        <w:t xml:space="preserve"> clinical studies as well as the second GLP monkey study, and the latter, proposed as the commercial use product, was examined in an immunogenicity study in </w:t>
      </w:r>
      <w:r w:rsidR="00D75D9F" w:rsidRPr="00D75D9F">
        <w:t xml:space="preserve">FVIII deficient </w:t>
      </w:r>
      <w:r w:rsidR="00D75D9F">
        <w:t>(</w:t>
      </w:r>
      <w:r w:rsidR="009353B7" w:rsidRPr="009353B7">
        <w:t>Hem A</w:t>
      </w:r>
      <w:r w:rsidR="00D75D9F">
        <w:t>)</w:t>
      </w:r>
      <w:r w:rsidR="009353B7" w:rsidRPr="009353B7">
        <w:t xml:space="preserve"> mice.</w:t>
      </w:r>
    </w:p>
    <w:p w:rsidR="008E7846" w:rsidRDefault="008E7846" w:rsidP="00611B92">
      <w:pPr>
        <w:pStyle w:val="Heading3"/>
      </w:pPr>
      <w:bookmarkStart w:id="46" w:name="_Toc247691512"/>
      <w:bookmarkStart w:id="47" w:name="_Toc314842496"/>
      <w:bookmarkStart w:id="48" w:name="_Toc412817716"/>
      <w:r w:rsidRPr="00020030">
        <w:t>Pharmacology</w:t>
      </w:r>
      <w:bookmarkEnd w:id="46"/>
      <w:bookmarkEnd w:id="47"/>
      <w:bookmarkEnd w:id="48"/>
    </w:p>
    <w:p w:rsidR="009353B7" w:rsidRPr="009353B7" w:rsidRDefault="009353B7" w:rsidP="00611B92">
      <w:pPr>
        <w:pStyle w:val="Heading4"/>
      </w:pPr>
      <w:r w:rsidRPr="009353B7">
        <w:t>Primary pharmacology</w:t>
      </w:r>
    </w:p>
    <w:p w:rsidR="009353B7" w:rsidRPr="00745B63" w:rsidRDefault="006E6D9E" w:rsidP="00611B92">
      <w:r>
        <w:t xml:space="preserve">Studies using surface </w:t>
      </w:r>
      <w:proofErr w:type="spellStart"/>
      <w:r>
        <w:t>plasmon</w:t>
      </w:r>
      <w:proofErr w:type="spellEnd"/>
      <w:r>
        <w:t xml:space="preserve"> r</w:t>
      </w:r>
      <w:r w:rsidR="009353B7" w:rsidRPr="00745B63">
        <w:t xml:space="preserve">esonance techniques demonstrated binding of </w:t>
      </w:r>
      <w:proofErr w:type="spellStart"/>
      <w:r w:rsidR="0040015B" w:rsidRPr="0040015B">
        <w:t>rFVIIIFc</w:t>
      </w:r>
      <w:proofErr w:type="spellEnd"/>
      <w:r w:rsidR="0040015B" w:rsidRPr="0040015B">
        <w:t xml:space="preserve"> </w:t>
      </w:r>
      <w:r w:rsidR="009353B7" w:rsidRPr="00745B63">
        <w:t xml:space="preserve">to mouse, rat, </w:t>
      </w:r>
      <w:proofErr w:type="spellStart"/>
      <w:r w:rsidR="009353B7" w:rsidRPr="00745B63">
        <w:t>cynomolgus</w:t>
      </w:r>
      <w:proofErr w:type="spellEnd"/>
      <w:r w:rsidR="009353B7" w:rsidRPr="00745B63">
        <w:t xml:space="preserve"> monkey and human </w:t>
      </w:r>
      <w:r w:rsidR="003C3118">
        <w:t>Fc receptor (</w:t>
      </w:r>
      <w:proofErr w:type="spellStart"/>
      <w:r w:rsidR="00F659F8">
        <w:t>FcRn</w:t>
      </w:r>
      <w:proofErr w:type="spellEnd"/>
      <w:r w:rsidR="003C3118">
        <w:t>)</w:t>
      </w:r>
      <w:r w:rsidR="009353B7" w:rsidRPr="00745B63">
        <w:t xml:space="preserve"> (affinities calculated as </w:t>
      </w:r>
      <w:r w:rsidR="00934854">
        <w:t>50% effective concentration (</w:t>
      </w:r>
      <w:r w:rsidR="009353B7" w:rsidRPr="00745B63">
        <w:t>EC</w:t>
      </w:r>
      <w:r w:rsidR="009353B7" w:rsidRPr="00934854">
        <w:rPr>
          <w:vertAlign w:val="subscript"/>
        </w:rPr>
        <w:t>50</w:t>
      </w:r>
      <w:r w:rsidR="00934854" w:rsidRPr="003C3118">
        <w:t>)</w:t>
      </w:r>
      <w:r w:rsidR="009353B7" w:rsidRPr="00745B63">
        <w:t xml:space="preserve">: mouse 11.7 </w:t>
      </w:r>
      <w:proofErr w:type="spellStart"/>
      <w:r w:rsidR="009353B7" w:rsidRPr="00745B63">
        <w:t>nM</w:t>
      </w:r>
      <w:proofErr w:type="spellEnd"/>
      <w:r w:rsidR="009353B7" w:rsidRPr="00745B63">
        <w:t xml:space="preserve">, rat 10.7 </w:t>
      </w:r>
      <w:proofErr w:type="spellStart"/>
      <w:r w:rsidR="009353B7" w:rsidRPr="00745B63">
        <w:t>nM</w:t>
      </w:r>
      <w:proofErr w:type="spellEnd"/>
      <w:r w:rsidR="009353B7" w:rsidRPr="00745B63">
        <w:t xml:space="preserve">, monkey 52.1 </w:t>
      </w:r>
      <w:proofErr w:type="spellStart"/>
      <w:r w:rsidR="009353B7" w:rsidRPr="00745B63">
        <w:t>nM</w:t>
      </w:r>
      <w:proofErr w:type="spellEnd"/>
      <w:r w:rsidR="009353B7" w:rsidRPr="00745B63">
        <w:t xml:space="preserve">, human 51.7 </w:t>
      </w:r>
      <w:proofErr w:type="spellStart"/>
      <w:r w:rsidR="009353B7" w:rsidRPr="00745B63">
        <w:t>nM</w:t>
      </w:r>
      <w:proofErr w:type="spellEnd"/>
      <w:r w:rsidR="009353B7" w:rsidRPr="00745B63">
        <w:t xml:space="preserve">). The association between the Fc moiety and </w:t>
      </w:r>
      <w:proofErr w:type="spellStart"/>
      <w:r w:rsidR="009353B7" w:rsidRPr="00745B63">
        <w:t>FcRn</w:t>
      </w:r>
      <w:proofErr w:type="spellEnd"/>
      <w:r w:rsidR="009353B7" w:rsidRPr="00745B63">
        <w:t xml:space="preserve"> is the probable mechanism for</w:t>
      </w:r>
      <w:r w:rsidR="00A92DB4">
        <w:t xml:space="preserve"> the prolonged circulating half-</w:t>
      </w:r>
      <w:r w:rsidR="009353B7" w:rsidRPr="00745B63">
        <w:t>lif</w:t>
      </w:r>
      <w:r w:rsidR="00035DBC">
        <w:t xml:space="preserve">e of </w:t>
      </w:r>
      <w:proofErr w:type="spellStart"/>
      <w:r w:rsidR="00035DBC">
        <w:t>rFVIII</w:t>
      </w:r>
      <w:r w:rsidR="00A92DB4">
        <w:t>Fc</w:t>
      </w:r>
      <w:proofErr w:type="spellEnd"/>
      <w:r w:rsidR="00035DBC">
        <w:rPr>
          <w:rStyle w:val="FootnoteReference"/>
        </w:rPr>
        <w:footnoteReference w:id="5"/>
      </w:r>
      <w:r w:rsidR="009353B7" w:rsidRPr="00745B63">
        <w:t xml:space="preserve">. Affinity of </w:t>
      </w:r>
      <w:proofErr w:type="spellStart"/>
      <w:r w:rsidR="0040015B" w:rsidRPr="0040015B">
        <w:t>rFVIIIFc</w:t>
      </w:r>
      <w:proofErr w:type="spellEnd"/>
      <w:r w:rsidR="0040015B" w:rsidRPr="0040015B">
        <w:t xml:space="preserve"> </w:t>
      </w:r>
      <w:r w:rsidR="009353B7" w:rsidRPr="00745B63">
        <w:t xml:space="preserve">for von </w:t>
      </w:r>
      <w:proofErr w:type="spellStart"/>
      <w:r w:rsidR="009353B7" w:rsidRPr="00745B63">
        <w:t>Willebrand</w:t>
      </w:r>
      <w:proofErr w:type="spellEnd"/>
      <w:r w:rsidR="009353B7" w:rsidRPr="00745B63">
        <w:t xml:space="preserve"> Factor (</w:t>
      </w:r>
      <w:proofErr w:type="spellStart"/>
      <w:r w:rsidR="009353B7" w:rsidRPr="00745B63">
        <w:t>vWF</w:t>
      </w:r>
      <w:proofErr w:type="spellEnd"/>
      <w:r w:rsidR="009353B7" w:rsidRPr="00745B63">
        <w:t>) was comparable to that of the registered recombinant FVIII produ</w:t>
      </w:r>
      <w:r w:rsidR="00934854">
        <w:t xml:space="preserve">ct, </w:t>
      </w:r>
      <w:proofErr w:type="spellStart"/>
      <w:r w:rsidR="00934854">
        <w:t>Xyntha</w:t>
      </w:r>
      <w:proofErr w:type="spellEnd"/>
      <w:r w:rsidR="00934854">
        <w:t xml:space="preserve">. Similarly, thrombin </w:t>
      </w:r>
      <w:r w:rsidR="009353B7" w:rsidRPr="00745B63">
        <w:t xml:space="preserve">mediated dissociation of </w:t>
      </w:r>
      <w:proofErr w:type="spellStart"/>
      <w:r w:rsidR="0040015B" w:rsidRPr="0040015B">
        <w:t>rFVIIIFc</w:t>
      </w:r>
      <w:proofErr w:type="spellEnd"/>
      <w:r w:rsidR="0040015B" w:rsidRPr="0040015B">
        <w:t xml:space="preserve"> </w:t>
      </w:r>
      <w:r w:rsidR="009353B7" w:rsidRPr="00745B63">
        <w:t xml:space="preserve">from </w:t>
      </w:r>
      <w:proofErr w:type="spellStart"/>
      <w:r w:rsidR="009353B7" w:rsidRPr="00745B63">
        <w:t>vWF</w:t>
      </w:r>
      <w:proofErr w:type="spellEnd"/>
      <w:r w:rsidR="009353B7" w:rsidRPr="00745B63">
        <w:t xml:space="preserve"> was similar to that of </w:t>
      </w:r>
      <w:proofErr w:type="spellStart"/>
      <w:r w:rsidR="009353B7" w:rsidRPr="00745B63">
        <w:t>Xyntha</w:t>
      </w:r>
      <w:proofErr w:type="spellEnd"/>
      <w:r w:rsidR="009353B7" w:rsidRPr="00745B63">
        <w:t xml:space="preserve"> and cleavage/activation of </w:t>
      </w:r>
      <w:proofErr w:type="spellStart"/>
      <w:r w:rsidR="0040015B" w:rsidRPr="0040015B">
        <w:t>rFVIIIFc</w:t>
      </w:r>
      <w:proofErr w:type="spellEnd"/>
      <w:r w:rsidR="0040015B" w:rsidRPr="0040015B">
        <w:t xml:space="preserve"> </w:t>
      </w:r>
      <w:r w:rsidR="009353B7" w:rsidRPr="00745B63">
        <w:t>by thrombin</w:t>
      </w:r>
      <w:r w:rsidR="008E204B">
        <w:t xml:space="preserve">, generated similar by </w:t>
      </w:r>
      <w:r w:rsidR="009353B7" w:rsidRPr="00745B63">
        <w:t>products as the recomb</w:t>
      </w:r>
      <w:r w:rsidR="00A92DB4">
        <w:t>inant FVIII comparator</w:t>
      </w:r>
      <w:r w:rsidR="007C1165">
        <w:t xml:space="preserve"> (</w:t>
      </w:r>
      <w:proofErr w:type="spellStart"/>
      <w:r w:rsidR="007C1165">
        <w:t>rFVIII</w:t>
      </w:r>
      <w:proofErr w:type="spellEnd"/>
      <w:r w:rsidR="007C1165">
        <w:t>)</w:t>
      </w:r>
      <w:r w:rsidR="00A92DB4">
        <w:t xml:space="preserve">, </w:t>
      </w:r>
      <w:proofErr w:type="spellStart"/>
      <w:r w:rsidR="00A92DB4">
        <w:t>ReFacto</w:t>
      </w:r>
      <w:proofErr w:type="spellEnd"/>
      <w:r w:rsidR="009353B7" w:rsidRPr="00745B63">
        <w:t xml:space="preserve">. The ability of </w:t>
      </w:r>
      <w:proofErr w:type="spellStart"/>
      <w:r w:rsidR="0040015B" w:rsidRPr="0040015B">
        <w:t>rFVIIIFc</w:t>
      </w:r>
      <w:proofErr w:type="spellEnd"/>
      <w:r w:rsidR="0040015B" w:rsidRPr="0040015B">
        <w:t xml:space="preserve"> </w:t>
      </w:r>
      <w:r w:rsidR="009353B7" w:rsidRPr="00745B63">
        <w:t xml:space="preserve">to form the </w:t>
      </w:r>
      <w:proofErr w:type="spellStart"/>
      <w:r w:rsidR="009353B7" w:rsidRPr="00745B63">
        <w:t>tenase</w:t>
      </w:r>
      <w:proofErr w:type="spellEnd"/>
      <w:r w:rsidR="009353B7" w:rsidRPr="00745B63">
        <w:t xml:space="preserve"> complex with activa</w:t>
      </w:r>
      <w:r w:rsidR="008E204B">
        <w:t>ted Factor </w:t>
      </w:r>
      <w:r w:rsidR="009353B7" w:rsidRPr="00745B63">
        <w:t>IX was sim</w:t>
      </w:r>
      <w:r w:rsidR="0048193C">
        <w:t xml:space="preserve">ilar to </w:t>
      </w:r>
      <w:proofErr w:type="spellStart"/>
      <w:r w:rsidR="0048193C">
        <w:t>ReFacto</w:t>
      </w:r>
      <w:proofErr w:type="spellEnd"/>
      <w:r w:rsidR="009353B7" w:rsidRPr="00745B63">
        <w:t xml:space="preserve"> and similarly, activated protein C (APC) inactivated </w:t>
      </w:r>
      <w:proofErr w:type="spellStart"/>
      <w:r w:rsidR="0040015B" w:rsidRPr="0040015B">
        <w:t>rFVIIIFc</w:t>
      </w:r>
      <w:proofErr w:type="spellEnd"/>
      <w:r w:rsidR="0040015B" w:rsidRPr="0040015B">
        <w:t xml:space="preserve"> </w:t>
      </w:r>
      <w:r w:rsidR="009353B7" w:rsidRPr="00745B63">
        <w:t>to a similar d</w:t>
      </w:r>
      <w:r w:rsidR="0048193C">
        <w:t xml:space="preserve">egree as </w:t>
      </w:r>
      <w:proofErr w:type="spellStart"/>
      <w:r w:rsidR="0048193C">
        <w:t>ReFacto</w:t>
      </w:r>
      <w:proofErr w:type="spellEnd"/>
      <w:r w:rsidR="009353B7" w:rsidRPr="00745B63">
        <w:t>.</w:t>
      </w:r>
    </w:p>
    <w:p w:rsidR="009353B7" w:rsidRPr="00745B63" w:rsidRDefault="009353B7" w:rsidP="00611B92">
      <w:r w:rsidRPr="00745B63">
        <w:t xml:space="preserve">In vivo acute and prophylactic efficacy of </w:t>
      </w:r>
      <w:proofErr w:type="spellStart"/>
      <w:r w:rsidR="0040015B" w:rsidRPr="0040015B">
        <w:t>rFVIIIFc</w:t>
      </w:r>
      <w:proofErr w:type="spellEnd"/>
      <w:r w:rsidR="0040015B" w:rsidRPr="0040015B">
        <w:t xml:space="preserve"> </w:t>
      </w:r>
      <w:r w:rsidR="00D75D9F">
        <w:t xml:space="preserve">was demonstrated in </w:t>
      </w:r>
      <w:r w:rsidRPr="00745B63">
        <w:t>(Hem A) mi</w:t>
      </w:r>
      <w:r w:rsidR="00035DBC">
        <w:t xml:space="preserve">ce. Clotting activity of </w:t>
      </w:r>
      <w:proofErr w:type="spellStart"/>
      <w:r w:rsidR="00035DBC">
        <w:t>rFVIIIFc</w:t>
      </w:r>
      <w:proofErr w:type="spellEnd"/>
      <w:r w:rsidR="00035DBC">
        <w:t xml:space="preserve">, measured by a FVIII </w:t>
      </w:r>
      <w:r w:rsidRPr="00745B63">
        <w:t>specific chromogenic assay, was detected at up to 72 h</w:t>
      </w:r>
      <w:r w:rsidR="00934854">
        <w:t>ours</w:t>
      </w:r>
      <w:r w:rsidR="00BD4E03">
        <w:t xml:space="preserve"> </w:t>
      </w:r>
      <w:r w:rsidR="00035DBC">
        <w:t xml:space="preserve">post </w:t>
      </w:r>
      <w:r w:rsidRPr="00745B63">
        <w:t xml:space="preserve">dose, whereas activities of equal doses of either </w:t>
      </w:r>
      <w:proofErr w:type="spellStart"/>
      <w:r w:rsidRPr="00745B63">
        <w:t>r</w:t>
      </w:r>
      <w:r w:rsidR="0048193C">
        <w:t>FVIII</w:t>
      </w:r>
      <w:proofErr w:type="spellEnd"/>
      <w:r w:rsidR="0048193C">
        <w:t xml:space="preserve"> products </w:t>
      </w:r>
      <w:proofErr w:type="spellStart"/>
      <w:r w:rsidR="0048193C">
        <w:t>ReFacto</w:t>
      </w:r>
      <w:proofErr w:type="spellEnd"/>
      <w:r w:rsidR="0048193C">
        <w:t xml:space="preserve"> or </w:t>
      </w:r>
      <w:proofErr w:type="spellStart"/>
      <w:r w:rsidR="0048193C">
        <w:t>Advate</w:t>
      </w:r>
      <w:proofErr w:type="spellEnd"/>
      <w:r w:rsidRPr="00745B63">
        <w:t xml:space="preserve"> were below the level</w:t>
      </w:r>
      <w:r w:rsidR="00201591">
        <w:t xml:space="preserve"> of quantification by 48 h</w:t>
      </w:r>
      <w:r w:rsidR="00934854">
        <w:t>ours</w:t>
      </w:r>
      <w:r w:rsidR="00201591">
        <w:t xml:space="preserve"> post </w:t>
      </w:r>
      <w:r w:rsidRPr="00745B63">
        <w:t>dose, consistent with the longer eliminati</w:t>
      </w:r>
      <w:r w:rsidR="0048193C">
        <w:t xml:space="preserve">on </w:t>
      </w:r>
      <w:r w:rsidR="00D3173F">
        <w:t>half</w:t>
      </w:r>
      <w:r w:rsidR="007C3743">
        <w:t>-</w:t>
      </w:r>
      <w:r w:rsidR="00D3173F">
        <w:t>life (</w:t>
      </w:r>
      <w:r w:rsidR="00035DBC" w:rsidRPr="00035DBC">
        <w:t>t</w:t>
      </w:r>
      <w:r w:rsidR="00035DBC" w:rsidRPr="00035DBC">
        <w:rPr>
          <w:vertAlign w:val="subscript"/>
        </w:rPr>
        <w:t>½</w:t>
      </w:r>
      <w:r w:rsidR="00D3173F" w:rsidRPr="003C3118">
        <w:t>)</w:t>
      </w:r>
      <w:r w:rsidR="0048193C">
        <w:t xml:space="preserve"> of </w:t>
      </w:r>
      <w:proofErr w:type="spellStart"/>
      <w:r w:rsidR="0040015B" w:rsidRPr="0040015B">
        <w:t>rFVIIIFc</w:t>
      </w:r>
      <w:proofErr w:type="spellEnd"/>
      <w:r w:rsidR="0040015B" w:rsidRPr="0040015B">
        <w:t xml:space="preserve"> </w:t>
      </w:r>
      <w:r w:rsidR="0048193C">
        <w:t xml:space="preserve">than </w:t>
      </w:r>
      <w:proofErr w:type="spellStart"/>
      <w:r w:rsidR="0048193C">
        <w:t>ReFacto</w:t>
      </w:r>
      <w:proofErr w:type="spellEnd"/>
      <w:r w:rsidR="0048193C">
        <w:t xml:space="preserve"> or </w:t>
      </w:r>
      <w:proofErr w:type="spellStart"/>
      <w:r w:rsidR="0048193C">
        <w:t>Advate</w:t>
      </w:r>
      <w:proofErr w:type="spellEnd"/>
      <w:r w:rsidRPr="00745B63">
        <w:t>. Acute efficacy, assessed by measuring blood loss sustained following injury in Hem A mice</w:t>
      </w:r>
      <w:r w:rsidR="00D75D9F">
        <w:t>,</w:t>
      </w:r>
      <w:r w:rsidRPr="00745B63">
        <w:t xml:space="preserve"> t</w:t>
      </w:r>
      <w:r w:rsidR="0048193C">
        <w:t xml:space="preserve">reated with </w:t>
      </w:r>
      <w:proofErr w:type="spellStart"/>
      <w:r w:rsidR="0040015B" w:rsidRPr="0040015B">
        <w:t>rFVIIIFc</w:t>
      </w:r>
      <w:proofErr w:type="spellEnd"/>
      <w:r w:rsidR="0040015B" w:rsidRPr="0040015B">
        <w:t xml:space="preserve"> </w:t>
      </w:r>
      <w:r w:rsidR="0048193C">
        <w:t xml:space="preserve">or </w:t>
      </w:r>
      <w:proofErr w:type="spellStart"/>
      <w:r w:rsidR="000D04C8">
        <w:t>rFVIII</w:t>
      </w:r>
      <w:proofErr w:type="spellEnd"/>
      <w:r w:rsidR="000D04C8">
        <w:t xml:space="preserve"> </w:t>
      </w:r>
      <w:r w:rsidR="00D75D9F">
        <w:t>(</w:t>
      </w:r>
      <w:proofErr w:type="spellStart"/>
      <w:r w:rsidR="0048193C">
        <w:t>Advate</w:t>
      </w:r>
      <w:proofErr w:type="spellEnd"/>
      <w:r w:rsidR="00D75D9F">
        <w:t>)</w:t>
      </w:r>
      <w:r w:rsidR="007C3743">
        <w:t>,</w:t>
      </w:r>
      <w:r w:rsidRPr="00745B63">
        <w:t xml:space="preserve"> was similar between the two FVI</w:t>
      </w:r>
      <w:r w:rsidR="0048193C">
        <w:t>II products</w:t>
      </w:r>
      <w:r w:rsidRPr="00745B63">
        <w:t xml:space="preserve">. Different manufactured batches of </w:t>
      </w:r>
      <w:proofErr w:type="spellStart"/>
      <w:r w:rsidR="0040015B" w:rsidRPr="0040015B">
        <w:t>rFVIIIFc</w:t>
      </w:r>
      <w:proofErr w:type="spellEnd"/>
      <w:r w:rsidR="0040015B" w:rsidRPr="0040015B">
        <w:t xml:space="preserve"> </w:t>
      </w:r>
      <w:r w:rsidR="00201591">
        <w:t xml:space="preserve">demonstrated dose </w:t>
      </w:r>
      <w:r w:rsidRPr="00745B63">
        <w:t>dependent reduction of blood loss following injury. Prophylactic protection in Hem A mice was more effec</w:t>
      </w:r>
      <w:r w:rsidR="0048193C">
        <w:t xml:space="preserve">tive with </w:t>
      </w:r>
      <w:proofErr w:type="spellStart"/>
      <w:r w:rsidR="0040015B" w:rsidRPr="0040015B">
        <w:t>rFVIIIFc</w:t>
      </w:r>
      <w:proofErr w:type="spellEnd"/>
      <w:r w:rsidR="0040015B" w:rsidRPr="0040015B">
        <w:t xml:space="preserve"> </w:t>
      </w:r>
      <w:r w:rsidR="0048193C">
        <w:t xml:space="preserve">than </w:t>
      </w:r>
      <w:proofErr w:type="spellStart"/>
      <w:r w:rsidR="000D04C8">
        <w:t>rFVIII</w:t>
      </w:r>
      <w:proofErr w:type="spellEnd"/>
      <w:r w:rsidR="000D04C8">
        <w:t xml:space="preserve"> </w:t>
      </w:r>
      <w:r w:rsidR="00D75D9F">
        <w:t>(</w:t>
      </w:r>
      <w:proofErr w:type="spellStart"/>
      <w:r w:rsidR="0048193C">
        <w:t>Advate</w:t>
      </w:r>
      <w:proofErr w:type="spellEnd"/>
      <w:r w:rsidR="00D75D9F">
        <w:t>)</w:t>
      </w:r>
      <w:r w:rsidR="007C3743">
        <w:t>,</w:t>
      </w:r>
      <w:r w:rsidRPr="00745B63">
        <w:t xml:space="preserve"> whereby all mice that received </w:t>
      </w:r>
      <w:proofErr w:type="spellStart"/>
      <w:r w:rsidR="0040015B" w:rsidRPr="0040015B">
        <w:t>rFVIIIFc</w:t>
      </w:r>
      <w:proofErr w:type="spellEnd"/>
      <w:r w:rsidR="0040015B" w:rsidRPr="0040015B">
        <w:t xml:space="preserve"> </w:t>
      </w:r>
      <w:r w:rsidRPr="00745B63">
        <w:t>survived injury (tail ve</w:t>
      </w:r>
      <w:r w:rsidR="00934854">
        <w:t xml:space="preserve">in transection) and rates of re </w:t>
      </w:r>
      <w:r w:rsidRPr="00745B63">
        <w:t>bleeding were significantly lower in this group than i</w:t>
      </w:r>
      <w:r w:rsidR="0048193C">
        <w:t xml:space="preserve">n mice that received </w:t>
      </w:r>
      <w:proofErr w:type="spellStart"/>
      <w:r w:rsidR="0048193C">
        <w:t>Advate</w:t>
      </w:r>
      <w:proofErr w:type="spellEnd"/>
      <w:r w:rsidRPr="00745B63">
        <w:t>, which also had lower survival r</w:t>
      </w:r>
      <w:r w:rsidR="0048193C">
        <w:t>ates (approximately 50%)</w:t>
      </w:r>
      <w:r w:rsidR="00750125">
        <w:t>.</w:t>
      </w:r>
    </w:p>
    <w:p w:rsidR="00C612EB" w:rsidRPr="00C31285" w:rsidRDefault="009353B7" w:rsidP="00611B92">
      <w:r w:rsidRPr="00C31285">
        <w:lastRenderedPageBreak/>
        <w:t>T</w:t>
      </w:r>
      <w:r w:rsidR="00750125" w:rsidRPr="00C31285">
        <w:t xml:space="preserve">he activities of </w:t>
      </w:r>
      <w:proofErr w:type="spellStart"/>
      <w:r w:rsidR="001E48BA" w:rsidRPr="00C31285">
        <w:t>rFVIIIFc</w:t>
      </w:r>
      <w:proofErr w:type="spellEnd"/>
      <w:r w:rsidR="001E48BA" w:rsidRPr="00C31285">
        <w:t xml:space="preserve"> drug </w:t>
      </w:r>
      <w:r w:rsidR="00C31285" w:rsidRPr="00C31285">
        <w:t>substance</w:t>
      </w:r>
      <w:r w:rsidR="001E48BA" w:rsidRPr="00C31285">
        <w:t xml:space="preserve">, </w:t>
      </w:r>
      <w:r w:rsidR="00F15893" w:rsidRPr="00C31285">
        <w:t xml:space="preserve">purified </w:t>
      </w:r>
      <w:r w:rsidR="00750125" w:rsidRPr="00C31285">
        <w:t>processed</w:t>
      </w:r>
      <w:r w:rsidR="001E48BA" w:rsidRPr="00C31285">
        <w:t xml:space="preserve"> </w:t>
      </w:r>
      <w:proofErr w:type="spellStart"/>
      <w:r w:rsidR="001E48BA" w:rsidRPr="00C31285">
        <w:t>rFCVIIIFc</w:t>
      </w:r>
      <w:proofErr w:type="spellEnd"/>
      <w:r w:rsidR="001E48BA" w:rsidRPr="00C31285">
        <w:t xml:space="preserve"> and</w:t>
      </w:r>
      <w:r w:rsidRPr="00C31285">
        <w:t xml:space="preserve"> </w:t>
      </w:r>
      <w:proofErr w:type="spellStart"/>
      <w:r w:rsidR="00D3173F">
        <w:t>SCrFVIIIFc</w:t>
      </w:r>
      <w:proofErr w:type="spellEnd"/>
      <w:r w:rsidR="00C31285" w:rsidRPr="00C31285">
        <w:t xml:space="preserve"> </w:t>
      </w:r>
      <w:r w:rsidRPr="00C31285">
        <w:t xml:space="preserve">were compared by the chromogenic and the </w:t>
      </w:r>
      <w:proofErr w:type="spellStart"/>
      <w:r w:rsidRPr="00C31285">
        <w:t>aPTT</w:t>
      </w:r>
      <w:proofErr w:type="spellEnd"/>
      <w:r w:rsidR="00750125" w:rsidRPr="00C31285">
        <w:t xml:space="preserve"> assays</w:t>
      </w:r>
      <w:r w:rsidR="00C31285" w:rsidRPr="00C31285">
        <w:t xml:space="preserve">. </w:t>
      </w:r>
      <w:proofErr w:type="spellStart"/>
      <w:r w:rsidR="00C31285" w:rsidRPr="00C31285">
        <w:t>SCr</w:t>
      </w:r>
      <w:r w:rsidR="001F67F1" w:rsidRPr="00C31285">
        <w:t>FVIII</w:t>
      </w:r>
      <w:r w:rsidRPr="00C31285">
        <w:t>Fc</w:t>
      </w:r>
      <w:proofErr w:type="spellEnd"/>
      <w:r w:rsidRPr="00C31285">
        <w:t xml:space="preserve"> activity was lower than </w:t>
      </w:r>
      <w:r w:rsidR="00C31285" w:rsidRPr="00C31285">
        <w:t xml:space="preserve">purified </w:t>
      </w:r>
      <w:r w:rsidRPr="00C31285">
        <w:t xml:space="preserve">processed </w:t>
      </w:r>
      <w:proofErr w:type="spellStart"/>
      <w:r w:rsidR="0040015B" w:rsidRPr="00C31285">
        <w:t>rFVIIIFc</w:t>
      </w:r>
      <w:proofErr w:type="spellEnd"/>
      <w:r w:rsidR="0040015B" w:rsidRPr="00C31285">
        <w:t xml:space="preserve"> </w:t>
      </w:r>
      <w:r w:rsidRPr="00C31285">
        <w:t xml:space="preserve">and </w:t>
      </w:r>
      <w:proofErr w:type="spellStart"/>
      <w:r w:rsidR="0040015B" w:rsidRPr="00C31285">
        <w:t>rFVIIIFc</w:t>
      </w:r>
      <w:proofErr w:type="spellEnd"/>
      <w:r w:rsidR="0040015B" w:rsidRPr="00C31285">
        <w:t xml:space="preserve"> </w:t>
      </w:r>
      <w:r w:rsidR="00C612EB" w:rsidRPr="00C31285">
        <w:t>drug substance</w:t>
      </w:r>
      <w:r w:rsidR="00F15893" w:rsidRPr="00C31285">
        <w:t>,</w:t>
      </w:r>
      <w:r w:rsidR="00C612EB" w:rsidRPr="00C31285">
        <w:t xml:space="preserve"> </w:t>
      </w:r>
      <w:r w:rsidRPr="00C31285">
        <w:t xml:space="preserve">when activity was assessed by the </w:t>
      </w:r>
      <w:proofErr w:type="spellStart"/>
      <w:r w:rsidRPr="00C31285">
        <w:t>aPTT</w:t>
      </w:r>
      <w:proofErr w:type="spellEnd"/>
      <w:r w:rsidRPr="00C31285">
        <w:t xml:space="preserve"> assay or by monitoring thrombin generation, whereas the chromogenic assay findings did not reveal differences in activities among the different forms. Further, </w:t>
      </w:r>
      <w:proofErr w:type="spellStart"/>
      <w:r w:rsidR="0040015B" w:rsidRPr="00C31285">
        <w:t>rFVIIIFc</w:t>
      </w:r>
      <w:proofErr w:type="spellEnd"/>
      <w:r w:rsidR="0040015B" w:rsidRPr="00C31285">
        <w:t xml:space="preserve"> </w:t>
      </w:r>
      <w:r w:rsidRPr="00C31285">
        <w:t>specific a</w:t>
      </w:r>
      <w:r w:rsidR="00750125" w:rsidRPr="00C31285">
        <w:t xml:space="preserve">ctivity (assessed by </w:t>
      </w:r>
      <w:proofErr w:type="spellStart"/>
      <w:r w:rsidR="00750125" w:rsidRPr="00C31285">
        <w:t>aPTT</w:t>
      </w:r>
      <w:proofErr w:type="spellEnd"/>
      <w:r w:rsidR="00750125" w:rsidRPr="00C31285">
        <w:t>) was approximately</w:t>
      </w:r>
      <w:r w:rsidRPr="00C31285">
        <w:t xml:space="preserve"> 10% lower</w:t>
      </w:r>
      <w:r w:rsidR="00035DBC" w:rsidRPr="00C31285">
        <w:t xml:space="preserve"> than purified processed </w:t>
      </w:r>
      <w:proofErr w:type="spellStart"/>
      <w:r w:rsidR="00035DBC" w:rsidRPr="00C31285">
        <w:t>rFVIII</w:t>
      </w:r>
      <w:r w:rsidRPr="00C31285">
        <w:t>Fc</w:t>
      </w:r>
      <w:proofErr w:type="spellEnd"/>
      <w:r w:rsidRPr="00C31285">
        <w:t xml:space="preserve">, suggesting a minor influence of </w:t>
      </w:r>
      <w:proofErr w:type="spellStart"/>
      <w:r w:rsidR="008E204B">
        <w:t>SC</w:t>
      </w:r>
      <w:r w:rsidR="0040015B" w:rsidRPr="00C31285">
        <w:t>rFVIIIFc</w:t>
      </w:r>
      <w:proofErr w:type="spellEnd"/>
      <w:r w:rsidR="0040015B" w:rsidRPr="00C31285">
        <w:t xml:space="preserve"> </w:t>
      </w:r>
      <w:r w:rsidRPr="00C31285">
        <w:t xml:space="preserve">in the total activity of </w:t>
      </w:r>
      <w:proofErr w:type="spellStart"/>
      <w:r w:rsidR="0040015B" w:rsidRPr="00C31285">
        <w:t>rFVIIIFc</w:t>
      </w:r>
      <w:proofErr w:type="spellEnd"/>
      <w:r w:rsidR="0040015B" w:rsidRPr="00C31285">
        <w:t xml:space="preserve"> </w:t>
      </w:r>
      <w:r w:rsidRPr="00C31285">
        <w:t>drug product. In Hem A mice, prophylactic efficacy was comparable between</w:t>
      </w:r>
      <w:r w:rsidR="00F0386C" w:rsidRPr="00C31285">
        <w:t xml:space="preserve"> </w:t>
      </w:r>
      <w:proofErr w:type="spellStart"/>
      <w:r w:rsidR="008E204B">
        <w:t>SC</w:t>
      </w:r>
      <w:r w:rsidR="00E017D1" w:rsidRPr="00C31285">
        <w:t>rFVIIIFc</w:t>
      </w:r>
      <w:proofErr w:type="spellEnd"/>
      <w:r w:rsidR="00F0386C" w:rsidRPr="00C31285">
        <w:t xml:space="preserve"> and </w:t>
      </w:r>
      <w:proofErr w:type="spellStart"/>
      <w:r w:rsidR="00035DBC" w:rsidRPr="00C31285">
        <w:t>rFVIII</w:t>
      </w:r>
      <w:r w:rsidRPr="00C31285">
        <w:t>Fc</w:t>
      </w:r>
      <w:proofErr w:type="spellEnd"/>
      <w:r w:rsidR="00D75D9F">
        <w:t xml:space="preserve"> </w:t>
      </w:r>
      <w:r w:rsidR="00D75D9F" w:rsidRPr="00D75D9F">
        <w:t>drug substance</w:t>
      </w:r>
      <w:r w:rsidRPr="00C31285">
        <w:t xml:space="preserve">, in which survival rates and re-bleeding events were similar </w:t>
      </w:r>
      <w:r w:rsidR="00035DBC" w:rsidRPr="00C31285">
        <w:t xml:space="preserve">between the two forms of </w:t>
      </w:r>
      <w:proofErr w:type="spellStart"/>
      <w:r w:rsidR="00035DBC" w:rsidRPr="00C31285">
        <w:t>rFVIII</w:t>
      </w:r>
      <w:r w:rsidRPr="00C31285">
        <w:t>Fc</w:t>
      </w:r>
      <w:proofErr w:type="spellEnd"/>
      <w:r w:rsidR="00C31285">
        <w:rPr>
          <w:rStyle w:val="FootnoteReference"/>
        </w:rPr>
        <w:footnoteReference w:id="6"/>
      </w:r>
      <w:r w:rsidRPr="00C31285">
        <w:t>.</w:t>
      </w:r>
    </w:p>
    <w:p w:rsidR="009353B7" w:rsidRPr="006F3261" w:rsidRDefault="009353B7" w:rsidP="00611B92">
      <w:pPr>
        <w:pStyle w:val="Heading4"/>
      </w:pPr>
      <w:r w:rsidRPr="006F3261">
        <w:t xml:space="preserve">Secondary pharmacodynamics and safety </w:t>
      </w:r>
      <w:r w:rsidRPr="00611B92">
        <w:t>pharmacology</w:t>
      </w:r>
    </w:p>
    <w:p w:rsidR="009353B7" w:rsidRPr="009353B7" w:rsidRDefault="009353B7" w:rsidP="00611B92">
      <w:r w:rsidRPr="009353B7">
        <w:t xml:space="preserve">Since </w:t>
      </w:r>
      <w:proofErr w:type="spellStart"/>
      <w:r w:rsidR="0040015B" w:rsidRPr="0040015B">
        <w:t>rFVIIIFc</w:t>
      </w:r>
      <w:proofErr w:type="spellEnd"/>
      <w:r w:rsidR="0040015B" w:rsidRPr="0040015B">
        <w:t xml:space="preserve"> </w:t>
      </w:r>
      <w:r w:rsidRPr="009353B7">
        <w:t>is intended as a replacement therapy to restore deficiencies in endogenous FVIII to normal levels, secondary pharmacology studies were not essential. With regard to safety pharmacology studies, cardiovascular systems (</w:t>
      </w:r>
      <w:r w:rsidR="00BD4E03">
        <w:t xml:space="preserve">heart </w:t>
      </w:r>
      <w:r w:rsidR="00BD4E03" w:rsidRPr="00BD4E03">
        <w:t>rate (</w:t>
      </w:r>
      <w:r w:rsidRPr="00BD4E03">
        <w:t>HR</w:t>
      </w:r>
      <w:r w:rsidR="00BD4E03" w:rsidRPr="00BD4E03">
        <w:t>)</w:t>
      </w:r>
      <w:r w:rsidRPr="00BD4E03">
        <w:t xml:space="preserve"> and </w:t>
      </w:r>
      <w:r w:rsidR="003C3118">
        <w:t>electro-</w:t>
      </w:r>
      <w:r w:rsidR="00BD4E03">
        <w:t>cardio gram (ECG)</w:t>
      </w:r>
      <w:r w:rsidRPr="009353B7">
        <w:t>) were part of the protocols for the two pivotal 4 week rat and monkey studies. However, ECG findings were confined to narrative assurances by a veterinary pathologist who inspected the waveform readings. No other organ systems were investigated. Nevertheless, there were no overt adverse findings to indicate specific effects on organ systems and its use as a replacement for an endogenous substance would suggest a low risk of targeted toxicity. Therefore, in view of the product type, the absence of safety pharmacology studies is not considered to be a deficiency.</w:t>
      </w:r>
    </w:p>
    <w:p w:rsidR="008E7846" w:rsidRDefault="008E7846" w:rsidP="00611B92">
      <w:pPr>
        <w:pStyle w:val="Heading3"/>
      </w:pPr>
      <w:bookmarkStart w:id="49" w:name="_Toc247691513"/>
      <w:bookmarkStart w:id="50" w:name="_Toc314842497"/>
      <w:bookmarkStart w:id="51" w:name="_Toc412817717"/>
      <w:r>
        <w:t>Pharmacokinetics</w:t>
      </w:r>
      <w:bookmarkEnd w:id="49"/>
      <w:bookmarkEnd w:id="50"/>
      <w:bookmarkEnd w:id="51"/>
    </w:p>
    <w:p w:rsidR="009353B7" w:rsidRPr="00C728D2" w:rsidRDefault="003C3118" w:rsidP="00611B92">
      <w:bookmarkStart w:id="52" w:name="_Toc247691514"/>
      <w:bookmarkStart w:id="53" w:name="_Toc314842498"/>
      <w:r>
        <w:t>PK</w:t>
      </w:r>
      <w:r w:rsidR="009353B7" w:rsidRPr="00C728D2">
        <w:t xml:space="preserve"> parameters were determined from single dose studies in mice, rats, dogs and monkeys and repeat dose toxicity studies in rats and monkeys.</w:t>
      </w:r>
    </w:p>
    <w:p w:rsidR="009353B7" w:rsidRPr="00C728D2" w:rsidRDefault="00E017D1" w:rsidP="00611B92">
      <w:r>
        <w:t xml:space="preserve">Relative to non </w:t>
      </w:r>
      <w:r w:rsidR="009353B7" w:rsidRPr="00C728D2">
        <w:t xml:space="preserve">Fc subunit containing </w:t>
      </w:r>
      <w:proofErr w:type="spellStart"/>
      <w:r w:rsidR="00220190">
        <w:t>rFVIII</w:t>
      </w:r>
      <w:proofErr w:type="spellEnd"/>
      <w:r w:rsidR="00220190">
        <w:t xml:space="preserve"> </w:t>
      </w:r>
      <w:r w:rsidR="009353B7" w:rsidRPr="00C728D2">
        <w:t xml:space="preserve">comparators, </w:t>
      </w:r>
      <w:proofErr w:type="spellStart"/>
      <w:r w:rsidR="0040015B" w:rsidRPr="0040015B">
        <w:t>rFVIIIFc</w:t>
      </w:r>
      <w:proofErr w:type="spellEnd"/>
      <w:r w:rsidR="0040015B" w:rsidRPr="0040015B">
        <w:t xml:space="preserve"> </w:t>
      </w:r>
      <w:r w:rsidR="009353B7" w:rsidRPr="00C728D2">
        <w:t>displ</w:t>
      </w:r>
      <w:r w:rsidR="00D3173F">
        <w:t xml:space="preserve">ayed prolonged elimination </w:t>
      </w:r>
      <w:r w:rsidR="009353B7" w:rsidRPr="00C728D2">
        <w:t>t</w:t>
      </w:r>
      <w:r w:rsidR="009353B7" w:rsidRPr="00F0386C">
        <w:rPr>
          <w:vertAlign w:val="subscript"/>
        </w:rPr>
        <w:t>½</w:t>
      </w:r>
      <w:r w:rsidR="009353B7" w:rsidRPr="00C728D2">
        <w:t xml:space="preserve"> and higher </w:t>
      </w:r>
      <w:r w:rsidR="00DE46B5" w:rsidRPr="00DE46B5">
        <w:t>area under the</w:t>
      </w:r>
      <w:r w:rsidR="003C3118" w:rsidRPr="003C3118">
        <w:t xml:space="preserve"> concentration-time</w:t>
      </w:r>
      <w:r w:rsidR="00DE46B5" w:rsidRPr="00DE46B5">
        <w:t xml:space="preserve"> curve </w:t>
      </w:r>
      <w:r w:rsidR="00DE46B5">
        <w:t>(</w:t>
      </w:r>
      <w:r w:rsidR="009353B7" w:rsidRPr="00C728D2">
        <w:t>AUC</w:t>
      </w:r>
      <w:r w:rsidR="00DE46B5">
        <w:t>)</w:t>
      </w:r>
      <w:r w:rsidR="009353B7" w:rsidRPr="00C728D2">
        <w:t xml:space="preserve"> in mice, rats and dogs. The </w:t>
      </w:r>
      <w:r w:rsidR="00035DBC" w:rsidRPr="00035DBC">
        <w:t>t</w:t>
      </w:r>
      <w:r w:rsidR="00035DBC" w:rsidRPr="00035DBC">
        <w:rPr>
          <w:vertAlign w:val="subscript"/>
        </w:rPr>
        <w:t>½</w:t>
      </w:r>
      <w:r w:rsidR="009353B7" w:rsidRPr="00C728D2">
        <w:t xml:space="preserve"> for </w:t>
      </w:r>
      <w:proofErr w:type="spellStart"/>
      <w:r w:rsidR="0040015B" w:rsidRPr="0040015B">
        <w:t>rFVIIIFc</w:t>
      </w:r>
      <w:proofErr w:type="spellEnd"/>
      <w:r w:rsidR="0040015B" w:rsidRPr="0040015B">
        <w:t xml:space="preserve"> </w:t>
      </w:r>
      <w:r w:rsidR="009353B7" w:rsidRPr="00C728D2">
        <w:t xml:space="preserve">and </w:t>
      </w:r>
      <w:proofErr w:type="spellStart"/>
      <w:r w:rsidR="00220190">
        <w:t>rFVIII</w:t>
      </w:r>
      <w:proofErr w:type="spellEnd"/>
      <w:r w:rsidR="00220190">
        <w:t xml:space="preserve"> (</w:t>
      </w:r>
      <w:proofErr w:type="spellStart"/>
      <w:r w:rsidR="009353B7" w:rsidRPr="00C728D2">
        <w:t>Xyntha</w:t>
      </w:r>
      <w:proofErr w:type="spellEnd"/>
      <w:r w:rsidR="00220190">
        <w:t>)</w:t>
      </w:r>
      <w:r w:rsidR="009353B7" w:rsidRPr="00C728D2">
        <w:t xml:space="preserve"> were </w:t>
      </w:r>
      <w:r w:rsidR="00750125" w:rsidRPr="00C728D2">
        <w:t>indistinguishable</w:t>
      </w:r>
      <w:r w:rsidR="009353B7" w:rsidRPr="00C728D2">
        <w:t xml:space="preserve"> in mice lacking the </w:t>
      </w:r>
      <w:proofErr w:type="spellStart"/>
      <w:r w:rsidR="009353B7" w:rsidRPr="00C728D2">
        <w:t>FcRn</w:t>
      </w:r>
      <w:proofErr w:type="spellEnd"/>
      <w:r w:rsidR="009353B7" w:rsidRPr="00C728D2">
        <w:t xml:space="preserve"> receptor, whilst overexpression of the </w:t>
      </w:r>
      <w:proofErr w:type="spellStart"/>
      <w:r w:rsidR="009353B7" w:rsidRPr="00C728D2">
        <w:t>FcRn</w:t>
      </w:r>
      <w:proofErr w:type="spellEnd"/>
      <w:r w:rsidR="009353B7" w:rsidRPr="00C728D2">
        <w:t xml:space="preserve"> receptor resulted in higher </w:t>
      </w:r>
      <w:r w:rsidR="00035DBC" w:rsidRPr="00035DBC">
        <w:t>t</w:t>
      </w:r>
      <w:r w:rsidR="00035DBC" w:rsidRPr="00035DBC">
        <w:rPr>
          <w:vertAlign w:val="subscript"/>
        </w:rPr>
        <w:t>½</w:t>
      </w:r>
      <w:r w:rsidR="00BD4E03">
        <w:t xml:space="preserve"> and AUC for </w:t>
      </w:r>
      <w:proofErr w:type="spellStart"/>
      <w:r w:rsidR="00BD4E03">
        <w:t>rFVIII</w:t>
      </w:r>
      <w:r w:rsidR="009353B7" w:rsidRPr="00C728D2">
        <w:t>Fc</w:t>
      </w:r>
      <w:proofErr w:type="spellEnd"/>
      <w:r w:rsidR="009353B7" w:rsidRPr="00C728D2">
        <w:t xml:space="preserve">, confirming that its prolonged activity is dependent on its interaction with the </w:t>
      </w:r>
      <w:proofErr w:type="spellStart"/>
      <w:r w:rsidR="009353B7" w:rsidRPr="00C728D2">
        <w:t>FcRn</w:t>
      </w:r>
      <w:proofErr w:type="spellEnd"/>
      <w:r w:rsidR="009353B7" w:rsidRPr="00C728D2">
        <w:t xml:space="preserve"> receptor. For reasons that were not clear, the </w:t>
      </w:r>
      <w:r w:rsidR="00035DBC" w:rsidRPr="00035DBC">
        <w:t>t</w:t>
      </w:r>
      <w:r w:rsidR="00035DBC" w:rsidRPr="00035DBC">
        <w:rPr>
          <w:vertAlign w:val="subscript"/>
        </w:rPr>
        <w:t>½</w:t>
      </w:r>
      <w:r w:rsidR="009353B7" w:rsidRPr="00C728D2">
        <w:t xml:space="preserve"> and AUC of </w:t>
      </w:r>
      <w:proofErr w:type="spellStart"/>
      <w:r w:rsidR="0040015B" w:rsidRPr="0040015B">
        <w:t>rFVIIIFc</w:t>
      </w:r>
      <w:proofErr w:type="spellEnd"/>
      <w:r w:rsidR="0040015B" w:rsidRPr="0040015B">
        <w:t xml:space="preserve"> </w:t>
      </w:r>
      <w:r w:rsidR="009353B7" w:rsidRPr="00C728D2">
        <w:t xml:space="preserve">and </w:t>
      </w:r>
      <w:proofErr w:type="spellStart"/>
      <w:r w:rsidR="009353B7" w:rsidRPr="00C728D2">
        <w:t>Xyntha</w:t>
      </w:r>
      <w:proofErr w:type="spellEnd"/>
      <w:r w:rsidR="009353B7" w:rsidRPr="00C728D2">
        <w:t xml:space="preserve"> were comparable in monkeys. In vitro </w:t>
      </w:r>
      <w:proofErr w:type="spellStart"/>
      <w:r w:rsidR="009353B7" w:rsidRPr="00C728D2">
        <w:t>FcRn</w:t>
      </w:r>
      <w:proofErr w:type="spellEnd"/>
      <w:r w:rsidR="009353B7" w:rsidRPr="00C728D2">
        <w:t xml:space="preserve"> binding assays showed comparable binding of </w:t>
      </w:r>
      <w:proofErr w:type="spellStart"/>
      <w:r w:rsidR="0040015B" w:rsidRPr="0040015B">
        <w:t>rFVIIIFc</w:t>
      </w:r>
      <w:proofErr w:type="spellEnd"/>
      <w:r w:rsidR="0040015B" w:rsidRPr="0040015B">
        <w:t xml:space="preserve"> </w:t>
      </w:r>
      <w:r w:rsidR="009353B7" w:rsidRPr="00C728D2">
        <w:t xml:space="preserve">to human and monkey </w:t>
      </w:r>
      <w:proofErr w:type="spellStart"/>
      <w:r w:rsidR="009353B7" w:rsidRPr="00C728D2">
        <w:t>FcRn</w:t>
      </w:r>
      <w:proofErr w:type="spellEnd"/>
      <w:r w:rsidR="009353B7" w:rsidRPr="00C728D2">
        <w:t xml:space="preserve"> (EC</w:t>
      </w:r>
      <w:r w:rsidR="009353B7" w:rsidRPr="00D3173F">
        <w:rPr>
          <w:vertAlign w:val="subscript"/>
        </w:rPr>
        <w:t>50</w:t>
      </w:r>
      <w:r w:rsidR="009353B7" w:rsidRPr="00C728D2">
        <w:t xml:space="preserve"> </w:t>
      </w:r>
      <w:r w:rsidRPr="00D3173F">
        <w:t xml:space="preserve">approximately </w:t>
      </w:r>
      <w:r w:rsidR="009353B7" w:rsidRPr="00D3173F">
        <w:t xml:space="preserve">50 </w:t>
      </w:r>
      <w:proofErr w:type="spellStart"/>
      <w:r w:rsidR="009353B7" w:rsidRPr="00D3173F">
        <w:t>nM</w:t>
      </w:r>
      <w:proofErr w:type="spellEnd"/>
      <w:r w:rsidR="009353B7" w:rsidRPr="00D3173F">
        <w:t xml:space="preserve">) </w:t>
      </w:r>
      <w:r w:rsidR="009353B7" w:rsidRPr="00C728D2">
        <w:t xml:space="preserve">and greater binding to mouse and rat </w:t>
      </w:r>
      <w:proofErr w:type="spellStart"/>
      <w:r w:rsidR="009353B7" w:rsidRPr="00C728D2">
        <w:t>FcRn</w:t>
      </w:r>
      <w:proofErr w:type="spellEnd"/>
      <w:r w:rsidR="009353B7" w:rsidRPr="00C728D2">
        <w:t xml:space="preserve"> (EC</w:t>
      </w:r>
      <w:r w:rsidR="009353B7" w:rsidRPr="00D3173F">
        <w:rPr>
          <w:vertAlign w:val="subscript"/>
        </w:rPr>
        <w:t>50</w:t>
      </w:r>
      <w:r w:rsidR="009353B7" w:rsidRPr="00C728D2">
        <w:t xml:space="preserve"> </w:t>
      </w:r>
      <w:r w:rsidRPr="00E017D1">
        <w:t xml:space="preserve">approximately </w:t>
      </w:r>
      <w:r>
        <w:t xml:space="preserve">10 </w:t>
      </w:r>
      <w:proofErr w:type="spellStart"/>
      <w:r>
        <w:t>nM</w:t>
      </w:r>
      <w:proofErr w:type="spellEnd"/>
      <w:r>
        <w:t xml:space="preserve">). </w:t>
      </w:r>
      <w:r w:rsidR="009353B7" w:rsidRPr="00C728D2">
        <w:t>Relatively lon</w:t>
      </w:r>
      <w:r w:rsidR="00F0386C">
        <w:t xml:space="preserve">g </w:t>
      </w:r>
      <w:r w:rsidR="00035DBC" w:rsidRPr="00035DBC">
        <w:t>t</w:t>
      </w:r>
      <w:r w:rsidR="00035DBC" w:rsidRPr="00035DBC">
        <w:rPr>
          <w:vertAlign w:val="subscript"/>
        </w:rPr>
        <w:t>½</w:t>
      </w:r>
      <w:r w:rsidR="00F0386C">
        <w:t xml:space="preserve"> was observed in patients (clinical o</w:t>
      </w:r>
      <w:r w:rsidR="009353B7" w:rsidRPr="00C728D2">
        <w:t>verview).</w:t>
      </w:r>
    </w:p>
    <w:p w:rsidR="009353B7" w:rsidRPr="00081973" w:rsidRDefault="009353B7" w:rsidP="00611B92">
      <w:r w:rsidRPr="00652689">
        <w:t>In a tissue distribution study, iodinated (</w:t>
      </w:r>
      <w:r w:rsidR="00652689" w:rsidRPr="00652689">
        <w:rPr>
          <w:vertAlign w:val="superscript"/>
        </w:rPr>
        <w:t>125</w:t>
      </w:r>
      <w:r w:rsidRPr="00652689">
        <w:t xml:space="preserve">I) </w:t>
      </w:r>
      <w:proofErr w:type="spellStart"/>
      <w:r w:rsidR="0040015B" w:rsidRPr="00652689">
        <w:t>rFVIIIFc</w:t>
      </w:r>
      <w:proofErr w:type="spellEnd"/>
      <w:r w:rsidR="0040015B" w:rsidRPr="00652689">
        <w:t xml:space="preserve"> </w:t>
      </w:r>
      <w:r w:rsidRPr="00652689">
        <w:t xml:space="preserve">was administered to Hem </w:t>
      </w:r>
      <w:proofErr w:type="gramStart"/>
      <w:r w:rsidRPr="00652689">
        <w:t>A</w:t>
      </w:r>
      <w:proofErr w:type="gramEnd"/>
      <w:r w:rsidRPr="00652689">
        <w:t xml:space="preserve"> </w:t>
      </w:r>
      <w:r w:rsidR="00220190" w:rsidRPr="00652689">
        <w:t>mice</w:t>
      </w:r>
      <w:r w:rsidR="00BC58E1" w:rsidRPr="00652689">
        <w:t xml:space="preserve"> and double </w:t>
      </w:r>
      <w:r w:rsidR="00220190" w:rsidRPr="00652689">
        <w:t>knock out (KO)</w:t>
      </w:r>
      <w:r w:rsidR="00BC58E1" w:rsidRPr="00652689">
        <w:t xml:space="preserve"> mice (FVIII/</w:t>
      </w:r>
      <w:proofErr w:type="spellStart"/>
      <w:r w:rsidR="00BC58E1" w:rsidRPr="00652689">
        <w:t>v</w:t>
      </w:r>
      <w:r w:rsidRPr="00652689">
        <w:t>WF</w:t>
      </w:r>
      <w:proofErr w:type="spellEnd"/>
      <w:r w:rsidRPr="00652689">
        <w:t xml:space="preserve"> KO) and distribution was monitored by quantitative whole body radiographic analysis. High levels were detected in highly perfused organs such as liver, lungs, kidneys and </w:t>
      </w:r>
      <w:r w:rsidRPr="00081973">
        <w:t>spleen. Tissue radioactivity levels were significantly lower in the Hem A mice than in d</w:t>
      </w:r>
      <w:r w:rsidR="00BC58E1" w:rsidRPr="00081973">
        <w:t>ouble KO mice</w:t>
      </w:r>
      <w:r w:rsidRPr="00081973">
        <w:t xml:space="preserve">. The elimination </w:t>
      </w:r>
      <w:r w:rsidR="00035DBC" w:rsidRPr="00081973">
        <w:t>t</w:t>
      </w:r>
      <w:r w:rsidR="00035DBC" w:rsidRPr="00081973">
        <w:rPr>
          <w:vertAlign w:val="subscript"/>
        </w:rPr>
        <w:t>½</w:t>
      </w:r>
      <w:r w:rsidRPr="00081973">
        <w:t xml:space="preserve"> was approximately 2 h</w:t>
      </w:r>
      <w:r w:rsidR="00D3173F">
        <w:t>ours</w:t>
      </w:r>
      <w:r w:rsidRPr="00081973">
        <w:t xml:space="preserve"> in double KO mice </w:t>
      </w:r>
      <w:r w:rsidR="00BC58E1" w:rsidRPr="00081973">
        <w:t>compared to</w:t>
      </w:r>
      <w:r w:rsidRPr="00081973">
        <w:t>. 8 h</w:t>
      </w:r>
      <w:r w:rsidR="00D3173F">
        <w:t>ours</w:t>
      </w:r>
      <w:r w:rsidRPr="00081973">
        <w:t xml:space="preserve"> in Hem A mice. In particular, high levels of radioactivity (relative to blood) were noted in liver and bile of double KO mice </w:t>
      </w:r>
      <w:r w:rsidR="00D3173F">
        <w:t>compared to</w:t>
      </w:r>
      <w:r w:rsidR="00BC58E1" w:rsidRPr="00081973">
        <w:t xml:space="preserve"> Hem </w:t>
      </w:r>
      <w:proofErr w:type="gramStart"/>
      <w:r w:rsidR="00BC58E1" w:rsidRPr="00081973">
        <w:t>A</w:t>
      </w:r>
      <w:proofErr w:type="gramEnd"/>
      <w:r w:rsidR="00BC58E1" w:rsidRPr="00081973">
        <w:t xml:space="preserve"> mice</w:t>
      </w:r>
      <w:r w:rsidRPr="00081973">
        <w:t>.</w:t>
      </w:r>
    </w:p>
    <w:p w:rsidR="004334C7" w:rsidRDefault="009353B7" w:rsidP="00611B92">
      <w:r w:rsidRPr="00C728D2">
        <w:t xml:space="preserve">Overall, as with clinical findings, prolonged </w:t>
      </w:r>
      <w:r w:rsidR="00035DBC" w:rsidRPr="00035DBC">
        <w:t>t</w:t>
      </w:r>
      <w:r w:rsidR="00035DBC" w:rsidRPr="00035DBC">
        <w:rPr>
          <w:vertAlign w:val="subscript"/>
        </w:rPr>
        <w:t>½</w:t>
      </w:r>
      <w:r w:rsidRPr="00C728D2">
        <w:t xml:space="preserve"> and s</w:t>
      </w:r>
      <w:r w:rsidR="006F5397">
        <w:t xml:space="preserve">lower clearance relative to non </w:t>
      </w:r>
      <w:r w:rsidRPr="00C728D2">
        <w:t xml:space="preserve">Fc subunit containing comparators were notable features of the </w:t>
      </w:r>
      <w:r w:rsidR="003C3118">
        <w:t>PK</w:t>
      </w:r>
      <w:r w:rsidRPr="00C728D2">
        <w:t xml:space="preserve"> profile of </w:t>
      </w:r>
      <w:proofErr w:type="spellStart"/>
      <w:r w:rsidR="0040015B" w:rsidRPr="0040015B">
        <w:t>rFVIIIFc</w:t>
      </w:r>
      <w:proofErr w:type="spellEnd"/>
      <w:r w:rsidR="0040015B" w:rsidRPr="0040015B">
        <w:t xml:space="preserve"> </w:t>
      </w:r>
      <w:r w:rsidRPr="00C728D2">
        <w:t>in all tested animals except monkeys. As well, the d</w:t>
      </w:r>
      <w:r w:rsidR="006F5397">
        <w:t xml:space="preserve">evelopment of neutralising anti </w:t>
      </w:r>
      <w:proofErr w:type="spellStart"/>
      <w:r w:rsidR="00BD4E03">
        <w:t>r</w:t>
      </w:r>
      <w:r w:rsidRPr="00C728D2">
        <w:t>FVII</w:t>
      </w:r>
      <w:r w:rsidR="00BD4E03">
        <w:t>I</w:t>
      </w:r>
      <w:r w:rsidRPr="00C728D2">
        <w:t>Fc</w:t>
      </w:r>
      <w:proofErr w:type="spellEnd"/>
      <w:r w:rsidRPr="00C728D2">
        <w:t xml:space="preserve"> </w:t>
      </w:r>
      <w:proofErr w:type="gramStart"/>
      <w:r w:rsidRPr="00C728D2">
        <w:lastRenderedPageBreak/>
        <w:t>antibodies</w:t>
      </w:r>
      <w:proofErr w:type="gramEnd"/>
      <w:r w:rsidRPr="00C728D2">
        <w:t xml:space="preserve"> resulted in lower exposures after repeat dosing, limiting the utility of repeat dose toxic</w:t>
      </w:r>
      <w:r w:rsidR="006F5397">
        <w:t>ity studies in animal species.</w:t>
      </w:r>
    </w:p>
    <w:p w:rsidR="00C9747E" w:rsidRPr="00611B92" w:rsidRDefault="008E7846" w:rsidP="00611B92">
      <w:pPr>
        <w:pStyle w:val="Heading3"/>
      </w:pPr>
      <w:bookmarkStart w:id="54" w:name="_Toc412817718"/>
      <w:r>
        <w:t>Toxicology</w:t>
      </w:r>
      <w:bookmarkEnd w:id="52"/>
      <w:bookmarkEnd w:id="53"/>
      <w:bookmarkEnd w:id="54"/>
    </w:p>
    <w:p w:rsidR="009353B7" w:rsidRPr="00ED7407" w:rsidRDefault="009353B7" w:rsidP="00611B92">
      <w:pPr>
        <w:pStyle w:val="Heading4"/>
      </w:pPr>
      <w:bookmarkStart w:id="55" w:name="_Toc294861727"/>
      <w:r w:rsidRPr="00ED7407">
        <w:t xml:space="preserve">Acute </w:t>
      </w:r>
      <w:r w:rsidRPr="00611B92">
        <w:t>toxicity</w:t>
      </w:r>
      <w:bookmarkEnd w:id="55"/>
    </w:p>
    <w:p w:rsidR="009353B7" w:rsidRPr="00C728D2" w:rsidRDefault="009353B7" w:rsidP="00611B92">
      <w:r w:rsidRPr="00C728D2">
        <w:t xml:space="preserve">A single dose toxicity study to determine dose tolerance was conducted in </w:t>
      </w:r>
      <w:proofErr w:type="spellStart"/>
      <w:r w:rsidRPr="00C728D2">
        <w:t>cynomolgus</w:t>
      </w:r>
      <w:proofErr w:type="spellEnd"/>
      <w:r w:rsidRPr="00C728D2">
        <w:t xml:space="preserve"> monkeys. Maximum tested dose </w:t>
      </w:r>
      <w:proofErr w:type="spellStart"/>
      <w:r w:rsidR="0040015B" w:rsidRPr="0040015B">
        <w:t>rFVIIIFc</w:t>
      </w:r>
      <w:proofErr w:type="spellEnd"/>
      <w:r w:rsidR="0040015B" w:rsidRPr="0040015B">
        <w:t xml:space="preserve"> </w:t>
      </w:r>
      <w:r w:rsidRPr="00C728D2">
        <w:t>was 20,000 IU/kg IV, with a seven day observation period, in which no significant clinical signs or gross pathological findings were noted. Haemato</w:t>
      </w:r>
      <w:r w:rsidR="00BD4E03">
        <w:t>logical parameters at up to 16</w:t>
      </w:r>
      <w:r w:rsidR="003C3118">
        <w:t xml:space="preserve"> </w:t>
      </w:r>
      <w:r w:rsidR="00BD4E03">
        <w:t>h</w:t>
      </w:r>
      <w:r w:rsidR="00D3173F">
        <w:t>ours</w:t>
      </w:r>
      <w:r w:rsidRPr="00C728D2">
        <w:t xml:space="preserve"> post dose were also monitored in which shortened </w:t>
      </w:r>
      <w:proofErr w:type="spellStart"/>
      <w:r w:rsidR="00C404B3" w:rsidRPr="00C404B3">
        <w:t>aPTT</w:t>
      </w:r>
      <w:proofErr w:type="spellEnd"/>
      <w:r w:rsidRPr="00C728D2">
        <w:t xml:space="preserve"> (but not </w:t>
      </w:r>
      <w:r w:rsidR="00CD6F35" w:rsidRPr="00CD6F35">
        <w:t xml:space="preserve">prothrombin time </w:t>
      </w:r>
      <w:r w:rsidR="00CD6F35">
        <w:t>(</w:t>
      </w:r>
      <w:r w:rsidRPr="00C728D2">
        <w:t>PT</w:t>
      </w:r>
      <w:r w:rsidR="00CD6F35">
        <w:t>)</w:t>
      </w:r>
      <w:r w:rsidRPr="00C728D2">
        <w:t xml:space="preserve">) was observed, while platelet and fibrinogen levels were not altered. Overall, </w:t>
      </w:r>
      <w:proofErr w:type="spellStart"/>
      <w:r w:rsidR="0040015B" w:rsidRPr="0040015B">
        <w:t>rFVIIIFc</w:t>
      </w:r>
      <w:proofErr w:type="spellEnd"/>
      <w:r w:rsidR="0040015B" w:rsidRPr="0040015B">
        <w:t xml:space="preserve"> </w:t>
      </w:r>
      <w:r w:rsidRPr="00C728D2">
        <w:t>was well tolerated in the monkey and displayed a low order of acute toxicity by the IV route.</w:t>
      </w:r>
    </w:p>
    <w:p w:rsidR="009353B7" w:rsidRPr="00C728D2" w:rsidRDefault="00D3173F" w:rsidP="00611B92">
      <w:pPr>
        <w:pStyle w:val="Heading4"/>
      </w:pPr>
      <w:bookmarkStart w:id="56" w:name="_Toc294861728"/>
      <w:r>
        <w:t xml:space="preserve">Repeat </w:t>
      </w:r>
      <w:r w:rsidR="009353B7" w:rsidRPr="00C728D2">
        <w:t>dose toxicity</w:t>
      </w:r>
      <w:bookmarkEnd w:id="56"/>
    </w:p>
    <w:p w:rsidR="009353B7" w:rsidRPr="00C728D2" w:rsidRDefault="009353B7" w:rsidP="00611B92">
      <w:r w:rsidRPr="00C728D2">
        <w:t xml:space="preserve">Four repeat dose toxicity studies were performed and assessed the chronic effects of </w:t>
      </w:r>
      <w:proofErr w:type="spellStart"/>
      <w:r w:rsidR="0040015B" w:rsidRPr="0040015B">
        <w:t>rFVIIIFc</w:t>
      </w:r>
      <w:proofErr w:type="spellEnd"/>
      <w:r w:rsidR="0040015B" w:rsidRPr="0040015B">
        <w:t xml:space="preserve"> </w:t>
      </w:r>
      <w:r w:rsidRPr="00C728D2">
        <w:t>in rats and monkeys</w:t>
      </w:r>
      <w:r w:rsidR="00B357EE">
        <w:t xml:space="preserve">. With the exception of one non </w:t>
      </w:r>
      <w:r w:rsidRPr="00C728D2">
        <w:t>GLP pilot study in monkeys, all other studies, using the</w:t>
      </w:r>
      <w:r w:rsidR="00B357EE">
        <w:t xml:space="preserve"> IV</w:t>
      </w:r>
      <w:r w:rsidRPr="00C728D2">
        <w:t xml:space="preserve"> route, were for 4 weeks and included protocols for measuring antibodies that developed over the course of the treatment period. Studies were generally consistent with ICH guideline requirements; however, due to the development of antibodies, duration of the studies was short for a chronic use product. In fac</w:t>
      </w:r>
      <w:r w:rsidR="00750125" w:rsidRPr="00C728D2">
        <w:t>t, in one of the monkey studies</w:t>
      </w:r>
      <w:r w:rsidRPr="00C728D2">
        <w:t xml:space="preserve"> there were profound impairments of haemostatic function as a result of antibody development which neutralised endogenous FVIII (acquired haemophilia) and affected survival of test animals. Dosing regimen used in the animal studies was every second day (</w:t>
      </w:r>
      <w:r w:rsidR="00750125" w:rsidRPr="00C728D2">
        <w:t>compared to</w:t>
      </w:r>
      <w:r w:rsidRPr="00C728D2">
        <w:t xml:space="preserve"> clinical use of every 3</w:t>
      </w:r>
      <w:r w:rsidR="00F0386C">
        <w:t xml:space="preserve"> to </w:t>
      </w:r>
      <w:r w:rsidRPr="00C728D2">
        <w:t>5 days for r</w:t>
      </w:r>
      <w:r w:rsidR="00E017D1">
        <w:t xml:space="preserve">outine prophylaxis and every 12 to </w:t>
      </w:r>
      <w:r w:rsidRPr="00C728D2">
        <w:t>48 h</w:t>
      </w:r>
      <w:r w:rsidR="00D3173F">
        <w:t>ours</w:t>
      </w:r>
      <w:r w:rsidRPr="00C728D2">
        <w:t xml:space="preserve"> for the control and prevention of bleeding episodes). It was noted also that the formulation of </w:t>
      </w:r>
      <w:proofErr w:type="spellStart"/>
      <w:r w:rsidR="0040015B" w:rsidRPr="0040015B">
        <w:t>rFVIIIFc</w:t>
      </w:r>
      <w:proofErr w:type="spellEnd"/>
      <w:r w:rsidR="0040015B" w:rsidRPr="0040015B">
        <w:t xml:space="preserve"> </w:t>
      </w:r>
      <w:r w:rsidRPr="00C728D2">
        <w:t>used in these studies included a different drug substance batch from the batch used in clinical trials and intended for registration. However, the batch in the other monkey study was also the drug produ</w:t>
      </w:r>
      <w:r w:rsidR="00E017D1">
        <w:t>ct formulation used in a Phase III</w:t>
      </w:r>
      <w:r w:rsidRPr="00C728D2">
        <w:t xml:space="preserve"> and an extension clinical study.</w:t>
      </w:r>
    </w:p>
    <w:p w:rsidR="009353B7" w:rsidRPr="00C728D2" w:rsidRDefault="009353B7" w:rsidP="00611B92">
      <w:pPr>
        <w:pStyle w:val="Heading5"/>
      </w:pPr>
      <w:r w:rsidRPr="00C728D2">
        <w:t>Relative exposure</w:t>
      </w:r>
    </w:p>
    <w:p w:rsidR="00A023F8" w:rsidRDefault="009353B7" w:rsidP="00611B92">
      <w:r w:rsidRPr="00C728D2">
        <w:t xml:space="preserve">Plasma exposures (as </w:t>
      </w:r>
      <w:r w:rsidR="00900943" w:rsidRPr="00900943">
        <w:t xml:space="preserve">maximum plasma activity </w:t>
      </w:r>
      <w:r w:rsidR="00900943">
        <w:t>(</w:t>
      </w:r>
      <w:proofErr w:type="spellStart"/>
      <w:r w:rsidRPr="00C728D2">
        <w:t>C</w:t>
      </w:r>
      <w:r w:rsidRPr="00EF1A36">
        <w:rPr>
          <w:vertAlign w:val="subscript"/>
        </w:rPr>
        <w:t>max</w:t>
      </w:r>
      <w:proofErr w:type="spellEnd"/>
      <w:r w:rsidR="00900943" w:rsidRPr="00900943">
        <w:t>)</w:t>
      </w:r>
      <w:r w:rsidRPr="00C728D2">
        <w:t xml:space="preserve"> and AUC) ascertained from the repeat dose toxicity studies are comp</w:t>
      </w:r>
      <w:r w:rsidR="004F0BBA">
        <w:t xml:space="preserve">ared with human exposures </w:t>
      </w:r>
      <w:r w:rsidR="004F0BBA" w:rsidRPr="00D90E33">
        <w:t>in</w:t>
      </w:r>
      <w:r w:rsidR="00D3173F" w:rsidRPr="00D90E33">
        <w:t xml:space="preserve"> T</w:t>
      </w:r>
      <w:r w:rsidRPr="00D90E33">
        <w:t>able</w:t>
      </w:r>
      <w:r w:rsidR="004F0BBA" w:rsidRPr="00D90E33">
        <w:t xml:space="preserve"> 1</w:t>
      </w:r>
      <w:r w:rsidRPr="00D90E33">
        <w:t xml:space="preserve"> below</w:t>
      </w:r>
      <w:r w:rsidRPr="00C728D2">
        <w:t xml:space="preserve">. Day 1 </w:t>
      </w:r>
      <w:r w:rsidR="003C3118">
        <w:t>PK</w:t>
      </w:r>
      <w:r w:rsidRPr="00C728D2">
        <w:t xml:space="preserve"> parameter values were used, since blood FVIII levels dropped considerably with repeated dosing because of the development of neutralising antibodies. Relatively high exposures were achieved in rat and monkey studies: </w:t>
      </w:r>
      <w:proofErr w:type="spellStart"/>
      <w:r w:rsidRPr="00C728D2">
        <w:t>C</w:t>
      </w:r>
      <w:r w:rsidRPr="00EF1A36">
        <w:rPr>
          <w:vertAlign w:val="subscript"/>
        </w:rPr>
        <w:t>max</w:t>
      </w:r>
      <w:proofErr w:type="spellEnd"/>
      <w:r w:rsidRPr="00C728D2">
        <w:t xml:space="preserve"> (exposure ratios up to 8 in rats and 26 in monkeys); and AUC (exposure ratios up to approximately 20 in rats and 140 in monkeys). However, since neutralising antibodies to </w:t>
      </w:r>
      <w:proofErr w:type="spellStart"/>
      <w:r w:rsidR="0040015B" w:rsidRPr="0040015B">
        <w:t>rFVIIIFc</w:t>
      </w:r>
      <w:proofErr w:type="spellEnd"/>
      <w:r w:rsidR="0040015B" w:rsidRPr="0040015B">
        <w:t xml:space="preserve"> </w:t>
      </w:r>
      <w:r w:rsidRPr="00C728D2">
        <w:t xml:space="preserve">affected levels of exposure to the test article, potential toxicities were likely to be minimised in the repeat dose studies. Indeed, the reported adverse effects in these studies were secondary to changes associated with the effect of neutralising antibodies on endogenous FVIII. For this reason, the relatively high exposure ratios that were derived (as either </w:t>
      </w:r>
      <w:proofErr w:type="spellStart"/>
      <w:r w:rsidRPr="00C728D2">
        <w:t>C</w:t>
      </w:r>
      <w:r w:rsidRPr="00EF1A36">
        <w:rPr>
          <w:vertAlign w:val="subscript"/>
        </w:rPr>
        <w:t>max</w:t>
      </w:r>
      <w:proofErr w:type="spellEnd"/>
      <w:r w:rsidRPr="00C728D2">
        <w:t xml:space="preserve"> or AUC comparisons) may not adequately reflect the true safety margin of </w:t>
      </w:r>
      <w:proofErr w:type="spellStart"/>
      <w:r w:rsidR="0040015B" w:rsidRPr="0040015B">
        <w:t>rFVIIIFc</w:t>
      </w:r>
      <w:proofErr w:type="spellEnd"/>
      <w:r w:rsidR="0040015B" w:rsidRPr="0040015B">
        <w:t xml:space="preserve"> </w:t>
      </w:r>
      <w:r w:rsidRPr="00C728D2">
        <w:t>relative to clinical dosing.</w:t>
      </w:r>
    </w:p>
    <w:p w:rsidR="009353B7" w:rsidRPr="00360B4D" w:rsidRDefault="009353B7" w:rsidP="00611B92">
      <w:pPr>
        <w:pStyle w:val="TableTitle"/>
      </w:pPr>
      <w:proofErr w:type="gramStart"/>
      <w:r w:rsidRPr="00360B4D">
        <w:lastRenderedPageBreak/>
        <w:t>Table</w:t>
      </w:r>
      <w:r w:rsidR="004F0BBA">
        <w:t xml:space="preserve"> 1</w:t>
      </w:r>
      <w:r w:rsidRPr="00360B4D">
        <w:t xml:space="preserve">: Exposures in 4 week repeat-dose </w:t>
      </w:r>
      <w:r w:rsidRPr="00611B92">
        <w:t>toxicity</w:t>
      </w:r>
      <w:r w:rsidRPr="00360B4D">
        <w:t xml:space="preserve"> studies</w:t>
      </w:r>
      <w:r w:rsidR="00E63CC2">
        <w:t>.</w:t>
      </w:r>
      <w:proofErr w:type="gramEnd"/>
    </w:p>
    <w:tbl>
      <w:tblPr>
        <w:tblStyle w:val="TableTGAblue"/>
        <w:tblW w:w="8897" w:type="dxa"/>
        <w:tblLayout w:type="fixed"/>
        <w:tblLook w:val="04A0" w:firstRow="1" w:lastRow="0" w:firstColumn="1" w:lastColumn="0" w:noHBand="0" w:noVBand="1"/>
      </w:tblPr>
      <w:tblGrid>
        <w:gridCol w:w="1242"/>
        <w:gridCol w:w="1134"/>
        <w:gridCol w:w="993"/>
        <w:gridCol w:w="992"/>
        <w:gridCol w:w="1276"/>
        <w:gridCol w:w="1275"/>
        <w:gridCol w:w="993"/>
        <w:gridCol w:w="992"/>
      </w:tblGrid>
      <w:tr w:rsidR="007F33B3" w:rsidRPr="00360B4D" w:rsidTr="00D924E5">
        <w:trPr>
          <w:cnfStyle w:val="100000000000" w:firstRow="1" w:lastRow="0" w:firstColumn="0" w:lastColumn="0" w:oddVBand="0" w:evenVBand="0" w:oddHBand="0" w:evenHBand="0" w:firstRowFirstColumn="0" w:firstRowLastColumn="0" w:lastRowFirstColumn="0" w:lastRowLastColumn="0"/>
          <w:trHeight w:val="716"/>
        </w:trPr>
        <w:tc>
          <w:tcPr>
            <w:tcW w:w="1242" w:type="dxa"/>
          </w:tcPr>
          <w:p w:rsidR="009353B7" w:rsidRPr="00360B4D" w:rsidRDefault="009353B7" w:rsidP="00611B92">
            <w:pPr>
              <w:ind w:left="0" w:right="0"/>
            </w:pPr>
            <w:r w:rsidRPr="00360B4D">
              <w:t>Species</w:t>
            </w:r>
          </w:p>
          <w:p w:rsidR="006775B5" w:rsidRDefault="009353B7" w:rsidP="00611B92">
            <w:pPr>
              <w:ind w:left="0" w:right="0"/>
            </w:pPr>
            <w:r w:rsidRPr="00360B4D">
              <w:t>Study No.</w:t>
            </w:r>
          </w:p>
          <w:p w:rsidR="009353B7" w:rsidRPr="00360B4D" w:rsidRDefault="009353B7" w:rsidP="00611B92">
            <w:pPr>
              <w:ind w:left="0" w:right="0"/>
            </w:pPr>
            <w:r w:rsidRPr="00360B4D">
              <w:t>[Test batch potency]</w:t>
            </w:r>
          </w:p>
        </w:tc>
        <w:tc>
          <w:tcPr>
            <w:tcW w:w="1134" w:type="dxa"/>
          </w:tcPr>
          <w:p w:rsidR="009353B7" w:rsidRPr="00360B4D" w:rsidRDefault="009353B7" w:rsidP="00611B92">
            <w:pPr>
              <w:ind w:left="0" w:right="0"/>
            </w:pPr>
            <w:r w:rsidRPr="00360B4D">
              <w:t>Study duration</w:t>
            </w:r>
          </w:p>
        </w:tc>
        <w:tc>
          <w:tcPr>
            <w:tcW w:w="993" w:type="dxa"/>
          </w:tcPr>
          <w:p w:rsidR="009353B7" w:rsidRPr="00360B4D" w:rsidRDefault="009353B7" w:rsidP="00611B92">
            <w:pPr>
              <w:ind w:left="0" w:right="0"/>
            </w:pPr>
            <w:r w:rsidRPr="00360B4D">
              <w:t>Dosing regimen</w:t>
            </w:r>
          </w:p>
        </w:tc>
        <w:tc>
          <w:tcPr>
            <w:tcW w:w="992" w:type="dxa"/>
          </w:tcPr>
          <w:p w:rsidR="009353B7" w:rsidRPr="00360B4D" w:rsidRDefault="009353B7" w:rsidP="00611B92">
            <w:pPr>
              <w:ind w:left="0" w:right="0"/>
            </w:pPr>
            <w:r w:rsidRPr="00360B4D">
              <w:t>Dose</w:t>
            </w:r>
            <w:r w:rsidR="007F33B3">
              <w:t xml:space="preserve"> </w:t>
            </w:r>
            <w:r w:rsidRPr="00360B4D">
              <w:t>(IU/kg)</w:t>
            </w:r>
          </w:p>
        </w:tc>
        <w:tc>
          <w:tcPr>
            <w:tcW w:w="1276" w:type="dxa"/>
          </w:tcPr>
          <w:p w:rsidR="009353B7" w:rsidRPr="00360B4D" w:rsidRDefault="009353B7" w:rsidP="00611B92">
            <w:pPr>
              <w:ind w:left="0" w:right="0"/>
            </w:pPr>
            <w:proofErr w:type="spellStart"/>
            <w:r w:rsidRPr="00360B4D">
              <w:t>Cmax</w:t>
            </w:r>
            <w:proofErr w:type="spellEnd"/>
            <w:r w:rsidRPr="00360B4D">
              <w:t xml:space="preserve"> </w:t>
            </w:r>
          </w:p>
          <w:p w:rsidR="009353B7" w:rsidRPr="00360B4D" w:rsidRDefault="009353B7" w:rsidP="00611B92">
            <w:pPr>
              <w:ind w:left="0" w:right="0"/>
            </w:pPr>
            <w:r w:rsidRPr="00360B4D">
              <w:t>(</w:t>
            </w:r>
            <w:r w:rsidR="00360B4D">
              <w:t>µ</w:t>
            </w:r>
            <w:r w:rsidRPr="00360B4D">
              <w:t>g/mL)</w:t>
            </w:r>
          </w:p>
          <w:p w:rsidR="009353B7" w:rsidRPr="00360B4D" w:rsidRDefault="009353B7" w:rsidP="00611B92">
            <w:pPr>
              <w:ind w:left="0" w:right="0"/>
            </w:pPr>
            <w:r w:rsidRPr="00360B4D">
              <w:t>[as IU/mL*]</w:t>
            </w:r>
          </w:p>
        </w:tc>
        <w:tc>
          <w:tcPr>
            <w:tcW w:w="1275" w:type="dxa"/>
          </w:tcPr>
          <w:p w:rsidR="009353B7" w:rsidRPr="00360B4D" w:rsidRDefault="009353B7" w:rsidP="00611B92">
            <w:pPr>
              <w:ind w:left="0" w:right="0"/>
            </w:pPr>
            <w:r w:rsidRPr="00360B4D">
              <w:t>AUC0-</w:t>
            </w:r>
            <w:r w:rsidR="006F5397">
              <w:t>∞</w:t>
            </w:r>
            <w:r w:rsidRPr="00360B4D">
              <w:t xml:space="preserve"> (</w:t>
            </w:r>
            <w:r w:rsidR="00360B4D">
              <w:t>µ</w:t>
            </w:r>
            <w:proofErr w:type="spellStart"/>
            <w:r w:rsidRPr="00360B4D">
              <w:t>g.h</w:t>
            </w:r>
            <w:proofErr w:type="spellEnd"/>
            <w:r w:rsidRPr="00360B4D">
              <w:t>/mL)</w:t>
            </w:r>
          </w:p>
          <w:p w:rsidR="009353B7" w:rsidRPr="00360B4D" w:rsidRDefault="009353B7" w:rsidP="00611B92">
            <w:pPr>
              <w:ind w:left="0" w:right="0"/>
            </w:pPr>
            <w:r w:rsidRPr="00360B4D">
              <w:t xml:space="preserve">[as </w:t>
            </w:r>
            <w:proofErr w:type="spellStart"/>
            <w:r w:rsidRPr="00360B4D">
              <w:t>IU.h</w:t>
            </w:r>
            <w:proofErr w:type="spellEnd"/>
            <w:r w:rsidRPr="00360B4D">
              <w:t>/mL*]</w:t>
            </w:r>
          </w:p>
        </w:tc>
        <w:tc>
          <w:tcPr>
            <w:tcW w:w="993" w:type="dxa"/>
          </w:tcPr>
          <w:p w:rsidR="009353B7" w:rsidRPr="00D924E5" w:rsidRDefault="009353B7" w:rsidP="00611B92">
            <w:pPr>
              <w:ind w:left="0" w:right="0"/>
            </w:pPr>
            <w:r w:rsidRPr="00D924E5">
              <w:t>R</w:t>
            </w:r>
            <w:r w:rsidR="00AF6565">
              <w:t>E</w:t>
            </w:r>
            <w:r w:rsidRPr="00D924E5">
              <w:t>^ (</w:t>
            </w:r>
            <w:proofErr w:type="spellStart"/>
            <w:r w:rsidRPr="00D924E5">
              <w:t>Cmax</w:t>
            </w:r>
            <w:proofErr w:type="spellEnd"/>
            <w:r w:rsidRPr="00D924E5">
              <w:t>)</w:t>
            </w:r>
          </w:p>
        </w:tc>
        <w:tc>
          <w:tcPr>
            <w:tcW w:w="992" w:type="dxa"/>
          </w:tcPr>
          <w:p w:rsidR="009353B7" w:rsidRPr="00D924E5" w:rsidRDefault="009353B7" w:rsidP="00611B92">
            <w:pPr>
              <w:ind w:left="0" w:right="0"/>
            </w:pPr>
            <w:r w:rsidRPr="00D924E5">
              <w:t>R</w:t>
            </w:r>
            <w:r w:rsidR="00AF6565">
              <w:t>E</w:t>
            </w:r>
            <w:r w:rsidRPr="00D924E5">
              <w:t>^ (AUC)</w:t>
            </w:r>
          </w:p>
        </w:tc>
      </w:tr>
      <w:tr w:rsidR="007F33B3" w:rsidRPr="00360B4D" w:rsidTr="00D924E5">
        <w:trPr>
          <w:trHeight w:val="227"/>
        </w:trPr>
        <w:tc>
          <w:tcPr>
            <w:tcW w:w="1242" w:type="dxa"/>
            <w:vMerge w:val="restart"/>
          </w:tcPr>
          <w:p w:rsidR="009353B7" w:rsidRPr="00360B4D" w:rsidRDefault="009353B7" w:rsidP="00611B92">
            <w:pPr>
              <w:ind w:left="0" w:right="0"/>
            </w:pPr>
            <w:r w:rsidRPr="00360B4D">
              <w:t>Rat (SD)</w:t>
            </w:r>
          </w:p>
          <w:p w:rsidR="009353B7" w:rsidRPr="00360B4D" w:rsidRDefault="009353B7" w:rsidP="00611B92">
            <w:pPr>
              <w:ind w:left="0" w:right="0"/>
            </w:pPr>
            <w:r w:rsidRPr="00360B4D">
              <w:t>CN53610</w:t>
            </w:r>
          </w:p>
          <w:p w:rsidR="009353B7" w:rsidRPr="00360B4D" w:rsidRDefault="009353B7" w:rsidP="00611B92">
            <w:pPr>
              <w:ind w:left="0" w:right="0"/>
            </w:pPr>
            <w:r w:rsidRPr="00360B4D">
              <w:t>[8548 IU/mg]</w:t>
            </w:r>
          </w:p>
        </w:tc>
        <w:tc>
          <w:tcPr>
            <w:tcW w:w="1134" w:type="dxa"/>
            <w:vMerge w:val="restart"/>
          </w:tcPr>
          <w:p w:rsidR="009353B7" w:rsidRPr="00360B4D" w:rsidRDefault="009353B7" w:rsidP="00611B92">
            <w:pPr>
              <w:ind w:left="0" w:right="0"/>
            </w:pPr>
            <w:r w:rsidRPr="00360B4D">
              <w:t>4 weeks</w:t>
            </w:r>
          </w:p>
          <w:p w:rsidR="009353B7" w:rsidRPr="00360B4D" w:rsidRDefault="009353B7" w:rsidP="00611B92">
            <w:pPr>
              <w:ind w:left="0" w:right="0"/>
            </w:pPr>
            <w:r w:rsidRPr="00360B4D">
              <w:t>(Day 1 values)</w:t>
            </w:r>
          </w:p>
        </w:tc>
        <w:tc>
          <w:tcPr>
            <w:tcW w:w="993" w:type="dxa"/>
            <w:vMerge w:val="restart"/>
          </w:tcPr>
          <w:p w:rsidR="009353B7" w:rsidRPr="00360B4D" w:rsidRDefault="009353B7" w:rsidP="00611B92">
            <w:pPr>
              <w:ind w:left="0" w:right="0"/>
            </w:pPr>
            <w:r w:rsidRPr="00360B4D">
              <w:t>Every second day</w:t>
            </w:r>
          </w:p>
        </w:tc>
        <w:tc>
          <w:tcPr>
            <w:tcW w:w="992" w:type="dxa"/>
          </w:tcPr>
          <w:p w:rsidR="009353B7" w:rsidRPr="00360B4D" w:rsidRDefault="006775B5" w:rsidP="00611B92">
            <w:pPr>
              <w:ind w:left="0" w:right="0"/>
            </w:pPr>
            <w:r>
              <w:t>50</w:t>
            </w:r>
          </w:p>
        </w:tc>
        <w:tc>
          <w:tcPr>
            <w:tcW w:w="1276" w:type="dxa"/>
          </w:tcPr>
          <w:p w:rsidR="009353B7" w:rsidRPr="00360B4D" w:rsidRDefault="009353B7" w:rsidP="00611B92">
            <w:pPr>
              <w:ind w:left="0" w:right="0"/>
            </w:pPr>
            <w:r w:rsidRPr="00360B4D">
              <w:t>0.07 [0.6]</w:t>
            </w:r>
          </w:p>
        </w:tc>
        <w:tc>
          <w:tcPr>
            <w:tcW w:w="1275" w:type="dxa"/>
          </w:tcPr>
          <w:p w:rsidR="009353B7" w:rsidRPr="00360B4D" w:rsidRDefault="009353B7" w:rsidP="00611B92">
            <w:pPr>
              <w:ind w:left="0" w:right="0"/>
            </w:pPr>
            <w:r w:rsidRPr="00360B4D">
              <w:t>1.04 [8.9]</w:t>
            </w:r>
          </w:p>
        </w:tc>
        <w:tc>
          <w:tcPr>
            <w:tcW w:w="993" w:type="dxa"/>
          </w:tcPr>
          <w:p w:rsidR="009353B7" w:rsidRPr="00360B4D" w:rsidRDefault="009353B7" w:rsidP="00611B92">
            <w:pPr>
              <w:ind w:left="0" w:right="0"/>
            </w:pPr>
            <w:r w:rsidRPr="00360B4D">
              <w:t>0.5</w:t>
            </w:r>
          </w:p>
        </w:tc>
        <w:tc>
          <w:tcPr>
            <w:tcW w:w="992" w:type="dxa"/>
          </w:tcPr>
          <w:p w:rsidR="009353B7" w:rsidRPr="00360B4D" w:rsidRDefault="009353B7" w:rsidP="00611B92">
            <w:pPr>
              <w:ind w:left="0" w:right="0"/>
            </w:pPr>
            <w:r w:rsidRPr="00360B4D">
              <w:t>3.2</w:t>
            </w:r>
          </w:p>
        </w:tc>
      </w:tr>
      <w:tr w:rsidR="007F33B3" w:rsidRPr="00360B4D" w:rsidTr="00D924E5">
        <w:trPr>
          <w:trHeight w:val="227"/>
        </w:trPr>
        <w:tc>
          <w:tcPr>
            <w:tcW w:w="1242" w:type="dxa"/>
            <w:vMerge/>
          </w:tcPr>
          <w:p w:rsidR="009353B7" w:rsidRPr="00360B4D" w:rsidRDefault="009353B7" w:rsidP="00611B92">
            <w:pPr>
              <w:ind w:left="0" w:right="0"/>
            </w:pPr>
          </w:p>
        </w:tc>
        <w:tc>
          <w:tcPr>
            <w:tcW w:w="1134" w:type="dxa"/>
            <w:vMerge/>
          </w:tcPr>
          <w:p w:rsidR="009353B7" w:rsidRPr="00360B4D" w:rsidRDefault="009353B7" w:rsidP="00611B92">
            <w:pPr>
              <w:ind w:left="0" w:right="0"/>
            </w:pPr>
          </w:p>
        </w:tc>
        <w:tc>
          <w:tcPr>
            <w:tcW w:w="993" w:type="dxa"/>
            <w:vMerge/>
          </w:tcPr>
          <w:p w:rsidR="009353B7" w:rsidRPr="00360B4D" w:rsidRDefault="009353B7" w:rsidP="00611B92">
            <w:pPr>
              <w:ind w:left="0" w:right="0"/>
            </w:pPr>
          </w:p>
        </w:tc>
        <w:tc>
          <w:tcPr>
            <w:tcW w:w="992" w:type="dxa"/>
          </w:tcPr>
          <w:p w:rsidR="009353B7" w:rsidRPr="00360B4D" w:rsidRDefault="006775B5" w:rsidP="00611B92">
            <w:pPr>
              <w:ind w:left="0" w:right="0"/>
            </w:pPr>
            <w:r>
              <w:t>250</w:t>
            </w:r>
          </w:p>
        </w:tc>
        <w:tc>
          <w:tcPr>
            <w:tcW w:w="1276" w:type="dxa"/>
          </w:tcPr>
          <w:p w:rsidR="009353B7" w:rsidRPr="00360B4D" w:rsidRDefault="009353B7" w:rsidP="00611B92">
            <w:pPr>
              <w:ind w:left="0" w:right="0"/>
            </w:pPr>
            <w:r w:rsidRPr="00360B4D">
              <w:t>0.42 [3.6]</w:t>
            </w:r>
          </w:p>
        </w:tc>
        <w:tc>
          <w:tcPr>
            <w:tcW w:w="1275" w:type="dxa"/>
          </w:tcPr>
          <w:p w:rsidR="009353B7" w:rsidRPr="00360B4D" w:rsidRDefault="009353B7" w:rsidP="00611B92">
            <w:pPr>
              <w:ind w:left="0" w:right="0"/>
            </w:pPr>
            <w:r w:rsidRPr="00360B4D">
              <w:t>3.5 [29.9]</w:t>
            </w:r>
          </w:p>
        </w:tc>
        <w:tc>
          <w:tcPr>
            <w:tcW w:w="993" w:type="dxa"/>
          </w:tcPr>
          <w:p w:rsidR="009353B7" w:rsidRPr="00360B4D" w:rsidRDefault="009353B7" w:rsidP="00611B92">
            <w:pPr>
              <w:ind w:left="0" w:right="0"/>
            </w:pPr>
            <w:r w:rsidRPr="00360B4D">
              <w:t>3</w:t>
            </w:r>
          </w:p>
        </w:tc>
        <w:tc>
          <w:tcPr>
            <w:tcW w:w="992" w:type="dxa"/>
          </w:tcPr>
          <w:p w:rsidR="009353B7" w:rsidRPr="00360B4D" w:rsidRDefault="009353B7" w:rsidP="00611B92">
            <w:pPr>
              <w:ind w:left="0" w:right="0"/>
            </w:pPr>
            <w:r w:rsidRPr="00360B4D">
              <w:t>10.7</w:t>
            </w:r>
          </w:p>
        </w:tc>
      </w:tr>
      <w:tr w:rsidR="007F33B3" w:rsidRPr="00360B4D" w:rsidTr="00D924E5">
        <w:trPr>
          <w:trHeight w:val="227"/>
        </w:trPr>
        <w:tc>
          <w:tcPr>
            <w:tcW w:w="1242" w:type="dxa"/>
            <w:vMerge/>
          </w:tcPr>
          <w:p w:rsidR="009353B7" w:rsidRPr="00360B4D" w:rsidRDefault="009353B7" w:rsidP="00611B92">
            <w:pPr>
              <w:ind w:left="0" w:right="0"/>
            </w:pPr>
          </w:p>
        </w:tc>
        <w:tc>
          <w:tcPr>
            <w:tcW w:w="1134" w:type="dxa"/>
            <w:vMerge/>
          </w:tcPr>
          <w:p w:rsidR="009353B7" w:rsidRPr="00360B4D" w:rsidRDefault="009353B7" w:rsidP="00611B92">
            <w:pPr>
              <w:ind w:left="0" w:right="0"/>
            </w:pPr>
          </w:p>
        </w:tc>
        <w:tc>
          <w:tcPr>
            <w:tcW w:w="993" w:type="dxa"/>
            <w:vMerge/>
          </w:tcPr>
          <w:p w:rsidR="009353B7" w:rsidRPr="00360B4D" w:rsidRDefault="009353B7" w:rsidP="00611B92">
            <w:pPr>
              <w:ind w:left="0" w:right="0"/>
            </w:pPr>
          </w:p>
        </w:tc>
        <w:tc>
          <w:tcPr>
            <w:tcW w:w="992" w:type="dxa"/>
          </w:tcPr>
          <w:p w:rsidR="009353B7" w:rsidRPr="00360B4D" w:rsidRDefault="006775B5" w:rsidP="00611B92">
            <w:pPr>
              <w:ind w:left="0" w:right="0"/>
            </w:pPr>
            <w:r>
              <w:t>1000</w:t>
            </w:r>
          </w:p>
        </w:tc>
        <w:tc>
          <w:tcPr>
            <w:tcW w:w="1276" w:type="dxa"/>
          </w:tcPr>
          <w:p w:rsidR="009353B7" w:rsidRPr="00360B4D" w:rsidRDefault="009353B7" w:rsidP="00611B92">
            <w:pPr>
              <w:ind w:left="0" w:right="0"/>
            </w:pPr>
            <w:r w:rsidRPr="00360B4D">
              <w:t>1.09 [9.3]</w:t>
            </w:r>
          </w:p>
        </w:tc>
        <w:tc>
          <w:tcPr>
            <w:tcW w:w="1275" w:type="dxa"/>
          </w:tcPr>
          <w:p w:rsidR="009353B7" w:rsidRPr="00360B4D" w:rsidRDefault="009353B7" w:rsidP="00611B92">
            <w:pPr>
              <w:ind w:left="0" w:right="0"/>
            </w:pPr>
            <w:r w:rsidRPr="00360B4D">
              <w:t>6.3 [53.9]</w:t>
            </w:r>
          </w:p>
        </w:tc>
        <w:tc>
          <w:tcPr>
            <w:tcW w:w="993" w:type="dxa"/>
          </w:tcPr>
          <w:p w:rsidR="009353B7" w:rsidRPr="00360B4D" w:rsidRDefault="009353B7" w:rsidP="00611B92">
            <w:pPr>
              <w:ind w:left="0" w:right="0"/>
            </w:pPr>
            <w:r w:rsidRPr="00360B4D">
              <w:t>7.8</w:t>
            </w:r>
          </w:p>
        </w:tc>
        <w:tc>
          <w:tcPr>
            <w:tcW w:w="992" w:type="dxa"/>
          </w:tcPr>
          <w:p w:rsidR="009353B7" w:rsidRPr="00360B4D" w:rsidRDefault="009353B7" w:rsidP="00611B92">
            <w:pPr>
              <w:ind w:left="0" w:right="0"/>
            </w:pPr>
            <w:r w:rsidRPr="00360B4D">
              <w:t>19.3</w:t>
            </w:r>
          </w:p>
        </w:tc>
      </w:tr>
      <w:tr w:rsidR="007F33B3" w:rsidRPr="00360B4D" w:rsidTr="00D924E5">
        <w:trPr>
          <w:trHeight w:val="247"/>
        </w:trPr>
        <w:tc>
          <w:tcPr>
            <w:tcW w:w="1242" w:type="dxa"/>
            <w:vMerge w:val="restart"/>
          </w:tcPr>
          <w:p w:rsidR="009353B7" w:rsidRPr="00360B4D" w:rsidRDefault="009353B7" w:rsidP="00611B92">
            <w:pPr>
              <w:ind w:left="0" w:right="0"/>
            </w:pPr>
            <w:r w:rsidRPr="00360B4D">
              <w:t>Monkey (</w:t>
            </w:r>
            <w:proofErr w:type="spellStart"/>
            <w:r w:rsidRPr="00360B4D">
              <w:t>Cynomolgus</w:t>
            </w:r>
            <w:proofErr w:type="spellEnd"/>
            <w:r w:rsidRPr="00360B4D">
              <w:t>)</w:t>
            </w:r>
          </w:p>
          <w:p w:rsidR="009353B7" w:rsidRPr="00360B4D" w:rsidRDefault="009353B7" w:rsidP="00611B92">
            <w:pPr>
              <w:ind w:left="0" w:right="0"/>
            </w:pPr>
            <w:r w:rsidRPr="00360B4D">
              <w:t>CN53056</w:t>
            </w:r>
          </w:p>
          <w:p w:rsidR="009353B7" w:rsidRPr="00360B4D" w:rsidRDefault="009353B7" w:rsidP="00611B92">
            <w:pPr>
              <w:ind w:left="0" w:right="0"/>
            </w:pPr>
            <w:r w:rsidRPr="00360B4D">
              <w:t>[8549 IU/mg]</w:t>
            </w:r>
          </w:p>
        </w:tc>
        <w:tc>
          <w:tcPr>
            <w:tcW w:w="1134" w:type="dxa"/>
            <w:vMerge w:val="restart"/>
          </w:tcPr>
          <w:p w:rsidR="009353B7" w:rsidRPr="00360B4D" w:rsidRDefault="009353B7" w:rsidP="00611B92">
            <w:pPr>
              <w:ind w:left="0" w:right="0"/>
            </w:pPr>
            <w:r w:rsidRPr="00360B4D">
              <w:t>4 weeks</w:t>
            </w:r>
          </w:p>
          <w:p w:rsidR="009353B7" w:rsidRPr="00360B4D" w:rsidRDefault="006775B5" w:rsidP="00611B92">
            <w:pPr>
              <w:ind w:left="0" w:right="0"/>
            </w:pPr>
            <w:r>
              <w:t>(Day 1 values)</w:t>
            </w:r>
          </w:p>
        </w:tc>
        <w:tc>
          <w:tcPr>
            <w:tcW w:w="993" w:type="dxa"/>
            <w:vMerge w:val="restart"/>
          </w:tcPr>
          <w:p w:rsidR="009353B7" w:rsidRPr="00360B4D" w:rsidRDefault="009353B7" w:rsidP="00611B92">
            <w:pPr>
              <w:ind w:left="0" w:right="0"/>
            </w:pPr>
            <w:r w:rsidRPr="00360B4D">
              <w:t>Every second day</w:t>
            </w:r>
          </w:p>
        </w:tc>
        <w:tc>
          <w:tcPr>
            <w:tcW w:w="992" w:type="dxa"/>
          </w:tcPr>
          <w:p w:rsidR="009353B7" w:rsidRPr="00360B4D" w:rsidRDefault="006775B5" w:rsidP="00611B92">
            <w:pPr>
              <w:ind w:left="0" w:right="0"/>
            </w:pPr>
            <w:r>
              <w:t>50</w:t>
            </w:r>
          </w:p>
        </w:tc>
        <w:tc>
          <w:tcPr>
            <w:tcW w:w="1276" w:type="dxa"/>
          </w:tcPr>
          <w:p w:rsidR="009353B7" w:rsidRPr="00360B4D" w:rsidRDefault="009353B7" w:rsidP="00611B92">
            <w:pPr>
              <w:ind w:left="0" w:right="0"/>
            </w:pPr>
            <w:r w:rsidRPr="00360B4D">
              <w:t>0.14 [1.2]</w:t>
            </w:r>
          </w:p>
        </w:tc>
        <w:tc>
          <w:tcPr>
            <w:tcW w:w="1275" w:type="dxa"/>
          </w:tcPr>
          <w:p w:rsidR="009353B7" w:rsidRPr="00360B4D" w:rsidRDefault="009353B7" w:rsidP="00611B92">
            <w:pPr>
              <w:ind w:left="0" w:right="0"/>
            </w:pPr>
            <w:r w:rsidRPr="00360B4D">
              <w:t>2 [17.1]</w:t>
            </w:r>
          </w:p>
        </w:tc>
        <w:tc>
          <w:tcPr>
            <w:tcW w:w="993" w:type="dxa"/>
          </w:tcPr>
          <w:p w:rsidR="009353B7" w:rsidRPr="00360B4D" w:rsidRDefault="009353B7" w:rsidP="00611B92">
            <w:pPr>
              <w:ind w:left="0" w:right="0"/>
            </w:pPr>
            <w:r w:rsidRPr="00360B4D">
              <w:t>1</w:t>
            </w:r>
          </w:p>
        </w:tc>
        <w:tc>
          <w:tcPr>
            <w:tcW w:w="992" w:type="dxa"/>
          </w:tcPr>
          <w:p w:rsidR="009353B7" w:rsidRPr="00360B4D" w:rsidRDefault="009353B7" w:rsidP="00611B92">
            <w:pPr>
              <w:ind w:left="0" w:right="0"/>
            </w:pPr>
            <w:r w:rsidRPr="00360B4D">
              <w:t>6.1</w:t>
            </w:r>
          </w:p>
        </w:tc>
      </w:tr>
      <w:tr w:rsidR="007F33B3" w:rsidRPr="00360B4D" w:rsidTr="00D924E5">
        <w:trPr>
          <w:trHeight w:val="317"/>
        </w:trPr>
        <w:tc>
          <w:tcPr>
            <w:tcW w:w="1242" w:type="dxa"/>
            <w:vMerge/>
          </w:tcPr>
          <w:p w:rsidR="009353B7" w:rsidRPr="00360B4D" w:rsidRDefault="009353B7" w:rsidP="00611B92">
            <w:pPr>
              <w:ind w:left="0" w:right="0"/>
            </w:pPr>
          </w:p>
        </w:tc>
        <w:tc>
          <w:tcPr>
            <w:tcW w:w="1134" w:type="dxa"/>
            <w:vMerge/>
          </w:tcPr>
          <w:p w:rsidR="009353B7" w:rsidRPr="00360B4D" w:rsidRDefault="009353B7" w:rsidP="00611B92">
            <w:pPr>
              <w:ind w:left="0" w:right="0"/>
            </w:pPr>
          </w:p>
        </w:tc>
        <w:tc>
          <w:tcPr>
            <w:tcW w:w="993" w:type="dxa"/>
            <w:vMerge/>
          </w:tcPr>
          <w:p w:rsidR="009353B7" w:rsidRPr="00360B4D" w:rsidRDefault="009353B7" w:rsidP="00611B92">
            <w:pPr>
              <w:ind w:left="0" w:right="0"/>
            </w:pPr>
          </w:p>
        </w:tc>
        <w:tc>
          <w:tcPr>
            <w:tcW w:w="992" w:type="dxa"/>
          </w:tcPr>
          <w:p w:rsidR="009353B7" w:rsidRPr="00360B4D" w:rsidRDefault="006775B5" w:rsidP="00611B92">
            <w:pPr>
              <w:ind w:left="0" w:right="0"/>
            </w:pPr>
            <w:r>
              <w:t>250</w:t>
            </w:r>
          </w:p>
        </w:tc>
        <w:tc>
          <w:tcPr>
            <w:tcW w:w="1276" w:type="dxa"/>
          </w:tcPr>
          <w:p w:rsidR="009353B7" w:rsidRPr="00360B4D" w:rsidRDefault="009353B7" w:rsidP="00611B92">
            <w:pPr>
              <w:ind w:left="0" w:right="0"/>
            </w:pPr>
            <w:r w:rsidRPr="00360B4D">
              <w:t>0.8 [6.8]</w:t>
            </w:r>
          </w:p>
        </w:tc>
        <w:tc>
          <w:tcPr>
            <w:tcW w:w="1275" w:type="dxa"/>
          </w:tcPr>
          <w:p w:rsidR="009353B7" w:rsidRPr="00360B4D" w:rsidRDefault="009353B7" w:rsidP="00611B92">
            <w:pPr>
              <w:ind w:left="0" w:right="0"/>
            </w:pPr>
            <w:r w:rsidRPr="00360B4D">
              <w:t>10.8 [92.3]</w:t>
            </w:r>
          </w:p>
        </w:tc>
        <w:tc>
          <w:tcPr>
            <w:tcW w:w="993" w:type="dxa"/>
          </w:tcPr>
          <w:p w:rsidR="009353B7" w:rsidRPr="00360B4D" w:rsidRDefault="009353B7" w:rsidP="00611B92">
            <w:pPr>
              <w:ind w:left="0" w:right="0"/>
            </w:pPr>
            <w:r w:rsidRPr="00360B4D">
              <w:t>5.7</w:t>
            </w:r>
          </w:p>
        </w:tc>
        <w:tc>
          <w:tcPr>
            <w:tcW w:w="992" w:type="dxa"/>
          </w:tcPr>
          <w:p w:rsidR="009353B7" w:rsidRPr="00360B4D" w:rsidRDefault="009353B7" w:rsidP="00611B92">
            <w:pPr>
              <w:ind w:left="0" w:right="0"/>
            </w:pPr>
            <w:r w:rsidRPr="00360B4D">
              <w:t>33</w:t>
            </w:r>
          </w:p>
        </w:tc>
      </w:tr>
      <w:tr w:rsidR="007F33B3" w:rsidRPr="00360B4D" w:rsidTr="00D924E5">
        <w:trPr>
          <w:trHeight w:val="227"/>
        </w:trPr>
        <w:tc>
          <w:tcPr>
            <w:tcW w:w="1242" w:type="dxa"/>
            <w:vMerge/>
          </w:tcPr>
          <w:p w:rsidR="009353B7" w:rsidRPr="00360B4D" w:rsidRDefault="009353B7" w:rsidP="00611B92">
            <w:pPr>
              <w:ind w:left="0" w:right="0"/>
            </w:pPr>
          </w:p>
        </w:tc>
        <w:tc>
          <w:tcPr>
            <w:tcW w:w="1134" w:type="dxa"/>
            <w:vMerge/>
          </w:tcPr>
          <w:p w:rsidR="009353B7" w:rsidRPr="00360B4D" w:rsidRDefault="009353B7" w:rsidP="00611B92">
            <w:pPr>
              <w:ind w:left="0" w:right="0"/>
            </w:pPr>
          </w:p>
        </w:tc>
        <w:tc>
          <w:tcPr>
            <w:tcW w:w="993" w:type="dxa"/>
            <w:vMerge/>
          </w:tcPr>
          <w:p w:rsidR="009353B7" w:rsidRPr="00360B4D" w:rsidRDefault="009353B7" w:rsidP="00611B92">
            <w:pPr>
              <w:ind w:left="0" w:right="0"/>
            </w:pPr>
          </w:p>
        </w:tc>
        <w:tc>
          <w:tcPr>
            <w:tcW w:w="992" w:type="dxa"/>
          </w:tcPr>
          <w:p w:rsidR="009353B7" w:rsidRPr="00360B4D" w:rsidRDefault="006775B5" w:rsidP="00611B92">
            <w:pPr>
              <w:ind w:left="0" w:right="0"/>
            </w:pPr>
            <w:r>
              <w:t>1000</w:t>
            </w:r>
          </w:p>
        </w:tc>
        <w:tc>
          <w:tcPr>
            <w:tcW w:w="1276" w:type="dxa"/>
          </w:tcPr>
          <w:p w:rsidR="009353B7" w:rsidRPr="00360B4D" w:rsidRDefault="009353B7" w:rsidP="00611B92">
            <w:pPr>
              <w:ind w:left="0" w:right="0"/>
            </w:pPr>
            <w:r w:rsidRPr="00360B4D">
              <w:t>2.8 [23.9]</w:t>
            </w:r>
          </w:p>
        </w:tc>
        <w:tc>
          <w:tcPr>
            <w:tcW w:w="1275" w:type="dxa"/>
          </w:tcPr>
          <w:p w:rsidR="009353B7" w:rsidRPr="00360B4D" w:rsidRDefault="009353B7" w:rsidP="00611B92">
            <w:pPr>
              <w:ind w:left="0" w:right="0"/>
            </w:pPr>
            <w:r w:rsidRPr="00360B4D">
              <w:t>37.5 [320.6]</w:t>
            </w:r>
          </w:p>
        </w:tc>
        <w:tc>
          <w:tcPr>
            <w:tcW w:w="993" w:type="dxa"/>
          </w:tcPr>
          <w:p w:rsidR="009353B7" w:rsidRPr="00360B4D" w:rsidRDefault="009353B7" w:rsidP="00611B92">
            <w:pPr>
              <w:ind w:left="0" w:right="0"/>
            </w:pPr>
            <w:r w:rsidRPr="00360B4D">
              <w:t>20</w:t>
            </w:r>
          </w:p>
        </w:tc>
        <w:tc>
          <w:tcPr>
            <w:tcW w:w="992" w:type="dxa"/>
          </w:tcPr>
          <w:p w:rsidR="009353B7" w:rsidRPr="00360B4D" w:rsidRDefault="009353B7" w:rsidP="00611B92">
            <w:pPr>
              <w:ind w:left="0" w:right="0"/>
            </w:pPr>
            <w:r w:rsidRPr="00360B4D">
              <w:t>115</w:t>
            </w:r>
          </w:p>
        </w:tc>
      </w:tr>
      <w:tr w:rsidR="007F33B3" w:rsidRPr="00360B4D" w:rsidTr="00D924E5">
        <w:trPr>
          <w:trHeight w:val="227"/>
        </w:trPr>
        <w:tc>
          <w:tcPr>
            <w:tcW w:w="1242" w:type="dxa"/>
            <w:vMerge w:val="restart"/>
          </w:tcPr>
          <w:p w:rsidR="009353B7" w:rsidRPr="00360B4D" w:rsidRDefault="009353B7" w:rsidP="00611B92">
            <w:pPr>
              <w:ind w:left="0" w:right="0"/>
            </w:pPr>
            <w:r w:rsidRPr="00360B4D">
              <w:t>Monkey (</w:t>
            </w:r>
            <w:proofErr w:type="spellStart"/>
            <w:r w:rsidRPr="00360B4D">
              <w:t>Cynomolgus</w:t>
            </w:r>
            <w:proofErr w:type="spellEnd"/>
            <w:r w:rsidRPr="00360B4D">
              <w:t>)</w:t>
            </w:r>
          </w:p>
          <w:p w:rsidR="009353B7" w:rsidRPr="00360B4D" w:rsidRDefault="009353B7" w:rsidP="00611B92">
            <w:pPr>
              <w:ind w:left="0" w:right="0"/>
            </w:pPr>
            <w:r w:rsidRPr="00360B4D">
              <w:t>N110486</w:t>
            </w:r>
          </w:p>
          <w:p w:rsidR="009353B7" w:rsidRPr="00360B4D" w:rsidRDefault="009353B7" w:rsidP="00611B92">
            <w:pPr>
              <w:ind w:left="0" w:right="0"/>
            </w:pPr>
            <w:r w:rsidRPr="00360B4D">
              <w:t>[8262 IU/mg]</w:t>
            </w:r>
          </w:p>
        </w:tc>
        <w:tc>
          <w:tcPr>
            <w:tcW w:w="1134" w:type="dxa"/>
            <w:vMerge w:val="restart"/>
          </w:tcPr>
          <w:p w:rsidR="009353B7" w:rsidRPr="00360B4D" w:rsidRDefault="009353B7" w:rsidP="00611B92">
            <w:pPr>
              <w:ind w:left="0" w:right="0"/>
            </w:pPr>
            <w:r w:rsidRPr="00360B4D">
              <w:t>4 weeks</w:t>
            </w:r>
          </w:p>
          <w:p w:rsidR="009353B7" w:rsidRPr="00360B4D" w:rsidRDefault="009353B7" w:rsidP="00611B92">
            <w:pPr>
              <w:ind w:left="0" w:right="0"/>
            </w:pPr>
            <w:r w:rsidRPr="00360B4D">
              <w:t>(Day 1 values)</w:t>
            </w:r>
          </w:p>
        </w:tc>
        <w:tc>
          <w:tcPr>
            <w:tcW w:w="993" w:type="dxa"/>
            <w:vMerge w:val="restart"/>
          </w:tcPr>
          <w:p w:rsidR="009353B7" w:rsidRPr="00360B4D" w:rsidRDefault="009353B7" w:rsidP="00611B92">
            <w:pPr>
              <w:ind w:left="0" w:right="0"/>
            </w:pPr>
            <w:r w:rsidRPr="00360B4D">
              <w:t>Every second day</w:t>
            </w:r>
          </w:p>
        </w:tc>
        <w:tc>
          <w:tcPr>
            <w:tcW w:w="992" w:type="dxa"/>
          </w:tcPr>
          <w:p w:rsidR="009353B7" w:rsidRPr="00360B4D" w:rsidRDefault="006775B5" w:rsidP="00611B92">
            <w:pPr>
              <w:ind w:left="0" w:right="0"/>
            </w:pPr>
            <w:r>
              <w:t>50</w:t>
            </w:r>
          </w:p>
        </w:tc>
        <w:tc>
          <w:tcPr>
            <w:tcW w:w="1276" w:type="dxa"/>
          </w:tcPr>
          <w:p w:rsidR="009353B7" w:rsidRPr="00360B4D" w:rsidRDefault="009353B7" w:rsidP="00611B92">
            <w:pPr>
              <w:ind w:left="0" w:right="0"/>
            </w:pPr>
            <w:r w:rsidRPr="00360B4D">
              <w:t>0.16 [1.3]</w:t>
            </w:r>
          </w:p>
        </w:tc>
        <w:tc>
          <w:tcPr>
            <w:tcW w:w="1275" w:type="dxa"/>
          </w:tcPr>
          <w:p w:rsidR="009353B7" w:rsidRPr="00360B4D" w:rsidRDefault="009353B7" w:rsidP="00611B92">
            <w:pPr>
              <w:ind w:left="0" w:right="0"/>
            </w:pPr>
            <w:r w:rsidRPr="00360B4D">
              <w:t>2.3 [19]</w:t>
            </w:r>
          </w:p>
        </w:tc>
        <w:tc>
          <w:tcPr>
            <w:tcW w:w="993" w:type="dxa"/>
          </w:tcPr>
          <w:p w:rsidR="009353B7" w:rsidRPr="00360B4D" w:rsidRDefault="009353B7" w:rsidP="00611B92">
            <w:pPr>
              <w:ind w:left="0" w:right="0"/>
            </w:pPr>
            <w:r w:rsidRPr="00360B4D">
              <w:t>1.1</w:t>
            </w:r>
          </w:p>
        </w:tc>
        <w:tc>
          <w:tcPr>
            <w:tcW w:w="992" w:type="dxa"/>
          </w:tcPr>
          <w:p w:rsidR="009353B7" w:rsidRPr="00360B4D" w:rsidRDefault="009353B7" w:rsidP="00611B92">
            <w:pPr>
              <w:ind w:left="0" w:right="0"/>
            </w:pPr>
            <w:r w:rsidRPr="00360B4D">
              <w:t>6.8</w:t>
            </w:r>
          </w:p>
        </w:tc>
      </w:tr>
      <w:tr w:rsidR="007F33B3" w:rsidRPr="00360B4D" w:rsidTr="00D924E5">
        <w:trPr>
          <w:trHeight w:val="227"/>
        </w:trPr>
        <w:tc>
          <w:tcPr>
            <w:tcW w:w="1242" w:type="dxa"/>
            <w:vMerge/>
          </w:tcPr>
          <w:p w:rsidR="009353B7" w:rsidRPr="00360B4D" w:rsidRDefault="009353B7" w:rsidP="00611B92">
            <w:pPr>
              <w:ind w:left="0" w:right="0"/>
            </w:pPr>
          </w:p>
        </w:tc>
        <w:tc>
          <w:tcPr>
            <w:tcW w:w="1134" w:type="dxa"/>
            <w:vMerge/>
          </w:tcPr>
          <w:p w:rsidR="009353B7" w:rsidRPr="00360B4D" w:rsidRDefault="009353B7" w:rsidP="00611B92">
            <w:pPr>
              <w:ind w:left="0" w:right="0"/>
            </w:pPr>
          </w:p>
        </w:tc>
        <w:tc>
          <w:tcPr>
            <w:tcW w:w="993" w:type="dxa"/>
            <w:vMerge/>
          </w:tcPr>
          <w:p w:rsidR="009353B7" w:rsidRPr="00360B4D" w:rsidRDefault="009353B7" w:rsidP="00611B92">
            <w:pPr>
              <w:ind w:left="0" w:right="0"/>
            </w:pPr>
          </w:p>
        </w:tc>
        <w:tc>
          <w:tcPr>
            <w:tcW w:w="992" w:type="dxa"/>
          </w:tcPr>
          <w:p w:rsidR="009353B7" w:rsidRPr="00360B4D" w:rsidRDefault="006775B5" w:rsidP="00611B92">
            <w:pPr>
              <w:ind w:left="0" w:right="0"/>
            </w:pPr>
            <w:r>
              <w:t>250</w:t>
            </w:r>
          </w:p>
        </w:tc>
        <w:tc>
          <w:tcPr>
            <w:tcW w:w="1276" w:type="dxa"/>
          </w:tcPr>
          <w:p w:rsidR="009353B7" w:rsidRPr="00360B4D" w:rsidRDefault="009353B7" w:rsidP="00611B92">
            <w:pPr>
              <w:ind w:left="0" w:right="0"/>
            </w:pPr>
            <w:r w:rsidRPr="00360B4D">
              <w:t>0.88 [7.3]</w:t>
            </w:r>
          </w:p>
        </w:tc>
        <w:tc>
          <w:tcPr>
            <w:tcW w:w="1275" w:type="dxa"/>
          </w:tcPr>
          <w:p w:rsidR="009353B7" w:rsidRPr="00360B4D" w:rsidRDefault="009353B7" w:rsidP="00611B92">
            <w:pPr>
              <w:ind w:left="0" w:right="0"/>
            </w:pPr>
            <w:r w:rsidRPr="00360B4D">
              <w:t>12.1 [100]</w:t>
            </w:r>
          </w:p>
        </w:tc>
        <w:tc>
          <w:tcPr>
            <w:tcW w:w="993" w:type="dxa"/>
          </w:tcPr>
          <w:p w:rsidR="009353B7" w:rsidRPr="00360B4D" w:rsidRDefault="009353B7" w:rsidP="00611B92">
            <w:pPr>
              <w:ind w:left="0" w:right="0"/>
            </w:pPr>
            <w:r w:rsidRPr="00360B4D">
              <w:t>6.1</w:t>
            </w:r>
          </w:p>
        </w:tc>
        <w:tc>
          <w:tcPr>
            <w:tcW w:w="992" w:type="dxa"/>
          </w:tcPr>
          <w:p w:rsidR="009353B7" w:rsidRPr="00360B4D" w:rsidRDefault="009353B7" w:rsidP="00611B92">
            <w:pPr>
              <w:ind w:left="0" w:right="0"/>
            </w:pPr>
            <w:r w:rsidRPr="00360B4D">
              <w:t>35.7</w:t>
            </w:r>
          </w:p>
        </w:tc>
      </w:tr>
      <w:tr w:rsidR="007F33B3" w:rsidRPr="00360B4D" w:rsidTr="00D924E5">
        <w:trPr>
          <w:trHeight w:val="227"/>
        </w:trPr>
        <w:tc>
          <w:tcPr>
            <w:tcW w:w="1242" w:type="dxa"/>
            <w:vMerge/>
          </w:tcPr>
          <w:p w:rsidR="009353B7" w:rsidRPr="00360B4D" w:rsidRDefault="009353B7" w:rsidP="00611B92">
            <w:pPr>
              <w:ind w:left="0" w:right="0"/>
            </w:pPr>
          </w:p>
        </w:tc>
        <w:tc>
          <w:tcPr>
            <w:tcW w:w="1134" w:type="dxa"/>
            <w:vMerge/>
          </w:tcPr>
          <w:p w:rsidR="009353B7" w:rsidRPr="00360B4D" w:rsidRDefault="009353B7" w:rsidP="00611B92">
            <w:pPr>
              <w:ind w:left="0" w:right="0"/>
            </w:pPr>
          </w:p>
        </w:tc>
        <w:tc>
          <w:tcPr>
            <w:tcW w:w="993" w:type="dxa"/>
            <w:vMerge/>
          </w:tcPr>
          <w:p w:rsidR="009353B7" w:rsidRPr="00360B4D" w:rsidRDefault="009353B7" w:rsidP="00611B92">
            <w:pPr>
              <w:ind w:left="0" w:right="0"/>
            </w:pPr>
          </w:p>
        </w:tc>
        <w:tc>
          <w:tcPr>
            <w:tcW w:w="992" w:type="dxa"/>
          </w:tcPr>
          <w:p w:rsidR="009353B7" w:rsidRPr="00360B4D" w:rsidRDefault="006775B5" w:rsidP="00611B92">
            <w:pPr>
              <w:ind w:left="0" w:right="0"/>
            </w:pPr>
            <w:r>
              <w:t>1000</w:t>
            </w:r>
          </w:p>
        </w:tc>
        <w:tc>
          <w:tcPr>
            <w:tcW w:w="1276" w:type="dxa"/>
          </w:tcPr>
          <w:p w:rsidR="009353B7" w:rsidRPr="00360B4D" w:rsidRDefault="009353B7" w:rsidP="00611B92">
            <w:pPr>
              <w:ind w:left="0" w:right="0"/>
            </w:pPr>
            <w:r w:rsidRPr="00360B4D">
              <w:t>3.8 [31.4]</w:t>
            </w:r>
          </w:p>
        </w:tc>
        <w:tc>
          <w:tcPr>
            <w:tcW w:w="1275" w:type="dxa"/>
          </w:tcPr>
          <w:p w:rsidR="009353B7" w:rsidRPr="00360B4D" w:rsidRDefault="009353B7" w:rsidP="00611B92">
            <w:pPr>
              <w:ind w:left="0" w:right="0"/>
            </w:pPr>
            <w:r w:rsidRPr="00360B4D">
              <w:t>48 [396.6]</w:t>
            </w:r>
          </w:p>
        </w:tc>
        <w:tc>
          <w:tcPr>
            <w:tcW w:w="993" w:type="dxa"/>
          </w:tcPr>
          <w:p w:rsidR="009353B7" w:rsidRPr="00360B4D" w:rsidRDefault="009353B7" w:rsidP="00611B92">
            <w:pPr>
              <w:ind w:left="0" w:right="0"/>
            </w:pPr>
            <w:r w:rsidRPr="00360B4D">
              <w:t>26.4</w:t>
            </w:r>
          </w:p>
        </w:tc>
        <w:tc>
          <w:tcPr>
            <w:tcW w:w="992" w:type="dxa"/>
          </w:tcPr>
          <w:p w:rsidR="009353B7" w:rsidRPr="00360B4D" w:rsidRDefault="009353B7" w:rsidP="00611B92">
            <w:pPr>
              <w:ind w:left="0" w:right="0"/>
            </w:pPr>
            <w:r w:rsidRPr="00360B4D">
              <w:t>142</w:t>
            </w:r>
          </w:p>
        </w:tc>
      </w:tr>
      <w:tr w:rsidR="007F33B3" w:rsidRPr="00360B4D" w:rsidTr="00D924E5">
        <w:trPr>
          <w:trHeight w:val="227"/>
        </w:trPr>
        <w:tc>
          <w:tcPr>
            <w:tcW w:w="1242" w:type="dxa"/>
          </w:tcPr>
          <w:p w:rsidR="009353B7" w:rsidRPr="00360B4D" w:rsidRDefault="009353B7" w:rsidP="00611B92">
            <w:pPr>
              <w:ind w:left="0" w:right="0"/>
            </w:pPr>
            <w:r w:rsidRPr="00360B4D">
              <w:t>Human</w:t>
            </w:r>
          </w:p>
          <w:p w:rsidR="009353B7" w:rsidRPr="00360B4D" w:rsidRDefault="009353B7" w:rsidP="00611B92">
            <w:pPr>
              <w:ind w:left="0" w:right="0"/>
            </w:pPr>
            <w:r w:rsidRPr="00360B4D">
              <w:t>997HA101</w:t>
            </w:r>
          </w:p>
        </w:tc>
        <w:tc>
          <w:tcPr>
            <w:tcW w:w="1134" w:type="dxa"/>
          </w:tcPr>
          <w:p w:rsidR="009353B7" w:rsidRPr="00360B4D" w:rsidRDefault="009353B7" w:rsidP="00611B92">
            <w:pPr>
              <w:ind w:left="0" w:right="0"/>
            </w:pPr>
            <w:r w:rsidRPr="00360B4D">
              <w:t>-</w:t>
            </w:r>
          </w:p>
        </w:tc>
        <w:tc>
          <w:tcPr>
            <w:tcW w:w="993" w:type="dxa"/>
          </w:tcPr>
          <w:p w:rsidR="009353B7" w:rsidRPr="00360B4D" w:rsidRDefault="009353B7" w:rsidP="00611B92">
            <w:pPr>
              <w:ind w:left="0" w:right="0"/>
            </w:pPr>
            <w:r w:rsidRPr="00360B4D">
              <w:t>65</w:t>
            </w:r>
          </w:p>
        </w:tc>
        <w:tc>
          <w:tcPr>
            <w:tcW w:w="992" w:type="dxa"/>
          </w:tcPr>
          <w:p w:rsidR="009353B7" w:rsidRPr="00360B4D" w:rsidRDefault="009353B7" w:rsidP="00611B92">
            <w:pPr>
              <w:ind w:left="0" w:right="0"/>
            </w:pPr>
            <w:r w:rsidRPr="00360B4D">
              <w:t>50</w:t>
            </w:r>
          </w:p>
        </w:tc>
        <w:tc>
          <w:tcPr>
            <w:tcW w:w="1276" w:type="dxa"/>
          </w:tcPr>
          <w:p w:rsidR="009353B7" w:rsidRPr="00360B4D" w:rsidRDefault="009353B7" w:rsidP="00611B92">
            <w:pPr>
              <w:ind w:left="0" w:right="0"/>
            </w:pPr>
            <w:r w:rsidRPr="00360B4D">
              <w:t>[1.19]</w:t>
            </w:r>
          </w:p>
        </w:tc>
        <w:tc>
          <w:tcPr>
            <w:tcW w:w="1275" w:type="dxa"/>
          </w:tcPr>
          <w:p w:rsidR="009353B7" w:rsidRPr="00360B4D" w:rsidRDefault="009353B7" w:rsidP="00611B92">
            <w:pPr>
              <w:ind w:left="0" w:right="0"/>
            </w:pPr>
            <w:r w:rsidRPr="00360B4D">
              <w:t>[2.8]</w:t>
            </w:r>
          </w:p>
        </w:tc>
        <w:tc>
          <w:tcPr>
            <w:tcW w:w="993" w:type="dxa"/>
          </w:tcPr>
          <w:p w:rsidR="009353B7" w:rsidRPr="00360B4D" w:rsidRDefault="009353B7" w:rsidP="00611B92">
            <w:pPr>
              <w:ind w:left="0" w:right="0"/>
            </w:pPr>
            <w:r w:rsidRPr="00360B4D">
              <w:t>-</w:t>
            </w:r>
          </w:p>
        </w:tc>
        <w:tc>
          <w:tcPr>
            <w:tcW w:w="992" w:type="dxa"/>
          </w:tcPr>
          <w:p w:rsidR="009353B7" w:rsidRPr="00360B4D" w:rsidRDefault="009353B7" w:rsidP="00611B92">
            <w:pPr>
              <w:ind w:left="0" w:right="0"/>
            </w:pPr>
            <w:r w:rsidRPr="00360B4D">
              <w:t>-</w:t>
            </w:r>
          </w:p>
        </w:tc>
      </w:tr>
    </w:tbl>
    <w:p w:rsidR="009353B7" w:rsidRPr="00611B92" w:rsidRDefault="009353B7" w:rsidP="00611B92">
      <w:pPr>
        <w:pStyle w:val="TableDescription"/>
      </w:pPr>
      <w:r>
        <w:t>^</w:t>
      </w:r>
      <w:r w:rsidR="00AF6565">
        <w:t xml:space="preserve">Relative exposure, </w:t>
      </w:r>
      <w:r>
        <w:t xml:space="preserve">Animal </w:t>
      </w:r>
      <w:proofErr w:type="spellStart"/>
      <w:r>
        <w:t>C</w:t>
      </w:r>
      <w:r w:rsidRPr="00FE3FC9">
        <w:rPr>
          <w:vertAlign w:val="subscript"/>
        </w:rPr>
        <w:t>max</w:t>
      </w:r>
      <w:proofErr w:type="spellEnd"/>
      <w:r>
        <w:t xml:space="preserve"> or AUC/Clinical </w:t>
      </w:r>
      <w:proofErr w:type="spellStart"/>
      <w:r>
        <w:t>C</w:t>
      </w:r>
      <w:r w:rsidRPr="00FE3FC9">
        <w:rPr>
          <w:vertAlign w:val="subscript"/>
        </w:rPr>
        <w:t>max</w:t>
      </w:r>
      <w:proofErr w:type="spellEnd"/>
      <w:r>
        <w:t xml:space="preserve"> or AUC; Mean of male and female values are shown; * converted to IU/mL or </w:t>
      </w:r>
      <w:proofErr w:type="spellStart"/>
      <w:r>
        <w:t>IU.h</w:t>
      </w:r>
      <w:proofErr w:type="spellEnd"/>
      <w:r>
        <w:t>/mL based on pote</w:t>
      </w:r>
      <w:r w:rsidR="00986654">
        <w:t>ncy of batch used in the study.</w:t>
      </w:r>
    </w:p>
    <w:p w:rsidR="009353B7" w:rsidRPr="00611B92" w:rsidRDefault="009353B7" w:rsidP="00611B92">
      <w:pPr>
        <w:pStyle w:val="Heading5"/>
      </w:pPr>
      <w:r w:rsidRPr="00C728D2">
        <w:t>Major toxicities</w:t>
      </w:r>
    </w:p>
    <w:p w:rsidR="009353B7" w:rsidRPr="00C728D2" w:rsidRDefault="009353B7" w:rsidP="00611B92">
      <w:r w:rsidRPr="00C728D2">
        <w:t xml:space="preserve">Repeated doses of </w:t>
      </w:r>
      <w:proofErr w:type="spellStart"/>
      <w:r w:rsidR="0040015B" w:rsidRPr="0040015B">
        <w:t>rFVIIIFc</w:t>
      </w:r>
      <w:proofErr w:type="spellEnd"/>
      <w:r w:rsidR="0040015B" w:rsidRPr="0040015B">
        <w:t xml:space="preserve"> </w:t>
      </w:r>
      <w:r w:rsidRPr="00C728D2">
        <w:t xml:space="preserve">were generally well tolerated by both animal species used, with no overt and targeted toxicities noted. Clinical signs were minimal with incidences of swelling and discolouration noted in </w:t>
      </w:r>
      <w:proofErr w:type="spellStart"/>
      <w:r w:rsidR="00750125" w:rsidRPr="00C728D2">
        <w:t>hindlimbs</w:t>
      </w:r>
      <w:proofErr w:type="spellEnd"/>
      <w:r w:rsidRPr="00C728D2">
        <w:t xml:space="preserve"> and</w:t>
      </w:r>
      <w:r w:rsidR="00750125" w:rsidRPr="00C728D2">
        <w:t xml:space="preserve"> forelimbs of treated monkeys. </w:t>
      </w:r>
      <w:r w:rsidRPr="00C728D2">
        <w:t>These effects were likely to be a consequence of impaired haemostasis due to neutralising antibodies and trauma from blood collections (</w:t>
      </w:r>
      <w:r w:rsidR="00DB4141">
        <w:t>for example</w:t>
      </w:r>
      <w:r w:rsidR="004F0BBA">
        <w:t>,</w:t>
      </w:r>
      <w:r w:rsidRPr="00C728D2">
        <w:t xml:space="preserve"> for </w:t>
      </w:r>
      <w:proofErr w:type="spellStart"/>
      <w:r w:rsidRPr="00C728D2">
        <w:t>toxicokinetics</w:t>
      </w:r>
      <w:proofErr w:type="spellEnd"/>
      <w:r w:rsidRPr="00C728D2">
        <w:t xml:space="preserve"> or clinical pathology analyses).</w:t>
      </w:r>
    </w:p>
    <w:p w:rsidR="009353B7" w:rsidRPr="00C728D2" w:rsidRDefault="009353B7" w:rsidP="00611B92">
      <w:r w:rsidRPr="00C728D2">
        <w:t>While the clinical relevance of antibody development is uncertain, antigenicity was nevertheless a confounding factor in assessing toxicit</w:t>
      </w:r>
      <w:r w:rsidR="00986654">
        <w:t>ies in the animal studies. Anti </w:t>
      </w:r>
      <w:proofErr w:type="spellStart"/>
      <w:r w:rsidR="0040015B" w:rsidRPr="0040015B">
        <w:t>rFVIIIFc</w:t>
      </w:r>
      <w:proofErr w:type="spellEnd"/>
      <w:r w:rsidR="0040015B" w:rsidRPr="0040015B">
        <w:t xml:space="preserve"> </w:t>
      </w:r>
      <w:r w:rsidRPr="00C728D2">
        <w:t xml:space="preserve">antibodies were detected in both rat and monkey repeat dose studies with onset of development earliest in high dose group animals. Antibodies were against the FVIII moiety of </w:t>
      </w:r>
      <w:proofErr w:type="spellStart"/>
      <w:r w:rsidR="0040015B" w:rsidRPr="0040015B">
        <w:t>rFVIIIFc</w:t>
      </w:r>
      <w:proofErr w:type="spellEnd"/>
      <w:r w:rsidR="0040015B" w:rsidRPr="0040015B">
        <w:t xml:space="preserve"> </w:t>
      </w:r>
      <w:r w:rsidRPr="00C728D2">
        <w:t>and were found to have a neutralisi</w:t>
      </w:r>
      <w:r w:rsidR="00DA244F" w:rsidRPr="00C728D2">
        <w:t xml:space="preserve">ng effect on endogenous FVIII. </w:t>
      </w:r>
      <w:r w:rsidRPr="00C728D2">
        <w:t xml:space="preserve">In monkeys this affected haematological parameters, shown as decreased </w:t>
      </w:r>
      <w:r w:rsidR="004F0BBA" w:rsidRPr="004F0BBA">
        <w:t>red blood cell</w:t>
      </w:r>
      <w:r w:rsidR="00D90E33">
        <w:t>s</w:t>
      </w:r>
      <w:r w:rsidR="004F0BBA" w:rsidRPr="004F0BBA">
        <w:t xml:space="preserve"> </w:t>
      </w:r>
      <w:r w:rsidR="004F0BBA">
        <w:t>(</w:t>
      </w:r>
      <w:r w:rsidRPr="00C728D2">
        <w:t>RBC</w:t>
      </w:r>
      <w:r w:rsidR="004F0BBA">
        <w:t>)</w:t>
      </w:r>
      <w:r w:rsidRPr="00C728D2">
        <w:t xml:space="preserve">, haemoglobin and haematocrit levels associated with impairments to haemostasis and haemorrhaging. Antigenicity also caused prolonged </w:t>
      </w:r>
      <w:proofErr w:type="spellStart"/>
      <w:r w:rsidRPr="00C728D2">
        <w:t>aPTT</w:t>
      </w:r>
      <w:proofErr w:type="spellEnd"/>
      <w:r w:rsidRPr="00C728D2">
        <w:t xml:space="preserve">, in which </w:t>
      </w:r>
      <w:proofErr w:type="spellStart"/>
      <w:r w:rsidRPr="00C728D2">
        <w:t>aPTT</w:t>
      </w:r>
      <w:proofErr w:type="spellEnd"/>
      <w:r w:rsidRPr="00C728D2">
        <w:t xml:space="preserve"> on days 19 and 27 of treatment was progressively longer in high dose group animals, and persisted (albeit, to a slightly lesser degree) </w:t>
      </w:r>
      <w:r w:rsidR="00DA244F" w:rsidRPr="00C728D2">
        <w:t>in the recovery cohort animals</w:t>
      </w:r>
      <w:r w:rsidRPr="00C728D2">
        <w:t xml:space="preserve">. With regard to other </w:t>
      </w:r>
      <w:r w:rsidRPr="00C728D2">
        <w:lastRenderedPageBreak/>
        <w:t>toxicological investigations, there were no untoward changes noted in body weight, organ weights, serum chemistry measurements and gross pathology.</w:t>
      </w:r>
    </w:p>
    <w:p w:rsidR="009353B7" w:rsidRPr="00C728D2" w:rsidRDefault="009353B7" w:rsidP="00611B92">
      <w:r w:rsidRPr="00C728D2">
        <w:t>Mortalities due to severe haemorrhage occurred at the high dose (1000 IU/kg) in one monkey study, but no</w:t>
      </w:r>
      <w:r w:rsidR="00DB4141">
        <w:t>t</w:t>
      </w:r>
      <w:r w:rsidRPr="00C728D2">
        <w:t xml:space="preserve"> in the second monkey study at the same doses. Reasons for the difference between the two studies are not clear, but might be related to the test formulation. A frozen liquid formulation was used in the study with mortalities, while a lyophilised formulation was used in the second study. However, in both studies similar antibody titre levels were noted over a similar onset period. Changes to haematological parameters were also similar, and signs of haemorrhaging and prolonged </w:t>
      </w:r>
      <w:proofErr w:type="spellStart"/>
      <w:r w:rsidRPr="00C728D2">
        <w:t>aPTT</w:t>
      </w:r>
      <w:proofErr w:type="spellEnd"/>
      <w:r w:rsidRPr="00C728D2">
        <w:t xml:space="preserve"> were apparent in both investigations. The lyophilised formulation is to be marketed for clinic</w:t>
      </w:r>
      <w:r w:rsidR="00DB4141">
        <w:t>al use and was used in a Phase III</w:t>
      </w:r>
      <w:r w:rsidRPr="00C728D2">
        <w:t xml:space="preserve"> clinical trial.</w:t>
      </w:r>
    </w:p>
    <w:p w:rsidR="009353B7" w:rsidRPr="00C728D2" w:rsidRDefault="009353B7" w:rsidP="006775B5">
      <w:r w:rsidRPr="00C728D2">
        <w:t xml:space="preserve">Antibody development against </w:t>
      </w:r>
      <w:proofErr w:type="spellStart"/>
      <w:r w:rsidR="0040015B" w:rsidRPr="0040015B">
        <w:t>rFVIIIFc</w:t>
      </w:r>
      <w:proofErr w:type="spellEnd"/>
      <w:r w:rsidR="0040015B" w:rsidRPr="0040015B">
        <w:t xml:space="preserve"> </w:t>
      </w:r>
      <w:r w:rsidRPr="00C728D2">
        <w:t xml:space="preserve">was also studied in mice. Both </w:t>
      </w:r>
      <w:proofErr w:type="spellStart"/>
      <w:r w:rsidR="0040015B" w:rsidRPr="0040015B">
        <w:t>rFVIIIFc</w:t>
      </w:r>
      <w:proofErr w:type="spellEnd"/>
      <w:r w:rsidR="0040015B" w:rsidRPr="0040015B">
        <w:t xml:space="preserve"> </w:t>
      </w:r>
      <w:r w:rsidRPr="00C728D2">
        <w:t xml:space="preserve">and </w:t>
      </w:r>
      <w:r w:rsidR="00CD6F35" w:rsidRPr="00CD6F35">
        <w:t xml:space="preserve">recombinant coagulation factor VIII </w:t>
      </w:r>
      <w:r w:rsidR="00CD6F35">
        <w:t>(</w:t>
      </w:r>
      <w:proofErr w:type="spellStart"/>
      <w:r w:rsidRPr="00C728D2">
        <w:t>rFVIII</w:t>
      </w:r>
      <w:proofErr w:type="spellEnd"/>
      <w:r w:rsidR="00CD6F35">
        <w:t>)</w:t>
      </w:r>
      <w:r w:rsidR="004F0BBA">
        <w:t xml:space="preserve"> (</w:t>
      </w:r>
      <w:proofErr w:type="spellStart"/>
      <w:r w:rsidRPr="00C728D2">
        <w:t>ReFacto</w:t>
      </w:r>
      <w:proofErr w:type="spellEnd"/>
      <w:r w:rsidRPr="00C728D2">
        <w:t>) showed comparable inciden</w:t>
      </w:r>
      <w:r w:rsidR="00DA244F" w:rsidRPr="00C728D2">
        <w:t xml:space="preserve">ce and extent of immunogenicity, </w:t>
      </w:r>
      <w:r w:rsidRPr="00C728D2">
        <w:t xml:space="preserve">particularly at higher doses (250 and 1000 IU/kg) suggesting that the Fc subunit does not confer any greater immunogenicity to </w:t>
      </w:r>
      <w:proofErr w:type="spellStart"/>
      <w:r w:rsidR="0040015B" w:rsidRPr="0040015B">
        <w:t>rFVIIIFc</w:t>
      </w:r>
      <w:proofErr w:type="spellEnd"/>
      <w:r w:rsidR="0040015B" w:rsidRPr="0040015B">
        <w:t xml:space="preserve"> </w:t>
      </w:r>
      <w:r w:rsidRPr="00C728D2">
        <w:t>than would be anticipated. Indeed, characterisation of the antibodies showed that they were predominantly against the FVIII moiety rather than the Fc subunit. A second</w:t>
      </w:r>
      <w:r w:rsidR="00DA244F" w:rsidRPr="00C728D2">
        <w:t xml:space="preserve"> mouse study</w:t>
      </w:r>
      <w:r w:rsidRPr="00C728D2">
        <w:t xml:space="preserve"> compared two different lyophilised drug product batches; however, neither batch induced an antigenic response, bearing in mind that a dose of only 50 IU/kg was used </w:t>
      </w:r>
      <w:r w:rsidR="00DA244F" w:rsidRPr="00C728D2">
        <w:t>compared to</w:t>
      </w:r>
      <w:r w:rsidRPr="00C728D2">
        <w:t xml:space="preserve"> 50, 250 and 1000 IU/kg tested in the other mouse study.</w:t>
      </w:r>
    </w:p>
    <w:p w:rsidR="009353B7" w:rsidRPr="00C728D2" w:rsidRDefault="009353B7" w:rsidP="00611B92">
      <w:r w:rsidRPr="00C728D2">
        <w:t xml:space="preserve">Overall, the repeat dose toxicity studies highlighted adverse effects that were secondary to antigenic reactions against </w:t>
      </w:r>
      <w:proofErr w:type="spellStart"/>
      <w:r w:rsidR="0040015B" w:rsidRPr="0040015B">
        <w:t>rFVIIIFc</w:t>
      </w:r>
      <w:proofErr w:type="spellEnd"/>
      <w:r w:rsidR="0040015B" w:rsidRPr="0040015B">
        <w:t xml:space="preserve"> </w:t>
      </w:r>
      <w:r w:rsidRPr="00C728D2">
        <w:t xml:space="preserve">in the test animals. The development of neutralising antibodies against </w:t>
      </w:r>
      <w:proofErr w:type="spellStart"/>
      <w:r w:rsidR="0040015B" w:rsidRPr="0040015B">
        <w:t>rFVIIIFc</w:t>
      </w:r>
      <w:proofErr w:type="spellEnd"/>
      <w:r w:rsidR="0040015B" w:rsidRPr="0040015B">
        <w:t xml:space="preserve"> </w:t>
      </w:r>
      <w:r w:rsidRPr="00C728D2">
        <w:t>led to impairments to haemostasis, discolouration of limbs and extremities and aberrant haematological parameters.</w:t>
      </w:r>
    </w:p>
    <w:p w:rsidR="009353B7" w:rsidRPr="00C728D2" w:rsidRDefault="009353B7" w:rsidP="00611B92">
      <w:pPr>
        <w:pStyle w:val="Heading4"/>
      </w:pPr>
      <w:bookmarkStart w:id="57" w:name="_Toc294861729"/>
      <w:r w:rsidRPr="00C728D2">
        <w:t>Genotoxicity</w:t>
      </w:r>
      <w:bookmarkEnd w:id="57"/>
      <w:r w:rsidRPr="00C728D2">
        <w:t xml:space="preserve"> and </w:t>
      </w:r>
      <w:r w:rsidR="006775B5">
        <w:t>c</w:t>
      </w:r>
      <w:r w:rsidRPr="00C728D2">
        <w:t>arcinogenicity</w:t>
      </w:r>
    </w:p>
    <w:p w:rsidR="009353B7" w:rsidRPr="00C728D2" w:rsidRDefault="009353B7" w:rsidP="00611B92">
      <w:r w:rsidRPr="00C728D2">
        <w:t>No genotoxicity stud</w:t>
      </w:r>
      <w:r w:rsidR="004F0BBA">
        <w:t xml:space="preserve">ies were conducted using </w:t>
      </w:r>
      <w:proofErr w:type="spellStart"/>
      <w:r w:rsidR="004F0BBA">
        <w:t>rFVIII</w:t>
      </w:r>
      <w:r w:rsidRPr="00C728D2">
        <w:t>Fc</w:t>
      </w:r>
      <w:proofErr w:type="spellEnd"/>
      <w:r w:rsidRPr="00C728D2">
        <w:t xml:space="preserve">, which is acceptable according to guideline </w:t>
      </w:r>
      <w:r w:rsidRPr="00D90E33">
        <w:t xml:space="preserve">recommendations (ICH </w:t>
      </w:r>
      <w:proofErr w:type="gramStart"/>
      <w:r w:rsidRPr="00D90E33">
        <w:t>S6[</w:t>
      </w:r>
      <w:proofErr w:type="gramEnd"/>
      <w:r w:rsidRPr="00D90E33">
        <w:t xml:space="preserve">R1]) for </w:t>
      </w:r>
      <w:r w:rsidRPr="00C728D2">
        <w:t>a recombinant human protein substance not containing an organic chemical linker. The sponsor provided two genotoxicity studies (bacterial reverse mutation and an in vitro chromosomal aberration) on an unrelated substance (</w:t>
      </w:r>
      <w:proofErr w:type="spellStart"/>
      <w:r w:rsidRPr="00C728D2">
        <w:t>alefacept</w:t>
      </w:r>
      <w:proofErr w:type="spellEnd"/>
      <w:r w:rsidRPr="00C728D2">
        <w:t xml:space="preserve">) that contains the same Fc linker, which were previously evaluated by the TGA. Both </w:t>
      </w:r>
      <w:r w:rsidR="007C3743">
        <w:t>studies</w:t>
      </w:r>
      <w:r w:rsidRPr="00C728D2">
        <w:t xml:space="preserve"> gave negative results.</w:t>
      </w:r>
    </w:p>
    <w:p w:rsidR="009353B7" w:rsidRPr="00C728D2" w:rsidRDefault="009353B7" w:rsidP="00611B92">
      <w:r w:rsidRPr="00C728D2">
        <w:t>The absence of carcinogenicity studies is also acceptable on the grounds that standard studies of carcinogenicity in animals are not feasible due to the development of antibodies with repeat administration of biological substances.</w:t>
      </w:r>
    </w:p>
    <w:p w:rsidR="009353B7" w:rsidRPr="00DF4773" w:rsidRDefault="009353B7" w:rsidP="00611B92">
      <w:pPr>
        <w:pStyle w:val="Heading4"/>
      </w:pPr>
      <w:r w:rsidRPr="00DF4773">
        <w:t>Reproductive toxicity</w:t>
      </w:r>
    </w:p>
    <w:p w:rsidR="009353B7" w:rsidRPr="00DF4773" w:rsidRDefault="009353B7" w:rsidP="00611B92">
      <w:r w:rsidRPr="00DF4773">
        <w:t>The sponsor did not conduct any reproduc</w:t>
      </w:r>
      <w:r w:rsidR="00A47F23">
        <w:t xml:space="preserve">tive toxicity studies on </w:t>
      </w:r>
      <w:proofErr w:type="spellStart"/>
      <w:r w:rsidR="00A47F23">
        <w:t>rFVIII</w:t>
      </w:r>
      <w:r w:rsidRPr="00DF4773">
        <w:t>Fc</w:t>
      </w:r>
      <w:proofErr w:type="spellEnd"/>
      <w:r w:rsidRPr="00DF4773">
        <w:t xml:space="preserve">. </w:t>
      </w:r>
      <w:r w:rsidR="00CC136A">
        <w:t>This is acceptable i</w:t>
      </w:r>
      <w:r w:rsidRPr="00DF4773">
        <w:t xml:space="preserve">n view of the fact that </w:t>
      </w:r>
      <w:proofErr w:type="spellStart"/>
      <w:r w:rsidR="0040015B" w:rsidRPr="0040015B">
        <w:t>rFVIIIFc</w:t>
      </w:r>
      <w:proofErr w:type="spellEnd"/>
      <w:r w:rsidR="0040015B" w:rsidRPr="0040015B">
        <w:t xml:space="preserve"> </w:t>
      </w:r>
      <w:r w:rsidRPr="00DF4773">
        <w:t>is for the replacement</w:t>
      </w:r>
      <w:r w:rsidR="004F0BBA">
        <w:t xml:space="preserve"> of normal, physiological F</w:t>
      </w:r>
      <w:r w:rsidRPr="00DF4773">
        <w:t xml:space="preserve">VIII activity </w:t>
      </w:r>
      <w:r w:rsidR="00CC136A">
        <w:t>in haemophilia A  which</w:t>
      </w:r>
      <w:r w:rsidR="001136C5">
        <w:t xml:space="preserve"> is a sex </w:t>
      </w:r>
      <w:r w:rsidRPr="00DF4773">
        <w:t>linked disease that occurs</w:t>
      </w:r>
      <w:r w:rsidR="007C3743">
        <w:t xml:space="preserve"> predominantly</w:t>
      </w:r>
      <w:r w:rsidRPr="00DF4773">
        <w:t xml:space="preserve"> in males</w:t>
      </w:r>
      <w:r w:rsidR="00CC136A">
        <w:t>.</w:t>
      </w:r>
      <w:r w:rsidRPr="00DF4773">
        <w:t xml:space="preserve"> </w:t>
      </w:r>
      <w:r w:rsidR="00CC136A">
        <w:t>F</w:t>
      </w:r>
      <w:r w:rsidRPr="00DF4773">
        <w:t xml:space="preserve">emales </w:t>
      </w:r>
      <w:r w:rsidR="00CC136A">
        <w:t xml:space="preserve">are </w:t>
      </w:r>
      <w:r w:rsidRPr="00DF4773">
        <w:t>rarely affected</w:t>
      </w:r>
      <w:r w:rsidR="00CC136A">
        <w:t xml:space="preserve"> </w:t>
      </w:r>
      <w:proofErr w:type="gramStart"/>
      <w:r w:rsidR="00CC136A">
        <w:t xml:space="preserve">therefore </w:t>
      </w:r>
      <w:r w:rsidRPr="00DF4773">
        <w:t xml:space="preserve"> exposure</w:t>
      </w:r>
      <w:proofErr w:type="gramEnd"/>
      <w:r w:rsidRPr="00DF4773">
        <w:t xml:space="preserve"> to </w:t>
      </w:r>
      <w:proofErr w:type="spellStart"/>
      <w:r w:rsidR="0040015B" w:rsidRPr="0040015B">
        <w:t>rFVIIIFc</w:t>
      </w:r>
      <w:proofErr w:type="spellEnd"/>
      <w:r w:rsidR="0040015B" w:rsidRPr="0040015B">
        <w:t xml:space="preserve"> </w:t>
      </w:r>
      <w:r w:rsidRPr="00DF4773">
        <w:t>during pregnancy and embryofetal development is considered remote. Animal studies on fertility, reproductive and developmental toxicity have not been conducted on other registered recomb</w:t>
      </w:r>
      <w:r w:rsidR="00DA244F" w:rsidRPr="00DF4773">
        <w:t xml:space="preserve">inant clotting factor products (for example </w:t>
      </w:r>
      <w:proofErr w:type="spellStart"/>
      <w:r w:rsidR="00DA244F" w:rsidRPr="00DF4773">
        <w:t>Advate</w:t>
      </w:r>
      <w:proofErr w:type="spellEnd"/>
      <w:r w:rsidR="00DA244F" w:rsidRPr="00DF4773">
        <w:t xml:space="preserve"> and </w:t>
      </w:r>
      <w:proofErr w:type="spellStart"/>
      <w:r w:rsidR="00DA244F" w:rsidRPr="00DF4773">
        <w:t>Kogenate</w:t>
      </w:r>
      <w:proofErr w:type="spellEnd"/>
      <w:r w:rsidR="00DA244F" w:rsidRPr="00DF4773">
        <w:t>)</w:t>
      </w:r>
      <w:r w:rsidRPr="00DF4773">
        <w:t xml:space="preserve">. </w:t>
      </w:r>
      <w:proofErr w:type="spellStart"/>
      <w:proofErr w:type="gramStart"/>
      <w:r w:rsidR="00A47F23">
        <w:t>rF</w:t>
      </w:r>
      <w:r w:rsidRPr="00DF4773">
        <w:t>VIII</w:t>
      </w:r>
      <w:proofErr w:type="spellEnd"/>
      <w:proofErr w:type="gramEnd"/>
      <w:r w:rsidRPr="00DF4773">
        <w:t xml:space="preserve"> has been used in haemophilia A patients for years, and there is no evidence of adverse effects on fertility or embryofetal development.</w:t>
      </w:r>
    </w:p>
    <w:p w:rsidR="009353B7" w:rsidRPr="00DF4773" w:rsidRDefault="009353B7" w:rsidP="00611B92">
      <w:pPr>
        <w:pStyle w:val="Heading5"/>
      </w:pPr>
      <w:r w:rsidRPr="00DF4773">
        <w:t>Pregnancy classification</w:t>
      </w:r>
    </w:p>
    <w:p w:rsidR="009353B7" w:rsidRPr="00DF4773" w:rsidRDefault="009353B7" w:rsidP="00611B92">
      <w:r w:rsidRPr="00DF4773">
        <w:t xml:space="preserve">The sponsor did not nominate a pregnancy category for </w:t>
      </w:r>
      <w:proofErr w:type="spellStart"/>
      <w:r w:rsidR="0040015B" w:rsidRPr="0040015B">
        <w:t>rFVIIIFc</w:t>
      </w:r>
      <w:proofErr w:type="spellEnd"/>
      <w:r w:rsidRPr="00DF4773">
        <w:t xml:space="preserve">. </w:t>
      </w:r>
      <w:r w:rsidR="00AB5561">
        <w:t xml:space="preserve">Whilst the patient </w:t>
      </w:r>
      <w:r w:rsidR="00602AA8">
        <w:t>p</w:t>
      </w:r>
      <w:r w:rsidR="00AB5561">
        <w:t xml:space="preserve">opulation affected by haemophilia A and intended to use </w:t>
      </w:r>
      <w:proofErr w:type="spellStart"/>
      <w:r w:rsidR="00AB5561">
        <w:t>rFVIII</w:t>
      </w:r>
      <w:proofErr w:type="spellEnd"/>
      <w:r w:rsidR="00AB5561">
        <w:t xml:space="preserve"> is males with a sex linked disease, there are</w:t>
      </w:r>
      <w:r w:rsidR="00143F6F">
        <w:t xml:space="preserve"> some rare instances where fema</w:t>
      </w:r>
      <w:r w:rsidR="00AB5561">
        <w:t>le</w:t>
      </w:r>
      <w:r w:rsidR="00143F6F">
        <w:t>s</w:t>
      </w:r>
      <w:r w:rsidR="00AB5561">
        <w:t xml:space="preserve"> are afflicted and thus an appropriate </w:t>
      </w:r>
      <w:r w:rsidR="00AB5561">
        <w:lastRenderedPageBreak/>
        <w:t xml:space="preserve">category should be assigned to convey to prescribers potential risks on </w:t>
      </w:r>
      <w:proofErr w:type="spellStart"/>
      <w:r w:rsidR="00AB5561">
        <w:t>fetal</w:t>
      </w:r>
      <w:proofErr w:type="spellEnd"/>
      <w:r w:rsidR="00AB5561">
        <w:t xml:space="preserve"> health arising from maternal exposure.</w:t>
      </w:r>
      <w:r w:rsidRPr="00DF4773">
        <w:t xml:space="preserve">. </w:t>
      </w:r>
      <w:r w:rsidR="00AB5561">
        <w:t>R</w:t>
      </w:r>
      <w:r w:rsidRPr="00DF4773">
        <w:t>ecombinant FVIII and most other coagu</w:t>
      </w:r>
      <w:r w:rsidR="00C20F6E">
        <w:t>lant factors are classified as c</w:t>
      </w:r>
      <w:r w:rsidRPr="00DF4773">
        <w:t xml:space="preserve">ategory </w:t>
      </w:r>
      <w:r w:rsidR="00C20F6E" w:rsidRPr="00C20F6E">
        <w:t>B2</w:t>
      </w:r>
      <w:r w:rsidR="00C20F6E" w:rsidRPr="00C20F6E">
        <w:rPr>
          <w:vertAlign w:val="superscript"/>
        </w:rPr>
        <w:footnoteReference w:id="7"/>
      </w:r>
      <w:r w:rsidRPr="00DF4773">
        <w:t xml:space="preserve"> drugs based on the lack of animal reproductive toxicity </w:t>
      </w:r>
      <w:r w:rsidRPr="00276CC1">
        <w:t xml:space="preserve">studies. </w:t>
      </w:r>
      <w:r w:rsidR="00276CC1">
        <w:t>Pregnancy c</w:t>
      </w:r>
      <w:r w:rsidRPr="00276CC1">
        <w:t>ategory B2</w:t>
      </w:r>
      <w:r w:rsidR="007C3743">
        <w:t xml:space="preserve"> </w:t>
      </w:r>
      <w:r w:rsidRPr="00276CC1">
        <w:t xml:space="preserve">is </w:t>
      </w:r>
      <w:r w:rsidRPr="00DF4773">
        <w:t>co</w:t>
      </w:r>
      <w:r w:rsidR="00A47F23">
        <w:t xml:space="preserve">nsidered appropriate for </w:t>
      </w:r>
      <w:proofErr w:type="spellStart"/>
      <w:r w:rsidR="00A47F23">
        <w:t>rFVIII</w:t>
      </w:r>
      <w:r w:rsidRPr="00DF4773">
        <w:t>Fc</w:t>
      </w:r>
      <w:proofErr w:type="spellEnd"/>
      <w:r w:rsidR="00986654" w:rsidRPr="00986654">
        <w:rPr>
          <w:vertAlign w:val="superscript"/>
        </w:rPr>
        <w:footnoteReference w:id="8"/>
      </w:r>
      <w:r w:rsidRPr="00DF4773">
        <w:t>.</w:t>
      </w:r>
    </w:p>
    <w:p w:rsidR="009353B7" w:rsidRPr="00611B92" w:rsidRDefault="009353B7" w:rsidP="00611B92">
      <w:pPr>
        <w:pStyle w:val="Heading4"/>
      </w:pPr>
      <w:r w:rsidRPr="00DF4773">
        <w:t>Local tolerance</w:t>
      </w:r>
    </w:p>
    <w:p w:rsidR="009353B7" w:rsidRPr="00DF4773" w:rsidRDefault="009353B7" w:rsidP="00611B92">
      <w:r w:rsidRPr="00DF4773">
        <w:t xml:space="preserve">Assessment of local tolerance to </w:t>
      </w:r>
      <w:proofErr w:type="spellStart"/>
      <w:r w:rsidR="0040015B" w:rsidRPr="0040015B">
        <w:t>rFVIIIFc</w:t>
      </w:r>
      <w:proofErr w:type="spellEnd"/>
      <w:r w:rsidR="0040015B" w:rsidRPr="0040015B">
        <w:t xml:space="preserve"> </w:t>
      </w:r>
      <w:r w:rsidRPr="00DF4773">
        <w:t xml:space="preserve">was incorporated into the schedule of macroscopic and microscopic observations of the 4 week repeat dose toxicity studies in rats and monkeys. Injection site reactions (perivascular fibrosis, swelling and discolouration of </w:t>
      </w:r>
      <w:proofErr w:type="spellStart"/>
      <w:r w:rsidRPr="00DF4773">
        <w:t>hindlimbs</w:t>
      </w:r>
      <w:proofErr w:type="spellEnd"/>
      <w:r w:rsidRPr="00DF4773">
        <w:t>/forelimbs) were noted in medium dose females and high dose males and females from one of the four week monkey studies</w:t>
      </w:r>
      <w:proofErr w:type="gramStart"/>
      <w:r w:rsidR="00AB5561">
        <w:t>.</w:t>
      </w:r>
      <w:r w:rsidRPr="00DF4773">
        <w:t>.</w:t>
      </w:r>
      <w:proofErr w:type="gramEnd"/>
      <w:r w:rsidRPr="00DF4773">
        <w:t xml:space="preserve"> In the second fo</w:t>
      </w:r>
      <w:r w:rsidR="00320598">
        <w:t xml:space="preserve">ur week monkey study, treatment </w:t>
      </w:r>
      <w:r w:rsidRPr="00DF4773">
        <w:t>related changes associated with local reactions were confined to discolouration of extremities where blood collection or dose administration was performed. The findings were secondary to FVIII neutralising antibodies. No other signs of irritation or inflammation (</w:t>
      </w:r>
      <w:r w:rsidR="00DF4773">
        <w:t>for example</w:t>
      </w:r>
      <w:r w:rsidRPr="00DF4773">
        <w:t xml:space="preserve"> oedema, lymphocyte infiltration) were reported in any of the studies.</w:t>
      </w:r>
    </w:p>
    <w:p w:rsidR="009353B7" w:rsidRPr="00DF4773" w:rsidRDefault="009353B7" w:rsidP="00611B92">
      <w:pPr>
        <w:pStyle w:val="Heading4"/>
      </w:pPr>
      <w:r w:rsidRPr="00DF4773">
        <w:t>Paediatric use</w:t>
      </w:r>
    </w:p>
    <w:p w:rsidR="009353B7" w:rsidRDefault="0040015B" w:rsidP="00611B92">
      <w:proofErr w:type="spellStart"/>
      <w:proofErr w:type="gramStart"/>
      <w:r w:rsidRPr="0040015B">
        <w:t>rFVIIIFc</w:t>
      </w:r>
      <w:proofErr w:type="spellEnd"/>
      <w:proofErr w:type="gramEnd"/>
      <w:r w:rsidRPr="0040015B">
        <w:t xml:space="preserve"> </w:t>
      </w:r>
      <w:r w:rsidR="009353B7" w:rsidRPr="00DF4773">
        <w:t>is indicated for use in adults and adolescents (</w:t>
      </w:r>
      <w:r w:rsidR="00320598">
        <w:t>≥</w:t>
      </w:r>
      <w:r w:rsidR="009353B7" w:rsidRPr="00DF4773">
        <w:t xml:space="preserve"> 12 years old). No juvenile to</w:t>
      </w:r>
      <w:r w:rsidR="00320598">
        <w:t>xicity studies were conducted.</w:t>
      </w:r>
    </w:p>
    <w:p w:rsidR="008E7846" w:rsidRDefault="008E7846" w:rsidP="00611B92">
      <w:pPr>
        <w:pStyle w:val="Heading3"/>
      </w:pPr>
      <w:bookmarkStart w:id="58" w:name="_Toc247691515"/>
      <w:bookmarkStart w:id="59" w:name="_Toc314842499"/>
      <w:bookmarkStart w:id="60" w:name="_Toc412817719"/>
      <w:r>
        <w:t>Nonclinical summary and conclusions</w:t>
      </w:r>
      <w:bookmarkEnd w:id="58"/>
      <w:bookmarkEnd w:id="59"/>
      <w:bookmarkEnd w:id="60"/>
    </w:p>
    <w:p w:rsidR="00F02FF5" w:rsidRPr="00F02FF5" w:rsidRDefault="00F02FF5" w:rsidP="00611B92">
      <w:pPr>
        <w:pStyle w:val="ListBullet"/>
      </w:pPr>
      <w:r w:rsidRPr="00F02FF5">
        <w:t>The nonclinical dossier was s</w:t>
      </w:r>
      <w:r w:rsidR="00320598">
        <w:t xml:space="preserve">atisfactory for a biotechnology </w:t>
      </w:r>
      <w:r w:rsidRPr="00F02FF5">
        <w:t>derived therapeutic product. The clinical route (</w:t>
      </w:r>
      <w:r w:rsidR="00B357EE">
        <w:t xml:space="preserve">IV </w:t>
      </w:r>
      <w:r w:rsidRPr="00F02FF5">
        <w:t>administration) was used in all animal studies, and the animal models used were responsive to the tested article.</w:t>
      </w:r>
    </w:p>
    <w:p w:rsidR="00F02FF5" w:rsidRPr="00F02FF5" w:rsidRDefault="00F02FF5" w:rsidP="00611B92">
      <w:pPr>
        <w:pStyle w:val="ListBullet"/>
      </w:pPr>
      <w:r w:rsidRPr="00F02FF5">
        <w:t xml:space="preserve">Primary pharmacology studies demonstrated comparable characteristics of </w:t>
      </w:r>
      <w:proofErr w:type="spellStart"/>
      <w:r w:rsidR="0040015B" w:rsidRPr="0040015B">
        <w:t>rFVIIIFc</w:t>
      </w:r>
      <w:proofErr w:type="spellEnd"/>
      <w:r w:rsidR="0040015B" w:rsidRPr="0040015B">
        <w:t xml:space="preserve"> </w:t>
      </w:r>
      <w:r w:rsidRPr="00F02FF5">
        <w:t xml:space="preserve">to registered recombinant FVIII replacement products. Association of </w:t>
      </w:r>
      <w:proofErr w:type="spellStart"/>
      <w:r w:rsidR="0040015B" w:rsidRPr="0040015B">
        <w:t>rFVIIIFc</w:t>
      </w:r>
      <w:proofErr w:type="spellEnd"/>
      <w:r w:rsidR="0040015B" w:rsidRPr="0040015B">
        <w:t xml:space="preserve"> </w:t>
      </w:r>
      <w:r w:rsidRPr="00F02FF5">
        <w:t xml:space="preserve">with the neonatal Fc receptor was demonstrated in a number of species; as well, </w:t>
      </w:r>
      <w:proofErr w:type="spellStart"/>
      <w:r w:rsidR="0040015B" w:rsidRPr="0040015B">
        <w:t>rFVIIIFc</w:t>
      </w:r>
      <w:proofErr w:type="spellEnd"/>
      <w:r w:rsidR="0040015B" w:rsidRPr="0040015B">
        <w:t xml:space="preserve"> </w:t>
      </w:r>
      <w:r w:rsidRPr="00F02FF5">
        <w:t xml:space="preserve">was shown to ably form the </w:t>
      </w:r>
      <w:proofErr w:type="spellStart"/>
      <w:r w:rsidRPr="00F02FF5">
        <w:t>tenase</w:t>
      </w:r>
      <w:proofErr w:type="spellEnd"/>
      <w:r w:rsidRPr="00F02FF5">
        <w:t xml:space="preserve"> complex with activated Factor IX to bring about coagulation</w:t>
      </w:r>
      <w:r w:rsidR="00F0386C">
        <w:t xml:space="preserve">. </w:t>
      </w:r>
      <w:proofErr w:type="spellStart"/>
      <w:proofErr w:type="gramStart"/>
      <w:r w:rsidR="0040015B" w:rsidRPr="0040015B">
        <w:t>rFVIIIFc</w:t>
      </w:r>
      <w:proofErr w:type="spellEnd"/>
      <w:proofErr w:type="gramEnd"/>
      <w:r w:rsidR="0040015B" w:rsidRPr="0040015B">
        <w:t xml:space="preserve"> </w:t>
      </w:r>
      <w:r w:rsidR="00F0386C">
        <w:t xml:space="preserve">was inactivated by </w:t>
      </w:r>
      <w:r w:rsidR="00201591">
        <w:t>APC</w:t>
      </w:r>
      <w:r w:rsidRPr="00F02FF5">
        <w:t xml:space="preserve"> to a similar extent as a </w:t>
      </w:r>
      <w:proofErr w:type="spellStart"/>
      <w:r w:rsidRPr="00F02FF5">
        <w:t>rFVIII</w:t>
      </w:r>
      <w:proofErr w:type="spellEnd"/>
      <w:r w:rsidRPr="00F02FF5">
        <w:t xml:space="preserve"> comparator product. In animal models of haemophilia A (Hem A mice and Hem A dogs), sustained clotting activity (as both acute and prophylactic protection) was demonstrated and correlated with sustained plasma FVIII levels.</w:t>
      </w:r>
    </w:p>
    <w:p w:rsidR="00F02FF5" w:rsidRPr="00F02FF5" w:rsidRDefault="00F02FF5" w:rsidP="00611B92">
      <w:pPr>
        <w:pStyle w:val="ListBullet"/>
      </w:pPr>
      <w:r w:rsidRPr="00F02FF5">
        <w:t>Safety pharmacology assessments were</w:t>
      </w:r>
      <w:r w:rsidR="00320598">
        <w:t xml:space="preserve"> incorporated in the GLP repeat </w:t>
      </w:r>
      <w:r w:rsidRPr="00F02FF5">
        <w:t>dose toxicity studies. There were no overt adverse findings to indicate specific effects on the function of critical organ systems.</w:t>
      </w:r>
    </w:p>
    <w:p w:rsidR="00F02FF5" w:rsidRPr="00F02FF5" w:rsidRDefault="00F02FF5" w:rsidP="00611B92">
      <w:pPr>
        <w:pStyle w:val="ListBullet"/>
      </w:pPr>
      <w:r w:rsidRPr="00F02FF5">
        <w:t>The elimination t</w:t>
      </w:r>
      <w:r w:rsidRPr="00F02FF5">
        <w:rPr>
          <w:vertAlign w:val="subscript"/>
        </w:rPr>
        <w:t>½</w:t>
      </w:r>
      <w:r w:rsidRPr="00F02FF5">
        <w:t xml:space="preserve"> and plasma FVIII levels were higher for </w:t>
      </w:r>
      <w:proofErr w:type="spellStart"/>
      <w:r w:rsidR="0040015B" w:rsidRPr="0040015B">
        <w:t>rFVIIIFc</w:t>
      </w:r>
      <w:proofErr w:type="spellEnd"/>
      <w:r w:rsidR="0040015B" w:rsidRPr="0040015B">
        <w:t xml:space="preserve"> </w:t>
      </w:r>
      <w:r w:rsidRPr="00F02FF5">
        <w:t xml:space="preserve">than for comparator </w:t>
      </w:r>
      <w:proofErr w:type="spellStart"/>
      <w:r w:rsidRPr="00F02FF5">
        <w:t>rFVIII</w:t>
      </w:r>
      <w:proofErr w:type="spellEnd"/>
      <w:r w:rsidRPr="00F02FF5">
        <w:t xml:space="preserve"> products in all tested species except monkeys. Studies in </w:t>
      </w:r>
      <w:proofErr w:type="spellStart"/>
      <w:r w:rsidRPr="00F02FF5">
        <w:t>FcRn</w:t>
      </w:r>
      <w:proofErr w:type="spellEnd"/>
      <w:r w:rsidRPr="00F02FF5">
        <w:t xml:space="preserve"> </w:t>
      </w:r>
      <w:r w:rsidR="00320598">
        <w:t>KO</w:t>
      </w:r>
      <w:r w:rsidRPr="00F02FF5">
        <w:t xml:space="preserve"> mice and </w:t>
      </w:r>
      <w:proofErr w:type="spellStart"/>
      <w:r w:rsidRPr="00F02FF5">
        <w:t>hFcRn</w:t>
      </w:r>
      <w:proofErr w:type="spellEnd"/>
      <w:r w:rsidRPr="00F02FF5">
        <w:t xml:space="preserve"> transgenic mice confirmed </w:t>
      </w:r>
      <w:r w:rsidR="00D8166F">
        <w:t xml:space="preserve">that prolonged elimination </w:t>
      </w:r>
      <w:r w:rsidR="001136C5" w:rsidRPr="001136C5">
        <w:t>t</w:t>
      </w:r>
      <w:r w:rsidR="001136C5" w:rsidRPr="001136C5">
        <w:rPr>
          <w:vertAlign w:val="subscript"/>
        </w:rPr>
        <w:t>½</w:t>
      </w:r>
      <w:r w:rsidRPr="00F02FF5">
        <w:t xml:space="preserve">of </w:t>
      </w:r>
      <w:proofErr w:type="spellStart"/>
      <w:r w:rsidR="0040015B" w:rsidRPr="0040015B">
        <w:t>rFVIIIFc</w:t>
      </w:r>
      <w:proofErr w:type="spellEnd"/>
      <w:r w:rsidR="0040015B" w:rsidRPr="0040015B">
        <w:t xml:space="preserve"> </w:t>
      </w:r>
      <w:r w:rsidRPr="00F02FF5">
        <w:t xml:space="preserve">is dependent on its interaction with the </w:t>
      </w:r>
      <w:proofErr w:type="spellStart"/>
      <w:r w:rsidRPr="00F02FF5">
        <w:t>FcRn</w:t>
      </w:r>
      <w:proofErr w:type="spellEnd"/>
      <w:r w:rsidRPr="00F02FF5">
        <w:t xml:space="preserve"> receptor. Repeat dosing resulted in shorter t</w:t>
      </w:r>
      <w:r w:rsidRPr="00F02FF5">
        <w:rPr>
          <w:vertAlign w:val="subscript"/>
        </w:rPr>
        <w:t>½</w:t>
      </w:r>
      <w:r w:rsidRPr="00F02FF5">
        <w:t xml:space="preserve"> and </w:t>
      </w:r>
      <w:proofErr w:type="gramStart"/>
      <w:r w:rsidRPr="00F02FF5">
        <w:t>lower</w:t>
      </w:r>
      <w:proofErr w:type="gramEnd"/>
      <w:r w:rsidRPr="00F02FF5">
        <w:t xml:space="preserve"> AUCs in monkeys, or became undetectable in rats by the last sampling </w:t>
      </w:r>
      <w:r w:rsidRPr="00F02FF5">
        <w:lastRenderedPageBreak/>
        <w:t>time be</w:t>
      </w:r>
      <w:r w:rsidR="004F0BBA">
        <w:t xml:space="preserve">cause of antibody development. </w:t>
      </w:r>
      <w:r w:rsidRPr="00F02FF5">
        <w:t>A tissue distribution</w:t>
      </w:r>
      <w:r w:rsidR="00BC58E1">
        <w:t xml:space="preserve"> study in Hem </w:t>
      </w:r>
      <w:proofErr w:type="gramStart"/>
      <w:r w:rsidR="00BC58E1">
        <w:t>A</w:t>
      </w:r>
      <w:proofErr w:type="gramEnd"/>
      <w:r w:rsidR="00BC58E1">
        <w:t xml:space="preserve"> mice and FVIII/</w:t>
      </w:r>
      <w:proofErr w:type="spellStart"/>
      <w:r w:rsidR="00BC58E1">
        <w:t>v</w:t>
      </w:r>
      <w:r w:rsidRPr="00F02FF5">
        <w:t>WF</w:t>
      </w:r>
      <w:proofErr w:type="spellEnd"/>
      <w:r w:rsidRPr="00F02FF5">
        <w:t xml:space="preserve"> double KO mice showed high uptake of </w:t>
      </w:r>
      <w:proofErr w:type="spellStart"/>
      <w:r w:rsidRPr="00F02FF5">
        <w:t>rFVIII</w:t>
      </w:r>
      <w:proofErr w:type="spellEnd"/>
      <w:r w:rsidRPr="00F02FF5">
        <w:t xml:space="preserve"> in liver and </w:t>
      </w:r>
      <w:proofErr w:type="spellStart"/>
      <w:r w:rsidR="00BC58E1">
        <w:t>v</w:t>
      </w:r>
      <w:r w:rsidR="00BC58E1" w:rsidRPr="00BC58E1">
        <w:t>WF</w:t>
      </w:r>
      <w:proofErr w:type="spellEnd"/>
      <w:r w:rsidRPr="00F02FF5">
        <w:t xml:space="preserve"> appeared to reduce liver uptake and clearance of </w:t>
      </w:r>
      <w:proofErr w:type="spellStart"/>
      <w:r w:rsidRPr="00F02FF5">
        <w:t>rFVIIIFc</w:t>
      </w:r>
      <w:proofErr w:type="spellEnd"/>
      <w:r w:rsidR="007F33B3">
        <w:t>.</w:t>
      </w:r>
    </w:p>
    <w:p w:rsidR="00F02FF5" w:rsidRPr="00F02FF5" w:rsidRDefault="00F02FF5" w:rsidP="00611B92">
      <w:pPr>
        <w:pStyle w:val="ListBullet"/>
      </w:pPr>
      <w:r w:rsidRPr="00F02FF5">
        <w:t>In a single dose toxicity study in monkeys doses of up to 20,000 IU/kg IV were well tolerated, causing no mortalities or notable acute toxicities.</w:t>
      </w:r>
    </w:p>
    <w:p w:rsidR="00F02FF5" w:rsidRPr="00F02FF5" w:rsidRDefault="00F02FF5" w:rsidP="00611B92">
      <w:pPr>
        <w:pStyle w:val="ListBullet"/>
      </w:pPr>
      <w:r w:rsidRPr="00F02FF5">
        <w:t xml:space="preserve">Repeat dosing of </w:t>
      </w:r>
      <w:proofErr w:type="spellStart"/>
      <w:r w:rsidR="0040015B" w:rsidRPr="0040015B">
        <w:t>rFVIIIFc</w:t>
      </w:r>
      <w:proofErr w:type="spellEnd"/>
      <w:r w:rsidR="0040015B" w:rsidRPr="0040015B">
        <w:t xml:space="preserve"> </w:t>
      </w:r>
      <w:r w:rsidRPr="00F02FF5">
        <w:t xml:space="preserve">was generally well tolerated by </w:t>
      </w:r>
      <w:r w:rsidRPr="00611B92">
        <w:t>both</w:t>
      </w:r>
      <w:r w:rsidRPr="00F02FF5">
        <w:t xml:space="preserve"> rats and monkeys with no specific targeted toxicities seen in either species. The d</w:t>
      </w:r>
      <w:r w:rsidR="00320598">
        <w:t xml:space="preserve">evelopment of neutralising anti </w:t>
      </w:r>
      <w:proofErr w:type="spellStart"/>
      <w:r w:rsidRPr="00F02FF5">
        <w:t>rFVIII</w:t>
      </w:r>
      <w:proofErr w:type="spellEnd"/>
      <w:r w:rsidRPr="00F02FF5">
        <w:t xml:space="preserve"> antibodies accounted for most of the adverse findings (impaired haemostasis, subcutaneous haemorrhaging and associated decreases in RBC, haemoglobin and haematocrit).</w:t>
      </w:r>
    </w:p>
    <w:p w:rsidR="00F02FF5" w:rsidRPr="00F02FF5" w:rsidRDefault="00F02FF5" w:rsidP="00611B92">
      <w:pPr>
        <w:pStyle w:val="ListBullet"/>
      </w:pPr>
      <w:r w:rsidRPr="00F02FF5">
        <w:t>Genotoxicity and carcinogenicity studies were not conducted, which is acceptable and consistent with I</w:t>
      </w:r>
      <w:r w:rsidR="00320598">
        <w:t xml:space="preserve">CH guidelines for biotechnology </w:t>
      </w:r>
      <w:r w:rsidRPr="00F02FF5">
        <w:t>derived therapeutic products. No reproductive toxicity stu</w:t>
      </w:r>
      <w:r w:rsidR="00A47F23">
        <w:t xml:space="preserve">dies were conducted with </w:t>
      </w:r>
      <w:proofErr w:type="spellStart"/>
      <w:r w:rsidR="00A47F23">
        <w:t>rFVIII</w:t>
      </w:r>
      <w:r w:rsidRPr="00F02FF5">
        <w:t>Fc</w:t>
      </w:r>
      <w:proofErr w:type="spellEnd"/>
      <w:r w:rsidRPr="00F02FF5">
        <w:t>. Given that haemophilia A i</w:t>
      </w:r>
      <w:r w:rsidR="001136C5">
        <w:t xml:space="preserve">s a sex </w:t>
      </w:r>
      <w:r w:rsidRPr="00F02FF5">
        <w:t xml:space="preserve">linked disease that occurs in males, </w:t>
      </w:r>
      <w:proofErr w:type="spellStart"/>
      <w:r w:rsidR="0040015B" w:rsidRPr="0040015B">
        <w:t>rFVIIIFc</w:t>
      </w:r>
      <w:proofErr w:type="spellEnd"/>
      <w:r w:rsidR="0040015B" w:rsidRPr="0040015B">
        <w:t xml:space="preserve"> </w:t>
      </w:r>
      <w:r w:rsidRPr="00F02FF5">
        <w:t>is a recombinant human protein and no test article related findings were noted in the reproductive organs in the repeat dose toxicity studies, the absence of reproductive toxicity studies is not considered a deficiency of the nonclinical data.</w:t>
      </w:r>
    </w:p>
    <w:p w:rsidR="00F02FF5" w:rsidRPr="00F02FF5" w:rsidRDefault="00F02FF5" w:rsidP="00611B92">
      <w:pPr>
        <w:pStyle w:val="ListBullet"/>
      </w:pPr>
      <w:r w:rsidRPr="00F02FF5">
        <w:t xml:space="preserve">Repeat dose toxicity studies showed no significant local </w:t>
      </w:r>
      <w:r w:rsidRPr="00AF6922">
        <w:t>reactions</w:t>
      </w:r>
      <w:r w:rsidRPr="00F02FF5">
        <w:t xml:space="preserve"> except </w:t>
      </w:r>
      <w:r w:rsidR="00320598">
        <w:t xml:space="preserve">for FVIII neutralising antibody </w:t>
      </w:r>
      <w:r w:rsidRPr="00F02FF5">
        <w:t>related haemorrhage at the injection and blood sampling sites.</w:t>
      </w:r>
    </w:p>
    <w:p w:rsidR="00F02FF5" w:rsidRPr="00F02FF5" w:rsidRDefault="00F02FF5" w:rsidP="00611B92">
      <w:pPr>
        <w:pStyle w:val="ListBullet"/>
      </w:pPr>
      <w:r w:rsidRPr="00F02FF5">
        <w:t xml:space="preserve">Although the animal models used to assess potential repeat dose toxicities of </w:t>
      </w:r>
      <w:proofErr w:type="spellStart"/>
      <w:r w:rsidR="0040015B" w:rsidRPr="0040015B">
        <w:t>rFVIIIFc</w:t>
      </w:r>
      <w:proofErr w:type="spellEnd"/>
      <w:r w:rsidR="0040015B" w:rsidRPr="0040015B">
        <w:t xml:space="preserve"> </w:t>
      </w:r>
      <w:r w:rsidRPr="00F02FF5">
        <w:t>were not ideal</w:t>
      </w:r>
      <w:r w:rsidR="00320598">
        <w:t xml:space="preserve"> due to the development of anti </w:t>
      </w:r>
      <w:r w:rsidRPr="00F02FF5">
        <w:t xml:space="preserve">FVIII antibodies, in view of the class of product (replacement human clotting factor) short term administration of </w:t>
      </w:r>
      <w:proofErr w:type="spellStart"/>
      <w:r w:rsidR="0040015B" w:rsidRPr="0040015B">
        <w:t>rFVIIIFc</w:t>
      </w:r>
      <w:proofErr w:type="spellEnd"/>
      <w:r w:rsidR="0040015B" w:rsidRPr="0040015B">
        <w:t xml:space="preserve"> </w:t>
      </w:r>
      <w:r w:rsidRPr="00F02FF5">
        <w:t>was well tolerated.</w:t>
      </w:r>
    </w:p>
    <w:p w:rsidR="009353B7" w:rsidRDefault="00F02FF5" w:rsidP="00611B92">
      <w:pPr>
        <w:pStyle w:val="ListBullet"/>
      </w:pPr>
      <w:r w:rsidRPr="00F02FF5">
        <w:t>There are no nonclinical objections to registration.</w:t>
      </w:r>
    </w:p>
    <w:p w:rsidR="00F02FF5" w:rsidRPr="00F02FF5" w:rsidRDefault="009353B7" w:rsidP="00611B92">
      <w:r>
        <w:t xml:space="preserve">Recommended revisions to nonclinical statements in the </w:t>
      </w:r>
      <w:r w:rsidR="00F02FF5" w:rsidRPr="00F02FF5">
        <w:t xml:space="preserve">draft PI </w:t>
      </w:r>
      <w:r>
        <w:t xml:space="preserve">are beyond the scope of the </w:t>
      </w:r>
      <w:proofErr w:type="spellStart"/>
      <w:r>
        <w:t>AusPAR</w:t>
      </w:r>
      <w:proofErr w:type="spellEnd"/>
      <w:r>
        <w:t>.</w:t>
      </w:r>
    </w:p>
    <w:p w:rsidR="008E7846" w:rsidRPr="00AF6922" w:rsidRDefault="008E7846" w:rsidP="00611B92">
      <w:pPr>
        <w:pStyle w:val="Heading2"/>
      </w:pPr>
      <w:bookmarkStart w:id="61" w:name="_Toc196046462"/>
      <w:bookmarkStart w:id="62" w:name="_Toc247691516"/>
      <w:bookmarkStart w:id="63" w:name="_Toc314842500"/>
      <w:bookmarkStart w:id="64" w:name="_Toc412817720"/>
      <w:bookmarkStart w:id="65" w:name="_Toc163441353"/>
      <w:bookmarkStart w:id="66" w:name="_Toc163441348"/>
      <w:r>
        <w:t xml:space="preserve">IV. </w:t>
      </w:r>
      <w:r w:rsidRPr="00254787">
        <w:t>Clinical</w:t>
      </w:r>
      <w:bookmarkEnd w:id="61"/>
      <w:r>
        <w:t xml:space="preserve"> </w:t>
      </w:r>
      <w:r w:rsidR="003A7F6C">
        <w:t>f</w:t>
      </w:r>
      <w:r>
        <w:t>indings</w:t>
      </w:r>
      <w:bookmarkEnd w:id="62"/>
      <w:bookmarkEnd w:id="63"/>
      <w:bookmarkEnd w:id="64"/>
    </w:p>
    <w:p w:rsidR="00C80137" w:rsidRDefault="00C80137" w:rsidP="00611B92">
      <w:bookmarkStart w:id="67" w:name="_Toc196046463"/>
      <w:r>
        <w:t xml:space="preserve">A summary of the </w:t>
      </w:r>
      <w:r w:rsidRPr="00FD70B8">
        <w:t xml:space="preserve">clinical findings is presented in this section. </w:t>
      </w:r>
      <w:r>
        <w:t xml:space="preserve">Further details of these </w:t>
      </w:r>
      <w:r w:rsidRPr="00FD70B8">
        <w:t>clinical findings can be found in Attachment 2.</w:t>
      </w:r>
    </w:p>
    <w:p w:rsidR="008E7846" w:rsidRPr="00AF6922" w:rsidRDefault="008E7846" w:rsidP="00611B92">
      <w:pPr>
        <w:pStyle w:val="Heading3"/>
      </w:pPr>
      <w:bookmarkStart w:id="68" w:name="_Toc247691517"/>
      <w:bookmarkStart w:id="69" w:name="_Toc314842501"/>
      <w:bookmarkStart w:id="70" w:name="_Toc412817721"/>
      <w:r w:rsidRPr="00611B92">
        <w:t>Introduction</w:t>
      </w:r>
      <w:bookmarkEnd w:id="67"/>
      <w:bookmarkEnd w:id="68"/>
      <w:bookmarkEnd w:id="69"/>
      <w:bookmarkEnd w:id="70"/>
    </w:p>
    <w:p w:rsidR="00390C03" w:rsidRPr="00D90E33" w:rsidRDefault="00447F45" w:rsidP="00611B92">
      <w:r w:rsidRPr="00D90E33">
        <w:t xml:space="preserve">Eloctate is a long </w:t>
      </w:r>
      <w:r w:rsidR="00390C03" w:rsidRPr="00D90E33">
        <w:t xml:space="preserve">acting </w:t>
      </w:r>
      <w:proofErr w:type="spellStart"/>
      <w:r w:rsidR="00390C03" w:rsidRPr="00D90E33">
        <w:t>antihaemophilic</w:t>
      </w:r>
      <w:proofErr w:type="spellEnd"/>
      <w:r w:rsidR="00390C03" w:rsidRPr="00D90E33">
        <w:t xml:space="preserve"> factor (recombinant) indicated in adults and children (</w:t>
      </w:r>
      <w:r w:rsidR="001136C5" w:rsidRPr="00D90E33">
        <w:t xml:space="preserve">≥ </w:t>
      </w:r>
      <w:r w:rsidR="00390C03" w:rsidRPr="00D90E33">
        <w:t>12 years) with haemophilia A (congenital factor VIII deficiency) for control of bleeding episodes, routine prophylaxis to prevent or reduce the frequency of bleeding episodes, and perioperative management (surgical prophylaxis</w:t>
      </w:r>
      <w:r w:rsidR="00D90E33" w:rsidRPr="00D90E33">
        <w:t>).</w:t>
      </w:r>
    </w:p>
    <w:p w:rsidR="00605AD4" w:rsidRDefault="00605AD4" w:rsidP="00611B92">
      <w:pPr>
        <w:pStyle w:val="Heading4"/>
      </w:pPr>
      <w:bookmarkStart w:id="71" w:name="_Toc196046464"/>
      <w:bookmarkStart w:id="72" w:name="_Toc247691518"/>
      <w:bookmarkStart w:id="73" w:name="_Toc314842502"/>
      <w:r w:rsidRPr="00605AD4">
        <w:t xml:space="preserve">Clinical </w:t>
      </w:r>
      <w:r w:rsidR="00AF6922">
        <w:t>r</w:t>
      </w:r>
      <w:r w:rsidRPr="00605AD4">
        <w:t>ationale</w:t>
      </w:r>
    </w:p>
    <w:p w:rsidR="00390C03" w:rsidRPr="00390C03" w:rsidRDefault="001136C5" w:rsidP="00611B92">
      <w:r>
        <w:t xml:space="preserve">Haemophilia is an inherited, X </w:t>
      </w:r>
      <w:r w:rsidR="00390C03" w:rsidRPr="00390C03">
        <w:t>linked bleeding disorder. In Australia there are approximately 2,600 people with haemophilia and nearly all are male. Haemophilia A is the most common form and is due to the deficiency of factor VIII. Reduced blood coagulation results in bleeding which is most commonly internal, usually into the joints or muscles. Over time, recurrent bleeds can cause permanent damage such as arthritis, chronic pain and joint damage requiring surgery. Plasma derived coagulation factor concentrates were effective but were assoc</w:t>
      </w:r>
      <w:r w:rsidR="00320598">
        <w:t xml:space="preserve">iated with a high rate of blood </w:t>
      </w:r>
      <w:r w:rsidR="00390C03" w:rsidRPr="00390C03">
        <w:t xml:space="preserve">borne viruses such as </w:t>
      </w:r>
      <w:r w:rsidR="009E47A9" w:rsidRPr="009E47A9">
        <w:t xml:space="preserve">hepatitis B virus </w:t>
      </w:r>
      <w:r w:rsidR="009E47A9">
        <w:t>(</w:t>
      </w:r>
      <w:r w:rsidR="00390C03" w:rsidRPr="00390C03">
        <w:t>HBV</w:t>
      </w:r>
      <w:r w:rsidR="009E47A9">
        <w:t>)</w:t>
      </w:r>
      <w:r w:rsidR="00390C03" w:rsidRPr="00390C03">
        <w:t xml:space="preserve">, </w:t>
      </w:r>
      <w:r w:rsidR="009E47A9" w:rsidRPr="009E47A9">
        <w:t xml:space="preserve">hepatitis C virus </w:t>
      </w:r>
      <w:r w:rsidR="009E47A9">
        <w:t>(</w:t>
      </w:r>
      <w:r w:rsidR="00390C03" w:rsidRPr="00390C03">
        <w:t>HCV</w:t>
      </w:r>
      <w:r w:rsidR="009E47A9">
        <w:t>)</w:t>
      </w:r>
      <w:r w:rsidR="00390C03" w:rsidRPr="00390C03">
        <w:t xml:space="preserve"> and </w:t>
      </w:r>
      <w:r w:rsidR="009E47A9" w:rsidRPr="009E47A9">
        <w:t xml:space="preserve">human immunodeficiency virus </w:t>
      </w:r>
      <w:r w:rsidR="009E47A9">
        <w:t>(</w:t>
      </w:r>
      <w:r w:rsidR="00390C03" w:rsidRPr="00390C03">
        <w:t>HIV</w:t>
      </w:r>
      <w:r w:rsidR="009E47A9">
        <w:t>)</w:t>
      </w:r>
      <w:r w:rsidR="00390C03" w:rsidRPr="00390C03">
        <w:t xml:space="preserve">. Effective </w:t>
      </w:r>
      <w:proofErr w:type="spellStart"/>
      <w:r w:rsidR="00447F45">
        <w:t>r</w:t>
      </w:r>
      <w:r w:rsidR="00BA7814">
        <w:t>F</w:t>
      </w:r>
      <w:r w:rsidR="00390C03" w:rsidRPr="00390C03">
        <w:t>VIII</w:t>
      </w:r>
      <w:proofErr w:type="spellEnd"/>
      <w:r w:rsidR="00390C03" w:rsidRPr="00390C03">
        <w:t xml:space="preserve"> products have been developed subsequently although their </w:t>
      </w:r>
      <w:r w:rsidR="00390C03" w:rsidRPr="00390C03">
        <w:lastRenderedPageBreak/>
        <w:t>use is limited by the development of inhibit</w:t>
      </w:r>
      <w:r w:rsidR="00C404B3">
        <w:t>or (</w:t>
      </w:r>
      <w:r w:rsidR="00320598">
        <w:t xml:space="preserve">anti </w:t>
      </w:r>
      <w:proofErr w:type="spellStart"/>
      <w:r w:rsidR="00320598">
        <w:t>rFVIII</w:t>
      </w:r>
      <w:proofErr w:type="spellEnd"/>
      <w:r w:rsidR="00C404B3" w:rsidRPr="00C404B3">
        <w:t xml:space="preserve"> binding antibody</w:t>
      </w:r>
      <w:r w:rsidR="00C404B3">
        <w:t>)</w:t>
      </w:r>
      <w:r w:rsidR="00390C03" w:rsidRPr="00390C03">
        <w:t xml:space="preserve"> in up to 30% of patients. Inhibitors develop most commonly within 100 exposure days in previously untreated patients (PUPs) but may also develop in previously treated patients (PTPs). The next generation of re</w:t>
      </w:r>
      <w:r w:rsidR="00320598">
        <w:t xml:space="preserve">combinant products will be long </w:t>
      </w:r>
      <w:r w:rsidR="00390C03" w:rsidRPr="00390C03">
        <w:t xml:space="preserve">acting with the aim of reducing the frequency of the </w:t>
      </w:r>
      <w:r w:rsidR="00320598">
        <w:t xml:space="preserve">IV injections required for long </w:t>
      </w:r>
      <w:r w:rsidR="00390C03" w:rsidRPr="00390C03">
        <w:t>term prophylaxis in patients with severe disease.</w:t>
      </w:r>
    </w:p>
    <w:p w:rsidR="00390C03" w:rsidRPr="00390C03" w:rsidRDefault="00390C03" w:rsidP="00611B92">
      <w:r w:rsidRPr="00390C03">
        <w:t>Eloctate is a replacement therapy to increase plasma factor VIII levels as a temporary correction of the bleeding tendency in haemophilia A</w:t>
      </w:r>
      <w:r w:rsidRPr="00F72013">
        <w:t xml:space="preserve">. The FVIII portion of Eloctate is a glycoprotein </w:t>
      </w:r>
      <w:r w:rsidR="00F72013" w:rsidRPr="00F72013">
        <w:t xml:space="preserve">[functionally] </w:t>
      </w:r>
      <w:r w:rsidRPr="00F72013">
        <w:t xml:space="preserve">similar to endogenous FVIII found in human plasma. </w:t>
      </w:r>
      <w:r w:rsidRPr="00390C03">
        <w:t xml:space="preserve">When injected, it binds to von </w:t>
      </w:r>
      <w:proofErr w:type="spellStart"/>
      <w:r w:rsidRPr="00390C03">
        <w:t>Willebrand</w:t>
      </w:r>
      <w:proofErr w:type="spellEnd"/>
      <w:r w:rsidRPr="00390C03">
        <w:t xml:space="preserve"> factor in the circulation and acts as a replace</w:t>
      </w:r>
      <w:r w:rsidR="00447F45">
        <w:t xml:space="preserve">ment for the FVIII deficiency. </w:t>
      </w:r>
      <w:r w:rsidRPr="00390C03">
        <w:t xml:space="preserve">The other portion of Eloctate is the Fc fragment of human IgG1 which binds to the neonatal Fc receptor which is expressed throughout adult life. This receptor protects immunoglobulins from </w:t>
      </w:r>
      <w:proofErr w:type="spellStart"/>
      <w:r w:rsidRPr="00390C03">
        <w:t>lysosomal</w:t>
      </w:r>
      <w:proofErr w:type="spellEnd"/>
      <w:r w:rsidRPr="00390C03">
        <w:t xml:space="preserve"> degradation and acts to prolong their plasma </w:t>
      </w:r>
      <w:r w:rsidR="00EC0BDC" w:rsidRPr="00EC0BDC">
        <w:t>t</w:t>
      </w:r>
      <w:r w:rsidR="00EC0BDC" w:rsidRPr="00EC0BDC">
        <w:rPr>
          <w:vertAlign w:val="subscript"/>
        </w:rPr>
        <w:t>½</w:t>
      </w:r>
      <w:r w:rsidRPr="00390C03">
        <w:t>. The design of Eloctate enables replacement of all the functions of FVIII with an extended half-life compared with the naturally occurring factor.</w:t>
      </w:r>
    </w:p>
    <w:p w:rsidR="00605AD4" w:rsidRPr="006B54C5" w:rsidRDefault="00605AD4" w:rsidP="00611B92">
      <w:pPr>
        <w:pStyle w:val="Heading4"/>
      </w:pPr>
      <w:r w:rsidRPr="00605AD4">
        <w:t>Guidance</w:t>
      </w:r>
    </w:p>
    <w:p w:rsidR="00390C03" w:rsidRPr="009965A3" w:rsidRDefault="00320598" w:rsidP="00611B92">
      <w:r>
        <w:t xml:space="preserve">A pre </w:t>
      </w:r>
      <w:r w:rsidR="00390C03" w:rsidRPr="009965A3">
        <w:t>submission meeting with the TGA was held. The sponsors were requested to justify the use of a single pivotal study, and to justify the lack of randomisation in the clinical trial program in the proposed submission. However, the TGA provisionally accepted the sponsors’ justification for the lack of an active comparator control i</w:t>
      </w:r>
      <w:r>
        <w:t xml:space="preserve">n the pivotal study. Such a non </w:t>
      </w:r>
      <w:r w:rsidR="00390C03" w:rsidRPr="009965A3">
        <w:t>inferiority study would not be feasible because of the large patient numbers required in the orphan haemophilia population.</w:t>
      </w:r>
    </w:p>
    <w:p w:rsidR="00390C03" w:rsidRPr="00390C03" w:rsidRDefault="00390C03" w:rsidP="00611B92">
      <w:r w:rsidRPr="009965A3">
        <w:t xml:space="preserve">The TGA has adopted the EMA guideline on </w:t>
      </w:r>
      <w:proofErr w:type="spellStart"/>
      <w:r w:rsidRPr="009965A3">
        <w:t>rFVIII</w:t>
      </w:r>
      <w:proofErr w:type="spellEnd"/>
      <w:r w:rsidRPr="009965A3">
        <w:t xml:space="preserve"> products (1999</w:t>
      </w:r>
      <w:r>
        <w:rPr>
          <w:rStyle w:val="FootnoteReference"/>
        </w:rPr>
        <w:footnoteReference w:id="9"/>
      </w:r>
      <w:r w:rsidRPr="009965A3">
        <w:t>) but the latest guideline (2009</w:t>
      </w:r>
      <w:r>
        <w:rPr>
          <w:rStyle w:val="FootnoteReference"/>
        </w:rPr>
        <w:footnoteReference w:id="10"/>
      </w:r>
      <w:r w:rsidR="005667EB">
        <w:t>) had</w:t>
      </w:r>
      <w:r w:rsidRPr="009965A3">
        <w:t xml:space="preserve"> not yet been adopted</w:t>
      </w:r>
      <w:r w:rsidR="005667EB">
        <w:t xml:space="preserve"> </w:t>
      </w:r>
      <w:r w:rsidR="005667EB" w:rsidRPr="005667EB">
        <w:t>at the time the clinical evaluation was prepared</w:t>
      </w:r>
      <w:r w:rsidRPr="009965A3">
        <w:t>. The TGA has encouraged the sponsor to comply with the earlier guideline but has sought the opinion of the clinical evaluator before considering potential discrepancies further.</w:t>
      </w:r>
    </w:p>
    <w:p w:rsidR="00605AD4" w:rsidRDefault="00605AD4" w:rsidP="00611B92">
      <w:pPr>
        <w:pStyle w:val="Heading4"/>
      </w:pPr>
      <w:r w:rsidRPr="00605AD4">
        <w:t>Contents of the clinical dossier</w:t>
      </w:r>
    </w:p>
    <w:p w:rsidR="00390C03" w:rsidRPr="00390C03" w:rsidRDefault="00390C03" w:rsidP="00611B92">
      <w:r w:rsidRPr="00390C03">
        <w:t>The submission contained the following clinical information:</w:t>
      </w:r>
    </w:p>
    <w:p w:rsidR="00390C03" w:rsidRPr="00390C03" w:rsidRDefault="00390C03" w:rsidP="00611B92">
      <w:pPr>
        <w:pStyle w:val="ListBullet"/>
      </w:pPr>
      <w:r w:rsidRPr="00390C03">
        <w:t>One</w:t>
      </w:r>
      <w:r w:rsidR="007E4833">
        <w:t xml:space="preserve"> Phase I/</w:t>
      </w:r>
      <w:proofErr w:type="spellStart"/>
      <w:r w:rsidR="007E4833">
        <w:t>IIa</w:t>
      </w:r>
      <w:proofErr w:type="spellEnd"/>
      <w:r w:rsidRPr="00390C03">
        <w:t xml:space="preserve"> clinical pharmacology study (9</w:t>
      </w:r>
      <w:r w:rsidR="007E4833">
        <w:t>9</w:t>
      </w:r>
      <w:r w:rsidRPr="00390C03">
        <w:t xml:space="preserve">8HA101), a completed PK study in </w:t>
      </w:r>
      <w:r w:rsidR="00EC0BDC">
        <w:t>PTPs</w:t>
      </w:r>
      <w:r w:rsidR="00AC2BB0">
        <w:t>.</w:t>
      </w:r>
    </w:p>
    <w:p w:rsidR="00390C03" w:rsidRPr="00390C03" w:rsidRDefault="00390C03" w:rsidP="00611B92">
      <w:pPr>
        <w:pStyle w:val="ListBullet"/>
      </w:pPr>
      <w:r w:rsidRPr="00390C03">
        <w:t xml:space="preserve">One population </w:t>
      </w:r>
      <w:r w:rsidR="003C3118">
        <w:t>PK</w:t>
      </w:r>
      <w:r w:rsidRPr="00390C03">
        <w:t xml:space="preserve"> analysis (CPP-12-026-BIIB031, </w:t>
      </w:r>
      <w:r w:rsidR="0009476D">
        <w:t xml:space="preserve">derived from </w:t>
      </w:r>
      <w:r w:rsidR="00F32BE8">
        <w:t>clinical studies 998HA1</w:t>
      </w:r>
      <w:r w:rsidR="007E4833">
        <w:t>01 and 997HA301.</w:t>
      </w:r>
    </w:p>
    <w:p w:rsidR="00390C03" w:rsidRPr="00390C03" w:rsidRDefault="00390C03" w:rsidP="00611B92">
      <w:pPr>
        <w:pStyle w:val="ListBullet"/>
      </w:pPr>
      <w:r w:rsidRPr="00390C03">
        <w:t xml:space="preserve">One pivotal </w:t>
      </w:r>
      <w:r w:rsidR="007E4833">
        <w:t xml:space="preserve">Phase III </w:t>
      </w:r>
      <w:r w:rsidRPr="00390C03">
        <w:t>efficacy/safety s</w:t>
      </w:r>
      <w:r w:rsidR="00447F45">
        <w:t>tudy A-LONG (997HA301), an open label, uncontrolled, 3 </w:t>
      </w:r>
      <w:r w:rsidRPr="00390C03">
        <w:t xml:space="preserve">arm study in </w:t>
      </w:r>
      <w:r w:rsidR="00EC0BDC">
        <w:t>adult PTPs</w:t>
      </w:r>
      <w:r w:rsidRPr="00390C03">
        <w:t>.</w:t>
      </w:r>
    </w:p>
    <w:p w:rsidR="00390C03" w:rsidRPr="00390C03" w:rsidRDefault="00390C03" w:rsidP="00611B92">
      <w:pPr>
        <w:pStyle w:val="ListBullet"/>
      </w:pPr>
      <w:r w:rsidRPr="00390C03">
        <w:t>One</w:t>
      </w:r>
      <w:r w:rsidR="00B22F9A">
        <w:t xml:space="preserve"> interim progress report of the</w:t>
      </w:r>
      <w:r w:rsidRPr="00390C03">
        <w:t xml:space="preserve"> supportive efficacy/safety study (8HA01EXT), an ong</w:t>
      </w:r>
      <w:r w:rsidR="00EC0BDC">
        <w:t>oing study in</w:t>
      </w:r>
      <w:r w:rsidRPr="00390C03">
        <w:t xml:space="preserve"> adult </w:t>
      </w:r>
      <w:r w:rsidR="00EC0BDC">
        <w:t>PTPs</w:t>
      </w:r>
      <w:r w:rsidRPr="00390C03">
        <w:t xml:space="preserve"> who have completed 997HA301, and paediatric patients who have completed 8HA02PED.</w:t>
      </w:r>
    </w:p>
    <w:p w:rsidR="00390C03" w:rsidRPr="00390C03" w:rsidRDefault="00390C03" w:rsidP="00611B92">
      <w:pPr>
        <w:pStyle w:val="ListBullet"/>
      </w:pPr>
      <w:r w:rsidRPr="00390C03">
        <w:t>Clinical Overview, Summary of Clinical Efficacy, Summary of Clinical Safety</w:t>
      </w:r>
      <w:r w:rsidR="00B22F9A">
        <w:t>, Summary of Clinical Pharmacology, Summary of Biopharmaceutic studies and Analytical Methods</w:t>
      </w:r>
      <w:r w:rsidRPr="00390C03">
        <w:t xml:space="preserve"> and literature references.</w:t>
      </w:r>
    </w:p>
    <w:p w:rsidR="00605AD4" w:rsidRPr="00611B92" w:rsidRDefault="00605AD4" w:rsidP="00611B92">
      <w:pPr>
        <w:pStyle w:val="Heading4"/>
      </w:pPr>
      <w:r w:rsidRPr="00605AD4">
        <w:lastRenderedPageBreak/>
        <w:t>Paediatric data</w:t>
      </w:r>
    </w:p>
    <w:p w:rsidR="00B22F9A" w:rsidRDefault="00390C03" w:rsidP="00611B92">
      <w:r w:rsidRPr="00390C03">
        <w:t xml:space="preserve">The submission included one </w:t>
      </w:r>
      <w:r w:rsidR="00B22F9A">
        <w:t xml:space="preserve">progress report from an ongoing </w:t>
      </w:r>
      <w:r w:rsidRPr="00390C03">
        <w:t xml:space="preserve">efficacy/safety study (8HA02PED), in paediatric </w:t>
      </w:r>
      <w:r w:rsidR="00EC0BDC">
        <w:t>PTPs</w:t>
      </w:r>
      <w:r w:rsidRPr="00390C03">
        <w:t xml:space="preserve"> </w:t>
      </w:r>
      <w:r w:rsidR="0009476D">
        <w:t>&lt;</w:t>
      </w:r>
      <w:r w:rsidR="00447F45">
        <w:t xml:space="preserve"> </w:t>
      </w:r>
      <w:r w:rsidRPr="00390C03">
        <w:t>12 years with completed patients continuing into 8HA01EXT.</w:t>
      </w:r>
    </w:p>
    <w:p w:rsidR="00390C03" w:rsidRPr="00390C03" w:rsidRDefault="00B22F9A" w:rsidP="00611B92">
      <w:r>
        <w:t>Data from this and the Phase III pivotal study that included previously treated patients aged 12 years and over,</w:t>
      </w:r>
      <w:r w:rsidR="00390C03" w:rsidRPr="00390C03">
        <w:t xml:space="preserve"> will form the basis of a future submission for use in children</w:t>
      </w:r>
      <w:r w:rsidR="00BA7814">
        <w:t xml:space="preserve"> &lt;</w:t>
      </w:r>
      <w:r w:rsidR="002E765D">
        <w:t> </w:t>
      </w:r>
      <w:r>
        <w:t>12 years of age</w:t>
      </w:r>
      <w:r w:rsidR="00390C03" w:rsidRPr="00390C03">
        <w:t>.</w:t>
      </w:r>
    </w:p>
    <w:p w:rsidR="00605AD4" w:rsidRDefault="00605AD4" w:rsidP="00611B92">
      <w:pPr>
        <w:pStyle w:val="Heading4"/>
      </w:pPr>
      <w:r w:rsidRPr="00605AD4">
        <w:t xml:space="preserve">Good clinical </w:t>
      </w:r>
      <w:r w:rsidRPr="00611B92">
        <w:t>practice</w:t>
      </w:r>
    </w:p>
    <w:p w:rsidR="00390C03" w:rsidRPr="00390C03" w:rsidRDefault="00390C03" w:rsidP="00611B92">
      <w:bookmarkStart w:id="74" w:name="_Toc241374282"/>
      <w:r w:rsidRPr="007E0627">
        <w:t xml:space="preserve">All studies were </w:t>
      </w:r>
      <w:r>
        <w:t xml:space="preserve">conducted </w:t>
      </w:r>
      <w:r w:rsidR="007932B1">
        <w:t xml:space="preserve">in compliance </w:t>
      </w:r>
      <w:proofErr w:type="gramStart"/>
      <w:r w:rsidR="007932B1">
        <w:t xml:space="preserve">with </w:t>
      </w:r>
      <w:r>
        <w:t xml:space="preserve"> the</w:t>
      </w:r>
      <w:proofErr w:type="gramEnd"/>
      <w:r>
        <w:t xml:space="preserve"> principles of </w:t>
      </w:r>
      <w:r w:rsidR="007932B1">
        <w:t>the ICH guidelines on G</w:t>
      </w:r>
      <w:r>
        <w:t xml:space="preserve">ood </w:t>
      </w:r>
      <w:r w:rsidR="007932B1">
        <w:t>C</w:t>
      </w:r>
      <w:r>
        <w:t xml:space="preserve">linical </w:t>
      </w:r>
      <w:r w:rsidR="007932B1">
        <w:t>P</w:t>
      </w:r>
      <w:r>
        <w:t>ractice (GCP)</w:t>
      </w:r>
      <w:r w:rsidR="007932B1">
        <w:t xml:space="preserve"> and the ethical principles outlined in the Declaration of Helsinki.</w:t>
      </w:r>
      <w:bookmarkEnd w:id="74"/>
    </w:p>
    <w:p w:rsidR="008E7846" w:rsidRPr="00254787" w:rsidRDefault="008E7846" w:rsidP="00611B92">
      <w:pPr>
        <w:pStyle w:val="Heading3"/>
      </w:pPr>
      <w:bookmarkStart w:id="75" w:name="_Toc412817722"/>
      <w:r w:rsidRPr="00611B92">
        <w:t>Pharmacokinetics</w:t>
      </w:r>
      <w:bookmarkEnd w:id="65"/>
      <w:bookmarkEnd w:id="71"/>
      <w:bookmarkEnd w:id="72"/>
      <w:bookmarkEnd w:id="73"/>
      <w:bookmarkEnd w:id="75"/>
    </w:p>
    <w:p w:rsidR="00605AD4" w:rsidRDefault="00605AD4" w:rsidP="00611B92">
      <w:pPr>
        <w:pStyle w:val="Heading4"/>
      </w:pPr>
      <w:r>
        <w:t xml:space="preserve">Studies </w:t>
      </w:r>
      <w:r w:rsidRPr="00611B92">
        <w:t>providing</w:t>
      </w:r>
      <w:r>
        <w:t xml:space="preserve"> pharmacokinetic data</w:t>
      </w:r>
    </w:p>
    <w:p w:rsidR="00390C03" w:rsidRPr="00390C03" w:rsidRDefault="003C3118" w:rsidP="00611B92">
      <w:r>
        <w:t>PK</w:t>
      </w:r>
      <w:r w:rsidR="00390C03" w:rsidRPr="00283597">
        <w:t xml:space="preserve"> Studies</w:t>
      </w:r>
      <w:r w:rsidR="00D2446A">
        <w:t xml:space="preserve"> 998HA101and </w:t>
      </w:r>
      <w:r w:rsidR="00BA7814">
        <w:t xml:space="preserve">the population pharmacokinetic </w:t>
      </w:r>
      <w:proofErr w:type="gramStart"/>
      <w:r w:rsidR="00BA7814">
        <w:t>report (</w:t>
      </w:r>
      <w:r w:rsidR="00D2446A">
        <w:t>CPP12-026-BIIB031</w:t>
      </w:r>
      <w:r w:rsidR="00BA7814">
        <w:t>)</w:t>
      </w:r>
      <w:r w:rsidR="00D2446A">
        <w:t xml:space="preserve"> we</w:t>
      </w:r>
      <w:r w:rsidR="00390C03" w:rsidRPr="00283597">
        <w:t>re</w:t>
      </w:r>
      <w:proofErr w:type="gramEnd"/>
      <w:r w:rsidR="00390C03" w:rsidRPr="00283597">
        <w:t xml:space="preserve"> provided in the dossier. None of the </w:t>
      </w:r>
      <w:r>
        <w:t>PK</w:t>
      </w:r>
      <w:r w:rsidR="00390C03" w:rsidRPr="00283597">
        <w:t xml:space="preserve"> studies had deficiencies that excluded their results from consideration.</w:t>
      </w:r>
    </w:p>
    <w:p w:rsidR="00605AD4" w:rsidRDefault="00605AD4" w:rsidP="00611B92">
      <w:pPr>
        <w:pStyle w:val="Heading4"/>
      </w:pPr>
      <w:r>
        <w:t xml:space="preserve">Evaluator’s </w:t>
      </w:r>
      <w:r w:rsidR="00283597" w:rsidRPr="00611B92">
        <w:t>summary</w:t>
      </w:r>
      <w:r w:rsidR="00283597">
        <w:t xml:space="preserve"> and </w:t>
      </w:r>
      <w:r>
        <w:t>conclusions on pharmacokinetics</w:t>
      </w:r>
    </w:p>
    <w:p w:rsidR="00283597" w:rsidRPr="00283597" w:rsidRDefault="00447F45" w:rsidP="00611B92">
      <w:r>
        <w:t xml:space="preserve">The activity </w:t>
      </w:r>
      <w:r w:rsidR="00283597" w:rsidRPr="00283597">
        <w:t xml:space="preserve">time profiles of </w:t>
      </w:r>
      <w:proofErr w:type="spellStart"/>
      <w:r w:rsidR="00283597" w:rsidRPr="00283597">
        <w:t>rFVIIIFc</w:t>
      </w:r>
      <w:proofErr w:type="spellEnd"/>
      <w:r w:rsidR="00283597" w:rsidRPr="00283597">
        <w:t xml:space="preserve"> have been evaluated and compared with </w:t>
      </w:r>
      <w:proofErr w:type="spellStart"/>
      <w:r>
        <w:t>rFVIII</w:t>
      </w:r>
      <w:proofErr w:type="spellEnd"/>
      <w:r>
        <w:t xml:space="preserve"> (</w:t>
      </w:r>
      <w:proofErr w:type="spellStart"/>
      <w:r w:rsidR="00283597" w:rsidRPr="00283597">
        <w:t>Advate</w:t>
      </w:r>
      <w:proofErr w:type="spellEnd"/>
      <w:r>
        <w:t>)</w:t>
      </w:r>
      <w:r w:rsidR="00283597" w:rsidRPr="00283597">
        <w:t xml:space="preserve"> in a Phase</w:t>
      </w:r>
      <w:r w:rsidR="0009476D">
        <w:t xml:space="preserve"> I/</w:t>
      </w:r>
      <w:proofErr w:type="spellStart"/>
      <w:r w:rsidR="0009476D">
        <w:t>II</w:t>
      </w:r>
      <w:r w:rsidR="00283597" w:rsidRPr="00283597">
        <w:t>a</w:t>
      </w:r>
      <w:proofErr w:type="spellEnd"/>
      <w:r w:rsidR="00283597" w:rsidRPr="00283597">
        <w:t xml:space="preserve"> PK study in 16 patients with haemophilia A. The study used FVIII activity as a surrogate endpoint as recommended by the EMA and </w:t>
      </w:r>
      <w:r w:rsidR="009E47A9" w:rsidRPr="009E47A9">
        <w:t xml:space="preserve">the International Society on Thrombosis and Haemostasis </w:t>
      </w:r>
      <w:r w:rsidR="009E47A9">
        <w:t>(</w:t>
      </w:r>
      <w:r w:rsidR="00283597" w:rsidRPr="00283597">
        <w:t>ISTH</w:t>
      </w:r>
      <w:r w:rsidR="009E47A9">
        <w:t>)</w:t>
      </w:r>
      <w:r w:rsidR="00283597" w:rsidRPr="00283597">
        <w:t xml:space="preserve"> to estimate AUC,</w:t>
      </w:r>
      <w:r w:rsidR="00276CC1">
        <w:t xml:space="preserve"> </w:t>
      </w:r>
      <w:r w:rsidR="00EC0BDC" w:rsidRPr="00EC0BDC">
        <w:t>t</w:t>
      </w:r>
      <w:r w:rsidR="00EC0BDC" w:rsidRPr="00EC0BDC">
        <w:rPr>
          <w:vertAlign w:val="subscript"/>
        </w:rPr>
        <w:t>½</w:t>
      </w:r>
      <w:r w:rsidR="00276CC1">
        <w:t xml:space="preserve">, </w:t>
      </w:r>
      <w:r w:rsidR="00DC7FD9" w:rsidRPr="00DC7FD9">
        <w:t xml:space="preserve">mean residence time </w:t>
      </w:r>
      <w:r w:rsidR="00DC7FD9">
        <w:t>(</w:t>
      </w:r>
      <w:r w:rsidR="00276CC1">
        <w:t>MRT</w:t>
      </w:r>
      <w:r w:rsidR="00DC7FD9">
        <w:t>)</w:t>
      </w:r>
      <w:r w:rsidR="00276CC1">
        <w:t xml:space="preserve"> and clearance. </w:t>
      </w:r>
      <w:proofErr w:type="spellStart"/>
      <w:proofErr w:type="gramStart"/>
      <w:r w:rsidR="00283597" w:rsidRPr="00283597">
        <w:t>rFVIIIFc</w:t>
      </w:r>
      <w:proofErr w:type="spellEnd"/>
      <w:proofErr w:type="gramEnd"/>
      <w:r w:rsidR="00283597" w:rsidRPr="00283597">
        <w:t xml:space="preserve"> had a superior PK profile compared with </w:t>
      </w:r>
      <w:proofErr w:type="spellStart"/>
      <w:r w:rsidR="00283597" w:rsidRPr="00283597">
        <w:t>Advate</w:t>
      </w:r>
      <w:proofErr w:type="spellEnd"/>
      <w:r w:rsidR="00283597" w:rsidRPr="00283597">
        <w:t xml:space="preserve"> with approximate increases in half-life and MRT of 53% for the 25 IU/kg dose and 76% for the 65 IU/kg dose. The prolongation of activity </w:t>
      </w:r>
      <w:r w:rsidR="00283597" w:rsidRPr="0080295E">
        <w:t xml:space="preserve">was due to a 36% reduction in the clearance of </w:t>
      </w:r>
      <w:proofErr w:type="spellStart"/>
      <w:r w:rsidR="00283597" w:rsidRPr="0080295E">
        <w:t>rFVIIIFc</w:t>
      </w:r>
      <w:proofErr w:type="spellEnd"/>
      <w:r w:rsidR="00283597" w:rsidRPr="0080295E">
        <w:t xml:space="preserve"> compared to </w:t>
      </w:r>
      <w:proofErr w:type="spellStart"/>
      <w:r w:rsidR="00283597" w:rsidRPr="0080295E">
        <w:t>Advate</w:t>
      </w:r>
      <w:proofErr w:type="spellEnd"/>
      <w:r w:rsidR="00283597" w:rsidRPr="00283597">
        <w:t xml:space="preserve"> The primary </w:t>
      </w:r>
      <w:r>
        <w:t xml:space="preserve">PK profile was based on the one </w:t>
      </w:r>
      <w:r w:rsidR="00283597" w:rsidRPr="00283597">
        <w:t>stage clotting assay and confirmed by similar results using the chromogenic a</w:t>
      </w:r>
      <w:r w:rsidR="0009476D">
        <w:t xml:space="preserve">ssay. The compartmental and non </w:t>
      </w:r>
      <w:r w:rsidR="00283597" w:rsidRPr="00283597">
        <w:t>compartmental analyses were complemented by the population PK an</w:t>
      </w:r>
      <w:r>
        <w:t xml:space="preserve">alysis which confirmed the long </w:t>
      </w:r>
      <w:r w:rsidR="00283597" w:rsidRPr="00283597">
        <w:t>term stability of the PK parameters. The population PK models adequately described the act</w:t>
      </w:r>
      <w:r>
        <w:t>ivity data in the PK and Phase III</w:t>
      </w:r>
      <w:r w:rsidR="00283597" w:rsidRPr="00283597">
        <w:t xml:space="preserve"> studies. </w:t>
      </w:r>
      <w:r w:rsidR="00283597" w:rsidRPr="003538D3">
        <w:t xml:space="preserve">The major covariate for </w:t>
      </w:r>
      <w:proofErr w:type="spellStart"/>
      <w:r w:rsidR="00283597" w:rsidRPr="003538D3">
        <w:t>rFVIIIFc</w:t>
      </w:r>
      <w:proofErr w:type="spellEnd"/>
      <w:r w:rsidR="00283597" w:rsidRPr="003538D3">
        <w:t xml:space="preserve"> activity was clearance and there was no </w:t>
      </w:r>
      <w:r w:rsidR="00B50578" w:rsidRPr="00D924E5">
        <w:t xml:space="preserve">clinically </w:t>
      </w:r>
      <w:r w:rsidR="00283597" w:rsidRPr="003538D3">
        <w:t>meaningful influence related to body weight, haematocrit or age.</w:t>
      </w:r>
    </w:p>
    <w:p w:rsidR="00283597" w:rsidRPr="00283597" w:rsidRDefault="00283597" w:rsidP="00611B92">
      <w:r w:rsidRPr="00283597">
        <w:t xml:space="preserve">The PK and </w:t>
      </w:r>
      <w:r w:rsidR="000C35CF">
        <w:t>t</w:t>
      </w:r>
      <w:r w:rsidR="0080295E">
        <w:t>h</w:t>
      </w:r>
      <w:r w:rsidR="000C35CF">
        <w:t xml:space="preserve">e pivotal </w:t>
      </w:r>
      <w:r w:rsidRPr="00283597">
        <w:t xml:space="preserve">studies were well conducted and complied with TGA and EMA guidelines. The </w:t>
      </w:r>
      <w:r w:rsidR="000C35CF">
        <w:t xml:space="preserve">population PK models derived from the </w:t>
      </w:r>
      <w:r w:rsidRPr="00283597">
        <w:t>combined data have been used to develop useful dosing recommendations for clinicians.</w:t>
      </w:r>
    </w:p>
    <w:p w:rsidR="008E7846" w:rsidRPr="006B54C5" w:rsidRDefault="008E7846" w:rsidP="00611B92">
      <w:pPr>
        <w:pStyle w:val="Heading3"/>
      </w:pPr>
      <w:bookmarkStart w:id="76" w:name="_Toc196046481"/>
      <w:bookmarkStart w:id="77" w:name="_Toc247691520"/>
      <w:bookmarkStart w:id="78" w:name="_Toc314842503"/>
      <w:bookmarkStart w:id="79" w:name="_Toc412817723"/>
      <w:r w:rsidRPr="00254787">
        <w:t>Pharmacodynamics</w:t>
      </w:r>
      <w:bookmarkEnd w:id="66"/>
      <w:bookmarkEnd w:id="76"/>
      <w:bookmarkEnd w:id="77"/>
      <w:bookmarkEnd w:id="78"/>
      <w:bookmarkEnd w:id="79"/>
    </w:p>
    <w:p w:rsidR="00605AD4" w:rsidRDefault="00605AD4" w:rsidP="00611B92">
      <w:pPr>
        <w:pStyle w:val="Heading4"/>
      </w:pPr>
      <w:r>
        <w:t xml:space="preserve">Studies providing </w:t>
      </w:r>
      <w:r w:rsidRPr="006B54C5">
        <w:t>pharmacodynamic</w:t>
      </w:r>
      <w:r>
        <w:t xml:space="preserve"> data</w:t>
      </w:r>
    </w:p>
    <w:p w:rsidR="00283597" w:rsidRPr="00283597" w:rsidRDefault="00283597" w:rsidP="00611B92">
      <w:r w:rsidRPr="00005950">
        <w:t>None submitted.</w:t>
      </w:r>
    </w:p>
    <w:p w:rsidR="008E7846" w:rsidRPr="00611B92" w:rsidRDefault="00605AD4" w:rsidP="00611B92">
      <w:pPr>
        <w:pStyle w:val="Heading3"/>
      </w:pPr>
      <w:bookmarkStart w:id="80" w:name="_Toc412817724"/>
      <w:r>
        <w:lastRenderedPageBreak/>
        <w:t xml:space="preserve">Dosage selection for the </w:t>
      </w:r>
      <w:r w:rsidRPr="0077015F">
        <w:t>pivotal</w:t>
      </w:r>
      <w:r>
        <w:t xml:space="preserve"> stud</w:t>
      </w:r>
      <w:r w:rsidR="000C35CF">
        <w:t>y</w:t>
      </w:r>
      <w:bookmarkEnd w:id="80"/>
    </w:p>
    <w:p w:rsidR="00283597" w:rsidRPr="00283597" w:rsidRDefault="00283597" w:rsidP="00611B92">
      <w:r w:rsidRPr="00283597">
        <w:t>Doses of 25 IU/kg and 65 IU/kg we</w:t>
      </w:r>
      <w:r w:rsidR="00447F45">
        <w:t>re well tolerated in the Phase I/</w:t>
      </w:r>
      <w:proofErr w:type="spellStart"/>
      <w:r w:rsidR="00447F45">
        <w:t>II</w:t>
      </w:r>
      <w:r w:rsidR="005667EB">
        <w:t>a</w:t>
      </w:r>
      <w:proofErr w:type="spellEnd"/>
      <w:r w:rsidR="005667EB">
        <w:t xml:space="preserve"> S</w:t>
      </w:r>
      <w:r w:rsidRPr="00283597">
        <w:t>tudy 998HA101. Based on the PK data it was estimated that 88% of patients would sustain FVIII trough levels &gt;</w:t>
      </w:r>
      <w:r w:rsidR="00171AD3">
        <w:t xml:space="preserve"> </w:t>
      </w:r>
      <w:r w:rsidRPr="00283597">
        <w:t>1%</w:t>
      </w:r>
      <w:r w:rsidR="00171AD3">
        <w:t>,</w:t>
      </w:r>
      <w:r w:rsidRPr="00283597">
        <w:t xml:space="preserve"> 3 days after a 25 IU/kg dose and that 83% of patients would sustain trough levels &gt;</w:t>
      </w:r>
      <w:r w:rsidR="00171AD3">
        <w:t xml:space="preserve"> </w:t>
      </w:r>
      <w:r w:rsidRPr="00283597">
        <w:t>1%</w:t>
      </w:r>
      <w:r w:rsidR="00171AD3">
        <w:t>,</w:t>
      </w:r>
      <w:r w:rsidRPr="00283597">
        <w:t xml:space="preserve"> 4 days after a 50 IU/kg dose. Based on these assumptions, the starting dose for Arm 1 o</w:t>
      </w:r>
      <w:r w:rsidR="00171AD3">
        <w:t xml:space="preserve">f the pivotal study was a twice </w:t>
      </w:r>
      <w:r w:rsidRPr="00283597">
        <w:t>weekly regimen with 25 IU/kg on the first day followed by 50 IU/kg on the fourth day. Data from 998HA101 were also used to generate dose adjustment algorithms for individualised prophylaxis regimens.</w:t>
      </w:r>
    </w:p>
    <w:p w:rsidR="008E7846" w:rsidRPr="00611B92" w:rsidRDefault="008E7846" w:rsidP="00611B92">
      <w:pPr>
        <w:pStyle w:val="Heading3"/>
      </w:pPr>
      <w:bookmarkStart w:id="81" w:name="_Toc163441372"/>
      <w:bookmarkStart w:id="82" w:name="_Toc196046485"/>
      <w:bookmarkStart w:id="83" w:name="_Toc247691521"/>
      <w:bookmarkStart w:id="84" w:name="_Toc314842504"/>
      <w:bookmarkStart w:id="85" w:name="_Toc412817725"/>
      <w:r w:rsidRPr="00254787">
        <w:t>Efficacy</w:t>
      </w:r>
      <w:bookmarkEnd w:id="81"/>
      <w:bookmarkEnd w:id="82"/>
      <w:bookmarkEnd w:id="83"/>
      <w:bookmarkEnd w:id="84"/>
      <w:bookmarkEnd w:id="85"/>
    </w:p>
    <w:p w:rsidR="00605AD4" w:rsidRDefault="00605AD4" w:rsidP="00611B92">
      <w:pPr>
        <w:pStyle w:val="Heading4"/>
      </w:pPr>
      <w:bookmarkStart w:id="86" w:name="_Toc184439992"/>
      <w:bookmarkStart w:id="87" w:name="_Toc184440279"/>
      <w:bookmarkStart w:id="88" w:name="_Toc184444657"/>
      <w:bookmarkStart w:id="89" w:name="_Toc196046487"/>
      <w:r>
        <w:t>Studies providing efficacy data</w:t>
      </w:r>
    </w:p>
    <w:p w:rsidR="005667EB" w:rsidRPr="005667EB" w:rsidRDefault="005667EB" w:rsidP="00611B92">
      <w:r w:rsidRPr="00005950">
        <w:t>Only one efficacy study has been performed.</w:t>
      </w:r>
    </w:p>
    <w:p w:rsidR="00283597" w:rsidRPr="00283597" w:rsidRDefault="00283597" w:rsidP="00611B92">
      <w:pPr>
        <w:pStyle w:val="Heading5"/>
      </w:pPr>
      <w:bookmarkStart w:id="90" w:name="_Ref271037274"/>
      <w:bookmarkStart w:id="91" w:name="_Toc272414652"/>
      <w:bookmarkStart w:id="92" w:name="_Toc290846274"/>
      <w:bookmarkStart w:id="93" w:name="_Toc368471509"/>
      <w:r w:rsidRPr="00283597">
        <w:t>Pivotal efficacy stud</w:t>
      </w:r>
      <w:bookmarkEnd w:id="90"/>
      <w:bookmarkEnd w:id="91"/>
      <w:bookmarkEnd w:id="92"/>
      <w:bookmarkEnd w:id="93"/>
      <w:r w:rsidR="005667EB">
        <w:t>y</w:t>
      </w:r>
    </w:p>
    <w:p w:rsidR="00283597" w:rsidRPr="00283597" w:rsidRDefault="00283597" w:rsidP="00611B92">
      <w:bookmarkStart w:id="94" w:name="_Ref243301615"/>
      <w:bookmarkStart w:id="95" w:name="_Ref271040927"/>
      <w:bookmarkStart w:id="96" w:name="_Ref271040932"/>
      <w:bookmarkStart w:id="97" w:name="_Toc272414653"/>
      <w:bookmarkStart w:id="98" w:name="_Toc290846275"/>
      <w:bookmarkStart w:id="99" w:name="_Toc368471510"/>
      <w:r w:rsidRPr="00283597">
        <w:t>Study 997HA301 (A-L</w:t>
      </w:r>
      <w:bookmarkEnd w:id="94"/>
      <w:bookmarkEnd w:id="95"/>
      <w:bookmarkEnd w:id="96"/>
      <w:bookmarkEnd w:id="97"/>
      <w:bookmarkEnd w:id="98"/>
      <w:r w:rsidRPr="00283597">
        <w:t>ONG)</w:t>
      </w:r>
      <w:bookmarkEnd w:id="99"/>
      <w:r>
        <w:t xml:space="preserve"> </w:t>
      </w:r>
      <w:r w:rsidR="00F72013">
        <w:t xml:space="preserve">was an open </w:t>
      </w:r>
      <w:r w:rsidRPr="00283597">
        <w:t xml:space="preserve">label, multicentre evaluation of the safety, efficacy and PK of </w:t>
      </w:r>
      <w:proofErr w:type="spellStart"/>
      <w:r w:rsidRPr="00283597">
        <w:t>rFVIIIFc</w:t>
      </w:r>
      <w:proofErr w:type="spellEnd"/>
      <w:r w:rsidRPr="00283597">
        <w:t xml:space="preserve"> in the prevention and treatment of bleeding in </w:t>
      </w:r>
      <w:r w:rsidR="00B8129C">
        <w:t>PTPs</w:t>
      </w:r>
      <w:r w:rsidRPr="00283597">
        <w:t xml:space="preserve"> with severe haemophilia A. </w:t>
      </w:r>
      <w:r w:rsidRPr="00B9586E">
        <w:t>The</w:t>
      </w:r>
      <w:r w:rsidR="00B9586E">
        <w:t xml:space="preserve"> primary</w:t>
      </w:r>
      <w:r w:rsidRPr="00B9586E">
        <w:t xml:space="preserve"> objectives </w:t>
      </w:r>
      <w:r w:rsidRPr="00283597">
        <w:t>of the study were</w:t>
      </w:r>
      <w:r w:rsidR="003538D3">
        <w:t xml:space="preserve"> to compare the efficacy and safety of </w:t>
      </w:r>
      <w:proofErr w:type="spellStart"/>
      <w:r w:rsidR="003538D3">
        <w:t>rFVIIIFc</w:t>
      </w:r>
      <w:proofErr w:type="spellEnd"/>
      <w:r w:rsidR="003538D3">
        <w:t xml:space="preserve"> given in various treatment regimens as prophylaxis and on demand during surgical treatment</w:t>
      </w:r>
      <w:r w:rsidR="00AC2BB0">
        <w:t>.</w:t>
      </w:r>
    </w:p>
    <w:p w:rsidR="008E7846" w:rsidRDefault="00605AD4" w:rsidP="00611B92">
      <w:pPr>
        <w:pStyle w:val="Heading4"/>
      </w:pPr>
      <w:r>
        <w:t>Evaluator’s conclusions on efficacy</w:t>
      </w:r>
    </w:p>
    <w:p w:rsidR="00283597" w:rsidRPr="00810596" w:rsidRDefault="00AE4A7C" w:rsidP="00611B92">
      <w:bookmarkStart w:id="100" w:name="_Ref271126605"/>
      <w:bookmarkStart w:id="101" w:name="_Toc272414657"/>
      <w:bookmarkStart w:id="102" w:name="_Toc290846282"/>
      <w:bookmarkStart w:id="103" w:name="_Toc368471512"/>
      <w:r>
        <w:t>For the assessment of c</w:t>
      </w:r>
      <w:r w:rsidR="00283597" w:rsidRPr="00810596">
        <w:t xml:space="preserve">linical efficacy for control </w:t>
      </w:r>
      <w:bookmarkEnd w:id="100"/>
      <w:bookmarkEnd w:id="101"/>
      <w:bookmarkEnd w:id="102"/>
      <w:r w:rsidR="00283597" w:rsidRPr="00810596">
        <w:t>of bleeding episodes, routine prophylaxis to prevent or reduce the frequency of bleeding episodes, and perioperative management (surgical prophylaxis)</w:t>
      </w:r>
      <w:bookmarkEnd w:id="103"/>
      <w:r>
        <w:t>, b</w:t>
      </w:r>
      <w:r w:rsidR="00283597" w:rsidRPr="00810596">
        <w:t>ecause of the limited availability of haemophilia A patients, the latest EU Guideline</w:t>
      </w:r>
      <w:r w:rsidR="00B8129C">
        <w:rPr>
          <w:rStyle w:val="FootnoteReference"/>
        </w:rPr>
        <w:footnoteReference w:id="11"/>
      </w:r>
      <w:r w:rsidR="00812EC3">
        <w:t xml:space="preserve"> (not </w:t>
      </w:r>
      <w:r w:rsidR="00283597" w:rsidRPr="00810596">
        <w:t>adopted by the TGA</w:t>
      </w:r>
      <w:r w:rsidR="00812EC3">
        <w:t xml:space="preserve"> </w:t>
      </w:r>
      <w:r w:rsidR="00812EC3" w:rsidRPr="00812EC3">
        <w:t>at the time the clinical evaluation was prepared</w:t>
      </w:r>
      <w:r w:rsidR="00283597" w:rsidRPr="00810596">
        <w:t xml:space="preserve">) recommends the enrolment of at least 100 patients, using FVIII activity as a surrogate endpoint and without the need for a control group. The initial study should be conducted in PTPs aged </w:t>
      </w:r>
      <w:r w:rsidR="00B8129C">
        <w:t>≥</w:t>
      </w:r>
      <w:r w:rsidR="00171AD3">
        <w:t xml:space="preserve"> </w:t>
      </w:r>
      <w:r w:rsidR="00283597" w:rsidRPr="00810596">
        <w:t>12 years with</w:t>
      </w:r>
      <w:r w:rsidR="00B8129C">
        <w:t xml:space="preserve"> a study in PUPs conducted post </w:t>
      </w:r>
      <w:r w:rsidR="00283597" w:rsidRPr="00810596">
        <w:t xml:space="preserve">marketing. In the pivotal study, a total of 165 patients </w:t>
      </w:r>
      <w:r w:rsidR="00B50578">
        <w:t xml:space="preserve">aged &gt; 12 years </w:t>
      </w:r>
      <w:r w:rsidR="00283597" w:rsidRPr="00810596">
        <w:t>were randomised and all were PTPs. Patient numbers were adequate and 13 adolescent patients were included.</w:t>
      </w:r>
    </w:p>
    <w:p w:rsidR="00283597" w:rsidRPr="00810596" w:rsidRDefault="00283597" w:rsidP="00611B92">
      <w:r w:rsidRPr="00810596">
        <w:t xml:space="preserve">Despite the lack of a control group, the study clearly demonstrated that </w:t>
      </w:r>
      <w:proofErr w:type="spellStart"/>
      <w:r w:rsidRPr="00810596">
        <w:t>rFVIIIFc</w:t>
      </w:r>
      <w:proofErr w:type="spellEnd"/>
      <w:r w:rsidRPr="00810596">
        <w:t xml:space="preserve"> is effective in adults and adolescents with haemophilia A. In the pivotal Phase </w:t>
      </w:r>
      <w:r w:rsidR="00810596">
        <w:t>III</w:t>
      </w:r>
      <w:r w:rsidRPr="00810596">
        <w:t xml:space="preserve"> study, there were 757 bleeding episodes </w:t>
      </w:r>
      <w:r w:rsidR="00B50578">
        <w:t xml:space="preserve">(in 106 patients) </w:t>
      </w:r>
      <w:r w:rsidRPr="00810596">
        <w:t xml:space="preserve">of which 97.8% were controlled with </w:t>
      </w:r>
      <w:r w:rsidR="00B8129C">
        <w:t>≤</w:t>
      </w:r>
      <w:r w:rsidR="00810596">
        <w:t xml:space="preserve"> </w:t>
      </w:r>
      <w:r w:rsidRPr="00810596">
        <w:t xml:space="preserve">2 </w:t>
      </w:r>
      <w:proofErr w:type="spellStart"/>
      <w:r w:rsidRPr="00810596">
        <w:t>rFVIIIFc</w:t>
      </w:r>
      <w:proofErr w:type="spellEnd"/>
      <w:r w:rsidRPr="00810596">
        <w:t xml:space="preserve"> injections (87.3% with one injection) with a total median dose </w:t>
      </w:r>
      <w:r w:rsidR="00B50578">
        <w:t xml:space="preserve">per injection </w:t>
      </w:r>
      <w:r w:rsidRPr="00810596">
        <w:t>of 28 IU/kg. A total of 78.1% of patients evaluated the response to the first injec</w:t>
      </w:r>
      <w:r w:rsidR="00810596">
        <w:t>tion as excellent or good. The i</w:t>
      </w:r>
      <w:r w:rsidRPr="00810596">
        <w:t>nvestigators’ global assessment of response was rated as excellent or effective for 99.3% of the patient visits. Prophylactic treatment was more effective than episodic treatment. In Arm 1 of the pivotal study (prophylaxis tailored to FVIII trough levels), 45.3% of patients had no bleeding episodes during the efficacy period with a 92% reduction (p</w:t>
      </w:r>
      <w:r w:rsidR="00810596">
        <w:t xml:space="preserve"> </w:t>
      </w:r>
      <w:r w:rsidR="00B8129C">
        <w:t>&lt;</w:t>
      </w:r>
      <w:r w:rsidR="00810596">
        <w:t xml:space="preserve"> </w:t>
      </w:r>
      <w:r w:rsidRPr="00810596">
        <w:t xml:space="preserve">0.001) in annualised bleeding rate compared with Arm 3 (the episodic treatment group). Single dose weekly prophylaxis was less effective than tailored prophylaxis </w:t>
      </w:r>
      <w:r w:rsidRPr="00E63CC2">
        <w:t>but 14.5%</w:t>
      </w:r>
      <w:r w:rsidRPr="00810596">
        <w:t xml:space="preserve"> of patients in Arm 2 had no bleeding episodes during the study. Nine major surgeries were performed in nine patients during the study. The response to </w:t>
      </w:r>
      <w:proofErr w:type="spellStart"/>
      <w:r w:rsidRPr="00810596">
        <w:t>rFVIIIFc</w:t>
      </w:r>
      <w:proofErr w:type="spellEnd"/>
      <w:r w:rsidRPr="00810596">
        <w:t xml:space="preserve"> was excellent in eight cases and good</w:t>
      </w:r>
      <w:r w:rsidR="00001058">
        <w:t xml:space="preserve"> in one case after a single pre</w:t>
      </w:r>
      <w:r w:rsidRPr="00810596">
        <w:t>operative dose to maintain haemostasis (median dose 51.4 IU/kg).</w:t>
      </w:r>
    </w:p>
    <w:p w:rsidR="00283597" w:rsidRPr="00283597" w:rsidRDefault="00283597" w:rsidP="00611B92">
      <w:r w:rsidRPr="00810596">
        <w:lastRenderedPageBreak/>
        <w:t xml:space="preserve">The study conduct was satisfactory and the efficacy results support the use of </w:t>
      </w:r>
      <w:proofErr w:type="spellStart"/>
      <w:r w:rsidRPr="00810596">
        <w:t>rFVIIIFc</w:t>
      </w:r>
      <w:proofErr w:type="spellEnd"/>
      <w:r w:rsidRPr="00810596">
        <w:t xml:space="preserve"> for control of bleeding episode</w:t>
      </w:r>
      <w:r w:rsidR="00B75541">
        <w:t>s, routine prophylaxis and peri</w:t>
      </w:r>
      <w:r w:rsidRPr="00810596">
        <w:t>operative management.</w:t>
      </w:r>
    </w:p>
    <w:p w:rsidR="008E7846" w:rsidRPr="00611B92" w:rsidRDefault="008E7846" w:rsidP="00611B92">
      <w:pPr>
        <w:pStyle w:val="Heading3"/>
      </w:pPr>
      <w:bookmarkStart w:id="104" w:name="_Toc163441378"/>
      <w:bookmarkStart w:id="105" w:name="_Toc196046495"/>
      <w:bookmarkStart w:id="106" w:name="_Toc247691522"/>
      <w:bookmarkStart w:id="107" w:name="_Toc314842505"/>
      <w:bookmarkStart w:id="108" w:name="_Toc412817726"/>
      <w:bookmarkEnd w:id="86"/>
      <w:bookmarkEnd w:id="87"/>
      <w:bookmarkEnd w:id="88"/>
      <w:bookmarkEnd w:id="89"/>
      <w:r w:rsidRPr="002E238E">
        <w:t>Safety</w:t>
      </w:r>
      <w:bookmarkEnd w:id="104"/>
      <w:bookmarkEnd w:id="105"/>
      <w:bookmarkEnd w:id="106"/>
      <w:bookmarkEnd w:id="107"/>
      <w:bookmarkEnd w:id="108"/>
    </w:p>
    <w:p w:rsidR="00283597" w:rsidRPr="00611B92" w:rsidRDefault="00283597" w:rsidP="00611B92">
      <w:pPr>
        <w:pStyle w:val="Heading4"/>
      </w:pPr>
      <w:bookmarkStart w:id="109" w:name="_Toc272414659"/>
      <w:bookmarkStart w:id="110" w:name="_Toc290846284"/>
      <w:bookmarkStart w:id="111" w:name="_Toc368471514"/>
      <w:bookmarkStart w:id="112" w:name="_Toc247691524"/>
      <w:bookmarkStart w:id="113" w:name="_Toc314842508"/>
      <w:bookmarkStart w:id="114" w:name="_Toc196046504"/>
      <w:bookmarkStart w:id="115" w:name="_Toc163441390"/>
      <w:r w:rsidRPr="00283597">
        <w:t>Studies providing evaluable safety data</w:t>
      </w:r>
      <w:bookmarkEnd w:id="109"/>
      <w:bookmarkEnd w:id="110"/>
      <w:bookmarkEnd w:id="111"/>
    </w:p>
    <w:p w:rsidR="00283597" w:rsidRPr="00283597" w:rsidRDefault="00283597" w:rsidP="00611B92">
      <w:bookmarkStart w:id="116" w:name="_Ref268776745"/>
      <w:r w:rsidRPr="00283597">
        <w:t xml:space="preserve">Study 997HA301 provided evaluable safety data. There were few </w:t>
      </w:r>
      <w:r w:rsidR="00001058">
        <w:t>adverse events (</w:t>
      </w:r>
      <w:r w:rsidRPr="00283597">
        <w:t>AEs</w:t>
      </w:r>
      <w:r w:rsidR="00001058">
        <w:t>)</w:t>
      </w:r>
      <w:r w:rsidRPr="00283597">
        <w:t xml:space="preserve"> in the PK study 998HA101 with no </w:t>
      </w:r>
      <w:r w:rsidR="00E93976" w:rsidRPr="00E93976">
        <w:t>serious adverse event</w:t>
      </w:r>
      <w:r w:rsidR="00E93976">
        <w:t>s</w:t>
      </w:r>
      <w:r w:rsidR="00E93976" w:rsidRPr="00E93976">
        <w:t xml:space="preserve"> </w:t>
      </w:r>
      <w:r w:rsidR="00E93976">
        <w:t>(</w:t>
      </w:r>
      <w:r w:rsidRPr="00283597">
        <w:t>SAEs</w:t>
      </w:r>
      <w:r w:rsidR="00E93976">
        <w:t>)</w:t>
      </w:r>
      <w:r w:rsidRPr="00283597">
        <w:t xml:space="preserve"> or deaths. The study contributed less than 0.2% of the total </w:t>
      </w:r>
      <w:proofErr w:type="spellStart"/>
      <w:r w:rsidRPr="00283597">
        <w:t>rFVIIIFc</w:t>
      </w:r>
      <w:proofErr w:type="spellEnd"/>
      <w:r w:rsidRPr="00283597">
        <w:t xml:space="preserve"> exposure and these safety data are not assessed further.</w:t>
      </w:r>
    </w:p>
    <w:p w:rsidR="00283597" w:rsidRPr="00611B92" w:rsidRDefault="00283597" w:rsidP="00611B92">
      <w:pPr>
        <w:pStyle w:val="Heading5"/>
      </w:pPr>
      <w:r w:rsidRPr="00283597">
        <w:t>Pivotal efficacy studies</w:t>
      </w:r>
      <w:bookmarkEnd w:id="116"/>
    </w:p>
    <w:p w:rsidR="00283597" w:rsidRPr="00283597" w:rsidRDefault="00283597" w:rsidP="00611B92">
      <w:r w:rsidRPr="00283597">
        <w:t>In the pivotal efficacy study, the following safety data were collected:</w:t>
      </w:r>
    </w:p>
    <w:p w:rsidR="00283597" w:rsidRPr="00283597" w:rsidRDefault="00283597" w:rsidP="00611B92">
      <w:pPr>
        <w:pStyle w:val="ListBullet"/>
      </w:pPr>
      <w:r w:rsidRPr="00283597">
        <w:t>AEs, SAEs and deaths</w:t>
      </w:r>
      <w:r w:rsidR="00E63CC2">
        <w:t>.</w:t>
      </w:r>
    </w:p>
    <w:p w:rsidR="00283597" w:rsidRPr="00283597" w:rsidRDefault="00283597" w:rsidP="00611B92">
      <w:pPr>
        <w:pStyle w:val="ListBullet"/>
      </w:pPr>
      <w:r w:rsidRPr="00283597">
        <w:t xml:space="preserve">AEs of special interest, including inhibitor development, anaphylaxis, </w:t>
      </w:r>
      <w:r w:rsidRPr="00611B92">
        <w:t>hypersensitivity</w:t>
      </w:r>
      <w:r w:rsidRPr="00283597">
        <w:t xml:space="preserve"> events, serious thrombotic events, or suspected infectious agent transmission were reported to the Sponsor as SAEs irrespective of whether they met the criteria for SAEs.</w:t>
      </w:r>
    </w:p>
    <w:p w:rsidR="00283597" w:rsidRPr="00283597" w:rsidRDefault="00283597" w:rsidP="00611B92">
      <w:pPr>
        <w:pStyle w:val="ListBullet"/>
      </w:pPr>
      <w:r w:rsidRPr="00283597">
        <w:t>Laboratory tests were performed at a central laboratory.</w:t>
      </w:r>
    </w:p>
    <w:p w:rsidR="00283597" w:rsidRPr="00611B92" w:rsidRDefault="00283597" w:rsidP="00611B92">
      <w:pPr>
        <w:pStyle w:val="Heading5"/>
      </w:pPr>
      <w:r w:rsidRPr="00F83B84">
        <w:t>Other studies evaluable for safety only</w:t>
      </w:r>
    </w:p>
    <w:p w:rsidR="00283597" w:rsidRPr="00611B92" w:rsidRDefault="00F83B84" w:rsidP="00611B92">
      <w:pPr>
        <w:pStyle w:val="Heading6"/>
      </w:pPr>
      <w:bookmarkStart w:id="117" w:name="_Toc290846278"/>
      <w:bookmarkStart w:id="118" w:name="_Toc368471515"/>
      <w:r w:rsidRPr="00F83B84">
        <w:t>Study 8HA02PED</w:t>
      </w:r>
      <w:bookmarkEnd w:id="117"/>
      <w:bookmarkEnd w:id="118"/>
    </w:p>
    <w:p w:rsidR="003F7EA9" w:rsidRDefault="00B8129C" w:rsidP="00611B92">
      <w:r>
        <w:t>Study 8HA02PED is a</w:t>
      </w:r>
      <w:r w:rsidR="007B31EC">
        <w:t xml:space="preserve">n open </w:t>
      </w:r>
      <w:r w:rsidR="00F83B84" w:rsidRPr="00F83B84">
        <w:t xml:space="preserve">label, multicentre evaluation of the efficacy, safety and PK of </w:t>
      </w:r>
      <w:proofErr w:type="spellStart"/>
      <w:r w:rsidR="00F83B84" w:rsidRPr="00F83B84">
        <w:t>rFVIIIFc</w:t>
      </w:r>
      <w:proofErr w:type="spellEnd"/>
      <w:r w:rsidR="00F83B84" w:rsidRPr="00F83B84">
        <w:t xml:space="preserve"> for routine prophylaxis in paediatric </w:t>
      </w:r>
      <w:r w:rsidR="00F83B84">
        <w:t>PTPs</w:t>
      </w:r>
      <w:r w:rsidR="00F83B84" w:rsidRPr="00F83B84">
        <w:t xml:space="preserve"> with haemophilia A.</w:t>
      </w:r>
      <w:r w:rsidR="00F83B84">
        <w:t xml:space="preserve"> </w:t>
      </w:r>
      <w:r w:rsidR="00812EC3" w:rsidRPr="00812EC3">
        <w:t>The first patient was enrolled in August 2012 and the study is still ongoing. The cut-off point for this interim analysis was January 2013. The data have been used for evaluation of SAEs and AEs of special interest and no efficacy data have been analysed.</w:t>
      </w:r>
    </w:p>
    <w:p w:rsidR="00812EC3" w:rsidRDefault="00812EC3" w:rsidP="00611B92">
      <w:r w:rsidRPr="00812EC3">
        <w:t xml:space="preserve">The primary objective of the study is to evaluate the safety of </w:t>
      </w:r>
      <w:proofErr w:type="spellStart"/>
      <w:r w:rsidRPr="00812EC3">
        <w:t>rFVIIIFc</w:t>
      </w:r>
      <w:proofErr w:type="spellEnd"/>
      <w:r w:rsidRPr="00812EC3">
        <w:t xml:space="preserve"> in paediatric PTPs with haemophilia A. </w:t>
      </w:r>
      <w:r w:rsidR="00F83B84" w:rsidRPr="00F83B84">
        <w:t xml:space="preserve">The primary endpoint of the study is the frequency </w:t>
      </w:r>
      <w:r w:rsidR="00F83B84" w:rsidRPr="007B31EC">
        <w:t>of inhibitor development</w:t>
      </w:r>
      <w:r w:rsidR="00F83B84" w:rsidRPr="00F83B84">
        <w:t>.</w:t>
      </w:r>
    </w:p>
    <w:p w:rsidR="00812EC3" w:rsidRPr="00511DB9" w:rsidRDefault="00812EC3" w:rsidP="00611B92">
      <w:r w:rsidRPr="00511DB9">
        <w:t xml:space="preserve">At the cut-off point, 33 patients have been enrolled into the study and 23 have received at least one dose of </w:t>
      </w:r>
      <w:proofErr w:type="spellStart"/>
      <w:r w:rsidRPr="00511DB9">
        <w:t>rFVIIIFc</w:t>
      </w:r>
      <w:proofErr w:type="spellEnd"/>
      <w:r w:rsidRPr="00511DB9">
        <w:t xml:space="preserve">. Patient demographics </w:t>
      </w:r>
      <w:r>
        <w:t>were provided</w:t>
      </w:r>
      <w:r w:rsidRPr="00511DB9">
        <w:t>. Of the 33 patients, 33% were &lt;</w:t>
      </w:r>
      <w:r>
        <w:t> </w:t>
      </w:r>
      <w:r w:rsidRPr="00511DB9">
        <w:t>6</w:t>
      </w:r>
      <w:r>
        <w:t> </w:t>
      </w:r>
      <w:r w:rsidRPr="00511DB9">
        <w:t>years old and the remainder were aged in the range 6 to 12 years. The majority of patients were White (58%) and 21% were Black.</w:t>
      </w:r>
    </w:p>
    <w:p w:rsidR="00812EC3" w:rsidRPr="007B31EC" w:rsidRDefault="00812EC3" w:rsidP="00611B92">
      <w:r w:rsidRPr="00511DB9">
        <w:t>To date, no deaths have been reported. One treatment emergent SAE has been reported: a device-related infection considered unrelated to treatment.</w:t>
      </w:r>
    </w:p>
    <w:p w:rsidR="007B31EC" w:rsidRDefault="007B31EC" w:rsidP="00611B92">
      <w:pPr>
        <w:pStyle w:val="Heading6"/>
      </w:pPr>
      <w:bookmarkStart w:id="119" w:name="_Toc368471516"/>
      <w:r w:rsidRPr="007B31EC">
        <w:t>Study 8HA01EXT</w:t>
      </w:r>
      <w:bookmarkEnd w:id="119"/>
    </w:p>
    <w:p w:rsidR="00A93EB0" w:rsidRDefault="007B31EC" w:rsidP="00611B92">
      <w:r w:rsidRPr="007B31EC">
        <w:t>This is a</w:t>
      </w:r>
      <w:r>
        <w:t>n extension study to the Phase III</w:t>
      </w:r>
      <w:r w:rsidRPr="007B31EC">
        <w:t xml:space="preserve"> study 997HA301 and the paediatric study 8HA02PED. </w:t>
      </w:r>
      <w:r>
        <w:t xml:space="preserve">It is an open </w:t>
      </w:r>
      <w:r w:rsidRPr="007B31EC">
        <w:t>label, multicentre evaluation of t</w:t>
      </w:r>
      <w:r w:rsidR="00001058">
        <w:t xml:space="preserve">he long </w:t>
      </w:r>
      <w:r w:rsidRPr="007B31EC">
        <w:t xml:space="preserve">term safety and efficacy of </w:t>
      </w:r>
      <w:proofErr w:type="spellStart"/>
      <w:r w:rsidRPr="007B31EC">
        <w:t>rFVIIIFc</w:t>
      </w:r>
      <w:proofErr w:type="spellEnd"/>
      <w:r w:rsidRPr="007B31EC">
        <w:t xml:space="preserve"> f</w:t>
      </w:r>
      <w:r>
        <w:t xml:space="preserve">or prophylaxis and episodic (on </w:t>
      </w:r>
      <w:r w:rsidRPr="007B31EC">
        <w:t xml:space="preserve">demand) treatment of bleeding episodes in </w:t>
      </w:r>
      <w:r>
        <w:t>PTPs</w:t>
      </w:r>
      <w:r w:rsidRPr="007B31EC">
        <w:t xml:space="preserve"> with haemophilia A.</w:t>
      </w:r>
      <w:r>
        <w:t xml:space="preserve"> </w:t>
      </w:r>
      <w:r w:rsidR="007C4B2F">
        <w:t>The</w:t>
      </w:r>
      <w:r w:rsidRPr="007B31EC">
        <w:t xml:space="preserve"> study is still ongoing. </w:t>
      </w:r>
      <w:r w:rsidR="00A93EB0" w:rsidRPr="00A93EB0">
        <w:t xml:space="preserve">The primary objective of the study is to evaluate the long-term safety of </w:t>
      </w:r>
      <w:proofErr w:type="spellStart"/>
      <w:r w:rsidR="00A93EB0" w:rsidRPr="00A93EB0">
        <w:t>rFVIIIFc</w:t>
      </w:r>
      <w:proofErr w:type="spellEnd"/>
      <w:r w:rsidR="00A93EB0" w:rsidRPr="00A93EB0">
        <w:t xml:space="preserve">. The secondary objective is to evaluate the efficacy of </w:t>
      </w:r>
      <w:proofErr w:type="spellStart"/>
      <w:r w:rsidR="00A93EB0" w:rsidRPr="00A93EB0">
        <w:t>rFVIIIFc</w:t>
      </w:r>
      <w:proofErr w:type="spellEnd"/>
      <w:r w:rsidR="00A93EB0" w:rsidRPr="00A93EB0">
        <w:t xml:space="preserve"> in the prevention and treatment of bleeding episodes.</w:t>
      </w:r>
    </w:p>
    <w:p w:rsidR="00A93EB0" w:rsidRDefault="00A93EB0" w:rsidP="00611B92">
      <w:r w:rsidRPr="00EE40F2">
        <w:t xml:space="preserve">As of 7 January 2013, 150 patients from 997HA301 were enrolled and received at least one dose of </w:t>
      </w:r>
      <w:proofErr w:type="spellStart"/>
      <w:r w:rsidRPr="00EE40F2">
        <w:t>rFVIIIFc</w:t>
      </w:r>
      <w:proofErr w:type="spellEnd"/>
      <w:r w:rsidRPr="00EE40F2">
        <w:t>, 95 of whom completed the first 6 month safety visit.</w:t>
      </w:r>
    </w:p>
    <w:p w:rsidR="007C4B2F" w:rsidRPr="007C4B2F" w:rsidRDefault="007C4B2F" w:rsidP="00611B92">
      <w:r w:rsidRPr="007C4B2F">
        <w:t>No AE data have been a</w:t>
      </w:r>
      <w:r w:rsidR="00D930C2">
        <w:t xml:space="preserve">nalysed at the January 2013 cut </w:t>
      </w:r>
      <w:r w:rsidRPr="007C4B2F">
        <w:t xml:space="preserve">off. There were no deaths. There were 10 SAEs reported by 8 patients all of which were considered unrelated to study treatment. There were no AEs of special interest (inhibitors, anaphylaxis, serious </w:t>
      </w:r>
      <w:r w:rsidRPr="007C4B2F">
        <w:lastRenderedPageBreak/>
        <w:t xml:space="preserve">hypersensitivity or thrombotic events). No unique safety features were identified in the </w:t>
      </w:r>
      <w:proofErr w:type="gramStart"/>
      <w:r w:rsidRPr="007C4B2F">
        <w:t>adolescent</w:t>
      </w:r>
      <w:proofErr w:type="gramEnd"/>
      <w:r w:rsidRPr="007C4B2F">
        <w:t xml:space="preserve"> group.</w:t>
      </w:r>
    </w:p>
    <w:p w:rsidR="00605AD4" w:rsidRPr="00611B92" w:rsidRDefault="00605AD4" w:rsidP="00611B92">
      <w:pPr>
        <w:pStyle w:val="Heading4"/>
      </w:pPr>
      <w:r w:rsidRPr="00605AD4">
        <w:t>Patient exposure</w:t>
      </w:r>
    </w:p>
    <w:p w:rsidR="00C27F10" w:rsidRPr="00C27F10" w:rsidRDefault="00C27F10" w:rsidP="00611B92">
      <w:r w:rsidRPr="00C27F10">
        <w:t>Patient exposure data ar</w:t>
      </w:r>
      <w:r w:rsidR="009E7660">
        <w:t>e limited to the pivotal Phase III</w:t>
      </w:r>
      <w:r w:rsidR="00A93EB0">
        <w:t xml:space="preserve"> Study 997HA301. The extension S</w:t>
      </w:r>
      <w:r w:rsidRPr="00C27F10">
        <w:t>tudies 8HA01EXT and 8HA02PE</w:t>
      </w:r>
      <w:r w:rsidR="00A93EB0">
        <w:t xml:space="preserve">D are still ongoing and </w:t>
      </w:r>
      <w:r w:rsidR="00CA23EF">
        <w:t xml:space="preserve">the </w:t>
      </w:r>
      <w:proofErr w:type="spellStart"/>
      <w:r w:rsidR="00CA23EF">
        <w:t>PK</w:t>
      </w:r>
      <w:r w:rsidR="00A93EB0">
        <w:t>S</w:t>
      </w:r>
      <w:r w:rsidRPr="00C27F10">
        <w:t>tudy</w:t>
      </w:r>
      <w:proofErr w:type="spellEnd"/>
      <w:r w:rsidRPr="00C27F10">
        <w:t xml:space="preserve"> </w:t>
      </w:r>
      <w:r w:rsidR="00CA23EF" w:rsidRPr="00CA23EF">
        <w:t>CPP-12-026-BIIB031</w:t>
      </w:r>
      <w:r w:rsidRPr="00C27F10">
        <w:t xml:space="preserve"> contributed less than 0.2% of the overall exposure data. Exposure in the p</w:t>
      </w:r>
      <w:r w:rsidR="009E7660">
        <w:t>ivotal study is shown in Table 2 and Table 3</w:t>
      </w:r>
      <w:r w:rsidRPr="00C27F10">
        <w:t xml:space="preserve">. A total of 164 patients received at least one dose of </w:t>
      </w:r>
      <w:proofErr w:type="spellStart"/>
      <w:r w:rsidRPr="00C27F10">
        <w:t>rFVIIIFc</w:t>
      </w:r>
      <w:proofErr w:type="spellEnd"/>
      <w:r w:rsidRPr="00C27F10">
        <w:t xml:space="preserve"> for a median duration of 30.5 weeks (range </w:t>
      </w:r>
      <w:r w:rsidR="00D930C2">
        <w:t>&lt;</w:t>
      </w:r>
      <w:r w:rsidR="00810596">
        <w:t xml:space="preserve"> </w:t>
      </w:r>
      <w:r w:rsidRPr="00C27F10">
        <w:t xml:space="preserve">1 to 54 weeks). Overall, 97.0%, 89.0%, 14.0% and 3.7% of patients received treatment for at least 13, 26, 39 and 52 weeks, respectively. </w:t>
      </w:r>
      <w:r w:rsidR="00AE4A7C">
        <w:t>For all dosed patients t</w:t>
      </w:r>
      <w:r w:rsidRPr="00C27F10">
        <w:t xml:space="preserve">he median total </w:t>
      </w:r>
      <w:r w:rsidR="00532DB2" w:rsidRPr="00532DB2">
        <w:t>exposure day</w:t>
      </w:r>
      <w:r w:rsidR="00532DB2">
        <w:t>s</w:t>
      </w:r>
      <w:r w:rsidR="00532DB2" w:rsidRPr="00532DB2">
        <w:t xml:space="preserve"> </w:t>
      </w:r>
      <w:r w:rsidR="00532DB2">
        <w:t>(</w:t>
      </w:r>
      <w:r w:rsidRPr="00C27F10">
        <w:t>EDs</w:t>
      </w:r>
      <w:r w:rsidR="00532DB2">
        <w:t>)</w:t>
      </w:r>
      <w:r w:rsidRPr="00C27F10">
        <w:t xml:space="preserve"> was 57 (range 1 to 123), with 111 patients having </w:t>
      </w:r>
      <w:r w:rsidR="00001058">
        <w:t>≥</w:t>
      </w:r>
      <w:r w:rsidR="00810596">
        <w:t xml:space="preserve"> </w:t>
      </w:r>
      <w:r w:rsidRPr="00C27F10">
        <w:t xml:space="preserve">50 </w:t>
      </w:r>
      <w:proofErr w:type="spellStart"/>
      <w:r w:rsidRPr="00C27F10">
        <w:t>EDs.</w:t>
      </w:r>
      <w:proofErr w:type="spellEnd"/>
      <w:r w:rsidRPr="00C27F10">
        <w:t xml:space="preserve"> The mean total number of injections given was 57 (range 1 to 136).</w:t>
      </w:r>
    </w:p>
    <w:p w:rsidR="00C27F10" w:rsidRPr="00AF620D" w:rsidRDefault="009E7660" w:rsidP="00611B92">
      <w:pPr>
        <w:pStyle w:val="TableTitle"/>
      </w:pPr>
      <w:r>
        <w:t>Table 2</w:t>
      </w:r>
      <w:r w:rsidR="00C27F10" w:rsidRPr="00AF620D">
        <w:t xml:space="preserve">: </w:t>
      </w:r>
      <w:r w:rsidR="00440372">
        <w:t xml:space="preserve">Study 997HA301. </w:t>
      </w:r>
      <w:r w:rsidR="00C27F10" w:rsidRPr="00AF620D">
        <w:t xml:space="preserve">Duration of dosing with </w:t>
      </w:r>
      <w:proofErr w:type="spellStart"/>
      <w:r w:rsidR="00C27F10" w:rsidRPr="00AF620D">
        <w:t>rFVIIIFc</w:t>
      </w:r>
      <w:proofErr w:type="spellEnd"/>
      <w:r w:rsidR="00C27F10" w:rsidRPr="00AF620D">
        <w:t xml:space="preserve"> safety analysis set.</w:t>
      </w:r>
    </w:p>
    <w:p w:rsidR="00C27F10" w:rsidRPr="00AF620D" w:rsidRDefault="00C27F10" w:rsidP="00611B92">
      <w:r w:rsidRPr="00AF620D">
        <w:rPr>
          <w:noProof/>
          <w:lang w:eastAsia="en-AU"/>
        </w:rPr>
        <w:drawing>
          <wp:inline distT="0" distB="0" distL="0" distR="0" wp14:anchorId="30AFE558" wp14:editId="66FE260D">
            <wp:extent cx="5727700" cy="2002790"/>
            <wp:effectExtent l="0" t="0" r="6350" b="0"/>
            <wp:docPr id="12" name="Picture 12" descr="Table 2: Duration of dosing with rFVIIIFc safety analysis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9">
                      <a:extLst>
                        <a:ext uri="{28A0092B-C50C-407E-A947-70E740481C1C}">
                          <a14:useLocalDpi xmlns:a14="http://schemas.microsoft.com/office/drawing/2010/main" val="0"/>
                        </a:ext>
                      </a:extLst>
                    </a:blip>
                    <a:srcRect t="20006"/>
                    <a:stretch>
                      <a:fillRect/>
                    </a:stretch>
                  </pic:blipFill>
                  <pic:spPr bwMode="auto">
                    <a:xfrm>
                      <a:off x="0" y="0"/>
                      <a:ext cx="5727700" cy="2002790"/>
                    </a:xfrm>
                    <a:prstGeom prst="rect">
                      <a:avLst/>
                    </a:prstGeom>
                    <a:noFill/>
                    <a:ln>
                      <a:noFill/>
                    </a:ln>
                  </pic:spPr>
                </pic:pic>
              </a:graphicData>
            </a:graphic>
          </wp:inline>
        </w:drawing>
      </w:r>
    </w:p>
    <w:p w:rsidR="00C27F10" w:rsidRPr="00611B92" w:rsidRDefault="009E7660" w:rsidP="00611B92">
      <w:pPr>
        <w:pStyle w:val="TableTitle"/>
      </w:pPr>
      <w:r>
        <w:t>Table 3</w:t>
      </w:r>
      <w:r w:rsidR="00C27F10" w:rsidRPr="00AF620D">
        <w:t xml:space="preserve">: </w:t>
      </w:r>
      <w:r w:rsidR="006D5B55" w:rsidRPr="006D5B55">
        <w:t xml:space="preserve">Study 997HA301. </w:t>
      </w:r>
      <w:proofErr w:type="gramStart"/>
      <w:r w:rsidR="00C27F10" w:rsidRPr="00AF620D">
        <w:t>Exposure data.</w:t>
      </w:r>
      <w:proofErr w:type="gramEnd"/>
      <w:r w:rsidR="00C27F10" w:rsidRPr="00AF620D">
        <w:t xml:space="preserve"> </w:t>
      </w:r>
      <w:proofErr w:type="gramStart"/>
      <w:r w:rsidR="00C27F10" w:rsidRPr="00AF620D">
        <w:t xml:space="preserve">Summary of injections and days of exposure to </w:t>
      </w:r>
      <w:proofErr w:type="spellStart"/>
      <w:r w:rsidR="00C27F10" w:rsidRPr="00AF620D">
        <w:t>rFVIIIFc</w:t>
      </w:r>
      <w:proofErr w:type="spellEnd"/>
      <w:r w:rsidR="00C27F10" w:rsidRPr="00AF620D">
        <w:t>.</w:t>
      </w:r>
      <w:proofErr w:type="gramEnd"/>
      <w:r w:rsidR="00C27F10" w:rsidRPr="00AF620D">
        <w:t xml:space="preserve"> Safety analysis set.</w:t>
      </w:r>
    </w:p>
    <w:p w:rsidR="00C27F10" w:rsidRPr="00C27F10" w:rsidRDefault="00C27F10" w:rsidP="00611B92">
      <w:r w:rsidRPr="00AF620D">
        <w:rPr>
          <w:noProof/>
          <w:lang w:eastAsia="en-AU"/>
        </w:rPr>
        <w:drawing>
          <wp:inline distT="0" distB="0" distL="0" distR="0" wp14:anchorId="3F06ACB2" wp14:editId="7E1BF8AF">
            <wp:extent cx="5619023" cy="2671665"/>
            <wp:effectExtent l="0" t="0" r="1270" b="0"/>
            <wp:docPr id="13" name="Picture 13" descr="Table 3: Exposure data. Summary of injections and days of exposure to rFVIIIFc. Safety analysis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0">
                      <a:extLst>
                        <a:ext uri="{28A0092B-C50C-407E-A947-70E740481C1C}">
                          <a14:useLocalDpi xmlns:a14="http://schemas.microsoft.com/office/drawing/2010/main" val="0"/>
                        </a:ext>
                      </a:extLst>
                    </a:blip>
                    <a:srcRect t="16748"/>
                    <a:stretch>
                      <a:fillRect/>
                    </a:stretch>
                  </pic:blipFill>
                  <pic:spPr bwMode="auto">
                    <a:xfrm>
                      <a:off x="0" y="0"/>
                      <a:ext cx="5628344" cy="2676097"/>
                    </a:xfrm>
                    <a:prstGeom prst="rect">
                      <a:avLst/>
                    </a:prstGeom>
                    <a:noFill/>
                    <a:ln>
                      <a:noFill/>
                    </a:ln>
                  </pic:spPr>
                </pic:pic>
              </a:graphicData>
            </a:graphic>
          </wp:inline>
        </w:drawing>
      </w:r>
    </w:p>
    <w:p w:rsidR="00605AD4" w:rsidRDefault="00605AD4" w:rsidP="00611B92">
      <w:pPr>
        <w:pStyle w:val="Heading4"/>
      </w:pPr>
      <w:r w:rsidRPr="00605AD4">
        <w:t xml:space="preserve">Safety issues with the potential for </w:t>
      </w:r>
      <w:r w:rsidRPr="00611B92">
        <w:t>major</w:t>
      </w:r>
      <w:r w:rsidRPr="00605AD4">
        <w:t xml:space="preserve"> regulatory </w:t>
      </w:r>
      <w:r w:rsidRPr="0077015F">
        <w:t>impact</w:t>
      </w:r>
    </w:p>
    <w:p w:rsidR="00C27F10" w:rsidRPr="00611B92" w:rsidRDefault="00C27F10" w:rsidP="00611B92">
      <w:pPr>
        <w:pStyle w:val="Heading5"/>
      </w:pPr>
      <w:bookmarkStart w:id="120" w:name="_Toc272414681"/>
      <w:bookmarkStart w:id="121" w:name="_Toc290846319"/>
      <w:bookmarkStart w:id="122" w:name="_Toc368471549"/>
      <w:r w:rsidRPr="00C27F10">
        <w:t>Liver toxicity</w:t>
      </w:r>
      <w:bookmarkEnd w:id="120"/>
      <w:bookmarkEnd w:id="121"/>
      <w:bookmarkEnd w:id="122"/>
    </w:p>
    <w:p w:rsidR="00C27F10" w:rsidRPr="00C27F10" w:rsidRDefault="00C27F10" w:rsidP="00611B92">
      <w:r w:rsidRPr="00C27F10">
        <w:t>No issues identified.</w:t>
      </w:r>
    </w:p>
    <w:p w:rsidR="00C27F10" w:rsidRPr="00611B92" w:rsidRDefault="00C27F10" w:rsidP="00611B92">
      <w:pPr>
        <w:pStyle w:val="Heading5"/>
      </w:pPr>
      <w:bookmarkStart w:id="123" w:name="_Toc272414682"/>
      <w:bookmarkStart w:id="124" w:name="_Toc290846320"/>
      <w:bookmarkStart w:id="125" w:name="_Toc368471550"/>
      <w:r w:rsidRPr="00C27F10">
        <w:lastRenderedPageBreak/>
        <w:t>Haematological toxicity</w:t>
      </w:r>
      <w:bookmarkEnd w:id="123"/>
      <w:bookmarkEnd w:id="124"/>
      <w:bookmarkEnd w:id="125"/>
    </w:p>
    <w:p w:rsidR="00C27F10" w:rsidRPr="00C27F10" w:rsidRDefault="00C27F10" w:rsidP="00611B92">
      <w:r w:rsidRPr="00C27F10">
        <w:t>No issues identified.</w:t>
      </w:r>
    </w:p>
    <w:p w:rsidR="00C27F10" w:rsidRPr="00611B92" w:rsidRDefault="00C27F10" w:rsidP="00611B92">
      <w:pPr>
        <w:pStyle w:val="Heading5"/>
      </w:pPr>
      <w:bookmarkStart w:id="126" w:name="_Toc272414683"/>
      <w:bookmarkStart w:id="127" w:name="_Toc290846321"/>
      <w:bookmarkStart w:id="128" w:name="_Toc368471551"/>
      <w:r w:rsidRPr="00C27F10">
        <w:t>Serious skin reactions</w:t>
      </w:r>
      <w:bookmarkEnd w:id="126"/>
      <w:bookmarkEnd w:id="127"/>
      <w:bookmarkEnd w:id="128"/>
    </w:p>
    <w:p w:rsidR="00C27F10" w:rsidRPr="00C27F10" w:rsidRDefault="00C27F10" w:rsidP="00611B92">
      <w:r w:rsidRPr="00C27F10">
        <w:t>No issues identified.</w:t>
      </w:r>
    </w:p>
    <w:p w:rsidR="00C27F10" w:rsidRPr="00611B92" w:rsidRDefault="00C27F10" w:rsidP="00611B92">
      <w:pPr>
        <w:pStyle w:val="Heading5"/>
      </w:pPr>
      <w:bookmarkStart w:id="129" w:name="_Toc272414684"/>
      <w:bookmarkStart w:id="130" w:name="_Toc290846322"/>
      <w:bookmarkStart w:id="131" w:name="_Toc368471552"/>
      <w:r w:rsidRPr="00C27F10">
        <w:t>Cardiovascular safety</w:t>
      </w:r>
      <w:bookmarkEnd w:id="129"/>
      <w:bookmarkEnd w:id="130"/>
      <w:bookmarkEnd w:id="131"/>
    </w:p>
    <w:p w:rsidR="00C27F10" w:rsidRPr="00C27F10" w:rsidRDefault="00C27F10" w:rsidP="00611B92">
      <w:r w:rsidRPr="00C27F10">
        <w:t>No issues identified.</w:t>
      </w:r>
    </w:p>
    <w:p w:rsidR="00C27F10" w:rsidRPr="00C27F10" w:rsidRDefault="00C27F10" w:rsidP="00611B92">
      <w:pPr>
        <w:pStyle w:val="Heading5"/>
      </w:pPr>
      <w:bookmarkStart w:id="132" w:name="_Toc241374323"/>
      <w:bookmarkStart w:id="133" w:name="_Toc272414685"/>
      <w:bookmarkStart w:id="134" w:name="_Toc290846323"/>
      <w:bookmarkStart w:id="135" w:name="_Toc368471553"/>
      <w:r w:rsidRPr="00C27F10">
        <w:t xml:space="preserve">Unwanted </w:t>
      </w:r>
      <w:r w:rsidRPr="00611B92">
        <w:t>immunological</w:t>
      </w:r>
      <w:r w:rsidRPr="00C27F10">
        <w:t xml:space="preserve"> events</w:t>
      </w:r>
      <w:bookmarkEnd w:id="132"/>
      <w:bookmarkEnd w:id="133"/>
      <w:bookmarkEnd w:id="134"/>
      <w:bookmarkEnd w:id="135"/>
    </w:p>
    <w:p w:rsidR="00C27F10" w:rsidRPr="00C27F10" w:rsidRDefault="00C27F10" w:rsidP="00611B92">
      <w:r w:rsidRPr="00C27F10">
        <w:t>No issues identified.</w:t>
      </w:r>
    </w:p>
    <w:p w:rsidR="00605AD4" w:rsidRPr="00605AD4" w:rsidRDefault="00605AD4" w:rsidP="00611B92">
      <w:pPr>
        <w:pStyle w:val="Heading4"/>
      </w:pPr>
      <w:r w:rsidRPr="00605AD4">
        <w:t>Evaluator’s conclusions on safety</w:t>
      </w:r>
    </w:p>
    <w:p w:rsidR="00605AD4" w:rsidRPr="00605AD4" w:rsidRDefault="00C27F10" w:rsidP="00611B92">
      <w:r w:rsidRPr="00C27F10">
        <w:t xml:space="preserve">In general, </w:t>
      </w:r>
      <w:proofErr w:type="spellStart"/>
      <w:r w:rsidRPr="00C27F10">
        <w:t>rFVIIIFc</w:t>
      </w:r>
      <w:proofErr w:type="spellEnd"/>
      <w:r w:rsidRPr="00C27F10">
        <w:t xml:space="preserve"> was well tolerated. In the single pivotal Phase </w:t>
      </w:r>
      <w:r w:rsidR="00810596">
        <w:t>III</w:t>
      </w:r>
      <w:r w:rsidRPr="00C27F10">
        <w:t xml:space="preserve"> study, 164 previously treated adult and adolescent patients with haemophilia A received at least one dose of </w:t>
      </w:r>
      <w:proofErr w:type="spellStart"/>
      <w:r w:rsidRPr="00C27F10">
        <w:t>rFVIIIFc</w:t>
      </w:r>
      <w:proofErr w:type="spellEnd"/>
      <w:r w:rsidRPr="00C27F10">
        <w:t>. The study was sufficient in size to adequately assess the risk of inhibitor formation and very common or common AEs. A total of 146 patients have been treated f</w:t>
      </w:r>
      <w:r w:rsidR="00D930C2">
        <w:t>or at least 26 weeks and a long term extension study is on</w:t>
      </w:r>
      <w:r w:rsidRPr="00C27F10">
        <w:t>going. There was no placebo control group but the types and incidence of AEs were consistent with those expected in the haemophilia population. With the exception of arthralgia recorded in 7.9% of patients, the most common AEs [</w:t>
      </w:r>
      <w:proofErr w:type="spellStart"/>
      <w:r w:rsidRPr="00C27F10">
        <w:t>nasopharyngitis</w:t>
      </w:r>
      <w:proofErr w:type="spellEnd"/>
      <w:r w:rsidRPr="00C27F10">
        <w:t xml:space="preserve"> (12.2%), headache (7.9%) and </w:t>
      </w:r>
      <w:r w:rsidR="005F1AE3" w:rsidRPr="005F1AE3">
        <w:t xml:space="preserve">upper respiratory tract infection </w:t>
      </w:r>
      <w:r w:rsidR="005F1AE3">
        <w:t>(</w:t>
      </w:r>
      <w:r w:rsidRPr="00C27F10">
        <w:t>URTI</w:t>
      </w:r>
      <w:r w:rsidR="005F1AE3">
        <w:t>)</w:t>
      </w:r>
      <w:r w:rsidRPr="00C27F10">
        <w:t xml:space="preserve"> (5.5%)] are commonly repor</w:t>
      </w:r>
      <w:r w:rsidR="00D930C2">
        <w:t xml:space="preserve">ted in the general population. </w:t>
      </w:r>
      <w:r w:rsidRPr="00C27F10">
        <w:t xml:space="preserve">No deaths or SAEs were considered related to </w:t>
      </w:r>
      <w:proofErr w:type="spellStart"/>
      <w:r w:rsidRPr="00C27F10">
        <w:t>rFVIIIFc</w:t>
      </w:r>
      <w:proofErr w:type="spellEnd"/>
      <w:r w:rsidRPr="00C27F10">
        <w:t xml:space="preserve"> treatment by Investigators. The pattern of infections was unremarkable and there was no evidence of immune compromise or increased risk of infection. The AE profile in patients with underlying HIV/HCV was similar to the rest of the patient population. Safety in adolescents appeared similar to that of the adults and there appeared to be no effects related to race, BMI or geographic region. There were no meaningful patterns or trends in clinical chemistry, haematology or vital signs. No patient developed an inhibitor or other AEs of special interest. Target organ toxicity is not a feature of biologics but there were no cases of anaphylaxis or hypersensitivity reactions. In keeping with the orphan population, limited patient numbers have been treated but no safety signals have been detected to date.</w:t>
      </w:r>
    </w:p>
    <w:p w:rsidR="00605AD4" w:rsidRPr="00611B92" w:rsidRDefault="00605AD4" w:rsidP="00611B92">
      <w:pPr>
        <w:pStyle w:val="Heading3"/>
        <w:rPr>
          <w:rFonts w:eastAsia="Cambria"/>
        </w:rPr>
      </w:pPr>
      <w:bookmarkStart w:id="136" w:name="_Toc412817727"/>
      <w:r w:rsidRPr="00605AD4">
        <w:rPr>
          <w:rFonts w:eastAsia="Cambria"/>
        </w:rPr>
        <w:t xml:space="preserve">First </w:t>
      </w:r>
      <w:r w:rsidR="002A69FB">
        <w:rPr>
          <w:rFonts w:eastAsia="Cambria"/>
        </w:rPr>
        <w:t>r</w:t>
      </w:r>
      <w:r w:rsidRPr="00605AD4">
        <w:rPr>
          <w:rFonts w:eastAsia="Cambria"/>
        </w:rPr>
        <w:t xml:space="preserve">ound </w:t>
      </w:r>
      <w:r w:rsidR="002A69FB">
        <w:rPr>
          <w:rFonts w:eastAsia="Cambria"/>
        </w:rPr>
        <w:t>b</w:t>
      </w:r>
      <w:r w:rsidRPr="00605AD4">
        <w:rPr>
          <w:rFonts w:eastAsia="Cambria"/>
        </w:rPr>
        <w:t>enefit-</w:t>
      </w:r>
      <w:r w:rsidR="002A69FB">
        <w:rPr>
          <w:rFonts w:eastAsia="Cambria"/>
        </w:rPr>
        <w:t>r</w:t>
      </w:r>
      <w:r w:rsidRPr="00605AD4">
        <w:rPr>
          <w:rFonts w:eastAsia="Cambria"/>
        </w:rPr>
        <w:t xml:space="preserve">isk </w:t>
      </w:r>
      <w:r w:rsidR="002A69FB" w:rsidRPr="002A69FB">
        <w:rPr>
          <w:rFonts w:eastAsia="Cambria"/>
        </w:rPr>
        <w:t>a</w:t>
      </w:r>
      <w:r w:rsidRPr="002A69FB">
        <w:rPr>
          <w:rFonts w:eastAsia="Cambria"/>
        </w:rPr>
        <w:t>ssessment</w:t>
      </w:r>
      <w:bookmarkEnd w:id="136"/>
    </w:p>
    <w:p w:rsidR="00605AD4" w:rsidRPr="00611B92" w:rsidRDefault="00605AD4" w:rsidP="00611B92">
      <w:pPr>
        <w:pStyle w:val="Heading4"/>
      </w:pPr>
      <w:r w:rsidRPr="00605AD4">
        <w:t>First round assessment of benefits</w:t>
      </w:r>
    </w:p>
    <w:p w:rsidR="00C27F10" w:rsidRPr="00C27F10" w:rsidRDefault="00C27F10" w:rsidP="00611B92">
      <w:r w:rsidRPr="00C27F10">
        <w:t xml:space="preserve">The benefits of </w:t>
      </w:r>
      <w:proofErr w:type="spellStart"/>
      <w:r w:rsidR="00B92D81" w:rsidRPr="00B92D81">
        <w:t>Eloctate</w:t>
      </w:r>
      <w:proofErr w:type="spellEnd"/>
      <w:r w:rsidRPr="00C27F10">
        <w:t xml:space="preserve"> in the proposed usage are:</w:t>
      </w:r>
    </w:p>
    <w:p w:rsidR="00C27F10" w:rsidRPr="00C27F10" w:rsidRDefault="00C27F10" w:rsidP="00611B92">
      <w:pPr>
        <w:pStyle w:val="ListBullet"/>
      </w:pPr>
      <w:r w:rsidRPr="00C27F10">
        <w:t xml:space="preserve">Effective control of </w:t>
      </w:r>
      <w:r w:rsidRPr="002A69FB">
        <w:t>bleeding</w:t>
      </w:r>
      <w:r w:rsidRPr="00C27F10">
        <w:t xml:space="preserve"> with 87.3% of acute bleeds controlled with a single injection.</w:t>
      </w:r>
    </w:p>
    <w:p w:rsidR="00C27F10" w:rsidRPr="00C27F10" w:rsidRDefault="00C27F10" w:rsidP="002A69FB">
      <w:pPr>
        <w:pStyle w:val="ListBullet"/>
      </w:pPr>
      <w:r w:rsidRPr="00C27F10">
        <w:t xml:space="preserve">Effective as routine </w:t>
      </w:r>
      <w:r w:rsidRPr="002A69FB">
        <w:t>individualised</w:t>
      </w:r>
      <w:r w:rsidRPr="00C27F10">
        <w:t xml:space="preserve"> prophylaxis with 92% reduction in annualised bleeding r</w:t>
      </w:r>
      <w:r w:rsidR="00D930C2">
        <w:t xml:space="preserve">ates compared with episodic (on </w:t>
      </w:r>
      <w:r w:rsidRPr="00C27F10">
        <w:t>demand) treatment</w:t>
      </w:r>
      <w:r w:rsidR="00AC2BB0">
        <w:t>.</w:t>
      </w:r>
    </w:p>
    <w:p w:rsidR="00C27F10" w:rsidRPr="00C27F10" w:rsidRDefault="00C27F10" w:rsidP="00611B92">
      <w:pPr>
        <w:pStyle w:val="ListBullet"/>
      </w:pPr>
      <w:r w:rsidRPr="00C27F10">
        <w:t xml:space="preserve">Effective as once </w:t>
      </w:r>
      <w:r w:rsidRPr="002A69FB">
        <w:t>weekly</w:t>
      </w:r>
      <w:r w:rsidRPr="00C27F10">
        <w:t xml:space="preserve"> prophylaxis with 76% reduction in annualised bleeding r</w:t>
      </w:r>
      <w:r w:rsidR="00810596">
        <w:t xml:space="preserve">ates compared with episodic (on </w:t>
      </w:r>
      <w:r w:rsidRPr="00C27F10">
        <w:t>demand) treatment.</w:t>
      </w:r>
    </w:p>
    <w:p w:rsidR="00C27F10" w:rsidRPr="00C27F10" w:rsidRDefault="00B75541" w:rsidP="00611B92">
      <w:pPr>
        <w:pStyle w:val="ListBullet"/>
      </w:pPr>
      <w:r>
        <w:t xml:space="preserve">Effective for </w:t>
      </w:r>
      <w:r w:rsidRPr="002A69FB">
        <w:t>peri</w:t>
      </w:r>
      <w:r w:rsidR="00C27F10" w:rsidRPr="002A69FB">
        <w:t>operative</w:t>
      </w:r>
      <w:r w:rsidR="00C27F10" w:rsidRPr="00C27F10">
        <w:t xml:space="preserve"> </w:t>
      </w:r>
      <w:r w:rsidR="00C27F10" w:rsidRPr="00611B92">
        <w:t>management</w:t>
      </w:r>
      <w:r w:rsidR="00C27F10" w:rsidRPr="00C27F10">
        <w:t xml:space="preserve"> with 100%</w:t>
      </w:r>
      <w:r w:rsidR="00D930C2">
        <w:t>,</w:t>
      </w:r>
      <w:r w:rsidR="00C27F10" w:rsidRPr="00C27F10">
        <w:t xml:space="preserve"> excellent or good haemostasis.</w:t>
      </w:r>
    </w:p>
    <w:p w:rsidR="00C27F10" w:rsidRPr="00C27F10" w:rsidRDefault="00BD4E03" w:rsidP="00611B92">
      <w:pPr>
        <w:pStyle w:val="ListBullet"/>
      </w:pPr>
      <w:r>
        <w:t>A long half-life (18.97 h</w:t>
      </w:r>
      <w:r w:rsidR="00EC4E7F">
        <w:rPr>
          <w:rStyle w:val="FootnoteReference"/>
        </w:rPr>
        <w:footnoteReference w:id="12"/>
      </w:r>
      <w:r w:rsidR="00D930C2">
        <w:t xml:space="preserve">), 1.53 </w:t>
      </w:r>
      <w:proofErr w:type="gramStart"/>
      <w:r w:rsidR="00C27F10" w:rsidRPr="00C27F10">
        <w:t>fold</w:t>
      </w:r>
      <w:proofErr w:type="gramEnd"/>
      <w:r w:rsidR="00C27F10" w:rsidRPr="00C27F10">
        <w:t xml:space="preserve"> longer than </w:t>
      </w:r>
      <w:proofErr w:type="spellStart"/>
      <w:r w:rsidR="00C27F10" w:rsidRPr="00C27F10">
        <w:t>Advate</w:t>
      </w:r>
      <w:proofErr w:type="spellEnd"/>
      <w:r w:rsidR="00C27F10" w:rsidRPr="00C27F10">
        <w:t xml:space="preserve"> (</w:t>
      </w:r>
      <w:proofErr w:type="spellStart"/>
      <w:r w:rsidR="00C27F10" w:rsidRPr="00C27F10">
        <w:t>rFVIII</w:t>
      </w:r>
      <w:proofErr w:type="spellEnd"/>
      <w:r w:rsidR="00C27F10" w:rsidRPr="00C27F10">
        <w:t>).</w:t>
      </w:r>
    </w:p>
    <w:p w:rsidR="00C27F10" w:rsidRPr="00C27F10" w:rsidRDefault="00C27F10" w:rsidP="00611B92">
      <w:pPr>
        <w:pStyle w:val="ListBullet"/>
      </w:pPr>
      <w:r w:rsidRPr="00C27F10">
        <w:lastRenderedPageBreak/>
        <w:t xml:space="preserve">Reduced dosing frequency. Almost 90% of patients had a history of requiring three or more prophylaxis injections/week of FVIII before the study, compared with an average dosing interval of 3 days or longer on </w:t>
      </w:r>
      <w:proofErr w:type="spellStart"/>
      <w:r w:rsidRPr="00C27F10">
        <w:t>rFVIIIFc</w:t>
      </w:r>
      <w:proofErr w:type="spellEnd"/>
      <w:r w:rsidRPr="00C27F10">
        <w:t>.</w:t>
      </w:r>
    </w:p>
    <w:p w:rsidR="00C27F10" w:rsidRPr="00C27F10" w:rsidRDefault="00C27F10" w:rsidP="00611B92">
      <w:pPr>
        <w:pStyle w:val="ListBullet"/>
      </w:pPr>
      <w:r w:rsidRPr="00C27F10">
        <w:t xml:space="preserve">Clear dosing recommendations based on </w:t>
      </w:r>
      <w:r w:rsidRPr="00611B92">
        <w:t>population</w:t>
      </w:r>
      <w:r w:rsidRPr="00C27F10">
        <w:t xml:space="preserve"> PK data.</w:t>
      </w:r>
    </w:p>
    <w:p w:rsidR="00C27F10" w:rsidRPr="00C27F10" w:rsidRDefault="00C27F10" w:rsidP="00611B92">
      <w:pPr>
        <w:pStyle w:val="ListBullet"/>
      </w:pPr>
      <w:r w:rsidRPr="00C27F10">
        <w:t xml:space="preserve">No cases of inhibitor formation in 110 patients with at least 50 EDs (upper bound of 95% </w:t>
      </w:r>
      <w:r w:rsidR="00900943" w:rsidRPr="00900943">
        <w:t xml:space="preserve">confidence interval </w:t>
      </w:r>
      <w:r w:rsidR="00900943">
        <w:t>(</w:t>
      </w:r>
      <w:r w:rsidRPr="00C27F10">
        <w:t>CI</w:t>
      </w:r>
      <w:r w:rsidR="00900943">
        <w:t>)</w:t>
      </w:r>
      <w:r w:rsidRPr="00C27F10">
        <w:t xml:space="preserve"> was 3.3%).</w:t>
      </w:r>
    </w:p>
    <w:p w:rsidR="00C27F10" w:rsidRPr="00C27F10" w:rsidRDefault="00C27F10" w:rsidP="00611B92">
      <w:pPr>
        <w:pStyle w:val="ListBullet"/>
      </w:pPr>
      <w:r w:rsidRPr="00C27F10">
        <w:t xml:space="preserve">Fully recombinant with no human or animal </w:t>
      </w:r>
      <w:r w:rsidRPr="00611B92">
        <w:t>additives</w:t>
      </w:r>
      <w:r w:rsidRPr="00C27F10">
        <w:t>.</w:t>
      </w:r>
    </w:p>
    <w:p w:rsidR="00C27F10" w:rsidRPr="00C27F10" w:rsidRDefault="00C27F10" w:rsidP="00611B92">
      <w:pPr>
        <w:pStyle w:val="ListBullet"/>
      </w:pPr>
      <w:r w:rsidRPr="00C27F10">
        <w:t xml:space="preserve">Well tolerated with no anaphylaxis or </w:t>
      </w:r>
      <w:r w:rsidRPr="00611B92">
        <w:t>hypersensitivity</w:t>
      </w:r>
      <w:r w:rsidRPr="00C27F10">
        <w:t xml:space="preserve"> reactions to date.</w:t>
      </w:r>
    </w:p>
    <w:p w:rsidR="00605AD4" w:rsidRPr="00611B92" w:rsidRDefault="00605AD4" w:rsidP="00611B92">
      <w:pPr>
        <w:pStyle w:val="Heading4"/>
      </w:pPr>
      <w:r w:rsidRPr="00605AD4">
        <w:t>First round assessment of risks</w:t>
      </w:r>
    </w:p>
    <w:p w:rsidR="00C27F10" w:rsidRPr="00C27F10" w:rsidRDefault="00C27F10" w:rsidP="00611B92">
      <w:r w:rsidRPr="00C27F10">
        <w:t xml:space="preserve">The risks of </w:t>
      </w:r>
      <w:proofErr w:type="spellStart"/>
      <w:r w:rsidR="00B92D81" w:rsidRPr="00B92D81">
        <w:t>Eloctate</w:t>
      </w:r>
      <w:proofErr w:type="spellEnd"/>
      <w:r w:rsidRPr="00C27F10">
        <w:t xml:space="preserve"> in the proposed usage are:</w:t>
      </w:r>
    </w:p>
    <w:p w:rsidR="00C27F10" w:rsidRPr="00C27F10" w:rsidRDefault="00C27F10" w:rsidP="00611B92">
      <w:pPr>
        <w:pStyle w:val="ListBullet"/>
      </w:pPr>
      <w:r w:rsidRPr="00C27F10">
        <w:t xml:space="preserve">The safety database includes only 180 patients aged </w:t>
      </w:r>
      <w:r w:rsidR="00D930C2">
        <w:t>≥</w:t>
      </w:r>
      <w:r w:rsidR="00810596">
        <w:t xml:space="preserve"> </w:t>
      </w:r>
      <w:r w:rsidRPr="00C27F10">
        <w:t xml:space="preserve">12 years. Uncommon AEs such as hypersensitivity reactions may not have </w:t>
      </w:r>
      <w:r w:rsidRPr="002A69FB">
        <w:t>been</w:t>
      </w:r>
      <w:r w:rsidRPr="00C27F10">
        <w:t xml:space="preserve"> detected.</w:t>
      </w:r>
    </w:p>
    <w:p w:rsidR="00C27F10" w:rsidRPr="00C27F10" w:rsidRDefault="00C27F10" w:rsidP="00611B92">
      <w:pPr>
        <w:pStyle w:val="ListBullet"/>
      </w:pPr>
      <w:r w:rsidRPr="00C27F10">
        <w:t>Long-term safety has not been established.</w:t>
      </w:r>
    </w:p>
    <w:p w:rsidR="00C27F10" w:rsidRPr="00C27F10" w:rsidRDefault="00C27F10" w:rsidP="00611B92">
      <w:pPr>
        <w:pStyle w:val="ListBullet"/>
      </w:pPr>
      <w:r w:rsidRPr="00C27F10">
        <w:t xml:space="preserve">No safety data in children aged </w:t>
      </w:r>
      <w:r w:rsidR="00D930C2">
        <w:t>&lt;</w:t>
      </w:r>
      <w:r w:rsidR="00810596">
        <w:t xml:space="preserve"> </w:t>
      </w:r>
      <w:r w:rsidRPr="00C27F10">
        <w:t>12 years.</w:t>
      </w:r>
    </w:p>
    <w:p w:rsidR="00C27F10" w:rsidRPr="00C27F10" w:rsidRDefault="00C27F10" w:rsidP="00611B92">
      <w:pPr>
        <w:pStyle w:val="ListBullet"/>
      </w:pPr>
      <w:r w:rsidRPr="00C27F10">
        <w:t xml:space="preserve">No safety data in PUPs (at higher risk of </w:t>
      </w:r>
      <w:r w:rsidRPr="00611B92">
        <w:t>inhibitor</w:t>
      </w:r>
      <w:r w:rsidRPr="00C27F10">
        <w:t xml:space="preserve"> development).</w:t>
      </w:r>
    </w:p>
    <w:p w:rsidR="00C27F10" w:rsidRPr="00C27F10" w:rsidRDefault="00C27F10" w:rsidP="00611B92">
      <w:pPr>
        <w:pStyle w:val="ListBullet"/>
      </w:pPr>
      <w:r w:rsidRPr="00C27F10">
        <w:t xml:space="preserve">Risk of severe hypersensitivity reactions not </w:t>
      </w:r>
      <w:r w:rsidRPr="00611B92">
        <w:t>yet</w:t>
      </w:r>
      <w:r w:rsidRPr="00C27F10">
        <w:t xml:space="preserve"> known.</w:t>
      </w:r>
    </w:p>
    <w:p w:rsidR="00605AD4" w:rsidRPr="00611B92" w:rsidRDefault="00605AD4" w:rsidP="00611B92">
      <w:pPr>
        <w:pStyle w:val="Heading4"/>
      </w:pPr>
      <w:r w:rsidRPr="00605AD4">
        <w:t>Fi</w:t>
      </w:r>
      <w:r w:rsidR="00001058">
        <w:t xml:space="preserve">rst round assessment of benefit </w:t>
      </w:r>
      <w:r w:rsidRPr="00605AD4">
        <w:t>risk balance</w:t>
      </w:r>
    </w:p>
    <w:p w:rsidR="00605AD4" w:rsidRPr="00C27F10" w:rsidRDefault="00C27F10" w:rsidP="00611B92">
      <w:r w:rsidRPr="00C27F10">
        <w:t xml:space="preserve">The </w:t>
      </w:r>
      <w:r w:rsidR="00001058">
        <w:t xml:space="preserve">benefit </w:t>
      </w:r>
      <w:r w:rsidR="00A22D2B">
        <w:t>risk balance of Eloctate</w:t>
      </w:r>
      <w:r w:rsidRPr="00C27F10">
        <w:t>, given the proposed usage, is favourable.</w:t>
      </w:r>
    </w:p>
    <w:p w:rsidR="00605AD4" w:rsidRPr="00605AD4" w:rsidRDefault="00605AD4" w:rsidP="00611B92">
      <w:pPr>
        <w:pStyle w:val="Heading3"/>
        <w:rPr>
          <w:rFonts w:eastAsia="Cambria"/>
        </w:rPr>
      </w:pPr>
      <w:bookmarkStart w:id="137" w:name="_Toc412817728"/>
      <w:r w:rsidRPr="00605AD4">
        <w:rPr>
          <w:rFonts w:eastAsia="Cambria"/>
        </w:rPr>
        <w:t xml:space="preserve">First </w:t>
      </w:r>
      <w:r w:rsidR="002A69FB">
        <w:rPr>
          <w:rFonts w:eastAsia="Cambria"/>
        </w:rPr>
        <w:t>r</w:t>
      </w:r>
      <w:r w:rsidRPr="00605AD4">
        <w:rPr>
          <w:rFonts w:eastAsia="Cambria"/>
        </w:rPr>
        <w:t xml:space="preserve">ound </w:t>
      </w:r>
      <w:r w:rsidR="002A69FB">
        <w:rPr>
          <w:rFonts w:eastAsia="Cambria"/>
        </w:rPr>
        <w:t>r</w:t>
      </w:r>
      <w:r w:rsidRPr="00605AD4">
        <w:rPr>
          <w:rFonts w:eastAsia="Cambria"/>
        </w:rPr>
        <w:t xml:space="preserve">ecommendation </w:t>
      </w:r>
      <w:r w:rsidR="002A69FB">
        <w:rPr>
          <w:rFonts w:eastAsia="Cambria"/>
        </w:rPr>
        <w:t>r</w:t>
      </w:r>
      <w:r w:rsidRPr="00605AD4">
        <w:rPr>
          <w:rFonts w:eastAsia="Cambria"/>
        </w:rPr>
        <w:t xml:space="preserve">egarding </w:t>
      </w:r>
      <w:r w:rsidR="002A69FB" w:rsidRPr="00611B92">
        <w:rPr>
          <w:rFonts w:eastAsia="Cambria"/>
        </w:rPr>
        <w:t>a</w:t>
      </w:r>
      <w:r w:rsidRPr="00611B92">
        <w:rPr>
          <w:rFonts w:eastAsia="Cambria"/>
        </w:rPr>
        <w:t>uthorisation</w:t>
      </w:r>
      <w:bookmarkEnd w:id="137"/>
    </w:p>
    <w:p w:rsidR="009F141D" w:rsidRPr="003117B5" w:rsidRDefault="009F141D" w:rsidP="00611B92">
      <w:r w:rsidRPr="009F141D">
        <w:t xml:space="preserve">Authorisation is recommended for the use of </w:t>
      </w:r>
      <w:r w:rsidR="00B92D81" w:rsidRPr="00B92D81">
        <w:t>Eloctate</w:t>
      </w:r>
      <w:r w:rsidRPr="009F141D">
        <w:t xml:space="preserve"> in adults and children (</w:t>
      </w:r>
      <w:r w:rsidR="00D930C2">
        <w:t>≥</w:t>
      </w:r>
      <w:r w:rsidR="00810596">
        <w:t xml:space="preserve"> </w:t>
      </w:r>
      <w:r w:rsidRPr="009F141D">
        <w:t>12 years) with haemophilia A for control and prevention of bleeding episodes; routine prophylaxis to prevent or reduce the frequency</w:t>
      </w:r>
      <w:r w:rsidR="00B75541">
        <w:t xml:space="preserve"> of bleeding episodes; and peri</w:t>
      </w:r>
      <w:r w:rsidRPr="009F141D">
        <w:t xml:space="preserve">operative management (surgical prophylaxis). Approval is subject to satisfactory response to questions </w:t>
      </w:r>
      <w:r w:rsidRPr="003117B5">
        <w:t>raised</w:t>
      </w:r>
      <w:r w:rsidR="003117B5" w:rsidRPr="003117B5">
        <w:t>.</w:t>
      </w:r>
    </w:p>
    <w:p w:rsidR="00605AD4" w:rsidRPr="009F141D" w:rsidRDefault="00907932" w:rsidP="00611B92">
      <w:r>
        <w:t>The TGA D</w:t>
      </w:r>
      <w:r w:rsidR="009F141D" w:rsidRPr="009F141D">
        <w:t xml:space="preserve">elegate has expressed concern about whether the data support an indication that encompasses adult and/or adolescent patients. The EMA Guidelines </w:t>
      </w:r>
      <w:r w:rsidRPr="00907932">
        <w:t>on recombinant coagulation factor VIII (</w:t>
      </w:r>
      <w:proofErr w:type="spellStart"/>
      <w:r w:rsidRPr="00907932">
        <w:t>rFVIII</w:t>
      </w:r>
      <w:proofErr w:type="spellEnd"/>
      <w:r w:rsidRPr="00907932">
        <w:t xml:space="preserve">) products </w:t>
      </w:r>
      <w:r w:rsidR="009F141D" w:rsidRPr="009F141D">
        <w:t>(2000 and 2009</w:t>
      </w:r>
      <w:r>
        <w:t xml:space="preserve"> versions</w:t>
      </w:r>
      <w:r w:rsidR="009F141D" w:rsidRPr="009F141D">
        <w:t xml:space="preserve">) are silent on adolescents and recommend patient studies in an inclusive population aged </w:t>
      </w:r>
      <w:r w:rsidR="00D930C2">
        <w:t>≥</w:t>
      </w:r>
      <w:r w:rsidR="00A22D2B">
        <w:t> </w:t>
      </w:r>
      <w:r w:rsidR="009F141D" w:rsidRPr="009F141D">
        <w:t>12 years. Although there is no specific requirement, the safety and efficacy study included 13 adolescent patients whose response was similar to that of the adult population.</w:t>
      </w:r>
    </w:p>
    <w:p w:rsidR="00605AD4" w:rsidRPr="00605AD4" w:rsidRDefault="002A69FB" w:rsidP="00611B92">
      <w:pPr>
        <w:pStyle w:val="Heading3"/>
        <w:rPr>
          <w:rFonts w:eastAsia="Cambria"/>
        </w:rPr>
      </w:pPr>
      <w:bookmarkStart w:id="138" w:name="_Toc412817729"/>
      <w:r>
        <w:rPr>
          <w:rFonts w:eastAsia="Cambria"/>
        </w:rPr>
        <w:t>Clinical q</w:t>
      </w:r>
      <w:r w:rsidR="00605AD4" w:rsidRPr="00605AD4">
        <w:rPr>
          <w:rFonts w:eastAsia="Cambria"/>
        </w:rPr>
        <w:t>uestions</w:t>
      </w:r>
      <w:bookmarkEnd w:id="138"/>
    </w:p>
    <w:p w:rsidR="009F141D" w:rsidRPr="009F141D" w:rsidRDefault="009F141D" w:rsidP="00611B92">
      <w:pPr>
        <w:pStyle w:val="Heading4"/>
      </w:pPr>
      <w:bookmarkStart w:id="139" w:name="_Toc356306158"/>
      <w:r w:rsidRPr="002A69FB">
        <w:t>Pharmacokinetics</w:t>
      </w:r>
      <w:bookmarkEnd w:id="139"/>
    </w:p>
    <w:p w:rsidR="009F141D" w:rsidRPr="009F141D" w:rsidRDefault="009F141D" w:rsidP="00611B92">
      <w:r w:rsidRPr="009F141D">
        <w:t xml:space="preserve">Would the sponsors suggest why all the reported bleeding events in the PK study 998HA101 occurred in the </w:t>
      </w:r>
      <w:proofErr w:type="spellStart"/>
      <w:r w:rsidRPr="009F141D">
        <w:t>rFVIIIFc</w:t>
      </w:r>
      <w:proofErr w:type="spellEnd"/>
      <w:r w:rsidRPr="009F141D">
        <w:t xml:space="preserve"> group and none in the </w:t>
      </w:r>
      <w:proofErr w:type="spellStart"/>
      <w:r w:rsidRPr="009F141D">
        <w:t>Advate</w:t>
      </w:r>
      <w:proofErr w:type="spellEnd"/>
      <w:r w:rsidRPr="009F141D">
        <w:t xml:space="preserve"> </w:t>
      </w:r>
      <w:r w:rsidR="00A865C2" w:rsidRPr="009F141D">
        <w:t>group?</w:t>
      </w:r>
    </w:p>
    <w:p w:rsidR="009F141D" w:rsidRPr="009F141D" w:rsidRDefault="009F141D" w:rsidP="00611B92">
      <w:pPr>
        <w:pStyle w:val="Heading4"/>
      </w:pPr>
      <w:bookmarkStart w:id="140" w:name="_Toc356306160"/>
      <w:r w:rsidRPr="009F141D">
        <w:t>Efficacy</w:t>
      </w:r>
      <w:bookmarkEnd w:id="140"/>
    </w:p>
    <w:p w:rsidR="00605AD4" w:rsidRPr="00605AD4" w:rsidRDefault="009F141D" w:rsidP="00611B92">
      <w:r w:rsidRPr="009F141D">
        <w:t>In the pivotal study, 26.8% of patients had major informed consent ‘issues’. Please clarify and provide assurance that the study was performed to full GCP and was adequately monitored.</w:t>
      </w:r>
    </w:p>
    <w:p w:rsidR="00605AD4" w:rsidRPr="00605AD4" w:rsidRDefault="00605AD4" w:rsidP="00611B92">
      <w:pPr>
        <w:pStyle w:val="Heading3"/>
        <w:rPr>
          <w:rFonts w:eastAsia="Cambria"/>
        </w:rPr>
      </w:pPr>
      <w:bookmarkStart w:id="141" w:name="_Toc412817730"/>
      <w:r w:rsidRPr="00605AD4">
        <w:rPr>
          <w:rFonts w:eastAsia="Cambria"/>
        </w:rPr>
        <w:lastRenderedPageBreak/>
        <w:t xml:space="preserve">Second </w:t>
      </w:r>
      <w:r w:rsidR="002A69FB">
        <w:rPr>
          <w:rFonts w:eastAsia="Cambria"/>
        </w:rPr>
        <w:t>r</w:t>
      </w:r>
      <w:r w:rsidRPr="00605AD4">
        <w:rPr>
          <w:rFonts w:eastAsia="Cambria"/>
        </w:rPr>
        <w:t xml:space="preserve">ound </w:t>
      </w:r>
      <w:r w:rsidR="002A69FB" w:rsidRPr="002A69FB">
        <w:rPr>
          <w:rFonts w:eastAsia="Cambria"/>
        </w:rPr>
        <w:t>e</w:t>
      </w:r>
      <w:r w:rsidRPr="002A69FB">
        <w:rPr>
          <w:rFonts w:eastAsia="Cambria"/>
        </w:rPr>
        <w:t>valuation</w:t>
      </w:r>
      <w:r w:rsidRPr="00605AD4">
        <w:rPr>
          <w:rFonts w:eastAsia="Cambria"/>
        </w:rPr>
        <w:t xml:space="preserve"> of clinical data submitted in </w:t>
      </w:r>
      <w:r w:rsidRPr="00611B92">
        <w:rPr>
          <w:rFonts w:eastAsia="Cambria"/>
        </w:rPr>
        <w:t>response</w:t>
      </w:r>
      <w:r w:rsidRPr="00605AD4">
        <w:rPr>
          <w:rFonts w:eastAsia="Cambria"/>
        </w:rPr>
        <w:t xml:space="preserve"> to questions</w:t>
      </w:r>
      <w:bookmarkEnd w:id="141"/>
    </w:p>
    <w:p w:rsidR="00605AD4" w:rsidRDefault="00907932" w:rsidP="00611B92">
      <w:r>
        <w:t>The s</w:t>
      </w:r>
      <w:r w:rsidR="005617A2" w:rsidRPr="005617A2">
        <w:t xml:space="preserve">ponsor responses </w:t>
      </w:r>
      <w:r w:rsidRPr="00907932">
        <w:t xml:space="preserve">to clinical questions (above) </w:t>
      </w:r>
      <w:r w:rsidR="005617A2" w:rsidRPr="005617A2">
        <w:t xml:space="preserve">were taken into account in the Delegate’s overview. See </w:t>
      </w:r>
      <w:r w:rsidR="005617A2" w:rsidRPr="005617A2">
        <w:rPr>
          <w:i/>
        </w:rPr>
        <w:t>Overall conclusion and risk/benefit assessment.</w:t>
      </w:r>
    </w:p>
    <w:p w:rsidR="0040437A" w:rsidRDefault="0040437A" w:rsidP="00611B92">
      <w:r>
        <w:t>With regard to the question on pharmacokinetics t</w:t>
      </w:r>
      <w:r w:rsidRPr="0040437A">
        <w:t xml:space="preserve">he Delegate noted that the disparity in reported bleeding between </w:t>
      </w:r>
      <w:proofErr w:type="spellStart"/>
      <w:r w:rsidRPr="0040437A">
        <w:t>Advate</w:t>
      </w:r>
      <w:proofErr w:type="spellEnd"/>
      <w:r w:rsidRPr="0040437A">
        <w:t xml:space="preserve"> and </w:t>
      </w:r>
      <w:proofErr w:type="spellStart"/>
      <w:r w:rsidRPr="0040437A">
        <w:t>rFVIIIFc</w:t>
      </w:r>
      <w:proofErr w:type="spellEnd"/>
      <w:r w:rsidRPr="0040437A">
        <w:t xml:space="preserve"> groups was due to the study design and the limited follow up period for </w:t>
      </w:r>
      <w:proofErr w:type="spellStart"/>
      <w:r w:rsidRPr="0040437A">
        <w:t>Advate</w:t>
      </w:r>
      <w:proofErr w:type="spellEnd"/>
      <w:r w:rsidRPr="0040437A">
        <w:t xml:space="preserve"> (4 days).</w:t>
      </w:r>
    </w:p>
    <w:p w:rsidR="0040437A" w:rsidRDefault="0040437A" w:rsidP="00611B92">
      <w:r>
        <w:t>With regard to the question on efficacy the issue was resolved to the satisfaction of the Delegate.</w:t>
      </w:r>
    </w:p>
    <w:p w:rsidR="00AF6565" w:rsidRPr="00AF6565" w:rsidRDefault="0040437A" w:rsidP="00611B92">
      <w:r w:rsidRPr="00AF6565">
        <w:t>Therefore a second round evaluation report was not prepared.</w:t>
      </w:r>
    </w:p>
    <w:p w:rsidR="008E7846" w:rsidRPr="00E41208" w:rsidRDefault="008E7846" w:rsidP="00611B92">
      <w:pPr>
        <w:pStyle w:val="Heading2"/>
      </w:pPr>
      <w:bookmarkStart w:id="142" w:name="_Toc412817731"/>
      <w:r w:rsidRPr="00E41208">
        <w:t xml:space="preserve">V. Pharmacovigilance </w:t>
      </w:r>
      <w:r>
        <w:t>f</w:t>
      </w:r>
      <w:r w:rsidRPr="00E41208">
        <w:t>indings</w:t>
      </w:r>
      <w:bookmarkEnd w:id="112"/>
      <w:bookmarkEnd w:id="113"/>
      <w:bookmarkEnd w:id="142"/>
    </w:p>
    <w:p w:rsidR="008E7846" w:rsidRDefault="00386150" w:rsidP="00611B92">
      <w:pPr>
        <w:pStyle w:val="Heading3"/>
        <w:rPr>
          <w:lang w:eastAsia="en-AU"/>
        </w:rPr>
      </w:pPr>
      <w:bookmarkStart w:id="143" w:name="_Toc247691526"/>
      <w:bookmarkStart w:id="144" w:name="_Toc314842509"/>
      <w:bookmarkStart w:id="145" w:name="_Toc412817732"/>
      <w:r>
        <w:rPr>
          <w:lang w:eastAsia="en-AU"/>
        </w:rPr>
        <w:t>Risk m</w:t>
      </w:r>
      <w:r w:rsidR="008E7846">
        <w:rPr>
          <w:lang w:eastAsia="en-AU"/>
        </w:rPr>
        <w:t xml:space="preserve">anagement </w:t>
      </w:r>
      <w:r>
        <w:rPr>
          <w:lang w:eastAsia="en-AU"/>
        </w:rPr>
        <w:t>p</w:t>
      </w:r>
      <w:r w:rsidR="008E7846">
        <w:rPr>
          <w:lang w:eastAsia="en-AU"/>
        </w:rPr>
        <w:t>lan</w:t>
      </w:r>
      <w:bookmarkEnd w:id="143"/>
      <w:bookmarkEnd w:id="144"/>
      <w:bookmarkEnd w:id="145"/>
    </w:p>
    <w:p w:rsidR="008E7846" w:rsidRDefault="008E7846" w:rsidP="00611B92">
      <w:pPr>
        <w:rPr>
          <w:lang w:eastAsia="en-AU"/>
        </w:rPr>
      </w:pPr>
      <w:r w:rsidRPr="00592321">
        <w:t xml:space="preserve">The sponsor submitted </w:t>
      </w:r>
      <w:r w:rsidR="00B467F0">
        <w:t xml:space="preserve">Australian </w:t>
      </w:r>
      <w:r w:rsidR="00AE1FA7">
        <w:t>risk management plan (</w:t>
      </w:r>
      <w:r w:rsidR="00B467F0">
        <w:t>RMP</w:t>
      </w:r>
      <w:r w:rsidR="00AE1FA7">
        <w:t>)</w:t>
      </w:r>
      <w:r w:rsidR="00B467F0">
        <w:t xml:space="preserve"> version 1, data lock point 14 September 2012</w:t>
      </w:r>
      <w:r w:rsidR="00592321">
        <w:t xml:space="preserve"> </w:t>
      </w:r>
      <w:r>
        <w:rPr>
          <w:lang w:eastAsia="en-AU"/>
        </w:rPr>
        <w:t>which was reviewed by the TGA’s Office of Product Review (OPR).</w:t>
      </w:r>
    </w:p>
    <w:p w:rsidR="008E7846" w:rsidRDefault="003A7F6C" w:rsidP="00611B92">
      <w:pPr>
        <w:pStyle w:val="Heading4"/>
        <w:rPr>
          <w:lang w:eastAsia="en-AU"/>
        </w:rPr>
      </w:pPr>
      <w:r>
        <w:rPr>
          <w:lang w:eastAsia="en-AU"/>
        </w:rPr>
        <w:t>Safety s</w:t>
      </w:r>
      <w:r w:rsidR="008E7846">
        <w:rPr>
          <w:lang w:eastAsia="en-AU"/>
        </w:rPr>
        <w:t>pecification</w:t>
      </w:r>
    </w:p>
    <w:p w:rsidR="008E7846" w:rsidRPr="009E7660" w:rsidRDefault="008E7846" w:rsidP="00611B92">
      <w:pPr>
        <w:rPr>
          <w:lang w:eastAsia="en-AU"/>
        </w:rPr>
      </w:pPr>
      <w:r>
        <w:rPr>
          <w:lang w:eastAsia="en-AU"/>
        </w:rPr>
        <w:t>The</w:t>
      </w:r>
      <w:r w:rsidR="006F25B8">
        <w:rPr>
          <w:lang w:eastAsia="en-AU"/>
        </w:rPr>
        <w:t xml:space="preserve"> sponsor provided a summary of o</w:t>
      </w:r>
      <w:r>
        <w:rPr>
          <w:lang w:eastAsia="en-AU"/>
        </w:rPr>
        <w:t xml:space="preserve">ngoing safety </w:t>
      </w:r>
      <w:r w:rsidR="006F25B8">
        <w:rPr>
          <w:lang w:eastAsia="en-AU"/>
        </w:rPr>
        <w:t>c</w:t>
      </w:r>
      <w:r>
        <w:rPr>
          <w:lang w:eastAsia="en-AU"/>
        </w:rPr>
        <w:t>on</w:t>
      </w:r>
      <w:r w:rsidR="002D04C3">
        <w:rPr>
          <w:lang w:eastAsia="en-AU"/>
        </w:rPr>
        <w:t xml:space="preserve">cerns which are shown at </w:t>
      </w:r>
      <w:r w:rsidR="002D04C3" w:rsidRPr="009E7660">
        <w:rPr>
          <w:lang w:eastAsia="en-AU"/>
        </w:rPr>
        <w:t xml:space="preserve">Table </w:t>
      </w:r>
      <w:r w:rsidR="009E7660" w:rsidRPr="009E7660">
        <w:rPr>
          <w:lang w:eastAsia="en-AU"/>
        </w:rPr>
        <w:t>4.</w:t>
      </w:r>
    </w:p>
    <w:p w:rsidR="005A3345" w:rsidRPr="003117B5" w:rsidRDefault="002D04C3" w:rsidP="00611B92">
      <w:pPr>
        <w:pStyle w:val="TableTitle"/>
        <w:rPr>
          <w:lang w:eastAsia="en-AU"/>
        </w:rPr>
      </w:pPr>
      <w:proofErr w:type="gramStart"/>
      <w:r>
        <w:rPr>
          <w:lang w:eastAsia="en-AU"/>
        </w:rPr>
        <w:t xml:space="preserve">Table </w:t>
      </w:r>
      <w:r w:rsidR="009E7660" w:rsidRPr="009E7660">
        <w:rPr>
          <w:lang w:eastAsia="en-AU"/>
        </w:rPr>
        <w:t>4</w:t>
      </w:r>
      <w:r>
        <w:rPr>
          <w:lang w:eastAsia="en-AU"/>
        </w:rPr>
        <w:t>: Summa</w:t>
      </w:r>
      <w:r w:rsidR="003117B5">
        <w:rPr>
          <w:lang w:eastAsia="en-AU"/>
        </w:rPr>
        <w:t>ry of ongoing safety concerns.</w:t>
      </w:r>
      <w:proofErr w:type="gramEnd"/>
    </w:p>
    <w:tbl>
      <w:tblPr>
        <w:tblStyle w:val="TableTGAblue"/>
        <w:tblW w:w="0" w:type="auto"/>
        <w:tblLook w:val="04A0" w:firstRow="1" w:lastRow="0" w:firstColumn="1" w:lastColumn="0" w:noHBand="0" w:noVBand="1"/>
      </w:tblPr>
      <w:tblGrid>
        <w:gridCol w:w="3369"/>
        <w:gridCol w:w="5351"/>
      </w:tblGrid>
      <w:tr w:rsidR="008F17B5" w:rsidTr="008F17B5">
        <w:trPr>
          <w:cnfStyle w:val="100000000000" w:firstRow="1" w:lastRow="0" w:firstColumn="0" w:lastColumn="0" w:oddVBand="0" w:evenVBand="0" w:oddHBand="0" w:evenHBand="0" w:firstRowFirstColumn="0" w:firstRowLastColumn="0" w:lastRowFirstColumn="0" w:lastRowLastColumn="0"/>
        </w:trPr>
        <w:tc>
          <w:tcPr>
            <w:tcW w:w="8720" w:type="dxa"/>
            <w:gridSpan w:val="2"/>
          </w:tcPr>
          <w:p w:rsidR="008F17B5" w:rsidRDefault="008F17B5" w:rsidP="00611B92">
            <w:pPr>
              <w:ind w:left="0" w:right="34"/>
            </w:pPr>
            <w:r>
              <w:t>Ongoing safety concerns</w:t>
            </w:r>
          </w:p>
        </w:tc>
      </w:tr>
      <w:tr w:rsidR="008F17B5" w:rsidTr="008F17B5">
        <w:tc>
          <w:tcPr>
            <w:tcW w:w="3369" w:type="dxa"/>
          </w:tcPr>
          <w:p w:rsidR="008F17B5" w:rsidRPr="00907932" w:rsidRDefault="008F17B5" w:rsidP="00611B92">
            <w:pPr>
              <w:ind w:left="0" w:right="34"/>
            </w:pPr>
            <w:r w:rsidRPr="00907932">
              <w:t>Important identified risks</w:t>
            </w:r>
          </w:p>
        </w:tc>
        <w:tc>
          <w:tcPr>
            <w:tcW w:w="5351" w:type="dxa"/>
          </w:tcPr>
          <w:p w:rsidR="008F17B5" w:rsidRPr="00907932" w:rsidRDefault="008F17B5" w:rsidP="00611B92">
            <w:pPr>
              <w:ind w:left="0" w:right="34"/>
            </w:pPr>
            <w:r w:rsidRPr="00907932">
              <w:t>None</w:t>
            </w:r>
          </w:p>
        </w:tc>
      </w:tr>
      <w:tr w:rsidR="008F17B5" w:rsidTr="008F17B5">
        <w:tc>
          <w:tcPr>
            <w:tcW w:w="3369" w:type="dxa"/>
          </w:tcPr>
          <w:p w:rsidR="008F17B5" w:rsidRPr="00907932" w:rsidRDefault="008F17B5" w:rsidP="00611B92">
            <w:pPr>
              <w:ind w:left="0" w:right="34"/>
            </w:pPr>
            <w:r w:rsidRPr="00907932">
              <w:t>Important potential risks</w:t>
            </w:r>
          </w:p>
        </w:tc>
        <w:tc>
          <w:tcPr>
            <w:tcW w:w="5351" w:type="dxa"/>
          </w:tcPr>
          <w:p w:rsidR="008F17B5" w:rsidRPr="00907932" w:rsidRDefault="008F17B5" w:rsidP="00611B92">
            <w:pPr>
              <w:ind w:left="0" w:right="34"/>
            </w:pPr>
            <w:r w:rsidRPr="00907932">
              <w:t>Inhibitor development</w:t>
            </w:r>
          </w:p>
          <w:p w:rsidR="008F17B5" w:rsidRPr="00907932" w:rsidRDefault="008F17B5" w:rsidP="00611B92">
            <w:pPr>
              <w:ind w:left="0" w:right="34"/>
            </w:pPr>
            <w:r w:rsidRPr="00907932">
              <w:t>An inh</w:t>
            </w:r>
            <w:r w:rsidR="00907932" w:rsidRPr="00907932">
              <w:t>ibitor is defined as a neutralis</w:t>
            </w:r>
            <w:r w:rsidRPr="00907932">
              <w:t xml:space="preserve">ing antibody value </w:t>
            </w:r>
            <w:r w:rsidR="00A22D2B" w:rsidRPr="00907932">
              <w:t xml:space="preserve">≥ 0.6 Bethesda units [BU]/mL, </w:t>
            </w:r>
            <w:r w:rsidRPr="00907932">
              <w:t xml:space="preserve">identified </w:t>
            </w:r>
            <w:r w:rsidR="00A22D2B" w:rsidRPr="00907932">
              <w:t xml:space="preserve">and confirmed by retesting of a </w:t>
            </w:r>
            <w:r w:rsidRPr="00907932">
              <w:t>second sample within 2 to 4 weeks.</w:t>
            </w:r>
          </w:p>
          <w:p w:rsidR="008F17B5" w:rsidRPr="00907932" w:rsidRDefault="008F17B5" w:rsidP="00611B92">
            <w:pPr>
              <w:ind w:left="0" w:right="34"/>
            </w:pPr>
            <w:r w:rsidRPr="00907932">
              <w:t>Allergic reaction or anaphylaxis</w:t>
            </w:r>
          </w:p>
          <w:p w:rsidR="008F17B5" w:rsidRDefault="008F17B5" w:rsidP="00611B92">
            <w:pPr>
              <w:ind w:left="0" w:right="34"/>
            </w:pPr>
            <w:r w:rsidRPr="00907932">
              <w:t>A serious al</w:t>
            </w:r>
            <w:r w:rsidR="00A22D2B" w:rsidRPr="00907932">
              <w:t xml:space="preserve">lergic reaction associated with </w:t>
            </w:r>
            <w:r w:rsidRPr="00907932">
              <w:t>administrati</w:t>
            </w:r>
            <w:r w:rsidR="00A22D2B" w:rsidRPr="00907932">
              <w:t xml:space="preserve">on of </w:t>
            </w:r>
            <w:proofErr w:type="spellStart"/>
            <w:r w:rsidR="00A22D2B" w:rsidRPr="00907932">
              <w:t>rFVIIIFc</w:t>
            </w:r>
            <w:proofErr w:type="spellEnd"/>
            <w:r w:rsidR="00A22D2B" w:rsidRPr="00907932">
              <w:t xml:space="preserve"> is defined as an </w:t>
            </w:r>
            <w:r w:rsidRPr="00907932">
              <w:t xml:space="preserve">event that is </w:t>
            </w:r>
            <w:r w:rsidR="00117243" w:rsidRPr="00907932">
              <w:t>≥</w:t>
            </w:r>
            <w:r w:rsidR="00A22D2B" w:rsidRPr="00907932">
              <w:t xml:space="preserve"> Grade 2 on the </w:t>
            </w:r>
            <w:r w:rsidRPr="00907932">
              <w:t>Recommend</w:t>
            </w:r>
            <w:r w:rsidR="00A22D2B" w:rsidRPr="00907932">
              <w:t xml:space="preserve">ations for Grading of Acute and </w:t>
            </w:r>
            <w:r w:rsidRPr="00907932">
              <w:t>Subacute To</w:t>
            </w:r>
            <w:r w:rsidR="00A22D2B" w:rsidRPr="00907932">
              <w:t xml:space="preserve">xic Effects on the World Health </w:t>
            </w:r>
            <w:r w:rsidR="00907932" w:rsidRPr="00907932">
              <w:t>Organis</w:t>
            </w:r>
            <w:r w:rsidRPr="00907932">
              <w:t>ation scale.</w:t>
            </w:r>
          </w:p>
        </w:tc>
      </w:tr>
      <w:tr w:rsidR="008F17B5" w:rsidTr="008F17B5">
        <w:tc>
          <w:tcPr>
            <w:tcW w:w="3369" w:type="dxa"/>
          </w:tcPr>
          <w:p w:rsidR="008F17B5" w:rsidRPr="00907932" w:rsidRDefault="008F17B5" w:rsidP="00611B92">
            <w:pPr>
              <w:ind w:left="0" w:right="34"/>
            </w:pPr>
            <w:r w:rsidRPr="00907932">
              <w:t>Important missing information</w:t>
            </w:r>
          </w:p>
        </w:tc>
        <w:tc>
          <w:tcPr>
            <w:tcW w:w="5351" w:type="dxa"/>
          </w:tcPr>
          <w:p w:rsidR="008F17B5" w:rsidRPr="00907932" w:rsidRDefault="008F17B5" w:rsidP="00611B92">
            <w:pPr>
              <w:ind w:left="0" w:right="34"/>
            </w:pPr>
            <w:r w:rsidRPr="00907932">
              <w:t xml:space="preserve">Safety profile in patients </w:t>
            </w:r>
            <w:r w:rsidR="00117243" w:rsidRPr="00907932">
              <w:t>≥</w:t>
            </w:r>
            <w:r w:rsidR="00A22D2B" w:rsidRPr="00907932">
              <w:t xml:space="preserve"> </w:t>
            </w:r>
            <w:r w:rsidRPr="00907932">
              <w:t>65 years old</w:t>
            </w:r>
          </w:p>
          <w:p w:rsidR="008F17B5" w:rsidRDefault="008F17B5" w:rsidP="00611B92">
            <w:pPr>
              <w:ind w:left="0" w:right="34"/>
            </w:pPr>
            <w:r w:rsidRPr="00907932">
              <w:t xml:space="preserve">Safety profile in children </w:t>
            </w:r>
            <w:r w:rsidR="00117243" w:rsidRPr="00907932">
              <w:t>&lt;</w:t>
            </w:r>
            <w:r w:rsidR="00A22D2B" w:rsidRPr="00907932">
              <w:t xml:space="preserve"> </w:t>
            </w:r>
            <w:r w:rsidRPr="00907932">
              <w:t>12 years old</w:t>
            </w:r>
          </w:p>
        </w:tc>
      </w:tr>
    </w:tbl>
    <w:p w:rsidR="008E7846" w:rsidRPr="00611B92" w:rsidRDefault="008E7846" w:rsidP="00611B92">
      <w:pPr>
        <w:pStyle w:val="Heading4"/>
      </w:pPr>
      <w:proofErr w:type="spellStart"/>
      <w:r>
        <w:rPr>
          <w:lang w:eastAsia="en-AU"/>
        </w:rPr>
        <w:t>Pharmacovigilance</w:t>
      </w:r>
      <w:proofErr w:type="spellEnd"/>
      <w:r>
        <w:rPr>
          <w:lang w:eastAsia="en-AU"/>
        </w:rPr>
        <w:t xml:space="preserve"> </w:t>
      </w:r>
      <w:r w:rsidR="003A7F6C">
        <w:rPr>
          <w:lang w:eastAsia="en-AU"/>
        </w:rPr>
        <w:t>p</w:t>
      </w:r>
      <w:r>
        <w:rPr>
          <w:lang w:eastAsia="en-AU"/>
        </w:rPr>
        <w:t>lan</w:t>
      </w:r>
    </w:p>
    <w:p w:rsidR="008E7846" w:rsidRDefault="002D04C3" w:rsidP="00611B92">
      <w:r w:rsidRPr="002D04C3">
        <w:t xml:space="preserve">Routine </w:t>
      </w:r>
      <w:proofErr w:type="spellStart"/>
      <w:r w:rsidRPr="002D04C3">
        <w:t>pharmacovigilance</w:t>
      </w:r>
      <w:proofErr w:type="spellEnd"/>
      <w:r w:rsidRPr="002D04C3">
        <w:t xml:space="preserve"> activities are proposed to address all ongoing safety concerns. Additional pharmacovigilance activities are proposed to address the two potential risk</w:t>
      </w:r>
      <w:r w:rsidR="00117243">
        <w:t>s of i</w:t>
      </w:r>
      <w:r>
        <w:t>nhibitor development and anaphylactic/h</w:t>
      </w:r>
      <w:r w:rsidRPr="002D04C3">
        <w:t>ypersensitivity</w:t>
      </w:r>
      <w:r>
        <w:t>.</w:t>
      </w:r>
    </w:p>
    <w:p w:rsidR="00907932" w:rsidRDefault="00907932" w:rsidP="00611B92">
      <w:r>
        <w:t xml:space="preserve">The additional activities described by the sponsor are: 1.) </w:t>
      </w:r>
      <w:r w:rsidRPr="00611B92">
        <w:rPr>
          <w:i/>
        </w:rPr>
        <w:t xml:space="preserve">Expedited reporting to regulators of inhibitors and 2.) Targeted follow-up by questionnaire of inhibitors from spontaneous </w:t>
      </w:r>
      <w:r w:rsidRPr="00611B92">
        <w:rPr>
          <w:i/>
        </w:rPr>
        <w:lastRenderedPageBreak/>
        <w:t>reports, other programs where data are being handled as solicited, and all clinical trial serious adverse events (SAEs)</w:t>
      </w:r>
      <w:r w:rsidRPr="002A69FB">
        <w:t>.</w:t>
      </w:r>
    </w:p>
    <w:p w:rsidR="002D04C3" w:rsidRPr="002D04C3" w:rsidRDefault="002D04C3" w:rsidP="00611B92">
      <w:r w:rsidRPr="002D04C3">
        <w:t xml:space="preserve">Moreover, to address the two potential risks of “Inhibitor development” and “Hypersensitivity/Anaphylactic reaction” and the missing information of “Safety profile in children </w:t>
      </w:r>
      <w:r w:rsidR="00117243">
        <w:t xml:space="preserve">&lt; </w:t>
      </w:r>
      <w:r w:rsidRPr="002D04C3">
        <w:t>12 years old” two clinical trials are ongoing at the time of evaluation.</w:t>
      </w:r>
    </w:p>
    <w:p w:rsidR="008E7846" w:rsidRPr="00611B92" w:rsidRDefault="008E7846" w:rsidP="00611B92">
      <w:pPr>
        <w:pStyle w:val="Heading4"/>
      </w:pPr>
      <w:r>
        <w:rPr>
          <w:lang w:eastAsia="en-AU"/>
        </w:rPr>
        <w:t xml:space="preserve">Risk </w:t>
      </w:r>
      <w:r w:rsidR="003A7F6C">
        <w:rPr>
          <w:lang w:eastAsia="en-AU"/>
        </w:rPr>
        <w:t>m</w:t>
      </w:r>
      <w:r>
        <w:rPr>
          <w:lang w:eastAsia="en-AU"/>
        </w:rPr>
        <w:t xml:space="preserve">inimisation </w:t>
      </w:r>
      <w:r w:rsidR="003A7F6C">
        <w:rPr>
          <w:lang w:eastAsia="en-AU"/>
        </w:rPr>
        <w:t>a</w:t>
      </w:r>
      <w:r>
        <w:rPr>
          <w:lang w:eastAsia="en-AU"/>
        </w:rPr>
        <w:t>ctivities</w:t>
      </w:r>
    </w:p>
    <w:p w:rsidR="00907932" w:rsidRDefault="00907932" w:rsidP="00C6563E">
      <w:bookmarkStart w:id="146" w:name="_Toc247691527"/>
      <w:r>
        <w:t xml:space="preserve">With regard to the need for risk minimisation activities, the sponsor has concluded: </w:t>
      </w:r>
      <w:r w:rsidRPr="002A69FB">
        <w:t>“</w:t>
      </w:r>
      <w:r w:rsidRPr="00C6563E">
        <w:rPr>
          <w:i/>
        </w:rPr>
        <w:t xml:space="preserve">Prophylactic treatment with long-acting </w:t>
      </w:r>
      <w:proofErr w:type="spellStart"/>
      <w:r w:rsidRPr="00C6563E">
        <w:rPr>
          <w:i/>
        </w:rPr>
        <w:t>rFVIIIFc</w:t>
      </w:r>
      <w:proofErr w:type="spellEnd"/>
      <w:r w:rsidRPr="00C6563E">
        <w:rPr>
          <w:i/>
        </w:rPr>
        <w:t xml:space="preserve"> was associated with improvement in quality of life in subjects switching from prior episodic dosing.</w:t>
      </w:r>
      <w:r w:rsidR="00FF43B2" w:rsidRPr="00C6563E">
        <w:rPr>
          <w:i/>
        </w:rPr>
        <w:t xml:space="preserve"> </w:t>
      </w:r>
      <w:r w:rsidRPr="00C6563E">
        <w:rPr>
          <w:i/>
        </w:rPr>
        <w:t xml:space="preserve">In clinical development, </w:t>
      </w:r>
      <w:proofErr w:type="spellStart"/>
      <w:r w:rsidRPr="00C6563E">
        <w:rPr>
          <w:i/>
        </w:rPr>
        <w:t>rFVIIIFc</w:t>
      </w:r>
      <w:proofErr w:type="spellEnd"/>
      <w:r w:rsidRPr="00C6563E">
        <w:rPr>
          <w:i/>
        </w:rPr>
        <w:t xml:space="preserve"> was well tolerated and no new or unexpected safety issues were identified in any subpopulations. The incidence of inhibitor formation in PTPs was 0% (95% CI 0%, 3.3%), which is in the acceptable range for a new therapy for </w:t>
      </w:r>
      <w:r w:rsidR="00117831" w:rsidRPr="00C6563E">
        <w:rPr>
          <w:i/>
        </w:rPr>
        <w:t>haemophilia</w:t>
      </w:r>
      <w:r w:rsidRPr="00C6563E">
        <w:rPr>
          <w:i/>
        </w:rPr>
        <w:t xml:space="preserve"> A. There were no cases of anaphylaxis, serious vascular thrombosis (except a probable </w:t>
      </w:r>
      <w:r w:rsidR="00FF43B2" w:rsidRPr="00C6563E">
        <w:rPr>
          <w:i/>
        </w:rPr>
        <w:t>haemorrhoid</w:t>
      </w:r>
      <w:r w:rsidRPr="00C6563E">
        <w:rPr>
          <w:i/>
        </w:rPr>
        <w:t xml:space="preserve">), or suspected transmission of an infectious agent. The overall benefit-risk profile of </w:t>
      </w:r>
      <w:proofErr w:type="spellStart"/>
      <w:r w:rsidRPr="00C6563E">
        <w:rPr>
          <w:i/>
        </w:rPr>
        <w:t>rFVIIIFc</w:t>
      </w:r>
      <w:proofErr w:type="spellEnd"/>
      <w:r w:rsidRPr="00C6563E">
        <w:rPr>
          <w:i/>
        </w:rPr>
        <w:t xml:space="preserve"> is positive for the treatment of individuals with </w:t>
      </w:r>
      <w:r w:rsidR="00FF43B2" w:rsidRPr="00C6563E">
        <w:rPr>
          <w:i/>
        </w:rPr>
        <w:t>haemophilia</w:t>
      </w:r>
      <w:r w:rsidRPr="00C6563E">
        <w:rPr>
          <w:i/>
        </w:rPr>
        <w:t xml:space="preserve"> A. Because the most important risks of </w:t>
      </w:r>
      <w:proofErr w:type="spellStart"/>
      <w:r w:rsidRPr="00C6563E">
        <w:rPr>
          <w:i/>
        </w:rPr>
        <w:t>rFVIIIFc</w:t>
      </w:r>
      <w:proofErr w:type="spellEnd"/>
      <w:r w:rsidRPr="00C6563E">
        <w:rPr>
          <w:i/>
        </w:rPr>
        <w:t xml:space="preserve"> treatment remain potential risks rather than known risks, it is proposed that the potential risks can be appropriately managed and minimised by guidance in the Product Information without requirement for any enhanced risk minimisation.</w:t>
      </w:r>
      <w:r w:rsidRPr="002A69FB">
        <w:t>”</w:t>
      </w:r>
    </w:p>
    <w:p w:rsidR="002D04C3" w:rsidRDefault="002D04C3" w:rsidP="00C6563E">
      <w:pPr>
        <w:rPr>
          <w:lang w:eastAsia="en-AU"/>
        </w:rPr>
      </w:pPr>
      <w:r w:rsidRPr="006C1CD6">
        <w:t>Routine risk minimisation activities are proposed to addr</w:t>
      </w:r>
      <w:r>
        <w:t>ess all ongoing safety concerns.</w:t>
      </w:r>
    </w:p>
    <w:p w:rsidR="006F25B8" w:rsidRPr="00C6563E" w:rsidRDefault="006F25B8" w:rsidP="00C6563E">
      <w:pPr>
        <w:pStyle w:val="Heading4"/>
      </w:pPr>
      <w:r w:rsidRPr="002A69FB">
        <w:t>Reconciliation</w:t>
      </w:r>
      <w:r w:rsidRPr="006F25B8">
        <w:rPr>
          <w:lang w:eastAsia="en-AU"/>
        </w:rPr>
        <w:t xml:space="preserve"> of issues outlined in the RMP report</w:t>
      </w:r>
    </w:p>
    <w:p w:rsidR="006F25B8" w:rsidRDefault="006F25B8" w:rsidP="00C6563E">
      <w:pPr>
        <w:rPr>
          <w:lang w:eastAsia="en-AU"/>
        </w:rPr>
      </w:pPr>
      <w:r w:rsidRPr="009E7660">
        <w:rPr>
          <w:lang w:eastAsia="en-AU"/>
        </w:rPr>
        <w:t xml:space="preserve">Table </w:t>
      </w:r>
      <w:r w:rsidR="009E7660" w:rsidRPr="009E7660">
        <w:rPr>
          <w:lang w:eastAsia="en-AU"/>
        </w:rPr>
        <w:t>5</w:t>
      </w:r>
      <w:r w:rsidRPr="009E7660">
        <w:rPr>
          <w:lang w:eastAsia="en-AU"/>
        </w:rPr>
        <w:t xml:space="preserve"> summarises </w:t>
      </w:r>
      <w:r>
        <w:rPr>
          <w:lang w:eastAsia="en-AU"/>
        </w:rPr>
        <w:t>the OPR’s first round evaluation of the RMP, the sponsor’s responses to issues raised by the OPR and the OPR’s evaluati</w:t>
      </w:r>
      <w:r w:rsidR="002D04C3">
        <w:rPr>
          <w:lang w:eastAsia="en-AU"/>
        </w:rPr>
        <w:t>on of the sponsor’s responses.</w:t>
      </w:r>
    </w:p>
    <w:p w:rsidR="005A3345" w:rsidRPr="00C6563E" w:rsidRDefault="005A3345" w:rsidP="00C6563E">
      <w:pPr>
        <w:pStyle w:val="TableTitle"/>
      </w:pPr>
      <w:proofErr w:type="gramStart"/>
      <w:r w:rsidRPr="00AF6565">
        <w:t xml:space="preserve">Table </w:t>
      </w:r>
      <w:r w:rsidR="009E7660" w:rsidRPr="00AF6565">
        <w:t>5</w:t>
      </w:r>
      <w:r w:rsidR="00AE1FA7" w:rsidRPr="00AF6565">
        <w:t>:</w:t>
      </w:r>
      <w:r w:rsidRPr="00AF6565">
        <w:t xml:space="preserve"> </w:t>
      </w:r>
      <w:r w:rsidRPr="002A69FB">
        <w:t>Reconciliation</w:t>
      </w:r>
      <w:r w:rsidRPr="00AF6565">
        <w:t xml:space="preserve"> of issues outlined in the RMP report</w:t>
      </w:r>
      <w:r w:rsidR="00E63CC2" w:rsidRPr="00AF6565">
        <w:t>.</w:t>
      </w:r>
      <w:proofErr w:type="gramEnd"/>
    </w:p>
    <w:tbl>
      <w:tblPr>
        <w:tblStyle w:val="TableTGAblue"/>
        <w:tblW w:w="5000" w:type="pct"/>
        <w:tblLayout w:type="fixed"/>
        <w:tblLook w:val="04A0" w:firstRow="1" w:lastRow="0" w:firstColumn="1" w:lastColumn="0" w:noHBand="0" w:noVBand="1"/>
      </w:tblPr>
      <w:tblGrid>
        <w:gridCol w:w="3294"/>
        <w:gridCol w:w="2998"/>
        <w:gridCol w:w="2428"/>
      </w:tblGrid>
      <w:tr w:rsidR="005A3345" w:rsidRPr="005A3345" w:rsidTr="005A3345">
        <w:trPr>
          <w:cnfStyle w:val="100000000000" w:firstRow="1" w:lastRow="0" w:firstColumn="0" w:lastColumn="0" w:oddVBand="0" w:evenVBand="0" w:oddHBand="0" w:evenHBand="0" w:firstRowFirstColumn="0" w:firstRowLastColumn="0" w:lastRowFirstColumn="0" w:lastRowLastColumn="0"/>
        </w:trPr>
        <w:tc>
          <w:tcPr>
            <w:tcW w:w="1889" w:type="pct"/>
            <w:noWrap/>
          </w:tcPr>
          <w:p w:rsidR="005A3345" w:rsidRPr="005A3345" w:rsidRDefault="005A3345" w:rsidP="002A69FB">
            <w:pPr>
              <w:ind w:left="0" w:right="0"/>
            </w:pPr>
            <w:r w:rsidRPr="005A3345">
              <w:t>Recommendation in RMP evaluation report</w:t>
            </w:r>
          </w:p>
        </w:tc>
        <w:tc>
          <w:tcPr>
            <w:tcW w:w="1719" w:type="pct"/>
            <w:noWrap/>
          </w:tcPr>
          <w:p w:rsidR="005A3345" w:rsidRPr="005A3345" w:rsidRDefault="005A3345" w:rsidP="002A69FB">
            <w:pPr>
              <w:ind w:left="0" w:right="0"/>
            </w:pPr>
            <w:r w:rsidRPr="005A3345">
              <w:t>Extract of the Sponsor’s s31 RM</w:t>
            </w:r>
            <w:r w:rsidR="0033041E">
              <w:t>P response</w:t>
            </w:r>
          </w:p>
        </w:tc>
        <w:tc>
          <w:tcPr>
            <w:tcW w:w="1392" w:type="pct"/>
            <w:noWrap/>
          </w:tcPr>
          <w:p w:rsidR="005A3345" w:rsidRPr="005A3345" w:rsidRDefault="005A3345" w:rsidP="002A69FB">
            <w:pPr>
              <w:ind w:left="0" w:right="0"/>
            </w:pPr>
            <w:r w:rsidRPr="005A3345">
              <w:t>OPR evaluator’s comment</w:t>
            </w:r>
          </w:p>
        </w:tc>
      </w:tr>
      <w:tr w:rsidR="005A3345" w:rsidRPr="005A3345" w:rsidTr="005A3345">
        <w:tc>
          <w:tcPr>
            <w:tcW w:w="1889" w:type="pct"/>
            <w:noWrap/>
          </w:tcPr>
          <w:p w:rsidR="005A3345" w:rsidRPr="003117B5" w:rsidRDefault="00907932" w:rsidP="002A69FB">
            <w:pPr>
              <w:ind w:left="0" w:right="0"/>
            </w:pPr>
            <w:r w:rsidRPr="00907932">
              <w:t>It is brought to the Delegate’s attention that the proposed indication in Australia includes “Perioperative management (surgical prophylaxis)”, although it appears that this was not the indication granted orphan drug status.</w:t>
            </w:r>
          </w:p>
        </w:tc>
        <w:tc>
          <w:tcPr>
            <w:tcW w:w="1719" w:type="pct"/>
            <w:noWrap/>
          </w:tcPr>
          <w:p w:rsidR="005A3345" w:rsidRPr="00D03489" w:rsidRDefault="005A3345" w:rsidP="002A69FB">
            <w:pPr>
              <w:ind w:left="0" w:right="0"/>
            </w:pPr>
            <w:proofErr w:type="spellStart"/>
            <w:r w:rsidRPr="003117B5">
              <w:t>Biogen</w:t>
            </w:r>
            <w:proofErr w:type="spellEnd"/>
            <w:r w:rsidRPr="003117B5">
              <w:t xml:space="preserve"> Idec’s application for </w:t>
            </w:r>
            <w:r w:rsidR="0033041E">
              <w:t>orphan drug designation</w:t>
            </w:r>
            <w:r w:rsidRPr="00D03489">
              <w:t>, specified the following indications which are consistent with the indications presented in the proposed labelling:</w:t>
            </w:r>
          </w:p>
          <w:p w:rsidR="005A3345" w:rsidRPr="00D03489" w:rsidRDefault="005A3345" w:rsidP="002A69FB">
            <w:pPr>
              <w:pStyle w:val="ListBullet"/>
            </w:pPr>
            <w:r w:rsidRPr="00D03489">
              <w:t>Control and prevention (including routine prophylaxis) of bleeding episodes in adults and children with Haemophilia A;</w:t>
            </w:r>
          </w:p>
          <w:p w:rsidR="005A3345" w:rsidRPr="00D03489" w:rsidRDefault="00AE1FA7" w:rsidP="002A69FB">
            <w:pPr>
              <w:pStyle w:val="ListBullet"/>
            </w:pPr>
            <w:r>
              <w:t>Peri</w:t>
            </w:r>
            <w:r w:rsidR="005A3345" w:rsidRPr="00D03489">
              <w:t>operative management in adults and children with Haemophilia A.</w:t>
            </w:r>
          </w:p>
          <w:p w:rsidR="005A3345" w:rsidRPr="00D03489" w:rsidRDefault="005A3345" w:rsidP="002A69FB">
            <w:pPr>
              <w:ind w:left="0" w:right="0"/>
            </w:pPr>
            <w:r w:rsidRPr="00D03489">
              <w:t xml:space="preserve">However, the letter from the TGA, informing </w:t>
            </w:r>
            <w:proofErr w:type="spellStart"/>
            <w:r w:rsidRPr="00D03489">
              <w:t>Biogen</w:t>
            </w:r>
            <w:proofErr w:type="spellEnd"/>
            <w:r w:rsidRPr="00D03489">
              <w:t xml:space="preserve"> Idec that </w:t>
            </w:r>
            <w:proofErr w:type="spellStart"/>
            <w:r w:rsidRPr="00D03489">
              <w:t>rFVIIIFc</w:t>
            </w:r>
            <w:proofErr w:type="spellEnd"/>
            <w:r w:rsidRPr="00D03489">
              <w:t xml:space="preserve"> was designated as an orphan drug, noted that </w:t>
            </w:r>
            <w:r w:rsidRPr="00D03489">
              <w:lastRenderedPageBreak/>
              <w:t>“the indication is for the control and prevention (including routine prophylaxis) of bleeding episodes in adults and children with haemophilia A.”</w:t>
            </w:r>
          </w:p>
          <w:p w:rsidR="005A3345" w:rsidRPr="005A3345" w:rsidRDefault="005A3345" w:rsidP="002A69FB">
            <w:pPr>
              <w:ind w:left="0" w:right="0"/>
            </w:pPr>
            <w:proofErr w:type="spellStart"/>
            <w:r w:rsidRPr="00D03489">
              <w:t>Biogen</w:t>
            </w:r>
            <w:proofErr w:type="spellEnd"/>
            <w:r w:rsidRPr="00D03489">
              <w:t xml:space="preserve"> Idec’s interpretation of the </w:t>
            </w:r>
            <w:r w:rsidR="0033041E">
              <w:t xml:space="preserve">TGA’s </w:t>
            </w:r>
            <w:r w:rsidRPr="00D03489">
              <w:t xml:space="preserve">orphan designation letter was that the use of </w:t>
            </w:r>
            <w:proofErr w:type="spellStart"/>
            <w:r w:rsidRPr="00D03489">
              <w:t>rFVIIIFc</w:t>
            </w:r>
            <w:proofErr w:type="spellEnd"/>
            <w:r w:rsidRPr="00D03489">
              <w:t xml:space="preserve"> for perioperative management (surgical prophylaxis) was covered under the broader indication for “the control and prevention (including routine prophylaxis) </w:t>
            </w:r>
            <w:r w:rsidR="003117B5" w:rsidRPr="00D03489">
              <w:t>of bleeding episodes.”</w:t>
            </w:r>
          </w:p>
        </w:tc>
        <w:tc>
          <w:tcPr>
            <w:tcW w:w="1392" w:type="pct"/>
            <w:noWrap/>
          </w:tcPr>
          <w:p w:rsidR="005A3345" w:rsidRPr="003117B5" w:rsidRDefault="00907932" w:rsidP="002A69FB">
            <w:pPr>
              <w:ind w:left="0" w:right="0"/>
            </w:pPr>
            <w:r w:rsidRPr="00907932">
              <w:lastRenderedPageBreak/>
              <w:t>The response is noted. However, this issue is drawn to the attention of the Delegate for consideration.</w:t>
            </w:r>
          </w:p>
        </w:tc>
      </w:tr>
      <w:tr w:rsidR="005A3345" w:rsidRPr="005A3345" w:rsidTr="005A3345">
        <w:tc>
          <w:tcPr>
            <w:tcW w:w="1889" w:type="pct"/>
            <w:noWrap/>
          </w:tcPr>
          <w:p w:rsidR="005A3345" w:rsidRPr="005A3345" w:rsidRDefault="005A3345" w:rsidP="002A69FB">
            <w:pPr>
              <w:ind w:left="0" w:right="0"/>
            </w:pPr>
            <w:r w:rsidRPr="005A3345">
              <w:lastRenderedPageBreak/>
              <w:t>It is recommended t</w:t>
            </w:r>
            <w:r w:rsidR="00117243">
              <w:t xml:space="preserve">hat the sponsor provides follow </w:t>
            </w:r>
            <w:r w:rsidRPr="005A3345">
              <w:t>up forms to collect information regarding adverse events for the two potential risks of “Inhibitor development” and “Allergic reactions or anaphylaxis” for review pri</w:t>
            </w:r>
            <w:r w:rsidR="00E71EF7">
              <w:t>or to approval</w:t>
            </w:r>
            <w:r w:rsidRPr="005A3345">
              <w:t>.</w:t>
            </w:r>
          </w:p>
        </w:tc>
        <w:tc>
          <w:tcPr>
            <w:tcW w:w="1719" w:type="pct"/>
            <w:noWrap/>
          </w:tcPr>
          <w:p w:rsidR="005A3345" w:rsidRPr="005A3345" w:rsidRDefault="005A3345" w:rsidP="002A69FB">
            <w:pPr>
              <w:ind w:left="0" w:right="0"/>
            </w:pPr>
            <w:r w:rsidRPr="005A3345">
              <w:t xml:space="preserve">Should the Delegate request follow-up forms for the potential risks of “Inhibitor development” and “Allergic reactions or anaphylaxis” as recommended by the evaluator, </w:t>
            </w:r>
            <w:proofErr w:type="spellStart"/>
            <w:r w:rsidRPr="005A3345">
              <w:t>Biogen</w:t>
            </w:r>
            <w:proofErr w:type="spellEnd"/>
            <w:r w:rsidRPr="005A3345">
              <w:t xml:space="preserve"> Idec agrees to provide them for review prior to approval.</w:t>
            </w:r>
          </w:p>
        </w:tc>
        <w:tc>
          <w:tcPr>
            <w:tcW w:w="1392" w:type="pct"/>
            <w:noWrap/>
          </w:tcPr>
          <w:p w:rsidR="005A3345" w:rsidRPr="005A3345" w:rsidRDefault="005A3345" w:rsidP="002A69FB">
            <w:pPr>
              <w:ind w:left="0" w:right="0"/>
            </w:pPr>
            <w:r w:rsidRPr="005A3345">
              <w:t>This response is considered unacceptable.</w:t>
            </w:r>
          </w:p>
          <w:p w:rsidR="005A3345" w:rsidRPr="005A3345" w:rsidRDefault="0033041E" w:rsidP="002A69FB">
            <w:pPr>
              <w:ind w:left="0" w:right="0"/>
            </w:pPr>
            <w:r>
              <w:t>The RMP is not the D</w:t>
            </w:r>
            <w:r w:rsidR="005A3345" w:rsidRPr="005A3345">
              <w:t>elegate’s responsibility but that of the RMP evaluator and t</w:t>
            </w:r>
            <w:r w:rsidR="00D03489">
              <w:t xml:space="preserve">he director of the RMP section. </w:t>
            </w:r>
            <w:r w:rsidR="005A3345" w:rsidRPr="005A3345">
              <w:t>Furthermore, the sponsor has specified the use of follow up forms for the two potential risks of Inhibitor development and Anaphylactic/Hypersensitivity in th</w:t>
            </w:r>
            <w:r w:rsidR="00D03489">
              <w:t xml:space="preserve">e RMP provided for evaluation. </w:t>
            </w:r>
            <w:r w:rsidR="005A3345" w:rsidRPr="005A3345">
              <w:t xml:space="preserve">Submission of these documents is a basic requirement for submission of a valid RMP. In the TGA guideline </w:t>
            </w:r>
            <w:r w:rsidR="00907932" w:rsidRPr="00907932">
              <w:t>“Risk Management Plan (RMP) Questions &amp; Answers, Version 1.3, October 2012”</w:t>
            </w:r>
            <w:r w:rsidR="00AE1FA7">
              <w:t>*</w:t>
            </w:r>
            <w:r w:rsidR="00EC0C62">
              <w:t>“ “</w:t>
            </w:r>
            <w:r w:rsidR="005A3345" w:rsidRPr="005A3345">
              <w:t>it is stated:</w:t>
            </w:r>
          </w:p>
          <w:p w:rsidR="00EC0C62" w:rsidRDefault="00EC0C62" w:rsidP="002A69FB">
            <w:pPr>
              <w:ind w:left="0" w:right="0"/>
              <w:rPr>
                <w:i/>
              </w:rPr>
            </w:pPr>
            <w:r>
              <w:t>”</w:t>
            </w:r>
            <w:r w:rsidR="005A3345" w:rsidRPr="00EC0C62">
              <w:rPr>
                <w:i/>
              </w:rPr>
              <w:t xml:space="preserve">What must be included </w:t>
            </w:r>
            <w:r w:rsidR="005A3345" w:rsidRPr="00EC0C62">
              <w:rPr>
                <w:i/>
              </w:rPr>
              <w:lastRenderedPageBreak/>
              <w:t xml:space="preserve">in the RMP? Particular attention should be paid to ensuring: - all attachments, annexes and appendices referred to in the RMP are included in full. This excludes the </w:t>
            </w:r>
            <w:proofErr w:type="spellStart"/>
            <w:r w:rsidR="005A3345" w:rsidRPr="00EC0C62">
              <w:rPr>
                <w:i/>
              </w:rPr>
              <w:t>Eudravigilance</w:t>
            </w:r>
            <w:proofErr w:type="spellEnd"/>
            <w:r w:rsidR="005A3345" w:rsidRPr="00EC0C62">
              <w:rPr>
                <w:i/>
              </w:rPr>
              <w:t xml:space="preserve"> Annex 1.</w:t>
            </w:r>
            <w:r>
              <w:rPr>
                <w:i/>
              </w:rPr>
              <w:t>”</w:t>
            </w:r>
          </w:p>
          <w:p w:rsidR="005A3345" w:rsidRPr="00EC0C62" w:rsidRDefault="005A3345" w:rsidP="002A69FB">
            <w:pPr>
              <w:ind w:left="0" w:right="0"/>
            </w:pPr>
            <w:r w:rsidRPr="00EC0C62">
              <w:t>Consequently, the RMP in its current version is incomplete and the</w:t>
            </w:r>
            <w:r w:rsidR="00D03489" w:rsidRPr="00EC0C62">
              <w:t>refore considered unacceptable.</w:t>
            </w:r>
          </w:p>
        </w:tc>
      </w:tr>
      <w:tr w:rsidR="005A3345" w:rsidRPr="005A3345" w:rsidTr="005A3345">
        <w:tc>
          <w:tcPr>
            <w:tcW w:w="1889" w:type="pct"/>
            <w:noWrap/>
          </w:tcPr>
          <w:p w:rsidR="005A3345" w:rsidRPr="005A3345" w:rsidRDefault="005A3345" w:rsidP="002A69FB">
            <w:pPr>
              <w:ind w:left="0" w:right="0"/>
            </w:pPr>
            <w:r w:rsidRPr="005A3345">
              <w:lastRenderedPageBreak/>
              <w:t xml:space="preserve">It is recommended that the sponsor provides an RMP in the EU format, including the section “Additional EU requirements” including the points: 1.) Potential for overdose, 2.) Potential for transmission of infectious disease, 3.) Potential for misuse for illegal </w:t>
            </w:r>
            <w:r w:rsidR="00001058">
              <w:t xml:space="preserve">purposes, 4.) Potential for off </w:t>
            </w:r>
            <w:r w:rsidRPr="005A3345">
              <w:t>label use and 5.) Potential for paediatric off-label use, and other required information specified in the TGA</w:t>
            </w:r>
            <w:r w:rsidR="00AE1FA7">
              <w:t xml:space="preserve"> </w:t>
            </w:r>
            <w:r w:rsidR="00EC0C62" w:rsidRPr="00EC0C62">
              <w:t xml:space="preserve">guideline RMP Q&amp;As document </w:t>
            </w:r>
            <w:r w:rsidR="00EC0C62">
              <w:t>version 1.3, dated Dec-2012</w:t>
            </w:r>
            <w:r w:rsidR="00AE1FA7">
              <w:t>*</w:t>
            </w:r>
            <w:r w:rsidRPr="005A3345">
              <w:t>.</w:t>
            </w:r>
          </w:p>
        </w:tc>
        <w:tc>
          <w:tcPr>
            <w:tcW w:w="1719" w:type="pct"/>
            <w:noWrap/>
          </w:tcPr>
          <w:p w:rsidR="005A3345" w:rsidRPr="005A3345" w:rsidRDefault="005A3345" w:rsidP="002A69FB">
            <w:pPr>
              <w:ind w:left="0" w:right="0"/>
            </w:pPr>
            <w:proofErr w:type="spellStart"/>
            <w:r w:rsidRPr="005A3345">
              <w:t>Biogen</w:t>
            </w:r>
            <w:proofErr w:type="spellEnd"/>
            <w:r w:rsidR="00001058">
              <w:t xml:space="preserve"> Idec aims to provide the TGA a</w:t>
            </w:r>
            <w:r w:rsidRPr="005A3345">
              <w:t xml:space="preserve"> RMP in the EU format , including the section “Additional EU requirements” including the points: 1.) Potential for overdose, 2.) Potential for transmission of infectious disease, 3.) Potential for misuse for illegal </w:t>
            </w:r>
            <w:r w:rsidR="00001058">
              <w:t xml:space="preserve">purposes, 4.) Potential for off </w:t>
            </w:r>
            <w:r w:rsidRPr="005A3345">
              <w:t xml:space="preserve">label use and 5.) Potential for paediatric off-label use, and other required information specified in the TGA </w:t>
            </w:r>
            <w:r w:rsidR="00AE1FA7">
              <w:t>guideline *</w:t>
            </w:r>
            <w:r w:rsidRPr="005A3345">
              <w:t>.</w:t>
            </w:r>
          </w:p>
        </w:tc>
        <w:tc>
          <w:tcPr>
            <w:tcW w:w="1392" w:type="pct"/>
            <w:noWrap/>
          </w:tcPr>
          <w:p w:rsidR="005A3345" w:rsidRPr="005A3345" w:rsidRDefault="005A3345" w:rsidP="002A69FB">
            <w:pPr>
              <w:ind w:left="0" w:right="0"/>
            </w:pPr>
            <w:r w:rsidRPr="00EC0C62">
              <w:t>This response is considered insufficient.</w:t>
            </w:r>
            <w:r w:rsidRPr="005A3345">
              <w:t xml:space="preserve"> The sponsor has not provided the RMP in the requested format, and did not specify a date for submiss</w:t>
            </w:r>
            <w:r w:rsidR="00D03489">
              <w:t>ion of the requested document.</w:t>
            </w:r>
            <w:r w:rsidR="00E63CC2">
              <w:t xml:space="preserve"> </w:t>
            </w:r>
            <w:r w:rsidRPr="005A3345">
              <w:t>It is recommended that the sponsor submits the requested RMP document for review prior to approval.</w:t>
            </w:r>
          </w:p>
        </w:tc>
      </w:tr>
      <w:tr w:rsidR="005A3345" w:rsidRPr="005A3345" w:rsidTr="005A3345">
        <w:tc>
          <w:tcPr>
            <w:tcW w:w="1889" w:type="pct"/>
            <w:noWrap/>
          </w:tcPr>
          <w:p w:rsidR="00DE1C35" w:rsidRDefault="005A3345" w:rsidP="002A69FB">
            <w:pPr>
              <w:ind w:left="0" w:right="0"/>
            </w:pPr>
            <w:r w:rsidRPr="005A3345">
              <w:t>The following recommendations are made regarding amendments to the t</w:t>
            </w:r>
            <w:r w:rsidR="00D03489">
              <w:t>able of ongoing safety concerns:</w:t>
            </w:r>
          </w:p>
          <w:p w:rsidR="00DE1C35" w:rsidRDefault="005A3345" w:rsidP="002A69FB">
            <w:pPr>
              <w:ind w:left="0" w:right="0"/>
            </w:pPr>
            <w:r w:rsidRPr="005A3345">
              <w:t>A.) It is recommended that patient groups with hepatic and renal impairment be included as missing information in the table of ongoing safety concerns. Pharmacovigilance and risk minimisation activities should be assigned as appropriate.</w:t>
            </w:r>
          </w:p>
          <w:p w:rsidR="00DE1C35" w:rsidRDefault="005A3345" w:rsidP="002A69FB">
            <w:pPr>
              <w:ind w:left="0" w:right="0"/>
            </w:pPr>
            <w:r w:rsidRPr="005A3345">
              <w:t xml:space="preserve">B.) It is recommended that the sponsor provides detailed comments on the available data indicating that the safety for patient groups with HIV and </w:t>
            </w:r>
            <w:r w:rsidRPr="005A3345">
              <w:lastRenderedPageBreak/>
              <w:t>HCV has been established. If the safety for the product has not been satisfactorily established for these patient groups, then it is recommended that these patient groups be included in the ongoing table of safety concerns, and ph</w:t>
            </w:r>
            <w:r w:rsidR="00EC0C62">
              <w:t>armacovigilance and risk minimis</w:t>
            </w:r>
            <w:r w:rsidRPr="005A3345">
              <w:t>ation activities should be assigned as appropriate.</w:t>
            </w:r>
          </w:p>
          <w:p w:rsidR="00DE1C35" w:rsidRDefault="005A3345" w:rsidP="002A69FB">
            <w:pPr>
              <w:ind w:left="0" w:right="0"/>
            </w:pPr>
            <w:r w:rsidRPr="005A3345">
              <w:t>C.) It is recommended that “previously untreated patients” be included in the table of ongoing safety as missing information. Ph</w:t>
            </w:r>
            <w:r w:rsidR="00EC0C62">
              <w:t>armacovigilance and risk minimis</w:t>
            </w:r>
            <w:r w:rsidRPr="005A3345">
              <w:t>ation activities should be assigned as appropriate.</w:t>
            </w:r>
          </w:p>
          <w:p w:rsidR="00DE1C35" w:rsidRDefault="005A3345" w:rsidP="002A69FB">
            <w:pPr>
              <w:ind w:left="0" w:right="0"/>
            </w:pPr>
            <w:r w:rsidRPr="005A3345">
              <w:t>D.) It is recommended that “patients with mild to moderate haemophilia” be included in the table of ongoing safety as missing information. Ph</w:t>
            </w:r>
            <w:r w:rsidR="00EC0C62">
              <w:t>armacovigilance and risk minimis</w:t>
            </w:r>
            <w:r w:rsidRPr="005A3345">
              <w:t>ation activities should be assigned as appropriate.</w:t>
            </w:r>
          </w:p>
          <w:p w:rsidR="005A3345" w:rsidRPr="005A3345" w:rsidRDefault="005A3345" w:rsidP="002A69FB">
            <w:pPr>
              <w:ind w:left="0" w:right="0"/>
            </w:pPr>
            <w:r w:rsidRPr="005A3345">
              <w:t>E.) It is recommended to the Delegate to draw the attention of the clinical evaluator to assess whether it is appropriate not to include thrombotic events in the table of ongoing safety concerns.</w:t>
            </w:r>
          </w:p>
        </w:tc>
        <w:tc>
          <w:tcPr>
            <w:tcW w:w="1719" w:type="pct"/>
            <w:noWrap/>
          </w:tcPr>
          <w:p w:rsidR="005A3345" w:rsidRPr="005A3345" w:rsidRDefault="005A3345" w:rsidP="002A69FB">
            <w:pPr>
              <w:ind w:left="0" w:right="0"/>
            </w:pPr>
            <w:r w:rsidRPr="005A3345">
              <w:lastRenderedPageBreak/>
              <w:t xml:space="preserve">Should the Delegate request these RMP amendments as recommended by the evaluator, </w:t>
            </w:r>
            <w:proofErr w:type="spellStart"/>
            <w:r w:rsidRPr="005A3345">
              <w:t>Biogen</w:t>
            </w:r>
            <w:proofErr w:type="spellEnd"/>
            <w:r w:rsidRPr="005A3345">
              <w:t xml:space="preserve"> Idec agrees to add the following patient groups, including ph</w:t>
            </w:r>
            <w:r w:rsidR="00EC0C62">
              <w:t>armacovigilance and risk minimis</w:t>
            </w:r>
            <w:r w:rsidRPr="005A3345">
              <w:t>ation activities for these patients groups as appropriate, as missing information in the table of ongoing safety concerns:</w:t>
            </w:r>
          </w:p>
          <w:p w:rsidR="00DE1C35" w:rsidRDefault="00AE1FA7" w:rsidP="002A69FB">
            <w:pPr>
              <w:ind w:left="0" w:right="0"/>
            </w:pPr>
            <w:r>
              <w:t>A)</w:t>
            </w:r>
            <w:r w:rsidR="005A3345" w:rsidRPr="005A3345">
              <w:t>. patient groups with hepatic and renal impairment</w:t>
            </w:r>
          </w:p>
          <w:p w:rsidR="00DE1C35" w:rsidRPr="005A3345" w:rsidRDefault="00AE1FA7" w:rsidP="002A69FB">
            <w:pPr>
              <w:ind w:left="0" w:right="0"/>
            </w:pPr>
            <w:r>
              <w:t>B)</w:t>
            </w:r>
            <w:r w:rsidR="00DE1C35" w:rsidRPr="00DE1C35">
              <w:t xml:space="preserve">. patient groups with HIV </w:t>
            </w:r>
            <w:r w:rsidR="00DE1C35" w:rsidRPr="00DE1C35">
              <w:lastRenderedPageBreak/>
              <w:t>and HCV</w:t>
            </w:r>
          </w:p>
          <w:p w:rsidR="005A3345" w:rsidRPr="005A3345" w:rsidRDefault="00AE1FA7" w:rsidP="002A69FB">
            <w:pPr>
              <w:ind w:left="0" w:right="0"/>
            </w:pPr>
            <w:r>
              <w:t>C)</w:t>
            </w:r>
            <w:r w:rsidR="005A3345" w:rsidRPr="005A3345">
              <w:t>. previously untreated patients</w:t>
            </w:r>
          </w:p>
          <w:p w:rsidR="005A3345" w:rsidRPr="005A3345" w:rsidRDefault="005A3345" w:rsidP="002A69FB">
            <w:pPr>
              <w:ind w:left="0" w:right="0"/>
            </w:pPr>
            <w:proofErr w:type="spellStart"/>
            <w:r w:rsidRPr="005A3345">
              <w:t>Biogen</w:t>
            </w:r>
            <w:proofErr w:type="spellEnd"/>
            <w:r w:rsidRPr="005A3345">
              <w:t xml:space="preserve"> Idec does not think it would be informative to add the following items to the table of ongoing safety concerns as missing information in the table of ongoing safety concerns based on the clinical evidence s</w:t>
            </w:r>
            <w:r w:rsidR="00EC0C62">
              <w:t>ummaris</w:t>
            </w:r>
            <w:r w:rsidRPr="005A3345">
              <w:t>ed below:</w:t>
            </w:r>
          </w:p>
          <w:p w:rsidR="005A3345" w:rsidRPr="005A3345" w:rsidRDefault="00AE1FA7" w:rsidP="002A69FB">
            <w:pPr>
              <w:ind w:left="0" w:right="0"/>
            </w:pPr>
            <w:r>
              <w:t>D)</w:t>
            </w:r>
            <w:r w:rsidR="005A3345" w:rsidRPr="005A3345">
              <w:t>. patients with mild to moderate haemophilia</w:t>
            </w:r>
          </w:p>
          <w:p w:rsidR="005A3345" w:rsidRPr="005A3345" w:rsidRDefault="00AE1FA7" w:rsidP="002A69FB">
            <w:pPr>
              <w:ind w:left="0" w:right="0"/>
            </w:pPr>
            <w:r>
              <w:t>E)</w:t>
            </w:r>
            <w:r w:rsidR="005A3345" w:rsidRPr="005A3345">
              <w:t>. thrombotic events</w:t>
            </w:r>
          </w:p>
        </w:tc>
        <w:tc>
          <w:tcPr>
            <w:tcW w:w="1392" w:type="pct"/>
            <w:noWrap/>
          </w:tcPr>
          <w:p w:rsidR="00D12B14" w:rsidRDefault="005A3345" w:rsidP="002A69FB">
            <w:pPr>
              <w:ind w:left="0" w:right="0"/>
            </w:pPr>
            <w:r w:rsidRPr="005A3345">
              <w:lastRenderedPageBreak/>
              <w:t>The sponsor’s justification for not including the following information at present is acceptable.</w:t>
            </w:r>
          </w:p>
          <w:p w:rsidR="00D12B14" w:rsidRDefault="005A3345" w:rsidP="002A69FB">
            <w:pPr>
              <w:pStyle w:val="Numberbullet0"/>
            </w:pPr>
            <w:r w:rsidRPr="005A3345">
              <w:t>patient groups with HIV and HCV,</w:t>
            </w:r>
          </w:p>
          <w:p w:rsidR="002A69FB" w:rsidRDefault="005A3345" w:rsidP="002A69FB">
            <w:pPr>
              <w:pStyle w:val="Numberbullet0"/>
            </w:pPr>
            <w:r w:rsidRPr="005A3345">
              <w:t>patients with mi</w:t>
            </w:r>
            <w:r w:rsidR="002A69FB">
              <w:t>ld to moderate haemophilia,</w:t>
            </w:r>
          </w:p>
          <w:p w:rsidR="005A3345" w:rsidRDefault="00117243" w:rsidP="002A69FB">
            <w:pPr>
              <w:pStyle w:val="Numberbullet0"/>
            </w:pPr>
            <w:proofErr w:type="gramStart"/>
            <w:r>
              <w:t>thrombotic</w:t>
            </w:r>
            <w:proofErr w:type="gramEnd"/>
            <w:r>
              <w:t xml:space="preserve"> events.</w:t>
            </w:r>
          </w:p>
          <w:p w:rsidR="00A06632" w:rsidRDefault="005A3345" w:rsidP="002A69FB">
            <w:pPr>
              <w:ind w:left="0" w:right="0"/>
            </w:pPr>
            <w:r w:rsidRPr="00EC0C62">
              <w:t xml:space="preserve">The recommendation remains to include the </w:t>
            </w:r>
            <w:r w:rsidRPr="00EC0C62">
              <w:lastRenderedPageBreak/>
              <w:t>following in the table of ongoing safety co</w:t>
            </w:r>
            <w:r w:rsidR="00AE1FA7" w:rsidRPr="00EC0C62">
              <w:t>ncerns as missing information:</w:t>
            </w:r>
            <w:r w:rsidR="00AE1FA7">
              <w:t xml:space="preserve"> A</w:t>
            </w:r>
            <w:r w:rsidRPr="005A3345">
              <w:t>.) patient groups with hepatic and renal impairment and</w:t>
            </w:r>
          </w:p>
          <w:p w:rsidR="005A3345" w:rsidRPr="005A3345" w:rsidRDefault="00AE1FA7" w:rsidP="002A69FB">
            <w:pPr>
              <w:ind w:left="0" w:right="0"/>
            </w:pPr>
            <w:r>
              <w:t>C</w:t>
            </w:r>
            <w:r w:rsidR="005A3345" w:rsidRPr="005A3345">
              <w:t>.) previously untreated patients.</w:t>
            </w:r>
          </w:p>
          <w:p w:rsidR="005A3345" w:rsidRPr="005A3345" w:rsidRDefault="005A3345" w:rsidP="002A69FB">
            <w:pPr>
              <w:ind w:left="0" w:right="0"/>
            </w:pPr>
            <w:r w:rsidRPr="005A3345">
              <w:t>Risk-Minimisation and pharmacovigilance activities should be assigned as appropriate.</w:t>
            </w:r>
          </w:p>
        </w:tc>
      </w:tr>
      <w:tr w:rsidR="005A3345" w:rsidRPr="005A3345" w:rsidTr="005A3345">
        <w:tc>
          <w:tcPr>
            <w:tcW w:w="1889" w:type="pct"/>
            <w:noWrap/>
          </w:tcPr>
          <w:p w:rsidR="005A3345" w:rsidRPr="005A3345" w:rsidRDefault="005A3345" w:rsidP="002A69FB">
            <w:pPr>
              <w:ind w:left="0" w:right="0"/>
            </w:pPr>
            <w:r w:rsidRPr="005A3345">
              <w:lastRenderedPageBreak/>
              <w:t>It is recommended that the RMP be revised to include adherence of the pharmacovigilance activities in accordance to the Australian requirements as described in the document “Australian requirements and recommendations for pharmacovigilance responsibilities of sponsors of medicines”, version 1.1, dated Dec-</w:t>
            </w:r>
            <w:r w:rsidR="00D12B14">
              <w:t>2012</w:t>
            </w:r>
            <w:r w:rsidRPr="005A3345">
              <w:t>.</w:t>
            </w:r>
          </w:p>
        </w:tc>
        <w:tc>
          <w:tcPr>
            <w:tcW w:w="1719" w:type="pct"/>
            <w:noWrap/>
          </w:tcPr>
          <w:p w:rsidR="005A3345" w:rsidRPr="005A3345" w:rsidRDefault="005A3345" w:rsidP="002A69FB">
            <w:pPr>
              <w:ind w:left="0" w:right="0"/>
            </w:pPr>
            <w:r w:rsidRPr="005A3345">
              <w:t xml:space="preserve">Should the Delegate request the RMP be revised as recommended by the evaluator, </w:t>
            </w:r>
            <w:proofErr w:type="spellStart"/>
            <w:r w:rsidRPr="005A3345">
              <w:t>Biogen</w:t>
            </w:r>
            <w:proofErr w:type="spellEnd"/>
            <w:r w:rsidRPr="005A3345">
              <w:t xml:space="preserve"> Idec will revise the RMP to include adherence of pharmacovigilance activities in accordance to the Australian requirements.</w:t>
            </w:r>
          </w:p>
        </w:tc>
        <w:tc>
          <w:tcPr>
            <w:tcW w:w="1392" w:type="pct"/>
            <w:noWrap/>
          </w:tcPr>
          <w:p w:rsidR="005A3345" w:rsidRDefault="00D12B14" w:rsidP="002A69FB">
            <w:pPr>
              <w:ind w:left="0" w:right="0"/>
            </w:pPr>
            <w:r>
              <w:t>The RMP is not the D</w:t>
            </w:r>
            <w:r w:rsidR="005A3345" w:rsidRPr="005A3345">
              <w:t>elegate’s responsibility but that of the RMP evaluator and the director of the RMP section.</w:t>
            </w:r>
          </w:p>
          <w:p w:rsidR="005A3345" w:rsidRPr="00EC0C62" w:rsidRDefault="005A3345" w:rsidP="002A69FB">
            <w:pPr>
              <w:ind w:left="0" w:right="0"/>
            </w:pPr>
            <w:r w:rsidRPr="00EC0C62">
              <w:t>This recommendation remains.</w:t>
            </w:r>
          </w:p>
        </w:tc>
      </w:tr>
      <w:tr w:rsidR="005A3345" w:rsidRPr="005A3345" w:rsidTr="005A3345">
        <w:tc>
          <w:tcPr>
            <w:tcW w:w="1889" w:type="pct"/>
            <w:noWrap/>
          </w:tcPr>
          <w:p w:rsidR="005A3345" w:rsidRPr="005A3345" w:rsidRDefault="005A3345" w:rsidP="002A69FB">
            <w:pPr>
              <w:ind w:left="0" w:right="0"/>
            </w:pPr>
            <w:r w:rsidRPr="005A3345">
              <w:t xml:space="preserve">It is recommended that the sponsor revises the RMP to include submission dates for </w:t>
            </w:r>
            <w:r w:rsidRPr="005A3345">
              <w:lastRenderedPageBreak/>
              <w:t>interim and final study d</w:t>
            </w:r>
            <w:r w:rsidR="00D12B14">
              <w:t>ata to the TGA</w:t>
            </w:r>
            <w:r w:rsidRPr="005A3345">
              <w:t>.</w:t>
            </w:r>
          </w:p>
        </w:tc>
        <w:tc>
          <w:tcPr>
            <w:tcW w:w="1719" w:type="pct"/>
            <w:noWrap/>
          </w:tcPr>
          <w:p w:rsidR="005A3345" w:rsidRPr="005A3345" w:rsidRDefault="005A3345" w:rsidP="002A69FB">
            <w:pPr>
              <w:ind w:left="0" w:right="0"/>
            </w:pPr>
            <w:r w:rsidRPr="005A3345">
              <w:lastRenderedPageBreak/>
              <w:t xml:space="preserve">Should the Delegate request revisions to the RMP to include submission dates for </w:t>
            </w:r>
            <w:r w:rsidRPr="005A3345">
              <w:lastRenderedPageBreak/>
              <w:t xml:space="preserve">data from ongoing studies to the TGA as recommended by the evaluator, </w:t>
            </w:r>
            <w:proofErr w:type="spellStart"/>
            <w:r w:rsidRPr="005A3345">
              <w:t>Biogen</w:t>
            </w:r>
            <w:proofErr w:type="spellEnd"/>
            <w:r w:rsidRPr="005A3345">
              <w:t xml:space="preserve"> Idec agrees to modify the tables </w:t>
            </w:r>
            <w:r w:rsidR="00D12B14">
              <w:t>of the RMP to indicate</w:t>
            </w:r>
            <w:r w:rsidR="00EC0C62">
              <w:t xml:space="preserve"> [the requested information]</w:t>
            </w:r>
          </w:p>
        </w:tc>
        <w:tc>
          <w:tcPr>
            <w:tcW w:w="1392" w:type="pct"/>
            <w:noWrap/>
          </w:tcPr>
          <w:p w:rsidR="00EC0C62" w:rsidRPr="005A3345" w:rsidRDefault="00D12B14" w:rsidP="002A69FB">
            <w:pPr>
              <w:ind w:left="0" w:right="0"/>
            </w:pPr>
            <w:r>
              <w:lastRenderedPageBreak/>
              <w:t>The RMP is not the D</w:t>
            </w:r>
            <w:r w:rsidR="005A3345" w:rsidRPr="005A3345">
              <w:t xml:space="preserve">elegate’s responsibility but that </w:t>
            </w:r>
            <w:r w:rsidR="005A3345" w:rsidRPr="005A3345">
              <w:lastRenderedPageBreak/>
              <w:t>of the RMP evaluator and the director of the RMP section.</w:t>
            </w:r>
          </w:p>
          <w:p w:rsidR="005A3345" w:rsidRPr="00EC0C62" w:rsidRDefault="005A3345" w:rsidP="002A69FB">
            <w:pPr>
              <w:ind w:left="0" w:right="0"/>
            </w:pPr>
            <w:r w:rsidRPr="00EC0C62">
              <w:t>This recommendation remains.</w:t>
            </w:r>
          </w:p>
        </w:tc>
      </w:tr>
      <w:tr w:rsidR="005A3345" w:rsidRPr="005A3345" w:rsidTr="005A3345">
        <w:tc>
          <w:tcPr>
            <w:tcW w:w="1889" w:type="pct"/>
            <w:noWrap/>
          </w:tcPr>
          <w:p w:rsidR="005A3345" w:rsidRPr="005A3345" w:rsidRDefault="005A3345" w:rsidP="002A69FB">
            <w:pPr>
              <w:ind w:left="0" w:right="0"/>
            </w:pPr>
            <w:r w:rsidRPr="005A3345">
              <w:lastRenderedPageBreak/>
              <w:t>It is recommended that the sponsor amends the RMP to list the use of follow</w:t>
            </w:r>
            <w:r w:rsidR="00AE1FA7">
              <w:t xml:space="preserve"> </w:t>
            </w:r>
            <w:r w:rsidR="00EC0C62">
              <w:t>up forms as routine risk minimis</w:t>
            </w:r>
            <w:r w:rsidR="00D12B14">
              <w:t>ation activity</w:t>
            </w:r>
            <w:r w:rsidRPr="005A3345">
              <w:t>.</w:t>
            </w:r>
          </w:p>
        </w:tc>
        <w:tc>
          <w:tcPr>
            <w:tcW w:w="1719" w:type="pct"/>
            <w:noWrap/>
          </w:tcPr>
          <w:p w:rsidR="005A3345" w:rsidRPr="005A3345" w:rsidRDefault="005A3345" w:rsidP="002A69FB">
            <w:pPr>
              <w:ind w:left="0" w:right="0"/>
            </w:pPr>
            <w:r w:rsidRPr="005A3345">
              <w:t xml:space="preserve">Should the Delegate request the RMP be amended as recommended by the evaluator, </w:t>
            </w:r>
            <w:proofErr w:type="spellStart"/>
            <w:r w:rsidRPr="005A3345">
              <w:t>Biogen</w:t>
            </w:r>
            <w:proofErr w:type="spellEnd"/>
            <w:r w:rsidRPr="005A3345">
              <w:t xml:space="preserve"> Idec will amend th</w:t>
            </w:r>
            <w:r w:rsidR="00AE1FA7">
              <w:t xml:space="preserve">e RMP to list the use of follow </w:t>
            </w:r>
            <w:r w:rsidR="00EC0C62">
              <w:t>up forms as routine risk minimis</w:t>
            </w:r>
            <w:r w:rsidRPr="005A3345">
              <w:t xml:space="preserve">ation activity. </w:t>
            </w:r>
          </w:p>
        </w:tc>
        <w:tc>
          <w:tcPr>
            <w:tcW w:w="1392" w:type="pct"/>
            <w:noWrap/>
          </w:tcPr>
          <w:p w:rsidR="005A3345" w:rsidRPr="00EC0C62" w:rsidRDefault="005A3345" w:rsidP="002A69FB">
            <w:pPr>
              <w:ind w:left="0" w:right="0"/>
            </w:pPr>
            <w:r w:rsidRPr="00EC0C62">
              <w:t>This respo</w:t>
            </w:r>
            <w:r w:rsidR="002A69FB">
              <w:t>nse is considered unacceptable.</w:t>
            </w:r>
          </w:p>
          <w:p w:rsidR="005A3345" w:rsidRPr="005A3345" w:rsidRDefault="00D12B14" w:rsidP="002A69FB">
            <w:pPr>
              <w:ind w:left="0" w:right="0"/>
            </w:pPr>
            <w:r>
              <w:t>The RMP is not the D</w:t>
            </w:r>
            <w:r w:rsidR="005A3345" w:rsidRPr="005A3345">
              <w:t>elegate’s responsibility but that of the RMP evaluator and the director of the RMP section.</w:t>
            </w:r>
            <w:r w:rsidR="00E63CC2">
              <w:t xml:space="preserve"> </w:t>
            </w:r>
            <w:r w:rsidR="005A3345" w:rsidRPr="005A3345">
              <w:t>Furthermore, in accordance with the relevant EU guideline, the use of specific questionnaires as a follow-up to a reported suspected adverse reaction is considered to</w:t>
            </w:r>
            <w:r>
              <w:t xml:space="preserve"> be routine pharmacovigilance. </w:t>
            </w:r>
            <w:r w:rsidR="005A3345" w:rsidRPr="005A3345">
              <w:t xml:space="preserve">Consequently the RMP </w:t>
            </w:r>
            <w:r w:rsidR="00B47EFC">
              <w:t xml:space="preserve">should be amended accordingly. </w:t>
            </w:r>
            <w:r w:rsidR="005A3345" w:rsidRPr="005A3345">
              <w:t>The RMP in its c</w:t>
            </w:r>
            <w:r w:rsidR="00001058">
              <w:t>urrent version is unacceptable.</w:t>
            </w:r>
          </w:p>
        </w:tc>
      </w:tr>
      <w:tr w:rsidR="005A3345" w:rsidRPr="005A3345" w:rsidTr="005A3345">
        <w:tc>
          <w:tcPr>
            <w:tcW w:w="1889" w:type="pct"/>
            <w:noWrap/>
          </w:tcPr>
          <w:p w:rsidR="005A3345" w:rsidRPr="005A3345" w:rsidRDefault="005A3345" w:rsidP="002A69FB">
            <w:pPr>
              <w:ind w:left="0" w:right="0"/>
            </w:pPr>
            <w:r w:rsidRPr="005A3345">
              <w:t>The RMP is lacking discussion/provision of information about certain clinical aspects highly relevant to the use of the product in the targeted patient population. This includes the increased risk of antibody development for patients with high risk gene mutations (</w:t>
            </w:r>
            <w:proofErr w:type="spellStart"/>
            <w:r w:rsidRPr="005A3345">
              <w:t>Gouw</w:t>
            </w:r>
            <w:proofErr w:type="spellEnd"/>
            <w:r w:rsidRPr="005A3345">
              <w:t xml:space="preserve"> et al.</w:t>
            </w:r>
            <w:r w:rsidR="00D12B14">
              <w:rPr>
                <w:rStyle w:val="FootnoteReference"/>
                <w:rFonts w:asciiTheme="minorHAnsi" w:hAnsiTheme="minorHAnsi"/>
                <w:sz w:val="20"/>
                <w:szCs w:val="20"/>
              </w:rPr>
              <w:footnoteReference w:id="13"/>
            </w:r>
            <w:r w:rsidRPr="005A3345">
              <w:t>, Gosh et al.</w:t>
            </w:r>
            <w:r w:rsidR="00D12B14">
              <w:rPr>
                <w:rStyle w:val="FootnoteReference"/>
                <w:rFonts w:asciiTheme="minorHAnsi" w:hAnsiTheme="minorHAnsi"/>
                <w:sz w:val="20"/>
                <w:szCs w:val="20"/>
              </w:rPr>
              <w:footnoteReference w:id="14"/>
            </w:r>
            <w:r w:rsidRPr="005A3345">
              <w:t xml:space="preserve">). It is recommended that the sponsor revised the RMP to include discussion on this point, and describes how it has been </w:t>
            </w:r>
            <w:r w:rsidRPr="005A3345">
              <w:lastRenderedPageBreak/>
              <w:t>considered in the clinical development program and in the generat</w:t>
            </w:r>
            <w:r w:rsidR="00D12B14">
              <w:t>ion of the RMP</w:t>
            </w:r>
            <w:r w:rsidRPr="005A3345">
              <w:t>.</w:t>
            </w:r>
          </w:p>
        </w:tc>
        <w:tc>
          <w:tcPr>
            <w:tcW w:w="1719" w:type="pct"/>
            <w:noWrap/>
          </w:tcPr>
          <w:p w:rsidR="005A3345" w:rsidRPr="005A3345" w:rsidRDefault="005A3345" w:rsidP="002A69FB">
            <w:pPr>
              <w:ind w:left="0" w:right="0"/>
            </w:pPr>
            <w:r w:rsidRPr="005A3345">
              <w:lastRenderedPageBreak/>
              <w:t xml:space="preserve">The eligibility criteria for the Phase </w:t>
            </w:r>
            <w:r w:rsidR="00D12B14">
              <w:t>III</w:t>
            </w:r>
            <w:r w:rsidRPr="005A3345">
              <w:t xml:space="preserve"> study were selected to ensure a representative study population of </w:t>
            </w:r>
            <w:r w:rsidR="00B8129C">
              <w:t>PTPs</w:t>
            </w:r>
            <w:r w:rsidRPr="005A3345">
              <w:t xml:space="preserve"> with severe haemophilia A. No inclusion or exclusion criteria in the Phase </w:t>
            </w:r>
            <w:r w:rsidR="00D12B14">
              <w:t>III</w:t>
            </w:r>
            <w:r w:rsidRPr="005A3345">
              <w:t xml:space="preserve"> study restricted the study population based upon gene mutations. In addition, genotype data were collected from study participants and was representative of the expected mutation </w:t>
            </w:r>
            <w:r w:rsidRPr="005A3345">
              <w:lastRenderedPageBreak/>
              <w:t>frequencies in the general population of patients with haemophilia A. A revised RMP will include a discussion on the effect of the exclusion criteria across the clinical trial program and the implications for treatment of the target population.</w:t>
            </w:r>
          </w:p>
        </w:tc>
        <w:tc>
          <w:tcPr>
            <w:tcW w:w="1392" w:type="pct"/>
            <w:noWrap/>
          </w:tcPr>
          <w:p w:rsidR="00EC0C62" w:rsidRDefault="005A3345" w:rsidP="002A69FB">
            <w:pPr>
              <w:ind w:left="0" w:right="0"/>
            </w:pPr>
            <w:r w:rsidRPr="005A3345">
              <w:lastRenderedPageBreak/>
              <w:t>This response is considered insufficient.  The sponsor states: A revised RMP will include a discussion on the effect of the exclusion criteria across the clinical trial program and the implications for treatment of the target population.</w:t>
            </w:r>
            <w:r w:rsidR="00E63CC2">
              <w:t xml:space="preserve"> </w:t>
            </w:r>
            <w:r w:rsidRPr="005A3345">
              <w:t xml:space="preserve">However, the sponsor has not submitted the updated </w:t>
            </w:r>
            <w:r w:rsidRPr="005A3345">
              <w:lastRenderedPageBreak/>
              <w:t>RMP, and it is unclear when the sponsor is g</w:t>
            </w:r>
            <w:r w:rsidR="00B47EFC">
              <w:t>oing to submit the updated RMP.</w:t>
            </w:r>
          </w:p>
          <w:p w:rsidR="005A3345" w:rsidRPr="00EC0C62" w:rsidRDefault="005A3345" w:rsidP="002A69FB">
            <w:pPr>
              <w:ind w:left="0" w:right="0"/>
            </w:pPr>
            <w:r w:rsidRPr="00EC0C62">
              <w:t>This recommendation remains.</w:t>
            </w:r>
          </w:p>
        </w:tc>
      </w:tr>
      <w:tr w:rsidR="005A3345" w:rsidRPr="005A3345" w:rsidTr="005A3345">
        <w:tc>
          <w:tcPr>
            <w:tcW w:w="1889" w:type="pct"/>
            <w:noWrap/>
          </w:tcPr>
          <w:p w:rsidR="005A3345" w:rsidRPr="005A3345" w:rsidRDefault="005A3345" w:rsidP="002A69FB">
            <w:pPr>
              <w:ind w:left="0" w:right="0"/>
            </w:pPr>
            <w:r w:rsidRPr="005A3345">
              <w:lastRenderedPageBreak/>
              <w:t xml:space="preserve">The </w:t>
            </w:r>
            <w:r w:rsidR="00AE1FA7">
              <w:t>consumer medicine information (</w:t>
            </w:r>
            <w:r w:rsidRPr="005A3345">
              <w:t>CMI</w:t>
            </w:r>
            <w:r w:rsidR="00AE1FA7">
              <w:t>)</w:t>
            </w:r>
            <w:r w:rsidRPr="005A3345">
              <w:t xml:space="preserve"> and </w:t>
            </w:r>
            <w:r w:rsidR="00AE1FA7">
              <w:t>directions for use (</w:t>
            </w:r>
            <w:r w:rsidRPr="005A3345">
              <w:t>DFU</w:t>
            </w:r>
            <w:r w:rsidR="00AE1FA7">
              <w:t>)</w:t>
            </w:r>
            <w:r w:rsidRPr="005A3345">
              <w:t xml:space="preserve"> are considered part of the risk management, and therefore, it is recommended that section “Sponsor’s conclusion in reg</w:t>
            </w:r>
            <w:r w:rsidR="00EC0C62">
              <w:t>ard to the need for risk minimis</w:t>
            </w:r>
            <w:r w:rsidRPr="005A3345">
              <w:t>ation activities” of the RMP be revised to make reference to t</w:t>
            </w:r>
            <w:r w:rsidR="00D12B14">
              <w:t>he CMI and DFU</w:t>
            </w:r>
            <w:r w:rsidRPr="005A3345">
              <w:t>.</w:t>
            </w:r>
          </w:p>
        </w:tc>
        <w:tc>
          <w:tcPr>
            <w:tcW w:w="1719" w:type="pct"/>
            <w:noWrap/>
          </w:tcPr>
          <w:p w:rsidR="005A3345" w:rsidRPr="005A3345" w:rsidRDefault="005A3345" w:rsidP="002A69FB">
            <w:pPr>
              <w:ind w:left="0" w:right="0"/>
            </w:pPr>
            <w:proofErr w:type="spellStart"/>
            <w:r w:rsidRPr="005A3345">
              <w:t>Biogen</w:t>
            </w:r>
            <w:proofErr w:type="spellEnd"/>
            <w:r w:rsidRPr="005A3345">
              <w:t xml:space="preserve"> Idec believes that the risk management described in the CMI and DFU is based upon information provided in the Product Information</w:t>
            </w:r>
            <w:r w:rsidR="00001058">
              <w:t xml:space="preserve"> (PI)</w:t>
            </w:r>
            <w:r w:rsidRPr="005A3345">
              <w:t xml:space="preserve">. Therefore, </w:t>
            </w:r>
            <w:proofErr w:type="spellStart"/>
            <w:r w:rsidRPr="005A3345">
              <w:t>Biogen</w:t>
            </w:r>
            <w:proofErr w:type="spellEnd"/>
            <w:r w:rsidRPr="005A3345">
              <w:t xml:space="preserve"> Idec believes that the CMI and DFU documents do not warrant a separate reference within the RMP.</w:t>
            </w:r>
          </w:p>
        </w:tc>
        <w:tc>
          <w:tcPr>
            <w:tcW w:w="1392" w:type="pct"/>
            <w:noWrap/>
          </w:tcPr>
          <w:p w:rsidR="005A3345" w:rsidRPr="00EC0C62" w:rsidRDefault="005A3345" w:rsidP="002A69FB">
            <w:pPr>
              <w:ind w:left="0" w:right="0"/>
            </w:pPr>
            <w:r w:rsidRPr="005A3345">
              <w:t>This respon</w:t>
            </w:r>
            <w:r w:rsidR="00DA10CE">
              <w:t xml:space="preserve">se is considered unacceptable. </w:t>
            </w:r>
            <w:r w:rsidRPr="005A3345">
              <w:t>In accordance with the relevant EU guideline, the package leaflet (equal to the Australian CMI) is considered a separate routine risk-minimisation activity. Consequently, it is expected that the CMI</w:t>
            </w:r>
            <w:r w:rsidR="00B47EFC">
              <w:t>/DFU are referenced in the RMP.</w:t>
            </w:r>
            <w:r w:rsidR="00E63CC2">
              <w:t xml:space="preserve"> </w:t>
            </w:r>
            <w:r w:rsidRPr="00EC0C62">
              <w:t>This recommendation remains.</w:t>
            </w:r>
          </w:p>
        </w:tc>
      </w:tr>
      <w:tr w:rsidR="005A3345" w:rsidRPr="005A3345" w:rsidTr="005A3345">
        <w:tc>
          <w:tcPr>
            <w:tcW w:w="1889" w:type="pct"/>
            <w:noWrap/>
          </w:tcPr>
          <w:p w:rsidR="005A3345" w:rsidRPr="005A3345" w:rsidRDefault="009972CB" w:rsidP="002A69FB">
            <w:pPr>
              <w:ind w:left="0" w:right="0"/>
            </w:pPr>
            <w:r>
              <w:t>It is recommended that an “</w:t>
            </w:r>
            <w:proofErr w:type="spellStart"/>
            <w:r>
              <w:t>off</w:t>
            </w:r>
            <w:r w:rsidR="005A3345" w:rsidRPr="005A3345">
              <w:t>label</w:t>
            </w:r>
            <w:proofErr w:type="spellEnd"/>
            <w:r w:rsidR="005A3345" w:rsidRPr="005A3345">
              <w:t xml:space="preserve"> use” section be included in a revised RMP. This should incl</w:t>
            </w:r>
            <w:r w:rsidR="00371347">
              <w:t xml:space="preserve">ude, but not be limited to, off </w:t>
            </w:r>
            <w:r w:rsidR="005A3345" w:rsidRPr="005A3345">
              <w:t xml:space="preserve">label use for </w:t>
            </w:r>
            <w:proofErr w:type="spellStart"/>
            <w:r w:rsidR="005A3345" w:rsidRPr="005A3345">
              <w:t>Immuno</w:t>
            </w:r>
            <w:proofErr w:type="spellEnd"/>
            <w:r w:rsidR="005A3345" w:rsidRPr="005A3345">
              <w:t xml:space="preserve"> Tolerance Induction Therapy (ITI) (</w:t>
            </w:r>
            <w:proofErr w:type="spellStart"/>
            <w:r w:rsidR="005A3345" w:rsidRPr="005A3345">
              <w:t>Rivard</w:t>
            </w:r>
            <w:proofErr w:type="spellEnd"/>
            <w:r w:rsidR="005A3345" w:rsidRPr="005A3345">
              <w:t xml:space="preserve"> et al.</w:t>
            </w:r>
            <w:r w:rsidR="00D12B14">
              <w:rPr>
                <w:rStyle w:val="FootnoteReference"/>
                <w:rFonts w:asciiTheme="minorHAnsi" w:hAnsiTheme="minorHAnsi"/>
                <w:sz w:val="20"/>
                <w:szCs w:val="20"/>
              </w:rPr>
              <w:footnoteReference w:id="15"/>
            </w:r>
            <w:r w:rsidR="005A3345" w:rsidRPr="005A3345">
              <w:t xml:space="preserve">). The revised RMP should include a discussion on how this point has been considered during the clinical development program and in the generation of the </w:t>
            </w:r>
            <w:r w:rsidR="00371347">
              <w:t xml:space="preserve">RMP. Pharmacovigilance and risk </w:t>
            </w:r>
            <w:r w:rsidR="005A3345" w:rsidRPr="005A3345">
              <w:t xml:space="preserve">minimisation activities should be assigned </w:t>
            </w:r>
            <w:r w:rsidR="00DA10CE">
              <w:t>as appropriate</w:t>
            </w:r>
            <w:r w:rsidR="005A3345" w:rsidRPr="005A3345">
              <w:t>.</w:t>
            </w:r>
          </w:p>
        </w:tc>
        <w:tc>
          <w:tcPr>
            <w:tcW w:w="1719" w:type="pct"/>
            <w:noWrap/>
          </w:tcPr>
          <w:p w:rsidR="005A3345" w:rsidRPr="005A3345" w:rsidRDefault="005A3345" w:rsidP="002A69FB">
            <w:pPr>
              <w:ind w:left="0" w:right="0"/>
            </w:pPr>
            <w:proofErr w:type="spellStart"/>
            <w:r w:rsidRPr="005A3345">
              <w:t>Biogen</w:t>
            </w:r>
            <w:proofErr w:type="spellEnd"/>
            <w:r w:rsidRPr="005A3345">
              <w:t xml:space="preserve"> Idec will revise the RMP to include a section on </w:t>
            </w:r>
            <w:r w:rsidR="00EC0C62">
              <w:t>post authoris</w:t>
            </w:r>
            <w:r w:rsidR="00371347">
              <w:t xml:space="preserve">ation off </w:t>
            </w:r>
            <w:r w:rsidRPr="005A3345">
              <w:t>label use inc</w:t>
            </w:r>
            <w:r w:rsidR="00371347">
              <w:t xml:space="preserve">luding, but not limited to, off </w:t>
            </w:r>
            <w:r w:rsidRPr="005A3345">
              <w:t>label use for (ITI). The document will also i</w:t>
            </w:r>
            <w:r w:rsidR="00371347">
              <w:t xml:space="preserve">nclude a discussion of how “off </w:t>
            </w:r>
            <w:r w:rsidRPr="005A3345">
              <w:t>label use” was considered during the clinical development program and in the generation of the RMP.</w:t>
            </w:r>
          </w:p>
        </w:tc>
        <w:tc>
          <w:tcPr>
            <w:tcW w:w="1392" w:type="pct"/>
            <w:noWrap/>
          </w:tcPr>
          <w:p w:rsidR="005A3345" w:rsidRPr="00EC0C62" w:rsidRDefault="005A3345" w:rsidP="002A69FB">
            <w:pPr>
              <w:ind w:left="0" w:right="0"/>
            </w:pPr>
            <w:r w:rsidRPr="00EC0C62">
              <w:t>This respons</w:t>
            </w:r>
            <w:r w:rsidR="00DA10CE" w:rsidRPr="00EC0C62">
              <w:t>e is considered insufficient.</w:t>
            </w:r>
            <w:r w:rsidR="00DA10CE">
              <w:t xml:space="preserve"> </w:t>
            </w:r>
            <w:r w:rsidRPr="005A3345">
              <w:t>The sponsor has not submitted the updated RMP, and it is unclear when the sponsor is going to submit the updated RMP.</w:t>
            </w:r>
            <w:r w:rsidR="00E63CC2">
              <w:t xml:space="preserve"> </w:t>
            </w:r>
            <w:r w:rsidRPr="00EC0C62">
              <w:t>This recommendation remains.</w:t>
            </w:r>
          </w:p>
        </w:tc>
      </w:tr>
      <w:tr w:rsidR="005A3345" w:rsidRPr="005A3345" w:rsidTr="005A3345">
        <w:tc>
          <w:tcPr>
            <w:tcW w:w="1889" w:type="pct"/>
            <w:noWrap/>
          </w:tcPr>
          <w:p w:rsidR="005A3345" w:rsidRPr="005A3345" w:rsidRDefault="005A3345" w:rsidP="002A69FB">
            <w:pPr>
              <w:ind w:left="0" w:right="0"/>
            </w:pPr>
            <w:r w:rsidRPr="005A3345">
              <w:t xml:space="preserve">It is recommended that the sponsor amends the RMP to include a discussion about the </w:t>
            </w:r>
            <w:r w:rsidRPr="005A3345">
              <w:lastRenderedPageBreak/>
              <w:t>use of the product in a home treatment setting, and provides information on how any risks associated with this treatment setting will be addres</w:t>
            </w:r>
            <w:r w:rsidR="00DA10CE">
              <w:t>sed in the RMP</w:t>
            </w:r>
            <w:r w:rsidRPr="005A3345">
              <w:t>.</w:t>
            </w:r>
          </w:p>
        </w:tc>
        <w:tc>
          <w:tcPr>
            <w:tcW w:w="1719" w:type="pct"/>
            <w:noWrap/>
          </w:tcPr>
          <w:p w:rsidR="005A3345" w:rsidRPr="005A3345" w:rsidRDefault="005A3345" w:rsidP="002A69FB">
            <w:pPr>
              <w:ind w:left="0" w:right="0"/>
            </w:pPr>
            <w:proofErr w:type="spellStart"/>
            <w:r w:rsidRPr="005A3345">
              <w:lastRenderedPageBreak/>
              <w:t>Biogen</w:t>
            </w:r>
            <w:proofErr w:type="spellEnd"/>
            <w:r w:rsidRPr="005A3345">
              <w:t xml:space="preserve"> Idec acknowledges that appropriate materials and training will be required </w:t>
            </w:r>
            <w:r w:rsidRPr="005A3345">
              <w:lastRenderedPageBreak/>
              <w:t xml:space="preserve">in order to facilitate appropriate preparation, administration and storage of the product for those patients and carers who choose to self-administer </w:t>
            </w:r>
            <w:r w:rsidR="00B92D81" w:rsidRPr="00B92D81">
              <w:t>Eloctate</w:t>
            </w:r>
            <w:r w:rsidRPr="005A3345">
              <w:t>.</w:t>
            </w:r>
          </w:p>
          <w:p w:rsidR="005A3345" w:rsidRPr="005A3345" w:rsidRDefault="005A3345" w:rsidP="002A69FB">
            <w:pPr>
              <w:ind w:left="0" w:right="0"/>
            </w:pPr>
            <w:r w:rsidRPr="005A3345">
              <w:t xml:space="preserve">The </w:t>
            </w:r>
            <w:r w:rsidR="00001058">
              <w:t>PI</w:t>
            </w:r>
            <w:r w:rsidRPr="005A3345">
              <w:t xml:space="preserve">, </w:t>
            </w:r>
            <w:r w:rsidR="00001058">
              <w:t>CMI</w:t>
            </w:r>
            <w:r w:rsidRPr="005A3345">
              <w:t xml:space="preserve"> and </w:t>
            </w:r>
            <w:r w:rsidR="00001058">
              <w:t>DFU</w:t>
            </w:r>
            <w:r w:rsidRPr="005A3345">
              <w:t xml:space="preserve"> will be included in each </w:t>
            </w:r>
            <w:r w:rsidR="00B92D81" w:rsidRPr="00B92D81">
              <w:t>Eloctate</w:t>
            </w:r>
            <w:r w:rsidRPr="005A3345">
              <w:t xml:space="preserve"> pack insert. Therefore, each patient will receive a copy of these materials. </w:t>
            </w:r>
            <w:proofErr w:type="spellStart"/>
            <w:r w:rsidRPr="005A3345">
              <w:t>Biogen</w:t>
            </w:r>
            <w:proofErr w:type="spellEnd"/>
            <w:r w:rsidRPr="005A3345">
              <w:t xml:space="preserve"> Idec believes that the CMI and DFU documents do not warrant a separate reference within the RMP.</w:t>
            </w:r>
          </w:p>
          <w:p w:rsidR="005A3345" w:rsidRPr="005A3345" w:rsidRDefault="005A3345" w:rsidP="002A69FB">
            <w:pPr>
              <w:ind w:left="0" w:right="0"/>
            </w:pPr>
            <w:r w:rsidRPr="005A3345">
              <w:t>In addition, infusion training kits are being developed which will be provided free of charge to haemophilia centres and appropriate health care providers.</w:t>
            </w:r>
          </w:p>
          <w:p w:rsidR="00841BAD" w:rsidRDefault="005A3345" w:rsidP="002A69FB">
            <w:pPr>
              <w:ind w:left="0" w:right="0"/>
            </w:pPr>
            <w:r w:rsidRPr="005A3345">
              <w:t xml:space="preserve">A patient pack consisting of educational materials will also be provided to all new </w:t>
            </w:r>
            <w:r w:rsidR="00B92D81" w:rsidRPr="00B92D81">
              <w:t>Eloctate</w:t>
            </w:r>
            <w:r w:rsidRPr="005A3345">
              <w:t xml:space="preserve"> patients.</w:t>
            </w:r>
          </w:p>
          <w:p w:rsidR="005A3345" w:rsidRPr="005A3345" w:rsidRDefault="005A3345" w:rsidP="002A69FB">
            <w:pPr>
              <w:ind w:left="0" w:right="0"/>
            </w:pPr>
            <w:proofErr w:type="spellStart"/>
            <w:r w:rsidRPr="005A3345">
              <w:t>Biogen</w:t>
            </w:r>
            <w:proofErr w:type="spellEnd"/>
            <w:r w:rsidRPr="005A3345">
              <w:t xml:space="preserve"> Idec believes that the potential increased risk of inappropriate preparation, administration and storage of the product has been adequately addressed by the measures detailed above.</w:t>
            </w:r>
          </w:p>
        </w:tc>
        <w:tc>
          <w:tcPr>
            <w:tcW w:w="1392" w:type="pct"/>
            <w:noWrap/>
          </w:tcPr>
          <w:p w:rsidR="005A3345" w:rsidRPr="005A3345" w:rsidRDefault="005A3345" w:rsidP="002A69FB">
            <w:pPr>
              <w:ind w:left="0" w:right="0"/>
            </w:pPr>
            <w:r w:rsidRPr="005A3345">
              <w:lastRenderedPageBreak/>
              <w:t xml:space="preserve">The sponsor describes the use of: 1.) Infusion training kits and 2.) </w:t>
            </w:r>
            <w:proofErr w:type="gramStart"/>
            <w:r w:rsidRPr="005A3345">
              <w:t>a</w:t>
            </w:r>
            <w:proofErr w:type="gramEnd"/>
            <w:r w:rsidRPr="005A3345">
              <w:t xml:space="preserve"> </w:t>
            </w:r>
            <w:r w:rsidRPr="005A3345">
              <w:lastRenderedPageBreak/>
              <w:t>patient pack.</w:t>
            </w:r>
          </w:p>
          <w:p w:rsidR="005A3345" w:rsidRPr="00841BAD" w:rsidRDefault="005A3345" w:rsidP="002A69FB">
            <w:pPr>
              <w:ind w:left="0" w:right="0"/>
            </w:pPr>
            <w:r w:rsidRPr="005A3345">
              <w:t>These activ</w:t>
            </w:r>
            <w:r w:rsidR="00371347">
              <w:t xml:space="preserve">ities represent additional risk </w:t>
            </w:r>
            <w:r w:rsidRPr="005A3345">
              <w:t>minimisation activities. Consequently, these activities should be referenced in the RMP, which is currently not the case. Furthermore, a description of the Infusion training kits and patient pack packs has to be submitted for review prior to approval. These documents should be attached as annex to the updated RMP.</w:t>
            </w:r>
            <w:r w:rsidR="00E63CC2">
              <w:t xml:space="preserve"> </w:t>
            </w:r>
            <w:r w:rsidRPr="00841BAD">
              <w:t>In addition, the recommendation made in the round 1 RMP report remains.</w:t>
            </w:r>
          </w:p>
        </w:tc>
      </w:tr>
    </w:tbl>
    <w:p w:rsidR="00841BAD" w:rsidRDefault="00841BAD" w:rsidP="00C6563E">
      <w:r>
        <w:lastRenderedPageBreak/>
        <w:t xml:space="preserve">The remaining OPR </w:t>
      </w:r>
      <w:r w:rsidRPr="00FC35DC">
        <w:t xml:space="preserve">recommendations </w:t>
      </w:r>
      <w:r>
        <w:t xml:space="preserve">related to revisions to product labelling and the DFU document. Details of these are beyond the scope of the </w:t>
      </w:r>
      <w:proofErr w:type="spellStart"/>
      <w:r>
        <w:t>AusPAR</w:t>
      </w:r>
      <w:proofErr w:type="spellEnd"/>
      <w:r>
        <w:t>.</w:t>
      </w:r>
    </w:p>
    <w:p w:rsidR="00DD7C25" w:rsidRPr="002A69FB" w:rsidRDefault="00DD7C25" w:rsidP="00C6563E">
      <w:pPr>
        <w:pStyle w:val="Heading4"/>
      </w:pPr>
      <w:r w:rsidRPr="00DD7C25">
        <w:t>Advi</w:t>
      </w:r>
      <w:r w:rsidR="002A69FB">
        <w:t xml:space="preserve">sor committee </w:t>
      </w:r>
      <w:r w:rsidR="002A69FB" w:rsidRPr="00C6563E">
        <w:t>considerations</w:t>
      </w:r>
    </w:p>
    <w:p w:rsidR="00DD7C25" w:rsidRPr="00DD7C25" w:rsidRDefault="00DD7C25" w:rsidP="00C6563E">
      <w:pPr>
        <w:pStyle w:val="Heading5"/>
      </w:pPr>
      <w:r>
        <w:t>Advi</w:t>
      </w:r>
      <w:r w:rsidRPr="00DD7C25">
        <w:t xml:space="preserve">ce from the Advisory </w:t>
      </w:r>
      <w:r w:rsidRPr="00C6563E">
        <w:t>Committee</w:t>
      </w:r>
      <w:r w:rsidRPr="00DD7C25">
        <w:t xml:space="preserve"> on the </w:t>
      </w:r>
      <w:r w:rsidRPr="002A69FB">
        <w:t>Safety</w:t>
      </w:r>
      <w:r w:rsidRPr="00DD7C25">
        <w:t xml:space="preserve"> of Medicines (ACSOM)</w:t>
      </w:r>
    </w:p>
    <w:p w:rsidR="00DD7C25" w:rsidRPr="00DD7C25" w:rsidRDefault="00DD7C25" w:rsidP="00C6563E">
      <w:r w:rsidRPr="00DD7C25">
        <w:t>The</w:t>
      </w:r>
      <w:r>
        <w:t xml:space="preserve"> application was submitted for advice from the </w:t>
      </w:r>
      <w:r w:rsidRPr="00DD7C25">
        <w:t>ACSOM.</w:t>
      </w:r>
    </w:p>
    <w:p w:rsidR="00DD7C25" w:rsidRPr="00C6563E" w:rsidRDefault="00DD7C25" w:rsidP="00C6563E">
      <w:pPr>
        <w:pStyle w:val="Heading4"/>
      </w:pPr>
      <w:r w:rsidRPr="00DD7C25">
        <w:t>Outstanding issues</w:t>
      </w:r>
    </w:p>
    <w:p w:rsidR="00DD7C25" w:rsidRPr="00C6563E" w:rsidRDefault="00DD7C25" w:rsidP="00C6563E">
      <w:pPr>
        <w:pStyle w:val="Heading5"/>
      </w:pPr>
      <w:r w:rsidRPr="00DD7C25">
        <w:t>Issues in relation to the RMP</w:t>
      </w:r>
    </w:p>
    <w:p w:rsidR="00DD7C25" w:rsidRPr="00DD7C25" w:rsidRDefault="00DD7C25" w:rsidP="00C6563E">
      <w:r>
        <w:t xml:space="preserve">The sponsor has insufficiently or </w:t>
      </w:r>
      <w:r w:rsidRPr="00DD7C25">
        <w:t xml:space="preserve">unacceptably addressed the majority of the recommendations made in the round 1 RMP report. The majority of the recommendations made in the round 1 RMP report remain (see </w:t>
      </w:r>
      <w:r>
        <w:t>T</w:t>
      </w:r>
      <w:r w:rsidRPr="00DD7C25">
        <w:t xml:space="preserve">able </w:t>
      </w:r>
      <w:r w:rsidR="00AE1FA7">
        <w:t>5</w:t>
      </w:r>
      <w:r>
        <w:t xml:space="preserve"> above</w:t>
      </w:r>
      <w:r w:rsidRPr="00DD7C25">
        <w:t>).</w:t>
      </w:r>
    </w:p>
    <w:p w:rsidR="00DD7C25" w:rsidRPr="00C6563E" w:rsidRDefault="00DD7C25" w:rsidP="00C6563E">
      <w:pPr>
        <w:pStyle w:val="Heading4"/>
      </w:pPr>
      <w:r>
        <w:lastRenderedPageBreak/>
        <w:t>Recommendation</w:t>
      </w:r>
    </w:p>
    <w:p w:rsidR="00841BAD" w:rsidRDefault="00DD7C25" w:rsidP="00C6563E">
      <w:pPr>
        <w:pStyle w:val="ListBullet"/>
      </w:pPr>
      <w:r w:rsidRPr="00DD7C25">
        <w:t>The Australian Risk Management Plan version 1, data lock point 14-Sep-2012 to be revised to the satisfaction of the TGA, must be implemented.</w:t>
      </w:r>
    </w:p>
    <w:p w:rsidR="00DD7C25" w:rsidRPr="00DD7C25" w:rsidRDefault="00DD7C25" w:rsidP="00C6563E">
      <w:pPr>
        <w:pStyle w:val="ListBullet"/>
      </w:pPr>
      <w:r w:rsidRPr="00C6563E">
        <w:t>Recommendations</w:t>
      </w:r>
      <w:r w:rsidRPr="00DD7C25">
        <w:t xml:space="preserve"> made in </w:t>
      </w:r>
      <w:r w:rsidR="00371347">
        <w:t xml:space="preserve">the </w:t>
      </w:r>
      <w:r w:rsidRPr="00DD7C25">
        <w:t xml:space="preserve">section </w:t>
      </w:r>
      <w:r w:rsidR="00371347">
        <w:t>“outstanding issues”</w:t>
      </w:r>
      <w:r w:rsidRPr="00DD7C25">
        <w:t xml:space="preserve"> must be addressed to the satisfaction of the </w:t>
      </w:r>
      <w:r w:rsidR="00841BAD">
        <w:t>O</w:t>
      </w:r>
      <w:r w:rsidRPr="00DD7C25">
        <w:t>PR prior to approval.</w:t>
      </w:r>
    </w:p>
    <w:p w:rsidR="008E7846" w:rsidRPr="00792A32" w:rsidRDefault="008E7846" w:rsidP="00C6563E">
      <w:pPr>
        <w:pStyle w:val="Heading2"/>
      </w:pPr>
      <w:bookmarkStart w:id="147" w:name="_Toc314842510"/>
      <w:bookmarkStart w:id="148" w:name="_Toc412817733"/>
      <w:r>
        <w:t xml:space="preserve">VI. </w:t>
      </w:r>
      <w:r w:rsidRPr="00792A32">
        <w:t xml:space="preserve">Overall </w:t>
      </w:r>
      <w:r>
        <w:t>c</w:t>
      </w:r>
      <w:r w:rsidRPr="00792A32">
        <w:t xml:space="preserve">onclusion and </w:t>
      </w:r>
      <w:r w:rsidRPr="009216E1">
        <w:t>risk</w:t>
      </w:r>
      <w:r w:rsidRPr="00792A32">
        <w:t>/</w:t>
      </w:r>
      <w:r>
        <w:t>b</w:t>
      </w:r>
      <w:r w:rsidRPr="00792A32">
        <w:t xml:space="preserve">enefit </w:t>
      </w:r>
      <w:r w:rsidRPr="00C6563E">
        <w:t>assessment</w:t>
      </w:r>
      <w:bookmarkEnd w:id="114"/>
      <w:bookmarkEnd w:id="146"/>
      <w:bookmarkEnd w:id="147"/>
      <w:bookmarkEnd w:id="148"/>
    </w:p>
    <w:p w:rsidR="008E7846" w:rsidRDefault="008E7846" w:rsidP="00C6563E">
      <w:bookmarkStart w:id="149" w:name="_Toc247691528"/>
      <w:r>
        <w:t xml:space="preserve">The submission was summarised in the following </w:t>
      </w:r>
      <w:r w:rsidRPr="00EF5C48">
        <w:t xml:space="preserve">Delegate’s </w:t>
      </w:r>
      <w:r>
        <w:t>overview</w:t>
      </w:r>
      <w:r w:rsidRPr="00EF5C48">
        <w:t xml:space="preserve"> and recommendation</w:t>
      </w:r>
      <w:r>
        <w:t>s:</w:t>
      </w:r>
    </w:p>
    <w:p w:rsidR="00841BAD" w:rsidRPr="00C6563E" w:rsidRDefault="00841BAD" w:rsidP="00C6563E">
      <w:pPr>
        <w:pStyle w:val="Heading3"/>
      </w:pPr>
      <w:bookmarkStart w:id="150" w:name="_Toc412817734"/>
      <w:bookmarkStart w:id="151" w:name="_Toc314842511"/>
      <w:r>
        <w:t>Background</w:t>
      </w:r>
      <w:bookmarkEnd w:id="150"/>
    </w:p>
    <w:p w:rsidR="00841BAD" w:rsidRPr="00841BAD" w:rsidRDefault="00841BAD" w:rsidP="00C6563E">
      <w:r w:rsidRPr="00841BAD">
        <w:t xml:space="preserve">Australian clinical guidelines for treatment of Haemophilia A include: </w:t>
      </w:r>
      <w:r w:rsidRPr="00C6563E">
        <w:rPr>
          <w:i/>
        </w:rPr>
        <w:t>Evidence-based clinical practice guidelines for the use of recombinant and plasma-derived FVIII and FIX products (NBA / AHCDO, 2006)</w:t>
      </w:r>
      <w:r w:rsidRPr="00841BAD">
        <w:t>. Therapy rests on replacement. Currently registered recombinant products include:</w:t>
      </w:r>
    </w:p>
    <w:p w:rsidR="00841BAD" w:rsidRPr="00841BAD" w:rsidRDefault="00841BAD" w:rsidP="00C6563E">
      <w:proofErr w:type="spellStart"/>
      <w:proofErr w:type="gramStart"/>
      <w:r w:rsidRPr="00841BAD">
        <w:t>Kogenate</w:t>
      </w:r>
      <w:proofErr w:type="spellEnd"/>
      <w:r w:rsidRPr="00841BAD">
        <w:t xml:space="preserve"> FS (</w:t>
      </w:r>
      <w:proofErr w:type="spellStart"/>
      <w:r w:rsidRPr="00841BAD">
        <w:t>octocog</w:t>
      </w:r>
      <w:proofErr w:type="spellEnd"/>
      <w:r w:rsidRPr="00841BAD">
        <w:t xml:space="preserve"> </w:t>
      </w:r>
      <w:proofErr w:type="spellStart"/>
      <w:r w:rsidRPr="00841BAD">
        <w:t>alfa</w:t>
      </w:r>
      <w:proofErr w:type="spellEnd"/>
      <w:r w:rsidRPr="00841BAD">
        <w:t xml:space="preserve">), </w:t>
      </w:r>
      <w:proofErr w:type="spellStart"/>
      <w:r w:rsidRPr="00841BAD">
        <w:t>Advate</w:t>
      </w:r>
      <w:proofErr w:type="spellEnd"/>
      <w:r w:rsidRPr="00841BAD">
        <w:t xml:space="preserve"> (</w:t>
      </w:r>
      <w:proofErr w:type="spellStart"/>
      <w:r w:rsidRPr="00841BAD">
        <w:t>octocog</w:t>
      </w:r>
      <w:proofErr w:type="spellEnd"/>
      <w:r w:rsidRPr="00841BAD">
        <w:t xml:space="preserve"> </w:t>
      </w:r>
      <w:proofErr w:type="spellStart"/>
      <w:r w:rsidRPr="00841BAD">
        <w:t>alfa</w:t>
      </w:r>
      <w:proofErr w:type="spellEnd"/>
      <w:r w:rsidRPr="00841BAD">
        <w:t xml:space="preserve">), </w:t>
      </w:r>
      <w:proofErr w:type="spellStart"/>
      <w:r w:rsidRPr="00841BAD">
        <w:t>Xyntha</w:t>
      </w:r>
      <w:proofErr w:type="spellEnd"/>
      <w:r w:rsidRPr="00841BAD">
        <w:t xml:space="preserve"> (</w:t>
      </w:r>
      <w:proofErr w:type="spellStart"/>
      <w:r w:rsidRPr="00841BAD">
        <w:t>moroctocog</w:t>
      </w:r>
      <w:proofErr w:type="spellEnd"/>
      <w:r w:rsidRPr="00841BAD">
        <w:t xml:space="preserve"> </w:t>
      </w:r>
      <w:proofErr w:type="spellStart"/>
      <w:r w:rsidRPr="00841BAD">
        <w:t>alfa</w:t>
      </w:r>
      <w:proofErr w:type="spellEnd"/>
      <w:r w:rsidRPr="00841BAD">
        <w:t xml:space="preserve">), and </w:t>
      </w:r>
      <w:proofErr w:type="spellStart"/>
      <w:r w:rsidRPr="00841BAD">
        <w:t>NovoEight</w:t>
      </w:r>
      <w:proofErr w:type="spellEnd"/>
      <w:r w:rsidRPr="00841BAD">
        <w:t xml:space="preserve"> (</w:t>
      </w:r>
      <w:proofErr w:type="spellStart"/>
      <w:r w:rsidRPr="00841BAD">
        <w:t>turoctocog</w:t>
      </w:r>
      <w:proofErr w:type="spellEnd"/>
      <w:r w:rsidRPr="00841BAD">
        <w:t xml:space="preserve"> </w:t>
      </w:r>
      <w:proofErr w:type="spellStart"/>
      <w:r w:rsidRPr="00841BAD">
        <w:t>alfa</w:t>
      </w:r>
      <w:proofErr w:type="spellEnd"/>
      <w:r w:rsidRPr="00841BAD">
        <w:t>).</w:t>
      </w:r>
      <w:proofErr w:type="gramEnd"/>
    </w:p>
    <w:p w:rsidR="00841BAD" w:rsidRPr="00841BAD" w:rsidRDefault="00841BAD" w:rsidP="00C6563E">
      <w:r w:rsidRPr="00841BAD">
        <w:t xml:space="preserve">Baxter also has an earlier generation product, </w:t>
      </w:r>
      <w:proofErr w:type="spellStart"/>
      <w:r w:rsidRPr="00841BAD">
        <w:t>Recombinate</w:t>
      </w:r>
      <w:proofErr w:type="spellEnd"/>
      <w:r w:rsidRPr="00841BAD">
        <w:t xml:space="preserve">, on the ARTG. Registered plasma-derived FVIII products include </w:t>
      </w:r>
      <w:proofErr w:type="spellStart"/>
      <w:r w:rsidRPr="00841BAD">
        <w:t>Octanate</w:t>
      </w:r>
      <w:proofErr w:type="spellEnd"/>
      <w:r w:rsidRPr="00841BAD">
        <w:t xml:space="preserve"> and (with </w:t>
      </w:r>
      <w:proofErr w:type="spellStart"/>
      <w:r w:rsidRPr="00841BAD">
        <w:t>vWF</w:t>
      </w:r>
      <w:proofErr w:type="spellEnd"/>
      <w:r w:rsidRPr="00841BAD">
        <w:t xml:space="preserve">) </w:t>
      </w:r>
      <w:proofErr w:type="spellStart"/>
      <w:r w:rsidRPr="00841BAD">
        <w:t>Biostate</w:t>
      </w:r>
      <w:proofErr w:type="spellEnd"/>
      <w:r w:rsidRPr="00841BAD">
        <w:t xml:space="preserve"> and </w:t>
      </w:r>
      <w:proofErr w:type="spellStart"/>
      <w:r w:rsidRPr="00841BAD">
        <w:t>Wilate</w:t>
      </w:r>
      <w:proofErr w:type="spellEnd"/>
      <w:r w:rsidRPr="00841BAD">
        <w:t>.</w:t>
      </w:r>
    </w:p>
    <w:p w:rsidR="00841BAD" w:rsidRDefault="00841BAD" w:rsidP="00C6563E">
      <w:r w:rsidRPr="00841BAD">
        <w:t xml:space="preserve">FVIII in recombinant products has a half-life of </w:t>
      </w:r>
      <w:r w:rsidR="00F460AA" w:rsidRPr="00841BAD">
        <w:t>approximately</w:t>
      </w:r>
      <w:r w:rsidRPr="00841BAD">
        <w:t xml:space="preserve"> 10</w:t>
      </w:r>
      <w:r w:rsidR="00BA2BBD">
        <w:t xml:space="preserve"> to </w:t>
      </w:r>
      <w:r w:rsidRPr="00841BAD">
        <w:t>15 hours (compared with Eloctate: approximately 17.7 hours</w:t>
      </w:r>
      <w:r w:rsidR="00EC4E7F">
        <w:rPr>
          <w:rStyle w:val="FootnoteReference"/>
        </w:rPr>
        <w:footnoteReference w:id="16"/>
      </w:r>
      <w:r w:rsidRPr="00841BAD">
        <w:t>), resulting in similar dosing frequencies across registered products (in adults). The general approach is to modify dosage regimens (dosage intervals, doses) based on individual factors: bleeding phenotype but also individual PK.</w:t>
      </w:r>
    </w:p>
    <w:p w:rsidR="008E7846" w:rsidRDefault="008E7846" w:rsidP="00C6563E">
      <w:pPr>
        <w:pStyle w:val="Heading3"/>
      </w:pPr>
      <w:bookmarkStart w:id="152" w:name="_Toc412817735"/>
      <w:r>
        <w:t>Quality</w:t>
      </w:r>
      <w:bookmarkEnd w:id="149"/>
      <w:bookmarkEnd w:id="151"/>
      <w:bookmarkEnd w:id="152"/>
    </w:p>
    <w:p w:rsidR="00F7768D" w:rsidRPr="00F7768D" w:rsidRDefault="00F7768D" w:rsidP="00C6563E">
      <w:r w:rsidRPr="00F7768D">
        <w:t>There were no Module 3 objections to registration.</w:t>
      </w:r>
    </w:p>
    <w:p w:rsidR="00F7768D" w:rsidRPr="00F7768D" w:rsidRDefault="00F7768D" w:rsidP="00C6563E">
      <w:r w:rsidRPr="00F7768D">
        <w:t>Evaluated data suppor</w:t>
      </w:r>
      <w:r w:rsidR="00B75541">
        <w:t>t a shelf-life of 1 year at -70°</w:t>
      </w:r>
      <w:r w:rsidRPr="00F7768D">
        <w:t>C for drug substanc</w:t>
      </w:r>
      <w:r w:rsidR="00A865C2">
        <w:t xml:space="preserve">e and 1 year at 2 to </w:t>
      </w:r>
      <w:r w:rsidR="00B75541">
        <w:t>8°</w:t>
      </w:r>
      <w:r w:rsidRPr="00F7768D">
        <w:t>C for drug product</w:t>
      </w:r>
      <w:r>
        <w:t>.</w:t>
      </w:r>
      <w:r w:rsidRPr="00F7768D">
        <w:t xml:space="preserve"> There were insufficient data to support storage of the product for up to 6 months at room temperature.</w:t>
      </w:r>
      <w:r>
        <w:t xml:space="preserve"> </w:t>
      </w:r>
      <w:r w:rsidRPr="00F7768D">
        <w:t>Recommendations were made to modify statements regarding storage conditions that ar</w:t>
      </w:r>
      <w:r w:rsidR="00371347">
        <w:t>e found on labels and in the PI</w:t>
      </w:r>
      <w:r w:rsidRPr="00F7768D">
        <w:t>.</w:t>
      </w:r>
    </w:p>
    <w:p w:rsidR="00F7768D" w:rsidRPr="00F7768D" w:rsidRDefault="00F7768D" w:rsidP="00C6563E">
      <w:r w:rsidRPr="00F7768D">
        <w:t>The following comment was made about specifications:</w:t>
      </w:r>
    </w:p>
    <w:p w:rsidR="00F7768D" w:rsidRPr="00C6563E" w:rsidRDefault="00841BAD" w:rsidP="00C6563E">
      <w:pPr>
        <w:rPr>
          <w:i/>
        </w:rPr>
      </w:pPr>
      <w:r w:rsidRPr="00C6563E">
        <w:rPr>
          <w:i/>
        </w:rPr>
        <w:t>“</w:t>
      </w:r>
      <w:r w:rsidR="00F7768D" w:rsidRPr="00C6563E">
        <w:rPr>
          <w:i/>
        </w:rPr>
        <w:t>The evaluator has concern with regarding the hi</w:t>
      </w:r>
      <w:r w:rsidR="00B853BD" w:rsidRPr="00C6563E">
        <w:rPr>
          <w:i/>
        </w:rPr>
        <w:t xml:space="preserve">gh specification limit set for </w:t>
      </w:r>
      <w:proofErr w:type="spellStart"/>
      <w:r w:rsidR="00B853BD" w:rsidRPr="00C6563E">
        <w:rPr>
          <w:i/>
        </w:rPr>
        <w:t>non processed</w:t>
      </w:r>
      <w:proofErr w:type="spellEnd"/>
      <w:r w:rsidR="00B853BD" w:rsidRPr="00C6563E">
        <w:rPr>
          <w:i/>
        </w:rPr>
        <w:t xml:space="preserve"> i</w:t>
      </w:r>
      <w:r w:rsidR="00F7768D" w:rsidRPr="00C6563E">
        <w:rPr>
          <w:i/>
        </w:rPr>
        <w:t xml:space="preserve">soform </w:t>
      </w:r>
      <w:r w:rsidR="00371347" w:rsidRPr="00C6563E">
        <w:rPr>
          <w:i/>
        </w:rPr>
        <w:t>(</w:t>
      </w:r>
      <w:proofErr w:type="spellStart"/>
      <w:r w:rsidR="00371347" w:rsidRPr="00C6563E">
        <w:rPr>
          <w:i/>
        </w:rPr>
        <w:t>SCrFVIIIFc</w:t>
      </w:r>
      <w:proofErr w:type="spellEnd"/>
      <w:r w:rsidR="00371347" w:rsidRPr="00C6563E">
        <w:rPr>
          <w:i/>
        </w:rPr>
        <w:t>)</w:t>
      </w:r>
      <w:r w:rsidR="00F7768D" w:rsidRPr="00C6563E">
        <w:rPr>
          <w:i/>
        </w:rPr>
        <w:t xml:space="preserve">. The clinical experience to date has only been with product that has less </w:t>
      </w:r>
      <w:proofErr w:type="spellStart"/>
      <w:r w:rsidR="00371347" w:rsidRPr="00C6563E">
        <w:rPr>
          <w:i/>
        </w:rPr>
        <w:t>SCrFVIIIFc</w:t>
      </w:r>
      <w:proofErr w:type="spellEnd"/>
      <w:r w:rsidR="00F7768D" w:rsidRPr="00C6563E">
        <w:rPr>
          <w:i/>
        </w:rPr>
        <w:t>. Although this form of the product is active and should not impact the in vivo activity of the product the effects of exposure to significant levels of this are not tested.</w:t>
      </w:r>
      <w:r w:rsidRPr="00C6563E">
        <w:rPr>
          <w:i/>
        </w:rPr>
        <w:t>”</w:t>
      </w:r>
    </w:p>
    <w:p w:rsidR="00730F8A" w:rsidRPr="00F7768D" w:rsidRDefault="00841BAD" w:rsidP="00C6563E">
      <w:r>
        <w:t>The quality evaluator has recommended a</w:t>
      </w:r>
      <w:r w:rsidRPr="00F7768D">
        <w:t xml:space="preserve"> condition</w:t>
      </w:r>
      <w:r>
        <w:t>s</w:t>
      </w:r>
      <w:r w:rsidRPr="00F7768D">
        <w:t xml:space="preserve"> of registration </w:t>
      </w:r>
      <w:r>
        <w:t>regarding limits for aggregates and b</w:t>
      </w:r>
      <w:r w:rsidRPr="00F7768D">
        <w:t xml:space="preserve">atch </w:t>
      </w:r>
      <w:proofErr w:type="gramStart"/>
      <w:r w:rsidRPr="00F7768D">
        <w:t>rele</w:t>
      </w:r>
      <w:r>
        <w:t>ase .</w:t>
      </w:r>
      <w:proofErr w:type="gramEnd"/>
      <w:r>
        <w:t xml:space="preserve"> Details of these conditions are beyond the scope of the </w:t>
      </w:r>
      <w:proofErr w:type="spellStart"/>
      <w:r>
        <w:t>AusPAR</w:t>
      </w:r>
      <w:proofErr w:type="spellEnd"/>
      <w:r>
        <w:t>.</w:t>
      </w:r>
    </w:p>
    <w:p w:rsidR="008E7846" w:rsidRPr="00C6563E" w:rsidRDefault="008E7846" w:rsidP="00C6563E">
      <w:pPr>
        <w:pStyle w:val="Heading3"/>
      </w:pPr>
      <w:bookmarkStart w:id="153" w:name="_Toc314842512"/>
      <w:bookmarkStart w:id="154" w:name="_Toc412817736"/>
      <w:r>
        <w:lastRenderedPageBreak/>
        <w:t>Nonclinical</w:t>
      </w:r>
      <w:bookmarkEnd w:id="153"/>
      <w:bookmarkEnd w:id="154"/>
    </w:p>
    <w:p w:rsidR="00F7768D" w:rsidRPr="00F7768D" w:rsidRDefault="00371347" w:rsidP="00C6563E">
      <w:r>
        <w:t>There were no non</w:t>
      </w:r>
      <w:r w:rsidR="00F7768D" w:rsidRPr="00F7768D">
        <w:t>clinical ob</w:t>
      </w:r>
      <w:r w:rsidR="00F7768D">
        <w:t>jections to registration</w:t>
      </w:r>
      <w:r>
        <w:t xml:space="preserve">. </w:t>
      </w:r>
      <w:r w:rsidR="00F7768D" w:rsidRPr="00F7768D">
        <w:t xml:space="preserve">Studies in </w:t>
      </w:r>
      <w:proofErr w:type="spellStart"/>
      <w:r w:rsidR="00F7768D" w:rsidRPr="00F7768D">
        <w:t>FcRn</w:t>
      </w:r>
      <w:proofErr w:type="spellEnd"/>
      <w:r w:rsidR="00F7768D" w:rsidRPr="00F7768D">
        <w:t xml:space="preserve"> </w:t>
      </w:r>
      <w:r>
        <w:t>KO</w:t>
      </w:r>
      <w:r w:rsidR="00F7768D" w:rsidRPr="00F7768D">
        <w:t xml:space="preserve"> mice confirmed that the longer elimination half-life of </w:t>
      </w:r>
      <w:proofErr w:type="spellStart"/>
      <w:r w:rsidR="00F7768D" w:rsidRPr="00F7768D">
        <w:t>rFVIIIFc</w:t>
      </w:r>
      <w:proofErr w:type="spellEnd"/>
      <w:r w:rsidR="00F7768D" w:rsidRPr="00F7768D">
        <w:t xml:space="preserve"> is due to interaction with </w:t>
      </w:r>
      <w:proofErr w:type="spellStart"/>
      <w:r w:rsidR="00F7768D" w:rsidRPr="00F7768D">
        <w:t>FcRn</w:t>
      </w:r>
      <w:proofErr w:type="spellEnd"/>
      <w:r w:rsidR="00F7768D" w:rsidRPr="00F7768D">
        <w:t>.</w:t>
      </w:r>
    </w:p>
    <w:p w:rsidR="008E7846" w:rsidRPr="00C6563E" w:rsidRDefault="008E7846" w:rsidP="00C6563E">
      <w:pPr>
        <w:pStyle w:val="Heading3"/>
      </w:pPr>
      <w:bookmarkStart w:id="155" w:name="_Toc247691530"/>
      <w:bookmarkStart w:id="156" w:name="_Toc314842513"/>
      <w:bookmarkStart w:id="157" w:name="_Toc412817737"/>
      <w:r>
        <w:t>Clinical</w:t>
      </w:r>
      <w:bookmarkEnd w:id="155"/>
      <w:bookmarkEnd w:id="156"/>
      <w:bookmarkEnd w:id="157"/>
    </w:p>
    <w:p w:rsidR="00F7768D" w:rsidRPr="00F7768D" w:rsidRDefault="00F7768D" w:rsidP="00C6563E">
      <w:bookmarkStart w:id="158" w:name="_Toc314842514"/>
      <w:r w:rsidRPr="00F7768D">
        <w:t>The application was supported by the following:</w:t>
      </w:r>
    </w:p>
    <w:p w:rsidR="00F7768D" w:rsidRPr="00F7768D" w:rsidRDefault="00841BAD" w:rsidP="00C6563E">
      <w:pPr>
        <w:pStyle w:val="ListBullet"/>
      </w:pPr>
      <w:r>
        <w:t xml:space="preserve">Pivotal </w:t>
      </w:r>
      <w:r w:rsidR="00090211" w:rsidRPr="009216E1">
        <w:t>Phase</w:t>
      </w:r>
      <w:r w:rsidR="00090211">
        <w:t xml:space="preserve"> III </w:t>
      </w:r>
      <w:r>
        <w:t>S</w:t>
      </w:r>
      <w:r w:rsidR="00F7768D" w:rsidRPr="00F7768D">
        <w:t xml:space="preserve">tudy A-LONG (997HA301), an uncontrolled study in </w:t>
      </w:r>
      <w:r w:rsidR="00090211">
        <w:t xml:space="preserve">adolescent and </w:t>
      </w:r>
      <w:r w:rsidR="00A865C2">
        <w:t>adult PTPs</w:t>
      </w:r>
      <w:r w:rsidR="00BA2BBD">
        <w:t>.</w:t>
      </w:r>
    </w:p>
    <w:p w:rsidR="00F7768D" w:rsidRPr="00F7768D" w:rsidRDefault="00841BAD" w:rsidP="00C6563E">
      <w:pPr>
        <w:pStyle w:val="ListBullet"/>
      </w:pPr>
      <w:r>
        <w:t xml:space="preserve">A </w:t>
      </w:r>
      <w:r w:rsidRPr="009216E1">
        <w:t>population</w:t>
      </w:r>
      <w:r>
        <w:t xml:space="preserve"> PK </w:t>
      </w:r>
      <w:r w:rsidR="00090211">
        <w:t>analysis</w:t>
      </w:r>
      <w:r w:rsidR="00090211" w:rsidRPr="00F7768D">
        <w:t xml:space="preserve"> </w:t>
      </w:r>
      <w:r w:rsidR="00090211">
        <w:t>(</w:t>
      </w:r>
      <w:r w:rsidR="00F7768D" w:rsidRPr="00F7768D">
        <w:t>CPP-12-026-BIIB031</w:t>
      </w:r>
      <w:r w:rsidR="00090211">
        <w:t>)</w:t>
      </w:r>
      <w:r w:rsidR="00F7768D" w:rsidRPr="00F7768D">
        <w:t xml:space="preserve"> derived from </w:t>
      </w:r>
      <w:r w:rsidR="00090211">
        <w:t xml:space="preserve">clinical studies 998GA301 and 997HA301 </w:t>
      </w:r>
      <w:r w:rsidR="00F7768D" w:rsidRPr="00F7768D">
        <w:t>data</w:t>
      </w:r>
      <w:r w:rsidR="00BA2BBD">
        <w:t>.</w:t>
      </w:r>
    </w:p>
    <w:p w:rsidR="00F7768D" w:rsidRPr="00F7768D" w:rsidRDefault="00090211" w:rsidP="00C6563E">
      <w:pPr>
        <w:pStyle w:val="ListBullet"/>
      </w:pPr>
      <w:proofErr w:type="gramStart"/>
      <w:r>
        <w:t>Phase</w:t>
      </w:r>
      <w:proofErr w:type="gramEnd"/>
      <w:r>
        <w:t xml:space="preserve"> I/</w:t>
      </w:r>
      <w:proofErr w:type="spellStart"/>
      <w:r w:rsidRPr="009216E1">
        <w:t>IIa</w:t>
      </w:r>
      <w:proofErr w:type="spellEnd"/>
      <w:r>
        <w:t xml:space="preserve"> </w:t>
      </w:r>
      <w:r w:rsidR="007E026F" w:rsidRPr="007E026F">
        <w:t>Pharmacokinetic</w:t>
      </w:r>
      <w:r w:rsidR="00F7768D" w:rsidRPr="00F7768D">
        <w:t xml:space="preserve"> </w:t>
      </w:r>
      <w:r w:rsidR="007E026F">
        <w:t>S</w:t>
      </w:r>
      <w:r w:rsidR="00F7768D" w:rsidRPr="00F7768D">
        <w:t>tudy 9</w:t>
      </w:r>
      <w:r>
        <w:t>9</w:t>
      </w:r>
      <w:r w:rsidR="00F7768D" w:rsidRPr="00F7768D">
        <w:t xml:space="preserve">8HA101, in </w:t>
      </w:r>
      <w:r w:rsidR="00A865C2">
        <w:t>PTPs</w:t>
      </w:r>
      <w:r w:rsidR="00F7768D" w:rsidRPr="00F7768D">
        <w:t xml:space="preserve"> </w:t>
      </w:r>
      <w:r w:rsidR="00C666F4">
        <w:t xml:space="preserve">including </w:t>
      </w:r>
      <w:r w:rsidR="00F7768D" w:rsidRPr="00F7768D">
        <w:t xml:space="preserve">a subset of patients in </w:t>
      </w:r>
      <w:r w:rsidR="00C666F4">
        <w:t>997HA301</w:t>
      </w:r>
      <w:r w:rsidR="00F7768D" w:rsidRPr="00F7768D">
        <w:t>)</w:t>
      </w:r>
      <w:r w:rsidR="00BA2BBD">
        <w:t>.</w:t>
      </w:r>
    </w:p>
    <w:p w:rsidR="00F7768D" w:rsidRPr="00F7768D" w:rsidRDefault="00F7768D" w:rsidP="00C6563E">
      <w:pPr>
        <w:pStyle w:val="ListBullet"/>
      </w:pPr>
      <w:r w:rsidRPr="009216E1">
        <w:t>8HA02PED</w:t>
      </w:r>
      <w:r w:rsidRPr="00F7768D">
        <w:t xml:space="preserve">, a progress report of use in paediatric </w:t>
      </w:r>
      <w:r w:rsidR="00A865C2">
        <w:t>PTPs</w:t>
      </w:r>
      <w:r w:rsidRPr="00F7768D">
        <w:t xml:space="preserve"> </w:t>
      </w:r>
      <w:r w:rsidR="00371347">
        <w:t>&lt;</w:t>
      </w:r>
      <w:r>
        <w:t xml:space="preserve"> </w:t>
      </w:r>
      <w:r w:rsidRPr="00F7768D">
        <w:t>12 years</w:t>
      </w:r>
      <w:r w:rsidR="00BA2BBD">
        <w:t>.</w:t>
      </w:r>
    </w:p>
    <w:p w:rsidR="00F7768D" w:rsidRPr="00F7768D" w:rsidRDefault="00F7768D" w:rsidP="00C6563E">
      <w:pPr>
        <w:pStyle w:val="ListBullet"/>
      </w:pPr>
      <w:r w:rsidRPr="009216E1">
        <w:t>8HA01EXT</w:t>
      </w:r>
      <w:r w:rsidRPr="00F7768D">
        <w:t>, an extension study enrolling patients from A-LONG and 8HA02PED</w:t>
      </w:r>
      <w:r w:rsidR="00BA2BBD">
        <w:t>.</w:t>
      </w:r>
    </w:p>
    <w:p w:rsidR="00F7768D" w:rsidRPr="006C3A39" w:rsidRDefault="00F7768D" w:rsidP="00C6563E">
      <w:r w:rsidRPr="006C3A39">
        <w:t xml:space="preserve">Information about formulations used across the clinical study programme </w:t>
      </w:r>
      <w:r w:rsidR="00D71E83" w:rsidRPr="006C3A39">
        <w:t>was provided</w:t>
      </w:r>
      <w:r w:rsidR="00371347" w:rsidRPr="006C3A39">
        <w:t xml:space="preserve">. </w:t>
      </w:r>
      <w:r w:rsidRPr="006C3A39">
        <w:t>The formulation proposed for commercial use differs (in manufacture) from the pivotal Phase III study formulation; a comparability exercise included physicochemical and in vitro characterisation, and PK evaluation in animal models.</w:t>
      </w:r>
    </w:p>
    <w:p w:rsidR="00F7768D" w:rsidRPr="009216E1" w:rsidRDefault="00F7768D" w:rsidP="00C6563E">
      <w:pPr>
        <w:pStyle w:val="Heading4"/>
      </w:pPr>
      <w:r w:rsidRPr="00C6563E">
        <w:t>Pharmacokinetics</w:t>
      </w:r>
    </w:p>
    <w:p w:rsidR="00F7768D" w:rsidRPr="00143F6F" w:rsidRDefault="00D71E83" w:rsidP="00C6563E">
      <w:r>
        <w:t>Study 998HA101</w:t>
      </w:r>
      <w:r w:rsidR="00F7768D">
        <w:t xml:space="preserve"> </w:t>
      </w:r>
      <w:r>
        <w:t xml:space="preserve">was a cross </w:t>
      </w:r>
      <w:r w:rsidR="00F7768D" w:rsidRPr="00F7768D">
        <w:t xml:space="preserve">over study comparing </w:t>
      </w:r>
      <w:proofErr w:type="spellStart"/>
      <w:r w:rsidR="00F7768D" w:rsidRPr="00F7768D">
        <w:t>rFVIIIFc</w:t>
      </w:r>
      <w:proofErr w:type="spellEnd"/>
      <w:r w:rsidR="00F7768D" w:rsidRPr="00F7768D">
        <w:t xml:space="preserve"> and </w:t>
      </w:r>
      <w:proofErr w:type="spellStart"/>
      <w:r w:rsidR="00F7768D" w:rsidRPr="00F7768D">
        <w:t>Advate</w:t>
      </w:r>
      <w:proofErr w:type="spellEnd"/>
      <w:r w:rsidR="00F7768D" w:rsidRPr="00F7768D">
        <w:t>, in previously treated adults with severe haemophilia</w:t>
      </w:r>
      <w:r w:rsidR="00F7768D">
        <w:t xml:space="preserve"> A. </w:t>
      </w:r>
      <w:r w:rsidR="00F7768D" w:rsidRPr="00F7768D">
        <w:t>Washout was 4</w:t>
      </w:r>
      <w:r w:rsidR="00AE1FA7">
        <w:t xml:space="preserve"> </w:t>
      </w:r>
      <w:r w:rsidR="00F7768D" w:rsidRPr="00AE1FA7">
        <w:t>+</w:t>
      </w:r>
      <w:r w:rsidR="00F7768D" w:rsidRPr="00F7768D">
        <w:t xml:space="preserve"> days (</w:t>
      </w:r>
      <w:proofErr w:type="spellStart"/>
      <w:r w:rsidR="00F7768D" w:rsidRPr="00F7768D">
        <w:t>Advate</w:t>
      </w:r>
      <w:proofErr w:type="spellEnd"/>
      <w:r w:rsidR="00F7768D" w:rsidRPr="00F7768D">
        <w:t xml:space="preserve"> was </w:t>
      </w:r>
      <w:r w:rsidR="00F7768D">
        <w:t xml:space="preserve">given first for each patient). </w:t>
      </w:r>
      <w:r w:rsidR="00F7768D" w:rsidRPr="00F7768D">
        <w:t>Two doses were assessed, in different patients: 25 IU/kg (n</w:t>
      </w:r>
      <w:r>
        <w:t xml:space="preserve"> </w:t>
      </w:r>
      <w:r w:rsidR="00F7768D" w:rsidRPr="00F7768D">
        <w:t>=</w:t>
      </w:r>
      <w:r>
        <w:t xml:space="preserve"> </w:t>
      </w:r>
      <w:r w:rsidR="00F7768D" w:rsidRPr="00F7768D">
        <w:t>6, median age 42 y</w:t>
      </w:r>
      <w:r w:rsidR="00444E82">
        <w:t>ea</w:t>
      </w:r>
      <w:r w:rsidR="00F7768D" w:rsidRPr="00F7768D">
        <w:t>rs) and 65 IU/kg (n</w:t>
      </w:r>
      <w:r>
        <w:t xml:space="preserve"> </w:t>
      </w:r>
      <w:r w:rsidR="00F7768D" w:rsidRPr="00F7768D">
        <w:t>=</w:t>
      </w:r>
      <w:r>
        <w:t xml:space="preserve"> </w:t>
      </w:r>
      <w:r w:rsidR="00F7768D" w:rsidRPr="00F7768D">
        <w:t>10, median age 30 y</w:t>
      </w:r>
      <w:r w:rsidR="00444E82">
        <w:t>ea</w:t>
      </w:r>
      <w:r w:rsidR="00F7768D" w:rsidRPr="00F7768D">
        <w:t>rs)</w:t>
      </w:r>
      <w:r w:rsidR="00F7768D">
        <w:t xml:space="preserve">. </w:t>
      </w:r>
      <w:r>
        <w:t xml:space="preserve">Based on the one </w:t>
      </w:r>
      <w:r w:rsidR="00F7768D" w:rsidRPr="00F7768D">
        <w:t xml:space="preserve">stage clotting assay, at the 25 IU/kg dose, half-life for </w:t>
      </w:r>
      <w:proofErr w:type="spellStart"/>
      <w:r w:rsidR="00F7768D" w:rsidRPr="00F7768D">
        <w:t>rFVIIIFc</w:t>
      </w:r>
      <w:proofErr w:type="spellEnd"/>
      <w:r w:rsidR="00F7768D" w:rsidRPr="00F7768D">
        <w:t xml:space="preserve"> was 17.7 h</w:t>
      </w:r>
      <w:r>
        <w:t>ou</w:t>
      </w:r>
      <w:r w:rsidR="00F7768D" w:rsidRPr="00F7768D">
        <w:t xml:space="preserve">rs, </w:t>
      </w:r>
      <w:r>
        <w:t>versus</w:t>
      </w:r>
      <w:r w:rsidR="00F7768D" w:rsidRPr="00F7768D">
        <w:t xml:space="preserve"> 11.57 h</w:t>
      </w:r>
      <w:r>
        <w:t>ou</w:t>
      </w:r>
      <w:r w:rsidR="00F7768D" w:rsidRPr="00F7768D">
        <w:t xml:space="preserve">rs for </w:t>
      </w:r>
      <w:proofErr w:type="spellStart"/>
      <w:r w:rsidR="00F7768D" w:rsidRPr="00F7768D">
        <w:t>Advate</w:t>
      </w:r>
      <w:proofErr w:type="spellEnd"/>
      <w:r w:rsidR="00F7768D" w:rsidRPr="00F7768D">
        <w:t xml:space="preserve"> (</w:t>
      </w:r>
      <w:proofErr w:type="spellStart"/>
      <w:r w:rsidR="00F7768D" w:rsidRPr="00F7768D">
        <w:t>rFVIIIFc</w:t>
      </w:r>
      <w:proofErr w:type="spellEnd"/>
      <w:r w:rsidR="00F7768D" w:rsidRPr="00F7768D">
        <w:t xml:space="preserve"> 53% higher)</w:t>
      </w:r>
      <w:r w:rsidR="00F7768D">
        <w:t xml:space="preserve">. </w:t>
      </w:r>
      <w:r w:rsidR="00F7768D" w:rsidRPr="00F7768D">
        <w:t>At 65 IU/kg, values were 17.24 h</w:t>
      </w:r>
      <w:r w:rsidR="006C3A39">
        <w:t>ou</w:t>
      </w:r>
      <w:r w:rsidR="00F7768D" w:rsidRPr="00F7768D">
        <w:t>rs and 9.96 h</w:t>
      </w:r>
      <w:r w:rsidR="006C3A39">
        <w:t>ou</w:t>
      </w:r>
      <w:r w:rsidR="00F7768D" w:rsidRPr="00F7768D">
        <w:t>rs respectively (</w:t>
      </w:r>
      <w:proofErr w:type="spellStart"/>
      <w:r w:rsidR="00F7768D" w:rsidRPr="00F7768D">
        <w:t>rFVIIIFc</w:t>
      </w:r>
      <w:proofErr w:type="spellEnd"/>
      <w:r w:rsidR="00F7768D" w:rsidRPr="00F7768D">
        <w:t xml:space="preserve"> 76% higher)</w:t>
      </w:r>
      <w:r w:rsidR="00F7768D">
        <w:t xml:space="preserve">. </w:t>
      </w:r>
      <w:r w:rsidR="00F7768D" w:rsidRPr="00F7768D">
        <w:t>Other PK parameters aligned with these differences.</w:t>
      </w:r>
      <w:r w:rsidR="00F7768D">
        <w:t xml:space="preserve"> </w:t>
      </w:r>
      <w:r w:rsidR="00F7768D" w:rsidRPr="00143F6F">
        <w:t xml:space="preserve">There was a disparity in reported bleeding (all 13 reports were after </w:t>
      </w:r>
      <w:proofErr w:type="spellStart"/>
      <w:r w:rsidR="00F7768D" w:rsidRPr="00143F6F">
        <w:t>rFVIIIFc</w:t>
      </w:r>
      <w:proofErr w:type="spellEnd"/>
      <w:r w:rsidR="00F7768D" w:rsidRPr="00143F6F">
        <w:t xml:space="preserve">) but the study was designed so that there were only 4 days during which a bleed could have occurred ‘on </w:t>
      </w:r>
      <w:proofErr w:type="spellStart"/>
      <w:r w:rsidR="00F7768D" w:rsidRPr="00143F6F">
        <w:t>Advate</w:t>
      </w:r>
      <w:proofErr w:type="spellEnd"/>
      <w:r w:rsidR="00F7768D" w:rsidRPr="00143F6F">
        <w:t>’.</w:t>
      </w:r>
    </w:p>
    <w:p w:rsidR="00F7768D" w:rsidRPr="00F7768D" w:rsidRDefault="00F7768D" w:rsidP="00C6563E">
      <w:proofErr w:type="gramStart"/>
      <w:r w:rsidRPr="00F7768D">
        <w:t>Population PK analysis CPP-12-026-BIIB031</w:t>
      </w:r>
      <w:r w:rsidR="0045258F">
        <w:t>.</w:t>
      </w:r>
      <w:proofErr w:type="gramEnd"/>
      <w:r w:rsidR="0045258F">
        <w:t xml:space="preserve"> </w:t>
      </w:r>
      <w:r w:rsidRPr="00F7768D">
        <w:t xml:space="preserve">This analysis drew on data from </w:t>
      </w:r>
      <w:r w:rsidR="00C666F4" w:rsidRPr="00C666F4">
        <w:t>997HA301</w:t>
      </w:r>
      <w:r w:rsidR="00C666F4" w:rsidRPr="00C666F4" w:rsidDel="00C666F4">
        <w:t xml:space="preserve"> </w:t>
      </w:r>
      <w:r w:rsidRPr="00F7768D">
        <w:t>A-LO</w:t>
      </w:r>
      <w:r w:rsidR="0045258F">
        <w:t>NG (n=16</w:t>
      </w:r>
      <w:r w:rsidR="006E29BE">
        <w:t>4</w:t>
      </w:r>
      <w:r w:rsidR="0045258F">
        <w:t xml:space="preserve">) and 998HA101 (n=16). </w:t>
      </w:r>
      <w:r w:rsidRPr="00F7768D">
        <w:t>Models were cr</w:t>
      </w:r>
      <w:r w:rsidR="0045258F">
        <w:t xml:space="preserve">eated for </w:t>
      </w:r>
      <w:proofErr w:type="spellStart"/>
      <w:r w:rsidR="0045258F">
        <w:t>Advate</w:t>
      </w:r>
      <w:proofErr w:type="spellEnd"/>
      <w:r w:rsidR="0045258F">
        <w:t xml:space="preserve"> and </w:t>
      </w:r>
      <w:proofErr w:type="spellStart"/>
      <w:r w:rsidR="0045258F">
        <w:t>rFVIIIFc</w:t>
      </w:r>
      <w:proofErr w:type="spellEnd"/>
      <w:r w:rsidR="0045258F">
        <w:t xml:space="preserve">. </w:t>
      </w:r>
      <w:r w:rsidRPr="00F7768D">
        <w:t>For the prophylaxis model, a key finding was that the 65 IU/kg weekly dose regimen resulted in 27% of subjects remaining above 1% activity at trough, whereas the 50 IU/kg q5day regimen resulted in 53.4% rem</w:t>
      </w:r>
      <w:r w:rsidR="0045258F">
        <w:t xml:space="preserve">aining above the 1% threshold. </w:t>
      </w:r>
      <w:r w:rsidR="006C3A39">
        <w:t xml:space="preserve">Details of </w:t>
      </w:r>
      <w:r w:rsidR="006C3A39" w:rsidRPr="006C3A39">
        <w:t>the</w:t>
      </w:r>
      <w:r w:rsidRPr="006C3A39">
        <w:t xml:space="preserve"> treatment model </w:t>
      </w:r>
      <w:r w:rsidR="006C3A39" w:rsidRPr="006C3A39">
        <w:t xml:space="preserve">are provided in the </w:t>
      </w:r>
      <w:r w:rsidRPr="006C3A39">
        <w:t>CER</w:t>
      </w:r>
      <w:r w:rsidR="006C3A39">
        <w:t xml:space="preserve"> (Attachment 2)</w:t>
      </w:r>
      <w:r w:rsidRPr="006C3A39">
        <w:t>; one</w:t>
      </w:r>
      <w:r w:rsidRPr="00F7768D">
        <w:t xml:space="preserve"> conclusion was that only in isolated cases would &gt;</w:t>
      </w:r>
      <w:r w:rsidR="00AE1FA7">
        <w:t xml:space="preserve"> </w:t>
      </w:r>
      <w:r w:rsidRPr="00F7768D">
        <w:t>1 do</w:t>
      </w:r>
      <w:r w:rsidR="00AE1FA7">
        <w:t xml:space="preserve">se be needed within 1 to </w:t>
      </w:r>
      <w:r w:rsidRPr="00F7768D">
        <w:t xml:space="preserve">2 </w:t>
      </w:r>
      <w:r w:rsidR="008640A6">
        <w:t xml:space="preserve">days for mild </w:t>
      </w:r>
      <w:r w:rsidR="003A0A26">
        <w:t xml:space="preserve">moderate bleeds. </w:t>
      </w:r>
      <w:r w:rsidR="00AE1FA7">
        <w:t xml:space="preserve">The target range of 80 to </w:t>
      </w:r>
      <w:r w:rsidRPr="00F7768D">
        <w:t>100 IU/</w:t>
      </w:r>
      <w:proofErr w:type="spellStart"/>
      <w:r w:rsidRPr="00F7768D">
        <w:t>dL</w:t>
      </w:r>
      <w:proofErr w:type="spellEnd"/>
      <w:r w:rsidRPr="00F7768D">
        <w:t xml:space="preserve"> for major bleeds was stated as attainabl</w:t>
      </w:r>
      <w:r w:rsidR="00AE1FA7">
        <w:t xml:space="preserve">e with 24 to </w:t>
      </w:r>
      <w:r w:rsidR="0045258F">
        <w:t xml:space="preserve">48 hourly infusions. </w:t>
      </w:r>
      <w:r w:rsidRPr="00F7768D">
        <w:t xml:space="preserve">The major covariate for </w:t>
      </w:r>
      <w:proofErr w:type="spellStart"/>
      <w:r w:rsidR="008640A6">
        <w:t>r</w:t>
      </w:r>
      <w:r w:rsidRPr="00F7768D">
        <w:t>FVIIIFc</w:t>
      </w:r>
      <w:proofErr w:type="spellEnd"/>
      <w:r w:rsidRPr="00F7768D">
        <w:t xml:space="preserve"> activity was clearance.</w:t>
      </w:r>
    </w:p>
    <w:p w:rsidR="003A0A26" w:rsidRPr="003A0A26" w:rsidRDefault="003A0A26" w:rsidP="00C6563E">
      <w:pPr>
        <w:pStyle w:val="Heading4"/>
      </w:pPr>
      <w:r w:rsidRPr="003A0A26">
        <w:t>Efficacy</w:t>
      </w:r>
    </w:p>
    <w:p w:rsidR="003A0A26" w:rsidRPr="003A0A26" w:rsidRDefault="003A0A26" w:rsidP="00C6563E">
      <w:pPr>
        <w:pStyle w:val="Heading5"/>
      </w:pPr>
      <w:r w:rsidRPr="003A0A26">
        <w:t>A-LONG (997HA301)</w:t>
      </w:r>
    </w:p>
    <w:p w:rsidR="003A0A26" w:rsidRPr="003A0A26" w:rsidRDefault="008640A6" w:rsidP="00C6563E">
      <w:r>
        <w:t xml:space="preserve">The study was an open </w:t>
      </w:r>
      <w:r w:rsidR="003A0A26" w:rsidRPr="003A0A26">
        <w:t xml:space="preserve">label study of </w:t>
      </w:r>
      <w:proofErr w:type="spellStart"/>
      <w:r w:rsidR="003A0A26" w:rsidRPr="003A0A26">
        <w:t>rFVIIIFc</w:t>
      </w:r>
      <w:proofErr w:type="spellEnd"/>
      <w:r w:rsidR="003A0A26" w:rsidRPr="003A0A26">
        <w:t xml:space="preserve"> in previously treated adults and children </w:t>
      </w:r>
      <w:r w:rsidR="00A865C2">
        <w:t>≥ </w:t>
      </w:r>
      <w:r w:rsidR="003A0A26" w:rsidRPr="003A0A26">
        <w:t>12 y</w:t>
      </w:r>
      <w:r>
        <w:t>ea</w:t>
      </w:r>
      <w:r w:rsidR="003A0A26" w:rsidRPr="003A0A26">
        <w:t>rs with severe haemophilia A</w:t>
      </w:r>
      <w:r w:rsidR="0045258F">
        <w:t xml:space="preserve">. </w:t>
      </w:r>
      <w:r w:rsidR="003A0A26" w:rsidRPr="003A0A26">
        <w:t>In a subgrou</w:t>
      </w:r>
      <w:r>
        <w:t xml:space="preserve">p there was a single dose cross </w:t>
      </w:r>
      <w:r w:rsidR="003A0A26" w:rsidRPr="003A0A26">
        <w:t xml:space="preserve">over PK comparison with </w:t>
      </w:r>
      <w:proofErr w:type="spellStart"/>
      <w:r w:rsidR="003A0A26" w:rsidRPr="003A0A26">
        <w:t>Advate</w:t>
      </w:r>
      <w:proofErr w:type="spellEnd"/>
      <w:r w:rsidR="003A0A26" w:rsidRPr="003A0A26">
        <w:t xml:space="preserve"> (Study 998HA101</w:t>
      </w:r>
      <w:r w:rsidR="006C3A39">
        <w:t>.</w:t>
      </w:r>
      <w:r w:rsidR="003A0A26" w:rsidRPr="003A0A26">
        <w:t xml:space="preserve"> – see PK section above); otherwise the stud</w:t>
      </w:r>
      <w:r w:rsidR="0045258F">
        <w:t xml:space="preserve">y was uncontrolled. </w:t>
      </w:r>
      <w:r w:rsidR="003A0A26" w:rsidRPr="003A0A26">
        <w:t>There were 3 arms:</w:t>
      </w:r>
    </w:p>
    <w:p w:rsidR="003A0A26" w:rsidRPr="003A0A26" w:rsidRDefault="003A0A26" w:rsidP="00C6563E">
      <w:pPr>
        <w:pStyle w:val="ListBullet"/>
      </w:pPr>
      <w:r w:rsidRPr="003A0A26">
        <w:lastRenderedPageBreak/>
        <w:t xml:space="preserve">Arm 1: individualised prophylaxis (25-65 IU/kg </w:t>
      </w:r>
      <w:r w:rsidR="006C3A39">
        <w:t xml:space="preserve">every </w:t>
      </w:r>
      <w:r w:rsidRPr="003A0A26">
        <w:t>3-5days to maintain trough 1</w:t>
      </w:r>
      <w:r w:rsidR="006C3A39">
        <w:t> </w:t>
      </w:r>
      <w:r w:rsidRPr="003A0A26">
        <w:t>-</w:t>
      </w:r>
      <w:r w:rsidR="006C3A39">
        <w:t> </w:t>
      </w:r>
      <w:r w:rsidRPr="003A0A26">
        <w:t>3% activity); the PK subgroup was drawn from this arm</w:t>
      </w:r>
      <w:r w:rsidR="00BA2BBD">
        <w:t>.</w:t>
      </w:r>
    </w:p>
    <w:p w:rsidR="003A0A26" w:rsidRPr="003A0A26" w:rsidRDefault="003A0A26" w:rsidP="00C6563E">
      <w:pPr>
        <w:pStyle w:val="ListBullet"/>
      </w:pPr>
      <w:r w:rsidRPr="003A0A26">
        <w:t>Arm 2: weekly prophylaxis (65 IU/kg every 7 days)</w:t>
      </w:r>
      <w:r w:rsidR="00BA2BBD">
        <w:t>.</w:t>
      </w:r>
    </w:p>
    <w:p w:rsidR="003A0A26" w:rsidRPr="003A0A26" w:rsidRDefault="003A0A26" w:rsidP="00C6563E">
      <w:pPr>
        <w:pStyle w:val="ListBullet"/>
      </w:pPr>
      <w:r w:rsidRPr="003A0A26">
        <w:t>Arm 3: episodic (on demand) dosing</w:t>
      </w:r>
      <w:r w:rsidR="00BA2BBD">
        <w:t>.</w:t>
      </w:r>
    </w:p>
    <w:p w:rsidR="003A0A26" w:rsidRPr="003A0A26" w:rsidRDefault="008640A6" w:rsidP="00C6563E">
      <w:pPr>
        <w:pStyle w:val="ListBullet"/>
      </w:pPr>
      <w:r>
        <w:t>Peri</w:t>
      </w:r>
      <w:r w:rsidR="003A0A26" w:rsidRPr="003A0A26">
        <w:t xml:space="preserve">operative management subgroup (patients from </w:t>
      </w:r>
      <w:r w:rsidR="003A0A26" w:rsidRPr="00C6563E">
        <w:t>Arms</w:t>
      </w:r>
      <w:r w:rsidR="003A0A26" w:rsidRPr="003A0A26">
        <w:t xml:space="preserve"> 1</w:t>
      </w:r>
      <w:r>
        <w:t xml:space="preserve"> </w:t>
      </w:r>
      <w:r w:rsidR="003A0A26" w:rsidRPr="003A0A26">
        <w:t>-</w:t>
      </w:r>
      <w:r>
        <w:t xml:space="preserve"> </w:t>
      </w:r>
      <w:r w:rsidR="003A0A26" w:rsidRPr="003A0A26">
        <w:t>3 who needed major surgery)</w:t>
      </w:r>
      <w:r w:rsidR="00BA2BBD">
        <w:t>.</w:t>
      </w:r>
    </w:p>
    <w:p w:rsidR="003A0A26" w:rsidRPr="003A0A26" w:rsidRDefault="003A0A26" w:rsidP="00C6563E">
      <w:r w:rsidRPr="003A0A26">
        <w:t xml:space="preserve">The rationale for dosage selection in this study is provided </w:t>
      </w:r>
      <w:r>
        <w:t>in</w:t>
      </w:r>
      <w:r w:rsidRPr="003A0A26">
        <w:t xml:space="preserve"> the CER.</w:t>
      </w:r>
    </w:p>
    <w:p w:rsidR="003A0A26" w:rsidRPr="003A0A26" w:rsidRDefault="003A0A26" w:rsidP="00C6563E">
      <w:r w:rsidRPr="003A0A26">
        <w:t xml:space="preserve">There was randomisation into Arms 2 or 3, for those </w:t>
      </w:r>
      <w:r w:rsidR="008640A6">
        <w:t xml:space="preserve">subjects previously using an on </w:t>
      </w:r>
      <w:r w:rsidRPr="003A0A26">
        <w:t>demand approach who did not want to enter Arm 1 directly; otherwise the study was not randomised.</w:t>
      </w:r>
    </w:p>
    <w:p w:rsidR="003A0A26" w:rsidRPr="003A0A26" w:rsidRDefault="003A0A26" w:rsidP="00C6563E">
      <w:r w:rsidRPr="003A0A26">
        <w:t>165 patients were enrolled and</w:t>
      </w:r>
      <w:r w:rsidR="006B0425">
        <w:t xml:space="preserve"> 153 completed the study. </w:t>
      </w:r>
      <w:r w:rsidRPr="003A0A26">
        <w:t>In Arm 1, there were 118 patients; in Arm 2, there were 24 patients; in Arm 3, there were 23 patients</w:t>
      </w:r>
      <w:r w:rsidR="006B0425">
        <w:t xml:space="preserve">. </w:t>
      </w:r>
      <w:r w:rsidRPr="003A0A26">
        <w:t>Informed consent issues were identified in 27% of subjects, but the s</w:t>
      </w:r>
      <w:r w:rsidR="00F50309">
        <w:t xml:space="preserve">ponsor clarified that in only 3 out of </w:t>
      </w:r>
      <w:r w:rsidRPr="003A0A26">
        <w:t>44 patients were issues c</w:t>
      </w:r>
      <w:r w:rsidR="00F50309">
        <w:t xml:space="preserve">onsidered significant, and in 3out of </w:t>
      </w:r>
      <w:r w:rsidRPr="003A0A26">
        <w:t>3 cases t</w:t>
      </w:r>
      <w:r w:rsidR="0045258F">
        <w:t xml:space="preserve">he deviations were corrected on </w:t>
      </w:r>
      <w:r w:rsidRPr="003A0A26">
        <w:t>study.</w:t>
      </w:r>
    </w:p>
    <w:p w:rsidR="003A0A26" w:rsidRPr="003A0A26" w:rsidRDefault="003A0A26" w:rsidP="00C6563E">
      <w:r w:rsidRPr="003A0A26">
        <w:t>All patients were male; the median</w:t>
      </w:r>
      <w:r w:rsidR="006B0425">
        <w:t xml:space="preserve"> age was 30 y</w:t>
      </w:r>
      <w:r w:rsidR="00AE1FA7">
        <w:t>ea</w:t>
      </w:r>
      <w:r w:rsidR="006B0425">
        <w:t xml:space="preserve">rs (range 12-65). </w:t>
      </w:r>
      <w:r w:rsidRPr="003A0A26">
        <w:t>There we</w:t>
      </w:r>
      <w:r w:rsidR="00AE1FA7">
        <w:t xml:space="preserve">re 13 patients aged 12 to </w:t>
      </w:r>
      <w:r w:rsidR="006B0425">
        <w:t>17 y</w:t>
      </w:r>
      <w:r w:rsidR="00AE1FA7">
        <w:t>ea</w:t>
      </w:r>
      <w:r w:rsidR="006B0425">
        <w:t xml:space="preserve">rs. </w:t>
      </w:r>
      <w:r w:rsidRPr="003A0A26">
        <w:t>The median number of bleeds in the prior 12 months was 6.0 in Arm 1 patients who had been on a prophylactic regimen; across patients who had been on an on-demand regimen,</w:t>
      </w:r>
      <w:r w:rsidR="00AE1FA7">
        <w:t xml:space="preserve"> median number of bleeds was 24 to </w:t>
      </w:r>
      <w:r w:rsidRPr="003A0A26">
        <w:t>29.5</w:t>
      </w:r>
      <w:r w:rsidR="0045258F">
        <w:t xml:space="preserve">. </w:t>
      </w:r>
      <w:r w:rsidRPr="003A0A26">
        <w:t>Two patients withdrew because of AEs, and 1 patient died (suicide).</w:t>
      </w:r>
    </w:p>
    <w:p w:rsidR="003A0A26" w:rsidRPr="003A0A26" w:rsidRDefault="003A0A26" w:rsidP="00C6563E">
      <w:r w:rsidRPr="003A0A26">
        <w:t>Estimated</w:t>
      </w:r>
      <w:r w:rsidR="000D43F9">
        <w:t xml:space="preserve"> </w:t>
      </w:r>
      <w:r w:rsidRPr="003A0A26">
        <w:t>annualised bleeding rate over the efficacy period was 2.9 for Arm 1, 8.9 for Arm 2</w:t>
      </w:r>
      <w:r w:rsidR="00D2446A">
        <w:t xml:space="preserve"> and 37.3 for Arm 3. </w:t>
      </w:r>
      <w:r w:rsidRPr="003A0A26">
        <w:t>Annualised, no bleeding was estimated for 45.3% of subjects in Arm 1, 1</w:t>
      </w:r>
      <w:r w:rsidR="00547177">
        <w:t xml:space="preserve">7.4% in Arm 2 and 0% in Arm 3. </w:t>
      </w:r>
      <w:r w:rsidRPr="003A0A26">
        <w:t>In the 11 adolescents in Arm 1, the median annualised bleeding rate was 1.92 (simi</w:t>
      </w:r>
      <w:r w:rsidR="00AE1FA7">
        <w:t xml:space="preserve">lar to the rate for patients 18 to </w:t>
      </w:r>
      <w:r w:rsidRPr="003A0A26">
        <w:t>65 y</w:t>
      </w:r>
      <w:r w:rsidR="008640A6">
        <w:t>ea</w:t>
      </w:r>
      <w:r w:rsidRPr="003A0A26">
        <w:t>rs, at 1.44).</w:t>
      </w:r>
    </w:p>
    <w:p w:rsidR="003A0A26" w:rsidRPr="003A0A26" w:rsidRDefault="003A0A26" w:rsidP="00C6563E">
      <w:r w:rsidRPr="003A0A26">
        <w:t xml:space="preserve">Around 78% of patients considered that responses to </w:t>
      </w:r>
      <w:proofErr w:type="spellStart"/>
      <w:r w:rsidRPr="003A0A26">
        <w:t>rFVIIIFc</w:t>
      </w:r>
      <w:proofErr w:type="spellEnd"/>
      <w:r w:rsidRPr="003A0A26">
        <w:t xml:space="preserve"> injections for a bleeding episode were g</w:t>
      </w:r>
      <w:r w:rsidR="00D2446A">
        <w:t xml:space="preserve">ood or excellent, across arms. </w:t>
      </w:r>
      <w:r w:rsidRPr="003A0A26">
        <w:t>Other efficacy results are de</w:t>
      </w:r>
      <w:r w:rsidR="0045258F">
        <w:t xml:space="preserve">scribed </w:t>
      </w:r>
      <w:r w:rsidR="008640A6">
        <w:t>in the</w:t>
      </w:r>
      <w:r w:rsidR="0045258F">
        <w:t xml:space="preserve"> CER. </w:t>
      </w:r>
      <w:r w:rsidRPr="003A0A26">
        <w:t>Nine major surgeries were performed; haemostasis was excellent or good in all cases.</w:t>
      </w:r>
    </w:p>
    <w:p w:rsidR="003C5105" w:rsidRPr="003C5105" w:rsidRDefault="003C5105" w:rsidP="00C6563E">
      <w:pPr>
        <w:pStyle w:val="Heading4"/>
      </w:pPr>
      <w:r w:rsidRPr="003C5105">
        <w:t>Safety</w:t>
      </w:r>
    </w:p>
    <w:p w:rsidR="003C5105" w:rsidRPr="003C5105" w:rsidRDefault="003C5105" w:rsidP="00C6563E">
      <w:r w:rsidRPr="003C5105">
        <w:t xml:space="preserve">The clinical evaluator considered that </w:t>
      </w:r>
      <w:r w:rsidR="009205E6">
        <w:t xml:space="preserve">Phase III Study </w:t>
      </w:r>
      <w:r w:rsidR="009205E6" w:rsidRPr="009205E6">
        <w:t>997HA301</w:t>
      </w:r>
      <w:r w:rsidR="009205E6">
        <w:t xml:space="preserve"> </w:t>
      </w:r>
      <w:r w:rsidRPr="003C5105">
        <w:t xml:space="preserve">provided the best characterisation of safety for </w:t>
      </w:r>
      <w:proofErr w:type="spellStart"/>
      <w:r w:rsidRPr="003C5105">
        <w:t>rFVIIIFc</w:t>
      </w:r>
      <w:proofErr w:type="spellEnd"/>
      <w:r w:rsidRPr="003C5105">
        <w:t>, but noted that safety data were also presented from</w:t>
      </w:r>
      <w:r>
        <w:t xml:space="preserve"> ongoing Study 8HA02PED. </w:t>
      </w:r>
      <w:r w:rsidRPr="003C5105">
        <w:t>Only 23 patients had received 1</w:t>
      </w:r>
      <w:r w:rsidR="008640A6">
        <w:t xml:space="preserve"> </w:t>
      </w:r>
      <w:r>
        <w:t xml:space="preserve">+ dose, and only one treatment </w:t>
      </w:r>
      <w:r w:rsidRPr="003C5105">
        <w:t xml:space="preserve">emergent SAE has been reported (infection, considered unrelated to </w:t>
      </w:r>
      <w:proofErr w:type="spellStart"/>
      <w:r w:rsidRPr="003C5105">
        <w:t>rFVIIIFc</w:t>
      </w:r>
      <w:proofErr w:type="spellEnd"/>
      <w:r>
        <w:t xml:space="preserve">). </w:t>
      </w:r>
      <w:r w:rsidRPr="003C5105">
        <w:t xml:space="preserve">There were also safety data from those A-LONG patients who rolled over into </w:t>
      </w:r>
      <w:r>
        <w:t>Study 8HA01EXT</w:t>
      </w:r>
      <w:r w:rsidR="00AE1FA7">
        <w:t xml:space="preserve">. </w:t>
      </w:r>
      <w:r w:rsidRPr="003C5105">
        <w:t>150 patients had rolled over, 95 of whom had completed t</w:t>
      </w:r>
      <w:r>
        <w:t xml:space="preserve">he first 6 month safety visit. </w:t>
      </w:r>
      <w:r w:rsidRPr="003C5105">
        <w:t>There were 10 SAEs in 8 patients, all unrelated to treatment and none of special interest (</w:t>
      </w:r>
      <w:r w:rsidR="001B789A">
        <w:t xml:space="preserve">no </w:t>
      </w:r>
      <w:r w:rsidRPr="003C5105">
        <w:t>inhibitors, anaphylaxis, serious hypersensitivity</w:t>
      </w:r>
      <w:r w:rsidR="001B789A">
        <w:t xml:space="preserve">, </w:t>
      </w:r>
      <w:proofErr w:type="spellStart"/>
      <w:r w:rsidR="001B789A">
        <w:t>or</w:t>
      </w:r>
      <w:r w:rsidRPr="003C5105">
        <w:t>thrombotic</w:t>
      </w:r>
      <w:proofErr w:type="spellEnd"/>
      <w:r w:rsidRPr="003C5105">
        <w:t xml:space="preserve"> events).</w:t>
      </w:r>
    </w:p>
    <w:p w:rsidR="003C5105" w:rsidRPr="003C5105" w:rsidRDefault="003C5105" w:rsidP="00C6563E">
      <w:r w:rsidRPr="003C5105">
        <w:t xml:space="preserve">In </w:t>
      </w:r>
      <w:r w:rsidR="001B789A" w:rsidRPr="001B789A">
        <w:t>997HA301</w:t>
      </w:r>
      <w:r w:rsidRPr="003C5105">
        <w:t>, 164 patients received 1</w:t>
      </w:r>
      <w:r w:rsidR="008640A6">
        <w:t xml:space="preserve"> </w:t>
      </w:r>
      <w:r w:rsidRPr="003C5105">
        <w:t xml:space="preserve">+ dose of </w:t>
      </w:r>
      <w:proofErr w:type="spellStart"/>
      <w:r w:rsidRPr="003C5105">
        <w:t>rFVIIIFc</w:t>
      </w:r>
      <w:proofErr w:type="spellEnd"/>
      <w:r w:rsidRPr="003C5105">
        <w:t xml:space="preserve"> for a median duration of 30.5 w</w:t>
      </w:r>
      <w:r>
        <w:t>ee</w:t>
      </w:r>
      <w:r w:rsidRPr="003C5105">
        <w:t>ks; 89% of patients received treatment for 26</w:t>
      </w:r>
      <w:r w:rsidR="00AE1FA7">
        <w:t xml:space="preserve"> +</w:t>
      </w:r>
      <w:r w:rsidRPr="003C5105">
        <w:t xml:space="preserve"> w</w:t>
      </w:r>
      <w:r>
        <w:t>ee</w:t>
      </w:r>
      <w:r w:rsidRPr="003C5105">
        <w:t>ks but only 3.7% for 52</w:t>
      </w:r>
      <w:r w:rsidR="00AE1FA7">
        <w:t xml:space="preserve"> +</w:t>
      </w:r>
      <w:r w:rsidRPr="003C5105">
        <w:t xml:space="preserve"> w</w:t>
      </w:r>
      <w:r>
        <w:t xml:space="preserve">eeks. </w:t>
      </w:r>
      <w:r w:rsidRPr="003C5105">
        <w:t>The median number o</w:t>
      </w:r>
      <w:r w:rsidR="00AE1FA7">
        <w:t xml:space="preserve">f exposure days was 57 (range 1 to </w:t>
      </w:r>
      <w:r w:rsidRPr="003C5105">
        <w:t xml:space="preserve">123), with 111 patients having </w:t>
      </w:r>
      <w:r w:rsidR="008640A6">
        <w:t>&gt;</w:t>
      </w:r>
      <w:r>
        <w:t xml:space="preserve"> </w:t>
      </w:r>
      <w:r w:rsidRPr="003C5105">
        <w:t xml:space="preserve">50 </w:t>
      </w:r>
      <w:proofErr w:type="spellStart"/>
      <w:r w:rsidRPr="003C5105">
        <w:t>EDs.</w:t>
      </w:r>
      <w:proofErr w:type="spellEnd"/>
    </w:p>
    <w:p w:rsidR="00F7768D" w:rsidRPr="00F7768D" w:rsidRDefault="003C5105" w:rsidP="00C6563E">
      <w:r w:rsidRPr="003C5105">
        <w:t xml:space="preserve">A description of AEs in </w:t>
      </w:r>
      <w:r w:rsidR="001B789A" w:rsidRPr="001B789A">
        <w:t>997HA301</w:t>
      </w:r>
      <w:r w:rsidR="001B789A">
        <w:t xml:space="preserve"> </w:t>
      </w:r>
      <w:r w:rsidRPr="006C3A39">
        <w:t xml:space="preserve">is </w:t>
      </w:r>
      <w:r w:rsidR="008640A6" w:rsidRPr="006C3A39">
        <w:t>in</w:t>
      </w:r>
      <w:r w:rsidRPr="006C3A39">
        <w:t xml:space="preserve"> the CER</w:t>
      </w:r>
      <w:r w:rsidR="006C3A39" w:rsidRPr="006C3A39">
        <w:t xml:space="preserve"> (see </w:t>
      </w:r>
      <w:proofErr w:type="spellStart"/>
      <w:r w:rsidR="006C3A39" w:rsidRPr="006C3A39">
        <w:t>AusPAR</w:t>
      </w:r>
      <w:proofErr w:type="spellEnd"/>
      <w:r w:rsidR="006C3A39" w:rsidRPr="006C3A39">
        <w:t xml:space="preserve"> Attachment 2)</w:t>
      </w:r>
      <w:r w:rsidRPr="006C3A39">
        <w:t xml:space="preserve">. No </w:t>
      </w:r>
      <w:r w:rsidRPr="003C5105">
        <w:t xml:space="preserve">patients developed an inhibitor (neutralising antibody, </w:t>
      </w:r>
      <w:r w:rsidR="008640A6">
        <w:t xml:space="preserve">≥ </w:t>
      </w:r>
      <w:r w:rsidRPr="003C5105">
        <w:t>0.6 BU/mL); there were no SAEs of allergic reaction, anaphylaxis or serious hypersensitivity; there were no SAEs of thrombotic events.</w:t>
      </w:r>
      <w:r>
        <w:t xml:space="preserve"> </w:t>
      </w:r>
      <w:r w:rsidRPr="003C5105">
        <w:t xml:space="preserve">One bleeding episode was an SAE; this was a hip </w:t>
      </w:r>
      <w:proofErr w:type="spellStart"/>
      <w:r w:rsidRPr="003C5105">
        <w:t>haemarthrosis</w:t>
      </w:r>
      <w:proofErr w:type="spellEnd"/>
      <w:r w:rsidRPr="003C5105">
        <w:t xml:space="preserve"> not considered related to treatment (which was presumably captured in efficacy res</w:t>
      </w:r>
      <w:r>
        <w:t xml:space="preserve">ults). </w:t>
      </w:r>
      <w:r w:rsidRPr="003C5105">
        <w:t>There was no sign of a worse</w:t>
      </w:r>
      <w:r w:rsidR="008640A6">
        <w:t xml:space="preserve"> safety profile in adolescents.</w:t>
      </w:r>
    </w:p>
    <w:p w:rsidR="007B6132" w:rsidRPr="00C6563E" w:rsidRDefault="007B6132" w:rsidP="00C6563E">
      <w:pPr>
        <w:pStyle w:val="Heading4"/>
      </w:pPr>
      <w:r w:rsidRPr="000D15A2">
        <w:lastRenderedPageBreak/>
        <w:t>Clinical evaluator’s recommendation</w:t>
      </w:r>
    </w:p>
    <w:p w:rsidR="00405E2C" w:rsidRPr="006C3A39" w:rsidRDefault="006C3A39" w:rsidP="00C6563E">
      <w:r w:rsidRPr="006C3A39">
        <w:t xml:space="preserve">The clinical evaluator recommended approval </w:t>
      </w:r>
      <w:r w:rsidR="000D15A2" w:rsidRPr="006C3A39">
        <w:t>for the use of El</w:t>
      </w:r>
      <w:r w:rsidRPr="006C3A39">
        <w:t>octate in adults and children (</w:t>
      </w:r>
      <w:r w:rsidR="000D15A2" w:rsidRPr="006C3A39">
        <w:t>≥ 12 years) with haemophilia A for control and prevention of bleeding episodes; routine prophylaxis to prevent or reduce the frequency of bleeding episodes; and perioperative management (surgical prophylaxis). Approval is subject to satisfactory</w:t>
      </w:r>
      <w:r w:rsidRPr="006C3A39">
        <w:t xml:space="preserve"> response to questions raised.</w:t>
      </w:r>
    </w:p>
    <w:p w:rsidR="008E7846" w:rsidRDefault="00386150" w:rsidP="00C6563E">
      <w:pPr>
        <w:pStyle w:val="Heading3"/>
        <w:rPr>
          <w:lang w:eastAsia="en-AU"/>
        </w:rPr>
      </w:pPr>
      <w:bookmarkStart w:id="159" w:name="_Toc412817738"/>
      <w:r>
        <w:rPr>
          <w:lang w:eastAsia="en-AU"/>
        </w:rPr>
        <w:t>Risk m</w:t>
      </w:r>
      <w:r w:rsidR="008E7846">
        <w:rPr>
          <w:lang w:eastAsia="en-AU"/>
        </w:rPr>
        <w:t xml:space="preserve">anagement </w:t>
      </w:r>
      <w:r>
        <w:rPr>
          <w:lang w:eastAsia="en-AU"/>
        </w:rPr>
        <w:t>p</w:t>
      </w:r>
      <w:r w:rsidR="008E7846">
        <w:rPr>
          <w:lang w:eastAsia="en-AU"/>
        </w:rPr>
        <w:t>lan</w:t>
      </w:r>
      <w:bookmarkEnd w:id="158"/>
      <w:bookmarkEnd w:id="159"/>
    </w:p>
    <w:p w:rsidR="008E7846" w:rsidRDefault="003C5105" w:rsidP="00C6563E">
      <w:r w:rsidRPr="003C5105">
        <w:t xml:space="preserve">The RMP proposed by the sponsor was considered unacceptable </w:t>
      </w:r>
      <w:r>
        <w:t>by the RMP evaluation s</w:t>
      </w:r>
      <w:r w:rsidRPr="003C5105">
        <w:t>ection, in some areas.</w:t>
      </w:r>
      <w:r>
        <w:t xml:space="preserve"> </w:t>
      </w:r>
      <w:r w:rsidR="006C3A39">
        <w:t>Advice from ACSOM wa</w:t>
      </w:r>
      <w:r w:rsidRPr="003C5105">
        <w:t>s pending; this may help inform decisions regarding changes to the RMP required before approval.</w:t>
      </w:r>
      <w:r>
        <w:t xml:space="preserve"> </w:t>
      </w:r>
      <w:r w:rsidRPr="003C5105">
        <w:t xml:space="preserve">The sponsor proposes to submit an </w:t>
      </w:r>
      <w:r w:rsidR="00AE1FA7">
        <w:t xml:space="preserve">updated </w:t>
      </w:r>
      <w:r w:rsidR="006C3A39" w:rsidRPr="006C3A39">
        <w:t>RMP in response to this overview</w:t>
      </w:r>
      <w:r w:rsidRPr="003C5105">
        <w:t xml:space="preserve"> to address</w:t>
      </w:r>
      <w:r w:rsidR="00AE1FA7">
        <w:t xml:space="preserve"> many issues raised by the RMP e</w:t>
      </w:r>
      <w:r w:rsidRPr="003C5105">
        <w:t>valuator</w:t>
      </w:r>
      <w:r w:rsidR="0038263A">
        <w:rPr>
          <w:rStyle w:val="FootnoteReference"/>
        </w:rPr>
        <w:footnoteReference w:id="17"/>
      </w:r>
      <w:r w:rsidRPr="003C5105">
        <w:t>.</w:t>
      </w:r>
      <w:r>
        <w:t xml:space="preserve"> </w:t>
      </w:r>
      <w:r w:rsidRPr="006C3A39">
        <w:t>Some specific topics are considered under ‘</w:t>
      </w:r>
      <w:r w:rsidR="006C3A39">
        <w:t>Del</w:t>
      </w:r>
      <w:r w:rsidR="001B789A">
        <w:t>e</w:t>
      </w:r>
      <w:r w:rsidR="006C3A39">
        <w:t xml:space="preserve">gates considerations’ </w:t>
      </w:r>
      <w:r w:rsidRPr="006C3A39">
        <w:t>below</w:t>
      </w:r>
      <w:r w:rsidRPr="000D15A2">
        <w:rPr>
          <w:color w:val="9160CB" w:themeColor="accent5" w:themeTint="99"/>
        </w:rPr>
        <w:t>.</w:t>
      </w:r>
    </w:p>
    <w:p w:rsidR="008E7846" w:rsidRDefault="00AA0ED0" w:rsidP="00C6563E">
      <w:pPr>
        <w:pStyle w:val="Heading3"/>
      </w:pPr>
      <w:bookmarkStart w:id="160" w:name="_Toc247691531"/>
      <w:bookmarkStart w:id="161" w:name="_Toc314842515"/>
      <w:bookmarkStart w:id="162" w:name="_Toc412817739"/>
      <w:bookmarkStart w:id="163" w:name="_Toc196046505"/>
      <w:bookmarkStart w:id="164" w:name="_Toc196046949"/>
      <w:r>
        <w:t>Risk-benefit a</w:t>
      </w:r>
      <w:r w:rsidR="008E7846">
        <w:t>nalysis</w:t>
      </w:r>
      <w:bookmarkEnd w:id="160"/>
      <w:bookmarkEnd w:id="161"/>
      <w:bookmarkEnd w:id="162"/>
    </w:p>
    <w:p w:rsidR="00D23139" w:rsidRDefault="00D23139" w:rsidP="00C6563E">
      <w:pPr>
        <w:pStyle w:val="Heading4"/>
      </w:pPr>
      <w:r w:rsidRPr="00D23139">
        <w:t>Delegate’s considerations</w:t>
      </w:r>
    </w:p>
    <w:p w:rsidR="00612630" w:rsidRPr="00612630" w:rsidRDefault="00612630" w:rsidP="00C6563E">
      <w:pPr>
        <w:pStyle w:val="Heading5"/>
      </w:pPr>
      <w:r w:rsidRPr="00612630">
        <w:t>Efficacy</w:t>
      </w:r>
    </w:p>
    <w:p w:rsidR="00612630" w:rsidRPr="00612630" w:rsidRDefault="00612630" w:rsidP="00C6563E">
      <w:r w:rsidRPr="00612630">
        <w:t>It is not possible to compare efficacy in Arms 1 and 2 formally, because there was no randomisation into these arms and imbalance in baseline prognostic factors may bias the efficacy outcomes across arms.</w:t>
      </w:r>
    </w:p>
    <w:p w:rsidR="00612630" w:rsidRPr="00612630" w:rsidRDefault="00612630" w:rsidP="00C6563E">
      <w:r w:rsidRPr="00612630">
        <w:t>A weekly prophylactic regimen might improve patient compliance and adherence to prophylaxis</w:t>
      </w:r>
      <w:r>
        <w:t xml:space="preserve">. </w:t>
      </w:r>
      <w:r w:rsidRPr="00612630">
        <w:t>Notwithstanding the comment above about comparisons across Arms 1 and 2, efficacy appears lower with the weekly option (consistent with the PK results with the 65 IU/kg weekly option).</w:t>
      </w:r>
    </w:p>
    <w:p w:rsidR="00612630" w:rsidRPr="00B853BD" w:rsidRDefault="00612630" w:rsidP="00C6563E">
      <w:r w:rsidRPr="00B853BD">
        <w:t xml:space="preserve">The </w:t>
      </w:r>
      <w:r w:rsidR="00FF7F49" w:rsidRPr="00FF7F49">
        <w:t xml:space="preserve">Delegate proposed to seek the advice of the Advisory Committee on Prescription Medicines </w:t>
      </w:r>
      <w:r w:rsidR="00FF7F49">
        <w:t>(</w:t>
      </w:r>
      <w:r w:rsidRPr="00B853BD">
        <w:t>ACPM</w:t>
      </w:r>
      <w:r w:rsidR="00FF7F49">
        <w:t xml:space="preserve">) </w:t>
      </w:r>
      <w:r w:rsidR="00FF7F49" w:rsidRPr="00FF7F49">
        <w:t xml:space="preserve">on whether </w:t>
      </w:r>
      <w:r w:rsidRPr="00B853BD">
        <w:t xml:space="preserve">a weekly 65 IU/kg dosing strategy </w:t>
      </w:r>
      <w:proofErr w:type="gramStart"/>
      <w:r w:rsidRPr="00B853BD">
        <w:t>be</w:t>
      </w:r>
      <w:proofErr w:type="gramEnd"/>
      <w:r w:rsidRPr="00B853BD">
        <w:t xml:space="preserve"> e</w:t>
      </w:r>
      <w:r w:rsidR="00FF7F49">
        <w:t>ndorsed, in routine prophylaxis.</w:t>
      </w:r>
    </w:p>
    <w:p w:rsidR="00612630" w:rsidRPr="00612630" w:rsidRDefault="00612630" w:rsidP="00C6563E">
      <w:pPr>
        <w:pStyle w:val="Heading5"/>
      </w:pPr>
      <w:r w:rsidRPr="00612630">
        <w:t>Safety</w:t>
      </w:r>
    </w:p>
    <w:p w:rsidR="00612630" w:rsidRPr="00612630" w:rsidRDefault="00612630" w:rsidP="00C6563E">
      <w:r w:rsidRPr="00612630">
        <w:t xml:space="preserve">The safety profile of Eloctate is consistent with other </w:t>
      </w:r>
      <w:proofErr w:type="spellStart"/>
      <w:r w:rsidRPr="00612630">
        <w:t>rFVIII</w:t>
      </w:r>
      <w:proofErr w:type="spellEnd"/>
      <w:r w:rsidRPr="00612630">
        <w:t xml:space="preserve"> products, in the population </w:t>
      </w:r>
      <w:r>
        <w:t xml:space="preserve">studied. </w:t>
      </w:r>
      <w:r w:rsidRPr="00612630">
        <w:t>Inhibitor development was not seen but difference in the rate of inhibitor development between Eloctate and other products may be better detected in studies of previously untreated and / or paediatric patients.</w:t>
      </w:r>
    </w:p>
    <w:p w:rsidR="00612630" w:rsidRPr="00612630" w:rsidRDefault="00B853BD" w:rsidP="00C6563E">
      <w:pPr>
        <w:pStyle w:val="Heading5"/>
      </w:pPr>
      <w:r>
        <w:t xml:space="preserve">Overall risk </w:t>
      </w:r>
      <w:r w:rsidR="00612630" w:rsidRPr="00612630">
        <w:t>benefit</w:t>
      </w:r>
    </w:p>
    <w:p w:rsidR="00612630" w:rsidRPr="00612630" w:rsidRDefault="00612630" w:rsidP="00C6563E">
      <w:r>
        <w:t>The Delegate</w:t>
      </w:r>
      <w:r w:rsidRPr="00612630">
        <w:t xml:space="preserve"> agree</w:t>
      </w:r>
      <w:r>
        <w:t>s</w:t>
      </w:r>
      <w:r w:rsidRPr="00612630">
        <w:t xml:space="preserve"> with the clin</w:t>
      </w:r>
      <w:r w:rsidR="00B853BD">
        <w:t xml:space="preserve">ical evaluator that the benefit </w:t>
      </w:r>
      <w:r w:rsidRPr="00612630">
        <w:t>risk balance is favourable for this product, in the population reflected by the sponsor’s proposed indications.</w:t>
      </w:r>
    </w:p>
    <w:p w:rsidR="00612630" w:rsidRPr="00612630" w:rsidRDefault="00FF7F49" w:rsidP="00C6563E">
      <w:pPr>
        <w:pStyle w:val="Heading5"/>
      </w:pPr>
      <w:r>
        <w:t xml:space="preserve">Risk </w:t>
      </w:r>
      <w:r w:rsidR="009216E1">
        <w:t>m</w:t>
      </w:r>
      <w:r>
        <w:t xml:space="preserve">anagement </w:t>
      </w:r>
      <w:r w:rsidR="009216E1">
        <w:t>p</w:t>
      </w:r>
      <w:r>
        <w:t>lan</w:t>
      </w:r>
    </w:p>
    <w:p w:rsidR="00612630" w:rsidRPr="00612630" w:rsidRDefault="00612630" w:rsidP="00C6563E">
      <w:r w:rsidRPr="00612630">
        <w:t>The sponsor proposes to pr</w:t>
      </w:r>
      <w:r w:rsidR="000D15A2">
        <w:t xml:space="preserve">ovide an updated RMP </w:t>
      </w:r>
      <w:r w:rsidR="00FF7F49" w:rsidRPr="00FF7F49">
        <w:t>in response to the Delegate’s overview</w:t>
      </w:r>
      <w:r>
        <w:t xml:space="preserve"> </w:t>
      </w:r>
      <w:proofErr w:type="gramStart"/>
      <w:r w:rsidRPr="00612630">
        <w:t>It</w:t>
      </w:r>
      <w:proofErr w:type="gramEnd"/>
      <w:r w:rsidRPr="00612630">
        <w:t xml:space="preserve"> remains to be seen whether this update resolves issues </w:t>
      </w:r>
      <w:r w:rsidR="00AE1FA7">
        <w:t>considered critical by the RMP e</w:t>
      </w:r>
      <w:r w:rsidRPr="00612630">
        <w:t>valuator.</w:t>
      </w:r>
    </w:p>
    <w:p w:rsidR="00612630" w:rsidRPr="009216E1" w:rsidRDefault="00612630" w:rsidP="00C6563E">
      <w:pPr>
        <w:pStyle w:val="Heading5"/>
      </w:pPr>
      <w:r w:rsidRPr="00612630">
        <w:lastRenderedPageBreak/>
        <w:t>RMP – Timing of home treatment</w:t>
      </w:r>
    </w:p>
    <w:p w:rsidR="00FF7F49" w:rsidRPr="001B3168" w:rsidRDefault="00FF7F49" w:rsidP="00C6563E">
      <w:r w:rsidRPr="00612630">
        <w:t xml:space="preserve">A recommendation has been made by the RMP evaluator </w:t>
      </w:r>
      <w:r>
        <w:t xml:space="preserve">regarding the </w:t>
      </w:r>
      <w:r w:rsidRPr="00612630">
        <w:t xml:space="preserve">PI </w:t>
      </w:r>
      <w:r>
        <w:t xml:space="preserve">text on timing of home treatment. Details of this and other recommended revisions to the product literature are beyond the scope of the </w:t>
      </w:r>
      <w:proofErr w:type="spellStart"/>
      <w:r>
        <w:t>AusPAR</w:t>
      </w:r>
      <w:proofErr w:type="spellEnd"/>
      <w:r>
        <w:t>.</w:t>
      </w:r>
    </w:p>
    <w:p w:rsidR="00612630" w:rsidRPr="00612630" w:rsidRDefault="00FF7F49" w:rsidP="00C6563E">
      <w:pPr>
        <w:pStyle w:val="Heading5"/>
      </w:pPr>
      <w:r>
        <w:t xml:space="preserve">RMP: </w:t>
      </w:r>
      <w:r w:rsidR="00612630" w:rsidRPr="00612630">
        <w:t>educational materials</w:t>
      </w:r>
    </w:p>
    <w:p w:rsidR="00612630" w:rsidRPr="00612630" w:rsidRDefault="00612630" w:rsidP="00C6563E">
      <w:r w:rsidRPr="00612630">
        <w:t>The sponsor plans to have demonstration kits for use in haemophilia centres and to have patient</w:t>
      </w:r>
      <w:r w:rsidR="00052C80">
        <w:t xml:space="preserve"> education material. </w:t>
      </w:r>
      <w:r w:rsidRPr="00612630">
        <w:t>The kits and materials have not been provided to the RMP Evaluation Section for review.</w:t>
      </w:r>
    </w:p>
    <w:p w:rsidR="00405E2C" w:rsidRPr="00405E2C" w:rsidRDefault="00612630" w:rsidP="00C6563E">
      <w:r w:rsidRPr="00612630">
        <w:t xml:space="preserve">If these materials cannot be provided for review prior to approval, it will be a condition of registration that the materials must be provided for review and found acceptable by the RMP Evaluation Section prior to </w:t>
      </w:r>
      <w:r w:rsidR="000D15A2">
        <w:t>supply / launch of the product.</w:t>
      </w:r>
    </w:p>
    <w:p w:rsidR="00D23139" w:rsidRDefault="00D23139" w:rsidP="00C6563E">
      <w:pPr>
        <w:pStyle w:val="Heading4"/>
      </w:pPr>
      <w:r w:rsidRPr="00D23139">
        <w:t>Proposed action</w:t>
      </w:r>
    </w:p>
    <w:p w:rsidR="00405E2C" w:rsidRPr="00405E2C" w:rsidRDefault="00052C80" w:rsidP="00C6563E">
      <w:r>
        <w:t>T</w:t>
      </w:r>
      <w:r w:rsidR="00FF7F49">
        <w:t>he Delegate had</w:t>
      </w:r>
      <w:r w:rsidR="00405E2C" w:rsidRPr="00405E2C">
        <w:t xml:space="preserve"> no reason to say, at this time, that the application for E</w:t>
      </w:r>
      <w:r w:rsidR="00532DB2" w:rsidRPr="00405E2C">
        <w:t>loctate</w:t>
      </w:r>
      <w:r w:rsidR="00405E2C" w:rsidRPr="00405E2C">
        <w:t xml:space="preserve"> should not be approved for registration</w:t>
      </w:r>
      <w:r w:rsidR="00BA2BBD">
        <w:t>.</w:t>
      </w:r>
    </w:p>
    <w:p w:rsidR="00405E2C" w:rsidRPr="00405E2C" w:rsidRDefault="00D23139" w:rsidP="00C6563E">
      <w:pPr>
        <w:pStyle w:val="Heading4"/>
      </w:pPr>
      <w:r w:rsidRPr="00D23139">
        <w:t>Request for ACPM advice</w:t>
      </w:r>
    </w:p>
    <w:p w:rsidR="00405E2C" w:rsidRPr="00FF7F49" w:rsidRDefault="00FF7F49" w:rsidP="00C6563E">
      <w:r>
        <w:t xml:space="preserve">The Delegate proposed to seek general advice on this application from the Advisory Committee on Prescription Medicines (ACPM) and to request the </w:t>
      </w:r>
      <w:r w:rsidRPr="000C1CB7">
        <w:t xml:space="preserve">committee </w:t>
      </w:r>
      <w:r w:rsidRPr="001B3168">
        <w:t xml:space="preserve">provide advice on the </w:t>
      </w:r>
      <w:r>
        <w:t>following specific issue</w:t>
      </w:r>
      <w:r w:rsidR="00405E2C" w:rsidRPr="00230343">
        <w:rPr>
          <w:rFonts w:cs="Calibri"/>
          <w:sz w:val="24"/>
          <w:szCs w:val="24"/>
        </w:rPr>
        <w:t>:</w:t>
      </w:r>
    </w:p>
    <w:p w:rsidR="00405E2C" w:rsidRPr="00416EA1" w:rsidRDefault="00405E2C" w:rsidP="00C6563E">
      <w:pPr>
        <w:pStyle w:val="Numberbullet0"/>
        <w:numPr>
          <w:ilvl w:val="0"/>
          <w:numId w:val="47"/>
        </w:numPr>
      </w:pPr>
      <w:r w:rsidRPr="00416EA1">
        <w:t>Can a weekly 65 IU/kg dosing strategy be endorsed, in routine prophylaxis?</w:t>
      </w:r>
    </w:p>
    <w:p w:rsidR="00D23139" w:rsidRDefault="00D23139" w:rsidP="00C6563E">
      <w:pPr>
        <w:pStyle w:val="Heading4"/>
      </w:pPr>
      <w:r w:rsidRPr="00C6563E">
        <w:t>Response</w:t>
      </w:r>
      <w:r w:rsidRPr="00D23139">
        <w:t xml:space="preserve"> from </w:t>
      </w:r>
      <w:r w:rsidR="00812728" w:rsidRPr="00812728">
        <w:t>s</w:t>
      </w:r>
      <w:r w:rsidRPr="00812728">
        <w:t>ponsor</w:t>
      </w:r>
    </w:p>
    <w:p w:rsidR="00FF7F49" w:rsidRPr="00FF7F49" w:rsidRDefault="00FF7F49" w:rsidP="00C6563E">
      <w:r>
        <w:t>The sponsors response to matters raised in the Delegate’s overview are shown below:</w:t>
      </w:r>
    </w:p>
    <w:p w:rsidR="005508ED" w:rsidRPr="00C6563E" w:rsidRDefault="005508ED" w:rsidP="00C6563E">
      <w:pPr>
        <w:rPr>
          <w:i/>
        </w:rPr>
      </w:pPr>
      <w:r w:rsidRPr="00C6563E">
        <w:rPr>
          <w:i/>
        </w:rPr>
        <w:t>In</w:t>
      </w:r>
      <w:r w:rsidR="00FF7F49" w:rsidRPr="00C6563E">
        <w:rPr>
          <w:i/>
        </w:rPr>
        <w:t xml:space="preserve"> the D</w:t>
      </w:r>
      <w:r w:rsidR="000507EA" w:rsidRPr="00C6563E">
        <w:rPr>
          <w:i/>
        </w:rPr>
        <w:t xml:space="preserve">elegate’s overview, it was noted that an updated </w:t>
      </w:r>
      <w:r w:rsidR="000D15A2" w:rsidRPr="00C6563E">
        <w:rPr>
          <w:i/>
        </w:rPr>
        <w:t>RMP</w:t>
      </w:r>
      <w:r w:rsidR="000507EA" w:rsidRPr="00C6563E">
        <w:rPr>
          <w:i/>
        </w:rPr>
        <w:t xml:space="preserve"> will be submit</w:t>
      </w:r>
      <w:r w:rsidR="000D15A2" w:rsidRPr="00C6563E">
        <w:rPr>
          <w:i/>
        </w:rPr>
        <w:t xml:space="preserve">ted at the same time as the pre </w:t>
      </w:r>
      <w:r w:rsidR="000507EA" w:rsidRPr="00C6563E">
        <w:rPr>
          <w:i/>
        </w:rPr>
        <w:t>ACPM response.</w:t>
      </w:r>
    </w:p>
    <w:p w:rsidR="00712973" w:rsidRPr="00C6563E" w:rsidRDefault="000507EA" w:rsidP="00C6563E">
      <w:pPr>
        <w:pStyle w:val="Heading5"/>
      </w:pPr>
      <w:proofErr w:type="spellStart"/>
      <w:r w:rsidRPr="00420AA0">
        <w:t>Biogen</w:t>
      </w:r>
      <w:proofErr w:type="spellEnd"/>
      <w:r w:rsidRPr="00420AA0">
        <w:t xml:space="preserve"> Idec </w:t>
      </w:r>
      <w:r w:rsidR="00812728">
        <w:t>r</w:t>
      </w:r>
      <w:r w:rsidRPr="00420AA0">
        <w:t>esponse:</w:t>
      </w:r>
    </w:p>
    <w:p w:rsidR="00CE54AC" w:rsidRDefault="000507EA" w:rsidP="00C6563E">
      <w:r w:rsidRPr="000507EA">
        <w:t xml:space="preserve">As requested, an updated </w:t>
      </w:r>
      <w:r w:rsidR="000D15A2">
        <w:t>RMP</w:t>
      </w:r>
      <w:r w:rsidR="00572D8D">
        <w:t xml:space="preserve">, with follow </w:t>
      </w:r>
      <w:r w:rsidRPr="000507EA">
        <w:t>up questionnaires appended in an annex, has been developed and will be pr</w:t>
      </w:r>
      <w:r w:rsidR="00572D8D">
        <w:t>ovided to the Delegate and RMP e</w:t>
      </w:r>
      <w:r w:rsidRPr="000507EA">
        <w:t>valuator as reques</w:t>
      </w:r>
      <w:r w:rsidR="00CE54AC">
        <w:t xml:space="preserve">ted at the same time as the Pre </w:t>
      </w:r>
      <w:r w:rsidRPr="000507EA">
        <w:t>ACPM response is provided to TGA.</w:t>
      </w:r>
    </w:p>
    <w:p w:rsidR="00572D8D" w:rsidRPr="00C6563E" w:rsidRDefault="00712973" w:rsidP="00C6563E">
      <w:pPr>
        <w:rPr>
          <w:i/>
        </w:rPr>
      </w:pPr>
      <w:r w:rsidRPr="00C6563E">
        <w:rPr>
          <w:i/>
        </w:rPr>
        <w:t xml:space="preserve">In </w:t>
      </w:r>
      <w:r w:rsidR="000507EA" w:rsidRPr="00C6563E">
        <w:rPr>
          <w:i/>
        </w:rPr>
        <w:t xml:space="preserve">the Delegate’s </w:t>
      </w:r>
      <w:proofErr w:type="spellStart"/>
      <w:proofErr w:type="gramStart"/>
      <w:r w:rsidR="000507EA" w:rsidRPr="00C6563E">
        <w:rPr>
          <w:i/>
        </w:rPr>
        <w:t>Overview,’s</w:t>
      </w:r>
      <w:proofErr w:type="spellEnd"/>
      <w:r w:rsidR="000507EA" w:rsidRPr="00C6563E">
        <w:rPr>
          <w:i/>
        </w:rPr>
        <w:t xml:space="preserve"> </w:t>
      </w:r>
      <w:r w:rsidR="00420AA0" w:rsidRPr="00C6563E">
        <w:rPr>
          <w:i/>
        </w:rPr>
        <w:t>,</w:t>
      </w:r>
      <w:proofErr w:type="gramEnd"/>
      <w:r w:rsidR="00420AA0" w:rsidRPr="00C6563E">
        <w:rPr>
          <w:i/>
        </w:rPr>
        <w:t xml:space="preserve"> ACPM’s advice is being sought </w:t>
      </w:r>
      <w:r w:rsidRPr="00C6563E">
        <w:rPr>
          <w:i/>
        </w:rPr>
        <w:t>on the following question:</w:t>
      </w:r>
    </w:p>
    <w:p w:rsidR="00712973" w:rsidRDefault="000507EA" w:rsidP="00C6563E">
      <w:pPr>
        <w:pStyle w:val="ListBullet"/>
        <w:rPr>
          <w:i/>
        </w:rPr>
      </w:pPr>
      <w:r w:rsidRPr="00572D8D">
        <w:t>Can a weekly 65 IU/kg dosing strategy be endorsed, in routine prophylaxis?</w:t>
      </w:r>
    </w:p>
    <w:p w:rsidR="00712973" w:rsidRPr="00C6563E" w:rsidRDefault="000507EA" w:rsidP="00C6563E">
      <w:pPr>
        <w:pStyle w:val="Heading5"/>
      </w:pPr>
      <w:proofErr w:type="spellStart"/>
      <w:r w:rsidRPr="00572D8D">
        <w:t>Biogen</w:t>
      </w:r>
      <w:proofErr w:type="spellEnd"/>
      <w:r w:rsidRPr="00572D8D">
        <w:t xml:space="preserve"> Idec </w:t>
      </w:r>
      <w:r w:rsidR="00812728">
        <w:t>r</w:t>
      </w:r>
      <w:r w:rsidRPr="00572D8D">
        <w:t>espon</w:t>
      </w:r>
      <w:r w:rsidR="00712973" w:rsidRPr="00572D8D">
        <w:t>se:</w:t>
      </w:r>
    </w:p>
    <w:p w:rsidR="00712973" w:rsidRDefault="00712973" w:rsidP="00C6563E">
      <w:r>
        <w:t>Arm 2 of the pivotal Phase III</w:t>
      </w:r>
      <w:r w:rsidR="000507EA" w:rsidRPr="000507EA">
        <w:t xml:space="preserve"> study (997HA301) evaluated a dose of 65 IU/kg weekly. Due to the burden of frequent infusions, a significant proportion of subjects with severe haemophilia do not currently undertake prophylaxis. Additionally, weekly dosing with currently available FVIII concentrates has been advocated as an appropriate starting regimen [Feldman 2006</w:t>
      </w:r>
      <w:r>
        <w:rPr>
          <w:rStyle w:val="FootnoteReference"/>
          <w:bCs/>
          <w:i/>
        </w:rPr>
        <w:footnoteReference w:id="18"/>
      </w:r>
      <w:r w:rsidR="000507EA" w:rsidRPr="000507EA">
        <w:t>]. For these reasons, the rando</w:t>
      </w:r>
      <w:r w:rsidR="00420AA0">
        <w:t>mised evaluation of the annualis</w:t>
      </w:r>
      <w:r w:rsidR="000507EA" w:rsidRPr="000507EA">
        <w:t xml:space="preserve">ed bleeding rate (ABR) in the weekly dosing arm compared to the episodically treated arm was included in the study to provide important safety, efficacy, and </w:t>
      </w:r>
      <w:r w:rsidR="00DC7FD9" w:rsidRPr="00DC7FD9">
        <w:t>PK</w:t>
      </w:r>
      <w:r w:rsidR="000507EA" w:rsidRPr="000507EA">
        <w:t xml:space="preserve"> data that would facilitate therapeutic decision-making for appropriate patients.</w:t>
      </w:r>
    </w:p>
    <w:p w:rsidR="00572D8D" w:rsidRDefault="000507EA" w:rsidP="00C6563E">
      <w:r w:rsidRPr="000507EA">
        <w:lastRenderedPageBreak/>
        <w:t xml:space="preserve">PK evaluation following the 65 IU/kg dose in Arm 2 revealed a geometric mean </w:t>
      </w:r>
      <w:r w:rsidR="005F1AE3" w:rsidRPr="005F1AE3">
        <w:t>time after dose when FVIII activity has declined to 1 IU/</w:t>
      </w:r>
      <w:proofErr w:type="spellStart"/>
      <w:r w:rsidR="005F1AE3" w:rsidRPr="005F1AE3">
        <w:t>dL</w:t>
      </w:r>
      <w:proofErr w:type="spellEnd"/>
      <w:r w:rsidR="005F1AE3" w:rsidRPr="005F1AE3">
        <w:t xml:space="preserve"> above baseline</w:t>
      </w:r>
      <w:r w:rsidR="005F1AE3">
        <w:t xml:space="preserve"> (</w:t>
      </w:r>
      <w:r w:rsidRPr="000507EA">
        <w:t>Time 1%</w:t>
      </w:r>
      <w:r w:rsidR="005F1AE3">
        <w:t>)</w:t>
      </w:r>
      <w:r w:rsidR="00CE54AC">
        <w:t xml:space="preserve"> of 5.249 days. The p</w:t>
      </w:r>
      <w:r w:rsidRPr="000507EA">
        <w:t xml:space="preserve">opulation PK </w:t>
      </w:r>
      <w:r w:rsidR="00712973" w:rsidRPr="000507EA">
        <w:t>modelling</w:t>
      </w:r>
      <w:r w:rsidRPr="000507EA">
        <w:t xml:space="preserve"> demonstrated that a dose of 65 IU/kg once weekly would maintain a trough above 1% in 26.7% of subjects. These data supported the conclusion that the weekly regimen could maintain subjects above the 1% target threshold for the majority</w:t>
      </w:r>
      <w:r w:rsidR="00712973">
        <w:t xml:space="preserve"> </w:t>
      </w:r>
      <w:r w:rsidRPr="000507EA">
        <w:t>of the dosing interval and a proportion of subjects above the target threshold for the entire dosing interval.</w:t>
      </w:r>
    </w:p>
    <w:p w:rsidR="00572D8D" w:rsidRDefault="000507EA" w:rsidP="00C6563E">
      <w:r w:rsidRPr="000507EA">
        <w:t>Consistent with the PK data, the efficacy evaluation fo</w:t>
      </w:r>
      <w:r w:rsidR="00CE54AC">
        <w:t xml:space="preserve">r Arm 2 revealed that </w:t>
      </w:r>
      <w:proofErr w:type="spellStart"/>
      <w:r w:rsidR="00CE54AC">
        <w:t>rFVIIIFc</w:t>
      </w:r>
      <w:proofErr w:type="spellEnd"/>
      <w:r w:rsidR="00CE54AC">
        <w:t xml:space="preserve"> </w:t>
      </w:r>
      <w:r w:rsidRPr="000507EA">
        <w:t xml:space="preserve">administered at a dose of 65 IU/kg weekly, resulted in a significant reduction in ABR of 76% (p </w:t>
      </w:r>
      <w:r w:rsidR="00572D8D">
        <w:t xml:space="preserve">= </w:t>
      </w:r>
      <w:r w:rsidR="00CE54AC">
        <w:t xml:space="preserve">&lt; </w:t>
      </w:r>
      <w:r w:rsidRPr="000507EA">
        <w:t>0.001) compared to the episodically treated arm. This result exceeded the predefined threshold for a clinically meaningful reduction in ABR of 50%. In addition, 17.4% of subjects in Arm 2 had no bleeding episodes on study. Importantly, this res</w:t>
      </w:r>
      <w:r w:rsidR="00572D8D">
        <w:t xml:space="preserve">ult was consistent with the pre study/on </w:t>
      </w:r>
      <w:r w:rsidRPr="000507EA">
        <w:t>study evaluation demonstrating that patients being treated episodically can reduce their number of bleeding episodes with a weekly infusion of 65 IU/</w:t>
      </w:r>
      <w:r w:rsidRPr="00AE1FA7">
        <w:t xml:space="preserve">kg </w:t>
      </w:r>
      <w:r w:rsidR="00AE1FA7" w:rsidRPr="00AE1FA7">
        <w:t>(Figure 2</w:t>
      </w:r>
      <w:r w:rsidRPr="00AE1FA7">
        <w:t xml:space="preserve">). </w:t>
      </w:r>
      <w:r w:rsidRPr="000507EA">
        <w:t>As with all other FVIII regimens, subsequent adjustments can be made for patients who do not achieve their therapeutic goals on this starting regimen.</w:t>
      </w:r>
    </w:p>
    <w:p w:rsidR="00572D8D" w:rsidRDefault="000507EA" w:rsidP="00C6563E">
      <w:r w:rsidRPr="000507EA">
        <w:t xml:space="preserve">In summary, the Phase </w:t>
      </w:r>
      <w:r w:rsidR="00572D8D">
        <w:t>III</w:t>
      </w:r>
      <w:r w:rsidRPr="000507EA">
        <w:t xml:space="preserve"> study demonstrated that a weekly dosing regimen of 65 IU/kg results in significant reduction in ABR and is an appropriate starting regimen for patients unable or unwilling to infuse more frequently.</w:t>
      </w:r>
    </w:p>
    <w:p w:rsidR="000507EA" w:rsidRDefault="000507EA" w:rsidP="00C6563E">
      <w:pPr>
        <w:pStyle w:val="FigureTitle"/>
      </w:pPr>
      <w:r w:rsidRPr="00AE1FA7">
        <w:t xml:space="preserve">Figure </w:t>
      </w:r>
      <w:r w:rsidR="00AE1FA7" w:rsidRPr="00AE1FA7">
        <w:t>2</w:t>
      </w:r>
      <w:r w:rsidRPr="00AE1FA7">
        <w:t xml:space="preserve">: </w:t>
      </w:r>
      <w:r w:rsidR="00132848">
        <w:t xml:space="preserve">Study 997HA301. </w:t>
      </w:r>
      <w:r w:rsidRPr="00AE1FA7">
        <w:t xml:space="preserve">Number </w:t>
      </w:r>
      <w:r w:rsidRPr="000507EA">
        <w:t>of Bleeding Episodes in the Prior 12 Months Com</w:t>
      </w:r>
      <w:r w:rsidR="00420AA0">
        <w:t>pared With the On-Study Annualis</w:t>
      </w:r>
      <w:r w:rsidRPr="000507EA">
        <w:t>ed Bleeding Rate, by Pre-Study</w:t>
      </w:r>
      <w:r>
        <w:t xml:space="preserve"> </w:t>
      </w:r>
      <w:r w:rsidRPr="000507EA">
        <w:t>FVIII Regimen</w:t>
      </w:r>
    </w:p>
    <w:p w:rsidR="000507EA" w:rsidRDefault="000507EA" w:rsidP="00C6563E">
      <w:pPr>
        <w:rPr>
          <w:bCs/>
          <w:i/>
        </w:rPr>
      </w:pPr>
      <w:r w:rsidRPr="00BC7A2D">
        <w:rPr>
          <w:noProof/>
          <w:lang w:eastAsia="en-AU"/>
        </w:rPr>
        <w:drawing>
          <wp:inline distT="0" distB="0" distL="0" distR="0" wp14:anchorId="1220517B" wp14:editId="7CE2918E">
            <wp:extent cx="5400040" cy="4665955"/>
            <wp:effectExtent l="0" t="0" r="0" b="1905"/>
            <wp:docPr id="2" name="Picture 2" descr="Figure 2: Study 997HA301. Number of Bleeding Episodes in the Prior 12 Months Compared With the On-Study Annualised Bleeding Rate, by Pre-Study FVIII Regi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400040" cy="4665955"/>
                    </a:xfrm>
                    <a:prstGeom prst="rect">
                      <a:avLst/>
                    </a:prstGeom>
                  </pic:spPr>
                </pic:pic>
              </a:graphicData>
            </a:graphic>
          </wp:inline>
        </w:drawing>
      </w:r>
    </w:p>
    <w:p w:rsidR="00AB7505" w:rsidRPr="00C6563E" w:rsidRDefault="00AB7505" w:rsidP="00C6563E">
      <w:pPr>
        <w:rPr>
          <w:i/>
        </w:rPr>
      </w:pPr>
      <w:r w:rsidRPr="00C6563E">
        <w:rPr>
          <w:i/>
        </w:rPr>
        <w:t xml:space="preserve">In </w:t>
      </w:r>
      <w:r w:rsidR="000507EA" w:rsidRPr="00C6563E">
        <w:rPr>
          <w:i/>
        </w:rPr>
        <w:t xml:space="preserve">the Delegate’s Overview, it is noted that educational materials and demonstration kits have not been provided to TGA for review. If these materials cannot be provided for review </w:t>
      </w:r>
      <w:r w:rsidR="000507EA" w:rsidRPr="00C6563E">
        <w:rPr>
          <w:i/>
        </w:rPr>
        <w:lastRenderedPageBreak/>
        <w:t>prior to approval, it will be a condition of registration that the materials must be provided for review a</w:t>
      </w:r>
      <w:r w:rsidR="00420AA0" w:rsidRPr="00C6563E">
        <w:rPr>
          <w:i/>
        </w:rPr>
        <w:t>nd found acceptable by the RMP evaluation s</w:t>
      </w:r>
      <w:r w:rsidR="000507EA" w:rsidRPr="00C6563E">
        <w:rPr>
          <w:i/>
        </w:rPr>
        <w:t>ection prior to supply/launch of the product.</w:t>
      </w:r>
    </w:p>
    <w:p w:rsidR="00AB7505" w:rsidRPr="00AB7505" w:rsidRDefault="000507EA" w:rsidP="00C6563E">
      <w:pPr>
        <w:pStyle w:val="Heading5"/>
      </w:pPr>
      <w:proofErr w:type="spellStart"/>
      <w:r w:rsidRPr="00AB7505">
        <w:t>Biogen</w:t>
      </w:r>
      <w:proofErr w:type="spellEnd"/>
      <w:r w:rsidRPr="00AB7505">
        <w:t xml:space="preserve"> </w:t>
      </w:r>
      <w:r w:rsidRPr="00C6563E">
        <w:t>Idec</w:t>
      </w:r>
      <w:r w:rsidRPr="00AB7505">
        <w:t xml:space="preserve"> </w:t>
      </w:r>
      <w:r w:rsidR="00812728">
        <w:t>r</w:t>
      </w:r>
      <w:r w:rsidRPr="00AB7505">
        <w:t>esponse:</w:t>
      </w:r>
    </w:p>
    <w:p w:rsidR="00AB7505" w:rsidRDefault="000507EA" w:rsidP="00C6563E">
      <w:proofErr w:type="spellStart"/>
      <w:r w:rsidRPr="000507EA">
        <w:t>Biogen</w:t>
      </w:r>
      <w:proofErr w:type="spellEnd"/>
      <w:r w:rsidRPr="000507EA">
        <w:t xml:space="preserve"> Idec plans to develop a number of educational materials for use by both health care professionals and by patients or patients’ carers, per the requirement of the National Blood Authority (NBA) in Australia. A requirement of participation in the reimbursement by tender process (which is managed by NBA) is that the tenderers provide support for products supplied under the tender, including by making available documents which may include:</w:t>
      </w:r>
    </w:p>
    <w:p w:rsidR="00AB7505" w:rsidRDefault="000507EA" w:rsidP="00C6563E">
      <w:pPr>
        <w:pStyle w:val="ListBullet"/>
      </w:pPr>
      <w:r w:rsidRPr="000507EA">
        <w:t>Clinical educational materials or other informational materials related to the product and the use of the product, which are suitable for doctors, nurses, counsellors, laboratory staff, and other health care professionals</w:t>
      </w:r>
    </w:p>
    <w:p w:rsidR="00AB7505" w:rsidRDefault="000507EA" w:rsidP="00C6563E">
      <w:pPr>
        <w:pStyle w:val="ListBullet"/>
      </w:pPr>
      <w:r w:rsidRPr="000507EA">
        <w:t xml:space="preserve">Information which is suitable for use by patients and their </w:t>
      </w:r>
      <w:proofErr w:type="spellStart"/>
      <w:r w:rsidRPr="000507EA">
        <w:t>carers</w:t>
      </w:r>
      <w:proofErr w:type="spellEnd"/>
      <w:r w:rsidRPr="000507EA">
        <w:t>.</w:t>
      </w:r>
    </w:p>
    <w:p w:rsidR="00AB7505" w:rsidRDefault="000507EA" w:rsidP="00C6563E">
      <w:proofErr w:type="spellStart"/>
      <w:r w:rsidRPr="000507EA">
        <w:t>Biogen</w:t>
      </w:r>
      <w:proofErr w:type="spellEnd"/>
      <w:r w:rsidRPr="000507EA">
        <w:t xml:space="preserve"> Idec is therefore developing these materials in accordance with the requirements of the NBA to serve the needs of the haemophilia community as a whole. </w:t>
      </w:r>
      <w:proofErr w:type="spellStart"/>
      <w:r w:rsidRPr="000507EA">
        <w:t>Biogen</w:t>
      </w:r>
      <w:proofErr w:type="spellEnd"/>
      <w:r w:rsidRPr="000507EA">
        <w:t xml:space="preserve"> Idec therefore does not believe that TGA RMP evaluation section review or approval of these materials is warranted prior to supply.</w:t>
      </w:r>
    </w:p>
    <w:p w:rsidR="005C0CF3" w:rsidRDefault="00420AA0" w:rsidP="00C6563E">
      <w:r>
        <w:t xml:space="preserve">The remainder of the sponsor’s response relates to the Delegates’ proposed revisions to product literature and is beyond the scope of the </w:t>
      </w:r>
      <w:proofErr w:type="spellStart"/>
      <w:r>
        <w:t>AusPAR</w:t>
      </w:r>
      <w:proofErr w:type="spellEnd"/>
      <w:r>
        <w:t>.</w:t>
      </w:r>
    </w:p>
    <w:p w:rsidR="008E7846" w:rsidRDefault="008E7846" w:rsidP="00C6563E">
      <w:pPr>
        <w:pStyle w:val="Heading4"/>
      </w:pPr>
      <w:r>
        <w:t xml:space="preserve">Advisory </w:t>
      </w:r>
      <w:r w:rsidR="00812728">
        <w:t>c</w:t>
      </w:r>
      <w:r>
        <w:t xml:space="preserve">ommittee </w:t>
      </w:r>
      <w:r w:rsidR="00812728">
        <w:t>c</w:t>
      </w:r>
      <w:r>
        <w:t>onsiderations</w:t>
      </w:r>
    </w:p>
    <w:p w:rsidR="008E7846" w:rsidRDefault="00D23139" w:rsidP="00C6563E">
      <w:r w:rsidRPr="00D23139">
        <w:t>The Advisory Committee on Prescription Medicines (ACPM), having considered the evaluations and the Delegate’s overview, as well as the sponsor’s response to these documents, advised the following:</w:t>
      </w:r>
    </w:p>
    <w:p w:rsidR="00652957" w:rsidRPr="00652957" w:rsidRDefault="00652957" w:rsidP="00C6563E">
      <w:r w:rsidRPr="00652957">
        <w:t>The submission seeks to register a new chemical entity.</w:t>
      </w:r>
    </w:p>
    <w:p w:rsidR="00652957" w:rsidRPr="00652957" w:rsidRDefault="00652957" w:rsidP="00C6563E">
      <w:r w:rsidRPr="00652957">
        <w:t>The ACPM, taking into account the submitted evidence of efficacy, safet</w:t>
      </w:r>
      <w:r w:rsidR="00420AA0">
        <w:t>y and quality, agreed with the D</w:t>
      </w:r>
      <w:r w:rsidRPr="00652957">
        <w:t xml:space="preserve">elegate and considered </w:t>
      </w:r>
      <w:r w:rsidR="00B92D81" w:rsidRPr="00B92D81">
        <w:t>Eloctate</w:t>
      </w:r>
      <w:r w:rsidRPr="00652957">
        <w:t xml:space="preserve"> powder for injection containing 250, 500, 750, 1000, 1500, 2000 and 3000 IU of </w:t>
      </w:r>
      <w:proofErr w:type="spellStart"/>
      <w:r w:rsidR="000D43F9">
        <w:t>Efmoroctocog</w:t>
      </w:r>
      <w:proofErr w:type="spellEnd"/>
      <w:r w:rsidRPr="00652957">
        <w:t xml:space="preserve"> </w:t>
      </w:r>
      <w:proofErr w:type="spellStart"/>
      <w:r w:rsidRPr="00652957">
        <w:t>alfa</w:t>
      </w:r>
      <w:proofErr w:type="spellEnd"/>
      <w:r w:rsidRPr="00652957">
        <w:t xml:space="preserve"> to h</w:t>
      </w:r>
      <w:r w:rsidR="00AE1FA7">
        <w:t xml:space="preserve">ave an overall positive benefit </w:t>
      </w:r>
      <w:r w:rsidRPr="00652957">
        <w:t>risk profile for the proposed indication;</w:t>
      </w:r>
    </w:p>
    <w:p w:rsidR="00652957" w:rsidRPr="00C6563E" w:rsidRDefault="00B92D81" w:rsidP="00C6563E">
      <w:pPr>
        <w:rPr>
          <w:i/>
        </w:rPr>
      </w:pPr>
      <w:r w:rsidRPr="00C6563E">
        <w:rPr>
          <w:i/>
        </w:rPr>
        <w:t>Eloctate</w:t>
      </w:r>
      <w:r w:rsidR="00652957" w:rsidRPr="00C6563E">
        <w:rPr>
          <w:i/>
        </w:rPr>
        <w:t xml:space="preserve"> is a l</w:t>
      </w:r>
      <w:r w:rsidR="00C4598B" w:rsidRPr="00C6563E">
        <w:rPr>
          <w:i/>
        </w:rPr>
        <w:t xml:space="preserve">ong </w:t>
      </w:r>
      <w:r w:rsidR="00652957" w:rsidRPr="00C6563E">
        <w:rPr>
          <w:i/>
        </w:rPr>
        <w:t xml:space="preserve">acting </w:t>
      </w:r>
      <w:proofErr w:type="spellStart"/>
      <w:r w:rsidR="00652957" w:rsidRPr="00C6563E">
        <w:rPr>
          <w:i/>
        </w:rPr>
        <w:t>antihaemophilic</w:t>
      </w:r>
      <w:proofErr w:type="spellEnd"/>
      <w:r w:rsidR="00652957" w:rsidRPr="00C6563E">
        <w:rPr>
          <w:i/>
        </w:rPr>
        <w:t xml:space="preserve"> factor (recombinant) indicated in adults and children (</w:t>
      </w:r>
      <w:r w:rsidR="00C4598B" w:rsidRPr="00C6563E">
        <w:rPr>
          <w:i/>
        </w:rPr>
        <w:t>≥</w:t>
      </w:r>
      <w:r w:rsidR="00AE1FA7" w:rsidRPr="00C6563E">
        <w:rPr>
          <w:i/>
        </w:rPr>
        <w:t xml:space="preserve"> </w:t>
      </w:r>
      <w:r w:rsidR="00652957" w:rsidRPr="00C6563E">
        <w:rPr>
          <w:i/>
        </w:rPr>
        <w:t xml:space="preserve">12 years) with haemophilia </w:t>
      </w:r>
      <w:proofErr w:type="gramStart"/>
      <w:r w:rsidR="00652957" w:rsidRPr="00C6563E">
        <w:rPr>
          <w:i/>
        </w:rPr>
        <w:t>A</w:t>
      </w:r>
      <w:proofErr w:type="gramEnd"/>
      <w:r w:rsidR="00652957" w:rsidRPr="00C6563E">
        <w:rPr>
          <w:i/>
        </w:rPr>
        <w:t xml:space="preserve"> (congenital factor VIII deficiency) for:</w:t>
      </w:r>
    </w:p>
    <w:p w:rsidR="00652957" w:rsidRPr="00C6563E" w:rsidRDefault="00652957" w:rsidP="00C6563E">
      <w:pPr>
        <w:pStyle w:val="ListBullet"/>
        <w:rPr>
          <w:i/>
        </w:rPr>
      </w:pPr>
      <w:r w:rsidRPr="00C6563E">
        <w:rPr>
          <w:i/>
        </w:rPr>
        <w:t>control and prevention of bleeding episodes</w:t>
      </w:r>
    </w:p>
    <w:p w:rsidR="00652957" w:rsidRPr="00C6563E" w:rsidRDefault="00652957" w:rsidP="00C6563E">
      <w:pPr>
        <w:pStyle w:val="ListBullet"/>
        <w:rPr>
          <w:i/>
        </w:rPr>
      </w:pPr>
      <w:r w:rsidRPr="00C6563E">
        <w:rPr>
          <w:i/>
        </w:rPr>
        <w:t>routine prophylaxis to prevent or reduce the frequency of bleeding episodes</w:t>
      </w:r>
    </w:p>
    <w:p w:rsidR="00652957" w:rsidRPr="00C6563E" w:rsidRDefault="000D7415" w:rsidP="00C6563E">
      <w:pPr>
        <w:pStyle w:val="ListBullet"/>
        <w:rPr>
          <w:i/>
        </w:rPr>
      </w:pPr>
      <w:r w:rsidRPr="00C6563E">
        <w:rPr>
          <w:i/>
        </w:rPr>
        <w:t>peri</w:t>
      </w:r>
      <w:r w:rsidR="00652957" w:rsidRPr="00C6563E">
        <w:rPr>
          <w:i/>
        </w:rPr>
        <w:t>operative management (surgical prophylaxis)</w:t>
      </w:r>
    </w:p>
    <w:p w:rsidR="00652957" w:rsidRPr="00C6563E" w:rsidRDefault="00B92D81" w:rsidP="00C6563E">
      <w:pPr>
        <w:rPr>
          <w:i/>
        </w:rPr>
      </w:pPr>
      <w:r w:rsidRPr="00C6563E">
        <w:rPr>
          <w:i/>
        </w:rPr>
        <w:t>Eloctate</w:t>
      </w:r>
      <w:r w:rsidR="00652957" w:rsidRPr="00C6563E">
        <w:rPr>
          <w:i/>
        </w:rPr>
        <w:t xml:space="preserve"> does not contain von </w:t>
      </w:r>
      <w:proofErr w:type="spellStart"/>
      <w:r w:rsidR="00652957" w:rsidRPr="00C6563E">
        <w:rPr>
          <w:i/>
        </w:rPr>
        <w:t>Willebrand</w:t>
      </w:r>
      <w:proofErr w:type="spellEnd"/>
      <w:r w:rsidR="00652957" w:rsidRPr="00C6563E">
        <w:rPr>
          <w:i/>
        </w:rPr>
        <w:t xml:space="preserve"> factor, and therefore is not indicated in patients with von </w:t>
      </w:r>
      <w:proofErr w:type="spellStart"/>
      <w:r w:rsidR="00652957" w:rsidRPr="00C6563E">
        <w:rPr>
          <w:i/>
        </w:rPr>
        <w:t>Willebrand’s</w:t>
      </w:r>
      <w:proofErr w:type="spellEnd"/>
      <w:r w:rsidR="00652957" w:rsidRPr="00C6563E">
        <w:rPr>
          <w:i/>
        </w:rPr>
        <w:t xml:space="preserve"> disease.</w:t>
      </w:r>
    </w:p>
    <w:p w:rsidR="00652957" w:rsidRPr="000D7415" w:rsidRDefault="00652957" w:rsidP="00C6563E">
      <w:r w:rsidRPr="000D7415">
        <w:t>In making this recommendation the ACPM;</w:t>
      </w:r>
    </w:p>
    <w:p w:rsidR="00652957" w:rsidRPr="000D7415" w:rsidRDefault="00C4598B" w:rsidP="00C6563E">
      <w:pPr>
        <w:pStyle w:val="ListBullet"/>
      </w:pPr>
      <w:r>
        <w:t xml:space="preserve">Noted long </w:t>
      </w:r>
      <w:r w:rsidR="00652957" w:rsidRPr="000D7415">
        <w:t>term safety has not been established.</w:t>
      </w:r>
    </w:p>
    <w:p w:rsidR="00652957" w:rsidRPr="000D7415" w:rsidRDefault="00652957" w:rsidP="00C6563E">
      <w:pPr>
        <w:pStyle w:val="ListBullet"/>
      </w:pPr>
      <w:r w:rsidRPr="000D7415">
        <w:t xml:space="preserve">Expressed concern that </w:t>
      </w:r>
      <w:r w:rsidRPr="00C6563E">
        <w:t>there</w:t>
      </w:r>
      <w:r w:rsidRPr="000D7415">
        <w:t xml:space="preserve"> is no safety data in children aged </w:t>
      </w:r>
      <w:r w:rsidR="00C4598B">
        <w:t xml:space="preserve">&lt; </w:t>
      </w:r>
      <w:r w:rsidRPr="000D7415">
        <w:t>12 years.</w:t>
      </w:r>
    </w:p>
    <w:p w:rsidR="00652957" w:rsidRPr="000D7415" w:rsidRDefault="00652957" w:rsidP="00812728">
      <w:pPr>
        <w:pStyle w:val="ListBullet"/>
      </w:pPr>
      <w:r w:rsidRPr="000D7415">
        <w:t xml:space="preserve">Noted no safety data in </w:t>
      </w:r>
      <w:r w:rsidRPr="00812728">
        <w:t>previously</w:t>
      </w:r>
      <w:r w:rsidRPr="000D7415">
        <w:t xml:space="preserve"> untreated patients (at higher risk of inhibitor development).</w:t>
      </w:r>
    </w:p>
    <w:p w:rsidR="000D7415" w:rsidRDefault="00652957" w:rsidP="00C6563E">
      <w:pPr>
        <w:pStyle w:val="ListBullet"/>
      </w:pPr>
      <w:r w:rsidRPr="000D7415">
        <w:t xml:space="preserve">Noted the risk of severe </w:t>
      </w:r>
      <w:r w:rsidRPr="00C6563E">
        <w:t>hypersensitivity</w:t>
      </w:r>
      <w:r w:rsidRPr="000D7415">
        <w:t xml:space="preserve"> reactions </w:t>
      </w:r>
      <w:r w:rsidR="00420AA0">
        <w:t>are not yet known.</w:t>
      </w:r>
    </w:p>
    <w:p w:rsidR="00652957" w:rsidRPr="00C6563E" w:rsidRDefault="00652957" w:rsidP="00C6563E">
      <w:pPr>
        <w:pStyle w:val="Heading5"/>
      </w:pPr>
      <w:r w:rsidRPr="00652957">
        <w:lastRenderedPageBreak/>
        <w:t>Proposed conditions of registration:</w:t>
      </w:r>
    </w:p>
    <w:p w:rsidR="00652957" w:rsidRPr="000D7415" w:rsidRDefault="00420AA0" w:rsidP="00C6563E">
      <w:r>
        <w:t>The ACPM agreed with the D</w:t>
      </w:r>
      <w:r w:rsidR="00652957" w:rsidRPr="000D7415">
        <w:t>elegate on the proposed conditions of registration and specifically advised on the inclusion of the following:</w:t>
      </w:r>
    </w:p>
    <w:p w:rsidR="00652957" w:rsidRPr="00652957" w:rsidRDefault="00652957" w:rsidP="00C6563E">
      <w:pPr>
        <w:pStyle w:val="ListBullet"/>
      </w:pPr>
      <w:r w:rsidRPr="00652957">
        <w:t xml:space="preserve">Submission to the TGA of reports </w:t>
      </w:r>
      <w:r w:rsidRPr="00C6563E">
        <w:t>from</w:t>
      </w:r>
      <w:r w:rsidRPr="00652957">
        <w:t xml:space="preserve"> the ongoing paediatric studies as soon as they are available.</w:t>
      </w:r>
    </w:p>
    <w:p w:rsidR="00652957" w:rsidRPr="00652957" w:rsidRDefault="00652957" w:rsidP="00C6563E">
      <w:pPr>
        <w:pStyle w:val="ListBullet"/>
      </w:pPr>
      <w:r w:rsidRPr="00652957">
        <w:t xml:space="preserve">Subject to satisfactory </w:t>
      </w:r>
      <w:r w:rsidRPr="00C6563E">
        <w:t>implementation</w:t>
      </w:r>
      <w:r w:rsidRPr="00652957">
        <w:t xml:space="preserve"> of the </w:t>
      </w:r>
      <w:r w:rsidR="00420AA0">
        <w:t>RMP</w:t>
      </w:r>
      <w:r w:rsidRPr="00652957">
        <w:t xml:space="preserve"> most recently negotiated by the TGA.</w:t>
      </w:r>
    </w:p>
    <w:p w:rsidR="00652957" w:rsidRPr="00652957" w:rsidRDefault="00652957" w:rsidP="00C6563E">
      <w:pPr>
        <w:pStyle w:val="ListBullet"/>
      </w:pPr>
      <w:r w:rsidRPr="00652957">
        <w:t xml:space="preserve">Negotiation of </w:t>
      </w:r>
      <w:r w:rsidR="00420AA0">
        <w:t>PI</w:t>
      </w:r>
      <w:r w:rsidRPr="00652957">
        <w:t xml:space="preserve"> and </w:t>
      </w:r>
      <w:r w:rsidR="00420AA0">
        <w:t>CMI</w:t>
      </w:r>
      <w:r w:rsidRPr="00652957">
        <w:t xml:space="preserve"> to the </w:t>
      </w:r>
      <w:r w:rsidRPr="00C6563E">
        <w:t>satisfaction</w:t>
      </w:r>
      <w:r w:rsidRPr="00652957">
        <w:t xml:space="preserve"> of the TGA.</w:t>
      </w:r>
    </w:p>
    <w:p w:rsidR="00652957" w:rsidRPr="00C6563E" w:rsidRDefault="00652957" w:rsidP="00C6563E">
      <w:pPr>
        <w:pStyle w:val="Heading5"/>
      </w:pPr>
      <w:r w:rsidRPr="00652957">
        <w:t xml:space="preserve">Proposed </w:t>
      </w:r>
      <w:r w:rsidR="00420AA0">
        <w:t>PI</w:t>
      </w:r>
      <w:r w:rsidRPr="00652957">
        <w:t>/</w:t>
      </w:r>
      <w:r w:rsidR="00420AA0" w:rsidRPr="00652957">
        <w:t xml:space="preserve"> </w:t>
      </w:r>
      <w:r w:rsidR="00420AA0">
        <w:t>CMI</w:t>
      </w:r>
      <w:r w:rsidRPr="00652957">
        <w:t xml:space="preserve"> amendments:</w:t>
      </w:r>
    </w:p>
    <w:p w:rsidR="00652957" w:rsidRPr="00652957" w:rsidRDefault="00652957" w:rsidP="00C6563E">
      <w:r w:rsidRPr="00652957">
        <w:t>The ACPM agreed with</w:t>
      </w:r>
      <w:r w:rsidR="00420AA0">
        <w:t xml:space="preserve"> the D</w:t>
      </w:r>
      <w:r w:rsidRPr="00652957">
        <w:t xml:space="preserve">elegate to the proposed amendments to the </w:t>
      </w:r>
      <w:r w:rsidR="00420AA0">
        <w:t>PI</w:t>
      </w:r>
      <w:r w:rsidRPr="00652957">
        <w:t xml:space="preserve"> and </w:t>
      </w:r>
      <w:r w:rsidR="00420AA0">
        <w:t>CMI</w:t>
      </w:r>
      <w:r w:rsidRPr="00652957">
        <w:t>.</w:t>
      </w:r>
    </w:p>
    <w:p w:rsidR="00652957" w:rsidRPr="00C6563E" w:rsidRDefault="00652957" w:rsidP="00C6563E">
      <w:pPr>
        <w:pStyle w:val="Heading5"/>
      </w:pPr>
      <w:r w:rsidRPr="00652957">
        <w:t>Specific advice:</w:t>
      </w:r>
    </w:p>
    <w:p w:rsidR="00652957" w:rsidRPr="00652957" w:rsidRDefault="00652957" w:rsidP="00C6563E">
      <w:r w:rsidRPr="00652957">
        <w:t>The ACPM advised the followi</w:t>
      </w:r>
      <w:r w:rsidR="00420AA0">
        <w:t>ng in response to the specific D</w:t>
      </w:r>
      <w:r w:rsidRPr="00652957">
        <w:t>elegate’s questions on this submission:</w:t>
      </w:r>
    </w:p>
    <w:p w:rsidR="00652957" w:rsidRPr="00652957" w:rsidRDefault="00652957" w:rsidP="00C6563E">
      <w:pPr>
        <w:pStyle w:val="Numberbullet0"/>
      </w:pPr>
      <w:r w:rsidRPr="00652957">
        <w:t xml:space="preserve">Can a weekly 65 IU/kg dosing </w:t>
      </w:r>
      <w:r w:rsidRPr="00C6563E">
        <w:t>strategy</w:t>
      </w:r>
      <w:r w:rsidRPr="00652957">
        <w:t xml:space="preserve"> be endorsed, in routine prophylaxis?</w:t>
      </w:r>
    </w:p>
    <w:p w:rsidR="00652957" w:rsidRPr="00652957" w:rsidRDefault="00652957" w:rsidP="00C6563E">
      <w:r w:rsidRPr="00652957">
        <w:t>ACPM agreed that the efficacy and safety data supported a weekly 65 IU/kg dosing strategy. This dosing strategy was consistent with existing practice using Factor VIII products registered currently.</w:t>
      </w:r>
    </w:p>
    <w:p w:rsidR="00652957" w:rsidRPr="00652957" w:rsidRDefault="00652957" w:rsidP="00C6563E">
      <w:r w:rsidRPr="00652957">
        <w:t>The ACPM advised that the implementation by the sponsor of the recommendations outlined above to the satisfaction of the TGA, in addition to the evidence of efficacy and safety provided would support the safe and effective use of these products.</w:t>
      </w:r>
    </w:p>
    <w:p w:rsidR="008E7846" w:rsidRPr="002E238E" w:rsidRDefault="008E7846" w:rsidP="00C6563E">
      <w:pPr>
        <w:pStyle w:val="Heading3"/>
      </w:pPr>
      <w:bookmarkStart w:id="165" w:name="_Toc247691532"/>
      <w:bookmarkStart w:id="166" w:name="_Toc314842516"/>
      <w:bookmarkStart w:id="167" w:name="_Toc412817740"/>
      <w:bookmarkEnd w:id="115"/>
      <w:bookmarkEnd w:id="163"/>
      <w:bookmarkEnd w:id="164"/>
      <w:r>
        <w:t>Outcome</w:t>
      </w:r>
      <w:bookmarkEnd w:id="165"/>
      <w:bookmarkEnd w:id="166"/>
      <w:bookmarkEnd w:id="167"/>
    </w:p>
    <w:p w:rsidR="00D23139" w:rsidRPr="00D23139" w:rsidRDefault="00D23139" w:rsidP="00C6563E">
      <w:bookmarkStart w:id="168" w:name="_Toc247691533"/>
      <w:bookmarkStart w:id="169" w:name="_Toc314842517"/>
      <w:r w:rsidRPr="00D23139">
        <w:t xml:space="preserve">Based on a review of quality, safety and efficacy, TGA approved the registration of </w:t>
      </w:r>
      <w:proofErr w:type="spellStart"/>
      <w:r w:rsidR="000D7415">
        <w:t>Eloctate</w:t>
      </w:r>
      <w:proofErr w:type="spellEnd"/>
      <w:r w:rsidR="000D7415">
        <w:t xml:space="preserve"> </w:t>
      </w:r>
      <w:proofErr w:type="spellStart"/>
      <w:r w:rsidR="000D43F9">
        <w:t>efmoroctocog</w:t>
      </w:r>
      <w:proofErr w:type="spellEnd"/>
      <w:r w:rsidR="000D7415">
        <w:t xml:space="preserve"> </w:t>
      </w:r>
      <w:proofErr w:type="spellStart"/>
      <w:r w:rsidR="000D7415">
        <w:t>alfa</w:t>
      </w:r>
      <w:proofErr w:type="spellEnd"/>
      <w:r w:rsidR="000D7415">
        <w:t xml:space="preserve"> (</w:t>
      </w:r>
      <w:proofErr w:type="spellStart"/>
      <w:r w:rsidR="000D7415">
        <w:t>rhu</w:t>
      </w:r>
      <w:proofErr w:type="spellEnd"/>
      <w:r w:rsidR="000D7415">
        <w:t xml:space="preserve">) </w:t>
      </w:r>
      <w:r w:rsidR="000D7415" w:rsidRPr="000D7415">
        <w:t xml:space="preserve">250 IU, 500 IU, 750 IU, 1000 IU, 1500 IU, 2000 IU and 3000 IU </w:t>
      </w:r>
      <w:r w:rsidR="000D7415">
        <w:t>powder for</w:t>
      </w:r>
      <w:r w:rsidR="00C4598B">
        <w:t xml:space="preserve"> injection vial and diluent pre </w:t>
      </w:r>
      <w:r w:rsidR="000D7415">
        <w:t xml:space="preserve">filled syringe </w:t>
      </w:r>
      <w:r w:rsidRPr="00D23139">
        <w:t xml:space="preserve">for </w:t>
      </w:r>
      <w:r w:rsidR="000D7415">
        <w:t>intravenous infusion</w:t>
      </w:r>
      <w:r w:rsidRPr="00D23139">
        <w:t>, indicated for:</w:t>
      </w:r>
    </w:p>
    <w:p w:rsidR="000D7415" w:rsidRPr="00C6563E" w:rsidRDefault="00DC78A3" w:rsidP="00C6563E">
      <w:pPr>
        <w:rPr>
          <w:i/>
        </w:rPr>
      </w:pPr>
      <w:r w:rsidRPr="00C6563E">
        <w:rPr>
          <w:i/>
        </w:rPr>
        <w:t xml:space="preserve">Eloctate is a long </w:t>
      </w:r>
      <w:r w:rsidR="000D7415" w:rsidRPr="00C6563E">
        <w:rPr>
          <w:i/>
        </w:rPr>
        <w:t xml:space="preserve">acting </w:t>
      </w:r>
      <w:proofErr w:type="spellStart"/>
      <w:r w:rsidR="000D7415" w:rsidRPr="00C6563E">
        <w:rPr>
          <w:i/>
        </w:rPr>
        <w:t>antihaemophilic</w:t>
      </w:r>
      <w:proofErr w:type="spellEnd"/>
      <w:r w:rsidR="000D7415" w:rsidRPr="00C6563E">
        <w:rPr>
          <w:i/>
        </w:rPr>
        <w:t xml:space="preserve"> factor (recombinant) indicated in adults and children (</w:t>
      </w:r>
      <w:r w:rsidR="00C4598B" w:rsidRPr="00C6563E">
        <w:rPr>
          <w:i/>
        </w:rPr>
        <w:t>≥</w:t>
      </w:r>
      <w:r w:rsidR="000D7415" w:rsidRPr="00C6563E">
        <w:rPr>
          <w:i/>
        </w:rPr>
        <w:t xml:space="preserve"> 12 years) with haemophilia </w:t>
      </w:r>
      <w:proofErr w:type="gramStart"/>
      <w:r w:rsidR="000D7415" w:rsidRPr="00C6563E">
        <w:rPr>
          <w:i/>
        </w:rPr>
        <w:t>A</w:t>
      </w:r>
      <w:proofErr w:type="gramEnd"/>
      <w:r w:rsidR="000D7415" w:rsidRPr="00C6563E">
        <w:rPr>
          <w:i/>
        </w:rPr>
        <w:t xml:space="preserve"> (congenital factor VIII deficiency) for:</w:t>
      </w:r>
    </w:p>
    <w:p w:rsidR="000D7415" w:rsidRPr="00C6563E" w:rsidRDefault="000D7415" w:rsidP="00C6563E">
      <w:pPr>
        <w:pStyle w:val="ListBullet"/>
        <w:rPr>
          <w:i/>
        </w:rPr>
      </w:pPr>
      <w:r w:rsidRPr="00C6563E">
        <w:rPr>
          <w:i/>
        </w:rPr>
        <w:t>control and prevention of bleeding episodes</w:t>
      </w:r>
    </w:p>
    <w:p w:rsidR="000D7415" w:rsidRPr="00C6563E" w:rsidRDefault="000D7415" w:rsidP="00C6563E">
      <w:pPr>
        <w:pStyle w:val="ListBullet"/>
        <w:rPr>
          <w:i/>
        </w:rPr>
      </w:pPr>
      <w:r w:rsidRPr="00C6563E">
        <w:rPr>
          <w:i/>
        </w:rPr>
        <w:t>routine prophylaxis to prevent or reduce the frequency of bleeding episodes</w:t>
      </w:r>
    </w:p>
    <w:p w:rsidR="000D7415" w:rsidRPr="00C6563E" w:rsidRDefault="000D7415" w:rsidP="00C6563E">
      <w:pPr>
        <w:pStyle w:val="ListBullet"/>
        <w:rPr>
          <w:i/>
        </w:rPr>
      </w:pPr>
      <w:r w:rsidRPr="00C6563E">
        <w:rPr>
          <w:i/>
        </w:rPr>
        <w:t>perioperative management (surgical prophylaxis)</w:t>
      </w:r>
    </w:p>
    <w:p w:rsidR="00D23139" w:rsidRPr="00C6563E" w:rsidRDefault="000D7415" w:rsidP="00C6563E">
      <w:pPr>
        <w:rPr>
          <w:i/>
        </w:rPr>
      </w:pPr>
      <w:r w:rsidRPr="00C6563E">
        <w:rPr>
          <w:i/>
        </w:rPr>
        <w:t xml:space="preserve">Eloctate does not contain von </w:t>
      </w:r>
      <w:proofErr w:type="spellStart"/>
      <w:r w:rsidRPr="00C6563E">
        <w:rPr>
          <w:i/>
        </w:rPr>
        <w:t>Willebrand</w:t>
      </w:r>
      <w:proofErr w:type="spellEnd"/>
      <w:r w:rsidRPr="00C6563E">
        <w:rPr>
          <w:i/>
        </w:rPr>
        <w:t xml:space="preserve"> factor, and therefore is not indicated in patients</w:t>
      </w:r>
      <w:r w:rsidR="00C4598B" w:rsidRPr="00C6563E">
        <w:rPr>
          <w:i/>
        </w:rPr>
        <w:t xml:space="preserve"> with von </w:t>
      </w:r>
      <w:proofErr w:type="spellStart"/>
      <w:r w:rsidR="00C4598B" w:rsidRPr="00C6563E">
        <w:rPr>
          <w:i/>
        </w:rPr>
        <w:t>Willebrand’s</w:t>
      </w:r>
      <w:proofErr w:type="spellEnd"/>
      <w:r w:rsidR="00C4598B" w:rsidRPr="00C6563E">
        <w:rPr>
          <w:i/>
        </w:rPr>
        <w:t xml:space="preserve"> disease.</w:t>
      </w:r>
    </w:p>
    <w:p w:rsidR="00D23139" w:rsidRPr="00D23139" w:rsidRDefault="00D23139" w:rsidP="00C6563E">
      <w:pPr>
        <w:pStyle w:val="Heading4"/>
      </w:pPr>
      <w:r w:rsidRPr="00D23139">
        <w:t xml:space="preserve">Specific conditions of </w:t>
      </w:r>
      <w:r w:rsidRPr="00C6563E">
        <w:t>registration</w:t>
      </w:r>
      <w:r w:rsidRPr="00D23139">
        <w:t xml:space="preserve"> applying to these goods</w:t>
      </w:r>
    </w:p>
    <w:p w:rsidR="00F555BF" w:rsidRPr="00153888" w:rsidRDefault="00153888" w:rsidP="00C6563E">
      <w:pPr>
        <w:pStyle w:val="ListBullet"/>
      </w:pPr>
      <w:r w:rsidRPr="00153888">
        <w:t xml:space="preserve">The Australian Risk </w:t>
      </w:r>
      <w:r w:rsidRPr="00C6563E">
        <w:t>Management</w:t>
      </w:r>
      <w:r w:rsidRPr="00153888">
        <w:t xml:space="preserve"> Plan Version 2, dated 16 May 2014, and any amendments agreed to or subsequent versions approved by the TGA's Office of Product Review (RMP Evaluation Section) must be implemented in Australia.</w:t>
      </w:r>
    </w:p>
    <w:p w:rsidR="00153888" w:rsidRDefault="00153888" w:rsidP="00C6563E">
      <w:pPr>
        <w:pStyle w:val="ListBullet"/>
      </w:pPr>
      <w:r w:rsidRPr="00153888">
        <w:t xml:space="preserve">It is a condition of </w:t>
      </w:r>
      <w:r w:rsidRPr="00812728">
        <w:t>registration</w:t>
      </w:r>
      <w:r w:rsidRPr="00153888">
        <w:t xml:space="preserve"> that demonstration kits and patient education materials must be provided for review and found acceptable by the RMP Evaluation Section prior to launch of the product.</w:t>
      </w:r>
    </w:p>
    <w:p w:rsidR="00153888" w:rsidRPr="00153888" w:rsidRDefault="00153888" w:rsidP="00C6563E">
      <w:r w:rsidRPr="00153888">
        <w:t xml:space="preserve">Details of additional specific conditions of registration applying to these goods </w:t>
      </w:r>
      <w:r>
        <w:t xml:space="preserve">including batch release conditions </w:t>
      </w:r>
      <w:r w:rsidRPr="00153888">
        <w:t xml:space="preserve">are beyond the scope of the </w:t>
      </w:r>
      <w:proofErr w:type="spellStart"/>
      <w:r w:rsidRPr="00153888">
        <w:t>AusPAR</w:t>
      </w:r>
      <w:proofErr w:type="spellEnd"/>
      <w:r w:rsidRPr="00153888">
        <w:t>.</w:t>
      </w:r>
    </w:p>
    <w:p w:rsidR="008E7846" w:rsidRDefault="008E7846" w:rsidP="00C6563E">
      <w:pPr>
        <w:pStyle w:val="Heading2"/>
      </w:pPr>
      <w:bookmarkStart w:id="170" w:name="_Toc412817741"/>
      <w:proofErr w:type="gramStart"/>
      <w:r>
        <w:lastRenderedPageBreak/>
        <w:t>Attachment 1.</w:t>
      </w:r>
      <w:proofErr w:type="gramEnd"/>
      <w:r>
        <w:tab/>
      </w:r>
      <w:r w:rsidRPr="00C6563E">
        <w:t>Product</w:t>
      </w:r>
      <w:r>
        <w:t xml:space="preserve"> </w:t>
      </w:r>
      <w:r w:rsidR="00AA0ED0" w:rsidRPr="00812728">
        <w:t>I</w:t>
      </w:r>
      <w:r w:rsidRPr="00812728">
        <w:t>nformation</w:t>
      </w:r>
      <w:bookmarkEnd w:id="168"/>
      <w:bookmarkEnd w:id="169"/>
      <w:bookmarkEnd w:id="170"/>
    </w:p>
    <w:p w:rsidR="00C80137" w:rsidRDefault="002B3624" w:rsidP="00C6563E">
      <w:pPr>
        <w:rPr>
          <w:color w:val="000000"/>
          <w:lang w:eastAsia="en-AU"/>
        </w:rPr>
      </w:pPr>
      <w:r w:rsidRPr="002B3624">
        <w:t xml:space="preserve">The Product Information approved for </w:t>
      </w:r>
      <w:r w:rsidR="004B2EB6">
        <w:t>Eloctate</w:t>
      </w:r>
      <w:r w:rsidRPr="002B3624">
        <w:t xml:space="preserve"> at the time this </w:t>
      </w:r>
      <w:proofErr w:type="spellStart"/>
      <w:r w:rsidRPr="002B3624">
        <w:t>AusPAR</w:t>
      </w:r>
      <w:proofErr w:type="spellEnd"/>
      <w:r w:rsidRPr="002B3624">
        <w:t xml:space="preserve"> was published is at Attachment 1. For the most recent Product Information please refer to the TGA website at &lt;</w:t>
      </w:r>
      <w:hyperlink r:id="rId22" w:history="1">
        <w:r w:rsidR="00812728" w:rsidRPr="00812728">
          <w:rPr>
            <w:rStyle w:val="Hyperlink"/>
          </w:rPr>
          <w:t>https://www.tga.gov.au/product-information-pi</w:t>
        </w:r>
      </w:hyperlink>
      <w:r w:rsidRPr="002B3624">
        <w:t>&gt;.</w:t>
      </w:r>
    </w:p>
    <w:p w:rsidR="001C32CD" w:rsidRDefault="00C80137" w:rsidP="00C6563E">
      <w:pPr>
        <w:pStyle w:val="Heading2"/>
        <w:rPr>
          <w:lang w:eastAsia="ja-JP"/>
        </w:rPr>
      </w:pPr>
      <w:bookmarkStart w:id="171" w:name="_Toc412817742"/>
      <w:proofErr w:type="gramStart"/>
      <w:r>
        <w:rPr>
          <w:lang w:eastAsia="en-AU"/>
        </w:rPr>
        <w:t>Attachment 2.</w:t>
      </w:r>
      <w:proofErr w:type="gramEnd"/>
      <w:r w:rsidR="00812728">
        <w:rPr>
          <w:lang w:eastAsia="en-AU"/>
        </w:rPr>
        <w:tab/>
      </w:r>
      <w:r>
        <w:rPr>
          <w:lang w:eastAsia="en-AU"/>
        </w:rPr>
        <w:t xml:space="preserve">Extract from the </w:t>
      </w:r>
      <w:r w:rsidRPr="00812728">
        <w:t>Clinical</w:t>
      </w:r>
      <w:r>
        <w:rPr>
          <w:lang w:eastAsia="en-AU"/>
        </w:rPr>
        <w:t xml:space="preserve"> Evaluation Report</w:t>
      </w:r>
      <w:bookmarkEnd w:id="171"/>
    </w:p>
    <w:p w:rsidR="00291957" w:rsidRDefault="00291957" w:rsidP="00291957">
      <w:pPr>
        <w:rPr>
          <w:lang w:eastAsia="ja-JP"/>
        </w:rPr>
      </w:pPr>
    </w:p>
    <w:p w:rsidR="00C80137" w:rsidRPr="001D043B" w:rsidRDefault="00C80137" w:rsidP="003A7F6C">
      <w:pPr>
        <w:pStyle w:val="TableTitle"/>
        <w:sectPr w:rsidR="00C80137" w:rsidRPr="001D043B" w:rsidSect="00B452CE">
          <w:headerReference w:type="even" r:id="rId23"/>
          <w:headerReference w:type="default" r:id="rId24"/>
          <w:headerReference w:type="first" r:id="rId25"/>
          <w:footerReference w:type="first" r:id="rId26"/>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rsidTr="00652957">
        <w:trPr>
          <w:trHeight w:hRule="exact" w:val="704"/>
        </w:trPr>
        <w:tc>
          <w:tcPr>
            <w:tcW w:w="9175" w:type="dxa"/>
          </w:tcPr>
          <w:p w:rsidR="001C32CD" w:rsidRPr="00487162" w:rsidRDefault="001C32CD" w:rsidP="00652957">
            <w:pPr>
              <w:pStyle w:val="TGASignoff"/>
            </w:pPr>
            <w:r w:rsidRPr="00487162">
              <w:lastRenderedPageBreak/>
              <w:t>Therapeutic Goods Administration</w:t>
            </w:r>
          </w:p>
        </w:tc>
      </w:tr>
      <w:tr w:rsidR="001C32CD" w:rsidRPr="004C239D" w:rsidTr="00652957">
        <w:trPr>
          <w:trHeight w:val="1221"/>
        </w:trPr>
        <w:tc>
          <w:tcPr>
            <w:tcW w:w="9175" w:type="dxa"/>
            <w:tcMar>
              <w:top w:w="28" w:type="dxa"/>
            </w:tcMar>
          </w:tcPr>
          <w:p w:rsidR="001C32CD" w:rsidRPr="00487162" w:rsidRDefault="001C32CD" w:rsidP="00652957">
            <w:pPr>
              <w:pStyle w:val="Address"/>
            </w:pPr>
            <w:r w:rsidRPr="00487162">
              <w:t>PO Box 100 Woden ACT 2606 Australia</w:t>
            </w:r>
          </w:p>
          <w:p w:rsidR="001C32CD" w:rsidRPr="00487162" w:rsidRDefault="001C32CD" w:rsidP="00652957">
            <w:pPr>
              <w:pStyle w:val="Address"/>
            </w:pPr>
            <w:r w:rsidRPr="00487162">
              <w:t xml:space="preserve">Email: </w:t>
            </w:r>
            <w:hyperlink r:id="rId27" w:history="1">
              <w:r w:rsidRPr="004C239D">
                <w:rPr>
                  <w:rStyle w:val="Hyperlink"/>
                </w:rPr>
                <w:t>info@tga.gov.au</w:t>
              </w:r>
            </w:hyperlink>
            <w:r w:rsidRPr="00487162">
              <w:t xml:space="preserve">  Phone: 1800 020 653  Fax: 02 6232 8605</w:t>
            </w:r>
          </w:p>
          <w:p w:rsidR="001C32CD" w:rsidRPr="004C239D" w:rsidRDefault="00611B92" w:rsidP="00652957">
            <w:pPr>
              <w:pStyle w:val="Address"/>
              <w:spacing w:line="260" w:lineRule="atLeast"/>
              <w:rPr>
                <w:b/>
                <w:color w:val="0000FF"/>
                <w:u w:val="single"/>
              </w:rPr>
            </w:pPr>
            <w:hyperlink r:id="rId28" w:history="1">
              <w:r w:rsidR="001C32CD" w:rsidRPr="00607888">
                <w:rPr>
                  <w:rStyle w:val="Hyperlink"/>
                  <w:b/>
                </w:rPr>
                <w:t>http://www.tga.gov.au</w:t>
              </w:r>
            </w:hyperlink>
          </w:p>
        </w:tc>
      </w:tr>
    </w:tbl>
    <w:p w:rsidR="00774E1D" w:rsidRPr="008A5E0B" w:rsidRDefault="00774E1D" w:rsidP="004C239D"/>
    <w:sectPr w:rsidR="00774E1D" w:rsidRPr="008A5E0B" w:rsidSect="001C32CD">
      <w:headerReference w:type="even" r:id="rId29"/>
      <w:headerReference w:type="default" r:id="rId30"/>
      <w:footerReference w:type="default" r:id="rId31"/>
      <w:headerReference w:type="first" r:id="rId32"/>
      <w:footerReference w:type="first" r:id="rId33"/>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B92" w:rsidRDefault="00611B92" w:rsidP="00C40A36">
      <w:pPr>
        <w:spacing w:after="0"/>
      </w:pPr>
      <w:r>
        <w:separator/>
      </w:r>
    </w:p>
  </w:endnote>
  <w:endnote w:type="continuationSeparator" w:id="0">
    <w:p w:rsidR="00611B92" w:rsidRDefault="00611B92"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inion Pro">
    <w:altName w:val="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B92" w:rsidRDefault="00611B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611B92" w:rsidRPr="00487162" w:rsidTr="00DB750B">
      <w:trPr>
        <w:trHeight w:val="269"/>
      </w:trPr>
      <w:tc>
        <w:tcPr>
          <w:tcW w:w="7371" w:type="dxa"/>
          <w:tcMar>
            <w:top w:w="142" w:type="dxa"/>
            <w:bottom w:w="0" w:type="dxa"/>
          </w:tcMar>
        </w:tcPr>
        <w:p w:rsidR="00611B92" w:rsidRPr="00487162" w:rsidRDefault="00611B92" w:rsidP="006A198D">
          <w:pPr>
            <w:pStyle w:val="Footer"/>
          </w:pPr>
          <w:proofErr w:type="spellStart"/>
          <w:r w:rsidRPr="00487162">
            <w:t>AusPAR</w:t>
          </w:r>
          <w:proofErr w:type="spellEnd"/>
          <w:r w:rsidRPr="00487162">
            <w:t xml:space="preserve"> </w:t>
          </w:r>
          <w:proofErr w:type="spellStart"/>
          <w:r>
            <w:t>Eloctate</w:t>
          </w:r>
          <w:proofErr w:type="spellEnd"/>
          <w:r w:rsidRPr="00487162">
            <w:t xml:space="preserve"> </w:t>
          </w:r>
          <w:proofErr w:type="spellStart"/>
          <w:r>
            <w:t>efmoroctocog</w:t>
          </w:r>
          <w:proofErr w:type="spellEnd"/>
          <w:r>
            <w:t xml:space="preserve"> </w:t>
          </w:r>
          <w:proofErr w:type="spellStart"/>
          <w:r>
            <w:t>alfa</w:t>
          </w:r>
          <w:proofErr w:type="spellEnd"/>
          <w:r>
            <w:t xml:space="preserve"> (</w:t>
          </w:r>
          <w:proofErr w:type="spellStart"/>
          <w:r>
            <w:t>rhu</w:t>
          </w:r>
          <w:proofErr w:type="spellEnd"/>
          <w:r>
            <w:t xml:space="preserve">) </w:t>
          </w:r>
          <w:proofErr w:type="spellStart"/>
          <w:r>
            <w:t>Biogen</w:t>
          </w:r>
          <w:proofErr w:type="spellEnd"/>
          <w:r>
            <w:t xml:space="preserve"> Idec Australia Pty Ltd</w:t>
          </w:r>
          <w:r w:rsidRPr="00487162">
            <w:t xml:space="preserve"> PM</w:t>
          </w:r>
          <w:r>
            <w:t>-2013</w:t>
          </w:r>
          <w:r w:rsidRPr="00487162">
            <w:t>-</w:t>
          </w:r>
          <w:r>
            <w:t>01157-1-4</w:t>
          </w:r>
          <w:r>
            <w:br/>
          </w:r>
          <w:r w:rsidRPr="00487162">
            <w:t>Date of Finalisation</w:t>
          </w:r>
          <w:r>
            <w:t xml:space="preserve"> 17 March 2015</w:t>
          </w:r>
        </w:p>
      </w:tc>
      <w:tc>
        <w:tcPr>
          <w:tcW w:w="1490" w:type="dxa"/>
          <w:tcMar>
            <w:top w:w="142" w:type="dxa"/>
            <w:bottom w:w="0" w:type="dxa"/>
          </w:tcMar>
        </w:tcPr>
        <w:p w:rsidR="00611B92" w:rsidRPr="00487162" w:rsidRDefault="00611B92" w:rsidP="00DB750B">
          <w:pPr>
            <w:pStyle w:val="Footer"/>
            <w:jc w:val="right"/>
          </w:pPr>
          <w:r w:rsidRPr="00487162">
            <w:t xml:space="preserve">Page </w:t>
          </w:r>
          <w:r>
            <w:fldChar w:fldCharType="begin"/>
          </w:r>
          <w:r>
            <w:instrText xml:space="preserve"> PAGE  \* Arabic </w:instrText>
          </w:r>
          <w:r>
            <w:fldChar w:fldCharType="separate"/>
          </w:r>
          <w:r w:rsidR="00FC2942">
            <w:rPr>
              <w:noProof/>
            </w:rPr>
            <w:t>4</w:t>
          </w:r>
          <w:r>
            <w:fldChar w:fldCharType="end"/>
          </w:r>
          <w:r w:rsidRPr="00487162">
            <w:t xml:space="preserve"> of </w:t>
          </w:r>
          <w:r>
            <w:fldChar w:fldCharType="begin"/>
          </w:r>
          <w:r>
            <w:instrText xml:space="preserve"> NUMPAGES  \* Arabic </w:instrText>
          </w:r>
          <w:r>
            <w:fldChar w:fldCharType="separate"/>
          </w:r>
          <w:r w:rsidR="00FC2942">
            <w:rPr>
              <w:noProof/>
            </w:rPr>
            <w:t>44</w:t>
          </w:r>
          <w:r>
            <w:rPr>
              <w:noProof/>
            </w:rPr>
            <w:fldChar w:fldCharType="end"/>
          </w:r>
        </w:p>
      </w:tc>
    </w:tr>
  </w:tbl>
  <w:p w:rsidR="00611B92" w:rsidRDefault="00611B92" w:rsidP="003D1E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B92" w:rsidRDefault="00611B9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611B92" w:rsidRPr="00487162" w:rsidTr="00E45619">
      <w:trPr>
        <w:trHeight w:val="269"/>
      </w:trPr>
      <w:tc>
        <w:tcPr>
          <w:tcW w:w="4519" w:type="dxa"/>
          <w:tcBorders>
            <w:top w:val="single" w:sz="4" w:space="0" w:color="auto"/>
          </w:tcBorders>
          <w:tcMar>
            <w:top w:w="142" w:type="dxa"/>
            <w:bottom w:w="0" w:type="dxa"/>
          </w:tcMar>
        </w:tcPr>
        <w:p w:rsidR="00611B92" w:rsidRPr="00487162" w:rsidRDefault="00611B92" w:rsidP="00FE1DEE">
          <w:pPr>
            <w:pStyle w:val="Footer"/>
          </w:pPr>
          <w:r w:rsidRPr="00487162">
            <w:t>Document title, Part #, Section # - Section title</w:t>
          </w:r>
        </w:p>
        <w:p w:rsidR="00611B92" w:rsidRPr="00487162" w:rsidRDefault="00611B92" w:rsidP="00FE1DEE">
          <w:pPr>
            <w:pStyle w:val="Footer"/>
          </w:pPr>
          <w:r w:rsidRPr="00487162">
            <w:t>V1.0 October 2010</w:t>
          </w:r>
        </w:p>
      </w:tc>
      <w:tc>
        <w:tcPr>
          <w:tcW w:w="4342" w:type="dxa"/>
          <w:tcBorders>
            <w:top w:val="single" w:sz="4" w:space="0" w:color="auto"/>
          </w:tcBorders>
          <w:tcMar>
            <w:top w:w="142" w:type="dxa"/>
            <w:bottom w:w="0" w:type="dxa"/>
          </w:tcMar>
        </w:tcPr>
        <w:p w:rsidR="00611B92" w:rsidRPr="00487162" w:rsidRDefault="00611B92"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r>
            <w:fldChar w:fldCharType="begin"/>
          </w:r>
          <w:r>
            <w:instrText xml:space="preserve"> NUMPAGES  </w:instrText>
          </w:r>
          <w:r>
            <w:fldChar w:fldCharType="separate"/>
          </w:r>
          <w:r>
            <w:rPr>
              <w:noProof/>
            </w:rPr>
            <w:t>4</w:t>
          </w:r>
          <w:r>
            <w:rPr>
              <w:noProof/>
            </w:rPr>
            <w:fldChar w:fldCharType="end"/>
          </w:r>
        </w:p>
      </w:tc>
    </w:tr>
  </w:tbl>
  <w:p w:rsidR="00611B92" w:rsidRDefault="00611B9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B92" w:rsidRPr="001C32CD" w:rsidRDefault="00611B92" w:rsidP="001C32C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611B92" w:rsidTr="0010601F">
      <w:trPr>
        <w:trHeight w:val="108"/>
      </w:trPr>
      <w:tc>
        <w:tcPr>
          <w:tcW w:w="8875" w:type="dxa"/>
          <w:gridSpan w:val="2"/>
          <w:tcBorders>
            <w:bottom w:val="single" w:sz="4" w:space="0" w:color="auto"/>
          </w:tcBorders>
          <w:tcMar>
            <w:right w:w="284" w:type="dxa"/>
          </w:tcMar>
        </w:tcPr>
        <w:p w:rsidR="00611B92" w:rsidRDefault="00611B92" w:rsidP="006E08B3">
          <w:pPr>
            <w:pStyle w:val="Heading3"/>
          </w:pPr>
          <w:r>
            <w:t>Copyright</w:t>
          </w:r>
        </w:p>
        <w:p w:rsidR="00611B92" w:rsidRDefault="00611B92" w:rsidP="006E08B3">
          <w:r>
            <w:rPr>
              <w:rFonts w:cs="Arial"/>
            </w:rPr>
            <w:t>©</w:t>
          </w:r>
          <w:r>
            <w:t xml:space="preserve"> Commonwealth of Australia [add year]</w:t>
          </w:r>
        </w:p>
        <w:p w:rsidR="00611B92" w:rsidRDefault="00611B92" w:rsidP="006E08B3"/>
        <w:p w:rsidR="00611B92" w:rsidRDefault="00611B92"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611B92" w:rsidRDefault="00611B92" w:rsidP="006E08B3"/>
        <w:p w:rsidR="00611B92" w:rsidRDefault="00611B92" w:rsidP="006E08B3">
          <w:pPr>
            <w:pStyle w:val="Heading3"/>
          </w:pPr>
          <w:r>
            <w:t>Confidentiality</w:t>
          </w:r>
        </w:p>
        <w:p w:rsidR="00611B92" w:rsidRDefault="00611B92"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611B92" w:rsidRDefault="00611B92" w:rsidP="006E08B3"/>
        <w:p w:rsidR="00611B92" w:rsidRDefault="00611B92" w:rsidP="006E08B3">
          <w:r>
            <w:t>For submission made by individuals, all personal details, other than your name, will be removed from your submission before it is published on the TGA’s Internet site.</w:t>
          </w:r>
        </w:p>
        <w:p w:rsidR="00611B92" w:rsidRDefault="00611B92" w:rsidP="006E08B3"/>
        <w:p w:rsidR="00611B92" w:rsidRDefault="00611B92"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611B92" w:rsidTr="0010601F">
      <w:trPr>
        <w:trHeight w:val="417"/>
      </w:trPr>
      <w:tc>
        <w:tcPr>
          <w:tcW w:w="4519" w:type="dxa"/>
          <w:tcBorders>
            <w:top w:val="single" w:sz="4" w:space="0" w:color="auto"/>
          </w:tcBorders>
          <w:tcMar>
            <w:top w:w="142" w:type="dxa"/>
            <w:bottom w:w="0" w:type="dxa"/>
          </w:tcMar>
        </w:tcPr>
        <w:p w:rsidR="00611B92" w:rsidRDefault="00611B92" w:rsidP="006E08B3">
          <w:r>
            <w:t>Document title, Part #, Section # - Section title</w:t>
          </w:r>
        </w:p>
        <w:p w:rsidR="00611B92" w:rsidRDefault="00611B92" w:rsidP="006E08B3">
          <w:r>
            <w:t>V1.0 October 2010</w:t>
          </w:r>
        </w:p>
      </w:tc>
      <w:tc>
        <w:tcPr>
          <w:tcW w:w="4356" w:type="dxa"/>
          <w:tcBorders>
            <w:top w:val="single" w:sz="4" w:space="0" w:color="auto"/>
          </w:tcBorders>
          <w:tcMar>
            <w:top w:w="142" w:type="dxa"/>
            <w:bottom w:w="0" w:type="dxa"/>
          </w:tcMar>
        </w:tcPr>
        <w:p w:rsidR="00611B92" w:rsidRDefault="00611B92"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fldChar w:fldCharType="begin"/>
          </w:r>
          <w:r>
            <w:instrText xml:space="preserve"> NUMPAGES  \* Arabic </w:instrText>
          </w:r>
          <w:r>
            <w:fldChar w:fldCharType="separate"/>
          </w:r>
          <w:r>
            <w:rPr>
              <w:noProof/>
            </w:rPr>
            <w:t>4</w:t>
          </w:r>
          <w:r>
            <w:rPr>
              <w:noProof/>
            </w:rPr>
            <w:fldChar w:fldCharType="end"/>
          </w:r>
          <w:r>
            <w:t xml:space="preserve">  </w:t>
          </w:r>
        </w:p>
      </w:tc>
    </w:tr>
  </w:tbl>
  <w:p w:rsidR="00611B92" w:rsidRDefault="00611B9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B92" w:rsidRDefault="00611B92" w:rsidP="00C40A36">
      <w:pPr>
        <w:spacing w:after="0"/>
      </w:pPr>
      <w:r>
        <w:separator/>
      </w:r>
    </w:p>
  </w:footnote>
  <w:footnote w:type="continuationSeparator" w:id="0">
    <w:p w:rsidR="00611B92" w:rsidRDefault="00611B92" w:rsidP="00C40A36">
      <w:pPr>
        <w:spacing w:after="0"/>
      </w:pPr>
      <w:r>
        <w:continuationSeparator/>
      </w:r>
    </w:p>
  </w:footnote>
  <w:footnote w:id="1">
    <w:p w:rsidR="00611B92" w:rsidRDefault="00611B92" w:rsidP="00611B92">
      <w:pPr>
        <w:pStyle w:val="FootnoteText"/>
      </w:pPr>
      <w:r>
        <w:rPr>
          <w:rStyle w:val="FootnoteReference"/>
        </w:rPr>
        <w:footnoteRef/>
      </w:r>
      <w:r>
        <w:t xml:space="preserve"> The non-proprietary name has changed post registration from </w:t>
      </w:r>
      <w:proofErr w:type="spellStart"/>
      <w:r>
        <w:t>efraloctocog</w:t>
      </w:r>
      <w:proofErr w:type="spellEnd"/>
      <w:r>
        <w:t xml:space="preserve"> </w:t>
      </w:r>
      <w:proofErr w:type="spellStart"/>
      <w:r>
        <w:t>alfa</w:t>
      </w:r>
      <w:proofErr w:type="spellEnd"/>
      <w:r>
        <w:t xml:space="preserve"> to </w:t>
      </w:r>
      <w:proofErr w:type="spellStart"/>
      <w:r>
        <w:t>efmoroctocog</w:t>
      </w:r>
      <w:proofErr w:type="spellEnd"/>
      <w:r>
        <w:t xml:space="preserve"> </w:t>
      </w:r>
      <w:proofErr w:type="spellStart"/>
      <w:r>
        <w:t>afla</w:t>
      </w:r>
      <w:proofErr w:type="spellEnd"/>
      <w:r>
        <w:t xml:space="preserve"> to harmonise with the International Non-proprietary Name.</w:t>
      </w:r>
    </w:p>
  </w:footnote>
  <w:footnote w:id="2">
    <w:p w:rsidR="00611B92" w:rsidRPr="00611B92" w:rsidRDefault="00611B92" w:rsidP="00611B92">
      <w:pPr>
        <w:pStyle w:val="FootnoteText"/>
      </w:pPr>
      <w:r>
        <w:rPr>
          <w:rStyle w:val="FootnoteReference"/>
        </w:rPr>
        <w:footnoteRef/>
      </w:r>
      <w:r>
        <w:t xml:space="preserve"> recombinant human</w:t>
      </w:r>
    </w:p>
  </w:footnote>
  <w:footnote w:id="3">
    <w:p w:rsidR="00611B92" w:rsidRDefault="00611B92" w:rsidP="00611B92">
      <w:pPr>
        <w:pStyle w:val="FootnoteText"/>
      </w:pPr>
      <w:r>
        <w:rPr>
          <w:rStyle w:val="FootnoteReference"/>
        </w:rPr>
        <w:footnoteRef/>
      </w:r>
      <w:r>
        <w:t xml:space="preserve"> The ingredient name at the time of submission and registration was </w:t>
      </w:r>
      <w:proofErr w:type="spellStart"/>
      <w:r>
        <w:t>Efraloctocog</w:t>
      </w:r>
      <w:proofErr w:type="spellEnd"/>
      <w:r w:rsidRPr="006A198D">
        <w:t xml:space="preserve"> </w:t>
      </w:r>
      <w:proofErr w:type="spellStart"/>
      <w:r w:rsidRPr="006A198D">
        <w:t>alfa</w:t>
      </w:r>
      <w:proofErr w:type="spellEnd"/>
      <w:r>
        <w:t xml:space="preserve">, </w:t>
      </w:r>
      <w:proofErr w:type="gramStart"/>
      <w:r>
        <w:t>The</w:t>
      </w:r>
      <w:proofErr w:type="gramEnd"/>
      <w:r>
        <w:t xml:space="preserve"> name was subsequently changed on 20 February 2015 to harmonise to the International Non-proprietary Name (INN) </w:t>
      </w:r>
      <w:proofErr w:type="spellStart"/>
      <w:r>
        <w:t>Efmoroctocog</w:t>
      </w:r>
      <w:proofErr w:type="spellEnd"/>
      <w:r>
        <w:t xml:space="preserve"> </w:t>
      </w:r>
      <w:proofErr w:type="spellStart"/>
      <w:r>
        <w:t>alfa</w:t>
      </w:r>
      <w:proofErr w:type="spellEnd"/>
      <w:r>
        <w:t xml:space="preserve">. The </w:t>
      </w:r>
      <w:proofErr w:type="spellStart"/>
      <w:r>
        <w:t>AusPAR</w:t>
      </w:r>
      <w:proofErr w:type="spellEnd"/>
      <w:r>
        <w:t xml:space="preserve"> document has been amended by replacing the previous name </w:t>
      </w:r>
      <w:proofErr w:type="spellStart"/>
      <w:r>
        <w:t>efraloctocog</w:t>
      </w:r>
      <w:proofErr w:type="spellEnd"/>
      <w:r>
        <w:t xml:space="preserve"> </w:t>
      </w:r>
      <w:proofErr w:type="spellStart"/>
      <w:r>
        <w:t>alfa</w:t>
      </w:r>
      <w:proofErr w:type="spellEnd"/>
      <w:r>
        <w:t xml:space="preserve"> with approved INN </w:t>
      </w:r>
      <w:proofErr w:type="spellStart"/>
      <w:r>
        <w:t>efmoroctocog</w:t>
      </w:r>
      <w:proofErr w:type="spellEnd"/>
      <w:r>
        <w:t xml:space="preserve"> </w:t>
      </w:r>
      <w:proofErr w:type="spellStart"/>
      <w:r>
        <w:t>alfa</w:t>
      </w:r>
      <w:proofErr w:type="spellEnd"/>
      <w:r>
        <w:t>.</w:t>
      </w:r>
    </w:p>
  </w:footnote>
  <w:footnote w:id="4">
    <w:p w:rsidR="00611B92" w:rsidRPr="00611B92" w:rsidRDefault="00611B92" w:rsidP="00611B92">
      <w:pPr>
        <w:pStyle w:val="FootnoteText"/>
      </w:pPr>
      <w:r>
        <w:rPr>
          <w:rStyle w:val="FootnoteReference"/>
        </w:rPr>
        <w:footnoteRef/>
      </w:r>
      <w:r>
        <w:t xml:space="preserve"> </w:t>
      </w:r>
      <w:proofErr w:type="gramStart"/>
      <w:r w:rsidRPr="00B831DA">
        <w:t>EMA/CHMP/ICH/731268/1998 ICH guideline S6 (R1) - preclinical safety evaluation of biotechnology-derived pharmaceuticals.</w:t>
      </w:r>
      <w:proofErr w:type="gramEnd"/>
    </w:p>
  </w:footnote>
  <w:footnote w:id="5">
    <w:p w:rsidR="00611B92" w:rsidRDefault="00611B92" w:rsidP="006775B5">
      <w:pPr>
        <w:pStyle w:val="FootnoteText"/>
      </w:pPr>
      <w:r>
        <w:rPr>
          <w:rStyle w:val="FootnoteReference"/>
        </w:rPr>
        <w:footnoteRef/>
      </w:r>
      <w:r>
        <w:t xml:space="preserve"> The abbreviation </w:t>
      </w:r>
      <w:proofErr w:type="spellStart"/>
      <w:r w:rsidRPr="00035DBC">
        <w:t>rFVIII</w:t>
      </w:r>
      <w:proofErr w:type="spellEnd"/>
      <w:r w:rsidRPr="00035DBC">
        <w:t>-Fc</w:t>
      </w:r>
      <w:r>
        <w:t xml:space="preserve"> was used by the non-clinical evaluator </w:t>
      </w:r>
      <w:r w:rsidRPr="006775B5">
        <w:t>and</w:t>
      </w:r>
      <w:r>
        <w:t xml:space="preserve"> has been replaced in the text with </w:t>
      </w:r>
      <w:proofErr w:type="spellStart"/>
      <w:r w:rsidRPr="00BD4E03">
        <w:t>rFVIIIFc</w:t>
      </w:r>
      <w:proofErr w:type="spellEnd"/>
      <w:r w:rsidRPr="00BD4E03">
        <w:t xml:space="preserve"> </w:t>
      </w:r>
      <w:r>
        <w:t>for consistency.</w:t>
      </w:r>
    </w:p>
  </w:footnote>
  <w:footnote w:id="6">
    <w:p w:rsidR="00611B92" w:rsidRDefault="00611B92" w:rsidP="00611B92">
      <w:pPr>
        <w:pStyle w:val="FootnoteText"/>
      </w:pPr>
      <w:r>
        <w:rPr>
          <w:rStyle w:val="FootnoteReference"/>
        </w:rPr>
        <w:footnoteRef/>
      </w:r>
      <w:r>
        <w:t xml:space="preserve"> The text of this paragraph has been slightly amended from the original </w:t>
      </w:r>
      <w:r w:rsidRPr="00611B92">
        <w:t>for</w:t>
      </w:r>
      <w:r>
        <w:t xml:space="preserve"> </w:t>
      </w:r>
      <w:r w:rsidRPr="006775B5">
        <w:t>clarity</w:t>
      </w:r>
      <w:r>
        <w:t>.</w:t>
      </w:r>
    </w:p>
  </w:footnote>
  <w:footnote w:id="7">
    <w:p w:rsidR="00611B92" w:rsidRPr="00AF6565" w:rsidRDefault="00611B92" w:rsidP="00611B92">
      <w:pPr>
        <w:pStyle w:val="FootnoteText"/>
        <w:rPr>
          <w:lang w:val="en"/>
        </w:rPr>
      </w:pPr>
      <w:r w:rsidRPr="00AF6565">
        <w:rPr>
          <w:rStyle w:val="FootnoteReference"/>
          <w:szCs w:val="18"/>
        </w:rPr>
        <w:footnoteRef/>
      </w:r>
      <w:r w:rsidRPr="00AF6565">
        <w:t xml:space="preserve"> </w:t>
      </w:r>
      <w:r w:rsidRPr="00AF6565">
        <w:rPr>
          <w:lang w:val="en"/>
        </w:rPr>
        <w:t>Category B2:</w:t>
      </w:r>
      <w:r w:rsidRPr="00AF6565">
        <w:t xml:space="preserve"> </w:t>
      </w:r>
      <w:r w:rsidRPr="00611B92">
        <w:rPr>
          <w:i/>
          <w:lang w:val="en"/>
        </w:rPr>
        <w:t>Drugs which have been taken by only a limited number of pregnant women and women of childbearing age, without an increase in the frequency of malformation or other direct or indirect harmful effects on the human fetus having been observed.</w:t>
      </w:r>
      <w:r w:rsidRPr="00611B92">
        <w:rPr>
          <w:i/>
        </w:rPr>
        <w:t xml:space="preserve"> </w:t>
      </w:r>
      <w:r w:rsidRPr="00611B92">
        <w:rPr>
          <w:i/>
          <w:lang w:val="en"/>
        </w:rPr>
        <w:t>Studies in animals are inadequate or may be lacking, but available data show no evidence of an increased occurrence of fetal damage.</w:t>
      </w:r>
    </w:p>
  </w:footnote>
  <w:footnote w:id="8">
    <w:p w:rsidR="00611B92" w:rsidRPr="00AF6565" w:rsidRDefault="00611B92" w:rsidP="00611B92">
      <w:pPr>
        <w:pStyle w:val="FootnoteText"/>
        <w:rPr>
          <w:rStyle w:val="FootnoteTextChar"/>
          <w:szCs w:val="18"/>
        </w:rPr>
      </w:pPr>
      <w:r w:rsidRPr="00AF6565">
        <w:rPr>
          <w:rStyle w:val="FootnoteReference"/>
          <w:szCs w:val="18"/>
        </w:rPr>
        <w:footnoteRef/>
      </w:r>
      <w:r w:rsidRPr="00AF6565">
        <w:t xml:space="preserve"> </w:t>
      </w:r>
      <w:r w:rsidRPr="00AF6565">
        <w:rPr>
          <w:rStyle w:val="FootnoteTextChar"/>
          <w:szCs w:val="18"/>
        </w:rPr>
        <w:t xml:space="preserve">The Delegate subsequently </w:t>
      </w:r>
      <w:r w:rsidRPr="00611B92">
        <w:rPr>
          <w:rStyle w:val="FootnoteTextChar"/>
        </w:rPr>
        <w:t>assigned</w:t>
      </w:r>
      <w:r w:rsidRPr="00AF6565">
        <w:rPr>
          <w:rStyle w:val="FootnoteTextChar"/>
          <w:szCs w:val="18"/>
        </w:rPr>
        <w:t xml:space="preserve"> </w:t>
      </w:r>
      <w:proofErr w:type="spellStart"/>
      <w:r>
        <w:rPr>
          <w:rStyle w:val="FootnoteTextChar"/>
          <w:szCs w:val="18"/>
        </w:rPr>
        <w:t>efmoroctocog</w:t>
      </w:r>
      <w:proofErr w:type="spellEnd"/>
      <w:r w:rsidRPr="00AF6565">
        <w:rPr>
          <w:rStyle w:val="FootnoteTextChar"/>
          <w:szCs w:val="18"/>
        </w:rPr>
        <w:t xml:space="preserve"> </w:t>
      </w:r>
      <w:proofErr w:type="spellStart"/>
      <w:proofErr w:type="gramStart"/>
      <w:r w:rsidRPr="00AF6565">
        <w:rPr>
          <w:rStyle w:val="FootnoteTextChar"/>
          <w:szCs w:val="18"/>
        </w:rPr>
        <w:t>alfa</w:t>
      </w:r>
      <w:proofErr w:type="spellEnd"/>
      <w:r w:rsidRPr="00AF6565">
        <w:rPr>
          <w:rStyle w:val="FootnoteTextChar"/>
          <w:szCs w:val="18"/>
        </w:rPr>
        <w:t>(</w:t>
      </w:r>
      <w:proofErr w:type="spellStart"/>
      <w:proofErr w:type="gramEnd"/>
      <w:r w:rsidRPr="00AF6565">
        <w:rPr>
          <w:rStyle w:val="FootnoteTextChar"/>
          <w:szCs w:val="18"/>
        </w:rPr>
        <w:t>rhu</w:t>
      </w:r>
      <w:proofErr w:type="spellEnd"/>
      <w:r w:rsidRPr="00AF6565">
        <w:rPr>
          <w:rStyle w:val="FootnoteTextChar"/>
          <w:szCs w:val="18"/>
        </w:rPr>
        <w:t>) to use in pregnancy Category C (</w:t>
      </w:r>
      <w:r w:rsidRPr="00AF6565">
        <w:rPr>
          <w:rStyle w:val="FootnoteTextChar"/>
          <w:i/>
          <w:szCs w:val="18"/>
        </w:rPr>
        <w:t xml:space="preserve">Drugs which, owing to their pharmacological effects, have caused or may be suspected of causing, harmful effects on the human </w:t>
      </w:r>
      <w:proofErr w:type="spellStart"/>
      <w:r w:rsidRPr="00AF6565">
        <w:rPr>
          <w:rStyle w:val="FootnoteTextChar"/>
          <w:szCs w:val="18"/>
        </w:rPr>
        <w:t>fetus</w:t>
      </w:r>
      <w:proofErr w:type="spellEnd"/>
      <w:r w:rsidRPr="00AF6565">
        <w:rPr>
          <w:rStyle w:val="FootnoteTextChar"/>
          <w:szCs w:val="18"/>
        </w:rPr>
        <w:t xml:space="preserve"> or neonate without causing malformations. These effects may be reversible. Accompanying texts should be consulted for further details) on the basis that placental transfer is a significant consideration and the effects on the developing </w:t>
      </w:r>
      <w:proofErr w:type="spellStart"/>
      <w:r w:rsidRPr="00AF6565">
        <w:rPr>
          <w:rStyle w:val="FootnoteTextChar"/>
          <w:szCs w:val="18"/>
        </w:rPr>
        <w:t>fetus</w:t>
      </w:r>
      <w:proofErr w:type="spellEnd"/>
      <w:r w:rsidRPr="00AF6565">
        <w:rPr>
          <w:rStyle w:val="FootnoteTextChar"/>
          <w:szCs w:val="18"/>
        </w:rPr>
        <w:t xml:space="preserve"> are unknown.</w:t>
      </w:r>
    </w:p>
  </w:footnote>
  <w:footnote w:id="9">
    <w:p w:rsidR="00611B92" w:rsidRPr="006B54C5" w:rsidRDefault="00611B92" w:rsidP="00611B92">
      <w:pPr>
        <w:pStyle w:val="FootnoteText"/>
      </w:pPr>
      <w:r>
        <w:rPr>
          <w:rStyle w:val="FootnoteReference"/>
        </w:rPr>
        <w:footnoteRef/>
      </w:r>
      <w:r>
        <w:t xml:space="preserve"> </w:t>
      </w:r>
      <w:proofErr w:type="gramStart"/>
      <w:r w:rsidRPr="009965A3">
        <w:t>CPMP/BPWG/1561/99.</w:t>
      </w:r>
      <w:proofErr w:type="gramEnd"/>
      <w:r w:rsidRPr="009965A3">
        <w:t xml:space="preserve"> Note for guidance on the clinical investigation of </w:t>
      </w:r>
      <w:r w:rsidRPr="00611B92">
        <w:t>recombinant</w:t>
      </w:r>
      <w:r w:rsidRPr="009965A3">
        <w:t xml:space="preserve"> factor VIII and IX products</w:t>
      </w:r>
      <w:r>
        <w:t>.</w:t>
      </w:r>
    </w:p>
  </w:footnote>
  <w:footnote w:id="10">
    <w:p w:rsidR="00611B92" w:rsidRPr="00D924E5" w:rsidRDefault="00611B92" w:rsidP="00611B92">
      <w:pPr>
        <w:pStyle w:val="FootnoteText"/>
        <w:rPr>
          <w:rStyle w:val="FootnoteTextChar"/>
        </w:rPr>
      </w:pPr>
      <w:r w:rsidRPr="009965A3">
        <w:rPr>
          <w:szCs w:val="18"/>
          <w:vertAlign w:val="superscript"/>
        </w:rPr>
        <w:footnoteRef/>
      </w:r>
      <w:r w:rsidRPr="009965A3">
        <w:rPr>
          <w:szCs w:val="18"/>
        </w:rPr>
        <w:t xml:space="preserve"> </w:t>
      </w:r>
      <w:proofErr w:type="gramStart"/>
      <w:r w:rsidRPr="00D924E5">
        <w:rPr>
          <w:rStyle w:val="FootnoteTextChar"/>
        </w:rPr>
        <w:t>EMA/CHMP/BPWP/144533/2009.</w:t>
      </w:r>
      <w:proofErr w:type="gramEnd"/>
      <w:r w:rsidRPr="00D924E5">
        <w:rPr>
          <w:rStyle w:val="FootnoteTextChar"/>
        </w:rPr>
        <w:t xml:space="preserve"> </w:t>
      </w:r>
      <w:proofErr w:type="gramStart"/>
      <w:r w:rsidRPr="00D924E5">
        <w:rPr>
          <w:rStyle w:val="FootnoteTextChar"/>
        </w:rPr>
        <w:t xml:space="preserve">Guideline on the clinical investigation of </w:t>
      </w:r>
      <w:r w:rsidRPr="00611B92">
        <w:rPr>
          <w:rStyle w:val="FootnoteTextChar"/>
        </w:rPr>
        <w:t>recombinant</w:t>
      </w:r>
      <w:r w:rsidRPr="00D924E5">
        <w:rPr>
          <w:rStyle w:val="FootnoteTextChar"/>
        </w:rPr>
        <w:t xml:space="preserve"> and human plasma-derived factor VII products.</w:t>
      </w:r>
      <w:proofErr w:type="gramEnd"/>
      <w:r w:rsidRPr="00D924E5">
        <w:rPr>
          <w:rStyle w:val="FootnoteTextChar"/>
        </w:rPr>
        <w:t xml:space="preserve"> [</w:t>
      </w:r>
      <w:proofErr w:type="gramStart"/>
      <w:r w:rsidRPr="00D924E5">
        <w:rPr>
          <w:rStyle w:val="FootnoteTextChar"/>
        </w:rPr>
        <w:t>this</w:t>
      </w:r>
      <w:proofErr w:type="gramEnd"/>
      <w:r w:rsidRPr="00D924E5">
        <w:rPr>
          <w:rStyle w:val="FootnoteTextChar"/>
        </w:rPr>
        <w:t xml:space="preserve"> has since been adopted by the TGA]</w:t>
      </w:r>
      <w:r>
        <w:rPr>
          <w:rStyle w:val="FootnoteTextChar"/>
        </w:rPr>
        <w:t>.</w:t>
      </w:r>
    </w:p>
  </w:footnote>
  <w:footnote w:id="11">
    <w:p w:rsidR="00611B92" w:rsidRPr="00611B92" w:rsidRDefault="00611B92" w:rsidP="00611B92">
      <w:pPr>
        <w:pStyle w:val="FootnoteText"/>
      </w:pPr>
      <w:r>
        <w:rPr>
          <w:rStyle w:val="FootnoteReference"/>
        </w:rPr>
        <w:footnoteRef/>
      </w:r>
      <w:r>
        <w:t xml:space="preserve"> </w:t>
      </w:r>
      <w:proofErr w:type="gramStart"/>
      <w:r w:rsidRPr="00B8129C">
        <w:t>EMA/CHMP/BPWP/144533/2009.</w:t>
      </w:r>
      <w:proofErr w:type="gramEnd"/>
      <w:r w:rsidRPr="00B8129C">
        <w:t xml:space="preserve"> </w:t>
      </w:r>
      <w:proofErr w:type="gramStart"/>
      <w:r w:rsidRPr="00B8129C">
        <w:t xml:space="preserve">Guideline on the clinical </w:t>
      </w:r>
      <w:r w:rsidRPr="0077015F">
        <w:t>investigation</w:t>
      </w:r>
      <w:r w:rsidRPr="00B8129C">
        <w:t xml:space="preserve"> of recombinant and human plasma-derived factor VII products</w:t>
      </w:r>
      <w:r>
        <w:t>.</w:t>
      </w:r>
      <w:proofErr w:type="gramEnd"/>
    </w:p>
  </w:footnote>
  <w:footnote w:id="12">
    <w:p w:rsidR="00611B92" w:rsidRPr="00611B92" w:rsidRDefault="00611B92" w:rsidP="00611B92">
      <w:pPr>
        <w:pStyle w:val="FootnoteText"/>
      </w:pPr>
      <w:r>
        <w:rPr>
          <w:rStyle w:val="FootnoteReference"/>
        </w:rPr>
        <w:footnoteRef/>
      </w:r>
      <w:r>
        <w:t xml:space="preserve"> </w:t>
      </w:r>
      <w:proofErr w:type="gramStart"/>
      <w:r>
        <w:t>Based on data from Study 997HA301.</w:t>
      </w:r>
      <w:proofErr w:type="gramEnd"/>
    </w:p>
  </w:footnote>
  <w:footnote w:id="13">
    <w:p w:rsidR="00611B92" w:rsidRPr="00C6563E" w:rsidRDefault="00611B92" w:rsidP="00C6563E">
      <w:pPr>
        <w:pStyle w:val="FootnoteText"/>
        <w:rPr>
          <w:rStyle w:val="FootnoteTextChar"/>
        </w:rPr>
      </w:pPr>
      <w:r w:rsidRPr="00D12B14">
        <w:rPr>
          <w:szCs w:val="18"/>
          <w:vertAlign w:val="superscript"/>
        </w:rPr>
        <w:footnoteRef/>
      </w:r>
      <w:r w:rsidRPr="00D12B14">
        <w:rPr>
          <w:szCs w:val="18"/>
        </w:rPr>
        <w:t xml:space="preserve"> </w:t>
      </w:r>
      <w:proofErr w:type="spellStart"/>
      <w:r w:rsidRPr="00D924E5">
        <w:rPr>
          <w:rStyle w:val="FootnoteTextChar"/>
        </w:rPr>
        <w:t>Gouw</w:t>
      </w:r>
      <w:proofErr w:type="spellEnd"/>
      <w:r w:rsidRPr="00D924E5">
        <w:rPr>
          <w:rStyle w:val="FootnoteTextChar"/>
        </w:rPr>
        <w:t xml:space="preserve"> S </w:t>
      </w:r>
      <w:proofErr w:type="gramStart"/>
      <w:r w:rsidRPr="00D924E5">
        <w:rPr>
          <w:rStyle w:val="FootnoteTextChar"/>
        </w:rPr>
        <w:t>et</w:t>
      </w:r>
      <w:proofErr w:type="gramEnd"/>
      <w:r w:rsidRPr="00D924E5">
        <w:rPr>
          <w:rStyle w:val="FootnoteTextChar"/>
        </w:rPr>
        <w:t xml:space="preserve"> </w:t>
      </w:r>
      <w:proofErr w:type="spellStart"/>
      <w:r w:rsidRPr="00D924E5">
        <w:rPr>
          <w:rStyle w:val="FootnoteTextChar"/>
        </w:rPr>
        <w:t>al.The</w:t>
      </w:r>
      <w:proofErr w:type="spellEnd"/>
      <w:r w:rsidRPr="00D924E5">
        <w:rPr>
          <w:rStyle w:val="FootnoteTextChar"/>
        </w:rPr>
        <w:t xml:space="preserve"> Multifactorial </w:t>
      </w:r>
      <w:proofErr w:type="spellStart"/>
      <w:r w:rsidRPr="00D924E5">
        <w:rPr>
          <w:rStyle w:val="FootnoteTextChar"/>
        </w:rPr>
        <w:t>Etiology</w:t>
      </w:r>
      <w:proofErr w:type="spellEnd"/>
      <w:r w:rsidRPr="00D924E5">
        <w:rPr>
          <w:rStyle w:val="FootnoteTextChar"/>
        </w:rPr>
        <w:t xml:space="preserve"> of Inhibitor Development in </w:t>
      </w:r>
      <w:proofErr w:type="spellStart"/>
      <w:r w:rsidRPr="00D924E5">
        <w:rPr>
          <w:rStyle w:val="FootnoteTextChar"/>
        </w:rPr>
        <w:t>Hemophilia</w:t>
      </w:r>
      <w:proofErr w:type="spellEnd"/>
      <w:r w:rsidRPr="00D924E5">
        <w:rPr>
          <w:rStyle w:val="FootnoteTextChar"/>
        </w:rPr>
        <w:t xml:space="preserve">: Genetics and Environment. Seminars Thrombosis and </w:t>
      </w:r>
      <w:proofErr w:type="spellStart"/>
      <w:r w:rsidRPr="00D924E5">
        <w:rPr>
          <w:rStyle w:val="FootnoteTextChar"/>
        </w:rPr>
        <w:t>Hemostasis</w:t>
      </w:r>
      <w:proofErr w:type="spellEnd"/>
      <w:r w:rsidRPr="00D924E5">
        <w:rPr>
          <w:rStyle w:val="FootnoteTextChar"/>
        </w:rPr>
        <w:t xml:space="preserve"> 2009</w:t>
      </w:r>
      <w:proofErr w:type="gramStart"/>
      <w:r w:rsidRPr="00D924E5">
        <w:rPr>
          <w:rStyle w:val="FootnoteTextChar"/>
        </w:rPr>
        <w:t>;35:723</w:t>
      </w:r>
      <w:proofErr w:type="gramEnd"/>
      <w:r w:rsidRPr="00D924E5">
        <w:rPr>
          <w:rStyle w:val="FootnoteTextChar"/>
        </w:rPr>
        <w:t>-734.</w:t>
      </w:r>
    </w:p>
  </w:footnote>
  <w:footnote w:id="14">
    <w:p w:rsidR="00611B92" w:rsidRPr="00D12B14" w:rsidRDefault="00611B92" w:rsidP="00C6563E">
      <w:pPr>
        <w:pStyle w:val="FootnoteText"/>
      </w:pPr>
      <w:r w:rsidRPr="00D12B14">
        <w:rPr>
          <w:vertAlign w:val="superscript"/>
        </w:rPr>
        <w:footnoteRef/>
      </w:r>
      <w:r w:rsidRPr="00D12B14">
        <w:t xml:space="preserve"> Gosh S et al. Immune Response to FVIII in </w:t>
      </w:r>
      <w:proofErr w:type="spellStart"/>
      <w:r w:rsidRPr="00D12B14">
        <w:t>Hemophilia</w:t>
      </w:r>
      <w:proofErr w:type="spellEnd"/>
      <w:r w:rsidRPr="00D12B14">
        <w:t xml:space="preserve"> A: An Overview of Risk Factors. </w:t>
      </w:r>
      <w:r w:rsidRPr="00D924E5">
        <w:rPr>
          <w:i/>
        </w:rPr>
        <w:t xml:space="preserve">Clinic Rev </w:t>
      </w:r>
      <w:proofErr w:type="spellStart"/>
      <w:r w:rsidRPr="00D924E5">
        <w:rPr>
          <w:i/>
        </w:rPr>
        <w:t>Allerg</w:t>
      </w:r>
      <w:proofErr w:type="spellEnd"/>
      <w:r w:rsidRPr="00D924E5">
        <w:rPr>
          <w:i/>
        </w:rPr>
        <w:t xml:space="preserve"> </w:t>
      </w:r>
      <w:proofErr w:type="spellStart"/>
      <w:r w:rsidRPr="00D924E5">
        <w:rPr>
          <w:i/>
        </w:rPr>
        <w:t>Immunol</w:t>
      </w:r>
      <w:proofErr w:type="spellEnd"/>
      <w:r>
        <w:t xml:space="preserve">. </w:t>
      </w:r>
      <w:proofErr w:type="gramStart"/>
      <w:r w:rsidRPr="00D12B14">
        <w:t>2009 37:58–66.</w:t>
      </w:r>
      <w:proofErr w:type="gramEnd"/>
    </w:p>
  </w:footnote>
  <w:footnote w:id="15">
    <w:p w:rsidR="00611B92" w:rsidRDefault="00611B92" w:rsidP="00C6563E">
      <w:pPr>
        <w:pStyle w:val="FootnoteText"/>
      </w:pPr>
      <w:r>
        <w:rPr>
          <w:rStyle w:val="FootnoteReference"/>
        </w:rPr>
        <w:footnoteRef/>
      </w:r>
      <w:r>
        <w:t xml:space="preserve"> </w:t>
      </w:r>
      <w:proofErr w:type="spellStart"/>
      <w:r w:rsidRPr="00D12B14">
        <w:t>Rivard</w:t>
      </w:r>
      <w:proofErr w:type="spellEnd"/>
      <w:r w:rsidRPr="00D12B14">
        <w:t xml:space="preserve"> GE et al., Immune tolerance induction in </w:t>
      </w:r>
      <w:r w:rsidRPr="00C6563E">
        <w:t>haemophilia</w:t>
      </w:r>
      <w:r w:rsidRPr="00D12B14">
        <w:t xml:space="preserve"> </w:t>
      </w:r>
      <w:proofErr w:type="gramStart"/>
      <w:r w:rsidRPr="00D12B14">
        <w:t>A</w:t>
      </w:r>
      <w:proofErr w:type="gramEnd"/>
      <w:r w:rsidRPr="00D12B14">
        <w:t xml:space="preserve"> patients with inhibitors by treatment with recombinant factor VIII: a retrospective non-interventional study, </w:t>
      </w:r>
      <w:r w:rsidRPr="00D924E5">
        <w:rPr>
          <w:i/>
        </w:rPr>
        <w:t>Haemophilia</w:t>
      </w:r>
      <w:r w:rsidRPr="00D12B14">
        <w:t xml:space="preserve"> (2013), 19, 449–455.</w:t>
      </w:r>
    </w:p>
  </w:footnote>
  <w:footnote w:id="16">
    <w:p w:rsidR="00611B92" w:rsidRPr="00C6563E" w:rsidRDefault="00611B92" w:rsidP="00C6563E">
      <w:pPr>
        <w:pStyle w:val="FootnoteText"/>
      </w:pPr>
      <w:r>
        <w:rPr>
          <w:rStyle w:val="FootnoteReference"/>
        </w:rPr>
        <w:footnoteRef/>
      </w:r>
      <w:r>
        <w:t xml:space="preserve"> </w:t>
      </w:r>
      <w:proofErr w:type="gramStart"/>
      <w:r>
        <w:t xml:space="preserve">Data from study 998HA101 for </w:t>
      </w:r>
      <w:r w:rsidRPr="009216E1">
        <w:t>pharmacokinetics</w:t>
      </w:r>
      <w:r>
        <w:t xml:space="preserve"> based on the one-stage clotting assay for 25 IU/kg </w:t>
      </w:r>
      <w:proofErr w:type="spellStart"/>
      <w:r>
        <w:t>rFVIIIFc</w:t>
      </w:r>
      <w:proofErr w:type="spellEnd"/>
      <w:r>
        <w:t>.</w:t>
      </w:r>
      <w:proofErr w:type="gramEnd"/>
    </w:p>
  </w:footnote>
  <w:footnote w:id="17">
    <w:p w:rsidR="00611B92" w:rsidRDefault="00611B92" w:rsidP="00C6563E">
      <w:pPr>
        <w:pStyle w:val="FootnoteText"/>
      </w:pPr>
      <w:r>
        <w:rPr>
          <w:rStyle w:val="FootnoteReference"/>
        </w:rPr>
        <w:footnoteRef/>
      </w:r>
      <w:r>
        <w:t xml:space="preserve"> </w:t>
      </w:r>
      <w:r w:rsidRPr="0038263A">
        <w:t xml:space="preserve">The sponsor subsequently provided an RMP that reflected the TGA requested </w:t>
      </w:r>
      <w:r w:rsidRPr="00C6563E">
        <w:t>changes</w:t>
      </w:r>
      <w:r>
        <w:t>.</w:t>
      </w:r>
    </w:p>
  </w:footnote>
  <w:footnote w:id="18">
    <w:p w:rsidR="00611B92" w:rsidRPr="003F7EA9" w:rsidRDefault="00611B92" w:rsidP="00C6563E">
      <w:pPr>
        <w:pStyle w:val="FootnoteText"/>
      </w:pPr>
      <w:r>
        <w:rPr>
          <w:rStyle w:val="FootnoteReference"/>
        </w:rPr>
        <w:footnoteRef/>
      </w:r>
      <w:r>
        <w:t xml:space="preserve"> </w:t>
      </w:r>
      <w:r w:rsidRPr="009823D6">
        <w:t>Feldman BM, et al</w:t>
      </w:r>
      <w:r w:rsidRPr="003F7EA9">
        <w:t xml:space="preserve">. Tailored </w:t>
      </w:r>
      <w:r w:rsidRPr="00812728">
        <w:t>prophylaxis</w:t>
      </w:r>
      <w:r w:rsidRPr="003F7EA9">
        <w:t xml:space="preserve"> in severe </w:t>
      </w:r>
      <w:proofErr w:type="spellStart"/>
      <w:r w:rsidRPr="003F7EA9">
        <w:t>hemophilia</w:t>
      </w:r>
      <w:proofErr w:type="spellEnd"/>
      <w:r w:rsidRPr="003F7EA9">
        <w:t xml:space="preserve"> A: interim results from the first 5 years of the Canadian </w:t>
      </w:r>
      <w:proofErr w:type="spellStart"/>
      <w:r w:rsidRPr="003F7EA9">
        <w:t>Hemophilia</w:t>
      </w:r>
      <w:proofErr w:type="spellEnd"/>
      <w:r w:rsidRPr="003F7EA9">
        <w:t xml:space="preserve"> Primary Prophylaxis Study. </w:t>
      </w:r>
      <w:proofErr w:type="gramStart"/>
      <w:r w:rsidRPr="00D924E5">
        <w:rPr>
          <w:i/>
        </w:rPr>
        <w:t xml:space="preserve">J </w:t>
      </w:r>
      <w:proofErr w:type="spellStart"/>
      <w:r w:rsidRPr="00D924E5">
        <w:rPr>
          <w:i/>
        </w:rPr>
        <w:t>Thromb</w:t>
      </w:r>
      <w:proofErr w:type="spellEnd"/>
      <w:r w:rsidRPr="00D924E5">
        <w:rPr>
          <w:i/>
        </w:rPr>
        <w:t xml:space="preserve"> </w:t>
      </w:r>
      <w:proofErr w:type="spellStart"/>
      <w:r w:rsidRPr="00D924E5">
        <w:rPr>
          <w:i/>
        </w:rPr>
        <w:t>Haemost</w:t>
      </w:r>
      <w:proofErr w:type="spellEnd"/>
      <w:r w:rsidRPr="009823D6">
        <w:t>.</w:t>
      </w:r>
      <w:proofErr w:type="gramEnd"/>
      <w:r w:rsidRPr="009823D6">
        <w:t xml:space="preserve"> 2006 Jun</w:t>
      </w:r>
      <w:proofErr w:type="gramStart"/>
      <w:r w:rsidRPr="009823D6">
        <w:t>;4</w:t>
      </w:r>
      <w:proofErr w:type="gramEnd"/>
      <w:r w:rsidRPr="009823D6">
        <w:t>(6):1228-36.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B92" w:rsidRDefault="00611B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B92" w:rsidRDefault="00611B92" w:rsidP="00E45619">
    <w:pPr>
      <w:pStyle w:val="Header"/>
    </w:pPr>
    <w:r>
      <w:t>Therapeutic Goods Administration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B92" w:rsidRDefault="00611B92">
    <w:pPr>
      <w:rPr>
        <w:noProof/>
        <w:lang w:eastAsia="en-AU"/>
      </w:rPr>
    </w:pPr>
    <w:r w:rsidRPr="00347824">
      <w:rPr>
        <w:noProof/>
        <w:lang w:eastAsia="en-AU"/>
      </w:rPr>
      <w:drawing>
        <wp:anchor distT="0" distB="0" distL="114300" distR="114300" simplePos="0" relativeHeight="251659264" behindDoc="1" locked="0" layoutInCell="1" allowOverlap="1" wp14:anchorId="3891AB65" wp14:editId="47690C3F">
          <wp:simplePos x="0" y="0"/>
          <wp:positionH relativeFrom="column">
            <wp:posOffset>-1076960</wp:posOffset>
          </wp:positionH>
          <wp:positionV relativeFrom="paragraph">
            <wp:posOffset>-621748</wp:posOffset>
          </wp:positionV>
          <wp:extent cx="7572375" cy="10706100"/>
          <wp:effectExtent l="0" t="0" r="9525" b="0"/>
          <wp:wrapNone/>
          <wp:docPr id="7"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72375" cy="10706100"/>
                  </a:xfrm>
                  <a:prstGeom prst="rect">
                    <a:avLst/>
                  </a:prstGeom>
                </pic:spPr>
              </pic:pic>
            </a:graphicData>
          </a:graphic>
        </wp:anchor>
      </w:drawing>
    </w:r>
  </w:p>
  <w:p w:rsidR="00611B92" w:rsidRDefault="00611B92">
    <w:pPr>
      <w:rPr>
        <w:noProof/>
        <w:lang w:eastAsia="en-AU"/>
      </w:rPr>
    </w:pPr>
  </w:p>
  <w:p w:rsidR="00611B92" w:rsidRDefault="00611B92" w:rsidP="00593AD1">
    <w:pPr>
      <w:pStyle w:val="HeaderNoLine"/>
    </w:pPr>
    <w:r>
      <w:rPr>
        <w:noProof/>
        <w:lang w:eastAsia="en-AU"/>
      </w:rPr>
      <w:drawing>
        <wp:inline distT="0" distB="0" distL="0" distR="0" wp14:anchorId="26A0B633" wp14:editId="7E7A9518">
          <wp:extent cx="5400675" cy="7639050"/>
          <wp:effectExtent l="0" t="0" r="9525" b="0"/>
          <wp:docPr id="8" name="Picture 8"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675" cy="763905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B92" w:rsidRDefault="00611B9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B92" w:rsidRDefault="00611B92">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B92" w:rsidRDefault="00611B92">
    <w:pPr>
      <w:pStyle w:val="Header"/>
    </w:pPr>
    <w:r>
      <w:t>Therapeutic Goods Administration</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B92" w:rsidRDefault="00611B92">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B92" w:rsidRDefault="00611B92" w:rsidP="004C239D">
    <w:pPr>
      <w:pStyle w:val="HeaderNoLine"/>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B92" w:rsidRDefault="00611B92" w:rsidP="006E08B3">
    <w:r>
      <w:t>Therapeutic Goods Administration</w:t>
    </w:r>
  </w:p>
  <w:p w:rsidR="00611B92" w:rsidRDefault="00611B92"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F2D4A2"/>
    <w:lvl w:ilvl="0">
      <w:start w:val="1"/>
      <w:numFmt w:val="decimal"/>
      <w:lvlText w:val="%1."/>
      <w:lvlJc w:val="left"/>
      <w:pPr>
        <w:tabs>
          <w:tab w:val="num" w:pos="1492"/>
        </w:tabs>
        <w:ind w:left="1492" w:hanging="360"/>
      </w:pPr>
    </w:lvl>
  </w:abstractNum>
  <w:abstractNum w:abstractNumId="1">
    <w:nsid w:val="FFFFFF7D"/>
    <w:multiLevelType w:val="singleLevel"/>
    <w:tmpl w:val="61406932"/>
    <w:lvl w:ilvl="0">
      <w:start w:val="1"/>
      <w:numFmt w:val="decimal"/>
      <w:lvlText w:val="%1."/>
      <w:lvlJc w:val="left"/>
      <w:pPr>
        <w:tabs>
          <w:tab w:val="num" w:pos="1209"/>
        </w:tabs>
        <w:ind w:left="1209" w:hanging="360"/>
      </w:pPr>
    </w:lvl>
  </w:abstractNum>
  <w:abstractNum w:abstractNumId="2">
    <w:nsid w:val="FFFFFF7E"/>
    <w:multiLevelType w:val="singleLevel"/>
    <w:tmpl w:val="69403222"/>
    <w:lvl w:ilvl="0">
      <w:start w:val="1"/>
      <w:numFmt w:val="decimal"/>
      <w:lvlText w:val="%1."/>
      <w:lvlJc w:val="left"/>
      <w:pPr>
        <w:tabs>
          <w:tab w:val="num" w:pos="926"/>
        </w:tabs>
        <w:ind w:left="926" w:hanging="360"/>
      </w:pPr>
    </w:lvl>
  </w:abstractNum>
  <w:abstractNum w:abstractNumId="3">
    <w:nsid w:val="FFFFFF7F"/>
    <w:multiLevelType w:val="singleLevel"/>
    <w:tmpl w:val="B47A63C0"/>
    <w:lvl w:ilvl="0">
      <w:start w:val="1"/>
      <w:numFmt w:val="decimal"/>
      <w:lvlText w:val="%1."/>
      <w:lvlJc w:val="left"/>
      <w:pPr>
        <w:tabs>
          <w:tab w:val="num" w:pos="643"/>
        </w:tabs>
        <w:ind w:left="643" w:hanging="360"/>
      </w:pPr>
    </w:lvl>
  </w:abstractNum>
  <w:abstractNum w:abstractNumId="4">
    <w:nsid w:val="FFFFFF80"/>
    <w:multiLevelType w:val="singleLevel"/>
    <w:tmpl w:val="CE32E6B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58CE8F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8">
    <w:nsid w:val="FFFFFF88"/>
    <w:multiLevelType w:val="singleLevel"/>
    <w:tmpl w:val="A07EA4CE"/>
    <w:lvl w:ilvl="0">
      <w:start w:val="1"/>
      <w:numFmt w:val="decimal"/>
      <w:lvlText w:val="%1."/>
      <w:lvlJc w:val="left"/>
      <w:pPr>
        <w:tabs>
          <w:tab w:val="num" w:pos="360"/>
        </w:tabs>
        <w:ind w:left="360" w:hanging="360"/>
      </w:pPr>
    </w:lvl>
  </w:abstractNum>
  <w:abstractNum w:abstractNumId="9">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B8320B0A"/>
    <w:lvl w:ilvl="0">
      <w:numFmt w:val="bullet"/>
      <w:lvlText w:val="*"/>
      <w:lvlJc w:val="left"/>
    </w:lvl>
  </w:abstractNum>
  <w:abstractNum w:abstractNumId="11">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2">
    <w:nsid w:val="13711B93"/>
    <w:multiLevelType w:val="hybridMultilevel"/>
    <w:tmpl w:val="B9045C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160" w:hanging="360"/>
      </w:pPr>
      <w:rPr>
        <w:rFonts w:ascii="Symbol" w:hAnsi="Symbol"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
    <w:nsid w:val="191152FA"/>
    <w:multiLevelType w:val="hybridMultilevel"/>
    <w:tmpl w:val="216CB2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1C54766D"/>
    <w:multiLevelType w:val="hybridMultilevel"/>
    <w:tmpl w:val="4712D04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208C54CA"/>
    <w:multiLevelType w:val="hybridMultilevel"/>
    <w:tmpl w:val="493A8548"/>
    <w:lvl w:ilvl="0" w:tplc="D430B7C4">
      <w:numFmt w:val="bullet"/>
      <w:lvlText w:val=""/>
      <w:lvlJc w:val="left"/>
      <w:pPr>
        <w:ind w:left="360" w:hanging="360"/>
      </w:pPr>
      <w:rPr>
        <w:rFonts w:ascii="Symbol" w:eastAsia="MS Mincho" w:hAnsi="Symbol"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2AA419D3"/>
    <w:multiLevelType w:val="hybridMultilevel"/>
    <w:tmpl w:val="BF4659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2BCF57AC"/>
    <w:multiLevelType w:val="hybridMultilevel"/>
    <w:tmpl w:val="1EBC6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77E63F2"/>
    <w:multiLevelType w:val="hybridMultilevel"/>
    <w:tmpl w:val="5B38C8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1706F0A"/>
    <w:multiLevelType w:val="hybridMultilevel"/>
    <w:tmpl w:val="43269D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CD403A5"/>
    <w:multiLevelType w:val="hybridMultilevel"/>
    <w:tmpl w:val="FF96BD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A0E688F"/>
    <w:multiLevelType w:val="hybridMultilevel"/>
    <w:tmpl w:val="28C464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70E66707"/>
    <w:multiLevelType w:val="hybridMultilevel"/>
    <w:tmpl w:val="90244D20"/>
    <w:lvl w:ilvl="0" w:tplc="A04AD474">
      <w:start w:val="1"/>
      <w:numFmt w:val="bullet"/>
      <w:lvlText w:val="–"/>
      <w:lvlJc w:val="left"/>
      <w:pPr>
        <w:ind w:left="1287" w:hanging="360"/>
      </w:pPr>
      <w:rPr>
        <w:rFonts w:ascii="Arial" w:hAnsi="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nsid w:val="7B703D1F"/>
    <w:multiLevelType w:val="hybridMultilevel"/>
    <w:tmpl w:val="32BCB4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7E525A2D"/>
    <w:multiLevelType w:val="hybridMultilevel"/>
    <w:tmpl w:val="75D84E38"/>
    <w:lvl w:ilvl="0" w:tplc="0C090001">
      <w:start w:val="1"/>
      <w:numFmt w:val="bullet"/>
      <w:lvlText w:val=""/>
      <w:lvlJc w:val="left"/>
      <w:pPr>
        <w:ind w:left="530" w:hanging="360"/>
      </w:pPr>
      <w:rPr>
        <w:rFonts w:ascii="Symbol" w:hAnsi="Symbol"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num w:numId="1">
    <w:abstractNumId w:val="9"/>
  </w:num>
  <w:num w:numId="2">
    <w:abstractNumId w:val="7"/>
  </w:num>
  <w:num w:numId="3">
    <w:abstractNumId w:val="13"/>
  </w:num>
  <w:num w:numId="4">
    <w:abstractNumId w:val="13"/>
  </w:num>
  <w:num w:numId="5">
    <w:abstractNumId w:val="6"/>
  </w:num>
  <w:num w:numId="6">
    <w:abstractNumId w:val="13"/>
  </w:num>
  <w:num w:numId="7">
    <w:abstractNumId w:val="13"/>
  </w:num>
  <w:num w:numId="8">
    <w:abstractNumId w:val="11"/>
  </w:num>
  <w:num w:numId="9">
    <w:abstractNumId w:val="11"/>
  </w:num>
  <w:num w:numId="10">
    <w:abstractNumId w:val="11"/>
  </w:num>
  <w:num w:numId="11">
    <w:abstractNumId w:val="11"/>
  </w:num>
  <w:num w:numId="12">
    <w:abstractNumId w:val="10"/>
    <w:lvlOverride w:ilvl="0">
      <w:lvl w:ilvl="0">
        <w:numFmt w:val="bullet"/>
        <w:lvlText w:val="•"/>
        <w:legacy w:legacy="1" w:legacySpace="0" w:legacyIndent="0"/>
        <w:lvlJc w:val="left"/>
        <w:rPr>
          <w:rFonts w:ascii="Helv" w:hAnsi="Helv" w:hint="default"/>
        </w:rPr>
      </w:lvl>
    </w:lvlOverride>
  </w:num>
  <w:num w:numId="13">
    <w:abstractNumId w:val="13"/>
  </w:num>
  <w:num w:numId="14">
    <w:abstractNumId w:val="13"/>
  </w:num>
  <w:num w:numId="15">
    <w:abstractNumId w:val="13"/>
  </w:num>
  <w:num w:numId="16">
    <w:abstractNumId w:val="11"/>
  </w:num>
  <w:num w:numId="17">
    <w:abstractNumId w:val="11"/>
  </w:num>
  <w:num w:numId="18">
    <w:abstractNumId w:val="11"/>
  </w:num>
  <w:num w:numId="19">
    <w:abstractNumId w:val="13"/>
  </w:num>
  <w:num w:numId="20">
    <w:abstractNumId w:val="13"/>
  </w:num>
  <w:num w:numId="21">
    <w:abstractNumId w:val="13"/>
  </w:num>
  <w:num w:numId="22">
    <w:abstractNumId w:val="11"/>
  </w:num>
  <w:num w:numId="23">
    <w:abstractNumId w:val="11"/>
  </w:num>
  <w:num w:numId="24">
    <w:abstractNumId w:val="11"/>
  </w:num>
  <w:num w:numId="25">
    <w:abstractNumId w:val="11"/>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11"/>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12"/>
  </w:num>
  <w:num w:numId="28">
    <w:abstractNumId w:val="20"/>
  </w:num>
  <w:num w:numId="29">
    <w:abstractNumId w:val="23"/>
  </w:num>
  <w:num w:numId="30">
    <w:abstractNumId w:val="19"/>
  </w:num>
  <w:num w:numId="31">
    <w:abstractNumId w:val="18"/>
  </w:num>
  <w:num w:numId="32">
    <w:abstractNumId w:val="24"/>
  </w:num>
  <w:num w:numId="33">
    <w:abstractNumId w:val="14"/>
  </w:num>
  <w:num w:numId="34">
    <w:abstractNumId w:val="25"/>
  </w:num>
  <w:num w:numId="35">
    <w:abstractNumId w:val="16"/>
  </w:num>
  <w:num w:numId="36">
    <w:abstractNumId w:val="15"/>
  </w:num>
  <w:num w:numId="37">
    <w:abstractNumId w:val="17"/>
  </w:num>
  <w:num w:numId="38">
    <w:abstractNumId w:val="22"/>
  </w:num>
  <w:num w:numId="39">
    <w:abstractNumId w:val="21"/>
  </w:num>
  <w:num w:numId="40">
    <w:abstractNumId w:val="5"/>
  </w:num>
  <w:num w:numId="41">
    <w:abstractNumId w:val="4"/>
  </w:num>
  <w:num w:numId="42">
    <w:abstractNumId w:val="8"/>
  </w:num>
  <w:num w:numId="43">
    <w:abstractNumId w:val="3"/>
  </w:num>
  <w:num w:numId="44">
    <w:abstractNumId w:val="2"/>
  </w:num>
  <w:num w:numId="45">
    <w:abstractNumId w:val="1"/>
  </w:num>
  <w:num w:numId="46">
    <w:abstractNumId w:val="0"/>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isplayBackgroundShape/>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957"/>
    <w:rsid w:val="00001058"/>
    <w:rsid w:val="00002031"/>
    <w:rsid w:val="00004734"/>
    <w:rsid w:val="00006B22"/>
    <w:rsid w:val="00007C15"/>
    <w:rsid w:val="0001276A"/>
    <w:rsid w:val="000208FB"/>
    <w:rsid w:val="000246AE"/>
    <w:rsid w:val="00025C67"/>
    <w:rsid w:val="0003219E"/>
    <w:rsid w:val="00035DBC"/>
    <w:rsid w:val="00044772"/>
    <w:rsid w:val="000507EA"/>
    <w:rsid w:val="00052C80"/>
    <w:rsid w:val="0005559E"/>
    <w:rsid w:val="000604D6"/>
    <w:rsid w:val="000734D8"/>
    <w:rsid w:val="00077775"/>
    <w:rsid w:val="00081973"/>
    <w:rsid w:val="00081A7C"/>
    <w:rsid w:val="00090211"/>
    <w:rsid w:val="00090471"/>
    <w:rsid w:val="0009476D"/>
    <w:rsid w:val="00096AA7"/>
    <w:rsid w:val="000A0B7F"/>
    <w:rsid w:val="000A3AED"/>
    <w:rsid w:val="000B3532"/>
    <w:rsid w:val="000B3A75"/>
    <w:rsid w:val="000C2CE2"/>
    <w:rsid w:val="000C35CF"/>
    <w:rsid w:val="000C5B7D"/>
    <w:rsid w:val="000C690F"/>
    <w:rsid w:val="000D04C8"/>
    <w:rsid w:val="000D1295"/>
    <w:rsid w:val="000D15A2"/>
    <w:rsid w:val="000D391B"/>
    <w:rsid w:val="000D3D6D"/>
    <w:rsid w:val="000D43F9"/>
    <w:rsid w:val="000D4FC7"/>
    <w:rsid w:val="000D7415"/>
    <w:rsid w:val="000F4869"/>
    <w:rsid w:val="000F5B42"/>
    <w:rsid w:val="000F6E6F"/>
    <w:rsid w:val="0010601F"/>
    <w:rsid w:val="0010788A"/>
    <w:rsid w:val="00107A31"/>
    <w:rsid w:val="00110D51"/>
    <w:rsid w:val="00110EA5"/>
    <w:rsid w:val="00112F56"/>
    <w:rsid w:val="001136C5"/>
    <w:rsid w:val="00117243"/>
    <w:rsid w:val="00117831"/>
    <w:rsid w:val="00121D68"/>
    <w:rsid w:val="00124430"/>
    <w:rsid w:val="00125318"/>
    <w:rsid w:val="001305A2"/>
    <w:rsid w:val="00132848"/>
    <w:rsid w:val="00133238"/>
    <w:rsid w:val="0014197B"/>
    <w:rsid w:val="00143F6F"/>
    <w:rsid w:val="001447CD"/>
    <w:rsid w:val="001516B1"/>
    <w:rsid w:val="00153888"/>
    <w:rsid w:val="00154EBB"/>
    <w:rsid w:val="00156316"/>
    <w:rsid w:val="00156A0D"/>
    <w:rsid w:val="00156C0F"/>
    <w:rsid w:val="00162D14"/>
    <w:rsid w:val="00165389"/>
    <w:rsid w:val="00171AD3"/>
    <w:rsid w:val="0017693F"/>
    <w:rsid w:val="0018110E"/>
    <w:rsid w:val="00181684"/>
    <w:rsid w:val="001843C6"/>
    <w:rsid w:val="001850E0"/>
    <w:rsid w:val="001A2158"/>
    <w:rsid w:val="001A525F"/>
    <w:rsid w:val="001B09F9"/>
    <w:rsid w:val="001B0D16"/>
    <w:rsid w:val="001B5C90"/>
    <w:rsid w:val="001B6448"/>
    <w:rsid w:val="001B789A"/>
    <w:rsid w:val="001C32CD"/>
    <w:rsid w:val="001D2984"/>
    <w:rsid w:val="001E07CF"/>
    <w:rsid w:val="001E48BA"/>
    <w:rsid w:val="001E59F1"/>
    <w:rsid w:val="001F49EB"/>
    <w:rsid w:val="001F67F1"/>
    <w:rsid w:val="001F6CBA"/>
    <w:rsid w:val="001F7B43"/>
    <w:rsid w:val="00201591"/>
    <w:rsid w:val="00201D4E"/>
    <w:rsid w:val="002076C9"/>
    <w:rsid w:val="00220190"/>
    <w:rsid w:val="00220B8A"/>
    <w:rsid w:val="002217C8"/>
    <w:rsid w:val="002257F3"/>
    <w:rsid w:val="00233456"/>
    <w:rsid w:val="002339A5"/>
    <w:rsid w:val="00257848"/>
    <w:rsid w:val="0027084A"/>
    <w:rsid w:val="00276CC1"/>
    <w:rsid w:val="00283597"/>
    <w:rsid w:val="00286434"/>
    <w:rsid w:val="00286C59"/>
    <w:rsid w:val="00291957"/>
    <w:rsid w:val="00292503"/>
    <w:rsid w:val="002942D1"/>
    <w:rsid w:val="0029501A"/>
    <w:rsid w:val="00297D96"/>
    <w:rsid w:val="002A69FB"/>
    <w:rsid w:val="002B1638"/>
    <w:rsid w:val="002B3624"/>
    <w:rsid w:val="002D04C3"/>
    <w:rsid w:val="002D0EF1"/>
    <w:rsid w:val="002E40B3"/>
    <w:rsid w:val="002E4C9A"/>
    <w:rsid w:val="002E765D"/>
    <w:rsid w:val="002F11F8"/>
    <w:rsid w:val="002F2BF6"/>
    <w:rsid w:val="002F3F56"/>
    <w:rsid w:val="002F44B5"/>
    <w:rsid w:val="002F69FE"/>
    <w:rsid w:val="003117B5"/>
    <w:rsid w:val="00311AC0"/>
    <w:rsid w:val="003146ED"/>
    <w:rsid w:val="00320598"/>
    <w:rsid w:val="0032583B"/>
    <w:rsid w:val="00327883"/>
    <w:rsid w:val="0033041E"/>
    <w:rsid w:val="00333850"/>
    <w:rsid w:val="00335504"/>
    <w:rsid w:val="003374F3"/>
    <w:rsid w:val="00347824"/>
    <w:rsid w:val="00350567"/>
    <w:rsid w:val="003521E8"/>
    <w:rsid w:val="003538D3"/>
    <w:rsid w:val="00360B4D"/>
    <w:rsid w:val="00367092"/>
    <w:rsid w:val="00371347"/>
    <w:rsid w:val="003728F3"/>
    <w:rsid w:val="0037496E"/>
    <w:rsid w:val="0038263A"/>
    <w:rsid w:val="00386150"/>
    <w:rsid w:val="003874CE"/>
    <w:rsid w:val="00390900"/>
    <w:rsid w:val="00390C03"/>
    <w:rsid w:val="003A0A26"/>
    <w:rsid w:val="003A7F6C"/>
    <w:rsid w:val="003B4D60"/>
    <w:rsid w:val="003B7E39"/>
    <w:rsid w:val="003C3118"/>
    <w:rsid w:val="003C5105"/>
    <w:rsid w:val="003C58DC"/>
    <w:rsid w:val="003D1E62"/>
    <w:rsid w:val="003D4BFA"/>
    <w:rsid w:val="003E247F"/>
    <w:rsid w:val="003E2486"/>
    <w:rsid w:val="003E3208"/>
    <w:rsid w:val="003F0B04"/>
    <w:rsid w:val="003F7EA9"/>
    <w:rsid w:val="0040015B"/>
    <w:rsid w:val="0040134E"/>
    <w:rsid w:val="0040437A"/>
    <w:rsid w:val="00405E2C"/>
    <w:rsid w:val="00420AA0"/>
    <w:rsid w:val="00422D63"/>
    <w:rsid w:val="00425B07"/>
    <w:rsid w:val="004334C7"/>
    <w:rsid w:val="004375F8"/>
    <w:rsid w:val="00440372"/>
    <w:rsid w:val="00440A2D"/>
    <w:rsid w:val="00444E82"/>
    <w:rsid w:val="00447F45"/>
    <w:rsid w:val="00450E89"/>
    <w:rsid w:val="0045258F"/>
    <w:rsid w:val="004564A7"/>
    <w:rsid w:val="004617BF"/>
    <w:rsid w:val="00463658"/>
    <w:rsid w:val="004722CC"/>
    <w:rsid w:val="0048193C"/>
    <w:rsid w:val="00487A44"/>
    <w:rsid w:val="004936E4"/>
    <w:rsid w:val="00494E60"/>
    <w:rsid w:val="004972E7"/>
    <w:rsid w:val="00497487"/>
    <w:rsid w:val="004A7390"/>
    <w:rsid w:val="004B2EB6"/>
    <w:rsid w:val="004B3F64"/>
    <w:rsid w:val="004B7B76"/>
    <w:rsid w:val="004C239D"/>
    <w:rsid w:val="004C2DCA"/>
    <w:rsid w:val="004C7AE7"/>
    <w:rsid w:val="004F0BBA"/>
    <w:rsid w:val="004F0C4A"/>
    <w:rsid w:val="004F0F38"/>
    <w:rsid w:val="00501921"/>
    <w:rsid w:val="005152A6"/>
    <w:rsid w:val="00530354"/>
    <w:rsid w:val="00532DB2"/>
    <w:rsid w:val="00533968"/>
    <w:rsid w:val="0053625B"/>
    <w:rsid w:val="005434C6"/>
    <w:rsid w:val="00543B39"/>
    <w:rsid w:val="00546154"/>
    <w:rsid w:val="00547177"/>
    <w:rsid w:val="00550096"/>
    <w:rsid w:val="00550533"/>
    <w:rsid w:val="005508ED"/>
    <w:rsid w:val="00555280"/>
    <w:rsid w:val="00557FF9"/>
    <w:rsid w:val="005617A2"/>
    <w:rsid w:val="0056195E"/>
    <w:rsid w:val="005667EB"/>
    <w:rsid w:val="00567894"/>
    <w:rsid w:val="00572D8D"/>
    <w:rsid w:val="00574614"/>
    <w:rsid w:val="00576378"/>
    <w:rsid w:val="00577130"/>
    <w:rsid w:val="00577945"/>
    <w:rsid w:val="00577E38"/>
    <w:rsid w:val="00585322"/>
    <w:rsid w:val="005857C6"/>
    <w:rsid w:val="00585E1B"/>
    <w:rsid w:val="0059161D"/>
    <w:rsid w:val="00592321"/>
    <w:rsid w:val="00592F6E"/>
    <w:rsid w:val="00593AD1"/>
    <w:rsid w:val="005A2F22"/>
    <w:rsid w:val="005A3345"/>
    <w:rsid w:val="005A68B6"/>
    <w:rsid w:val="005C0CF3"/>
    <w:rsid w:val="005C5570"/>
    <w:rsid w:val="005C79A4"/>
    <w:rsid w:val="005C79B1"/>
    <w:rsid w:val="005D1D69"/>
    <w:rsid w:val="005D2E54"/>
    <w:rsid w:val="005D5442"/>
    <w:rsid w:val="005E1FA7"/>
    <w:rsid w:val="005E717D"/>
    <w:rsid w:val="005F1AE3"/>
    <w:rsid w:val="00602AA8"/>
    <w:rsid w:val="00603F32"/>
    <w:rsid w:val="00605A98"/>
    <w:rsid w:val="00605AD4"/>
    <w:rsid w:val="00611B92"/>
    <w:rsid w:val="00612630"/>
    <w:rsid w:val="00625A6E"/>
    <w:rsid w:val="00632398"/>
    <w:rsid w:val="00640FC3"/>
    <w:rsid w:val="00642020"/>
    <w:rsid w:val="00652689"/>
    <w:rsid w:val="00652957"/>
    <w:rsid w:val="0065337B"/>
    <w:rsid w:val="006533E4"/>
    <w:rsid w:val="0065419D"/>
    <w:rsid w:val="006604D8"/>
    <w:rsid w:val="00664A5B"/>
    <w:rsid w:val="006763D2"/>
    <w:rsid w:val="006775B5"/>
    <w:rsid w:val="00680C08"/>
    <w:rsid w:val="00682378"/>
    <w:rsid w:val="006931B1"/>
    <w:rsid w:val="006A15C0"/>
    <w:rsid w:val="006A198D"/>
    <w:rsid w:val="006A3D7A"/>
    <w:rsid w:val="006A644F"/>
    <w:rsid w:val="006B0425"/>
    <w:rsid w:val="006B54C5"/>
    <w:rsid w:val="006C3A39"/>
    <w:rsid w:val="006C3E2A"/>
    <w:rsid w:val="006C642F"/>
    <w:rsid w:val="006D03E5"/>
    <w:rsid w:val="006D5B55"/>
    <w:rsid w:val="006D5D3E"/>
    <w:rsid w:val="006D5EC8"/>
    <w:rsid w:val="006D71CE"/>
    <w:rsid w:val="006E08B3"/>
    <w:rsid w:val="006E29BE"/>
    <w:rsid w:val="006E6D9E"/>
    <w:rsid w:val="006F17AC"/>
    <w:rsid w:val="006F25B8"/>
    <w:rsid w:val="006F3261"/>
    <w:rsid w:val="006F5397"/>
    <w:rsid w:val="006F56E3"/>
    <w:rsid w:val="006F572E"/>
    <w:rsid w:val="007046D6"/>
    <w:rsid w:val="00705DB0"/>
    <w:rsid w:val="00712973"/>
    <w:rsid w:val="00722B57"/>
    <w:rsid w:val="00730D07"/>
    <w:rsid w:val="00730F8A"/>
    <w:rsid w:val="0074253D"/>
    <w:rsid w:val="0074429B"/>
    <w:rsid w:val="00745B63"/>
    <w:rsid w:val="00750125"/>
    <w:rsid w:val="0075258B"/>
    <w:rsid w:val="007559CD"/>
    <w:rsid w:val="007615BC"/>
    <w:rsid w:val="00762F05"/>
    <w:rsid w:val="007652FF"/>
    <w:rsid w:val="0077015F"/>
    <w:rsid w:val="00770EF1"/>
    <w:rsid w:val="00773EF7"/>
    <w:rsid w:val="00774E1D"/>
    <w:rsid w:val="0077675A"/>
    <w:rsid w:val="00780355"/>
    <w:rsid w:val="007819FD"/>
    <w:rsid w:val="00783E2E"/>
    <w:rsid w:val="00785721"/>
    <w:rsid w:val="007932B1"/>
    <w:rsid w:val="00793A59"/>
    <w:rsid w:val="007A46A5"/>
    <w:rsid w:val="007B31EC"/>
    <w:rsid w:val="007B6132"/>
    <w:rsid w:val="007B6E9F"/>
    <w:rsid w:val="007C1165"/>
    <w:rsid w:val="007C1216"/>
    <w:rsid w:val="007C1AF7"/>
    <w:rsid w:val="007C3743"/>
    <w:rsid w:val="007C4B2F"/>
    <w:rsid w:val="007E026F"/>
    <w:rsid w:val="007E4833"/>
    <w:rsid w:val="007F33B3"/>
    <w:rsid w:val="0080295E"/>
    <w:rsid w:val="00805D27"/>
    <w:rsid w:val="00810596"/>
    <w:rsid w:val="008118F7"/>
    <w:rsid w:val="00811D9D"/>
    <w:rsid w:val="00812728"/>
    <w:rsid w:val="00812EC3"/>
    <w:rsid w:val="00821776"/>
    <w:rsid w:val="00826C60"/>
    <w:rsid w:val="008321F5"/>
    <w:rsid w:val="00832369"/>
    <w:rsid w:val="00834660"/>
    <w:rsid w:val="0083561D"/>
    <w:rsid w:val="00835D8F"/>
    <w:rsid w:val="00836BC2"/>
    <w:rsid w:val="00841BAD"/>
    <w:rsid w:val="0085156D"/>
    <w:rsid w:val="0085641B"/>
    <w:rsid w:val="00857136"/>
    <w:rsid w:val="008640A6"/>
    <w:rsid w:val="008673A6"/>
    <w:rsid w:val="00885B11"/>
    <w:rsid w:val="00886D15"/>
    <w:rsid w:val="00887DD8"/>
    <w:rsid w:val="00896018"/>
    <w:rsid w:val="008960DD"/>
    <w:rsid w:val="0089635C"/>
    <w:rsid w:val="008A2B9D"/>
    <w:rsid w:val="008A3D9F"/>
    <w:rsid w:val="008A3E56"/>
    <w:rsid w:val="008A5E0B"/>
    <w:rsid w:val="008A6D59"/>
    <w:rsid w:val="008B4B03"/>
    <w:rsid w:val="008B596F"/>
    <w:rsid w:val="008C159F"/>
    <w:rsid w:val="008C1623"/>
    <w:rsid w:val="008C1850"/>
    <w:rsid w:val="008C35FC"/>
    <w:rsid w:val="008C3801"/>
    <w:rsid w:val="008C51A9"/>
    <w:rsid w:val="008E204B"/>
    <w:rsid w:val="008E69DA"/>
    <w:rsid w:val="008E71E2"/>
    <w:rsid w:val="008E7846"/>
    <w:rsid w:val="008F17B5"/>
    <w:rsid w:val="008F1CCC"/>
    <w:rsid w:val="008F2967"/>
    <w:rsid w:val="008F6943"/>
    <w:rsid w:val="00900943"/>
    <w:rsid w:val="00902A21"/>
    <w:rsid w:val="00907932"/>
    <w:rsid w:val="00920330"/>
    <w:rsid w:val="009205E6"/>
    <w:rsid w:val="009216E1"/>
    <w:rsid w:val="009219D7"/>
    <w:rsid w:val="00922D53"/>
    <w:rsid w:val="00923B70"/>
    <w:rsid w:val="00924482"/>
    <w:rsid w:val="00930237"/>
    <w:rsid w:val="00934854"/>
    <w:rsid w:val="009353B7"/>
    <w:rsid w:val="00940A89"/>
    <w:rsid w:val="00943C24"/>
    <w:rsid w:val="00946EA5"/>
    <w:rsid w:val="009514BD"/>
    <w:rsid w:val="009515CB"/>
    <w:rsid w:val="00963C08"/>
    <w:rsid w:val="009823D6"/>
    <w:rsid w:val="0098585A"/>
    <w:rsid w:val="00986654"/>
    <w:rsid w:val="009972CB"/>
    <w:rsid w:val="009A02DD"/>
    <w:rsid w:val="009A4CED"/>
    <w:rsid w:val="009A690D"/>
    <w:rsid w:val="009B1D12"/>
    <w:rsid w:val="009B416B"/>
    <w:rsid w:val="009B6F9B"/>
    <w:rsid w:val="009C4BD5"/>
    <w:rsid w:val="009D7B77"/>
    <w:rsid w:val="009E0BB0"/>
    <w:rsid w:val="009E3FBB"/>
    <w:rsid w:val="009E47A9"/>
    <w:rsid w:val="009E5C37"/>
    <w:rsid w:val="009E5D72"/>
    <w:rsid w:val="009E5E7F"/>
    <w:rsid w:val="009E7660"/>
    <w:rsid w:val="009F141D"/>
    <w:rsid w:val="00A023F8"/>
    <w:rsid w:val="00A06632"/>
    <w:rsid w:val="00A102E4"/>
    <w:rsid w:val="00A12C42"/>
    <w:rsid w:val="00A14DF7"/>
    <w:rsid w:val="00A22D2B"/>
    <w:rsid w:val="00A3246D"/>
    <w:rsid w:val="00A36FA7"/>
    <w:rsid w:val="00A44DDB"/>
    <w:rsid w:val="00A475B7"/>
    <w:rsid w:val="00A47AF7"/>
    <w:rsid w:val="00A47C3E"/>
    <w:rsid w:val="00A47F23"/>
    <w:rsid w:val="00A50226"/>
    <w:rsid w:val="00A60BAD"/>
    <w:rsid w:val="00A83FE2"/>
    <w:rsid w:val="00A84E36"/>
    <w:rsid w:val="00A865C2"/>
    <w:rsid w:val="00A92DB4"/>
    <w:rsid w:val="00A93EB0"/>
    <w:rsid w:val="00A964D1"/>
    <w:rsid w:val="00AA0ED0"/>
    <w:rsid w:val="00AB264D"/>
    <w:rsid w:val="00AB5561"/>
    <w:rsid w:val="00AB7505"/>
    <w:rsid w:val="00AC2B40"/>
    <w:rsid w:val="00AC2BB0"/>
    <w:rsid w:val="00AC2BB2"/>
    <w:rsid w:val="00AC2C3C"/>
    <w:rsid w:val="00AC512D"/>
    <w:rsid w:val="00AD0083"/>
    <w:rsid w:val="00AD3935"/>
    <w:rsid w:val="00AE1FA7"/>
    <w:rsid w:val="00AE4A7C"/>
    <w:rsid w:val="00AE65EB"/>
    <w:rsid w:val="00AE67A7"/>
    <w:rsid w:val="00AE6C36"/>
    <w:rsid w:val="00AF1D94"/>
    <w:rsid w:val="00AF21BF"/>
    <w:rsid w:val="00AF60C5"/>
    <w:rsid w:val="00AF6565"/>
    <w:rsid w:val="00AF6922"/>
    <w:rsid w:val="00B009C6"/>
    <w:rsid w:val="00B01548"/>
    <w:rsid w:val="00B21D29"/>
    <w:rsid w:val="00B22F9A"/>
    <w:rsid w:val="00B25034"/>
    <w:rsid w:val="00B33588"/>
    <w:rsid w:val="00B33863"/>
    <w:rsid w:val="00B357EE"/>
    <w:rsid w:val="00B37D17"/>
    <w:rsid w:val="00B4175E"/>
    <w:rsid w:val="00B452CE"/>
    <w:rsid w:val="00B467F0"/>
    <w:rsid w:val="00B47EFC"/>
    <w:rsid w:val="00B50578"/>
    <w:rsid w:val="00B54C25"/>
    <w:rsid w:val="00B647BF"/>
    <w:rsid w:val="00B728CD"/>
    <w:rsid w:val="00B75541"/>
    <w:rsid w:val="00B76B91"/>
    <w:rsid w:val="00B77EB1"/>
    <w:rsid w:val="00B811C6"/>
    <w:rsid w:val="00B8129C"/>
    <w:rsid w:val="00B831DA"/>
    <w:rsid w:val="00B853BD"/>
    <w:rsid w:val="00B855B0"/>
    <w:rsid w:val="00B87ABB"/>
    <w:rsid w:val="00B92D81"/>
    <w:rsid w:val="00B92E08"/>
    <w:rsid w:val="00B94BB7"/>
    <w:rsid w:val="00B9586E"/>
    <w:rsid w:val="00BA2BBD"/>
    <w:rsid w:val="00BA7814"/>
    <w:rsid w:val="00BB374B"/>
    <w:rsid w:val="00BC58E1"/>
    <w:rsid w:val="00BC622A"/>
    <w:rsid w:val="00BD4E03"/>
    <w:rsid w:val="00BD6140"/>
    <w:rsid w:val="00BE0A78"/>
    <w:rsid w:val="00BE4BC6"/>
    <w:rsid w:val="00BE79F0"/>
    <w:rsid w:val="00BF046D"/>
    <w:rsid w:val="00BF1190"/>
    <w:rsid w:val="00BF5D04"/>
    <w:rsid w:val="00C05C14"/>
    <w:rsid w:val="00C1164D"/>
    <w:rsid w:val="00C16861"/>
    <w:rsid w:val="00C20F6E"/>
    <w:rsid w:val="00C27F10"/>
    <w:rsid w:val="00C31285"/>
    <w:rsid w:val="00C404A6"/>
    <w:rsid w:val="00C404B3"/>
    <w:rsid w:val="00C40A36"/>
    <w:rsid w:val="00C44419"/>
    <w:rsid w:val="00C4598B"/>
    <w:rsid w:val="00C45E7B"/>
    <w:rsid w:val="00C471B1"/>
    <w:rsid w:val="00C51C2B"/>
    <w:rsid w:val="00C601ED"/>
    <w:rsid w:val="00C612EB"/>
    <w:rsid w:val="00C61B48"/>
    <w:rsid w:val="00C6316B"/>
    <w:rsid w:val="00C634A9"/>
    <w:rsid w:val="00C64586"/>
    <w:rsid w:val="00C6563E"/>
    <w:rsid w:val="00C666F4"/>
    <w:rsid w:val="00C70D53"/>
    <w:rsid w:val="00C728D2"/>
    <w:rsid w:val="00C728FA"/>
    <w:rsid w:val="00C73D0B"/>
    <w:rsid w:val="00C75773"/>
    <w:rsid w:val="00C772FF"/>
    <w:rsid w:val="00C80137"/>
    <w:rsid w:val="00C801AF"/>
    <w:rsid w:val="00C80256"/>
    <w:rsid w:val="00C9747E"/>
    <w:rsid w:val="00CA23EF"/>
    <w:rsid w:val="00CB6BC0"/>
    <w:rsid w:val="00CC136A"/>
    <w:rsid w:val="00CC1B7C"/>
    <w:rsid w:val="00CC727F"/>
    <w:rsid w:val="00CD6F35"/>
    <w:rsid w:val="00CE2AD3"/>
    <w:rsid w:val="00CE54AC"/>
    <w:rsid w:val="00CF15C3"/>
    <w:rsid w:val="00CF2B6F"/>
    <w:rsid w:val="00CF58B6"/>
    <w:rsid w:val="00CF7B6C"/>
    <w:rsid w:val="00D017ED"/>
    <w:rsid w:val="00D03489"/>
    <w:rsid w:val="00D040D3"/>
    <w:rsid w:val="00D04C65"/>
    <w:rsid w:val="00D071CB"/>
    <w:rsid w:val="00D12B14"/>
    <w:rsid w:val="00D201D2"/>
    <w:rsid w:val="00D224FE"/>
    <w:rsid w:val="00D23139"/>
    <w:rsid w:val="00D2446A"/>
    <w:rsid w:val="00D3173F"/>
    <w:rsid w:val="00D31DB9"/>
    <w:rsid w:val="00D379CA"/>
    <w:rsid w:val="00D425BB"/>
    <w:rsid w:val="00D5013F"/>
    <w:rsid w:val="00D6493E"/>
    <w:rsid w:val="00D7195D"/>
    <w:rsid w:val="00D71E83"/>
    <w:rsid w:val="00D7301E"/>
    <w:rsid w:val="00D75D9F"/>
    <w:rsid w:val="00D80B40"/>
    <w:rsid w:val="00D8166F"/>
    <w:rsid w:val="00D83AE1"/>
    <w:rsid w:val="00D855D4"/>
    <w:rsid w:val="00D90E33"/>
    <w:rsid w:val="00D924E5"/>
    <w:rsid w:val="00D930C2"/>
    <w:rsid w:val="00D93466"/>
    <w:rsid w:val="00DA10CE"/>
    <w:rsid w:val="00DA1124"/>
    <w:rsid w:val="00DA244F"/>
    <w:rsid w:val="00DB4141"/>
    <w:rsid w:val="00DB6124"/>
    <w:rsid w:val="00DB750B"/>
    <w:rsid w:val="00DB75B7"/>
    <w:rsid w:val="00DC6E02"/>
    <w:rsid w:val="00DC78A3"/>
    <w:rsid w:val="00DC7FD9"/>
    <w:rsid w:val="00DD7C25"/>
    <w:rsid w:val="00DE02AE"/>
    <w:rsid w:val="00DE1C35"/>
    <w:rsid w:val="00DE46B5"/>
    <w:rsid w:val="00DF1D7F"/>
    <w:rsid w:val="00DF4773"/>
    <w:rsid w:val="00DF4BE4"/>
    <w:rsid w:val="00DF5D13"/>
    <w:rsid w:val="00E017D1"/>
    <w:rsid w:val="00E02FB4"/>
    <w:rsid w:val="00E104F1"/>
    <w:rsid w:val="00E20571"/>
    <w:rsid w:val="00E235F7"/>
    <w:rsid w:val="00E23659"/>
    <w:rsid w:val="00E239D4"/>
    <w:rsid w:val="00E26130"/>
    <w:rsid w:val="00E40B22"/>
    <w:rsid w:val="00E44ED1"/>
    <w:rsid w:val="00E45619"/>
    <w:rsid w:val="00E4588F"/>
    <w:rsid w:val="00E46DA3"/>
    <w:rsid w:val="00E51BB1"/>
    <w:rsid w:val="00E545EF"/>
    <w:rsid w:val="00E624A5"/>
    <w:rsid w:val="00E63CC2"/>
    <w:rsid w:val="00E64D82"/>
    <w:rsid w:val="00E66FCA"/>
    <w:rsid w:val="00E71EF7"/>
    <w:rsid w:val="00E7344E"/>
    <w:rsid w:val="00E77BD0"/>
    <w:rsid w:val="00E93976"/>
    <w:rsid w:val="00EB0798"/>
    <w:rsid w:val="00EB40AD"/>
    <w:rsid w:val="00EB586E"/>
    <w:rsid w:val="00EB5FC8"/>
    <w:rsid w:val="00EC0BDC"/>
    <w:rsid w:val="00EC0C62"/>
    <w:rsid w:val="00EC4E7F"/>
    <w:rsid w:val="00EC7A85"/>
    <w:rsid w:val="00ED3CAD"/>
    <w:rsid w:val="00ED5A41"/>
    <w:rsid w:val="00ED5BBD"/>
    <w:rsid w:val="00ED7407"/>
    <w:rsid w:val="00EE1DE8"/>
    <w:rsid w:val="00EF1A36"/>
    <w:rsid w:val="00F02FF5"/>
    <w:rsid w:val="00F033EC"/>
    <w:rsid w:val="00F0386C"/>
    <w:rsid w:val="00F04F68"/>
    <w:rsid w:val="00F1021C"/>
    <w:rsid w:val="00F12670"/>
    <w:rsid w:val="00F13700"/>
    <w:rsid w:val="00F14B27"/>
    <w:rsid w:val="00F15893"/>
    <w:rsid w:val="00F3148D"/>
    <w:rsid w:val="00F325C5"/>
    <w:rsid w:val="00F32BE8"/>
    <w:rsid w:val="00F32FE0"/>
    <w:rsid w:val="00F35298"/>
    <w:rsid w:val="00F460AA"/>
    <w:rsid w:val="00F47333"/>
    <w:rsid w:val="00F47E37"/>
    <w:rsid w:val="00F50309"/>
    <w:rsid w:val="00F53C07"/>
    <w:rsid w:val="00F54B65"/>
    <w:rsid w:val="00F555BF"/>
    <w:rsid w:val="00F61AB4"/>
    <w:rsid w:val="00F640B6"/>
    <w:rsid w:val="00F659F8"/>
    <w:rsid w:val="00F72013"/>
    <w:rsid w:val="00F73752"/>
    <w:rsid w:val="00F7768D"/>
    <w:rsid w:val="00F80E40"/>
    <w:rsid w:val="00F83B84"/>
    <w:rsid w:val="00F848D9"/>
    <w:rsid w:val="00FA2C0B"/>
    <w:rsid w:val="00FA5B82"/>
    <w:rsid w:val="00FA639E"/>
    <w:rsid w:val="00FB4135"/>
    <w:rsid w:val="00FC25E4"/>
    <w:rsid w:val="00FC2942"/>
    <w:rsid w:val="00FC4EF7"/>
    <w:rsid w:val="00FC631B"/>
    <w:rsid w:val="00FD0824"/>
    <w:rsid w:val="00FD119B"/>
    <w:rsid w:val="00FE1DEE"/>
    <w:rsid w:val="00FF2126"/>
    <w:rsid w:val="00FF384B"/>
    <w:rsid w:val="00FF43B2"/>
    <w:rsid w:val="00FF5755"/>
    <w:rsid w:val="00FF61A0"/>
    <w:rsid w:val="00FF69BE"/>
    <w:rsid w:val="00FF7B93"/>
    <w:rsid w:val="00FF7F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semiHidden="0" w:unhideWhenUsed="0"/>
    <w:lsdException w:name="footer" w:semiHidden="0" w:unhideWhenUsed="0"/>
    <w:lsdException w:name="caption" w:semiHidden="0" w:uiPriority="35" w:unhideWhenUsed="0"/>
    <w:lsdException w:name="annotation reference" w:uiPriority="0"/>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943C24"/>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AD0083"/>
    <w:pPr>
      <w:keepNext/>
      <w:spacing w:after="60" w:line="180" w:lineRule="atLeast"/>
      <w:outlineLvl w:val="6"/>
    </w:pPr>
    <w:rPr>
      <w:rFonts w:eastAsia="Times New Roman"/>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AD3935"/>
    <w:rPr>
      <w:rFonts w:ascii="Arial" w:eastAsia="Times New Roman" w:hAnsi="Arial" w:cs="Times New Roman"/>
      <w:b/>
      <w:bCs/>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AD0083"/>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link w:val="TabletextChar"/>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link w:val="TableTitleChar"/>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Instructionaltext">
    <w:name w:val="Instructional text"/>
    <w:basedOn w:val="Normal"/>
    <w:link w:val="InstructionaltextChar"/>
    <w:uiPriority w:val="1"/>
    <w:qFormat/>
    <w:rsid w:val="00A44DDB"/>
    <w:rPr>
      <w:i/>
      <w:color w:val="22ABFF" w:themeColor="accent1" w:themeTint="80"/>
      <w:szCs w:val="24"/>
    </w:rPr>
  </w:style>
  <w:style w:type="character" w:customStyle="1" w:styleId="InstructionaltextChar">
    <w:name w:val="Instructional text Char"/>
    <w:basedOn w:val="DefaultParagraphFont"/>
    <w:link w:val="Instructionaltext"/>
    <w:uiPriority w:val="1"/>
    <w:rsid w:val="00AD3935"/>
    <w:rPr>
      <w:rFonts w:ascii="Cambria" w:eastAsia="Cambria" w:hAnsi="Cambria" w:cs="Times New Roman"/>
      <w:i/>
      <w:color w:val="22ABFF" w:themeColor="accent1" w:themeTint="80"/>
      <w:szCs w:val="24"/>
    </w:rPr>
  </w:style>
  <w:style w:type="paragraph" w:styleId="ListParagraph">
    <w:name w:val="List Paragraph"/>
    <w:basedOn w:val="Normal"/>
    <w:uiPriority w:val="34"/>
    <w:qFormat/>
    <w:rsid w:val="00652957"/>
    <w:pPr>
      <w:adjustRightInd w:val="0"/>
      <w:snapToGrid w:val="0"/>
      <w:spacing w:before="0" w:after="0"/>
      <w:ind w:left="720"/>
      <w:contextualSpacing/>
    </w:pPr>
    <w:rPr>
      <w:rFonts w:eastAsia="MS Mincho"/>
      <w:szCs w:val="20"/>
      <w:lang w:eastAsia="ja-JP"/>
    </w:rPr>
  </w:style>
  <w:style w:type="character" w:styleId="CommentReference">
    <w:name w:val="annotation reference"/>
    <w:basedOn w:val="DefaultParagraphFont"/>
    <w:rsid w:val="00574614"/>
    <w:rPr>
      <w:sz w:val="16"/>
      <w:szCs w:val="16"/>
    </w:rPr>
  </w:style>
  <w:style w:type="paragraph" w:styleId="CommentText">
    <w:name w:val="annotation text"/>
    <w:basedOn w:val="Normal"/>
    <w:link w:val="CommentTextChar"/>
    <w:rsid w:val="00574614"/>
    <w:pPr>
      <w:adjustRightInd w:val="0"/>
      <w:snapToGrid w:val="0"/>
      <w:spacing w:before="0" w:after="0" w:line="240" w:lineRule="auto"/>
    </w:pPr>
    <w:rPr>
      <w:rFonts w:eastAsia="MS Mincho"/>
      <w:sz w:val="20"/>
      <w:szCs w:val="20"/>
      <w:lang w:eastAsia="ja-JP"/>
    </w:rPr>
  </w:style>
  <w:style w:type="character" w:customStyle="1" w:styleId="CommentTextChar">
    <w:name w:val="Comment Text Char"/>
    <w:basedOn w:val="DefaultParagraphFont"/>
    <w:link w:val="CommentText"/>
    <w:rsid w:val="00574614"/>
    <w:rPr>
      <w:rFonts w:ascii="Cambria" w:eastAsia="MS Mincho" w:hAnsi="Cambria" w:cs="Times New Roman"/>
      <w:sz w:val="20"/>
      <w:szCs w:val="20"/>
      <w:lang w:eastAsia="ja-JP"/>
    </w:rPr>
  </w:style>
  <w:style w:type="paragraph" w:customStyle="1" w:styleId="Standard">
    <w:name w:val="Standard"/>
    <w:basedOn w:val="Normal"/>
    <w:link w:val="StandardChar"/>
    <w:rsid w:val="009353B7"/>
    <w:pPr>
      <w:spacing w:before="0" w:after="220" w:line="252" w:lineRule="auto"/>
    </w:pPr>
    <w:rPr>
      <w:rFonts w:eastAsia="Times New Roman"/>
      <w:snapToGrid w:val="0"/>
      <w:kern w:val="16"/>
      <w:szCs w:val="24"/>
    </w:rPr>
  </w:style>
  <w:style w:type="paragraph" w:customStyle="1" w:styleId="WhiteSpace">
    <w:name w:val="White Space"/>
    <w:basedOn w:val="Standard"/>
    <w:next w:val="Standard"/>
    <w:link w:val="WhiteSpaceChar"/>
    <w:rsid w:val="009353B7"/>
    <w:pPr>
      <w:spacing w:after="0"/>
    </w:pPr>
    <w:rPr>
      <w:rFonts w:eastAsia="Cambria"/>
      <w:snapToGrid/>
      <w:kern w:val="0"/>
      <w:sz w:val="16"/>
      <w:szCs w:val="16"/>
    </w:rPr>
  </w:style>
  <w:style w:type="character" w:customStyle="1" w:styleId="StandardChar">
    <w:name w:val="Standard Char"/>
    <w:basedOn w:val="DefaultParagraphFont"/>
    <w:link w:val="Standard"/>
    <w:rsid w:val="009353B7"/>
    <w:rPr>
      <w:rFonts w:ascii="Cambria" w:eastAsia="Times New Roman" w:hAnsi="Cambria" w:cs="Times New Roman"/>
      <w:snapToGrid w:val="0"/>
      <w:kern w:val="16"/>
      <w:szCs w:val="24"/>
    </w:rPr>
  </w:style>
  <w:style w:type="character" w:customStyle="1" w:styleId="TableTitleChar">
    <w:name w:val="Table Title Char"/>
    <w:basedOn w:val="StandardChar"/>
    <w:link w:val="TableTitle"/>
    <w:rsid w:val="009353B7"/>
    <w:rPr>
      <w:rFonts w:ascii="Cambria" w:eastAsia="Cambria" w:hAnsi="Cambria" w:cs="Times New Roman"/>
      <w:b/>
      <w:snapToGrid/>
      <w:kern w:val="16"/>
      <w:szCs w:val="24"/>
    </w:rPr>
  </w:style>
  <w:style w:type="paragraph" w:customStyle="1" w:styleId="AssessmentSubsection">
    <w:name w:val="Assessment Subsection"/>
    <w:basedOn w:val="Standard"/>
    <w:next w:val="Standard"/>
    <w:rsid w:val="009353B7"/>
    <w:pPr>
      <w:keepNext/>
      <w:spacing w:after="110"/>
      <w:outlineLvl w:val="2"/>
    </w:pPr>
    <w:rPr>
      <w:b/>
      <w:i/>
    </w:rPr>
  </w:style>
  <w:style w:type="character" w:customStyle="1" w:styleId="TabletextChar">
    <w:name w:val="Table text Char"/>
    <w:basedOn w:val="DefaultParagraphFont"/>
    <w:link w:val="Tabletext"/>
    <w:rsid w:val="009353B7"/>
    <w:rPr>
      <w:rFonts w:ascii="Cambria" w:eastAsia="Cambria" w:hAnsi="Cambria" w:cs="Times New Roman"/>
      <w:sz w:val="19"/>
    </w:rPr>
  </w:style>
  <w:style w:type="character" w:customStyle="1" w:styleId="WhiteSpaceChar">
    <w:name w:val="White Space Char"/>
    <w:basedOn w:val="TabletextChar"/>
    <w:link w:val="WhiteSpace"/>
    <w:rsid w:val="009353B7"/>
    <w:rPr>
      <w:rFonts w:ascii="Cambria" w:eastAsia="Cambria" w:hAnsi="Cambria" w:cs="Times New Roman"/>
      <w:sz w:val="16"/>
      <w:szCs w:val="16"/>
    </w:rPr>
  </w:style>
  <w:style w:type="paragraph" w:customStyle="1" w:styleId="AssessmentSubsection2">
    <w:name w:val="Assessment Subsection 2"/>
    <w:basedOn w:val="AssessmentSubsection"/>
    <w:next w:val="Standard"/>
    <w:rsid w:val="009353B7"/>
    <w:pPr>
      <w:outlineLvl w:val="3"/>
    </w:pPr>
    <w:rPr>
      <w:b w:val="0"/>
    </w:rPr>
  </w:style>
  <w:style w:type="paragraph" w:customStyle="1" w:styleId="TableHeader">
    <w:name w:val="Table Header"/>
    <w:basedOn w:val="Normal"/>
    <w:rsid w:val="009353B7"/>
    <w:pPr>
      <w:keepNext/>
      <w:keepLines/>
      <w:widowControl w:val="0"/>
      <w:spacing w:before="60" w:after="60" w:line="200" w:lineRule="exact"/>
      <w:jc w:val="center"/>
    </w:pPr>
    <w:rPr>
      <w:rFonts w:eastAsia="MS Mincho" w:cstheme="minorBidi"/>
      <w:b/>
      <w:kern w:val="2"/>
      <w:sz w:val="19"/>
      <w:szCs w:val="19"/>
    </w:rPr>
  </w:style>
  <w:style w:type="paragraph" w:customStyle="1" w:styleId="GuidanceText">
    <w:name w:val="Guidance Text"/>
    <w:basedOn w:val="Normal"/>
    <w:link w:val="GuidanceTextChar"/>
    <w:autoRedefine/>
    <w:rsid w:val="008A3E56"/>
    <w:pPr>
      <w:autoSpaceDE w:val="0"/>
      <w:autoSpaceDN w:val="0"/>
      <w:adjustRightInd w:val="0"/>
      <w:spacing w:before="0" w:after="0" w:line="240" w:lineRule="auto"/>
    </w:pPr>
    <w:rPr>
      <w:rFonts w:asciiTheme="minorHAnsi" w:eastAsia="Times New Roman" w:hAnsiTheme="minorHAnsi" w:cstheme="majorHAnsi"/>
      <w:color w:val="000000" w:themeColor="text1"/>
      <w:lang w:eastAsia="en-AU"/>
    </w:rPr>
  </w:style>
  <w:style w:type="character" w:customStyle="1" w:styleId="GuidanceTextChar">
    <w:name w:val="Guidance Text Char"/>
    <w:basedOn w:val="DefaultParagraphFont"/>
    <w:link w:val="GuidanceText"/>
    <w:rsid w:val="008A3E56"/>
    <w:rPr>
      <w:rFonts w:eastAsia="Times New Roman" w:cstheme="majorHAnsi"/>
      <w:color w:val="000000" w:themeColor="text1"/>
      <w:lang w:eastAsia="en-AU"/>
    </w:rPr>
  </w:style>
  <w:style w:type="character" w:customStyle="1" w:styleId="st1">
    <w:name w:val="st1"/>
    <w:basedOn w:val="DefaultParagraphFont"/>
    <w:rsid w:val="00DD7C25"/>
  </w:style>
  <w:style w:type="paragraph" w:styleId="EndnoteText">
    <w:name w:val="endnote text"/>
    <w:basedOn w:val="Normal"/>
    <w:link w:val="EndnoteTextChar"/>
    <w:uiPriority w:val="99"/>
    <w:semiHidden/>
    <w:unhideWhenUsed/>
    <w:rsid w:val="00D12B14"/>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D12B14"/>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D12B14"/>
    <w:rPr>
      <w:vertAlign w:val="superscript"/>
    </w:rPr>
  </w:style>
  <w:style w:type="paragraph" w:customStyle="1" w:styleId="Default">
    <w:name w:val="Default"/>
    <w:rsid w:val="00612630"/>
    <w:pPr>
      <w:autoSpaceDE w:val="0"/>
      <w:autoSpaceDN w:val="0"/>
      <w:adjustRightInd w:val="0"/>
      <w:spacing w:after="0" w:line="240" w:lineRule="auto"/>
    </w:pPr>
    <w:rPr>
      <w:rFonts w:ascii="Minion Pro" w:hAnsi="Minion Pro" w:cs="Minion Pro"/>
      <w:color w:val="000000"/>
      <w:sz w:val="24"/>
      <w:szCs w:val="24"/>
    </w:rPr>
  </w:style>
  <w:style w:type="paragraph" w:styleId="CommentSubject">
    <w:name w:val="annotation subject"/>
    <w:basedOn w:val="CommentText"/>
    <w:next w:val="CommentText"/>
    <w:link w:val="CommentSubjectChar"/>
    <w:uiPriority w:val="99"/>
    <w:semiHidden/>
    <w:unhideWhenUsed/>
    <w:rsid w:val="002F2BF6"/>
    <w:pPr>
      <w:adjustRightInd/>
      <w:snapToGrid/>
      <w:spacing w:before="120" w:after="120"/>
    </w:pPr>
    <w:rPr>
      <w:rFonts w:eastAsia="Cambria"/>
      <w:b/>
      <w:bCs/>
      <w:lang w:eastAsia="en-US"/>
    </w:rPr>
  </w:style>
  <w:style w:type="character" w:customStyle="1" w:styleId="CommentSubjectChar">
    <w:name w:val="Comment Subject Char"/>
    <w:basedOn w:val="CommentTextChar"/>
    <w:link w:val="CommentSubject"/>
    <w:uiPriority w:val="99"/>
    <w:semiHidden/>
    <w:rsid w:val="002F2BF6"/>
    <w:rPr>
      <w:rFonts w:ascii="Cambria" w:eastAsia="Cambria" w:hAnsi="Cambria" w:cs="Times New Roman"/>
      <w:b/>
      <w:bCs/>
      <w:sz w:val="20"/>
      <w:szCs w:val="20"/>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semiHidden="0" w:unhideWhenUsed="0"/>
    <w:lsdException w:name="footer" w:semiHidden="0" w:unhideWhenUsed="0"/>
    <w:lsdException w:name="caption" w:semiHidden="0" w:uiPriority="35" w:unhideWhenUsed="0"/>
    <w:lsdException w:name="annotation reference" w:uiPriority="0"/>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943C24"/>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AD0083"/>
    <w:pPr>
      <w:keepNext/>
      <w:spacing w:after="60" w:line="180" w:lineRule="atLeast"/>
      <w:outlineLvl w:val="6"/>
    </w:pPr>
    <w:rPr>
      <w:rFonts w:eastAsia="Times New Roman"/>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AD3935"/>
    <w:rPr>
      <w:rFonts w:ascii="Arial" w:eastAsia="Times New Roman" w:hAnsi="Arial" w:cs="Times New Roman"/>
      <w:b/>
      <w:bCs/>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AD0083"/>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link w:val="TabletextChar"/>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link w:val="TableTitleChar"/>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Instructionaltext">
    <w:name w:val="Instructional text"/>
    <w:basedOn w:val="Normal"/>
    <w:link w:val="InstructionaltextChar"/>
    <w:uiPriority w:val="1"/>
    <w:qFormat/>
    <w:rsid w:val="00A44DDB"/>
    <w:rPr>
      <w:i/>
      <w:color w:val="22ABFF" w:themeColor="accent1" w:themeTint="80"/>
      <w:szCs w:val="24"/>
    </w:rPr>
  </w:style>
  <w:style w:type="character" w:customStyle="1" w:styleId="InstructionaltextChar">
    <w:name w:val="Instructional text Char"/>
    <w:basedOn w:val="DefaultParagraphFont"/>
    <w:link w:val="Instructionaltext"/>
    <w:uiPriority w:val="1"/>
    <w:rsid w:val="00AD3935"/>
    <w:rPr>
      <w:rFonts w:ascii="Cambria" w:eastAsia="Cambria" w:hAnsi="Cambria" w:cs="Times New Roman"/>
      <w:i/>
      <w:color w:val="22ABFF" w:themeColor="accent1" w:themeTint="80"/>
      <w:szCs w:val="24"/>
    </w:rPr>
  </w:style>
  <w:style w:type="paragraph" w:styleId="ListParagraph">
    <w:name w:val="List Paragraph"/>
    <w:basedOn w:val="Normal"/>
    <w:uiPriority w:val="34"/>
    <w:qFormat/>
    <w:rsid w:val="00652957"/>
    <w:pPr>
      <w:adjustRightInd w:val="0"/>
      <w:snapToGrid w:val="0"/>
      <w:spacing w:before="0" w:after="0"/>
      <w:ind w:left="720"/>
      <w:contextualSpacing/>
    </w:pPr>
    <w:rPr>
      <w:rFonts w:eastAsia="MS Mincho"/>
      <w:szCs w:val="20"/>
      <w:lang w:eastAsia="ja-JP"/>
    </w:rPr>
  </w:style>
  <w:style w:type="character" w:styleId="CommentReference">
    <w:name w:val="annotation reference"/>
    <w:basedOn w:val="DefaultParagraphFont"/>
    <w:rsid w:val="00574614"/>
    <w:rPr>
      <w:sz w:val="16"/>
      <w:szCs w:val="16"/>
    </w:rPr>
  </w:style>
  <w:style w:type="paragraph" w:styleId="CommentText">
    <w:name w:val="annotation text"/>
    <w:basedOn w:val="Normal"/>
    <w:link w:val="CommentTextChar"/>
    <w:rsid w:val="00574614"/>
    <w:pPr>
      <w:adjustRightInd w:val="0"/>
      <w:snapToGrid w:val="0"/>
      <w:spacing w:before="0" w:after="0" w:line="240" w:lineRule="auto"/>
    </w:pPr>
    <w:rPr>
      <w:rFonts w:eastAsia="MS Mincho"/>
      <w:sz w:val="20"/>
      <w:szCs w:val="20"/>
      <w:lang w:eastAsia="ja-JP"/>
    </w:rPr>
  </w:style>
  <w:style w:type="character" w:customStyle="1" w:styleId="CommentTextChar">
    <w:name w:val="Comment Text Char"/>
    <w:basedOn w:val="DefaultParagraphFont"/>
    <w:link w:val="CommentText"/>
    <w:rsid w:val="00574614"/>
    <w:rPr>
      <w:rFonts w:ascii="Cambria" w:eastAsia="MS Mincho" w:hAnsi="Cambria" w:cs="Times New Roman"/>
      <w:sz w:val="20"/>
      <w:szCs w:val="20"/>
      <w:lang w:eastAsia="ja-JP"/>
    </w:rPr>
  </w:style>
  <w:style w:type="paragraph" w:customStyle="1" w:styleId="Standard">
    <w:name w:val="Standard"/>
    <w:basedOn w:val="Normal"/>
    <w:link w:val="StandardChar"/>
    <w:rsid w:val="009353B7"/>
    <w:pPr>
      <w:spacing w:before="0" w:after="220" w:line="252" w:lineRule="auto"/>
    </w:pPr>
    <w:rPr>
      <w:rFonts w:eastAsia="Times New Roman"/>
      <w:snapToGrid w:val="0"/>
      <w:kern w:val="16"/>
      <w:szCs w:val="24"/>
    </w:rPr>
  </w:style>
  <w:style w:type="paragraph" w:customStyle="1" w:styleId="WhiteSpace">
    <w:name w:val="White Space"/>
    <w:basedOn w:val="Standard"/>
    <w:next w:val="Standard"/>
    <w:link w:val="WhiteSpaceChar"/>
    <w:rsid w:val="009353B7"/>
    <w:pPr>
      <w:spacing w:after="0"/>
    </w:pPr>
    <w:rPr>
      <w:rFonts w:eastAsia="Cambria"/>
      <w:snapToGrid/>
      <w:kern w:val="0"/>
      <w:sz w:val="16"/>
      <w:szCs w:val="16"/>
    </w:rPr>
  </w:style>
  <w:style w:type="character" w:customStyle="1" w:styleId="StandardChar">
    <w:name w:val="Standard Char"/>
    <w:basedOn w:val="DefaultParagraphFont"/>
    <w:link w:val="Standard"/>
    <w:rsid w:val="009353B7"/>
    <w:rPr>
      <w:rFonts w:ascii="Cambria" w:eastAsia="Times New Roman" w:hAnsi="Cambria" w:cs="Times New Roman"/>
      <w:snapToGrid w:val="0"/>
      <w:kern w:val="16"/>
      <w:szCs w:val="24"/>
    </w:rPr>
  </w:style>
  <w:style w:type="character" w:customStyle="1" w:styleId="TableTitleChar">
    <w:name w:val="Table Title Char"/>
    <w:basedOn w:val="StandardChar"/>
    <w:link w:val="TableTitle"/>
    <w:rsid w:val="009353B7"/>
    <w:rPr>
      <w:rFonts w:ascii="Cambria" w:eastAsia="Cambria" w:hAnsi="Cambria" w:cs="Times New Roman"/>
      <w:b/>
      <w:snapToGrid/>
      <w:kern w:val="16"/>
      <w:szCs w:val="24"/>
    </w:rPr>
  </w:style>
  <w:style w:type="paragraph" w:customStyle="1" w:styleId="AssessmentSubsection">
    <w:name w:val="Assessment Subsection"/>
    <w:basedOn w:val="Standard"/>
    <w:next w:val="Standard"/>
    <w:rsid w:val="009353B7"/>
    <w:pPr>
      <w:keepNext/>
      <w:spacing w:after="110"/>
      <w:outlineLvl w:val="2"/>
    </w:pPr>
    <w:rPr>
      <w:b/>
      <w:i/>
    </w:rPr>
  </w:style>
  <w:style w:type="character" w:customStyle="1" w:styleId="TabletextChar">
    <w:name w:val="Table text Char"/>
    <w:basedOn w:val="DefaultParagraphFont"/>
    <w:link w:val="Tabletext"/>
    <w:rsid w:val="009353B7"/>
    <w:rPr>
      <w:rFonts w:ascii="Cambria" w:eastAsia="Cambria" w:hAnsi="Cambria" w:cs="Times New Roman"/>
      <w:sz w:val="19"/>
    </w:rPr>
  </w:style>
  <w:style w:type="character" w:customStyle="1" w:styleId="WhiteSpaceChar">
    <w:name w:val="White Space Char"/>
    <w:basedOn w:val="TabletextChar"/>
    <w:link w:val="WhiteSpace"/>
    <w:rsid w:val="009353B7"/>
    <w:rPr>
      <w:rFonts w:ascii="Cambria" w:eastAsia="Cambria" w:hAnsi="Cambria" w:cs="Times New Roman"/>
      <w:sz w:val="16"/>
      <w:szCs w:val="16"/>
    </w:rPr>
  </w:style>
  <w:style w:type="paragraph" w:customStyle="1" w:styleId="AssessmentSubsection2">
    <w:name w:val="Assessment Subsection 2"/>
    <w:basedOn w:val="AssessmentSubsection"/>
    <w:next w:val="Standard"/>
    <w:rsid w:val="009353B7"/>
    <w:pPr>
      <w:outlineLvl w:val="3"/>
    </w:pPr>
    <w:rPr>
      <w:b w:val="0"/>
    </w:rPr>
  </w:style>
  <w:style w:type="paragraph" w:customStyle="1" w:styleId="TableHeader">
    <w:name w:val="Table Header"/>
    <w:basedOn w:val="Normal"/>
    <w:rsid w:val="009353B7"/>
    <w:pPr>
      <w:keepNext/>
      <w:keepLines/>
      <w:widowControl w:val="0"/>
      <w:spacing w:before="60" w:after="60" w:line="200" w:lineRule="exact"/>
      <w:jc w:val="center"/>
    </w:pPr>
    <w:rPr>
      <w:rFonts w:eastAsia="MS Mincho" w:cstheme="minorBidi"/>
      <w:b/>
      <w:kern w:val="2"/>
      <w:sz w:val="19"/>
      <w:szCs w:val="19"/>
    </w:rPr>
  </w:style>
  <w:style w:type="paragraph" w:customStyle="1" w:styleId="GuidanceText">
    <w:name w:val="Guidance Text"/>
    <w:basedOn w:val="Normal"/>
    <w:link w:val="GuidanceTextChar"/>
    <w:autoRedefine/>
    <w:rsid w:val="008A3E56"/>
    <w:pPr>
      <w:autoSpaceDE w:val="0"/>
      <w:autoSpaceDN w:val="0"/>
      <w:adjustRightInd w:val="0"/>
      <w:spacing w:before="0" w:after="0" w:line="240" w:lineRule="auto"/>
    </w:pPr>
    <w:rPr>
      <w:rFonts w:asciiTheme="minorHAnsi" w:eastAsia="Times New Roman" w:hAnsiTheme="minorHAnsi" w:cstheme="majorHAnsi"/>
      <w:color w:val="000000" w:themeColor="text1"/>
      <w:lang w:eastAsia="en-AU"/>
    </w:rPr>
  </w:style>
  <w:style w:type="character" w:customStyle="1" w:styleId="GuidanceTextChar">
    <w:name w:val="Guidance Text Char"/>
    <w:basedOn w:val="DefaultParagraphFont"/>
    <w:link w:val="GuidanceText"/>
    <w:rsid w:val="008A3E56"/>
    <w:rPr>
      <w:rFonts w:eastAsia="Times New Roman" w:cstheme="majorHAnsi"/>
      <w:color w:val="000000" w:themeColor="text1"/>
      <w:lang w:eastAsia="en-AU"/>
    </w:rPr>
  </w:style>
  <w:style w:type="character" w:customStyle="1" w:styleId="st1">
    <w:name w:val="st1"/>
    <w:basedOn w:val="DefaultParagraphFont"/>
    <w:rsid w:val="00DD7C25"/>
  </w:style>
  <w:style w:type="paragraph" w:styleId="EndnoteText">
    <w:name w:val="endnote text"/>
    <w:basedOn w:val="Normal"/>
    <w:link w:val="EndnoteTextChar"/>
    <w:uiPriority w:val="99"/>
    <w:semiHidden/>
    <w:unhideWhenUsed/>
    <w:rsid w:val="00D12B14"/>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D12B14"/>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D12B14"/>
    <w:rPr>
      <w:vertAlign w:val="superscript"/>
    </w:rPr>
  </w:style>
  <w:style w:type="paragraph" w:customStyle="1" w:styleId="Default">
    <w:name w:val="Default"/>
    <w:rsid w:val="00612630"/>
    <w:pPr>
      <w:autoSpaceDE w:val="0"/>
      <w:autoSpaceDN w:val="0"/>
      <w:adjustRightInd w:val="0"/>
      <w:spacing w:after="0" w:line="240" w:lineRule="auto"/>
    </w:pPr>
    <w:rPr>
      <w:rFonts w:ascii="Minion Pro" w:hAnsi="Minion Pro" w:cs="Minion Pro"/>
      <w:color w:val="000000"/>
      <w:sz w:val="24"/>
      <w:szCs w:val="24"/>
    </w:rPr>
  </w:style>
  <w:style w:type="paragraph" w:styleId="CommentSubject">
    <w:name w:val="annotation subject"/>
    <w:basedOn w:val="CommentText"/>
    <w:next w:val="CommentText"/>
    <w:link w:val="CommentSubjectChar"/>
    <w:uiPriority w:val="99"/>
    <w:semiHidden/>
    <w:unhideWhenUsed/>
    <w:rsid w:val="002F2BF6"/>
    <w:pPr>
      <w:adjustRightInd/>
      <w:snapToGrid/>
      <w:spacing w:before="120" w:after="120"/>
    </w:pPr>
    <w:rPr>
      <w:rFonts w:eastAsia="Cambria"/>
      <w:b/>
      <w:bCs/>
      <w:lang w:eastAsia="en-US"/>
    </w:rPr>
  </w:style>
  <w:style w:type="character" w:customStyle="1" w:styleId="CommentSubjectChar">
    <w:name w:val="Comment Subject Char"/>
    <w:basedOn w:val="CommentTextChar"/>
    <w:link w:val="CommentSubject"/>
    <w:uiPriority w:val="99"/>
    <w:semiHidden/>
    <w:rsid w:val="002F2BF6"/>
    <w:rPr>
      <w:rFonts w:ascii="Cambria" w:eastAsia="Cambria" w:hAnsi="Cambria" w:cs="Times New Roman"/>
      <w:b/>
      <w:bCs/>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079825">
      <w:bodyDiv w:val="1"/>
      <w:marLeft w:val="0"/>
      <w:marRight w:val="0"/>
      <w:marTop w:val="0"/>
      <w:marBottom w:val="0"/>
      <w:divBdr>
        <w:top w:val="none" w:sz="0" w:space="0" w:color="auto"/>
        <w:left w:val="none" w:sz="0" w:space="0" w:color="auto"/>
        <w:bottom w:val="none" w:sz="0" w:space="0" w:color="auto"/>
        <w:right w:val="none" w:sz="0" w:space="0" w:color="auto"/>
      </w:divBdr>
    </w:div>
    <w:div w:id="506211608">
      <w:bodyDiv w:val="1"/>
      <w:marLeft w:val="0"/>
      <w:marRight w:val="0"/>
      <w:marTop w:val="0"/>
      <w:marBottom w:val="0"/>
      <w:divBdr>
        <w:top w:val="none" w:sz="0" w:space="0" w:color="auto"/>
        <w:left w:val="none" w:sz="0" w:space="0" w:color="auto"/>
        <w:bottom w:val="none" w:sz="0" w:space="0" w:color="auto"/>
        <w:right w:val="none" w:sz="0" w:space="0" w:color="auto"/>
      </w:divBdr>
    </w:div>
    <w:div w:id="782112065">
      <w:bodyDiv w:val="1"/>
      <w:marLeft w:val="0"/>
      <w:marRight w:val="0"/>
      <w:marTop w:val="0"/>
      <w:marBottom w:val="0"/>
      <w:divBdr>
        <w:top w:val="none" w:sz="0" w:space="0" w:color="auto"/>
        <w:left w:val="none" w:sz="0" w:space="0" w:color="auto"/>
        <w:bottom w:val="none" w:sz="0" w:space="0" w:color="auto"/>
        <w:right w:val="none" w:sz="0" w:space="0" w:color="auto"/>
      </w:divBdr>
    </w:div>
    <w:div w:id="985280569">
      <w:bodyDiv w:val="1"/>
      <w:marLeft w:val="0"/>
      <w:marRight w:val="0"/>
      <w:marTop w:val="0"/>
      <w:marBottom w:val="0"/>
      <w:divBdr>
        <w:top w:val="none" w:sz="0" w:space="0" w:color="auto"/>
        <w:left w:val="none" w:sz="0" w:space="0" w:color="auto"/>
        <w:bottom w:val="none" w:sz="0" w:space="0" w:color="auto"/>
        <w:right w:val="none" w:sz="0" w:space="0" w:color="auto"/>
      </w:divBdr>
      <w:divsChild>
        <w:div w:id="635256224">
          <w:marLeft w:val="0"/>
          <w:marRight w:val="0"/>
          <w:marTop w:val="0"/>
          <w:marBottom w:val="0"/>
          <w:divBdr>
            <w:top w:val="none" w:sz="0" w:space="0" w:color="auto"/>
            <w:left w:val="none" w:sz="0" w:space="0" w:color="auto"/>
            <w:bottom w:val="none" w:sz="0" w:space="0" w:color="auto"/>
            <w:right w:val="none" w:sz="0" w:space="0" w:color="auto"/>
          </w:divBdr>
          <w:divsChild>
            <w:div w:id="1218008661">
              <w:marLeft w:val="0"/>
              <w:marRight w:val="0"/>
              <w:marTop w:val="0"/>
              <w:marBottom w:val="0"/>
              <w:divBdr>
                <w:top w:val="none" w:sz="0" w:space="0" w:color="auto"/>
                <w:left w:val="none" w:sz="0" w:space="0" w:color="auto"/>
                <w:bottom w:val="none" w:sz="0" w:space="0" w:color="auto"/>
                <w:right w:val="none" w:sz="0" w:space="0" w:color="auto"/>
              </w:divBdr>
              <w:divsChild>
                <w:div w:id="58380641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178082851">
      <w:bodyDiv w:val="1"/>
      <w:marLeft w:val="0"/>
      <w:marRight w:val="0"/>
      <w:marTop w:val="0"/>
      <w:marBottom w:val="0"/>
      <w:divBdr>
        <w:top w:val="none" w:sz="0" w:space="0" w:color="auto"/>
        <w:left w:val="none" w:sz="0" w:space="0" w:color="auto"/>
        <w:bottom w:val="none" w:sz="0" w:space="0" w:color="auto"/>
        <w:right w:val="none" w:sz="0" w:space="0" w:color="auto"/>
      </w:divBdr>
    </w:div>
    <w:div w:id="1374769531">
      <w:bodyDiv w:val="1"/>
      <w:marLeft w:val="0"/>
      <w:marRight w:val="0"/>
      <w:marTop w:val="0"/>
      <w:marBottom w:val="0"/>
      <w:divBdr>
        <w:top w:val="none" w:sz="0" w:space="0" w:color="auto"/>
        <w:left w:val="none" w:sz="0" w:space="0" w:color="auto"/>
        <w:bottom w:val="none" w:sz="0" w:space="0" w:color="auto"/>
        <w:right w:val="none" w:sz="0" w:space="0" w:color="auto"/>
      </w:divBdr>
      <w:divsChild>
        <w:div w:id="838497407">
          <w:marLeft w:val="0"/>
          <w:marRight w:val="0"/>
          <w:marTop w:val="0"/>
          <w:marBottom w:val="0"/>
          <w:divBdr>
            <w:top w:val="none" w:sz="0" w:space="0" w:color="auto"/>
            <w:left w:val="none" w:sz="0" w:space="0" w:color="auto"/>
            <w:bottom w:val="none" w:sz="0" w:space="0" w:color="auto"/>
            <w:right w:val="none" w:sz="0" w:space="0" w:color="auto"/>
          </w:divBdr>
          <w:divsChild>
            <w:div w:id="1985349927">
              <w:marLeft w:val="0"/>
              <w:marRight w:val="0"/>
              <w:marTop w:val="0"/>
              <w:marBottom w:val="0"/>
              <w:divBdr>
                <w:top w:val="none" w:sz="0" w:space="0" w:color="auto"/>
                <w:left w:val="none" w:sz="0" w:space="0" w:color="auto"/>
                <w:bottom w:val="none" w:sz="0" w:space="0" w:color="auto"/>
                <w:right w:val="none" w:sz="0" w:space="0" w:color="auto"/>
              </w:divBdr>
              <w:divsChild>
                <w:div w:id="142032699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3.emf"/><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tga.gov.au/product-information-pi" TargetMode="External"/><Relationship Id="rId25" Type="http://schemas.openxmlformats.org/officeDocument/2006/relationships/header" Target="header6.xml"/><Relationship Id="rId33"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mailto:tga.copyright@tga.gov.au" TargetMode="External"/><Relationship Id="rId20" Type="http://schemas.openxmlformats.org/officeDocument/2006/relationships/image" Target="media/image5.emf"/><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5.xml"/><Relationship Id="rId32"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4.xml"/><Relationship Id="rId28" Type="http://schemas.openxmlformats.org/officeDocument/2006/relationships/hyperlink" Target="http://www.tga.gov.au" TargetMode="External"/><Relationship Id="rId10" Type="http://schemas.openxmlformats.org/officeDocument/2006/relationships/header" Target="header1.xml"/><Relationship Id="rId19" Type="http://schemas.openxmlformats.org/officeDocument/2006/relationships/image" Target="media/image4.emf"/><Relationship Id="rId31"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yperlink" Target="http://www.tga.gov.au" TargetMode="External"/><Relationship Id="rId14" Type="http://schemas.openxmlformats.org/officeDocument/2006/relationships/header" Target="header3.xml"/><Relationship Id="rId22" Type="http://schemas.openxmlformats.org/officeDocument/2006/relationships/hyperlink" Target="https://www.tga.gov.au/product-information-pi" TargetMode="External"/><Relationship Id="rId27" Type="http://schemas.openxmlformats.org/officeDocument/2006/relationships/hyperlink" Target="mailto:info@tga.gov.au" TargetMode="External"/><Relationship Id="rId30" Type="http://schemas.openxmlformats.org/officeDocument/2006/relationships/header" Target="header8.xml"/><Relationship Id="rId35"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hilel\AppData\Local\Hewlett-Packard\HP%20TRIM\TEMP\HPTRIM.3104\R12%20926607%20%20AusPAR%20-%20template.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3C4E7-240A-48B4-BE71-ADE6166A8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 926607  AusPAR - template.DOTX</Template>
  <TotalTime>56</TotalTime>
  <Pages>44</Pages>
  <Words>14737</Words>
  <Characters>84007</Characters>
  <Application>Microsoft Office Word</Application>
  <DocSecurity>0</DocSecurity>
  <Lines>700</Lines>
  <Paragraphs>197</Paragraphs>
  <ScaleCrop>false</ScaleCrop>
  <HeadingPairs>
    <vt:vector size="2" baseType="variant">
      <vt:variant>
        <vt:lpstr>Title</vt:lpstr>
      </vt:variant>
      <vt:variant>
        <vt:i4>1</vt:i4>
      </vt:variant>
    </vt:vector>
  </HeadingPairs>
  <TitlesOfParts>
    <vt:vector size="1" baseType="lpstr">
      <vt:lpstr>Australian public assessment for Efmoroctocog alfa (rhu)</vt:lpstr>
    </vt:vector>
  </TitlesOfParts>
  <Company>Department of Health Therapeutic Goods Administration</Company>
  <LinksUpToDate>false</LinksUpToDate>
  <CharactersWithSpaces>98547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for Efmoroctocog alfa (rhu)</dc:title>
  <dc:subject>prescription medicine regulation</dc:subject>
  <dc:creator>Therapeutic Goods Administration</dc:creator>
  <cp:keywords>auspar, prescription, medicine, assessment, regulation, australia, efmoroctocog, alfa, rhu, eloctate, biogen, idec</cp:keywords>
  <cp:lastModifiedBy>Dixon, Jenna</cp:lastModifiedBy>
  <cp:revision>7</cp:revision>
  <cp:lastPrinted>2010-12-20T22:59:00Z</cp:lastPrinted>
  <dcterms:created xsi:type="dcterms:W3CDTF">2015-03-13T07:08:00Z</dcterms:created>
  <dcterms:modified xsi:type="dcterms:W3CDTF">2015-04-07T03:53:00Z</dcterms:modified>
  <cp:category>external publication</cp:category>
</cp:coreProperties>
</file>