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34" w:tblpY="9863"/>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tblGrid>
      <w:tr w:rsidR="00731DF9" w:rsidRPr="00731DF9" w:rsidTr="00975B90">
        <w:trPr>
          <w:trHeight w:val="1863"/>
        </w:trPr>
        <w:tc>
          <w:tcPr>
            <w:tcW w:w="3686" w:type="dxa"/>
            <w:tcBorders>
              <w:top w:val="nil"/>
              <w:left w:val="nil"/>
              <w:bottom w:val="nil"/>
              <w:right w:val="nil"/>
            </w:tcBorders>
          </w:tcPr>
          <w:p w:rsidR="008E7846" w:rsidRPr="00676A55" w:rsidRDefault="00393891" w:rsidP="00975B90">
            <w:pPr>
              <w:rPr>
                <w:rFonts w:ascii="Arial" w:hAnsi="Arial" w:cs="Arial"/>
                <w:b/>
                <w:color w:val="002C47"/>
                <w:sz w:val="36"/>
                <w:szCs w:val="36"/>
              </w:rPr>
            </w:pPr>
            <w:r w:rsidRPr="00676A55">
              <w:rPr>
                <w:rFonts w:ascii="Arial" w:hAnsi="Arial" w:cs="Arial"/>
                <w:b/>
                <w:color w:val="002C47"/>
                <w:sz w:val="36"/>
                <w:szCs w:val="36"/>
              </w:rPr>
              <w:t>Date of CER:</w:t>
            </w:r>
            <w:r w:rsidRPr="00676A55">
              <w:rPr>
                <w:rFonts w:ascii="Arial" w:hAnsi="Arial" w:cs="Arial"/>
                <w:b/>
                <w:color w:val="002C47"/>
                <w:sz w:val="36"/>
                <w:szCs w:val="36"/>
              </w:rPr>
              <w:br/>
            </w:r>
            <w:r w:rsidR="00975B90" w:rsidRPr="00676A55">
              <w:rPr>
                <w:rFonts w:ascii="Arial" w:hAnsi="Arial" w:cs="Arial"/>
                <w:b/>
                <w:color w:val="002C47"/>
                <w:sz w:val="36"/>
                <w:szCs w:val="36"/>
              </w:rPr>
              <w:t>2 October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2E44FE">
            <w:pPr>
              <w:pStyle w:val="Title"/>
              <w:rPr>
                <w:color w:val="FFFFFF" w:themeColor="background1"/>
              </w:rPr>
            </w:pPr>
            <w:r>
              <w:rPr>
                <w:color w:val="FFFFFF" w:themeColor="background1"/>
              </w:rPr>
              <w:t>Extract from the Clinical Evaluation Report</w:t>
            </w:r>
            <w:r w:rsidR="00B63D75">
              <w:rPr>
                <w:color w:val="FFFFFF" w:themeColor="background1"/>
              </w:rPr>
              <w:t xml:space="preserve"> for </w:t>
            </w:r>
            <w:proofErr w:type="spellStart"/>
            <w:r w:rsidR="00EC6C3B">
              <w:rPr>
                <w:color w:val="FFFFFF" w:themeColor="background1"/>
              </w:rPr>
              <w:t>Efmor</w:t>
            </w:r>
            <w:r w:rsidR="002E44FE" w:rsidRPr="002E44FE">
              <w:rPr>
                <w:color w:val="FFFFFF" w:themeColor="background1"/>
              </w:rPr>
              <w:t>octocog</w:t>
            </w:r>
            <w:proofErr w:type="spellEnd"/>
            <w:r w:rsidR="002E44FE" w:rsidRPr="002E44FE">
              <w:rPr>
                <w:color w:val="FFFFFF" w:themeColor="background1"/>
              </w:rPr>
              <w:t xml:space="preserve"> </w:t>
            </w:r>
            <w:proofErr w:type="spellStart"/>
            <w:r w:rsidR="002E44FE" w:rsidRPr="002E44FE">
              <w:rPr>
                <w:color w:val="FFFFFF" w:themeColor="background1"/>
              </w:rPr>
              <w:t>alfa</w:t>
            </w:r>
            <w:proofErr w:type="spellEnd"/>
            <w:r w:rsidR="002E44FE" w:rsidRPr="002E44FE">
              <w:rPr>
                <w:color w:val="FFFFFF" w:themeColor="background1"/>
              </w:rPr>
              <w:t xml:space="preserve"> (</w:t>
            </w:r>
            <w:proofErr w:type="spellStart"/>
            <w:r w:rsidR="002E44FE" w:rsidRPr="002E44FE">
              <w:rPr>
                <w:color w:val="FFFFFF" w:themeColor="background1"/>
              </w:rPr>
              <w:t>rhu</w:t>
            </w:r>
            <w:proofErr w:type="spellEnd"/>
            <w:r w:rsidR="002E44FE" w:rsidRPr="002E44FE">
              <w:rPr>
                <w:color w:val="FFFFFF" w:themeColor="background1"/>
              </w:rPr>
              <w:t>)</w:t>
            </w:r>
            <w:r w:rsidR="00EC6C3B">
              <w:rPr>
                <w:rStyle w:val="FootnoteReference"/>
                <w:color w:val="FFFFFF" w:themeColor="background1"/>
              </w:rPr>
              <w:footnoteReference w:id="1"/>
            </w:r>
          </w:p>
        </w:tc>
      </w:tr>
      <w:tr w:rsidR="00E07F15" w:rsidRPr="00B64760" w:rsidTr="00E07F15">
        <w:tc>
          <w:tcPr>
            <w:tcW w:w="9079" w:type="dxa"/>
          </w:tcPr>
          <w:p w:rsidR="00E07F15" w:rsidRPr="008E7846" w:rsidRDefault="00B63D75" w:rsidP="002E44FE">
            <w:pPr>
              <w:pStyle w:val="Subtitle"/>
              <w:rPr>
                <w:color w:val="FFFFFF" w:themeColor="background1"/>
              </w:rPr>
            </w:pPr>
            <w:r>
              <w:rPr>
                <w:color w:val="FFFFFF" w:themeColor="background1"/>
              </w:rPr>
              <w:t xml:space="preserve">Proprietary Product Name: </w:t>
            </w:r>
            <w:r w:rsidR="002E44FE" w:rsidRPr="002E44FE">
              <w:rPr>
                <w:color w:val="FFFFFF" w:themeColor="background1"/>
              </w:rPr>
              <w:t>Eloctate</w:t>
            </w:r>
          </w:p>
        </w:tc>
      </w:tr>
      <w:tr w:rsidR="00E07F15" w:rsidRPr="00B64760" w:rsidTr="00E07F15">
        <w:trPr>
          <w:trHeight w:val="486"/>
        </w:trPr>
        <w:tc>
          <w:tcPr>
            <w:tcW w:w="9079" w:type="dxa"/>
          </w:tcPr>
          <w:p w:rsidR="00E07F15" w:rsidRPr="008E7846" w:rsidRDefault="00B63D75" w:rsidP="00E07F15">
            <w:pPr>
              <w:pStyle w:val="Subtitle"/>
              <w:rPr>
                <w:color w:val="FFFFFF" w:themeColor="background1"/>
              </w:rPr>
            </w:pPr>
            <w:r>
              <w:rPr>
                <w:color w:val="FFFFFF" w:themeColor="background1"/>
              </w:rPr>
              <w:t xml:space="preserve">Sponsor: </w:t>
            </w:r>
            <w:proofErr w:type="spellStart"/>
            <w:r w:rsidRPr="00B63D75">
              <w:rPr>
                <w:color w:val="FFFFFF" w:themeColor="background1"/>
              </w:rPr>
              <w:t>Biogen</w:t>
            </w:r>
            <w:proofErr w:type="spellEnd"/>
            <w:r w:rsidRPr="00B63D75">
              <w:rPr>
                <w:color w:val="FFFFFF" w:themeColor="background1"/>
              </w:rPr>
              <w:t xml:space="preserve"> Idec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w:t>
      </w:r>
      <w:proofErr w:type="gramStart"/>
      <w:r w:rsidR="008E7846">
        <w:t>necessary</w:t>
      </w:r>
      <w:proofErr w:type="gramEnd"/>
      <w:r w:rsidR="008E7846">
        <w:t>.</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331E08">
      <w:pPr>
        <w:pStyle w:val="ListBullet"/>
      </w:pPr>
      <w:r w:rsidRPr="003D0A3B">
        <w:t>For the most recent Product Information (PI), please refer to the TGA website</w:t>
      </w:r>
      <w:r>
        <w:t xml:space="preserve"> </w:t>
      </w:r>
      <w:r w:rsidR="00B1425E" w:rsidRPr="00B1425E">
        <w:t>&lt;</w:t>
      </w:r>
      <w:r w:rsidR="00331E08" w:rsidRPr="00331E08">
        <w:rPr>
          <w:rStyle w:val="Hyperlink"/>
        </w:rPr>
        <w:t>https://www.tga.gov.au/product-information-pi</w:t>
      </w:r>
      <w:r w:rsidR="0017078F">
        <w:t>&gt;.</w:t>
      </w:r>
    </w:p>
    <w:p w:rsidR="00924482" w:rsidRPr="00DF1D7F" w:rsidRDefault="00924482" w:rsidP="00F51005">
      <w:pPr>
        <w:pStyle w:val="LegalSubheading"/>
        <w:spacing w:before="37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31E08">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bookmarkStart w:id="2" w:name="_GoBack"/>
          <w:bookmarkEnd w:id="2"/>
        </w:p>
        <w:p w:rsidR="00A35BE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3223124" w:history="1">
            <w:r w:rsidR="00A35BE7" w:rsidRPr="00D8082E">
              <w:rPr>
                <w:rStyle w:val="Hyperlink"/>
                <w:noProof/>
              </w:rPr>
              <w:t>List of abbreviations</w:t>
            </w:r>
            <w:r w:rsidR="00A35BE7">
              <w:rPr>
                <w:noProof/>
                <w:webHidden/>
              </w:rPr>
              <w:tab/>
            </w:r>
            <w:r w:rsidR="00A35BE7">
              <w:rPr>
                <w:noProof/>
                <w:webHidden/>
              </w:rPr>
              <w:fldChar w:fldCharType="begin"/>
            </w:r>
            <w:r w:rsidR="00A35BE7">
              <w:rPr>
                <w:noProof/>
                <w:webHidden/>
              </w:rPr>
              <w:instrText xml:space="preserve"> PAGEREF _Toc413223124 \h </w:instrText>
            </w:r>
            <w:r w:rsidR="00A35BE7">
              <w:rPr>
                <w:noProof/>
                <w:webHidden/>
              </w:rPr>
            </w:r>
            <w:r w:rsidR="00A35BE7">
              <w:rPr>
                <w:noProof/>
                <w:webHidden/>
              </w:rPr>
              <w:fldChar w:fldCharType="separate"/>
            </w:r>
            <w:r w:rsidR="007D43CD">
              <w:rPr>
                <w:noProof/>
                <w:webHidden/>
              </w:rPr>
              <w:t>5</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25" w:history="1">
            <w:r w:rsidR="00A35BE7" w:rsidRPr="00D8082E">
              <w:rPr>
                <w:rStyle w:val="Hyperlink"/>
                <w:noProof/>
                <w:lang w:eastAsia="en-AU"/>
              </w:rPr>
              <w:t>1.</w:t>
            </w:r>
            <w:r w:rsidR="00A35BE7">
              <w:rPr>
                <w:rFonts w:asciiTheme="minorHAnsi" w:eastAsiaTheme="minorEastAsia" w:hAnsiTheme="minorHAnsi" w:cstheme="minorBidi"/>
                <w:b w:val="0"/>
                <w:noProof/>
                <w:sz w:val="22"/>
                <w:lang w:eastAsia="en-AU"/>
              </w:rPr>
              <w:tab/>
            </w:r>
            <w:r w:rsidR="00A35BE7" w:rsidRPr="00D8082E">
              <w:rPr>
                <w:rStyle w:val="Hyperlink"/>
                <w:noProof/>
                <w:lang w:eastAsia="en-AU"/>
              </w:rPr>
              <w:t>Introduction</w:t>
            </w:r>
            <w:r w:rsidR="00A35BE7">
              <w:rPr>
                <w:noProof/>
                <w:webHidden/>
              </w:rPr>
              <w:tab/>
            </w:r>
            <w:r w:rsidR="00A35BE7">
              <w:rPr>
                <w:noProof/>
                <w:webHidden/>
              </w:rPr>
              <w:fldChar w:fldCharType="begin"/>
            </w:r>
            <w:r w:rsidR="00A35BE7">
              <w:rPr>
                <w:noProof/>
                <w:webHidden/>
              </w:rPr>
              <w:instrText xml:space="preserve"> PAGEREF _Toc413223125 \h </w:instrText>
            </w:r>
            <w:r w:rsidR="00A35BE7">
              <w:rPr>
                <w:noProof/>
                <w:webHidden/>
              </w:rPr>
            </w:r>
            <w:r w:rsidR="00A35BE7">
              <w:rPr>
                <w:noProof/>
                <w:webHidden/>
              </w:rPr>
              <w:fldChar w:fldCharType="separate"/>
            </w:r>
            <w:r>
              <w:rPr>
                <w:noProof/>
                <w:webHidden/>
              </w:rPr>
              <w:t>6</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26" w:history="1">
            <w:r w:rsidR="00A35BE7" w:rsidRPr="00D8082E">
              <w:rPr>
                <w:rStyle w:val="Hyperlink"/>
                <w:noProof/>
              </w:rPr>
              <w:t>2.</w:t>
            </w:r>
            <w:r w:rsidR="00A35BE7">
              <w:rPr>
                <w:rFonts w:asciiTheme="minorHAnsi" w:eastAsiaTheme="minorEastAsia" w:hAnsiTheme="minorHAnsi" w:cstheme="minorBidi"/>
                <w:b w:val="0"/>
                <w:noProof/>
                <w:sz w:val="22"/>
                <w:lang w:eastAsia="en-AU"/>
              </w:rPr>
              <w:tab/>
            </w:r>
            <w:r w:rsidR="00A35BE7" w:rsidRPr="00D8082E">
              <w:rPr>
                <w:rStyle w:val="Hyperlink"/>
                <w:noProof/>
              </w:rPr>
              <w:t>Clinical rationale</w:t>
            </w:r>
            <w:r w:rsidR="00A35BE7">
              <w:rPr>
                <w:noProof/>
                <w:webHidden/>
              </w:rPr>
              <w:tab/>
            </w:r>
            <w:r w:rsidR="00A35BE7">
              <w:rPr>
                <w:noProof/>
                <w:webHidden/>
              </w:rPr>
              <w:fldChar w:fldCharType="begin"/>
            </w:r>
            <w:r w:rsidR="00A35BE7">
              <w:rPr>
                <w:noProof/>
                <w:webHidden/>
              </w:rPr>
              <w:instrText xml:space="preserve"> PAGEREF _Toc413223126 \h </w:instrText>
            </w:r>
            <w:r w:rsidR="00A35BE7">
              <w:rPr>
                <w:noProof/>
                <w:webHidden/>
              </w:rPr>
            </w:r>
            <w:r w:rsidR="00A35BE7">
              <w:rPr>
                <w:noProof/>
                <w:webHidden/>
              </w:rPr>
              <w:fldChar w:fldCharType="separate"/>
            </w:r>
            <w:r>
              <w:rPr>
                <w:noProof/>
                <w:webHidden/>
              </w:rPr>
              <w:t>7</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27" w:history="1">
            <w:r w:rsidR="00A35BE7" w:rsidRPr="00D8082E">
              <w:rPr>
                <w:rStyle w:val="Hyperlink"/>
                <w:noProof/>
              </w:rPr>
              <w:t>2.1.</w:t>
            </w:r>
            <w:r w:rsidR="00A35BE7">
              <w:rPr>
                <w:rFonts w:asciiTheme="minorHAnsi" w:eastAsiaTheme="minorEastAsia" w:hAnsiTheme="minorHAnsi" w:cstheme="minorBidi"/>
                <w:noProof/>
                <w:lang w:eastAsia="en-AU"/>
              </w:rPr>
              <w:tab/>
            </w:r>
            <w:r w:rsidR="00A35BE7" w:rsidRPr="00D8082E">
              <w:rPr>
                <w:rStyle w:val="Hyperlink"/>
                <w:noProof/>
              </w:rPr>
              <w:t>Guidance</w:t>
            </w:r>
            <w:r w:rsidR="00A35BE7">
              <w:rPr>
                <w:noProof/>
                <w:webHidden/>
              </w:rPr>
              <w:tab/>
            </w:r>
            <w:r w:rsidR="00A35BE7">
              <w:rPr>
                <w:noProof/>
                <w:webHidden/>
              </w:rPr>
              <w:fldChar w:fldCharType="begin"/>
            </w:r>
            <w:r w:rsidR="00A35BE7">
              <w:rPr>
                <w:noProof/>
                <w:webHidden/>
              </w:rPr>
              <w:instrText xml:space="preserve"> PAGEREF _Toc413223127 \h </w:instrText>
            </w:r>
            <w:r w:rsidR="00A35BE7">
              <w:rPr>
                <w:noProof/>
                <w:webHidden/>
              </w:rPr>
            </w:r>
            <w:r w:rsidR="00A35BE7">
              <w:rPr>
                <w:noProof/>
                <w:webHidden/>
              </w:rPr>
              <w:fldChar w:fldCharType="separate"/>
            </w:r>
            <w:r>
              <w:rPr>
                <w:noProof/>
                <w:webHidden/>
              </w:rPr>
              <w:t>7</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28" w:history="1">
            <w:r w:rsidR="00A35BE7" w:rsidRPr="00D8082E">
              <w:rPr>
                <w:rStyle w:val="Hyperlink"/>
                <w:noProof/>
              </w:rPr>
              <w:t>2.2.</w:t>
            </w:r>
            <w:r w:rsidR="00A35BE7">
              <w:rPr>
                <w:rFonts w:asciiTheme="minorHAnsi" w:eastAsiaTheme="minorEastAsia" w:hAnsiTheme="minorHAnsi" w:cstheme="minorBidi"/>
                <w:noProof/>
                <w:lang w:eastAsia="en-AU"/>
              </w:rPr>
              <w:tab/>
            </w:r>
            <w:r w:rsidR="00A35BE7" w:rsidRPr="00D8082E">
              <w:rPr>
                <w:rStyle w:val="Hyperlink"/>
                <w:noProof/>
              </w:rPr>
              <w:t>Orphan drug designation</w:t>
            </w:r>
            <w:r w:rsidR="00A35BE7">
              <w:rPr>
                <w:noProof/>
                <w:webHidden/>
              </w:rPr>
              <w:tab/>
            </w:r>
            <w:r w:rsidR="00A35BE7">
              <w:rPr>
                <w:noProof/>
                <w:webHidden/>
              </w:rPr>
              <w:fldChar w:fldCharType="begin"/>
            </w:r>
            <w:r w:rsidR="00A35BE7">
              <w:rPr>
                <w:noProof/>
                <w:webHidden/>
              </w:rPr>
              <w:instrText xml:space="preserve"> PAGEREF _Toc413223128 \h </w:instrText>
            </w:r>
            <w:r w:rsidR="00A35BE7">
              <w:rPr>
                <w:noProof/>
                <w:webHidden/>
              </w:rPr>
            </w:r>
            <w:r w:rsidR="00A35BE7">
              <w:rPr>
                <w:noProof/>
                <w:webHidden/>
              </w:rPr>
              <w:fldChar w:fldCharType="separate"/>
            </w:r>
            <w:r>
              <w:rPr>
                <w:noProof/>
                <w:webHidden/>
              </w:rPr>
              <w:t>7</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29" w:history="1">
            <w:r w:rsidR="00A35BE7" w:rsidRPr="00D8082E">
              <w:rPr>
                <w:rStyle w:val="Hyperlink"/>
                <w:noProof/>
                <w:lang w:eastAsia="en-AU"/>
              </w:rPr>
              <w:t>3.</w:t>
            </w:r>
            <w:r w:rsidR="00A35BE7">
              <w:rPr>
                <w:rFonts w:asciiTheme="minorHAnsi" w:eastAsiaTheme="minorEastAsia" w:hAnsiTheme="minorHAnsi" w:cstheme="minorBidi"/>
                <w:b w:val="0"/>
                <w:noProof/>
                <w:sz w:val="22"/>
                <w:lang w:eastAsia="en-AU"/>
              </w:rPr>
              <w:tab/>
            </w:r>
            <w:r w:rsidR="00A35BE7" w:rsidRPr="00D8082E">
              <w:rPr>
                <w:rStyle w:val="Hyperlink"/>
                <w:noProof/>
                <w:lang w:eastAsia="en-AU"/>
              </w:rPr>
              <w:t>Contents of the clinical dossier</w:t>
            </w:r>
            <w:r w:rsidR="00A35BE7">
              <w:rPr>
                <w:noProof/>
                <w:webHidden/>
              </w:rPr>
              <w:tab/>
            </w:r>
            <w:r w:rsidR="00A35BE7">
              <w:rPr>
                <w:noProof/>
                <w:webHidden/>
              </w:rPr>
              <w:fldChar w:fldCharType="begin"/>
            </w:r>
            <w:r w:rsidR="00A35BE7">
              <w:rPr>
                <w:noProof/>
                <w:webHidden/>
              </w:rPr>
              <w:instrText xml:space="preserve"> PAGEREF _Toc413223129 \h </w:instrText>
            </w:r>
            <w:r w:rsidR="00A35BE7">
              <w:rPr>
                <w:noProof/>
                <w:webHidden/>
              </w:rPr>
            </w:r>
            <w:r w:rsidR="00A35BE7">
              <w:rPr>
                <w:noProof/>
                <w:webHidden/>
              </w:rPr>
              <w:fldChar w:fldCharType="separate"/>
            </w:r>
            <w:r>
              <w:rPr>
                <w:noProof/>
                <w:webHidden/>
              </w:rPr>
              <w:t>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30" w:history="1">
            <w:r w:rsidR="00A35BE7" w:rsidRPr="00D8082E">
              <w:rPr>
                <w:rStyle w:val="Hyperlink"/>
                <w:noProof/>
              </w:rPr>
              <w:t>3.1.</w:t>
            </w:r>
            <w:r w:rsidR="00A35BE7">
              <w:rPr>
                <w:rFonts w:asciiTheme="minorHAnsi" w:eastAsiaTheme="minorEastAsia" w:hAnsiTheme="minorHAnsi" w:cstheme="minorBidi"/>
                <w:noProof/>
                <w:lang w:eastAsia="en-AU"/>
              </w:rPr>
              <w:tab/>
            </w:r>
            <w:r w:rsidR="00A35BE7" w:rsidRPr="00D8082E">
              <w:rPr>
                <w:rStyle w:val="Hyperlink"/>
                <w:noProof/>
              </w:rPr>
              <w:t>Scope of the clinical dossier</w:t>
            </w:r>
            <w:r w:rsidR="00A35BE7">
              <w:rPr>
                <w:noProof/>
                <w:webHidden/>
              </w:rPr>
              <w:tab/>
            </w:r>
            <w:r w:rsidR="00A35BE7">
              <w:rPr>
                <w:noProof/>
                <w:webHidden/>
              </w:rPr>
              <w:fldChar w:fldCharType="begin"/>
            </w:r>
            <w:r w:rsidR="00A35BE7">
              <w:rPr>
                <w:noProof/>
                <w:webHidden/>
              </w:rPr>
              <w:instrText xml:space="preserve"> PAGEREF _Toc413223130 \h </w:instrText>
            </w:r>
            <w:r w:rsidR="00A35BE7">
              <w:rPr>
                <w:noProof/>
                <w:webHidden/>
              </w:rPr>
            </w:r>
            <w:r w:rsidR="00A35BE7">
              <w:rPr>
                <w:noProof/>
                <w:webHidden/>
              </w:rPr>
              <w:fldChar w:fldCharType="separate"/>
            </w:r>
            <w:r>
              <w:rPr>
                <w:noProof/>
                <w:webHidden/>
              </w:rPr>
              <w:t>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31" w:history="1">
            <w:r w:rsidR="00A35BE7" w:rsidRPr="00D8082E">
              <w:rPr>
                <w:rStyle w:val="Hyperlink"/>
                <w:noProof/>
              </w:rPr>
              <w:t>3.2.</w:t>
            </w:r>
            <w:r w:rsidR="00A35BE7">
              <w:rPr>
                <w:rFonts w:asciiTheme="minorHAnsi" w:eastAsiaTheme="minorEastAsia" w:hAnsiTheme="minorHAnsi" w:cstheme="minorBidi"/>
                <w:noProof/>
                <w:lang w:eastAsia="en-AU"/>
              </w:rPr>
              <w:tab/>
            </w:r>
            <w:r w:rsidR="00A35BE7" w:rsidRPr="00D8082E">
              <w:rPr>
                <w:rStyle w:val="Hyperlink"/>
                <w:noProof/>
              </w:rPr>
              <w:t>Paediatric data</w:t>
            </w:r>
            <w:r w:rsidR="00A35BE7">
              <w:rPr>
                <w:noProof/>
                <w:webHidden/>
              </w:rPr>
              <w:tab/>
            </w:r>
            <w:r w:rsidR="00A35BE7">
              <w:rPr>
                <w:noProof/>
                <w:webHidden/>
              </w:rPr>
              <w:fldChar w:fldCharType="begin"/>
            </w:r>
            <w:r w:rsidR="00A35BE7">
              <w:rPr>
                <w:noProof/>
                <w:webHidden/>
              </w:rPr>
              <w:instrText xml:space="preserve"> PAGEREF _Toc413223131 \h </w:instrText>
            </w:r>
            <w:r w:rsidR="00A35BE7">
              <w:rPr>
                <w:noProof/>
                <w:webHidden/>
              </w:rPr>
            </w:r>
            <w:r w:rsidR="00A35BE7">
              <w:rPr>
                <w:noProof/>
                <w:webHidden/>
              </w:rPr>
              <w:fldChar w:fldCharType="separate"/>
            </w:r>
            <w:r>
              <w:rPr>
                <w:noProof/>
                <w:webHidden/>
              </w:rPr>
              <w:t>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32" w:history="1">
            <w:r w:rsidR="00A35BE7" w:rsidRPr="00D8082E">
              <w:rPr>
                <w:rStyle w:val="Hyperlink"/>
                <w:noProof/>
              </w:rPr>
              <w:t>3.3.</w:t>
            </w:r>
            <w:r w:rsidR="00A35BE7">
              <w:rPr>
                <w:rFonts w:asciiTheme="minorHAnsi" w:eastAsiaTheme="minorEastAsia" w:hAnsiTheme="minorHAnsi" w:cstheme="minorBidi"/>
                <w:noProof/>
                <w:lang w:eastAsia="en-AU"/>
              </w:rPr>
              <w:tab/>
            </w:r>
            <w:r w:rsidR="00A35BE7" w:rsidRPr="00D8082E">
              <w:rPr>
                <w:rStyle w:val="Hyperlink"/>
                <w:noProof/>
              </w:rPr>
              <w:t>Good clinical practice</w:t>
            </w:r>
            <w:r w:rsidR="00A35BE7">
              <w:rPr>
                <w:noProof/>
                <w:webHidden/>
              </w:rPr>
              <w:tab/>
            </w:r>
            <w:r w:rsidR="00A35BE7">
              <w:rPr>
                <w:noProof/>
                <w:webHidden/>
              </w:rPr>
              <w:fldChar w:fldCharType="begin"/>
            </w:r>
            <w:r w:rsidR="00A35BE7">
              <w:rPr>
                <w:noProof/>
                <w:webHidden/>
              </w:rPr>
              <w:instrText xml:space="preserve"> PAGEREF _Toc413223132 \h </w:instrText>
            </w:r>
            <w:r w:rsidR="00A35BE7">
              <w:rPr>
                <w:noProof/>
                <w:webHidden/>
              </w:rPr>
            </w:r>
            <w:r w:rsidR="00A35BE7">
              <w:rPr>
                <w:noProof/>
                <w:webHidden/>
              </w:rPr>
              <w:fldChar w:fldCharType="separate"/>
            </w:r>
            <w:r>
              <w:rPr>
                <w:noProof/>
                <w:webHidden/>
              </w:rPr>
              <w:t>8</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33" w:history="1">
            <w:r w:rsidR="00A35BE7" w:rsidRPr="00D8082E">
              <w:rPr>
                <w:rStyle w:val="Hyperlink"/>
                <w:noProof/>
              </w:rPr>
              <w:t>4.</w:t>
            </w:r>
            <w:r w:rsidR="00A35BE7">
              <w:rPr>
                <w:rFonts w:asciiTheme="minorHAnsi" w:eastAsiaTheme="minorEastAsia" w:hAnsiTheme="minorHAnsi" w:cstheme="minorBidi"/>
                <w:b w:val="0"/>
                <w:noProof/>
                <w:sz w:val="22"/>
                <w:lang w:eastAsia="en-AU"/>
              </w:rPr>
              <w:tab/>
            </w:r>
            <w:r w:rsidR="00A35BE7" w:rsidRPr="00D8082E">
              <w:rPr>
                <w:rStyle w:val="Hyperlink"/>
                <w:noProof/>
              </w:rPr>
              <w:t>Pharmacokinetics</w:t>
            </w:r>
            <w:r w:rsidR="00A35BE7">
              <w:rPr>
                <w:noProof/>
                <w:webHidden/>
              </w:rPr>
              <w:tab/>
            </w:r>
            <w:r w:rsidR="00A35BE7">
              <w:rPr>
                <w:noProof/>
                <w:webHidden/>
              </w:rPr>
              <w:fldChar w:fldCharType="begin"/>
            </w:r>
            <w:r w:rsidR="00A35BE7">
              <w:rPr>
                <w:noProof/>
                <w:webHidden/>
              </w:rPr>
              <w:instrText xml:space="preserve"> PAGEREF _Toc413223133 \h </w:instrText>
            </w:r>
            <w:r w:rsidR="00A35BE7">
              <w:rPr>
                <w:noProof/>
                <w:webHidden/>
              </w:rPr>
            </w:r>
            <w:r w:rsidR="00A35BE7">
              <w:rPr>
                <w:noProof/>
                <w:webHidden/>
              </w:rPr>
              <w:fldChar w:fldCharType="separate"/>
            </w:r>
            <w:r>
              <w:rPr>
                <w:noProof/>
                <w:webHidden/>
              </w:rPr>
              <w:t>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34" w:history="1">
            <w:r w:rsidR="00A35BE7" w:rsidRPr="00D8082E">
              <w:rPr>
                <w:rStyle w:val="Hyperlink"/>
                <w:noProof/>
              </w:rPr>
              <w:t>4.1.</w:t>
            </w:r>
            <w:r w:rsidR="00A35BE7">
              <w:rPr>
                <w:rFonts w:asciiTheme="minorHAnsi" w:eastAsiaTheme="minorEastAsia" w:hAnsiTheme="minorHAnsi" w:cstheme="minorBidi"/>
                <w:noProof/>
                <w:lang w:eastAsia="en-AU"/>
              </w:rPr>
              <w:tab/>
            </w:r>
            <w:r w:rsidR="00A35BE7" w:rsidRPr="00D8082E">
              <w:rPr>
                <w:rStyle w:val="Hyperlink"/>
                <w:noProof/>
              </w:rPr>
              <w:t>Studies providing pharmacokinetic data</w:t>
            </w:r>
            <w:r w:rsidR="00A35BE7">
              <w:rPr>
                <w:noProof/>
                <w:webHidden/>
              </w:rPr>
              <w:tab/>
            </w:r>
            <w:r w:rsidR="00A35BE7">
              <w:rPr>
                <w:noProof/>
                <w:webHidden/>
              </w:rPr>
              <w:fldChar w:fldCharType="begin"/>
            </w:r>
            <w:r w:rsidR="00A35BE7">
              <w:rPr>
                <w:noProof/>
                <w:webHidden/>
              </w:rPr>
              <w:instrText xml:space="preserve"> PAGEREF _Toc413223134 \h </w:instrText>
            </w:r>
            <w:r w:rsidR="00A35BE7">
              <w:rPr>
                <w:noProof/>
                <w:webHidden/>
              </w:rPr>
            </w:r>
            <w:r w:rsidR="00A35BE7">
              <w:rPr>
                <w:noProof/>
                <w:webHidden/>
              </w:rPr>
              <w:fldChar w:fldCharType="separate"/>
            </w:r>
            <w:r>
              <w:rPr>
                <w:noProof/>
                <w:webHidden/>
              </w:rPr>
              <w:t>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35" w:history="1">
            <w:r w:rsidR="00A35BE7" w:rsidRPr="00D8082E">
              <w:rPr>
                <w:rStyle w:val="Hyperlink"/>
                <w:noProof/>
              </w:rPr>
              <w:t>4.2.</w:t>
            </w:r>
            <w:r w:rsidR="00A35BE7">
              <w:rPr>
                <w:rFonts w:asciiTheme="minorHAnsi" w:eastAsiaTheme="minorEastAsia" w:hAnsiTheme="minorHAnsi" w:cstheme="minorBidi"/>
                <w:noProof/>
                <w:lang w:eastAsia="en-AU"/>
              </w:rPr>
              <w:tab/>
            </w:r>
            <w:r w:rsidR="00A35BE7" w:rsidRPr="00D8082E">
              <w:rPr>
                <w:rStyle w:val="Hyperlink"/>
                <w:noProof/>
              </w:rPr>
              <w:t>Summary of pharmacokinetics</w:t>
            </w:r>
            <w:r w:rsidR="00A35BE7">
              <w:rPr>
                <w:noProof/>
                <w:webHidden/>
              </w:rPr>
              <w:tab/>
            </w:r>
            <w:r w:rsidR="00A35BE7">
              <w:rPr>
                <w:noProof/>
                <w:webHidden/>
              </w:rPr>
              <w:fldChar w:fldCharType="begin"/>
            </w:r>
            <w:r w:rsidR="00A35BE7">
              <w:rPr>
                <w:noProof/>
                <w:webHidden/>
              </w:rPr>
              <w:instrText xml:space="preserve"> PAGEREF _Toc413223135 \h </w:instrText>
            </w:r>
            <w:r w:rsidR="00A35BE7">
              <w:rPr>
                <w:noProof/>
                <w:webHidden/>
              </w:rPr>
            </w:r>
            <w:r w:rsidR="00A35BE7">
              <w:rPr>
                <w:noProof/>
                <w:webHidden/>
              </w:rPr>
              <w:fldChar w:fldCharType="separate"/>
            </w:r>
            <w:r>
              <w:rPr>
                <w:noProof/>
                <w:webHidden/>
              </w:rPr>
              <w:t>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36" w:history="1">
            <w:r w:rsidR="00A35BE7" w:rsidRPr="00D8082E">
              <w:rPr>
                <w:rStyle w:val="Hyperlink"/>
                <w:noProof/>
              </w:rPr>
              <w:t>4.3.</w:t>
            </w:r>
            <w:r w:rsidR="00A35BE7">
              <w:rPr>
                <w:rFonts w:asciiTheme="minorHAnsi" w:eastAsiaTheme="minorEastAsia" w:hAnsiTheme="minorHAnsi" w:cstheme="minorBidi"/>
                <w:noProof/>
                <w:lang w:eastAsia="en-AU"/>
              </w:rPr>
              <w:tab/>
            </w:r>
            <w:r w:rsidR="00A35BE7" w:rsidRPr="00D8082E">
              <w:rPr>
                <w:rStyle w:val="Hyperlink"/>
                <w:noProof/>
              </w:rPr>
              <w:t>Evaluator’s overall conclusions on pharmacokinetics</w:t>
            </w:r>
            <w:r w:rsidR="00A35BE7">
              <w:rPr>
                <w:noProof/>
                <w:webHidden/>
              </w:rPr>
              <w:tab/>
            </w:r>
            <w:r w:rsidR="00A35BE7">
              <w:rPr>
                <w:noProof/>
                <w:webHidden/>
              </w:rPr>
              <w:fldChar w:fldCharType="begin"/>
            </w:r>
            <w:r w:rsidR="00A35BE7">
              <w:rPr>
                <w:noProof/>
                <w:webHidden/>
              </w:rPr>
              <w:instrText xml:space="preserve"> PAGEREF _Toc413223136 \h </w:instrText>
            </w:r>
            <w:r w:rsidR="00A35BE7">
              <w:rPr>
                <w:noProof/>
                <w:webHidden/>
              </w:rPr>
            </w:r>
            <w:r w:rsidR="00A35BE7">
              <w:rPr>
                <w:noProof/>
                <w:webHidden/>
              </w:rPr>
              <w:fldChar w:fldCharType="separate"/>
            </w:r>
            <w:r>
              <w:rPr>
                <w:noProof/>
                <w:webHidden/>
              </w:rPr>
              <w:t>9</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37" w:history="1">
            <w:r w:rsidR="00A35BE7" w:rsidRPr="00D8082E">
              <w:rPr>
                <w:rStyle w:val="Hyperlink"/>
                <w:noProof/>
              </w:rPr>
              <w:t>5.</w:t>
            </w:r>
            <w:r w:rsidR="00A35BE7">
              <w:rPr>
                <w:rFonts w:asciiTheme="minorHAnsi" w:eastAsiaTheme="minorEastAsia" w:hAnsiTheme="minorHAnsi" w:cstheme="minorBidi"/>
                <w:b w:val="0"/>
                <w:noProof/>
                <w:sz w:val="22"/>
                <w:lang w:eastAsia="en-AU"/>
              </w:rPr>
              <w:tab/>
            </w:r>
            <w:r w:rsidR="00A35BE7" w:rsidRPr="00D8082E">
              <w:rPr>
                <w:rStyle w:val="Hyperlink"/>
                <w:noProof/>
              </w:rPr>
              <w:t>Pharmacodynamics</w:t>
            </w:r>
            <w:r w:rsidR="00A35BE7">
              <w:rPr>
                <w:noProof/>
                <w:webHidden/>
              </w:rPr>
              <w:tab/>
            </w:r>
            <w:r w:rsidR="00A35BE7">
              <w:rPr>
                <w:noProof/>
                <w:webHidden/>
              </w:rPr>
              <w:fldChar w:fldCharType="begin"/>
            </w:r>
            <w:r w:rsidR="00A35BE7">
              <w:rPr>
                <w:noProof/>
                <w:webHidden/>
              </w:rPr>
              <w:instrText xml:space="preserve"> PAGEREF _Toc413223137 \h </w:instrText>
            </w:r>
            <w:r w:rsidR="00A35BE7">
              <w:rPr>
                <w:noProof/>
                <w:webHidden/>
              </w:rPr>
            </w:r>
            <w:r w:rsidR="00A35BE7">
              <w:rPr>
                <w:noProof/>
                <w:webHidden/>
              </w:rPr>
              <w:fldChar w:fldCharType="separate"/>
            </w:r>
            <w:r>
              <w:rPr>
                <w:noProof/>
                <w:webHidden/>
              </w:rPr>
              <w:t>10</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38" w:history="1">
            <w:r w:rsidR="00A35BE7" w:rsidRPr="00D8082E">
              <w:rPr>
                <w:rStyle w:val="Hyperlink"/>
                <w:noProof/>
              </w:rPr>
              <w:t>5.1.</w:t>
            </w:r>
            <w:r w:rsidR="00A35BE7">
              <w:rPr>
                <w:rFonts w:asciiTheme="minorHAnsi" w:eastAsiaTheme="minorEastAsia" w:hAnsiTheme="minorHAnsi" w:cstheme="minorBidi"/>
                <w:noProof/>
                <w:lang w:eastAsia="en-AU"/>
              </w:rPr>
              <w:tab/>
            </w:r>
            <w:r w:rsidR="00A35BE7" w:rsidRPr="00D8082E">
              <w:rPr>
                <w:rStyle w:val="Hyperlink"/>
                <w:noProof/>
              </w:rPr>
              <w:t>Studies providing pharmacodynamic data</w:t>
            </w:r>
            <w:r w:rsidR="00A35BE7">
              <w:rPr>
                <w:noProof/>
                <w:webHidden/>
              </w:rPr>
              <w:tab/>
            </w:r>
            <w:r w:rsidR="00A35BE7">
              <w:rPr>
                <w:noProof/>
                <w:webHidden/>
              </w:rPr>
              <w:fldChar w:fldCharType="begin"/>
            </w:r>
            <w:r w:rsidR="00A35BE7">
              <w:rPr>
                <w:noProof/>
                <w:webHidden/>
              </w:rPr>
              <w:instrText xml:space="preserve"> PAGEREF _Toc413223138 \h </w:instrText>
            </w:r>
            <w:r w:rsidR="00A35BE7">
              <w:rPr>
                <w:noProof/>
                <w:webHidden/>
              </w:rPr>
            </w:r>
            <w:r w:rsidR="00A35BE7">
              <w:rPr>
                <w:noProof/>
                <w:webHidden/>
              </w:rPr>
              <w:fldChar w:fldCharType="separate"/>
            </w:r>
            <w:r>
              <w:rPr>
                <w:noProof/>
                <w:webHidden/>
              </w:rPr>
              <w:t>10</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39" w:history="1">
            <w:r w:rsidR="00A35BE7" w:rsidRPr="00D8082E">
              <w:rPr>
                <w:rStyle w:val="Hyperlink"/>
                <w:noProof/>
              </w:rPr>
              <w:t>6.</w:t>
            </w:r>
            <w:r w:rsidR="00A35BE7">
              <w:rPr>
                <w:rFonts w:asciiTheme="minorHAnsi" w:eastAsiaTheme="minorEastAsia" w:hAnsiTheme="minorHAnsi" w:cstheme="minorBidi"/>
                <w:b w:val="0"/>
                <w:noProof/>
                <w:sz w:val="22"/>
                <w:lang w:eastAsia="en-AU"/>
              </w:rPr>
              <w:tab/>
            </w:r>
            <w:r w:rsidR="00A35BE7" w:rsidRPr="00D8082E">
              <w:rPr>
                <w:rStyle w:val="Hyperlink"/>
                <w:noProof/>
              </w:rPr>
              <w:t>Dosage selection for the pivotal study</w:t>
            </w:r>
            <w:r w:rsidR="00A35BE7">
              <w:rPr>
                <w:noProof/>
                <w:webHidden/>
              </w:rPr>
              <w:tab/>
            </w:r>
            <w:r w:rsidR="00A35BE7">
              <w:rPr>
                <w:noProof/>
                <w:webHidden/>
              </w:rPr>
              <w:fldChar w:fldCharType="begin"/>
            </w:r>
            <w:r w:rsidR="00A35BE7">
              <w:rPr>
                <w:noProof/>
                <w:webHidden/>
              </w:rPr>
              <w:instrText xml:space="preserve"> PAGEREF _Toc413223139 \h </w:instrText>
            </w:r>
            <w:r w:rsidR="00A35BE7">
              <w:rPr>
                <w:noProof/>
                <w:webHidden/>
              </w:rPr>
            </w:r>
            <w:r w:rsidR="00A35BE7">
              <w:rPr>
                <w:noProof/>
                <w:webHidden/>
              </w:rPr>
              <w:fldChar w:fldCharType="separate"/>
            </w:r>
            <w:r>
              <w:rPr>
                <w:noProof/>
                <w:webHidden/>
              </w:rPr>
              <w:t>10</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40" w:history="1">
            <w:r w:rsidR="00A35BE7" w:rsidRPr="00D8082E">
              <w:rPr>
                <w:rStyle w:val="Hyperlink"/>
                <w:noProof/>
              </w:rPr>
              <w:t>7.</w:t>
            </w:r>
            <w:r w:rsidR="00A35BE7">
              <w:rPr>
                <w:rFonts w:asciiTheme="minorHAnsi" w:eastAsiaTheme="minorEastAsia" w:hAnsiTheme="minorHAnsi" w:cstheme="minorBidi"/>
                <w:b w:val="0"/>
                <w:noProof/>
                <w:sz w:val="22"/>
                <w:lang w:eastAsia="en-AU"/>
              </w:rPr>
              <w:tab/>
            </w:r>
            <w:r w:rsidR="00A35BE7" w:rsidRPr="00D8082E">
              <w:rPr>
                <w:rStyle w:val="Hyperlink"/>
                <w:noProof/>
              </w:rPr>
              <w:t>Clinical efficacy</w:t>
            </w:r>
            <w:r w:rsidR="00A35BE7">
              <w:rPr>
                <w:noProof/>
                <w:webHidden/>
              </w:rPr>
              <w:tab/>
            </w:r>
            <w:r w:rsidR="00A35BE7">
              <w:rPr>
                <w:noProof/>
                <w:webHidden/>
              </w:rPr>
              <w:fldChar w:fldCharType="begin"/>
            </w:r>
            <w:r w:rsidR="00A35BE7">
              <w:rPr>
                <w:noProof/>
                <w:webHidden/>
              </w:rPr>
              <w:instrText xml:space="preserve"> PAGEREF _Toc413223140 \h </w:instrText>
            </w:r>
            <w:r w:rsidR="00A35BE7">
              <w:rPr>
                <w:noProof/>
                <w:webHidden/>
              </w:rPr>
            </w:r>
            <w:r w:rsidR="00A35BE7">
              <w:rPr>
                <w:noProof/>
                <w:webHidden/>
              </w:rPr>
              <w:fldChar w:fldCharType="separate"/>
            </w:r>
            <w:r>
              <w:rPr>
                <w:noProof/>
                <w:webHidden/>
              </w:rPr>
              <w:t>10</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1" w:history="1">
            <w:r w:rsidR="00A35BE7" w:rsidRPr="00D8082E">
              <w:rPr>
                <w:rStyle w:val="Hyperlink"/>
                <w:noProof/>
              </w:rPr>
              <w:t>7.1.</w:t>
            </w:r>
            <w:r w:rsidR="00A35BE7">
              <w:rPr>
                <w:rFonts w:asciiTheme="minorHAnsi" w:eastAsiaTheme="minorEastAsia" w:hAnsiTheme="minorHAnsi" w:cstheme="minorBidi"/>
                <w:noProof/>
                <w:lang w:eastAsia="en-AU"/>
              </w:rPr>
              <w:tab/>
            </w:r>
            <w:r w:rsidR="00A35BE7" w:rsidRPr="00D8082E">
              <w:rPr>
                <w:rStyle w:val="Hyperlink"/>
                <w:noProof/>
              </w:rPr>
              <w:t>For control of bleeding episodes, routine prophylaxis to prevent the frequency of bleeding episodes, and perioperative management (surgical prophylaxis)</w:t>
            </w:r>
            <w:r w:rsidR="00A35BE7">
              <w:rPr>
                <w:noProof/>
                <w:webHidden/>
              </w:rPr>
              <w:tab/>
            </w:r>
            <w:r w:rsidR="00A35BE7">
              <w:rPr>
                <w:noProof/>
                <w:webHidden/>
              </w:rPr>
              <w:fldChar w:fldCharType="begin"/>
            </w:r>
            <w:r w:rsidR="00A35BE7">
              <w:rPr>
                <w:noProof/>
                <w:webHidden/>
              </w:rPr>
              <w:instrText xml:space="preserve"> PAGEREF _Toc413223141 \h </w:instrText>
            </w:r>
            <w:r w:rsidR="00A35BE7">
              <w:rPr>
                <w:noProof/>
                <w:webHidden/>
              </w:rPr>
            </w:r>
            <w:r w:rsidR="00A35BE7">
              <w:rPr>
                <w:noProof/>
                <w:webHidden/>
              </w:rPr>
              <w:fldChar w:fldCharType="separate"/>
            </w:r>
            <w:r>
              <w:rPr>
                <w:noProof/>
                <w:webHidden/>
              </w:rPr>
              <w:t>10</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42" w:history="1">
            <w:r w:rsidR="00A35BE7" w:rsidRPr="00D8082E">
              <w:rPr>
                <w:rStyle w:val="Hyperlink"/>
                <w:noProof/>
              </w:rPr>
              <w:t>8.</w:t>
            </w:r>
            <w:r w:rsidR="00A35BE7">
              <w:rPr>
                <w:rFonts w:asciiTheme="minorHAnsi" w:eastAsiaTheme="minorEastAsia" w:hAnsiTheme="minorHAnsi" w:cstheme="minorBidi"/>
                <w:b w:val="0"/>
                <w:noProof/>
                <w:sz w:val="22"/>
                <w:lang w:eastAsia="en-AU"/>
              </w:rPr>
              <w:tab/>
            </w:r>
            <w:r w:rsidR="00A35BE7" w:rsidRPr="00D8082E">
              <w:rPr>
                <w:rStyle w:val="Hyperlink"/>
                <w:noProof/>
              </w:rPr>
              <w:t>Clinical safety</w:t>
            </w:r>
            <w:r w:rsidR="00A35BE7">
              <w:rPr>
                <w:noProof/>
                <w:webHidden/>
              </w:rPr>
              <w:tab/>
            </w:r>
            <w:r w:rsidR="00A35BE7">
              <w:rPr>
                <w:noProof/>
                <w:webHidden/>
              </w:rPr>
              <w:fldChar w:fldCharType="begin"/>
            </w:r>
            <w:r w:rsidR="00A35BE7">
              <w:rPr>
                <w:noProof/>
                <w:webHidden/>
              </w:rPr>
              <w:instrText xml:space="preserve"> PAGEREF _Toc413223142 \h </w:instrText>
            </w:r>
            <w:r w:rsidR="00A35BE7">
              <w:rPr>
                <w:noProof/>
                <w:webHidden/>
              </w:rPr>
            </w:r>
            <w:r w:rsidR="00A35BE7">
              <w:rPr>
                <w:noProof/>
                <w:webHidden/>
              </w:rPr>
              <w:fldChar w:fldCharType="separate"/>
            </w:r>
            <w:r>
              <w:rPr>
                <w:noProof/>
                <w:webHidden/>
              </w:rPr>
              <w:t>19</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3" w:history="1">
            <w:r w:rsidR="00A35BE7" w:rsidRPr="00D8082E">
              <w:rPr>
                <w:rStyle w:val="Hyperlink"/>
                <w:noProof/>
              </w:rPr>
              <w:t>8.1.</w:t>
            </w:r>
            <w:r w:rsidR="00A35BE7">
              <w:rPr>
                <w:rFonts w:asciiTheme="minorHAnsi" w:eastAsiaTheme="minorEastAsia" w:hAnsiTheme="minorHAnsi" w:cstheme="minorBidi"/>
                <w:noProof/>
                <w:lang w:eastAsia="en-AU"/>
              </w:rPr>
              <w:tab/>
            </w:r>
            <w:r w:rsidR="00A35BE7" w:rsidRPr="00D8082E">
              <w:rPr>
                <w:rStyle w:val="Hyperlink"/>
                <w:noProof/>
              </w:rPr>
              <w:t>Studies providing evaluable safety data</w:t>
            </w:r>
            <w:r w:rsidR="00A35BE7">
              <w:rPr>
                <w:noProof/>
                <w:webHidden/>
              </w:rPr>
              <w:tab/>
            </w:r>
            <w:r w:rsidR="00A35BE7">
              <w:rPr>
                <w:noProof/>
                <w:webHidden/>
              </w:rPr>
              <w:fldChar w:fldCharType="begin"/>
            </w:r>
            <w:r w:rsidR="00A35BE7">
              <w:rPr>
                <w:noProof/>
                <w:webHidden/>
              </w:rPr>
              <w:instrText xml:space="preserve"> PAGEREF _Toc413223143 \h </w:instrText>
            </w:r>
            <w:r w:rsidR="00A35BE7">
              <w:rPr>
                <w:noProof/>
                <w:webHidden/>
              </w:rPr>
            </w:r>
            <w:r w:rsidR="00A35BE7">
              <w:rPr>
                <w:noProof/>
                <w:webHidden/>
              </w:rPr>
              <w:fldChar w:fldCharType="separate"/>
            </w:r>
            <w:r>
              <w:rPr>
                <w:noProof/>
                <w:webHidden/>
              </w:rPr>
              <w:t>19</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4" w:history="1">
            <w:r w:rsidR="00A35BE7" w:rsidRPr="00D8082E">
              <w:rPr>
                <w:rStyle w:val="Hyperlink"/>
                <w:noProof/>
              </w:rPr>
              <w:t>8.2.</w:t>
            </w:r>
            <w:r w:rsidR="00A35BE7">
              <w:rPr>
                <w:rFonts w:asciiTheme="minorHAnsi" w:eastAsiaTheme="minorEastAsia" w:hAnsiTheme="minorHAnsi" w:cstheme="minorBidi"/>
                <w:noProof/>
                <w:lang w:eastAsia="en-AU"/>
              </w:rPr>
              <w:tab/>
            </w:r>
            <w:r w:rsidR="00A35BE7" w:rsidRPr="00D8082E">
              <w:rPr>
                <w:rStyle w:val="Hyperlink"/>
                <w:noProof/>
              </w:rPr>
              <w:t>Pivotal studies that assessed safety as a primary outcome</w:t>
            </w:r>
            <w:r w:rsidR="00A35BE7">
              <w:rPr>
                <w:noProof/>
                <w:webHidden/>
              </w:rPr>
              <w:tab/>
            </w:r>
            <w:r w:rsidR="00A35BE7">
              <w:rPr>
                <w:noProof/>
                <w:webHidden/>
              </w:rPr>
              <w:fldChar w:fldCharType="begin"/>
            </w:r>
            <w:r w:rsidR="00A35BE7">
              <w:rPr>
                <w:noProof/>
                <w:webHidden/>
              </w:rPr>
              <w:instrText xml:space="preserve"> PAGEREF _Toc413223144 \h </w:instrText>
            </w:r>
            <w:r w:rsidR="00A35BE7">
              <w:rPr>
                <w:noProof/>
                <w:webHidden/>
              </w:rPr>
            </w:r>
            <w:r w:rsidR="00A35BE7">
              <w:rPr>
                <w:noProof/>
                <w:webHidden/>
              </w:rPr>
              <w:fldChar w:fldCharType="separate"/>
            </w:r>
            <w:r>
              <w:rPr>
                <w:noProof/>
                <w:webHidden/>
              </w:rPr>
              <w:t>21</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5" w:history="1">
            <w:r w:rsidR="00A35BE7" w:rsidRPr="00D8082E">
              <w:rPr>
                <w:rStyle w:val="Hyperlink"/>
                <w:noProof/>
              </w:rPr>
              <w:t>8.3.</w:t>
            </w:r>
            <w:r w:rsidR="00A35BE7">
              <w:rPr>
                <w:rFonts w:asciiTheme="minorHAnsi" w:eastAsiaTheme="minorEastAsia" w:hAnsiTheme="minorHAnsi" w:cstheme="minorBidi"/>
                <w:noProof/>
                <w:lang w:eastAsia="en-AU"/>
              </w:rPr>
              <w:tab/>
            </w:r>
            <w:r w:rsidR="00A35BE7" w:rsidRPr="00D8082E">
              <w:rPr>
                <w:rStyle w:val="Hyperlink"/>
                <w:noProof/>
              </w:rPr>
              <w:t>Patient exposure</w:t>
            </w:r>
            <w:r w:rsidR="00A35BE7">
              <w:rPr>
                <w:noProof/>
                <w:webHidden/>
              </w:rPr>
              <w:tab/>
            </w:r>
            <w:r w:rsidR="00A35BE7">
              <w:rPr>
                <w:noProof/>
                <w:webHidden/>
              </w:rPr>
              <w:fldChar w:fldCharType="begin"/>
            </w:r>
            <w:r w:rsidR="00A35BE7">
              <w:rPr>
                <w:noProof/>
                <w:webHidden/>
              </w:rPr>
              <w:instrText xml:space="preserve"> PAGEREF _Toc413223145 \h </w:instrText>
            </w:r>
            <w:r w:rsidR="00A35BE7">
              <w:rPr>
                <w:noProof/>
                <w:webHidden/>
              </w:rPr>
            </w:r>
            <w:r w:rsidR="00A35BE7">
              <w:rPr>
                <w:noProof/>
                <w:webHidden/>
              </w:rPr>
              <w:fldChar w:fldCharType="separate"/>
            </w:r>
            <w:r>
              <w:rPr>
                <w:noProof/>
                <w:webHidden/>
              </w:rPr>
              <w:t>21</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6" w:history="1">
            <w:r w:rsidR="00A35BE7" w:rsidRPr="00D8082E">
              <w:rPr>
                <w:rStyle w:val="Hyperlink"/>
                <w:noProof/>
              </w:rPr>
              <w:t>8.4.</w:t>
            </w:r>
            <w:r w:rsidR="00A35BE7">
              <w:rPr>
                <w:rFonts w:asciiTheme="minorHAnsi" w:eastAsiaTheme="minorEastAsia" w:hAnsiTheme="minorHAnsi" w:cstheme="minorBidi"/>
                <w:noProof/>
                <w:lang w:eastAsia="en-AU"/>
              </w:rPr>
              <w:tab/>
            </w:r>
            <w:r w:rsidR="00A35BE7" w:rsidRPr="00D8082E">
              <w:rPr>
                <w:rStyle w:val="Hyperlink"/>
                <w:noProof/>
              </w:rPr>
              <w:t>Adverse events</w:t>
            </w:r>
            <w:r w:rsidR="00A35BE7">
              <w:rPr>
                <w:noProof/>
                <w:webHidden/>
              </w:rPr>
              <w:tab/>
            </w:r>
            <w:r w:rsidR="00A35BE7">
              <w:rPr>
                <w:noProof/>
                <w:webHidden/>
              </w:rPr>
              <w:fldChar w:fldCharType="begin"/>
            </w:r>
            <w:r w:rsidR="00A35BE7">
              <w:rPr>
                <w:noProof/>
                <w:webHidden/>
              </w:rPr>
              <w:instrText xml:space="preserve"> PAGEREF _Toc413223146 \h </w:instrText>
            </w:r>
            <w:r w:rsidR="00A35BE7">
              <w:rPr>
                <w:noProof/>
                <w:webHidden/>
              </w:rPr>
            </w:r>
            <w:r w:rsidR="00A35BE7">
              <w:rPr>
                <w:noProof/>
                <w:webHidden/>
              </w:rPr>
              <w:fldChar w:fldCharType="separate"/>
            </w:r>
            <w:r>
              <w:rPr>
                <w:noProof/>
                <w:webHidden/>
              </w:rPr>
              <w:t>22</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7" w:history="1">
            <w:r w:rsidR="00A35BE7" w:rsidRPr="00D8082E">
              <w:rPr>
                <w:rStyle w:val="Hyperlink"/>
                <w:noProof/>
              </w:rPr>
              <w:t>8.5.</w:t>
            </w:r>
            <w:r w:rsidR="00A35BE7">
              <w:rPr>
                <w:rFonts w:asciiTheme="minorHAnsi" w:eastAsiaTheme="minorEastAsia" w:hAnsiTheme="minorHAnsi" w:cstheme="minorBidi"/>
                <w:noProof/>
                <w:lang w:eastAsia="en-AU"/>
              </w:rPr>
              <w:tab/>
            </w:r>
            <w:r w:rsidR="00A35BE7" w:rsidRPr="00D8082E">
              <w:rPr>
                <w:rStyle w:val="Hyperlink"/>
                <w:noProof/>
              </w:rPr>
              <w:t>Laboratory tests</w:t>
            </w:r>
            <w:r w:rsidR="00A35BE7">
              <w:rPr>
                <w:noProof/>
                <w:webHidden/>
              </w:rPr>
              <w:tab/>
            </w:r>
            <w:r w:rsidR="00A35BE7">
              <w:rPr>
                <w:noProof/>
                <w:webHidden/>
              </w:rPr>
              <w:fldChar w:fldCharType="begin"/>
            </w:r>
            <w:r w:rsidR="00A35BE7">
              <w:rPr>
                <w:noProof/>
                <w:webHidden/>
              </w:rPr>
              <w:instrText xml:space="preserve"> PAGEREF _Toc413223147 \h </w:instrText>
            </w:r>
            <w:r w:rsidR="00A35BE7">
              <w:rPr>
                <w:noProof/>
                <w:webHidden/>
              </w:rPr>
            </w:r>
            <w:r w:rsidR="00A35BE7">
              <w:rPr>
                <w:noProof/>
                <w:webHidden/>
              </w:rPr>
              <w:fldChar w:fldCharType="separate"/>
            </w:r>
            <w:r>
              <w:rPr>
                <w:noProof/>
                <w:webHidden/>
              </w:rPr>
              <w:t>25</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8" w:history="1">
            <w:r w:rsidR="00A35BE7" w:rsidRPr="00D8082E">
              <w:rPr>
                <w:rStyle w:val="Hyperlink"/>
                <w:noProof/>
              </w:rPr>
              <w:t>8.6.</w:t>
            </w:r>
            <w:r w:rsidR="00A35BE7">
              <w:rPr>
                <w:rFonts w:asciiTheme="minorHAnsi" w:eastAsiaTheme="minorEastAsia" w:hAnsiTheme="minorHAnsi" w:cstheme="minorBidi"/>
                <w:noProof/>
                <w:lang w:eastAsia="en-AU"/>
              </w:rPr>
              <w:tab/>
            </w:r>
            <w:r w:rsidR="00A35BE7" w:rsidRPr="00D8082E">
              <w:rPr>
                <w:rStyle w:val="Hyperlink"/>
                <w:noProof/>
              </w:rPr>
              <w:t>Post-marketing experience</w:t>
            </w:r>
            <w:r w:rsidR="00A35BE7">
              <w:rPr>
                <w:noProof/>
                <w:webHidden/>
              </w:rPr>
              <w:tab/>
            </w:r>
            <w:r w:rsidR="00A35BE7">
              <w:rPr>
                <w:noProof/>
                <w:webHidden/>
              </w:rPr>
              <w:fldChar w:fldCharType="begin"/>
            </w:r>
            <w:r w:rsidR="00A35BE7">
              <w:rPr>
                <w:noProof/>
                <w:webHidden/>
              </w:rPr>
              <w:instrText xml:space="preserve"> PAGEREF _Toc413223148 \h </w:instrText>
            </w:r>
            <w:r w:rsidR="00A35BE7">
              <w:rPr>
                <w:noProof/>
                <w:webHidden/>
              </w:rPr>
            </w:r>
            <w:r w:rsidR="00A35BE7">
              <w:rPr>
                <w:noProof/>
                <w:webHidden/>
              </w:rPr>
              <w:fldChar w:fldCharType="separate"/>
            </w:r>
            <w:r>
              <w:rPr>
                <w:noProof/>
                <w:webHidden/>
              </w:rPr>
              <w:t>26</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49" w:history="1">
            <w:r w:rsidR="00A35BE7" w:rsidRPr="00D8082E">
              <w:rPr>
                <w:rStyle w:val="Hyperlink"/>
                <w:noProof/>
              </w:rPr>
              <w:t>8.7.</w:t>
            </w:r>
            <w:r w:rsidR="00A35BE7">
              <w:rPr>
                <w:rFonts w:asciiTheme="minorHAnsi" w:eastAsiaTheme="minorEastAsia" w:hAnsiTheme="minorHAnsi" w:cstheme="minorBidi"/>
                <w:noProof/>
                <w:lang w:eastAsia="en-AU"/>
              </w:rPr>
              <w:tab/>
            </w:r>
            <w:r w:rsidR="00A35BE7" w:rsidRPr="00D8082E">
              <w:rPr>
                <w:rStyle w:val="Hyperlink"/>
                <w:noProof/>
              </w:rPr>
              <w:t>Safety issues with the potential for major regulatory impact</w:t>
            </w:r>
            <w:r w:rsidR="00A35BE7">
              <w:rPr>
                <w:noProof/>
                <w:webHidden/>
              </w:rPr>
              <w:tab/>
            </w:r>
            <w:r w:rsidR="00A35BE7">
              <w:rPr>
                <w:noProof/>
                <w:webHidden/>
              </w:rPr>
              <w:fldChar w:fldCharType="begin"/>
            </w:r>
            <w:r w:rsidR="00A35BE7">
              <w:rPr>
                <w:noProof/>
                <w:webHidden/>
              </w:rPr>
              <w:instrText xml:space="preserve"> PAGEREF _Toc413223149 \h </w:instrText>
            </w:r>
            <w:r w:rsidR="00A35BE7">
              <w:rPr>
                <w:noProof/>
                <w:webHidden/>
              </w:rPr>
            </w:r>
            <w:r w:rsidR="00A35BE7">
              <w:rPr>
                <w:noProof/>
                <w:webHidden/>
              </w:rPr>
              <w:fldChar w:fldCharType="separate"/>
            </w:r>
            <w:r>
              <w:rPr>
                <w:noProof/>
                <w:webHidden/>
              </w:rPr>
              <w:t>27</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50" w:history="1">
            <w:r w:rsidR="00A35BE7" w:rsidRPr="00D8082E">
              <w:rPr>
                <w:rStyle w:val="Hyperlink"/>
                <w:noProof/>
              </w:rPr>
              <w:t>8.8.</w:t>
            </w:r>
            <w:r w:rsidR="00A35BE7">
              <w:rPr>
                <w:rFonts w:asciiTheme="minorHAnsi" w:eastAsiaTheme="minorEastAsia" w:hAnsiTheme="minorHAnsi" w:cstheme="minorBidi"/>
                <w:noProof/>
                <w:lang w:eastAsia="en-AU"/>
              </w:rPr>
              <w:tab/>
            </w:r>
            <w:r w:rsidR="00A35BE7" w:rsidRPr="00D8082E">
              <w:rPr>
                <w:rStyle w:val="Hyperlink"/>
                <w:noProof/>
              </w:rPr>
              <w:t>Other safety issues</w:t>
            </w:r>
            <w:r w:rsidR="00A35BE7">
              <w:rPr>
                <w:noProof/>
                <w:webHidden/>
              </w:rPr>
              <w:tab/>
            </w:r>
            <w:r w:rsidR="00A35BE7">
              <w:rPr>
                <w:noProof/>
                <w:webHidden/>
              </w:rPr>
              <w:fldChar w:fldCharType="begin"/>
            </w:r>
            <w:r w:rsidR="00A35BE7">
              <w:rPr>
                <w:noProof/>
                <w:webHidden/>
              </w:rPr>
              <w:instrText xml:space="preserve"> PAGEREF _Toc413223150 \h </w:instrText>
            </w:r>
            <w:r w:rsidR="00A35BE7">
              <w:rPr>
                <w:noProof/>
                <w:webHidden/>
              </w:rPr>
            </w:r>
            <w:r w:rsidR="00A35BE7">
              <w:rPr>
                <w:noProof/>
                <w:webHidden/>
              </w:rPr>
              <w:fldChar w:fldCharType="separate"/>
            </w:r>
            <w:r>
              <w:rPr>
                <w:noProof/>
                <w:webHidden/>
              </w:rPr>
              <w:t>27</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51" w:history="1">
            <w:r w:rsidR="00A35BE7" w:rsidRPr="00D8082E">
              <w:rPr>
                <w:rStyle w:val="Hyperlink"/>
                <w:noProof/>
              </w:rPr>
              <w:t>8.9.</w:t>
            </w:r>
            <w:r w:rsidR="00A35BE7">
              <w:rPr>
                <w:rFonts w:asciiTheme="minorHAnsi" w:eastAsiaTheme="minorEastAsia" w:hAnsiTheme="minorHAnsi" w:cstheme="minorBidi"/>
                <w:noProof/>
                <w:lang w:eastAsia="en-AU"/>
              </w:rPr>
              <w:tab/>
            </w:r>
            <w:r w:rsidR="00A35BE7" w:rsidRPr="00D8082E">
              <w:rPr>
                <w:rStyle w:val="Hyperlink"/>
                <w:noProof/>
              </w:rPr>
              <w:t>Evaluator’s overall conclusions on clinical safety</w:t>
            </w:r>
            <w:r w:rsidR="00A35BE7">
              <w:rPr>
                <w:noProof/>
                <w:webHidden/>
              </w:rPr>
              <w:tab/>
            </w:r>
            <w:r w:rsidR="00A35BE7">
              <w:rPr>
                <w:noProof/>
                <w:webHidden/>
              </w:rPr>
              <w:fldChar w:fldCharType="begin"/>
            </w:r>
            <w:r w:rsidR="00A35BE7">
              <w:rPr>
                <w:noProof/>
                <w:webHidden/>
              </w:rPr>
              <w:instrText xml:space="preserve"> PAGEREF _Toc413223151 \h </w:instrText>
            </w:r>
            <w:r w:rsidR="00A35BE7">
              <w:rPr>
                <w:noProof/>
                <w:webHidden/>
              </w:rPr>
            </w:r>
            <w:r w:rsidR="00A35BE7">
              <w:rPr>
                <w:noProof/>
                <w:webHidden/>
              </w:rPr>
              <w:fldChar w:fldCharType="separate"/>
            </w:r>
            <w:r>
              <w:rPr>
                <w:noProof/>
                <w:webHidden/>
              </w:rPr>
              <w:t>27</w:t>
            </w:r>
            <w:r w:rsidR="00A35BE7">
              <w:rPr>
                <w:noProof/>
                <w:webHidden/>
              </w:rPr>
              <w:fldChar w:fldCharType="end"/>
            </w:r>
          </w:hyperlink>
        </w:p>
        <w:p w:rsidR="00A35BE7" w:rsidRDefault="007D43CD">
          <w:pPr>
            <w:pStyle w:val="TOC2"/>
            <w:tabs>
              <w:tab w:val="left" w:pos="1100"/>
            </w:tabs>
            <w:rPr>
              <w:rFonts w:asciiTheme="minorHAnsi" w:eastAsiaTheme="minorEastAsia" w:hAnsiTheme="minorHAnsi" w:cstheme="minorBidi"/>
              <w:b w:val="0"/>
              <w:noProof/>
              <w:sz w:val="22"/>
              <w:lang w:eastAsia="en-AU"/>
            </w:rPr>
          </w:pPr>
          <w:hyperlink w:anchor="_Toc413223152" w:history="1">
            <w:r w:rsidR="00A35BE7" w:rsidRPr="00D8082E">
              <w:rPr>
                <w:rStyle w:val="Hyperlink"/>
                <w:noProof/>
              </w:rPr>
              <w:t>9.</w:t>
            </w:r>
            <w:r w:rsidR="00A35BE7">
              <w:rPr>
                <w:rFonts w:asciiTheme="minorHAnsi" w:eastAsiaTheme="minorEastAsia" w:hAnsiTheme="minorHAnsi" w:cstheme="minorBidi"/>
                <w:b w:val="0"/>
                <w:noProof/>
                <w:sz w:val="22"/>
                <w:lang w:eastAsia="en-AU"/>
              </w:rPr>
              <w:tab/>
            </w:r>
            <w:r w:rsidR="00A35BE7" w:rsidRPr="00D8082E">
              <w:rPr>
                <w:rStyle w:val="Hyperlink"/>
                <w:noProof/>
              </w:rPr>
              <w:t>First round benefit-risk assessment</w:t>
            </w:r>
            <w:r w:rsidR="00A35BE7">
              <w:rPr>
                <w:noProof/>
                <w:webHidden/>
              </w:rPr>
              <w:tab/>
            </w:r>
            <w:r w:rsidR="00A35BE7">
              <w:rPr>
                <w:noProof/>
                <w:webHidden/>
              </w:rPr>
              <w:fldChar w:fldCharType="begin"/>
            </w:r>
            <w:r w:rsidR="00A35BE7">
              <w:rPr>
                <w:noProof/>
                <w:webHidden/>
              </w:rPr>
              <w:instrText xml:space="preserve"> PAGEREF _Toc413223152 \h </w:instrText>
            </w:r>
            <w:r w:rsidR="00A35BE7">
              <w:rPr>
                <w:noProof/>
                <w:webHidden/>
              </w:rPr>
            </w:r>
            <w:r w:rsidR="00A35BE7">
              <w:rPr>
                <w:noProof/>
                <w:webHidden/>
              </w:rPr>
              <w:fldChar w:fldCharType="separate"/>
            </w:r>
            <w:r>
              <w:rPr>
                <w:noProof/>
                <w:webHidden/>
              </w:rPr>
              <w:t>28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53" w:history="1">
            <w:r w:rsidR="00A35BE7" w:rsidRPr="00D8082E">
              <w:rPr>
                <w:rStyle w:val="Hyperlink"/>
                <w:noProof/>
              </w:rPr>
              <w:t>9.1.</w:t>
            </w:r>
            <w:r w:rsidR="00A35BE7">
              <w:rPr>
                <w:rFonts w:asciiTheme="minorHAnsi" w:eastAsiaTheme="minorEastAsia" w:hAnsiTheme="minorHAnsi" w:cstheme="minorBidi"/>
                <w:noProof/>
                <w:lang w:eastAsia="en-AU"/>
              </w:rPr>
              <w:tab/>
            </w:r>
            <w:r w:rsidR="00A35BE7" w:rsidRPr="00D8082E">
              <w:rPr>
                <w:rStyle w:val="Hyperlink"/>
                <w:noProof/>
              </w:rPr>
              <w:t>First round assessment of benefits</w:t>
            </w:r>
            <w:r w:rsidR="00A35BE7">
              <w:rPr>
                <w:noProof/>
                <w:webHidden/>
              </w:rPr>
              <w:tab/>
            </w:r>
            <w:r w:rsidR="00A35BE7">
              <w:rPr>
                <w:noProof/>
                <w:webHidden/>
              </w:rPr>
              <w:fldChar w:fldCharType="begin"/>
            </w:r>
            <w:r w:rsidR="00A35BE7">
              <w:rPr>
                <w:noProof/>
                <w:webHidden/>
              </w:rPr>
              <w:instrText xml:space="preserve"> PAGEREF _Toc413223153 \h </w:instrText>
            </w:r>
            <w:r w:rsidR="00A35BE7">
              <w:rPr>
                <w:noProof/>
                <w:webHidden/>
              </w:rPr>
            </w:r>
            <w:r w:rsidR="00A35BE7">
              <w:rPr>
                <w:noProof/>
                <w:webHidden/>
              </w:rPr>
              <w:fldChar w:fldCharType="separate"/>
            </w:r>
            <w:r>
              <w:rPr>
                <w:noProof/>
                <w:webHidden/>
              </w:rPr>
              <w:t>28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54" w:history="1">
            <w:r w:rsidR="00A35BE7" w:rsidRPr="00D8082E">
              <w:rPr>
                <w:rStyle w:val="Hyperlink"/>
                <w:noProof/>
              </w:rPr>
              <w:t>9.2.</w:t>
            </w:r>
            <w:r w:rsidR="00A35BE7">
              <w:rPr>
                <w:rFonts w:asciiTheme="minorHAnsi" w:eastAsiaTheme="minorEastAsia" w:hAnsiTheme="minorHAnsi" w:cstheme="minorBidi"/>
                <w:noProof/>
                <w:lang w:eastAsia="en-AU"/>
              </w:rPr>
              <w:tab/>
            </w:r>
            <w:r w:rsidR="00A35BE7" w:rsidRPr="00D8082E">
              <w:rPr>
                <w:rStyle w:val="Hyperlink"/>
                <w:noProof/>
              </w:rPr>
              <w:t>First round assessment of risks</w:t>
            </w:r>
            <w:r w:rsidR="00A35BE7">
              <w:rPr>
                <w:noProof/>
                <w:webHidden/>
              </w:rPr>
              <w:tab/>
            </w:r>
            <w:r w:rsidR="00A35BE7">
              <w:rPr>
                <w:noProof/>
                <w:webHidden/>
              </w:rPr>
              <w:fldChar w:fldCharType="begin"/>
            </w:r>
            <w:r w:rsidR="00A35BE7">
              <w:rPr>
                <w:noProof/>
                <w:webHidden/>
              </w:rPr>
              <w:instrText xml:space="preserve"> PAGEREF _Toc413223154 \h </w:instrText>
            </w:r>
            <w:r w:rsidR="00A35BE7">
              <w:rPr>
                <w:noProof/>
                <w:webHidden/>
              </w:rPr>
            </w:r>
            <w:r w:rsidR="00A35BE7">
              <w:rPr>
                <w:noProof/>
                <w:webHidden/>
              </w:rPr>
              <w:fldChar w:fldCharType="separate"/>
            </w:r>
            <w:r>
              <w:rPr>
                <w:noProof/>
                <w:webHidden/>
              </w:rPr>
              <w:t>28</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55" w:history="1">
            <w:r w:rsidR="00A35BE7" w:rsidRPr="00D8082E">
              <w:rPr>
                <w:rStyle w:val="Hyperlink"/>
                <w:noProof/>
              </w:rPr>
              <w:t>9.3.</w:t>
            </w:r>
            <w:r w:rsidR="00A35BE7">
              <w:rPr>
                <w:rFonts w:asciiTheme="minorHAnsi" w:eastAsiaTheme="minorEastAsia" w:hAnsiTheme="minorHAnsi" w:cstheme="minorBidi"/>
                <w:noProof/>
                <w:lang w:eastAsia="en-AU"/>
              </w:rPr>
              <w:tab/>
            </w:r>
            <w:r w:rsidR="00A35BE7" w:rsidRPr="00D8082E">
              <w:rPr>
                <w:rStyle w:val="Hyperlink"/>
                <w:noProof/>
              </w:rPr>
              <w:t>First round assessment of benefit-risk balance</w:t>
            </w:r>
            <w:r w:rsidR="00A35BE7">
              <w:rPr>
                <w:noProof/>
                <w:webHidden/>
              </w:rPr>
              <w:tab/>
            </w:r>
            <w:r w:rsidR="00A35BE7">
              <w:rPr>
                <w:noProof/>
                <w:webHidden/>
              </w:rPr>
              <w:fldChar w:fldCharType="begin"/>
            </w:r>
            <w:r w:rsidR="00A35BE7">
              <w:rPr>
                <w:noProof/>
                <w:webHidden/>
              </w:rPr>
              <w:instrText xml:space="preserve"> PAGEREF _Toc413223155 \h </w:instrText>
            </w:r>
            <w:r w:rsidR="00A35BE7">
              <w:rPr>
                <w:noProof/>
                <w:webHidden/>
              </w:rPr>
            </w:r>
            <w:r w:rsidR="00A35BE7">
              <w:rPr>
                <w:noProof/>
                <w:webHidden/>
              </w:rPr>
              <w:fldChar w:fldCharType="separate"/>
            </w:r>
            <w:r>
              <w:rPr>
                <w:noProof/>
                <w:webHidden/>
              </w:rPr>
              <w:t>28</w:t>
            </w:r>
            <w:r w:rsidR="00A35BE7">
              <w:rPr>
                <w:noProof/>
                <w:webHidden/>
              </w:rPr>
              <w:fldChar w:fldCharType="end"/>
            </w:r>
          </w:hyperlink>
        </w:p>
        <w:p w:rsidR="00A35BE7" w:rsidRDefault="007D43CD">
          <w:pPr>
            <w:pStyle w:val="TOC2"/>
            <w:tabs>
              <w:tab w:val="left" w:pos="1320"/>
            </w:tabs>
            <w:rPr>
              <w:rFonts w:asciiTheme="minorHAnsi" w:eastAsiaTheme="minorEastAsia" w:hAnsiTheme="minorHAnsi" w:cstheme="minorBidi"/>
              <w:b w:val="0"/>
              <w:noProof/>
              <w:sz w:val="22"/>
              <w:lang w:eastAsia="en-AU"/>
            </w:rPr>
          </w:pPr>
          <w:hyperlink w:anchor="_Toc413223156" w:history="1">
            <w:r w:rsidR="00A35BE7" w:rsidRPr="00D8082E">
              <w:rPr>
                <w:rStyle w:val="Hyperlink"/>
                <w:noProof/>
              </w:rPr>
              <w:t>10.</w:t>
            </w:r>
            <w:r w:rsidR="00A35BE7">
              <w:rPr>
                <w:rFonts w:asciiTheme="minorHAnsi" w:eastAsiaTheme="minorEastAsia" w:hAnsiTheme="minorHAnsi" w:cstheme="minorBidi"/>
                <w:b w:val="0"/>
                <w:noProof/>
                <w:sz w:val="22"/>
                <w:lang w:eastAsia="en-AU"/>
              </w:rPr>
              <w:tab/>
            </w:r>
            <w:r w:rsidR="00A35BE7" w:rsidRPr="00D8082E">
              <w:rPr>
                <w:rStyle w:val="Hyperlink"/>
                <w:noProof/>
              </w:rPr>
              <w:t>First round recommendation regarding authorisation</w:t>
            </w:r>
            <w:r w:rsidR="00A35BE7">
              <w:rPr>
                <w:noProof/>
                <w:webHidden/>
              </w:rPr>
              <w:tab/>
            </w:r>
            <w:r w:rsidR="00A35BE7">
              <w:rPr>
                <w:noProof/>
                <w:webHidden/>
              </w:rPr>
              <w:fldChar w:fldCharType="begin"/>
            </w:r>
            <w:r w:rsidR="00A35BE7">
              <w:rPr>
                <w:noProof/>
                <w:webHidden/>
              </w:rPr>
              <w:instrText xml:space="preserve"> PAGEREF _Toc413223156 \h </w:instrText>
            </w:r>
            <w:r w:rsidR="00A35BE7">
              <w:rPr>
                <w:noProof/>
                <w:webHidden/>
              </w:rPr>
            </w:r>
            <w:r w:rsidR="00A35BE7">
              <w:rPr>
                <w:noProof/>
                <w:webHidden/>
              </w:rPr>
              <w:fldChar w:fldCharType="separate"/>
            </w:r>
            <w:r>
              <w:rPr>
                <w:noProof/>
                <w:webHidden/>
              </w:rPr>
              <w:t>28</w:t>
            </w:r>
            <w:r w:rsidR="00A35BE7">
              <w:rPr>
                <w:noProof/>
                <w:webHidden/>
              </w:rPr>
              <w:fldChar w:fldCharType="end"/>
            </w:r>
          </w:hyperlink>
        </w:p>
        <w:p w:rsidR="00A35BE7" w:rsidRDefault="007D43CD">
          <w:pPr>
            <w:pStyle w:val="TOC2"/>
            <w:tabs>
              <w:tab w:val="left" w:pos="1320"/>
            </w:tabs>
            <w:rPr>
              <w:rFonts w:asciiTheme="minorHAnsi" w:eastAsiaTheme="minorEastAsia" w:hAnsiTheme="minorHAnsi" w:cstheme="minorBidi"/>
              <w:b w:val="0"/>
              <w:noProof/>
              <w:sz w:val="22"/>
              <w:lang w:eastAsia="en-AU"/>
            </w:rPr>
          </w:pPr>
          <w:hyperlink w:anchor="_Toc413223157" w:history="1">
            <w:r w:rsidR="00A35BE7" w:rsidRPr="00D8082E">
              <w:rPr>
                <w:rStyle w:val="Hyperlink"/>
                <w:noProof/>
              </w:rPr>
              <w:t>11.</w:t>
            </w:r>
            <w:r w:rsidR="00A35BE7">
              <w:rPr>
                <w:rFonts w:asciiTheme="minorHAnsi" w:eastAsiaTheme="minorEastAsia" w:hAnsiTheme="minorHAnsi" w:cstheme="minorBidi"/>
                <w:b w:val="0"/>
                <w:noProof/>
                <w:sz w:val="22"/>
                <w:lang w:eastAsia="en-AU"/>
              </w:rPr>
              <w:tab/>
            </w:r>
            <w:r w:rsidR="00A35BE7" w:rsidRPr="00D8082E">
              <w:rPr>
                <w:rStyle w:val="Hyperlink"/>
                <w:noProof/>
              </w:rPr>
              <w:t>Clinical questions</w:t>
            </w:r>
            <w:r w:rsidR="00A35BE7">
              <w:rPr>
                <w:noProof/>
                <w:webHidden/>
              </w:rPr>
              <w:tab/>
            </w:r>
            <w:r w:rsidR="00A35BE7">
              <w:rPr>
                <w:noProof/>
                <w:webHidden/>
              </w:rPr>
              <w:fldChar w:fldCharType="begin"/>
            </w:r>
            <w:r w:rsidR="00A35BE7">
              <w:rPr>
                <w:noProof/>
                <w:webHidden/>
              </w:rPr>
              <w:instrText xml:space="preserve"> PAGEREF _Toc413223157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58" w:history="1">
            <w:r w:rsidR="00A35BE7" w:rsidRPr="00D8082E">
              <w:rPr>
                <w:rStyle w:val="Hyperlink"/>
                <w:noProof/>
              </w:rPr>
              <w:t>11.1.</w:t>
            </w:r>
            <w:r w:rsidR="00A35BE7">
              <w:rPr>
                <w:rFonts w:asciiTheme="minorHAnsi" w:eastAsiaTheme="minorEastAsia" w:hAnsiTheme="minorHAnsi" w:cstheme="minorBidi"/>
                <w:noProof/>
                <w:lang w:eastAsia="en-AU"/>
              </w:rPr>
              <w:tab/>
            </w:r>
            <w:r w:rsidR="00A35BE7" w:rsidRPr="00D8082E">
              <w:rPr>
                <w:rStyle w:val="Hyperlink"/>
                <w:noProof/>
              </w:rPr>
              <w:t>Pharmacokinetics</w:t>
            </w:r>
            <w:r w:rsidR="00A35BE7">
              <w:rPr>
                <w:noProof/>
                <w:webHidden/>
              </w:rPr>
              <w:tab/>
            </w:r>
            <w:r w:rsidR="00A35BE7">
              <w:rPr>
                <w:noProof/>
                <w:webHidden/>
              </w:rPr>
              <w:fldChar w:fldCharType="begin"/>
            </w:r>
            <w:r w:rsidR="00A35BE7">
              <w:rPr>
                <w:noProof/>
                <w:webHidden/>
              </w:rPr>
              <w:instrText xml:space="preserve"> PAGEREF _Toc413223158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59" w:history="1">
            <w:r w:rsidR="00A35BE7" w:rsidRPr="00D8082E">
              <w:rPr>
                <w:rStyle w:val="Hyperlink"/>
                <w:noProof/>
              </w:rPr>
              <w:t>11.2.</w:t>
            </w:r>
            <w:r w:rsidR="00A35BE7">
              <w:rPr>
                <w:rFonts w:asciiTheme="minorHAnsi" w:eastAsiaTheme="minorEastAsia" w:hAnsiTheme="minorHAnsi" w:cstheme="minorBidi"/>
                <w:noProof/>
                <w:lang w:eastAsia="en-AU"/>
              </w:rPr>
              <w:tab/>
            </w:r>
            <w:r w:rsidR="00A35BE7" w:rsidRPr="00D8082E">
              <w:rPr>
                <w:rStyle w:val="Hyperlink"/>
                <w:noProof/>
              </w:rPr>
              <w:t>Pharmacodynamics</w:t>
            </w:r>
            <w:r w:rsidR="00A35BE7">
              <w:rPr>
                <w:noProof/>
                <w:webHidden/>
              </w:rPr>
              <w:tab/>
            </w:r>
            <w:r w:rsidR="00A35BE7">
              <w:rPr>
                <w:noProof/>
                <w:webHidden/>
              </w:rPr>
              <w:fldChar w:fldCharType="begin"/>
            </w:r>
            <w:r w:rsidR="00A35BE7">
              <w:rPr>
                <w:noProof/>
                <w:webHidden/>
              </w:rPr>
              <w:instrText xml:space="preserve"> PAGEREF _Toc413223159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60" w:history="1">
            <w:r w:rsidR="00A35BE7" w:rsidRPr="00D8082E">
              <w:rPr>
                <w:rStyle w:val="Hyperlink"/>
                <w:noProof/>
              </w:rPr>
              <w:t>11.3.</w:t>
            </w:r>
            <w:r w:rsidR="00A35BE7">
              <w:rPr>
                <w:rFonts w:asciiTheme="minorHAnsi" w:eastAsiaTheme="minorEastAsia" w:hAnsiTheme="minorHAnsi" w:cstheme="minorBidi"/>
                <w:noProof/>
                <w:lang w:eastAsia="en-AU"/>
              </w:rPr>
              <w:tab/>
            </w:r>
            <w:r w:rsidR="00A35BE7" w:rsidRPr="00D8082E">
              <w:rPr>
                <w:rStyle w:val="Hyperlink"/>
                <w:noProof/>
              </w:rPr>
              <w:t>Efficacy</w:t>
            </w:r>
            <w:r w:rsidR="00A35BE7">
              <w:rPr>
                <w:noProof/>
                <w:webHidden/>
              </w:rPr>
              <w:tab/>
            </w:r>
            <w:r w:rsidR="00A35BE7">
              <w:rPr>
                <w:noProof/>
                <w:webHidden/>
              </w:rPr>
              <w:fldChar w:fldCharType="begin"/>
            </w:r>
            <w:r w:rsidR="00A35BE7">
              <w:rPr>
                <w:noProof/>
                <w:webHidden/>
              </w:rPr>
              <w:instrText xml:space="preserve"> PAGEREF _Toc413223160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3"/>
            <w:tabs>
              <w:tab w:val="left" w:pos="1760"/>
            </w:tabs>
            <w:rPr>
              <w:rFonts w:asciiTheme="minorHAnsi" w:eastAsiaTheme="minorEastAsia" w:hAnsiTheme="minorHAnsi" w:cstheme="minorBidi"/>
              <w:noProof/>
              <w:lang w:eastAsia="en-AU"/>
            </w:rPr>
          </w:pPr>
          <w:hyperlink w:anchor="_Toc413223161" w:history="1">
            <w:r w:rsidR="00A35BE7" w:rsidRPr="00D8082E">
              <w:rPr>
                <w:rStyle w:val="Hyperlink"/>
                <w:noProof/>
              </w:rPr>
              <w:t>11.4.</w:t>
            </w:r>
            <w:r w:rsidR="00A35BE7">
              <w:rPr>
                <w:rFonts w:asciiTheme="minorHAnsi" w:eastAsiaTheme="minorEastAsia" w:hAnsiTheme="minorHAnsi" w:cstheme="minorBidi"/>
                <w:noProof/>
                <w:lang w:eastAsia="en-AU"/>
              </w:rPr>
              <w:tab/>
            </w:r>
            <w:r w:rsidR="00A35BE7" w:rsidRPr="00D8082E">
              <w:rPr>
                <w:rStyle w:val="Hyperlink"/>
                <w:noProof/>
              </w:rPr>
              <w:t>Safety</w:t>
            </w:r>
            <w:r w:rsidR="00A35BE7">
              <w:rPr>
                <w:noProof/>
                <w:webHidden/>
              </w:rPr>
              <w:tab/>
            </w:r>
            <w:r w:rsidR="00A35BE7">
              <w:rPr>
                <w:noProof/>
                <w:webHidden/>
              </w:rPr>
              <w:fldChar w:fldCharType="begin"/>
            </w:r>
            <w:r w:rsidR="00A35BE7">
              <w:rPr>
                <w:noProof/>
                <w:webHidden/>
              </w:rPr>
              <w:instrText xml:space="preserve"> PAGEREF _Toc413223161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2"/>
            <w:tabs>
              <w:tab w:val="left" w:pos="1320"/>
            </w:tabs>
            <w:rPr>
              <w:rFonts w:asciiTheme="minorHAnsi" w:eastAsiaTheme="minorEastAsia" w:hAnsiTheme="minorHAnsi" w:cstheme="minorBidi"/>
              <w:b w:val="0"/>
              <w:noProof/>
              <w:sz w:val="22"/>
              <w:lang w:eastAsia="en-AU"/>
            </w:rPr>
          </w:pPr>
          <w:hyperlink w:anchor="_Toc413223162" w:history="1">
            <w:r w:rsidR="00A35BE7" w:rsidRPr="00D8082E">
              <w:rPr>
                <w:rStyle w:val="Hyperlink"/>
                <w:noProof/>
              </w:rPr>
              <w:t>12.</w:t>
            </w:r>
            <w:r w:rsidR="00A35BE7">
              <w:rPr>
                <w:rFonts w:asciiTheme="minorHAnsi" w:eastAsiaTheme="minorEastAsia" w:hAnsiTheme="minorHAnsi" w:cstheme="minorBidi"/>
                <w:b w:val="0"/>
                <w:noProof/>
                <w:sz w:val="22"/>
                <w:lang w:eastAsia="en-AU"/>
              </w:rPr>
              <w:tab/>
            </w:r>
            <w:r w:rsidR="00A35BE7" w:rsidRPr="00D8082E">
              <w:rPr>
                <w:rStyle w:val="Hyperlink"/>
                <w:noProof/>
              </w:rPr>
              <w:t>Second round evaluation of clinical data submitted in response to questions</w:t>
            </w:r>
            <w:r w:rsidR="00A35BE7">
              <w:rPr>
                <w:noProof/>
                <w:webHidden/>
              </w:rPr>
              <w:tab/>
            </w:r>
            <w:r w:rsidR="00A35BE7">
              <w:rPr>
                <w:noProof/>
                <w:webHidden/>
              </w:rPr>
              <w:fldChar w:fldCharType="begin"/>
            </w:r>
            <w:r w:rsidR="00A35BE7">
              <w:rPr>
                <w:noProof/>
                <w:webHidden/>
              </w:rPr>
              <w:instrText xml:space="preserve"> PAGEREF _Toc413223162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2"/>
            <w:tabs>
              <w:tab w:val="left" w:pos="1320"/>
            </w:tabs>
            <w:rPr>
              <w:rFonts w:asciiTheme="minorHAnsi" w:eastAsiaTheme="minorEastAsia" w:hAnsiTheme="minorHAnsi" w:cstheme="minorBidi"/>
              <w:b w:val="0"/>
              <w:noProof/>
              <w:sz w:val="22"/>
              <w:lang w:eastAsia="en-AU"/>
            </w:rPr>
          </w:pPr>
          <w:hyperlink w:anchor="_Toc413223163" w:history="1">
            <w:r w:rsidR="00A35BE7" w:rsidRPr="00D8082E">
              <w:rPr>
                <w:rStyle w:val="Hyperlink"/>
                <w:noProof/>
              </w:rPr>
              <w:t>13.</w:t>
            </w:r>
            <w:r w:rsidR="00A35BE7">
              <w:rPr>
                <w:rFonts w:asciiTheme="minorHAnsi" w:eastAsiaTheme="minorEastAsia" w:hAnsiTheme="minorHAnsi" w:cstheme="minorBidi"/>
                <w:b w:val="0"/>
                <w:noProof/>
                <w:sz w:val="22"/>
                <w:lang w:eastAsia="en-AU"/>
              </w:rPr>
              <w:tab/>
            </w:r>
            <w:r w:rsidR="00A35BE7" w:rsidRPr="00D8082E">
              <w:rPr>
                <w:rStyle w:val="Hyperlink"/>
                <w:noProof/>
              </w:rPr>
              <w:t>Second round benefit-risk assessment</w:t>
            </w:r>
            <w:r w:rsidR="00A35BE7">
              <w:rPr>
                <w:noProof/>
                <w:webHidden/>
              </w:rPr>
              <w:tab/>
            </w:r>
            <w:r w:rsidR="00A35BE7">
              <w:rPr>
                <w:noProof/>
                <w:webHidden/>
              </w:rPr>
              <w:fldChar w:fldCharType="begin"/>
            </w:r>
            <w:r w:rsidR="00A35BE7">
              <w:rPr>
                <w:noProof/>
                <w:webHidden/>
              </w:rPr>
              <w:instrText xml:space="preserve"> PAGEREF _Toc413223163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2"/>
            <w:tabs>
              <w:tab w:val="left" w:pos="1320"/>
            </w:tabs>
            <w:rPr>
              <w:rFonts w:asciiTheme="minorHAnsi" w:eastAsiaTheme="minorEastAsia" w:hAnsiTheme="minorHAnsi" w:cstheme="minorBidi"/>
              <w:b w:val="0"/>
              <w:noProof/>
              <w:sz w:val="22"/>
              <w:lang w:eastAsia="en-AU"/>
            </w:rPr>
          </w:pPr>
          <w:hyperlink w:anchor="_Toc413223164" w:history="1">
            <w:r w:rsidR="00A35BE7" w:rsidRPr="00D8082E">
              <w:rPr>
                <w:rStyle w:val="Hyperlink"/>
                <w:noProof/>
              </w:rPr>
              <w:t>14.</w:t>
            </w:r>
            <w:r w:rsidR="00A35BE7">
              <w:rPr>
                <w:rFonts w:asciiTheme="minorHAnsi" w:eastAsiaTheme="minorEastAsia" w:hAnsiTheme="minorHAnsi" w:cstheme="minorBidi"/>
                <w:b w:val="0"/>
                <w:noProof/>
                <w:sz w:val="22"/>
                <w:lang w:eastAsia="en-AU"/>
              </w:rPr>
              <w:tab/>
            </w:r>
            <w:r w:rsidR="00A35BE7" w:rsidRPr="00D8082E">
              <w:rPr>
                <w:rStyle w:val="Hyperlink"/>
                <w:noProof/>
              </w:rPr>
              <w:t>Second round recommendation regarding authorisation</w:t>
            </w:r>
            <w:r w:rsidR="00A35BE7">
              <w:rPr>
                <w:noProof/>
                <w:webHidden/>
              </w:rPr>
              <w:tab/>
            </w:r>
            <w:r w:rsidR="00A35BE7">
              <w:rPr>
                <w:noProof/>
                <w:webHidden/>
              </w:rPr>
              <w:fldChar w:fldCharType="begin"/>
            </w:r>
            <w:r w:rsidR="00A35BE7">
              <w:rPr>
                <w:noProof/>
                <w:webHidden/>
              </w:rPr>
              <w:instrText xml:space="preserve"> PAGEREF _Toc413223164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A35BE7" w:rsidRDefault="007D43CD">
          <w:pPr>
            <w:pStyle w:val="TOC2"/>
            <w:tabs>
              <w:tab w:val="left" w:pos="1320"/>
            </w:tabs>
            <w:rPr>
              <w:rFonts w:asciiTheme="minorHAnsi" w:eastAsiaTheme="minorEastAsia" w:hAnsiTheme="minorHAnsi" w:cstheme="minorBidi"/>
              <w:b w:val="0"/>
              <w:noProof/>
              <w:sz w:val="22"/>
              <w:lang w:eastAsia="en-AU"/>
            </w:rPr>
          </w:pPr>
          <w:hyperlink w:anchor="_Toc413223165" w:history="1">
            <w:r w:rsidR="00A35BE7" w:rsidRPr="00D8082E">
              <w:rPr>
                <w:rStyle w:val="Hyperlink"/>
                <w:noProof/>
              </w:rPr>
              <w:t>15.</w:t>
            </w:r>
            <w:r w:rsidR="00A35BE7">
              <w:rPr>
                <w:rFonts w:asciiTheme="minorHAnsi" w:eastAsiaTheme="minorEastAsia" w:hAnsiTheme="minorHAnsi" w:cstheme="minorBidi"/>
                <w:b w:val="0"/>
                <w:noProof/>
                <w:sz w:val="22"/>
                <w:lang w:eastAsia="en-AU"/>
              </w:rPr>
              <w:tab/>
            </w:r>
            <w:r w:rsidR="00A35BE7" w:rsidRPr="00D8082E">
              <w:rPr>
                <w:rStyle w:val="Hyperlink"/>
                <w:noProof/>
              </w:rPr>
              <w:t>References</w:t>
            </w:r>
            <w:r w:rsidR="00A35BE7">
              <w:rPr>
                <w:noProof/>
                <w:webHidden/>
              </w:rPr>
              <w:tab/>
            </w:r>
            <w:r w:rsidR="00A35BE7">
              <w:rPr>
                <w:noProof/>
                <w:webHidden/>
              </w:rPr>
              <w:fldChar w:fldCharType="begin"/>
            </w:r>
            <w:r w:rsidR="00A35BE7">
              <w:rPr>
                <w:noProof/>
                <w:webHidden/>
              </w:rPr>
              <w:instrText xml:space="preserve"> PAGEREF _Toc413223165 \h </w:instrText>
            </w:r>
            <w:r w:rsidR="00A35BE7">
              <w:rPr>
                <w:noProof/>
                <w:webHidden/>
              </w:rPr>
            </w:r>
            <w:r w:rsidR="00A35BE7">
              <w:rPr>
                <w:noProof/>
                <w:webHidden/>
              </w:rPr>
              <w:fldChar w:fldCharType="separate"/>
            </w:r>
            <w:r>
              <w:rPr>
                <w:noProof/>
                <w:webHidden/>
              </w:rPr>
              <w:t>29</w:t>
            </w:r>
            <w:r w:rsidR="00A35BE7">
              <w:rPr>
                <w:noProof/>
                <w:webHidden/>
              </w:rPr>
              <w:fldChar w:fldCharType="end"/>
            </w:r>
          </w:hyperlink>
        </w:p>
        <w:p w:rsidR="003A7F6C" w:rsidRPr="00B811C6" w:rsidRDefault="004F4AF5" w:rsidP="00A778A1">
          <w:pPr>
            <w:pStyle w:val="TOC2"/>
            <w:ind w:left="0"/>
          </w:pPr>
          <w:r>
            <w:fldChar w:fldCharType="end"/>
          </w:r>
        </w:p>
      </w:sdtContent>
    </w:sdt>
    <w:bookmarkStart w:id="3" w:name="_Toc314842482" w:displacedByCustomXml="prev"/>
    <w:p w:rsidR="00EF7ABB" w:rsidRDefault="00EF7ABB">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C879FE">
      <w:pPr>
        <w:pStyle w:val="Heading2"/>
        <w:numPr>
          <w:ilvl w:val="0"/>
          <w:numId w:val="0"/>
        </w:numPr>
        <w:ind w:left="567" w:hanging="567"/>
      </w:pPr>
      <w:bookmarkStart w:id="7" w:name="_Toc413223124"/>
      <w:r>
        <w:lastRenderedPageBreak/>
        <w:t>List of abbreviations</w:t>
      </w:r>
      <w:bookmarkEnd w:id="4"/>
      <w:bookmarkEnd w:id="5"/>
      <w:bookmarkEnd w:id="6"/>
      <w:bookmarkEnd w:id="7"/>
    </w:p>
    <w:tbl>
      <w:tblPr>
        <w:tblStyle w:val="TableTGAblue"/>
        <w:tblW w:w="0" w:type="auto"/>
        <w:tblLayout w:type="fixed"/>
        <w:tblLook w:val="04A0" w:firstRow="1" w:lastRow="0" w:firstColumn="1" w:lastColumn="0" w:noHBand="0" w:noVBand="1"/>
      </w:tblPr>
      <w:tblGrid>
        <w:gridCol w:w="1809"/>
        <w:gridCol w:w="7073"/>
      </w:tblGrid>
      <w:tr w:rsidR="00586F98" w:rsidTr="00C879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86F98" w:rsidRDefault="00586F98" w:rsidP="00C879FE">
            <w:pPr>
              <w:ind w:left="0" w:right="0"/>
            </w:pPr>
            <w:r>
              <w:t>Abbreviation</w:t>
            </w:r>
          </w:p>
        </w:tc>
        <w:tc>
          <w:tcPr>
            <w:tcW w:w="7073" w:type="dxa"/>
          </w:tcPr>
          <w:p w:rsidR="00586F98" w:rsidRDefault="00586F98" w:rsidP="00C879FE">
            <w:pPr>
              <w:ind w:left="0" w:right="0"/>
              <w:cnfStyle w:val="100000000000" w:firstRow="1" w:lastRow="0" w:firstColumn="0" w:lastColumn="0" w:oddVBand="0" w:evenVBand="0" w:oddHBand="0" w:evenHBand="0" w:firstRowFirstColumn="0" w:firstRowLastColumn="0" w:lastRowFirstColumn="0" w:lastRowLastColumn="0"/>
            </w:pPr>
            <w:r>
              <w:t>Meaning</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ADA</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anti-</w:t>
            </w:r>
            <w:proofErr w:type="spellStart"/>
            <w:r w:rsidRPr="002F5E01">
              <w:t>rFVIIIFc</w:t>
            </w:r>
            <w:proofErr w:type="spellEnd"/>
            <w:r w:rsidRPr="002F5E01">
              <w:t xml:space="preserve"> binding antibody</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B5424F" w:rsidP="00C879FE">
            <w:pPr>
              <w:ind w:left="0" w:right="0"/>
            </w:pPr>
            <w:r w:rsidRPr="00B5424F">
              <w:t>ADA</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Adverse event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ALT</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alanine aminotransferase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ASA</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acetylsalicylic acid</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AST</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aspartate aminotransferase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AUC</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area under the curve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BNP</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brain natriuretic peptide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BU</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Bethesda unit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BUN</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blood urea nitrogen</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CI</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confidence interval</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CSR</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clinical study report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ED</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exposure day</w:t>
            </w:r>
          </w:p>
        </w:tc>
      </w:tr>
      <w:tr w:rsidR="00744C1B"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44C1B" w:rsidRPr="002F5E01" w:rsidRDefault="00744C1B" w:rsidP="00C879FE">
            <w:pPr>
              <w:ind w:left="0" w:right="0"/>
            </w:pPr>
            <w:r>
              <w:t>EMA</w:t>
            </w:r>
          </w:p>
        </w:tc>
        <w:tc>
          <w:tcPr>
            <w:tcW w:w="7073" w:type="dxa"/>
          </w:tcPr>
          <w:p w:rsidR="00744C1B" w:rsidRPr="002F5E01" w:rsidRDefault="00744C1B" w:rsidP="00C879FE">
            <w:pPr>
              <w:ind w:left="0" w:right="0"/>
              <w:cnfStyle w:val="000000000000" w:firstRow="0" w:lastRow="0" w:firstColumn="0" w:lastColumn="0" w:oddVBand="0" w:evenVBand="0" w:oddHBand="0" w:evenHBand="0" w:firstRowFirstColumn="0" w:firstRowLastColumn="0" w:lastRowFirstColumn="0" w:lastRowLastColumn="0"/>
            </w:pPr>
            <w:r>
              <w:t>European medicines agency</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EPD</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electronic patient diary</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FAS</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Full Analysis Set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FVIII</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coagulation factor VIII</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GCP</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Good Clinical Practice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HBV</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hepatitis B virus</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HCV</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hepatitis C virus</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HIV</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human immunodeficiency virus</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HJHS</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Haemophilia Joint Health Score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proofErr w:type="spellStart"/>
            <w:r w:rsidRPr="002F5E01">
              <w:t>IgG</w:t>
            </w:r>
            <w:proofErr w:type="spellEnd"/>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immunoglobulin G</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IgG1</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immunoglobulin G1</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ISTH</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the International Society on Thrombosis and Haemostasis</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lastRenderedPageBreak/>
              <w:t>IU</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international unit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IV</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intravenous</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IXRS</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Interactive Voice/Web Response System</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LFT</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liver function test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LTE</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long-term extension (study)</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MRT</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mean residence time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NSAID</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non-steroidal anti-inflammatory drug</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PK</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pharmacokinetic</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PKAS</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Pharmacokinetic Analysis Set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PTP</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previously treated patient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PUP</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previously untreated patient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proofErr w:type="spellStart"/>
            <w:r w:rsidRPr="002F5E01">
              <w:t>QoL</w:t>
            </w:r>
            <w:proofErr w:type="spellEnd"/>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quality of life</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proofErr w:type="spellStart"/>
            <w:r w:rsidRPr="002F5E01">
              <w:t>rFVIII</w:t>
            </w:r>
            <w:proofErr w:type="spellEnd"/>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recombinant coagulation factor VIII</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proofErr w:type="spellStart"/>
            <w:r w:rsidRPr="002F5E01">
              <w:t>rFVIIIFc</w:t>
            </w:r>
            <w:proofErr w:type="spellEnd"/>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 xml:space="preserve">recombinant coagulation factor </w:t>
            </w:r>
            <w:proofErr w:type="spellStart"/>
            <w:r w:rsidRPr="002F5E01">
              <w:t>VIIIFc</w:t>
            </w:r>
            <w:proofErr w:type="spellEnd"/>
            <w:r w:rsidRPr="002F5E01">
              <w:t xml:space="preserve"> fusion protein</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SAE</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serious adverse event</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SOC</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system organ class</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TGA</w:t>
            </w:r>
          </w:p>
        </w:tc>
        <w:tc>
          <w:tcPr>
            <w:tcW w:w="7073" w:type="dxa"/>
          </w:tcPr>
          <w:p w:rsidR="00731DF9" w:rsidRPr="002F5E01" w:rsidRDefault="002D7C72" w:rsidP="00C879FE">
            <w:pPr>
              <w:ind w:left="0" w:right="0"/>
              <w:cnfStyle w:val="000000000000" w:firstRow="0" w:lastRow="0" w:firstColumn="0" w:lastColumn="0" w:oddVBand="0" w:evenVBand="0" w:oddHBand="0" w:evenHBand="0" w:firstRowFirstColumn="0" w:firstRowLastColumn="0" w:lastRowFirstColumn="0" w:lastRowLastColumn="0"/>
            </w:pPr>
            <w:r>
              <w:t>Therapeutic Goods Administration</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ULN</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upper limit of normal</w:t>
            </w:r>
          </w:p>
        </w:tc>
      </w:tr>
      <w:tr w:rsidR="00321456"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321456" w:rsidRPr="002F5E01" w:rsidRDefault="00321456" w:rsidP="00C879FE">
            <w:pPr>
              <w:ind w:left="0" w:right="0"/>
            </w:pPr>
            <w:r>
              <w:t>URTI</w:t>
            </w:r>
          </w:p>
        </w:tc>
        <w:tc>
          <w:tcPr>
            <w:tcW w:w="7073" w:type="dxa"/>
          </w:tcPr>
          <w:p w:rsidR="00321456" w:rsidRPr="002F5E01" w:rsidRDefault="00321456" w:rsidP="00C879FE">
            <w:pPr>
              <w:ind w:left="0" w:right="0"/>
              <w:cnfStyle w:val="000000000000" w:firstRow="0" w:lastRow="0" w:firstColumn="0" w:lastColumn="0" w:oddVBand="0" w:evenVBand="0" w:oddHBand="0" w:evenHBand="0" w:firstRowFirstColumn="0" w:firstRowLastColumn="0" w:lastRowFirstColumn="0" w:lastRowLastColumn="0"/>
            </w:pPr>
            <w:r>
              <w:t>upper respiratory tract infection</w:t>
            </w:r>
          </w:p>
        </w:tc>
      </w:tr>
      <w:tr w:rsidR="00731DF9" w:rsidRPr="002F5E01" w:rsidTr="00C879FE">
        <w:tc>
          <w:tcPr>
            <w:cnfStyle w:val="001000000000" w:firstRow="0" w:lastRow="0" w:firstColumn="1" w:lastColumn="0" w:oddVBand="0" w:evenVBand="0" w:oddHBand="0" w:evenHBand="0" w:firstRowFirstColumn="0" w:firstRowLastColumn="0" w:lastRowFirstColumn="0" w:lastRowLastColumn="0"/>
            <w:tcW w:w="1809" w:type="dxa"/>
          </w:tcPr>
          <w:p w:rsidR="00731DF9" w:rsidRPr="002F5E01" w:rsidRDefault="00731DF9" w:rsidP="00C879FE">
            <w:pPr>
              <w:ind w:left="0" w:right="0"/>
            </w:pPr>
            <w:r w:rsidRPr="002F5E01">
              <w:t>VWF</w:t>
            </w:r>
          </w:p>
        </w:tc>
        <w:tc>
          <w:tcPr>
            <w:tcW w:w="7073" w:type="dxa"/>
          </w:tcPr>
          <w:p w:rsidR="00731DF9" w:rsidRPr="002F5E01" w:rsidRDefault="00731DF9" w:rsidP="00C879FE">
            <w:pPr>
              <w:ind w:left="0" w:right="0"/>
              <w:cnfStyle w:val="000000000000" w:firstRow="0" w:lastRow="0" w:firstColumn="0" w:lastColumn="0" w:oddVBand="0" w:evenVBand="0" w:oddHBand="0" w:evenHBand="0" w:firstRowFirstColumn="0" w:firstRowLastColumn="0" w:lastRowFirstColumn="0" w:lastRowLastColumn="0"/>
            </w:pPr>
            <w:r w:rsidRPr="002F5E01">
              <w:t xml:space="preserve">von </w:t>
            </w:r>
            <w:proofErr w:type="spellStart"/>
            <w:r w:rsidRPr="002F5E01">
              <w:t>Willebrand</w:t>
            </w:r>
            <w:proofErr w:type="spellEnd"/>
            <w:r w:rsidRPr="002F5E01">
              <w:t xml:space="preserve"> factor</w:t>
            </w:r>
          </w:p>
        </w:tc>
      </w:tr>
    </w:tbl>
    <w:p w:rsidR="00731DF9" w:rsidRDefault="00731DF9" w:rsidP="00737C83">
      <w:pPr>
        <w:pStyle w:val="Heading2"/>
        <w:rPr>
          <w:lang w:eastAsia="en-AU"/>
        </w:rPr>
      </w:pPr>
      <w:bookmarkStart w:id="8" w:name="_Toc413223125"/>
      <w:bookmarkStart w:id="9" w:name="_Toc351718900"/>
      <w:bookmarkStart w:id="10" w:name="_Toc355338635"/>
      <w:r>
        <w:rPr>
          <w:lang w:eastAsia="en-AU"/>
        </w:rPr>
        <w:t>Introduction</w:t>
      </w:r>
      <w:bookmarkEnd w:id="8"/>
    </w:p>
    <w:p w:rsidR="00393891" w:rsidRPr="009965A3" w:rsidRDefault="009965A3" w:rsidP="00737C83">
      <w:r w:rsidRPr="009965A3">
        <w:t>This is a Category 1 submission to register a new chemical entity (Type A)</w:t>
      </w:r>
      <w:r>
        <w:t xml:space="preserve">: </w:t>
      </w:r>
      <w:r w:rsidR="00AE06BC">
        <w:t>Eloctate</w:t>
      </w:r>
      <w:r w:rsidRPr="009965A3">
        <w:t xml:space="preserve"> powder for injection.</w:t>
      </w:r>
      <w:r w:rsidR="00393891">
        <w:t xml:space="preserve"> The proposed indication is:</w:t>
      </w:r>
    </w:p>
    <w:p w:rsidR="00393891" w:rsidRPr="00737C83" w:rsidRDefault="00393891" w:rsidP="00737C83">
      <w:pPr>
        <w:ind w:left="567"/>
        <w:rPr>
          <w:i/>
        </w:rPr>
      </w:pPr>
      <w:r w:rsidRPr="00737C83">
        <w:rPr>
          <w:i/>
        </w:rPr>
        <w:t xml:space="preserve">Eloctate is a long-acting </w:t>
      </w:r>
      <w:proofErr w:type="spellStart"/>
      <w:r w:rsidRPr="00737C83">
        <w:rPr>
          <w:i/>
        </w:rPr>
        <w:t>antihaemophilic</w:t>
      </w:r>
      <w:proofErr w:type="spellEnd"/>
      <w:r w:rsidRPr="00737C83">
        <w:rPr>
          <w:i/>
        </w:rPr>
        <w:t xml:space="preserve"> factor (recombinant) indicated in adults and children (≥12 years) with haemophilia A (congenital factor VIII deficiency) for control of bleeding episodes, routine prophylaxis to prevent or reduce the frequency of bleeding episodes, and perioperative management (surgical prophylaxis).</w:t>
      </w:r>
    </w:p>
    <w:p w:rsidR="00586F98" w:rsidRPr="00731DF9" w:rsidRDefault="00586F98" w:rsidP="00737C83">
      <w:pPr>
        <w:pStyle w:val="Heading2"/>
      </w:pPr>
      <w:bookmarkStart w:id="11" w:name="_Toc413223126"/>
      <w:r w:rsidRPr="00731DF9">
        <w:lastRenderedPageBreak/>
        <w:t>Clinical rationale</w:t>
      </w:r>
      <w:bookmarkEnd w:id="11"/>
    </w:p>
    <w:p w:rsidR="009965A3" w:rsidRPr="009965A3" w:rsidRDefault="009965A3" w:rsidP="00737C83">
      <w:r>
        <w:t>H</w:t>
      </w:r>
      <w:r w:rsidRPr="009965A3">
        <w:t xml:space="preserve">aemophilia is an inherited, X-linked bleeding disorder. In Australia there are approximately 2,600 people with haemophilia and nearly all are male. Haemophilia A is the most common form and is due to the deficiency of factor VIII. Reduced blood coagulation results in bleeding which is most commonly internal, usually into the joints or muscles. Over time, recurrent bleeds can cause permanent damage such as arthritis, chronic pain and joint damage requiring surgery. Plasma derived coagulation factor concentrates were effective but were associated with a high rate of blood-borne viruses such as </w:t>
      </w:r>
      <w:r w:rsidR="009C052E" w:rsidRPr="009C052E">
        <w:t xml:space="preserve">hepatitis B virus </w:t>
      </w:r>
      <w:r w:rsidR="009C052E">
        <w:t>(</w:t>
      </w:r>
      <w:r w:rsidRPr="009965A3">
        <w:t>HBV</w:t>
      </w:r>
      <w:r w:rsidR="009C052E">
        <w:t>)</w:t>
      </w:r>
      <w:r w:rsidRPr="009965A3">
        <w:t xml:space="preserve">, </w:t>
      </w:r>
      <w:r w:rsidR="00C85E9F" w:rsidRPr="00C85E9F">
        <w:t xml:space="preserve">hepatitis C virus </w:t>
      </w:r>
      <w:r w:rsidR="00C85E9F">
        <w:t>(</w:t>
      </w:r>
      <w:r w:rsidRPr="009965A3">
        <w:t>HCV</w:t>
      </w:r>
      <w:r w:rsidR="00C85E9F">
        <w:t>)</w:t>
      </w:r>
      <w:r w:rsidRPr="009965A3">
        <w:t xml:space="preserve"> and </w:t>
      </w:r>
      <w:r w:rsidR="0004285F" w:rsidRPr="0004285F">
        <w:t xml:space="preserve">human immunodeficiency virus </w:t>
      </w:r>
      <w:r w:rsidR="0004285F">
        <w:t>(</w:t>
      </w:r>
      <w:r w:rsidRPr="009965A3">
        <w:t>HIV</w:t>
      </w:r>
      <w:r w:rsidR="0004285F">
        <w:t>)</w:t>
      </w:r>
      <w:r w:rsidRPr="009965A3">
        <w:t xml:space="preserve">. Effective recombinant factor VIII products have been developed subsequently although their use is limited by the development of inhibitor </w:t>
      </w:r>
      <w:r w:rsidR="00B4452A">
        <w:t>(</w:t>
      </w:r>
      <w:r w:rsidR="00B4452A" w:rsidRPr="00B4452A">
        <w:t>anti-</w:t>
      </w:r>
      <w:proofErr w:type="spellStart"/>
      <w:r w:rsidR="00B4452A" w:rsidRPr="00B4452A">
        <w:t>rFVIIIFc</w:t>
      </w:r>
      <w:proofErr w:type="spellEnd"/>
      <w:r w:rsidR="00B4452A" w:rsidRPr="00B4452A">
        <w:t xml:space="preserve"> binding antibody </w:t>
      </w:r>
      <w:r w:rsidRPr="009965A3">
        <w:t>(ADA)</w:t>
      </w:r>
      <w:r w:rsidR="00B4452A">
        <w:t>)</w:t>
      </w:r>
      <w:r w:rsidRPr="009965A3">
        <w:t xml:space="preserve"> in up to 30% of patients. Inhibitors develop most commonly within 100 exposure days in previously untreated patients (PUPs) but may also develop in previously treated patients (PTPs). The next generation of recombinant products will be long-acting with the aim of reducing the frequency of the </w:t>
      </w:r>
      <w:r w:rsidR="005908A8" w:rsidRPr="005908A8">
        <w:t xml:space="preserve">intravenous </w:t>
      </w:r>
      <w:r w:rsidR="005908A8">
        <w:t>(</w:t>
      </w:r>
      <w:r w:rsidRPr="009965A3">
        <w:t>IV</w:t>
      </w:r>
      <w:r w:rsidR="005908A8">
        <w:t>)</w:t>
      </w:r>
      <w:r w:rsidRPr="009965A3">
        <w:t xml:space="preserve"> injections required for long-term prophylaxis in patients with severe disease.</w:t>
      </w:r>
    </w:p>
    <w:p w:rsidR="00586F98" w:rsidRDefault="009965A3" w:rsidP="00737C83">
      <w:r w:rsidRPr="009965A3">
        <w:t xml:space="preserve">Eloctate is a replacement therapy to increase plasma factor VIII levels as a temporary correction of the bleeding tendency in haemophilia A. The </w:t>
      </w:r>
      <w:r w:rsidR="009C052E" w:rsidRPr="009C052E">
        <w:t xml:space="preserve">coagulation factor VIII </w:t>
      </w:r>
      <w:r w:rsidR="009C052E">
        <w:t>(</w:t>
      </w:r>
      <w:r w:rsidRPr="009965A3">
        <w:t>FVIII</w:t>
      </w:r>
      <w:r w:rsidR="009C052E">
        <w:t>)</w:t>
      </w:r>
      <w:r w:rsidRPr="009965A3">
        <w:t xml:space="preserve"> portion of Eloctate is a glycoprotein similar to endogenous FVIII found in human plasma. When injected, it binds to von </w:t>
      </w:r>
      <w:proofErr w:type="spellStart"/>
      <w:r w:rsidRPr="009965A3">
        <w:t>Willebrand</w:t>
      </w:r>
      <w:proofErr w:type="spellEnd"/>
      <w:r w:rsidRPr="009965A3">
        <w:t xml:space="preserve"> factor in the circulation and acts as a replacement for the FVIII d</w:t>
      </w:r>
      <w:r w:rsidR="0004285F">
        <w:t xml:space="preserve">eficiency. </w:t>
      </w:r>
      <w:r w:rsidRPr="009965A3">
        <w:t xml:space="preserve">The other portion of Eloctate is the Fc fragment of human </w:t>
      </w:r>
      <w:r w:rsidR="00C85E9F" w:rsidRPr="00C85E9F">
        <w:t>immunoglobulin G1</w:t>
      </w:r>
      <w:r w:rsidR="00C85E9F">
        <w:t xml:space="preserve"> (</w:t>
      </w:r>
      <w:r w:rsidRPr="009965A3">
        <w:t>IgG1</w:t>
      </w:r>
      <w:r w:rsidR="00C85E9F">
        <w:t>)</w:t>
      </w:r>
      <w:r w:rsidRPr="009965A3">
        <w:t xml:space="preserve"> which binds to the neonatal Fc receptor which is expressed throughout adult life. This receptor protects immunoglobulins from </w:t>
      </w:r>
      <w:proofErr w:type="spellStart"/>
      <w:r w:rsidRPr="009965A3">
        <w:t>lysosomal</w:t>
      </w:r>
      <w:proofErr w:type="spellEnd"/>
      <w:r w:rsidRPr="009965A3">
        <w:t xml:space="preserve"> degradation and acts to prolong their plasma half-life. The design of Eloctate enables replacement of all the functions of FVIII with an extended half-life compared with the naturally occurring factor.</w:t>
      </w:r>
    </w:p>
    <w:p w:rsidR="009965A3" w:rsidRPr="009965A3" w:rsidRDefault="009965A3" w:rsidP="00737C83">
      <w:pPr>
        <w:pStyle w:val="Heading3"/>
      </w:pPr>
      <w:bookmarkStart w:id="12" w:name="_Toc272414609"/>
      <w:bookmarkStart w:id="13" w:name="_Toc290846231"/>
      <w:bookmarkStart w:id="14" w:name="_Toc368471482"/>
      <w:bookmarkStart w:id="15" w:name="_Toc413223127"/>
      <w:r w:rsidRPr="009965A3">
        <w:t>Guidance</w:t>
      </w:r>
      <w:bookmarkEnd w:id="12"/>
      <w:bookmarkEnd w:id="13"/>
      <w:bookmarkEnd w:id="14"/>
      <w:bookmarkEnd w:id="15"/>
    </w:p>
    <w:p w:rsidR="009965A3" w:rsidRPr="009965A3" w:rsidRDefault="009965A3" w:rsidP="00737C83">
      <w:r w:rsidRPr="009965A3">
        <w:t>A pre-submission meeting with the TGA was held. The sponsors were requested to justify the use of a single pivotal study, and to justify the lack of randomisation in the clinical trial program in the proposed submission. However, the TGA provisionally accepted the sponsors’ justification for the lack of an active comparator control in the pivotal study. Such a non-inferiority study would not be feasible because of the large patient numbers required in the orphan haemophilia population.</w:t>
      </w:r>
    </w:p>
    <w:p w:rsidR="009965A3" w:rsidRDefault="009965A3" w:rsidP="00737C83">
      <w:r w:rsidRPr="009965A3">
        <w:t xml:space="preserve">The TGA has adopted the </w:t>
      </w:r>
      <w:r w:rsidR="00744C1B">
        <w:t>European medicines agency (</w:t>
      </w:r>
      <w:r w:rsidRPr="009965A3">
        <w:t>EMA</w:t>
      </w:r>
      <w:r w:rsidR="00744C1B">
        <w:t>)</w:t>
      </w:r>
      <w:r w:rsidRPr="009965A3">
        <w:t xml:space="preserve"> guideline on </w:t>
      </w:r>
      <w:r w:rsidR="00744C1B" w:rsidRPr="00744C1B">
        <w:t xml:space="preserve">recombinant coagulation factor VIII </w:t>
      </w:r>
      <w:r w:rsidR="00744C1B">
        <w:t>(</w:t>
      </w:r>
      <w:proofErr w:type="spellStart"/>
      <w:r w:rsidRPr="009965A3">
        <w:t>rFVIII</w:t>
      </w:r>
      <w:proofErr w:type="spellEnd"/>
      <w:r w:rsidR="00744C1B">
        <w:t>)</w:t>
      </w:r>
      <w:r w:rsidRPr="009965A3">
        <w:t xml:space="preserve"> products (1999</w:t>
      </w:r>
      <w:r>
        <w:rPr>
          <w:rStyle w:val="FootnoteReference"/>
        </w:rPr>
        <w:footnoteReference w:id="2"/>
      </w:r>
      <w:r w:rsidRPr="009965A3">
        <w:t>) but the latest guideline (2009</w:t>
      </w:r>
      <w:r>
        <w:rPr>
          <w:rStyle w:val="FootnoteReference"/>
        </w:rPr>
        <w:footnoteReference w:id="3"/>
      </w:r>
      <w:r w:rsidRPr="009965A3">
        <w:t>) has not yet been adopted. The TGA has encouraged the sponsor to comply with the earlier guideline but has sought the opinion of the clinical evaluator before considering potential discrepancies further.</w:t>
      </w:r>
    </w:p>
    <w:p w:rsidR="00D05E54" w:rsidRPr="00D05E54" w:rsidRDefault="00D05E54" w:rsidP="00737C83">
      <w:pPr>
        <w:pStyle w:val="Heading3"/>
      </w:pPr>
      <w:bookmarkStart w:id="16" w:name="_Toc272414607"/>
      <w:bookmarkStart w:id="17" w:name="_Toc290846229"/>
      <w:bookmarkStart w:id="18" w:name="_Toc368471480"/>
      <w:bookmarkStart w:id="19" w:name="_Toc413223128"/>
      <w:r w:rsidRPr="00D05E54">
        <w:t>Orphan drug designation</w:t>
      </w:r>
      <w:bookmarkEnd w:id="16"/>
      <w:bookmarkEnd w:id="17"/>
      <w:bookmarkEnd w:id="18"/>
      <w:bookmarkEnd w:id="19"/>
    </w:p>
    <w:p w:rsidR="00D05E54" w:rsidRPr="009965A3" w:rsidRDefault="00D05E54" w:rsidP="00737C83">
      <w:r w:rsidRPr="00D05E54">
        <w:t xml:space="preserve">The Delegate of the Secretary designated recombinant human coagulation factor VIII Fe fusion protein as an orphan drug </w:t>
      </w:r>
      <w:r w:rsidRPr="00D05E54">
        <w:rPr>
          <w:i/>
        </w:rPr>
        <w:t>for the control and prevention (including routine prophylaxis) of bleeding episodes in adults and children with haemophilia A</w:t>
      </w:r>
      <w:r w:rsidRPr="00D05E54">
        <w:t xml:space="preserve"> on 23 February 2013.</w:t>
      </w:r>
    </w:p>
    <w:p w:rsidR="00586F98" w:rsidRDefault="00586F98" w:rsidP="00737C83">
      <w:pPr>
        <w:pStyle w:val="Heading2"/>
        <w:rPr>
          <w:lang w:eastAsia="en-AU"/>
        </w:rPr>
      </w:pPr>
      <w:bookmarkStart w:id="20" w:name="_Toc413223129"/>
      <w:r>
        <w:rPr>
          <w:lang w:eastAsia="en-AU"/>
        </w:rPr>
        <w:lastRenderedPageBreak/>
        <w:t>Contents of the clinical dossier</w:t>
      </w:r>
      <w:bookmarkEnd w:id="9"/>
      <w:bookmarkEnd w:id="10"/>
      <w:bookmarkEnd w:id="20"/>
    </w:p>
    <w:p w:rsidR="00586F98" w:rsidRDefault="00586F98" w:rsidP="00737C83">
      <w:pPr>
        <w:pStyle w:val="Heading3"/>
      </w:pPr>
      <w:bookmarkStart w:id="21" w:name="_Toc413223130"/>
      <w:r>
        <w:t xml:space="preserve">Scope of the </w:t>
      </w:r>
      <w:r w:rsidRPr="00737C83">
        <w:t>clinical</w:t>
      </w:r>
      <w:r>
        <w:t xml:space="preserve"> dossier</w:t>
      </w:r>
      <w:bookmarkEnd w:id="21"/>
    </w:p>
    <w:p w:rsidR="007E0627" w:rsidRPr="007E0627" w:rsidRDefault="007E0627" w:rsidP="00737C83">
      <w:r w:rsidRPr="007E0627">
        <w:t>The submission contained the following clinical information:</w:t>
      </w:r>
    </w:p>
    <w:p w:rsidR="007E0627" w:rsidRPr="007E0627" w:rsidRDefault="007E0627" w:rsidP="00737C83">
      <w:r w:rsidRPr="007E0627">
        <w:t>Module 5</w:t>
      </w:r>
    </w:p>
    <w:p w:rsidR="007E0627" w:rsidRPr="007E0627" w:rsidRDefault="007E0627" w:rsidP="00737C83">
      <w:pPr>
        <w:pStyle w:val="ListBullet"/>
      </w:pPr>
      <w:r w:rsidRPr="007E0627">
        <w:t xml:space="preserve">One </w:t>
      </w:r>
      <w:r w:rsidR="003D5A9B">
        <w:t>Phase I/</w:t>
      </w:r>
      <w:proofErr w:type="spellStart"/>
      <w:r w:rsidR="003D5A9B">
        <w:t>IIa</w:t>
      </w:r>
      <w:proofErr w:type="spellEnd"/>
      <w:r w:rsidR="003D5A9B">
        <w:t xml:space="preserve"> </w:t>
      </w:r>
      <w:r w:rsidRPr="007E0627">
        <w:t xml:space="preserve">clinical </w:t>
      </w:r>
      <w:r w:rsidRPr="00737C83">
        <w:t>pharmacology</w:t>
      </w:r>
      <w:r w:rsidRPr="007E0627">
        <w:t xml:space="preserve"> study (9</w:t>
      </w:r>
      <w:r w:rsidR="003D5A9B">
        <w:t>9</w:t>
      </w:r>
      <w:r w:rsidRPr="007E0627">
        <w:t xml:space="preserve">8HA101), a completed </w:t>
      </w:r>
      <w:r w:rsidR="000326AA" w:rsidRPr="000326AA">
        <w:t xml:space="preserve">pharmacokinetic </w:t>
      </w:r>
      <w:r w:rsidR="000326AA">
        <w:t>(</w:t>
      </w:r>
      <w:r w:rsidRPr="007E0627">
        <w:t>PK</w:t>
      </w:r>
      <w:r w:rsidR="000326AA">
        <w:t>)</w:t>
      </w:r>
      <w:r w:rsidRPr="007E0627">
        <w:t xml:space="preserve"> study in previously treated patients</w:t>
      </w:r>
      <w:r w:rsidR="00EF7ABB">
        <w:t>.</w:t>
      </w:r>
    </w:p>
    <w:p w:rsidR="007E0627" w:rsidRPr="007E0627" w:rsidRDefault="007E0627" w:rsidP="00737C83">
      <w:pPr>
        <w:pStyle w:val="ListBullet"/>
      </w:pPr>
      <w:r w:rsidRPr="007E0627">
        <w:t xml:space="preserve">One population </w:t>
      </w:r>
      <w:r w:rsidRPr="00737C83">
        <w:t>pharmacokinetic</w:t>
      </w:r>
      <w:r w:rsidRPr="007E0627">
        <w:t xml:space="preserve"> analysis (CPP-12-026-BIIB031, derived from </w:t>
      </w:r>
      <w:r w:rsidR="00CC0656">
        <w:t>clinical studies 998HA1</w:t>
      </w:r>
      <w:r w:rsidR="003D5A9B">
        <w:t>01 and 997HA301</w:t>
      </w:r>
      <w:r w:rsidRPr="007E0627">
        <w:t>).</w:t>
      </w:r>
    </w:p>
    <w:p w:rsidR="007E0627" w:rsidRPr="007E0627" w:rsidRDefault="007E0627" w:rsidP="00737C83">
      <w:pPr>
        <w:pStyle w:val="ListBullet"/>
      </w:pPr>
      <w:r w:rsidRPr="007E0627">
        <w:t xml:space="preserve">One pivotal </w:t>
      </w:r>
      <w:r w:rsidR="003D5A9B">
        <w:t xml:space="preserve">Phase III </w:t>
      </w:r>
      <w:r w:rsidRPr="007E0627">
        <w:t>efficacy/safety study A-LONG (997HA301), an open-label, uncontrolled, 3 arm study in previously treated adult patients.</w:t>
      </w:r>
    </w:p>
    <w:p w:rsidR="007E0627" w:rsidRPr="007E0627" w:rsidRDefault="007E0627" w:rsidP="00737C83">
      <w:pPr>
        <w:pStyle w:val="ListBullet"/>
      </w:pPr>
      <w:r w:rsidRPr="007E0627">
        <w:t xml:space="preserve">One </w:t>
      </w:r>
      <w:r w:rsidR="003D5A9B">
        <w:t xml:space="preserve">interim progress report of the </w:t>
      </w:r>
      <w:r w:rsidRPr="007E0627">
        <w:t>supportive efficacy/safety study (8HA01EXT), an ongoing study in previously treated adult patients who have completed 997HA301, and paediatric patients who have completed 8HA02PED.</w:t>
      </w:r>
    </w:p>
    <w:p w:rsidR="007E0627" w:rsidRPr="007E0627" w:rsidRDefault="007E0627" w:rsidP="00737C83">
      <w:r w:rsidRPr="007E0627">
        <w:t>Module 1</w:t>
      </w:r>
    </w:p>
    <w:p w:rsidR="007E0627" w:rsidRPr="007E0627" w:rsidRDefault="007E0627" w:rsidP="00737C83">
      <w:pPr>
        <w:pStyle w:val="ListBullet"/>
      </w:pPr>
      <w:r w:rsidRPr="007E0627">
        <w:t xml:space="preserve">Application letter, </w:t>
      </w:r>
      <w:r w:rsidRPr="00737C83">
        <w:t>application</w:t>
      </w:r>
      <w:r w:rsidRPr="007E0627">
        <w:t xml:space="preserve"> form, draft Australian </w:t>
      </w:r>
      <w:r w:rsidR="000D5F67">
        <w:t>product information (</w:t>
      </w:r>
      <w:r w:rsidRPr="007E0627">
        <w:t>PI</w:t>
      </w:r>
      <w:r w:rsidR="000D5F67">
        <w:t>)</w:t>
      </w:r>
      <w:r w:rsidRPr="007E0627">
        <w:t xml:space="preserve"> and </w:t>
      </w:r>
      <w:r w:rsidR="000D5F67">
        <w:t>consumer medicine information (</w:t>
      </w:r>
      <w:r w:rsidRPr="007E0627">
        <w:t>CMI</w:t>
      </w:r>
      <w:r w:rsidR="000D5F67">
        <w:t>)</w:t>
      </w:r>
      <w:r w:rsidRPr="007E0627">
        <w:t>.</w:t>
      </w:r>
    </w:p>
    <w:p w:rsidR="007E0627" w:rsidRPr="007E0627" w:rsidRDefault="007E0627" w:rsidP="00737C83">
      <w:r w:rsidRPr="007E0627">
        <w:t>Module 2</w:t>
      </w:r>
    </w:p>
    <w:p w:rsidR="00586F98" w:rsidRPr="007E0627" w:rsidRDefault="007E0627" w:rsidP="00737C83">
      <w:pPr>
        <w:pStyle w:val="ListBullet"/>
      </w:pPr>
      <w:r w:rsidRPr="007E0627">
        <w:t>Clinical Overview, Summary of Clinical Efficacy, Summary of Clinical Safety</w:t>
      </w:r>
      <w:r w:rsidR="003D5A9B">
        <w:t xml:space="preserve">, Summary of Clinical Pharmacology, Summary of </w:t>
      </w:r>
      <w:proofErr w:type="spellStart"/>
      <w:r w:rsidR="003D5A9B">
        <w:t>Biopharmaceutic</w:t>
      </w:r>
      <w:proofErr w:type="spellEnd"/>
      <w:r w:rsidR="003D5A9B">
        <w:t xml:space="preserve"> and </w:t>
      </w:r>
      <w:proofErr w:type="spellStart"/>
      <w:r w:rsidR="003D5A9B">
        <w:t>Analyitical</w:t>
      </w:r>
      <w:proofErr w:type="spellEnd"/>
      <w:r w:rsidR="003D5A9B">
        <w:t xml:space="preserve"> </w:t>
      </w:r>
      <w:proofErr w:type="spellStart"/>
      <w:r w:rsidR="003D5A9B">
        <w:t>Methods</w:t>
      </w:r>
      <w:r w:rsidRPr="007E0627">
        <w:t>and</w:t>
      </w:r>
      <w:proofErr w:type="spellEnd"/>
      <w:r w:rsidRPr="007E0627">
        <w:t xml:space="preserve"> literature references.</w:t>
      </w:r>
    </w:p>
    <w:p w:rsidR="00586F98" w:rsidRDefault="00586F98" w:rsidP="00737C83">
      <w:pPr>
        <w:pStyle w:val="Heading3"/>
      </w:pPr>
      <w:bookmarkStart w:id="22" w:name="_Toc413223131"/>
      <w:r>
        <w:t>Paediatric data</w:t>
      </w:r>
      <w:bookmarkEnd w:id="22"/>
    </w:p>
    <w:p w:rsidR="003D5A9B" w:rsidRDefault="007E0627" w:rsidP="00737C83">
      <w:r w:rsidRPr="007E0627">
        <w:t>The submission included one efficacy/safety study (8HA02PED), a progress report of an ongoing study in previously treated paediatric patients &lt;</w:t>
      </w:r>
      <w:r w:rsidR="003D5A9B">
        <w:t xml:space="preserve"> </w:t>
      </w:r>
      <w:r w:rsidRPr="007E0627">
        <w:t>12 years with completed patients continuing into 8HA01EXT.</w:t>
      </w:r>
    </w:p>
    <w:p w:rsidR="00586F98" w:rsidRPr="007E0627" w:rsidRDefault="003D5A9B" w:rsidP="00737C83">
      <w:r>
        <w:t>Data from these studies</w:t>
      </w:r>
      <w:r w:rsidR="007E0627" w:rsidRPr="007E0627">
        <w:t xml:space="preserve"> will form the basis of a future submission for use in children.</w:t>
      </w:r>
    </w:p>
    <w:p w:rsidR="00586F98" w:rsidRDefault="00586F98" w:rsidP="00737C83">
      <w:pPr>
        <w:pStyle w:val="Heading3"/>
      </w:pPr>
      <w:bookmarkStart w:id="23" w:name="_Toc413223132"/>
      <w:r>
        <w:t xml:space="preserve">Good clinical </w:t>
      </w:r>
      <w:r w:rsidRPr="00737C83">
        <w:t>practice</w:t>
      </w:r>
      <w:bookmarkEnd w:id="23"/>
    </w:p>
    <w:p w:rsidR="00586F98" w:rsidRPr="007E0627" w:rsidRDefault="007E0627" w:rsidP="00737C83">
      <w:bookmarkStart w:id="24" w:name="_Toc241374282"/>
      <w:r w:rsidRPr="007E0627">
        <w:t xml:space="preserve">All studies were conducted </w:t>
      </w:r>
      <w:r w:rsidR="003D5A9B">
        <w:t>in compliance with</w:t>
      </w:r>
      <w:r w:rsidRPr="007E0627">
        <w:t xml:space="preserve"> the principles of </w:t>
      </w:r>
      <w:r w:rsidR="003D5A9B">
        <w:t>the ICH guidelines on G</w:t>
      </w:r>
      <w:r w:rsidR="00965C48">
        <w:t xml:space="preserve">ood </w:t>
      </w:r>
      <w:r w:rsidR="003D5A9B">
        <w:t>C</w:t>
      </w:r>
      <w:r w:rsidR="00965C48">
        <w:t xml:space="preserve">linical </w:t>
      </w:r>
      <w:r w:rsidR="003D5A9B">
        <w:t>P</w:t>
      </w:r>
      <w:r w:rsidR="00965C48">
        <w:t>ractice (</w:t>
      </w:r>
      <w:r w:rsidRPr="007E0627">
        <w:t>GCP</w:t>
      </w:r>
      <w:r w:rsidR="00965C48">
        <w:t>)</w:t>
      </w:r>
      <w:r w:rsidR="003D5A9B">
        <w:t xml:space="preserve"> and the </w:t>
      </w:r>
      <w:proofErr w:type="spellStart"/>
      <w:r w:rsidR="003D5A9B">
        <w:t>eithical</w:t>
      </w:r>
      <w:proofErr w:type="spellEnd"/>
      <w:r w:rsidR="003D5A9B">
        <w:t xml:space="preserve"> principles outlined in the Declaration of Helsinki</w:t>
      </w:r>
      <w:r w:rsidRPr="007E0627">
        <w:t>.</w:t>
      </w:r>
      <w:bookmarkEnd w:id="24"/>
    </w:p>
    <w:p w:rsidR="00586F98" w:rsidRDefault="00586F98" w:rsidP="00737C83">
      <w:pPr>
        <w:pStyle w:val="Heading2"/>
      </w:pPr>
      <w:bookmarkStart w:id="25" w:name="_Toc355338639"/>
      <w:bookmarkStart w:id="26" w:name="_Toc413223133"/>
      <w:r w:rsidRPr="00737C83">
        <w:t>Pharmacokinetics</w:t>
      </w:r>
      <w:bookmarkEnd w:id="25"/>
      <w:bookmarkEnd w:id="26"/>
    </w:p>
    <w:p w:rsidR="007E0627" w:rsidRPr="007E0627" w:rsidRDefault="007E0627" w:rsidP="00737C83">
      <w:pPr>
        <w:pStyle w:val="Heading3"/>
      </w:pPr>
      <w:bookmarkStart w:id="27" w:name="_Ref271017296"/>
      <w:bookmarkStart w:id="28" w:name="_Ref271018924"/>
      <w:bookmarkStart w:id="29" w:name="_Ref271018934"/>
      <w:bookmarkStart w:id="30" w:name="_Toc272414614"/>
      <w:bookmarkStart w:id="31" w:name="_Toc290846238"/>
      <w:bookmarkStart w:id="32" w:name="_Toc368471489"/>
      <w:bookmarkStart w:id="33" w:name="_Toc413223134"/>
      <w:r w:rsidRPr="007E0627">
        <w:t>Studies</w:t>
      </w:r>
      <w:bookmarkEnd w:id="27"/>
      <w:bookmarkEnd w:id="28"/>
      <w:bookmarkEnd w:id="29"/>
      <w:r w:rsidRPr="007E0627">
        <w:t xml:space="preserve"> providing pharmacokinetic data</w:t>
      </w:r>
      <w:bookmarkEnd w:id="30"/>
      <w:bookmarkEnd w:id="31"/>
      <w:bookmarkEnd w:id="32"/>
      <w:bookmarkEnd w:id="33"/>
    </w:p>
    <w:p w:rsidR="007E0627" w:rsidRPr="007E0627" w:rsidRDefault="007E0627" w:rsidP="00737C83">
      <w:r>
        <w:t xml:space="preserve">Pharmacokinetic </w:t>
      </w:r>
      <w:r w:rsidR="00EF7E0B">
        <w:t>s</w:t>
      </w:r>
      <w:r w:rsidRPr="007E0627">
        <w:t>tud</w:t>
      </w:r>
      <w:r w:rsidR="00EF7E0B">
        <w:t>y</w:t>
      </w:r>
      <w:r w:rsidR="00AE06BC">
        <w:t xml:space="preserve"> 998HA101and </w:t>
      </w:r>
      <w:r w:rsidR="00EF7E0B">
        <w:t xml:space="preserve">the population pharmacokinetic </w:t>
      </w:r>
      <w:proofErr w:type="gramStart"/>
      <w:r w:rsidR="00EF7E0B">
        <w:t xml:space="preserve">report </w:t>
      </w:r>
      <w:r w:rsidR="00AE06BC">
        <w:t xml:space="preserve">CPP12-026-BIIB031 </w:t>
      </w:r>
      <w:r w:rsidR="000D5F67">
        <w:t>were</w:t>
      </w:r>
      <w:proofErr w:type="gramEnd"/>
      <w:r w:rsidRPr="007E0627">
        <w:t xml:space="preserve"> p</w:t>
      </w:r>
      <w:r>
        <w:t>rovided in the dossier</w:t>
      </w:r>
      <w:r w:rsidRPr="007E0627">
        <w:t>. None of the pharmacokinetic studies had deficiencies that excluded their results from consideration.</w:t>
      </w:r>
    </w:p>
    <w:p w:rsidR="007E0627" w:rsidRPr="007E0627" w:rsidRDefault="007E0627" w:rsidP="00737C83">
      <w:pPr>
        <w:pStyle w:val="Heading3"/>
      </w:pPr>
      <w:bookmarkStart w:id="34" w:name="_Ref269118175"/>
      <w:bookmarkStart w:id="35" w:name="_Toc272414616"/>
      <w:bookmarkStart w:id="36" w:name="_Toc290846239"/>
      <w:bookmarkStart w:id="37" w:name="_Toc368471490"/>
      <w:bookmarkStart w:id="38" w:name="_Toc413223135"/>
      <w:r w:rsidRPr="007E0627">
        <w:t xml:space="preserve">Summary of </w:t>
      </w:r>
      <w:r w:rsidRPr="00737C83">
        <w:t>pharmacokinetics</w:t>
      </w:r>
      <w:bookmarkEnd w:id="34"/>
      <w:bookmarkEnd w:id="35"/>
      <w:bookmarkEnd w:id="36"/>
      <w:bookmarkEnd w:id="37"/>
      <w:bookmarkEnd w:id="38"/>
    </w:p>
    <w:p w:rsidR="007E0627" w:rsidRPr="007E0627" w:rsidRDefault="007E0627" w:rsidP="00737C83">
      <w:r w:rsidRPr="007E0627">
        <w:t>The information in the following summary is derived from conventional pharmacokinetic studies unless otherwise stated.</w:t>
      </w:r>
    </w:p>
    <w:p w:rsidR="007E0627" w:rsidRPr="007E0627" w:rsidRDefault="007E0627" w:rsidP="00737C83">
      <w:pPr>
        <w:pStyle w:val="Heading4"/>
      </w:pPr>
      <w:bookmarkStart w:id="39" w:name="_Ref271189106"/>
      <w:bookmarkStart w:id="40" w:name="_Ref271189143"/>
      <w:bookmarkStart w:id="41" w:name="_Toc272414618"/>
      <w:bookmarkStart w:id="42" w:name="_Toc290846241"/>
      <w:bookmarkStart w:id="43" w:name="_Toc368471492"/>
      <w:r w:rsidRPr="007E0627">
        <w:lastRenderedPageBreak/>
        <w:t>Pharmacokinetics in healthy subjects</w:t>
      </w:r>
      <w:bookmarkEnd w:id="39"/>
      <w:bookmarkEnd w:id="40"/>
      <w:bookmarkEnd w:id="41"/>
      <w:bookmarkEnd w:id="42"/>
      <w:bookmarkEnd w:id="43"/>
    </w:p>
    <w:p w:rsidR="007E0627" w:rsidRPr="007E0627" w:rsidRDefault="007E0627" w:rsidP="00737C83">
      <w:r w:rsidRPr="007E0627">
        <w:t>No studies performed.</w:t>
      </w:r>
    </w:p>
    <w:p w:rsidR="007E0627" w:rsidRPr="007E0627" w:rsidRDefault="007E0627" w:rsidP="00737C83">
      <w:pPr>
        <w:pStyle w:val="Heading4"/>
      </w:pPr>
      <w:bookmarkStart w:id="44" w:name="_Toc241374292"/>
      <w:bookmarkStart w:id="45" w:name="_Ref271189131"/>
      <w:bookmarkStart w:id="46" w:name="_Ref271189136"/>
      <w:bookmarkStart w:id="47" w:name="_Toc272414625"/>
      <w:bookmarkStart w:id="48" w:name="_Toc290846248"/>
      <w:bookmarkStart w:id="49" w:name="_Toc368471493"/>
      <w:r w:rsidRPr="007E0627">
        <w:t>Pharmacokinetics in the target population</w:t>
      </w:r>
      <w:bookmarkEnd w:id="44"/>
      <w:bookmarkEnd w:id="45"/>
      <w:bookmarkEnd w:id="46"/>
      <w:bookmarkEnd w:id="47"/>
      <w:bookmarkEnd w:id="48"/>
      <w:bookmarkEnd w:id="49"/>
    </w:p>
    <w:p w:rsidR="007E0627" w:rsidRPr="007E0627" w:rsidRDefault="007E0627" w:rsidP="00737C83">
      <w:r w:rsidRPr="007E0627">
        <w:t xml:space="preserve">PK study 998-HA-101 and the population PK analysis CPP-12-026-BIIB031 </w:t>
      </w:r>
      <w:r w:rsidR="00005950">
        <w:t>were provided in the dossier</w:t>
      </w:r>
      <w:r w:rsidRPr="007E0627">
        <w:t>.</w:t>
      </w:r>
    </w:p>
    <w:p w:rsidR="007E0627" w:rsidRPr="007E0627" w:rsidRDefault="007E0627" w:rsidP="000069BF">
      <w:pPr>
        <w:pStyle w:val="Heading4"/>
      </w:pPr>
      <w:bookmarkStart w:id="50" w:name="_Toc241374293"/>
      <w:bookmarkStart w:id="51" w:name="_Toc272414626"/>
      <w:bookmarkStart w:id="52" w:name="_Toc290846249"/>
      <w:bookmarkStart w:id="53" w:name="_Toc368471494"/>
      <w:r w:rsidRPr="007E0627">
        <w:t>Pharmacokinetics in other special populations</w:t>
      </w:r>
      <w:bookmarkEnd w:id="50"/>
      <w:bookmarkEnd w:id="51"/>
      <w:bookmarkEnd w:id="52"/>
      <w:bookmarkEnd w:id="53"/>
    </w:p>
    <w:p w:rsidR="007E0627" w:rsidRPr="007E0627" w:rsidRDefault="007E0627" w:rsidP="000069BF">
      <w:pPr>
        <w:pStyle w:val="Heading5"/>
      </w:pPr>
      <w:bookmarkStart w:id="54" w:name="_Toc272414627"/>
      <w:bookmarkStart w:id="55" w:name="_Toc290846250"/>
      <w:bookmarkStart w:id="56" w:name="_Toc368471495"/>
      <w:r w:rsidRPr="007E0627">
        <w:t>Pharmacokinetics in subjects with impaired hepatic function</w:t>
      </w:r>
      <w:bookmarkEnd w:id="54"/>
      <w:bookmarkEnd w:id="55"/>
      <w:bookmarkEnd w:id="56"/>
    </w:p>
    <w:p w:rsidR="007E0627" w:rsidRPr="007E0627" w:rsidRDefault="007E0627" w:rsidP="000069BF">
      <w:r w:rsidRPr="007E0627">
        <w:t>No studies have been performed.</w:t>
      </w:r>
    </w:p>
    <w:p w:rsidR="007E0627" w:rsidRPr="007E0627" w:rsidRDefault="007E0627" w:rsidP="000069BF">
      <w:pPr>
        <w:pStyle w:val="Heading5"/>
      </w:pPr>
      <w:bookmarkStart w:id="57" w:name="_Toc272414628"/>
      <w:bookmarkStart w:id="58" w:name="_Toc290846251"/>
      <w:bookmarkStart w:id="59" w:name="_Toc368471496"/>
      <w:r w:rsidRPr="007E0627">
        <w:t>Pharmacokinetics in subjects with impaired renal function</w:t>
      </w:r>
      <w:bookmarkEnd w:id="57"/>
      <w:bookmarkEnd w:id="58"/>
      <w:bookmarkEnd w:id="59"/>
    </w:p>
    <w:p w:rsidR="007E0627" w:rsidRPr="007E0627" w:rsidRDefault="007E0627" w:rsidP="000069BF">
      <w:r w:rsidRPr="007E0627">
        <w:t>No studies have been performed.</w:t>
      </w:r>
    </w:p>
    <w:p w:rsidR="007E0627" w:rsidRPr="007E0627" w:rsidRDefault="007E0627" w:rsidP="000069BF">
      <w:pPr>
        <w:pStyle w:val="Heading5"/>
      </w:pPr>
      <w:bookmarkStart w:id="60" w:name="_Toc272414629"/>
      <w:bookmarkStart w:id="61" w:name="_Toc290846252"/>
      <w:bookmarkStart w:id="62" w:name="_Toc368471497"/>
      <w:r w:rsidRPr="007E0627">
        <w:t>Pharmacokinetics according to age</w:t>
      </w:r>
      <w:bookmarkEnd w:id="60"/>
      <w:bookmarkEnd w:id="61"/>
      <w:bookmarkEnd w:id="62"/>
    </w:p>
    <w:p w:rsidR="007E0627" w:rsidRPr="007E0627" w:rsidRDefault="007E0627" w:rsidP="000069BF">
      <w:r w:rsidRPr="007E0627">
        <w:t>No studies have been performed.</w:t>
      </w:r>
    </w:p>
    <w:p w:rsidR="007E0627" w:rsidRPr="007E0627" w:rsidRDefault="007E0627" w:rsidP="000069BF">
      <w:pPr>
        <w:pStyle w:val="Heading5"/>
      </w:pPr>
      <w:bookmarkStart w:id="63" w:name="_Toc272414630"/>
      <w:bookmarkStart w:id="64" w:name="_Toc290846253"/>
      <w:bookmarkStart w:id="65" w:name="_Toc368471498"/>
      <w:r w:rsidRPr="007E0627">
        <w:t>Pharmacokinetics related to genetic factors</w:t>
      </w:r>
      <w:bookmarkEnd w:id="63"/>
      <w:bookmarkEnd w:id="64"/>
      <w:bookmarkEnd w:id="65"/>
    </w:p>
    <w:p w:rsidR="007E0627" w:rsidRPr="007E0627" w:rsidRDefault="007E0627" w:rsidP="000069BF">
      <w:r w:rsidRPr="007E0627">
        <w:t>No studies have been performed.</w:t>
      </w:r>
    </w:p>
    <w:p w:rsidR="007E0627" w:rsidRPr="007E0627" w:rsidRDefault="007E0627" w:rsidP="000069BF">
      <w:pPr>
        <w:pStyle w:val="Heading5"/>
      </w:pPr>
      <w:bookmarkStart w:id="66" w:name="_Toc272414631"/>
      <w:bookmarkStart w:id="67" w:name="_Toc290846254"/>
      <w:bookmarkStart w:id="68" w:name="_Toc368471499"/>
      <w:r w:rsidRPr="007E0627">
        <w:t>Pharmacokinetics in other special populations</w:t>
      </w:r>
      <w:bookmarkEnd w:id="66"/>
      <w:bookmarkEnd w:id="67"/>
      <w:bookmarkEnd w:id="68"/>
    </w:p>
    <w:p w:rsidR="007E0627" w:rsidRPr="007E0627" w:rsidRDefault="007E0627" w:rsidP="000069BF">
      <w:r w:rsidRPr="007E0627">
        <w:t>No studies have been performed.</w:t>
      </w:r>
    </w:p>
    <w:p w:rsidR="007E0627" w:rsidRPr="007E0627" w:rsidRDefault="007E0627" w:rsidP="000069BF">
      <w:pPr>
        <w:pStyle w:val="Heading4"/>
      </w:pPr>
      <w:bookmarkStart w:id="69" w:name="_Toc241374294"/>
      <w:bookmarkStart w:id="70" w:name="_Toc272414632"/>
      <w:bookmarkStart w:id="71" w:name="_Toc290846255"/>
      <w:bookmarkStart w:id="72" w:name="_Toc368471500"/>
      <w:r w:rsidRPr="007E0627">
        <w:t>Pharmacokinetic interactions</w:t>
      </w:r>
      <w:bookmarkEnd w:id="69"/>
      <w:bookmarkEnd w:id="70"/>
      <w:bookmarkEnd w:id="71"/>
      <w:bookmarkEnd w:id="72"/>
    </w:p>
    <w:p w:rsidR="007E0627" w:rsidRPr="007E0627" w:rsidRDefault="007E0627" w:rsidP="000069BF">
      <w:pPr>
        <w:pStyle w:val="Heading5"/>
      </w:pPr>
      <w:bookmarkStart w:id="73" w:name="_Toc272414633"/>
      <w:bookmarkStart w:id="74" w:name="_Toc290846256"/>
      <w:bookmarkStart w:id="75" w:name="_Toc368471501"/>
      <w:r w:rsidRPr="007E0627">
        <w:t>Pharmacokinetic interactions demonstrated in human studies</w:t>
      </w:r>
      <w:bookmarkEnd w:id="73"/>
      <w:bookmarkEnd w:id="74"/>
      <w:bookmarkEnd w:id="75"/>
    </w:p>
    <w:p w:rsidR="007E0627" w:rsidRPr="007E0627" w:rsidRDefault="007E0627" w:rsidP="000069BF">
      <w:r w:rsidRPr="007E0627">
        <w:t>No studies have been performed.</w:t>
      </w:r>
    </w:p>
    <w:p w:rsidR="007E0627" w:rsidRPr="007E0627" w:rsidRDefault="007E0627" w:rsidP="000069BF">
      <w:pPr>
        <w:pStyle w:val="Heading5"/>
      </w:pPr>
      <w:bookmarkStart w:id="76" w:name="_Toc272414634"/>
      <w:bookmarkStart w:id="77" w:name="_Toc290846257"/>
      <w:bookmarkStart w:id="78" w:name="_Toc368471502"/>
      <w:r w:rsidRPr="007E0627">
        <w:t>Clinical implications of in vitro findings</w:t>
      </w:r>
      <w:bookmarkEnd w:id="76"/>
      <w:bookmarkEnd w:id="77"/>
      <w:bookmarkEnd w:id="78"/>
    </w:p>
    <w:p w:rsidR="007E0627" w:rsidRPr="007E0627" w:rsidRDefault="007E0627" w:rsidP="000069BF">
      <w:r w:rsidRPr="007E0627">
        <w:t>There are no clinical implications of in vitro studies.</w:t>
      </w:r>
    </w:p>
    <w:p w:rsidR="007E0627" w:rsidRPr="007E0627" w:rsidRDefault="007E0627" w:rsidP="000C7CA3">
      <w:pPr>
        <w:pStyle w:val="Heading3"/>
      </w:pPr>
      <w:bookmarkStart w:id="79" w:name="_Toc241374296"/>
      <w:bookmarkStart w:id="80" w:name="_Ref269982040"/>
      <w:bookmarkStart w:id="81" w:name="_Ref271018704"/>
      <w:bookmarkStart w:id="82" w:name="_Ref271018755"/>
      <w:bookmarkStart w:id="83" w:name="_Toc272414635"/>
      <w:bookmarkStart w:id="84" w:name="_Toc290846258"/>
      <w:bookmarkStart w:id="85" w:name="_Toc368471503"/>
      <w:bookmarkStart w:id="86" w:name="_Toc413223136"/>
      <w:r w:rsidRPr="007E0627">
        <w:t xml:space="preserve">Evaluator’s overall </w:t>
      </w:r>
      <w:r w:rsidRPr="000C7CA3">
        <w:t>conclusions</w:t>
      </w:r>
      <w:r w:rsidRPr="007E0627">
        <w:t xml:space="preserve"> on pharmacokinetics</w:t>
      </w:r>
      <w:bookmarkEnd w:id="79"/>
      <w:bookmarkEnd w:id="80"/>
      <w:bookmarkEnd w:id="81"/>
      <w:bookmarkEnd w:id="82"/>
      <w:bookmarkEnd w:id="83"/>
      <w:bookmarkEnd w:id="84"/>
      <w:bookmarkEnd w:id="85"/>
      <w:bookmarkEnd w:id="86"/>
    </w:p>
    <w:p w:rsidR="007E0627" w:rsidRPr="007E0627" w:rsidRDefault="007E0627" w:rsidP="007A6A06">
      <w:r w:rsidRPr="007E0627">
        <w:t xml:space="preserve">The activity-time profiles of </w:t>
      </w:r>
      <w:r w:rsidR="004F3FBC" w:rsidRPr="004F3FBC">
        <w:t>recombinant coagulation factor VIII</w:t>
      </w:r>
      <w:r w:rsidR="00AE06BC">
        <w:t xml:space="preserve"> </w:t>
      </w:r>
      <w:r w:rsidR="004F3FBC" w:rsidRPr="004F3FBC">
        <w:t xml:space="preserve">Fc fusion protein </w:t>
      </w:r>
      <w:r w:rsidR="004F3FBC">
        <w:t>(</w:t>
      </w:r>
      <w:proofErr w:type="spellStart"/>
      <w:r w:rsidRPr="007E0627">
        <w:t>rFVIIIFc</w:t>
      </w:r>
      <w:proofErr w:type="spellEnd"/>
      <w:r w:rsidR="004F3FBC">
        <w:t>)</w:t>
      </w:r>
      <w:r w:rsidRPr="007E0627">
        <w:t xml:space="preserve"> have been evaluated and compared with </w:t>
      </w:r>
      <w:proofErr w:type="spellStart"/>
      <w:r w:rsidRPr="007E0627">
        <w:t>Advate</w:t>
      </w:r>
      <w:proofErr w:type="spellEnd"/>
      <w:r w:rsidRPr="007E0627">
        <w:t xml:space="preserve"> in a Phase </w:t>
      </w:r>
      <w:r w:rsidR="00AE06BC">
        <w:t>I</w:t>
      </w:r>
      <w:r w:rsidRPr="007E0627">
        <w:t>/</w:t>
      </w:r>
      <w:proofErr w:type="spellStart"/>
      <w:r w:rsidR="00AE06BC">
        <w:t>II</w:t>
      </w:r>
      <w:r w:rsidRPr="007E0627">
        <w:t>a</w:t>
      </w:r>
      <w:proofErr w:type="spellEnd"/>
      <w:r w:rsidRPr="007E0627">
        <w:t xml:space="preserve"> PK study in 16 patients with haemophilia A. The study used FVIII activity as a surrogate endpoint as recommended by the EMA and </w:t>
      </w:r>
      <w:r w:rsidR="005908A8" w:rsidRPr="005908A8">
        <w:t xml:space="preserve">the International Society on Thrombosis and Haemostasis </w:t>
      </w:r>
      <w:r w:rsidR="005908A8">
        <w:t>(</w:t>
      </w:r>
      <w:r w:rsidRPr="007E0627">
        <w:t>ISTH</w:t>
      </w:r>
      <w:r w:rsidR="005908A8">
        <w:t>)</w:t>
      </w:r>
      <w:r w:rsidRPr="007E0627">
        <w:t xml:space="preserve"> to estimate </w:t>
      </w:r>
      <w:r w:rsidR="005D169B" w:rsidRPr="005D169B">
        <w:t xml:space="preserve">area under the curve </w:t>
      </w:r>
      <w:r w:rsidR="005D169B">
        <w:t>(</w:t>
      </w:r>
      <w:r w:rsidRPr="007E0627">
        <w:t>AUC</w:t>
      </w:r>
      <w:r w:rsidR="005D169B">
        <w:t>)</w:t>
      </w:r>
      <w:r w:rsidRPr="007E0627">
        <w:t xml:space="preserve">, half-life, </w:t>
      </w:r>
      <w:r w:rsidR="00550F44" w:rsidRPr="00550F44">
        <w:t xml:space="preserve">mean residence time </w:t>
      </w:r>
      <w:r w:rsidR="00550F44">
        <w:t>(</w:t>
      </w:r>
      <w:r w:rsidRPr="007E0627">
        <w:t>MRT</w:t>
      </w:r>
      <w:r w:rsidR="00550F44">
        <w:t xml:space="preserve">) and clearance. </w:t>
      </w:r>
      <w:proofErr w:type="spellStart"/>
      <w:proofErr w:type="gramStart"/>
      <w:r w:rsidRPr="007E0627">
        <w:t>rFVIIIFc</w:t>
      </w:r>
      <w:proofErr w:type="spellEnd"/>
      <w:proofErr w:type="gramEnd"/>
      <w:r w:rsidRPr="007E0627">
        <w:t xml:space="preserve"> had a superior PK profile compared with </w:t>
      </w:r>
      <w:proofErr w:type="spellStart"/>
      <w:r w:rsidRPr="007E0627">
        <w:t>Advate</w:t>
      </w:r>
      <w:proofErr w:type="spellEnd"/>
      <w:r w:rsidRPr="007E0627">
        <w:t xml:space="preserve"> with approximate increases in half-life and MRT of 53% for the 25 </w:t>
      </w:r>
      <w:r w:rsidR="005908A8" w:rsidRPr="005908A8">
        <w:t xml:space="preserve">international unit </w:t>
      </w:r>
      <w:r w:rsidR="005908A8">
        <w:t>(</w:t>
      </w:r>
      <w:r w:rsidRPr="007E0627">
        <w:t>IU</w:t>
      </w:r>
      <w:r w:rsidR="005908A8">
        <w:t>)</w:t>
      </w:r>
      <w:r w:rsidRPr="007E0627">
        <w:t xml:space="preserve">/kg dose and 76% for the 65 IU/kg dose. The prolongation of activity </w:t>
      </w:r>
      <w:r w:rsidRPr="00A778A1">
        <w:t xml:space="preserve">was due to a 36% reduction in the clearance of </w:t>
      </w:r>
      <w:proofErr w:type="spellStart"/>
      <w:r w:rsidRPr="00A778A1">
        <w:t>rFVIIIFc</w:t>
      </w:r>
      <w:proofErr w:type="spellEnd"/>
      <w:r w:rsidRPr="00A778A1">
        <w:t xml:space="preserve"> compared to </w:t>
      </w:r>
      <w:proofErr w:type="spellStart"/>
      <w:r w:rsidRPr="00A778A1">
        <w:t>Advate</w:t>
      </w:r>
      <w:proofErr w:type="spellEnd"/>
      <w:r w:rsidRPr="007E0627">
        <w:t>. The primary PK profile was based on the one-stage clotting assay and confirmed by similar results using the chromogenic assay. The compartmental and non-compartmental analyses were complemented by the population PK analysis which confirmed the long-term stability of the PK parameters. The population PK models adequately described the act</w:t>
      </w:r>
      <w:r w:rsidR="00AE06BC">
        <w:t>ivity data in the PK and Phase III</w:t>
      </w:r>
      <w:r w:rsidRPr="007E0627">
        <w:t xml:space="preserve"> studies. The major covariate for </w:t>
      </w:r>
      <w:proofErr w:type="spellStart"/>
      <w:r w:rsidRPr="007E0627">
        <w:t>rFVIIIFc</w:t>
      </w:r>
      <w:proofErr w:type="spellEnd"/>
      <w:r w:rsidRPr="007E0627">
        <w:t xml:space="preserve"> activity was clearance and there was no </w:t>
      </w:r>
      <w:r w:rsidR="00EF7E0B">
        <w:t xml:space="preserve">clinically </w:t>
      </w:r>
      <w:r w:rsidRPr="007E0627">
        <w:t>meaningful influence related to body weight, haematocrit or age.</w:t>
      </w:r>
    </w:p>
    <w:p w:rsidR="00586F98" w:rsidRPr="007E0627" w:rsidRDefault="007E0627" w:rsidP="007A6A06">
      <w:r w:rsidRPr="007E0627">
        <w:t xml:space="preserve">The PK and </w:t>
      </w:r>
      <w:r w:rsidR="00EF7E0B">
        <w:t xml:space="preserve">the pivotal </w:t>
      </w:r>
      <w:r w:rsidRPr="007E0627">
        <w:t>studies were well conducted and complied with TGA and EMA guidelines. The combined data have been used to develop useful dosing recommendations for clinicians</w:t>
      </w:r>
      <w:r w:rsidR="00005950">
        <w:t>.</w:t>
      </w:r>
    </w:p>
    <w:p w:rsidR="00586F98" w:rsidRDefault="00586F98" w:rsidP="007A6A06">
      <w:pPr>
        <w:pStyle w:val="Heading2"/>
      </w:pPr>
      <w:bookmarkStart w:id="87" w:name="_Toc413223137"/>
      <w:r>
        <w:lastRenderedPageBreak/>
        <w:t>Pharmacodynamics</w:t>
      </w:r>
      <w:bookmarkEnd w:id="87"/>
    </w:p>
    <w:p w:rsidR="00005950" w:rsidRPr="00005950" w:rsidRDefault="00005950" w:rsidP="007A6A06">
      <w:pPr>
        <w:pStyle w:val="Heading3"/>
      </w:pPr>
      <w:bookmarkStart w:id="88" w:name="_Toc272414637"/>
      <w:bookmarkStart w:id="89" w:name="_Toc290846260"/>
      <w:bookmarkStart w:id="90" w:name="_Toc368471505"/>
      <w:bookmarkStart w:id="91" w:name="_Toc413223138"/>
      <w:r w:rsidRPr="00005950">
        <w:t xml:space="preserve">Studies providing </w:t>
      </w:r>
      <w:r w:rsidR="00393891" w:rsidRPr="007A6A06">
        <w:t>pharmacodynamic</w:t>
      </w:r>
      <w:r w:rsidRPr="00005950">
        <w:t xml:space="preserve"> data</w:t>
      </w:r>
      <w:bookmarkEnd w:id="88"/>
      <w:bookmarkEnd w:id="89"/>
      <w:bookmarkEnd w:id="90"/>
      <w:bookmarkEnd w:id="91"/>
    </w:p>
    <w:p w:rsidR="00005950" w:rsidRPr="00005950" w:rsidRDefault="00005950" w:rsidP="007A6A06">
      <w:r w:rsidRPr="00005950">
        <w:t>None submitted.</w:t>
      </w:r>
    </w:p>
    <w:p w:rsidR="00586F98" w:rsidRDefault="00C22678" w:rsidP="007A6A06">
      <w:pPr>
        <w:pStyle w:val="Heading2"/>
      </w:pPr>
      <w:bookmarkStart w:id="92" w:name="_Toc413223139"/>
      <w:r>
        <w:t xml:space="preserve">Dosage selection </w:t>
      </w:r>
      <w:r w:rsidRPr="007A6A06">
        <w:t>for</w:t>
      </w:r>
      <w:r>
        <w:t xml:space="preserve"> the pivotal stud</w:t>
      </w:r>
      <w:r w:rsidR="00EF7E0B">
        <w:t>y</w:t>
      </w:r>
      <w:bookmarkEnd w:id="92"/>
    </w:p>
    <w:p w:rsidR="00C22678" w:rsidRPr="00005950" w:rsidRDefault="00005950" w:rsidP="007A6A06">
      <w:r w:rsidRPr="00005950">
        <w:t>Doses of 25 IU/kg and 65 IU/kg we</w:t>
      </w:r>
      <w:r w:rsidR="00AE06BC">
        <w:t>re well tolerated in the Phase I/</w:t>
      </w:r>
      <w:proofErr w:type="spellStart"/>
      <w:r w:rsidR="00AE06BC">
        <w:t>II</w:t>
      </w:r>
      <w:r w:rsidRPr="00005950">
        <w:t>a</w:t>
      </w:r>
      <w:proofErr w:type="spellEnd"/>
      <w:r w:rsidRPr="00005950">
        <w:t xml:space="preserve"> study 998HA101. Based on the PK data it was estimated that 88% of patients would sustain FVIII trough levels &gt;</w:t>
      </w:r>
      <w:r w:rsidR="00AB10FB">
        <w:t xml:space="preserve"> </w:t>
      </w:r>
      <w:r w:rsidRPr="00005950">
        <w:t>1% 3 days after a 25 IU/kg dose and that 83% of patients would sustain trough levels &gt;</w:t>
      </w:r>
      <w:r w:rsidR="00AB10FB">
        <w:t xml:space="preserve"> </w:t>
      </w:r>
      <w:r w:rsidRPr="00005950">
        <w:t>1% 4 days after a 50 IU/kg dose. Based on these assumptions, the starting dose for Arm 1 of the pivotal study was a twice-weekly regimen with 25 IU/kg on the first day followed by 50 IU/kg on the fourth day. Data from 998HA101 were also used to generate dose adjustment algorithms for individualised prophylaxis regimens.</w:t>
      </w:r>
    </w:p>
    <w:p w:rsidR="00C22678" w:rsidRDefault="00C22678" w:rsidP="007A6A06">
      <w:pPr>
        <w:pStyle w:val="Heading2"/>
      </w:pPr>
      <w:bookmarkStart w:id="93" w:name="_Toc413223140"/>
      <w:r>
        <w:t>Clinical efficacy</w:t>
      </w:r>
      <w:bookmarkEnd w:id="93"/>
    </w:p>
    <w:p w:rsidR="00005950" w:rsidRPr="00005950" w:rsidRDefault="00005950" w:rsidP="007A6A06">
      <w:pPr>
        <w:pStyle w:val="Heading3"/>
      </w:pPr>
      <w:bookmarkStart w:id="94" w:name="_Toc368471508"/>
      <w:bookmarkStart w:id="95" w:name="_Toc413223141"/>
      <w:r w:rsidRPr="00005950">
        <w:t xml:space="preserve">For control of bleeding </w:t>
      </w:r>
      <w:r w:rsidRPr="007A6A06">
        <w:t>episodes</w:t>
      </w:r>
      <w:r w:rsidRPr="00005950">
        <w:t>, routine prophylaxis to prevent the frequency of bleeding episodes, and perioperative management (surgical prophylaxis)</w:t>
      </w:r>
      <w:bookmarkEnd w:id="94"/>
      <w:bookmarkEnd w:id="95"/>
    </w:p>
    <w:p w:rsidR="00005950" w:rsidRPr="00005950" w:rsidRDefault="00005950" w:rsidP="007A6A06">
      <w:pPr>
        <w:pStyle w:val="Heading4"/>
      </w:pPr>
      <w:bookmarkStart w:id="96" w:name="_Ref271037274"/>
      <w:bookmarkStart w:id="97" w:name="_Toc272414652"/>
      <w:bookmarkStart w:id="98" w:name="_Toc290846274"/>
      <w:bookmarkStart w:id="99" w:name="_Toc368471509"/>
      <w:r w:rsidRPr="00005950">
        <w:t xml:space="preserve">Pivotal </w:t>
      </w:r>
      <w:r w:rsidRPr="007A6A06">
        <w:t>efficacy</w:t>
      </w:r>
      <w:r w:rsidRPr="00005950">
        <w:t xml:space="preserve"> studies</w:t>
      </w:r>
      <w:bookmarkEnd w:id="96"/>
      <w:bookmarkEnd w:id="97"/>
      <w:bookmarkEnd w:id="98"/>
      <w:bookmarkEnd w:id="99"/>
    </w:p>
    <w:p w:rsidR="00005950" w:rsidRPr="00005950" w:rsidRDefault="00005950" w:rsidP="007A6A06">
      <w:pPr>
        <w:pStyle w:val="Heading5"/>
      </w:pPr>
      <w:bookmarkStart w:id="100" w:name="_Ref243301615"/>
      <w:bookmarkStart w:id="101" w:name="_Ref271040927"/>
      <w:bookmarkStart w:id="102" w:name="_Ref271040932"/>
      <w:bookmarkStart w:id="103" w:name="_Toc272414653"/>
      <w:bookmarkStart w:id="104" w:name="_Toc290846275"/>
      <w:bookmarkStart w:id="105" w:name="_Toc368471510"/>
      <w:r w:rsidRPr="00005950">
        <w:t xml:space="preserve">Study </w:t>
      </w:r>
      <w:r w:rsidRPr="007A6A06">
        <w:t>997HA301</w:t>
      </w:r>
      <w:r w:rsidRPr="00005950">
        <w:t xml:space="preserve"> (A-L</w:t>
      </w:r>
      <w:bookmarkEnd w:id="100"/>
      <w:bookmarkEnd w:id="101"/>
      <w:bookmarkEnd w:id="102"/>
      <w:bookmarkEnd w:id="103"/>
      <w:bookmarkEnd w:id="104"/>
      <w:r w:rsidRPr="00005950">
        <w:t>ONG)</w:t>
      </w:r>
      <w:bookmarkEnd w:id="105"/>
    </w:p>
    <w:p w:rsidR="00005950" w:rsidRPr="00005950" w:rsidRDefault="00005950" w:rsidP="007A6A06">
      <w:pPr>
        <w:pStyle w:val="Heading6"/>
      </w:pPr>
      <w:r w:rsidRPr="00005950">
        <w:t xml:space="preserve">Study </w:t>
      </w:r>
      <w:r w:rsidRPr="007A6A06">
        <w:t>design</w:t>
      </w:r>
      <w:r w:rsidRPr="00005950">
        <w:t>, objectives, locations and dates</w:t>
      </w:r>
    </w:p>
    <w:p w:rsidR="00005950" w:rsidRPr="00005950" w:rsidRDefault="00AE06BC" w:rsidP="007A6A06">
      <w:r>
        <w:t xml:space="preserve">This was an open </w:t>
      </w:r>
      <w:r w:rsidR="00005950" w:rsidRPr="00005950">
        <w:t xml:space="preserve">label, multicentre evaluation of the safety, efficacy and PK of </w:t>
      </w:r>
      <w:proofErr w:type="spellStart"/>
      <w:r w:rsidR="00005950" w:rsidRPr="00005950">
        <w:t>rFVIIIFc</w:t>
      </w:r>
      <w:proofErr w:type="spellEnd"/>
      <w:r w:rsidR="00005950" w:rsidRPr="00005950">
        <w:t xml:space="preserve"> in the prevention and treatment of bleeding in previously treated patients with severe haemophilia A. The design complies with EMA guidelines.</w:t>
      </w:r>
    </w:p>
    <w:p w:rsidR="00005950" w:rsidRPr="00005950" w:rsidRDefault="00005950" w:rsidP="007A6A06">
      <w:r w:rsidRPr="00005950">
        <w:t xml:space="preserve">The objectives of the study were to compare the efficacy and safety of </w:t>
      </w:r>
      <w:proofErr w:type="spellStart"/>
      <w:r w:rsidRPr="00005950">
        <w:t>rFVIIIFc</w:t>
      </w:r>
      <w:proofErr w:type="spellEnd"/>
      <w:r w:rsidRPr="00005950">
        <w:t xml:space="preserve"> given in various treatment regimens as prophylaxis and on-demand during surgical treatment. The other main objective was to compare the PK profiles of </w:t>
      </w:r>
      <w:proofErr w:type="spellStart"/>
      <w:r w:rsidRPr="00005950">
        <w:t>rFVIIIFc</w:t>
      </w:r>
      <w:proofErr w:type="spellEnd"/>
      <w:r w:rsidRPr="00005950">
        <w:t xml:space="preserve"> and </w:t>
      </w:r>
      <w:proofErr w:type="spellStart"/>
      <w:r w:rsidRPr="00005950">
        <w:t>Advate</w:t>
      </w:r>
      <w:proofErr w:type="spellEnd"/>
      <w:r w:rsidRPr="00005950">
        <w:t xml:space="preserve">, the current standard treatment for haemophilia A. The study population was males aged </w:t>
      </w:r>
      <w:r w:rsidR="00AB10FB">
        <w:t xml:space="preserve">≥ </w:t>
      </w:r>
      <w:r w:rsidRPr="00005950">
        <w:t xml:space="preserve">12 years with severe haemophilia </w:t>
      </w:r>
      <w:proofErr w:type="gramStart"/>
      <w:r w:rsidRPr="00005950">
        <w:t>A</w:t>
      </w:r>
      <w:proofErr w:type="gramEnd"/>
      <w:r w:rsidRPr="00005950">
        <w:t xml:space="preserve"> defined as </w:t>
      </w:r>
      <w:r w:rsidR="00AB10FB">
        <w:t xml:space="preserve">&lt; </w:t>
      </w:r>
      <w:r w:rsidRPr="00005950">
        <w:t>1 IU/</w:t>
      </w:r>
      <w:proofErr w:type="spellStart"/>
      <w:r w:rsidRPr="00005950">
        <w:t>dL</w:t>
      </w:r>
      <w:proofErr w:type="spellEnd"/>
      <w:r w:rsidRPr="00005950">
        <w:t xml:space="preserve"> endogenous FVIII and who had at least 150 days of previous exposure to any FVIII product. The study schema is shown below in Figure </w:t>
      </w:r>
      <w:r w:rsidR="00051359">
        <w:t>1</w:t>
      </w:r>
      <w:r w:rsidRPr="00005950">
        <w:t>.</w:t>
      </w:r>
    </w:p>
    <w:p w:rsidR="00005950" w:rsidRPr="00005950" w:rsidRDefault="00005950" w:rsidP="007A6A06">
      <w:pPr>
        <w:pStyle w:val="FigureTitle"/>
      </w:pPr>
      <w:bookmarkStart w:id="106" w:name="_Toc368471591"/>
      <w:r w:rsidRPr="00005950">
        <w:lastRenderedPageBreak/>
        <w:t xml:space="preserve">Figure </w:t>
      </w:r>
      <w:bookmarkEnd w:id="106"/>
      <w:r w:rsidR="00051359">
        <w:t>1:</w:t>
      </w:r>
      <w:r w:rsidR="00051359" w:rsidRPr="00051359">
        <w:t xml:space="preserve"> </w:t>
      </w:r>
      <w:r w:rsidRPr="00051359">
        <w:t>Study 997HA301 (A-</w:t>
      </w:r>
      <w:r w:rsidRPr="007A6A06">
        <w:t>LONG</w:t>
      </w:r>
      <w:r w:rsidRPr="00051359">
        <w:t>)</w:t>
      </w:r>
      <w:r w:rsidR="00051359">
        <w:t xml:space="preserve"> schema.</w:t>
      </w:r>
    </w:p>
    <w:p w:rsidR="00005950" w:rsidRPr="00005950" w:rsidRDefault="00005950" w:rsidP="007A6A06">
      <w:r w:rsidRPr="00005950">
        <w:rPr>
          <w:noProof/>
          <w:lang w:eastAsia="en-AU"/>
        </w:rPr>
        <w:drawing>
          <wp:inline distT="0" distB="0" distL="0" distR="0" wp14:anchorId="1D4A49DA" wp14:editId="45FFFD72">
            <wp:extent cx="5929630" cy="2238375"/>
            <wp:effectExtent l="0" t="0" r="0" b="0"/>
            <wp:docPr id="5" name="Picture 5" descr="Figure 1: Study 997-HA-301 (A-LONG)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9630" cy="2238375"/>
                    </a:xfrm>
                    <a:prstGeom prst="rect">
                      <a:avLst/>
                    </a:prstGeom>
                    <a:noFill/>
                    <a:ln>
                      <a:noFill/>
                    </a:ln>
                  </pic:spPr>
                </pic:pic>
              </a:graphicData>
            </a:graphic>
          </wp:inline>
        </w:drawing>
      </w:r>
    </w:p>
    <w:p w:rsidR="00005950" w:rsidRPr="00005950" w:rsidRDefault="00005950" w:rsidP="00BE7A05">
      <w:pPr>
        <w:pStyle w:val="ListBullet"/>
      </w:pPr>
      <w:r w:rsidRPr="00005950">
        <w:t xml:space="preserve">Arm 1: </w:t>
      </w:r>
      <w:r w:rsidRPr="00BE7A05">
        <w:t>Individualised</w:t>
      </w:r>
      <w:r w:rsidRPr="00005950">
        <w:t xml:space="preserve"> (Tailored) Prophylaxis</w:t>
      </w:r>
    </w:p>
    <w:p w:rsidR="00005950" w:rsidRPr="00005950" w:rsidRDefault="00005950" w:rsidP="00BE7A05">
      <w:pPr>
        <w:pStyle w:val="ListBullet2"/>
      </w:pPr>
      <w:r w:rsidRPr="00005950">
        <w:t xml:space="preserve">Initial </w:t>
      </w:r>
      <w:r w:rsidRPr="00BE7A05">
        <w:t>twice</w:t>
      </w:r>
      <w:r w:rsidRPr="00005950">
        <w:t xml:space="preserve"> weekly dosing with 25 IU/kg of </w:t>
      </w:r>
      <w:proofErr w:type="spellStart"/>
      <w:r w:rsidRPr="00005950">
        <w:t>rFVIIIFc</w:t>
      </w:r>
      <w:proofErr w:type="spellEnd"/>
      <w:r w:rsidRPr="00005950">
        <w:t xml:space="preserve"> on Day 1 and 50 IU/kg on Day 4, followed by individualised dose and interval modification within the range of 25 to 65 IU/kg every 3 to 5 days to maintain a trough level of 1% to 3% (or higher, as clinically indicated) </w:t>
      </w:r>
      <w:proofErr w:type="spellStart"/>
      <w:r w:rsidRPr="00005950">
        <w:t>rFVIIIFc</w:t>
      </w:r>
      <w:proofErr w:type="spellEnd"/>
      <w:r w:rsidRPr="00005950">
        <w:t>.</w:t>
      </w:r>
    </w:p>
    <w:p w:rsidR="00005950" w:rsidRPr="00005950" w:rsidRDefault="00005950" w:rsidP="00BE7A05">
      <w:pPr>
        <w:pStyle w:val="ListBullet2"/>
      </w:pPr>
      <w:r w:rsidRPr="00005950">
        <w:t>Approximately 104 patients</w:t>
      </w:r>
    </w:p>
    <w:p w:rsidR="00005950" w:rsidRPr="00005950" w:rsidRDefault="00005950" w:rsidP="00BE7A05">
      <w:pPr>
        <w:pStyle w:val="ListBullet"/>
      </w:pPr>
      <w:r w:rsidRPr="00005950">
        <w:t>Arm 2: Weekly prophylaxis</w:t>
      </w:r>
    </w:p>
    <w:p w:rsidR="00005950" w:rsidRPr="00005950" w:rsidRDefault="00005950" w:rsidP="00BE7A05">
      <w:pPr>
        <w:pStyle w:val="ListBullet2"/>
      </w:pPr>
      <w:r w:rsidRPr="00005950">
        <w:t xml:space="preserve">65 IU/kg </w:t>
      </w:r>
      <w:proofErr w:type="spellStart"/>
      <w:r w:rsidRPr="00005950">
        <w:t>rFVIIIFc</w:t>
      </w:r>
      <w:proofErr w:type="spellEnd"/>
      <w:r w:rsidRPr="00005950">
        <w:t xml:space="preserve"> every 7 days</w:t>
      </w:r>
    </w:p>
    <w:p w:rsidR="00005950" w:rsidRPr="00005950" w:rsidRDefault="00005950" w:rsidP="00BE7A05">
      <w:pPr>
        <w:pStyle w:val="ListBullet2"/>
      </w:pPr>
      <w:r w:rsidRPr="00005950">
        <w:t>Approximately 20 patients</w:t>
      </w:r>
    </w:p>
    <w:p w:rsidR="00005950" w:rsidRPr="00005950" w:rsidRDefault="00005950" w:rsidP="00BE7A05">
      <w:pPr>
        <w:pStyle w:val="ListBullet"/>
      </w:pPr>
      <w:r w:rsidRPr="00005950">
        <w:t>Arm 3: Episodic (On-Demand) Dosing</w:t>
      </w:r>
    </w:p>
    <w:p w:rsidR="00005950" w:rsidRPr="00005950" w:rsidRDefault="00005950" w:rsidP="00BE7A05">
      <w:pPr>
        <w:pStyle w:val="ListBullet2"/>
      </w:pPr>
      <w:r w:rsidRPr="00005950">
        <w:t xml:space="preserve">Initial single dose of 50 IU/kg </w:t>
      </w:r>
      <w:proofErr w:type="spellStart"/>
      <w:r w:rsidRPr="00005950">
        <w:t>rFVIIIFc</w:t>
      </w:r>
      <w:proofErr w:type="spellEnd"/>
      <w:r w:rsidRPr="00005950">
        <w:t xml:space="preserve"> followed by 10 to 50 IU/kg </w:t>
      </w:r>
      <w:proofErr w:type="spellStart"/>
      <w:r w:rsidRPr="00005950">
        <w:t>rFVIIIFc</w:t>
      </w:r>
      <w:proofErr w:type="spellEnd"/>
      <w:r w:rsidRPr="00005950">
        <w:t>, as required to treat a bleeding episode</w:t>
      </w:r>
    </w:p>
    <w:p w:rsidR="00005950" w:rsidRPr="00005950" w:rsidRDefault="00005950" w:rsidP="00BE7A05">
      <w:pPr>
        <w:pStyle w:val="ListBullet2"/>
      </w:pPr>
      <w:r w:rsidRPr="00005950">
        <w:t>Approximately 20 patients</w:t>
      </w:r>
    </w:p>
    <w:p w:rsidR="00005950" w:rsidRPr="00005950" w:rsidRDefault="00005950" w:rsidP="00BE7A05">
      <w:r w:rsidRPr="00005950">
        <w:t>An additional 2 subgroups were defined:</w:t>
      </w:r>
    </w:p>
    <w:p w:rsidR="00005950" w:rsidRPr="00005950" w:rsidRDefault="00005950" w:rsidP="00BE7A05">
      <w:pPr>
        <w:pStyle w:val="ListBullet"/>
      </w:pPr>
      <w:r w:rsidRPr="00005950">
        <w:t>Arm 1: Sequential PK subgroup in 16 patients for estimation of th</w:t>
      </w:r>
      <w:r w:rsidR="00923601">
        <w:t>e PK profiles and terminal half-</w:t>
      </w:r>
      <w:r w:rsidRPr="00005950">
        <w:t xml:space="preserve">lives of </w:t>
      </w:r>
      <w:proofErr w:type="spellStart"/>
      <w:r w:rsidRPr="00005950">
        <w:t>rFVIIIFc</w:t>
      </w:r>
      <w:proofErr w:type="spellEnd"/>
      <w:r w:rsidRPr="00005950">
        <w:t xml:space="preserve"> and </w:t>
      </w:r>
      <w:proofErr w:type="spellStart"/>
      <w:r w:rsidRPr="00005950">
        <w:t>Advate</w:t>
      </w:r>
      <w:proofErr w:type="spellEnd"/>
      <w:r w:rsidRPr="00005950">
        <w:t>.</w:t>
      </w:r>
    </w:p>
    <w:p w:rsidR="00005950" w:rsidRPr="00005950" w:rsidRDefault="00005950" w:rsidP="00BE7A05">
      <w:pPr>
        <w:pStyle w:val="ListBullet"/>
      </w:pPr>
      <w:r w:rsidRPr="00BE7A05">
        <w:t>Arms</w:t>
      </w:r>
      <w:r w:rsidRPr="00005950">
        <w:t xml:space="preserve"> 1, 2 and 3, Perioperative Management (Surgery) Subgroup: patients from any arm who required major surgery. A minimum of 10 major surgeries in at least 5 patients were planned. Patients who required minor surgery remained in their assigned arms.</w:t>
      </w:r>
    </w:p>
    <w:p w:rsidR="00005950" w:rsidRPr="00005950" w:rsidRDefault="00005950" w:rsidP="00BE7A05">
      <w:r w:rsidRPr="00005950">
        <w:t xml:space="preserve">The total study duration was 75 weeks for the sequential PK subgroup and up to 67 weeks for all other patients, depending upon the assigned treatment arm. The screening period was up to 8 weeks with a FVIII wash-out period of 96 hours for adults and 72 hours for adolescents aged </w:t>
      </w:r>
      <w:r w:rsidR="00AB10FB">
        <w:t>≥ </w:t>
      </w:r>
      <w:r w:rsidRPr="00005950">
        <w:t xml:space="preserve">12 to 17 years. Randomisation into Arms 1 and 2 occurred on Day 0 when the first </w:t>
      </w:r>
      <w:proofErr w:type="spellStart"/>
      <w:r w:rsidRPr="00005950">
        <w:t>rFVIIIFc</w:t>
      </w:r>
      <w:proofErr w:type="spellEnd"/>
      <w:r w:rsidRPr="00005950">
        <w:t xml:space="preserve"> treatment was given. All study patients were expected to receive between 28 (</w:t>
      </w:r>
      <w:r w:rsidR="0004285F">
        <w:t xml:space="preserve">± </w:t>
      </w:r>
      <w:r w:rsidRPr="00005950">
        <w:t>2) and 52 (</w:t>
      </w:r>
      <w:r w:rsidR="0004285F">
        <w:t xml:space="preserve">± </w:t>
      </w:r>
      <w:r w:rsidRPr="00005950">
        <w:t xml:space="preserve">2) weeks of an </w:t>
      </w:r>
      <w:proofErr w:type="spellStart"/>
      <w:r w:rsidRPr="00005950">
        <w:t>rFVIIIFc</w:t>
      </w:r>
      <w:proofErr w:type="spellEnd"/>
      <w:r w:rsidRPr="00005950">
        <w:t xml:space="preserve"> treatment regimen. Patients who completed the study were offered entry into a </w:t>
      </w:r>
      <w:r w:rsidR="00550F44">
        <w:t>long-term extension</w:t>
      </w:r>
      <w:r w:rsidR="00550F44" w:rsidRPr="00550F44">
        <w:t xml:space="preserve"> </w:t>
      </w:r>
      <w:r w:rsidR="00550F44">
        <w:t>(</w:t>
      </w:r>
      <w:r w:rsidRPr="00005950">
        <w:t>LTE</w:t>
      </w:r>
      <w:r w:rsidR="00550F44">
        <w:t>)</w:t>
      </w:r>
      <w:r w:rsidRPr="00005950">
        <w:t xml:space="preserve"> study und</w:t>
      </w:r>
      <w:r w:rsidR="00051359">
        <w:t>er a separate protocol 8HA01EXT</w:t>
      </w:r>
      <w:r w:rsidRPr="00005950">
        <w:t>.</w:t>
      </w:r>
    </w:p>
    <w:p w:rsidR="00005950" w:rsidRPr="00005950" w:rsidRDefault="00005950" w:rsidP="00BE7A05">
      <w:pPr>
        <w:pStyle w:val="Heading6"/>
      </w:pPr>
      <w:r w:rsidRPr="00005950">
        <w:t xml:space="preserve">Inclusion and exclusion </w:t>
      </w:r>
      <w:r w:rsidRPr="00BE7A05">
        <w:t>criteria</w:t>
      </w:r>
    </w:p>
    <w:p w:rsidR="00005950" w:rsidRPr="00005950" w:rsidRDefault="00005950" w:rsidP="00BE7A05">
      <w:r w:rsidRPr="00005950">
        <w:t>The main inclusion criteria were males aged ≥</w:t>
      </w:r>
      <w:r w:rsidR="0004285F">
        <w:t xml:space="preserve"> </w:t>
      </w:r>
      <w:r w:rsidRPr="00005950">
        <w:t>12 years with sev</w:t>
      </w:r>
      <w:r w:rsidR="00AB10FB">
        <w:t>ere haemophilia A; at least 150 </w:t>
      </w:r>
      <w:r w:rsidRPr="00005950">
        <w:t>days previous treatment with any FVIII product; no mea</w:t>
      </w:r>
      <w:r w:rsidR="00AB10FB">
        <w:t>surable inhibitor activity in 2 </w:t>
      </w:r>
      <w:r w:rsidRPr="00005950">
        <w:t xml:space="preserve">consecutive samples; documented history of bleeding events and/or treatment with FVIII </w:t>
      </w:r>
      <w:r w:rsidRPr="00005950">
        <w:lastRenderedPageBreak/>
        <w:t xml:space="preserve">during the previous 12 weeks; platelet count </w:t>
      </w:r>
      <w:r w:rsidR="00AB10FB">
        <w:t xml:space="preserve">≥ </w:t>
      </w:r>
      <w:r w:rsidRPr="00005950">
        <w:t>100,000 cells/µL; CD4 count &gt;</w:t>
      </w:r>
      <w:r w:rsidR="0004285F">
        <w:t xml:space="preserve"> </w:t>
      </w:r>
      <w:r w:rsidRPr="00005950">
        <w:t>200 mm</w:t>
      </w:r>
      <w:r w:rsidRPr="00051359">
        <w:rPr>
          <w:vertAlign w:val="superscript"/>
        </w:rPr>
        <w:t>3</w:t>
      </w:r>
      <w:r w:rsidRPr="00005950">
        <w:t xml:space="preserve"> in known HIV patients; viral load &lt;</w:t>
      </w:r>
      <w:r w:rsidR="0004285F">
        <w:t xml:space="preserve"> </w:t>
      </w:r>
      <w:r w:rsidRPr="00005950">
        <w:t>400 copies/mL if known HIV positive.</w:t>
      </w:r>
    </w:p>
    <w:p w:rsidR="00005950" w:rsidRPr="00005950" w:rsidRDefault="00005950" w:rsidP="00BE7A05">
      <w:r w:rsidRPr="00005950">
        <w:t xml:space="preserve">The main exclusion criteria were: history of or currently detectable inhibitor; other coagulation disorder in addition to haemophilia A; history of hypersensitivity or anaphylaxis to any FVIII or immunoglobulin; current or likely use of </w:t>
      </w:r>
      <w:r w:rsidR="00B5424F" w:rsidRPr="00B5424F">
        <w:t xml:space="preserve">acetylsalicylic acid </w:t>
      </w:r>
      <w:r w:rsidR="00B5424F">
        <w:t>(</w:t>
      </w:r>
      <w:r w:rsidRPr="00005950">
        <w:t>ASA</w:t>
      </w:r>
      <w:r w:rsidR="00B5424F">
        <w:t>)</w:t>
      </w:r>
      <w:r w:rsidRPr="00005950">
        <w:t xml:space="preserve"> or </w:t>
      </w:r>
      <w:r w:rsidR="00550F44" w:rsidRPr="00550F44">
        <w:t>non-steroidal anti-inflammatory drug</w:t>
      </w:r>
      <w:r w:rsidR="00550F44">
        <w:t>s</w:t>
      </w:r>
      <w:r w:rsidR="00550F44" w:rsidRPr="00550F44">
        <w:t xml:space="preserve"> </w:t>
      </w:r>
      <w:r w:rsidR="00550F44">
        <w:t>(</w:t>
      </w:r>
      <w:r w:rsidRPr="00005950">
        <w:t>NSAIDs</w:t>
      </w:r>
      <w:r w:rsidR="00550F44">
        <w:t>)</w:t>
      </w:r>
      <w:r w:rsidRPr="00005950">
        <w:t>; concurrent treatment with immunosuppressive drugs with certain exceptions for HCV and HIV; major surgery within the previous 8 weeks; abnormal renal function (serum creatinine &gt;</w:t>
      </w:r>
      <w:r w:rsidR="00AB10FB">
        <w:t xml:space="preserve"> </w:t>
      </w:r>
      <w:r w:rsidRPr="00005950">
        <w:t>2.0 mg/</w:t>
      </w:r>
      <w:proofErr w:type="spellStart"/>
      <w:r w:rsidRPr="00005950">
        <w:t>dL</w:t>
      </w:r>
      <w:proofErr w:type="spellEnd"/>
      <w:r w:rsidRPr="00005950">
        <w:t xml:space="preserve">); serum </w:t>
      </w:r>
      <w:r w:rsidR="00B5424F" w:rsidRPr="00B5424F">
        <w:t xml:space="preserve">alanine aminotransferase </w:t>
      </w:r>
      <w:r w:rsidR="00B5424F">
        <w:t>(</w:t>
      </w:r>
      <w:r w:rsidRPr="00005950">
        <w:t>ALT</w:t>
      </w:r>
      <w:r w:rsidR="00B5424F">
        <w:t>)</w:t>
      </w:r>
      <w:r w:rsidRPr="00005950">
        <w:t>&gt;5x</w:t>
      </w:r>
      <w:r w:rsidR="00596F19" w:rsidRPr="00596F19">
        <w:t xml:space="preserve"> upper limit of normal </w:t>
      </w:r>
      <w:r w:rsidR="00596F19">
        <w:t>(</w:t>
      </w:r>
      <w:r w:rsidRPr="00005950">
        <w:t>ULN</w:t>
      </w:r>
      <w:r w:rsidR="00596F19">
        <w:t>)</w:t>
      </w:r>
      <w:r w:rsidRPr="00005950">
        <w:t>; and bilirubin &gt;</w:t>
      </w:r>
      <w:r w:rsidR="0004285F">
        <w:t xml:space="preserve"> </w:t>
      </w:r>
      <w:r w:rsidRPr="00005950">
        <w:t>3xULN.</w:t>
      </w:r>
    </w:p>
    <w:p w:rsidR="00005950" w:rsidRPr="00005950" w:rsidRDefault="00005950" w:rsidP="00294DC7">
      <w:pPr>
        <w:pStyle w:val="Heading6"/>
      </w:pPr>
      <w:r w:rsidRPr="00005950">
        <w:t>Study treatments</w:t>
      </w:r>
    </w:p>
    <w:p w:rsidR="00005950" w:rsidRPr="00005950" w:rsidRDefault="00005950" w:rsidP="00294DC7">
      <w:r w:rsidRPr="00005950">
        <w:t xml:space="preserve">The </w:t>
      </w:r>
      <w:proofErr w:type="spellStart"/>
      <w:r w:rsidRPr="00005950">
        <w:t>rFVIIIFc</w:t>
      </w:r>
      <w:proofErr w:type="spellEnd"/>
      <w:r w:rsidRPr="00005950">
        <w:t xml:space="preserve"> was supplied as a kit containing lyophilised drug, a diluent, a vial adaptor and an infusion set. The lyophilised drug was provided in four strengths in 10 mL clear glass vials containing 250, 500, 1000 or 2000 IU of </w:t>
      </w:r>
      <w:proofErr w:type="spellStart"/>
      <w:r w:rsidRPr="00005950">
        <w:t>rFVIIIFc</w:t>
      </w:r>
      <w:proofErr w:type="spellEnd"/>
      <w:r w:rsidRPr="00005950">
        <w:t xml:space="preserve">. Commercially available </w:t>
      </w:r>
      <w:proofErr w:type="spellStart"/>
      <w:r w:rsidRPr="00005950">
        <w:t>Advate</w:t>
      </w:r>
      <w:proofErr w:type="spellEnd"/>
      <w:r w:rsidRPr="00005950">
        <w:t xml:space="preserve"> was used for the PK comparator sub-study.</w:t>
      </w:r>
    </w:p>
    <w:p w:rsidR="00005950" w:rsidRPr="00005950" w:rsidRDefault="00005950" w:rsidP="00294DC7">
      <w:pPr>
        <w:pStyle w:val="Heading6"/>
      </w:pPr>
      <w:r w:rsidRPr="00005950">
        <w:t xml:space="preserve">Efficacy variables and </w:t>
      </w:r>
      <w:r w:rsidRPr="00294DC7">
        <w:t>outcomes</w:t>
      </w:r>
    </w:p>
    <w:p w:rsidR="00005950" w:rsidRPr="00005950" w:rsidRDefault="00005950" w:rsidP="00294DC7">
      <w:r w:rsidRPr="00005950">
        <w:t>The main efficacy variables were:</w:t>
      </w:r>
    </w:p>
    <w:p w:rsidR="00005950" w:rsidRPr="00005950" w:rsidRDefault="00005950" w:rsidP="00294DC7">
      <w:pPr>
        <w:pStyle w:val="ListBullet"/>
      </w:pPr>
      <w:r w:rsidRPr="00005950">
        <w:t xml:space="preserve">Bleeding events (spontaneous and traumatic) as recorded by patients in the </w:t>
      </w:r>
      <w:r w:rsidR="009C052E" w:rsidRPr="009C052E">
        <w:t xml:space="preserve">electronic patient diary </w:t>
      </w:r>
      <w:r w:rsidR="009C052E">
        <w:t>(</w:t>
      </w:r>
      <w:r w:rsidRPr="00005950">
        <w:t>EPD</w:t>
      </w:r>
      <w:r w:rsidR="009C052E">
        <w:t>)</w:t>
      </w:r>
    </w:p>
    <w:p w:rsidR="00005950" w:rsidRPr="00005950" w:rsidRDefault="00005950" w:rsidP="00294DC7">
      <w:pPr>
        <w:pStyle w:val="ListBullet"/>
      </w:pPr>
      <w:r w:rsidRPr="00005950">
        <w:t xml:space="preserve">Patients’ self-assessment of the response to </w:t>
      </w:r>
      <w:proofErr w:type="spellStart"/>
      <w:r w:rsidRPr="00294DC7">
        <w:t>rFVIIIFc</w:t>
      </w:r>
      <w:proofErr w:type="spellEnd"/>
      <w:r w:rsidRPr="00005950">
        <w:t xml:space="preserve"> treatment on a four point scale (Excellent, Good, Moderate and No Response)</w:t>
      </w:r>
    </w:p>
    <w:p w:rsidR="00005950" w:rsidRPr="00005950" w:rsidRDefault="00005950" w:rsidP="00294DC7">
      <w:pPr>
        <w:pStyle w:val="ListBullet"/>
      </w:pPr>
      <w:r w:rsidRPr="00005950">
        <w:t>Investigators’ assessment of the response to treatment on a four point scale (Excellent, Effective, Partially Effective and Ineffective)</w:t>
      </w:r>
    </w:p>
    <w:p w:rsidR="00005950" w:rsidRPr="00005950" w:rsidRDefault="00005950" w:rsidP="00294DC7">
      <w:pPr>
        <w:pStyle w:val="ListBullet"/>
      </w:pPr>
      <w:r w:rsidRPr="00005950">
        <w:t xml:space="preserve">Investigator/Surgeons’ four point </w:t>
      </w:r>
      <w:r w:rsidRPr="00294DC7">
        <w:t>assessment</w:t>
      </w:r>
      <w:r w:rsidRPr="00005950">
        <w:t xml:space="preserve"> of response to treatment following surgery (Excellent, Good, Fair, and Poor/None)</w:t>
      </w:r>
    </w:p>
    <w:p w:rsidR="00005950" w:rsidRPr="00005950" w:rsidRDefault="00744C1B" w:rsidP="00294DC7">
      <w:pPr>
        <w:pStyle w:val="ListBullet"/>
      </w:pPr>
      <w:r w:rsidRPr="00744C1B">
        <w:t xml:space="preserve">quality of life </w:t>
      </w:r>
      <w:r>
        <w:t>(</w:t>
      </w:r>
      <w:proofErr w:type="spellStart"/>
      <w:r w:rsidR="00005950" w:rsidRPr="00005950">
        <w:t>QoL</w:t>
      </w:r>
      <w:proofErr w:type="spellEnd"/>
      <w:r>
        <w:t>)</w:t>
      </w:r>
      <w:r w:rsidR="00005950" w:rsidRPr="00005950">
        <w:t xml:space="preserve"> questionnaire data</w:t>
      </w:r>
    </w:p>
    <w:p w:rsidR="00005950" w:rsidRPr="00005950" w:rsidRDefault="00C23092" w:rsidP="00294DC7">
      <w:pPr>
        <w:pStyle w:val="ListBullet"/>
      </w:pPr>
      <w:r>
        <w:t>PK data</w:t>
      </w:r>
    </w:p>
    <w:p w:rsidR="00005950" w:rsidRPr="00005950" w:rsidRDefault="00005950" w:rsidP="00294DC7">
      <w:r w:rsidRPr="00005950">
        <w:t>The primary efficacy outcomes were:</w:t>
      </w:r>
    </w:p>
    <w:p w:rsidR="00005950" w:rsidRPr="00005950" w:rsidRDefault="00005950" w:rsidP="00294DC7">
      <w:pPr>
        <w:pStyle w:val="ListBullet"/>
      </w:pPr>
      <w:r w:rsidRPr="00005950">
        <w:t>The annualised number of bleeding episodes (spontaneous and traumatic) Arm 1 versus Arm 3.</w:t>
      </w:r>
    </w:p>
    <w:p w:rsidR="00005950" w:rsidRPr="00005950" w:rsidRDefault="00005950" w:rsidP="00294DC7">
      <w:pPr>
        <w:pStyle w:val="ListBullet"/>
      </w:pPr>
      <w:r w:rsidRPr="00005950">
        <w:t>Primary P</w:t>
      </w:r>
      <w:r w:rsidR="00C23092">
        <w:t>K assessments of FVIII activity.</w:t>
      </w:r>
    </w:p>
    <w:p w:rsidR="00005950" w:rsidRPr="00005950" w:rsidRDefault="00005950" w:rsidP="00294DC7">
      <w:r w:rsidRPr="00005950">
        <w:t>Other efficacy outcomes included:</w:t>
      </w:r>
    </w:p>
    <w:p w:rsidR="00005950" w:rsidRPr="00005950" w:rsidRDefault="00005950" w:rsidP="00294DC7">
      <w:pPr>
        <w:pStyle w:val="ListBullet"/>
      </w:pPr>
      <w:r w:rsidRPr="00005950">
        <w:t>Annualised number of bleeding episodes Arm 2 versus Arm 3</w:t>
      </w:r>
    </w:p>
    <w:p w:rsidR="00005950" w:rsidRPr="00005950" w:rsidRDefault="00005950" w:rsidP="00294DC7">
      <w:pPr>
        <w:pStyle w:val="ListBullet"/>
      </w:pPr>
      <w:r w:rsidRPr="00005950">
        <w:t xml:space="preserve">Total annualised </w:t>
      </w:r>
      <w:proofErr w:type="spellStart"/>
      <w:r w:rsidRPr="00005950">
        <w:t>rFVIIIFc</w:t>
      </w:r>
      <w:proofErr w:type="spellEnd"/>
      <w:r w:rsidRPr="00005950">
        <w:t xml:space="preserve"> consumption per </w:t>
      </w:r>
      <w:r w:rsidRPr="00294DC7">
        <w:t>patient</w:t>
      </w:r>
    </w:p>
    <w:p w:rsidR="00005950" w:rsidRPr="00005950" w:rsidRDefault="00005950" w:rsidP="00294DC7">
      <w:pPr>
        <w:pStyle w:val="ListBullet"/>
      </w:pPr>
      <w:r w:rsidRPr="00005950">
        <w:t xml:space="preserve">Investigators’ assessment of patients’ </w:t>
      </w:r>
      <w:r w:rsidRPr="00294DC7">
        <w:t>response</w:t>
      </w:r>
      <w:r w:rsidRPr="00005950">
        <w:t xml:space="preserve"> to treatment</w:t>
      </w:r>
    </w:p>
    <w:p w:rsidR="00005950" w:rsidRPr="00005950" w:rsidRDefault="00005950" w:rsidP="00C23092">
      <w:pPr>
        <w:pStyle w:val="ListBullet"/>
      </w:pPr>
      <w:r w:rsidRPr="00005950">
        <w:t>Annualised number of spontaneous bleeding episodes</w:t>
      </w:r>
    </w:p>
    <w:p w:rsidR="00005950" w:rsidRPr="00005950" w:rsidRDefault="00005950" w:rsidP="00294DC7">
      <w:pPr>
        <w:pStyle w:val="ListBullet"/>
      </w:pPr>
      <w:r w:rsidRPr="00005950">
        <w:t xml:space="preserve">Time from last injection of </w:t>
      </w:r>
      <w:proofErr w:type="spellStart"/>
      <w:r w:rsidRPr="00005950">
        <w:t>rFVIIIFc</w:t>
      </w:r>
      <w:proofErr w:type="spellEnd"/>
      <w:r w:rsidRPr="00005950">
        <w:t xml:space="preserve"> to a </w:t>
      </w:r>
      <w:r w:rsidRPr="00294DC7">
        <w:t>bleeding</w:t>
      </w:r>
      <w:r w:rsidRPr="00005950">
        <w:t xml:space="preserve"> episode</w:t>
      </w:r>
    </w:p>
    <w:p w:rsidR="00005950" w:rsidRPr="00005950" w:rsidRDefault="00005950" w:rsidP="00C23092">
      <w:pPr>
        <w:pStyle w:val="ListBullet"/>
      </w:pPr>
      <w:r w:rsidRPr="00005950">
        <w:t>Investigator/Surgeons’ assessment of patients’ response to surgery</w:t>
      </w:r>
    </w:p>
    <w:p w:rsidR="00005950" w:rsidRPr="00005950" w:rsidRDefault="00005950" w:rsidP="00294DC7">
      <w:pPr>
        <w:pStyle w:val="Heading6"/>
      </w:pPr>
      <w:r w:rsidRPr="00005950">
        <w:t xml:space="preserve">Randomisation and blinding </w:t>
      </w:r>
      <w:r w:rsidRPr="00294DC7">
        <w:t>methods</w:t>
      </w:r>
    </w:p>
    <w:p w:rsidR="00005950" w:rsidRPr="00005950" w:rsidRDefault="00005950" w:rsidP="00294DC7">
      <w:r w:rsidRPr="00005950">
        <w:t xml:space="preserve">After confirmation of eligibility, patients were randomised using </w:t>
      </w:r>
      <w:r w:rsidR="00550F44">
        <w:t>interactive voice/web response s</w:t>
      </w:r>
      <w:r w:rsidR="00550F44" w:rsidRPr="00550F44">
        <w:t xml:space="preserve">ystem </w:t>
      </w:r>
      <w:r w:rsidR="00550F44">
        <w:t>(</w:t>
      </w:r>
      <w:r w:rsidRPr="00005950">
        <w:t>IXRS</w:t>
      </w:r>
      <w:r w:rsidR="00550F44">
        <w:t>)</w:t>
      </w:r>
      <w:r w:rsidRPr="00005950">
        <w:t xml:space="preserve">. Patients who were on a prophylaxis regimen prior to study entry were entered into Arm 1 (individualised prophylaxis); patients who were on an episodic regimen had the option to enter either Arm 1, or to be randomised into either Arm 2 (weekly prophylaxis) or </w:t>
      </w:r>
      <w:r w:rsidRPr="00005950">
        <w:lastRenderedPageBreak/>
        <w:t>Arm 3 (episodic, on-demand dosing). Randomisation into Arms 2 or 3 was stratified based on the number of bleeding episodes reported by the patient during the 12 months prior to screening (12 to 20; 21 to 50; or &gt;</w:t>
      </w:r>
      <w:r w:rsidR="00AB10FB">
        <w:t xml:space="preserve"> </w:t>
      </w:r>
      <w:r w:rsidRPr="00005950">
        <w:t>50 episodes per year).</w:t>
      </w:r>
    </w:p>
    <w:p w:rsidR="00005950" w:rsidRPr="00005950" w:rsidRDefault="00005950" w:rsidP="00294DC7">
      <w:pPr>
        <w:pStyle w:val="Heading6"/>
      </w:pPr>
      <w:r w:rsidRPr="00005950">
        <w:t>Analysis populations</w:t>
      </w:r>
    </w:p>
    <w:p w:rsidR="00005950" w:rsidRPr="00005950" w:rsidRDefault="00005950" w:rsidP="00294DC7">
      <w:pPr>
        <w:pStyle w:val="ListBullet"/>
      </w:pPr>
      <w:r w:rsidRPr="00005950">
        <w:t xml:space="preserve">All-Enrolled Analysis Set defined </w:t>
      </w:r>
      <w:r w:rsidRPr="00294DC7">
        <w:t>as</w:t>
      </w:r>
      <w:r w:rsidRPr="00005950">
        <w:t xml:space="preserve"> patients who enrolled by IXRS</w:t>
      </w:r>
    </w:p>
    <w:p w:rsidR="00005950" w:rsidRPr="00005950" w:rsidRDefault="00005950" w:rsidP="00294DC7">
      <w:pPr>
        <w:pStyle w:val="ListBullet"/>
      </w:pPr>
      <w:r w:rsidRPr="00005950">
        <w:t xml:space="preserve">Full Analysis Set (FAS) defined as patients who received at least one dose of </w:t>
      </w:r>
      <w:proofErr w:type="spellStart"/>
      <w:r w:rsidRPr="00005950">
        <w:t>rFVIIIFc</w:t>
      </w:r>
      <w:proofErr w:type="spellEnd"/>
    </w:p>
    <w:p w:rsidR="00005950" w:rsidRPr="00005950" w:rsidRDefault="00005950" w:rsidP="00294DC7">
      <w:pPr>
        <w:pStyle w:val="ListBullet"/>
      </w:pPr>
      <w:r w:rsidRPr="00005950">
        <w:t xml:space="preserve">Safety Analysis Set defined as </w:t>
      </w:r>
      <w:r w:rsidRPr="00294DC7">
        <w:t>patients</w:t>
      </w:r>
      <w:r w:rsidRPr="00005950">
        <w:t xml:space="preserve"> who received at least one dose of </w:t>
      </w:r>
      <w:proofErr w:type="spellStart"/>
      <w:r w:rsidRPr="00005950">
        <w:t>rFVIIIFc</w:t>
      </w:r>
      <w:proofErr w:type="spellEnd"/>
      <w:r w:rsidRPr="00005950">
        <w:t xml:space="preserve"> or </w:t>
      </w:r>
      <w:proofErr w:type="spellStart"/>
      <w:r w:rsidRPr="00005950">
        <w:t>Advate</w:t>
      </w:r>
      <w:proofErr w:type="spellEnd"/>
    </w:p>
    <w:p w:rsidR="00005950" w:rsidRPr="00005950" w:rsidRDefault="00005950" w:rsidP="00294DC7">
      <w:pPr>
        <w:pStyle w:val="ListBullet"/>
      </w:pPr>
      <w:r w:rsidRPr="00005950">
        <w:t>Pharmacokinetic Analysis Set (</w:t>
      </w:r>
      <w:r w:rsidRPr="00294DC7">
        <w:t>PKAS</w:t>
      </w:r>
      <w:r w:rsidRPr="00005950">
        <w:t>) defined as patients who completed evaluable sampling time-points sufficient to permit determination</w:t>
      </w:r>
    </w:p>
    <w:p w:rsidR="00005950" w:rsidRDefault="00005950" w:rsidP="00294DC7">
      <w:r w:rsidRPr="00005950">
        <w:t xml:space="preserve">Of the 165 patients in the All-enrolled set, 99.4% were included in the FAS; 100% were included in the Safety Set and 93.9% were included in the PKAS. Total treatment duration for </w:t>
      </w:r>
      <w:proofErr w:type="spellStart"/>
      <w:r w:rsidRPr="00005950">
        <w:t>rFVIIIFc</w:t>
      </w:r>
      <w:proofErr w:type="spellEnd"/>
      <w:r w:rsidRPr="00005950">
        <w:t xml:space="preserve"> is shown in Table </w:t>
      </w:r>
      <w:r w:rsidR="00C23092">
        <w:t>1</w:t>
      </w:r>
      <w:r w:rsidRPr="00005950">
        <w:t>.</w:t>
      </w:r>
    </w:p>
    <w:p w:rsidR="00C23092" w:rsidRDefault="00C23092" w:rsidP="00294DC7">
      <w:pPr>
        <w:pStyle w:val="Tabletitle"/>
      </w:pPr>
      <w:r>
        <w:t xml:space="preserve">Table 1: </w:t>
      </w:r>
      <w:r w:rsidRPr="00C23092">
        <w:t>Study 997HA301</w:t>
      </w:r>
      <w:r>
        <w:t xml:space="preserve">. Duration of dosing with </w:t>
      </w:r>
      <w:proofErr w:type="spellStart"/>
      <w:r w:rsidR="00005950" w:rsidRPr="00C23092">
        <w:t>rFVIIIFc</w:t>
      </w:r>
      <w:proofErr w:type="spellEnd"/>
    </w:p>
    <w:p w:rsidR="00C23092" w:rsidRPr="00005950" w:rsidRDefault="00C23092" w:rsidP="00903F72">
      <w:r>
        <w:rPr>
          <w:noProof/>
          <w:lang w:eastAsia="en-AU"/>
        </w:rPr>
        <w:drawing>
          <wp:inline distT="0" distB="0" distL="0" distR="0" wp14:anchorId="08AAE2AC" wp14:editId="1EC69550">
            <wp:extent cx="5731510" cy="2440790"/>
            <wp:effectExtent l="0" t="0" r="0" b="0"/>
            <wp:docPr id="1" name="Picture 1" descr="Table 1: Study 997HA301. Duration of dosing with rFVIII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440790"/>
                    </a:xfrm>
                    <a:prstGeom prst="rect">
                      <a:avLst/>
                    </a:prstGeom>
                  </pic:spPr>
                </pic:pic>
              </a:graphicData>
            </a:graphic>
          </wp:inline>
        </w:drawing>
      </w:r>
    </w:p>
    <w:p w:rsidR="00005950" w:rsidRPr="00005950" w:rsidDel="0081373E" w:rsidRDefault="00005950" w:rsidP="00903F72">
      <w:pPr>
        <w:pStyle w:val="Heading6"/>
      </w:pPr>
      <w:r w:rsidRPr="00005950" w:rsidDel="0081373E">
        <w:t>Sample size</w:t>
      </w:r>
    </w:p>
    <w:p w:rsidR="00005950" w:rsidRPr="00005950" w:rsidDel="0081373E" w:rsidRDefault="00005950" w:rsidP="00903F72">
      <w:r w:rsidRPr="00005950">
        <w:t>Because of limited numbers in the haemophilia orphan population, the sample size of approximately 144 patients in three treatment arms was based on clinical rather than statistical considerations, taking into account the EMA Guidance 2009</w:t>
      </w:r>
      <w:r w:rsidR="0004285F">
        <w:t>,</w:t>
      </w:r>
      <w:r w:rsidRPr="00005950">
        <w:t xml:space="preserve"> which recommends a minimum of 100 patients.</w:t>
      </w:r>
    </w:p>
    <w:p w:rsidR="00005950" w:rsidRPr="00005950" w:rsidRDefault="00005950" w:rsidP="00903F72">
      <w:pPr>
        <w:pStyle w:val="Heading6"/>
      </w:pPr>
      <w:r w:rsidRPr="00005950">
        <w:t>Statistical methods</w:t>
      </w:r>
    </w:p>
    <w:p w:rsidR="00005950" w:rsidRPr="00005950" w:rsidRDefault="00005950" w:rsidP="00903F72">
      <w:r w:rsidRPr="00005950">
        <w:t>The primary endpoint was the annualised number of bleeding episodes (spontaneous and traumatic) during the efficacy period. All results were produced using S</w:t>
      </w:r>
      <w:r w:rsidR="00CC0669">
        <w:t xml:space="preserve">tatistical </w:t>
      </w:r>
      <w:r w:rsidR="00CC0669" w:rsidRPr="00005950">
        <w:t>A</w:t>
      </w:r>
      <w:r w:rsidR="00CC0669">
        <w:t xml:space="preserve">nalysis </w:t>
      </w:r>
      <w:r w:rsidRPr="00005950">
        <w:t>S</w:t>
      </w:r>
      <w:r w:rsidR="00CC0669">
        <w:t>ystem (SAS)</w:t>
      </w:r>
      <w:r w:rsidRPr="00005950">
        <w:t xml:space="preserve"> Version 9.2. The comparison of annualised bleeding episodes between Arm 1 and Arm 3 was assessed using a negative binomial Poisson</w:t>
      </w:r>
      <w:r w:rsidR="00EF7E0B">
        <w:rPr>
          <w:rStyle w:val="FootnoteReference"/>
        </w:rPr>
        <w:footnoteReference w:id="4"/>
      </w:r>
      <w:r w:rsidRPr="00005950">
        <w:t xml:space="preserve"> regression model with the dependent variable ‘total bleeding episodes’ and the covariate as ‘treatment arm’. The log of the efficacy period in years was fitted as an offset variable. Statistical significance was controlled at the 2-sided 0.05 level. Test results were tabulated by treatment with the bleeding rate ratios and their 95% </w:t>
      </w:r>
      <w:r w:rsidR="00957826" w:rsidRPr="00957826">
        <w:t>confidence interval</w:t>
      </w:r>
      <w:r w:rsidR="00957826">
        <w:t> (</w:t>
      </w:r>
      <w:r w:rsidRPr="00005950">
        <w:t>CI</w:t>
      </w:r>
      <w:r w:rsidR="00957826">
        <w:t>)</w:t>
      </w:r>
      <w:r w:rsidRPr="00005950">
        <w:t>. No adjustments for multiplicity were applied.</w:t>
      </w:r>
    </w:p>
    <w:p w:rsidR="00005950" w:rsidRPr="00005950" w:rsidRDefault="00005950" w:rsidP="00903F72">
      <w:pPr>
        <w:pStyle w:val="Heading6"/>
      </w:pPr>
      <w:r w:rsidRPr="00005950">
        <w:lastRenderedPageBreak/>
        <w:t xml:space="preserve">Participant </w:t>
      </w:r>
      <w:r w:rsidRPr="00903F72">
        <w:t>flow</w:t>
      </w:r>
    </w:p>
    <w:p w:rsidR="00005950" w:rsidRDefault="00005950" w:rsidP="00903F72">
      <w:r w:rsidRPr="00005950">
        <w:t xml:space="preserve">Patient flow is shown below in Figure </w:t>
      </w:r>
      <w:r w:rsidR="00CC0669">
        <w:t>2</w:t>
      </w:r>
      <w:r w:rsidRPr="00005950">
        <w:t>. A total of 165 patients were enrolled and 153 completed the study (92.7%). In Arm 1, 118 patients were randomised</w:t>
      </w:r>
      <w:r w:rsidR="00921626">
        <w:rPr>
          <w:rStyle w:val="FootnoteReference"/>
        </w:rPr>
        <w:footnoteReference w:id="5"/>
      </w:r>
      <w:r w:rsidRPr="00005950">
        <w:t xml:space="preserve"> and 94.9% completed the study. In Arm 2, 24 patients were randomised and 79.2% completed. In Arm 3, 23 patients were randomised and 95.7% completed. There was a low withdrawal rate, the most common reason being withdrawal of consent. Two patients withdrew because of </w:t>
      </w:r>
      <w:r w:rsidR="00B4452A">
        <w:t>adverse events (</w:t>
      </w:r>
      <w:r w:rsidRPr="00005950">
        <w:t>AEs</w:t>
      </w:r>
      <w:r w:rsidR="00B4452A">
        <w:t>)</w:t>
      </w:r>
      <w:r w:rsidRPr="00005950">
        <w:t xml:space="preserve"> and one patient died (of suicide)</w:t>
      </w:r>
      <w:r w:rsidR="00A66C4B">
        <w:t>.</w:t>
      </w:r>
    </w:p>
    <w:p w:rsidR="00DD7C1A" w:rsidRPr="00903F72" w:rsidRDefault="00DD7C1A" w:rsidP="00903F72">
      <w:pPr>
        <w:pStyle w:val="FigureTitle"/>
      </w:pPr>
      <w:r>
        <w:t>Figure 2: Patient flow.</w:t>
      </w:r>
    </w:p>
    <w:p w:rsidR="00DD7C1A" w:rsidRPr="00005950" w:rsidRDefault="00DD7C1A" w:rsidP="00903F72">
      <w:r>
        <w:rPr>
          <w:noProof/>
          <w:lang w:eastAsia="en-AU"/>
        </w:rPr>
        <w:drawing>
          <wp:inline distT="0" distB="0" distL="0" distR="0" wp14:anchorId="435AD3B6" wp14:editId="0E78C90F">
            <wp:extent cx="5728904" cy="3406248"/>
            <wp:effectExtent l="0" t="0" r="0" b="0"/>
            <wp:docPr id="6" name="Picture 6" descr="Figure 2: Patie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28" b="628"/>
                    <a:stretch/>
                  </pic:blipFill>
                  <pic:spPr bwMode="auto">
                    <a:xfrm>
                      <a:off x="0" y="0"/>
                      <a:ext cx="5731510" cy="3407797"/>
                    </a:xfrm>
                    <a:prstGeom prst="rect">
                      <a:avLst/>
                    </a:prstGeom>
                    <a:ln>
                      <a:noFill/>
                    </a:ln>
                    <a:extLst>
                      <a:ext uri="{53640926-AAD7-44D8-BBD7-CCE9431645EC}">
                        <a14:shadowObscured xmlns:a14="http://schemas.microsoft.com/office/drawing/2010/main"/>
                      </a:ext>
                    </a:extLst>
                  </pic:spPr>
                </pic:pic>
              </a:graphicData>
            </a:graphic>
          </wp:inline>
        </w:drawing>
      </w:r>
    </w:p>
    <w:p w:rsidR="00005950" w:rsidRPr="00005950" w:rsidRDefault="00005950" w:rsidP="005C1B3B">
      <w:pPr>
        <w:pStyle w:val="Heading6"/>
      </w:pPr>
      <w:r w:rsidRPr="00005950">
        <w:t xml:space="preserve">Major protocol </w:t>
      </w:r>
      <w:r w:rsidRPr="005C1B3B">
        <w:t>violations</w:t>
      </w:r>
      <w:r w:rsidRPr="00005950">
        <w:t>/deviations</w:t>
      </w:r>
    </w:p>
    <w:p w:rsidR="00005950" w:rsidRPr="00DD7C1A" w:rsidRDefault="00005950" w:rsidP="005C1B3B">
      <w:r w:rsidRPr="00DD7C1A">
        <w:t>Major protocol deviations occurred in 67 patients (40.</w:t>
      </w:r>
      <w:r w:rsidR="00921626">
        <w:t>9</w:t>
      </w:r>
      <w:r w:rsidRPr="00DD7C1A">
        <w:t>%) 12 patients (7.3%) took excluded medication; 7 patients (4.3%) did not meet inclusion/exclusion criteria; 44 patients (26.8%) had informed consent issues; 9 patients (5.5%) had investigational product issues; and 9 patie</w:t>
      </w:r>
      <w:r w:rsidR="00DD7C1A">
        <w:t xml:space="preserve">nts </w:t>
      </w:r>
      <w:r w:rsidR="00921626">
        <w:t xml:space="preserve">(5.5%) </w:t>
      </w:r>
      <w:r w:rsidR="00DD7C1A">
        <w:t>had other major deviations</w:t>
      </w:r>
      <w:r w:rsidRPr="00DD7C1A">
        <w:t xml:space="preserve">. Deviations considered likely to affect the primary endpoint </w:t>
      </w:r>
      <w:r w:rsidR="00783D1F">
        <w:t>were provided</w:t>
      </w:r>
      <w:r w:rsidRPr="00DD7C1A">
        <w:t>.</w:t>
      </w:r>
    </w:p>
    <w:p w:rsidR="00005950" w:rsidRPr="00005950" w:rsidRDefault="00005950" w:rsidP="005C1B3B">
      <w:r w:rsidRPr="00005950">
        <w:t>Compliance with both prophylaxis regimens was high with 93.6% of patients compliant with dose and interval for at least 80% of their doses and 80% of their dosing intervals. For patients on a prior prophylaxis regimen, 87.4% received injections at least 3 times weekly. The majority of patients (146) received at least 26 weeks of treatment. A total of 111 patients had more than 50 days exposure, of whom 110 had a valid inhibitor test</w:t>
      </w:r>
      <w:r w:rsidR="00A66C4B">
        <w:t>.</w:t>
      </w:r>
    </w:p>
    <w:p w:rsidR="00005950" w:rsidRPr="00005950" w:rsidRDefault="00005950" w:rsidP="005C1B3B">
      <w:pPr>
        <w:pStyle w:val="Heading6"/>
      </w:pPr>
      <w:r w:rsidRPr="00005950">
        <w:t>Baseline data</w:t>
      </w:r>
    </w:p>
    <w:p w:rsidR="00005950" w:rsidRPr="00005950" w:rsidRDefault="00005950" w:rsidP="005C1B3B">
      <w:r w:rsidRPr="00005950">
        <w:t xml:space="preserve">Demographics were representative of the general haemophilia </w:t>
      </w:r>
      <w:proofErr w:type="gramStart"/>
      <w:r w:rsidRPr="00005950">
        <w:t>A</w:t>
      </w:r>
      <w:proofErr w:type="gramEnd"/>
      <w:r w:rsidRPr="00005950">
        <w:t xml:space="preserve"> population and similar in all treatment arms. All patients were male with a median age of 30 years (range 12 to 65 years) and 13 patients in the ≥</w:t>
      </w:r>
      <w:r w:rsidR="00CC0669">
        <w:t xml:space="preserve"> </w:t>
      </w:r>
      <w:r w:rsidRPr="00005950">
        <w:t xml:space="preserve">12 to 17 age group. The majority (91.5%) were aged between 18 and 64 years. Of the 165 enrolled patients, 64.8% were White, 26.1% were Asian and 6.1% were Black. The median weight was 71.6 kg (range 42.0 to 127.4 kg) and median BMI was </w:t>
      </w:r>
      <w:proofErr w:type="gramStart"/>
      <w:r w:rsidRPr="00005950">
        <w:t>23.9 kg/m2 (range 15.3 to 37.4 kg/m2)</w:t>
      </w:r>
      <w:proofErr w:type="gramEnd"/>
      <w:r w:rsidRPr="00005950">
        <w:t>.</w:t>
      </w:r>
    </w:p>
    <w:p w:rsidR="00005950" w:rsidRDefault="00005950" w:rsidP="00086493">
      <w:r w:rsidRPr="00005950">
        <w:lastRenderedPageBreak/>
        <w:t xml:space="preserve">Baseline disease characteristics are shown in </w:t>
      </w:r>
      <w:r w:rsidR="006B352E">
        <w:t>Table 2</w:t>
      </w:r>
      <w:r w:rsidRPr="00005950">
        <w:t>. All patients had severe haemophilia and 153 patients had FVIII activity &lt;</w:t>
      </w:r>
      <w:r w:rsidR="00CC0669">
        <w:t xml:space="preserve"> </w:t>
      </w:r>
      <w:r w:rsidRPr="00005950">
        <w:t xml:space="preserve">1% at screening or baseline. All patients had previous exposure to FVIII of at least 150 days. The median </w:t>
      </w:r>
      <w:r w:rsidR="00596F19" w:rsidRPr="00596F19">
        <w:t xml:space="preserve">von </w:t>
      </w:r>
      <w:proofErr w:type="spellStart"/>
      <w:r w:rsidR="00596F19" w:rsidRPr="00596F19">
        <w:t>Willebrand</w:t>
      </w:r>
      <w:proofErr w:type="spellEnd"/>
      <w:r w:rsidR="00596F19" w:rsidRPr="00596F19">
        <w:t xml:space="preserve"> factor </w:t>
      </w:r>
      <w:r w:rsidR="00596F19">
        <w:t>(</w:t>
      </w:r>
      <w:r w:rsidRPr="00005950">
        <w:t>VWF</w:t>
      </w:r>
      <w:r w:rsidR="00596F19">
        <w:t>)</w:t>
      </w:r>
      <w:r w:rsidRPr="00005950">
        <w:t xml:space="preserve"> antigen levels (which protect FVIII from proteolytic degradation) were similar in each treatment group. The proportion of patients with blood type O (who have lower FVIII levels than with other blood types) was appro</w:t>
      </w:r>
      <w:r w:rsidR="0083304F">
        <w:t>ximately similar in each group.</w:t>
      </w:r>
      <w:r w:rsidRPr="00005950">
        <w:t xml:space="preserve"> The number of bleeding episodes in the prior 12 months is shown in Table </w:t>
      </w:r>
      <w:r w:rsidR="007D4D07">
        <w:t>3</w:t>
      </w:r>
      <w:r w:rsidRPr="00005950">
        <w:t xml:space="preserve">. The median number of bleeds in the individualised prophylaxis arm was 6.0. The median number of bleeds in the episodic treatment arms ranged from 24.0 to 29.5. Joint status measured by </w:t>
      </w:r>
      <w:r w:rsidR="00C85E9F" w:rsidRPr="00C85E9F">
        <w:t xml:space="preserve">Haemophilia Joint Health Score </w:t>
      </w:r>
      <w:r w:rsidR="00C85E9F">
        <w:t>(</w:t>
      </w:r>
      <w:r w:rsidRPr="00005950">
        <w:t>HJHS</w:t>
      </w:r>
      <w:r w:rsidR="00C85E9F">
        <w:t>)</w:t>
      </w:r>
      <w:r w:rsidRPr="00005950">
        <w:t xml:space="preserve"> was similar in all groups, consistent with patients with severe haemophilia. At baseline the median scores were 18.0 (Arm 1), 16.0 (Arm 2), 27.0 (Arm 3), and 20.0 (total group).</w:t>
      </w:r>
    </w:p>
    <w:p w:rsidR="006B352E" w:rsidRPr="00D1675E" w:rsidRDefault="006B352E" w:rsidP="00D1675E">
      <w:pPr>
        <w:pStyle w:val="Tabletitle"/>
      </w:pPr>
      <w:r>
        <w:t>Table 2: Study 997HA301</w:t>
      </w:r>
      <w:r w:rsidR="005E6144">
        <w:t>.</w:t>
      </w:r>
      <w:r>
        <w:t xml:space="preserve"> </w:t>
      </w:r>
      <w:proofErr w:type="gramStart"/>
      <w:r>
        <w:t>Summary of haemophilia history</w:t>
      </w:r>
      <w:r w:rsidR="005E6144">
        <w:t>.</w:t>
      </w:r>
      <w:proofErr w:type="gramEnd"/>
    </w:p>
    <w:p w:rsidR="006B352E" w:rsidRDefault="006B352E" w:rsidP="00D1675E">
      <w:r>
        <w:rPr>
          <w:noProof/>
          <w:lang w:eastAsia="en-AU"/>
        </w:rPr>
        <w:drawing>
          <wp:inline distT="0" distB="0" distL="0" distR="0" wp14:anchorId="4AC5F30E" wp14:editId="270A392D">
            <wp:extent cx="5731510" cy="2657862"/>
            <wp:effectExtent l="0" t="0" r="0" b="0"/>
            <wp:docPr id="4" name="Picture 4" descr="Table 2: Study 997HA301 Summary of haemophilia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8749"/>
                    <a:stretch>
                      <a:fillRect/>
                    </a:stretch>
                  </pic:blipFill>
                  <pic:spPr bwMode="auto">
                    <a:xfrm>
                      <a:off x="0" y="0"/>
                      <a:ext cx="5731510" cy="2657862"/>
                    </a:xfrm>
                    <a:prstGeom prst="rect">
                      <a:avLst/>
                    </a:prstGeom>
                    <a:noFill/>
                    <a:ln>
                      <a:noFill/>
                    </a:ln>
                  </pic:spPr>
                </pic:pic>
              </a:graphicData>
            </a:graphic>
          </wp:inline>
        </w:drawing>
      </w:r>
    </w:p>
    <w:p w:rsidR="006B352E" w:rsidRDefault="006B352E" w:rsidP="00D1675E">
      <w:pPr>
        <w:pStyle w:val="Tabletitle"/>
      </w:pPr>
      <w:r>
        <w:t>Table 3: Study 997HA301</w:t>
      </w:r>
      <w:r w:rsidR="005E6144">
        <w:t>.</w:t>
      </w:r>
      <w:r>
        <w:t xml:space="preserve"> </w:t>
      </w:r>
      <w:proofErr w:type="gramStart"/>
      <w:r>
        <w:t>Number of bleeding episodes in the prior 12 months.</w:t>
      </w:r>
      <w:proofErr w:type="gramEnd"/>
    </w:p>
    <w:p w:rsidR="006B352E" w:rsidRPr="00005950" w:rsidRDefault="007D4D07" w:rsidP="00D1675E">
      <w:r>
        <w:rPr>
          <w:noProof/>
          <w:lang w:eastAsia="en-AU"/>
        </w:rPr>
        <w:drawing>
          <wp:inline distT="0" distB="0" distL="0" distR="0" wp14:anchorId="4E404C10" wp14:editId="13B2DE0D">
            <wp:extent cx="5731510" cy="1547616"/>
            <wp:effectExtent l="0" t="0" r="0" b="0"/>
            <wp:docPr id="7" name="Picture 7" descr="Table 3: Study 997HA301 Number of bleeding episodes in the prior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t="12158"/>
                    <a:stretch>
                      <a:fillRect/>
                    </a:stretch>
                  </pic:blipFill>
                  <pic:spPr bwMode="auto">
                    <a:xfrm>
                      <a:off x="0" y="0"/>
                      <a:ext cx="5731510" cy="1547616"/>
                    </a:xfrm>
                    <a:prstGeom prst="rect">
                      <a:avLst/>
                    </a:prstGeom>
                    <a:noFill/>
                    <a:ln>
                      <a:noFill/>
                    </a:ln>
                  </pic:spPr>
                </pic:pic>
              </a:graphicData>
            </a:graphic>
          </wp:inline>
        </w:drawing>
      </w:r>
    </w:p>
    <w:p w:rsidR="00005950" w:rsidRDefault="00005950" w:rsidP="00D1675E">
      <w:r w:rsidRPr="00005950">
        <w:t xml:space="preserve">Consistent with the population of patients with severe haemophilia, 80% had joint disease and 35.8% had hepatitis. At baseline, 21.8% were HIV positive and 49.7% had HCV. Prior FVIII treatment regimens used prior to Day 1 are shown in Table </w:t>
      </w:r>
      <w:r w:rsidR="007D4D07">
        <w:t>4</w:t>
      </w:r>
      <w:r w:rsidRPr="00005950">
        <w:t>. Of the 165 randomised patients, 52.7% were on a FVIII prophylaxis regimen and 73.7%</w:t>
      </w:r>
      <w:r w:rsidR="004500BE">
        <w:rPr>
          <w:rStyle w:val="FootnoteReference"/>
        </w:rPr>
        <w:footnoteReference w:id="6"/>
      </w:r>
      <w:r w:rsidRPr="00005950">
        <w:t xml:space="preserve"> of patients enrolled in Arm 1. Of the 87 patients who were on a prophylaxis regimen prior to study entry, 1 (1.1%) reported a dosing frequency of one injection per week, 10 (11.5%) reported two injections per week, and 76 (87.4%) reported three or more injections per week. The most frequently used FVIII product before study entry was </w:t>
      </w:r>
      <w:proofErr w:type="spellStart"/>
      <w:r w:rsidRPr="00005950">
        <w:t>rFVIII</w:t>
      </w:r>
      <w:proofErr w:type="spellEnd"/>
      <w:r w:rsidRPr="00005950">
        <w:t xml:space="preserve"> (75.2%). The median doses typically used to treat a bleeding </w:t>
      </w:r>
      <w:r w:rsidRPr="00005950">
        <w:lastRenderedPageBreak/>
        <w:t>episode were 25.0 IU/kg (range 3 to 68 for minor bleeds), 30.0 IU/kg (range 3 to 68 for moderate bleeds), and 50.0 IU/kg (range 3 to 100 for severe bleeds).</w:t>
      </w:r>
    </w:p>
    <w:p w:rsidR="007D4D07" w:rsidRDefault="005E6144" w:rsidP="001F1452">
      <w:pPr>
        <w:pStyle w:val="Tabletitle"/>
      </w:pPr>
      <w:r>
        <w:t>Table 4:</w:t>
      </w:r>
      <w:r w:rsidR="007D4D07">
        <w:t xml:space="preserve"> Study 997H</w:t>
      </w:r>
      <w:r>
        <w:t>A301.</w:t>
      </w:r>
      <w:r w:rsidR="007D4D07">
        <w:t xml:space="preserve"> Pre-study FVIII regimen</w:t>
      </w:r>
      <w:r>
        <w:t>;</w:t>
      </w:r>
      <w:r w:rsidR="007D4D07">
        <w:t xml:space="preserve"> safety analysis set.</w:t>
      </w:r>
    </w:p>
    <w:p w:rsidR="007D4D07" w:rsidRPr="00005950" w:rsidRDefault="007D4D07" w:rsidP="001F1452">
      <w:r>
        <w:rPr>
          <w:noProof/>
          <w:lang w:eastAsia="en-AU"/>
        </w:rPr>
        <w:drawing>
          <wp:inline distT="0" distB="0" distL="0" distR="0" wp14:anchorId="4FFD6333" wp14:editId="46D38A7F">
            <wp:extent cx="5727700" cy="2984500"/>
            <wp:effectExtent l="0" t="0" r="0" b="0"/>
            <wp:docPr id="8" name="Picture 8" descr="Table 4: Study 997HA301. Pre-study FVIII regime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t="18288"/>
                    <a:stretch>
                      <a:fillRect/>
                    </a:stretch>
                  </pic:blipFill>
                  <pic:spPr bwMode="auto">
                    <a:xfrm>
                      <a:off x="0" y="0"/>
                      <a:ext cx="5727700" cy="2984500"/>
                    </a:xfrm>
                    <a:prstGeom prst="rect">
                      <a:avLst/>
                    </a:prstGeom>
                    <a:noFill/>
                    <a:ln>
                      <a:noFill/>
                    </a:ln>
                  </pic:spPr>
                </pic:pic>
              </a:graphicData>
            </a:graphic>
          </wp:inline>
        </w:drawing>
      </w:r>
    </w:p>
    <w:p w:rsidR="00005950" w:rsidRPr="00005950" w:rsidRDefault="00005950" w:rsidP="001F1452">
      <w:pPr>
        <w:pStyle w:val="Heading6"/>
      </w:pPr>
      <w:r w:rsidRPr="00005950">
        <w:t>Results for the primary efficacy outcome</w:t>
      </w:r>
    </w:p>
    <w:p w:rsidR="00005950" w:rsidRPr="00005950" w:rsidRDefault="00005950" w:rsidP="001F1452">
      <w:r w:rsidRPr="00005950">
        <w:t>The principal outcomes were the annualised bleeding rate per patient and comparison between the prophylaxis and episodic regimens. The primary endpoint was the comparison between Arm 1 and Arm 3. The main secondary endpoint was the comparison between Arm 2 and Arm 3.</w:t>
      </w:r>
    </w:p>
    <w:p w:rsidR="00005950" w:rsidRDefault="00005950" w:rsidP="00005950">
      <w:r w:rsidRPr="00005950">
        <w:t>The annualised bleeding rate over the efficacy period is shown for Arms 1, 2, and 3, and compared between Arms 1 and 3 and Arms 2 and 3 in Table</w:t>
      </w:r>
      <w:r w:rsidR="005E6144">
        <w:t xml:space="preserve"> 5</w:t>
      </w:r>
      <w:r w:rsidRPr="00005950">
        <w:t>. The annualised bleeding rate estimated from the negative binomial model was 2.91 (95% CI: 2.30, 3.68) in Arm 1, 8.92 (95% CI: 5.48, 14.51) in Arm 2, and 37.25 (95% CI: 24.03, 57.74) in Arm 3. The bleeding rate ratios were 0.08 (p</w:t>
      </w:r>
      <w:r w:rsidR="00CC0669">
        <w:t xml:space="preserve"> </w:t>
      </w:r>
      <w:r w:rsidRPr="00005950">
        <w:t>&lt;</w:t>
      </w:r>
      <w:r w:rsidR="00CC0669">
        <w:t xml:space="preserve"> </w:t>
      </w:r>
      <w:r w:rsidRPr="00005950">
        <w:t>0.001) for Arm 1 versus Arm 3, and 0.24 (p</w:t>
      </w:r>
      <w:r w:rsidR="00CC0669">
        <w:t xml:space="preserve"> </w:t>
      </w:r>
      <w:r w:rsidRPr="00005950">
        <w:t>&lt;</w:t>
      </w:r>
      <w:r w:rsidR="00CC0669">
        <w:t xml:space="preserve"> </w:t>
      </w:r>
      <w:r w:rsidRPr="00005950">
        <w:t>0.001) for Arm 2 versus Arm 3, indicating significant reductions of 92% (Arm 1) and 76% (Arm 2) for prophylaxis or weekly prophylaxis compared with episodic treatment. No bleeding episodes were reported for 53 (45.3%) patients in Arm 1 and four (17.4%) patients in Arm 2. All patients in Arm 3 experienced bleeding episodes.</w:t>
      </w:r>
    </w:p>
    <w:p w:rsidR="005E6144" w:rsidRDefault="005E6144" w:rsidP="001F1452">
      <w:pPr>
        <w:pStyle w:val="Tabletitle"/>
      </w:pPr>
      <w:r>
        <w:t>Table 5: Study 997HA301. Summary of bleeding episodes; full analysis set.</w:t>
      </w:r>
    </w:p>
    <w:p w:rsidR="005E6144" w:rsidRPr="00005950" w:rsidRDefault="005E6144" w:rsidP="001F1452">
      <w:r>
        <w:rPr>
          <w:noProof/>
          <w:lang w:eastAsia="en-AU"/>
        </w:rPr>
        <w:drawing>
          <wp:inline distT="0" distB="0" distL="0" distR="0" wp14:anchorId="3C75045A" wp14:editId="7034BED8">
            <wp:extent cx="5312496" cy="2287038"/>
            <wp:effectExtent l="0" t="0" r="0" b="0"/>
            <wp:docPr id="9" name="Picture 9" descr="Table 5: Study 997HA301. Summary of bleeding episod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21512"/>
                    <a:stretch>
                      <a:fillRect/>
                    </a:stretch>
                  </pic:blipFill>
                  <pic:spPr bwMode="auto">
                    <a:xfrm>
                      <a:off x="0" y="0"/>
                      <a:ext cx="5310900" cy="2286351"/>
                    </a:xfrm>
                    <a:prstGeom prst="rect">
                      <a:avLst/>
                    </a:prstGeom>
                    <a:noFill/>
                    <a:ln>
                      <a:noFill/>
                    </a:ln>
                  </pic:spPr>
                </pic:pic>
              </a:graphicData>
            </a:graphic>
          </wp:inline>
        </w:drawing>
      </w:r>
    </w:p>
    <w:p w:rsidR="00005950" w:rsidRDefault="00005950" w:rsidP="00236E87">
      <w:r w:rsidRPr="00005950">
        <w:lastRenderedPageBreak/>
        <w:t xml:space="preserve">A sensitivity analysis was performed which excluded 12 patients with major protocol deviations with potential to affect the primary endpoint. The results were similar to the primary analysis with median annualised bleeding rates of 1.60, 3.59 and 33.57 in Arms 1, 2, and 3, respectively </w:t>
      </w:r>
      <w:r w:rsidR="00AD65B3">
        <w:t>(Table 6)</w:t>
      </w:r>
      <w:r w:rsidRPr="00005950">
        <w:t>. A sensitivity analysis performed after adjustment for at least 80% compliance with study treatment also demonstrated similar results to the primary analysis.</w:t>
      </w:r>
    </w:p>
    <w:p w:rsidR="00AD65B3" w:rsidRDefault="00AD65B3" w:rsidP="00236E87">
      <w:pPr>
        <w:pStyle w:val="Tabletitle"/>
      </w:pPr>
      <w:r>
        <w:t xml:space="preserve">Table 6: Study 997HA301. </w:t>
      </w:r>
      <w:proofErr w:type="gramStart"/>
      <w:r>
        <w:t>Annualised bleeding rates.</w:t>
      </w:r>
      <w:proofErr w:type="gramEnd"/>
    </w:p>
    <w:p w:rsidR="00AD65B3" w:rsidRPr="00AD65B3" w:rsidRDefault="00AD65B3" w:rsidP="00236E87">
      <w:r>
        <w:rPr>
          <w:noProof/>
          <w:lang w:eastAsia="en-AU"/>
        </w:rPr>
        <w:drawing>
          <wp:inline distT="0" distB="0" distL="0" distR="0" wp14:anchorId="328A4F9E" wp14:editId="7F1D307E">
            <wp:extent cx="5731510" cy="2473138"/>
            <wp:effectExtent l="0" t="0" r="0" b="0"/>
            <wp:docPr id="10" name="Picture 10" descr="Table 6: Study 997HA301. Annualised bleeding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t="11400"/>
                    <a:stretch>
                      <a:fillRect/>
                    </a:stretch>
                  </pic:blipFill>
                  <pic:spPr bwMode="auto">
                    <a:xfrm>
                      <a:off x="0" y="0"/>
                      <a:ext cx="5731510" cy="2473138"/>
                    </a:xfrm>
                    <a:prstGeom prst="rect">
                      <a:avLst/>
                    </a:prstGeom>
                    <a:noFill/>
                    <a:ln>
                      <a:noFill/>
                    </a:ln>
                  </pic:spPr>
                </pic:pic>
              </a:graphicData>
            </a:graphic>
          </wp:inline>
        </w:drawing>
      </w:r>
    </w:p>
    <w:p w:rsidR="00005950" w:rsidRPr="00005950" w:rsidRDefault="00005950" w:rsidP="00236E87">
      <w:r w:rsidRPr="00005950">
        <w:t>A total of 13 patients aged 12 -17 years were included in the primary analysis. In the 11 adolescent patients randomised to Arm 1, the median annualised bleeding rate was 1.92 (range 0 – 7.1) compared with 1.44 (range 0 - 18.2) in the 105 patients in the 18 to 6</w:t>
      </w:r>
      <w:r w:rsidR="004500BE">
        <w:t>4</w:t>
      </w:r>
      <w:r w:rsidRPr="00005950">
        <w:t xml:space="preserve"> years age group</w:t>
      </w:r>
      <w:r w:rsidR="00A66C4B">
        <w:t>.</w:t>
      </w:r>
    </w:p>
    <w:p w:rsidR="00005950" w:rsidRPr="00005950" w:rsidRDefault="00005950" w:rsidP="00236E87">
      <w:pPr>
        <w:pStyle w:val="Heading6"/>
      </w:pPr>
      <w:r w:rsidRPr="00005950">
        <w:t xml:space="preserve">Results for other </w:t>
      </w:r>
      <w:r w:rsidRPr="001F1452">
        <w:t>efficacy</w:t>
      </w:r>
      <w:r w:rsidRPr="00005950">
        <w:t xml:space="preserve"> outcomes</w:t>
      </w:r>
    </w:p>
    <w:p w:rsidR="00005950" w:rsidRPr="00005950" w:rsidRDefault="00005950" w:rsidP="00236E87">
      <w:pPr>
        <w:pStyle w:val="ListBullet"/>
      </w:pPr>
      <w:r w:rsidRPr="00005950">
        <w:t xml:space="preserve">Overall, 77.6% of </w:t>
      </w:r>
      <w:proofErr w:type="spellStart"/>
      <w:r w:rsidRPr="00005950">
        <w:t>rFVIIIFc</w:t>
      </w:r>
      <w:proofErr w:type="spellEnd"/>
      <w:r w:rsidRPr="00005950">
        <w:t xml:space="preserve"> injections were rated by patients as having an excellent or </w:t>
      </w:r>
      <w:r w:rsidRPr="001F1452">
        <w:t>good</w:t>
      </w:r>
      <w:r w:rsidRPr="00005950">
        <w:t xml:space="preserve"> response. Only 0.7% of injections were rated as having no response</w:t>
      </w:r>
      <w:r w:rsidR="00A66C4B">
        <w:t>.</w:t>
      </w:r>
    </w:p>
    <w:p w:rsidR="00005950" w:rsidRDefault="00005950" w:rsidP="00236E87">
      <w:pPr>
        <w:pStyle w:val="ListBullet"/>
      </w:pPr>
      <w:r w:rsidRPr="00005950">
        <w:t>A low annualised bleeding rate was obse</w:t>
      </w:r>
      <w:r w:rsidR="009774F0">
        <w:t>rved for spontaneous, traumatic</w:t>
      </w:r>
      <w:r w:rsidRPr="00005950">
        <w:t xml:space="preserve">, and </w:t>
      </w:r>
      <w:r w:rsidRPr="001F1452">
        <w:t>unknown</w:t>
      </w:r>
      <w:r w:rsidRPr="00005950">
        <w:t xml:space="preserve"> site bleeding episodes in patients on a prophylaxis regimen </w:t>
      </w:r>
      <w:r w:rsidR="009774F0">
        <w:t>(Table 7).</w:t>
      </w:r>
    </w:p>
    <w:p w:rsidR="009774F0" w:rsidRDefault="009774F0" w:rsidP="00236E87">
      <w:pPr>
        <w:pStyle w:val="Tabletitle"/>
      </w:pPr>
      <w:r>
        <w:t xml:space="preserve">Table 7: Study 997HA301. </w:t>
      </w:r>
      <w:proofErr w:type="gramStart"/>
      <w:r>
        <w:t>Summary of annualised bleeding episodes by type of bleed.</w:t>
      </w:r>
      <w:proofErr w:type="gramEnd"/>
      <w:r>
        <w:t xml:space="preserve"> Full analysis set.</w:t>
      </w:r>
    </w:p>
    <w:p w:rsidR="009774F0" w:rsidRPr="009774F0" w:rsidRDefault="009774F0" w:rsidP="00236E87">
      <w:r>
        <w:rPr>
          <w:noProof/>
          <w:lang w:eastAsia="en-AU"/>
        </w:rPr>
        <w:drawing>
          <wp:inline distT="0" distB="0" distL="0" distR="0" wp14:anchorId="1DDA58A6" wp14:editId="5C8789FB">
            <wp:extent cx="5727700" cy="2692400"/>
            <wp:effectExtent l="0" t="0" r="0" b="0"/>
            <wp:docPr id="11" name="Picture 11" descr="Table 7: Study 997HA301. Summary of annualised bleeding episodes by type of blee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t="22607"/>
                    <a:stretch>
                      <a:fillRect/>
                    </a:stretch>
                  </pic:blipFill>
                  <pic:spPr bwMode="auto">
                    <a:xfrm>
                      <a:off x="0" y="0"/>
                      <a:ext cx="5727700" cy="2692400"/>
                    </a:xfrm>
                    <a:prstGeom prst="rect">
                      <a:avLst/>
                    </a:prstGeom>
                    <a:noFill/>
                    <a:ln>
                      <a:noFill/>
                    </a:ln>
                  </pic:spPr>
                </pic:pic>
              </a:graphicData>
            </a:graphic>
          </wp:inline>
        </w:drawing>
      </w:r>
    </w:p>
    <w:p w:rsidR="00005950" w:rsidRPr="00005950" w:rsidRDefault="00005950" w:rsidP="00236E87">
      <w:pPr>
        <w:pStyle w:val="ListBullet"/>
      </w:pPr>
      <w:r w:rsidRPr="00005950">
        <w:lastRenderedPageBreak/>
        <w:t xml:space="preserve">The median interval between the last injection of </w:t>
      </w:r>
      <w:proofErr w:type="spellStart"/>
      <w:r w:rsidRPr="00005950">
        <w:t>rFVIIIFc</w:t>
      </w:r>
      <w:proofErr w:type="spellEnd"/>
      <w:r w:rsidRPr="00005950">
        <w:t xml:space="preserve"> administered to treat a bleeding episode and each new bleeding episode was longer for those patients on prophylaxis compared with episodic treatment. The median interval between the last injection of </w:t>
      </w:r>
      <w:proofErr w:type="spellStart"/>
      <w:r w:rsidRPr="00005950">
        <w:t>rFVIIIFc</w:t>
      </w:r>
      <w:proofErr w:type="spellEnd"/>
      <w:r w:rsidRPr="00005950">
        <w:t xml:space="preserve"> administered to treat a bleeding episode and a new bleeding episode was longer for patients treated with prophylaxis (19.83 for Arm 1 and 8.0 days for </w:t>
      </w:r>
      <w:r w:rsidRPr="00236E87">
        <w:t>Arm</w:t>
      </w:r>
      <w:r w:rsidRPr="00005950">
        <w:t xml:space="preserve"> 2) compared with patients treated episodically (6.55 days).</w:t>
      </w:r>
    </w:p>
    <w:p w:rsidR="00005950" w:rsidRPr="00005950" w:rsidRDefault="00005950" w:rsidP="00236E87">
      <w:pPr>
        <w:pStyle w:val="ListBullet"/>
      </w:pPr>
      <w:r w:rsidRPr="00005950">
        <w:t>Overall, 97.8% of bleeding episodes were controlled with ≤</w:t>
      </w:r>
      <w:r w:rsidR="00DD37AA">
        <w:t xml:space="preserve"> </w:t>
      </w:r>
      <w:r w:rsidRPr="00005950">
        <w:t xml:space="preserve">2 injections of </w:t>
      </w:r>
      <w:proofErr w:type="spellStart"/>
      <w:r w:rsidRPr="00005950">
        <w:t>rFVIIIFc</w:t>
      </w:r>
      <w:proofErr w:type="spellEnd"/>
      <w:r w:rsidRPr="00005950">
        <w:t xml:space="preserve"> with 87.3% controlled by one injection. Per bleeding episode, the median dose per injection required for resolution of bleeding was 27.35 IU/kg, and the median total dose required was 28.23 IU/kg.</w:t>
      </w:r>
    </w:p>
    <w:p w:rsidR="00005950" w:rsidRPr="00005950" w:rsidRDefault="00005950" w:rsidP="00236E87">
      <w:pPr>
        <w:pStyle w:val="ListBullet"/>
      </w:pPr>
      <w:r w:rsidRPr="00005950">
        <w:t xml:space="preserve">There was an improvement in </w:t>
      </w:r>
      <w:proofErr w:type="spellStart"/>
      <w:r w:rsidRPr="00005950">
        <w:t>QoL</w:t>
      </w:r>
      <w:proofErr w:type="spellEnd"/>
      <w:r w:rsidRPr="00005950">
        <w:t xml:space="preserve"> from baseline in prophylaxis patients who had switched from prior episodic therapy.</w:t>
      </w:r>
    </w:p>
    <w:p w:rsidR="00005950" w:rsidRPr="00005950" w:rsidRDefault="00005950" w:rsidP="00236E87">
      <w:pPr>
        <w:pStyle w:val="ListBullet"/>
      </w:pPr>
      <w:r w:rsidRPr="00005950">
        <w:t xml:space="preserve">Nine major surgeries were performed </w:t>
      </w:r>
      <w:r w:rsidRPr="001F1452">
        <w:t>an</w:t>
      </w:r>
      <w:r w:rsidR="0083304F" w:rsidRPr="001F1452">
        <w:t>d</w:t>
      </w:r>
      <w:r w:rsidR="0083304F">
        <w:t xml:space="preserve"> haemostasis was rated by the investigators/s</w:t>
      </w:r>
      <w:r w:rsidRPr="00005950">
        <w:t>urgeons as excellent or good in all cases. A total of 14 minor surgical procedures were performed in 12 patients and haemostasis was rated as excellent or good in all cases.</w:t>
      </w:r>
    </w:p>
    <w:p w:rsidR="00005950" w:rsidRPr="00005950" w:rsidRDefault="00005950" w:rsidP="00236E87">
      <w:pPr>
        <w:pStyle w:val="ListBullet"/>
      </w:pPr>
      <w:r w:rsidRPr="00005950">
        <w:t xml:space="preserve">The Investigators’ Global Assessment for Patients’ Response to </w:t>
      </w:r>
      <w:proofErr w:type="spellStart"/>
      <w:r w:rsidRPr="00005950">
        <w:t>rFVIIIFc</w:t>
      </w:r>
      <w:proofErr w:type="spellEnd"/>
      <w:r w:rsidRPr="00005950">
        <w:t xml:space="preserve"> was excellent or effective for 99.3% of the patients’ visits.</w:t>
      </w:r>
    </w:p>
    <w:p w:rsidR="00005950" w:rsidRPr="00005950" w:rsidRDefault="00005950" w:rsidP="00236E87">
      <w:pPr>
        <w:pStyle w:val="Heading4"/>
      </w:pPr>
      <w:bookmarkStart w:id="107" w:name="_Toc241374312"/>
      <w:bookmarkStart w:id="108" w:name="_Toc272414656"/>
      <w:bookmarkStart w:id="109" w:name="_Toc290846281"/>
      <w:bookmarkStart w:id="110" w:name="_Toc368471511"/>
      <w:r w:rsidRPr="00005950">
        <w:t xml:space="preserve">Analyses performed across </w:t>
      </w:r>
      <w:r w:rsidRPr="001F1452">
        <w:t>trials</w:t>
      </w:r>
      <w:r w:rsidRPr="00005950">
        <w:t xml:space="preserve"> (pooled analyses and meta-analyses)</w:t>
      </w:r>
      <w:bookmarkEnd w:id="107"/>
      <w:bookmarkEnd w:id="108"/>
      <w:bookmarkEnd w:id="109"/>
      <w:bookmarkEnd w:id="110"/>
    </w:p>
    <w:p w:rsidR="00005950" w:rsidRPr="00005950" w:rsidRDefault="00005950" w:rsidP="00236E87">
      <w:r w:rsidRPr="00005950">
        <w:t>Only one efficacy study has been performed.</w:t>
      </w:r>
    </w:p>
    <w:p w:rsidR="00005950" w:rsidRPr="00005950" w:rsidRDefault="00005950" w:rsidP="00236E87">
      <w:pPr>
        <w:pStyle w:val="Heading4"/>
      </w:pPr>
      <w:bookmarkStart w:id="111" w:name="_Ref271126605"/>
      <w:bookmarkStart w:id="112" w:name="_Toc272414657"/>
      <w:bookmarkStart w:id="113" w:name="_Toc290846282"/>
      <w:bookmarkStart w:id="114" w:name="_Toc368471512"/>
      <w:proofErr w:type="gramStart"/>
      <w:r w:rsidRPr="00005950">
        <w:t xml:space="preserve">Evaluator’s conclusions on clinical efficacy for control </w:t>
      </w:r>
      <w:bookmarkEnd w:id="111"/>
      <w:bookmarkEnd w:id="112"/>
      <w:bookmarkEnd w:id="113"/>
      <w:r w:rsidRPr="00005950">
        <w:t xml:space="preserve">of bleeding episodes, routine prophylaxis to prevent or reduce the </w:t>
      </w:r>
      <w:r w:rsidRPr="00E3737A">
        <w:t>frequency</w:t>
      </w:r>
      <w:r w:rsidRPr="00005950">
        <w:t xml:space="preserve"> of bleeding episodes, and perioperative management (surgical prophylaxis).</w:t>
      </w:r>
      <w:bookmarkEnd w:id="114"/>
      <w:proofErr w:type="gramEnd"/>
    </w:p>
    <w:p w:rsidR="00005950" w:rsidRPr="0014458F" w:rsidRDefault="00005950" w:rsidP="00236E87">
      <w:r w:rsidRPr="0014458F">
        <w:t xml:space="preserve">Because of the limited availability of haemophilia </w:t>
      </w:r>
      <w:proofErr w:type="gramStart"/>
      <w:r w:rsidRPr="0014458F">
        <w:t>A</w:t>
      </w:r>
      <w:proofErr w:type="gramEnd"/>
      <w:r w:rsidRPr="0014458F">
        <w:t xml:space="preserve"> patients, the latest EU Guideline EMA/CHMP/BPWP/144533/2009 (not yet adopted by the TGA) recommends the enrolment of at least 100 patients, using FVIII activity as a surrogate endpoint and without</w:t>
      </w:r>
      <w:r w:rsidR="0014458F">
        <w:t xml:space="preserve"> the need for a control group. </w:t>
      </w:r>
      <w:r w:rsidRPr="0014458F">
        <w:t>The initial study should be conducted in PTPs aged ≥</w:t>
      </w:r>
      <w:r w:rsidR="00DD37AA">
        <w:t xml:space="preserve"> </w:t>
      </w:r>
      <w:r w:rsidRPr="0014458F">
        <w:t>12 years with a study in PUPs conducted post-marketing. In the pivotal study, a total of 165 patients were randomised and all were PTPs. Patient numbers were adequate and 13 adolescent patients were included</w:t>
      </w:r>
      <w:r w:rsidR="00A66C4B">
        <w:t>.</w:t>
      </w:r>
    </w:p>
    <w:p w:rsidR="00005950" w:rsidRPr="0014458F" w:rsidRDefault="00005950" w:rsidP="00236E87">
      <w:r w:rsidRPr="0014458F">
        <w:t xml:space="preserve">Despite the lack of a control group, the study clearly demonstrated that </w:t>
      </w:r>
      <w:proofErr w:type="spellStart"/>
      <w:r w:rsidRPr="0014458F">
        <w:t>rFVIIIFc</w:t>
      </w:r>
      <w:proofErr w:type="spellEnd"/>
      <w:r w:rsidRPr="0014458F">
        <w:t xml:space="preserve"> is effective in adults and adolescents with haemophilia A. In the pivotal </w:t>
      </w:r>
      <w:r w:rsidR="00965C48">
        <w:t>Phase III</w:t>
      </w:r>
      <w:r w:rsidRPr="0014458F">
        <w:t xml:space="preserve"> study, there were 757 bleeding episodes of which 97.8% were controlled with ≤</w:t>
      </w:r>
      <w:r w:rsidR="00DD37AA">
        <w:t xml:space="preserve"> </w:t>
      </w:r>
      <w:r w:rsidRPr="0014458F">
        <w:t xml:space="preserve">2 </w:t>
      </w:r>
      <w:proofErr w:type="spellStart"/>
      <w:r w:rsidRPr="0014458F">
        <w:t>rFVIIIFc</w:t>
      </w:r>
      <w:proofErr w:type="spellEnd"/>
      <w:r w:rsidRPr="0014458F">
        <w:t xml:space="preserve"> injections (87.3% with one injection) with a total median dose of 28 IU/kg. A total of 78.1% of patients evaluated the response to the first injection as excellent or good. The Investigators’ global assessment of response was rated as excellent or effective for 99.3% of the patient visits. Prophylactic treatment was more effective than episodic treatment. In Arm 1 of the pivotal study (prophylaxis tailored to FVIII trough levels), 45.3% of patients had no bleeding episodes during the efficacy period with a 92% reduction (p</w:t>
      </w:r>
      <w:r w:rsidR="00DD37AA">
        <w:t xml:space="preserve"> </w:t>
      </w:r>
      <w:r w:rsidRPr="0014458F">
        <w:t>&lt;</w:t>
      </w:r>
      <w:r w:rsidR="00DD37AA">
        <w:t xml:space="preserve"> </w:t>
      </w:r>
      <w:r w:rsidRPr="0014458F">
        <w:t xml:space="preserve">0.001) in annualised bleeding rate compared with Arm 3 (the episodic treatment group). Single dose weekly prophylaxis was less effective than tailored prophylaxis but 14.5% of patients in Arm 2 had no bleeding episodes during the study. Nine major surgeries were performed in nine patients during the study. The response to </w:t>
      </w:r>
      <w:proofErr w:type="spellStart"/>
      <w:r w:rsidRPr="0014458F">
        <w:t>rFVIIIFc</w:t>
      </w:r>
      <w:proofErr w:type="spellEnd"/>
      <w:r w:rsidRPr="0014458F">
        <w:t xml:space="preserve"> was excellent in eight cases and good in one case after a single pre-operative dose to maintain haemostasis (median dose 51.4 IU/kg)</w:t>
      </w:r>
      <w:r w:rsidR="00A66C4B">
        <w:t>.</w:t>
      </w:r>
    </w:p>
    <w:p w:rsidR="00C22678" w:rsidRPr="00005950" w:rsidRDefault="00005950" w:rsidP="00236E87">
      <w:r w:rsidRPr="00005950">
        <w:t xml:space="preserve">The study conduct was satisfactory and the efficacy results support the use of </w:t>
      </w:r>
      <w:proofErr w:type="spellStart"/>
      <w:r w:rsidRPr="00005950">
        <w:t>rFVIIIFc</w:t>
      </w:r>
      <w:proofErr w:type="spellEnd"/>
      <w:r w:rsidRPr="00005950">
        <w:t xml:space="preserve"> for control of bleeding episodes, routine prophylaxis</w:t>
      </w:r>
      <w:r w:rsidR="0014458F">
        <w:t xml:space="preserve"> and peri-operative management.</w:t>
      </w:r>
    </w:p>
    <w:p w:rsidR="00C22678" w:rsidRDefault="00C22678" w:rsidP="00236E87">
      <w:pPr>
        <w:pStyle w:val="Heading2"/>
      </w:pPr>
      <w:bookmarkStart w:id="115" w:name="_Toc413223142"/>
      <w:r>
        <w:lastRenderedPageBreak/>
        <w:t>Clinical safety</w:t>
      </w:r>
      <w:bookmarkEnd w:id="115"/>
    </w:p>
    <w:p w:rsidR="00511DB9" w:rsidRPr="00511DB9" w:rsidRDefault="00511DB9" w:rsidP="00236E87">
      <w:pPr>
        <w:pStyle w:val="Heading3"/>
      </w:pPr>
      <w:bookmarkStart w:id="116" w:name="_Toc272414659"/>
      <w:bookmarkStart w:id="117" w:name="_Toc290846284"/>
      <w:bookmarkStart w:id="118" w:name="_Toc368471514"/>
      <w:bookmarkStart w:id="119" w:name="_Toc413223143"/>
      <w:r w:rsidRPr="00511DB9">
        <w:t xml:space="preserve">Studies </w:t>
      </w:r>
      <w:r w:rsidRPr="00236E87">
        <w:t>providing</w:t>
      </w:r>
      <w:r w:rsidRPr="00511DB9">
        <w:t xml:space="preserve"> evaluable safety data</w:t>
      </w:r>
      <w:bookmarkEnd w:id="116"/>
      <w:bookmarkEnd w:id="117"/>
      <w:bookmarkEnd w:id="118"/>
      <w:bookmarkEnd w:id="119"/>
    </w:p>
    <w:p w:rsidR="00511DB9" w:rsidRPr="00511DB9" w:rsidRDefault="00511DB9" w:rsidP="00236E87">
      <w:bookmarkStart w:id="120" w:name="_Ref268776745"/>
      <w:r w:rsidRPr="00511DB9">
        <w:t xml:space="preserve">Study 997HA301 provided evaluable safety data. </w:t>
      </w:r>
      <w:r>
        <w:t>T</w:t>
      </w:r>
      <w:r w:rsidRPr="00511DB9">
        <w:t xml:space="preserve">here were few AEs in the PK study 998HA101 with no </w:t>
      </w:r>
      <w:r w:rsidR="004F3FBC" w:rsidRPr="004F3FBC">
        <w:t>serious adverse event</w:t>
      </w:r>
      <w:r w:rsidR="004F3FBC">
        <w:t>s (</w:t>
      </w:r>
      <w:r w:rsidRPr="00511DB9">
        <w:t>SAEs</w:t>
      </w:r>
      <w:r w:rsidR="004F3FBC">
        <w:t>)</w:t>
      </w:r>
      <w:r w:rsidRPr="00511DB9">
        <w:t xml:space="preserve"> or deaths. The study contributed less than 0.2% of the total </w:t>
      </w:r>
      <w:proofErr w:type="spellStart"/>
      <w:r w:rsidRPr="00511DB9">
        <w:t>rFVIIIFc</w:t>
      </w:r>
      <w:proofErr w:type="spellEnd"/>
      <w:r w:rsidRPr="00511DB9">
        <w:t xml:space="preserve"> exposure and these safety data are not assessed further</w:t>
      </w:r>
      <w:r w:rsidR="00A66C4B">
        <w:t>.</w:t>
      </w:r>
    </w:p>
    <w:p w:rsidR="00511DB9" w:rsidRPr="00511DB9" w:rsidRDefault="00511DB9" w:rsidP="00236E87">
      <w:pPr>
        <w:pStyle w:val="ListBullet"/>
      </w:pPr>
      <w:r w:rsidRPr="00511DB9">
        <w:t>Pivotal efficacy studies</w:t>
      </w:r>
      <w:bookmarkEnd w:id="120"/>
      <w:r w:rsidR="00237022">
        <w:t>.</w:t>
      </w:r>
    </w:p>
    <w:p w:rsidR="00511DB9" w:rsidRPr="00511DB9" w:rsidRDefault="00511DB9" w:rsidP="002C1BA2">
      <w:pPr>
        <w:pStyle w:val="ListBullet2"/>
        <w:numPr>
          <w:ilvl w:val="0"/>
          <w:numId w:val="0"/>
        </w:numPr>
        <w:ind w:left="720"/>
      </w:pPr>
      <w:r w:rsidRPr="00511DB9">
        <w:t>In the pivotal efficacy study, the following safety data were collected:</w:t>
      </w:r>
    </w:p>
    <w:p w:rsidR="00511DB9" w:rsidRPr="00511DB9" w:rsidRDefault="002C1BA2" w:rsidP="002C1BA2">
      <w:pPr>
        <w:pStyle w:val="ListBullet2"/>
      </w:pPr>
      <w:r>
        <w:t>AEs, SAEs and deaths</w:t>
      </w:r>
    </w:p>
    <w:p w:rsidR="00511DB9" w:rsidRPr="00511DB9" w:rsidRDefault="00511DB9" w:rsidP="002C1BA2">
      <w:pPr>
        <w:pStyle w:val="ListBullet2"/>
      </w:pPr>
      <w:r w:rsidRPr="00511DB9">
        <w:t xml:space="preserve">AEs of special </w:t>
      </w:r>
      <w:r w:rsidRPr="002C1BA2">
        <w:t>interest</w:t>
      </w:r>
      <w:r w:rsidRPr="00511DB9">
        <w:t>, including inhibitor development, anaphylaxis, hypersensitivity events, serious thrombotic events, or suspected infectious agent transmission were reported to the Sponsor as SAEs irrespective of whether they met the criteria for SAEs</w:t>
      </w:r>
      <w:r w:rsidR="00A66C4B">
        <w:t>.</w:t>
      </w:r>
    </w:p>
    <w:p w:rsidR="00511DB9" w:rsidRPr="00511DB9" w:rsidRDefault="00511DB9" w:rsidP="002C1BA2">
      <w:pPr>
        <w:pStyle w:val="ListBullet2"/>
      </w:pPr>
      <w:r w:rsidRPr="00511DB9">
        <w:t xml:space="preserve">Laboratory tests </w:t>
      </w:r>
      <w:r w:rsidRPr="002C1BA2">
        <w:t>were</w:t>
      </w:r>
      <w:r w:rsidRPr="00511DB9">
        <w:t xml:space="preserve"> performed at a central laboratory.</w:t>
      </w:r>
    </w:p>
    <w:p w:rsidR="00511DB9" w:rsidRPr="00511DB9" w:rsidRDefault="00511DB9" w:rsidP="002C1BA2">
      <w:pPr>
        <w:pStyle w:val="ListBullet"/>
      </w:pPr>
      <w:r w:rsidRPr="00511DB9">
        <w:t xml:space="preserve">Pivotal studies that </w:t>
      </w:r>
      <w:r w:rsidRPr="002C1BA2">
        <w:t>assessed</w:t>
      </w:r>
      <w:r w:rsidRPr="00511DB9">
        <w:t xml:space="preserve"> safety as a primary outcome</w:t>
      </w:r>
      <w:r w:rsidR="000158F6">
        <w:t>.</w:t>
      </w:r>
    </w:p>
    <w:p w:rsidR="00511DB9" w:rsidRPr="00511DB9" w:rsidRDefault="00511DB9" w:rsidP="002C1BA2">
      <w:r w:rsidRPr="00511DB9">
        <w:t>No studies have been performed.</w:t>
      </w:r>
    </w:p>
    <w:p w:rsidR="00511DB9" w:rsidRPr="00511DB9" w:rsidRDefault="00511DB9" w:rsidP="002C1BA2">
      <w:pPr>
        <w:pStyle w:val="ListBullet"/>
      </w:pPr>
      <w:r w:rsidRPr="00511DB9">
        <w:t>Dose-response and non-</w:t>
      </w:r>
      <w:r w:rsidRPr="002C1BA2">
        <w:t>pivotal</w:t>
      </w:r>
      <w:r w:rsidRPr="00511DB9">
        <w:t xml:space="preserve"> efficacy studies</w:t>
      </w:r>
      <w:r w:rsidR="000158F6">
        <w:t>.</w:t>
      </w:r>
    </w:p>
    <w:p w:rsidR="00511DB9" w:rsidRPr="00511DB9" w:rsidRDefault="00511DB9" w:rsidP="002C1BA2">
      <w:r w:rsidRPr="00511DB9">
        <w:t>No studies have been performed.</w:t>
      </w:r>
    </w:p>
    <w:p w:rsidR="00511DB9" w:rsidRPr="00511DB9" w:rsidRDefault="00511DB9" w:rsidP="002C1BA2">
      <w:pPr>
        <w:pStyle w:val="ListBullet"/>
      </w:pPr>
      <w:r w:rsidRPr="00DD37AA">
        <w:t>Other st</w:t>
      </w:r>
      <w:r w:rsidR="00DD37AA">
        <w:t xml:space="preserve">udies evaluable </w:t>
      </w:r>
      <w:r w:rsidR="00DD37AA" w:rsidRPr="002C1BA2">
        <w:t>for</w:t>
      </w:r>
      <w:r w:rsidR="00DD37AA">
        <w:t xml:space="preserve"> safety only</w:t>
      </w:r>
      <w:r w:rsidR="00237022">
        <w:t>.</w:t>
      </w:r>
    </w:p>
    <w:p w:rsidR="00511DB9" w:rsidRPr="00511DB9" w:rsidRDefault="00511DB9" w:rsidP="00236E87">
      <w:pPr>
        <w:pStyle w:val="Heading4"/>
      </w:pPr>
      <w:bookmarkStart w:id="121" w:name="_Toc290846278"/>
      <w:bookmarkStart w:id="122" w:name="_Toc368471515"/>
      <w:r w:rsidRPr="00511DB9">
        <w:t xml:space="preserve">Study </w:t>
      </w:r>
      <w:r w:rsidRPr="00236E87">
        <w:t>8HA02PED</w:t>
      </w:r>
      <w:bookmarkEnd w:id="121"/>
      <w:bookmarkEnd w:id="122"/>
    </w:p>
    <w:p w:rsidR="00511DB9" w:rsidRPr="00511DB9" w:rsidRDefault="000158F6" w:rsidP="00236E87">
      <w:r>
        <w:t xml:space="preserve">This is an open </w:t>
      </w:r>
      <w:r w:rsidR="00511DB9" w:rsidRPr="00511DB9">
        <w:t xml:space="preserve">label, multicentre evaluation of the efficacy, safety and PK of </w:t>
      </w:r>
      <w:proofErr w:type="spellStart"/>
      <w:r w:rsidR="00511DB9" w:rsidRPr="00511DB9">
        <w:t>rFVIIIFc</w:t>
      </w:r>
      <w:proofErr w:type="spellEnd"/>
      <w:r w:rsidR="00511DB9" w:rsidRPr="00511DB9">
        <w:t xml:space="preserve"> for routine prophylaxis in paediatric previously treated patients with haemophilia A. The first patient was enrolled in August</w:t>
      </w:r>
      <w:r w:rsidR="00CB1E76">
        <w:t xml:space="preserve"> 2012 and the study is still ongoing. The cut-</w:t>
      </w:r>
      <w:r w:rsidR="00511DB9" w:rsidRPr="00511DB9">
        <w:t xml:space="preserve">off point for this interim analysis was January 2013. The data have been used for evaluation of SAEs and AEs of special interest and no efficacy data have been analysed. No site information is included in the interim </w:t>
      </w:r>
      <w:r w:rsidR="006C122F" w:rsidRPr="006C122F">
        <w:t xml:space="preserve">clinical study report </w:t>
      </w:r>
      <w:r w:rsidR="006C122F">
        <w:t>(</w:t>
      </w:r>
      <w:r w:rsidR="00511DB9" w:rsidRPr="00511DB9">
        <w:t>CSR</w:t>
      </w:r>
      <w:r w:rsidR="006C122F">
        <w:t>)</w:t>
      </w:r>
      <w:r w:rsidR="00511DB9" w:rsidRPr="00511DB9">
        <w:t>.</w:t>
      </w:r>
    </w:p>
    <w:p w:rsidR="00511DB9" w:rsidRPr="00511DB9" w:rsidRDefault="00511DB9" w:rsidP="00236E87">
      <w:r w:rsidRPr="00511DB9">
        <w:t>Approximately 50 patients (25 patients &lt;</w:t>
      </w:r>
      <w:r w:rsidR="00DD37AA">
        <w:t xml:space="preserve"> </w:t>
      </w:r>
      <w:r w:rsidRPr="00511DB9">
        <w:t>6 years of age and 25 aged 6 to &lt;</w:t>
      </w:r>
      <w:r w:rsidR="00DD37AA">
        <w:t xml:space="preserve"> </w:t>
      </w:r>
      <w:r w:rsidRPr="00511DB9">
        <w:t>12 years) are planned to complete at least 26 weeks of treatment to obtain at least 50 exposure days per patient. At least 24 patients will be enrolled into the PK subgroup first. The remaining patients will proceed directly to twice weekly prophylaxis treatment after the PK results from the patient subgroup are available. Study visits will occur every five weeks and surgery will be allowed in the study. The study population will be paediatric PTPs &lt;</w:t>
      </w:r>
      <w:r w:rsidR="00DD37AA">
        <w:t xml:space="preserve"> </w:t>
      </w:r>
      <w:r w:rsidRPr="00511DB9">
        <w:t xml:space="preserve">12 years of age with severe haemophilia </w:t>
      </w:r>
      <w:proofErr w:type="gramStart"/>
      <w:r w:rsidRPr="00511DB9">
        <w:t>A</w:t>
      </w:r>
      <w:proofErr w:type="gramEnd"/>
      <w:r w:rsidRPr="00511DB9">
        <w:t xml:space="preserve"> defined as endogenous FVIII levels &lt;</w:t>
      </w:r>
      <w:r w:rsidR="00DD37AA">
        <w:t xml:space="preserve"> </w:t>
      </w:r>
      <w:r w:rsidRPr="00511DB9">
        <w:t>1 IU/</w:t>
      </w:r>
      <w:proofErr w:type="spellStart"/>
      <w:r w:rsidRPr="00511DB9">
        <w:t>dL</w:t>
      </w:r>
      <w:proofErr w:type="spellEnd"/>
      <w:r w:rsidRPr="00511DB9">
        <w:t xml:space="preserve"> and who have had at least 50 exposure days to FVIII products and no detectable inhibitor.</w:t>
      </w:r>
    </w:p>
    <w:p w:rsidR="00511DB9" w:rsidRPr="00511DB9" w:rsidRDefault="00511DB9" w:rsidP="00236E87">
      <w:r w:rsidRPr="00511DB9">
        <w:t xml:space="preserve">The primary objective of the study is to evaluate the safety of </w:t>
      </w:r>
      <w:proofErr w:type="spellStart"/>
      <w:r w:rsidRPr="00511DB9">
        <w:t>rFVIIIFc</w:t>
      </w:r>
      <w:proofErr w:type="spellEnd"/>
      <w:r w:rsidRPr="00511DB9">
        <w:t xml:space="preserve"> in paediatric PTPs with haemophilia A. The primary endpoint of the study is the frequency of inhibitor development. The secondary objectives are:</w:t>
      </w:r>
    </w:p>
    <w:p w:rsidR="00511DB9" w:rsidRPr="00511DB9" w:rsidRDefault="00511DB9" w:rsidP="00236E87">
      <w:pPr>
        <w:pStyle w:val="ListBullet"/>
      </w:pPr>
      <w:r w:rsidRPr="00511DB9">
        <w:t xml:space="preserve">To evaluate the efficacy of </w:t>
      </w:r>
      <w:proofErr w:type="spellStart"/>
      <w:r w:rsidRPr="00511DB9">
        <w:t>rFVIIIFc</w:t>
      </w:r>
      <w:proofErr w:type="spellEnd"/>
      <w:r w:rsidRPr="00511DB9">
        <w:t xml:space="preserve"> for prevention and treatment of bleeding episodes.</w:t>
      </w:r>
    </w:p>
    <w:p w:rsidR="00511DB9" w:rsidRPr="00511DB9" w:rsidRDefault="00511DB9" w:rsidP="00236E87">
      <w:pPr>
        <w:pStyle w:val="ListBullet"/>
      </w:pPr>
      <w:r w:rsidRPr="00511DB9">
        <w:t xml:space="preserve">To evaluate the PK of </w:t>
      </w:r>
      <w:proofErr w:type="spellStart"/>
      <w:r w:rsidRPr="00511DB9">
        <w:t>rFVIIIFc</w:t>
      </w:r>
      <w:proofErr w:type="spellEnd"/>
      <w:r w:rsidRPr="00511DB9">
        <w:t>.</w:t>
      </w:r>
    </w:p>
    <w:p w:rsidR="00511DB9" w:rsidRPr="00511DB9" w:rsidRDefault="00511DB9" w:rsidP="00531C35">
      <w:pPr>
        <w:pStyle w:val="ListBullet"/>
      </w:pPr>
      <w:r w:rsidRPr="00511DB9">
        <w:t xml:space="preserve">To evaluate </w:t>
      </w:r>
      <w:proofErr w:type="spellStart"/>
      <w:r w:rsidRPr="00511DB9">
        <w:t>rFVIIIFc</w:t>
      </w:r>
      <w:proofErr w:type="spellEnd"/>
      <w:r w:rsidRPr="00511DB9">
        <w:t xml:space="preserve"> consumption for prevention and treatment of bleeding episodes.</w:t>
      </w:r>
    </w:p>
    <w:p w:rsidR="00511DB9" w:rsidRPr="00511DB9" w:rsidRDefault="00511DB9" w:rsidP="00236E87">
      <w:pPr>
        <w:pStyle w:val="ListBullet"/>
      </w:pPr>
      <w:r w:rsidRPr="00511DB9">
        <w:t xml:space="preserve">To evaluate the effect of </w:t>
      </w:r>
      <w:proofErr w:type="spellStart"/>
      <w:r w:rsidRPr="00511DB9">
        <w:t>rFVIIIFc</w:t>
      </w:r>
      <w:proofErr w:type="spellEnd"/>
      <w:r w:rsidRPr="00511DB9">
        <w:t xml:space="preserve"> based on patient-reported outcomes and health </w:t>
      </w:r>
      <w:r w:rsidRPr="00531C35">
        <w:t>outcomes</w:t>
      </w:r>
      <w:r w:rsidRPr="00511DB9">
        <w:t>.</w:t>
      </w:r>
    </w:p>
    <w:p w:rsidR="00511DB9" w:rsidRPr="00511DB9" w:rsidRDefault="00511DB9" w:rsidP="00236E87">
      <w:r w:rsidRPr="00511DB9">
        <w:t xml:space="preserve">At the cut-off point, 33 patients have been enrolled into the study and 23 have received at least one dose of </w:t>
      </w:r>
      <w:proofErr w:type="spellStart"/>
      <w:r w:rsidRPr="00511DB9">
        <w:t>rFVIIIFc</w:t>
      </w:r>
      <w:proofErr w:type="spellEnd"/>
      <w:r w:rsidRPr="00511DB9">
        <w:t xml:space="preserve">. Patient demographics </w:t>
      </w:r>
      <w:r w:rsidR="000158F6">
        <w:t>were provided</w:t>
      </w:r>
      <w:r w:rsidRPr="00511DB9">
        <w:t xml:space="preserve">. Of the 33 patients, 33% were </w:t>
      </w:r>
      <w:r w:rsidRPr="00511DB9">
        <w:lastRenderedPageBreak/>
        <w:t>&lt;</w:t>
      </w:r>
      <w:r w:rsidR="005101E2">
        <w:t> </w:t>
      </w:r>
      <w:r w:rsidRPr="00511DB9">
        <w:t>6</w:t>
      </w:r>
      <w:r w:rsidR="005101E2">
        <w:t> </w:t>
      </w:r>
      <w:r w:rsidRPr="00511DB9">
        <w:t>years old and the remainder were aged in the range 6 to 12 years. The majority of patients were White (58%) and 21% were Black.</w:t>
      </w:r>
    </w:p>
    <w:p w:rsidR="00511DB9" w:rsidRPr="00511DB9" w:rsidRDefault="00511DB9" w:rsidP="00236E87">
      <w:r w:rsidRPr="00511DB9">
        <w:t>To date, no deaths have been reported. One treatment emergent SAE has been reported: a device-related infection considered unrelated to treatment</w:t>
      </w:r>
      <w:r w:rsidR="00A66C4B">
        <w:t>.</w:t>
      </w:r>
    </w:p>
    <w:p w:rsidR="00511DB9" w:rsidRPr="00511DB9" w:rsidRDefault="00511DB9" w:rsidP="00236E87">
      <w:pPr>
        <w:pStyle w:val="Heading4"/>
      </w:pPr>
      <w:bookmarkStart w:id="123" w:name="_Toc368471516"/>
      <w:r w:rsidRPr="00511DB9">
        <w:t>Study 8HA01EXT</w:t>
      </w:r>
      <w:bookmarkEnd w:id="123"/>
    </w:p>
    <w:p w:rsidR="00511DB9" w:rsidRPr="00511DB9" w:rsidRDefault="00511DB9" w:rsidP="00236E87">
      <w:r w:rsidRPr="00511DB9">
        <w:t xml:space="preserve">This is an extension study to the </w:t>
      </w:r>
      <w:r w:rsidR="00965C48">
        <w:t>Phase III</w:t>
      </w:r>
      <w:r w:rsidRPr="00511DB9">
        <w:t xml:space="preserve"> study 997HA301 and the paediatri</w:t>
      </w:r>
      <w:r w:rsidR="000158F6">
        <w:t xml:space="preserve">c study 8HA02PED. It is an open </w:t>
      </w:r>
      <w:r w:rsidRPr="00511DB9">
        <w:t xml:space="preserve">label, multicentre evaluation of the long-term safety and efficacy of </w:t>
      </w:r>
      <w:proofErr w:type="spellStart"/>
      <w:r w:rsidRPr="00511DB9">
        <w:t>rFVIIIFc</w:t>
      </w:r>
      <w:proofErr w:type="spellEnd"/>
      <w:r w:rsidRPr="00511DB9">
        <w:t xml:space="preserve"> f</w:t>
      </w:r>
      <w:r w:rsidR="000158F6">
        <w:t xml:space="preserve">or prophylaxis and episodic (on </w:t>
      </w:r>
      <w:r w:rsidRPr="00511DB9">
        <w:t>demand) treatment of bleeding episodes in previously treated patients (PTPs) with haemophilia A. The first patient was enrolled in December 2011 and the study is still ongoing. The cut-off date of this progress report is January 2013 and it was used to evaluate major surgery data, SAEs and AEs.</w:t>
      </w:r>
    </w:p>
    <w:p w:rsidR="00511DB9" w:rsidRPr="00511DB9" w:rsidRDefault="00511DB9" w:rsidP="00236E87">
      <w:r w:rsidRPr="00511DB9">
        <w:t xml:space="preserve">The primary objective of the study is to evaluate the long-term safety of </w:t>
      </w:r>
      <w:proofErr w:type="spellStart"/>
      <w:r w:rsidRPr="00511DB9">
        <w:t>rFVIIIFc</w:t>
      </w:r>
      <w:proofErr w:type="spellEnd"/>
      <w:r w:rsidRPr="00511DB9">
        <w:t xml:space="preserve">. The secondary objective is to evaluate the efficacy of </w:t>
      </w:r>
      <w:proofErr w:type="spellStart"/>
      <w:r w:rsidRPr="00511DB9">
        <w:t>rFVIIIFc</w:t>
      </w:r>
      <w:proofErr w:type="spellEnd"/>
      <w:r w:rsidRPr="00511DB9">
        <w:t xml:space="preserve"> in the prevention and treatment of bleeding episodes. Patients will follow either an individualised prophylaxis regimen, weekly prophylaxis regimen, or episodic (on-demand dosing) based on the individual patient profiles and by the trough and peak (recovery) FVIII values noted in the previous study (either 997HA301 or 8HA2PED). The starting dose in 8HA01EXT will be based on the patient’s PK profile obtained in the previous study. Patients are allowed to change treatments (</w:t>
      </w:r>
      <w:r w:rsidR="00A66C4B">
        <w:t>for example,</w:t>
      </w:r>
      <w:r w:rsidRPr="00511DB9">
        <w:t xml:space="preserve"> from prophylaxis to episodic dosing or the converse) during the study,</w:t>
      </w:r>
      <w:r w:rsidR="002B2C49">
        <w:t xml:space="preserve"> based on i</w:t>
      </w:r>
      <w:r w:rsidRPr="00511DB9">
        <w:t xml:space="preserve">nvestigator judgement. Patients who require surgery may be treated with </w:t>
      </w:r>
      <w:proofErr w:type="spellStart"/>
      <w:r w:rsidRPr="00511DB9">
        <w:t>rFVIIIF</w:t>
      </w:r>
      <w:r w:rsidR="002B2C49">
        <w:t>c</w:t>
      </w:r>
      <w:proofErr w:type="spellEnd"/>
      <w:r w:rsidR="002B2C49">
        <w:t xml:space="preserve"> in any way seemed fit by the i</w:t>
      </w:r>
      <w:r w:rsidRPr="00511DB9">
        <w:t>nvestigator. Scheduled visits will occur every 6 months with unscheduled visits as required.</w:t>
      </w:r>
    </w:p>
    <w:p w:rsidR="00511DB9" w:rsidRPr="00511DB9" w:rsidRDefault="00511DB9" w:rsidP="00236E87">
      <w:r w:rsidRPr="00511DB9">
        <w:t>The primary endpoint is the frequency of inhibitor development. The secondary endpoints are:</w:t>
      </w:r>
    </w:p>
    <w:p w:rsidR="00511DB9" w:rsidRPr="00511DB9" w:rsidRDefault="00511DB9" w:rsidP="00236E87">
      <w:pPr>
        <w:pStyle w:val="ListBullet"/>
      </w:pPr>
      <w:r w:rsidRPr="00511DB9">
        <w:t xml:space="preserve">The number of annualised bleeding episodes (spontaneous and </w:t>
      </w:r>
      <w:r w:rsidRPr="00132A23">
        <w:t>traumatic</w:t>
      </w:r>
      <w:r w:rsidRPr="00511DB9">
        <w:t>) per patient.</w:t>
      </w:r>
    </w:p>
    <w:p w:rsidR="00511DB9" w:rsidRPr="00511DB9" w:rsidRDefault="00511DB9" w:rsidP="00236E87">
      <w:pPr>
        <w:pStyle w:val="ListBullet"/>
      </w:pPr>
      <w:r w:rsidRPr="00511DB9">
        <w:t xml:space="preserve">The number of annualised spontaneous joint bleeding episodes per </w:t>
      </w:r>
      <w:r w:rsidRPr="00132A23">
        <w:t>patient</w:t>
      </w:r>
      <w:r w:rsidRPr="00511DB9">
        <w:t>.</w:t>
      </w:r>
    </w:p>
    <w:p w:rsidR="00511DB9" w:rsidRPr="00511DB9" w:rsidRDefault="00511DB9" w:rsidP="00236E87">
      <w:pPr>
        <w:pStyle w:val="ListBullet"/>
      </w:pPr>
      <w:r w:rsidRPr="00511DB9">
        <w:t xml:space="preserve">Total number of exposure days per patient </w:t>
      </w:r>
      <w:r w:rsidRPr="00236E87">
        <w:t>per</w:t>
      </w:r>
      <w:r w:rsidRPr="00511DB9">
        <w:t xml:space="preserve"> year.</w:t>
      </w:r>
    </w:p>
    <w:p w:rsidR="00511DB9" w:rsidRPr="00511DB9" w:rsidRDefault="00511DB9" w:rsidP="00132A23">
      <w:pPr>
        <w:pStyle w:val="ListBullet"/>
      </w:pPr>
      <w:r w:rsidRPr="00511DB9">
        <w:t xml:space="preserve">Mean dose of </w:t>
      </w:r>
      <w:proofErr w:type="spellStart"/>
      <w:r w:rsidRPr="00511DB9">
        <w:t>rFVIIIFc</w:t>
      </w:r>
      <w:proofErr w:type="spellEnd"/>
      <w:r w:rsidRPr="00511DB9">
        <w:t xml:space="preserve"> per kg per patient per year per treatment </w:t>
      </w:r>
      <w:r w:rsidRPr="00132A23">
        <w:t>regimen</w:t>
      </w:r>
      <w:r w:rsidRPr="00511DB9">
        <w:t>.</w:t>
      </w:r>
    </w:p>
    <w:p w:rsidR="00511DB9" w:rsidRPr="00511DB9" w:rsidRDefault="00511DB9" w:rsidP="00236E87">
      <w:pPr>
        <w:pStyle w:val="ListBullet"/>
      </w:pPr>
      <w:r w:rsidRPr="00511DB9">
        <w:t>Physician’s global assessment of response to treatment using a 4-</w:t>
      </w:r>
      <w:r w:rsidRPr="00132A23">
        <w:t>point</w:t>
      </w:r>
      <w:r w:rsidRPr="00511DB9">
        <w:t xml:space="preserve"> scale.</w:t>
      </w:r>
    </w:p>
    <w:p w:rsidR="00511DB9" w:rsidRPr="00511DB9" w:rsidRDefault="00511DB9" w:rsidP="00132A23">
      <w:pPr>
        <w:pStyle w:val="ListBullet"/>
      </w:pPr>
      <w:r w:rsidRPr="00511DB9">
        <w:t>Patient’s assessment of response to treatment using a 4-point scale.</w:t>
      </w:r>
    </w:p>
    <w:p w:rsidR="00511DB9" w:rsidRPr="00511DB9" w:rsidRDefault="00511DB9" w:rsidP="00236E87">
      <w:pPr>
        <w:pStyle w:val="ListBullet"/>
      </w:pPr>
      <w:r w:rsidRPr="00511DB9">
        <w:t>Incidence of AEs and SAEs.</w:t>
      </w:r>
    </w:p>
    <w:p w:rsidR="00511DB9" w:rsidRPr="00511DB9" w:rsidRDefault="00511DB9" w:rsidP="00132A23">
      <w:pPr>
        <w:pStyle w:val="ListBullet"/>
      </w:pPr>
      <w:r w:rsidRPr="00511DB9">
        <w:t>Surgery endpoints including haemostatic response.</w:t>
      </w:r>
    </w:p>
    <w:p w:rsidR="00511DB9" w:rsidRPr="00511DB9" w:rsidRDefault="00511DB9" w:rsidP="00236E87">
      <w:pPr>
        <w:pStyle w:val="ListBullet"/>
      </w:pPr>
      <w:r w:rsidRPr="00511DB9">
        <w:t xml:space="preserve">Patient-reported outcome endpoints </w:t>
      </w:r>
      <w:r w:rsidRPr="00236E87">
        <w:t>including</w:t>
      </w:r>
      <w:r w:rsidRPr="00511DB9">
        <w:t xml:space="preserve"> </w:t>
      </w:r>
      <w:proofErr w:type="spellStart"/>
      <w:r w:rsidRPr="00511DB9">
        <w:t>QoL</w:t>
      </w:r>
      <w:proofErr w:type="spellEnd"/>
      <w:r w:rsidRPr="00511DB9">
        <w:t xml:space="preserve"> questionnaires.</w:t>
      </w:r>
    </w:p>
    <w:p w:rsidR="00511DB9" w:rsidRPr="00511DB9" w:rsidRDefault="00511DB9" w:rsidP="00236E87">
      <w:r w:rsidRPr="00511DB9">
        <w:t xml:space="preserve">Approximately 194 patients (144 from 997HA301 and 50 from 8HA02PED) are expected to be eligible for </w:t>
      </w:r>
      <w:r w:rsidR="000158F6" w:rsidRPr="00511DB9">
        <w:t>enrolment</w:t>
      </w:r>
      <w:r w:rsidRPr="00511DB9">
        <w:t>. The key exclusion criterion for this study is a confirmed high-titre (≥</w:t>
      </w:r>
      <w:r w:rsidR="002B2C49">
        <w:t xml:space="preserve"> </w:t>
      </w:r>
      <w:r w:rsidRPr="00511DB9">
        <w:t xml:space="preserve">5.0 </w:t>
      </w:r>
      <w:r w:rsidR="005D169B" w:rsidRPr="005D169B">
        <w:t xml:space="preserve">Bethesda unit </w:t>
      </w:r>
      <w:r w:rsidR="005D169B">
        <w:t>(</w:t>
      </w:r>
      <w:r w:rsidRPr="00511DB9">
        <w:t>BU</w:t>
      </w:r>
      <w:r w:rsidR="005D169B">
        <w:t>)</w:t>
      </w:r>
      <w:r w:rsidRPr="00511DB9">
        <w:t>/mL) inhibitor test result. Patients will co</w:t>
      </w:r>
      <w:r w:rsidR="002B2C49">
        <w:t>ntinue in the study for up to 4 </w:t>
      </w:r>
      <w:r w:rsidRPr="00511DB9">
        <w:t xml:space="preserve">years or until </w:t>
      </w:r>
      <w:proofErr w:type="spellStart"/>
      <w:r w:rsidRPr="00511DB9">
        <w:t>rFVIIIFc</w:t>
      </w:r>
      <w:proofErr w:type="spellEnd"/>
      <w:r w:rsidRPr="00511DB9">
        <w:t xml:space="preserve"> is commercially available. It is expected that each patient will attain a minimum of 50 exposure days during the study.</w:t>
      </w:r>
    </w:p>
    <w:p w:rsidR="00511DB9" w:rsidRPr="00511DB9" w:rsidRDefault="005101E2" w:rsidP="00236E87">
      <w:r>
        <w:t xml:space="preserve">As of </w:t>
      </w:r>
      <w:r w:rsidR="00511DB9" w:rsidRPr="00511DB9">
        <w:t xml:space="preserve">7 January 2013, 150 patients from 997HA301 were enrolled and received at least one dose of </w:t>
      </w:r>
      <w:proofErr w:type="spellStart"/>
      <w:r w:rsidR="00511DB9" w:rsidRPr="00511DB9">
        <w:t>rFVIIIFc</w:t>
      </w:r>
      <w:proofErr w:type="spellEnd"/>
      <w:r w:rsidR="00511DB9" w:rsidRPr="00511DB9">
        <w:t>, 95 of whom completed the first 6 month safety visit. One patient had discontinued due to a protocol violation. Of the 150 enrolled patients, 11 (</w:t>
      </w:r>
      <w:r w:rsidR="000158F6">
        <w:t>7%) were 12 to 17 years of age</w:t>
      </w:r>
      <w:r w:rsidR="00511DB9" w:rsidRPr="00511DB9">
        <w:t>. The median age was 31.0 years (range 13 - 66) and the majority were White (65%). No patients were enrolled from the paediatric study 8HA02PED</w:t>
      </w:r>
      <w:r w:rsidR="00A66C4B">
        <w:t>.</w:t>
      </w:r>
    </w:p>
    <w:p w:rsidR="00511DB9" w:rsidRPr="00511DB9" w:rsidRDefault="00511DB9" w:rsidP="00236E87">
      <w:r w:rsidRPr="00511DB9">
        <w:t xml:space="preserve">No AE data have been analysed at the January 2013 </w:t>
      </w:r>
      <w:r w:rsidR="0018187F">
        <w:t>y6y6</w:t>
      </w:r>
      <w:r w:rsidRPr="00511DB9">
        <w:t>cut-off. There were no deaths. There were 10 SAEs reported by 8 patients all of which were considered unrelated to study treatment. There were no AEs of special interest (inhibitors, anaphylaxis, serious hypersens</w:t>
      </w:r>
      <w:r w:rsidR="002B2C49">
        <w:t xml:space="preserve">itivity or thrombotic events). </w:t>
      </w:r>
      <w:r w:rsidRPr="00511DB9">
        <w:t>No unique safety features were identified in the adolescent group.</w:t>
      </w:r>
    </w:p>
    <w:p w:rsidR="00511DB9" w:rsidRPr="00511DB9" w:rsidRDefault="00511DB9" w:rsidP="00236E87">
      <w:pPr>
        <w:pStyle w:val="Heading3"/>
      </w:pPr>
      <w:bookmarkStart w:id="124" w:name="_Ref269204367"/>
      <w:bookmarkStart w:id="125" w:name="_Ref271195835"/>
      <w:bookmarkStart w:id="126" w:name="_Ref271195841"/>
      <w:bookmarkStart w:id="127" w:name="_Toc272414660"/>
      <w:bookmarkStart w:id="128" w:name="_Toc290846285"/>
      <w:bookmarkStart w:id="129" w:name="_Toc368471517"/>
      <w:bookmarkStart w:id="130" w:name="_Toc413223144"/>
      <w:r w:rsidRPr="00511DB9">
        <w:lastRenderedPageBreak/>
        <w:t xml:space="preserve">Pivotal studies that assessed safety as a primary </w:t>
      </w:r>
      <w:r w:rsidRPr="00236E87">
        <w:t>outcome</w:t>
      </w:r>
      <w:bookmarkEnd w:id="124"/>
      <w:bookmarkEnd w:id="125"/>
      <w:bookmarkEnd w:id="126"/>
      <w:bookmarkEnd w:id="127"/>
      <w:bookmarkEnd w:id="128"/>
      <w:bookmarkEnd w:id="129"/>
      <w:bookmarkEnd w:id="130"/>
    </w:p>
    <w:p w:rsidR="00511DB9" w:rsidRPr="00511DB9" w:rsidRDefault="00511DB9" w:rsidP="00236E87">
      <w:r w:rsidRPr="00511DB9">
        <w:t>None submitted.</w:t>
      </w:r>
    </w:p>
    <w:p w:rsidR="00511DB9" w:rsidRPr="00511DB9" w:rsidRDefault="00511DB9" w:rsidP="00236E87">
      <w:pPr>
        <w:pStyle w:val="Heading3"/>
      </w:pPr>
      <w:bookmarkStart w:id="131" w:name="_Toc241374318"/>
      <w:bookmarkStart w:id="132" w:name="_Ref271196630"/>
      <w:bookmarkStart w:id="133" w:name="_Toc272414662"/>
      <w:bookmarkStart w:id="134" w:name="_Toc290846300"/>
      <w:bookmarkStart w:id="135" w:name="_Toc368471518"/>
      <w:bookmarkStart w:id="136" w:name="_Toc413223145"/>
      <w:r w:rsidRPr="00511DB9">
        <w:t>Patient exposure</w:t>
      </w:r>
      <w:bookmarkEnd w:id="131"/>
      <w:bookmarkEnd w:id="132"/>
      <w:bookmarkEnd w:id="133"/>
      <w:bookmarkEnd w:id="134"/>
      <w:bookmarkEnd w:id="135"/>
      <w:bookmarkEnd w:id="136"/>
    </w:p>
    <w:p w:rsidR="00511DB9" w:rsidRDefault="00511DB9" w:rsidP="00236E87">
      <w:r w:rsidRPr="00511DB9">
        <w:t xml:space="preserve">Patient exposure data are limited to the pivotal </w:t>
      </w:r>
      <w:r w:rsidR="00965C48">
        <w:t>Phase III</w:t>
      </w:r>
      <w:r w:rsidRPr="00511DB9">
        <w:t xml:space="preserve"> study 997HA301. The extension studies 8HA01EXT and 8HA02PED are still ongoing and </w:t>
      </w:r>
      <w:r w:rsidR="00CC0656">
        <w:t xml:space="preserve">the </w:t>
      </w:r>
      <w:proofErr w:type="spellStart"/>
      <w:r w:rsidR="00CC0656">
        <w:t>PK</w:t>
      </w:r>
      <w:r w:rsidRPr="00511DB9">
        <w:t>study</w:t>
      </w:r>
      <w:proofErr w:type="spellEnd"/>
      <w:r w:rsidRPr="00511DB9">
        <w:t xml:space="preserve"> </w:t>
      </w:r>
      <w:r w:rsidR="00691728">
        <w:t>CPP-12-026</w:t>
      </w:r>
      <w:r w:rsidRPr="00511DB9">
        <w:t xml:space="preserve"> contributed less than 0.2% of the overall exposure data. Exposure in the pivotal study is shown in Table </w:t>
      </w:r>
      <w:r w:rsidR="00B41100">
        <w:t>8</w:t>
      </w:r>
      <w:r w:rsidRPr="00511DB9">
        <w:t xml:space="preserve"> and Table </w:t>
      </w:r>
      <w:r w:rsidR="00B41100">
        <w:t>9</w:t>
      </w:r>
      <w:r w:rsidRPr="00511DB9">
        <w:t xml:space="preserve">. A total of 164 patients received at least one dose of </w:t>
      </w:r>
      <w:proofErr w:type="spellStart"/>
      <w:r w:rsidRPr="00511DB9">
        <w:t>rFVIIIFc</w:t>
      </w:r>
      <w:proofErr w:type="spellEnd"/>
      <w:r w:rsidRPr="00511DB9">
        <w:t xml:space="preserve"> for a median duration of 30.5 weeks (range &lt;</w:t>
      </w:r>
      <w:r w:rsidR="002B2C49">
        <w:t xml:space="preserve"> </w:t>
      </w:r>
      <w:r w:rsidRPr="00511DB9">
        <w:t xml:space="preserve">1 to 54 weeks). Overall, 97.0%, 89.0%, 14.0% and 3.7% of patients received treatment for at least 13, 26, 39 and 52 weeks, respectively. </w:t>
      </w:r>
      <w:proofErr w:type="gramStart"/>
      <w:r w:rsidRPr="00511DB9">
        <w:t xml:space="preserve">The median total </w:t>
      </w:r>
      <w:r w:rsidR="006C122F" w:rsidRPr="006C122F">
        <w:t>exposure day</w:t>
      </w:r>
      <w:r w:rsidR="006C122F">
        <w:t>s</w:t>
      </w:r>
      <w:r w:rsidR="006C122F" w:rsidRPr="006C122F">
        <w:t xml:space="preserve"> </w:t>
      </w:r>
      <w:r w:rsidR="006C122F">
        <w:t>(</w:t>
      </w:r>
      <w:r w:rsidRPr="00511DB9">
        <w:t>EDs</w:t>
      </w:r>
      <w:r w:rsidR="006C122F">
        <w:t>)</w:t>
      </w:r>
      <w:r w:rsidRPr="00511DB9">
        <w:t xml:space="preserve"> for all dosed patients was 57 (range 1 to 123), with 111 patients having ≥</w:t>
      </w:r>
      <w:r w:rsidR="002B2C49">
        <w:t xml:space="preserve"> </w:t>
      </w:r>
      <w:r w:rsidRPr="00511DB9">
        <w:t xml:space="preserve">50 </w:t>
      </w:r>
      <w:proofErr w:type="spellStart"/>
      <w:r w:rsidRPr="00511DB9">
        <w:t>EDs.</w:t>
      </w:r>
      <w:proofErr w:type="spellEnd"/>
      <w:proofErr w:type="gramEnd"/>
      <w:r w:rsidRPr="00511DB9">
        <w:t xml:space="preserve"> The mean total number of injections given was 57 (range 1 to 136).</w:t>
      </w:r>
    </w:p>
    <w:p w:rsidR="00AF620D" w:rsidRPr="00AF620D" w:rsidRDefault="00AF620D" w:rsidP="00236E87">
      <w:pPr>
        <w:pStyle w:val="Tabletitle"/>
      </w:pPr>
      <w:r w:rsidRPr="00AF620D">
        <w:t xml:space="preserve">Table 8: Duration of dosing with </w:t>
      </w:r>
      <w:proofErr w:type="spellStart"/>
      <w:r w:rsidRPr="00AF620D">
        <w:t>rFVIIIFc</w:t>
      </w:r>
      <w:proofErr w:type="spellEnd"/>
      <w:r w:rsidRPr="00AF620D">
        <w:t xml:space="preserve"> safety analysis set.</w:t>
      </w:r>
    </w:p>
    <w:p w:rsidR="00237022" w:rsidRPr="00AF620D" w:rsidRDefault="00AF620D" w:rsidP="00236E87">
      <w:r w:rsidRPr="00AF620D">
        <w:rPr>
          <w:noProof/>
          <w:lang w:eastAsia="en-AU"/>
        </w:rPr>
        <w:drawing>
          <wp:inline distT="0" distB="0" distL="0" distR="0" wp14:anchorId="56C54C6E" wp14:editId="6A120787">
            <wp:extent cx="5727700" cy="2002790"/>
            <wp:effectExtent l="0" t="0" r="0" b="0"/>
            <wp:docPr id="12" name="Picture 12" descr="Table 8: Duration of dosing with rFVIIIF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t="20006"/>
                    <a:stretch>
                      <a:fillRect/>
                    </a:stretch>
                  </pic:blipFill>
                  <pic:spPr bwMode="auto">
                    <a:xfrm>
                      <a:off x="0" y="0"/>
                      <a:ext cx="5727700" cy="2002790"/>
                    </a:xfrm>
                    <a:prstGeom prst="rect">
                      <a:avLst/>
                    </a:prstGeom>
                    <a:noFill/>
                    <a:ln>
                      <a:noFill/>
                    </a:ln>
                  </pic:spPr>
                </pic:pic>
              </a:graphicData>
            </a:graphic>
          </wp:inline>
        </w:drawing>
      </w:r>
    </w:p>
    <w:p w:rsidR="00AF620D" w:rsidRDefault="00AF620D" w:rsidP="00236E87">
      <w:pPr>
        <w:pStyle w:val="Tabletitle"/>
      </w:pPr>
      <w:proofErr w:type="gramStart"/>
      <w:r w:rsidRPr="00AF620D">
        <w:t>Table 9: Exposure data.</w:t>
      </w:r>
      <w:proofErr w:type="gramEnd"/>
      <w:r w:rsidRPr="00AF620D">
        <w:t xml:space="preserve"> </w:t>
      </w:r>
      <w:proofErr w:type="gramStart"/>
      <w:r w:rsidRPr="00AF620D">
        <w:t xml:space="preserve">Summary of injections and days of exposure to </w:t>
      </w:r>
      <w:proofErr w:type="spellStart"/>
      <w:r w:rsidRPr="00AF620D">
        <w:t>rFVIIIFc</w:t>
      </w:r>
      <w:proofErr w:type="spellEnd"/>
      <w:r w:rsidRPr="00AF620D">
        <w:t>.</w:t>
      </w:r>
      <w:proofErr w:type="gramEnd"/>
      <w:r w:rsidRPr="00AF620D">
        <w:t xml:space="preserve"> Safety analysis set.</w:t>
      </w:r>
    </w:p>
    <w:p w:rsidR="00237022" w:rsidRDefault="00237022" w:rsidP="00236E87">
      <w:r w:rsidRPr="00AF620D">
        <w:rPr>
          <w:noProof/>
          <w:lang w:eastAsia="en-AU"/>
        </w:rPr>
        <w:drawing>
          <wp:inline distT="0" distB="0" distL="0" distR="0" wp14:anchorId="50B7B1A4" wp14:editId="3226B420">
            <wp:extent cx="5731510" cy="2725149"/>
            <wp:effectExtent l="0" t="0" r="0" b="0"/>
            <wp:docPr id="20" name="Picture 20" descr="Table 9: Exposure data. Summary of injections and days of exposure to rFVIIIF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t="16748"/>
                    <a:stretch>
                      <a:fillRect/>
                    </a:stretch>
                  </pic:blipFill>
                  <pic:spPr bwMode="auto">
                    <a:xfrm>
                      <a:off x="0" y="0"/>
                      <a:ext cx="5731510" cy="2725149"/>
                    </a:xfrm>
                    <a:prstGeom prst="rect">
                      <a:avLst/>
                    </a:prstGeom>
                    <a:noFill/>
                    <a:ln>
                      <a:noFill/>
                    </a:ln>
                  </pic:spPr>
                </pic:pic>
              </a:graphicData>
            </a:graphic>
          </wp:inline>
        </w:drawing>
      </w:r>
    </w:p>
    <w:p w:rsidR="00511DB9" w:rsidRPr="00511DB9" w:rsidRDefault="00511DB9" w:rsidP="00B01EC3">
      <w:pPr>
        <w:pStyle w:val="Heading3"/>
      </w:pPr>
      <w:bookmarkStart w:id="137" w:name="_Toc241374319"/>
      <w:bookmarkStart w:id="138" w:name="_Ref271044764"/>
      <w:bookmarkStart w:id="139" w:name="_Toc272414663"/>
      <w:bookmarkStart w:id="140" w:name="_Toc290846301"/>
      <w:bookmarkStart w:id="141" w:name="_Toc368471519"/>
      <w:bookmarkStart w:id="142" w:name="_Toc413223146"/>
      <w:r w:rsidRPr="00511DB9">
        <w:lastRenderedPageBreak/>
        <w:t>Adverse events</w:t>
      </w:r>
      <w:bookmarkEnd w:id="137"/>
      <w:bookmarkEnd w:id="138"/>
      <w:bookmarkEnd w:id="139"/>
      <w:bookmarkEnd w:id="140"/>
      <w:bookmarkEnd w:id="141"/>
      <w:bookmarkEnd w:id="142"/>
    </w:p>
    <w:p w:rsidR="00511DB9" w:rsidRPr="00511DB9" w:rsidRDefault="00511DB9" w:rsidP="00B01EC3">
      <w:pPr>
        <w:pStyle w:val="Heading4"/>
      </w:pPr>
      <w:bookmarkStart w:id="143" w:name="_Ref272317284"/>
      <w:bookmarkStart w:id="144" w:name="_Ref272333565"/>
      <w:bookmarkStart w:id="145" w:name="_Toc272414664"/>
      <w:bookmarkStart w:id="146" w:name="_Toc290846302"/>
      <w:bookmarkStart w:id="147" w:name="_Toc368471520"/>
      <w:r w:rsidRPr="00511DB9">
        <w:t xml:space="preserve">All adverse </w:t>
      </w:r>
      <w:r w:rsidRPr="00B01EC3">
        <w:t>events</w:t>
      </w:r>
      <w:r w:rsidRPr="00511DB9">
        <w:t xml:space="preserve"> (irrespective of relationship to study treatment)</w:t>
      </w:r>
      <w:bookmarkEnd w:id="143"/>
      <w:bookmarkEnd w:id="144"/>
      <w:bookmarkEnd w:id="145"/>
      <w:bookmarkEnd w:id="146"/>
      <w:bookmarkEnd w:id="147"/>
    </w:p>
    <w:p w:rsidR="00511DB9" w:rsidRPr="00511DB9" w:rsidRDefault="00511DB9" w:rsidP="00B01EC3">
      <w:pPr>
        <w:pStyle w:val="Heading5"/>
      </w:pPr>
      <w:bookmarkStart w:id="148" w:name="_Ref368471327"/>
      <w:bookmarkStart w:id="149" w:name="_Toc368471521"/>
      <w:r w:rsidRPr="00511DB9">
        <w:t>Pivotal study</w:t>
      </w:r>
      <w:bookmarkEnd w:id="148"/>
      <w:bookmarkEnd w:id="149"/>
    </w:p>
    <w:p w:rsidR="00511DB9" w:rsidRPr="00511DB9" w:rsidRDefault="00511DB9" w:rsidP="00B01EC3">
      <w:r w:rsidRPr="00511DB9">
        <w:t xml:space="preserve">A summary of the AEs reported in each of the treatment arms and the three arms combined is shown in Table </w:t>
      </w:r>
      <w:r w:rsidR="00AF620D">
        <w:t>10</w:t>
      </w:r>
      <w:r w:rsidRPr="00511DB9">
        <w:t xml:space="preserve">. In the 164 patients in the three arms combined, 65.9% reported at least one AE, 8.5% reported at least one SAE. AEs presented by </w:t>
      </w:r>
      <w:r w:rsidR="004F3FBC" w:rsidRPr="004F3FBC">
        <w:t xml:space="preserve">system organ class </w:t>
      </w:r>
      <w:r w:rsidR="004F3FBC">
        <w:t>(</w:t>
      </w:r>
      <w:r w:rsidRPr="00511DB9">
        <w:t>SOC</w:t>
      </w:r>
      <w:r w:rsidR="004F3FBC">
        <w:t>)</w:t>
      </w:r>
      <w:r w:rsidRPr="00511DB9">
        <w:t xml:space="preserve"> are shown in Table </w:t>
      </w:r>
      <w:r w:rsidR="000E210C">
        <w:t>11</w:t>
      </w:r>
      <w:r w:rsidRPr="00511DB9">
        <w:t xml:space="preserve"> and by preferred term in Table </w:t>
      </w:r>
      <w:r w:rsidR="000E210C">
        <w:t>12</w:t>
      </w:r>
      <w:r w:rsidRPr="00511DB9">
        <w:t>. The SOCs with the highest incidence, reported in ≥10% of patients, were infections and infestations (26.2%), musculoskeletal and connective tissue disorders (18.9%), GI disorders (13.4%), nervous system disorders (13.4%), general disorders and administration site conditions (12.8%), and injury poisoning and procedural complications (11.0%). AEs reported by preferred term in ≥</w:t>
      </w:r>
      <w:r w:rsidR="002B2C49">
        <w:t xml:space="preserve"> </w:t>
      </w:r>
      <w:r w:rsidRPr="00511DB9">
        <w:t xml:space="preserve">3% of the study population were </w:t>
      </w:r>
      <w:proofErr w:type="spellStart"/>
      <w:r w:rsidRPr="00511DB9">
        <w:t>nasopharyngitis</w:t>
      </w:r>
      <w:proofErr w:type="spellEnd"/>
      <w:r w:rsidRPr="00511DB9">
        <w:t xml:space="preserve"> (12.2%), arthralgia (7.9%), headache (7.9%), </w:t>
      </w:r>
      <w:r w:rsidR="00321456" w:rsidRPr="00321456">
        <w:t xml:space="preserve">upper respiratory tract infection </w:t>
      </w:r>
      <w:r w:rsidR="00321456">
        <w:t>(</w:t>
      </w:r>
      <w:r w:rsidRPr="00511DB9">
        <w:t>URTI</w:t>
      </w:r>
      <w:r w:rsidR="00321456">
        <w:t>)</w:t>
      </w:r>
      <w:r w:rsidRPr="00511DB9">
        <w:t xml:space="preserve"> (5.5%), and influenza and pyrexia (3.0% each). A total of 48.8% of patients reported at least one AE on the day or day after an </w:t>
      </w:r>
      <w:proofErr w:type="spellStart"/>
      <w:r w:rsidRPr="00511DB9">
        <w:t>rFVIIIFc</w:t>
      </w:r>
      <w:proofErr w:type="spellEnd"/>
      <w:r w:rsidRPr="00511DB9">
        <w:t xml:space="preserve"> injection. The pattern of AEs was similar to that of the whole study period. Four (2.4%) patients developed back pain but these events were not considered to be related to treatment</w:t>
      </w:r>
      <w:r w:rsidR="00A66C4B">
        <w:t>.</w:t>
      </w:r>
    </w:p>
    <w:p w:rsidR="00511DB9" w:rsidRDefault="00511DB9" w:rsidP="00B01EC3">
      <w:r w:rsidRPr="00511DB9">
        <w:t>Medically important AEs of special interest relevant to the haemophilia population were reported to the sponsor as SAEs whether or not they met SAE criteria.</w:t>
      </w:r>
    </w:p>
    <w:p w:rsidR="00AF620D" w:rsidRDefault="00AF620D" w:rsidP="00B01EC3">
      <w:pPr>
        <w:pStyle w:val="Tabletitle"/>
      </w:pPr>
      <w:r>
        <w:t xml:space="preserve">Table 10: </w:t>
      </w:r>
      <w:r w:rsidR="002768C7">
        <w:t xml:space="preserve">Study 997HA301. </w:t>
      </w:r>
      <w:proofErr w:type="gramStart"/>
      <w:r>
        <w:t>Overall summary of treatment emergent adverse events.</w:t>
      </w:r>
      <w:proofErr w:type="gramEnd"/>
      <w:r>
        <w:t xml:space="preserve"> Safety analysis set.</w:t>
      </w:r>
    </w:p>
    <w:p w:rsidR="002768C7" w:rsidRDefault="00AF620D" w:rsidP="00B01EC3">
      <w:r>
        <w:rPr>
          <w:noProof/>
          <w:lang w:eastAsia="en-AU"/>
        </w:rPr>
        <w:drawing>
          <wp:inline distT="0" distB="0" distL="0" distR="0" wp14:anchorId="11D8F769" wp14:editId="4B982B12">
            <wp:extent cx="5731510" cy="2556930"/>
            <wp:effectExtent l="0" t="0" r="0" b="0"/>
            <wp:docPr id="14" name="Picture 14" descr="Table 10: Study 997HA301. Overall summary of treatment emergent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t="16777"/>
                    <a:stretch>
                      <a:fillRect/>
                    </a:stretch>
                  </pic:blipFill>
                  <pic:spPr bwMode="auto">
                    <a:xfrm>
                      <a:off x="0" y="0"/>
                      <a:ext cx="5731510" cy="2556930"/>
                    </a:xfrm>
                    <a:prstGeom prst="rect">
                      <a:avLst/>
                    </a:prstGeom>
                    <a:noFill/>
                    <a:ln>
                      <a:noFill/>
                    </a:ln>
                  </pic:spPr>
                </pic:pic>
              </a:graphicData>
            </a:graphic>
          </wp:inline>
        </w:drawing>
      </w:r>
    </w:p>
    <w:p w:rsidR="00AF620D" w:rsidRPr="00B01EC3" w:rsidRDefault="002768C7" w:rsidP="00B01EC3">
      <w:pPr>
        <w:pStyle w:val="Tabletitle"/>
      </w:pPr>
      <w:proofErr w:type="gramStart"/>
      <w:r>
        <w:lastRenderedPageBreak/>
        <w:t>Table 11.</w:t>
      </w:r>
      <w:proofErr w:type="gramEnd"/>
      <w:r>
        <w:t xml:space="preserve"> </w:t>
      </w:r>
      <w:proofErr w:type="gramStart"/>
      <w:r>
        <w:t>Study 997HA301.</w:t>
      </w:r>
      <w:proofErr w:type="gramEnd"/>
      <w:r>
        <w:t xml:space="preserve"> Treatment Emergent Adverse Events by </w:t>
      </w:r>
      <w:proofErr w:type="spellStart"/>
      <w:r>
        <w:t>MedRA</w:t>
      </w:r>
      <w:proofErr w:type="spellEnd"/>
      <w:r>
        <w:t xml:space="preserve"> system organ class. Safety analysis set.</w:t>
      </w:r>
    </w:p>
    <w:p w:rsidR="002768C7" w:rsidRDefault="002768C7" w:rsidP="00B01EC3">
      <w:r>
        <w:rPr>
          <w:noProof/>
          <w:lang w:eastAsia="en-AU"/>
        </w:rPr>
        <w:drawing>
          <wp:inline distT="0" distB="0" distL="0" distR="0" wp14:anchorId="27B926A9" wp14:editId="050CE210">
            <wp:extent cx="5727700" cy="2804795"/>
            <wp:effectExtent l="0" t="0" r="0" b="0"/>
            <wp:docPr id="15" name="Picture 15" descr="Table 11. Study 997HA301. Treatment Emergent Adverse Events by MedRA system organ clas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t="15953"/>
                    <a:stretch>
                      <a:fillRect/>
                    </a:stretch>
                  </pic:blipFill>
                  <pic:spPr bwMode="auto">
                    <a:xfrm>
                      <a:off x="0" y="0"/>
                      <a:ext cx="5727700" cy="2804795"/>
                    </a:xfrm>
                    <a:prstGeom prst="rect">
                      <a:avLst/>
                    </a:prstGeom>
                    <a:noFill/>
                    <a:ln>
                      <a:noFill/>
                    </a:ln>
                  </pic:spPr>
                </pic:pic>
              </a:graphicData>
            </a:graphic>
          </wp:inline>
        </w:drawing>
      </w:r>
    </w:p>
    <w:p w:rsidR="000E210C" w:rsidRDefault="000E210C" w:rsidP="00B01EC3">
      <w:pPr>
        <w:pStyle w:val="Tabletitle"/>
      </w:pPr>
      <w:r>
        <w:t>Table 12: Study 997HA301. Treatment emergent adverse events by preferred term in descending order of incidence (≥ 3%). Safety analysis set.</w:t>
      </w:r>
    </w:p>
    <w:p w:rsidR="000E210C" w:rsidRPr="000E210C" w:rsidRDefault="000E210C" w:rsidP="00B01EC3">
      <w:r>
        <w:rPr>
          <w:noProof/>
          <w:lang w:eastAsia="en-AU"/>
        </w:rPr>
        <w:drawing>
          <wp:inline distT="0" distB="0" distL="0" distR="0" wp14:anchorId="5A4929EC" wp14:editId="43DA1FB8">
            <wp:extent cx="5727700" cy="2081530"/>
            <wp:effectExtent l="0" t="0" r="0" b="0"/>
            <wp:docPr id="16" name="Picture 16" descr="Table 12: Study 997HA301. Treatment emergent adverse events by preferred term in descending order of incidence (≥ 3%).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t="19878"/>
                    <a:stretch>
                      <a:fillRect/>
                    </a:stretch>
                  </pic:blipFill>
                  <pic:spPr bwMode="auto">
                    <a:xfrm>
                      <a:off x="0" y="0"/>
                      <a:ext cx="5727700" cy="2081530"/>
                    </a:xfrm>
                    <a:prstGeom prst="rect">
                      <a:avLst/>
                    </a:prstGeom>
                    <a:noFill/>
                    <a:ln>
                      <a:noFill/>
                    </a:ln>
                  </pic:spPr>
                </pic:pic>
              </a:graphicData>
            </a:graphic>
          </wp:inline>
        </w:drawing>
      </w:r>
    </w:p>
    <w:p w:rsidR="00511DB9" w:rsidRPr="00511DB9" w:rsidRDefault="00511DB9" w:rsidP="00B01EC3">
      <w:pPr>
        <w:pStyle w:val="ListBullet"/>
      </w:pPr>
      <w:r w:rsidRPr="00511DB9">
        <w:t xml:space="preserve">Development of </w:t>
      </w:r>
      <w:r w:rsidRPr="00B01EC3">
        <w:t>Inhibitor</w:t>
      </w:r>
      <w:r w:rsidR="000E210C">
        <w:t>.</w:t>
      </w:r>
    </w:p>
    <w:p w:rsidR="00511DB9" w:rsidRPr="00511DB9" w:rsidRDefault="00511DB9" w:rsidP="00B01EC3">
      <w:r w:rsidRPr="00511DB9">
        <w:t>No patients developed an inhibitor during the study (defined as a neutralising antibody value ≥</w:t>
      </w:r>
      <w:r w:rsidR="002B2C49">
        <w:t> </w:t>
      </w:r>
      <w:r w:rsidRPr="00511DB9">
        <w:t>0.6 BU/mL).</w:t>
      </w:r>
    </w:p>
    <w:p w:rsidR="00511DB9" w:rsidRPr="00511DB9" w:rsidRDefault="000E210C" w:rsidP="00B01EC3">
      <w:pPr>
        <w:pStyle w:val="ListBullet"/>
      </w:pPr>
      <w:r>
        <w:t>Allergic reaction.</w:t>
      </w:r>
    </w:p>
    <w:p w:rsidR="00511DB9" w:rsidRPr="00511DB9" w:rsidRDefault="00511DB9" w:rsidP="00B01EC3">
      <w:r w:rsidRPr="00511DB9">
        <w:t>No SAEs of allergic reaction, anaphylaxis, or serious hypersensitivity events were reported during the study.</w:t>
      </w:r>
    </w:p>
    <w:p w:rsidR="00511DB9" w:rsidRPr="00511DB9" w:rsidRDefault="00511DB9" w:rsidP="00B01EC3">
      <w:pPr>
        <w:pStyle w:val="ListBullet"/>
      </w:pPr>
      <w:r w:rsidRPr="00511DB9">
        <w:t>Thrombotic events:</w:t>
      </w:r>
    </w:p>
    <w:p w:rsidR="00511DB9" w:rsidRPr="00511DB9" w:rsidRDefault="00511DB9" w:rsidP="00B01EC3">
      <w:r w:rsidRPr="00511DB9">
        <w:t>No SAEs of thrombotic events were reported (IV injection site thrombophlebitis was excluded).</w:t>
      </w:r>
    </w:p>
    <w:p w:rsidR="00511DB9" w:rsidRPr="00511DB9" w:rsidRDefault="002B2C49" w:rsidP="00B01EC3">
      <w:pPr>
        <w:pStyle w:val="ListBullet"/>
      </w:pPr>
      <w:r>
        <w:t>Suspected t</w:t>
      </w:r>
      <w:r w:rsidR="00511DB9" w:rsidRPr="00511DB9">
        <w:t>ransmission of a</w:t>
      </w:r>
      <w:r>
        <w:t>n infectious a</w:t>
      </w:r>
      <w:r w:rsidR="00511DB9" w:rsidRPr="00511DB9">
        <w:t>gent</w:t>
      </w:r>
      <w:r w:rsidR="00237022">
        <w:t>.</w:t>
      </w:r>
    </w:p>
    <w:p w:rsidR="00511DB9" w:rsidRPr="00511DB9" w:rsidRDefault="00511DB9" w:rsidP="00B01EC3">
      <w:r w:rsidRPr="00511DB9">
        <w:t>No cases were reported during the study</w:t>
      </w:r>
      <w:r w:rsidR="00237022">
        <w:t>.</w:t>
      </w:r>
    </w:p>
    <w:p w:rsidR="00511DB9" w:rsidRPr="00511DB9" w:rsidRDefault="002B2C49" w:rsidP="00B01EC3">
      <w:pPr>
        <w:pStyle w:val="ListBullet"/>
      </w:pPr>
      <w:r>
        <w:t>Infection e</w:t>
      </w:r>
      <w:r w:rsidR="00511DB9" w:rsidRPr="00511DB9">
        <w:t>vents</w:t>
      </w:r>
      <w:r w:rsidR="00237022">
        <w:t>.</w:t>
      </w:r>
    </w:p>
    <w:p w:rsidR="00511DB9" w:rsidRPr="00511DB9" w:rsidRDefault="00511DB9" w:rsidP="00B01EC3">
      <w:r w:rsidRPr="00511DB9">
        <w:lastRenderedPageBreak/>
        <w:t>In the overall safety set of 164 patients, 43 (26.2%) experienced at least one AE in the infections and infestations SOC as summarised above. The events were all common in the general haemophilia population and in the setting of co-morbidities such as HIV infection.</w:t>
      </w:r>
    </w:p>
    <w:p w:rsidR="00511DB9" w:rsidRPr="00511DB9" w:rsidRDefault="00511DB9" w:rsidP="00B01EC3">
      <w:pPr>
        <w:pStyle w:val="ListBullet"/>
      </w:pPr>
      <w:r w:rsidRPr="00511DB9">
        <w:t>Bleeding Episodes</w:t>
      </w:r>
      <w:r w:rsidR="00237022">
        <w:t>.</w:t>
      </w:r>
    </w:p>
    <w:p w:rsidR="00511DB9" w:rsidRPr="00511DB9" w:rsidRDefault="00511DB9" w:rsidP="00B01EC3">
      <w:r w:rsidRPr="00511DB9">
        <w:t xml:space="preserve">The protocol specified that bleeding episodes were not reported as AEs unless they met SAE criteria. There was one bleeding SAE during the study; a hip </w:t>
      </w:r>
      <w:proofErr w:type="spellStart"/>
      <w:r w:rsidRPr="00511DB9">
        <w:t>haemarthrosis</w:t>
      </w:r>
      <w:proofErr w:type="spellEnd"/>
      <w:r w:rsidRPr="00511DB9">
        <w:t xml:space="preserve"> considered unrelated to </w:t>
      </w:r>
      <w:proofErr w:type="spellStart"/>
      <w:r w:rsidRPr="00511DB9">
        <w:t>rFVIIIFc</w:t>
      </w:r>
      <w:proofErr w:type="spellEnd"/>
      <w:r w:rsidRPr="00511DB9">
        <w:t xml:space="preserve"> treatment.</w:t>
      </w:r>
    </w:p>
    <w:p w:rsidR="00511DB9" w:rsidRPr="00511DB9" w:rsidRDefault="00511DB9" w:rsidP="00B01EC3">
      <w:r w:rsidRPr="00511DB9">
        <w:t>An analysis of AEs was performed in subgroups defined by age, BMI, race, baseline HIV/HCV status, history of advanced hepatic disease, and extrinsic factors such as use of IV ports and geographical location of the patients. Overall, there was no unusual pattern in the distribution and type of AEs in the adolescent and adult patient subgroups (only one patient was elderly). Similarly, there were no apparent differences related to BMI or race. As might be expected, the incidence of AEs was somewhat higher in patients with positive HIV/HCV status (70.9% in the HIV/HCV subgroup compared with 60.3% in the non-HIV/HCV subgroup). Three patients had advanced hepatic disease and none of the AEs reported in these patients was remarkable. No meaningful geographic differences were observed.</w:t>
      </w:r>
    </w:p>
    <w:p w:rsidR="00511DB9" w:rsidRPr="00511DB9" w:rsidRDefault="00511DB9" w:rsidP="00B01EC3">
      <w:pPr>
        <w:pStyle w:val="Heading5"/>
      </w:pPr>
      <w:bookmarkStart w:id="150" w:name="_Toc368471522"/>
      <w:r w:rsidRPr="00511DB9">
        <w:t>Other studies</w:t>
      </w:r>
      <w:bookmarkEnd w:id="150"/>
    </w:p>
    <w:p w:rsidR="00511DB9" w:rsidRPr="00511DB9" w:rsidRDefault="00511DB9" w:rsidP="00B01EC3">
      <w:r w:rsidRPr="00511DB9">
        <w:t>AEs recorded in 8HA01EXT at the January 2013 cut-off date have not yet been analysed.</w:t>
      </w:r>
    </w:p>
    <w:p w:rsidR="00511DB9" w:rsidRPr="00511DB9" w:rsidRDefault="00511DB9" w:rsidP="00B01EC3">
      <w:pPr>
        <w:pStyle w:val="Heading4"/>
      </w:pPr>
      <w:bookmarkStart w:id="151" w:name="_Ref272333567"/>
      <w:bookmarkStart w:id="152" w:name="_Toc272414665"/>
      <w:bookmarkStart w:id="153" w:name="_Toc290846303"/>
      <w:bookmarkStart w:id="154" w:name="_Toc368471523"/>
      <w:r w:rsidRPr="00511DB9">
        <w:t>Treatment-</w:t>
      </w:r>
      <w:r w:rsidRPr="00B01EC3">
        <w:t>related</w:t>
      </w:r>
      <w:r w:rsidRPr="00511DB9">
        <w:t xml:space="preserve"> adverse events (adverse drug reactions)</w:t>
      </w:r>
      <w:bookmarkEnd w:id="151"/>
      <w:bookmarkEnd w:id="152"/>
      <w:bookmarkEnd w:id="153"/>
      <w:bookmarkEnd w:id="154"/>
    </w:p>
    <w:p w:rsidR="00511DB9" w:rsidRPr="00511DB9" w:rsidRDefault="00511DB9" w:rsidP="00B01EC3">
      <w:pPr>
        <w:pStyle w:val="Heading5"/>
      </w:pPr>
      <w:bookmarkStart w:id="155" w:name="_Toc368471524"/>
      <w:r w:rsidRPr="00511DB9">
        <w:t>Pivotal study</w:t>
      </w:r>
      <w:bookmarkEnd w:id="155"/>
    </w:p>
    <w:p w:rsidR="00511DB9" w:rsidRPr="00511DB9" w:rsidRDefault="00511DB9" w:rsidP="00B6528F">
      <w:r w:rsidRPr="00511DB9">
        <w:t>The great majority of AEs were judged unrelate</w:t>
      </w:r>
      <w:r w:rsidR="002B2C49">
        <w:t xml:space="preserve">d to </w:t>
      </w:r>
      <w:proofErr w:type="spellStart"/>
      <w:r w:rsidR="002B2C49">
        <w:t>rFVIIIFc</w:t>
      </w:r>
      <w:proofErr w:type="spellEnd"/>
      <w:r w:rsidR="002B2C49">
        <w:t xml:space="preserve"> treatment by the investigators. </w:t>
      </w:r>
      <w:r w:rsidRPr="00511DB9">
        <w:t xml:space="preserve">AEs judged to be drug related occurred in 10 (6.1%) of the total study population. The AEs reported as related were malaise and arthralgia (each reported in two patients), bradycardia, lower abdominal pain, chest pain, feeling cold, feeling hot, procedural hypotension, </w:t>
      </w:r>
      <w:r w:rsidR="005D169B" w:rsidRPr="005D169B">
        <w:t xml:space="preserve">brain natriuretic peptide </w:t>
      </w:r>
      <w:r w:rsidR="005D169B">
        <w:t>(</w:t>
      </w:r>
      <w:r w:rsidRPr="00511DB9">
        <w:t>BNP</w:t>
      </w:r>
      <w:r w:rsidR="005D169B">
        <w:t>)</w:t>
      </w:r>
      <w:r w:rsidRPr="00511DB9">
        <w:t xml:space="preserve"> increased, joint swelling, myalgia, dizziness, dysgeusia, headache, cough, rash, vascular pain after injection, and hypertension (each reported in one patient).</w:t>
      </w:r>
    </w:p>
    <w:p w:rsidR="00511DB9" w:rsidRPr="00511DB9" w:rsidRDefault="00511DB9" w:rsidP="00B6528F">
      <w:pPr>
        <w:pStyle w:val="Heading5"/>
      </w:pPr>
      <w:bookmarkStart w:id="156" w:name="_Toc368471525"/>
      <w:r w:rsidRPr="00511DB9">
        <w:t>Other studies</w:t>
      </w:r>
      <w:bookmarkEnd w:id="156"/>
    </w:p>
    <w:p w:rsidR="00511DB9" w:rsidRPr="00511DB9" w:rsidRDefault="00511DB9" w:rsidP="00B6528F">
      <w:r w:rsidRPr="00511DB9">
        <w:t>In 8HA01EXT, treatment-related AEs have not yet been analysed at the January 2013 cut-off date.</w:t>
      </w:r>
    </w:p>
    <w:p w:rsidR="00511DB9" w:rsidRPr="00511DB9" w:rsidRDefault="00511DB9" w:rsidP="00B6528F">
      <w:pPr>
        <w:pStyle w:val="Heading4"/>
      </w:pPr>
      <w:bookmarkStart w:id="157" w:name="_Toc241374320"/>
      <w:bookmarkStart w:id="158" w:name="_Ref272333507"/>
      <w:bookmarkStart w:id="159" w:name="_Toc272414666"/>
      <w:bookmarkStart w:id="160" w:name="_Toc290846304"/>
      <w:bookmarkStart w:id="161" w:name="_Toc368471526"/>
      <w:r w:rsidRPr="00511DB9">
        <w:t xml:space="preserve">Deaths and </w:t>
      </w:r>
      <w:r w:rsidRPr="00B6528F">
        <w:t>other</w:t>
      </w:r>
      <w:r w:rsidRPr="00511DB9">
        <w:t xml:space="preserve"> serious adverse events</w:t>
      </w:r>
      <w:bookmarkEnd w:id="157"/>
      <w:bookmarkEnd w:id="158"/>
      <w:bookmarkEnd w:id="159"/>
      <w:bookmarkEnd w:id="160"/>
      <w:bookmarkEnd w:id="161"/>
    </w:p>
    <w:p w:rsidR="00511DB9" w:rsidRPr="00511DB9" w:rsidRDefault="00511DB9" w:rsidP="00B6528F">
      <w:pPr>
        <w:pStyle w:val="Heading5"/>
      </w:pPr>
      <w:bookmarkStart w:id="162" w:name="_Toc368471527"/>
      <w:r w:rsidRPr="00511DB9">
        <w:t>Pivotal study</w:t>
      </w:r>
      <w:bookmarkEnd w:id="162"/>
    </w:p>
    <w:p w:rsidR="00511DB9" w:rsidRPr="00511DB9" w:rsidRDefault="00511DB9" w:rsidP="00B6528F">
      <w:r w:rsidRPr="00511DB9">
        <w:t xml:space="preserve">There was one death caused by suicide (an overdose of multiple drugs of addiction). In the total study population, SAEs were reported in 12 (7.3%) patients. Three (1.8%) patients experienced at least one SAE in the injury, poisoning and procedural complication SOC, three (1.8%) patients in the musculoskeletal and connective tissues SOC, two (1.2%) patients in the gastrointestinal SOC. The other SOCs with one (0.6%) patient who experienced an SAE were cardiac disorders; psychiatric disorders; renal and urinary disorders; respiratory, thoracic and </w:t>
      </w:r>
      <w:proofErr w:type="spellStart"/>
      <w:r w:rsidRPr="00511DB9">
        <w:t>mediastinal</w:t>
      </w:r>
      <w:proofErr w:type="spellEnd"/>
      <w:r w:rsidRPr="00511DB9">
        <w:t xml:space="preserve"> disorders; and vascular disorders. None of the SAEs was considered to</w:t>
      </w:r>
      <w:r w:rsidR="0031065B">
        <w:t xml:space="preserve"> be related to </w:t>
      </w:r>
      <w:proofErr w:type="spellStart"/>
      <w:r w:rsidR="0031065B">
        <w:t>rFVIIIFc</w:t>
      </w:r>
      <w:proofErr w:type="spellEnd"/>
      <w:r w:rsidR="0031065B">
        <w:t xml:space="preserve"> by the i</w:t>
      </w:r>
      <w:r w:rsidRPr="00511DB9">
        <w:t>nvestigators.</w:t>
      </w:r>
    </w:p>
    <w:p w:rsidR="00511DB9" w:rsidRPr="00511DB9" w:rsidRDefault="00511DB9" w:rsidP="00B6528F">
      <w:pPr>
        <w:pStyle w:val="Heading5"/>
      </w:pPr>
      <w:bookmarkStart w:id="163" w:name="_Toc368471528"/>
      <w:r w:rsidRPr="00511DB9">
        <w:t>Other studies</w:t>
      </w:r>
      <w:bookmarkEnd w:id="163"/>
    </w:p>
    <w:p w:rsidR="00511DB9" w:rsidRPr="00511DB9" w:rsidRDefault="00511DB9" w:rsidP="00B6528F">
      <w:r w:rsidRPr="00511DB9">
        <w:t>In 8HA01EXT at the cut-off point of 07 January 2013, 10 SAEs were reported in 8 patients: hydrocephalus, head injury, spinal osteoarthritis, haemorrhagic gastritis, joint dislocation, dehydration, device dislocation, post-procedural haemorrhage, depression and traumatic haematoma. None of the events was considered to be drug related</w:t>
      </w:r>
      <w:r w:rsidR="00A66C4B">
        <w:t>.</w:t>
      </w:r>
    </w:p>
    <w:p w:rsidR="00511DB9" w:rsidRPr="00511DB9" w:rsidRDefault="00511DB9" w:rsidP="00B6528F">
      <w:pPr>
        <w:pStyle w:val="Heading4"/>
      </w:pPr>
      <w:bookmarkStart w:id="164" w:name="_Toc241374325"/>
      <w:bookmarkStart w:id="165" w:name="_Ref272333477"/>
      <w:bookmarkStart w:id="166" w:name="_Toc272414667"/>
      <w:bookmarkStart w:id="167" w:name="_Toc290846305"/>
      <w:bookmarkStart w:id="168" w:name="_Toc368471529"/>
      <w:r w:rsidRPr="00511DB9">
        <w:lastRenderedPageBreak/>
        <w:t>Discontinuation due to adverse events</w:t>
      </w:r>
      <w:bookmarkEnd w:id="164"/>
      <w:bookmarkEnd w:id="165"/>
      <w:bookmarkEnd w:id="166"/>
      <w:bookmarkEnd w:id="167"/>
      <w:bookmarkEnd w:id="168"/>
    </w:p>
    <w:p w:rsidR="00511DB9" w:rsidRPr="00511DB9" w:rsidRDefault="00511DB9" w:rsidP="00B6528F">
      <w:pPr>
        <w:pStyle w:val="Heading5"/>
      </w:pPr>
      <w:bookmarkStart w:id="169" w:name="_Toc368471530"/>
      <w:r w:rsidRPr="00511DB9">
        <w:t>Pivotal study</w:t>
      </w:r>
      <w:bookmarkEnd w:id="169"/>
    </w:p>
    <w:p w:rsidR="00511DB9" w:rsidRPr="00511DB9" w:rsidRDefault="00511DB9" w:rsidP="00B6528F">
      <w:r w:rsidRPr="00511DB9">
        <w:t xml:space="preserve">Overall, four patients prematurely discontinued </w:t>
      </w:r>
      <w:proofErr w:type="spellStart"/>
      <w:r w:rsidRPr="00511DB9">
        <w:t>rFVIIIFc</w:t>
      </w:r>
      <w:proofErr w:type="spellEnd"/>
      <w:r w:rsidRPr="00511DB9">
        <w:t xml:space="preserve"> due to AE or death: one case each of related arthralgia, related rash, unrelated femur fracture, and suicide by drug overdose.</w:t>
      </w:r>
    </w:p>
    <w:p w:rsidR="00511DB9" w:rsidRPr="00511DB9" w:rsidRDefault="00511DB9" w:rsidP="00B6528F">
      <w:pPr>
        <w:pStyle w:val="Heading5"/>
      </w:pPr>
      <w:bookmarkStart w:id="170" w:name="_Toc368471531"/>
      <w:r w:rsidRPr="00511DB9">
        <w:t>Other studies</w:t>
      </w:r>
      <w:bookmarkEnd w:id="170"/>
    </w:p>
    <w:p w:rsidR="00511DB9" w:rsidRPr="00511DB9" w:rsidRDefault="00511DB9" w:rsidP="00B6528F">
      <w:r w:rsidRPr="00511DB9">
        <w:t>In 8HA01EXT, no discontinuations due to AEs have been recorded at the January 2013 cut-off date</w:t>
      </w:r>
      <w:r w:rsidR="00A66C4B">
        <w:t>.</w:t>
      </w:r>
    </w:p>
    <w:p w:rsidR="00511DB9" w:rsidRPr="00511DB9" w:rsidRDefault="00511DB9" w:rsidP="00B6528F">
      <w:pPr>
        <w:pStyle w:val="Heading3"/>
      </w:pPr>
      <w:bookmarkStart w:id="171" w:name="_Toc241374321"/>
      <w:bookmarkStart w:id="172" w:name="_Ref271044780"/>
      <w:bookmarkStart w:id="173" w:name="_Ref271196640"/>
      <w:bookmarkStart w:id="174" w:name="_Ref272333085"/>
      <w:bookmarkStart w:id="175" w:name="_Toc272414668"/>
      <w:bookmarkStart w:id="176" w:name="_Toc290846306"/>
      <w:bookmarkStart w:id="177" w:name="_Toc368471532"/>
      <w:bookmarkStart w:id="178" w:name="_Toc413223147"/>
      <w:r w:rsidRPr="00511DB9">
        <w:t>Laboratory tests</w:t>
      </w:r>
      <w:bookmarkEnd w:id="171"/>
      <w:bookmarkEnd w:id="172"/>
      <w:bookmarkEnd w:id="173"/>
      <w:bookmarkEnd w:id="174"/>
      <w:bookmarkEnd w:id="175"/>
      <w:bookmarkEnd w:id="176"/>
      <w:bookmarkEnd w:id="177"/>
      <w:bookmarkEnd w:id="178"/>
    </w:p>
    <w:p w:rsidR="00511DB9" w:rsidRDefault="00511DB9" w:rsidP="00B6528F">
      <w:r w:rsidRPr="00511DB9">
        <w:t xml:space="preserve">Summary statistics of actual values and change from baseline for liver function, renal function, electrolytes and other parameters for the combined and individual treatment arms </w:t>
      </w:r>
      <w:r w:rsidR="00E219ED">
        <w:t>were provided</w:t>
      </w:r>
      <w:r w:rsidRPr="00511DB9">
        <w:t xml:space="preserve">. No clinically meaningful changes were observed in the mean actual value or mean change from baseline over time in any of the blood chemistry parameters in any treatment arm. A summary of the number and percentage of patients with potentially clinically significant abnormal post-baseline blood chemistry values is shown in Table </w:t>
      </w:r>
      <w:r w:rsidR="00E219ED">
        <w:t>13</w:t>
      </w:r>
      <w:r w:rsidRPr="00511DB9">
        <w:t xml:space="preserve">. In 8HA01EXT, laboratory parameters </w:t>
      </w:r>
      <w:r w:rsidR="004500BE">
        <w:t>had</w:t>
      </w:r>
      <w:r w:rsidR="004500BE" w:rsidRPr="00511DB9">
        <w:t xml:space="preserve"> </w:t>
      </w:r>
      <w:r w:rsidRPr="00511DB9">
        <w:t>not been analysed at the January 2013 cut-off date.</w:t>
      </w:r>
    </w:p>
    <w:p w:rsidR="00E219ED" w:rsidRPr="00B6528F" w:rsidRDefault="00E219ED" w:rsidP="00B6528F">
      <w:pPr>
        <w:pStyle w:val="Tabletitle"/>
      </w:pPr>
      <w:r>
        <w:t>Table 13: Study 997HA301. Summary of potentially significant abnormalities: blood chemistry. Safety analysis set.</w:t>
      </w:r>
    </w:p>
    <w:p w:rsidR="00E219ED" w:rsidRPr="00511DB9" w:rsidRDefault="00E219ED" w:rsidP="00B6528F">
      <w:r>
        <w:rPr>
          <w:noProof/>
          <w:lang w:eastAsia="en-AU"/>
        </w:rPr>
        <w:drawing>
          <wp:inline distT="0" distB="0" distL="0" distR="0" wp14:anchorId="21FFBFA5" wp14:editId="6B67E2B3">
            <wp:extent cx="5676900" cy="2187575"/>
            <wp:effectExtent l="0" t="0" r="0" b="0"/>
            <wp:docPr id="17" name="Picture 17" descr="Table 13: Study 997HA301. Summary of potentially significant abnormalities: blood chemistr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l="975" t="20061"/>
                    <a:stretch>
                      <a:fillRect/>
                    </a:stretch>
                  </pic:blipFill>
                  <pic:spPr bwMode="auto">
                    <a:xfrm>
                      <a:off x="0" y="0"/>
                      <a:ext cx="5676900" cy="2187575"/>
                    </a:xfrm>
                    <a:prstGeom prst="rect">
                      <a:avLst/>
                    </a:prstGeom>
                    <a:noFill/>
                    <a:ln>
                      <a:noFill/>
                    </a:ln>
                  </pic:spPr>
                </pic:pic>
              </a:graphicData>
            </a:graphic>
          </wp:inline>
        </w:drawing>
      </w:r>
    </w:p>
    <w:p w:rsidR="00511DB9" w:rsidRPr="00511DB9" w:rsidRDefault="00511DB9" w:rsidP="00B6528F">
      <w:pPr>
        <w:pStyle w:val="Heading4"/>
      </w:pPr>
      <w:bookmarkStart w:id="179" w:name="_Toc272414669"/>
      <w:bookmarkStart w:id="180" w:name="_Toc290846307"/>
      <w:bookmarkStart w:id="181" w:name="_Toc368471533"/>
      <w:r w:rsidRPr="00511DB9">
        <w:t>Liver function</w:t>
      </w:r>
      <w:bookmarkEnd w:id="179"/>
      <w:bookmarkEnd w:id="180"/>
      <w:bookmarkEnd w:id="181"/>
    </w:p>
    <w:p w:rsidR="00511DB9" w:rsidRPr="00511DB9" w:rsidRDefault="00511DB9" w:rsidP="00B6528F">
      <w:pPr>
        <w:pStyle w:val="Heading5"/>
      </w:pPr>
      <w:bookmarkStart w:id="182" w:name="_Toc368471534"/>
      <w:r w:rsidRPr="00511DB9">
        <w:t xml:space="preserve">Pivotal </w:t>
      </w:r>
      <w:r w:rsidRPr="00B6528F">
        <w:t>study</w:t>
      </w:r>
      <w:bookmarkEnd w:id="182"/>
    </w:p>
    <w:p w:rsidR="00511DB9" w:rsidRPr="00511DB9" w:rsidRDefault="00511DB9" w:rsidP="00B6528F">
      <w:r w:rsidRPr="00511DB9">
        <w:t>Potentially clinically significant elevations in ALT (≥</w:t>
      </w:r>
      <w:r w:rsidR="0031065B">
        <w:t xml:space="preserve"> </w:t>
      </w:r>
      <w:r w:rsidRPr="00511DB9">
        <w:t xml:space="preserve">3xULN), </w:t>
      </w:r>
      <w:r w:rsidR="005D169B" w:rsidRPr="005D169B">
        <w:t xml:space="preserve">aspartate aminotransferase </w:t>
      </w:r>
      <w:r w:rsidR="005D169B">
        <w:t>(</w:t>
      </w:r>
      <w:r w:rsidRPr="00511DB9">
        <w:t>AST</w:t>
      </w:r>
      <w:r w:rsidR="005D169B">
        <w:t>)</w:t>
      </w:r>
      <w:r w:rsidRPr="00511DB9">
        <w:t xml:space="preserve"> (≥</w:t>
      </w:r>
      <w:r w:rsidR="0031065B">
        <w:t xml:space="preserve"> </w:t>
      </w:r>
      <w:r w:rsidRPr="00511DB9">
        <w:t xml:space="preserve">3xULN) and total bilirubin </w:t>
      </w:r>
      <w:proofErr w:type="gramStart"/>
      <w:r w:rsidRPr="00511DB9">
        <w:t>(34.2 µ</w:t>
      </w:r>
      <w:proofErr w:type="spellStart"/>
      <w:r w:rsidRPr="00511DB9">
        <w:t>mol</w:t>
      </w:r>
      <w:proofErr w:type="spellEnd"/>
      <w:r w:rsidRPr="00511DB9">
        <w:t>/L)</w:t>
      </w:r>
      <w:proofErr w:type="gramEnd"/>
      <w:r w:rsidRPr="00511DB9">
        <w:t xml:space="preserve"> occurred in 2.4%, 3.0% and 3% of the patients, respectively. None of the patients had a combination of elevated ALT and/or AST with elevated bilirubin. In the 11 patients with significant </w:t>
      </w:r>
      <w:r w:rsidR="00550F44" w:rsidRPr="00550F44">
        <w:t xml:space="preserve">liver function test </w:t>
      </w:r>
      <w:r w:rsidR="00550F44">
        <w:t>(</w:t>
      </w:r>
      <w:r w:rsidRPr="00511DB9">
        <w:t>LFT</w:t>
      </w:r>
      <w:r w:rsidR="00550F44">
        <w:t>)</w:t>
      </w:r>
      <w:r w:rsidRPr="00511DB9">
        <w:t xml:space="preserve"> abnormalities, all had pre-existing high LFTs or a history of hepatitis.</w:t>
      </w:r>
    </w:p>
    <w:p w:rsidR="00511DB9" w:rsidRPr="00511DB9" w:rsidRDefault="00511DB9" w:rsidP="00B6528F">
      <w:pPr>
        <w:pStyle w:val="Heading4"/>
      </w:pPr>
      <w:bookmarkStart w:id="183" w:name="_Toc272414670"/>
      <w:bookmarkStart w:id="184" w:name="_Toc290846308"/>
      <w:bookmarkStart w:id="185" w:name="_Toc368471535"/>
      <w:r w:rsidRPr="00511DB9">
        <w:t xml:space="preserve">Kidney </w:t>
      </w:r>
      <w:r w:rsidRPr="00B6528F">
        <w:t>function</w:t>
      </w:r>
      <w:bookmarkEnd w:id="183"/>
      <w:bookmarkEnd w:id="184"/>
      <w:bookmarkEnd w:id="185"/>
    </w:p>
    <w:p w:rsidR="00511DB9" w:rsidRPr="00511DB9" w:rsidRDefault="00511DB9" w:rsidP="00B6528F">
      <w:pPr>
        <w:pStyle w:val="Heading5"/>
      </w:pPr>
      <w:bookmarkStart w:id="186" w:name="_Toc368471536"/>
      <w:r w:rsidRPr="00511DB9">
        <w:t xml:space="preserve">Pivotal </w:t>
      </w:r>
      <w:r w:rsidRPr="00B6528F">
        <w:t>study</w:t>
      </w:r>
      <w:bookmarkEnd w:id="186"/>
    </w:p>
    <w:p w:rsidR="00511DB9" w:rsidRPr="00511DB9" w:rsidRDefault="00511DB9" w:rsidP="00B6528F">
      <w:r w:rsidRPr="00511DB9">
        <w:t xml:space="preserve">Modest elevations in </w:t>
      </w:r>
      <w:r w:rsidR="00957826" w:rsidRPr="00957826">
        <w:t xml:space="preserve">blood urea nitrogen </w:t>
      </w:r>
      <w:r w:rsidR="00957826">
        <w:t>(</w:t>
      </w:r>
      <w:r w:rsidRPr="00511DB9">
        <w:t>BUN</w:t>
      </w:r>
      <w:r w:rsidR="00957826">
        <w:t>)</w:t>
      </w:r>
      <w:r w:rsidRPr="00511DB9">
        <w:t xml:space="preserve"> occurred in 2/164 (1.2%) patients. There were no significant increases in serum creatinine (≥</w:t>
      </w:r>
      <w:r w:rsidR="00321456">
        <w:t xml:space="preserve"> </w:t>
      </w:r>
      <w:r w:rsidRPr="00511DB9">
        <w:t>176.8 µ</w:t>
      </w:r>
      <w:proofErr w:type="spellStart"/>
      <w:r w:rsidRPr="00511DB9">
        <w:t>mol</w:t>
      </w:r>
      <w:proofErr w:type="spellEnd"/>
      <w:r w:rsidRPr="00511DB9">
        <w:t>/L) during the study.</w:t>
      </w:r>
    </w:p>
    <w:p w:rsidR="00511DB9" w:rsidRPr="00511DB9" w:rsidRDefault="00511DB9" w:rsidP="00B6528F">
      <w:pPr>
        <w:pStyle w:val="Heading4"/>
      </w:pPr>
      <w:bookmarkStart w:id="187" w:name="_Toc272414671"/>
      <w:bookmarkStart w:id="188" w:name="_Toc290846309"/>
      <w:bookmarkStart w:id="189" w:name="_Toc368471537"/>
      <w:r w:rsidRPr="00511DB9">
        <w:lastRenderedPageBreak/>
        <w:t xml:space="preserve">Other clinical </w:t>
      </w:r>
      <w:r w:rsidRPr="00B6528F">
        <w:t>chemistry</w:t>
      </w:r>
      <w:bookmarkEnd w:id="187"/>
      <w:bookmarkEnd w:id="188"/>
      <w:bookmarkEnd w:id="189"/>
    </w:p>
    <w:p w:rsidR="00511DB9" w:rsidRPr="00511DB9" w:rsidRDefault="00511DB9" w:rsidP="00B6528F">
      <w:pPr>
        <w:pStyle w:val="Heading5"/>
      </w:pPr>
      <w:bookmarkStart w:id="190" w:name="_Toc368471538"/>
      <w:r w:rsidRPr="00511DB9">
        <w:t>Pivotal study</w:t>
      </w:r>
      <w:bookmarkEnd w:id="190"/>
    </w:p>
    <w:p w:rsidR="00511DB9" w:rsidRPr="00511DB9" w:rsidRDefault="00511DB9" w:rsidP="00B6528F">
      <w:r w:rsidRPr="00511DB9">
        <w:t xml:space="preserve">No significant treatment emergent abnormalities in any other clinical </w:t>
      </w:r>
      <w:proofErr w:type="gramStart"/>
      <w:r w:rsidRPr="00511DB9">
        <w:t>chemistries</w:t>
      </w:r>
      <w:proofErr w:type="gramEnd"/>
      <w:r w:rsidRPr="00511DB9">
        <w:t xml:space="preserve"> were recorded during the study.</w:t>
      </w:r>
    </w:p>
    <w:p w:rsidR="00511DB9" w:rsidRPr="00511DB9" w:rsidRDefault="00511DB9" w:rsidP="00B6528F">
      <w:pPr>
        <w:pStyle w:val="Heading4"/>
      </w:pPr>
      <w:bookmarkStart w:id="191" w:name="_Toc272414672"/>
      <w:bookmarkStart w:id="192" w:name="_Toc290846310"/>
      <w:bookmarkStart w:id="193" w:name="_Toc368471539"/>
      <w:r w:rsidRPr="00511DB9">
        <w:t>Haematology</w:t>
      </w:r>
      <w:bookmarkEnd w:id="191"/>
      <w:bookmarkEnd w:id="192"/>
      <w:bookmarkEnd w:id="193"/>
    </w:p>
    <w:p w:rsidR="00511DB9" w:rsidRPr="00511DB9" w:rsidRDefault="00511DB9" w:rsidP="00B6528F">
      <w:pPr>
        <w:pStyle w:val="Heading5"/>
      </w:pPr>
      <w:bookmarkStart w:id="194" w:name="_Toc368471540"/>
      <w:r w:rsidRPr="00511DB9">
        <w:t>Pivotal study</w:t>
      </w:r>
      <w:bookmarkEnd w:id="194"/>
    </w:p>
    <w:p w:rsidR="00511DB9" w:rsidRDefault="00511DB9" w:rsidP="00B6528F">
      <w:r w:rsidRPr="00511DB9">
        <w:t xml:space="preserve">No clinically meaningful changes were observed in the mean actual value or mean change from baseline over time in any treatment arm. A summary of the number and percentage of patients with a shift from baseline to low or high post-baseline value is shown in Table </w:t>
      </w:r>
      <w:r w:rsidR="00F93898">
        <w:t>14</w:t>
      </w:r>
      <w:r w:rsidRPr="00511DB9">
        <w:t>. An upwards shift for haematocrit occurred in 11.5% of patients but overall there were no meaningful shifts in haematology data.</w:t>
      </w:r>
    </w:p>
    <w:p w:rsidR="00F93898" w:rsidRDefault="00F93898" w:rsidP="00B6528F">
      <w:pPr>
        <w:pStyle w:val="Tabletitle"/>
      </w:pPr>
      <w:r>
        <w:t xml:space="preserve">Table 14: Study 997HA301. Summary of shifts from baseline to minimum/maximum post baseline value for laboratory </w:t>
      </w:r>
      <w:r w:rsidRPr="00B6528F">
        <w:t>results</w:t>
      </w:r>
      <w:r>
        <w:t>: haematology. Safety analysis set.</w:t>
      </w:r>
    </w:p>
    <w:p w:rsidR="00F93898" w:rsidRPr="00F93898" w:rsidRDefault="00F93898" w:rsidP="00B6528F">
      <w:r>
        <w:rPr>
          <w:noProof/>
          <w:lang w:eastAsia="en-AU"/>
        </w:rPr>
        <w:drawing>
          <wp:inline distT="0" distB="0" distL="0" distR="0" wp14:anchorId="0B70CAFE" wp14:editId="01281D36">
            <wp:extent cx="5731510" cy="2321423"/>
            <wp:effectExtent l="0" t="0" r="0" b="0"/>
            <wp:docPr id="18" name="Picture 18" descr="Table 14: Study 997HA301. Summary of shifts from baseline to minimum/maximum post baseline value for laboratory results: haematolog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t="21930"/>
                    <a:stretch>
                      <a:fillRect/>
                    </a:stretch>
                  </pic:blipFill>
                  <pic:spPr bwMode="auto">
                    <a:xfrm>
                      <a:off x="0" y="0"/>
                      <a:ext cx="5731510" cy="2321423"/>
                    </a:xfrm>
                    <a:prstGeom prst="rect">
                      <a:avLst/>
                    </a:prstGeom>
                    <a:noFill/>
                    <a:ln>
                      <a:noFill/>
                    </a:ln>
                  </pic:spPr>
                </pic:pic>
              </a:graphicData>
            </a:graphic>
          </wp:inline>
        </w:drawing>
      </w:r>
    </w:p>
    <w:p w:rsidR="00F93898" w:rsidRPr="00F93898" w:rsidRDefault="00F93898" w:rsidP="00B6528F">
      <w:pPr>
        <w:pStyle w:val="Heading4"/>
      </w:pPr>
      <w:bookmarkStart w:id="195" w:name="_Toc272414675"/>
      <w:bookmarkStart w:id="196" w:name="_Toc290846313"/>
      <w:bookmarkStart w:id="197" w:name="_Toc368471543"/>
      <w:bookmarkStart w:id="198" w:name="_Toc272414673"/>
      <w:bookmarkStart w:id="199" w:name="_Toc290846311"/>
      <w:bookmarkStart w:id="200" w:name="_Toc368471541"/>
      <w:r w:rsidRPr="00F93898">
        <w:t>Electrocardiograph</w:t>
      </w:r>
      <w:bookmarkEnd w:id="195"/>
      <w:bookmarkEnd w:id="196"/>
      <w:bookmarkEnd w:id="197"/>
    </w:p>
    <w:p w:rsidR="00F93898" w:rsidRPr="00F93898" w:rsidRDefault="00F93898" w:rsidP="00B6528F">
      <w:pPr>
        <w:pStyle w:val="Heading5"/>
      </w:pPr>
      <w:bookmarkStart w:id="201" w:name="_Toc368471544"/>
      <w:r w:rsidRPr="00F93898">
        <w:t>Pivotal study</w:t>
      </w:r>
      <w:bookmarkEnd w:id="201"/>
    </w:p>
    <w:p w:rsidR="00F93898" w:rsidRPr="00F93898" w:rsidRDefault="00F93898" w:rsidP="00B6528F">
      <w:r w:rsidRPr="00F93898">
        <w:t>The study protocol did not include baseline or follow-up ECGs.</w:t>
      </w:r>
    </w:p>
    <w:p w:rsidR="00511DB9" w:rsidRPr="00511DB9" w:rsidRDefault="00511DB9" w:rsidP="00B6528F">
      <w:pPr>
        <w:pStyle w:val="Heading4"/>
      </w:pPr>
      <w:r w:rsidRPr="00511DB9">
        <w:t>Serum immunoglobulin concentrations</w:t>
      </w:r>
      <w:bookmarkEnd w:id="198"/>
      <w:bookmarkEnd w:id="199"/>
      <w:bookmarkEnd w:id="200"/>
    </w:p>
    <w:p w:rsidR="00511DB9" w:rsidRPr="00511DB9" w:rsidRDefault="00511DB9" w:rsidP="00B6528F">
      <w:pPr>
        <w:pStyle w:val="Heading5"/>
      </w:pPr>
      <w:bookmarkStart w:id="202" w:name="_Toc368471542"/>
      <w:r w:rsidRPr="00511DB9">
        <w:t>Pivotal study</w:t>
      </w:r>
      <w:bookmarkEnd w:id="202"/>
    </w:p>
    <w:p w:rsidR="00511DB9" w:rsidRPr="00511DB9" w:rsidRDefault="00511DB9" w:rsidP="00B6528F">
      <w:r w:rsidRPr="00511DB9">
        <w:t xml:space="preserve">No clinically meaningful changes were observed in the mean actual value or mean change from baseline over time in the total </w:t>
      </w:r>
      <w:r w:rsidR="00C85E9F" w:rsidRPr="00C85E9F">
        <w:t xml:space="preserve">immunoglobulin G </w:t>
      </w:r>
      <w:r w:rsidR="00C85E9F">
        <w:t>(</w:t>
      </w:r>
      <w:proofErr w:type="spellStart"/>
      <w:r w:rsidRPr="00511DB9">
        <w:t>IgG</w:t>
      </w:r>
      <w:proofErr w:type="spellEnd"/>
      <w:r w:rsidR="00C85E9F">
        <w:t>)</w:t>
      </w:r>
      <w:r w:rsidRPr="00511DB9">
        <w:t xml:space="preserve"> or any of the four </w:t>
      </w:r>
      <w:proofErr w:type="spellStart"/>
      <w:r w:rsidRPr="00511DB9">
        <w:t>IgG</w:t>
      </w:r>
      <w:proofErr w:type="spellEnd"/>
      <w:r w:rsidRPr="00511DB9">
        <w:t xml:space="preserve"> subclasses in any treatment arm.</w:t>
      </w:r>
    </w:p>
    <w:p w:rsidR="00511DB9" w:rsidRPr="00511DB9" w:rsidRDefault="00511DB9" w:rsidP="00B6528F">
      <w:pPr>
        <w:pStyle w:val="Heading4"/>
      </w:pPr>
      <w:bookmarkStart w:id="203" w:name="_Toc272414676"/>
      <w:bookmarkStart w:id="204" w:name="_Toc290846314"/>
      <w:bookmarkStart w:id="205" w:name="_Toc368471545"/>
      <w:r w:rsidRPr="00511DB9">
        <w:t>Vital signs</w:t>
      </w:r>
      <w:bookmarkEnd w:id="203"/>
      <w:bookmarkEnd w:id="204"/>
      <w:bookmarkEnd w:id="205"/>
    </w:p>
    <w:p w:rsidR="00511DB9" w:rsidRPr="00511DB9" w:rsidRDefault="00511DB9" w:rsidP="00B6528F">
      <w:pPr>
        <w:pStyle w:val="Heading5"/>
      </w:pPr>
      <w:bookmarkStart w:id="206" w:name="_Toc368471546"/>
      <w:r w:rsidRPr="00511DB9">
        <w:t>Pivotal study</w:t>
      </w:r>
      <w:bookmarkEnd w:id="206"/>
    </w:p>
    <w:p w:rsidR="00511DB9" w:rsidRPr="00511DB9" w:rsidRDefault="00511DB9" w:rsidP="00B6528F">
      <w:r w:rsidRPr="00511DB9">
        <w:t xml:space="preserve">Vital signs were measured at Screening and before and 30 minutes after injection of the first dose of </w:t>
      </w:r>
      <w:proofErr w:type="spellStart"/>
      <w:r w:rsidRPr="00511DB9">
        <w:t>rFVIIIFc</w:t>
      </w:r>
      <w:proofErr w:type="spellEnd"/>
      <w:r w:rsidRPr="00511DB9">
        <w:t>. There were no clinically meaningful or consistent trends in vital signs.</w:t>
      </w:r>
    </w:p>
    <w:p w:rsidR="00511DB9" w:rsidRPr="00511DB9" w:rsidRDefault="00511DB9" w:rsidP="00B6528F">
      <w:pPr>
        <w:pStyle w:val="Heading3"/>
      </w:pPr>
      <w:bookmarkStart w:id="207" w:name="_Toc241374326"/>
      <w:bookmarkStart w:id="208" w:name="_Ref272333048"/>
      <w:bookmarkStart w:id="209" w:name="_Toc272414679"/>
      <w:bookmarkStart w:id="210" w:name="_Toc290846317"/>
      <w:bookmarkStart w:id="211" w:name="_Toc368471547"/>
      <w:bookmarkStart w:id="212" w:name="_Toc413223148"/>
      <w:r w:rsidRPr="00511DB9">
        <w:t>Post-</w:t>
      </w:r>
      <w:r w:rsidRPr="00B6528F">
        <w:t>marketing</w:t>
      </w:r>
      <w:r w:rsidRPr="00511DB9">
        <w:t xml:space="preserve"> experience</w:t>
      </w:r>
      <w:bookmarkEnd w:id="207"/>
      <w:bookmarkEnd w:id="208"/>
      <w:bookmarkEnd w:id="209"/>
      <w:bookmarkEnd w:id="210"/>
      <w:bookmarkEnd w:id="211"/>
      <w:bookmarkEnd w:id="212"/>
    </w:p>
    <w:p w:rsidR="00511DB9" w:rsidRPr="00511DB9" w:rsidRDefault="00511DB9" w:rsidP="00B6528F">
      <w:proofErr w:type="spellStart"/>
      <w:proofErr w:type="gramStart"/>
      <w:r w:rsidRPr="00511DB9">
        <w:t>rFVIIIFc</w:t>
      </w:r>
      <w:proofErr w:type="spellEnd"/>
      <w:proofErr w:type="gramEnd"/>
      <w:r w:rsidRPr="00511DB9">
        <w:t xml:space="preserve"> is not approved or marketed in any country.</w:t>
      </w:r>
    </w:p>
    <w:p w:rsidR="00511DB9" w:rsidRPr="00511DB9" w:rsidRDefault="00511DB9" w:rsidP="00284521">
      <w:pPr>
        <w:pStyle w:val="Heading3"/>
      </w:pPr>
      <w:bookmarkStart w:id="213" w:name="_Ref272333005"/>
      <w:bookmarkStart w:id="214" w:name="_Toc272414680"/>
      <w:bookmarkStart w:id="215" w:name="_Toc290846318"/>
      <w:bookmarkStart w:id="216" w:name="_Toc368471548"/>
      <w:bookmarkStart w:id="217" w:name="_Toc413223149"/>
      <w:r w:rsidRPr="00511DB9">
        <w:lastRenderedPageBreak/>
        <w:t xml:space="preserve">Safety issues with </w:t>
      </w:r>
      <w:r w:rsidRPr="00284521">
        <w:t>the</w:t>
      </w:r>
      <w:r w:rsidRPr="00511DB9">
        <w:t xml:space="preserve"> potential for major regulatory imp</w:t>
      </w:r>
      <w:bookmarkEnd w:id="213"/>
      <w:bookmarkEnd w:id="214"/>
      <w:r w:rsidRPr="00511DB9">
        <w:t>act</w:t>
      </w:r>
      <w:bookmarkEnd w:id="215"/>
      <w:bookmarkEnd w:id="216"/>
      <w:bookmarkEnd w:id="217"/>
    </w:p>
    <w:p w:rsidR="00511DB9" w:rsidRPr="00511DB9" w:rsidRDefault="00511DB9" w:rsidP="00284521">
      <w:pPr>
        <w:pStyle w:val="Heading4"/>
      </w:pPr>
      <w:bookmarkStart w:id="218" w:name="_Toc272414681"/>
      <w:bookmarkStart w:id="219" w:name="_Toc290846319"/>
      <w:bookmarkStart w:id="220" w:name="_Toc368471549"/>
      <w:r w:rsidRPr="00511DB9">
        <w:t>Liver toxicity</w:t>
      </w:r>
      <w:bookmarkEnd w:id="218"/>
      <w:bookmarkEnd w:id="219"/>
      <w:bookmarkEnd w:id="220"/>
    </w:p>
    <w:p w:rsidR="00511DB9" w:rsidRPr="00511DB9" w:rsidRDefault="00511DB9" w:rsidP="00284521">
      <w:r w:rsidRPr="00511DB9">
        <w:t>No issues identified.</w:t>
      </w:r>
    </w:p>
    <w:p w:rsidR="00511DB9" w:rsidRPr="00511DB9" w:rsidRDefault="00511DB9" w:rsidP="00284521">
      <w:pPr>
        <w:pStyle w:val="Heading4"/>
      </w:pPr>
      <w:bookmarkStart w:id="221" w:name="_Toc272414682"/>
      <w:bookmarkStart w:id="222" w:name="_Toc290846320"/>
      <w:bookmarkStart w:id="223" w:name="_Toc368471550"/>
      <w:r w:rsidRPr="00511DB9">
        <w:t xml:space="preserve">Haematological </w:t>
      </w:r>
      <w:r w:rsidRPr="00284521">
        <w:t>toxicity</w:t>
      </w:r>
      <w:bookmarkEnd w:id="221"/>
      <w:bookmarkEnd w:id="222"/>
      <w:bookmarkEnd w:id="223"/>
    </w:p>
    <w:p w:rsidR="00511DB9" w:rsidRPr="00511DB9" w:rsidRDefault="00511DB9" w:rsidP="00284521">
      <w:r w:rsidRPr="00511DB9">
        <w:t>No issues identified.</w:t>
      </w:r>
    </w:p>
    <w:p w:rsidR="00511DB9" w:rsidRPr="00511DB9" w:rsidRDefault="00511DB9" w:rsidP="00284521">
      <w:pPr>
        <w:pStyle w:val="Heading4"/>
      </w:pPr>
      <w:bookmarkStart w:id="224" w:name="_Toc272414683"/>
      <w:bookmarkStart w:id="225" w:name="_Toc290846321"/>
      <w:bookmarkStart w:id="226" w:name="_Toc368471551"/>
      <w:r w:rsidRPr="00511DB9">
        <w:t xml:space="preserve">Serious skin </w:t>
      </w:r>
      <w:r w:rsidRPr="00284521">
        <w:t>reactions</w:t>
      </w:r>
      <w:bookmarkEnd w:id="224"/>
      <w:bookmarkEnd w:id="225"/>
      <w:bookmarkEnd w:id="226"/>
    </w:p>
    <w:p w:rsidR="00511DB9" w:rsidRPr="00511DB9" w:rsidRDefault="00511DB9" w:rsidP="00284521">
      <w:r w:rsidRPr="00511DB9">
        <w:t>No issues identified.</w:t>
      </w:r>
    </w:p>
    <w:p w:rsidR="00511DB9" w:rsidRPr="00511DB9" w:rsidRDefault="00511DB9" w:rsidP="00284521">
      <w:pPr>
        <w:pStyle w:val="Heading4"/>
      </w:pPr>
      <w:bookmarkStart w:id="227" w:name="_Toc272414684"/>
      <w:bookmarkStart w:id="228" w:name="_Toc290846322"/>
      <w:bookmarkStart w:id="229" w:name="_Toc368471552"/>
      <w:r w:rsidRPr="00511DB9">
        <w:t>Cardiovascular safety</w:t>
      </w:r>
      <w:bookmarkEnd w:id="227"/>
      <w:bookmarkEnd w:id="228"/>
      <w:bookmarkEnd w:id="229"/>
    </w:p>
    <w:p w:rsidR="00511DB9" w:rsidRPr="00511DB9" w:rsidRDefault="00511DB9" w:rsidP="00284521">
      <w:r w:rsidRPr="00511DB9">
        <w:t>No issues identified.</w:t>
      </w:r>
    </w:p>
    <w:p w:rsidR="00511DB9" w:rsidRPr="00511DB9" w:rsidRDefault="00511DB9" w:rsidP="00284521">
      <w:pPr>
        <w:pStyle w:val="Heading4"/>
      </w:pPr>
      <w:bookmarkStart w:id="230" w:name="_Toc241374323"/>
      <w:bookmarkStart w:id="231" w:name="_Toc272414685"/>
      <w:bookmarkStart w:id="232" w:name="_Toc290846323"/>
      <w:bookmarkStart w:id="233" w:name="_Toc368471553"/>
      <w:r w:rsidRPr="00511DB9">
        <w:t xml:space="preserve">Unwanted </w:t>
      </w:r>
      <w:r w:rsidRPr="00284521">
        <w:t>immunological</w:t>
      </w:r>
      <w:r w:rsidRPr="00511DB9">
        <w:t xml:space="preserve"> events</w:t>
      </w:r>
      <w:bookmarkEnd w:id="230"/>
      <w:bookmarkEnd w:id="231"/>
      <w:bookmarkEnd w:id="232"/>
      <w:bookmarkEnd w:id="233"/>
    </w:p>
    <w:p w:rsidR="00511DB9" w:rsidRPr="00511DB9" w:rsidRDefault="00511DB9" w:rsidP="00284521">
      <w:r w:rsidRPr="00511DB9">
        <w:t>No issues identified</w:t>
      </w:r>
      <w:r w:rsidR="00A66C4B">
        <w:t>.</w:t>
      </w:r>
    </w:p>
    <w:p w:rsidR="00511DB9" w:rsidRPr="00511DB9" w:rsidRDefault="00511DB9" w:rsidP="00284521">
      <w:pPr>
        <w:pStyle w:val="Heading3"/>
      </w:pPr>
      <w:bookmarkStart w:id="234" w:name="_Toc272414686"/>
      <w:bookmarkStart w:id="235" w:name="_Ref273005527"/>
      <w:bookmarkStart w:id="236" w:name="_Toc290846324"/>
      <w:bookmarkStart w:id="237" w:name="_Toc368471554"/>
      <w:bookmarkStart w:id="238" w:name="_Toc413223150"/>
      <w:r w:rsidRPr="00511DB9">
        <w:t>Other safety issues</w:t>
      </w:r>
      <w:bookmarkEnd w:id="234"/>
      <w:bookmarkEnd w:id="235"/>
      <w:bookmarkEnd w:id="236"/>
      <w:bookmarkEnd w:id="237"/>
      <w:bookmarkEnd w:id="238"/>
    </w:p>
    <w:p w:rsidR="00511DB9" w:rsidRPr="00511DB9" w:rsidRDefault="00511DB9" w:rsidP="00284521">
      <w:pPr>
        <w:pStyle w:val="Heading4"/>
      </w:pPr>
      <w:bookmarkStart w:id="239" w:name="_Toc241374322"/>
      <w:bookmarkStart w:id="240" w:name="_Ref272331212"/>
      <w:bookmarkStart w:id="241" w:name="_Toc272414687"/>
      <w:bookmarkStart w:id="242" w:name="_Toc290846325"/>
      <w:bookmarkStart w:id="243" w:name="_Toc368471555"/>
      <w:r w:rsidRPr="00511DB9">
        <w:t xml:space="preserve">Safety in special </w:t>
      </w:r>
      <w:r w:rsidRPr="00284521">
        <w:t>populations</w:t>
      </w:r>
      <w:bookmarkEnd w:id="239"/>
      <w:bookmarkEnd w:id="240"/>
      <w:bookmarkEnd w:id="241"/>
      <w:bookmarkEnd w:id="242"/>
      <w:bookmarkEnd w:id="243"/>
    </w:p>
    <w:p w:rsidR="00511DB9" w:rsidRPr="00511DB9" w:rsidRDefault="00511DB9" w:rsidP="00284521">
      <w:r w:rsidRPr="00511DB9">
        <w:t xml:space="preserve">No studies in special populations have been conducted. An analysis of AEs in patient subgroups defined by age, BMI, race, baseline HIV/HCV status, history of advanced hepatic disease, and extrinsic factors such as use of IV ports and geographical location of the patients is discussed in </w:t>
      </w:r>
      <w:r w:rsidR="00321456">
        <w:t>s</w:t>
      </w:r>
      <w:r w:rsidRPr="00321456">
        <w:t>ection 8.4.1.1. Overall</w:t>
      </w:r>
      <w:r w:rsidRPr="00511DB9">
        <w:t>, there was no unusual pattern in the distribution and type of AEs in any patient subgroup.</w:t>
      </w:r>
    </w:p>
    <w:p w:rsidR="00511DB9" w:rsidRPr="00511DB9" w:rsidRDefault="00511DB9" w:rsidP="00284521">
      <w:pPr>
        <w:pStyle w:val="Heading4"/>
      </w:pPr>
      <w:bookmarkStart w:id="244" w:name="_Toc241374324"/>
      <w:bookmarkStart w:id="245" w:name="_Ref272331214"/>
      <w:bookmarkStart w:id="246" w:name="_Toc272414688"/>
      <w:bookmarkStart w:id="247" w:name="_Toc290846326"/>
      <w:bookmarkStart w:id="248" w:name="_Toc368471556"/>
      <w:r w:rsidRPr="00511DB9">
        <w:t>Safety related to drug-drug interactions and other interactions</w:t>
      </w:r>
      <w:bookmarkEnd w:id="244"/>
      <w:bookmarkEnd w:id="245"/>
      <w:bookmarkEnd w:id="246"/>
      <w:bookmarkEnd w:id="247"/>
      <w:bookmarkEnd w:id="248"/>
    </w:p>
    <w:p w:rsidR="00511DB9" w:rsidRPr="00511DB9" w:rsidRDefault="00511DB9" w:rsidP="00284521">
      <w:r w:rsidRPr="00511DB9">
        <w:t>No formal drug-drug interaction studies were conducted as they are generally inapplicable for biologic therapies. No observations in the pivotal study suggested a potential drug-drug interaction.</w:t>
      </w:r>
    </w:p>
    <w:p w:rsidR="00511DB9" w:rsidRPr="00511DB9" w:rsidRDefault="00511DB9" w:rsidP="00284521">
      <w:pPr>
        <w:pStyle w:val="Heading3"/>
      </w:pPr>
      <w:bookmarkStart w:id="249" w:name="_Toc241374328"/>
      <w:bookmarkStart w:id="250" w:name="_Toc272414691"/>
      <w:bookmarkStart w:id="251" w:name="_Toc290846329"/>
      <w:bookmarkStart w:id="252" w:name="_Toc368471557"/>
      <w:bookmarkStart w:id="253" w:name="_Toc413223151"/>
      <w:r w:rsidRPr="00511DB9">
        <w:t>Evaluator’s overall conclusions on clinical safety</w:t>
      </w:r>
      <w:bookmarkEnd w:id="249"/>
      <w:bookmarkEnd w:id="250"/>
      <w:bookmarkEnd w:id="251"/>
      <w:bookmarkEnd w:id="252"/>
      <w:bookmarkEnd w:id="253"/>
    </w:p>
    <w:p w:rsidR="00C22678" w:rsidRPr="00511DB9" w:rsidRDefault="00511DB9" w:rsidP="00284521">
      <w:r w:rsidRPr="00511DB9">
        <w:t xml:space="preserve">In general, </w:t>
      </w:r>
      <w:proofErr w:type="spellStart"/>
      <w:r w:rsidRPr="00511DB9">
        <w:t>rFVIIIFc</w:t>
      </w:r>
      <w:proofErr w:type="spellEnd"/>
      <w:r w:rsidRPr="00511DB9">
        <w:t xml:space="preserve"> was well tolerated. In the single pivotal </w:t>
      </w:r>
      <w:r w:rsidR="00965C48">
        <w:t>Phase III</w:t>
      </w:r>
      <w:r w:rsidRPr="00511DB9">
        <w:t xml:space="preserve"> study, 164 previously treated adult and adolescent patients with haemophilia A received at least one dose of </w:t>
      </w:r>
      <w:proofErr w:type="spellStart"/>
      <w:r w:rsidRPr="00511DB9">
        <w:t>rFVIIIFc</w:t>
      </w:r>
      <w:proofErr w:type="spellEnd"/>
      <w:r w:rsidRPr="00511DB9">
        <w:t>. The study was sufficient in size to adequately assess the risk of inhibitor formation and very common or common AEs. A total of 146 patients have been treated for at least 26 weeks and a long-term extension study is on-going. There was no placebo control group but the types and incidence of AEs were consistent with those expected in the haemophilia population. With the exception of arthralgia recorded in 7.9% of patients, the most common AEs [</w:t>
      </w:r>
      <w:proofErr w:type="spellStart"/>
      <w:r w:rsidRPr="00511DB9">
        <w:t>nasopharyngitis</w:t>
      </w:r>
      <w:proofErr w:type="spellEnd"/>
      <w:r w:rsidRPr="00511DB9">
        <w:t xml:space="preserve"> (12.2%), headache (7.9%) and URTI (5.5%)] are commonly repor</w:t>
      </w:r>
      <w:r w:rsidR="009929F7">
        <w:t xml:space="preserve">ted in the general population. </w:t>
      </w:r>
      <w:r w:rsidRPr="00511DB9">
        <w:t xml:space="preserve">No deaths or SAEs were considered related to </w:t>
      </w:r>
      <w:proofErr w:type="spellStart"/>
      <w:r w:rsidRPr="00511DB9">
        <w:t>rFVIIIFc</w:t>
      </w:r>
      <w:proofErr w:type="spellEnd"/>
      <w:r w:rsidRPr="00511DB9">
        <w:t xml:space="preserve"> treatment by Investigators. The pattern of infections was unremarkable and there was no evidence of immune compromise or increased risk of infection. The AE profile in patients with underlying HIV/HCV was similar to the rest of the patient population. Safety in adolescents appeared similar to that of the adults and there appeared to be no effects related to race, BMI or geographic region. There were no meaningful patterns or trends in clinical chemistry, haematology or vital signs. No patient developed an inhibitor or other AEs of special interest. Target organ toxicity is not a feature of biologics but there were no cases of anaphylaxis or hypersensitivity reactions. In keeping with the orphan population, limited patient numbers have been treated but no safety sign</w:t>
      </w:r>
      <w:r w:rsidR="00F93898">
        <w:t>als have been detected to date.</w:t>
      </w:r>
    </w:p>
    <w:p w:rsidR="00C22678" w:rsidRDefault="00C22678" w:rsidP="00284521">
      <w:pPr>
        <w:pStyle w:val="Heading2"/>
      </w:pPr>
      <w:bookmarkStart w:id="254" w:name="_Toc413223152"/>
      <w:r w:rsidRPr="00284521">
        <w:lastRenderedPageBreak/>
        <w:t>First</w:t>
      </w:r>
      <w:r>
        <w:t xml:space="preserve"> round benefit-risk assessment</w:t>
      </w:r>
      <w:bookmarkEnd w:id="254"/>
    </w:p>
    <w:p w:rsidR="00F93898" w:rsidRPr="00F93898" w:rsidRDefault="00F93898" w:rsidP="00284521">
      <w:pPr>
        <w:pStyle w:val="Heading3"/>
      </w:pPr>
      <w:bookmarkStart w:id="255" w:name="_Toc236802592"/>
      <w:bookmarkStart w:id="256" w:name="_Toc241374331"/>
      <w:bookmarkStart w:id="257" w:name="_Ref272160836"/>
      <w:bookmarkStart w:id="258" w:name="_Toc272414693"/>
      <w:bookmarkStart w:id="259" w:name="_Toc290846331"/>
      <w:bookmarkStart w:id="260" w:name="_Toc368471559"/>
      <w:bookmarkStart w:id="261" w:name="_Toc413223153"/>
      <w:r w:rsidRPr="00F93898">
        <w:t>First round assessment of benefits</w:t>
      </w:r>
      <w:bookmarkEnd w:id="255"/>
      <w:bookmarkEnd w:id="256"/>
      <w:bookmarkEnd w:id="257"/>
      <w:bookmarkEnd w:id="258"/>
      <w:bookmarkEnd w:id="259"/>
      <w:bookmarkEnd w:id="260"/>
      <w:bookmarkEnd w:id="261"/>
    </w:p>
    <w:p w:rsidR="00F93898" w:rsidRPr="00F93898" w:rsidRDefault="00F93898" w:rsidP="00284521">
      <w:r w:rsidRPr="00F93898">
        <w:t xml:space="preserve">The benefits of </w:t>
      </w:r>
      <w:r w:rsidR="00AE06BC">
        <w:t>Eloctate</w:t>
      </w:r>
      <w:r w:rsidRPr="00F93898">
        <w:t xml:space="preserve"> in the proposed usage are:</w:t>
      </w:r>
    </w:p>
    <w:p w:rsidR="00F93898" w:rsidRPr="00F93898" w:rsidRDefault="00F93898" w:rsidP="00284521">
      <w:pPr>
        <w:pStyle w:val="ListBullet"/>
      </w:pPr>
      <w:r w:rsidRPr="00F93898">
        <w:t>Effective control of bleeding with 87.3% of acute bleeds controlled with a single injection.</w:t>
      </w:r>
    </w:p>
    <w:p w:rsidR="00F93898" w:rsidRPr="00F93898" w:rsidRDefault="00F93898" w:rsidP="00284521">
      <w:pPr>
        <w:pStyle w:val="ListBullet"/>
      </w:pPr>
      <w:r w:rsidRPr="00F93898">
        <w:t>Effective as routine individualised prophylaxis with 92% reduction in annualised bleeding rates compared with episodic (on-demand) treatment</w:t>
      </w:r>
      <w:r w:rsidR="00237022">
        <w:t>.</w:t>
      </w:r>
    </w:p>
    <w:p w:rsidR="00F93898" w:rsidRPr="00F93898" w:rsidRDefault="00F93898" w:rsidP="00284521">
      <w:pPr>
        <w:pStyle w:val="ListBullet"/>
      </w:pPr>
      <w:r w:rsidRPr="00F93898">
        <w:t>Effective as once weekly prophylaxis with 76% reduction in annualised bleeding rates compared with episodic (on-demand) treatment</w:t>
      </w:r>
      <w:r w:rsidR="00A66C4B">
        <w:t>.</w:t>
      </w:r>
    </w:p>
    <w:p w:rsidR="00F93898" w:rsidRPr="00F93898" w:rsidRDefault="00F93898" w:rsidP="00284521">
      <w:pPr>
        <w:pStyle w:val="ListBullet"/>
      </w:pPr>
      <w:r w:rsidRPr="00F93898">
        <w:t>Effective for peri-operative management with 100% excellent or good haemostasis</w:t>
      </w:r>
      <w:r w:rsidR="00A66C4B">
        <w:t>.</w:t>
      </w:r>
    </w:p>
    <w:p w:rsidR="00F93898" w:rsidRPr="00F93898" w:rsidRDefault="00F93898" w:rsidP="00284521">
      <w:pPr>
        <w:pStyle w:val="ListBullet"/>
      </w:pPr>
      <w:r w:rsidRPr="00F93898">
        <w:t xml:space="preserve">A long </w:t>
      </w:r>
      <w:r w:rsidRPr="00284521">
        <w:t>half</w:t>
      </w:r>
      <w:r w:rsidRPr="00F93898">
        <w:t xml:space="preserve">-life (18.97 hours), 1.53-fold longer than </w:t>
      </w:r>
      <w:proofErr w:type="spellStart"/>
      <w:r w:rsidRPr="00F93898">
        <w:t>Advate</w:t>
      </w:r>
      <w:proofErr w:type="spellEnd"/>
      <w:r w:rsidRPr="00F93898">
        <w:t xml:space="preserve"> (</w:t>
      </w:r>
      <w:proofErr w:type="spellStart"/>
      <w:r w:rsidRPr="00F93898">
        <w:t>rFVIII</w:t>
      </w:r>
      <w:proofErr w:type="spellEnd"/>
      <w:r w:rsidRPr="00F93898">
        <w:t>).</w:t>
      </w:r>
    </w:p>
    <w:p w:rsidR="00F93898" w:rsidRPr="00F93898" w:rsidRDefault="00F93898" w:rsidP="00E8185B">
      <w:pPr>
        <w:pStyle w:val="ListBullet"/>
      </w:pPr>
      <w:r w:rsidRPr="00F93898">
        <w:t xml:space="preserve">Reduced dosing frequency. Almost 90% of patients had a history of requiring three or more prophylaxis injections/week of FVIII before the study, compared with an average dosing interval of 3 days or longer on </w:t>
      </w:r>
      <w:proofErr w:type="spellStart"/>
      <w:r w:rsidRPr="00F93898">
        <w:t>rFVIIIFc</w:t>
      </w:r>
      <w:proofErr w:type="spellEnd"/>
      <w:r w:rsidRPr="00F93898">
        <w:t>.</w:t>
      </w:r>
    </w:p>
    <w:p w:rsidR="00F93898" w:rsidRPr="00F93898" w:rsidRDefault="00F93898" w:rsidP="00284521">
      <w:pPr>
        <w:pStyle w:val="ListBullet"/>
      </w:pPr>
      <w:r w:rsidRPr="00F93898">
        <w:t xml:space="preserve">Clear </w:t>
      </w:r>
      <w:r w:rsidRPr="00284521">
        <w:t>dosing</w:t>
      </w:r>
      <w:r w:rsidRPr="00F93898">
        <w:t xml:space="preserve"> recommendations based on population PK data.</w:t>
      </w:r>
    </w:p>
    <w:p w:rsidR="00F93898" w:rsidRPr="00F93898" w:rsidRDefault="00F93898" w:rsidP="00E8185B">
      <w:pPr>
        <w:pStyle w:val="ListBullet"/>
      </w:pPr>
      <w:r w:rsidRPr="00F93898">
        <w:t>No cases of inhibitor formation in 110 patients with at least 50 EDs (upper bound of 95% CI was 3.3%).</w:t>
      </w:r>
    </w:p>
    <w:p w:rsidR="00F93898" w:rsidRPr="00F93898" w:rsidRDefault="00F93898" w:rsidP="00284521">
      <w:pPr>
        <w:pStyle w:val="ListBullet"/>
      </w:pPr>
      <w:r w:rsidRPr="00F93898">
        <w:t xml:space="preserve">Fully </w:t>
      </w:r>
      <w:r w:rsidRPr="00284521">
        <w:t>recombinant</w:t>
      </w:r>
      <w:r w:rsidRPr="00F93898">
        <w:t xml:space="preserve"> with no human or animal additives.</w:t>
      </w:r>
    </w:p>
    <w:p w:rsidR="00F93898" w:rsidRPr="00F93898" w:rsidRDefault="00F93898" w:rsidP="00E8185B">
      <w:pPr>
        <w:pStyle w:val="ListBullet"/>
      </w:pPr>
      <w:r w:rsidRPr="00F93898">
        <w:t>Well tolerated with no anaphylaxis or hypersensitivity reactions to date.</w:t>
      </w:r>
    </w:p>
    <w:p w:rsidR="00F93898" w:rsidRPr="00F93898" w:rsidRDefault="00F93898" w:rsidP="00284521">
      <w:pPr>
        <w:pStyle w:val="Heading3"/>
      </w:pPr>
      <w:bookmarkStart w:id="262" w:name="_Toc236802596"/>
      <w:bookmarkStart w:id="263" w:name="_Toc241374334"/>
      <w:bookmarkStart w:id="264" w:name="_Ref272160964"/>
      <w:bookmarkStart w:id="265" w:name="_Toc272414694"/>
      <w:bookmarkStart w:id="266" w:name="_Toc290846332"/>
      <w:bookmarkStart w:id="267" w:name="_Toc368471560"/>
      <w:bookmarkStart w:id="268" w:name="_Toc413223154"/>
      <w:r w:rsidRPr="00F93898">
        <w:t>First round assessment of risks</w:t>
      </w:r>
      <w:bookmarkEnd w:id="262"/>
      <w:bookmarkEnd w:id="263"/>
      <w:bookmarkEnd w:id="264"/>
      <w:bookmarkEnd w:id="265"/>
      <w:bookmarkEnd w:id="266"/>
      <w:bookmarkEnd w:id="267"/>
      <w:bookmarkEnd w:id="268"/>
    </w:p>
    <w:p w:rsidR="00F93898" w:rsidRPr="00F93898" w:rsidRDefault="00F93898" w:rsidP="00284521">
      <w:r w:rsidRPr="00F93898">
        <w:t xml:space="preserve">The risks of </w:t>
      </w:r>
      <w:r w:rsidR="00AE06BC">
        <w:t>Eloctate</w:t>
      </w:r>
      <w:r w:rsidRPr="00F93898">
        <w:t xml:space="preserve"> in the proposed usage are:</w:t>
      </w:r>
    </w:p>
    <w:p w:rsidR="00F93898" w:rsidRPr="00F93898" w:rsidRDefault="00F93898" w:rsidP="00284521">
      <w:pPr>
        <w:pStyle w:val="ListBullet"/>
      </w:pPr>
      <w:r w:rsidRPr="00F93898">
        <w:t xml:space="preserve">The </w:t>
      </w:r>
      <w:r w:rsidRPr="00284521">
        <w:t>safety</w:t>
      </w:r>
      <w:r w:rsidRPr="00F93898">
        <w:t xml:space="preserve"> database includes only 180 patients aged ≥</w:t>
      </w:r>
      <w:r w:rsidR="008F08DB">
        <w:t xml:space="preserve"> </w:t>
      </w:r>
      <w:r w:rsidRPr="00F93898">
        <w:t>12 years. Uncommon AEs such as hypersensitivity reactions may not have been detected.</w:t>
      </w:r>
    </w:p>
    <w:p w:rsidR="00F93898" w:rsidRPr="00F93898" w:rsidRDefault="00F93898" w:rsidP="00284521">
      <w:pPr>
        <w:pStyle w:val="ListBullet"/>
      </w:pPr>
      <w:r w:rsidRPr="00F93898">
        <w:t>Long-</w:t>
      </w:r>
      <w:r w:rsidRPr="00284521">
        <w:t>term</w:t>
      </w:r>
      <w:r w:rsidRPr="00F93898">
        <w:t xml:space="preserve"> safety has not been established.</w:t>
      </w:r>
    </w:p>
    <w:p w:rsidR="00F93898" w:rsidRPr="00F93898" w:rsidRDefault="00F93898" w:rsidP="00E8185B">
      <w:pPr>
        <w:pStyle w:val="ListBullet"/>
      </w:pPr>
      <w:r w:rsidRPr="00F93898">
        <w:t>No safety data in children aged &lt;</w:t>
      </w:r>
      <w:r w:rsidR="008F08DB">
        <w:t xml:space="preserve"> </w:t>
      </w:r>
      <w:r w:rsidRPr="00F93898">
        <w:t>12 years.</w:t>
      </w:r>
    </w:p>
    <w:p w:rsidR="00F93898" w:rsidRPr="00F93898" w:rsidRDefault="00F93898" w:rsidP="00284521">
      <w:pPr>
        <w:pStyle w:val="ListBullet"/>
      </w:pPr>
      <w:r w:rsidRPr="00F93898">
        <w:t xml:space="preserve">No </w:t>
      </w:r>
      <w:r w:rsidRPr="00284521">
        <w:t>safety</w:t>
      </w:r>
      <w:r w:rsidRPr="00F93898">
        <w:t xml:space="preserve"> data in PUPs (at higher risk of inhibitor development).</w:t>
      </w:r>
    </w:p>
    <w:p w:rsidR="00F93898" w:rsidRPr="00F93898" w:rsidRDefault="00F93898" w:rsidP="00E8185B">
      <w:pPr>
        <w:pStyle w:val="ListBullet"/>
      </w:pPr>
      <w:r w:rsidRPr="00F93898">
        <w:t>Risk of severe hypersensitivity reactions not yet known</w:t>
      </w:r>
      <w:r w:rsidR="00A66C4B">
        <w:t>.</w:t>
      </w:r>
    </w:p>
    <w:p w:rsidR="00F93898" w:rsidRPr="00F93898" w:rsidRDefault="00F93898" w:rsidP="00284521">
      <w:pPr>
        <w:pStyle w:val="Heading3"/>
      </w:pPr>
      <w:bookmarkStart w:id="269" w:name="_Toc236802597"/>
      <w:bookmarkStart w:id="270" w:name="_Toc241374335"/>
      <w:bookmarkStart w:id="271" w:name="_Toc272414695"/>
      <w:bookmarkStart w:id="272" w:name="_Toc290846333"/>
      <w:bookmarkStart w:id="273" w:name="_Toc368471561"/>
      <w:bookmarkStart w:id="274" w:name="_Toc413223155"/>
      <w:r w:rsidRPr="00F93898">
        <w:t>First round assessment of benefit-risk balance</w:t>
      </w:r>
      <w:bookmarkEnd w:id="269"/>
      <w:bookmarkEnd w:id="270"/>
      <w:bookmarkEnd w:id="271"/>
      <w:bookmarkEnd w:id="272"/>
      <w:bookmarkEnd w:id="273"/>
      <w:bookmarkEnd w:id="274"/>
    </w:p>
    <w:p w:rsidR="00C22678" w:rsidRPr="00F93898" w:rsidRDefault="00F93898" w:rsidP="00284521">
      <w:r w:rsidRPr="00F93898">
        <w:t xml:space="preserve">The benefit-risk balance of </w:t>
      </w:r>
      <w:r w:rsidR="00AE06BC">
        <w:t>Eloctate</w:t>
      </w:r>
      <w:r w:rsidRPr="00F93898">
        <w:t>, given the proposed usage, is favourable</w:t>
      </w:r>
      <w:r w:rsidR="00E8185B">
        <w:t>.</w:t>
      </w:r>
    </w:p>
    <w:p w:rsidR="00C22678" w:rsidRDefault="00C22678" w:rsidP="00284521">
      <w:pPr>
        <w:pStyle w:val="Heading2"/>
      </w:pPr>
      <w:bookmarkStart w:id="275" w:name="_Toc413223156"/>
      <w:r w:rsidRPr="00284521">
        <w:t>First</w:t>
      </w:r>
      <w:r>
        <w:t xml:space="preserve"> round recommendation regarding authorisation</w:t>
      </w:r>
      <w:bookmarkEnd w:id="275"/>
    </w:p>
    <w:p w:rsidR="00E8185B" w:rsidRPr="007859FE" w:rsidRDefault="00E8185B" w:rsidP="00284521">
      <w:r w:rsidRPr="00B33502">
        <w:t xml:space="preserve">Authorisation is recommended for the use of </w:t>
      </w:r>
      <w:r w:rsidR="00AE06BC">
        <w:t>Eloctate</w:t>
      </w:r>
      <w:r w:rsidRPr="00B33502">
        <w:t xml:space="preserve"> in adults and children (≥</w:t>
      </w:r>
      <w:r w:rsidR="008F08DB">
        <w:t xml:space="preserve"> </w:t>
      </w:r>
      <w:r w:rsidRPr="00B33502">
        <w:t>12 years) with haemophilia A for control and prevention of bleeding episodes; routine prophylaxis to prevent or reduce the frequency of bleeding episodes; and peri-operative management (surgical prophylaxis</w:t>
      </w:r>
      <w:r w:rsidRPr="007859FE">
        <w:t>). Approval is subject to satisfactory response t</w:t>
      </w:r>
      <w:r w:rsidR="007859FE" w:rsidRPr="007859FE">
        <w:t>o questions raised in section 11</w:t>
      </w:r>
      <w:r w:rsidR="00A66C4B">
        <w:t>.</w:t>
      </w:r>
    </w:p>
    <w:p w:rsidR="00C22678" w:rsidRPr="00586F98" w:rsidRDefault="00E8185B" w:rsidP="00284521">
      <w:r w:rsidRPr="00B33502">
        <w:t>The TGA delegate has expressed concern about whether the data support an indication that encompasses adult and/or adolescent patients. The EMA Guidelines (2000 and 2009) are silent on adolescents and recommend patient studies in an inclusive population aged ≥</w:t>
      </w:r>
      <w:r w:rsidR="008F08DB">
        <w:t xml:space="preserve"> </w:t>
      </w:r>
      <w:r w:rsidRPr="00B33502">
        <w:t xml:space="preserve">12 years. </w:t>
      </w:r>
      <w:r w:rsidRPr="00B33502">
        <w:lastRenderedPageBreak/>
        <w:t xml:space="preserve">Although there is no specific requirement, the safety and efficacy study included 13 adolescent patients whose response was similar to that of </w:t>
      </w:r>
      <w:r>
        <w:t>the adult population.</w:t>
      </w:r>
    </w:p>
    <w:p w:rsidR="00C22678" w:rsidRPr="00586F98" w:rsidRDefault="00C22678" w:rsidP="0082661B">
      <w:pPr>
        <w:pStyle w:val="Heading2"/>
      </w:pPr>
      <w:bookmarkStart w:id="276" w:name="_Toc413223157"/>
      <w:r>
        <w:t>Clinical questions</w:t>
      </w:r>
      <w:bookmarkEnd w:id="276"/>
    </w:p>
    <w:p w:rsidR="00C22678" w:rsidRDefault="00C618F7" w:rsidP="0082661B">
      <w:pPr>
        <w:pStyle w:val="Heading3"/>
      </w:pPr>
      <w:bookmarkStart w:id="277" w:name="_Toc413223158"/>
      <w:r>
        <w:t>Pharmacokinetics</w:t>
      </w:r>
      <w:bookmarkEnd w:id="277"/>
    </w:p>
    <w:p w:rsidR="00C618F7" w:rsidRPr="007859FE" w:rsidRDefault="007859FE" w:rsidP="0082661B">
      <w:r w:rsidRPr="007859FE">
        <w:t xml:space="preserve">Would the sponsors suggest why all the reported bleeding events in the PK study 998HA101 occurred in the </w:t>
      </w:r>
      <w:proofErr w:type="spellStart"/>
      <w:r w:rsidRPr="007859FE">
        <w:t>rFVIIIFc</w:t>
      </w:r>
      <w:proofErr w:type="spellEnd"/>
      <w:r w:rsidRPr="007859FE">
        <w:t xml:space="preserve"> group and none in the </w:t>
      </w:r>
      <w:proofErr w:type="spellStart"/>
      <w:r w:rsidRPr="007859FE">
        <w:t>Advate</w:t>
      </w:r>
      <w:proofErr w:type="spellEnd"/>
      <w:r w:rsidRPr="007859FE">
        <w:t xml:space="preserve"> </w:t>
      </w:r>
      <w:proofErr w:type="gramStart"/>
      <w:r w:rsidRPr="007859FE">
        <w:t>group</w:t>
      </w:r>
      <w:r w:rsidR="00A66C4B">
        <w:t>.</w:t>
      </w:r>
      <w:proofErr w:type="gramEnd"/>
    </w:p>
    <w:p w:rsidR="00C618F7" w:rsidRDefault="00C618F7" w:rsidP="0082661B">
      <w:pPr>
        <w:pStyle w:val="Heading3"/>
      </w:pPr>
      <w:bookmarkStart w:id="278" w:name="_Toc413223159"/>
      <w:r>
        <w:t>Pharmacodynamics</w:t>
      </w:r>
      <w:bookmarkEnd w:id="278"/>
    </w:p>
    <w:p w:rsidR="00C618F7" w:rsidRPr="00586F98" w:rsidRDefault="007859FE" w:rsidP="0082661B">
      <w:r w:rsidRPr="00B33502">
        <w:t xml:space="preserve">No </w:t>
      </w:r>
      <w:r w:rsidRPr="007859FE">
        <w:t>questions</w:t>
      </w:r>
      <w:r w:rsidRPr="00B33502">
        <w:t>.</w:t>
      </w:r>
    </w:p>
    <w:p w:rsidR="00C618F7" w:rsidRDefault="00C618F7" w:rsidP="0082661B">
      <w:pPr>
        <w:pStyle w:val="Heading3"/>
      </w:pPr>
      <w:bookmarkStart w:id="279" w:name="_Toc413223160"/>
      <w:r>
        <w:t>Efficacy</w:t>
      </w:r>
      <w:bookmarkEnd w:id="279"/>
    </w:p>
    <w:p w:rsidR="00C618F7" w:rsidRPr="007859FE" w:rsidRDefault="007859FE" w:rsidP="0082661B">
      <w:r w:rsidRPr="007859FE">
        <w:t>In the pivotal study, 26.8% of patients had major informed consent ‘issues’. Please clarify and provide assurance that the study was performed to full GCP and was adequately monitored.</w:t>
      </w:r>
    </w:p>
    <w:p w:rsidR="00C618F7" w:rsidRDefault="00C618F7" w:rsidP="0082661B">
      <w:pPr>
        <w:pStyle w:val="Heading3"/>
      </w:pPr>
      <w:bookmarkStart w:id="280" w:name="_Toc413223161"/>
      <w:r>
        <w:t>Safety</w:t>
      </w:r>
      <w:bookmarkEnd w:id="280"/>
    </w:p>
    <w:p w:rsidR="007859FE" w:rsidRPr="00586F98" w:rsidRDefault="007859FE" w:rsidP="0082661B">
      <w:r w:rsidRPr="00B33502">
        <w:t xml:space="preserve">No </w:t>
      </w:r>
      <w:r w:rsidRPr="007859FE">
        <w:t>questions</w:t>
      </w:r>
      <w:r w:rsidRPr="00B33502">
        <w:t>.</w:t>
      </w:r>
    </w:p>
    <w:p w:rsidR="00C618F7" w:rsidRDefault="00C618F7" w:rsidP="0082661B">
      <w:pPr>
        <w:pStyle w:val="Heading2"/>
      </w:pPr>
      <w:bookmarkStart w:id="281" w:name="_Toc413223162"/>
      <w:r>
        <w:t xml:space="preserve">Second round </w:t>
      </w:r>
      <w:r w:rsidRPr="0082661B">
        <w:t>evaluation</w:t>
      </w:r>
      <w:r>
        <w:t xml:space="preserve"> of clinical data submitted in response to questions</w:t>
      </w:r>
      <w:bookmarkEnd w:id="281"/>
    </w:p>
    <w:p w:rsidR="00C618F7" w:rsidRPr="00586F98" w:rsidRDefault="0083157F" w:rsidP="0082661B">
      <w:pPr>
        <w:rPr>
          <w:lang w:eastAsia="ja-JP"/>
        </w:rPr>
      </w:pPr>
      <w:r>
        <w:rPr>
          <w:lang w:eastAsia="ja-JP"/>
        </w:rPr>
        <w:t xml:space="preserve">Sponsor responses were taken into account in the Delegate’s overview. See </w:t>
      </w:r>
      <w:proofErr w:type="spellStart"/>
      <w:r>
        <w:rPr>
          <w:lang w:eastAsia="ja-JP"/>
        </w:rPr>
        <w:t>AusPAR</w:t>
      </w:r>
      <w:proofErr w:type="spellEnd"/>
      <w:r>
        <w:rPr>
          <w:lang w:eastAsia="ja-JP"/>
        </w:rPr>
        <w:t xml:space="preserve"> </w:t>
      </w:r>
      <w:r w:rsidRPr="0083157F">
        <w:rPr>
          <w:i/>
          <w:lang w:eastAsia="ja-JP"/>
        </w:rPr>
        <w:t>Overall conclusion and risk/benefit assessment</w:t>
      </w:r>
      <w:r w:rsidR="00A66C4B">
        <w:rPr>
          <w:i/>
          <w:lang w:eastAsia="ja-JP"/>
        </w:rPr>
        <w:t>.</w:t>
      </w:r>
    </w:p>
    <w:p w:rsidR="00C618F7" w:rsidRDefault="00C618F7" w:rsidP="0082661B">
      <w:pPr>
        <w:pStyle w:val="Heading2"/>
      </w:pPr>
      <w:bookmarkStart w:id="282" w:name="_Toc413223163"/>
      <w:r>
        <w:t xml:space="preserve">Second round </w:t>
      </w:r>
      <w:r w:rsidRPr="0082661B">
        <w:t>benefit</w:t>
      </w:r>
      <w:r>
        <w:t>-risk assessment</w:t>
      </w:r>
      <w:bookmarkEnd w:id="282"/>
    </w:p>
    <w:p w:rsidR="00C618F7" w:rsidRPr="00586F98" w:rsidRDefault="0083157F" w:rsidP="0082661B">
      <w:pPr>
        <w:rPr>
          <w:lang w:eastAsia="ja-JP"/>
        </w:rPr>
      </w:pPr>
      <w:r>
        <w:rPr>
          <w:lang w:eastAsia="ja-JP"/>
        </w:rPr>
        <w:t>Not Applicable.</w:t>
      </w:r>
    </w:p>
    <w:p w:rsidR="00C618F7" w:rsidRDefault="00C618F7" w:rsidP="0082661B">
      <w:pPr>
        <w:pStyle w:val="Heading2"/>
      </w:pPr>
      <w:bookmarkStart w:id="283" w:name="_Toc413223164"/>
      <w:r>
        <w:t xml:space="preserve">Second round </w:t>
      </w:r>
      <w:r w:rsidRPr="0082661B">
        <w:t>recommendation</w:t>
      </w:r>
      <w:r>
        <w:t xml:space="preserve"> regarding authorisation</w:t>
      </w:r>
      <w:bookmarkEnd w:id="283"/>
    </w:p>
    <w:p w:rsidR="00C618F7" w:rsidRPr="00586F98" w:rsidRDefault="0083157F" w:rsidP="0082661B">
      <w:pPr>
        <w:rPr>
          <w:lang w:eastAsia="ja-JP"/>
        </w:rPr>
      </w:pPr>
      <w:r w:rsidRPr="0083157F">
        <w:rPr>
          <w:lang w:eastAsia="ja-JP"/>
        </w:rPr>
        <w:t>Not Applicable</w:t>
      </w:r>
      <w:r>
        <w:rPr>
          <w:lang w:eastAsia="ja-JP"/>
        </w:rPr>
        <w:t>.</w:t>
      </w:r>
    </w:p>
    <w:p w:rsidR="00C618F7" w:rsidRDefault="00C618F7" w:rsidP="0082661B">
      <w:pPr>
        <w:pStyle w:val="Heading2"/>
      </w:pPr>
      <w:bookmarkStart w:id="284" w:name="_Toc413223165"/>
      <w:r>
        <w:t>References</w:t>
      </w:r>
      <w:bookmarkEnd w:id="284"/>
    </w:p>
    <w:p w:rsidR="0083157F" w:rsidRPr="0083157F" w:rsidRDefault="0083157F" w:rsidP="0082661B">
      <w:pPr>
        <w:pStyle w:val="Numberbullet0"/>
      </w:pPr>
      <w:r w:rsidRPr="0083157F">
        <w:t xml:space="preserve">CPMP/BPWG/1561/99. Note </w:t>
      </w:r>
      <w:r w:rsidRPr="0082661B">
        <w:t>for</w:t>
      </w:r>
      <w:r w:rsidRPr="0083157F">
        <w:t xml:space="preserve"> guidance on the clinical investigation of recombinant factor VIII and IX products</w:t>
      </w:r>
    </w:p>
    <w:p w:rsidR="0083157F" w:rsidRPr="0083157F" w:rsidRDefault="0083157F" w:rsidP="0082661B">
      <w:pPr>
        <w:pStyle w:val="Numberbullet0"/>
      </w:pPr>
      <w:r w:rsidRPr="0083157F">
        <w:t>EMA/CHMP/BPWP/144533/</w:t>
      </w:r>
      <w:r w:rsidRPr="0082661B">
        <w:t>2009</w:t>
      </w:r>
      <w:r w:rsidRPr="0083157F">
        <w:t>. Guideline on the clinical investigation of recombinant and human plasma-derived factor VII products.</w:t>
      </w:r>
    </w:p>
    <w:p w:rsidR="0083157F" w:rsidRPr="0083157F" w:rsidRDefault="0083157F" w:rsidP="0082661B">
      <w:pPr>
        <w:pStyle w:val="Numberbullet0"/>
      </w:pPr>
      <w:r w:rsidRPr="0083157F">
        <w:t>Bjorkman S, et al</w:t>
      </w:r>
      <w:r w:rsidRPr="00A778A1">
        <w:rPr>
          <w:i/>
        </w:rPr>
        <w:t xml:space="preserve">. J </w:t>
      </w:r>
      <w:proofErr w:type="spellStart"/>
      <w:r w:rsidRPr="00A778A1">
        <w:rPr>
          <w:i/>
        </w:rPr>
        <w:t>Thromb</w:t>
      </w:r>
      <w:proofErr w:type="spellEnd"/>
      <w:r w:rsidRPr="00A778A1">
        <w:rPr>
          <w:i/>
        </w:rPr>
        <w:t xml:space="preserve"> </w:t>
      </w:r>
      <w:proofErr w:type="spellStart"/>
      <w:r w:rsidRPr="00A778A1">
        <w:rPr>
          <w:i/>
        </w:rPr>
        <w:t>Haemost</w:t>
      </w:r>
      <w:proofErr w:type="spellEnd"/>
      <w:r w:rsidRPr="0083157F">
        <w:t xml:space="preserve"> 2010, 8:</w:t>
      </w:r>
      <w:r w:rsidR="00A778A1">
        <w:t xml:space="preserve"> </w:t>
      </w:r>
      <w:r w:rsidRPr="0083157F">
        <w:t>730-36</w:t>
      </w:r>
    </w:p>
    <w:p w:rsidR="00C618F7" w:rsidRPr="0083157F" w:rsidRDefault="0083157F" w:rsidP="0082661B">
      <w:pPr>
        <w:pStyle w:val="Numberbullet0"/>
      </w:pPr>
      <w:r w:rsidRPr="0083157F">
        <w:t xml:space="preserve">Srivastava A, et al. Guidelines for management of haemophilia. </w:t>
      </w:r>
      <w:r w:rsidRPr="00A778A1">
        <w:rPr>
          <w:i/>
        </w:rPr>
        <w:t xml:space="preserve">Haemophilia </w:t>
      </w:r>
      <w:r w:rsidRPr="0083157F">
        <w:t>2013, 19: e1-e47</w:t>
      </w:r>
    </w:p>
    <w:bookmarkEnd w:id="3"/>
    <w:bookmarkEnd w:id="1"/>
    <w:bookmarkEnd w:id="0"/>
    <w:p w:rsidR="003D1E62" w:rsidRPr="001D043B" w:rsidRDefault="003D1E62" w:rsidP="002666AC">
      <w:pPr>
        <w:sectPr w:rsidR="003D1E62" w:rsidRPr="001D043B" w:rsidSect="008D770F">
          <w:headerReference w:type="even" r:id="rId30"/>
          <w:headerReference w:type="default" r:id="rId31"/>
          <w:headerReference w:type="first" r:id="rId32"/>
          <w:footerReference w:type="first" r:id="rId33"/>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31DF9">
        <w:trPr>
          <w:trHeight w:hRule="exact" w:val="564"/>
        </w:trPr>
        <w:tc>
          <w:tcPr>
            <w:tcW w:w="9175" w:type="dxa"/>
          </w:tcPr>
          <w:p w:rsidR="00B3567E" w:rsidRPr="00487162" w:rsidRDefault="00B3567E" w:rsidP="00731DF9">
            <w:pPr>
              <w:pStyle w:val="TGASignoff"/>
            </w:pPr>
            <w:r w:rsidRPr="00487162">
              <w:lastRenderedPageBreak/>
              <w:t>Therapeutic Goods Administration</w:t>
            </w:r>
          </w:p>
        </w:tc>
      </w:tr>
      <w:tr w:rsidR="00B3567E" w:rsidRPr="00487162" w:rsidTr="00731DF9">
        <w:trPr>
          <w:trHeight w:val="1221"/>
        </w:trPr>
        <w:tc>
          <w:tcPr>
            <w:tcW w:w="9175" w:type="dxa"/>
            <w:tcMar>
              <w:top w:w="28" w:type="dxa"/>
            </w:tcMar>
          </w:tcPr>
          <w:p w:rsidR="00B3567E" w:rsidRPr="00487162" w:rsidRDefault="00B3567E" w:rsidP="00731DF9">
            <w:pPr>
              <w:pStyle w:val="Address"/>
            </w:pPr>
            <w:r w:rsidRPr="00487162">
              <w:t>PO Box 100 Woden ACT 2606 Australia</w:t>
            </w:r>
          </w:p>
          <w:p w:rsidR="00B3567E" w:rsidRPr="00487162" w:rsidRDefault="00B3567E" w:rsidP="00731DF9">
            <w:pPr>
              <w:pStyle w:val="Address"/>
            </w:pPr>
            <w:r w:rsidRPr="00487162">
              <w:t xml:space="preserve">Email: </w:t>
            </w:r>
            <w:hyperlink r:id="rId34" w:history="1">
              <w:r w:rsidRPr="008D770F">
                <w:rPr>
                  <w:rStyle w:val="Hyperlink"/>
                </w:rPr>
                <w:t>info@tga.gov.au</w:t>
              </w:r>
            </w:hyperlink>
            <w:r w:rsidRPr="00487162">
              <w:t xml:space="preserve">  Phone: 1800 020 653  Fax: 02 6232 8605</w:t>
            </w:r>
          </w:p>
          <w:p w:rsidR="00B3567E" w:rsidRPr="008D770F" w:rsidRDefault="007D43CD" w:rsidP="00731DF9">
            <w:pPr>
              <w:pStyle w:val="Address"/>
              <w:spacing w:line="260" w:lineRule="atLeast"/>
              <w:rPr>
                <w:b/>
                <w:color w:val="0000FF"/>
                <w:u w:val="single"/>
              </w:rPr>
            </w:pPr>
            <w:hyperlink r:id="rId35"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36"/>
      <w:headerReference w:type="default" r:id="rId37"/>
      <w:footerReference w:type="default" r:id="rId38"/>
      <w:headerReference w:type="first" r:id="rId39"/>
      <w:footerReference w:type="first" r:id="rId4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C3B" w:rsidRDefault="00EC6C3B" w:rsidP="00C40A36">
      <w:pPr>
        <w:spacing w:after="0"/>
      </w:pPr>
      <w:r>
        <w:separator/>
      </w:r>
    </w:p>
  </w:endnote>
  <w:endnote w:type="continuationSeparator" w:id="0">
    <w:p w:rsidR="00EC6C3B" w:rsidRDefault="00EC6C3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EC6C3B" w:rsidRPr="00487162" w:rsidTr="004C5377">
      <w:trPr>
        <w:trHeight w:val="269"/>
      </w:trPr>
      <w:tc>
        <w:tcPr>
          <w:tcW w:w="7797" w:type="dxa"/>
          <w:tcMar>
            <w:top w:w="142" w:type="dxa"/>
            <w:bottom w:w="0" w:type="dxa"/>
          </w:tcMar>
        </w:tcPr>
        <w:p w:rsidR="00EC6C3B" w:rsidRPr="00487162" w:rsidRDefault="00EC6C3B" w:rsidP="004C5377">
          <w:pPr>
            <w:pStyle w:val="Footer"/>
          </w:pPr>
          <w:r>
            <w:t>Submission</w:t>
          </w:r>
          <w:r w:rsidRPr="00487162">
            <w:t xml:space="preserve"> PM-20</w:t>
          </w:r>
          <w:r>
            <w:t xml:space="preserve">13-01157-1-4 Extract from the Clinical Evaluation Report for </w:t>
          </w:r>
          <w:proofErr w:type="spellStart"/>
          <w:r>
            <w:t>Eloctate</w:t>
          </w:r>
          <w:proofErr w:type="spellEnd"/>
          <w:r>
            <w:t xml:space="preserve"> </w:t>
          </w:r>
          <w:proofErr w:type="spellStart"/>
          <w:r>
            <w:t>efmoroctocog</w:t>
          </w:r>
          <w:proofErr w:type="spellEnd"/>
          <w:r>
            <w:t xml:space="preserve"> </w:t>
          </w:r>
          <w:proofErr w:type="spellStart"/>
          <w:r>
            <w:t>alfa</w:t>
          </w:r>
          <w:proofErr w:type="spellEnd"/>
          <w:r>
            <w:t xml:space="preserve"> (</w:t>
          </w:r>
          <w:proofErr w:type="spellStart"/>
          <w:r>
            <w:t>rhu</w:t>
          </w:r>
          <w:proofErr w:type="spellEnd"/>
          <w:r>
            <w:t>)</w:t>
          </w:r>
        </w:p>
      </w:tc>
      <w:tc>
        <w:tcPr>
          <w:tcW w:w="1064" w:type="dxa"/>
          <w:tcMar>
            <w:top w:w="142" w:type="dxa"/>
            <w:bottom w:w="0" w:type="dxa"/>
          </w:tcMar>
        </w:tcPr>
        <w:p w:rsidR="00EC6C3B" w:rsidRPr="00981D66" w:rsidRDefault="00EC6C3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D43CD">
            <w:rPr>
              <w:noProof/>
            </w:rPr>
            <w:t>4</w:t>
          </w:r>
          <w:r w:rsidRPr="00981D66">
            <w:fldChar w:fldCharType="end"/>
          </w:r>
          <w:r w:rsidRPr="00981D66">
            <w:t xml:space="preserve"> of </w:t>
          </w:r>
          <w:r w:rsidR="007D43CD">
            <w:fldChar w:fldCharType="begin"/>
          </w:r>
          <w:r w:rsidR="007D43CD">
            <w:instrText xml:space="preserve"> NUMPAGES  \* Arabic  \* MERGEFORMAT </w:instrText>
          </w:r>
          <w:r w:rsidR="007D43CD">
            <w:fldChar w:fldCharType="separate"/>
          </w:r>
          <w:r w:rsidR="007D43CD">
            <w:rPr>
              <w:noProof/>
            </w:rPr>
            <w:t>30</w:t>
          </w:r>
          <w:r w:rsidR="007D43CD">
            <w:rPr>
              <w:noProof/>
            </w:rPr>
            <w:fldChar w:fldCharType="end"/>
          </w:r>
        </w:p>
      </w:tc>
    </w:tr>
  </w:tbl>
  <w:p w:rsidR="00EC6C3B" w:rsidRDefault="00EC6C3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C6C3B" w:rsidRPr="00487162" w:rsidTr="00E45619">
      <w:trPr>
        <w:trHeight w:val="269"/>
      </w:trPr>
      <w:tc>
        <w:tcPr>
          <w:tcW w:w="4519" w:type="dxa"/>
          <w:tcBorders>
            <w:top w:val="single" w:sz="4" w:space="0" w:color="auto"/>
          </w:tcBorders>
          <w:tcMar>
            <w:top w:w="142" w:type="dxa"/>
            <w:bottom w:w="0" w:type="dxa"/>
          </w:tcMar>
        </w:tcPr>
        <w:p w:rsidR="00EC6C3B" w:rsidRPr="00487162" w:rsidRDefault="00EC6C3B" w:rsidP="00FE1DEE">
          <w:pPr>
            <w:pStyle w:val="Footer"/>
          </w:pPr>
          <w:r w:rsidRPr="00487162">
            <w:t>Document title, Part #, Section # - Section title</w:t>
          </w:r>
        </w:p>
        <w:p w:rsidR="00EC6C3B" w:rsidRPr="00487162" w:rsidRDefault="00EC6C3B" w:rsidP="00FE1DEE">
          <w:pPr>
            <w:pStyle w:val="Footer"/>
          </w:pPr>
          <w:r w:rsidRPr="00487162">
            <w:t>V1.0 October 2010</w:t>
          </w:r>
        </w:p>
      </w:tc>
      <w:tc>
        <w:tcPr>
          <w:tcW w:w="4342" w:type="dxa"/>
          <w:tcBorders>
            <w:top w:val="single" w:sz="4" w:space="0" w:color="auto"/>
          </w:tcBorders>
          <w:tcMar>
            <w:top w:w="142" w:type="dxa"/>
            <w:bottom w:w="0" w:type="dxa"/>
          </w:tcMar>
        </w:tcPr>
        <w:p w:rsidR="00EC6C3B" w:rsidRPr="00487162" w:rsidRDefault="00EC6C3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D43CD">
            <w:fldChar w:fldCharType="begin"/>
          </w:r>
          <w:r w:rsidR="007D43CD">
            <w:instrText xml:space="preserve"> NUMPAGES  </w:instrText>
          </w:r>
          <w:r w:rsidR="007D43CD">
            <w:fldChar w:fldCharType="separate"/>
          </w:r>
          <w:r>
            <w:rPr>
              <w:noProof/>
            </w:rPr>
            <w:t>4</w:t>
          </w:r>
          <w:r w:rsidR="007D43CD">
            <w:rPr>
              <w:noProof/>
            </w:rPr>
            <w:fldChar w:fldCharType="end"/>
          </w:r>
        </w:p>
      </w:tc>
    </w:tr>
  </w:tbl>
  <w:p w:rsidR="00EC6C3B" w:rsidRDefault="00EC6C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C6C3B" w:rsidTr="0010601F">
      <w:trPr>
        <w:trHeight w:val="108"/>
      </w:trPr>
      <w:tc>
        <w:tcPr>
          <w:tcW w:w="8875" w:type="dxa"/>
          <w:gridSpan w:val="2"/>
          <w:tcBorders>
            <w:bottom w:val="single" w:sz="4" w:space="0" w:color="auto"/>
          </w:tcBorders>
          <w:tcMar>
            <w:right w:w="284" w:type="dxa"/>
          </w:tcMar>
        </w:tcPr>
        <w:p w:rsidR="00EC6C3B" w:rsidRDefault="00EC6C3B" w:rsidP="006E08B3">
          <w:pPr>
            <w:pStyle w:val="Heading3"/>
          </w:pPr>
          <w:r>
            <w:t>Copyright</w:t>
          </w:r>
        </w:p>
        <w:p w:rsidR="00EC6C3B" w:rsidRDefault="00EC6C3B" w:rsidP="006E08B3">
          <w:r>
            <w:rPr>
              <w:rFonts w:cs="Arial"/>
            </w:rPr>
            <w:t>©</w:t>
          </w:r>
          <w:r>
            <w:t xml:space="preserve"> Commonwealth of Australia [add year]</w:t>
          </w:r>
        </w:p>
        <w:p w:rsidR="00EC6C3B" w:rsidRDefault="00EC6C3B" w:rsidP="006E08B3"/>
        <w:p w:rsidR="00EC6C3B" w:rsidRDefault="00EC6C3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C6C3B" w:rsidRDefault="00EC6C3B" w:rsidP="006E08B3"/>
        <w:p w:rsidR="00EC6C3B" w:rsidRDefault="00EC6C3B" w:rsidP="006E08B3">
          <w:pPr>
            <w:pStyle w:val="Heading3"/>
          </w:pPr>
          <w:r>
            <w:t>Confidentiality</w:t>
          </w:r>
        </w:p>
        <w:p w:rsidR="00EC6C3B" w:rsidRDefault="00EC6C3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C6C3B" w:rsidRDefault="00EC6C3B" w:rsidP="006E08B3"/>
        <w:p w:rsidR="00EC6C3B" w:rsidRDefault="00EC6C3B" w:rsidP="006E08B3">
          <w:r>
            <w:t>For submission made by individuals, all personal details, other than your name, will be removed from your submission before it is published on the TGA’s Internet site.</w:t>
          </w:r>
        </w:p>
        <w:p w:rsidR="00EC6C3B" w:rsidRDefault="00EC6C3B" w:rsidP="006E08B3"/>
        <w:p w:rsidR="00EC6C3B" w:rsidRDefault="00EC6C3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C6C3B" w:rsidTr="0010601F">
      <w:trPr>
        <w:trHeight w:val="417"/>
      </w:trPr>
      <w:tc>
        <w:tcPr>
          <w:tcW w:w="4519" w:type="dxa"/>
          <w:tcBorders>
            <w:top w:val="single" w:sz="4" w:space="0" w:color="auto"/>
          </w:tcBorders>
          <w:tcMar>
            <w:top w:w="142" w:type="dxa"/>
            <w:bottom w:w="0" w:type="dxa"/>
          </w:tcMar>
        </w:tcPr>
        <w:p w:rsidR="00EC6C3B" w:rsidRDefault="00EC6C3B" w:rsidP="006E08B3">
          <w:r>
            <w:t>Document title, Part #, Section # - Section title</w:t>
          </w:r>
        </w:p>
        <w:p w:rsidR="00EC6C3B" w:rsidRDefault="00EC6C3B" w:rsidP="006E08B3">
          <w:r>
            <w:t>V1.0 October 2010</w:t>
          </w:r>
        </w:p>
      </w:tc>
      <w:tc>
        <w:tcPr>
          <w:tcW w:w="4356" w:type="dxa"/>
          <w:tcBorders>
            <w:top w:val="single" w:sz="4" w:space="0" w:color="auto"/>
          </w:tcBorders>
          <w:tcMar>
            <w:top w:w="142" w:type="dxa"/>
            <w:bottom w:w="0" w:type="dxa"/>
          </w:tcMar>
        </w:tcPr>
        <w:p w:rsidR="00EC6C3B" w:rsidRDefault="00EC6C3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D43CD">
            <w:fldChar w:fldCharType="begin"/>
          </w:r>
          <w:r w:rsidR="007D43CD">
            <w:instrText xml:space="preserve"> NUMPAGES  \* Arabic </w:instrText>
          </w:r>
          <w:r w:rsidR="007D43CD">
            <w:fldChar w:fldCharType="separate"/>
          </w:r>
          <w:r>
            <w:rPr>
              <w:noProof/>
            </w:rPr>
            <w:t>4</w:t>
          </w:r>
          <w:r w:rsidR="007D43CD">
            <w:rPr>
              <w:noProof/>
            </w:rPr>
            <w:fldChar w:fldCharType="end"/>
          </w:r>
          <w:r>
            <w:t xml:space="preserve">  </w:t>
          </w:r>
        </w:p>
      </w:tc>
    </w:tr>
  </w:tbl>
  <w:p w:rsidR="00EC6C3B" w:rsidRDefault="00EC6C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C3B" w:rsidRDefault="00EC6C3B" w:rsidP="00C40A36">
      <w:pPr>
        <w:spacing w:after="0"/>
      </w:pPr>
      <w:r>
        <w:separator/>
      </w:r>
    </w:p>
  </w:footnote>
  <w:footnote w:type="continuationSeparator" w:id="0">
    <w:p w:rsidR="00EC6C3B" w:rsidRDefault="00EC6C3B" w:rsidP="00C40A36">
      <w:pPr>
        <w:spacing w:after="0"/>
      </w:pPr>
      <w:r>
        <w:continuationSeparator/>
      </w:r>
    </w:p>
  </w:footnote>
  <w:footnote w:id="1">
    <w:p w:rsidR="00EC6C3B" w:rsidRPr="007D43CD" w:rsidRDefault="00EC6C3B" w:rsidP="007D43CD">
      <w:pPr>
        <w:pStyle w:val="FootnoteText"/>
      </w:pPr>
      <w:r>
        <w:rPr>
          <w:rStyle w:val="FootnoteReference"/>
        </w:rPr>
        <w:footnoteRef/>
      </w:r>
      <w:r>
        <w:t xml:space="preserve"> At the time of submission and registration t</w:t>
      </w:r>
      <w:r w:rsidRPr="00EC6C3B">
        <w:t xml:space="preserve">he non-proprietary name for </w:t>
      </w:r>
      <w:proofErr w:type="spellStart"/>
      <w:r>
        <w:t>Eloctate</w:t>
      </w:r>
      <w:proofErr w:type="spellEnd"/>
      <w:r>
        <w:t xml:space="preserve"> was </w:t>
      </w:r>
      <w:proofErr w:type="spellStart"/>
      <w:r>
        <w:t>efrlaloctocog</w:t>
      </w:r>
      <w:proofErr w:type="spellEnd"/>
      <w:r>
        <w:t xml:space="preserve"> </w:t>
      </w:r>
      <w:proofErr w:type="spellStart"/>
      <w:r>
        <w:t>alfa</w:t>
      </w:r>
      <w:proofErr w:type="spellEnd"/>
      <w:r>
        <w:t xml:space="preserve">. The name was changed on 20 February 2015 to </w:t>
      </w:r>
      <w:proofErr w:type="spellStart"/>
      <w:r>
        <w:t>efmoroctocog</w:t>
      </w:r>
      <w:proofErr w:type="spellEnd"/>
      <w:r>
        <w:t xml:space="preserve"> </w:t>
      </w:r>
      <w:proofErr w:type="spellStart"/>
      <w:r>
        <w:t>alfa</w:t>
      </w:r>
      <w:proofErr w:type="spellEnd"/>
      <w:r>
        <w:t xml:space="preserve"> to harmonise with the approved International </w:t>
      </w:r>
      <w:proofErr w:type="spellStart"/>
      <w:r>
        <w:t>Nonproprietary</w:t>
      </w:r>
      <w:proofErr w:type="spellEnd"/>
      <w:r>
        <w:t xml:space="preserve"> Name for this product. This document has been edited by replacing </w:t>
      </w:r>
      <w:proofErr w:type="spellStart"/>
      <w:r>
        <w:t>efralocotocog</w:t>
      </w:r>
      <w:proofErr w:type="spellEnd"/>
      <w:r>
        <w:t xml:space="preserve"> </w:t>
      </w:r>
      <w:proofErr w:type="spellStart"/>
      <w:r>
        <w:t>alfa</w:t>
      </w:r>
      <w:proofErr w:type="spellEnd"/>
      <w:r>
        <w:t xml:space="preserve"> with </w:t>
      </w:r>
      <w:proofErr w:type="spellStart"/>
      <w:r>
        <w:t>efmoroctocog</w:t>
      </w:r>
      <w:proofErr w:type="spellEnd"/>
      <w:r>
        <w:t xml:space="preserve"> </w:t>
      </w:r>
      <w:proofErr w:type="spellStart"/>
      <w:r>
        <w:t>alfa</w:t>
      </w:r>
      <w:proofErr w:type="spellEnd"/>
      <w:r>
        <w:t>.</w:t>
      </w:r>
    </w:p>
  </w:footnote>
  <w:footnote w:id="2">
    <w:p w:rsidR="00EC6C3B" w:rsidRPr="00A778A1" w:rsidRDefault="00EC6C3B" w:rsidP="00737C83">
      <w:pPr>
        <w:pStyle w:val="FootnoteText"/>
      </w:pPr>
      <w:r w:rsidRPr="00A778A1">
        <w:rPr>
          <w:rStyle w:val="FootnoteReference"/>
          <w:sz w:val="18"/>
          <w:szCs w:val="18"/>
          <w:vertAlign w:val="baseline"/>
        </w:rPr>
        <w:footnoteRef/>
      </w:r>
      <w:r w:rsidRPr="00A778A1">
        <w:t xml:space="preserve"> </w:t>
      </w:r>
      <w:proofErr w:type="gramStart"/>
      <w:r w:rsidRPr="00A778A1">
        <w:t>CPMP/BPWG/1561/99.</w:t>
      </w:r>
      <w:proofErr w:type="gramEnd"/>
      <w:r w:rsidRPr="00A778A1">
        <w:t xml:space="preserve"> Note for </w:t>
      </w:r>
      <w:r w:rsidRPr="00737C83">
        <w:t>guidance</w:t>
      </w:r>
      <w:r w:rsidRPr="00A778A1">
        <w:t xml:space="preserve"> on the clinical investigation of recombinant factor VIII and IX products</w:t>
      </w:r>
    </w:p>
  </w:footnote>
  <w:footnote w:id="3">
    <w:p w:rsidR="00EC6C3B" w:rsidRPr="00A778A1" w:rsidRDefault="00EC6C3B" w:rsidP="00737C83">
      <w:pPr>
        <w:pStyle w:val="FootnoteText"/>
      </w:pPr>
      <w:r w:rsidRPr="00A778A1">
        <w:footnoteRef/>
      </w:r>
      <w:r w:rsidRPr="00A778A1">
        <w:t xml:space="preserve"> </w:t>
      </w:r>
      <w:proofErr w:type="gramStart"/>
      <w:r w:rsidRPr="00A778A1">
        <w:t>EMA/CHMP/BPWP/144533/2009.</w:t>
      </w:r>
      <w:proofErr w:type="gramEnd"/>
      <w:r w:rsidRPr="00A778A1">
        <w:t xml:space="preserve"> </w:t>
      </w:r>
      <w:proofErr w:type="gramStart"/>
      <w:r w:rsidRPr="00A778A1">
        <w:t>Guideline on the clinical investigation of recombinant and human plasma-derived factor VII products.</w:t>
      </w:r>
      <w:proofErr w:type="gramEnd"/>
    </w:p>
  </w:footnote>
  <w:footnote w:id="4">
    <w:p w:rsidR="00EC6C3B" w:rsidRPr="00A778A1" w:rsidRDefault="00EC6C3B" w:rsidP="007D43CD">
      <w:pPr>
        <w:pStyle w:val="FootnoteText"/>
      </w:pPr>
      <w:r w:rsidRPr="00A778A1">
        <w:rPr>
          <w:rStyle w:val="FootnoteReference"/>
          <w:sz w:val="18"/>
          <w:szCs w:val="18"/>
        </w:rPr>
        <w:footnoteRef/>
      </w:r>
      <w:r w:rsidRPr="00A778A1">
        <w:t xml:space="preserve"> The comparison was assessed by both negative binomial model and Poisson regression model. Since over dispersion is statistically </w:t>
      </w:r>
      <w:r w:rsidRPr="007D43CD">
        <w:t>significant</w:t>
      </w:r>
      <w:r w:rsidRPr="00A778A1">
        <w:t xml:space="preserve"> </w:t>
      </w:r>
      <w:r w:rsidRPr="00903F72">
        <w:t>the</w:t>
      </w:r>
      <w:r w:rsidRPr="00A778A1">
        <w:t xml:space="preserve"> negative binomial regression model was used.</w:t>
      </w:r>
    </w:p>
  </w:footnote>
  <w:footnote w:id="5">
    <w:p w:rsidR="00EC6C3B" w:rsidRPr="00A778A1" w:rsidRDefault="00EC6C3B" w:rsidP="005C1B3B">
      <w:pPr>
        <w:pStyle w:val="FootnoteText"/>
      </w:pPr>
      <w:r>
        <w:rPr>
          <w:rStyle w:val="FootnoteReference"/>
        </w:rPr>
        <w:footnoteRef/>
      </w:r>
      <w:r>
        <w:t xml:space="preserve"> </w:t>
      </w:r>
      <w:r w:rsidRPr="00A778A1">
        <w:t xml:space="preserve">There was no randomisation for Arm 1, and therefore it should </w:t>
      </w:r>
      <w:r w:rsidRPr="005C1B3B">
        <w:t>state</w:t>
      </w:r>
      <w:r w:rsidRPr="00A778A1">
        <w:t xml:space="preserve"> that 118 patients were enrolled.</w:t>
      </w:r>
    </w:p>
  </w:footnote>
  <w:footnote w:id="6">
    <w:p w:rsidR="00EC6C3B" w:rsidRPr="00A778A1" w:rsidRDefault="00EC6C3B" w:rsidP="00D1675E">
      <w:pPr>
        <w:pStyle w:val="FootnoteText"/>
      </w:pPr>
      <w:r w:rsidRPr="00A778A1">
        <w:rPr>
          <w:rStyle w:val="FootnoteReference"/>
          <w:sz w:val="18"/>
          <w:szCs w:val="18"/>
        </w:rPr>
        <w:footnoteRef/>
      </w:r>
      <w:r w:rsidRPr="00A778A1">
        <w:t xml:space="preserve"> This percentage is the percentage of the subjects in Arm 1 who were on prophylaxis prior to the study. Per study design, all subjects who were on a </w:t>
      </w:r>
      <w:r w:rsidRPr="00D1675E">
        <w:t>prophylaxis</w:t>
      </w:r>
      <w:r w:rsidRPr="00A778A1">
        <w:t xml:space="preserve"> </w:t>
      </w:r>
      <w:r>
        <w:t>regimen were enrolled in Arm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pPr>
      <w:rPr>
        <w:noProof/>
        <w:lang w:eastAsia="en-AU"/>
      </w:rPr>
    </w:pPr>
    <w:r w:rsidRPr="002D545C">
      <w:rPr>
        <w:noProof/>
        <w:lang w:eastAsia="en-AU"/>
      </w:rPr>
      <w:drawing>
        <wp:anchor distT="0" distB="0" distL="114300" distR="114300" simplePos="0" relativeHeight="251659264" behindDoc="1" locked="0" layoutInCell="1" allowOverlap="1" wp14:anchorId="707A7D6C" wp14:editId="262A9D4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C6C3B" w:rsidRDefault="00EC6C3B" w:rsidP="00593AD1">
    <w:pPr>
      <w:pStyle w:val="HeaderNoLine"/>
    </w:pPr>
    <w:r>
      <w:rPr>
        <w:noProof/>
        <w:lang w:eastAsia="en-AU"/>
      </w:rPr>
      <w:drawing>
        <wp:inline distT="0" distB="0" distL="0" distR="0">
          <wp:extent cx="5400675" cy="7639050"/>
          <wp:effectExtent l="0" t="0" r="0" b="0"/>
          <wp:docPr id="3" name="Picture 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3B" w:rsidRDefault="00EC6C3B" w:rsidP="006E08B3">
    <w:r>
      <w:t>Therapeutic Goods Administration</w:t>
    </w:r>
  </w:p>
  <w:p w:rsidR="00EC6C3B" w:rsidRDefault="00EC6C3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D836F2"/>
    <w:lvl w:ilvl="0">
      <w:start w:val="1"/>
      <w:numFmt w:val="decimal"/>
      <w:lvlText w:val="%1."/>
      <w:lvlJc w:val="left"/>
      <w:pPr>
        <w:tabs>
          <w:tab w:val="num" w:pos="1492"/>
        </w:tabs>
        <w:ind w:left="1492" w:hanging="360"/>
      </w:pPr>
    </w:lvl>
  </w:abstractNum>
  <w:abstractNum w:abstractNumId="1">
    <w:nsid w:val="FFFFFF7D"/>
    <w:multiLevelType w:val="singleLevel"/>
    <w:tmpl w:val="1554820E"/>
    <w:lvl w:ilvl="0">
      <w:start w:val="1"/>
      <w:numFmt w:val="decimal"/>
      <w:lvlText w:val="%1."/>
      <w:lvlJc w:val="left"/>
      <w:pPr>
        <w:tabs>
          <w:tab w:val="num" w:pos="1209"/>
        </w:tabs>
        <w:ind w:left="1209" w:hanging="360"/>
      </w:pPr>
    </w:lvl>
  </w:abstractNum>
  <w:abstractNum w:abstractNumId="2">
    <w:nsid w:val="FFFFFF7E"/>
    <w:multiLevelType w:val="singleLevel"/>
    <w:tmpl w:val="EEEEB5FC"/>
    <w:lvl w:ilvl="0">
      <w:start w:val="1"/>
      <w:numFmt w:val="decimal"/>
      <w:lvlText w:val="%1."/>
      <w:lvlJc w:val="left"/>
      <w:pPr>
        <w:tabs>
          <w:tab w:val="num" w:pos="926"/>
        </w:tabs>
        <w:ind w:left="926" w:hanging="360"/>
      </w:pPr>
    </w:lvl>
  </w:abstractNum>
  <w:abstractNum w:abstractNumId="3">
    <w:nsid w:val="FFFFFF7F"/>
    <w:multiLevelType w:val="singleLevel"/>
    <w:tmpl w:val="7354D8CE"/>
    <w:lvl w:ilvl="0">
      <w:start w:val="1"/>
      <w:numFmt w:val="decimal"/>
      <w:lvlText w:val="%1."/>
      <w:lvlJc w:val="left"/>
      <w:pPr>
        <w:tabs>
          <w:tab w:val="num" w:pos="643"/>
        </w:tabs>
        <w:ind w:left="643" w:hanging="360"/>
      </w:pPr>
    </w:lvl>
  </w:abstractNum>
  <w:abstractNum w:abstractNumId="4">
    <w:nsid w:val="FFFFFF80"/>
    <w:multiLevelType w:val="singleLevel"/>
    <w:tmpl w:val="1E563B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2A9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D2C7D8"/>
    <w:lvl w:ilvl="0">
      <w:start w:val="1"/>
      <w:numFmt w:val="bullet"/>
      <w:lvlText w:val="–"/>
      <w:lvlJc w:val="left"/>
      <w:pPr>
        <w:ind w:left="643" w:hanging="360"/>
      </w:pPr>
      <w:rPr>
        <w:rFonts w:ascii="Arial" w:hAnsi="Arial" w:hint="default"/>
      </w:rPr>
    </w:lvl>
  </w:abstractNum>
  <w:abstractNum w:abstractNumId="8">
    <w:nsid w:val="FFFFFF88"/>
    <w:multiLevelType w:val="singleLevel"/>
    <w:tmpl w:val="2E6C56AC"/>
    <w:lvl w:ilvl="0">
      <w:start w:val="1"/>
      <w:numFmt w:val="decimal"/>
      <w:lvlText w:val="%1."/>
      <w:lvlJc w:val="left"/>
      <w:pPr>
        <w:tabs>
          <w:tab w:val="num" w:pos="360"/>
        </w:tabs>
        <w:ind w:left="360" w:hanging="360"/>
      </w:pPr>
    </w:lvl>
  </w:abstractNum>
  <w:abstractNum w:abstractNumId="9">
    <w:nsid w:val="FFFFFF89"/>
    <w:multiLevelType w:val="singleLevel"/>
    <w:tmpl w:val="0B3C3EB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B392E84"/>
    <w:multiLevelType w:val="hybridMultilevel"/>
    <w:tmpl w:val="B908D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D507511"/>
    <w:multiLevelType w:val="hybridMultilevel"/>
    <w:tmpl w:val="9D181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F9147F5"/>
    <w:multiLevelType w:val="hybridMultilevel"/>
    <w:tmpl w:val="9D900C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nsid w:val="208416A2"/>
    <w:multiLevelType w:val="hybridMultilevel"/>
    <w:tmpl w:val="0B3C4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A419D3"/>
    <w:multiLevelType w:val="hybridMultilevel"/>
    <w:tmpl w:val="BF465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4B714DB"/>
    <w:multiLevelType w:val="hybridMultilevel"/>
    <w:tmpl w:val="AC061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3">
    <w:nsid w:val="5B78590A"/>
    <w:multiLevelType w:val="hybridMultilevel"/>
    <w:tmpl w:val="4EF2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5">
    <w:nsid w:val="657510CB"/>
    <w:multiLevelType w:val="hybridMultilevel"/>
    <w:tmpl w:val="762AC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7">
    <w:nsid w:val="6A0E688F"/>
    <w:multiLevelType w:val="hybridMultilevel"/>
    <w:tmpl w:val="28C46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3"/>
  </w:num>
  <w:num w:numId="9">
    <w:abstractNumId w:val="13"/>
  </w:num>
  <w:num w:numId="10">
    <w:abstractNumId w:val="13"/>
  </w:num>
  <w:num w:numId="11">
    <w:abstractNumId w:val="13"/>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3"/>
  </w:num>
  <w:num w:numId="17">
    <w:abstractNumId w:val="13"/>
  </w:num>
  <w:num w:numId="18">
    <w:abstractNumId w:val="13"/>
  </w:num>
  <w:num w:numId="19">
    <w:abstractNumId w:val="14"/>
  </w:num>
  <w:num w:numId="20">
    <w:abstractNumId w:val="14"/>
  </w:num>
  <w:num w:numId="21">
    <w:abstractNumId w:val="14"/>
  </w:num>
  <w:num w:numId="22">
    <w:abstractNumId w:val="13"/>
  </w:num>
  <w:num w:numId="23">
    <w:abstractNumId w:val="13"/>
  </w:num>
  <w:num w:numId="24">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21"/>
  </w:num>
  <w:num w:numId="26">
    <w:abstractNumId w:val="22"/>
  </w:num>
  <w:num w:numId="27">
    <w:abstractNumId w:val="24"/>
  </w:num>
  <w:num w:numId="28">
    <w:abstractNumId w:val="26"/>
  </w:num>
  <w:num w:numId="29">
    <w:abstractNumId w:val="28"/>
  </w:num>
  <w:num w:numId="30">
    <w:abstractNumId w:val="28"/>
  </w:num>
  <w:num w:numId="31">
    <w:abstractNumId w:val="28"/>
  </w:num>
  <w:num w:numId="32">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18"/>
  </w:num>
  <w:num w:numId="35">
    <w:abstractNumId w:val="20"/>
  </w:num>
  <w:num w:numId="36">
    <w:abstractNumId w:val="23"/>
  </w:num>
  <w:num w:numId="37">
    <w:abstractNumId w:val="12"/>
  </w:num>
  <w:num w:numId="38">
    <w:abstractNumId w:val="16"/>
  </w:num>
  <w:num w:numId="39">
    <w:abstractNumId w:val="15"/>
  </w:num>
  <w:num w:numId="40">
    <w:abstractNumId w:val="25"/>
  </w:num>
  <w:num w:numId="41">
    <w:abstractNumId w:val="19"/>
  </w:num>
  <w:num w:numId="42">
    <w:abstractNumId w:val="17"/>
  </w:num>
  <w:num w:numId="43">
    <w:abstractNumId w:val="27"/>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106497">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4734"/>
    <w:rsid w:val="00005950"/>
    <w:rsid w:val="000069BF"/>
    <w:rsid w:val="00006B22"/>
    <w:rsid w:val="0001276A"/>
    <w:rsid w:val="000158F6"/>
    <w:rsid w:val="000246AE"/>
    <w:rsid w:val="00025C67"/>
    <w:rsid w:val="000326AA"/>
    <w:rsid w:val="00040ACB"/>
    <w:rsid w:val="0004285F"/>
    <w:rsid w:val="00051359"/>
    <w:rsid w:val="0005559E"/>
    <w:rsid w:val="00077775"/>
    <w:rsid w:val="00086493"/>
    <w:rsid w:val="00090471"/>
    <w:rsid w:val="000A3AED"/>
    <w:rsid w:val="000A63AF"/>
    <w:rsid w:val="000B3532"/>
    <w:rsid w:val="000B3A75"/>
    <w:rsid w:val="000C690F"/>
    <w:rsid w:val="000C7CA3"/>
    <w:rsid w:val="000D1295"/>
    <w:rsid w:val="000D391B"/>
    <w:rsid w:val="000D3D6D"/>
    <w:rsid w:val="000D4FC7"/>
    <w:rsid w:val="000D5F67"/>
    <w:rsid w:val="000E210C"/>
    <w:rsid w:val="000F02F9"/>
    <w:rsid w:val="000F4869"/>
    <w:rsid w:val="000F5B42"/>
    <w:rsid w:val="000F6E6F"/>
    <w:rsid w:val="00104613"/>
    <w:rsid w:val="0010601F"/>
    <w:rsid w:val="0010788A"/>
    <w:rsid w:val="00107A31"/>
    <w:rsid w:val="00110EA5"/>
    <w:rsid w:val="00112F56"/>
    <w:rsid w:val="001174E8"/>
    <w:rsid w:val="00125318"/>
    <w:rsid w:val="001305A2"/>
    <w:rsid w:val="00132A23"/>
    <w:rsid w:val="00133238"/>
    <w:rsid w:val="0014197B"/>
    <w:rsid w:val="0014458F"/>
    <w:rsid w:val="001447CD"/>
    <w:rsid w:val="001516B1"/>
    <w:rsid w:val="00154EBB"/>
    <w:rsid w:val="00156316"/>
    <w:rsid w:val="00165389"/>
    <w:rsid w:val="0017078F"/>
    <w:rsid w:val="0017693F"/>
    <w:rsid w:val="0018110E"/>
    <w:rsid w:val="00181684"/>
    <w:rsid w:val="0018187F"/>
    <w:rsid w:val="001843C6"/>
    <w:rsid w:val="001850E0"/>
    <w:rsid w:val="001A2158"/>
    <w:rsid w:val="001A525F"/>
    <w:rsid w:val="001B09F9"/>
    <w:rsid w:val="001B5D98"/>
    <w:rsid w:val="001B6448"/>
    <w:rsid w:val="001E07CF"/>
    <w:rsid w:val="001E59F1"/>
    <w:rsid w:val="001F1452"/>
    <w:rsid w:val="001F49EB"/>
    <w:rsid w:val="001F6CBA"/>
    <w:rsid w:val="00201D4E"/>
    <w:rsid w:val="002076C9"/>
    <w:rsid w:val="00220B8A"/>
    <w:rsid w:val="002257F3"/>
    <w:rsid w:val="00233456"/>
    <w:rsid w:val="002339A5"/>
    <w:rsid w:val="00236E87"/>
    <w:rsid w:val="00237022"/>
    <w:rsid w:val="00257848"/>
    <w:rsid w:val="002666AC"/>
    <w:rsid w:val="0027084A"/>
    <w:rsid w:val="002768C7"/>
    <w:rsid w:val="00284521"/>
    <w:rsid w:val="00286434"/>
    <w:rsid w:val="00286C59"/>
    <w:rsid w:val="00292113"/>
    <w:rsid w:val="002942D1"/>
    <w:rsid w:val="00294DC7"/>
    <w:rsid w:val="0029501A"/>
    <w:rsid w:val="002B1638"/>
    <w:rsid w:val="002B2C49"/>
    <w:rsid w:val="002C1BA2"/>
    <w:rsid w:val="002C63ED"/>
    <w:rsid w:val="002D545C"/>
    <w:rsid w:val="002D6161"/>
    <w:rsid w:val="002D7C72"/>
    <w:rsid w:val="002E44FE"/>
    <w:rsid w:val="002E4C9A"/>
    <w:rsid w:val="002F11F8"/>
    <w:rsid w:val="002F3F56"/>
    <w:rsid w:val="002F44B5"/>
    <w:rsid w:val="0031065B"/>
    <w:rsid w:val="00311AC0"/>
    <w:rsid w:val="00321456"/>
    <w:rsid w:val="0032583B"/>
    <w:rsid w:val="00327883"/>
    <w:rsid w:val="00331E08"/>
    <w:rsid w:val="00335504"/>
    <w:rsid w:val="003521E8"/>
    <w:rsid w:val="003728F3"/>
    <w:rsid w:val="0037496E"/>
    <w:rsid w:val="0037623D"/>
    <w:rsid w:val="00386150"/>
    <w:rsid w:val="003874CE"/>
    <w:rsid w:val="00390900"/>
    <w:rsid w:val="00393891"/>
    <w:rsid w:val="00396C92"/>
    <w:rsid w:val="003A7F6C"/>
    <w:rsid w:val="003B1113"/>
    <w:rsid w:val="003B4D60"/>
    <w:rsid w:val="003B634F"/>
    <w:rsid w:val="003B7E39"/>
    <w:rsid w:val="003C07E6"/>
    <w:rsid w:val="003C58DC"/>
    <w:rsid w:val="003D0A3B"/>
    <w:rsid w:val="003D1E62"/>
    <w:rsid w:val="003D5A9B"/>
    <w:rsid w:val="003E2486"/>
    <w:rsid w:val="003E3208"/>
    <w:rsid w:val="003F0B04"/>
    <w:rsid w:val="003F39E0"/>
    <w:rsid w:val="0040134E"/>
    <w:rsid w:val="00415D59"/>
    <w:rsid w:val="0043797D"/>
    <w:rsid w:val="00440A2D"/>
    <w:rsid w:val="004500BE"/>
    <w:rsid w:val="004564A7"/>
    <w:rsid w:val="004617BF"/>
    <w:rsid w:val="00463658"/>
    <w:rsid w:val="004722CC"/>
    <w:rsid w:val="004936E4"/>
    <w:rsid w:val="00494E60"/>
    <w:rsid w:val="00497487"/>
    <w:rsid w:val="004A7E13"/>
    <w:rsid w:val="004B7B76"/>
    <w:rsid w:val="004C2DCA"/>
    <w:rsid w:val="004C5377"/>
    <w:rsid w:val="004F0F38"/>
    <w:rsid w:val="004F3FBC"/>
    <w:rsid w:val="004F4AF5"/>
    <w:rsid w:val="00501921"/>
    <w:rsid w:val="005101E2"/>
    <w:rsid w:val="00511DB9"/>
    <w:rsid w:val="00530354"/>
    <w:rsid w:val="00531C35"/>
    <w:rsid w:val="0053625B"/>
    <w:rsid w:val="005434C6"/>
    <w:rsid w:val="00543B39"/>
    <w:rsid w:val="00550096"/>
    <w:rsid w:val="00550F44"/>
    <w:rsid w:val="00557FF9"/>
    <w:rsid w:val="00576378"/>
    <w:rsid w:val="00577945"/>
    <w:rsid w:val="00577E38"/>
    <w:rsid w:val="00585322"/>
    <w:rsid w:val="005857C6"/>
    <w:rsid w:val="00586F98"/>
    <w:rsid w:val="005908A8"/>
    <w:rsid w:val="00592F6E"/>
    <w:rsid w:val="00593AD1"/>
    <w:rsid w:val="00596F19"/>
    <w:rsid w:val="005A68B6"/>
    <w:rsid w:val="005C1B3B"/>
    <w:rsid w:val="005C5570"/>
    <w:rsid w:val="005C79A4"/>
    <w:rsid w:val="005D169B"/>
    <w:rsid w:val="005D5442"/>
    <w:rsid w:val="005E6144"/>
    <w:rsid w:val="005E7B9A"/>
    <w:rsid w:val="0060094F"/>
    <w:rsid w:val="00603F32"/>
    <w:rsid w:val="0061199E"/>
    <w:rsid w:val="00620406"/>
    <w:rsid w:val="00632398"/>
    <w:rsid w:val="00640FC3"/>
    <w:rsid w:val="006419DF"/>
    <w:rsid w:val="00642020"/>
    <w:rsid w:val="00646206"/>
    <w:rsid w:val="0065337B"/>
    <w:rsid w:val="0065419D"/>
    <w:rsid w:val="006604D8"/>
    <w:rsid w:val="00664A5B"/>
    <w:rsid w:val="006763D2"/>
    <w:rsid w:val="00676A55"/>
    <w:rsid w:val="00680C08"/>
    <w:rsid w:val="00682BED"/>
    <w:rsid w:val="00691728"/>
    <w:rsid w:val="006931B1"/>
    <w:rsid w:val="00696B92"/>
    <w:rsid w:val="006A15C0"/>
    <w:rsid w:val="006B352E"/>
    <w:rsid w:val="006C122F"/>
    <w:rsid w:val="006C130C"/>
    <w:rsid w:val="006C3E2A"/>
    <w:rsid w:val="006C642F"/>
    <w:rsid w:val="006D03E5"/>
    <w:rsid w:val="006D5D3E"/>
    <w:rsid w:val="006E08B3"/>
    <w:rsid w:val="006E3FFA"/>
    <w:rsid w:val="006F17AC"/>
    <w:rsid w:val="006F1D37"/>
    <w:rsid w:val="006F26D0"/>
    <w:rsid w:val="006F2796"/>
    <w:rsid w:val="006F572E"/>
    <w:rsid w:val="007046D6"/>
    <w:rsid w:val="00705DB0"/>
    <w:rsid w:val="00722B57"/>
    <w:rsid w:val="00731DF9"/>
    <w:rsid w:val="00737C83"/>
    <w:rsid w:val="0074253D"/>
    <w:rsid w:val="0074429B"/>
    <w:rsid w:val="00744C1B"/>
    <w:rsid w:val="007513B4"/>
    <w:rsid w:val="007615BC"/>
    <w:rsid w:val="00762F05"/>
    <w:rsid w:val="007652FF"/>
    <w:rsid w:val="00770EF1"/>
    <w:rsid w:val="00773EF7"/>
    <w:rsid w:val="00774E1D"/>
    <w:rsid w:val="0077675A"/>
    <w:rsid w:val="00780355"/>
    <w:rsid w:val="00783D1F"/>
    <w:rsid w:val="00785721"/>
    <w:rsid w:val="007859FE"/>
    <w:rsid w:val="00793A59"/>
    <w:rsid w:val="007A6A06"/>
    <w:rsid w:val="007B6E9F"/>
    <w:rsid w:val="007C1216"/>
    <w:rsid w:val="007C1AF7"/>
    <w:rsid w:val="007D43CD"/>
    <w:rsid w:val="007D4D07"/>
    <w:rsid w:val="007E0627"/>
    <w:rsid w:val="007E6E27"/>
    <w:rsid w:val="00805D27"/>
    <w:rsid w:val="00821776"/>
    <w:rsid w:val="00824288"/>
    <w:rsid w:val="0082661B"/>
    <w:rsid w:val="0083157F"/>
    <w:rsid w:val="008321F5"/>
    <w:rsid w:val="00832369"/>
    <w:rsid w:val="0083304F"/>
    <w:rsid w:val="008340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B6903"/>
    <w:rsid w:val="008C159F"/>
    <w:rsid w:val="008C1623"/>
    <w:rsid w:val="008C1850"/>
    <w:rsid w:val="008C51A9"/>
    <w:rsid w:val="008D770F"/>
    <w:rsid w:val="008E7846"/>
    <w:rsid w:val="008F08DB"/>
    <w:rsid w:val="008F1CCC"/>
    <w:rsid w:val="008F2967"/>
    <w:rsid w:val="008F6943"/>
    <w:rsid w:val="00902A21"/>
    <w:rsid w:val="00903F72"/>
    <w:rsid w:val="00904A64"/>
    <w:rsid w:val="009121E0"/>
    <w:rsid w:val="00920330"/>
    <w:rsid w:val="00921626"/>
    <w:rsid w:val="009219D7"/>
    <w:rsid w:val="00922D53"/>
    <w:rsid w:val="00923601"/>
    <w:rsid w:val="00923B70"/>
    <w:rsid w:val="00924482"/>
    <w:rsid w:val="00930237"/>
    <w:rsid w:val="00946EA5"/>
    <w:rsid w:val="0095160F"/>
    <w:rsid w:val="00957826"/>
    <w:rsid w:val="00963C08"/>
    <w:rsid w:val="00965C48"/>
    <w:rsid w:val="00975B90"/>
    <w:rsid w:val="009774F0"/>
    <w:rsid w:val="00981BFA"/>
    <w:rsid w:val="00981D66"/>
    <w:rsid w:val="0098585A"/>
    <w:rsid w:val="0098669D"/>
    <w:rsid w:val="009929F7"/>
    <w:rsid w:val="00994C95"/>
    <w:rsid w:val="009965A3"/>
    <w:rsid w:val="009A4CED"/>
    <w:rsid w:val="009A690D"/>
    <w:rsid w:val="009B1D12"/>
    <w:rsid w:val="009B416B"/>
    <w:rsid w:val="009C052E"/>
    <w:rsid w:val="009C4BD5"/>
    <w:rsid w:val="009D7B77"/>
    <w:rsid w:val="009E0BB0"/>
    <w:rsid w:val="009E3FBB"/>
    <w:rsid w:val="00A102E4"/>
    <w:rsid w:val="00A12C42"/>
    <w:rsid w:val="00A14DF7"/>
    <w:rsid w:val="00A235D9"/>
    <w:rsid w:val="00A3246D"/>
    <w:rsid w:val="00A35BE7"/>
    <w:rsid w:val="00A36FA7"/>
    <w:rsid w:val="00A475B7"/>
    <w:rsid w:val="00A47AF7"/>
    <w:rsid w:val="00A47C3E"/>
    <w:rsid w:val="00A50226"/>
    <w:rsid w:val="00A60BAD"/>
    <w:rsid w:val="00A64B4D"/>
    <w:rsid w:val="00A66C4B"/>
    <w:rsid w:val="00A778A1"/>
    <w:rsid w:val="00A964D1"/>
    <w:rsid w:val="00AA0ED0"/>
    <w:rsid w:val="00AA3499"/>
    <w:rsid w:val="00AB10FB"/>
    <w:rsid w:val="00AC2B40"/>
    <w:rsid w:val="00AC2BB2"/>
    <w:rsid w:val="00AC2C3C"/>
    <w:rsid w:val="00AC512D"/>
    <w:rsid w:val="00AD65B3"/>
    <w:rsid w:val="00AE005B"/>
    <w:rsid w:val="00AE01C2"/>
    <w:rsid w:val="00AE06BC"/>
    <w:rsid w:val="00AE3897"/>
    <w:rsid w:val="00AE65EB"/>
    <w:rsid w:val="00AE67A7"/>
    <w:rsid w:val="00AF1D94"/>
    <w:rsid w:val="00AF60C5"/>
    <w:rsid w:val="00AF620D"/>
    <w:rsid w:val="00B009C6"/>
    <w:rsid w:val="00B01548"/>
    <w:rsid w:val="00B01EC3"/>
    <w:rsid w:val="00B02208"/>
    <w:rsid w:val="00B1425E"/>
    <w:rsid w:val="00B21D29"/>
    <w:rsid w:val="00B25034"/>
    <w:rsid w:val="00B33588"/>
    <w:rsid w:val="00B33863"/>
    <w:rsid w:val="00B3567E"/>
    <w:rsid w:val="00B37D17"/>
    <w:rsid w:val="00B41100"/>
    <w:rsid w:val="00B4175E"/>
    <w:rsid w:val="00B4452A"/>
    <w:rsid w:val="00B452CE"/>
    <w:rsid w:val="00B5424F"/>
    <w:rsid w:val="00B54C25"/>
    <w:rsid w:val="00B63D75"/>
    <w:rsid w:val="00B6528F"/>
    <w:rsid w:val="00B76B91"/>
    <w:rsid w:val="00B77EB1"/>
    <w:rsid w:val="00B811C6"/>
    <w:rsid w:val="00B85A87"/>
    <w:rsid w:val="00B92E08"/>
    <w:rsid w:val="00B96EBE"/>
    <w:rsid w:val="00BA0094"/>
    <w:rsid w:val="00BC622A"/>
    <w:rsid w:val="00BD45E3"/>
    <w:rsid w:val="00BE0A78"/>
    <w:rsid w:val="00BE6252"/>
    <w:rsid w:val="00BE79F0"/>
    <w:rsid w:val="00BE7A05"/>
    <w:rsid w:val="00BF046D"/>
    <w:rsid w:val="00BF1190"/>
    <w:rsid w:val="00BF5D04"/>
    <w:rsid w:val="00C1164D"/>
    <w:rsid w:val="00C16861"/>
    <w:rsid w:val="00C22678"/>
    <w:rsid w:val="00C23092"/>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85E9F"/>
    <w:rsid w:val="00C879FE"/>
    <w:rsid w:val="00CB1E76"/>
    <w:rsid w:val="00CB6BC0"/>
    <w:rsid w:val="00CC0656"/>
    <w:rsid w:val="00CC0669"/>
    <w:rsid w:val="00CC1B7C"/>
    <w:rsid w:val="00CC727F"/>
    <w:rsid w:val="00CF15C3"/>
    <w:rsid w:val="00CF2B6F"/>
    <w:rsid w:val="00CF58B6"/>
    <w:rsid w:val="00D017ED"/>
    <w:rsid w:val="00D040D3"/>
    <w:rsid w:val="00D04C65"/>
    <w:rsid w:val="00D05E54"/>
    <w:rsid w:val="00D1675E"/>
    <w:rsid w:val="00D224FE"/>
    <w:rsid w:val="00D5172F"/>
    <w:rsid w:val="00D53A31"/>
    <w:rsid w:val="00D6493E"/>
    <w:rsid w:val="00D7301E"/>
    <w:rsid w:val="00D83AE1"/>
    <w:rsid w:val="00D855D4"/>
    <w:rsid w:val="00D93466"/>
    <w:rsid w:val="00DA1124"/>
    <w:rsid w:val="00DB75B7"/>
    <w:rsid w:val="00DC6E02"/>
    <w:rsid w:val="00DD37AA"/>
    <w:rsid w:val="00DD7C1A"/>
    <w:rsid w:val="00DE02AE"/>
    <w:rsid w:val="00DF1D7F"/>
    <w:rsid w:val="00DF4BE4"/>
    <w:rsid w:val="00E02FB4"/>
    <w:rsid w:val="00E07F15"/>
    <w:rsid w:val="00E20571"/>
    <w:rsid w:val="00E219ED"/>
    <w:rsid w:val="00E235F7"/>
    <w:rsid w:val="00E23659"/>
    <w:rsid w:val="00E239D4"/>
    <w:rsid w:val="00E26130"/>
    <w:rsid w:val="00E2741C"/>
    <w:rsid w:val="00E3737A"/>
    <w:rsid w:val="00E40B22"/>
    <w:rsid w:val="00E42B13"/>
    <w:rsid w:val="00E45619"/>
    <w:rsid w:val="00E4588F"/>
    <w:rsid w:val="00E46DA3"/>
    <w:rsid w:val="00E51BB1"/>
    <w:rsid w:val="00E624A5"/>
    <w:rsid w:val="00E7344E"/>
    <w:rsid w:val="00E8185B"/>
    <w:rsid w:val="00E936E3"/>
    <w:rsid w:val="00EB0798"/>
    <w:rsid w:val="00EB1F51"/>
    <w:rsid w:val="00EB40AD"/>
    <w:rsid w:val="00EB586E"/>
    <w:rsid w:val="00EB5FC8"/>
    <w:rsid w:val="00EC6C3B"/>
    <w:rsid w:val="00ED3CAD"/>
    <w:rsid w:val="00ED5A41"/>
    <w:rsid w:val="00EE1DE8"/>
    <w:rsid w:val="00EF7ABB"/>
    <w:rsid w:val="00EF7E0B"/>
    <w:rsid w:val="00F033EC"/>
    <w:rsid w:val="00F04F68"/>
    <w:rsid w:val="00F12670"/>
    <w:rsid w:val="00F14B27"/>
    <w:rsid w:val="00F3148D"/>
    <w:rsid w:val="00F325C5"/>
    <w:rsid w:val="00F32FE0"/>
    <w:rsid w:val="00F35298"/>
    <w:rsid w:val="00F47333"/>
    <w:rsid w:val="00F47E37"/>
    <w:rsid w:val="00F51005"/>
    <w:rsid w:val="00F53C07"/>
    <w:rsid w:val="00F54B65"/>
    <w:rsid w:val="00F640B6"/>
    <w:rsid w:val="00F80E40"/>
    <w:rsid w:val="00F848D9"/>
    <w:rsid w:val="00F93898"/>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7C8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0595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A6A06"/>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styleId="NormalWeb">
    <w:name w:val="Normal (Web)"/>
    <w:basedOn w:val="Normal"/>
    <w:uiPriority w:val="99"/>
    <w:semiHidden/>
    <w:unhideWhenUsed/>
    <w:rsid w:val="009965A3"/>
    <w:rPr>
      <w:rFonts w:ascii="Times New Roman" w:hAnsi="Times New Roman"/>
      <w:sz w:val="24"/>
      <w:szCs w:val="24"/>
    </w:rPr>
  </w:style>
  <w:style w:type="paragraph" w:styleId="FootnoteText">
    <w:name w:val="footnote text"/>
    <w:basedOn w:val="Normal"/>
    <w:link w:val="FootnoteTextChar"/>
    <w:uiPriority w:val="99"/>
    <w:unhideWhenUsed/>
    <w:rsid w:val="009965A3"/>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965A3"/>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965A3"/>
    <w:rPr>
      <w:vertAlign w:val="superscript"/>
    </w:rPr>
  </w:style>
  <w:style w:type="paragraph" w:styleId="ListParagraph">
    <w:name w:val="List Paragraph"/>
    <w:basedOn w:val="Normal"/>
    <w:uiPriority w:val="34"/>
    <w:qFormat/>
    <w:rsid w:val="009965A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7E0627"/>
    <w:pPr>
      <w:numPr>
        <w:numId w:val="34"/>
      </w:numPr>
      <w:spacing w:after="0" w:line="240" w:lineRule="auto"/>
    </w:pPr>
    <w:rPr>
      <w:rFonts w:eastAsia="Times New Roman"/>
      <w:kern w:val="24"/>
      <w:szCs w:val="24"/>
      <w:lang w:eastAsia="en-AU"/>
    </w:rPr>
  </w:style>
  <w:style w:type="paragraph" w:customStyle="1" w:styleId="Bullet2">
    <w:name w:val="Bullet 2"/>
    <w:basedOn w:val="Bullet1"/>
    <w:rsid w:val="007E0627"/>
    <w:pPr>
      <w:numPr>
        <w:numId w:val="35"/>
      </w:numPr>
    </w:pPr>
  </w:style>
  <w:style w:type="character" w:customStyle="1" w:styleId="Heading8Char">
    <w:name w:val="Heading 8 Char"/>
    <w:basedOn w:val="DefaultParagraphFont"/>
    <w:link w:val="Heading8"/>
    <w:uiPriority w:val="9"/>
    <w:semiHidden/>
    <w:rsid w:val="00005950"/>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EF7E0B"/>
    <w:rPr>
      <w:sz w:val="16"/>
      <w:szCs w:val="16"/>
    </w:rPr>
  </w:style>
  <w:style w:type="paragraph" w:styleId="CommentText">
    <w:name w:val="annotation text"/>
    <w:basedOn w:val="Normal"/>
    <w:link w:val="CommentTextChar"/>
    <w:uiPriority w:val="99"/>
    <w:semiHidden/>
    <w:unhideWhenUsed/>
    <w:rsid w:val="00EF7E0B"/>
    <w:pPr>
      <w:spacing w:line="240" w:lineRule="auto"/>
    </w:pPr>
    <w:rPr>
      <w:sz w:val="20"/>
      <w:szCs w:val="20"/>
    </w:rPr>
  </w:style>
  <w:style w:type="character" w:customStyle="1" w:styleId="CommentTextChar">
    <w:name w:val="Comment Text Char"/>
    <w:basedOn w:val="DefaultParagraphFont"/>
    <w:link w:val="CommentText"/>
    <w:uiPriority w:val="99"/>
    <w:semiHidden/>
    <w:rsid w:val="00EF7E0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F7E0B"/>
    <w:rPr>
      <w:b/>
      <w:bCs/>
    </w:rPr>
  </w:style>
  <w:style w:type="character" w:customStyle="1" w:styleId="CommentSubjectChar">
    <w:name w:val="Comment Subject Char"/>
    <w:basedOn w:val="CommentTextChar"/>
    <w:link w:val="CommentSubject"/>
    <w:uiPriority w:val="99"/>
    <w:semiHidden/>
    <w:rsid w:val="00EF7E0B"/>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2.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3.xml"/><Relationship Id="rId35"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6AF97-66AE-4C63-AB45-F4A5FFA0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8594</Words>
  <Characters>48991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Efraloctocog alfa (rhu)</vt:lpstr>
    </vt:vector>
  </TitlesOfParts>
  <Company>Department of Health Therapeutic Goods Administration</Company>
  <LinksUpToDate>false</LinksUpToDate>
  <CharactersWithSpaces>57471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Efmoroctocog alfa (rhu)</dc:title>
  <dc:subject>prescription medicine regulation</dc:subject>
  <dc:creator>Therapeutic Goods Administration</dc:creator>
  <cp:keywords>clinical, evaluation, report, medicine, assessment, regulation, australia, efmoroctocog, alfa, rhu, eloctate, biogen, idec</cp:keywords>
  <cp:lastModifiedBy>Dixon, Jenna</cp:lastModifiedBy>
  <cp:revision>5</cp:revision>
  <cp:lastPrinted>2010-12-20T22:59:00Z</cp:lastPrinted>
  <dcterms:created xsi:type="dcterms:W3CDTF">2015-03-13T07:33:00Z</dcterms:created>
  <dcterms:modified xsi:type="dcterms:W3CDTF">2015-04-07T04:24:00Z</dcterms:modified>
  <cp:category>external publication</cp:category>
</cp:coreProperties>
</file>