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E74D6D" w14:textId="77777777" w:rsidR="00E4778E" w:rsidRDefault="00E4778E"/>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14:paraId="1A20B9A4" w14:textId="77777777" w:rsidTr="00BF1190">
        <w:trPr>
          <w:trHeight w:val="1863"/>
        </w:trPr>
        <w:tc>
          <w:tcPr>
            <w:tcW w:w="3652" w:type="dxa"/>
            <w:tcBorders>
              <w:top w:val="nil"/>
              <w:left w:val="nil"/>
              <w:bottom w:val="nil"/>
              <w:right w:val="nil"/>
            </w:tcBorders>
          </w:tcPr>
          <w:p w14:paraId="62921AF3" w14:textId="09FF6CEF" w:rsidR="008E7846" w:rsidRPr="00096AA7" w:rsidRDefault="003A270C" w:rsidP="000746FE">
            <w:pPr>
              <w:rPr>
                <w:rFonts w:ascii="Arial" w:hAnsi="Arial" w:cs="Arial"/>
                <w:b/>
                <w:color w:val="002C47"/>
                <w:sz w:val="36"/>
                <w:szCs w:val="36"/>
              </w:rPr>
            </w:pPr>
            <w:r>
              <w:rPr>
                <w:rFonts w:ascii="Arial" w:hAnsi="Arial" w:cs="Arial"/>
                <w:b/>
                <w:color w:val="002C47"/>
                <w:sz w:val="36"/>
                <w:szCs w:val="36"/>
              </w:rPr>
              <w:t>November</w:t>
            </w:r>
            <w:r w:rsidR="00C346AB">
              <w:rPr>
                <w:rFonts w:ascii="Arial" w:hAnsi="Arial" w:cs="Arial"/>
                <w:b/>
                <w:color w:val="002C47"/>
                <w:sz w:val="36"/>
                <w:szCs w:val="36"/>
              </w:rPr>
              <w:t xml:space="preserve"> </w:t>
            </w:r>
            <w:r w:rsidR="000746FE">
              <w:rPr>
                <w:rFonts w:ascii="Arial" w:hAnsi="Arial" w:cs="Arial"/>
                <w:b/>
                <w:color w:val="002C47"/>
                <w:sz w:val="36"/>
                <w:szCs w:val="36"/>
              </w:rPr>
              <w:t>2020</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14:paraId="3547214A" w14:textId="77777777" w:rsidTr="0032583B">
        <w:trPr>
          <w:trHeight w:val="868"/>
        </w:trPr>
        <w:tc>
          <w:tcPr>
            <w:tcW w:w="9079" w:type="dxa"/>
          </w:tcPr>
          <w:p w14:paraId="747E887D" w14:textId="77777777" w:rsidR="0032583B" w:rsidRPr="00A964D1" w:rsidRDefault="0032583B" w:rsidP="000746FE">
            <w:pPr>
              <w:pStyle w:val="Title"/>
              <w:rPr>
                <w:color w:val="FFFFFF" w:themeColor="background1"/>
              </w:rPr>
            </w:pPr>
            <w:r w:rsidRPr="00A964D1">
              <w:rPr>
                <w:color w:val="FFFFFF" w:themeColor="background1"/>
              </w:rPr>
              <w:t>Australia</w:t>
            </w:r>
            <w:r w:rsidR="000746FE">
              <w:rPr>
                <w:color w:val="FFFFFF" w:themeColor="background1"/>
              </w:rPr>
              <w:t xml:space="preserve">n Public Assessment Report for </w:t>
            </w:r>
            <w:proofErr w:type="spellStart"/>
            <w:r w:rsidR="000746FE">
              <w:rPr>
                <w:color w:val="FFFFFF" w:themeColor="background1"/>
              </w:rPr>
              <w:t>E</w:t>
            </w:r>
            <w:r w:rsidR="000746FE" w:rsidRPr="000746FE">
              <w:rPr>
                <w:color w:val="FFFFFF" w:themeColor="background1"/>
              </w:rPr>
              <w:t>culizumab</w:t>
            </w:r>
            <w:proofErr w:type="spellEnd"/>
          </w:p>
        </w:tc>
      </w:tr>
      <w:tr w:rsidR="0032583B" w:rsidRPr="00B64760" w14:paraId="78969988" w14:textId="77777777" w:rsidTr="0032583B">
        <w:tc>
          <w:tcPr>
            <w:tcW w:w="9079" w:type="dxa"/>
          </w:tcPr>
          <w:p w14:paraId="04D4F3B8" w14:textId="4BA33572" w:rsidR="0032583B" w:rsidRPr="008E7846" w:rsidRDefault="000746FE" w:rsidP="00BB4F88">
            <w:pPr>
              <w:pStyle w:val="Subtitle"/>
              <w:rPr>
                <w:color w:val="FFFFFF" w:themeColor="background1"/>
              </w:rPr>
            </w:pPr>
            <w:r>
              <w:rPr>
                <w:color w:val="FFFFFF" w:themeColor="background1"/>
              </w:rPr>
              <w:t xml:space="preserve">Proprietary Product Name: </w:t>
            </w:r>
            <w:proofErr w:type="spellStart"/>
            <w:r>
              <w:rPr>
                <w:color w:val="FFFFFF" w:themeColor="background1"/>
              </w:rPr>
              <w:t>S</w:t>
            </w:r>
            <w:r w:rsidR="00BB4F88">
              <w:rPr>
                <w:color w:val="FFFFFF" w:themeColor="background1"/>
              </w:rPr>
              <w:t>oliris</w:t>
            </w:r>
            <w:proofErr w:type="spellEnd"/>
          </w:p>
        </w:tc>
      </w:tr>
      <w:tr w:rsidR="0032583B" w:rsidRPr="00B64760" w14:paraId="6B627882" w14:textId="77777777" w:rsidTr="0032583B">
        <w:trPr>
          <w:trHeight w:val="486"/>
        </w:trPr>
        <w:tc>
          <w:tcPr>
            <w:tcW w:w="9079" w:type="dxa"/>
          </w:tcPr>
          <w:p w14:paraId="448CDF61" w14:textId="77777777" w:rsidR="0032583B" w:rsidRPr="008E7846" w:rsidRDefault="000746FE" w:rsidP="000746FE">
            <w:pPr>
              <w:pStyle w:val="Subtitle"/>
              <w:rPr>
                <w:color w:val="FFFFFF" w:themeColor="background1"/>
              </w:rPr>
            </w:pPr>
            <w:r>
              <w:rPr>
                <w:color w:val="FFFFFF" w:themeColor="background1"/>
              </w:rPr>
              <w:t xml:space="preserve">Sponsor: </w:t>
            </w:r>
            <w:r w:rsidRPr="000746FE">
              <w:rPr>
                <w:color w:val="FFFFFF" w:themeColor="background1"/>
              </w:rPr>
              <w:t>Alexion Pharmaceuticals Australasia Pty Ltd</w:t>
            </w:r>
          </w:p>
        </w:tc>
      </w:tr>
    </w:tbl>
    <w:p w14:paraId="3BB5FF20" w14:textId="77777777" w:rsidR="008E7846" w:rsidRPr="0085156D" w:rsidRDefault="008E7846" w:rsidP="0085156D">
      <w:r w:rsidRPr="0085156D">
        <w:br w:type="page"/>
      </w:r>
    </w:p>
    <w:p w14:paraId="500937AE" w14:textId="77777777" w:rsidR="008E7846" w:rsidRPr="001F6CBA" w:rsidRDefault="008E7846" w:rsidP="008E7846">
      <w:pPr>
        <w:pStyle w:val="NonTOCHeading2"/>
      </w:pPr>
      <w:r w:rsidRPr="001F6CBA">
        <w:lastRenderedPageBreak/>
        <w:t>About the Therapeutic Goods Administration (TGA)</w:t>
      </w:r>
    </w:p>
    <w:p w14:paraId="0CA9EBE0" w14:textId="77777777"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14:paraId="6DCAA5CC" w14:textId="77777777" w:rsidR="008E7846" w:rsidRDefault="00C80137"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safety and efficacy (performance) when necessary.</w:t>
      </w:r>
    </w:p>
    <w:p w14:paraId="12477082" w14:textId="77777777"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14:paraId="59B3E632" w14:textId="77777777"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14:paraId="6592E421" w14:textId="54C2F454" w:rsidR="00441C3F" w:rsidRDefault="008E7846" w:rsidP="00441C3F">
      <w:pPr>
        <w:pStyle w:val="ListBullet"/>
        <w:numPr>
          <w:ilvl w:val="0"/>
          <w:numId w:val="3"/>
        </w:numPr>
        <w:ind w:left="357" w:hanging="357"/>
      </w:pPr>
      <w:r>
        <w:t xml:space="preserve">To report a problem with a medicine or medical device, please see the information on </w:t>
      </w:r>
      <w:r w:rsidR="00441C3F">
        <w:t>the TGA website &lt;</w:t>
      </w:r>
      <w:hyperlink r:id="rId8" w:history="1">
        <w:r w:rsidR="00441C3F">
          <w:rPr>
            <w:rStyle w:val="Hyperlink"/>
          </w:rPr>
          <w:t>https://www.tga.gov.au</w:t>
        </w:r>
      </w:hyperlink>
      <w:r w:rsidR="00441C3F">
        <w:t>&gt;.</w:t>
      </w:r>
    </w:p>
    <w:p w14:paraId="4F46A945" w14:textId="77777777" w:rsidR="008E7846" w:rsidRDefault="008E7846" w:rsidP="00875A6B">
      <w:pPr>
        <w:pStyle w:val="NonTOCHeading2"/>
      </w:pPr>
      <w:r>
        <w:t>About AusPARs</w:t>
      </w:r>
    </w:p>
    <w:p w14:paraId="64D88964" w14:textId="77777777" w:rsidR="008E7846" w:rsidRDefault="008E7846" w:rsidP="008E7846">
      <w:pPr>
        <w:pStyle w:val="ListBullet"/>
        <w:numPr>
          <w:ilvl w:val="0"/>
          <w:numId w:val="3"/>
        </w:numPr>
        <w:ind w:left="357" w:hanging="357"/>
      </w:pPr>
      <w:r>
        <w:t>An Australian Public Assessment Re</w:t>
      </w:r>
      <w:r w:rsidR="00133A1B">
        <w:t>port</w:t>
      </w:r>
      <w:r>
        <w:t xml:space="preserve"> (AusPAR) provides information about the evaluation of a prescription medicine and the considerations that led the TGA to approve or not approve a pr</w:t>
      </w:r>
      <w:r w:rsidR="00441C3F">
        <w:t>escription medicine submission.</w:t>
      </w:r>
    </w:p>
    <w:p w14:paraId="621BAC8C" w14:textId="77777777" w:rsidR="008E7846" w:rsidRDefault="008E7846" w:rsidP="008E7846">
      <w:pPr>
        <w:pStyle w:val="ListBullet"/>
        <w:numPr>
          <w:ilvl w:val="0"/>
          <w:numId w:val="3"/>
        </w:numPr>
        <w:ind w:left="357" w:hanging="357"/>
      </w:pPr>
      <w:r>
        <w:t>AusPARs are prepared and published by the TGA.</w:t>
      </w:r>
    </w:p>
    <w:p w14:paraId="5AB7744A" w14:textId="77777777" w:rsidR="008E7846" w:rsidRDefault="008E7846" w:rsidP="008E7846">
      <w:pPr>
        <w:pStyle w:val="ListBullet"/>
        <w:numPr>
          <w:ilvl w:val="0"/>
          <w:numId w:val="3"/>
        </w:numPr>
        <w:ind w:left="357" w:hanging="357"/>
      </w:pPr>
      <w:r>
        <w:t>An AusPAR is prepared for submissions that relate to new chemical entities, generic medicines, major variations and extensions of indications.</w:t>
      </w:r>
    </w:p>
    <w:p w14:paraId="4AF51745" w14:textId="77777777" w:rsidR="008E7846" w:rsidRDefault="008E7846" w:rsidP="008E7846">
      <w:pPr>
        <w:pStyle w:val="ListBullet"/>
        <w:numPr>
          <w:ilvl w:val="0"/>
          <w:numId w:val="3"/>
        </w:numPr>
        <w:ind w:left="357" w:hanging="357"/>
      </w:pPr>
      <w:r>
        <w:t>An AusPAR is a static document</w:t>
      </w:r>
      <w:r w:rsidR="00133A1B">
        <w:t>;</w:t>
      </w:r>
      <w:r>
        <w:t xml:space="preserve"> it provide</w:t>
      </w:r>
      <w:r w:rsidR="00133A1B">
        <w:t>s</w:t>
      </w:r>
      <w:r>
        <w:t xml:space="preserve"> information that relates to a submission at a particular point in time.</w:t>
      </w:r>
    </w:p>
    <w:p w14:paraId="378A8A7C" w14:textId="77777777" w:rsidR="00B452CE" w:rsidRDefault="008E7846" w:rsidP="00FF5755">
      <w:pPr>
        <w:pStyle w:val="ListBullet"/>
        <w:numPr>
          <w:ilvl w:val="0"/>
          <w:numId w:val="3"/>
        </w:numPr>
        <w:ind w:left="357" w:hanging="357"/>
      </w:pPr>
      <w:r>
        <w:t>A new AusPAR will be developed to reflect changes to indications and/or major variations to a prescription medicine subject to evaluation by the TGA.</w:t>
      </w:r>
    </w:p>
    <w:p w14:paraId="58EF7769" w14:textId="77777777" w:rsidR="00924482" w:rsidRPr="00DF1D7F" w:rsidRDefault="00924482" w:rsidP="00F54B65">
      <w:pPr>
        <w:pStyle w:val="LegalSubheading"/>
        <w:spacing w:before="3120"/>
      </w:pPr>
      <w:r w:rsidRPr="00DF1D7F">
        <w:t>Copyright</w:t>
      </w:r>
    </w:p>
    <w:p w14:paraId="75C4D21B" w14:textId="56242211" w:rsidR="00924482" w:rsidRDefault="00924482" w:rsidP="00924482">
      <w:pPr>
        <w:pStyle w:val="LegalCopy"/>
      </w:pPr>
      <w:r w:rsidRPr="00191B3B">
        <w:rPr>
          <w:rFonts w:cs="Arial"/>
          <w:lang w:val="en-GB"/>
        </w:rPr>
        <w:t>© Comm</w:t>
      </w:r>
      <w:r>
        <w:rPr>
          <w:rFonts w:cs="Arial"/>
          <w:lang w:val="en-GB"/>
        </w:rPr>
        <w:t>onwealth of Australia 20</w:t>
      </w:r>
      <w:r w:rsidR="00460036">
        <w:rPr>
          <w:rFonts w:cs="Arial"/>
          <w:lang w:val="en-GB"/>
        </w:rPr>
        <w:t>20</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9" w:history="1">
        <w:r w:rsidRPr="00191B3B">
          <w:rPr>
            <w:rStyle w:val="Hyperlink"/>
            <w:rFonts w:cs="Arial"/>
            <w:lang w:val="en-GB"/>
          </w:rPr>
          <w:t>tga.copyright@tga.gov.au</w:t>
        </w:r>
      </w:hyperlink>
      <w:r w:rsidRPr="00191B3B">
        <w:rPr>
          <w:rFonts w:cs="Arial"/>
        </w:rPr>
        <w:t>&gt;.</w:t>
      </w:r>
    </w:p>
    <w:p w14:paraId="1ABD4348" w14:textId="77777777" w:rsidR="00924482" w:rsidRDefault="00924482" w:rsidP="00924482">
      <w:pPr>
        <w:pStyle w:val="LegalCopy"/>
        <w:sectPr w:rsidR="00924482" w:rsidSect="003D1E62">
          <w:headerReference w:type="even" r:id="rId10"/>
          <w:headerReference w:type="default" r:id="rId11"/>
          <w:footerReference w:type="even" r:id="rId12"/>
          <w:footerReference w:type="default" r:id="rId13"/>
          <w:headerReference w:type="first" r:id="rId14"/>
          <w:footerReference w:type="first" r:id="rId15"/>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14:paraId="69CAE32A" w14:textId="77777777" w:rsidR="0089635C" w:rsidRPr="0089635C" w:rsidRDefault="0089635C" w:rsidP="0010788A">
          <w:pPr>
            <w:pStyle w:val="Contents"/>
          </w:pPr>
          <w:r w:rsidRPr="0010788A">
            <w:t>Conten</w:t>
          </w:r>
          <w:bookmarkStart w:id="2" w:name="_GoBack"/>
          <w:bookmarkEnd w:id="2"/>
          <w:r w:rsidRPr="0010788A">
            <w:t>ts</w:t>
          </w:r>
        </w:p>
        <w:p w14:paraId="4A297E38" w14:textId="0D56CB47" w:rsidR="005027F0" w:rsidRDefault="00C525A2">
          <w:pPr>
            <w:pStyle w:val="TOC1"/>
            <w:rPr>
              <w:rFonts w:asciiTheme="minorHAnsi" w:eastAsiaTheme="minorEastAsia" w:hAnsiTheme="minorHAnsi" w:cstheme="minorBidi"/>
              <w:b w:val="0"/>
              <w:noProof/>
              <w:sz w:val="22"/>
              <w:lang w:eastAsia="en-AU"/>
            </w:rPr>
          </w:pPr>
          <w:r>
            <w:fldChar w:fldCharType="begin"/>
          </w:r>
          <w:r>
            <w:instrText xml:space="preserve"> TOC \h \z \t "Heading 2,1,Heading 3,2" </w:instrText>
          </w:r>
          <w:r>
            <w:fldChar w:fldCharType="separate"/>
          </w:r>
          <w:hyperlink w:anchor="_Toc57794879" w:history="1">
            <w:r w:rsidR="005027F0" w:rsidRPr="00426FB4">
              <w:rPr>
                <w:rStyle w:val="Hyperlink"/>
                <w:noProof/>
              </w:rPr>
              <w:t>Common abbreviations</w:t>
            </w:r>
            <w:r w:rsidR="005027F0">
              <w:rPr>
                <w:noProof/>
                <w:webHidden/>
              </w:rPr>
              <w:tab/>
            </w:r>
            <w:r w:rsidR="005027F0">
              <w:rPr>
                <w:noProof/>
                <w:webHidden/>
              </w:rPr>
              <w:fldChar w:fldCharType="begin"/>
            </w:r>
            <w:r w:rsidR="005027F0">
              <w:rPr>
                <w:noProof/>
                <w:webHidden/>
              </w:rPr>
              <w:instrText xml:space="preserve"> PAGEREF _Toc57794879 \h </w:instrText>
            </w:r>
            <w:r w:rsidR="005027F0">
              <w:rPr>
                <w:noProof/>
                <w:webHidden/>
              </w:rPr>
            </w:r>
            <w:r w:rsidR="005027F0">
              <w:rPr>
                <w:noProof/>
                <w:webHidden/>
              </w:rPr>
              <w:fldChar w:fldCharType="separate"/>
            </w:r>
            <w:r w:rsidR="005027F0">
              <w:rPr>
                <w:noProof/>
                <w:webHidden/>
              </w:rPr>
              <w:t>4</w:t>
            </w:r>
            <w:r w:rsidR="005027F0">
              <w:rPr>
                <w:noProof/>
                <w:webHidden/>
              </w:rPr>
              <w:fldChar w:fldCharType="end"/>
            </w:r>
          </w:hyperlink>
        </w:p>
        <w:p w14:paraId="34DC1292" w14:textId="5A25EF89" w:rsidR="005027F0" w:rsidRDefault="005027F0">
          <w:pPr>
            <w:pStyle w:val="TOC1"/>
            <w:rPr>
              <w:rFonts w:asciiTheme="minorHAnsi" w:eastAsiaTheme="minorEastAsia" w:hAnsiTheme="minorHAnsi" w:cstheme="minorBidi"/>
              <w:b w:val="0"/>
              <w:noProof/>
              <w:sz w:val="22"/>
              <w:lang w:eastAsia="en-AU"/>
            </w:rPr>
          </w:pPr>
          <w:hyperlink w:anchor="_Toc57794880" w:history="1">
            <w:r w:rsidRPr="00426FB4">
              <w:rPr>
                <w:rStyle w:val="Hyperlink"/>
                <w:noProof/>
              </w:rPr>
              <w:t>I. Introduction to product submission</w:t>
            </w:r>
            <w:r>
              <w:rPr>
                <w:noProof/>
                <w:webHidden/>
              </w:rPr>
              <w:tab/>
            </w:r>
            <w:r>
              <w:rPr>
                <w:noProof/>
                <w:webHidden/>
              </w:rPr>
              <w:fldChar w:fldCharType="begin"/>
            </w:r>
            <w:r>
              <w:rPr>
                <w:noProof/>
                <w:webHidden/>
              </w:rPr>
              <w:instrText xml:space="preserve"> PAGEREF _Toc57794880 \h </w:instrText>
            </w:r>
            <w:r>
              <w:rPr>
                <w:noProof/>
                <w:webHidden/>
              </w:rPr>
            </w:r>
            <w:r>
              <w:rPr>
                <w:noProof/>
                <w:webHidden/>
              </w:rPr>
              <w:fldChar w:fldCharType="separate"/>
            </w:r>
            <w:r>
              <w:rPr>
                <w:noProof/>
                <w:webHidden/>
              </w:rPr>
              <w:t>6</w:t>
            </w:r>
            <w:r>
              <w:rPr>
                <w:noProof/>
                <w:webHidden/>
              </w:rPr>
              <w:fldChar w:fldCharType="end"/>
            </w:r>
          </w:hyperlink>
        </w:p>
        <w:p w14:paraId="79C137EA" w14:textId="7CFE6503" w:rsidR="005027F0" w:rsidRDefault="005027F0">
          <w:pPr>
            <w:pStyle w:val="TOC2"/>
            <w:rPr>
              <w:rFonts w:asciiTheme="minorHAnsi" w:eastAsiaTheme="minorEastAsia" w:hAnsiTheme="minorHAnsi" w:cstheme="minorBidi"/>
              <w:b w:val="0"/>
              <w:noProof/>
              <w:sz w:val="22"/>
              <w:lang w:eastAsia="en-AU"/>
            </w:rPr>
          </w:pPr>
          <w:hyperlink w:anchor="_Toc57794881" w:history="1">
            <w:r w:rsidRPr="00426FB4">
              <w:rPr>
                <w:rStyle w:val="Hyperlink"/>
                <w:noProof/>
                <w:lang w:eastAsia="en-AU"/>
              </w:rPr>
              <w:t>Submission details</w:t>
            </w:r>
            <w:r>
              <w:rPr>
                <w:noProof/>
                <w:webHidden/>
              </w:rPr>
              <w:tab/>
            </w:r>
            <w:r>
              <w:rPr>
                <w:noProof/>
                <w:webHidden/>
              </w:rPr>
              <w:fldChar w:fldCharType="begin"/>
            </w:r>
            <w:r>
              <w:rPr>
                <w:noProof/>
                <w:webHidden/>
              </w:rPr>
              <w:instrText xml:space="preserve"> PAGEREF _Toc57794881 \h </w:instrText>
            </w:r>
            <w:r>
              <w:rPr>
                <w:noProof/>
                <w:webHidden/>
              </w:rPr>
            </w:r>
            <w:r>
              <w:rPr>
                <w:noProof/>
                <w:webHidden/>
              </w:rPr>
              <w:fldChar w:fldCharType="separate"/>
            </w:r>
            <w:r>
              <w:rPr>
                <w:noProof/>
                <w:webHidden/>
              </w:rPr>
              <w:t>6</w:t>
            </w:r>
            <w:r>
              <w:rPr>
                <w:noProof/>
                <w:webHidden/>
              </w:rPr>
              <w:fldChar w:fldCharType="end"/>
            </w:r>
          </w:hyperlink>
        </w:p>
        <w:p w14:paraId="048AF3CA" w14:textId="477AC287" w:rsidR="005027F0" w:rsidRDefault="005027F0">
          <w:pPr>
            <w:pStyle w:val="TOC2"/>
            <w:rPr>
              <w:rFonts w:asciiTheme="minorHAnsi" w:eastAsiaTheme="minorEastAsia" w:hAnsiTheme="minorHAnsi" w:cstheme="minorBidi"/>
              <w:b w:val="0"/>
              <w:noProof/>
              <w:sz w:val="22"/>
              <w:lang w:eastAsia="en-AU"/>
            </w:rPr>
          </w:pPr>
          <w:hyperlink w:anchor="_Toc57794882" w:history="1">
            <w:r w:rsidRPr="00426FB4">
              <w:rPr>
                <w:rStyle w:val="Hyperlink"/>
                <w:noProof/>
              </w:rPr>
              <w:t>Product background</w:t>
            </w:r>
            <w:r>
              <w:rPr>
                <w:noProof/>
                <w:webHidden/>
              </w:rPr>
              <w:tab/>
            </w:r>
            <w:r>
              <w:rPr>
                <w:noProof/>
                <w:webHidden/>
              </w:rPr>
              <w:fldChar w:fldCharType="begin"/>
            </w:r>
            <w:r>
              <w:rPr>
                <w:noProof/>
                <w:webHidden/>
              </w:rPr>
              <w:instrText xml:space="preserve"> PAGEREF _Toc57794882 \h </w:instrText>
            </w:r>
            <w:r>
              <w:rPr>
                <w:noProof/>
                <w:webHidden/>
              </w:rPr>
            </w:r>
            <w:r>
              <w:rPr>
                <w:noProof/>
                <w:webHidden/>
              </w:rPr>
              <w:fldChar w:fldCharType="separate"/>
            </w:r>
            <w:r>
              <w:rPr>
                <w:noProof/>
                <w:webHidden/>
              </w:rPr>
              <w:t>7</w:t>
            </w:r>
            <w:r>
              <w:rPr>
                <w:noProof/>
                <w:webHidden/>
              </w:rPr>
              <w:fldChar w:fldCharType="end"/>
            </w:r>
          </w:hyperlink>
        </w:p>
        <w:p w14:paraId="61B72F86" w14:textId="791D3176" w:rsidR="005027F0" w:rsidRDefault="005027F0">
          <w:pPr>
            <w:pStyle w:val="TOC2"/>
            <w:rPr>
              <w:rFonts w:asciiTheme="minorHAnsi" w:eastAsiaTheme="minorEastAsia" w:hAnsiTheme="minorHAnsi" w:cstheme="minorBidi"/>
              <w:b w:val="0"/>
              <w:noProof/>
              <w:sz w:val="22"/>
              <w:lang w:eastAsia="en-AU"/>
            </w:rPr>
          </w:pPr>
          <w:hyperlink w:anchor="_Toc57794883" w:history="1">
            <w:r w:rsidRPr="00426FB4">
              <w:rPr>
                <w:rStyle w:val="Hyperlink"/>
                <w:noProof/>
              </w:rPr>
              <w:t>Regulatory status</w:t>
            </w:r>
            <w:r>
              <w:rPr>
                <w:noProof/>
                <w:webHidden/>
              </w:rPr>
              <w:tab/>
            </w:r>
            <w:r>
              <w:rPr>
                <w:noProof/>
                <w:webHidden/>
              </w:rPr>
              <w:fldChar w:fldCharType="begin"/>
            </w:r>
            <w:r>
              <w:rPr>
                <w:noProof/>
                <w:webHidden/>
              </w:rPr>
              <w:instrText xml:space="preserve"> PAGEREF _Toc57794883 \h </w:instrText>
            </w:r>
            <w:r>
              <w:rPr>
                <w:noProof/>
                <w:webHidden/>
              </w:rPr>
            </w:r>
            <w:r>
              <w:rPr>
                <w:noProof/>
                <w:webHidden/>
              </w:rPr>
              <w:fldChar w:fldCharType="separate"/>
            </w:r>
            <w:r>
              <w:rPr>
                <w:noProof/>
                <w:webHidden/>
              </w:rPr>
              <w:t>8</w:t>
            </w:r>
            <w:r>
              <w:rPr>
                <w:noProof/>
                <w:webHidden/>
              </w:rPr>
              <w:fldChar w:fldCharType="end"/>
            </w:r>
          </w:hyperlink>
        </w:p>
        <w:p w14:paraId="4BA708C9" w14:textId="19E9DF02" w:rsidR="005027F0" w:rsidRDefault="005027F0">
          <w:pPr>
            <w:pStyle w:val="TOC2"/>
            <w:rPr>
              <w:rFonts w:asciiTheme="minorHAnsi" w:eastAsiaTheme="minorEastAsia" w:hAnsiTheme="minorHAnsi" w:cstheme="minorBidi"/>
              <w:b w:val="0"/>
              <w:noProof/>
              <w:sz w:val="22"/>
              <w:lang w:eastAsia="en-AU"/>
            </w:rPr>
          </w:pPr>
          <w:hyperlink w:anchor="_Toc57794884" w:history="1">
            <w:r w:rsidRPr="00426FB4">
              <w:rPr>
                <w:rStyle w:val="Hyperlink"/>
                <w:noProof/>
              </w:rPr>
              <w:t>Product Information</w:t>
            </w:r>
            <w:r>
              <w:rPr>
                <w:noProof/>
                <w:webHidden/>
              </w:rPr>
              <w:tab/>
            </w:r>
            <w:r>
              <w:rPr>
                <w:noProof/>
                <w:webHidden/>
              </w:rPr>
              <w:fldChar w:fldCharType="begin"/>
            </w:r>
            <w:r>
              <w:rPr>
                <w:noProof/>
                <w:webHidden/>
              </w:rPr>
              <w:instrText xml:space="preserve"> PAGEREF _Toc57794884 \h </w:instrText>
            </w:r>
            <w:r>
              <w:rPr>
                <w:noProof/>
                <w:webHidden/>
              </w:rPr>
            </w:r>
            <w:r>
              <w:rPr>
                <w:noProof/>
                <w:webHidden/>
              </w:rPr>
              <w:fldChar w:fldCharType="separate"/>
            </w:r>
            <w:r>
              <w:rPr>
                <w:noProof/>
                <w:webHidden/>
              </w:rPr>
              <w:t>9</w:t>
            </w:r>
            <w:r>
              <w:rPr>
                <w:noProof/>
                <w:webHidden/>
              </w:rPr>
              <w:fldChar w:fldCharType="end"/>
            </w:r>
          </w:hyperlink>
        </w:p>
        <w:p w14:paraId="6208F071" w14:textId="0BEB1239" w:rsidR="005027F0" w:rsidRDefault="005027F0">
          <w:pPr>
            <w:pStyle w:val="TOC1"/>
            <w:rPr>
              <w:rFonts w:asciiTheme="minorHAnsi" w:eastAsiaTheme="minorEastAsia" w:hAnsiTheme="minorHAnsi" w:cstheme="minorBidi"/>
              <w:b w:val="0"/>
              <w:noProof/>
              <w:sz w:val="22"/>
              <w:lang w:eastAsia="en-AU"/>
            </w:rPr>
          </w:pPr>
          <w:hyperlink w:anchor="_Toc57794885" w:history="1">
            <w:r w:rsidRPr="00426FB4">
              <w:rPr>
                <w:rStyle w:val="Hyperlink"/>
                <w:noProof/>
              </w:rPr>
              <w:t>II. Registration timeline</w:t>
            </w:r>
            <w:r>
              <w:rPr>
                <w:noProof/>
                <w:webHidden/>
              </w:rPr>
              <w:tab/>
            </w:r>
            <w:r>
              <w:rPr>
                <w:noProof/>
                <w:webHidden/>
              </w:rPr>
              <w:fldChar w:fldCharType="begin"/>
            </w:r>
            <w:r>
              <w:rPr>
                <w:noProof/>
                <w:webHidden/>
              </w:rPr>
              <w:instrText xml:space="preserve"> PAGEREF _Toc57794885 \h </w:instrText>
            </w:r>
            <w:r>
              <w:rPr>
                <w:noProof/>
                <w:webHidden/>
              </w:rPr>
            </w:r>
            <w:r>
              <w:rPr>
                <w:noProof/>
                <w:webHidden/>
              </w:rPr>
              <w:fldChar w:fldCharType="separate"/>
            </w:r>
            <w:r>
              <w:rPr>
                <w:noProof/>
                <w:webHidden/>
              </w:rPr>
              <w:t>10</w:t>
            </w:r>
            <w:r>
              <w:rPr>
                <w:noProof/>
                <w:webHidden/>
              </w:rPr>
              <w:fldChar w:fldCharType="end"/>
            </w:r>
          </w:hyperlink>
        </w:p>
        <w:p w14:paraId="0BFD0EB3" w14:textId="09DE101D" w:rsidR="005027F0" w:rsidRDefault="005027F0">
          <w:pPr>
            <w:pStyle w:val="TOC1"/>
            <w:rPr>
              <w:rFonts w:asciiTheme="minorHAnsi" w:eastAsiaTheme="minorEastAsia" w:hAnsiTheme="minorHAnsi" w:cstheme="minorBidi"/>
              <w:b w:val="0"/>
              <w:noProof/>
              <w:sz w:val="22"/>
              <w:lang w:eastAsia="en-AU"/>
            </w:rPr>
          </w:pPr>
          <w:hyperlink w:anchor="_Toc57794886" w:history="1">
            <w:r w:rsidRPr="00426FB4">
              <w:rPr>
                <w:rStyle w:val="Hyperlink"/>
                <w:noProof/>
              </w:rPr>
              <w:t>III. Submission overview and risk/benefit assessment</w:t>
            </w:r>
            <w:r>
              <w:rPr>
                <w:noProof/>
                <w:webHidden/>
              </w:rPr>
              <w:tab/>
            </w:r>
            <w:r>
              <w:rPr>
                <w:noProof/>
                <w:webHidden/>
              </w:rPr>
              <w:fldChar w:fldCharType="begin"/>
            </w:r>
            <w:r>
              <w:rPr>
                <w:noProof/>
                <w:webHidden/>
              </w:rPr>
              <w:instrText xml:space="preserve"> PAGEREF _Toc57794886 \h </w:instrText>
            </w:r>
            <w:r>
              <w:rPr>
                <w:noProof/>
                <w:webHidden/>
              </w:rPr>
            </w:r>
            <w:r>
              <w:rPr>
                <w:noProof/>
                <w:webHidden/>
              </w:rPr>
              <w:fldChar w:fldCharType="separate"/>
            </w:r>
            <w:r>
              <w:rPr>
                <w:noProof/>
                <w:webHidden/>
              </w:rPr>
              <w:t>10</w:t>
            </w:r>
            <w:r>
              <w:rPr>
                <w:noProof/>
                <w:webHidden/>
              </w:rPr>
              <w:fldChar w:fldCharType="end"/>
            </w:r>
          </w:hyperlink>
        </w:p>
        <w:p w14:paraId="06298EDF" w14:textId="05ED3715" w:rsidR="005027F0" w:rsidRDefault="005027F0">
          <w:pPr>
            <w:pStyle w:val="TOC2"/>
            <w:rPr>
              <w:rFonts w:asciiTheme="minorHAnsi" w:eastAsiaTheme="minorEastAsia" w:hAnsiTheme="minorHAnsi" w:cstheme="minorBidi"/>
              <w:b w:val="0"/>
              <w:noProof/>
              <w:sz w:val="22"/>
              <w:lang w:eastAsia="en-AU"/>
            </w:rPr>
          </w:pPr>
          <w:hyperlink w:anchor="_Toc57794887" w:history="1">
            <w:r w:rsidRPr="00426FB4">
              <w:rPr>
                <w:rStyle w:val="Hyperlink"/>
                <w:noProof/>
              </w:rPr>
              <w:t>Quality</w:t>
            </w:r>
            <w:r>
              <w:rPr>
                <w:noProof/>
                <w:webHidden/>
              </w:rPr>
              <w:tab/>
            </w:r>
            <w:r>
              <w:rPr>
                <w:noProof/>
                <w:webHidden/>
              </w:rPr>
              <w:fldChar w:fldCharType="begin"/>
            </w:r>
            <w:r>
              <w:rPr>
                <w:noProof/>
                <w:webHidden/>
              </w:rPr>
              <w:instrText xml:space="preserve"> PAGEREF _Toc57794887 \h </w:instrText>
            </w:r>
            <w:r>
              <w:rPr>
                <w:noProof/>
                <w:webHidden/>
              </w:rPr>
            </w:r>
            <w:r>
              <w:rPr>
                <w:noProof/>
                <w:webHidden/>
              </w:rPr>
              <w:fldChar w:fldCharType="separate"/>
            </w:r>
            <w:r>
              <w:rPr>
                <w:noProof/>
                <w:webHidden/>
              </w:rPr>
              <w:t>11</w:t>
            </w:r>
            <w:r>
              <w:rPr>
                <w:noProof/>
                <w:webHidden/>
              </w:rPr>
              <w:fldChar w:fldCharType="end"/>
            </w:r>
          </w:hyperlink>
        </w:p>
        <w:p w14:paraId="035AAA14" w14:textId="6591C4B6" w:rsidR="005027F0" w:rsidRDefault="005027F0">
          <w:pPr>
            <w:pStyle w:val="TOC2"/>
            <w:rPr>
              <w:rFonts w:asciiTheme="minorHAnsi" w:eastAsiaTheme="minorEastAsia" w:hAnsiTheme="minorHAnsi" w:cstheme="minorBidi"/>
              <w:b w:val="0"/>
              <w:noProof/>
              <w:sz w:val="22"/>
              <w:lang w:eastAsia="en-AU"/>
            </w:rPr>
          </w:pPr>
          <w:hyperlink w:anchor="_Toc57794888" w:history="1">
            <w:r w:rsidRPr="00426FB4">
              <w:rPr>
                <w:rStyle w:val="Hyperlink"/>
                <w:noProof/>
              </w:rPr>
              <w:t>Nonclinical</w:t>
            </w:r>
            <w:r>
              <w:rPr>
                <w:noProof/>
                <w:webHidden/>
              </w:rPr>
              <w:tab/>
            </w:r>
            <w:r>
              <w:rPr>
                <w:noProof/>
                <w:webHidden/>
              </w:rPr>
              <w:fldChar w:fldCharType="begin"/>
            </w:r>
            <w:r>
              <w:rPr>
                <w:noProof/>
                <w:webHidden/>
              </w:rPr>
              <w:instrText xml:space="preserve"> PAGEREF _Toc57794888 \h </w:instrText>
            </w:r>
            <w:r>
              <w:rPr>
                <w:noProof/>
                <w:webHidden/>
              </w:rPr>
            </w:r>
            <w:r>
              <w:rPr>
                <w:noProof/>
                <w:webHidden/>
              </w:rPr>
              <w:fldChar w:fldCharType="separate"/>
            </w:r>
            <w:r>
              <w:rPr>
                <w:noProof/>
                <w:webHidden/>
              </w:rPr>
              <w:t>11</w:t>
            </w:r>
            <w:r>
              <w:rPr>
                <w:noProof/>
                <w:webHidden/>
              </w:rPr>
              <w:fldChar w:fldCharType="end"/>
            </w:r>
          </w:hyperlink>
        </w:p>
        <w:p w14:paraId="483B630F" w14:textId="4AF89995" w:rsidR="005027F0" w:rsidRDefault="005027F0">
          <w:pPr>
            <w:pStyle w:val="TOC2"/>
            <w:rPr>
              <w:rFonts w:asciiTheme="minorHAnsi" w:eastAsiaTheme="minorEastAsia" w:hAnsiTheme="minorHAnsi" w:cstheme="minorBidi"/>
              <w:b w:val="0"/>
              <w:noProof/>
              <w:sz w:val="22"/>
              <w:lang w:eastAsia="en-AU"/>
            </w:rPr>
          </w:pPr>
          <w:hyperlink w:anchor="_Toc57794889" w:history="1">
            <w:r w:rsidRPr="00426FB4">
              <w:rPr>
                <w:rStyle w:val="Hyperlink"/>
                <w:noProof/>
              </w:rPr>
              <w:t>Clinical</w:t>
            </w:r>
            <w:r>
              <w:rPr>
                <w:noProof/>
                <w:webHidden/>
              </w:rPr>
              <w:tab/>
            </w:r>
            <w:r>
              <w:rPr>
                <w:noProof/>
                <w:webHidden/>
              </w:rPr>
              <w:fldChar w:fldCharType="begin"/>
            </w:r>
            <w:r>
              <w:rPr>
                <w:noProof/>
                <w:webHidden/>
              </w:rPr>
              <w:instrText xml:space="preserve"> PAGEREF _Toc57794889 \h </w:instrText>
            </w:r>
            <w:r>
              <w:rPr>
                <w:noProof/>
                <w:webHidden/>
              </w:rPr>
            </w:r>
            <w:r>
              <w:rPr>
                <w:noProof/>
                <w:webHidden/>
              </w:rPr>
              <w:fldChar w:fldCharType="separate"/>
            </w:r>
            <w:r>
              <w:rPr>
                <w:noProof/>
                <w:webHidden/>
              </w:rPr>
              <w:t>11</w:t>
            </w:r>
            <w:r>
              <w:rPr>
                <w:noProof/>
                <w:webHidden/>
              </w:rPr>
              <w:fldChar w:fldCharType="end"/>
            </w:r>
          </w:hyperlink>
        </w:p>
        <w:p w14:paraId="29540D38" w14:textId="13B723C0" w:rsidR="005027F0" w:rsidRDefault="005027F0">
          <w:pPr>
            <w:pStyle w:val="TOC2"/>
            <w:rPr>
              <w:rFonts w:asciiTheme="minorHAnsi" w:eastAsiaTheme="minorEastAsia" w:hAnsiTheme="minorHAnsi" w:cstheme="minorBidi"/>
              <w:b w:val="0"/>
              <w:noProof/>
              <w:sz w:val="22"/>
              <w:lang w:eastAsia="en-AU"/>
            </w:rPr>
          </w:pPr>
          <w:hyperlink w:anchor="_Toc57794890" w:history="1">
            <w:r w:rsidRPr="00426FB4">
              <w:rPr>
                <w:rStyle w:val="Hyperlink"/>
                <w:noProof/>
                <w:lang w:eastAsia="en-AU"/>
              </w:rPr>
              <w:t>Risk management plan</w:t>
            </w:r>
            <w:r>
              <w:rPr>
                <w:noProof/>
                <w:webHidden/>
              </w:rPr>
              <w:tab/>
            </w:r>
            <w:r>
              <w:rPr>
                <w:noProof/>
                <w:webHidden/>
              </w:rPr>
              <w:fldChar w:fldCharType="begin"/>
            </w:r>
            <w:r>
              <w:rPr>
                <w:noProof/>
                <w:webHidden/>
              </w:rPr>
              <w:instrText xml:space="preserve"> PAGEREF _Toc57794890 \h </w:instrText>
            </w:r>
            <w:r>
              <w:rPr>
                <w:noProof/>
                <w:webHidden/>
              </w:rPr>
            </w:r>
            <w:r>
              <w:rPr>
                <w:noProof/>
                <w:webHidden/>
              </w:rPr>
              <w:fldChar w:fldCharType="separate"/>
            </w:r>
            <w:r>
              <w:rPr>
                <w:noProof/>
                <w:webHidden/>
              </w:rPr>
              <w:t>17</w:t>
            </w:r>
            <w:r>
              <w:rPr>
                <w:noProof/>
                <w:webHidden/>
              </w:rPr>
              <w:fldChar w:fldCharType="end"/>
            </w:r>
          </w:hyperlink>
        </w:p>
        <w:p w14:paraId="188BDDDC" w14:textId="6D6A1DB1" w:rsidR="005027F0" w:rsidRDefault="005027F0">
          <w:pPr>
            <w:pStyle w:val="TOC2"/>
            <w:rPr>
              <w:rFonts w:asciiTheme="minorHAnsi" w:eastAsiaTheme="minorEastAsia" w:hAnsiTheme="minorHAnsi" w:cstheme="minorBidi"/>
              <w:b w:val="0"/>
              <w:noProof/>
              <w:sz w:val="22"/>
              <w:lang w:eastAsia="en-AU"/>
            </w:rPr>
          </w:pPr>
          <w:hyperlink w:anchor="_Toc57794891" w:history="1">
            <w:r w:rsidRPr="00426FB4">
              <w:rPr>
                <w:rStyle w:val="Hyperlink"/>
                <w:noProof/>
              </w:rPr>
              <w:t>Risk-benefit analysis</w:t>
            </w:r>
            <w:r>
              <w:rPr>
                <w:noProof/>
                <w:webHidden/>
              </w:rPr>
              <w:tab/>
            </w:r>
            <w:r>
              <w:rPr>
                <w:noProof/>
                <w:webHidden/>
              </w:rPr>
              <w:fldChar w:fldCharType="begin"/>
            </w:r>
            <w:r>
              <w:rPr>
                <w:noProof/>
                <w:webHidden/>
              </w:rPr>
              <w:instrText xml:space="preserve"> PAGEREF _Toc57794891 \h </w:instrText>
            </w:r>
            <w:r>
              <w:rPr>
                <w:noProof/>
                <w:webHidden/>
              </w:rPr>
            </w:r>
            <w:r>
              <w:rPr>
                <w:noProof/>
                <w:webHidden/>
              </w:rPr>
              <w:fldChar w:fldCharType="separate"/>
            </w:r>
            <w:r>
              <w:rPr>
                <w:noProof/>
                <w:webHidden/>
              </w:rPr>
              <w:t>18</w:t>
            </w:r>
            <w:r>
              <w:rPr>
                <w:noProof/>
                <w:webHidden/>
              </w:rPr>
              <w:fldChar w:fldCharType="end"/>
            </w:r>
          </w:hyperlink>
        </w:p>
        <w:p w14:paraId="48CB0375" w14:textId="36C8D8B8" w:rsidR="005027F0" w:rsidRDefault="005027F0">
          <w:pPr>
            <w:pStyle w:val="TOC2"/>
            <w:rPr>
              <w:rFonts w:asciiTheme="minorHAnsi" w:eastAsiaTheme="minorEastAsia" w:hAnsiTheme="minorHAnsi" w:cstheme="minorBidi"/>
              <w:b w:val="0"/>
              <w:noProof/>
              <w:sz w:val="22"/>
              <w:lang w:eastAsia="en-AU"/>
            </w:rPr>
          </w:pPr>
          <w:hyperlink w:anchor="_Toc57794892" w:history="1">
            <w:r w:rsidRPr="00426FB4">
              <w:rPr>
                <w:rStyle w:val="Hyperlink"/>
                <w:noProof/>
              </w:rPr>
              <w:t>Outcome</w:t>
            </w:r>
            <w:r>
              <w:rPr>
                <w:noProof/>
                <w:webHidden/>
              </w:rPr>
              <w:tab/>
            </w:r>
            <w:r>
              <w:rPr>
                <w:noProof/>
                <w:webHidden/>
              </w:rPr>
              <w:fldChar w:fldCharType="begin"/>
            </w:r>
            <w:r>
              <w:rPr>
                <w:noProof/>
                <w:webHidden/>
              </w:rPr>
              <w:instrText xml:space="preserve"> PAGEREF _Toc57794892 \h </w:instrText>
            </w:r>
            <w:r>
              <w:rPr>
                <w:noProof/>
                <w:webHidden/>
              </w:rPr>
            </w:r>
            <w:r>
              <w:rPr>
                <w:noProof/>
                <w:webHidden/>
              </w:rPr>
              <w:fldChar w:fldCharType="separate"/>
            </w:r>
            <w:r>
              <w:rPr>
                <w:noProof/>
                <w:webHidden/>
              </w:rPr>
              <w:t>24</w:t>
            </w:r>
            <w:r>
              <w:rPr>
                <w:noProof/>
                <w:webHidden/>
              </w:rPr>
              <w:fldChar w:fldCharType="end"/>
            </w:r>
          </w:hyperlink>
        </w:p>
        <w:p w14:paraId="2F5084BC" w14:textId="51EFB85D" w:rsidR="005027F0" w:rsidRDefault="005027F0">
          <w:pPr>
            <w:pStyle w:val="TOC1"/>
            <w:rPr>
              <w:rFonts w:asciiTheme="minorHAnsi" w:eastAsiaTheme="minorEastAsia" w:hAnsiTheme="minorHAnsi" w:cstheme="minorBidi"/>
              <w:b w:val="0"/>
              <w:noProof/>
              <w:sz w:val="22"/>
              <w:lang w:eastAsia="en-AU"/>
            </w:rPr>
          </w:pPr>
          <w:hyperlink w:anchor="_Toc57794893" w:history="1">
            <w:r w:rsidRPr="00426FB4">
              <w:rPr>
                <w:rStyle w:val="Hyperlink"/>
                <w:noProof/>
              </w:rPr>
              <w:t>Attachment 1. Product Information</w:t>
            </w:r>
            <w:r>
              <w:rPr>
                <w:noProof/>
                <w:webHidden/>
              </w:rPr>
              <w:tab/>
            </w:r>
            <w:r>
              <w:rPr>
                <w:noProof/>
                <w:webHidden/>
              </w:rPr>
              <w:fldChar w:fldCharType="begin"/>
            </w:r>
            <w:r>
              <w:rPr>
                <w:noProof/>
                <w:webHidden/>
              </w:rPr>
              <w:instrText xml:space="preserve"> PAGEREF _Toc57794893 \h </w:instrText>
            </w:r>
            <w:r>
              <w:rPr>
                <w:noProof/>
                <w:webHidden/>
              </w:rPr>
            </w:r>
            <w:r>
              <w:rPr>
                <w:noProof/>
                <w:webHidden/>
              </w:rPr>
              <w:fldChar w:fldCharType="separate"/>
            </w:r>
            <w:r>
              <w:rPr>
                <w:noProof/>
                <w:webHidden/>
              </w:rPr>
              <w:t>25</w:t>
            </w:r>
            <w:r>
              <w:rPr>
                <w:noProof/>
                <w:webHidden/>
              </w:rPr>
              <w:fldChar w:fldCharType="end"/>
            </w:r>
          </w:hyperlink>
        </w:p>
        <w:p w14:paraId="0504EB95" w14:textId="14E256D2" w:rsidR="003A7F6C" w:rsidRPr="00B811C6" w:rsidRDefault="00C525A2" w:rsidP="00B811C6">
          <w:pPr>
            <w:pStyle w:val="TOC2"/>
          </w:pPr>
          <w:r>
            <w:fldChar w:fldCharType="end"/>
          </w:r>
        </w:p>
      </w:sdtContent>
    </w:sdt>
    <w:bookmarkStart w:id="3" w:name="_Toc314842482" w:displacedByCustomXml="prev"/>
    <w:p w14:paraId="28CE6ACD" w14:textId="77777777" w:rsidR="00FD119B" w:rsidRDefault="00FD119B">
      <w:pPr>
        <w:spacing w:before="0" w:after="200" w:line="0" w:lineRule="auto"/>
      </w:pPr>
      <w:r>
        <w:br w:type="page"/>
      </w:r>
    </w:p>
    <w:p w14:paraId="11E412BE" w14:textId="77777777" w:rsidR="00C52E24" w:rsidRPr="00C52E24" w:rsidRDefault="00441C3F" w:rsidP="00DD71FD">
      <w:pPr>
        <w:pStyle w:val="Heading2"/>
      </w:pPr>
      <w:bookmarkStart w:id="4" w:name="_Toc351716269"/>
      <w:bookmarkStart w:id="5" w:name="_Toc351718881"/>
      <w:bookmarkStart w:id="6" w:name="_Toc355338616"/>
      <w:bookmarkStart w:id="7" w:name="_Toc356306144"/>
      <w:bookmarkStart w:id="8" w:name="_Toc57794879"/>
      <w:r>
        <w:lastRenderedPageBreak/>
        <w:t>Common</w:t>
      </w:r>
      <w:r w:rsidR="00FD119B" w:rsidRPr="00FD119B">
        <w:t xml:space="preserve"> abbreviations</w:t>
      </w:r>
      <w:bookmarkEnd w:id="4"/>
      <w:bookmarkEnd w:id="5"/>
      <w:bookmarkEnd w:id="6"/>
      <w:bookmarkEnd w:id="7"/>
      <w:bookmarkEnd w:id="8"/>
    </w:p>
    <w:tbl>
      <w:tblPr>
        <w:tblStyle w:val="TableTGAblue"/>
        <w:tblW w:w="0" w:type="auto"/>
        <w:tblLook w:val="04A0" w:firstRow="1" w:lastRow="0" w:firstColumn="1" w:lastColumn="0" w:noHBand="0" w:noVBand="1"/>
      </w:tblPr>
      <w:tblGrid>
        <w:gridCol w:w="1809"/>
        <w:gridCol w:w="6911"/>
      </w:tblGrid>
      <w:tr w:rsidR="00D961DA" w:rsidRPr="00FD119B" w14:paraId="0EC34D9A" w14:textId="77777777" w:rsidTr="00CF5DAD">
        <w:trPr>
          <w:cnfStyle w:val="100000000000" w:firstRow="1" w:lastRow="0" w:firstColumn="0" w:lastColumn="0" w:oddVBand="0" w:evenVBand="0" w:oddHBand="0" w:evenHBand="0" w:firstRowFirstColumn="0" w:firstRowLastColumn="0" w:lastRowFirstColumn="0" w:lastRowLastColumn="0"/>
        </w:trPr>
        <w:tc>
          <w:tcPr>
            <w:tcW w:w="1809" w:type="dxa"/>
            <w:tcBorders>
              <w:top w:val="single" w:sz="4" w:space="0" w:color="auto"/>
              <w:left w:val="single" w:sz="4" w:space="0" w:color="auto"/>
              <w:bottom w:val="single" w:sz="4" w:space="0" w:color="auto"/>
              <w:right w:val="single" w:sz="4" w:space="0" w:color="auto"/>
            </w:tcBorders>
          </w:tcPr>
          <w:p w14:paraId="55770359" w14:textId="77777777" w:rsidR="00D961DA" w:rsidRPr="00FD119B" w:rsidRDefault="00D961DA" w:rsidP="00CF5DAD">
            <w:pPr>
              <w:keepNext w:val="0"/>
              <w:ind w:left="0" w:right="0"/>
              <w:rPr>
                <w:szCs w:val="22"/>
                <w:lang w:eastAsia="en-US"/>
              </w:rPr>
            </w:pPr>
            <w:r w:rsidRPr="00FD119B">
              <w:rPr>
                <w:szCs w:val="22"/>
                <w:lang w:eastAsia="en-US"/>
              </w:rPr>
              <w:t>Abbreviation</w:t>
            </w:r>
          </w:p>
        </w:tc>
        <w:tc>
          <w:tcPr>
            <w:tcW w:w="6911" w:type="dxa"/>
            <w:tcBorders>
              <w:top w:val="single" w:sz="4" w:space="0" w:color="auto"/>
              <w:left w:val="single" w:sz="4" w:space="0" w:color="auto"/>
              <w:bottom w:val="single" w:sz="4" w:space="0" w:color="auto"/>
              <w:right w:val="single" w:sz="4" w:space="0" w:color="auto"/>
            </w:tcBorders>
          </w:tcPr>
          <w:p w14:paraId="51C85DCC" w14:textId="77777777" w:rsidR="00D961DA" w:rsidRPr="00FD119B" w:rsidRDefault="00D961DA" w:rsidP="00CF5DAD">
            <w:pPr>
              <w:keepNext w:val="0"/>
              <w:ind w:left="0" w:right="0"/>
              <w:rPr>
                <w:szCs w:val="22"/>
                <w:lang w:eastAsia="en-US"/>
              </w:rPr>
            </w:pPr>
            <w:r w:rsidRPr="00FD119B">
              <w:rPr>
                <w:szCs w:val="22"/>
                <w:lang w:eastAsia="en-US"/>
              </w:rPr>
              <w:t>Meaning</w:t>
            </w:r>
          </w:p>
        </w:tc>
      </w:tr>
      <w:tr w:rsidR="00D961DA" w:rsidRPr="002E7242" w14:paraId="66B72F34" w14:textId="77777777" w:rsidTr="006C1E40">
        <w:tc>
          <w:tcPr>
            <w:tcW w:w="1809" w:type="dxa"/>
          </w:tcPr>
          <w:p w14:paraId="7584D566" w14:textId="77777777" w:rsidR="00D961DA" w:rsidRPr="002E7242" w:rsidRDefault="00D961DA" w:rsidP="00546EB2">
            <w:pPr>
              <w:rPr>
                <w:color w:val="000000"/>
              </w:rPr>
            </w:pPr>
            <w:r w:rsidRPr="002E7242">
              <w:rPr>
                <w:color w:val="000000"/>
              </w:rPr>
              <w:t>ACM</w:t>
            </w:r>
          </w:p>
        </w:tc>
        <w:tc>
          <w:tcPr>
            <w:tcW w:w="6911" w:type="dxa"/>
          </w:tcPr>
          <w:p w14:paraId="03FB9CB3" w14:textId="77777777" w:rsidR="00D961DA" w:rsidRPr="002E7242" w:rsidRDefault="00D961DA" w:rsidP="00546EB2">
            <w:pPr>
              <w:rPr>
                <w:color w:val="000000"/>
              </w:rPr>
            </w:pPr>
            <w:r w:rsidRPr="002E7242">
              <w:rPr>
                <w:color w:val="000000"/>
              </w:rPr>
              <w:t>Advisory Committee on Medicines</w:t>
            </w:r>
          </w:p>
        </w:tc>
      </w:tr>
      <w:tr w:rsidR="00D961DA" w:rsidRPr="002E7242" w14:paraId="126B3733" w14:textId="77777777" w:rsidTr="006C1E40">
        <w:tc>
          <w:tcPr>
            <w:tcW w:w="1809" w:type="dxa"/>
          </w:tcPr>
          <w:p w14:paraId="1C9AD63A" w14:textId="77777777" w:rsidR="00D961DA" w:rsidRPr="002E7242" w:rsidRDefault="00D961DA" w:rsidP="00546EB2">
            <w:pPr>
              <w:rPr>
                <w:color w:val="000000"/>
              </w:rPr>
            </w:pPr>
            <w:r>
              <w:t>ADA</w:t>
            </w:r>
          </w:p>
        </w:tc>
        <w:tc>
          <w:tcPr>
            <w:tcW w:w="6911" w:type="dxa"/>
          </w:tcPr>
          <w:p w14:paraId="7B193DF7" w14:textId="77777777" w:rsidR="00D961DA" w:rsidRPr="002E7242" w:rsidRDefault="00D961DA" w:rsidP="00546EB2">
            <w:pPr>
              <w:rPr>
                <w:color w:val="000000"/>
              </w:rPr>
            </w:pPr>
            <w:r>
              <w:t>Anti-drug antibody</w:t>
            </w:r>
          </w:p>
        </w:tc>
      </w:tr>
      <w:tr w:rsidR="00D961DA" w:rsidRPr="002E7242" w14:paraId="6E33C00B" w14:textId="77777777" w:rsidTr="006C1E40">
        <w:tc>
          <w:tcPr>
            <w:tcW w:w="1809" w:type="dxa"/>
          </w:tcPr>
          <w:p w14:paraId="36316CC8" w14:textId="77777777" w:rsidR="00D961DA" w:rsidRPr="002E7242" w:rsidRDefault="00D961DA" w:rsidP="00546EB2">
            <w:pPr>
              <w:rPr>
                <w:color w:val="000000"/>
              </w:rPr>
            </w:pPr>
            <w:proofErr w:type="spellStart"/>
            <w:r>
              <w:t>aHUS</w:t>
            </w:r>
            <w:proofErr w:type="spellEnd"/>
          </w:p>
        </w:tc>
        <w:tc>
          <w:tcPr>
            <w:tcW w:w="6911" w:type="dxa"/>
          </w:tcPr>
          <w:p w14:paraId="2126F28D" w14:textId="104076CE" w:rsidR="00D961DA" w:rsidRPr="002E7242" w:rsidRDefault="00D961DA" w:rsidP="00546EB2">
            <w:pPr>
              <w:rPr>
                <w:color w:val="000000"/>
              </w:rPr>
            </w:pPr>
            <w:r>
              <w:t>A</w:t>
            </w:r>
            <w:r w:rsidRPr="002E7242">
              <w:t xml:space="preserve">typical </w:t>
            </w:r>
            <w:r w:rsidR="00A353BE" w:rsidRPr="002E7242">
              <w:t>haemolytic uraemic syndrome</w:t>
            </w:r>
          </w:p>
        </w:tc>
      </w:tr>
      <w:tr w:rsidR="00D961DA" w:rsidRPr="002E7242" w14:paraId="371270BF" w14:textId="77777777" w:rsidTr="006C1E40">
        <w:tc>
          <w:tcPr>
            <w:tcW w:w="1809" w:type="dxa"/>
          </w:tcPr>
          <w:p w14:paraId="525B685F" w14:textId="77777777" w:rsidR="00D961DA" w:rsidRPr="002E7242" w:rsidRDefault="00D961DA" w:rsidP="00546EB2">
            <w:pPr>
              <w:rPr>
                <w:color w:val="000000"/>
              </w:rPr>
            </w:pPr>
            <w:r>
              <w:t>AQP4</w:t>
            </w:r>
          </w:p>
        </w:tc>
        <w:tc>
          <w:tcPr>
            <w:tcW w:w="6911" w:type="dxa"/>
          </w:tcPr>
          <w:p w14:paraId="17BFE074" w14:textId="212F8AE8" w:rsidR="00D961DA" w:rsidRPr="002E7242" w:rsidRDefault="00D961DA" w:rsidP="00546EB2">
            <w:pPr>
              <w:rPr>
                <w:color w:val="000000"/>
              </w:rPr>
            </w:pPr>
            <w:r>
              <w:t>A</w:t>
            </w:r>
            <w:r w:rsidRPr="002E7242">
              <w:t>quaporin-4</w:t>
            </w:r>
          </w:p>
        </w:tc>
      </w:tr>
      <w:tr w:rsidR="00D961DA" w:rsidRPr="002E7242" w14:paraId="58469A81" w14:textId="77777777" w:rsidTr="006C1E40">
        <w:tc>
          <w:tcPr>
            <w:tcW w:w="1809" w:type="dxa"/>
          </w:tcPr>
          <w:p w14:paraId="597C287A" w14:textId="77777777" w:rsidR="00D961DA" w:rsidRPr="002E7242" w:rsidRDefault="00D961DA" w:rsidP="00546EB2">
            <w:pPr>
              <w:rPr>
                <w:color w:val="000000"/>
              </w:rPr>
            </w:pPr>
            <w:r>
              <w:t>ARR</w:t>
            </w:r>
          </w:p>
        </w:tc>
        <w:tc>
          <w:tcPr>
            <w:tcW w:w="6911" w:type="dxa"/>
          </w:tcPr>
          <w:p w14:paraId="0B29A90A" w14:textId="77777777" w:rsidR="00D961DA" w:rsidRPr="002E7242" w:rsidRDefault="00D961DA" w:rsidP="00546EB2">
            <w:pPr>
              <w:rPr>
                <w:color w:val="000000"/>
              </w:rPr>
            </w:pPr>
            <w:r>
              <w:t>Annualised relapse rate</w:t>
            </w:r>
          </w:p>
        </w:tc>
      </w:tr>
      <w:tr w:rsidR="00D961DA" w:rsidRPr="002E7242" w14:paraId="4F021AA3" w14:textId="77777777" w:rsidTr="006C1E40">
        <w:tc>
          <w:tcPr>
            <w:tcW w:w="1809" w:type="dxa"/>
          </w:tcPr>
          <w:p w14:paraId="27A237B5" w14:textId="77777777" w:rsidR="00D961DA" w:rsidRPr="002E7242" w:rsidRDefault="00D961DA" w:rsidP="00546EB2">
            <w:pPr>
              <w:rPr>
                <w:color w:val="000000"/>
              </w:rPr>
            </w:pPr>
            <w:r w:rsidRPr="002E7242">
              <w:rPr>
                <w:color w:val="000000"/>
              </w:rPr>
              <w:t>ARTG</w:t>
            </w:r>
          </w:p>
        </w:tc>
        <w:tc>
          <w:tcPr>
            <w:tcW w:w="6911" w:type="dxa"/>
          </w:tcPr>
          <w:p w14:paraId="153FE35D" w14:textId="77777777" w:rsidR="00D961DA" w:rsidRPr="002E7242" w:rsidRDefault="00D961DA" w:rsidP="00546EB2">
            <w:pPr>
              <w:rPr>
                <w:color w:val="000000"/>
              </w:rPr>
            </w:pPr>
            <w:r w:rsidRPr="002E7242">
              <w:rPr>
                <w:color w:val="000000"/>
              </w:rPr>
              <w:t>Australian Register of Therapeutic Goods</w:t>
            </w:r>
          </w:p>
        </w:tc>
      </w:tr>
      <w:tr w:rsidR="00AB30E5" w:rsidRPr="002E7242" w14:paraId="1BAD3490" w14:textId="77777777" w:rsidTr="006C1E40">
        <w:tc>
          <w:tcPr>
            <w:tcW w:w="1809" w:type="dxa"/>
          </w:tcPr>
          <w:p w14:paraId="6416C711" w14:textId="5C25AACF" w:rsidR="00AB30E5" w:rsidRPr="002E7242" w:rsidRDefault="00AB30E5" w:rsidP="00546EB2">
            <w:pPr>
              <w:rPr>
                <w:color w:val="000000"/>
              </w:rPr>
            </w:pPr>
            <w:r>
              <w:rPr>
                <w:color w:val="000000"/>
              </w:rPr>
              <w:t>ASA</w:t>
            </w:r>
          </w:p>
        </w:tc>
        <w:tc>
          <w:tcPr>
            <w:tcW w:w="6911" w:type="dxa"/>
          </w:tcPr>
          <w:p w14:paraId="58DFC59E" w14:textId="5E98B3A7" w:rsidR="00AB30E5" w:rsidRPr="002E7242" w:rsidRDefault="00AB30E5" w:rsidP="00546EB2">
            <w:pPr>
              <w:rPr>
                <w:color w:val="000000"/>
              </w:rPr>
            </w:pPr>
            <w:r>
              <w:rPr>
                <w:color w:val="000000"/>
              </w:rPr>
              <w:t>Australian-specific Annex</w:t>
            </w:r>
          </w:p>
        </w:tc>
      </w:tr>
      <w:tr w:rsidR="00D961DA" w:rsidRPr="002E7242" w14:paraId="5F72A7EC" w14:textId="77777777" w:rsidTr="006C1E40">
        <w:tc>
          <w:tcPr>
            <w:tcW w:w="1809" w:type="dxa"/>
          </w:tcPr>
          <w:p w14:paraId="1EC4AD5E" w14:textId="77777777" w:rsidR="00D961DA" w:rsidRPr="002E7242" w:rsidRDefault="00D961DA" w:rsidP="00546EB2">
            <w:pPr>
              <w:rPr>
                <w:color w:val="000000"/>
              </w:rPr>
            </w:pPr>
            <w:r>
              <w:rPr>
                <w:color w:val="000000"/>
              </w:rPr>
              <w:t>AusPAR</w:t>
            </w:r>
          </w:p>
        </w:tc>
        <w:tc>
          <w:tcPr>
            <w:tcW w:w="6911" w:type="dxa"/>
          </w:tcPr>
          <w:p w14:paraId="7A3BB3EE" w14:textId="77777777" w:rsidR="00D961DA" w:rsidRPr="002E7242" w:rsidRDefault="00D961DA" w:rsidP="00546EB2">
            <w:pPr>
              <w:rPr>
                <w:color w:val="000000"/>
              </w:rPr>
            </w:pPr>
            <w:r>
              <w:t>Australian Public Assessment Report</w:t>
            </w:r>
          </w:p>
        </w:tc>
      </w:tr>
      <w:tr w:rsidR="00D961DA" w:rsidRPr="002E7242" w14:paraId="76DB3373" w14:textId="77777777" w:rsidTr="006C1E40">
        <w:tc>
          <w:tcPr>
            <w:tcW w:w="1809" w:type="dxa"/>
          </w:tcPr>
          <w:p w14:paraId="4CA0E951" w14:textId="77777777" w:rsidR="00D961DA" w:rsidRPr="002E7242" w:rsidRDefault="00D961DA" w:rsidP="00546EB2">
            <w:pPr>
              <w:rPr>
                <w:color w:val="000000"/>
              </w:rPr>
            </w:pPr>
            <w:r>
              <w:t>C5</w:t>
            </w:r>
          </w:p>
        </w:tc>
        <w:tc>
          <w:tcPr>
            <w:tcW w:w="6911" w:type="dxa"/>
          </w:tcPr>
          <w:p w14:paraId="5423A76F" w14:textId="77777777" w:rsidR="00D961DA" w:rsidRPr="002E7242" w:rsidRDefault="00D961DA" w:rsidP="00546EB2">
            <w:pPr>
              <w:rPr>
                <w:color w:val="000000"/>
              </w:rPr>
            </w:pPr>
            <w:r>
              <w:t>C</w:t>
            </w:r>
            <w:r w:rsidRPr="002E7242">
              <w:t>omplement protein C5</w:t>
            </w:r>
          </w:p>
        </w:tc>
      </w:tr>
      <w:tr w:rsidR="00D961DA" w:rsidRPr="002E7242" w14:paraId="3B94F06B" w14:textId="77777777" w:rsidTr="006C1E40">
        <w:tc>
          <w:tcPr>
            <w:tcW w:w="1809" w:type="dxa"/>
          </w:tcPr>
          <w:p w14:paraId="5251B2B8" w14:textId="77777777" w:rsidR="00D961DA" w:rsidRPr="002E7242" w:rsidRDefault="00D961DA" w:rsidP="00546EB2">
            <w:pPr>
              <w:rPr>
                <w:color w:val="000000"/>
              </w:rPr>
            </w:pPr>
            <w:r>
              <w:t>CI</w:t>
            </w:r>
          </w:p>
        </w:tc>
        <w:tc>
          <w:tcPr>
            <w:tcW w:w="6911" w:type="dxa"/>
          </w:tcPr>
          <w:p w14:paraId="23422512" w14:textId="77777777" w:rsidR="00D961DA" w:rsidRPr="002E7242" w:rsidRDefault="00D961DA" w:rsidP="00546EB2">
            <w:pPr>
              <w:rPr>
                <w:color w:val="000000"/>
              </w:rPr>
            </w:pPr>
            <w:r>
              <w:t>Confidence interval</w:t>
            </w:r>
          </w:p>
        </w:tc>
      </w:tr>
      <w:tr w:rsidR="00D961DA" w:rsidRPr="002E7242" w14:paraId="0E6AC36B" w14:textId="77777777" w:rsidTr="006C1E40">
        <w:tc>
          <w:tcPr>
            <w:tcW w:w="1809" w:type="dxa"/>
          </w:tcPr>
          <w:p w14:paraId="5BD7FA48" w14:textId="77777777" w:rsidR="00D961DA" w:rsidRPr="002E7242" w:rsidRDefault="00D961DA" w:rsidP="00546EB2">
            <w:pPr>
              <w:rPr>
                <w:color w:val="000000"/>
              </w:rPr>
            </w:pPr>
            <w:r>
              <w:t>CMI</w:t>
            </w:r>
          </w:p>
        </w:tc>
        <w:tc>
          <w:tcPr>
            <w:tcW w:w="6911" w:type="dxa"/>
          </w:tcPr>
          <w:p w14:paraId="07A98BF4" w14:textId="77777777" w:rsidR="00D961DA" w:rsidRPr="002E7242" w:rsidRDefault="00D961DA" w:rsidP="00546EB2">
            <w:pPr>
              <w:rPr>
                <w:color w:val="000000"/>
              </w:rPr>
            </w:pPr>
            <w:r>
              <w:t>Consumer Medicines I</w:t>
            </w:r>
            <w:r w:rsidRPr="001A3638">
              <w:t>nformation</w:t>
            </w:r>
          </w:p>
        </w:tc>
      </w:tr>
      <w:tr w:rsidR="00D961DA" w:rsidRPr="002E7242" w14:paraId="4D9DBBFF" w14:textId="77777777" w:rsidTr="006C1E40">
        <w:tc>
          <w:tcPr>
            <w:tcW w:w="1809" w:type="dxa"/>
          </w:tcPr>
          <w:p w14:paraId="30D7A70E" w14:textId="77777777" w:rsidR="00D961DA" w:rsidRPr="002E7242" w:rsidRDefault="00D961DA" w:rsidP="00546EB2">
            <w:pPr>
              <w:rPr>
                <w:color w:val="000000"/>
              </w:rPr>
            </w:pPr>
            <w:r>
              <w:t>COR A</w:t>
            </w:r>
          </w:p>
        </w:tc>
        <w:tc>
          <w:tcPr>
            <w:tcW w:w="6911" w:type="dxa"/>
          </w:tcPr>
          <w:p w14:paraId="5C308CFD" w14:textId="77777777" w:rsidR="00D961DA" w:rsidRPr="002E7242" w:rsidRDefault="00D961DA" w:rsidP="00546EB2">
            <w:pPr>
              <w:rPr>
                <w:color w:val="000000"/>
              </w:rPr>
            </w:pPr>
            <w:r>
              <w:t>Comparable Overseas Regulator approach A</w:t>
            </w:r>
          </w:p>
        </w:tc>
      </w:tr>
      <w:tr w:rsidR="00D961DA" w:rsidRPr="002E7242" w14:paraId="05B176CC" w14:textId="77777777" w:rsidTr="006C1E40">
        <w:tc>
          <w:tcPr>
            <w:tcW w:w="1809" w:type="dxa"/>
          </w:tcPr>
          <w:p w14:paraId="374209AB" w14:textId="77777777" w:rsidR="00D961DA" w:rsidRPr="002E7242" w:rsidRDefault="00D961DA" w:rsidP="00546EB2">
            <w:pPr>
              <w:rPr>
                <w:color w:val="000000"/>
              </w:rPr>
            </w:pPr>
            <w:r>
              <w:t>CSF</w:t>
            </w:r>
          </w:p>
        </w:tc>
        <w:tc>
          <w:tcPr>
            <w:tcW w:w="6911" w:type="dxa"/>
          </w:tcPr>
          <w:p w14:paraId="7B79AB67" w14:textId="77777777" w:rsidR="00D961DA" w:rsidRPr="002E7242" w:rsidRDefault="00D961DA" w:rsidP="00546EB2">
            <w:pPr>
              <w:rPr>
                <w:color w:val="000000"/>
              </w:rPr>
            </w:pPr>
            <w:r>
              <w:t>Cerebrospinal fluid</w:t>
            </w:r>
          </w:p>
        </w:tc>
      </w:tr>
      <w:tr w:rsidR="00D961DA" w:rsidRPr="002E7242" w14:paraId="0099061F" w14:textId="77777777" w:rsidTr="006C1E40">
        <w:tc>
          <w:tcPr>
            <w:tcW w:w="1809" w:type="dxa"/>
          </w:tcPr>
          <w:p w14:paraId="042724A3" w14:textId="77777777" w:rsidR="00D961DA" w:rsidRPr="002E7242" w:rsidRDefault="00D961DA" w:rsidP="00546EB2">
            <w:pPr>
              <w:rPr>
                <w:color w:val="000000"/>
              </w:rPr>
            </w:pPr>
            <w:proofErr w:type="spellStart"/>
            <w:r>
              <w:t>C</w:t>
            </w:r>
            <w:r w:rsidRPr="002E7242">
              <w:rPr>
                <w:vertAlign w:val="subscript"/>
              </w:rPr>
              <w:t>trough</w:t>
            </w:r>
            <w:proofErr w:type="spellEnd"/>
          </w:p>
        </w:tc>
        <w:tc>
          <w:tcPr>
            <w:tcW w:w="6911" w:type="dxa"/>
          </w:tcPr>
          <w:p w14:paraId="6CB5415A" w14:textId="77777777" w:rsidR="00D961DA" w:rsidRPr="002E7242" w:rsidRDefault="00D961DA" w:rsidP="00546EB2">
            <w:pPr>
              <w:rPr>
                <w:color w:val="000000"/>
              </w:rPr>
            </w:pPr>
            <w:r w:rsidRPr="002E7242">
              <w:t>Troug</w:t>
            </w:r>
            <w:r>
              <w:t>h concentration</w:t>
            </w:r>
          </w:p>
        </w:tc>
      </w:tr>
      <w:tr w:rsidR="00AB30E5" w:rsidRPr="002E7242" w14:paraId="4B8FAD6D" w14:textId="77777777" w:rsidTr="006C1E40">
        <w:tc>
          <w:tcPr>
            <w:tcW w:w="1809" w:type="dxa"/>
          </w:tcPr>
          <w:p w14:paraId="4F7E98A3" w14:textId="499B5ABF" w:rsidR="00AB30E5" w:rsidRDefault="00AB30E5" w:rsidP="00546EB2">
            <w:r>
              <w:t>DLP</w:t>
            </w:r>
          </w:p>
        </w:tc>
        <w:tc>
          <w:tcPr>
            <w:tcW w:w="6911" w:type="dxa"/>
          </w:tcPr>
          <w:p w14:paraId="46B291C9" w14:textId="11DF7E73" w:rsidR="00AB30E5" w:rsidRPr="002E7242" w:rsidRDefault="00AB30E5" w:rsidP="00546EB2">
            <w:r>
              <w:t>Data lock point</w:t>
            </w:r>
          </w:p>
        </w:tc>
      </w:tr>
      <w:tr w:rsidR="00D961DA" w:rsidRPr="002E7242" w14:paraId="1D8C2CF5" w14:textId="77777777" w:rsidTr="006C1E40">
        <w:tc>
          <w:tcPr>
            <w:tcW w:w="1809" w:type="dxa"/>
          </w:tcPr>
          <w:p w14:paraId="098C8072" w14:textId="77777777" w:rsidR="00D961DA" w:rsidRPr="002E7242" w:rsidRDefault="00D961DA" w:rsidP="00546EB2">
            <w:pPr>
              <w:rPr>
                <w:color w:val="000000"/>
              </w:rPr>
            </w:pPr>
            <w:r>
              <w:t>EDSS</w:t>
            </w:r>
          </w:p>
        </w:tc>
        <w:tc>
          <w:tcPr>
            <w:tcW w:w="6911" w:type="dxa"/>
          </w:tcPr>
          <w:p w14:paraId="6E285D32" w14:textId="5D8A2DE7" w:rsidR="00D961DA" w:rsidRPr="002E7242" w:rsidRDefault="00D961DA" w:rsidP="00546EB2">
            <w:pPr>
              <w:rPr>
                <w:color w:val="000000"/>
              </w:rPr>
            </w:pPr>
            <w:r>
              <w:t xml:space="preserve">Expanded </w:t>
            </w:r>
            <w:r w:rsidR="00A353BE">
              <w:t>D</w:t>
            </w:r>
            <w:r>
              <w:t xml:space="preserve">isability </w:t>
            </w:r>
            <w:r w:rsidR="00A353BE">
              <w:t>S</w:t>
            </w:r>
            <w:r>
              <w:t xml:space="preserve">tatus </w:t>
            </w:r>
            <w:r w:rsidR="00A353BE">
              <w:t>S</w:t>
            </w:r>
            <w:r>
              <w:t>cale</w:t>
            </w:r>
          </w:p>
        </w:tc>
      </w:tr>
      <w:tr w:rsidR="00D961DA" w:rsidRPr="002E7242" w14:paraId="16FB3FCD" w14:textId="77777777" w:rsidTr="006C1E40">
        <w:tc>
          <w:tcPr>
            <w:tcW w:w="1809" w:type="dxa"/>
          </w:tcPr>
          <w:p w14:paraId="25A57086" w14:textId="77777777" w:rsidR="00D961DA" w:rsidRPr="002E7242" w:rsidRDefault="00D961DA" w:rsidP="00546EB2">
            <w:pPr>
              <w:rPr>
                <w:color w:val="000000"/>
              </w:rPr>
            </w:pPr>
            <w:r>
              <w:t>EU</w:t>
            </w:r>
          </w:p>
        </w:tc>
        <w:tc>
          <w:tcPr>
            <w:tcW w:w="6911" w:type="dxa"/>
          </w:tcPr>
          <w:p w14:paraId="56DA7D06" w14:textId="77777777" w:rsidR="00D961DA" w:rsidRPr="002E7242" w:rsidRDefault="00D961DA" w:rsidP="00546EB2">
            <w:pPr>
              <w:rPr>
                <w:color w:val="000000"/>
              </w:rPr>
            </w:pPr>
            <w:r>
              <w:t>European Union</w:t>
            </w:r>
          </w:p>
        </w:tc>
      </w:tr>
      <w:tr w:rsidR="00D961DA" w:rsidRPr="002E7242" w14:paraId="76DF2E56" w14:textId="77777777" w:rsidTr="006C1E40">
        <w:tc>
          <w:tcPr>
            <w:tcW w:w="1809" w:type="dxa"/>
          </w:tcPr>
          <w:p w14:paraId="3FCB4F2C" w14:textId="77777777" w:rsidR="00D961DA" w:rsidRPr="002E7242" w:rsidRDefault="00D961DA" w:rsidP="00546EB2">
            <w:pPr>
              <w:rPr>
                <w:color w:val="000000"/>
              </w:rPr>
            </w:pPr>
            <w:proofErr w:type="spellStart"/>
            <w:r>
              <w:t>gMS</w:t>
            </w:r>
            <w:proofErr w:type="spellEnd"/>
          </w:p>
        </w:tc>
        <w:tc>
          <w:tcPr>
            <w:tcW w:w="6911" w:type="dxa"/>
          </w:tcPr>
          <w:p w14:paraId="75A9318F" w14:textId="4E18B3E7" w:rsidR="00D961DA" w:rsidRPr="002E7242" w:rsidRDefault="00D961DA" w:rsidP="00546EB2">
            <w:pPr>
              <w:rPr>
                <w:color w:val="000000"/>
              </w:rPr>
            </w:pPr>
            <w:r>
              <w:t>G</w:t>
            </w:r>
            <w:r w:rsidRPr="002E7242">
              <w:t>enerali</w:t>
            </w:r>
            <w:r w:rsidR="00A353BE">
              <w:t>s</w:t>
            </w:r>
            <w:r w:rsidRPr="002E7242">
              <w:t>ed myasthenia gravis</w:t>
            </w:r>
          </w:p>
        </w:tc>
      </w:tr>
      <w:tr w:rsidR="00D961DA" w:rsidRPr="002E7242" w14:paraId="6FEE28A2" w14:textId="77777777" w:rsidTr="006C1E40">
        <w:tc>
          <w:tcPr>
            <w:tcW w:w="1809" w:type="dxa"/>
          </w:tcPr>
          <w:p w14:paraId="6B018EF4" w14:textId="77777777" w:rsidR="00D961DA" w:rsidRPr="002E7242" w:rsidRDefault="00D961DA" w:rsidP="00546EB2">
            <w:pPr>
              <w:rPr>
                <w:color w:val="000000"/>
              </w:rPr>
            </w:pPr>
            <w:r>
              <w:t>GVP</w:t>
            </w:r>
          </w:p>
        </w:tc>
        <w:tc>
          <w:tcPr>
            <w:tcW w:w="6911" w:type="dxa"/>
          </w:tcPr>
          <w:p w14:paraId="35D60E44" w14:textId="77777777" w:rsidR="00D961DA" w:rsidRPr="002E7242" w:rsidRDefault="00D961DA" w:rsidP="00546EB2">
            <w:pPr>
              <w:rPr>
                <w:color w:val="000000"/>
              </w:rPr>
            </w:pPr>
            <w:r>
              <w:t>Good Pharmacovigilance Practice</w:t>
            </w:r>
          </w:p>
        </w:tc>
      </w:tr>
      <w:tr w:rsidR="00D961DA" w:rsidRPr="002E7242" w14:paraId="4A090BF4" w14:textId="77777777" w:rsidTr="006C1E40">
        <w:tc>
          <w:tcPr>
            <w:tcW w:w="1809" w:type="dxa"/>
          </w:tcPr>
          <w:p w14:paraId="1E99B834" w14:textId="77777777" w:rsidR="00D961DA" w:rsidRPr="002E7242" w:rsidRDefault="00D961DA" w:rsidP="00546EB2">
            <w:pPr>
              <w:rPr>
                <w:color w:val="000000"/>
              </w:rPr>
            </w:pPr>
            <w:r>
              <w:t>IST</w:t>
            </w:r>
          </w:p>
        </w:tc>
        <w:tc>
          <w:tcPr>
            <w:tcW w:w="6911" w:type="dxa"/>
          </w:tcPr>
          <w:p w14:paraId="0A3C655B" w14:textId="77777777" w:rsidR="00D961DA" w:rsidRPr="002E7242" w:rsidRDefault="00D961DA" w:rsidP="00546EB2">
            <w:pPr>
              <w:rPr>
                <w:color w:val="000000"/>
              </w:rPr>
            </w:pPr>
            <w:r>
              <w:t>Immunosuppressive therapy</w:t>
            </w:r>
          </w:p>
        </w:tc>
      </w:tr>
      <w:tr w:rsidR="00D961DA" w:rsidRPr="002E7242" w14:paraId="3ABEE53D" w14:textId="77777777" w:rsidTr="006C1E40">
        <w:tc>
          <w:tcPr>
            <w:tcW w:w="1809" w:type="dxa"/>
          </w:tcPr>
          <w:p w14:paraId="581C7CCF" w14:textId="77777777" w:rsidR="00D961DA" w:rsidRPr="002E7242" w:rsidRDefault="00D961DA" w:rsidP="00546EB2">
            <w:pPr>
              <w:rPr>
                <w:color w:val="000000"/>
              </w:rPr>
            </w:pPr>
            <w:r>
              <w:t>IV</w:t>
            </w:r>
          </w:p>
        </w:tc>
        <w:tc>
          <w:tcPr>
            <w:tcW w:w="6911" w:type="dxa"/>
          </w:tcPr>
          <w:p w14:paraId="57ED03FD" w14:textId="77777777" w:rsidR="00D961DA" w:rsidRPr="002E7242" w:rsidRDefault="00D961DA" w:rsidP="00546EB2">
            <w:pPr>
              <w:rPr>
                <w:color w:val="000000"/>
              </w:rPr>
            </w:pPr>
            <w:r>
              <w:t>Intravenous</w:t>
            </w:r>
          </w:p>
        </w:tc>
      </w:tr>
      <w:tr w:rsidR="00D961DA" w:rsidRPr="002E7242" w14:paraId="30C95DBD" w14:textId="77777777" w:rsidTr="006C1E40">
        <w:tc>
          <w:tcPr>
            <w:tcW w:w="1809" w:type="dxa"/>
          </w:tcPr>
          <w:p w14:paraId="486D3751" w14:textId="77777777" w:rsidR="00D961DA" w:rsidRPr="002E7242" w:rsidRDefault="00D961DA" w:rsidP="00546EB2">
            <w:pPr>
              <w:rPr>
                <w:color w:val="000000"/>
              </w:rPr>
            </w:pPr>
            <w:proofErr w:type="spellStart"/>
            <w:r>
              <w:t>IVIg</w:t>
            </w:r>
            <w:proofErr w:type="spellEnd"/>
          </w:p>
        </w:tc>
        <w:tc>
          <w:tcPr>
            <w:tcW w:w="6911" w:type="dxa"/>
          </w:tcPr>
          <w:p w14:paraId="20EFF652" w14:textId="77777777" w:rsidR="00D961DA" w:rsidRPr="002E7242" w:rsidRDefault="00D961DA" w:rsidP="00546EB2">
            <w:pPr>
              <w:rPr>
                <w:color w:val="000000"/>
              </w:rPr>
            </w:pPr>
            <w:r>
              <w:t>Intravenous immunoglobulin</w:t>
            </w:r>
          </w:p>
        </w:tc>
      </w:tr>
      <w:tr w:rsidR="00D961DA" w:rsidRPr="002E7242" w14:paraId="6F4B7A9E" w14:textId="77777777" w:rsidTr="006C1E40">
        <w:tc>
          <w:tcPr>
            <w:tcW w:w="1809" w:type="dxa"/>
          </w:tcPr>
          <w:p w14:paraId="381DED1C" w14:textId="77777777" w:rsidR="00D961DA" w:rsidRPr="002E7242" w:rsidRDefault="00D961DA" w:rsidP="00546EB2">
            <w:pPr>
              <w:rPr>
                <w:color w:val="000000"/>
              </w:rPr>
            </w:pPr>
            <w:r>
              <w:t>LLOQ</w:t>
            </w:r>
          </w:p>
        </w:tc>
        <w:tc>
          <w:tcPr>
            <w:tcW w:w="6911" w:type="dxa"/>
          </w:tcPr>
          <w:p w14:paraId="6F1E0FA7" w14:textId="77777777" w:rsidR="00D961DA" w:rsidRPr="002E7242" w:rsidRDefault="00D961DA" w:rsidP="00546EB2">
            <w:pPr>
              <w:rPr>
                <w:color w:val="000000"/>
              </w:rPr>
            </w:pPr>
            <w:r>
              <w:t>L</w:t>
            </w:r>
            <w:r w:rsidRPr="00D97EA8">
              <w:t>ower limit of quantitation</w:t>
            </w:r>
          </w:p>
        </w:tc>
      </w:tr>
      <w:tr w:rsidR="00D961DA" w:rsidRPr="002E7242" w14:paraId="6FEE40BE" w14:textId="77777777" w:rsidTr="006C1E40">
        <w:tc>
          <w:tcPr>
            <w:tcW w:w="1809" w:type="dxa"/>
          </w:tcPr>
          <w:p w14:paraId="3DABF077" w14:textId="77777777" w:rsidR="00D961DA" w:rsidRDefault="00D961DA" w:rsidP="00546EB2">
            <w:r>
              <w:t>Max</w:t>
            </w:r>
          </w:p>
        </w:tc>
        <w:tc>
          <w:tcPr>
            <w:tcW w:w="6911" w:type="dxa"/>
          </w:tcPr>
          <w:p w14:paraId="0834E2D2" w14:textId="77777777" w:rsidR="00D961DA" w:rsidRDefault="00D961DA" w:rsidP="00546EB2">
            <w:r>
              <w:t>Maximum</w:t>
            </w:r>
          </w:p>
        </w:tc>
      </w:tr>
      <w:tr w:rsidR="00D961DA" w:rsidRPr="002E7242" w14:paraId="7FEB9AB6" w14:textId="77777777" w:rsidTr="006C1E40">
        <w:tc>
          <w:tcPr>
            <w:tcW w:w="1809" w:type="dxa"/>
          </w:tcPr>
          <w:p w14:paraId="2236AA8B" w14:textId="77777777" w:rsidR="00D961DA" w:rsidRDefault="00D961DA" w:rsidP="00546EB2">
            <w:r>
              <w:t>Min</w:t>
            </w:r>
          </w:p>
        </w:tc>
        <w:tc>
          <w:tcPr>
            <w:tcW w:w="6911" w:type="dxa"/>
          </w:tcPr>
          <w:p w14:paraId="2639512B" w14:textId="77777777" w:rsidR="00D961DA" w:rsidRDefault="00D961DA" w:rsidP="00546EB2">
            <w:r>
              <w:t>Minimum</w:t>
            </w:r>
          </w:p>
        </w:tc>
      </w:tr>
      <w:tr w:rsidR="00D961DA" w:rsidRPr="002E7242" w14:paraId="71D08546" w14:textId="77777777" w:rsidTr="006C1E40">
        <w:tc>
          <w:tcPr>
            <w:tcW w:w="1809" w:type="dxa"/>
          </w:tcPr>
          <w:p w14:paraId="0C9B2BE3" w14:textId="77777777" w:rsidR="00D961DA" w:rsidRPr="002E7242" w:rsidRDefault="00D961DA" w:rsidP="00546EB2">
            <w:pPr>
              <w:rPr>
                <w:color w:val="000000"/>
              </w:rPr>
            </w:pPr>
            <w:proofErr w:type="spellStart"/>
            <w:r>
              <w:lastRenderedPageBreak/>
              <w:t>mRS</w:t>
            </w:r>
            <w:proofErr w:type="spellEnd"/>
          </w:p>
        </w:tc>
        <w:tc>
          <w:tcPr>
            <w:tcW w:w="6911" w:type="dxa"/>
          </w:tcPr>
          <w:p w14:paraId="37EF4901" w14:textId="77777777" w:rsidR="00D961DA" w:rsidRPr="002E7242" w:rsidRDefault="00D961DA" w:rsidP="00546EB2">
            <w:pPr>
              <w:rPr>
                <w:color w:val="000000"/>
              </w:rPr>
            </w:pPr>
            <w:r>
              <w:t>Modified Rankin s</w:t>
            </w:r>
            <w:r w:rsidRPr="0073757E">
              <w:t>core</w:t>
            </w:r>
          </w:p>
        </w:tc>
      </w:tr>
      <w:tr w:rsidR="00D961DA" w:rsidRPr="002E7242" w14:paraId="347BA5B1" w14:textId="77777777" w:rsidTr="006C1E40">
        <w:tc>
          <w:tcPr>
            <w:tcW w:w="1809" w:type="dxa"/>
          </w:tcPr>
          <w:p w14:paraId="6795CD6E" w14:textId="77777777" w:rsidR="00D961DA" w:rsidRDefault="00D961DA" w:rsidP="00546EB2">
            <w:r>
              <w:t>NA</w:t>
            </w:r>
          </w:p>
        </w:tc>
        <w:tc>
          <w:tcPr>
            <w:tcW w:w="6911" w:type="dxa"/>
          </w:tcPr>
          <w:p w14:paraId="78F6F0AA" w14:textId="77777777" w:rsidR="00D961DA" w:rsidRDefault="00D961DA" w:rsidP="00546EB2">
            <w:r>
              <w:t>Not applicable</w:t>
            </w:r>
          </w:p>
        </w:tc>
      </w:tr>
      <w:tr w:rsidR="00D961DA" w:rsidRPr="002E7242" w14:paraId="37B0B5A1" w14:textId="77777777" w:rsidTr="006C1E40">
        <w:tc>
          <w:tcPr>
            <w:tcW w:w="1809" w:type="dxa"/>
          </w:tcPr>
          <w:p w14:paraId="06903B90" w14:textId="503E3BC6" w:rsidR="00D961DA" w:rsidRPr="002E7242" w:rsidRDefault="00D961DA" w:rsidP="00546EB2">
            <w:pPr>
              <w:rPr>
                <w:color w:val="000000"/>
              </w:rPr>
            </w:pPr>
            <w:proofErr w:type="spellStart"/>
            <w:r>
              <w:t>N</w:t>
            </w:r>
            <w:r w:rsidR="00A353BE">
              <w:t>A</w:t>
            </w:r>
            <w:r>
              <w:t>b</w:t>
            </w:r>
            <w:proofErr w:type="spellEnd"/>
          </w:p>
        </w:tc>
        <w:tc>
          <w:tcPr>
            <w:tcW w:w="6911" w:type="dxa"/>
          </w:tcPr>
          <w:p w14:paraId="6649C8FE" w14:textId="77777777" w:rsidR="00D961DA" w:rsidRPr="002E7242" w:rsidRDefault="00D961DA" w:rsidP="00546EB2">
            <w:pPr>
              <w:rPr>
                <w:color w:val="000000"/>
              </w:rPr>
            </w:pPr>
            <w:r>
              <w:t>Neutralising antibody</w:t>
            </w:r>
          </w:p>
        </w:tc>
      </w:tr>
      <w:tr w:rsidR="00D961DA" w:rsidRPr="002E7242" w14:paraId="43FA3E47" w14:textId="77777777" w:rsidTr="006C1E40">
        <w:tc>
          <w:tcPr>
            <w:tcW w:w="1809" w:type="dxa"/>
          </w:tcPr>
          <w:p w14:paraId="1134B6E9" w14:textId="04B983A1" w:rsidR="00D961DA" w:rsidRPr="002E7242" w:rsidRDefault="00D961DA" w:rsidP="00546EB2">
            <w:pPr>
              <w:rPr>
                <w:color w:val="000000"/>
              </w:rPr>
            </w:pPr>
            <w:r>
              <w:t>NMOS</w:t>
            </w:r>
            <w:r w:rsidR="00A353BE">
              <w:t>D</w:t>
            </w:r>
          </w:p>
        </w:tc>
        <w:tc>
          <w:tcPr>
            <w:tcW w:w="6911" w:type="dxa"/>
          </w:tcPr>
          <w:p w14:paraId="2E59BED2" w14:textId="77777777" w:rsidR="00D961DA" w:rsidRPr="002E7242" w:rsidRDefault="00D961DA" w:rsidP="00546EB2">
            <w:pPr>
              <w:rPr>
                <w:color w:val="000000"/>
              </w:rPr>
            </w:pPr>
            <w:r w:rsidRPr="002E7242">
              <w:t>Neuromye</w:t>
            </w:r>
            <w:r>
              <w:t>litis optica spectrum disorder</w:t>
            </w:r>
          </w:p>
        </w:tc>
      </w:tr>
      <w:tr w:rsidR="00D961DA" w:rsidRPr="002E7242" w14:paraId="7C45A649" w14:textId="77777777" w:rsidTr="006C1E40">
        <w:tc>
          <w:tcPr>
            <w:tcW w:w="1809" w:type="dxa"/>
          </w:tcPr>
          <w:p w14:paraId="72340846" w14:textId="77777777" w:rsidR="00D961DA" w:rsidRPr="002E7242" w:rsidRDefault="00D961DA" w:rsidP="00546EB2">
            <w:pPr>
              <w:rPr>
                <w:color w:val="000000"/>
              </w:rPr>
            </w:pPr>
            <w:r>
              <w:t>NNT</w:t>
            </w:r>
          </w:p>
        </w:tc>
        <w:tc>
          <w:tcPr>
            <w:tcW w:w="6911" w:type="dxa"/>
          </w:tcPr>
          <w:p w14:paraId="512E6781" w14:textId="77777777" w:rsidR="00D961DA" w:rsidRPr="002E7242" w:rsidRDefault="00D961DA" w:rsidP="00546EB2">
            <w:pPr>
              <w:rPr>
                <w:color w:val="000000"/>
              </w:rPr>
            </w:pPr>
            <w:r>
              <w:t>Number needed to treat</w:t>
            </w:r>
          </w:p>
        </w:tc>
      </w:tr>
      <w:tr w:rsidR="00D961DA" w:rsidRPr="002E7242" w14:paraId="6D143DEB" w14:textId="77777777" w:rsidTr="006C1E40">
        <w:tc>
          <w:tcPr>
            <w:tcW w:w="1809" w:type="dxa"/>
          </w:tcPr>
          <w:p w14:paraId="17094A57" w14:textId="77777777" w:rsidR="00D961DA" w:rsidRPr="002E7242" w:rsidRDefault="00D961DA" w:rsidP="00546EB2">
            <w:pPr>
              <w:rPr>
                <w:color w:val="000000"/>
              </w:rPr>
            </w:pPr>
            <w:r>
              <w:t>PD</w:t>
            </w:r>
          </w:p>
        </w:tc>
        <w:tc>
          <w:tcPr>
            <w:tcW w:w="6911" w:type="dxa"/>
          </w:tcPr>
          <w:p w14:paraId="5A759CFB" w14:textId="0405A958" w:rsidR="00D961DA" w:rsidRPr="002E7242" w:rsidRDefault="00D961DA" w:rsidP="00546EB2">
            <w:pPr>
              <w:rPr>
                <w:color w:val="000000"/>
              </w:rPr>
            </w:pPr>
            <w:r>
              <w:t>Pharmacodynamic(s)</w:t>
            </w:r>
          </w:p>
        </w:tc>
      </w:tr>
      <w:tr w:rsidR="00D961DA" w:rsidRPr="002E7242" w14:paraId="78E7F361" w14:textId="77777777" w:rsidTr="006C1E40">
        <w:tc>
          <w:tcPr>
            <w:tcW w:w="1809" w:type="dxa"/>
          </w:tcPr>
          <w:p w14:paraId="3C98606D" w14:textId="77777777" w:rsidR="00D961DA" w:rsidRPr="002E7242" w:rsidRDefault="00D961DA" w:rsidP="00546EB2">
            <w:pPr>
              <w:rPr>
                <w:color w:val="000000"/>
              </w:rPr>
            </w:pPr>
            <w:r>
              <w:t>PI</w:t>
            </w:r>
          </w:p>
        </w:tc>
        <w:tc>
          <w:tcPr>
            <w:tcW w:w="6911" w:type="dxa"/>
          </w:tcPr>
          <w:p w14:paraId="3CB7F969" w14:textId="77777777" w:rsidR="00D961DA" w:rsidRPr="002E7242" w:rsidRDefault="00D961DA" w:rsidP="00546EB2">
            <w:pPr>
              <w:rPr>
                <w:color w:val="000000"/>
              </w:rPr>
            </w:pPr>
            <w:r>
              <w:t>Product Information</w:t>
            </w:r>
          </w:p>
        </w:tc>
      </w:tr>
      <w:tr w:rsidR="00D961DA" w:rsidRPr="002E7242" w14:paraId="4A1A8299" w14:textId="77777777" w:rsidTr="006C1E40">
        <w:tc>
          <w:tcPr>
            <w:tcW w:w="1809" w:type="dxa"/>
          </w:tcPr>
          <w:p w14:paraId="7570BFF4" w14:textId="77777777" w:rsidR="00D961DA" w:rsidRPr="002E7242" w:rsidRDefault="00D961DA" w:rsidP="00546EB2">
            <w:pPr>
              <w:rPr>
                <w:color w:val="000000"/>
              </w:rPr>
            </w:pPr>
            <w:r>
              <w:t>PK</w:t>
            </w:r>
          </w:p>
        </w:tc>
        <w:tc>
          <w:tcPr>
            <w:tcW w:w="6911" w:type="dxa"/>
          </w:tcPr>
          <w:p w14:paraId="0180ED41" w14:textId="0B3EC07B" w:rsidR="00D961DA" w:rsidRPr="002E7242" w:rsidRDefault="00D961DA" w:rsidP="00546EB2">
            <w:pPr>
              <w:rPr>
                <w:color w:val="000000"/>
              </w:rPr>
            </w:pPr>
            <w:r>
              <w:t>Pharmacokinetic(s)</w:t>
            </w:r>
          </w:p>
        </w:tc>
      </w:tr>
      <w:tr w:rsidR="00D961DA" w:rsidRPr="002E7242" w14:paraId="21715E23" w14:textId="77777777" w:rsidTr="006C1E40">
        <w:tc>
          <w:tcPr>
            <w:tcW w:w="1809" w:type="dxa"/>
          </w:tcPr>
          <w:p w14:paraId="7610F2F5" w14:textId="77777777" w:rsidR="00D961DA" w:rsidRPr="002E7242" w:rsidRDefault="00D961DA" w:rsidP="00546EB2">
            <w:pPr>
              <w:rPr>
                <w:color w:val="000000"/>
              </w:rPr>
            </w:pPr>
            <w:r>
              <w:t>PNH</w:t>
            </w:r>
          </w:p>
        </w:tc>
        <w:tc>
          <w:tcPr>
            <w:tcW w:w="6911" w:type="dxa"/>
          </w:tcPr>
          <w:p w14:paraId="0345A256" w14:textId="77777777" w:rsidR="00D961DA" w:rsidRPr="002E7242" w:rsidRDefault="00D961DA" w:rsidP="00546EB2">
            <w:pPr>
              <w:rPr>
                <w:color w:val="000000"/>
              </w:rPr>
            </w:pPr>
            <w:r>
              <w:t>Paroxysmal nocturnal h</w:t>
            </w:r>
            <w:r w:rsidRPr="002E7242">
              <w:t>aemoglobinuria</w:t>
            </w:r>
          </w:p>
        </w:tc>
      </w:tr>
      <w:tr w:rsidR="00D961DA" w:rsidRPr="002E7242" w14:paraId="76A0F534" w14:textId="77777777" w:rsidTr="006C1E40">
        <w:tc>
          <w:tcPr>
            <w:tcW w:w="1809" w:type="dxa"/>
          </w:tcPr>
          <w:p w14:paraId="15353498" w14:textId="77777777" w:rsidR="00D961DA" w:rsidRPr="002E7242" w:rsidRDefault="00D961DA" w:rsidP="00546EB2">
            <w:pPr>
              <w:rPr>
                <w:color w:val="000000"/>
              </w:rPr>
            </w:pPr>
            <w:r>
              <w:t>PSUR</w:t>
            </w:r>
          </w:p>
        </w:tc>
        <w:tc>
          <w:tcPr>
            <w:tcW w:w="6911" w:type="dxa"/>
          </w:tcPr>
          <w:p w14:paraId="352F6776" w14:textId="77777777" w:rsidR="00D961DA" w:rsidRPr="002E7242" w:rsidRDefault="00D961DA" w:rsidP="00546EB2">
            <w:pPr>
              <w:rPr>
                <w:color w:val="000000"/>
              </w:rPr>
            </w:pPr>
            <w:r>
              <w:t>Periodic safety update report</w:t>
            </w:r>
          </w:p>
        </w:tc>
      </w:tr>
      <w:tr w:rsidR="00D961DA" w:rsidRPr="002E7242" w14:paraId="01E269F0" w14:textId="77777777" w:rsidTr="006C1E40">
        <w:tc>
          <w:tcPr>
            <w:tcW w:w="1809" w:type="dxa"/>
          </w:tcPr>
          <w:p w14:paraId="17EBB5D8" w14:textId="77777777" w:rsidR="00D961DA" w:rsidRPr="002E7242" w:rsidRDefault="00D961DA" w:rsidP="00546EB2">
            <w:pPr>
              <w:rPr>
                <w:color w:val="000000"/>
              </w:rPr>
            </w:pPr>
            <w:r>
              <w:t>RCT</w:t>
            </w:r>
          </w:p>
        </w:tc>
        <w:tc>
          <w:tcPr>
            <w:tcW w:w="6911" w:type="dxa"/>
          </w:tcPr>
          <w:p w14:paraId="48ABCCF3" w14:textId="77777777" w:rsidR="00D961DA" w:rsidRPr="002E7242" w:rsidRDefault="00D961DA" w:rsidP="00546EB2">
            <w:pPr>
              <w:rPr>
                <w:color w:val="000000"/>
              </w:rPr>
            </w:pPr>
            <w:r>
              <w:t>R</w:t>
            </w:r>
            <w:r w:rsidRPr="00D97EA8">
              <w:t>andomised controlled trial</w:t>
            </w:r>
          </w:p>
        </w:tc>
      </w:tr>
      <w:tr w:rsidR="00D961DA" w:rsidRPr="002E7242" w14:paraId="0B77ADC1" w14:textId="77777777" w:rsidTr="006C1E40">
        <w:tc>
          <w:tcPr>
            <w:tcW w:w="1809" w:type="dxa"/>
          </w:tcPr>
          <w:p w14:paraId="6606BFA0" w14:textId="77777777" w:rsidR="00D961DA" w:rsidRPr="002E7242" w:rsidRDefault="00D961DA" w:rsidP="00546EB2">
            <w:pPr>
              <w:rPr>
                <w:color w:val="000000"/>
              </w:rPr>
            </w:pPr>
            <w:r>
              <w:t>RMP</w:t>
            </w:r>
          </w:p>
        </w:tc>
        <w:tc>
          <w:tcPr>
            <w:tcW w:w="6911" w:type="dxa"/>
          </w:tcPr>
          <w:p w14:paraId="2BF25A1C" w14:textId="77777777" w:rsidR="00D961DA" w:rsidRPr="002E7242" w:rsidRDefault="00D961DA" w:rsidP="00546EB2">
            <w:pPr>
              <w:rPr>
                <w:color w:val="000000"/>
              </w:rPr>
            </w:pPr>
            <w:r>
              <w:t>Risk management plan</w:t>
            </w:r>
          </w:p>
        </w:tc>
      </w:tr>
      <w:tr w:rsidR="00D961DA" w:rsidRPr="002E7242" w14:paraId="10BF4DA9" w14:textId="77777777" w:rsidTr="006C1E40">
        <w:tc>
          <w:tcPr>
            <w:tcW w:w="1809" w:type="dxa"/>
          </w:tcPr>
          <w:p w14:paraId="095186D4" w14:textId="77777777" w:rsidR="00D961DA" w:rsidRPr="002E7242" w:rsidRDefault="00D961DA" w:rsidP="00546EB2">
            <w:pPr>
              <w:rPr>
                <w:color w:val="000000"/>
              </w:rPr>
            </w:pPr>
            <w:r>
              <w:t>TEAE</w:t>
            </w:r>
          </w:p>
        </w:tc>
        <w:tc>
          <w:tcPr>
            <w:tcW w:w="6911" w:type="dxa"/>
          </w:tcPr>
          <w:p w14:paraId="17AE31F5" w14:textId="77777777" w:rsidR="00D961DA" w:rsidRPr="002E7242" w:rsidRDefault="00D961DA" w:rsidP="00546EB2">
            <w:pPr>
              <w:rPr>
                <w:color w:val="000000"/>
              </w:rPr>
            </w:pPr>
            <w:r>
              <w:t>Treatment emergent adverse event</w:t>
            </w:r>
          </w:p>
        </w:tc>
      </w:tr>
      <w:tr w:rsidR="00D961DA" w:rsidRPr="002E7242" w14:paraId="5BDF2505" w14:textId="77777777" w:rsidTr="006C1E40">
        <w:tc>
          <w:tcPr>
            <w:tcW w:w="1809" w:type="dxa"/>
          </w:tcPr>
          <w:p w14:paraId="16131514" w14:textId="77777777" w:rsidR="00D961DA" w:rsidRPr="002E7242" w:rsidRDefault="00D961DA" w:rsidP="00546EB2">
            <w:pPr>
              <w:rPr>
                <w:color w:val="000000"/>
              </w:rPr>
            </w:pPr>
            <w:r>
              <w:t>TGA</w:t>
            </w:r>
          </w:p>
        </w:tc>
        <w:tc>
          <w:tcPr>
            <w:tcW w:w="6911" w:type="dxa"/>
          </w:tcPr>
          <w:p w14:paraId="751C5B15" w14:textId="77777777" w:rsidR="00D961DA" w:rsidRPr="002E7242" w:rsidRDefault="00D961DA" w:rsidP="00546EB2">
            <w:pPr>
              <w:rPr>
                <w:color w:val="000000"/>
              </w:rPr>
            </w:pPr>
            <w:r w:rsidRPr="006C1E40">
              <w:rPr>
                <w:color w:val="000000"/>
              </w:rPr>
              <w:t>Therapeutic Goods Administration</w:t>
            </w:r>
          </w:p>
        </w:tc>
      </w:tr>
      <w:tr w:rsidR="00D961DA" w:rsidRPr="002E7242" w14:paraId="527890FA" w14:textId="77777777" w:rsidTr="006C1E40">
        <w:tc>
          <w:tcPr>
            <w:tcW w:w="1809" w:type="dxa"/>
          </w:tcPr>
          <w:p w14:paraId="1A9C1C57" w14:textId="77777777" w:rsidR="00D961DA" w:rsidRPr="002E7242" w:rsidRDefault="00D961DA" w:rsidP="00546EB2">
            <w:pPr>
              <w:rPr>
                <w:color w:val="000000"/>
              </w:rPr>
            </w:pPr>
            <w:r>
              <w:t>USA</w:t>
            </w:r>
          </w:p>
        </w:tc>
        <w:tc>
          <w:tcPr>
            <w:tcW w:w="6911" w:type="dxa"/>
          </w:tcPr>
          <w:p w14:paraId="71F8022E" w14:textId="77777777" w:rsidR="00D961DA" w:rsidRPr="002E7242" w:rsidRDefault="00D961DA" w:rsidP="00546EB2">
            <w:pPr>
              <w:rPr>
                <w:color w:val="000000"/>
              </w:rPr>
            </w:pPr>
            <w:r>
              <w:t>United States of America</w:t>
            </w:r>
          </w:p>
        </w:tc>
      </w:tr>
    </w:tbl>
    <w:p w14:paraId="1A2E6CAA" w14:textId="77777777" w:rsidR="00FD119B" w:rsidRDefault="00FD119B" w:rsidP="00FD119B"/>
    <w:p w14:paraId="020B6737" w14:textId="77777777" w:rsidR="00FD119B" w:rsidRPr="00FD119B" w:rsidRDefault="00FD119B" w:rsidP="00FD119B">
      <w:pPr>
        <w:spacing w:before="0" w:after="200" w:line="0" w:lineRule="auto"/>
        <w:rPr>
          <w:b/>
          <w:i/>
          <w:sz w:val="24"/>
          <w:szCs w:val="24"/>
        </w:rPr>
      </w:pPr>
      <w:r w:rsidRPr="00FD119B">
        <w:rPr>
          <w:b/>
          <w:i/>
          <w:sz w:val="24"/>
          <w:szCs w:val="24"/>
        </w:rPr>
        <w:br w:type="page"/>
      </w:r>
    </w:p>
    <w:p w14:paraId="0A8357F7" w14:textId="77777777" w:rsidR="008E7846" w:rsidRDefault="00F53C07" w:rsidP="008E7846">
      <w:pPr>
        <w:pStyle w:val="Heading2"/>
      </w:pPr>
      <w:bookmarkStart w:id="9" w:name="_Toc57794880"/>
      <w:r>
        <w:lastRenderedPageBreak/>
        <w:t>I.</w:t>
      </w:r>
      <w:r w:rsidR="008E7846">
        <w:t xml:space="preserve"> Introduction to product submission</w:t>
      </w:r>
      <w:bookmarkEnd w:id="0"/>
      <w:bookmarkEnd w:id="3"/>
      <w:bookmarkEnd w:id="9"/>
    </w:p>
    <w:p w14:paraId="6BD24DEF" w14:textId="77777777" w:rsidR="008E7846" w:rsidRDefault="008E7846" w:rsidP="008E7846">
      <w:pPr>
        <w:pStyle w:val="Heading3"/>
        <w:rPr>
          <w:lang w:eastAsia="en-AU"/>
        </w:rPr>
      </w:pPr>
      <w:bookmarkStart w:id="10" w:name="_Toc247691502"/>
      <w:bookmarkStart w:id="11" w:name="_Toc314842483"/>
      <w:bookmarkStart w:id="12" w:name="_Toc57794881"/>
      <w:r>
        <w:rPr>
          <w:lang w:eastAsia="en-AU"/>
        </w:rPr>
        <w:t>Submission details</w:t>
      </w:r>
      <w:bookmarkEnd w:id="10"/>
      <w:bookmarkEnd w:id="11"/>
      <w:bookmarkEnd w:id="12"/>
    </w:p>
    <w:tbl>
      <w:tblPr>
        <w:tblW w:w="9214" w:type="dxa"/>
        <w:tblInd w:w="108" w:type="dxa"/>
        <w:tblLook w:val="01E0" w:firstRow="1" w:lastRow="1" w:firstColumn="1" w:lastColumn="1" w:noHBand="0" w:noVBand="0"/>
      </w:tblPr>
      <w:tblGrid>
        <w:gridCol w:w="2907"/>
        <w:gridCol w:w="6307"/>
      </w:tblGrid>
      <w:tr w:rsidR="008E7846" w:rsidRPr="003D1E62" w14:paraId="73E03E23" w14:textId="77777777" w:rsidTr="003735BC">
        <w:tc>
          <w:tcPr>
            <w:tcW w:w="2907" w:type="dxa"/>
          </w:tcPr>
          <w:p w14:paraId="7E04CB4A" w14:textId="77777777" w:rsidR="008E7846" w:rsidRPr="003D1E62" w:rsidRDefault="001B5C90" w:rsidP="001B5C90">
            <w:pPr>
              <w:rPr>
                <w:i/>
              </w:rPr>
            </w:pPr>
            <w:r>
              <w:rPr>
                <w:i/>
              </w:rPr>
              <w:t>Type of s</w:t>
            </w:r>
            <w:r w:rsidR="008E7846" w:rsidRPr="003D1E62">
              <w:rPr>
                <w:i/>
              </w:rPr>
              <w:t>ubmission</w:t>
            </w:r>
            <w:r>
              <w:rPr>
                <w:i/>
              </w:rPr>
              <w:t>:</w:t>
            </w:r>
          </w:p>
        </w:tc>
        <w:tc>
          <w:tcPr>
            <w:tcW w:w="6307" w:type="dxa"/>
          </w:tcPr>
          <w:p w14:paraId="18F7C228" w14:textId="2E8BFF37" w:rsidR="008E7846" w:rsidRPr="003D1E62" w:rsidRDefault="00DD71FD" w:rsidP="001B5C90">
            <w:r>
              <w:t>Extension of indication</w:t>
            </w:r>
          </w:p>
        </w:tc>
      </w:tr>
      <w:tr w:rsidR="00460036" w:rsidRPr="003D1E62" w14:paraId="37B978C9" w14:textId="77777777" w:rsidTr="003735BC">
        <w:tc>
          <w:tcPr>
            <w:tcW w:w="2907" w:type="dxa"/>
          </w:tcPr>
          <w:p w14:paraId="7CBCBB19" w14:textId="77777777" w:rsidR="00460036" w:rsidRPr="003D1E62" w:rsidRDefault="00DD71FD" w:rsidP="003D1E62">
            <w:pPr>
              <w:rPr>
                <w:i/>
              </w:rPr>
            </w:pPr>
            <w:r>
              <w:rPr>
                <w:i/>
              </w:rPr>
              <w:t>Product name</w:t>
            </w:r>
            <w:r w:rsidR="00460036" w:rsidRPr="00460036">
              <w:rPr>
                <w:i/>
              </w:rPr>
              <w:t>:</w:t>
            </w:r>
          </w:p>
        </w:tc>
        <w:tc>
          <w:tcPr>
            <w:tcW w:w="6307" w:type="dxa"/>
          </w:tcPr>
          <w:p w14:paraId="6F62ADFB" w14:textId="77777777" w:rsidR="00460036" w:rsidRPr="003D1E62" w:rsidRDefault="00DD71FD" w:rsidP="001B5C90">
            <w:proofErr w:type="spellStart"/>
            <w:r>
              <w:t>Soliris</w:t>
            </w:r>
            <w:proofErr w:type="spellEnd"/>
          </w:p>
        </w:tc>
      </w:tr>
      <w:tr w:rsidR="00460036" w:rsidRPr="003D1E62" w14:paraId="60B353E9" w14:textId="77777777" w:rsidTr="003735BC">
        <w:tc>
          <w:tcPr>
            <w:tcW w:w="2907" w:type="dxa"/>
          </w:tcPr>
          <w:p w14:paraId="615B8192" w14:textId="77777777" w:rsidR="00460036" w:rsidRPr="003D1E62" w:rsidRDefault="00DD71FD" w:rsidP="003D1E62">
            <w:pPr>
              <w:rPr>
                <w:i/>
              </w:rPr>
            </w:pPr>
            <w:r>
              <w:rPr>
                <w:i/>
              </w:rPr>
              <w:t>Active ingredient</w:t>
            </w:r>
            <w:r w:rsidR="00460036" w:rsidRPr="00460036">
              <w:rPr>
                <w:i/>
              </w:rPr>
              <w:t>:</w:t>
            </w:r>
          </w:p>
        </w:tc>
        <w:tc>
          <w:tcPr>
            <w:tcW w:w="6307" w:type="dxa"/>
          </w:tcPr>
          <w:p w14:paraId="0E86B3FB" w14:textId="2A0F0E35" w:rsidR="00460036" w:rsidRPr="003D1E62" w:rsidRDefault="00DD71FD" w:rsidP="00BC7C1D">
            <w:proofErr w:type="spellStart"/>
            <w:r>
              <w:t>Eculizumab</w:t>
            </w:r>
            <w:proofErr w:type="spellEnd"/>
          </w:p>
        </w:tc>
      </w:tr>
      <w:tr w:rsidR="008E7846" w:rsidRPr="003D1E62" w14:paraId="5D8D4FC3" w14:textId="77777777" w:rsidTr="003735BC">
        <w:tc>
          <w:tcPr>
            <w:tcW w:w="2907" w:type="dxa"/>
          </w:tcPr>
          <w:p w14:paraId="5AA70688" w14:textId="77777777" w:rsidR="008E7846" w:rsidRPr="003D1E62" w:rsidRDefault="008E7846" w:rsidP="003D1E62">
            <w:r w:rsidRPr="003D1E62">
              <w:rPr>
                <w:i/>
              </w:rPr>
              <w:t>Decision</w:t>
            </w:r>
            <w:r w:rsidRPr="003D1E62">
              <w:t>:</w:t>
            </w:r>
          </w:p>
        </w:tc>
        <w:tc>
          <w:tcPr>
            <w:tcW w:w="6307" w:type="dxa"/>
          </w:tcPr>
          <w:p w14:paraId="54B27708" w14:textId="77777777" w:rsidR="008E7846" w:rsidRPr="003D1E62" w:rsidRDefault="00DD71FD" w:rsidP="00DD71FD">
            <w:r>
              <w:t>Approved</w:t>
            </w:r>
          </w:p>
        </w:tc>
      </w:tr>
      <w:tr w:rsidR="008E7846" w:rsidRPr="003D1E62" w14:paraId="014F6008" w14:textId="77777777" w:rsidTr="003735BC">
        <w:tc>
          <w:tcPr>
            <w:tcW w:w="2907" w:type="dxa"/>
          </w:tcPr>
          <w:p w14:paraId="1139CE39" w14:textId="77777777" w:rsidR="008E7846" w:rsidRPr="003D1E62" w:rsidRDefault="008E7846" w:rsidP="001B5C90">
            <w:pPr>
              <w:rPr>
                <w:i/>
              </w:rPr>
            </w:pPr>
            <w:r w:rsidRPr="003D1E62">
              <w:rPr>
                <w:i/>
              </w:rPr>
              <w:t xml:space="preserve">Date of </w:t>
            </w:r>
            <w:r w:rsidR="001B5C90">
              <w:rPr>
                <w:i/>
              </w:rPr>
              <w:t>d</w:t>
            </w:r>
            <w:r w:rsidRPr="003D1E62">
              <w:rPr>
                <w:i/>
              </w:rPr>
              <w:t>ecision:</w:t>
            </w:r>
          </w:p>
        </w:tc>
        <w:tc>
          <w:tcPr>
            <w:tcW w:w="6307" w:type="dxa"/>
          </w:tcPr>
          <w:p w14:paraId="71A92723" w14:textId="77777777" w:rsidR="008E7846" w:rsidRPr="003D1E62" w:rsidRDefault="00DD71FD" w:rsidP="001B5C90">
            <w:r>
              <w:t>26 June 2020</w:t>
            </w:r>
          </w:p>
        </w:tc>
      </w:tr>
      <w:tr w:rsidR="00ED2922" w:rsidRPr="003D1E62" w14:paraId="7317FFC7" w14:textId="77777777" w:rsidTr="003735BC">
        <w:tc>
          <w:tcPr>
            <w:tcW w:w="2907" w:type="dxa"/>
          </w:tcPr>
          <w:p w14:paraId="5D23BF30" w14:textId="77777777" w:rsidR="00ED2922" w:rsidRPr="00441C3F" w:rsidRDefault="00ED2922" w:rsidP="001B5C90">
            <w:pPr>
              <w:rPr>
                <w:i/>
              </w:rPr>
            </w:pPr>
            <w:r w:rsidRPr="00441C3F">
              <w:rPr>
                <w:i/>
              </w:rPr>
              <w:t>Date of entry onto ARTG</w:t>
            </w:r>
            <w:r w:rsidR="00500337">
              <w:rPr>
                <w:i/>
              </w:rPr>
              <w:t>:</w:t>
            </w:r>
          </w:p>
        </w:tc>
        <w:tc>
          <w:tcPr>
            <w:tcW w:w="6307" w:type="dxa"/>
          </w:tcPr>
          <w:p w14:paraId="3F6A7BB1" w14:textId="77777777" w:rsidR="00ED2922" w:rsidRPr="00441C3F" w:rsidRDefault="00DD71FD" w:rsidP="00D153D8">
            <w:pPr>
              <w:rPr>
                <w:i/>
              </w:rPr>
            </w:pPr>
            <w:r>
              <w:t>1 July 2020</w:t>
            </w:r>
          </w:p>
        </w:tc>
      </w:tr>
      <w:tr w:rsidR="00500337" w:rsidRPr="003D1E62" w14:paraId="680C4DAE" w14:textId="77777777" w:rsidTr="003735BC">
        <w:tc>
          <w:tcPr>
            <w:tcW w:w="2907" w:type="dxa"/>
          </w:tcPr>
          <w:p w14:paraId="7ABC6442" w14:textId="10C0D920" w:rsidR="00500337" w:rsidRPr="00441C3F" w:rsidRDefault="000C04BD" w:rsidP="001B5C90">
            <w:pPr>
              <w:rPr>
                <w:i/>
              </w:rPr>
            </w:pPr>
            <w:r>
              <w:rPr>
                <w:i/>
              </w:rPr>
              <w:t>ARTG number</w:t>
            </w:r>
            <w:r w:rsidR="00500337">
              <w:rPr>
                <w:i/>
              </w:rPr>
              <w:t>:</w:t>
            </w:r>
          </w:p>
        </w:tc>
        <w:tc>
          <w:tcPr>
            <w:tcW w:w="6307" w:type="dxa"/>
          </w:tcPr>
          <w:p w14:paraId="285F38A1" w14:textId="77777777" w:rsidR="00500337" w:rsidRPr="00441C3F" w:rsidRDefault="00604DBA" w:rsidP="00EC463D">
            <w:r>
              <w:t>138885</w:t>
            </w:r>
          </w:p>
        </w:tc>
      </w:tr>
      <w:tr w:rsidR="003735BC" w:rsidRPr="003D1E62" w14:paraId="410F288C" w14:textId="77777777" w:rsidTr="003735BC">
        <w:tc>
          <w:tcPr>
            <w:tcW w:w="2907" w:type="dxa"/>
          </w:tcPr>
          <w:p w14:paraId="3B0CFA35" w14:textId="77777777" w:rsidR="003735BC" w:rsidRDefault="00FA5069" w:rsidP="001B5C90">
            <w:pPr>
              <w:rPr>
                <w:i/>
              </w:rPr>
            </w:pPr>
            <w:r>
              <w:rPr>
                <w:rFonts w:ascii="Wingdings 3" w:hAnsi="Wingdings 3"/>
                <w:sz w:val="34"/>
                <w:szCs w:val="34"/>
                <w:lang w:eastAsia="en-AU"/>
              </w:rPr>
              <w:t></w:t>
            </w:r>
            <w:r w:rsidR="003735BC" w:rsidRPr="003735BC">
              <w:rPr>
                <w:i/>
              </w:rPr>
              <w:t>Black Triangle Scheme</w:t>
            </w:r>
            <w:r w:rsidR="004C4FBE">
              <w:rPr>
                <w:i/>
              </w:rPr>
              <w:t>:</w:t>
            </w:r>
            <w:r w:rsidR="00460036">
              <w:rPr>
                <w:rStyle w:val="FootnoteReference"/>
                <w:i/>
              </w:rPr>
              <w:footnoteReference w:id="1"/>
            </w:r>
          </w:p>
        </w:tc>
        <w:tc>
          <w:tcPr>
            <w:tcW w:w="6307" w:type="dxa"/>
          </w:tcPr>
          <w:p w14:paraId="7BE78F9A" w14:textId="77777777" w:rsidR="003735BC" w:rsidRDefault="00604DBA" w:rsidP="003735BC">
            <w:r>
              <w:t>Yes</w:t>
            </w:r>
          </w:p>
          <w:p w14:paraId="7D7D0AAA" w14:textId="77777777" w:rsidR="003735BC" w:rsidRPr="00487162" w:rsidRDefault="003735BC" w:rsidP="003735BC">
            <w:r>
              <w:t>This product will remain in the scheme for 5 years, starting on the date the new indication was approved</w:t>
            </w:r>
          </w:p>
        </w:tc>
      </w:tr>
      <w:tr w:rsidR="008E7846" w:rsidRPr="00487162" w14:paraId="706FA087" w14:textId="77777777" w:rsidTr="00BF1190">
        <w:tc>
          <w:tcPr>
            <w:tcW w:w="2907" w:type="dxa"/>
          </w:tcPr>
          <w:p w14:paraId="1B187C87" w14:textId="77777777"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14:paraId="156E0383" w14:textId="77777777" w:rsidR="008E7846" w:rsidRDefault="00604DBA" w:rsidP="00E45619">
            <w:r w:rsidRPr="00604DBA">
              <w:t>Alexion Pharmaceuticals Australasia Pty Ltd</w:t>
            </w:r>
          </w:p>
          <w:p w14:paraId="38898278" w14:textId="77777777" w:rsidR="00604DBA" w:rsidRDefault="00604DBA" w:rsidP="00604DBA">
            <w:r>
              <w:t>Suite 401, 20 Rodborough Road</w:t>
            </w:r>
          </w:p>
          <w:p w14:paraId="0E5F132F" w14:textId="77777777" w:rsidR="00604DBA" w:rsidRPr="00487162" w:rsidRDefault="00604DBA" w:rsidP="00604DBA">
            <w:r>
              <w:t>Frenchs Forest NSW 2086</w:t>
            </w:r>
          </w:p>
        </w:tc>
      </w:tr>
      <w:tr w:rsidR="008E7846" w:rsidRPr="00487162" w14:paraId="73F281A3" w14:textId="77777777" w:rsidTr="00BF1190">
        <w:tc>
          <w:tcPr>
            <w:tcW w:w="2907" w:type="dxa"/>
          </w:tcPr>
          <w:p w14:paraId="056E4C90" w14:textId="77777777" w:rsidR="008E7846" w:rsidRPr="00487162" w:rsidRDefault="00604DBA" w:rsidP="00E45619">
            <w:pPr>
              <w:rPr>
                <w:i/>
              </w:rPr>
            </w:pPr>
            <w:r>
              <w:rPr>
                <w:i/>
              </w:rPr>
              <w:t>Dose form</w:t>
            </w:r>
            <w:r w:rsidR="001B5C90">
              <w:rPr>
                <w:i/>
              </w:rPr>
              <w:t>:</w:t>
            </w:r>
          </w:p>
        </w:tc>
        <w:tc>
          <w:tcPr>
            <w:tcW w:w="6307" w:type="dxa"/>
          </w:tcPr>
          <w:p w14:paraId="737BEAFB" w14:textId="77777777" w:rsidR="008E7846" w:rsidRPr="00487162" w:rsidRDefault="00604DBA" w:rsidP="00604DBA">
            <w:r>
              <w:rPr>
                <w:sz w:val="23"/>
                <w:szCs w:val="23"/>
              </w:rPr>
              <w:t>Concentrated solution</w:t>
            </w:r>
          </w:p>
        </w:tc>
      </w:tr>
      <w:tr w:rsidR="008E7846" w:rsidRPr="00487162" w14:paraId="684003AF" w14:textId="77777777" w:rsidTr="00BF1190">
        <w:tc>
          <w:tcPr>
            <w:tcW w:w="2907" w:type="dxa"/>
          </w:tcPr>
          <w:p w14:paraId="39643E21" w14:textId="77777777" w:rsidR="008E7846" w:rsidRPr="00487162" w:rsidRDefault="00604DBA" w:rsidP="00E45619">
            <w:pPr>
              <w:rPr>
                <w:i/>
              </w:rPr>
            </w:pPr>
            <w:r>
              <w:rPr>
                <w:i/>
              </w:rPr>
              <w:t>Strength</w:t>
            </w:r>
            <w:r w:rsidR="008E7846" w:rsidRPr="00487162">
              <w:rPr>
                <w:i/>
              </w:rPr>
              <w:t xml:space="preserve">: </w:t>
            </w:r>
          </w:p>
        </w:tc>
        <w:tc>
          <w:tcPr>
            <w:tcW w:w="6307" w:type="dxa"/>
          </w:tcPr>
          <w:p w14:paraId="55B051D4" w14:textId="77777777" w:rsidR="008E7846" w:rsidRPr="00487162" w:rsidRDefault="00604DBA" w:rsidP="00E45619">
            <w:r>
              <w:rPr>
                <w:sz w:val="23"/>
                <w:szCs w:val="23"/>
              </w:rPr>
              <w:t>300 mg</w:t>
            </w:r>
          </w:p>
        </w:tc>
      </w:tr>
      <w:tr w:rsidR="008E7846" w:rsidRPr="00487162" w14:paraId="0AB368C8" w14:textId="77777777" w:rsidTr="00BF1190">
        <w:tc>
          <w:tcPr>
            <w:tcW w:w="2907" w:type="dxa"/>
          </w:tcPr>
          <w:p w14:paraId="7ADA5053" w14:textId="77777777" w:rsidR="008E7846" w:rsidRPr="00487162" w:rsidRDefault="00604DBA" w:rsidP="00E45619">
            <w:pPr>
              <w:rPr>
                <w:i/>
              </w:rPr>
            </w:pPr>
            <w:r>
              <w:rPr>
                <w:i/>
              </w:rPr>
              <w:t>Container</w:t>
            </w:r>
            <w:r w:rsidR="008E7846" w:rsidRPr="00487162">
              <w:rPr>
                <w:i/>
              </w:rPr>
              <w:t>:</w:t>
            </w:r>
          </w:p>
        </w:tc>
        <w:tc>
          <w:tcPr>
            <w:tcW w:w="6307" w:type="dxa"/>
          </w:tcPr>
          <w:p w14:paraId="244874BE" w14:textId="77777777" w:rsidR="008E7846" w:rsidRPr="00487162" w:rsidRDefault="00604DBA" w:rsidP="00E45619">
            <w:r>
              <w:t>Glass vial</w:t>
            </w:r>
          </w:p>
        </w:tc>
      </w:tr>
      <w:tr w:rsidR="008E7846" w:rsidRPr="00487162" w14:paraId="28A74FCC" w14:textId="77777777" w:rsidTr="00BF1190">
        <w:tc>
          <w:tcPr>
            <w:tcW w:w="2907" w:type="dxa"/>
          </w:tcPr>
          <w:p w14:paraId="1FC76646" w14:textId="4454E486" w:rsidR="008E7846" w:rsidRPr="00487162" w:rsidRDefault="000C04BD" w:rsidP="00E45619">
            <w:pPr>
              <w:rPr>
                <w:i/>
              </w:rPr>
            </w:pPr>
            <w:r>
              <w:rPr>
                <w:i/>
              </w:rPr>
              <w:t>Pack size</w:t>
            </w:r>
            <w:r w:rsidR="008E7846" w:rsidRPr="00487162">
              <w:rPr>
                <w:i/>
              </w:rPr>
              <w:t>:</w:t>
            </w:r>
          </w:p>
        </w:tc>
        <w:tc>
          <w:tcPr>
            <w:tcW w:w="6307" w:type="dxa"/>
          </w:tcPr>
          <w:p w14:paraId="3FAB45F3" w14:textId="77777777" w:rsidR="008E7846" w:rsidRPr="00487162" w:rsidRDefault="00604DBA" w:rsidP="00E45619">
            <w:r>
              <w:t>1 x 30 mL</w:t>
            </w:r>
          </w:p>
        </w:tc>
      </w:tr>
      <w:tr w:rsidR="008E7846" w:rsidRPr="00487162" w14:paraId="505422FE" w14:textId="77777777" w:rsidTr="00BF1190">
        <w:tc>
          <w:tcPr>
            <w:tcW w:w="2907" w:type="dxa"/>
          </w:tcPr>
          <w:p w14:paraId="35AD1AC1" w14:textId="77777777"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14:paraId="4CE82931" w14:textId="77777777" w:rsidR="00604DBA" w:rsidRPr="00604DBA" w:rsidRDefault="00604DBA" w:rsidP="00604DBA">
            <w:pPr>
              <w:rPr>
                <w:i/>
              </w:rPr>
            </w:pPr>
            <w:r w:rsidRPr="00604DBA">
              <w:rPr>
                <w:i/>
              </w:rPr>
              <w:t>Adult patients with Neuromyelitis Optica Spectrum Disorder (NMOSD) who are anti-aquaporin-4 (AQP4) antibody-positive.</w:t>
            </w:r>
          </w:p>
          <w:p w14:paraId="018116CB" w14:textId="77777777" w:rsidR="008E7846" w:rsidRPr="00487162" w:rsidRDefault="00604DBA" w:rsidP="00604DBA">
            <w:pPr>
              <w:rPr>
                <w:rFonts w:eastAsia="MS Mincho"/>
                <w:lang w:eastAsia="ja-JP"/>
              </w:rPr>
            </w:pPr>
            <w:proofErr w:type="spellStart"/>
            <w:r w:rsidRPr="00604DBA">
              <w:rPr>
                <w:i/>
              </w:rPr>
              <w:t>Soliris</w:t>
            </w:r>
            <w:proofErr w:type="spellEnd"/>
            <w:r w:rsidRPr="00604DBA">
              <w:rPr>
                <w:i/>
              </w:rPr>
              <w:t xml:space="preserve"> is not intended for acute treatment of a NMOSD relapse.</w:t>
            </w:r>
          </w:p>
        </w:tc>
      </w:tr>
      <w:tr w:rsidR="008E7846" w:rsidRPr="00487162" w14:paraId="604D418A" w14:textId="77777777" w:rsidTr="00BF1190">
        <w:tc>
          <w:tcPr>
            <w:tcW w:w="2907" w:type="dxa"/>
          </w:tcPr>
          <w:p w14:paraId="46CF3B6C" w14:textId="311A229E" w:rsidR="008E7846" w:rsidRPr="00487162" w:rsidRDefault="000C04BD" w:rsidP="00E45619">
            <w:pPr>
              <w:rPr>
                <w:i/>
              </w:rPr>
            </w:pPr>
            <w:r>
              <w:rPr>
                <w:i/>
              </w:rPr>
              <w:t>Route</w:t>
            </w:r>
            <w:r w:rsidR="008E7846" w:rsidRPr="00487162">
              <w:rPr>
                <w:i/>
              </w:rPr>
              <w:t xml:space="preserve"> of administration:</w:t>
            </w:r>
          </w:p>
        </w:tc>
        <w:tc>
          <w:tcPr>
            <w:tcW w:w="6307" w:type="dxa"/>
          </w:tcPr>
          <w:p w14:paraId="172778AD" w14:textId="77777777" w:rsidR="008E7846" w:rsidRPr="00487162" w:rsidRDefault="00604DBA" w:rsidP="00E45619">
            <w:r>
              <w:rPr>
                <w:sz w:val="23"/>
                <w:szCs w:val="23"/>
              </w:rPr>
              <w:t>Intravenous (IV) infusion</w:t>
            </w:r>
          </w:p>
        </w:tc>
      </w:tr>
      <w:tr w:rsidR="008E7846" w:rsidRPr="00487162" w14:paraId="0C32413F" w14:textId="77777777" w:rsidTr="00BF1190">
        <w:tc>
          <w:tcPr>
            <w:tcW w:w="2907" w:type="dxa"/>
          </w:tcPr>
          <w:p w14:paraId="0ED829EC" w14:textId="77777777" w:rsidR="008E7846" w:rsidRPr="00487162" w:rsidRDefault="008E7846" w:rsidP="00E45619">
            <w:pPr>
              <w:rPr>
                <w:i/>
              </w:rPr>
            </w:pPr>
            <w:r w:rsidRPr="00487162">
              <w:rPr>
                <w:i/>
              </w:rPr>
              <w:t>Dosage:</w:t>
            </w:r>
          </w:p>
        </w:tc>
        <w:tc>
          <w:tcPr>
            <w:tcW w:w="6307" w:type="dxa"/>
          </w:tcPr>
          <w:p w14:paraId="15CCED99" w14:textId="77777777" w:rsidR="00604DBA" w:rsidRDefault="00604DBA" w:rsidP="00604DBA">
            <w:r>
              <w:t xml:space="preserve">Patients must be administered a meningococcal vaccine at least two weeks prior to receiving </w:t>
            </w:r>
            <w:proofErr w:type="spellStart"/>
            <w:r>
              <w:t>Soliris</w:t>
            </w:r>
            <w:proofErr w:type="spellEnd"/>
            <w:r>
              <w:t xml:space="preserve"> therapy.</w:t>
            </w:r>
          </w:p>
          <w:p w14:paraId="71C3B629" w14:textId="77777777" w:rsidR="008E7846" w:rsidRDefault="00604DBA" w:rsidP="00604DBA">
            <w:proofErr w:type="spellStart"/>
            <w:r>
              <w:t>Soliris</w:t>
            </w:r>
            <w:proofErr w:type="spellEnd"/>
            <w:r>
              <w:t xml:space="preserve"> should be administered by a healthcare professional and under appropriate medical supervision.</w:t>
            </w:r>
          </w:p>
          <w:p w14:paraId="5EC2337C" w14:textId="1F44F039" w:rsidR="00D441E6" w:rsidRDefault="00D441E6" w:rsidP="00D441E6">
            <w:pPr>
              <w:pStyle w:val="Default"/>
              <w:rPr>
                <w:sz w:val="23"/>
                <w:szCs w:val="23"/>
              </w:rPr>
            </w:pPr>
            <w:r>
              <w:rPr>
                <w:sz w:val="23"/>
                <w:szCs w:val="23"/>
              </w:rPr>
              <w:t xml:space="preserve">The </w:t>
            </w:r>
            <w:r w:rsidR="00A353BE">
              <w:rPr>
                <w:iCs/>
                <w:sz w:val="23"/>
                <w:szCs w:val="23"/>
              </w:rPr>
              <w:t>n</w:t>
            </w:r>
            <w:r w:rsidRPr="00D441E6">
              <w:rPr>
                <w:iCs/>
                <w:sz w:val="23"/>
                <w:szCs w:val="23"/>
              </w:rPr>
              <w:t xml:space="preserve">euromyelitis </w:t>
            </w:r>
            <w:r w:rsidR="00A353BE">
              <w:rPr>
                <w:iCs/>
                <w:sz w:val="23"/>
                <w:szCs w:val="23"/>
              </w:rPr>
              <w:t>o</w:t>
            </w:r>
            <w:r w:rsidRPr="00D441E6">
              <w:rPr>
                <w:iCs/>
                <w:sz w:val="23"/>
                <w:szCs w:val="23"/>
              </w:rPr>
              <w:t xml:space="preserve">ptica </w:t>
            </w:r>
            <w:r w:rsidR="00A353BE">
              <w:rPr>
                <w:iCs/>
                <w:sz w:val="23"/>
                <w:szCs w:val="23"/>
              </w:rPr>
              <w:t>s</w:t>
            </w:r>
            <w:r w:rsidRPr="00D441E6">
              <w:rPr>
                <w:iCs/>
                <w:sz w:val="23"/>
                <w:szCs w:val="23"/>
              </w:rPr>
              <w:t xml:space="preserve">pectrum </w:t>
            </w:r>
            <w:r w:rsidR="00A353BE">
              <w:rPr>
                <w:iCs/>
                <w:sz w:val="23"/>
                <w:szCs w:val="23"/>
              </w:rPr>
              <w:t>d</w:t>
            </w:r>
            <w:r w:rsidRPr="00D441E6">
              <w:rPr>
                <w:iCs/>
                <w:sz w:val="23"/>
                <w:szCs w:val="23"/>
              </w:rPr>
              <w:t xml:space="preserve">isorder (NMOSD) </w:t>
            </w:r>
            <w:r>
              <w:rPr>
                <w:sz w:val="23"/>
                <w:szCs w:val="23"/>
              </w:rPr>
              <w:t>dosing regimen for adult patients (≥</w:t>
            </w:r>
            <w:r w:rsidR="000C04BD">
              <w:rPr>
                <w:sz w:val="23"/>
                <w:szCs w:val="23"/>
              </w:rPr>
              <w:t xml:space="preserve"> </w:t>
            </w:r>
            <w:r>
              <w:rPr>
                <w:sz w:val="23"/>
                <w:szCs w:val="23"/>
              </w:rPr>
              <w:t>1</w:t>
            </w:r>
            <w:r w:rsidR="00C90F96">
              <w:rPr>
                <w:sz w:val="23"/>
                <w:szCs w:val="23"/>
              </w:rPr>
              <w:t xml:space="preserve">8 years of age) consists of a 4 </w:t>
            </w:r>
            <w:r>
              <w:rPr>
                <w:sz w:val="23"/>
                <w:szCs w:val="23"/>
              </w:rPr>
              <w:lastRenderedPageBreak/>
              <w:t>week</w:t>
            </w:r>
            <w:r w:rsidR="00C90F96">
              <w:rPr>
                <w:sz w:val="23"/>
                <w:szCs w:val="23"/>
              </w:rPr>
              <w:t>s</w:t>
            </w:r>
            <w:r>
              <w:rPr>
                <w:sz w:val="23"/>
                <w:szCs w:val="23"/>
              </w:rPr>
              <w:t xml:space="preserve"> initial phase followed by a maintenance phase:</w:t>
            </w:r>
          </w:p>
          <w:p w14:paraId="5B3E0B2A" w14:textId="0FD6DDFE" w:rsidR="00D441E6" w:rsidRDefault="00D441E6" w:rsidP="00D441E6">
            <w:pPr>
              <w:pStyle w:val="ListBullet"/>
            </w:pPr>
            <w:r>
              <w:t xml:space="preserve">Initial phase: 900 mg of </w:t>
            </w:r>
            <w:proofErr w:type="spellStart"/>
            <w:r>
              <w:t>Soliris</w:t>
            </w:r>
            <w:proofErr w:type="spellEnd"/>
            <w:r>
              <w:t xml:space="preserve"> via a 25 to 45 minute intravenous infusion e</w:t>
            </w:r>
            <w:r w:rsidR="00BC7C1D">
              <w:t>very week for the first 4 weeks.</w:t>
            </w:r>
          </w:p>
          <w:p w14:paraId="763F3268" w14:textId="3C564B6B" w:rsidR="00D441E6" w:rsidRPr="00D441E6" w:rsidRDefault="00D441E6" w:rsidP="00D441E6">
            <w:pPr>
              <w:pStyle w:val="ListBullet"/>
            </w:pPr>
            <w:r>
              <w:t xml:space="preserve">Maintenance phase: 1200 mg of </w:t>
            </w:r>
            <w:proofErr w:type="spellStart"/>
            <w:r>
              <w:t>Soliris</w:t>
            </w:r>
            <w:proofErr w:type="spellEnd"/>
            <w:r>
              <w:t xml:space="preserve"> administered via a 25 to 45 minute intravenous infusion on the fifth week, followed by 1200 mg of </w:t>
            </w:r>
            <w:proofErr w:type="spellStart"/>
            <w:r>
              <w:t>Soliris</w:t>
            </w:r>
            <w:proofErr w:type="spellEnd"/>
            <w:r>
              <w:t xml:space="preserve"> administered via a 25 to 45</w:t>
            </w:r>
            <w:r w:rsidR="00A353BE">
              <w:t> </w:t>
            </w:r>
            <w:r>
              <w:t>minute intravenous infusion every 14 ± 2 days.</w:t>
            </w:r>
          </w:p>
          <w:p w14:paraId="717DAC0D" w14:textId="653AA665" w:rsidR="00604DBA" w:rsidRPr="00FF7BA0" w:rsidRDefault="00D441E6" w:rsidP="00604DBA">
            <w:r w:rsidRPr="00FF7BA0">
              <w:t xml:space="preserve">For patients with NMOSD, </w:t>
            </w:r>
            <w:proofErr w:type="spellStart"/>
            <w:r w:rsidRPr="00FF7BA0">
              <w:t>Soliris</w:t>
            </w:r>
            <w:proofErr w:type="spellEnd"/>
            <w:r w:rsidRPr="00FF7BA0">
              <w:t xml:space="preserve"> should be administered as an adjuvant therapy to their existing immunosuppressive therapy (IST). In clinical studies with </w:t>
            </w:r>
            <w:proofErr w:type="spellStart"/>
            <w:r w:rsidRPr="00FF7BA0">
              <w:t>Soliris</w:t>
            </w:r>
            <w:proofErr w:type="spellEnd"/>
            <w:r w:rsidRPr="00FF7BA0">
              <w:t>, about7</w:t>
            </w:r>
            <w:r w:rsidR="005D7284" w:rsidRPr="00FF7BA0">
              <w:t>6% of patients were on ISTs at B</w:t>
            </w:r>
            <w:r w:rsidRPr="00FF7BA0">
              <w:t>aseline.</w:t>
            </w:r>
          </w:p>
          <w:p w14:paraId="5C2A2EC3" w14:textId="49424C0B" w:rsidR="00E908F9" w:rsidRDefault="00E908F9" w:rsidP="00E908F9">
            <w:r w:rsidRPr="00FF7BA0">
              <w:rPr>
                <w:i/>
              </w:rPr>
              <w:t>Paediatric Patients (&lt;</w:t>
            </w:r>
            <w:r w:rsidR="000C04BD" w:rsidRPr="00FF7BA0">
              <w:rPr>
                <w:i/>
              </w:rPr>
              <w:t xml:space="preserve"> </w:t>
            </w:r>
            <w:r w:rsidRPr="00FF7BA0">
              <w:rPr>
                <w:i/>
              </w:rPr>
              <w:t>18 years of age)</w:t>
            </w:r>
            <w:r w:rsidR="00A353BE">
              <w:rPr>
                <w:i/>
              </w:rPr>
              <w:t>:</w:t>
            </w:r>
            <w:r w:rsidR="00A353BE">
              <w:t xml:space="preserve"> </w:t>
            </w:r>
            <w:r>
              <w:t xml:space="preserve">The safety and effectiveness of </w:t>
            </w:r>
            <w:proofErr w:type="spellStart"/>
            <w:r>
              <w:t>Soliris</w:t>
            </w:r>
            <w:proofErr w:type="spellEnd"/>
            <w:r>
              <w:t xml:space="preserve"> for the treatment of NMOSD in paediatric patients below the age of 18</w:t>
            </w:r>
            <w:r w:rsidR="00A353BE">
              <w:t> </w:t>
            </w:r>
            <w:r>
              <w:t>years have not been established</w:t>
            </w:r>
            <w:r w:rsidR="00A353BE">
              <w:t>.</w:t>
            </w:r>
          </w:p>
          <w:p w14:paraId="5950CF6C" w14:textId="53F41C46" w:rsidR="00460036" w:rsidRPr="00487162" w:rsidRDefault="00460036" w:rsidP="00E45619">
            <w:r w:rsidRPr="00460036">
              <w:t>For further information regarding dosage, refer to the Product Information</w:t>
            </w:r>
            <w:r w:rsidR="000C04BD">
              <w:t xml:space="preserve"> (PI)</w:t>
            </w:r>
          </w:p>
        </w:tc>
      </w:tr>
      <w:tr w:rsidR="00460036" w:rsidRPr="00487162" w14:paraId="3A99C12A" w14:textId="77777777" w:rsidTr="00BF1190">
        <w:tc>
          <w:tcPr>
            <w:tcW w:w="2907" w:type="dxa"/>
          </w:tcPr>
          <w:p w14:paraId="7EFDCDA6" w14:textId="77777777" w:rsidR="00460036" w:rsidRPr="00487162" w:rsidRDefault="00460036" w:rsidP="00E45619">
            <w:pPr>
              <w:rPr>
                <w:i/>
              </w:rPr>
            </w:pPr>
            <w:r w:rsidRPr="00460036">
              <w:rPr>
                <w:i/>
              </w:rPr>
              <w:lastRenderedPageBreak/>
              <w:t>Pregnancy category</w:t>
            </w:r>
            <w:r>
              <w:rPr>
                <w:i/>
              </w:rPr>
              <w:t>:</w:t>
            </w:r>
          </w:p>
        </w:tc>
        <w:tc>
          <w:tcPr>
            <w:tcW w:w="6307" w:type="dxa"/>
          </w:tcPr>
          <w:p w14:paraId="69C7493F" w14:textId="77777777" w:rsidR="00460036" w:rsidRDefault="00D441E6" w:rsidP="00460036">
            <w:pPr>
              <w:pStyle w:val="Instructions"/>
              <w:rPr>
                <w:i w:val="0"/>
                <w:color w:val="auto"/>
              </w:rPr>
            </w:pPr>
            <w:r w:rsidRPr="00D441E6">
              <w:rPr>
                <w:i w:val="0"/>
                <w:color w:val="auto"/>
              </w:rPr>
              <w:t>B2</w:t>
            </w:r>
          </w:p>
          <w:p w14:paraId="1D51DE1D" w14:textId="77777777" w:rsidR="00D441E6" w:rsidRDefault="00D441E6" w:rsidP="00D441E6">
            <w:r>
              <w:t xml:space="preserve">Drugs which have been taken by only a limited number of pregnant women and women of childbearing age, without an increase in the frequency of malformation or other direct or indirect harmful effects on the human </w:t>
            </w:r>
            <w:proofErr w:type="spellStart"/>
            <w:r>
              <w:t>fetus</w:t>
            </w:r>
            <w:proofErr w:type="spellEnd"/>
            <w:r>
              <w:t xml:space="preserve"> having been observed.</w:t>
            </w:r>
          </w:p>
          <w:p w14:paraId="68C2CB69" w14:textId="77777777" w:rsidR="00D441E6" w:rsidRPr="00D441E6" w:rsidRDefault="00D441E6" w:rsidP="00D441E6">
            <w:r>
              <w:t xml:space="preserve">Studies in animals are inadequate or may be lacking, but available data show no evidence of an increased occurrence of </w:t>
            </w:r>
            <w:proofErr w:type="spellStart"/>
            <w:r>
              <w:t>fetal</w:t>
            </w:r>
            <w:proofErr w:type="spellEnd"/>
            <w:r>
              <w:t xml:space="preserve"> damage.</w:t>
            </w:r>
          </w:p>
          <w:p w14:paraId="140262EC" w14:textId="77777777" w:rsidR="00460036" w:rsidRPr="00487162" w:rsidRDefault="00460036" w:rsidP="00460036">
            <w:r>
              <w:t>The use of any medicine during pregnancy requires careful consideration of both risks and benefits by the treating health professional. This must not be used as the sole basis of decision making in the use of medicines during pregnancy. The TGA does not provide advice on the use of medicines in pregnancy for specific cases. More information is available from obstetric drug information servi</w:t>
            </w:r>
            <w:r w:rsidR="00D441E6">
              <w:t>ces in your State or Territory.</w:t>
            </w:r>
          </w:p>
        </w:tc>
      </w:tr>
    </w:tbl>
    <w:p w14:paraId="37944266" w14:textId="77777777" w:rsidR="008E7846" w:rsidRDefault="008E7846" w:rsidP="008E7846">
      <w:pPr>
        <w:pStyle w:val="Heading3"/>
      </w:pPr>
      <w:bookmarkStart w:id="13" w:name="_Toc247691503"/>
      <w:bookmarkStart w:id="14" w:name="_Toc314842484"/>
      <w:bookmarkStart w:id="15" w:name="_Toc57794882"/>
      <w:r>
        <w:t>Product background</w:t>
      </w:r>
      <w:bookmarkEnd w:id="13"/>
      <w:bookmarkEnd w:id="14"/>
      <w:bookmarkEnd w:id="15"/>
    </w:p>
    <w:p w14:paraId="4DC40A3C" w14:textId="68BCCB86" w:rsidR="008E7846" w:rsidRDefault="00250271" w:rsidP="00940A89">
      <w:r w:rsidRPr="00250271">
        <w:t>This AusPA</w:t>
      </w:r>
      <w:r w:rsidR="00210FBC">
        <w:t xml:space="preserve">R describes the application by </w:t>
      </w:r>
      <w:r w:rsidR="00210FBC" w:rsidRPr="00210FBC">
        <w:t>Alexion Pharmaceuticals Australasia Pty Ltd</w:t>
      </w:r>
      <w:r w:rsidRPr="00250271">
        <w:t xml:space="preserve"> (the sponsor) to register </w:t>
      </w:r>
      <w:proofErr w:type="spellStart"/>
      <w:r w:rsidR="00210FBC">
        <w:t>Soliris</w:t>
      </w:r>
      <w:proofErr w:type="spellEnd"/>
      <w:r w:rsidRPr="00250271">
        <w:t xml:space="preserve"> (</w:t>
      </w:r>
      <w:proofErr w:type="spellStart"/>
      <w:r w:rsidR="000C04BD">
        <w:t>eculizumab</w:t>
      </w:r>
      <w:proofErr w:type="spellEnd"/>
      <w:r w:rsidR="000C04BD">
        <w:t>) 300 mg</w:t>
      </w:r>
      <w:r w:rsidR="00210FBC">
        <w:t>, concentrated solution</w:t>
      </w:r>
      <w:r w:rsidR="000C04BD">
        <w:t xml:space="preserve"> for intravenous transfusion</w:t>
      </w:r>
      <w:r w:rsidRPr="00250271">
        <w:t xml:space="preserve"> for the fo</w:t>
      </w:r>
      <w:r w:rsidR="00BC7C1D">
        <w:t>llowing extension of indication</w:t>
      </w:r>
      <w:r w:rsidR="00CF5DAD">
        <w:t>:</w:t>
      </w:r>
    </w:p>
    <w:p w14:paraId="74C98F10" w14:textId="13DB9227" w:rsidR="00210FBC" w:rsidRPr="00210FBC" w:rsidRDefault="00210FBC" w:rsidP="00210FBC">
      <w:pPr>
        <w:ind w:left="720"/>
        <w:rPr>
          <w:i/>
        </w:rPr>
      </w:pPr>
      <w:r w:rsidRPr="00210FBC">
        <w:rPr>
          <w:i/>
        </w:rPr>
        <w:t>Adult patients with Neuromyelitis Optica Spectrum Disorder (NMOSD) who are anti</w:t>
      </w:r>
      <w:r w:rsidR="00A353BE">
        <w:rPr>
          <w:i/>
        </w:rPr>
        <w:noBreakHyphen/>
      </w:r>
      <w:r w:rsidRPr="00210FBC">
        <w:rPr>
          <w:i/>
        </w:rPr>
        <w:t>aquaporin-4 (AQP4) antibody-positive.</w:t>
      </w:r>
    </w:p>
    <w:p w14:paraId="73824EE6" w14:textId="77777777" w:rsidR="00210FBC" w:rsidRPr="00210FBC" w:rsidRDefault="00210FBC" w:rsidP="00210FBC">
      <w:pPr>
        <w:ind w:left="720"/>
        <w:rPr>
          <w:i/>
        </w:rPr>
      </w:pPr>
      <w:proofErr w:type="spellStart"/>
      <w:r w:rsidRPr="00210FBC">
        <w:rPr>
          <w:i/>
        </w:rPr>
        <w:t>Soliris</w:t>
      </w:r>
      <w:proofErr w:type="spellEnd"/>
      <w:r w:rsidRPr="00210FBC">
        <w:rPr>
          <w:i/>
        </w:rPr>
        <w:t xml:space="preserve"> is not intended for acut</w:t>
      </w:r>
      <w:r>
        <w:rPr>
          <w:i/>
        </w:rPr>
        <w:t>e treatment of a NMOSD relapse.</w:t>
      </w:r>
    </w:p>
    <w:p w14:paraId="6919B195" w14:textId="27783E4B" w:rsidR="00ED3FA8" w:rsidRPr="00ED3FA8" w:rsidRDefault="003F5B31" w:rsidP="00ED3FA8">
      <w:r>
        <w:t>Neuromyelitis optic spectrum disorder (</w:t>
      </w:r>
      <w:r w:rsidR="00ED3FA8" w:rsidRPr="00ED3FA8">
        <w:t>NMOSD</w:t>
      </w:r>
      <w:r>
        <w:t>)</w:t>
      </w:r>
      <w:r w:rsidR="00ED3FA8" w:rsidRPr="00ED3FA8">
        <w:t xml:space="preserve"> is regarded as an extre</w:t>
      </w:r>
      <w:r w:rsidR="00DF7CF6">
        <w:t xml:space="preserve">mely rare </w:t>
      </w:r>
      <w:r w:rsidR="00E93415">
        <w:t xml:space="preserve">inflammatory </w:t>
      </w:r>
      <w:r w:rsidR="00DF7CF6">
        <w:t>disorder</w:t>
      </w:r>
      <w:r w:rsidR="00E93415">
        <w:t xml:space="preserve"> of the central nervous system</w:t>
      </w:r>
      <w:r w:rsidR="00DF7CF6">
        <w:t>, with an age</w:t>
      </w:r>
      <w:r w:rsidR="00C90F96">
        <w:t xml:space="preserve"> and sex </w:t>
      </w:r>
      <w:r w:rsidR="00ED3FA8" w:rsidRPr="00ED3FA8">
        <w:t>adjusted incidence ranging between 0.07 to 0.73 per 100,000 person-years and prevalence ranging between 3.9 and 10 per 100,000 person-years worldwide. NMOSD is more common in women than in men, with an average age at onset typically between 30 to 40 years. Female gender and race represent pot</w:t>
      </w:r>
      <w:r w:rsidR="00DF7CF6">
        <w:t>ential risk factors for NMOSD.</w:t>
      </w:r>
    </w:p>
    <w:p w14:paraId="19BE8DDA" w14:textId="73CC5BC9" w:rsidR="00ED3FA8" w:rsidRDefault="00ED3FA8" w:rsidP="00ED3FA8">
      <w:r w:rsidRPr="00ED3FA8">
        <w:lastRenderedPageBreak/>
        <w:t>Risk factors for relapse of NMOSD are varied, however relapse appears to be more common in patients who are aquaporin-4</w:t>
      </w:r>
      <w:r w:rsidR="00E975EA">
        <w:t xml:space="preserve"> (AQP4)</w:t>
      </w:r>
      <w:r w:rsidR="003F5B31">
        <w:t xml:space="preserve"> immunoglobulin G (IgG) </w:t>
      </w:r>
      <w:r w:rsidR="00AC7C4D">
        <w:t xml:space="preserve">auto-antibody </w:t>
      </w:r>
      <w:r w:rsidRPr="00ED3FA8">
        <w:t>seropositive than in patients who are seronegative.</w:t>
      </w:r>
      <w:r w:rsidR="00AC7C4D">
        <w:rPr>
          <w:rStyle w:val="FootnoteReference"/>
        </w:rPr>
        <w:footnoteReference w:id="2"/>
      </w:r>
      <w:r w:rsidRPr="00ED3FA8">
        <w:t xml:space="preserve"> Infection, severe pain, </w:t>
      </w:r>
      <w:proofErr w:type="spellStart"/>
      <w:r w:rsidRPr="00ED3FA8">
        <w:t>neutrop</w:t>
      </w:r>
      <w:r w:rsidR="00AC7C4D">
        <w:t>a</w:t>
      </w:r>
      <w:r w:rsidRPr="00ED3FA8">
        <w:t>enia</w:t>
      </w:r>
      <w:proofErr w:type="spellEnd"/>
      <w:r w:rsidRPr="00ED3FA8">
        <w:t xml:space="preserve"> and ne</w:t>
      </w:r>
      <w:r w:rsidR="00C90F96">
        <w:t xml:space="preserve">urological complications (bowel and </w:t>
      </w:r>
      <w:r w:rsidRPr="00ED3FA8">
        <w:t>bladder, neuropathy and blindness) are important co-morbidities for NMOSD. Worldwide, mortality rates in NMOSD range from 9% to 32%, depending on age, relapse rate, and recovery from attacks</w:t>
      </w:r>
      <w:r w:rsidR="000C04BD">
        <w:t>.</w:t>
      </w:r>
    </w:p>
    <w:p w14:paraId="7FFC2F9C" w14:textId="7AC42907" w:rsidR="00881839" w:rsidRDefault="00881839" w:rsidP="00ED3FA8">
      <w:r>
        <w:t>At the time this submission was under consideration, t</w:t>
      </w:r>
      <w:r w:rsidRPr="00881839">
        <w:t xml:space="preserve">here </w:t>
      </w:r>
      <w:r>
        <w:t>were</w:t>
      </w:r>
      <w:r w:rsidRPr="00881839">
        <w:t xml:space="preserve"> no other medicines approved </w:t>
      </w:r>
      <w:r>
        <w:t>in Australia</w:t>
      </w:r>
      <w:r w:rsidRPr="00881839">
        <w:t xml:space="preserve"> for treatment of this group of patients.</w:t>
      </w:r>
    </w:p>
    <w:p w14:paraId="773117C0" w14:textId="32C39167" w:rsidR="00804ACE" w:rsidRDefault="00804ACE" w:rsidP="00ED3FA8">
      <w:r>
        <w:t xml:space="preserve">The Product Information for </w:t>
      </w:r>
      <w:proofErr w:type="spellStart"/>
      <w:r>
        <w:t>Soliris</w:t>
      </w:r>
      <w:proofErr w:type="spellEnd"/>
      <w:r>
        <w:t xml:space="preserve"> outlines that:</w:t>
      </w:r>
      <w:r>
        <w:rPr>
          <w:rStyle w:val="FootnoteReference"/>
        </w:rPr>
        <w:footnoteReference w:id="3"/>
      </w:r>
    </w:p>
    <w:p w14:paraId="231DE5CB" w14:textId="6235F255" w:rsidR="00804ACE" w:rsidRDefault="00804ACE" w:rsidP="00251F1C">
      <w:pPr>
        <w:ind w:left="720"/>
      </w:pPr>
      <w:r>
        <w:t>‘</w:t>
      </w:r>
      <w:proofErr w:type="spellStart"/>
      <w:r w:rsidRPr="00804ACE">
        <w:t>Soliris</w:t>
      </w:r>
      <w:proofErr w:type="spellEnd"/>
      <w:r w:rsidRPr="00804ACE">
        <w:t xml:space="preserve"> (</w:t>
      </w:r>
      <w:proofErr w:type="spellStart"/>
      <w:r w:rsidRPr="00804ACE">
        <w:t>eculizumab</w:t>
      </w:r>
      <w:proofErr w:type="spellEnd"/>
      <w:r w:rsidRPr="00804ACE">
        <w:t xml:space="preserve"> rmc) is a genetically-engineered humanised monoclonal antibody directed against the α-chain of the C5 complement protein.</w:t>
      </w:r>
    </w:p>
    <w:p w14:paraId="081F7E8F" w14:textId="438A84B9" w:rsidR="00804ACE" w:rsidRDefault="00804ACE" w:rsidP="00251F1C">
      <w:pPr>
        <w:ind w:left="720"/>
      </w:pPr>
      <w:r>
        <w:t>[…]</w:t>
      </w:r>
    </w:p>
    <w:p w14:paraId="3412798F" w14:textId="4661204C" w:rsidR="00804ACE" w:rsidRDefault="00804ACE" w:rsidP="00251F1C">
      <w:pPr>
        <w:ind w:left="720"/>
      </w:pPr>
      <w:r w:rsidRPr="00804ACE">
        <w:t xml:space="preserve">In patients with NMOSD, the exact mechanism by which </w:t>
      </w:r>
      <w:proofErr w:type="spellStart"/>
      <w:r w:rsidRPr="00804ACE">
        <w:t>eculizumab</w:t>
      </w:r>
      <w:proofErr w:type="spellEnd"/>
      <w:r w:rsidRPr="00804ACE">
        <w:t xml:space="preserve"> rmc exerts its therapeutic effect is unknown but is presumed to involve inhibition of aquaporin-4 (AQP4) antibody induced terminal complement C5b-9 deposition and C5a-dependent inflammation.</w:t>
      </w:r>
      <w:r>
        <w:t>’</w:t>
      </w:r>
    </w:p>
    <w:p w14:paraId="3E54AD2D" w14:textId="30E6F7F6" w:rsidR="00940A89" w:rsidRDefault="00250271" w:rsidP="00ED3FA8">
      <w:r>
        <w:t>This application was submitted through the TGA’s Comparable Overseas Regulator approach A (COR A)</w:t>
      </w:r>
      <w:r w:rsidR="008919FD">
        <w:t>;</w:t>
      </w:r>
      <w:r w:rsidR="008919FD">
        <w:rPr>
          <w:rStyle w:val="FootnoteReference"/>
        </w:rPr>
        <w:footnoteReference w:id="4"/>
      </w:r>
      <w:r>
        <w:t xml:space="preserve"> u</w:t>
      </w:r>
      <w:r w:rsidR="00ED3FA8">
        <w:t>sing evaluation reports from Health Canada</w:t>
      </w:r>
      <w:r>
        <w:t>. The full dossier was also submitted to the TGA.</w:t>
      </w:r>
    </w:p>
    <w:p w14:paraId="51846E0A" w14:textId="77777777" w:rsidR="008E7846" w:rsidRPr="003F31A2" w:rsidRDefault="00386150" w:rsidP="008E7846">
      <w:pPr>
        <w:pStyle w:val="Heading3"/>
      </w:pPr>
      <w:bookmarkStart w:id="16" w:name="_Toc314842485"/>
      <w:bookmarkStart w:id="17" w:name="_Toc247691504"/>
      <w:bookmarkStart w:id="18" w:name="_Toc57794883"/>
      <w:r>
        <w:t>Regulatory s</w:t>
      </w:r>
      <w:r w:rsidR="008E7846">
        <w:t>tatus</w:t>
      </w:r>
      <w:bookmarkEnd w:id="16"/>
      <w:bookmarkEnd w:id="17"/>
      <w:bookmarkEnd w:id="18"/>
    </w:p>
    <w:p w14:paraId="607E558A" w14:textId="77777777" w:rsidR="00006FAB" w:rsidRDefault="00006FAB" w:rsidP="00006FAB">
      <w:bookmarkStart w:id="19" w:name="_Toc247691505"/>
      <w:bookmarkStart w:id="20" w:name="_Toc314842486"/>
      <w:r>
        <w:t xml:space="preserve">The product received initial registration on the Australian Register of </w:t>
      </w:r>
      <w:r w:rsidR="00C15CBA">
        <w:t>Therapeutic Goods (ARTG) on 20 March 2009 for the below indications.</w:t>
      </w:r>
    </w:p>
    <w:p w14:paraId="69A47C27" w14:textId="77777777" w:rsidR="00C15CBA" w:rsidRPr="00DF7CF6" w:rsidRDefault="00C15CBA" w:rsidP="00DF7CF6">
      <w:pPr>
        <w:ind w:left="360"/>
        <w:rPr>
          <w:i/>
        </w:rPr>
      </w:pPr>
      <w:proofErr w:type="spellStart"/>
      <w:r w:rsidRPr="00DF7CF6">
        <w:rPr>
          <w:i/>
        </w:rPr>
        <w:t>Soliris</w:t>
      </w:r>
      <w:proofErr w:type="spellEnd"/>
      <w:r w:rsidRPr="00DF7CF6">
        <w:rPr>
          <w:i/>
        </w:rPr>
        <w:t xml:space="preserve"> is indicated for the treatment of patients with:</w:t>
      </w:r>
    </w:p>
    <w:p w14:paraId="663BC905" w14:textId="77777777" w:rsidR="00C15CBA" w:rsidRPr="00DF7CF6" w:rsidRDefault="00C15CBA" w:rsidP="00DF7CF6">
      <w:pPr>
        <w:pStyle w:val="ListBullet"/>
        <w:ind w:left="720"/>
        <w:rPr>
          <w:i/>
        </w:rPr>
      </w:pPr>
      <w:r w:rsidRPr="00DF7CF6">
        <w:rPr>
          <w:i/>
        </w:rPr>
        <w:t>Paroxysmal Nocturnal Haemoglobinuria (PNH) to reduce haemolysis.</w:t>
      </w:r>
    </w:p>
    <w:p w14:paraId="1E9BB164" w14:textId="77777777" w:rsidR="00C15CBA" w:rsidRPr="00DF7CF6" w:rsidRDefault="00C15CBA" w:rsidP="00DF7CF6">
      <w:pPr>
        <w:pStyle w:val="ListBullet"/>
        <w:ind w:left="720"/>
        <w:rPr>
          <w:i/>
        </w:rPr>
      </w:pPr>
      <w:r w:rsidRPr="00DF7CF6">
        <w:rPr>
          <w:i/>
        </w:rPr>
        <w:t>atypical Haemolytic Uraemic Syndrome (</w:t>
      </w:r>
      <w:proofErr w:type="spellStart"/>
      <w:r w:rsidRPr="00DF7CF6">
        <w:rPr>
          <w:i/>
        </w:rPr>
        <w:t>aHUS</w:t>
      </w:r>
      <w:proofErr w:type="spellEnd"/>
      <w:r w:rsidRPr="00DF7CF6">
        <w:rPr>
          <w:i/>
        </w:rPr>
        <w:t>).</w:t>
      </w:r>
    </w:p>
    <w:p w14:paraId="55F1045F" w14:textId="2006D3E0" w:rsidR="003310FE" w:rsidRDefault="00006FAB" w:rsidP="003310FE">
      <w:r>
        <w:t>At the time the TGA considered this application, a similar application had been approved in</w:t>
      </w:r>
      <w:r w:rsidR="003310FE">
        <w:t xml:space="preserve"> United States of America (USA)</w:t>
      </w:r>
      <w:r>
        <w:t xml:space="preserve"> (</w:t>
      </w:r>
      <w:r w:rsidR="003310FE">
        <w:t>approved on 27 June 2019</w:t>
      </w:r>
      <w:r w:rsidR="006310D0">
        <w:t>),</w:t>
      </w:r>
      <w:r w:rsidR="003310FE">
        <w:t xml:space="preserve"> European Union (EU)</w:t>
      </w:r>
      <w:r w:rsidR="006310D0">
        <w:t xml:space="preserve"> (approved on 26 August 2019) and Canada (approved on 24 September 2019).</w:t>
      </w:r>
    </w:p>
    <w:p w14:paraId="40FB0567" w14:textId="4BFC3164" w:rsidR="004A073D" w:rsidRDefault="004A073D" w:rsidP="004A073D">
      <w:pPr>
        <w:pStyle w:val="TableTitle"/>
      </w:pPr>
      <w:r w:rsidRPr="004A073D">
        <w:lastRenderedPageBreak/>
        <w:t xml:space="preserve">Table </w:t>
      </w:r>
      <w:fldSimple w:instr=" SEQ Table \* ARABIC ">
        <w:r w:rsidR="00FF7BA0">
          <w:rPr>
            <w:noProof/>
          </w:rPr>
          <w:t>1</w:t>
        </w:r>
      </w:fldSimple>
      <w:r w:rsidRPr="004A073D">
        <w:t>: Internatio</w:t>
      </w:r>
      <w:r>
        <w:t xml:space="preserve">nal regulatory status of </w:t>
      </w:r>
      <w:proofErr w:type="spellStart"/>
      <w:r>
        <w:t>Soliris</w:t>
      </w:r>
      <w:proofErr w:type="spellEnd"/>
    </w:p>
    <w:tbl>
      <w:tblPr>
        <w:tblStyle w:val="TableTGAblue"/>
        <w:tblW w:w="0" w:type="auto"/>
        <w:tblLook w:val="04A0" w:firstRow="1" w:lastRow="0" w:firstColumn="1" w:lastColumn="0" w:noHBand="0" w:noVBand="1"/>
      </w:tblPr>
      <w:tblGrid>
        <w:gridCol w:w="2180"/>
        <w:gridCol w:w="2180"/>
        <w:gridCol w:w="2180"/>
        <w:gridCol w:w="2180"/>
      </w:tblGrid>
      <w:tr w:rsidR="00006FAB" w14:paraId="1979AD45" w14:textId="77777777" w:rsidTr="00CF5DAD">
        <w:trPr>
          <w:cnfStyle w:val="100000000000" w:firstRow="1" w:lastRow="0" w:firstColumn="0" w:lastColumn="0" w:oddVBand="0" w:evenVBand="0" w:oddHBand="0" w:evenHBand="0" w:firstRowFirstColumn="0" w:firstRowLastColumn="0" w:lastRowFirstColumn="0" w:lastRowLastColumn="0"/>
        </w:trPr>
        <w:tc>
          <w:tcPr>
            <w:tcW w:w="2180" w:type="dxa"/>
            <w:tcBorders>
              <w:top w:val="single" w:sz="4" w:space="0" w:color="auto"/>
              <w:left w:val="single" w:sz="4" w:space="0" w:color="auto"/>
              <w:bottom w:val="single" w:sz="4" w:space="0" w:color="auto"/>
              <w:right w:val="single" w:sz="4" w:space="0" w:color="auto"/>
            </w:tcBorders>
          </w:tcPr>
          <w:p w14:paraId="1A418F73" w14:textId="77777777" w:rsidR="00006FAB" w:rsidRDefault="00006FAB" w:rsidP="00E975EA">
            <w:pPr>
              <w:ind w:left="0" w:right="0"/>
            </w:pPr>
            <w:r>
              <w:t>Region</w:t>
            </w:r>
          </w:p>
        </w:tc>
        <w:tc>
          <w:tcPr>
            <w:tcW w:w="2180" w:type="dxa"/>
            <w:tcBorders>
              <w:top w:val="single" w:sz="4" w:space="0" w:color="auto"/>
              <w:left w:val="single" w:sz="4" w:space="0" w:color="auto"/>
              <w:bottom w:val="single" w:sz="4" w:space="0" w:color="auto"/>
              <w:right w:val="single" w:sz="4" w:space="0" w:color="auto"/>
            </w:tcBorders>
          </w:tcPr>
          <w:p w14:paraId="6028E792" w14:textId="77777777" w:rsidR="00006FAB" w:rsidRDefault="00006FAB" w:rsidP="00E975EA">
            <w:pPr>
              <w:ind w:left="0" w:right="0"/>
            </w:pPr>
            <w:r>
              <w:t>Submission date</w:t>
            </w:r>
          </w:p>
        </w:tc>
        <w:tc>
          <w:tcPr>
            <w:tcW w:w="2180" w:type="dxa"/>
            <w:tcBorders>
              <w:top w:val="single" w:sz="4" w:space="0" w:color="auto"/>
              <w:left w:val="single" w:sz="4" w:space="0" w:color="auto"/>
              <w:bottom w:val="single" w:sz="4" w:space="0" w:color="auto"/>
              <w:right w:val="single" w:sz="4" w:space="0" w:color="auto"/>
            </w:tcBorders>
          </w:tcPr>
          <w:p w14:paraId="1C48C01B" w14:textId="77777777" w:rsidR="00006FAB" w:rsidRDefault="00006FAB" w:rsidP="00E975EA">
            <w:pPr>
              <w:ind w:left="0" w:right="0"/>
            </w:pPr>
            <w:r>
              <w:t>Status</w:t>
            </w:r>
          </w:p>
        </w:tc>
        <w:tc>
          <w:tcPr>
            <w:tcW w:w="2180" w:type="dxa"/>
            <w:tcBorders>
              <w:top w:val="single" w:sz="4" w:space="0" w:color="auto"/>
              <w:left w:val="single" w:sz="4" w:space="0" w:color="auto"/>
              <w:bottom w:val="single" w:sz="4" w:space="0" w:color="auto"/>
              <w:right w:val="single" w:sz="4" w:space="0" w:color="auto"/>
            </w:tcBorders>
          </w:tcPr>
          <w:p w14:paraId="2DFE8D26" w14:textId="77777777" w:rsidR="00006FAB" w:rsidRDefault="00006FAB" w:rsidP="00CB058C">
            <w:pPr>
              <w:ind w:left="0" w:right="0"/>
            </w:pPr>
            <w:r>
              <w:t>Approved indications</w:t>
            </w:r>
          </w:p>
        </w:tc>
      </w:tr>
      <w:tr w:rsidR="00006FAB" w14:paraId="1E4B0CD8" w14:textId="77777777" w:rsidTr="00CF5DAD">
        <w:tc>
          <w:tcPr>
            <w:tcW w:w="2180" w:type="dxa"/>
            <w:tcBorders>
              <w:top w:val="single" w:sz="4" w:space="0" w:color="auto"/>
            </w:tcBorders>
          </w:tcPr>
          <w:p w14:paraId="6BF8E7F6" w14:textId="77777777" w:rsidR="00006FAB" w:rsidRDefault="006310D0" w:rsidP="00E975EA">
            <w:pPr>
              <w:ind w:left="0" w:right="0"/>
            </w:pPr>
            <w:r>
              <w:t>USA</w:t>
            </w:r>
          </w:p>
        </w:tc>
        <w:tc>
          <w:tcPr>
            <w:tcW w:w="2180" w:type="dxa"/>
            <w:tcBorders>
              <w:top w:val="single" w:sz="4" w:space="0" w:color="auto"/>
            </w:tcBorders>
          </w:tcPr>
          <w:p w14:paraId="46E7B58A" w14:textId="77777777" w:rsidR="00006FAB" w:rsidRDefault="006F26ED" w:rsidP="00E975EA">
            <w:pPr>
              <w:ind w:left="0" w:right="0"/>
            </w:pPr>
            <w:r>
              <w:t>28 December 2018</w:t>
            </w:r>
          </w:p>
        </w:tc>
        <w:tc>
          <w:tcPr>
            <w:tcW w:w="2180" w:type="dxa"/>
            <w:tcBorders>
              <w:top w:val="single" w:sz="4" w:space="0" w:color="auto"/>
            </w:tcBorders>
          </w:tcPr>
          <w:p w14:paraId="422C3BA3" w14:textId="77777777" w:rsidR="00006FAB" w:rsidRDefault="006310D0" w:rsidP="00E975EA">
            <w:pPr>
              <w:ind w:left="0" w:right="0"/>
            </w:pPr>
            <w:r>
              <w:t>Approved on 27 June 2019</w:t>
            </w:r>
          </w:p>
        </w:tc>
        <w:tc>
          <w:tcPr>
            <w:tcW w:w="2180" w:type="dxa"/>
            <w:tcBorders>
              <w:top w:val="single" w:sz="4" w:space="0" w:color="auto"/>
            </w:tcBorders>
          </w:tcPr>
          <w:p w14:paraId="35F8A126" w14:textId="77777777" w:rsidR="00006FAB" w:rsidRPr="006310D0" w:rsidRDefault="006310D0" w:rsidP="00251F1C">
            <w:pPr>
              <w:ind w:left="0"/>
              <w:rPr>
                <w:i/>
              </w:rPr>
            </w:pPr>
            <w:r w:rsidRPr="006310D0">
              <w:rPr>
                <w:i/>
              </w:rPr>
              <w:t>The treatment of Neuromyelitis Optica spectrum disorder (NMOSD) in adult patients who are anti-aquaporin-4 (AQP4) antibody positive</w:t>
            </w:r>
          </w:p>
        </w:tc>
      </w:tr>
      <w:tr w:rsidR="00006FAB" w14:paraId="1EB0C486" w14:textId="77777777" w:rsidTr="00006FAB">
        <w:tc>
          <w:tcPr>
            <w:tcW w:w="2180" w:type="dxa"/>
          </w:tcPr>
          <w:p w14:paraId="40386C5F" w14:textId="77777777" w:rsidR="00006FAB" w:rsidRDefault="006310D0" w:rsidP="00E975EA">
            <w:pPr>
              <w:ind w:left="0" w:right="0"/>
            </w:pPr>
            <w:r>
              <w:t>EU</w:t>
            </w:r>
          </w:p>
        </w:tc>
        <w:tc>
          <w:tcPr>
            <w:tcW w:w="2180" w:type="dxa"/>
          </w:tcPr>
          <w:p w14:paraId="4FA2514D" w14:textId="77777777" w:rsidR="00006FAB" w:rsidRDefault="00612CF1" w:rsidP="00E975EA">
            <w:pPr>
              <w:ind w:left="0" w:right="0"/>
            </w:pPr>
            <w:r>
              <w:t>9 January 2019</w:t>
            </w:r>
          </w:p>
        </w:tc>
        <w:tc>
          <w:tcPr>
            <w:tcW w:w="2180" w:type="dxa"/>
          </w:tcPr>
          <w:p w14:paraId="2115DA2E" w14:textId="77777777" w:rsidR="00006FAB" w:rsidRDefault="006310D0" w:rsidP="00E975EA">
            <w:pPr>
              <w:ind w:left="0" w:right="0"/>
            </w:pPr>
            <w:r>
              <w:t>Approved on 26 August 2019</w:t>
            </w:r>
          </w:p>
        </w:tc>
        <w:tc>
          <w:tcPr>
            <w:tcW w:w="2180" w:type="dxa"/>
          </w:tcPr>
          <w:p w14:paraId="5E5FDD11" w14:textId="77777777" w:rsidR="00006FAB" w:rsidRPr="006310D0" w:rsidRDefault="006310D0" w:rsidP="00251F1C">
            <w:pPr>
              <w:ind w:left="0"/>
              <w:rPr>
                <w:i/>
              </w:rPr>
            </w:pPr>
            <w:r w:rsidRPr="006310D0">
              <w:rPr>
                <w:i/>
              </w:rPr>
              <w:t>The treatment of Neuromyelitis Optica spectrum disorder (NMOSD) in patients who are anti-aquaporin-4 (AQP4) antibody-positive with a relapsing course of the disease</w:t>
            </w:r>
          </w:p>
        </w:tc>
      </w:tr>
      <w:tr w:rsidR="006310D0" w14:paraId="2AD1EDDC" w14:textId="77777777" w:rsidTr="00006FAB">
        <w:tc>
          <w:tcPr>
            <w:tcW w:w="2180" w:type="dxa"/>
          </w:tcPr>
          <w:p w14:paraId="7E6FF901" w14:textId="77777777" w:rsidR="006310D0" w:rsidRDefault="006310D0" w:rsidP="00E975EA">
            <w:pPr>
              <w:ind w:left="0"/>
            </w:pPr>
            <w:r>
              <w:t>Canada</w:t>
            </w:r>
          </w:p>
        </w:tc>
        <w:tc>
          <w:tcPr>
            <w:tcW w:w="2180" w:type="dxa"/>
          </w:tcPr>
          <w:p w14:paraId="28B0A1A3" w14:textId="77777777" w:rsidR="006310D0" w:rsidRDefault="006310D0" w:rsidP="00251F1C">
            <w:pPr>
              <w:ind w:left="0"/>
            </w:pPr>
            <w:r>
              <w:t>18 March 2019</w:t>
            </w:r>
          </w:p>
        </w:tc>
        <w:tc>
          <w:tcPr>
            <w:tcW w:w="2180" w:type="dxa"/>
          </w:tcPr>
          <w:p w14:paraId="1B35B0E0" w14:textId="77777777" w:rsidR="006310D0" w:rsidRPr="00006FAB" w:rsidRDefault="006310D0" w:rsidP="00251F1C">
            <w:pPr>
              <w:ind w:left="0"/>
            </w:pPr>
            <w:r>
              <w:t>Approved on 24 September 2019</w:t>
            </w:r>
          </w:p>
        </w:tc>
        <w:tc>
          <w:tcPr>
            <w:tcW w:w="2180" w:type="dxa"/>
          </w:tcPr>
          <w:p w14:paraId="75CF3FDD" w14:textId="77777777" w:rsidR="006310D0" w:rsidRPr="006310D0" w:rsidRDefault="006310D0" w:rsidP="00251F1C">
            <w:pPr>
              <w:ind w:left="0"/>
            </w:pPr>
            <w:r>
              <w:rPr>
                <w:i/>
              </w:rPr>
              <w:t>The t</w:t>
            </w:r>
            <w:r w:rsidRPr="006310D0">
              <w:rPr>
                <w:i/>
              </w:rPr>
              <w:t>reatment of</w:t>
            </w:r>
            <w:r w:rsidRPr="006310D0">
              <w:t xml:space="preserve"> </w:t>
            </w:r>
            <w:proofErr w:type="spellStart"/>
            <w:r w:rsidRPr="006310D0">
              <w:rPr>
                <w:i/>
              </w:rPr>
              <w:t>Neuromylitis</w:t>
            </w:r>
            <w:proofErr w:type="spellEnd"/>
            <w:r w:rsidRPr="006310D0">
              <w:rPr>
                <w:i/>
              </w:rPr>
              <w:t xml:space="preserve"> Optica Spectrum Disorder (NMOSD) in adult patients who are anti-aquaporin-4 (AQP4) antibody positive.</w:t>
            </w:r>
          </w:p>
        </w:tc>
      </w:tr>
      <w:tr w:rsidR="006F26ED" w14:paraId="68CD7F9B" w14:textId="77777777" w:rsidTr="00006FAB">
        <w:tc>
          <w:tcPr>
            <w:tcW w:w="2180" w:type="dxa"/>
          </w:tcPr>
          <w:p w14:paraId="529ECC0A" w14:textId="77777777" w:rsidR="006F26ED" w:rsidRDefault="006F26ED" w:rsidP="00E975EA">
            <w:pPr>
              <w:ind w:left="0"/>
            </w:pPr>
            <w:r>
              <w:t>Japan</w:t>
            </w:r>
          </w:p>
        </w:tc>
        <w:tc>
          <w:tcPr>
            <w:tcW w:w="2180" w:type="dxa"/>
          </w:tcPr>
          <w:p w14:paraId="31068189" w14:textId="7579323A" w:rsidR="006F26ED" w:rsidRDefault="003A270C" w:rsidP="00E975EA">
            <w:pPr>
              <w:ind w:left="0"/>
            </w:pPr>
            <w:r>
              <w:t>22 November</w:t>
            </w:r>
            <w:r w:rsidR="006F26ED">
              <w:t xml:space="preserve"> 2019</w:t>
            </w:r>
          </w:p>
        </w:tc>
        <w:tc>
          <w:tcPr>
            <w:tcW w:w="2180" w:type="dxa"/>
          </w:tcPr>
          <w:p w14:paraId="61A43FCE" w14:textId="77777777" w:rsidR="006F26ED" w:rsidRDefault="006F26ED" w:rsidP="00E975EA">
            <w:pPr>
              <w:ind w:left="0"/>
            </w:pPr>
            <w:r>
              <w:t>Under consideration</w:t>
            </w:r>
          </w:p>
        </w:tc>
        <w:tc>
          <w:tcPr>
            <w:tcW w:w="2180" w:type="dxa"/>
          </w:tcPr>
          <w:p w14:paraId="7530B646" w14:textId="2DDA5915" w:rsidR="006F26ED" w:rsidRPr="004B1135" w:rsidRDefault="004B1135" w:rsidP="00251F1C">
            <w:pPr>
              <w:ind w:left="0"/>
            </w:pPr>
            <w:r w:rsidRPr="004B1135">
              <w:t>Under consideration</w:t>
            </w:r>
          </w:p>
        </w:tc>
      </w:tr>
      <w:tr w:rsidR="006F26ED" w14:paraId="0D571A7F" w14:textId="77777777" w:rsidTr="00006FAB">
        <w:tc>
          <w:tcPr>
            <w:tcW w:w="2180" w:type="dxa"/>
          </w:tcPr>
          <w:p w14:paraId="2EA557F8" w14:textId="77777777" w:rsidR="006F26ED" w:rsidRDefault="006F26ED" w:rsidP="00E975EA">
            <w:pPr>
              <w:ind w:left="0"/>
            </w:pPr>
            <w:r>
              <w:t>Russia</w:t>
            </w:r>
          </w:p>
        </w:tc>
        <w:tc>
          <w:tcPr>
            <w:tcW w:w="2180" w:type="dxa"/>
          </w:tcPr>
          <w:p w14:paraId="182C85D6" w14:textId="77777777" w:rsidR="006F26ED" w:rsidRDefault="006F26ED" w:rsidP="00E975EA">
            <w:pPr>
              <w:ind w:left="0"/>
            </w:pPr>
            <w:r>
              <w:t>10 September 2019</w:t>
            </w:r>
          </w:p>
        </w:tc>
        <w:tc>
          <w:tcPr>
            <w:tcW w:w="2180" w:type="dxa"/>
          </w:tcPr>
          <w:p w14:paraId="7F1713D1" w14:textId="77777777" w:rsidR="006F26ED" w:rsidRPr="004B1135" w:rsidRDefault="006F26ED" w:rsidP="00E975EA">
            <w:pPr>
              <w:ind w:left="0"/>
            </w:pPr>
            <w:r w:rsidRPr="004B1135">
              <w:t>Under consideration</w:t>
            </w:r>
          </w:p>
        </w:tc>
        <w:tc>
          <w:tcPr>
            <w:tcW w:w="2180" w:type="dxa"/>
          </w:tcPr>
          <w:p w14:paraId="33603828" w14:textId="3EDE07B5" w:rsidR="006F26ED" w:rsidRPr="004B1135" w:rsidRDefault="004B1135" w:rsidP="00251F1C">
            <w:pPr>
              <w:ind w:left="0"/>
            </w:pPr>
            <w:r w:rsidRPr="004B1135">
              <w:t>Under consideration</w:t>
            </w:r>
          </w:p>
        </w:tc>
      </w:tr>
      <w:tr w:rsidR="003A270C" w14:paraId="32351D1D" w14:textId="77777777" w:rsidTr="00006FAB">
        <w:tc>
          <w:tcPr>
            <w:tcW w:w="2180" w:type="dxa"/>
          </w:tcPr>
          <w:p w14:paraId="4C4DC77E" w14:textId="19C4D4F5" w:rsidR="003A270C" w:rsidRDefault="003A270C" w:rsidP="00FF7BA0">
            <w:pPr>
              <w:ind w:left="0"/>
            </w:pPr>
            <w:r>
              <w:t>Switzerland</w:t>
            </w:r>
          </w:p>
        </w:tc>
        <w:tc>
          <w:tcPr>
            <w:tcW w:w="2180" w:type="dxa"/>
          </w:tcPr>
          <w:p w14:paraId="5EEB1B71" w14:textId="30B7C8BE" w:rsidR="003A270C" w:rsidRDefault="003A270C" w:rsidP="00FF7BA0">
            <w:pPr>
              <w:ind w:left="0"/>
            </w:pPr>
            <w:r>
              <w:t>30 October 2020</w:t>
            </w:r>
          </w:p>
        </w:tc>
        <w:tc>
          <w:tcPr>
            <w:tcW w:w="2180" w:type="dxa"/>
          </w:tcPr>
          <w:p w14:paraId="7C88A2C0" w14:textId="15194831" w:rsidR="003A270C" w:rsidRPr="004B1135" w:rsidRDefault="003A270C" w:rsidP="003A270C">
            <w:pPr>
              <w:ind w:left="0"/>
            </w:pPr>
            <w:r>
              <w:t>Under consideration</w:t>
            </w:r>
          </w:p>
        </w:tc>
        <w:tc>
          <w:tcPr>
            <w:tcW w:w="2180" w:type="dxa"/>
          </w:tcPr>
          <w:p w14:paraId="20D8A4C0" w14:textId="1ECF5799" w:rsidR="003A270C" w:rsidRPr="004B1135" w:rsidRDefault="003A270C" w:rsidP="003A270C">
            <w:pPr>
              <w:ind w:left="0"/>
            </w:pPr>
            <w:r>
              <w:t>Under consideration</w:t>
            </w:r>
          </w:p>
        </w:tc>
      </w:tr>
    </w:tbl>
    <w:p w14:paraId="61A023F2" w14:textId="77777777" w:rsidR="008E7846" w:rsidRDefault="008E7846" w:rsidP="00940A89">
      <w:pPr>
        <w:pStyle w:val="Heading3"/>
      </w:pPr>
      <w:bookmarkStart w:id="21" w:name="_Toc57794884"/>
      <w:r>
        <w:t>Product Information</w:t>
      </w:r>
      <w:bookmarkEnd w:id="19"/>
      <w:bookmarkEnd w:id="20"/>
      <w:bookmarkEnd w:id="21"/>
    </w:p>
    <w:p w14:paraId="578FE264" w14:textId="24FF9E99" w:rsidR="00940A89" w:rsidRDefault="000C04BD" w:rsidP="00940A89">
      <w:bookmarkStart w:id="22" w:name="_Toc247691506"/>
      <w:bookmarkStart w:id="23" w:name="_Toc314842487"/>
      <w:r>
        <w:t>The PI</w:t>
      </w:r>
      <w:r w:rsidR="006136D7" w:rsidRPr="00940A89">
        <w:t xml:space="preserve"> </w:t>
      </w:r>
      <w:r w:rsidR="006136D7">
        <w:t xml:space="preserve">approved with the submission which is described in </w:t>
      </w:r>
      <w:r w:rsidR="006136D7" w:rsidRPr="00940A89">
        <w:t xml:space="preserve">this AusPAR can be found as Attachment 1. For the most recent </w:t>
      </w:r>
      <w:r w:rsidR="006136D7">
        <w:t>PI,</w:t>
      </w:r>
      <w:r w:rsidR="006136D7" w:rsidRPr="00940A89">
        <w:t xml:space="preserve"> ple</w:t>
      </w:r>
      <w:r w:rsidR="006136D7">
        <w:t>ase refer to the TGA website</w:t>
      </w:r>
      <w:r w:rsidR="006136D7" w:rsidRPr="00441C3F">
        <w:t xml:space="preserve"> at </w:t>
      </w:r>
      <w:r w:rsidR="00441C3F" w:rsidRPr="00441C3F">
        <w:t>&lt;</w:t>
      </w:r>
      <w:hyperlink r:id="rId16" w:history="1">
        <w:r w:rsidR="00441C3F" w:rsidRPr="00441C3F">
          <w:rPr>
            <w:rStyle w:val="Hyperlink"/>
          </w:rPr>
          <w:t>https://www.tga.gov.au/product-information-pi</w:t>
        </w:r>
      </w:hyperlink>
      <w:r w:rsidR="00441C3F">
        <w:t>&gt;</w:t>
      </w:r>
      <w:r w:rsidR="00940A89" w:rsidRPr="00940A89">
        <w:t>.</w:t>
      </w:r>
    </w:p>
    <w:p w14:paraId="45ECEA3F" w14:textId="77777777" w:rsidR="00500337" w:rsidRDefault="00500337" w:rsidP="00500337">
      <w:pPr>
        <w:pStyle w:val="Heading2"/>
      </w:pPr>
      <w:bookmarkStart w:id="24" w:name="_Toc504480011"/>
      <w:bookmarkStart w:id="25" w:name="_Toc57794885"/>
      <w:r>
        <w:lastRenderedPageBreak/>
        <w:t>II. Registration timeline</w:t>
      </w:r>
      <w:bookmarkEnd w:id="24"/>
      <w:bookmarkEnd w:id="25"/>
    </w:p>
    <w:p w14:paraId="2CE35D83" w14:textId="77777777" w:rsidR="00500337" w:rsidRDefault="00500337" w:rsidP="00500337">
      <w:r>
        <w:t>The following table captures the key steps and dates for this application and which are detailed and discussed in this AusPAR.</w:t>
      </w:r>
    </w:p>
    <w:p w14:paraId="29873046" w14:textId="1E3B805F" w:rsidR="00500337" w:rsidRDefault="009666A6" w:rsidP="009666A6">
      <w:pPr>
        <w:pStyle w:val="TableTitle"/>
      </w:pPr>
      <w:r w:rsidRPr="009666A6">
        <w:t xml:space="preserve">Table </w:t>
      </w:r>
      <w:fldSimple w:instr=" SEQ Table \* ARABIC ">
        <w:r w:rsidR="00FF7BA0">
          <w:rPr>
            <w:noProof/>
          </w:rPr>
          <w:t>2</w:t>
        </w:r>
      </w:fldSimple>
      <w:r w:rsidR="00006FAB">
        <w:t>:</w:t>
      </w:r>
      <w:r w:rsidR="006A58A8" w:rsidRPr="006A58A8">
        <w:t xml:space="preserve"> Timeline for Submission PM-201</w:t>
      </w:r>
      <w:r w:rsidR="003F5E70">
        <w:t>9-04825-1-1</w:t>
      </w:r>
    </w:p>
    <w:tbl>
      <w:tblPr>
        <w:tblStyle w:val="TableTGAblue"/>
        <w:tblW w:w="0" w:type="auto"/>
        <w:tblLook w:val="04A0" w:firstRow="1" w:lastRow="0" w:firstColumn="1" w:lastColumn="0" w:noHBand="0" w:noVBand="1"/>
      </w:tblPr>
      <w:tblGrid>
        <w:gridCol w:w="4360"/>
        <w:gridCol w:w="4360"/>
      </w:tblGrid>
      <w:tr w:rsidR="00500337" w14:paraId="6AC13B34" w14:textId="77777777" w:rsidTr="00CF5DAD">
        <w:trPr>
          <w:cnfStyle w:val="100000000000" w:firstRow="1" w:lastRow="0" w:firstColumn="0" w:lastColumn="0" w:oddVBand="0" w:evenVBand="0" w:oddHBand="0" w:evenHBand="0" w:firstRowFirstColumn="0" w:firstRowLastColumn="0" w:lastRowFirstColumn="0" w:lastRowLastColumn="0"/>
          <w:cantSplit/>
        </w:trPr>
        <w:tc>
          <w:tcPr>
            <w:tcW w:w="4360" w:type="dxa"/>
            <w:tcBorders>
              <w:top w:val="single" w:sz="4" w:space="0" w:color="auto"/>
              <w:left w:val="single" w:sz="4" w:space="0" w:color="auto"/>
              <w:bottom w:val="single" w:sz="4" w:space="0" w:color="auto"/>
              <w:right w:val="single" w:sz="4" w:space="0" w:color="auto"/>
            </w:tcBorders>
          </w:tcPr>
          <w:p w14:paraId="4253C46C" w14:textId="77777777" w:rsidR="00500337" w:rsidRDefault="00500337" w:rsidP="00500337">
            <w:pPr>
              <w:ind w:left="0" w:right="0"/>
            </w:pPr>
            <w:r>
              <w:t>Description</w:t>
            </w:r>
          </w:p>
        </w:tc>
        <w:tc>
          <w:tcPr>
            <w:tcW w:w="4360" w:type="dxa"/>
            <w:tcBorders>
              <w:top w:val="single" w:sz="4" w:space="0" w:color="auto"/>
              <w:left w:val="single" w:sz="4" w:space="0" w:color="auto"/>
              <w:bottom w:val="single" w:sz="4" w:space="0" w:color="auto"/>
              <w:right w:val="single" w:sz="4" w:space="0" w:color="auto"/>
            </w:tcBorders>
          </w:tcPr>
          <w:p w14:paraId="22A338A8" w14:textId="77777777" w:rsidR="00500337" w:rsidRDefault="00500337" w:rsidP="00500337">
            <w:pPr>
              <w:ind w:left="0" w:right="0"/>
            </w:pPr>
            <w:r>
              <w:t>Date</w:t>
            </w:r>
          </w:p>
        </w:tc>
      </w:tr>
      <w:tr w:rsidR="00500337" w14:paraId="01FA2D71" w14:textId="77777777" w:rsidTr="00CF5DAD">
        <w:tc>
          <w:tcPr>
            <w:tcW w:w="4360" w:type="dxa"/>
            <w:tcBorders>
              <w:top w:val="single" w:sz="4" w:space="0" w:color="auto"/>
            </w:tcBorders>
          </w:tcPr>
          <w:p w14:paraId="1209203F" w14:textId="4156B1B7" w:rsidR="00500337" w:rsidRDefault="00DD71FD" w:rsidP="00DD71FD">
            <w:pPr>
              <w:ind w:left="0" w:right="0"/>
            </w:pPr>
            <w:r>
              <w:t>Designation</w:t>
            </w:r>
            <w:r w:rsidR="008919FD">
              <w:t>:</w:t>
            </w:r>
            <w:r>
              <w:t xml:space="preserve"> </w:t>
            </w:r>
            <w:r w:rsidR="00500337">
              <w:t>Orphan</w:t>
            </w:r>
            <w:r w:rsidR="008919FD">
              <w:rPr>
                <w:rStyle w:val="FootnoteReference"/>
              </w:rPr>
              <w:footnoteReference w:id="5"/>
            </w:r>
          </w:p>
        </w:tc>
        <w:tc>
          <w:tcPr>
            <w:tcW w:w="4360" w:type="dxa"/>
            <w:tcBorders>
              <w:top w:val="single" w:sz="4" w:space="0" w:color="auto"/>
            </w:tcBorders>
          </w:tcPr>
          <w:p w14:paraId="0326C903" w14:textId="77777777" w:rsidR="00500337" w:rsidRDefault="00ED3FA8" w:rsidP="00500337">
            <w:pPr>
              <w:ind w:left="0" w:right="0"/>
            </w:pPr>
            <w:r>
              <w:t>16 September 2019</w:t>
            </w:r>
          </w:p>
        </w:tc>
      </w:tr>
      <w:tr w:rsidR="00500337" w14:paraId="5C827CDE" w14:textId="77777777" w:rsidTr="00500337">
        <w:tc>
          <w:tcPr>
            <w:tcW w:w="4360" w:type="dxa"/>
          </w:tcPr>
          <w:p w14:paraId="75AE081D" w14:textId="77777777" w:rsidR="00500337" w:rsidRDefault="00500337" w:rsidP="00500337">
            <w:pPr>
              <w:ind w:left="0" w:right="0"/>
            </w:pPr>
            <w:r>
              <w:t>Submission dossier accepted and first round evaluation commenced</w:t>
            </w:r>
          </w:p>
        </w:tc>
        <w:tc>
          <w:tcPr>
            <w:tcW w:w="4360" w:type="dxa"/>
          </w:tcPr>
          <w:p w14:paraId="307A3CFD" w14:textId="77777777" w:rsidR="00500337" w:rsidRDefault="00DD71FD" w:rsidP="00500337">
            <w:pPr>
              <w:ind w:left="0" w:right="0"/>
            </w:pPr>
            <w:r>
              <w:t>2 December 2019</w:t>
            </w:r>
          </w:p>
        </w:tc>
      </w:tr>
      <w:tr w:rsidR="00500337" w14:paraId="61291740" w14:textId="77777777" w:rsidTr="00500337">
        <w:tc>
          <w:tcPr>
            <w:tcW w:w="4360" w:type="dxa"/>
          </w:tcPr>
          <w:p w14:paraId="14FD2B04" w14:textId="77777777" w:rsidR="00500337" w:rsidRDefault="00500337" w:rsidP="00500337">
            <w:pPr>
              <w:ind w:left="0" w:right="0"/>
            </w:pPr>
            <w:r>
              <w:t>First round evaluation completed</w:t>
            </w:r>
          </w:p>
        </w:tc>
        <w:tc>
          <w:tcPr>
            <w:tcW w:w="4360" w:type="dxa"/>
          </w:tcPr>
          <w:p w14:paraId="4F67EE2D" w14:textId="77777777" w:rsidR="00500337" w:rsidRDefault="00DD71FD" w:rsidP="00500337">
            <w:pPr>
              <w:ind w:left="0" w:right="0"/>
            </w:pPr>
            <w:r>
              <w:t>26 February 2020</w:t>
            </w:r>
          </w:p>
        </w:tc>
      </w:tr>
      <w:tr w:rsidR="00500337" w14:paraId="4FB1EB13" w14:textId="77777777" w:rsidTr="00500337">
        <w:tc>
          <w:tcPr>
            <w:tcW w:w="4360" w:type="dxa"/>
          </w:tcPr>
          <w:p w14:paraId="006DE977" w14:textId="77777777" w:rsidR="00500337" w:rsidRDefault="00500337" w:rsidP="00500337">
            <w:pPr>
              <w:ind w:left="0" w:right="0"/>
            </w:pPr>
            <w:r>
              <w:t>Sponsor provides responses on questions raised in first round evaluation</w:t>
            </w:r>
          </w:p>
        </w:tc>
        <w:tc>
          <w:tcPr>
            <w:tcW w:w="4360" w:type="dxa"/>
          </w:tcPr>
          <w:p w14:paraId="13A22D56" w14:textId="77777777" w:rsidR="00500337" w:rsidRDefault="00DD71FD" w:rsidP="00500337">
            <w:pPr>
              <w:ind w:left="0" w:right="0"/>
            </w:pPr>
            <w:r>
              <w:t>27 March 2020</w:t>
            </w:r>
          </w:p>
        </w:tc>
      </w:tr>
      <w:tr w:rsidR="00500337" w14:paraId="6F524C0D" w14:textId="77777777" w:rsidTr="00500337">
        <w:tc>
          <w:tcPr>
            <w:tcW w:w="4360" w:type="dxa"/>
          </w:tcPr>
          <w:p w14:paraId="77940B08" w14:textId="77777777" w:rsidR="00500337" w:rsidRDefault="00500337" w:rsidP="00500337">
            <w:pPr>
              <w:ind w:left="0" w:right="0"/>
            </w:pPr>
            <w:r>
              <w:t>Second round evaluation completed</w:t>
            </w:r>
          </w:p>
        </w:tc>
        <w:tc>
          <w:tcPr>
            <w:tcW w:w="4360" w:type="dxa"/>
          </w:tcPr>
          <w:p w14:paraId="0578333D" w14:textId="77777777" w:rsidR="00500337" w:rsidRDefault="00DD71FD" w:rsidP="00500337">
            <w:pPr>
              <w:ind w:left="0" w:right="0"/>
            </w:pPr>
            <w:r>
              <w:t>14 April 2020</w:t>
            </w:r>
          </w:p>
        </w:tc>
      </w:tr>
      <w:tr w:rsidR="00500337" w14:paraId="4F297A3D" w14:textId="77777777" w:rsidTr="00500337">
        <w:tc>
          <w:tcPr>
            <w:tcW w:w="4360" w:type="dxa"/>
          </w:tcPr>
          <w:p w14:paraId="433C84F6" w14:textId="77777777" w:rsidR="00500337" w:rsidRDefault="00500337" w:rsidP="00500337">
            <w:pPr>
              <w:ind w:left="0" w:right="0"/>
            </w:pPr>
            <w:r>
              <w:t>Delegate’s Overall benefit-risk assessment and request for Advisory Committee advice</w:t>
            </w:r>
          </w:p>
        </w:tc>
        <w:tc>
          <w:tcPr>
            <w:tcW w:w="4360" w:type="dxa"/>
          </w:tcPr>
          <w:p w14:paraId="03C59D20" w14:textId="77777777" w:rsidR="00500337" w:rsidRDefault="00DD71FD" w:rsidP="00500337">
            <w:pPr>
              <w:ind w:left="0" w:right="0"/>
            </w:pPr>
            <w:r>
              <w:t>27 May 2020</w:t>
            </w:r>
          </w:p>
        </w:tc>
      </w:tr>
      <w:tr w:rsidR="00500337" w14:paraId="57993E98" w14:textId="77777777" w:rsidTr="00500337">
        <w:tc>
          <w:tcPr>
            <w:tcW w:w="4360" w:type="dxa"/>
          </w:tcPr>
          <w:p w14:paraId="0543570C" w14:textId="77777777" w:rsidR="00500337" w:rsidRDefault="00500337" w:rsidP="00500337">
            <w:pPr>
              <w:ind w:left="0" w:right="0"/>
            </w:pPr>
            <w:r>
              <w:t>Sponsor’s pre-Advisory Committee response</w:t>
            </w:r>
          </w:p>
        </w:tc>
        <w:tc>
          <w:tcPr>
            <w:tcW w:w="4360" w:type="dxa"/>
          </w:tcPr>
          <w:p w14:paraId="036F1585" w14:textId="77777777" w:rsidR="00500337" w:rsidRDefault="00DD71FD" w:rsidP="00500337">
            <w:pPr>
              <w:ind w:left="0" w:right="0"/>
            </w:pPr>
            <w:r>
              <w:t>Not applicable</w:t>
            </w:r>
          </w:p>
        </w:tc>
      </w:tr>
      <w:tr w:rsidR="00500337" w14:paraId="20F99636" w14:textId="77777777" w:rsidTr="00500337">
        <w:tc>
          <w:tcPr>
            <w:tcW w:w="4360" w:type="dxa"/>
          </w:tcPr>
          <w:p w14:paraId="2D033EA9" w14:textId="77777777" w:rsidR="00500337" w:rsidRDefault="00500337" w:rsidP="00500337">
            <w:pPr>
              <w:ind w:left="0" w:right="0"/>
            </w:pPr>
            <w:r>
              <w:t>Advisory Committee meeting</w:t>
            </w:r>
          </w:p>
        </w:tc>
        <w:tc>
          <w:tcPr>
            <w:tcW w:w="4360" w:type="dxa"/>
          </w:tcPr>
          <w:p w14:paraId="7087B361" w14:textId="77777777" w:rsidR="00500337" w:rsidRDefault="00DD71FD" w:rsidP="00500337">
            <w:pPr>
              <w:ind w:left="0" w:right="0"/>
            </w:pPr>
            <w:r>
              <w:t>Not applicable</w:t>
            </w:r>
          </w:p>
        </w:tc>
      </w:tr>
      <w:tr w:rsidR="00500337" w14:paraId="4AFC756B" w14:textId="77777777" w:rsidTr="00500337">
        <w:tc>
          <w:tcPr>
            <w:tcW w:w="4360" w:type="dxa"/>
          </w:tcPr>
          <w:p w14:paraId="220466C4" w14:textId="77777777" w:rsidR="00500337" w:rsidRDefault="00500337" w:rsidP="00500337">
            <w:pPr>
              <w:ind w:left="0" w:right="0"/>
            </w:pPr>
            <w:r>
              <w:t>Registration decision (Outcome)</w:t>
            </w:r>
          </w:p>
        </w:tc>
        <w:tc>
          <w:tcPr>
            <w:tcW w:w="4360" w:type="dxa"/>
          </w:tcPr>
          <w:p w14:paraId="1DE73C2E" w14:textId="77777777" w:rsidR="00500337" w:rsidRDefault="00DD71FD" w:rsidP="00500337">
            <w:pPr>
              <w:ind w:left="0" w:right="0"/>
            </w:pPr>
            <w:r>
              <w:t>26 June 2020</w:t>
            </w:r>
          </w:p>
        </w:tc>
      </w:tr>
      <w:tr w:rsidR="00500337" w14:paraId="4580BF2D" w14:textId="77777777" w:rsidTr="00500337">
        <w:tc>
          <w:tcPr>
            <w:tcW w:w="4360" w:type="dxa"/>
          </w:tcPr>
          <w:p w14:paraId="5231795D" w14:textId="77777777" w:rsidR="00500337" w:rsidRDefault="00500337" w:rsidP="00500337">
            <w:pPr>
              <w:ind w:left="0" w:right="0"/>
            </w:pPr>
            <w:r>
              <w:t xml:space="preserve">Completion of administrative activities and registration on </w:t>
            </w:r>
            <w:r w:rsidR="00006FAB">
              <w:t xml:space="preserve">the </w:t>
            </w:r>
            <w:r>
              <w:t>ARTG</w:t>
            </w:r>
          </w:p>
        </w:tc>
        <w:tc>
          <w:tcPr>
            <w:tcW w:w="4360" w:type="dxa"/>
          </w:tcPr>
          <w:p w14:paraId="4F09C96A" w14:textId="77777777" w:rsidR="00500337" w:rsidRDefault="00DD71FD" w:rsidP="00500337">
            <w:pPr>
              <w:ind w:left="0" w:right="0"/>
            </w:pPr>
            <w:r>
              <w:t>1 July 2020</w:t>
            </w:r>
          </w:p>
        </w:tc>
      </w:tr>
      <w:tr w:rsidR="00500337" w14:paraId="71747475" w14:textId="77777777" w:rsidTr="00500337">
        <w:tc>
          <w:tcPr>
            <w:tcW w:w="4360" w:type="dxa"/>
          </w:tcPr>
          <w:p w14:paraId="7732E8C0" w14:textId="77777777" w:rsidR="00500337" w:rsidRDefault="00500337" w:rsidP="00500337">
            <w:pPr>
              <w:ind w:left="0" w:right="0"/>
            </w:pPr>
            <w:r>
              <w:t>Number of working days from submission dossier acceptance to registration decision*</w:t>
            </w:r>
          </w:p>
        </w:tc>
        <w:tc>
          <w:tcPr>
            <w:tcW w:w="4360" w:type="dxa"/>
          </w:tcPr>
          <w:p w14:paraId="771811EC" w14:textId="77777777" w:rsidR="00500337" w:rsidRDefault="00DD71FD" w:rsidP="00500337">
            <w:pPr>
              <w:ind w:left="0" w:right="0"/>
            </w:pPr>
            <w:r>
              <w:t>115</w:t>
            </w:r>
          </w:p>
        </w:tc>
      </w:tr>
    </w:tbl>
    <w:p w14:paraId="1BA491BC" w14:textId="3E1E81E5" w:rsidR="00500337" w:rsidRDefault="00E975EA" w:rsidP="00500337">
      <w:pPr>
        <w:pStyle w:val="TableDescription"/>
      </w:pPr>
      <w:r w:rsidRPr="00006FAB">
        <w:t>* The COR-A process has a 120 working day evaluation and decision timeframe.</w:t>
      </w:r>
    </w:p>
    <w:p w14:paraId="13779C10" w14:textId="77777777" w:rsidR="008E7846" w:rsidRPr="00792A32" w:rsidRDefault="00456765" w:rsidP="008E7846">
      <w:pPr>
        <w:pStyle w:val="Heading2"/>
      </w:pPr>
      <w:bookmarkStart w:id="26" w:name="_Toc196046504"/>
      <w:bookmarkStart w:id="27" w:name="_Toc247691527"/>
      <w:bookmarkStart w:id="28" w:name="_Toc314842510"/>
      <w:bookmarkStart w:id="29" w:name="_Toc163441390"/>
      <w:bookmarkStart w:id="30" w:name="_Toc57794886"/>
      <w:bookmarkEnd w:id="1"/>
      <w:bookmarkEnd w:id="22"/>
      <w:bookmarkEnd w:id="23"/>
      <w:r>
        <w:t>I</w:t>
      </w:r>
      <w:r w:rsidR="00DA64CB">
        <w:t>I</w:t>
      </w:r>
      <w:r w:rsidR="008E7846">
        <w:t xml:space="preserve">I. </w:t>
      </w:r>
      <w:r w:rsidR="00006FAB" w:rsidRPr="00006FAB">
        <w:t xml:space="preserve">Submission overview </w:t>
      </w:r>
      <w:r w:rsidR="008E7846" w:rsidRPr="00792A32">
        <w:t xml:space="preserve">and </w:t>
      </w:r>
      <w:r w:rsidR="008E7846">
        <w:t>r</w:t>
      </w:r>
      <w:r w:rsidR="008E7846" w:rsidRPr="00792A32">
        <w:t>isk/</w:t>
      </w:r>
      <w:r w:rsidR="008E7846">
        <w:t>b</w:t>
      </w:r>
      <w:r w:rsidR="008E7846" w:rsidRPr="00792A32">
        <w:t xml:space="preserve">enefit </w:t>
      </w:r>
      <w:r w:rsidR="008E7846">
        <w:t>a</w:t>
      </w:r>
      <w:r w:rsidR="008E7846" w:rsidRPr="00792A32">
        <w:t>ssessment</w:t>
      </w:r>
      <w:bookmarkEnd w:id="26"/>
      <w:bookmarkEnd w:id="27"/>
      <w:bookmarkEnd w:id="28"/>
      <w:bookmarkEnd w:id="30"/>
    </w:p>
    <w:p w14:paraId="6EAABF37" w14:textId="320FB7E4" w:rsidR="00006FAB" w:rsidRDefault="00006FAB" w:rsidP="00006FAB">
      <w:bookmarkStart w:id="31" w:name="_Toc247691528"/>
      <w:r>
        <w:t xml:space="preserve">This section is a TGA summary of wording used in </w:t>
      </w:r>
      <w:r w:rsidR="008919FD">
        <w:t xml:space="preserve">the </w:t>
      </w:r>
      <w:r>
        <w:t xml:space="preserve">TGA’s evaluation report, which discussed numerous aspects of overseas evaluation reports and included some </w:t>
      </w:r>
      <w:r w:rsidR="000C069C">
        <w:t xml:space="preserve">information that was commercial in </w:t>
      </w:r>
      <w:r>
        <w:t>confidence.</w:t>
      </w:r>
    </w:p>
    <w:p w14:paraId="7280657D" w14:textId="77777777" w:rsidR="008E7846" w:rsidRDefault="008E7846" w:rsidP="008E7846">
      <w:pPr>
        <w:pStyle w:val="Heading3"/>
      </w:pPr>
      <w:bookmarkStart w:id="32" w:name="_Toc314842511"/>
      <w:bookmarkStart w:id="33" w:name="_Toc57794887"/>
      <w:r>
        <w:lastRenderedPageBreak/>
        <w:t>Quality</w:t>
      </w:r>
      <w:bookmarkEnd w:id="31"/>
      <w:bookmarkEnd w:id="32"/>
      <w:bookmarkEnd w:id="33"/>
    </w:p>
    <w:p w14:paraId="42C26B1D" w14:textId="77777777" w:rsidR="00E45619" w:rsidRDefault="00006FAB" w:rsidP="00006FAB">
      <w:r>
        <w:t>There was no requirement for a quality evaluation in a submission of this type.</w:t>
      </w:r>
    </w:p>
    <w:p w14:paraId="3794175F" w14:textId="77777777" w:rsidR="008E7846" w:rsidRDefault="008E7846" w:rsidP="008E7846">
      <w:pPr>
        <w:pStyle w:val="Heading3"/>
      </w:pPr>
      <w:bookmarkStart w:id="34" w:name="_Toc314842512"/>
      <w:bookmarkStart w:id="35" w:name="_Toc57794888"/>
      <w:r>
        <w:t>Nonclinical</w:t>
      </w:r>
      <w:bookmarkEnd w:id="34"/>
      <w:bookmarkEnd w:id="35"/>
    </w:p>
    <w:p w14:paraId="47515733" w14:textId="77777777" w:rsidR="008E7846" w:rsidRDefault="00006FAB" w:rsidP="00006FAB">
      <w:r>
        <w:t>There was no requirement for a nonclinical evaluation in a submission of this type.</w:t>
      </w:r>
    </w:p>
    <w:p w14:paraId="168B2881" w14:textId="77777777" w:rsidR="008E7846" w:rsidRDefault="008E7846" w:rsidP="004B1135">
      <w:pPr>
        <w:pStyle w:val="Heading3"/>
      </w:pPr>
      <w:bookmarkStart w:id="36" w:name="_Toc247691530"/>
      <w:bookmarkStart w:id="37" w:name="_Toc314842513"/>
      <w:bookmarkStart w:id="38" w:name="_Toc57794889"/>
      <w:r>
        <w:t>Clinical</w:t>
      </w:r>
      <w:bookmarkEnd w:id="36"/>
      <w:bookmarkEnd w:id="37"/>
      <w:bookmarkEnd w:id="38"/>
    </w:p>
    <w:p w14:paraId="739DA2B2" w14:textId="14449C0B" w:rsidR="007B6132" w:rsidRDefault="00006FAB" w:rsidP="00D54A7E">
      <w:bookmarkStart w:id="39" w:name="_Toc314842514"/>
      <w:r w:rsidRPr="00006FAB">
        <w:t xml:space="preserve">The clinical dossier consisted of </w:t>
      </w:r>
      <w:r w:rsidR="003A270C">
        <w:t>one</w:t>
      </w:r>
      <w:r w:rsidR="005D246C">
        <w:t xml:space="preserve"> Phase III</w:t>
      </w:r>
      <w:r w:rsidR="00D54A7E">
        <w:t xml:space="preserve"> clinical stud</w:t>
      </w:r>
      <w:r w:rsidR="008919FD">
        <w:t>y</w:t>
      </w:r>
      <w:r w:rsidR="003A270C">
        <w:t xml:space="preserve"> and its open label extension study</w:t>
      </w:r>
      <w:r w:rsidR="00D54A7E">
        <w:t xml:space="preserve">, </w:t>
      </w:r>
      <w:r w:rsidR="00E975EA">
        <w:t>Stud</w:t>
      </w:r>
      <w:r w:rsidR="008919FD">
        <w:t>y</w:t>
      </w:r>
      <w:r w:rsidR="00E975EA">
        <w:t xml:space="preserve"> </w:t>
      </w:r>
      <w:r w:rsidR="00D54A7E">
        <w:t xml:space="preserve">ECU-NMO-301 and </w:t>
      </w:r>
      <w:r w:rsidR="008919FD">
        <w:t xml:space="preserve">Study </w:t>
      </w:r>
      <w:r w:rsidR="00D54A7E">
        <w:t>ECU-NMO-302</w:t>
      </w:r>
      <w:r w:rsidR="003A270C">
        <w:t xml:space="preserve"> respectively</w:t>
      </w:r>
      <w:r w:rsidR="00D54A7E">
        <w:t>.</w:t>
      </w:r>
    </w:p>
    <w:p w14:paraId="424CA5DC" w14:textId="40966B7E" w:rsidR="00D54A7E" w:rsidRDefault="003F43BD" w:rsidP="00992B7F">
      <w:pPr>
        <w:pStyle w:val="ListBullet"/>
      </w:pPr>
      <w:r>
        <w:t xml:space="preserve">Study </w:t>
      </w:r>
      <w:r w:rsidR="00D54A7E">
        <w:t xml:space="preserve">ECU-NMO-301: A </w:t>
      </w:r>
      <w:r w:rsidR="005D246C">
        <w:t>Phase III</w:t>
      </w:r>
      <w:r w:rsidR="004B1135">
        <w:t>, randomi</w:t>
      </w:r>
      <w:r w:rsidR="00E975EA">
        <w:t>s</w:t>
      </w:r>
      <w:r w:rsidR="004B1135">
        <w:t xml:space="preserve">ed (2:1), double blind, parallel </w:t>
      </w:r>
      <w:r w:rsidR="00D54A7E">
        <w:t>g</w:t>
      </w:r>
      <w:r w:rsidR="00C90F96">
        <w:t xml:space="preserve">roup, placebo </w:t>
      </w:r>
      <w:r w:rsidR="004B1135">
        <w:t>controlled, multicentre</w:t>
      </w:r>
      <w:r w:rsidR="00D54A7E">
        <w:t xml:space="preserve"> study. It evaluates the efficacy, safety, </w:t>
      </w:r>
      <w:r w:rsidR="00992B7F" w:rsidRPr="00992B7F">
        <w:t>pharmacokinetic</w:t>
      </w:r>
      <w:r w:rsidR="005D246C">
        <w:t>s</w:t>
      </w:r>
      <w:r w:rsidR="00992B7F" w:rsidRPr="00992B7F">
        <w:t xml:space="preserve"> </w:t>
      </w:r>
      <w:r w:rsidR="00992B7F">
        <w:t>(</w:t>
      </w:r>
      <w:r w:rsidR="00D54A7E">
        <w:t>PK</w:t>
      </w:r>
      <w:r w:rsidR="00992B7F">
        <w:t>)</w:t>
      </w:r>
      <w:r w:rsidR="00D54A7E">
        <w:t xml:space="preserve">, and </w:t>
      </w:r>
      <w:r w:rsidR="00992B7F" w:rsidRPr="00992B7F">
        <w:t>pharmacodynamic</w:t>
      </w:r>
      <w:r w:rsidR="005D246C">
        <w:t>s</w:t>
      </w:r>
      <w:r w:rsidR="00992B7F" w:rsidRPr="00992B7F">
        <w:t xml:space="preserve"> </w:t>
      </w:r>
      <w:r w:rsidR="00891639">
        <w:t>(</w:t>
      </w:r>
      <w:r w:rsidR="00D54A7E">
        <w:t>PD</w:t>
      </w:r>
      <w:r w:rsidR="00891639">
        <w:t xml:space="preserve">) of </w:t>
      </w:r>
      <w:proofErr w:type="spellStart"/>
      <w:r w:rsidR="00891639">
        <w:t>Soliris</w:t>
      </w:r>
      <w:proofErr w:type="spellEnd"/>
      <w:r w:rsidR="00891639">
        <w:t>.</w:t>
      </w:r>
    </w:p>
    <w:p w14:paraId="6382134E" w14:textId="3E4BAC3A" w:rsidR="00D54A7E" w:rsidRDefault="003F43BD" w:rsidP="00D54A7E">
      <w:pPr>
        <w:pStyle w:val="ListBullet"/>
      </w:pPr>
      <w:r>
        <w:t xml:space="preserve">Study </w:t>
      </w:r>
      <w:r w:rsidR="00D54A7E">
        <w:t xml:space="preserve">ECU-NMO-302: A </w:t>
      </w:r>
      <w:r w:rsidR="005D246C">
        <w:t>Phase III</w:t>
      </w:r>
      <w:r w:rsidR="004B1135">
        <w:t>, open label, multi</w:t>
      </w:r>
      <w:r w:rsidR="00D54A7E">
        <w:t xml:space="preserve">centre, extension study. It evaluates the efficacy, safety, PK, and PD of </w:t>
      </w:r>
      <w:proofErr w:type="spellStart"/>
      <w:r w:rsidR="00D54A7E">
        <w:t>Soliris</w:t>
      </w:r>
      <w:proofErr w:type="spellEnd"/>
      <w:r w:rsidR="00D54A7E">
        <w:t>.</w:t>
      </w:r>
    </w:p>
    <w:p w14:paraId="01776B99" w14:textId="77777777" w:rsidR="006F26ED" w:rsidRDefault="006F26ED" w:rsidP="006F26ED">
      <w:pPr>
        <w:pStyle w:val="Heading4"/>
      </w:pPr>
      <w:r w:rsidRPr="003F08CF">
        <w:t>Pharmacology</w:t>
      </w:r>
    </w:p>
    <w:p w14:paraId="5D677378" w14:textId="5F8BBA15" w:rsidR="006F26ED" w:rsidRPr="002E2F52" w:rsidRDefault="005D246C" w:rsidP="006F26ED">
      <w:r>
        <w:t>The PK</w:t>
      </w:r>
      <w:r w:rsidR="006F26ED" w:rsidRPr="002E2F52">
        <w:t xml:space="preserve"> and </w:t>
      </w:r>
      <w:r>
        <w:t>PD</w:t>
      </w:r>
      <w:r w:rsidR="006F26ED" w:rsidRPr="002E2F52">
        <w:t xml:space="preserve"> of </w:t>
      </w:r>
      <w:proofErr w:type="spellStart"/>
      <w:r w:rsidR="006F26ED" w:rsidRPr="002E2F52">
        <w:t>Soliris</w:t>
      </w:r>
      <w:proofErr w:type="spellEnd"/>
      <w:r w:rsidR="006F26ED" w:rsidRPr="002E2F52">
        <w:t xml:space="preserve"> (</w:t>
      </w:r>
      <w:proofErr w:type="spellStart"/>
      <w:r w:rsidR="006F26ED" w:rsidRPr="002E2F52">
        <w:t>eculizumab</w:t>
      </w:r>
      <w:proofErr w:type="spellEnd"/>
      <w:r w:rsidR="006F26ED" w:rsidRPr="002E2F52">
        <w:t>) in patients with relapsing NMOSD were</w:t>
      </w:r>
      <w:r w:rsidR="003F43BD">
        <w:t xml:space="preserve"> studied in the Phase III trial, Study </w:t>
      </w:r>
      <w:r w:rsidR="006F26ED" w:rsidRPr="002E2F52">
        <w:t>ECU-NMO-301</w:t>
      </w:r>
      <w:r>
        <w:t>.</w:t>
      </w:r>
    </w:p>
    <w:p w14:paraId="64C5A6D9" w14:textId="77777777" w:rsidR="006F26ED" w:rsidRDefault="001C74AF" w:rsidP="001C74AF">
      <w:pPr>
        <w:pStyle w:val="Heading5"/>
      </w:pPr>
      <w:r>
        <w:t>P</w:t>
      </w:r>
      <w:r w:rsidR="006F26ED">
        <w:t>harmacokinetics</w:t>
      </w:r>
    </w:p>
    <w:p w14:paraId="0D9EB97D" w14:textId="34807463" w:rsidR="006F26ED" w:rsidRDefault="006F26ED" w:rsidP="006F26ED">
      <w:r w:rsidRPr="00093676">
        <w:t xml:space="preserve">94 patients with 2014 samples were analysed over the </w:t>
      </w:r>
      <w:r>
        <w:t xml:space="preserve">study period (up to 204 weeks). The PK data were then incorporated </w:t>
      </w:r>
      <w:r w:rsidRPr="00093676">
        <w:t>in a population pharmac</w:t>
      </w:r>
      <w:r w:rsidR="00C90F96">
        <w:t xml:space="preserve">okinetic modelling and exposure </w:t>
      </w:r>
      <w:r w:rsidRPr="00093676">
        <w:t>response analysis.</w:t>
      </w:r>
    </w:p>
    <w:p w14:paraId="1D3E9E0B" w14:textId="7208705A" w:rsidR="006F26ED" w:rsidRDefault="00DF7CF6" w:rsidP="006F26ED">
      <w:r>
        <w:t>The threshold concentration (for example,</w:t>
      </w:r>
      <w:r w:rsidR="006F26ED" w:rsidRPr="00E96F2D">
        <w:t xml:space="preserve"> concentration to achieve complete terminal complement inhibition) of 116 </w:t>
      </w:r>
      <w:r w:rsidR="008919FD">
        <w:t>µ</w:t>
      </w:r>
      <w:r w:rsidR="006F26ED" w:rsidRPr="00E96F2D">
        <w:t xml:space="preserve">g/mL was derived from the previous population PK/PD report for </w:t>
      </w:r>
      <w:proofErr w:type="spellStart"/>
      <w:r w:rsidR="006F26ED" w:rsidRPr="00E96F2D">
        <w:t>eculizumab</w:t>
      </w:r>
      <w:proofErr w:type="spellEnd"/>
      <w:r w:rsidR="006F26ED" w:rsidRPr="00E96F2D">
        <w:t xml:space="preserve"> in generali</w:t>
      </w:r>
      <w:r w:rsidR="008919FD">
        <w:t>s</w:t>
      </w:r>
      <w:r w:rsidR="006F26ED" w:rsidRPr="00E96F2D">
        <w:t>ed myasthenia gravis (</w:t>
      </w:r>
      <w:proofErr w:type="spellStart"/>
      <w:r w:rsidR="006F26ED" w:rsidRPr="00E96F2D">
        <w:t>gMG</w:t>
      </w:r>
      <w:proofErr w:type="spellEnd"/>
      <w:r w:rsidR="006F26ED" w:rsidRPr="00E96F2D">
        <w:t>) studies</w:t>
      </w:r>
      <w:r w:rsidR="006F26ED">
        <w:t>. T</w:t>
      </w:r>
      <w:r w:rsidR="00B440C5">
        <w:t>he</w:t>
      </w:r>
      <w:r w:rsidR="006F26ED">
        <w:t xml:space="preserve"> evaluator considered that </w:t>
      </w:r>
      <w:r w:rsidR="008919FD">
        <w:t>‘</w:t>
      </w:r>
      <w:r w:rsidR="006F26ED" w:rsidRPr="00230234">
        <w:rPr>
          <w:i/>
        </w:rPr>
        <w:t xml:space="preserve">based upon the characteristics of </w:t>
      </w:r>
      <w:proofErr w:type="spellStart"/>
      <w:r w:rsidR="006F26ED" w:rsidRPr="00230234">
        <w:rPr>
          <w:i/>
        </w:rPr>
        <w:t>gMG</w:t>
      </w:r>
      <w:proofErr w:type="spellEnd"/>
      <w:r w:rsidR="006F26ED" w:rsidRPr="00230234">
        <w:rPr>
          <w:i/>
        </w:rPr>
        <w:t xml:space="preserve"> and NMOSD, it is unlikely that this relationship would differ in patients with NMOSD</w:t>
      </w:r>
      <w:r w:rsidR="008919FD">
        <w:rPr>
          <w:i/>
        </w:rPr>
        <w:t>’</w:t>
      </w:r>
      <w:r w:rsidR="006F26ED" w:rsidRPr="00E96F2D">
        <w:t xml:space="preserve">. Thus, the approach to use a threshold concentration of 116 </w:t>
      </w:r>
      <w:r w:rsidR="008919FD">
        <w:t>µ</w:t>
      </w:r>
      <w:r w:rsidR="006F26ED" w:rsidRPr="00E96F2D">
        <w:t xml:space="preserve">g/mL as a benchmark to assess the relationship between </w:t>
      </w:r>
      <w:proofErr w:type="spellStart"/>
      <w:r w:rsidR="006F26ED" w:rsidRPr="00E96F2D">
        <w:t>eculizumab</w:t>
      </w:r>
      <w:proofErr w:type="spellEnd"/>
      <w:r w:rsidR="006F26ED" w:rsidRPr="00E96F2D">
        <w:t xml:space="preserve"> exposures an</w:t>
      </w:r>
      <w:r w:rsidR="006F26ED">
        <w:t xml:space="preserve">d free </w:t>
      </w:r>
      <w:r w:rsidR="002170DB">
        <w:rPr>
          <w:color w:val="000000"/>
          <w:shd w:val="clear" w:color="auto" w:fill="FFFFFF"/>
        </w:rPr>
        <w:t>complement protein C5</w:t>
      </w:r>
      <w:r w:rsidR="002170DB">
        <w:t xml:space="preserve"> (</w:t>
      </w:r>
      <w:r w:rsidR="006F26ED">
        <w:t>C5</w:t>
      </w:r>
      <w:r w:rsidR="002170DB">
        <w:t>)</w:t>
      </w:r>
      <w:r w:rsidR="006F26ED">
        <w:t xml:space="preserve"> inhibition was considered as </w:t>
      </w:r>
      <w:r w:rsidR="006F26ED" w:rsidRPr="00E96F2D">
        <w:t>acceptable.</w:t>
      </w:r>
    </w:p>
    <w:p w14:paraId="0641D73A" w14:textId="4F0687D0" w:rsidR="006F26ED" w:rsidRDefault="006F26ED" w:rsidP="006F26ED">
      <w:r w:rsidRPr="00E96F2D">
        <w:t>Medi</w:t>
      </w:r>
      <w:r>
        <w:t>an</w:t>
      </w:r>
      <w:r w:rsidR="008310DC">
        <w:t xml:space="preserve"> serum</w:t>
      </w:r>
      <w:r>
        <w:t xml:space="preserve"> trough concentration</w:t>
      </w:r>
      <w:r w:rsidR="008310DC">
        <w:t xml:space="preserve"> (</w:t>
      </w:r>
      <w:proofErr w:type="spellStart"/>
      <w:r w:rsidR="008310DC">
        <w:t>C</w:t>
      </w:r>
      <w:r w:rsidR="008310DC" w:rsidRPr="00FF7BA0">
        <w:rPr>
          <w:vertAlign w:val="subscript"/>
        </w:rPr>
        <w:t>trough</w:t>
      </w:r>
      <w:proofErr w:type="spellEnd"/>
      <w:r w:rsidR="008310DC">
        <w:t>)</w:t>
      </w:r>
      <w:r>
        <w:t xml:space="preserve"> was approximately 400 </w:t>
      </w:r>
      <w:r w:rsidR="008310DC">
        <w:t>µ</w:t>
      </w:r>
      <w:r>
        <w:t>g/</w:t>
      </w:r>
      <w:proofErr w:type="spellStart"/>
      <w:r>
        <w:t>mL.</w:t>
      </w:r>
      <w:proofErr w:type="spellEnd"/>
      <w:r w:rsidR="008310DC">
        <w:rPr>
          <w:rStyle w:val="FootnoteReference"/>
        </w:rPr>
        <w:footnoteReference w:id="6"/>
      </w:r>
      <w:r w:rsidR="008310DC" w:rsidRPr="00093676">
        <w:t xml:space="preserve"> </w:t>
      </w:r>
      <w:r>
        <w:t xml:space="preserve"> The </w:t>
      </w:r>
      <w:r w:rsidRPr="00E96F2D">
        <w:t xml:space="preserve">individual concentrations </w:t>
      </w:r>
      <w:r>
        <w:t xml:space="preserve">were mostly </w:t>
      </w:r>
      <w:r w:rsidRPr="00E96F2D">
        <w:t xml:space="preserve">ranging between 100 and 700 </w:t>
      </w:r>
      <w:r w:rsidR="008310DC">
        <w:t>µ</w:t>
      </w:r>
      <w:r w:rsidRPr="00E96F2D">
        <w:t>g/</w:t>
      </w:r>
      <w:proofErr w:type="spellStart"/>
      <w:r w:rsidRPr="00E96F2D">
        <w:t>mL.</w:t>
      </w:r>
      <w:proofErr w:type="spellEnd"/>
      <w:r>
        <w:t xml:space="preserve"> The </w:t>
      </w:r>
      <w:r w:rsidRPr="00E96F2D">
        <w:t xml:space="preserve">majority of trough </w:t>
      </w:r>
      <w:proofErr w:type="spellStart"/>
      <w:r w:rsidRPr="00E96F2D">
        <w:t>eculizumab</w:t>
      </w:r>
      <w:proofErr w:type="spellEnd"/>
      <w:r w:rsidRPr="00E96F2D">
        <w:t xml:space="preserve"> serum concentrations were well above the threshold of 116</w:t>
      </w:r>
      <w:r w:rsidR="008310DC">
        <w:t> µ</w:t>
      </w:r>
      <w:r w:rsidRPr="00E96F2D">
        <w:t>g/</w:t>
      </w:r>
      <w:proofErr w:type="spellStart"/>
      <w:r w:rsidRPr="00E96F2D">
        <w:t>mL.</w:t>
      </w:r>
      <w:proofErr w:type="spellEnd"/>
      <w:r w:rsidRPr="00E96F2D">
        <w:t xml:space="preserve"> </w:t>
      </w:r>
      <w:r>
        <w:t xml:space="preserve">Also, </w:t>
      </w:r>
      <w:r w:rsidRPr="00E96F2D">
        <w:t xml:space="preserve">88.4% of the </w:t>
      </w:r>
      <w:r>
        <w:t>patient population</w:t>
      </w:r>
      <w:r w:rsidRPr="00E96F2D">
        <w:t xml:space="preserve"> had serum </w:t>
      </w:r>
      <w:proofErr w:type="spellStart"/>
      <w:r w:rsidRPr="00E96F2D">
        <w:t>eculizumab</w:t>
      </w:r>
      <w:proofErr w:type="spellEnd"/>
      <w:r w:rsidRPr="00E96F2D">
        <w:t xml:space="preserve"> concentrations above the threshold for the full dosing interval.</w:t>
      </w:r>
    </w:p>
    <w:p w14:paraId="26EA8DA2" w14:textId="6FA1F209" w:rsidR="006F26ED" w:rsidRDefault="006F26ED" w:rsidP="006F26ED">
      <w:r w:rsidRPr="00093676">
        <w:t xml:space="preserve">Population </w:t>
      </w:r>
      <w:r w:rsidR="002170DB">
        <w:t>PK</w:t>
      </w:r>
      <w:r w:rsidRPr="00093676">
        <w:t xml:space="preserve"> analyses (</w:t>
      </w:r>
      <w:r>
        <w:t>based on Study ECU-NMO-301 data</w:t>
      </w:r>
      <w:r w:rsidRPr="00093676">
        <w:t xml:space="preserve">) estimated the terminal elimination half-life to be 414 ± 103 hours. </w:t>
      </w:r>
      <w:r w:rsidR="002170DB" w:rsidRPr="002170DB">
        <w:t xml:space="preserve">Trough concentration </w:t>
      </w:r>
      <w:r w:rsidR="002170DB">
        <w:t>(</w:t>
      </w:r>
      <w:proofErr w:type="spellStart"/>
      <w:r w:rsidRPr="00093676">
        <w:t>C</w:t>
      </w:r>
      <w:r w:rsidRPr="002170DB">
        <w:rPr>
          <w:vertAlign w:val="subscript"/>
        </w:rPr>
        <w:t>trough</w:t>
      </w:r>
      <w:proofErr w:type="spellEnd"/>
      <w:r w:rsidR="002170DB" w:rsidRPr="002170DB">
        <w:t>)</w:t>
      </w:r>
      <w:r w:rsidR="00DF7CF6">
        <w:t>;</w:t>
      </w:r>
      <w:r w:rsidRPr="00093676">
        <w:t xml:space="preserve"> was maintained above the threshold PK concentration (116 </w:t>
      </w:r>
      <w:r w:rsidR="008310DC">
        <w:t>µ</w:t>
      </w:r>
      <w:r w:rsidRPr="00093676">
        <w:t xml:space="preserve">g/mL) to achieve complete inhibition of terminal complement at </w:t>
      </w:r>
      <w:r w:rsidR="00C90F96">
        <w:t>all-</w:t>
      </w:r>
      <w:r w:rsidR="00C90F96" w:rsidRPr="00093676">
        <w:t>time</w:t>
      </w:r>
      <w:r w:rsidRPr="00093676">
        <w:t xml:space="preserve"> points in the majority of the patients (88.4%).</w:t>
      </w:r>
    </w:p>
    <w:p w14:paraId="0F485739" w14:textId="75B9A6D9" w:rsidR="006F26ED" w:rsidRDefault="008310DC" w:rsidP="00E975EA">
      <w:r>
        <w:t>A</w:t>
      </w:r>
      <w:r w:rsidR="00BE73D9" w:rsidRPr="00251F1C">
        <w:t>nti-drug antibod</w:t>
      </w:r>
      <w:r>
        <w:rPr>
          <w:rFonts w:asciiTheme="minorHAnsi" w:hAnsiTheme="minorHAnsi" w:cs="Arial"/>
          <w:sz w:val="21"/>
          <w:szCs w:val="21"/>
          <w:shd w:val="clear" w:color="auto" w:fill="FFFFFF"/>
        </w:rPr>
        <w:t>y (ADA)</w:t>
      </w:r>
      <w:r w:rsidR="006F26ED" w:rsidRPr="00BE73D9">
        <w:rPr>
          <w:rFonts w:asciiTheme="minorHAnsi" w:hAnsiTheme="minorHAnsi"/>
        </w:rPr>
        <w:t xml:space="preserve"> and </w:t>
      </w:r>
      <w:r>
        <w:rPr>
          <w:rFonts w:asciiTheme="minorHAnsi" w:hAnsiTheme="minorHAnsi"/>
        </w:rPr>
        <w:t>neutralising antibody (</w:t>
      </w:r>
      <w:proofErr w:type="spellStart"/>
      <w:r w:rsidR="006F26ED" w:rsidRPr="00BE73D9">
        <w:rPr>
          <w:rFonts w:asciiTheme="minorHAnsi" w:hAnsiTheme="minorHAnsi"/>
        </w:rPr>
        <w:t>N</w:t>
      </w:r>
      <w:r>
        <w:rPr>
          <w:rFonts w:asciiTheme="minorHAnsi" w:hAnsiTheme="minorHAnsi"/>
        </w:rPr>
        <w:t>A</w:t>
      </w:r>
      <w:r w:rsidR="006F26ED" w:rsidRPr="00BE73D9">
        <w:rPr>
          <w:rFonts w:asciiTheme="minorHAnsi" w:hAnsiTheme="minorHAnsi"/>
        </w:rPr>
        <w:t>b</w:t>
      </w:r>
      <w:proofErr w:type="spellEnd"/>
      <w:r>
        <w:rPr>
          <w:rFonts w:asciiTheme="minorHAnsi" w:hAnsiTheme="minorHAnsi"/>
        </w:rPr>
        <w:t>)</w:t>
      </w:r>
      <w:r w:rsidR="006F26ED" w:rsidRPr="00BE73D9">
        <w:rPr>
          <w:rFonts w:asciiTheme="minorHAnsi" w:hAnsiTheme="minorHAnsi"/>
        </w:rPr>
        <w:t xml:space="preserve"> formation was monitored in</w:t>
      </w:r>
      <w:r w:rsidR="006F26ED" w:rsidRPr="00BE73D9">
        <w:t xml:space="preserve"> </w:t>
      </w:r>
      <w:r w:rsidR="006F26ED">
        <w:t xml:space="preserve">Study ECU-NMO-301. Immunogenicity associated with the use of </w:t>
      </w:r>
      <w:proofErr w:type="spellStart"/>
      <w:r w:rsidR="006F26ED">
        <w:t>eculizumab</w:t>
      </w:r>
      <w:proofErr w:type="spellEnd"/>
      <w:r w:rsidR="006F26ED">
        <w:t xml:space="preserve"> in NMOSD was not identified as a significant concern.</w:t>
      </w:r>
    </w:p>
    <w:p w14:paraId="6546D13D" w14:textId="1DED1B03" w:rsidR="006F26ED" w:rsidRDefault="006F26ED" w:rsidP="006F26ED">
      <w:r>
        <w:lastRenderedPageBreak/>
        <w:t xml:space="preserve">Overall, </w:t>
      </w:r>
      <w:r w:rsidRPr="00C703ED">
        <w:t xml:space="preserve">the final parameter estimates are roughly similar to the </w:t>
      </w:r>
      <w:r w:rsidR="008310DC">
        <w:t>PK</w:t>
      </w:r>
      <w:r w:rsidR="008310DC" w:rsidRPr="00C703ED">
        <w:t xml:space="preserve"> </w:t>
      </w:r>
      <w:r w:rsidRPr="00C703ED">
        <w:t xml:space="preserve">profiles of </w:t>
      </w:r>
      <w:proofErr w:type="spellStart"/>
      <w:r w:rsidRPr="00C703ED">
        <w:t>eculizumab</w:t>
      </w:r>
      <w:proofErr w:type="spellEnd"/>
      <w:r w:rsidRPr="00C703ED">
        <w:t xml:space="preserve"> in the previously reviewed </w:t>
      </w:r>
      <w:proofErr w:type="spellStart"/>
      <w:r w:rsidRPr="00C703ED">
        <w:t>aHUS</w:t>
      </w:r>
      <w:proofErr w:type="spellEnd"/>
      <w:r w:rsidRPr="00C703ED">
        <w:t xml:space="preserve"> and </w:t>
      </w:r>
      <w:proofErr w:type="spellStart"/>
      <w:r w:rsidRPr="00C703ED">
        <w:t>gMG</w:t>
      </w:r>
      <w:proofErr w:type="spellEnd"/>
      <w:r w:rsidRPr="00C703ED">
        <w:t xml:space="preserve"> populations.</w:t>
      </w:r>
    </w:p>
    <w:p w14:paraId="68D5FF74" w14:textId="77777777" w:rsidR="001C74AF" w:rsidRDefault="001C74AF" w:rsidP="001C74AF">
      <w:pPr>
        <w:pStyle w:val="Heading5"/>
      </w:pPr>
      <w:r>
        <w:t>P</w:t>
      </w:r>
      <w:r w:rsidRPr="002E2F52">
        <w:t>harmacodynamics</w:t>
      </w:r>
    </w:p>
    <w:p w14:paraId="74B5ED5D" w14:textId="77777777" w:rsidR="006F26ED" w:rsidRDefault="006F26ED" w:rsidP="006F26ED">
      <w:r w:rsidRPr="00DF130F">
        <w:t>Inhibition of terminal complement and serum free C5 concentrations were assessed for PD effects.</w:t>
      </w:r>
    </w:p>
    <w:p w14:paraId="025FFC07" w14:textId="633FE146" w:rsidR="006F26ED" w:rsidRDefault="006F26ED" w:rsidP="006F26ED">
      <w:r w:rsidRPr="00ED0F63">
        <w:t xml:space="preserve">Complete and sustained inhibition of free C5 concentration (&lt; 0.5 </w:t>
      </w:r>
      <w:r w:rsidR="008310DC">
        <w:t>µ</w:t>
      </w:r>
      <w:r w:rsidRPr="00ED0F63">
        <w:t>g</w:t>
      </w:r>
      <w:r>
        <w:t>/mL) and of haemolytic activity were</w:t>
      </w:r>
      <w:r w:rsidRPr="00ED0F63">
        <w:t xml:space="preserve"> achieved in 95.8% and 92.6% of patients, respectively.</w:t>
      </w:r>
    </w:p>
    <w:p w14:paraId="37545A1B" w14:textId="41E0DCE9" w:rsidR="006F26ED" w:rsidRDefault="00BE73D9" w:rsidP="006F26ED">
      <w:r>
        <w:t>C</w:t>
      </w:r>
      <w:r w:rsidRPr="00BE73D9">
        <w:t xml:space="preserve">erebrospinal fluid </w:t>
      </w:r>
      <w:r>
        <w:t>(</w:t>
      </w:r>
      <w:r w:rsidR="006F26ED" w:rsidRPr="00E96F2D">
        <w:t>CSF</w:t>
      </w:r>
      <w:r>
        <w:t>)</w:t>
      </w:r>
      <w:r w:rsidR="006F26ED" w:rsidRPr="00E96F2D">
        <w:t xml:space="preserve"> free C5 concentrations post-dose were all less th</w:t>
      </w:r>
      <w:r w:rsidR="006F26ED">
        <w:t xml:space="preserve">an the </w:t>
      </w:r>
      <w:r w:rsidRPr="00BE73D9">
        <w:t xml:space="preserve">lower limit of quantitation </w:t>
      </w:r>
      <w:r>
        <w:t>(</w:t>
      </w:r>
      <w:r w:rsidR="006F26ED">
        <w:t>LLOQ</w:t>
      </w:r>
      <w:r>
        <w:t>)</w:t>
      </w:r>
      <w:r w:rsidR="006F26ED">
        <w:t xml:space="preserve"> of 3 ng/mL, </w:t>
      </w:r>
      <w:r w:rsidR="006F26ED" w:rsidRPr="00E96F2D">
        <w:t xml:space="preserve">with a mean baseline </w:t>
      </w:r>
      <w:r w:rsidR="006F26ED">
        <w:t xml:space="preserve">concentration </w:t>
      </w:r>
      <w:r w:rsidR="006F26ED" w:rsidRPr="00E96F2D">
        <w:t>value of 262</w:t>
      </w:r>
      <w:r w:rsidR="008310DC">
        <w:t> </w:t>
      </w:r>
      <w:r w:rsidR="006F26ED" w:rsidRPr="00E96F2D">
        <w:t>ng/mL</w:t>
      </w:r>
      <w:r w:rsidR="006F26ED">
        <w:t xml:space="preserve"> for </w:t>
      </w:r>
      <w:proofErr w:type="spellStart"/>
      <w:r w:rsidR="006F26ED">
        <w:t>Soliris</w:t>
      </w:r>
      <w:proofErr w:type="spellEnd"/>
      <w:r w:rsidR="006F26ED">
        <w:t xml:space="preserve">. This is suggestive of a </w:t>
      </w:r>
      <w:r w:rsidR="006F26ED" w:rsidRPr="00E96F2D">
        <w:t>complete terminal com</w:t>
      </w:r>
      <w:r w:rsidR="006F26ED">
        <w:t xml:space="preserve">plement inhibition </w:t>
      </w:r>
      <w:r w:rsidR="006F26ED" w:rsidRPr="00E96F2D">
        <w:t xml:space="preserve">in </w:t>
      </w:r>
      <w:r w:rsidR="009401B9">
        <w:t>CSF.</w:t>
      </w:r>
    </w:p>
    <w:p w14:paraId="3A11952E" w14:textId="77777777" w:rsidR="006F26ED" w:rsidRDefault="006F26ED" w:rsidP="001C74AF">
      <w:pPr>
        <w:pStyle w:val="Heading4"/>
      </w:pPr>
      <w:r>
        <w:t>Efficacy</w:t>
      </w:r>
    </w:p>
    <w:p w14:paraId="4F94C83F" w14:textId="77777777" w:rsidR="006F26ED" w:rsidRDefault="006F26ED" w:rsidP="001C74AF">
      <w:pPr>
        <w:pStyle w:val="Heading5"/>
      </w:pPr>
      <w:r>
        <w:t>Rationale for dose selection</w:t>
      </w:r>
    </w:p>
    <w:p w14:paraId="19D2FE1E" w14:textId="2852E12D" w:rsidR="006F26ED" w:rsidRPr="002E2F52" w:rsidRDefault="006F26ED" w:rsidP="006F26ED">
      <w:r w:rsidRPr="002E2F52">
        <w:t xml:space="preserve">The </w:t>
      </w:r>
      <w:proofErr w:type="spellStart"/>
      <w:r w:rsidRPr="002E2F52">
        <w:t>eculizumab</w:t>
      </w:r>
      <w:proofErr w:type="spellEnd"/>
      <w:r w:rsidRPr="002E2F52">
        <w:t xml:space="preserve"> dosing regimen used in Study ECU-NMO-301 was 900 mg IV weekly for the first 4 weeks followed by 1200 mg IV starting at Week 5 and every 2 weeks thereafter. This is the same dosing regimen that has been demonstrated to achieve immediate, complete, and sustained inhibition of terminal complement activation and has been approved for the treatment of patients with </w:t>
      </w:r>
      <w:proofErr w:type="spellStart"/>
      <w:r w:rsidRPr="002E2F52">
        <w:t>aHUS</w:t>
      </w:r>
      <w:proofErr w:type="spellEnd"/>
      <w:r w:rsidRPr="002E2F52">
        <w:t xml:space="preserve"> and for the treatment of patients with </w:t>
      </w:r>
      <w:proofErr w:type="spellStart"/>
      <w:r w:rsidRPr="002E2F52">
        <w:t>gMG</w:t>
      </w:r>
      <w:proofErr w:type="spellEnd"/>
      <w:r w:rsidRPr="002E2F52">
        <w:t>.</w:t>
      </w:r>
      <w:r>
        <w:t xml:space="preserve"> This approach is in line with </w:t>
      </w:r>
      <w:proofErr w:type="spellStart"/>
      <w:r>
        <w:t>eculizumab’s</w:t>
      </w:r>
      <w:proofErr w:type="spellEnd"/>
      <w:r>
        <w:t xml:space="preserve"> mechanism of action: targeting </w:t>
      </w:r>
      <w:r w:rsidRPr="002E2F52">
        <w:t>terminal complement mediated inflammation</w:t>
      </w:r>
      <w:r>
        <w:t>. Also, the condit</w:t>
      </w:r>
      <w:r w:rsidR="00573B95">
        <w:t xml:space="preserve">ions </w:t>
      </w:r>
      <w:proofErr w:type="spellStart"/>
      <w:r w:rsidR="00573B95">
        <w:t>aHUS</w:t>
      </w:r>
      <w:proofErr w:type="spellEnd"/>
      <w:r w:rsidR="00573B95">
        <w:t>, PNH and NMOSD share ‘</w:t>
      </w:r>
      <w:r w:rsidRPr="003F43BD">
        <w:rPr>
          <w:i/>
        </w:rPr>
        <w:t>complemen</w:t>
      </w:r>
      <w:r w:rsidR="00573B95" w:rsidRPr="003F43BD">
        <w:rPr>
          <w:i/>
        </w:rPr>
        <w:t>t mediated inflammation</w:t>
      </w:r>
      <w:r w:rsidR="00573B95">
        <w:t>’</w:t>
      </w:r>
      <w:r>
        <w:t xml:space="preserve"> as the fundamental pathophysiology.</w:t>
      </w:r>
    </w:p>
    <w:p w14:paraId="4E6B8796" w14:textId="77777777" w:rsidR="006F26ED" w:rsidRPr="001C74AF" w:rsidRDefault="006F26ED" w:rsidP="001C74AF">
      <w:pPr>
        <w:pStyle w:val="Heading5"/>
      </w:pPr>
      <w:r w:rsidRPr="001C74AF">
        <w:t>Study ECU-NMO-301.</w:t>
      </w:r>
    </w:p>
    <w:p w14:paraId="0E3D524C" w14:textId="6907ECB4" w:rsidR="006F26ED" w:rsidRDefault="006F26ED" w:rsidP="006F26ED">
      <w:r>
        <w:t>Study</w:t>
      </w:r>
      <w:r w:rsidR="00DF7CF6">
        <w:t xml:space="preserve"> design: Double blind, parallel </w:t>
      </w:r>
      <w:r w:rsidR="00C90F96">
        <w:t xml:space="preserve">group time to </w:t>
      </w:r>
      <w:r>
        <w:t xml:space="preserve">event </w:t>
      </w:r>
      <w:r w:rsidR="001C74AF">
        <w:t>randomised controlled trial (</w:t>
      </w:r>
      <w:r>
        <w:t>RCT</w:t>
      </w:r>
      <w:r w:rsidR="001C74AF">
        <w:t>)</w:t>
      </w:r>
      <w:r>
        <w:t>.</w:t>
      </w:r>
    </w:p>
    <w:p w14:paraId="618AE80D" w14:textId="62BC9D6F" w:rsidR="006F26ED" w:rsidRDefault="006F26ED" w:rsidP="006F26ED">
      <w:r>
        <w:t xml:space="preserve">Patients were randomised in a 2:1 ratio across </w:t>
      </w:r>
      <w:proofErr w:type="spellStart"/>
      <w:r>
        <w:t>eculizumab</w:t>
      </w:r>
      <w:proofErr w:type="spellEnd"/>
      <w:r>
        <w:t xml:space="preserve"> and placebo groups. </w:t>
      </w:r>
      <w:r w:rsidRPr="00615546">
        <w:t>There</w:t>
      </w:r>
      <w:r w:rsidR="001C74AF">
        <w:t xml:space="preserve"> were 3 periods in this study: </w:t>
      </w:r>
      <w:r w:rsidR="002C6D77">
        <w:t>a</w:t>
      </w:r>
      <w:r w:rsidR="008310DC">
        <w:t xml:space="preserve"> </w:t>
      </w:r>
      <w:r w:rsidR="001C74AF">
        <w:t>screening period, study period, and safety follow-up p</w:t>
      </w:r>
      <w:r w:rsidRPr="00615546">
        <w:t>eriod. Patients completed th</w:t>
      </w:r>
      <w:r>
        <w:t xml:space="preserve">e </w:t>
      </w:r>
      <w:r w:rsidR="00C90F96">
        <w:t xml:space="preserve">study if they experienced an on </w:t>
      </w:r>
      <w:r>
        <w:t>trial r</w:t>
      </w:r>
      <w:r w:rsidRPr="00615546">
        <w:t xml:space="preserve">elapse </w:t>
      </w:r>
      <w:r>
        <w:t>as per the treating p</w:t>
      </w:r>
      <w:r w:rsidRPr="00615546">
        <w:t>hysician or once the pre-specified number of patients had experi</w:t>
      </w:r>
      <w:r>
        <w:t>enced a pos</w:t>
      </w:r>
      <w:r w:rsidR="00C90F96">
        <w:t xml:space="preserve">itively adjudicated on </w:t>
      </w:r>
      <w:r>
        <w:t>trial r</w:t>
      </w:r>
      <w:r w:rsidRPr="00615546">
        <w:t>elapse, whichever occurred first.</w:t>
      </w:r>
    </w:p>
    <w:p w14:paraId="28F52EA3" w14:textId="4B4B5074" w:rsidR="006F26ED" w:rsidRDefault="00C90F96" w:rsidP="006F26ED">
      <w:r>
        <w:t>An on</w:t>
      </w:r>
      <w:r w:rsidR="005F124C">
        <w:t>-</w:t>
      </w:r>
      <w:r w:rsidR="006F26ED">
        <w:t>trial relapse was</w:t>
      </w:r>
      <w:r w:rsidR="006F26ED" w:rsidRPr="00615546">
        <w:t xml:space="preserve"> defined as a </w:t>
      </w:r>
      <w:r w:rsidR="006F26ED">
        <w:t>relapse that occurs during the study period;</w:t>
      </w:r>
      <w:r w:rsidR="006F26ED" w:rsidRPr="00615546">
        <w:t xml:space="preserve"> defined as a new onset of neurologic symptoms or worsening of existing neurologic symptoms with an objective change (clinical sign) on neurologic examination that persists for more than 24 hours as con</w:t>
      </w:r>
      <w:r w:rsidR="006F26ED">
        <w:t>firmed by the treating p</w:t>
      </w:r>
      <w:r w:rsidR="006F26ED" w:rsidRPr="00615546">
        <w:t>hysician.</w:t>
      </w:r>
    </w:p>
    <w:p w14:paraId="610AFCFA" w14:textId="18592C99" w:rsidR="006F26ED" w:rsidRDefault="006F26ED" w:rsidP="006F26ED">
      <w:r>
        <w:t xml:space="preserve">The primary objective of the study was to assess the efficacy of </w:t>
      </w:r>
      <w:proofErr w:type="spellStart"/>
      <w:r>
        <w:t>eculizumab</w:t>
      </w:r>
      <w:proofErr w:type="spellEnd"/>
      <w:r>
        <w:t xml:space="preserve"> in terms of relapse risk reduction, compared to placebo. Accordingly, the primary endpoint was time from randomisation to first </w:t>
      </w:r>
      <w:r w:rsidR="00C90F96">
        <w:t xml:space="preserve">occurrence of an adjudicated on </w:t>
      </w:r>
      <w:r>
        <w:t>trial relapse. Annualised relapse rate</w:t>
      </w:r>
      <w:r w:rsidR="005F124C">
        <w:t xml:space="preserve"> (ARR)</w:t>
      </w:r>
      <w:r>
        <w:t xml:space="preserve"> was a k</w:t>
      </w:r>
      <w:r w:rsidR="001C74AF">
        <w:t>ey secondary efficacy endpoint.</w:t>
      </w:r>
    </w:p>
    <w:p w14:paraId="7D97F3E2" w14:textId="50265FA8" w:rsidR="006F26ED" w:rsidRDefault="006F26ED" w:rsidP="005027F0">
      <w:pPr>
        <w:pageBreakBefore/>
        <w:ind w:right="-284"/>
      </w:pPr>
      <w:r>
        <w:lastRenderedPageBreak/>
        <w:t xml:space="preserve">Inclusion criteria: </w:t>
      </w:r>
      <w:r w:rsidRPr="002305F2">
        <w:t>Diagnosis of NMO</w:t>
      </w:r>
      <w:r>
        <w:t>SD</w:t>
      </w:r>
      <w:r w:rsidRPr="002305F2">
        <w:t xml:space="preserve"> as defined by </w:t>
      </w:r>
      <w:r w:rsidR="002C6D77">
        <w:t xml:space="preserve">the </w:t>
      </w:r>
      <w:r w:rsidRPr="002305F2">
        <w:t xml:space="preserve">2006 </w:t>
      </w:r>
      <w:r>
        <w:t xml:space="preserve">or 2007 </w:t>
      </w:r>
      <w:proofErr w:type="spellStart"/>
      <w:r w:rsidR="009E02AA">
        <w:t>Wingerchuk</w:t>
      </w:r>
      <w:proofErr w:type="spellEnd"/>
      <w:r w:rsidR="009E02AA" w:rsidRPr="002305F2">
        <w:t xml:space="preserve"> </w:t>
      </w:r>
      <w:r w:rsidRPr="002305F2">
        <w:t>criteria</w:t>
      </w:r>
      <w:r w:rsidR="009E02AA">
        <w:t>;</w:t>
      </w:r>
      <w:r w:rsidR="009E02AA">
        <w:rPr>
          <w:rStyle w:val="FootnoteReference"/>
        </w:rPr>
        <w:footnoteReference w:id="7"/>
      </w:r>
      <w:r w:rsidR="009E02AA" w:rsidRPr="009E02AA">
        <w:rPr>
          <w:vertAlign w:val="superscript"/>
        </w:rPr>
        <w:t>,</w:t>
      </w:r>
      <w:r w:rsidR="009E02AA">
        <w:rPr>
          <w:rStyle w:val="FootnoteReference"/>
        </w:rPr>
        <w:footnoteReference w:id="8"/>
      </w:r>
      <w:r w:rsidR="009E02AA">
        <w:t xml:space="preserve"> </w:t>
      </w:r>
      <w:r w:rsidR="004B1135">
        <w:t>AQP4</w:t>
      </w:r>
      <w:r>
        <w:t xml:space="preserve"> </w:t>
      </w:r>
      <w:r w:rsidR="002C6D77">
        <w:t xml:space="preserve">autoantibody </w:t>
      </w:r>
      <w:r>
        <w:t xml:space="preserve">positivity, </w:t>
      </w:r>
      <w:r w:rsidR="002C6D77">
        <w:t>E</w:t>
      </w:r>
      <w:r>
        <w:t xml:space="preserve">xpanded </w:t>
      </w:r>
      <w:r w:rsidR="002C6D77">
        <w:t>D</w:t>
      </w:r>
      <w:r>
        <w:t xml:space="preserve">isability </w:t>
      </w:r>
      <w:r w:rsidR="002C6D77">
        <w:t>S</w:t>
      </w:r>
      <w:r>
        <w:t xml:space="preserve">tatus </w:t>
      </w:r>
      <w:r w:rsidR="002C6D77">
        <w:t>S</w:t>
      </w:r>
      <w:r>
        <w:t>cale (EDSS) score ≤ 7</w:t>
      </w:r>
      <w:r w:rsidR="00FA40B0">
        <w:t>;</w:t>
      </w:r>
      <w:r w:rsidR="00FA40B0">
        <w:rPr>
          <w:rStyle w:val="FootnoteReference"/>
        </w:rPr>
        <w:footnoteReference w:id="9"/>
      </w:r>
      <w:r>
        <w:t xml:space="preserve">and have experienced </w:t>
      </w:r>
      <w:r w:rsidRPr="00930FCC">
        <w:t>at least 2 relap</w:t>
      </w:r>
      <w:r w:rsidR="001C74AF">
        <w:t>ses in the 12 months prior to sc</w:t>
      </w:r>
      <w:r w:rsidRPr="00930FCC">
        <w:t>reening or 3</w:t>
      </w:r>
      <w:r w:rsidR="005027F0">
        <w:t xml:space="preserve"> </w:t>
      </w:r>
      <w:r w:rsidRPr="00930FCC">
        <w:t>rela</w:t>
      </w:r>
      <w:r w:rsidR="001C74AF">
        <w:t xml:space="preserve">pses in the </w:t>
      </w:r>
      <w:r w:rsidR="005027F0">
        <w:br/>
      </w:r>
      <w:r w:rsidR="001C74AF">
        <w:t>24 months prior to s</w:t>
      </w:r>
      <w:r w:rsidRPr="00930FCC">
        <w:t>creening</w:t>
      </w:r>
      <w:r>
        <w:t xml:space="preserve"> </w:t>
      </w:r>
      <w:r w:rsidRPr="00930FCC">
        <w:t>(with at least 1 relapse</w:t>
      </w:r>
      <w:r>
        <w:t xml:space="preserve"> </w:t>
      </w:r>
      <w:r w:rsidR="001C74AF">
        <w:t>in the 12 months prior to s</w:t>
      </w:r>
      <w:r w:rsidRPr="00930FCC">
        <w:t>creening).</w:t>
      </w:r>
      <w:r>
        <w:t xml:space="preserve"> Patients</w:t>
      </w:r>
      <w:r w:rsidRPr="00930FCC">
        <w:t xml:space="preserve"> were permitted to continue to receive a stable dose of </w:t>
      </w:r>
      <w:r w:rsidR="004B1135">
        <w:t>IST</w:t>
      </w:r>
      <w:r w:rsidRPr="00930FCC">
        <w:t xml:space="preserve"> that they were taking at the time of screening</w:t>
      </w:r>
      <w:r>
        <w:t>. T</w:t>
      </w:r>
      <w:r w:rsidRPr="00930FCC">
        <w:t>he use of concurrent corticosteroids was restricted to a maximum of 20 mg/day.</w:t>
      </w:r>
    </w:p>
    <w:p w14:paraId="497428FA" w14:textId="3A6B3FF4" w:rsidR="006F26ED" w:rsidRDefault="000C069C" w:rsidP="006F26ED">
      <w:r>
        <w:t>Key exclusion criteria: u</w:t>
      </w:r>
      <w:r w:rsidR="006F26ED">
        <w:t xml:space="preserve">se of rituximab or </w:t>
      </w:r>
      <w:proofErr w:type="spellStart"/>
      <w:r w:rsidR="006F26ED">
        <w:t>mitoxantro</w:t>
      </w:r>
      <w:r>
        <w:t>ne</w:t>
      </w:r>
      <w:proofErr w:type="spellEnd"/>
      <w:r>
        <w:t xml:space="preserve"> 3 months prior to screening. U</w:t>
      </w:r>
      <w:r w:rsidR="006F26ED">
        <w:t xml:space="preserve">se of </w:t>
      </w:r>
      <w:r w:rsidR="00DF7CF6">
        <w:t>i</w:t>
      </w:r>
      <w:r w:rsidR="00DF7CF6" w:rsidRPr="00DF7CF6">
        <w:t xml:space="preserve">ntravenous immunoglobulin </w:t>
      </w:r>
      <w:r w:rsidR="00DF7CF6">
        <w:t>(</w:t>
      </w:r>
      <w:proofErr w:type="spellStart"/>
      <w:r w:rsidR="006F26ED">
        <w:t>IVIg</w:t>
      </w:r>
      <w:proofErr w:type="spellEnd"/>
      <w:r w:rsidR="00DF7CF6">
        <w:t>)</w:t>
      </w:r>
      <w:r w:rsidR="006F26ED">
        <w:t xml:space="preserve"> 3 weeks prior to screening. Unresolved meningococcal disease or other bacterial infection.</w:t>
      </w:r>
    </w:p>
    <w:p w14:paraId="0854CCAD" w14:textId="29631D7A" w:rsidR="006F26ED" w:rsidRDefault="006F26ED" w:rsidP="006F26ED">
      <w:r>
        <w:t xml:space="preserve">96 patients were randomised to </w:t>
      </w:r>
      <w:proofErr w:type="spellStart"/>
      <w:r>
        <w:t>eculizumab</w:t>
      </w:r>
      <w:proofErr w:type="spellEnd"/>
      <w:r>
        <w:t xml:space="preserve"> group and</w:t>
      </w:r>
      <w:r w:rsidR="00DF7CF6">
        <w:t xml:space="preserve"> 47 patients to placebo group. </w:t>
      </w:r>
      <w:r>
        <w:t xml:space="preserve">A greater proportion of patients in </w:t>
      </w:r>
      <w:proofErr w:type="spellStart"/>
      <w:r>
        <w:t>eculizumab</w:t>
      </w:r>
      <w:proofErr w:type="spellEnd"/>
      <w:r>
        <w:t>, compared to placebo group withdrew from the study (12 v</w:t>
      </w:r>
      <w:r w:rsidR="00B154B2">
        <w:t>er</w:t>
      </w:r>
      <w:r>
        <w:t>s</w:t>
      </w:r>
      <w:r w:rsidR="00B154B2">
        <w:t>us</w:t>
      </w:r>
      <w:r>
        <w:t xml:space="preserve"> 1). None of the patients in </w:t>
      </w:r>
      <w:proofErr w:type="spellStart"/>
      <w:r>
        <w:t>eculizumab</w:t>
      </w:r>
      <w:proofErr w:type="spellEnd"/>
      <w:r>
        <w:t xml:space="preserve"> group withdrew due to </w:t>
      </w:r>
      <w:r w:rsidR="004B1135">
        <w:t>treatment emergent adverse events (TEAE)</w:t>
      </w:r>
      <w:r>
        <w:t xml:space="preserve">. Majority of patients in </w:t>
      </w:r>
      <w:proofErr w:type="spellStart"/>
      <w:r>
        <w:t>eculizumab</w:t>
      </w:r>
      <w:proofErr w:type="spellEnd"/>
      <w:r>
        <w:t xml:space="preserve"> grou</w:t>
      </w:r>
      <w:r w:rsidR="00B154B2">
        <w:t>p (80</w:t>
      </w:r>
      <w:r w:rsidR="00D72F95">
        <w:t> </w:t>
      </w:r>
      <w:r w:rsidR="00B154B2">
        <w:t xml:space="preserve">out of 96) and placebo group (44 out of </w:t>
      </w:r>
      <w:r>
        <w:t xml:space="preserve">47) completed </w:t>
      </w:r>
      <w:r w:rsidR="00DF7CF6">
        <w:t>the study.</w:t>
      </w:r>
    </w:p>
    <w:p w14:paraId="383CB1C2" w14:textId="48383BB2" w:rsidR="006F26ED" w:rsidRDefault="006F26ED" w:rsidP="006F26ED">
      <w:r>
        <w:t xml:space="preserve">The median age across groups was 45 years, with the youngest patient being 19 years of age and the eldest 75 years of age. Around 90% of patient population were females and the man age of disease onset was </w:t>
      </w:r>
      <w:r w:rsidR="003A270C">
        <w:t>37</w:t>
      </w:r>
      <w:r>
        <w:t xml:space="preserve"> years. </w:t>
      </w:r>
      <w:r w:rsidRPr="00806309">
        <w:t>The median (</w:t>
      </w:r>
      <w:r w:rsidR="00B97A07" w:rsidRPr="00806309">
        <w:t>min</w:t>
      </w:r>
      <w:r w:rsidR="00B97A07">
        <w:t>imum</w:t>
      </w:r>
      <w:r w:rsidRPr="00806309">
        <w:t xml:space="preserve">, </w:t>
      </w:r>
      <w:r w:rsidR="00B97A07" w:rsidRPr="00806309">
        <w:t>max</w:t>
      </w:r>
      <w:r w:rsidR="00B97A07">
        <w:t>imum</w:t>
      </w:r>
      <w:r w:rsidRPr="00806309">
        <w:t xml:space="preserve">) treatment duration was 89.43 (3.1, 211.1) weeks in the </w:t>
      </w:r>
      <w:proofErr w:type="spellStart"/>
      <w:r w:rsidRPr="00806309">
        <w:t>eculizumab</w:t>
      </w:r>
      <w:proofErr w:type="spellEnd"/>
      <w:r w:rsidRPr="00806309">
        <w:t xml:space="preserve"> group and 41.29 (6.1, 208.1) weeks in the placebo group.</w:t>
      </w:r>
      <w:r>
        <w:t xml:space="preserve"> Patients in </w:t>
      </w:r>
      <w:proofErr w:type="spellStart"/>
      <w:r>
        <w:t>eculizumab</w:t>
      </w:r>
      <w:proofErr w:type="spellEnd"/>
      <w:r>
        <w:t xml:space="preserve"> group had a higher mean number of infusions per patient (n</w:t>
      </w:r>
      <w:r w:rsidR="00B97A07">
        <w:t xml:space="preserve"> </w:t>
      </w:r>
      <w:r>
        <w:t>=</w:t>
      </w:r>
      <w:r w:rsidR="00B97A07">
        <w:t xml:space="preserve"> </w:t>
      </w:r>
      <w:r>
        <w:t>48.6), compared to placebo group (n</w:t>
      </w:r>
      <w:r w:rsidR="00B97A07">
        <w:t xml:space="preserve"> </w:t>
      </w:r>
      <w:r>
        <w:t>=</w:t>
      </w:r>
      <w:r w:rsidR="00B97A07">
        <w:t xml:space="preserve"> </w:t>
      </w:r>
      <w:r>
        <w:t>31.7). Both patient groups had a mean treatment compliance of around 97%.</w:t>
      </w:r>
    </w:p>
    <w:p w14:paraId="0B7C4010" w14:textId="77777777" w:rsidR="006F26ED" w:rsidRDefault="006F26ED" w:rsidP="004B1135">
      <w:pPr>
        <w:pStyle w:val="Heading6"/>
      </w:pPr>
      <w:r>
        <w:t>Primary endpoint</w:t>
      </w:r>
    </w:p>
    <w:p w14:paraId="38B25E76" w14:textId="4B01CB07" w:rsidR="006F26ED" w:rsidRDefault="006F26ED" w:rsidP="006F26ED">
      <w:r>
        <w:t>Time from randomis</w:t>
      </w:r>
      <w:r w:rsidRPr="008C5AA5">
        <w:t xml:space="preserve">ation to first </w:t>
      </w:r>
      <w:r w:rsidR="00C90F96">
        <w:t xml:space="preserve">occurrence of an adjudicated on </w:t>
      </w:r>
      <w:r w:rsidRPr="008C5AA5">
        <w:t>trial relapse</w:t>
      </w:r>
      <w:r>
        <w:t xml:space="preserve">. 3.1% and 42.6% of patients in </w:t>
      </w:r>
      <w:proofErr w:type="spellStart"/>
      <w:r>
        <w:t>eculizumab</w:t>
      </w:r>
      <w:proofErr w:type="spellEnd"/>
      <w:r>
        <w:t xml:space="preserve"> and placebo groups respectively experienced a relapse during treatment period. The relative risk reduction was 94.2% for patients in </w:t>
      </w:r>
      <w:proofErr w:type="spellStart"/>
      <w:r>
        <w:t>eculizumab</w:t>
      </w:r>
      <w:proofErr w:type="spellEnd"/>
      <w:r>
        <w:t xml:space="preserve"> group, compared to placebo group. The absolute risk reduction was es</w:t>
      </w:r>
      <w:r w:rsidR="00B95DFF">
        <w:t>timated by the D</w:t>
      </w:r>
      <w:r w:rsidR="009422D4">
        <w:t>elegate as 39.5</w:t>
      </w:r>
      <w:r>
        <w:t xml:space="preserve"> and the </w:t>
      </w:r>
      <w:r w:rsidR="003F43BD">
        <w:t>number needed to treat (</w:t>
      </w:r>
      <w:r>
        <w:t>NNT</w:t>
      </w:r>
      <w:r w:rsidR="003F43BD">
        <w:t>)</w:t>
      </w:r>
      <w:r>
        <w:t xml:space="preserve"> as 2.5. The hazard ratio was 0.058 (9</w:t>
      </w:r>
      <w:r w:rsidR="005562AB">
        <w:t xml:space="preserve">5% confidence interval (CI): 0.017 to </w:t>
      </w:r>
      <w:r w:rsidR="007C1440">
        <w:t>0.197); p</w:t>
      </w:r>
      <w:r w:rsidR="00B97A07">
        <w:t xml:space="preserve"> </w:t>
      </w:r>
      <w:r w:rsidR="007C1440">
        <w:t>&lt;</w:t>
      </w:r>
      <w:r w:rsidR="00B97A07">
        <w:t xml:space="preserve"> </w:t>
      </w:r>
      <w:r w:rsidR="007C1440">
        <w:t>0.0001).</w:t>
      </w:r>
    </w:p>
    <w:p w14:paraId="7A5B3653" w14:textId="0F3FD01E" w:rsidR="007C1440" w:rsidRPr="007C1440" w:rsidRDefault="007C1440" w:rsidP="007C1440">
      <w:pPr>
        <w:pStyle w:val="TableTitle"/>
      </w:pPr>
      <w:r w:rsidRPr="007C1440">
        <w:lastRenderedPageBreak/>
        <w:t xml:space="preserve">Table </w:t>
      </w:r>
      <w:fldSimple w:instr=" SEQ Table \* ARABIC ">
        <w:r w:rsidR="00FF7BA0">
          <w:rPr>
            <w:noProof/>
          </w:rPr>
          <w:t>3</w:t>
        </w:r>
      </w:fldSimple>
      <w:r w:rsidR="008C0C8B">
        <w:rPr>
          <w:noProof/>
        </w:rPr>
        <w:t>:</w:t>
      </w:r>
      <w:r>
        <w:t xml:space="preserve"> </w:t>
      </w:r>
      <w:r w:rsidR="00AB30E5">
        <w:t>Study ECU-NMO</w:t>
      </w:r>
      <w:r w:rsidR="00D72F95">
        <w:t xml:space="preserve">-301 </w:t>
      </w:r>
      <w:r w:rsidRPr="007C1440">
        <w:t>Time from randomisation to first occurrence of</w:t>
      </w:r>
      <w:r w:rsidR="00C90F96">
        <w:t xml:space="preserve"> an adjudicated on </w:t>
      </w:r>
      <w:r w:rsidR="009B482C">
        <w:t>trial relapse</w:t>
      </w:r>
    </w:p>
    <w:p w14:paraId="2DDE94A2" w14:textId="21FA7815" w:rsidR="006F26ED" w:rsidRDefault="00D961DA" w:rsidP="006F26ED">
      <w:r w:rsidRPr="00D961DA">
        <w:rPr>
          <w:noProof/>
          <w:lang w:eastAsia="en-AU"/>
        </w:rPr>
        <w:drawing>
          <wp:inline distT="0" distB="0" distL="0" distR="0" wp14:anchorId="20DD8FD4" wp14:editId="7F79A8CE">
            <wp:extent cx="5104435" cy="2374336"/>
            <wp:effectExtent l="0" t="0" r="127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114371" cy="2378958"/>
                    </a:xfrm>
                    <a:prstGeom prst="rect">
                      <a:avLst/>
                    </a:prstGeom>
                  </pic:spPr>
                </pic:pic>
              </a:graphicData>
            </a:graphic>
          </wp:inline>
        </w:drawing>
      </w:r>
    </w:p>
    <w:p w14:paraId="1C62A18B" w14:textId="1EC3F356" w:rsidR="001126E2" w:rsidRDefault="001126E2" w:rsidP="001126E2">
      <w:pPr>
        <w:pStyle w:val="TableDescription"/>
      </w:pPr>
      <w:r>
        <w:t>Note: Patients who did not experience an adjudicated On-trial Relapse were censored at the end of the Study Period. Stratified analyses are based on 4 randomi</w:t>
      </w:r>
      <w:r w:rsidR="00AB30E5">
        <w:t>s</w:t>
      </w:r>
      <w:r>
        <w:t>ation strata: (1) low EDSS at randomi</w:t>
      </w:r>
      <w:r w:rsidR="00D72F95">
        <w:t>s</w:t>
      </w:r>
      <w:r>
        <w:t>ation (≤</w:t>
      </w:r>
      <w:r w:rsidR="00D72F95">
        <w:t> </w:t>
      </w:r>
      <w:r>
        <w:t>2.0); (2) high EDSS (≥ 2.5 to ≤ 7) and treatment naïve at randomi</w:t>
      </w:r>
      <w:r w:rsidR="00AB30E5">
        <w:t>s</w:t>
      </w:r>
      <w:r>
        <w:t>ation; (3) high EDSS (≥ 2.5 to ≤ 7) and continuing on the same IST(s) since last relapse at randomi</w:t>
      </w:r>
      <w:r w:rsidR="00AB30E5">
        <w:t>s</w:t>
      </w:r>
      <w:r>
        <w:t>ation; (4) high EDSS (≥ 2.5 to ≤ 7) and changes in IST(s) since last relapse at randomi</w:t>
      </w:r>
      <w:r w:rsidR="00AB30E5">
        <w:t>s</w:t>
      </w:r>
      <w:r>
        <w:t>ation.</w:t>
      </w:r>
    </w:p>
    <w:p w14:paraId="612CB972" w14:textId="6EDA99A5" w:rsidR="001126E2" w:rsidRDefault="001126E2" w:rsidP="001126E2">
      <w:pPr>
        <w:pStyle w:val="TableDescription"/>
      </w:pPr>
      <w:r>
        <w:t>a Based on the Kap</w:t>
      </w:r>
      <w:r w:rsidR="00D961DA">
        <w:t xml:space="preserve">lan-Meier product limit method.; </w:t>
      </w:r>
      <w:r>
        <w:t>b Based on the comple</w:t>
      </w:r>
      <w:r w:rsidR="00D961DA">
        <w:t xml:space="preserve">mentary log-log transformation.; </w:t>
      </w:r>
      <w:r>
        <w:t>c Based on a stratified log</w:t>
      </w:r>
      <w:r w:rsidR="00D961DA">
        <w:t xml:space="preserve">-rank test.; </w:t>
      </w:r>
      <w:r>
        <w:t xml:space="preserve">d Based on a stratified </w:t>
      </w:r>
      <w:r w:rsidR="00D961DA">
        <w:t xml:space="preserve">Cox proportional hazards model.; e Wald confidence interval. </w:t>
      </w:r>
      <w:r>
        <w:t>max = maximum; min = minimum; NA = not applicable.</w:t>
      </w:r>
    </w:p>
    <w:p w14:paraId="15FC0985" w14:textId="254B9AE8" w:rsidR="007C1440" w:rsidRDefault="007C1440" w:rsidP="009B482C">
      <w:pPr>
        <w:pStyle w:val="FigureTitle"/>
      </w:pPr>
      <w:r w:rsidRPr="007C1440">
        <w:t xml:space="preserve">Figure </w:t>
      </w:r>
      <w:fldSimple w:instr=" SEQ Figure \* ARABIC ">
        <w:r w:rsidR="00FF7BA0">
          <w:rPr>
            <w:noProof/>
          </w:rPr>
          <w:t>1</w:t>
        </w:r>
      </w:fldSimple>
      <w:r w:rsidR="008C0C8B">
        <w:rPr>
          <w:noProof/>
        </w:rPr>
        <w:t>:</w:t>
      </w:r>
      <w:r>
        <w:t xml:space="preserve"> </w:t>
      </w:r>
      <w:r w:rsidR="00D72F95">
        <w:t xml:space="preserve">Study ECU-NMO-301 </w:t>
      </w:r>
      <w:r w:rsidR="009B482C">
        <w:t>Kaplan-Meier Survi</w:t>
      </w:r>
      <w:r w:rsidR="00C90F96">
        <w:t>val e</w:t>
      </w:r>
      <w:r w:rsidR="009B482C">
        <w:t>stimates</w:t>
      </w:r>
      <w:r w:rsidR="00C90F96">
        <w:t xml:space="preserve"> for time to first adjudicated on trial r</w:t>
      </w:r>
      <w:r w:rsidR="009B482C">
        <w:t xml:space="preserve">elapse </w:t>
      </w:r>
    </w:p>
    <w:p w14:paraId="0D742472" w14:textId="77777777" w:rsidR="005027F0" w:rsidRDefault="009B482C" w:rsidP="005027F0">
      <w:r w:rsidRPr="009B482C">
        <w:rPr>
          <w:noProof/>
          <w:lang w:eastAsia="en-AU"/>
        </w:rPr>
        <w:drawing>
          <wp:inline distT="0" distB="0" distL="0" distR="0" wp14:anchorId="5F13AEC5" wp14:editId="7CB9868E">
            <wp:extent cx="5222123" cy="1874367"/>
            <wp:effectExtent l="0" t="0" r="0" b="0"/>
            <wp:docPr id="1" name="Picture 1" descr="Kaplan-Meier Survival Estimates for Time to First Adjudicated On-trial&#10;Relapse – Full Analysis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8">
                      <a:extLst>
                        <a:ext uri="{28A0092B-C50C-407E-A947-70E740481C1C}">
                          <a14:useLocalDpi xmlns:a14="http://schemas.microsoft.com/office/drawing/2010/main" val="0"/>
                        </a:ext>
                      </a:extLst>
                    </a:blip>
                    <a:srcRect l="-1" t="2451" r="714" b="16473"/>
                    <a:stretch/>
                  </pic:blipFill>
                  <pic:spPr bwMode="auto">
                    <a:xfrm>
                      <a:off x="0" y="0"/>
                      <a:ext cx="5232610" cy="1878131"/>
                    </a:xfrm>
                    <a:prstGeom prst="rect">
                      <a:avLst/>
                    </a:prstGeom>
                    <a:noFill/>
                    <a:ln>
                      <a:noFill/>
                    </a:ln>
                    <a:extLst>
                      <a:ext uri="{53640926-AAD7-44D8-BBD7-CCE9431645EC}">
                        <a14:shadowObscured xmlns:a14="http://schemas.microsoft.com/office/drawing/2010/main"/>
                      </a:ext>
                    </a:extLst>
                  </pic:spPr>
                </pic:pic>
              </a:graphicData>
            </a:graphic>
          </wp:inline>
        </w:drawing>
      </w:r>
    </w:p>
    <w:p w14:paraId="16259A83" w14:textId="451338BB" w:rsidR="007C1440" w:rsidRDefault="003A270C" w:rsidP="005027F0">
      <w:r w:rsidRPr="000309F3">
        <w:t>Note: Patients who did not experience an adjudicated On-trial Relapse were censored at the end of the Study Period.</w:t>
      </w:r>
      <w:r>
        <w:t xml:space="preserve"> </w:t>
      </w:r>
      <w:r w:rsidRPr="000309F3">
        <w:t>Stratified analyses are based on 4 randomization strata: (1) low EDSS at randomi</w:t>
      </w:r>
      <w:r w:rsidR="00AB30E5">
        <w:t>s</w:t>
      </w:r>
      <w:r w:rsidRPr="000309F3">
        <w:t>ation (≤</w:t>
      </w:r>
      <w:r>
        <w:t> </w:t>
      </w:r>
      <w:r w:rsidRPr="000309F3">
        <w:t xml:space="preserve"> 2.0), (2) high EDSS</w:t>
      </w:r>
      <w:r>
        <w:t xml:space="preserve"> </w:t>
      </w:r>
      <w:r w:rsidRPr="000309F3">
        <w:t>(≥ 2.5 to ≤ 7) and treatment naïve at randomi</w:t>
      </w:r>
      <w:r w:rsidR="00AB30E5">
        <w:t>s</w:t>
      </w:r>
      <w:r w:rsidRPr="000309F3">
        <w:t>ation, (3) high EDSS (≥ 2.5 to ≤ 7) and continuing on the same</w:t>
      </w:r>
      <w:r>
        <w:t xml:space="preserve"> </w:t>
      </w:r>
      <w:r w:rsidRPr="000309F3">
        <w:t>IST(s) since last relapse at randomi</w:t>
      </w:r>
      <w:r w:rsidR="00AB30E5">
        <w:t>s</w:t>
      </w:r>
      <w:r w:rsidRPr="000309F3">
        <w:t>ation, (4) high EDSS (≥ 2.5 to ≤ 7) and changes in IST(s) since last relapse at</w:t>
      </w:r>
      <w:r>
        <w:t xml:space="preserve"> </w:t>
      </w:r>
      <w:r w:rsidRPr="000309F3">
        <w:t>randomi</w:t>
      </w:r>
      <w:r>
        <w:t>s</w:t>
      </w:r>
      <w:r w:rsidRPr="000309F3">
        <w:t>ation.</w:t>
      </w:r>
      <w:r>
        <w:t xml:space="preserve"> </w:t>
      </w:r>
      <w:r w:rsidRPr="000309F3">
        <w:t>1 Based on the Kaplan-Meier product limit method.</w:t>
      </w:r>
      <w:r>
        <w:t xml:space="preserve"> </w:t>
      </w:r>
      <w:r w:rsidRPr="000309F3">
        <w:t>2 Based on the complementary log-log transformation.</w:t>
      </w:r>
      <w:r>
        <w:t xml:space="preserve"> </w:t>
      </w:r>
      <w:r w:rsidRPr="000309F3">
        <w:t>3 Based on a stratified log-rank test.</w:t>
      </w:r>
      <w:r>
        <w:t xml:space="preserve"> </w:t>
      </w:r>
      <w:r w:rsidRPr="000309F3">
        <w:t>4 Based on a stratified Cox proportional hazards model.</w:t>
      </w:r>
      <w:r>
        <w:t xml:space="preserve"> </w:t>
      </w:r>
      <w:r w:rsidRPr="000309F3">
        <w:t>5 Wald confidence interval.</w:t>
      </w:r>
    </w:p>
    <w:p w14:paraId="796FF72E" w14:textId="77777777" w:rsidR="00C32129" w:rsidRDefault="00C32129" w:rsidP="005562AB">
      <w:pPr>
        <w:pStyle w:val="Heading6"/>
      </w:pPr>
      <w:r>
        <w:t>Key secondary efficacy endpoint</w:t>
      </w:r>
    </w:p>
    <w:p w14:paraId="4C2B023F" w14:textId="655A50D7" w:rsidR="00C32129" w:rsidRDefault="00C32129" w:rsidP="00C32129">
      <w:r>
        <w:t>The annualised relapse ra</w:t>
      </w:r>
      <w:r w:rsidR="005D7284">
        <w:t>te (ARR), adjusted for rate at B</w:t>
      </w:r>
      <w:r>
        <w:t>aseline were 0.016 (95% CI: 0.005, 0.050</w:t>
      </w:r>
      <w:r w:rsidR="00CB058C">
        <w:t>)</w:t>
      </w:r>
      <w:r>
        <w:t xml:space="preserve"> and 0.350 </w:t>
      </w:r>
      <w:r w:rsidR="00CB058C">
        <w:t>(</w:t>
      </w:r>
      <w:r>
        <w:t>95% CI; 0.199, 0.616</w:t>
      </w:r>
      <w:r w:rsidR="00CB058C">
        <w:t>)</w:t>
      </w:r>
      <w:r>
        <w:t xml:space="preserve">, respectively for </w:t>
      </w:r>
      <w:proofErr w:type="spellStart"/>
      <w:r>
        <w:t>eculizumab</w:t>
      </w:r>
      <w:proofErr w:type="spellEnd"/>
      <w:r>
        <w:t xml:space="preserve"> and placebo groups. ARR ratio was 0.045 </w:t>
      </w:r>
      <w:r w:rsidR="00CB058C">
        <w:t>(</w:t>
      </w:r>
      <w:r>
        <w:t>95% CI; 0.013, 0.151</w:t>
      </w:r>
      <w:r w:rsidR="00CB058C">
        <w:t>)</w:t>
      </w:r>
      <w:r>
        <w:t>; p</w:t>
      </w:r>
      <w:r w:rsidR="00B97A07">
        <w:t xml:space="preserve"> </w:t>
      </w:r>
      <w:r>
        <w:t>&lt;</w:t>
      </w:r>
      <w:r w:rsidR="00B97A07">
        <w:t xml:space="preserve"> </w:t>
      </w:r>
      <w:r>
        <w:t>0.0001.</w:t>
      </w:r>
    </w:p>
    <w:p w14:paraId="1F27E0B7" w14:textId="01BADE0D" w:rsidR="00C32129" w:rsidRDefault="00C32129" w:rsidP="00C32129">
      <w:pPr>
        <w:pStyle w:val="TableTitle"/>
        <w:rPr>
          <w:noProof/>
          <w:lang w:eastAsia="en-AU"/>
        </w:rPr>
      </w:pPr>
      <w:r w:rsidRPr="00C32129">
        <w:lastRenderedPageBreak/>
        <w:t xml:space="preserve">Table </w:t>
      </w:r>
      <w:fldSimple w:instr=" SEQ Table \* ARABIC ">
        <w:r w:rsidR="00FF7BA0">
          <w:rPr>
            <w:noProof/>
          </w:rPr>
          <w:t>4</w:t>
        </w:r>
      </w:fldSimple>
      <w:r w:rsidR="008C0C8B">
        <w:rPr>
          <w:noProof/>
        </w:rPr>
        <w:t>:</w:t>
      </w:r>
      <w:r>
        <w:t xml:space="preserve"> </w:t>
      </w:r>
      <w:r w:rsidR="00AB30E5">
        <w:t xml:space="preserve">Study ECU-NMO-301 </w:t>
      </w:r>
      <w:r w:rsidRPr="00C32129">
        <w:t xml:space="preserve">Annualised </w:t>
      </w:r>
      <w:r w:rsidR="00AB30E5">
        <w:t>r</w:t>
      </w:r>
      <w:r w:rsidRPr="00C32129">
        <w:t xml:space="preserve">elapse </w:t>
      </w:r>
      <w:r w:rsidR="00AB30E5">
        <w:t>r</w:t>
      </w:r>
      <w:r w:rsidRPr="00C32129">
        <w:t>ate</w:t>
      </w:r>
    </w:p>
    <w:p w14:paraId="38B7B613" w14:textId="6275E7AC" w:rsidR="00C32129" w:rsidRDefault="009B482C" w:rsidP="009B482C">
      <w:r w:rsidRPr="009B482C">
        <w:rPr>
          <w:noProof/>
          <w:lang w:eastAsia="en-AU"/>
        </w:rPr>
        <w:drawing>
          <wp:inline distT="0" distB="0" distL="0" distR="0" wp14:anchorId="0DC50918" wp14:editId="32E9655B">
            <wp:extent cx="5195695" cy="2533696"/>
            <wp:effectExtent l="0" t="0" r="5080" b="0"/>
            <wp:docPr id="2" name="Picture 2" descr="Annualised Relapse 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206988" cy="2539203"/>
                    </a:xfrm>
                    <a:prstGeom prst="rect">
                      <a:avLst/>
                    </a:prstGeom>
                  </pic:spPr>
                </pic:pic>
              </a:graphicData>
            </a:graphic>
          </wp:inline>
        </w:drawing>
      </w:r>
    </w:p>
    <w:p w14:paraId="411F5B6B" w14:textId="77777777" w:rsidR="003A270C" w:rsidRDefault="003A270C" w:rsidP="003A270C">
      <w:pPr>
        <w:pStyle w:val="TableDescription"/>
      </w:pPr>
      <w:r>
        <w:t>a. The number of relapses for each patient divided by the number of years in the study period for that patient; summary statistics across all patients are presented.</w:t>
      </w:r>
    </w:p>
    <w:p w14:paraId="604597D6" w14:textId="6B02F168" w:rsidR="003A270C" w:rsidRDefault="003A270C" w:rsidP="003A270C">
      <w:pPr>
        <w:pStyle w:val="TableDescription"/>
      </w:pPr>
      <w:r>
        <w:t>b. Based on a Poisson regression adjusted for randomization strata and historical ARR in 24 months prior to screening.</w:t>
      </w:r>
    </w:p>
    <w:p w14:paraId="35D1F67B" w14:textId="52E99E64" w:rsidR="003A270C" w:rsidRDefault="00C32129" w:rsidP="003A270C">
      <w:r>
        <w:t>There was no significa</w:t>
      </w:r>
      <w:r w:rsidR="005562AB">
        <w:t>nt treatment difference for the EDSS</w:t>
      </w:r>
      <w:r>
        <w:t xml:space="preserve"> between </w:t>
      </w:r>
      <w:proofErr w:type="spellStart"/>
      <w:r>
        <w:t>eculizumab</w:t>
      </w:r>
      <w:proofErr w:type="spellEnd"/>
      <w:r>
        <w:t xml:space="preserve"> and placebo groups.</w:t>
      </w:r>
      <w:r w:rsidR="003A270C" w:rsidRPr="003A270C">
        <w:t xml:space="preserve"> </w:t>
      </w:r>
      <w:r w:rsidR="003A270C">
        <w:t>In line with the closed testing procedure, since no significant treatment difference for EDSS was observed, no further statistical testing was performed for other secondary endpoints that were measures of neurological disability, functional status and quality of life.</w:t>
      </w:r>
    </w:p>
    <w:p w14:paraId="4A5F2389" w14:textId="72ADFE09" w:rsidR="00C32129" w:rsidRDefault="00C32129" w:rsidP="00C32129">
      <w:r>
        <w:t xml:space="preserve">A significant improvement in </w:t>
      </w:r>
      <w:r w:rsidR="005562AB">
        <w:t>modified Rankin s</w:t>
      </w:r>
      <w:r w:rsidR="005562AB" w:rsidRPr="005562AB">
        <w:t xml:space="preserve">cale </w:t>
      </w:r>
      <w:r w:rsidR="005562AB">
        <w:t>(</w:t>
      </w:r>
      <w:proofErr w:type="spellStart"/>
      <w:r>
        <w:t>mRS</w:t>
      </w:r>
      <w:proofErr w:type="spellEnd"/>
      <w:r w:rsidR="005562AB">
        <w:t>)</w:t>
      </w:r>
      <w:r w:rsidR="000C069C">
        <w:t>;</w:t>
      </w:r>
      <w:r w:rsidR="005562AB">
        <w:rPr>
          <w:rStyle w:val="FootnoteReference"/>
        </w:rPr>
        <w:footnoteReference w:id="10"/>
      </w:r>
      <w:r>
        <w:t xml:space="preserve"> score was reported with </w:t>
      </w:r>
      <w:proofErr w:type="spellStart"/>
      <w:r>
        <w:t>eculizumab</w:t>
      </w:r>
      <w:proofErr w:type="spellEnd"/>
      <w:r>
        <w:t xml:space="preserve"> group, compared to placebo group.</w:t>
      </w:r>
    </w:p>
    <w:p w14:paraId="2B2DD395" w14:textId="6A2CD757" w:rsidR="00C32129" w:rsidRDefault="00C32129" w:rsidP="00C32129">
      <w:r>
        <w:t>A statistically significant number of patients in placebo group (31.9%) required hospitalisation for treatment of a relapse, compared to 6.3% of patien</w:t>
      </w:r>
      <w:r w:rsidR="00FB6B4C">
        <w:t xml:space="preserve">ts in </w:t>
      </w:r>
      <w:proofErr w:type="spellStart"/>
      <w:r w:rsidR="00FB6B4C">
        <w:t>eculizumab</w:t>
      </w:r>
      <w:proofErr w:type="spellEnd"/>
      <w:r w:rsidR="00FB6B4C">
        <w:t xml:space="preserve"> group. The </w:t>
      </w:r>
      <w:r>
        <w:t>evaluator has highlighted that the statistical analysis of this end point was not pre-specified. Also, not controlled for multiplicity and the subjectivity in determination of need for hospitalisation for trea</w:t>
      </w:r>
      <w:r w:rsidR="00B95DFF">
        <w:t>tment of a relapse. The D</w:t>
      </w:r>
      <w:r>
        <w:t>elegate agrees with this conclusion.</w:t>
      </w:r>
    </w:p>
    <w:p w14:paraId="181AD81E" w14:textId="08BEF824" w:rsidR="00C32129" w:rsidRDefault="00C32129" w:rsidP="00C32129">
      <w:pPr>
        <w:pStyle w:val="Heading5"/>
      </w:pPr>
      <w:r>
        <w:t>Study ECU-NMO-302 (Interim analysis</w:t>
      </w:r>
      <w:r w:rsidR="003A270C">
        <w:t>), open label extension of Study ECU-NMO-301</w:t>
      </w:r>
    </w:p>
    <w:p w14:paraId="58E1BA55" w14:textId="0815A900" w:rsidR="00C32129" w:rsidRDefault="00573B95" w:rsidP="00C32129">
      <w:r>
        <w:t>Patients who completed the S</w:t>
      </w:r>
      <w:r w:rsidR="00C32129">
        <w:t>tudy ECU-NMO-301 due to either a relapse of NMOSD or reached the endpoint of the treatment period were enrolled in this open label extension study. The previous treatment should have been within 2 weeks prior to enrolment in this study.</w:t>
      </w:r>
    </w:p>
    <w:p w14:paraId="66B63B00" w14:textId="10F3F44B" w:rsidR="00C32129" w:rsidRDefault="00C90F96" w:rsidP="00C32129">
      <w:r>
        <w:t xml:space="preserve">Evaluation of long </w:t>
      </w:r>
      <w:r w:rsidR="00C32129">
        <w:t>term safety was the primary objective. Secondary</w:t>
      </w:r>
      <w:r>
        <w:t xml:space="preserve"> objective was to evaluate long </w:t>
      </w:r>
      <w:r w:rsidR="00C32129">
        <w:t xml:space="preserve">term efficacy. </w:t>
      </w:r>
      <w:r w:rsidR="009401B9">
        <w:t>Key efficacy endpoint was ARR.</w:t>
      </w:r>
    </w:p>
    <w:p w14:paraId="78024CF5" w14:textId="277DAA92" w:rsidR="00C32129" w:rsidRDefault="00C32129" w:rsidP="00C32129">
      <w:r w:rsidRPr="00B02F44">
        <w:t>No sample size or power calculations were performed. 43 patients had completed Study</w:t>
      </w:r>
      <w:r w:rsidR="00AB30E5">
        <w:t> </w:t>
      </w:r>
      <w:r w:rsidRPr="00B02F44">
        <w:t>ECU-NMO-301 because they experience</w:t>
      </w:r>
      <w:r w:rsidR="00B97A07">
        <w:t>d an on trial r</w:t>
      </w:r>
      <w:r>
        <w:t xml:space="preserve">elapse, of which </w:t>
      </w:r>
      <w:r w:rsidRPr="00B02F44">
        <w:t xml:space="preserve">39 patients </w:t>
      </w:r>
      <w:r w:rsidRPr="00B02F44">
        <w:lastRenderedPageBreak/>
        <w:t>were enrolled in this study and included in this interim analysis. S</w:t>
      </w:r>
      <w:r>
        <w:t xml:space="preserve">ubsequent interim analyses will </w:t>
      </w:r>
      <w:r w:rsidRPr="00B02F44">
        <w:t>include all enrolled patients, including those patients who did not ex</w:t>
      </w:r>
      <w:r w:rsidR="00C90F96">
        <w:t xml:space="preserve">perience an on </w:t>
      </w:r>
      <w:r w:rsidR="00FB6B4C">
        <w:t>trial r</w:t>
      </w:r>
      <w:r>
        <w:t xml:space="preserve">elapse in </w:t>
      </w:r>
      <w:r w:rsidRPr="00B02F44">
        <w:t>Study ECU-NMO-301.</w:t>
      </w:r>
    </w:p>
    <w:p w14:paraId="0B4F4AAB" w14:textId="29D72B94" w:rsidR="00C32129" w:rsidRDefault="00C32129" w:rsidP="00C32129">
      <w:r>
        <w:t>ARR was chosen as the primary endpo</w:t>
      </w:r>
      <w:r w:rsidR="00B97A07">
        <w:t xml:space="preserve">int for this interim analysis. </w:t>
      </w:r>
      <w:r w:rsidR="00FB6B4C">
        <w:t xml:space="preserve">EDSS, </w:t>
      </w:r>
      <w:proofErr w:type="spellStart"/>
      <w:r w:rsidR="00FB6B4C">
        <w:t>mRS</w:t>
      </w:r>
      <w:proofErr w:type="spellEnd"/>
      <w:r>
        <w:t xml:space="preserve"> </w:t>
      </w:r>
      <w:r w:rsidR="00743748">
        <w:t xml:space="preserve">scores </w:t>
      </w:r>
      <w:r>
        <w:t>were th</w:t>
      </w:r>
      <w:r w:rsidR="009401B9">
        <w:t>e key secondary endpoints.</w:t>
      </w:r>
    </w:p>
    <w:p w14:paraId="7BF038BE" w14:textId="7B2FB5A0" w:rsidR="00C32129" w:rsidRDefault="00C32129" w:rsidP="00C32129">
      <w:r>
        <w:t>39 patients who had p</w:t>
      </w:r>
      <w:r w:rsidR="00B97A07">
        <w:t>reviously experienced an on trial r</w:t>
      </w:r>
      <w:r>
        <w:t>elapse in Study ECU-NMO-301 were included in the interim analysis. The majority of patients (n</w:t>
      </w:r>
      <w:r w:rsidR="00B97A07">
        <w:t xml:space="preserve"> </w:t>
      </w:r>
      <w:r>
        <w:t>=</w:t>
      </w:r>
      <w:r w:rsidR="00B97A07">
        <w:t xml:space="preserve"> </w:t>
      </w:r>
      <w:r>
        <w:t>25) had received placebo.</w:t>
      </w:r>
    </w:p>
    <w:p w14:paraId="49BDBAD2" w14:textId="2A211934" w:rsidR="00C32129" w:rsidRPr="00B02F44" w:rsidRDefault="00B97A07" w:rsidP="00C32129">
      <w:r>
        <w:t>The Delegate comments that t</w:t>
      </w:r>
      <w:r w:rsidR="00C32129">
        <w:t>he sponsor has done statistical calculation of the reduction in ARR. However, it was noted that this study was not powered for such a calculation. ARR was not pre-specified as a primary endpoint.</w:t>
      </w:r>
    </w:p>
    <w:p w14:paraId="0EB4F66A" w14:textId="77777777" w:rsidR="00C32129" w:rsidRDefault="00C32129" w:rsidP="00FF2AE5">
      <w:pPr>
        <w:pStyle w:val="Heading4"/>
      </w:pPr>
      <w:r>
        <w:t>Safety</w:t>
      </w:r>
    </w:p>
    <w:p w14:paraId="4F5DF81B" w14:textId="20D7D890" w:rsidR="00C32129" w:rsidRDefault="00C32129" w:rsidP="00C32129">
      <w:r>
        <w:t xml:space="preserve">Safety data was based on exposure to 121 patients across </w:t>
      </w:r>
      <w:r w:rsidR="003A270C">
        <w:t>St</w:t>
      </w:r>
      <w:r>
        <w:t>ud</w:t>
      </w:r>
      <w:r w:rsidR="00CB058C">
        <w:t>y</w:t>
      </w:r>
      <w:r w:rsidR="00573B95">
        <w:t xml:space="preserve"> ECU-NMO-301 and the ongoing S</w:t>
      </w:r>
      <w:r>
        <w:t xml:space="preserve">tudy </w:t>
      </w:r>
      <w:r w:rsidRPr="00527436">
        <w:t xml:space="preserve">ECU-NMO-302 over </w:t>
      </w:r>
      <w:r w:rsidR="003A270C">
        <w:t xml:space="preserve">an average of </w:t>
      </w:r>
      <w:r w:rsidRPr="00527436">
        <w:t>100 weeks of treatment</w:t>
      </w:r>
      <w:r w:rsidR="00B97A07">
        <w:t>.</w:t>
      </w:r>
    </w:p>
    <w:p w14:paraId="06E8D83F" w14:textId="0A656AC8" w:rsidR="003A270C" w:rsidRDefault="003A270C" w:rsidP="00E14480">
      <w:pPr>
        <w:pStyle w:val="Heading5"/>
      </w:pPr>
      <w:r>
        <w:t>Study ECU-NMO-301</w:t>
      </w:r>
    </w:p>
    <w:p w14:paraId="6303F51B" w14:textId="7EBBA3E5" w:rsidR="00C32129" w:rsidRDefault="00C32129" w:rsidP="00C32129">
      <w:r>
        <w:t>Most common TEAEs in</w:t>
      </w:r>
      <w:r w:rsidR="00E14480">
        <w:t xml:space="preserve"> Study ECU-NMO-301 in</w:t>
      </w:r>
      <w:r>
        <w:t xml:space="preserve"> the </w:t>
      </w:r>
      <w:proofErr w:type="spellStart"/>
      <w:r>
        <w:t>eculizumab</w:t>
      </w:r>
      <w:proofErr w:type="spellEnd"/>
      <w:r>
        <w:t xml:space="preserve"> group were upper respiratory tract infections (29.2%) and headache (22.9%). Other TEAEs with a greater rate of incidence</w:t>
      </w:r>
      <w:r w:rsidR="00E14480">
        <w:t xml:space="preserve"> versus placebo</w:t>
      </w:r>
      <w:r>
        <w:t xml:space="preserve"> were influenza, dyspepsia and musculoskeletal pain. The</w:t>
      </w:r>
      <w:r w:rsidR="00E14480">
        <w:t xml:space="preserve"> </w:t>
      </w:r>
      <w:r>
        <w:t xml:space="preserve">rate of incidence of TEAEs was comparable between </w:t>
      </w:r>
      <w:proofErr w:type="spellStart"/>
      <w:r>
        <w:t>eculizumab</w:t>
      </w:r>
      <w:proofErr w:type="spellEnd"/>
      <w:r>
        <w:t xml:space="preserve"> and placebo groups.</w:t>
      </w:r>
    </w:p>
    <w:p w14:paraId="29DEE9B9" w14:textId="0318992D" w:rsidR="00C32129" w:rsidRDefault="00C90F96" w:rsidP="00C32129">
      <w:r>
        <w:t xml:space="preserve">No TEAE </w:t>
      </w:r>
      <w:r w:rsidR="00C32129">
        <w:t xml:space="preserve">related discontinuations were reported in </w:t>
      </w:r>
      <w:proofErr w:type="spellStart"/>
      <w:r w:rsidR="00C32129">
        <w:t>eculizumab</w:t>
      </w:r>
      <w:proofErr w:type="spellEnd"/>
      <w:r w:rsidR="00C32129">
        <w:t xml:space="preserve"> group. 4.3% of withdrawals in placebo group were due to TEAEs.</w:t>
      </w:r>
    </w:p>
    <w:p w14:paraId="67B91AAC" w14:textId="77777777" w:rsidR="00C32129" w:rsidRDefault="00C32129" w:rsidP="00C32129">
      <w:r>
        <w:t xml:space="preserve">There was no apparent difference in the incidence rate of TEAEs across placebo and </w:t>
      </w:r>
      <w:proofErr w:type="spellStart"/>
      <w:r>
        <w:t>eculizumab</w:t>
      </w:r>
      <w:proofErr w:type="spellEnd"/>
      <w:r>
        <w:t xml:space="preserve"> groups. There was around a 5 times increase in incidence of NMOSD in placebo group, compared to </w:t>
      </w:r>
      <w:proofErr w:type="spellStart"/>
      <w:r>
        <w:t>eculizumab</w:t>
      </w:r>
      <w:proofErr w:type="spellEnd"/>
      <w:r>
        <w:t xml:space="preserve"> group.</w:t>
      </w:r>
    </w:p>
    <w:p w14:paraId="434128BA" w14:textId="1B90772D" w:rsidR="00C32129" w:rsidRDefault="00C32129" w:rsidP="00C32129">
      <w:r>
        <w:t>There were no cases of meningoco</w:t>
      </w:r>
      <w:r w:rsidR="00FB6B4C">
        <w:t xml:space="preserve">ccal infections across groups. Other serious infections </w:t>
      </w:r>
      <w:r>
        <w:t>were reported at comparable rates of aroun</w:t>
      </w:r>
      <w:r w:rsidR="00B97A07">
        <w:t xml:space="preserve">d 11 to </w:t>
      </w:r>
      <w:r>
        <w:t xml:space="preserve">12% across treatment groups. A higher incidence for infusion site reactions were noted in </w:t>
      </w:r>
      <w:proofErr w:type="spellStart"/>
      <w:r>
        <w:t>eculizumab</w:t>
      </w:r>
      <w:proofErr w:type="spellEnd"/>
      <w:r>
        <w:t xml:space="preserve"> group, compared to placebo group (6.3% v</w:t>
      </w:r>
      <w:r w:rsidR="00B97A07">
        <w:t>er</w:t>
      </w:r>
      <w:r>
        <w:t>s</w:t>
      </w:r>
      <w:r w:rsidR="00B97A07">
        <w:t>us</w:t>
      </w:r>
      <w:r>
        <w:t xml:space="preserve"> 4.3%). </w:t>
      </w:r>
      <w:r w:rsidR="00B97A07">
        <w:t xml:space="preserve">A higher incidence of </w:t>
      </w:r>
      <w:r w:rsidR="004B1135">
        <w:t>TEAE</w:t>
      </w:r>
      <w:r>
        <w:t xml:space="preserve"> of special interest was reported in the first 6 months of the study and the incidence rate decreased as the study progressed in both treatment groups.</w:t>
      </w:r>
    </w:p>
    <w:p w14:paraId="35C44528" w14:textId="78BC57D0" w:rsidR="00C32129" w:rsidRDefault="00C32129" w:rsidP="00C32129">
      <w:r>
        <w:t xml:space="preserve">One death was reported in the </w:t>
      </w:r>
      <w:proofErr w:type="spellStart"/>
      <w:r>
        <w:t>eculizumab</w:t>
      </w:r>
      <w:proofErr w:type="spellEnd"/>
      <w:r>
        <w:t xml:space="preserve"> group. The cause of death was identified as infectious pleural effusion. This patient experienced serious TEAEs of </w:t>
      </w:r>
      <w:r w:rsidRPr="00A243A6">
        <w:t>congestive cardiac failure, pneumonia, respiratory failure, and sepsis</w:t>
      </w:r>
      <w:r>
        <w:t>. The serious TEAEs were determined as not related to the study drug. Infectious pleu</w:t>
      </w:r>
      <w:r w:rsidR="00573B95">
        <w:t>ral effusion was determined as ‘</w:t>
      </w:r>
      <w:r>
        <w:t xml:space="preserve">probably related </w:t>
      </w:r>
      <w:r w:rsidR="00573B95">
        <w:t>to study drug’</w:t>
      </w:r>
      <w:r w:rsidR="009401B9">
        <w:t>.</w:t>
      </w:r>
    </w:p>
    <w:p w14:paraId="459DE45A" w14:textId="30679520" w:rsidR="00C32129" w:rsidRDefault="00C32129" w:rsidP="00C32129">
      <w:r>
        <w:t xml:space="preserve">Two patients (2.1%) in </w:t>
      </w:r>
      <w:proofErr w:type="spellStart"/>
      <w:r>
        <w:t>eculizumab</w:t>
      </w:r>
      <w:proofErr w:type="spellEnd"/>
      <w:r>
        <w:t xml:space="preserve"> group were positive for </w:t>
      </w:r>
      <w:r w:rsidR="004420B6">
        <w:t>ADA</w:t>
      </w:r>
      <w:r>
        <w:t>. Both patients were negative for neutralising</w:t>
      </w:r>
      <w:r w:rsidR="009401B9">
        <w:t xml:space="preserve"> antibodies against </w:t>
      </w:r>
      <w:proofErr w:type="spellStart"/>
      <w:r w:rsidR="009401B9">
        <w:t>eculizumab</w:t>
      </w:r>
      <w:proofErr w:type="spellEnd"/>
      <w:r w:rsidR="009401B9">
        <w:t>.</w:t>
      </w:r>
    </w:p>
    <w:p w14:paraId="554E1BD9" w14:textId="77777777" w:rsidR="00C32129" w:rsidRDefault="00C32129" w:rsidP="00FF2AE5">
      <w:pPr>
        <w:pStyle w:val="Heading5"/>
      </w:pPr>
      <w:r>
        <w:t xml:space="preserve">Study </w:t>
      </w:r>
      <w:r w:rsidRPr="00FB0A07">
        <w:t>ECU-NMO-302</w:t>
      </w:r>
    </w:p>
    <w:p w14:paraId="308F34CA" w14:textId="1B699C09" w:rsidR="00C32129" w:rsidRDefault="00C32129" w:rsidP="00C32129">
      <w:r>
        <w:t>The overall median duration of study in which the TEAEs were reported was around 85</w:t>
      </w:r>
      <w:r w:rsidR="00CB058C">
        <w:t> </w:t>
      </w:r>
      <w:r>
        <w:t xml:space="preserve">weeks. The total </w:t>
      </w:r>
      <w:proofErr w:type="spellStart"/>
      <w:r w:rsidRPr="00FB0A07">
        <w:t>eculizumab</w:t>
      </w:r>
      <w:proofErr w:type="spellEnd"/>
      <w:r w:rsidRPr="00FB0A07">
        <w:t xml:space="preserve"> exposure was 62.4 patient-years</w:t>
      </w:r>
      <w:r>
        <w:t>.</w:t>
      </w:r>
    </w:p>
    <w:p w14:paraId="710FA01C" w14:textId="6C130EC6" w:rsidR="00C32129" w:rsidRPr="006F26ED" w:rsidRDefault="00AB30E5" w:rsidP="00D65DDC">
      <w:r>
        <w:t>The m</w:t>
      </w:r>
      <w:r w:rsidR="00C32129">
        <w:t>ajority of TEAEs were mild to moder</w:t>
      </w:r>
      <w:r w:rsidR="008F01FB">
        <w:t>ate in severity. 1 patient had four</w:t>
      </w:r>
      <w:r w:rsidR="00C32129">
        <w:t xml:space="preserve"> TEAEs leading to withdrawal of study drug (</w:t>
      </w:r>
      <w:proofErr w:type="spellStart"/>
      <w:r w:rsidR="00C32129">
        <w:t>Sjogren’s</w:t>
      </w:r>
      <w:proofErr w:type="spellEnd"/>
      <w:r w:rsidR="00C32129">
        <w:t xml:space="preserve"> syndrom</w:t>
      </w:r>
      <w:r w:rsidR="008F01FB">
        <w:t>e, autoimmune thyroiditis, and two</w:t>
      </w:r>
      <w:r w:rsidR="00C32129">
        <w:t xml:space="preserve"> events of worsening systemic lupus erythematosus). </w:t>
      </w:r>
      <w:r>
        <w:t>The m</w:t>
      </w:r>
      <w:r w:rsidR="00C32129">
        <w:t xml:space="preserve">ost frequently reported TEAE was </w:t>
      </w:r>
      <w:proofErr w:type="spellStart"/>
      <w:r w:rsidR="00C32129">
        <w:t>nasopharyngitis</w:t>
      </w:r>
      <w:proofErr w:type="spellEnd"/>
      <w:r w:rsidR="00C32129">
        <w:t xml:space="preserve">, headache, </w:t>
      </w:r>
      <w:r w:rsidR="002E6CB5" w:rsidRPr="002E6CB5">
        <w:t>and urinary tract infection</w:t>
      </w:r>
      <w:r w:rsidR="00C32129">
        <w:t>.</w:t>
      </w:r>
    </w:p>
    <w:p w14:paraId="57AD44E6" w14:textId="6CA7FF20" w:rsidR="00FF2AE5" w:rsidRPr="00FF2AE5" w:rsidRDefault="00386150" w:rsidP="00FF2AE5">
      <w:pPr>
        <w:pStyle w:val="Heading3"/>
        <w:rPr>
          <w:lang w:eastAsia="en-AU"/>
        </w:rPr>
      </w:pPr>
      <w:bookmarkStart w:id="40" w:name="_Toc57794890"/>
      <w:r>
        <w:rPr>
          <w:lang w:eastAsia="en-AU"/>
        </w:rPr>
        <w:lastRenderedPageBreak/>
        <w:t>Risk m</w:t>
      </w:r>
      <w:r w:rsidR="008E7846">
        <w:rPr>
          <w:lang w:eastAsia="en-AU"/>
        </w:rPr>
        <w:t xml:space="preserve">anagement </w:t>
      </w:r>
      <w:r>
        <w:rPr>
          <w:lang w:eastAsia="en-AU"/>
        </w:rPr>
        <w:t>p</w:t>
      </w:r>
      <w:r w:rsidR="008E7846">
        <w:rPr>
          <w:lang w:eastAsia="en-AU"/>
        </w:rPr>
        <w:t>lan</w:t>
      </w:r>
      <w:bookmarkEnd w:id="39"/>
      <w:bookmarkEnd w:id="40"/>
    </w:p>
    <w:p w14:paraId="2C531469" w14:textId="406E9475" w:rsidR="00CB058C" w:rsidRPr="00CB058C" w:rsidRDefault="00CB058C" w:rsidP="00CB058C">
      <w:r w:rsidRPr="00CB058C">
        <w:t>The most recently evaluated EU-</w:t>
      </w:r>
      <w:r w:rsidR="00852EAD">
        <w:t>risk management plan (</w:t>
      </w:r>
      <w:r w:rsidRPr="00CB058C">
        <w:t>RMP</w:t>
      </w:r>
      <w:r w:rsidR="00852EAD">
        <w:t>)</w:t>
      </w:r>
      <w:r w:rsidRPr="00CB058C">
        <w:t xml:space="preserve"> was version 18.3 (dated</w:t>
      </w:r>
      <w:r w:rsidR="00AB30E5">
        <w:t> </w:t>
      </w:r>
      <w:r w:rsidRPr="00CB058C">
        <w:t>14</w:t>
      </w:r>
      <w:r w:rsidR="00AB30E5">
        <w:t> </w:t>
      </w:r>
      <w:r w:rsidRPr="00CB058C">
        <w:t xml:space="preserve">June 2018; </w:t>
      </w:r>
      <w:r w:rsidR="00852EAD">
        <w:t>data lock point (</w:t>
      </w:r>
      <w:r w:rsidRPr="00CB058C">
        <w:t>DLP</w:t>
      </w:r>
      <w:r w:rsidR="00852EAD">
        <w:t>)</w:t>
      </w:r>
      <w:r w:rsidRPr="00CB058C">
        <w:t xml:space="preserve"> 1 October 2017) and </w:t>
      </w:r>
      <w:r w:rsidR="00852EAD">
        <w:t>Australian specific Annex (</w:t>
      </w:r>
      <w:r w:rsidRPr="00CB058C">
        <w:t>ASA</w:t>
      </w:r>
      <w:r w:rsidR="00852EAD">
        <w:t>)</w:t>
      </w:r>
      <w:r w:rsidRPr="00CB058C">
        <w:t xml:space="preserve"> version 5.1 (dated August 2019). In support of the extended indications, the sponsor has submitted EU-RMP version 19.3 (dated 22 July 2019; DLP 30 September 2018) and ASA ve</w:t>
      </w:r>
      <w:r w:rsidR="00881839">
        <w:t>rsion 6.0 (dated October 2019).</w:t>
      </w:r>
    </w:p>
    <w:p w14:paraId="0A42BF9D" w14:textId="090DF2F9" w:rsidR="00CB058C" w:rsidRPr="00CB058C" w:rsidRDefault="00CB058C" w:rsidP="00CB058C">
      <w:r w:rsidRPr="00CB058C">
        <w:t>In the response</w:t>
      </w:r>
      <w:r>
        <w:t xml:space="preserve"> to TGA questions</w:t>
      </w:r>
      <w:r w:rsidRPr="00CB058C">
        <w:t>, the sponsor has submitted ASA version 6.1 (dated 23</w:t>
      </w:r>
      <w:r w:rsidR="00AB30E5">
        <w:t> </w:t>
      </w:r>
      <w:r w:rsidRPr="00CB058C">
        <w:t>March 2020) and EU-RMP version 19.3 (dated 22 July 2019; DLP 30 September 2018).</w:t>
      </w:r>
    </w:p>
    <w:p w14:paraId="6F3D0823" w14:textId="50A72DA0" w:rsidR="00CB058C" w:rsidRPr="00FF2AE5" w:rsidRDefault="00CB058C" w:rsidP="00251F1C">
      <w:r w:rsidRPr="00CB058C">
        <w:t xml:space="preserve">In response to the recommendation in the </w:t>
      </w:r>
      <w:r w:rsidR="00852EAD">
        <w:t>second round</w:t>
      </w:r>
      <w:r w:rsidRPr="00CB058C">
        <w:t xml:space="preserve"> RMP evaluation report, the sponsor has submitted updated additional risk minimisation materials for evaluation. No further updates to the ASA version 6.1 (dated 23 March 2020) and EU-RMP version 19.3 (dated 22 July 2019; DLP 30 September 2018) have been provided.</w:t>
      </w:r>
    </w:p>
    <w:p w14:paraId="25D3AB22" w14:textId="0B94A9BB" w:rsidR="007D53B6" w:rsidRDefault="007D53B6" w:rsidP="007D53B6">
      <w:r>
        <w:t>The summary of safety concerns and their associated risk monitoring and mitigation strat</w:t>
      </w:r>
      <w:r w:rsidR="00AB1B30">
        <w:t xml:space="preserve">egies are summarised in </w:t>
      </w:r>
      <w:r w:rsidR="00AB1B30">
        <w:fldChar w:fldCharType="begin"/>
      </w:r>
      <w:r w:rsidR="00AB1B30">
        <w:instrText xml:space="preserve"> REF _Ref52351010 \h </w:instrText>
      </w:r>
      <w:r w:rsidR="00AB1B30">
        <w:fldChar w:fldCharType="separate"/>
      </w:r>
      <w:r w:rsidR="00FF7BA0" w:rsidRPr="00AB1B30">
        <w:t xml:space="preserve">Table </w:t>
      </w:r>
      <w:r w:rsidR="00FF7BA0">
        <w:rPr>
          <w:noProof/>
        </w:rPr>
        <w:t>5</w:t>
      </w:r>
      <w:r w:rsidR="00AB1B30">
        <w:fldChar w:fldCharType="end"/>
      </w:r>
      <w:r>
        <w:t>.</w:t>
      </w:r>
      <w:r>
        <w:rPr>
          <w:rStyle w:val="FootnoteReference"/>
        </w:rPr>
        <w:footnoteReference w:id="11"/>
      </w:r>
    </w:p>
    <w:p w14:paraId="247854F1" w14:textId="25E531B9" w:rsidR="00AB1B30" w:rsidRDefault="00AB1B30" w:rsidP="00AB1B30">
      <w:pPr>
        <w:pStyle w:val="TableTitle"/>
      </w:pPr>
      <w:bookmarkStart w:id="41" w:name="_Ref52351010"/>
      <w:r w:rsidRPr="00AB1B30">
        <w:t xml:space="preserve">Table </w:t>
      </w:r>
      <w:fldSimple w:instr=" SEQ Table \* ARABIC ">
        <w:r w:rsidR="00FF7BA0">
          <w:rPr>
            <w:noProof/>
          </w:rPr>
          <w:t>5</w:t>
        </w:r>
      </w:fldSimple>
      <w:bookmarkEnd w:id="41"/>
      <w:r w:rsidR="008C0C8B">
        <w:rPr>
          <w:noProof/>
        </w:rPr>
        <w:t>:</w:t>
      </w:r>
      <w:r>
        <w:t xml:space="preserve"> Summary of safety concerns</w:t>
      </w:r>
    </w:p>
    <w:tbl>
      <w:tblPr>
        <w:tblStyle w:val="TableTGAblue"/>
        <w:tblW w:w="5000" w:type="pct"/>
        <w:tblLook w:val="04A0" w:firstRow="1" w:lastRow="0" w:firstColumn="1" w:lastColumn="0" w:noHBand="0" w:noVBand="1"/>
      </w:tblPr>
      <w:tblGrid>
        <w:gridCol w:w="1808"/>
        <w:gridCol w:w="2319"/>
        <w:gridCol w:w="890"/>
        <w:gridCol w:w="1113"/>
        <w:gridCol w:w="890"/>
        <w:gridCol w:w="1700"/>
      </w:tblGrid>
      <w:tr w:rsidR="00CB058C" w:rsidRPr="00CB058C" w14:paraId="382B1464" w14:textId="77777777" w:rsidTr="00251F1C">
        <w:trPr>
          <w:cnfStyle w:val="100000000000" w:firstRow="1" w:lastRow="0" w:firstColumn="0" w:lastColumn="0" w:oddVBand="0" w:evenVBand="0" w:oddHBand="0" w:evenHBand="0" w:firstRowFirstColumn="0" w:firstRowLastColumn="0" w:lastRowFirstColumn="0" w:lastRowLastColumn="0"/>
          <w:trHeight w:val="131"/>
        </w:trPr>
        <w:tc>
          <w:tcPr>
            <w:tcW w:w="2366" w:type="pct"/>
            <w:gridSpan w:val="2"/>
            <w:vMerge w:val="restart"/>
          </w:tcPr>
          <w:p w14:paraId="6DBC8D40" w14:textId="77777777" w:rsidR="00CB058C" w:rsidRPr="00251F1C" w:rsidRDefault="00CB058C" w:rsidP="00251F1C">
            <w:pPr>
              <w:pStyle w:val="Tabletext"/>
              <w:ind w:left="0" w:right="0"/>
              <w:rPr>
                <w:b w:val="0"/>
                <w:sz w:val="20"/>
                <w:szCs w:val="20"/>
              </w:rPr>
            </w:pPr>
            <w:r w:rsidRPr="00251F1C">
              <w:rPr>
                <w:sz w:val="20"/>
                <w:szCs w:val="20"/>
              </w:rPr>
              <w:t>Summary of safety concerns</w:t>
            </w:r>
          </w:p>
        </w:tc>
        <w:tc>
          <w:tcPr>
            <w:tcW w:w="1149" w:type="pct"/>
            <w:gridSpan w:val="2"/>
          </w:tcPr>
          <w:p w14:paraId="7583BFAA" w14:textId="77777777" w:rsidR="00CB058C" w:rsidRPr="00251F1C" w:rsidRDefault="00CB058C" w:rsidP="00251F1C">
            <w:pPr>
              <w:pStyle w:val="Tabletext"/>
              <w:ind w:left="0" w:right="0"/>
              <w:rPr>
                <w:b w:val="0"/>
                <w:sz w:val="20"/>
                <w:szCs w:val="20"/>
              </w:rPr>
            </w:pPr>
            <w:r w:rsidRPr="00251F1C">
              <w:rPr>
                <w:sz w:val="20"/>
                <w:szCs w:val="20"/>
              </w:rPr>
              <w:t>Pharmacovigilance</w:t>
            </w:r>
          </w:p>
        </w:tc>
        <w:tc>
          <w:tcPr>
            <w:tcW w:w="1485" w:type="pct"/>
            <w:gridSpan w:val="2"/>
          </w:tcPr>
          <w:p w14:paraId="5A5CE0DB" w14:textId="0367E66A" w:rsidR="00CB058C" w:rsidRPr="00251F1C" w:rsidRDefault="00852EAD" w:rsidP="00251F1C">
            <w:pPr>
              <w:pStyle w:val="Tabletext"/>
              <w:ind w:left="0" w:right="0"/>
              <w:rPr>
                <w:b w:val="0"/>
                <w:sz w:val="20"/>
                <w:szCs w:val="20"/>
              </w:rPr>
            </w:pPr>
            <w:r w:rsidRPr="00852EAD">
              <w:rPr>
                <w:sz w:val="20"/>
                <w:szCs w:val="20"/>
              </w:rPr>
              <w:t>Risk m</w:t>
            </w:r>
            <w:r w:rsidR="00CB058C" w:rsidRPr="00251F1C">
              <w:rPr>
                <w:sz w:val="20"/>
                <w:szCs w:val="20"/>
              </w:rPr>
              <w:t>inimisation</w:t>
            </w:r>
          </w:p>
        </w:tc>
      </w:tr>
      <w:tr w:rsidR="00CB058C" w:rsidRPr="00CB058C" w14:paraId="070217BF" w14:textId="77777777" w:rsidTr="00251F1C">
        <w:trPr>
          <w:trHeight w:val="150"/>
        </w:trPr>
        <w:tc>
          <w:tcPr>
            <w:tcW w:w="2366" w:type="pct"/>
            <w:gridSpan w:val="2"/>
            <w:vMerge/>
          </w:tcPr>
          <w:p w14:paraId="67BA0A35" w14:textId="77777777" w:rsidR="00CB058C" w:rsidRPr="00251F1C" w:rsidRDefault="00CB058C" w:rsidP="00251F1C">
            <w:pPr>
              <w:pStyle w:val="Tabletext"/>
              <w:ind w:left="0" w:right="0"/>
              <w:rPr>
                <w:b/>
                <w:sz w:val="20"/>
                <w:szCs w:val="20"/>
              </w:rPr>
            </w:pPr>
          </w:p>
        </w:tc>
        <w:tc>
          <w:tcPr>
            <w:tcW w:w="510" w:type="pct"/>
          </w:tcPr>
          <w:p w14:paraId="672670D6" w14:textId="77777777" w:rsidR="00CB058C" w:rsidRPr="00251F1C" w:rsidRDefault="00CB058C" w:rsidP="00251F1C">
            <w:pPr>
              <w:pStyle w:val="Tabletext"/>
              <w:ind w:left="0" w:right="0"/>
              <w:rPr>
                <w:sz w:val="20"/>
                <w:szCs w:val="20"/>
              </w:rPr>
            </w:pPr>
            <w:r w:rsidRPr="00251F1C">
              <w:rPr>
                <w:sz w:val="20"/>
                <w:szCs w:val="20"/>
              </w:rPr>
              <w:t>Routine</w:t>
            </w:r>
          </w:p>
        </w:tc>
        <w:tc>
          <w:tcPr>
            <w:tcW w:w="639" w:type="pct"/>
          </w:tcPr>
          <w:p w14:paraId="48C3BCED" w14:textId="77777777" w:rsidR="00CB058C" w:rsidRPr="00251F1C" w:rsidRDefault="00CB058C" w:rsidP="00251F1C">
            <w:pPr>
              <w:pStyle w:val="Tabletext"/>
              <w:ind w:left="0" w:right="0"/>
              <w:rPr>
                <w:sz w:val="20"/>
                <w:szCs w:val="20"/>
              </w:rPr>
            </w:pPr>
            <w:r w:rsidRPr="00251F1C">
              <w:rPr>
                <w:sz w:val="20"/>
                <w:szCs w:val="20"/>
              </w:rPr>
              <w:t>Additional</w:t>
            </w:r>
          </w:p>
        </w:tc>
        <w:tc>
          <w:tcPr>
            <w:tcW w:w="510" w:type="pct"/>
          </w:tcPr>
          <w:p w14:paraId="18339B41" w14:textId="77777777" w:rsidR="00CB058C" w:rsidRPr="00251F1C" w:rsidRDefault="00CB058C" w:rsidP="00251F1C">
            <w:pPr>
              <w:pStyle w:val="Tabletext"/>
              <w:ind w:left="0" w:right="0"/>
              <w:rPr>
                <w:sz w:val="20"/>
                <w:szCs w:val="20"/>
              </w:rPr>
            </w:pPr>
            <w:r w:rsidRPr="00251F1C">
              <w:rPr>
                <w:sz w:val="20"/>
                <w:szCs w:val="20"/>
              </w:rPr>
              <w:t>Routine</w:t>
            </w:r>
          </w:p>
        </w:tc>
        <w:tc>
          <w:tcPr>
            <w:tcW w:w="974" w:type="pct"/>
          </w:tcPr>
          <w:p w14:paraId="0ED7C736" w14:textId="77777777" w:rsidR="00CB058C" w:rsidRPr="00251F1C" w:rsidRDefault="00CB058C" w:rsidP="00251F1C">
            <w:pPr>
              <w:pStyle w:val="Tabletext"/>
              <w:ind w:left="0" w:right="0"/>
              <w:rPr>
                <w:sz w:val="20"/>
                <w:szCs w:val="20"/>
              </w:rPr>
            </w:pPr>
            <w:r w:rsidRPr="00251F1C">
              <w:rPr>
                <w:sz w:val="20"/>
                <w:szCs w:val="20"/>
              </w:rPr>
              <w:t>Additional</w:t>
            </w:r>
          </w:p>
        </w:tc>
      </w:tr>
      <w:tr w:rsidR="00E434C1" w:rsidRPr="00CB058C" w14:paraId="6FE7190D" w14:textId="77777777" w:rsidTr="00251F1C">
        <w:trPr>
          <w:trHeight w:val="137"/>
        </w:trPr>
        <w:tc>
          <w:tcPr>
            <w:tcW w:w="1037" w:type="pct"/>
            <w:vMerge w:val="restart"/>
          </w:tcPr>
          <w:p w14:paraId="7655A58B" w14:textId="77777777" w:rsidR="00E434C1" w:rsidRPr="00251F1C" w:rsidRDefault="00E434C1" w:rsidP="00251F1C">
            <w:pPr>
              <w:pStyle w:val="Tabletext"/>
              <w:ind w:left="0" w:right="0"/>
              <w:rPr>
                <w:b/>
                <w:sz w:val="20"/>
                <w:szCs w:val="20"/>
              </w:rPr>
            </w:pPr>
            <w:r w:rsidRPr="00251F1C">
              <w:rPr>
                <w:b/>
                <w:sz w:val="20"/>
                <w:szCs w:val="20"/>
              </w:rPr>
              <w:t>Important identified risks</w:t>
            </w:r>
          </w:p>
        </w:tc>
        <w:tc>
          <w:tcPr>
            <w:tcW w:w="1330" w:type="pct"/>
          </w:tcPr>
          <w:p w14:paraId="4EBCB750" w14:textId="77777777" w:rsidR="00E434C1" w:rsidRPr="00852EAD" w:rsidRDefault="00E434C1" w:rsidP="00251F1C">
            <w:pPr>
              <w:pStyle w:val="Summaryofsafetyconcerns"/>
              <w:keepNext/>
              <w:keepLines/>
              <w:ind w:left="0" w:right="0"/>
              <w:rPr>
                <w:b w:val="0"/>
                <w:szCs w:val="20"/>
              </w:rPr>
            </w:pPr>
            <w:r w:rsidRPr="00852EAD">
              <w:rPr>
                <w:b w:val="0"/>
                <w:szCs w:val="20"/>
              </w:rPr>
              <w:t>Meningococcal infections</w:t>
            </w:r>
          </w:p>
        </w:tc>
        <w:tc>
          <w:tcPr>
            <w:tcW w:w="510" w:type="pct"/>
          </w:tcPr>
          <w:p w14:paraId="38D14E9B" w14:textId="77777777" w:rsidR="00E434C1" w:rsidRPr="00251F1C" w:rsidRDefault="00E434C1" w:rsidP="00251F1C">
            <w:pPr>
              <w:pStyle w:val="Tabletext"/>
              <w:ind w:left="0" w:right="0"/>
              <w:jc w:val="center"/>
              <w:rPr>
                <w:sz w:val="20"/>
                <w:szCs w:val="20"/>
              </w:rPr>
            </w:pPr>
            <w:r w:rsidRPr="00251F1C">
              <w:rPr>
                <w:sz w:val="20"/>
                <w:szCs w:val="20"/>
              </w:rPr>
              <w:sym w:font="Wingdings" w:char="F0FC"/>
            </w:r>
            <w:r w:rsidRPr="00251F1C">
              <w:rPr>
                <w:sz w:val="20"/>
                <w:szCs w:val="20"/>
              </w:rPr>
              <w:t>*</w:t>
            </w:r>
          </w:p>
        </w:tc>
        <w:tc>
          <w:tcPr>
            <w:tcW w:w="639" w:type="pct"/>
            <w:vAlign w:val="center"/>
          </w:tcPr>
          <w:p w14:paraId="50C16248" w14:textId="22A0A855" w:rsidR="00E434C1" w:rsidRPr="00251F1C" w:rsidRDefault="00E434C1" w:rsidP="00251F1C">
            <w:pPr>
              <w:pStyle w:val="Tabletext"/>
              <w:ind w:left="0" w:right="0"/>
              <w:jc w:val="center"/>
              <w:rPr>
                <w:sz w:val="20"/>
                <w:szCs w:val="20"/>
              </w:rPr>
            </w:pPr>
            <w:r w:rsidRPr="00251F1C">
              <w:rPr>
                <w:sz w:val="20"/>
                <w:szCs w:val="20"/>
              </w:rPr>
              <w:sym w:font="Wingdings" w:char="F0FC"/>
            </w:r>
            <w:r w:rsidRPr="00251F1C">
              <w:rPr>
                <w:sz w:val="20"/>
                <w:szCs w:val="20"/>
              </w:rPr>
              <w:t>†‡</w:t>
            </w:r>
          </w:p>
        </w:tc>
        <w:tc>
          <w:tcPr>
            <w:tcW w:w="510" w:type="pct"/>
          </w:tcPr>
          <w:p w14:paraId="25E4330F" w14:textId="77777777" w:rsidR="00E434C1" w:rsidRPr="00251F1C" w:rsidRDefault="00E434C1" w:rsidP="00251F1C">
            <w:pPr>
              <w:pStyle w:val="Tabletext"/>
              <w:ind w:left="0" w:right="0"/>
              <w:jc w:val="center"/>
              <w:rPr>
                <w:sz w:val="20"/>
                <w:szCs w:val="20"/>
              </w:rPr>
            </w:pPr>
            <w:r w:rsidRPr="00251F1C">
              <w:rPr>
                <w:sz w:val="20"/>
                <w:szCs w:val="20"/>
              </w:rPr>
              <w:sym w:font="Wingdings" w:char="F0FC"/>
            </w:r>
          </w:p>
        </w:tc>
        <w:tc>
          <w:tcPr>
            <w:tcW w:w="974" w:type="pct"/>
            <w:vAlign w:val="center"/>
          </w:tcPr>
          <w:p w14:paraId="3E878431" w14:textId="031DA059" w:rsidR="00E434C1" w:rsidRPr="00251F1C" w:rsidRDefault="00E434C1" w:rsidP="00251F1C">
            <w:pPr>
              <w:pStyle w:val="Tabletext"/>
              <w:ind w:left="0" w:right="0"/>
              <w:jc w:val="center"/>
              <w:rPr>
                <w:sz w:val="20"/>
                <w:szCs w:val="20"/>
              </w:rPr>
            </w:pPr>
            <w:r w:rsidRPr="00251F1C">
              <w:rPr>
                <w:sz w:val="20"/>
                <w:szCs w:val="20"/>
              </w:rPr>
              <w:sym w:font="Wingdings" w:char="F0FC"/>
            </w:r>
            <w:r w:rsidRPr="00251F1C">
              <w:rPr>
                <w:sz w:val="20"/>
                <w:szCs w:val="20"/>
              </w:rPr>
              <w:t>∞¥βµɸΩ§απǁ¶</w:t>
            </w:r>
          </w:p>
        </w:tc>
      </w:tr>
      <w:tr w:rsidR="00E434C1" w:rsidRPr="00CB058C" w14:paraId="4106EAAA" w14:textId="77777777" w:rsidTr="00251F1C">
        <w:trPr>
          <w:trHeight w:val="94"/>
        </w:trPr>
        <w:tc>
          <w:tcPr>
            <w:tcW w:w="1037" w:type="pct"/>
            <w:vMerge/>
          </w:tcPr>
          <w:p w14:paraId="0FB8EBFB" w14:textId="77777777" w:rsidR="00E434C1" w:rsidRPr="00251F1C" w:rsidRDefault="00E434C1" w:rsidP="00251F1C">
            <w:pPr>
              <w:pStyle w:val="Tabletext"/>
              <w:ind w:left="0" w:right="0"/>
              <w:rPr>
                <w:b/>
                <w:sz w:val="20"/>
                <w:szCs w:val="20"/>
              </w:rPr>
            </w:pPr>
          </w:p>
        </w:tc>
        <w:tc>
          <w:tcPr>
            <w:tcW w:w="1330" w:type="pct"/>
          </w:tcPr>
          <w:p w14:paraId="4441B128" w14:textId="25F753DF" w:rsidR="00E434C1" w:rsidRPr="00852EAD" w:rsidRDefault="00E434C1" w:rsidP="00251F1C">
            <w:pPr>
              <w:pStyle w:val="Summaryofsafetyconcerns"/>
              <w:keepNext/>
              <w:keepLines/>
              <w:ind w:left="0" w:right="0"/>
              <w:rPr>
                <w:b w:val="0"/>
                <w:szCs w:val="20"/>
              </w:rPr>
            </w:pPr>
            <w:r w:rsidRPr="00852EAD">
              <w:rPr>
                <w:b w:val="0"/>
                <w:szCs w:val="20"/>
              </w:rPr>
              <w:t>Serious infections (including sepsis)</w:t>
            </w:r>
          </w:p>
        </w:tc>
        <w:tc>
          <w:tcPr>
            <w:tcW w:w="510" w:type="pct"/>
          </w:tcPr>
          <w:p w14:paraId="2736357B" w14:textId="77777777" w:rsidR="00E434C1" w:rsidRPr="00251F1C" w:rsidRDefault="00E434C1" w:rsidP="00251F1C">
            <w:pPr>
              <w:pStyle w:val="Tabletext"/>
              <w:ind w:left="0" w:right="0"/>
              <w:jc w:val="center"/>
              <w:rPr>
                <w:sz w:val="20"/>
                <w:szCs w:val="20"/>
              </w:rPr>
            </w:pPr>
            <w:r w:rsidRPr="00251F1C">
              <w:rPr>
                <w:sz w:val="20"/>
                <w:szCs w:val="20"/>
              </w:rPr>
              <w:sym w:font="Wingdings" w:char="F0FC"/>
            </w:r>
          </w:p>
        </w:tc>
        <w:tc>
          <w:tcPr>
            <w:tcW w:w="639" w:type="pct"/>
            <w:vAlign w:val="center"/>
          </w:tcPr>
          <w:p w14:paraId="65AE8360" w14:textId="08669BA6" w:rsidR="00E434C1" w:rsidRPr="00251F1C" w:rsidRDefault="00E434C1" w:rsidP="00251F1C">
            <w:pPr>
              <w:pStyle w:val="Tabletext"/>
              <w:ind w:left="0" w:right="0"/>
              <w:jc w:val="center"/>
              <w:rPr>
                <w:sz w:val="20"/>
                <w:szCs w:val="20"/>
              </w:rPr>
            </w:pPr>
            <w:r w:rsidRPr="00251F1C">
              <w:rPr>
                <w:sz w:val="20"/>
                <w:szCs w:val="20"/>
              </w:rPr>
              <w:sym w:font="Wingdings" w:char="F0FC"/>
            </w:r>
            <w:r w:rsidRPr="00251F1C">
              <w:rPr>
                <w:sz w:val="20"/>
                <w:szCs w:val="20"/>
              </w:rPr>
              <w:t>†‡</w:t>
            </w:r>
          </w:p>
        </w:tc>
        <w:tc>
          <w:tcPr>
            <w:tcW w:w="510" w:type="pct"/>
          </w:tcPr>
          <w:p w14:paraId="72F2F5F4" w14:textId="77777777" w:rsidR="00E434C1" w:rsidRPr="00251F1C" w:rsidRDefault="00E434C1" w:rsidP="00251F1C">
            <w:pPr>
              <w:pStyle w:val="Tabletext"/>
              <w:ind w:left="0" w:right="0"/>
              <w:jc w:val="center"/>
              <w:rPr>
                <w:sz w:val="20"/>
                <w:szCs w:val="20"/>
              </w:rPr>
            </w:pPr>
            <w:r w:rsidRPr="00251F1C">
              <w:rPr>
                <w:sz w:val="20"/>
                <w:szCs w:val="20"/>
              </w:rPr>
              <w:sym w:font="Wingdings" w:char="F0FC"/>
            </w:r>
          </w:p>
        </w:tc>
        <w:tc>
          <w:tcPr>
            <w:tcW w:w="974" w:type="pct"/>
            <w:vAlign w:val="center"/>
          </w:tcPr>
          <w:p w14:paraId="6DD28A0C" w14:textId="0CA7DBE3" w:rsidR="00E434C1" w:rsidRPr="00251F1C" w:rsidRDefault="00E434C1" w:rsidP="00251F1C">
            <w:pPr>
              <w:pStyle w:val="Tabletext"/>
              <w:ind w:left="0" w:right="0"/>
              <w:jc w:val="center"/>
              <w:rPr>
                <w:sz w:val="20"/>
                <w:szCs w:val="20"/>
              </w:rPr>
            </w:pPr>
            <w:r w:rsidRPr="00251F1C">
              <w:rPr>
                <w:sz w:val="20"/>
                <w:szCs w:val="20"/>
              </w:rPr>
              <w:sym w:font="Wingdings" w:char="F0FC"/>
            </w:r>
            <w:r w:rsidRPr="00251F1C">
              <w:rPr>
                <w:sz w:val="20"/>
                <w:szCs w:val="20"/>
              </w:rPr>
              <w:t>∞¥βµɸΩ§απ</w:t>
            </w:r>
          </w:p>
        </w:tc>
      </w:tr>
      <w:tr w:rsidR="00E434C1" w:rsidRPr="00CB058C" w14:paraId="6705CF5F" w14:textId="77777777" w:rsidTr="00251F1C">
        <w:trPr>
          <w:trHeight w:val="94"/>
        </w:trPr>
        <w:tc>
          <w:tcPr>
            <w:tcW w:w="1037" w:type="pct"/>
            <w:vMerge/>
          </w:tcPr>
          <w:p w14:paraId="416562C9" w14:textId="77777777" w:rsidR="00E434C1" w:rsidRPr="00251F1C" w:rsidRDefault="00E434C1" w:rsidP="00251F1C">
            <w:pPr>
              <w:pStyle w:val="Tabletext"/>
              <w:ind w:left="0" w:right="0"/>
              <w:rPr>
                <w:b/>
                <w:sz w:val="20"/>
                <w:szCs w:val="20"/>
              </w:rPr>
            </w:pPr>
          </w:p>
        </w:tc>
        <w:tc>
          <w:tcPr>
            <w:tcW w:w="1330" w:type="pct"/>
          </w:tcPr>
          <w:p w14:paraId="698B897E" w14:textId="77777777" w:rsidR="00E434C1" w:rsidRPr="00852EAD" w:rsidRDefault="00E434C1" w:rsidP="00251F1C">
            <w:pPr>
              <w:pStyle w:val="Summaryofsafetyconcerns"/>
              <w:keepNext/>
              <w:keepLines/>
              <w:ind w:left="0" w:right="0"/>
              <w:rPr>
                <w:b w:val="0"/>
                <w:szCs w:val="20"/>
              </w:rPr>
            </w:pPr>
            <w:r w:rsidRPr="00852EAD">
              <w:rPr>
                <w:b w:val="0"/>
                <w:szCs w:val="20"/>
              </w:rPr>
              <w:t>Aspergillus infection</w:t>
            </w:r>
          </w:p>
        </w:tc>
        <w:tc>
          <w:tcPr>
            <w:tcW w:w="510" w:type="pct"/>
          </w:tcPr>
          <w:p w14:paraId="292683C3" w14:textId="77777777" w:rsidR="00E434C1" w:rsidRPr="00251F1C" w:rsidRDefault="00E434C1" w:rsidP="00251F1C">
            <w:pPr>
              <w:pStyle w:val="Tabletext"/>
              <w:ind w:left="0" w:right="0"/>
              <w:jc w:val="center"/>
              <w:rPr>
                <w:sz w:val="20"/>
                <w:szCs w:val="20"/>
              </w:rPr>
            </w:pPr>
            <w:r w:rsidRPr="00251F1C">
              <w:rPr>
                <w:sz w:val="20"/>
                <w:szCs w:val="20"/>
              </w:rPr>
              <w:sym w:font="Wingdings" w:char="F0FC"/>
            </w:r>
          </w:p>
        </w:tc>
        <w:tc>
          <w:tcPr>
            <w:tcW w:w="639" w:type="pct"/>
            <w:vAlign w:val="center"/>
          </w:tcPr>
          <w:p w14:paraId="45999346" w14:textId="636DEFD1" w:rsidR="00E434C1" w:rsidRPr="00251F1C" w:rsidRDefault="00E434C1" w:rsidP="00251F1C">
            <w:pPr>
              <w:pStyle w:val="Tabletext"/>
              <w:ind w:left="0" w:right="0"/>
              <w:jc w:val="center"/>
              <w:rPr>
                <w:sz w:val="20"/>
                <w:szCs w:val="20"/>
              </w:rPr>
            </w:pPr>
            <w:r w:rsidRPr="00251F1C">
              <w:rPr>
                <w:sz w:val="20"/>
                <w:szCs w:val="20"/>
              </w:rPr>
              <w:sym w:font="Wingdings" w:char="F0FC"/>
            </w:r>
            <w:r w:rsidRPr="00251F1C">
              <w:rPr>
                <w:sz w:val="20"/>
                <w:szCs w:val="20"/>
              </w:rPr>
              <w:t>†‡</w:t>
            </w:r>
          </w:p>
        </w:tc>
        <w:tc>
          <w:tcPr>
            <w:tcW w:w="510" w:type="pct"/>
          </w:tcPr>
          <w:p w14:paraId="2FB3D08D" w14:textId="77777777" w:rsidR="00E434C1" w:rsidRPr="00251F1C" w:rsidRDefault="00E434C1" w:rsidP="00251F1C">
            <w:pPr>
              <w:pStyle w:val="Tabletext"/>
              <w:ind w:left="0" w:right="0"/>
              <w:jc w:val="center"/>
              <w:rPr>
                <w:sz w:val="20"/>
                <w:szCs w:val="20"/>
              </w:rPr>
            </w:pPr>
            <w:r w:rsidRPr="00251F1C">
              <w:rPr>
                <w:sz w:val="20"/>
                <w:szCs w:val="20"/>
              </w:rPr>
              <w:sym w:font="Wingdings" w:char="F0FC"/>
            </w:r>
          </w:p>
        </w:tc>
        <w:tc>
          <w:tcPr>
            <w:tcW w:w="974" w:type="pct"/>
            <w:vAlign w:val="center"/>
          </w:tcPr>
          <w:p w14:paraId="20548F2F" w14:textId="118DA6DE" w:rsidR="00E434C1" w:rsidRPr="00251F1C" w:rsidRDefault="00E434C1" w:rsidP="00251F1C">
            <w:pPr>
              <w:pStyle w:val="Tabletext"/>
              <w:ind w:left="0" w:right="0"/>
              <w:jc w:val="center"/>
              <w:rPr>
                <w:sz w:val="20"/>
                <w:szCs w:val="20"/>
              </w:rPr>
            </w:pPr>
            <w:r w:rsidRPr="00251F1C">
              <w:rPr>
                <w:sz w:val="20"/>
                <w:szCs w:val="20"/>
              </w:rPr>
              <w:sym w:font="Wingdings" w:char="F0FC"/>
            </w:r>
            <w:r w:rsidRPr="00251F1C">
              <w:rPr>
                <w:sz w:val="20"/>
                <w:szCs w:val="20"/>
              </w:rPr>
              <w:t>∞¥§</w:t>
            </w:r>
          </w:p>
        </w:tc>
      </w:tr>
      <w:tr w:rsidR="00E434C1" w:rsidRPr="00CB058C" w14:paraId="1D111872" w14:textId="77777777" w:rsidTr="00251F1C">
        <w:trPr>
          <w:trHeight w:val="94"/>
        </w:trPr>
        <w:tc>
          <w:tcPr>
            <w:tcW w:w="1037" w:type="pct"/>
            <w:vMerge/>
          </w:tcPr>
          <w:p w14:paraId="64F14C6C" w14:textId="77777777" w:rsidR="00E434C1" w:rsidRPr="00251F1C" w:rsidRDefault="00E434C1" w:rsidP="00251F1C">
            <w:pPr>
              <w:pStyle w:val="Tabletext"/>
              <w:ind w:left="0" w:right="0"/>
              <w:rPr>
                <w:b/>
                <w:sz w:val="20"/>
                <w:szCs w:val="20"/>
              </w:rPr>
            </w:pPr>
          </w:p>
        </w:tc>
        <w:tc>
          <w:tcPr>
            <w:tcW w:w="1330" w:type="pct"/>
          </w:tcPr>
          <w:p w14:paraId="180DAE11" w14:textId="77777777" w:rsidR="00E434C1" w:rsidRPr="00852EAD" w:rsidRDefault="00E434C1" w:rsidP="00251F1C">
            <w:pPr>
              <w:pStyle w:val="Summaryofsafetyconcerns"/>
              <w:keepNext/>
              <w:keepLines/>
              <w:ind w:left="0" w:right="0"/>
              <w:rPr>
                <w:b w:val="0"/>
                <w:szCs w:val="20"/>
              </w:rPr>
            </w:pPr>
            <w:r w:rsidRPr="00852EAD">
              <w:rPr>
                <w:b w:val="0"/>
                <w:szCs w:val="20"/>
              </w:rPr>
              <w:t xml:space="preserve">Severe TMA complications due to drug discontinuation in </w:t>
            </w:r>
            <w:proofErr w:type="spellStart"/>
            <w:r w:rsidRPr="00852EAD">
              <w:rPr>
                <w:b w:val="0"/>
                <w:szCs w:val="20"/>
              </w:rPr>
              <w:t>aHUS</w:t>
            </w:r>
            <w:proofErr w:type="spellEnd"/>
            <w:r w:rsidRPr="00852EAD">
              <w:rPr>
                <w:b w:val="0"/>
                <w:szCs w:val="20"/>
              </w:rPr>
              <w:t xml:space="preserve"> patients</w:t>
            </w:r>
          </w:p>
        </w:tc>
        <w:tc>
          <w:tcPr>
            <w:tcW w:w="510" w:type="pct"/>
          </w:tcPr>
          <w:p w14:paraId="5FDB8C0E" w14:textId="77777777" w:rsidR="00E434C1" w:rsidRPr="00251F1C" w:rsidRDefault="00E434C1" w:rsidP="00251F1C">
            <w:pPr>
              <w:pStyle w:val="Tabletext"/>
              <w:ind w:left="0" w:right="0"/>
              <w:jc w:val="center"/>
              <w:rPr>
                <w:sz w:val="20"/>
                <w:szCs w:val="20"/>
              </w:rPr>
            </w:pPr>
            <w:r w:rsidRPr="00251F1C">
              <w:rPr>
                <w:sz w:val="20"/>
                <w:szCs w:val="20"/>
              </w:rPr>
              <w:sym w:font="Wingdings" w:char="F0FC"/>
            </w:r>
          </w:p>
        </w:tc>
        <w:tc>
          <w:tcPr>
            <w:tcW w:w="639" w:type="pct"/>
            <w:vAlign w:val="center"/>
          </w:tcPr>
          <w:p w14:paraId="0498D2AD" w14:textId="0B960DD4" w:rsidR="00E434C1" w:rsidRPr="00251F1C" w:rsidRDefault="00E434C1" w:rsidP="00251F1C">
            <w:pPr>
              <w:pStyle w:val="Tabletext"/>
              <w:ind w:left="0" w:right="0"/>
              <w:jc w:val="center"/>
              <w:rPr>
                <w:sz w:val="20"/>
                <w:szCs w:val="20"/>
              </w:rPr>
            </w:pPr>
            <w:r w:rsidRPr="00251F1C">
              <w:rPr>
                <w:sz w:val="20"/>
                <w:szCs w:val="20"/>
              </w:rPr>
              <w:sym w:font="Wingdings" w:char="F0FC"/>
            </w:r>
            <w:r w:rsidRPr="00251F1C">
              <w:rPr>
                <w:sz w:val="20"/>
                <w:szCs w:val="20"/>
              </w:rPr>
              <w:t>‡</w:t>
            </w:r>
          </w:p>
        </w:tc>
        <w:tc>
          <w:tcPr>
            <w:tcW w:w="510" w:type="pct"/>
          </w:tcPr>
          <w:p w14:paraId="75D6E54D" w14:textId="77777777" w:rsidR="00E434C1" w:rsidRPr="00251F1C" w:rsidRDefault="00E434C1" w:rsidP="00251F1C">
            <w:pPr>
              <w:pStyle w:val="Tabletext"/>
              <w:ind w:left="0" w:right="0"/>
              <w:jc w:val="center"/>
              <w:rPr>
                <w:sz w:val="20"/>
                <w:szCs w:val="20"/>
              </w:rPr>
            </w:pPr>
            <w:r w:rsidRPr="00251F1C">
              <w:rPr>
                <w:sz w:val="20"/>
                <w:szCs w:val="20"/>
              </w:rPr>
              <w:sym w:font="Wingdings" w:char="F0FC"/>
            </w:r>
          </w:p>
        </w:tc>
        <w:tc>
          <w:tcPr>
            <w:tcW w:w="974" w:type="pct"/>
            <w:vAlign w:val="center"/>
          </w:tcPr>
          <w:p w14:paraId="5027AC7D" w14:textId="02B1E2DE" w:rsidR="00E434C1" w:rsidRPr="00251F1C" w:rsidRDefault="00E434C1" w:rsidP="00251F1C">
            <w:pPr>
              <w:pStyle w:val="Tabletext"/>
              <w:ind w:left="0" w:right="0"/>
              <w:jc w:val="center"/>
              <w:rPr>
                <w:sz w:val="20"/>
                <w:szCs w:val="20"/>
              </w:rPr>
            </w:pPr>
            <w:r w:rsidRPr="00251F1C">
              <w:rPr>
                <w:sz w:val="20"/>
                <w:szCs w:val="20"/>
              </w:rPr>
              <w:sym w:font="Wingdings" w:char="F0FC"/>
            </w:r>
            <w:r w:rsidRPr="00251F1C">
              <w:rPr>
                <w:sz w:val="20"/>
                <w:szCs w:val="20"/>
              </w:rPr>
              <w:t>µ¥</w:t>
            </w:r>
          </w:p>
        </w:tc>
      </w:tr>
      <w:tr w:rsidR="00E434C1" w:rsidRPr="00CB058C" w14:paraId="068FF018" w14:textId="77777777" w:rsidTr="00251F1C">
        <w:trPr>
          <w:trHeight w:val="187"/>
        </w:trPr>
        <w:tc>
          <w:tcPr>
            <w:tcW w:w="1037" w:type="pct"/>
            <w:vMerge/>
          </w:tcPr>
          <w:p w14:paraId="33E38982" w14:textId="77777777" w:rsidR="00E434C1" w:rsidRPr="00251F1C" w:rsidRDefault="00E434C1" w:rsidP="00251F1C">
            <w:pPr>
              <w:pStyle w:val="Tabletext"/>
              <w:ind w:left="0" w:right="0"/>
              <w:rPr>
                <w:b/>
                <w:sz w:val="20"/>
                <w:szCs w:val="20"/>
              </w:rPr>
            </w:pPr>
          </w:p>
        </w:tc>
        <w:tc>
          <w:tcPr>
            <w:tcW w:w="1330" w:type="pct"/>
          </w:tcPr>
          <w:p w14:paraId="3B1F0DA1" w14:textId="77777777" w:rsidR="00E434C1" w:rsidRPr="00852EAD" w:rsidRDefault="00E434C1" w:rsidP="00251F1C">
            <w:pPr>
              <w:pStyle w:val="Summaryofsafetyconcerns"/>
              <w:keepNext/>
              <w:keepLines/>
              <w:ind w:left="0" w:right="0"/>
              <w:rPr>
                <w:b w:val="0"/>
                <w:szCs w:val="20"/>
              </w:rPr>
            </w:pPr>
            <w:r w:rsidRPr="00852EAD">
              <w:rPr>
                <w:b w:val="0"/>
                <w:szCs w:val="20"/>
              </w:rPr>
              <w:t>Infusion reactions</w:t>
            </w:r>
          </w:p>
        </w:tc>
        <w:tc>
          <w:tcPr>
            <w:tcW w:w="510" w:type="pct"/>
          </w:tcPr>
          <w:p w14:paraId="315AA551" w14:textId="77777777" w:rsidR="00E434C1" w:rsidRPr="00251F1C" w:rsidRDefault="00E434C1" w:rsidP="00251F1C">
            <w:pPr>
              <w:pStyle w:val="Tabletext"/>
              <w:ind w:left="0" w:right="0"/>
              <w:jc w:val="center"/>
              <w:rPr>
                <w:sz w:val="20"/>
                <w:szCs w:val="20"/>
              </w:rPr>
            </w:pPr>
            <w:r w:rsidRPr="00251F1C">
              <w:rPr>
                <w:sz w:val="20"/>
                <w:szCs w:val="20"/>
              </w:rPr>
              <w:sym w:font="Wingdings" w:char="F0FC"/>
            </w:r>
          </w:p>
        </w:tc>
        <w:tc>
          <w:tcPr>
            <w:tcW w:w="639" w:type="pct"/>
            <w:vAlign w:val="center"/>
          </w:tcPr>
          <w:p w14:paraId="7D84E75E" w14:textId="169D3CE2" w:rsidR="00E434C1" w:rsidRPr="00251F1C" w:rsidRDefault="00E434C1" w:rsidP="00251F1C">
            <w:pPr>
              <w:pStyle w:val="Tabletext"/>
              <w:ind w:left="0" w:right="0"/>
              <w:jc w:val="center"/>
              <w:rPr>
                <w:sz w:val="20"/>
                <w:szCs w:val="20"/>
              </w:rPr>
            </w:pPr>
            <w:r w:rsidRPr="00251F1C">
              <w:rPr>
                <w:sz w:val="20"/>
                <w:szCs w:val="20"/>
              </w:rPr>
              <w:sym w:font="Wingdings" w:char="F0FC"/>
            </w:r>
            <w:r w:rsidRPr="00251F1C">
              <w:rPr>
                <w:sz w:val="20"/>
                <w:szCs w:val="20"/>
              </w:rPr>
              <w:t>†‡</w:t>
            </w:r>
          </w:p>
        </w:tc>
        <w:tc>
          <w:tcPr>
            <w:tcW w:w="510" w:type="pct"/>
          </w:tcPr>
          <w:p w14:paraId="6EAD0445" w14:textId="77777777" w:rsidR="00E434C1" w:rsidRPr="00251F1C" w:rsidRDefault="00E434C1" w:rsidP="00251F1C">
            <w:pPr>
              <w:pStyle w:val="Tabletext"/>
              <w:ind w:left="0" w:right="0"/>
              <w:jc w:val="center"/>
              <w:rPr>
                <w:sz w:val="20"/>
                <w:szCs w:val="20"/>
              </w:rPr>
            </w:pPr>
            <w:r w:rsidRPr="00251F1C">
              <w:rPr>
                <w:sz w:val="20"/>
                <w:szCs w:val="20"/>
              </w:rPr>
              <w:sym w:font="Wingdings" w:char="F0FC"/>
            </w:r>
          </w:p>
        </w:tc>
        <w:tc>
          <w:tcPr>
            <w:tcW w:w="974" w:type="pct"/>
            <w:vAlign w:val="center"/>
          </w:tcPr>
          <w:p w14:paraId="7E89C678" w14:textId="46C97240" w:rsidR="00E434C1" w:rsidRPr="00251F1C" w:rsidRDefault="00E434C1" w:rsidP="00251F1C">
            <w:pPr>
              <w:pStyle w:val="Tabletext"/>
              <w:ind w:left="0" w:right="0"/>
              <w:jc w:val="center"/>
              <w:rPr>
                <w:sz w:val="20"/>
                <w:szCs w:val="20"/>
              </w:rPr>
            </w:pPr>
            <w:r w:rsidRPr="00251F1C">
              <w:rPr>
                <w:sz w:val="20"/>
                <w:szCs w:val="20"/>
              </w:rPr>
              <w:sym w:font="Wingdings" w:char="F0FC"/>
            </w:r>
            <w:r w:rsidRPr="00251F1C">
              <w:rPr>
                <w:sz w:val="20"/>
                <w:szCs w:val="20"/>
              </w:rPr>
              <w:t>∞¥βµɸ§α</w:t>
            </w:r>
          </w:p>
        </w:tc>
      </w:tr>
      <w:tr w:rsidR="00E434C1" w:rsidRPr="00CB058C" w14:paraId="7B1DCCD5" w14:textId="77777777" w:rsidTr="00251F1C">
        <w:trPr>
          <w:trHeight w:val="159"/>
        </w:trPr>
        <w:tc>
          <w:tcPr>
            <w:tcW w:w="1037" w:type="pct"/>
            <w:vMerge w:val="restart"/>
          </w:tcPr>
          <w:p w14:paraId="5AFA7DFE" w14:textId="77777777" w:rsidR="00E434C1" w:rsidRPr="00251F1C" w:rsidRDefault="00E434C1" w:rsidP="00251F1C">
            <w:pPr>
              <w:pStyle w:val="Tabletext"/>
              <w:ind w:left="0" w:right="0"/>
              <w:rPr>
                <w:b/>
                <w:sz w:val="20"/>
                <w:szCs w:val="20"/>
              </w:rPr>
            </w:pPr>
            <w:r w:rsidRPr="00251F1C">
              <w:rPr>
                <w:b/>
                <w:sz w:val="20"/>
                <w:szCs w:val="20"/>
              </w:rPr>
              <w:t>Important potential risks</w:t>
            </w:r>
          </w:p>
        </w:tc>
        <w:tc>
          <w:tcPr>
            <w:tcW w:w="1330" w:type="pct"/>
          </w:tcPr>
          <w:p w14:paraId="56C058BB" w14:textId="77777777" w:rsidR="00E434C1" w:rsidRPr="00852EAD" w:rsidRDefault="00E434C1" w:rsidP="00251F1C">
            <w:pPr>
              <w:pStyle w:val="Summaryofsafetyconcerns"/>
              <w:keepNext/>
              <w:keepLines/>
              <w:ind w:left="0" w:right="0"/>
              <w:rPr>
                <w:b w:val="0"/>
                <w:szCs w:val="20"/>
              </w:rPr>
            </w:pPr>
            <w:r w:rsidRPr="00852EAD">
              <w:rPr>
                <w:b w:val="0"/>
                <w:szCs w:val="20"/>
              </w:rPr>
              <w:t>Serious haemolysis after drug discontinuation in PNH patients</w:t>
            </w:r>
          </w:p>
        </w:tc>
        <w:tc>
          <w:tcPr>
            <w:tcW w:w="510" w:type="pct"/>
          </w:tcPr>
          <w:p w14:paraId="2C18E782" w14:textId="77777777" w:rsidR="00E434C1" w:rsidRPr="00251F1C" w:rsidRDefault="00E434C1" w:rsidP="00251F1C">
            <w:pPr>
              <w:pStyle w:val="Tabletext"/>
              <w:ind w:left="0" w:right="0"/>
              <w:jc w:val="center"/>
              <w:rPr>
                <w:sz w:val="20"/>
                <w:szCs w:val="20"/>
              </w:rPr>
            </w:pPr>
            <w:r w:rsidRPr="00251F1C">
              <w:rPr>
                <w:sz w:val="20"/>
                <w:szCs w:val="20"/>
              </w:rPr>
              <w:sym w:font="Wingdings" w:char="F0FC"/>
            </w:r>
          </w:p>
        </w:tc>
        <w:tc>
          <w:tcPr>
            <w:tcW w:w="639" w:type="pct"/>
            <w:vAlign w:val="center"/>
          </w:tcPr>
          <w:p w14:paraId="52763D71" w14:textId="29356CCA" w:rsidR="00E434C1" w:rsidRPr="00251F1C" w:rsidRDefault="00E434C1" w:rsidP="00251F1C">
            <w:pPr>
              <w:pStyle w:val="Tabletext"/>
              <w:ind w:left="0" w:right="0"/>
              <w:jc w:val="center"/>
              <w:rPr>
                <w:sz w:val="20"/>
                <w:szCs w:val="20"/>
              </w:rPr>
            </w:pPr>
            <w:r w:rsidRPr="00251F1C">
              <w:rPr>
                <w:sz w:val="20"/>
                <w:szCs w:val="20"/>
              </w:rPr>
              <w:sym w:font="Wingdings" w:char="F0FC"/>
            </w:r>
            <w:r w:rsidRPr="00251F1C">
              <w:rPr>
                <w:sz w:val="20"/>
                <w:szCs w:val="20"/>
              </w:rPr>
              <w:t>†</w:t>
            </w:r>
          </w:p>
        </w:tc>
        <w:tc>
          <w:tcPr>
            <w:tcW w:w="510" w:type="pct"/>
          </w:tcPr>
          <w:p w14:paraId="1D200260" w14:textId="77777777" w:rsidR="00E434C1" w:rsidRPr="00251F1C" w:rsidRDefault="00E434C1" w:rsidP="00251F1C">
            <w:pPr>
              <w:pStyle w:val="Tabletext"/>
              <w:ind w:left="0" w:right="0"/>
              <w:jc w:val="center"/>
              <w:rPr>
                <w:sz w:val="20"/>
                <w:szCs w:val="20"/>
              </w:rPr>
            </w:pPr>
            <w:r w:rsidRPr="00251F1C">
              <w:rPr>
                <w:sz w:val="20"/>
                <w:szCs w:val="20"/>
              </w:rPr>
              <w:sym w:font="Wingdings" w:char="F0FC"/>
            </w:r>
          </w:p>
        </w:tc>
        <w:tc>
          <w:tcPr>
            <w:tcW w:w="974" w:type="pct"/>
            <w:vAlign w:val="center"/>
          </w:tcPr>
          <w:p w14:paraId="7007ED0C" w14:textId="2029EBDC" w:rsidR="00E434C1" w:rsidRPr="00251F1C" w:rsidRDefault="00E434C1" w:rsidP="00251F1C">
            <w:pPr>
              <w:pStyle w:val="Tabletext"/>
              <w:ind w:left="0" w:right="0"/>
              <w:jc w:val="center"/>
              <w:rPr>
                <w:sz w:val="20"/>
                <w:szCs w:val="20"/>
              </w:rPr>
            </w:pPr>
            <w:r w:rsidRPr="00251F1C">
              <w:rPr>
                <w:sz w:val="20"/>
                <w:szCs w:val="20"/>
              </w:rPr>
              <w:sym w:font="Wingdings" w:char="F0FC"/>
            </w:r>
            <w:r w:rsidRPr="00251F1C">
              <w:rPr>
                <w:sz w:val="20"/>
                <w:szCs w:val="20"/>
              </w:rPr>
              <w:t>∞β</w:t>
            </w:r>
            <w:r w:rsidRPr="00251F1C" w:rsidDel="00DC0454">
              <w:rPr>
                <w:sz w:val="20"/>
                <w:szCs w:val="20"/>
                <w:vertAlign w:val="superscript"/>
              </w:rPr>
              <w:t xml:space="preserve"> </w:t>
            </w:r>
          </w:p>
        </w:tc>
      </w:tr>
      <w:tr w:rsidR="00E434C1" w:rsidRPr="00CB058C" w14:paraId="44F28917" w14:textId="77777777" w:rsidTr="00251F1C">
        <w:trPr>
          <w:trHeight w:val="122"/>
        </w:trPr>
        <w:tc>
          <w:tcPr>
            <w:tcW w:w="1037" w:type="pct"/>
            <w:vMerge/>
          </w:tcPr>
          <w:p w14:paraId="414801BD" w14:textId="77777777" w:rsidR="00E434C1" w:rsidRPr="00251F1C" w:rsidRDefault="00E434C1" w:rsidP="00251F1C">
            <w:pPr>
              <w:pStyle w:val="Tabletext"/>
              <w:ind w:left="0" w:right="0"/>
              <w:rPr>
                <w:b/>
                <w:sz w:val="20"/>
                <w:szCs w:val="20"/>
              </w:rPr>
            </w:pPr>
          </w:p>
        </w:tc>
        <w:tc>
          <w:tcPr>
            <w:tcW w:w="1330" w:type="pct"/>
          </w:tcPr>
          <w:p w14:paraId="02777AF8" w14:textId="77777777" w:rsidR="00E434C1" w:rsidRPr="00852EAD" w:rsidRDefault="00E434C1" w:rsidP="00251F1C">
            <w:pPr>
              <w:pStyle w:val="Summaryofsafetyconcerns"/>
              <w:keepNext/>
              <w:keepLines/>
              <w:ind w:left="0" w:right="0"/>
              <w:rPr>
                <w:b w:val="0"/>
                <w:szCs w:val="20"/>
              </w:rPr>
            </w:pPr>
            <w:r w:rsidRPr="00852EAD">
              <w:rPr>
                <w:b w:val="0"/>
                <w:szCs w:val="20"/>
              </w:rPr>
              <w:t xml:space="preserve">Malignancies and </w:t>
            </w:r>
            <w:proofErr w:type="spellStart"/>
            <w:r w:rsidRPr="00852EAD">
              <w:rPr>
                <w:b w:val="0"/>
                <w:szCs w:val="20"/>
              </w:rPr>
              <w:t>haematologic</w:t>
            </w:r>
            <w:proofErr w:type="spellEnd"/>
            <w:r w:rsidRPr="00852EAD">
              <w:rPr>
                <w:b w:val="0"/>
                <w:szCs w:val="20"/>
              </w:rPr>
              <w:t xml:space="preserve"> abnormalities in PNH patients</w:t>
            </w:r>
          </w:p>
        </w:tc>
        <w:tc>
          <w:tcPr>
            <w:tcW w:w="510" w:type="pct"/>
          </w:tcPr>
          <w:p w14:paraId="3CB51E43" w14:textId="77777777" w:rsidR="00E434C1" w:rsidRPr="00251F1C" w:rsidRDefault="00E434C1" w:rsidP="00251F1C">
            <w:pPr>
              <w:pStyle w:val="Tabletext"/>
              <w:ind w:left="0" w:right="0"/>
              <w:jc w:val="center"/>
              <w:rPr>
                <w:sz w:val="20"/>
                <w:szCs w:val="20"/>
              </w:rPr>
            </w:pPr>
            <w:r w:rsidRPr="00251F1C">
              <w:rPr>
                <w:sz w:val="20"/>
                <w:szCs w:val="20"/>
              </w:rPr>
              <w:sym w:font="Wingdings" w:char="F0FC"/>
            </w:r>
          </w:p>
        </w:tc>
        <w:tc>
          <w:tcPr>
            <w:tcW w:w="639" w:type="pct"/>
            <w:vAlign w:val="center"/>
          </w:tcPr>
          <w:p w14:paraId="0B56C397" w14:textId="019B4E30" w:rsidR="00E434C1" w:rsidRPr="00251F1C" w:rsidRDefault="00E434C1" w:rsidP="00251F1C">
            <w:pPr>
              <w:pStyle w:val="Tabletext"/>
              <w:ind w:left="0" w:right="0"/>
              <w:jc w:val="center"/>
              <w:rPr>
                <w:sz w:val="20"/>
                <w:szCs w:val="20"/>
              </w:rPr>
            </w:pPr>
            <w:r w:rsidRPr="00251F1C">
              <w:rPr>
                <w:sz w:val="20"/>
                <w:szCs w:val="20"/>
              </w:rPr>
              <w:sym w:font="Wingdings" w:char="F0FC"/>
            </w:r>
            <w:r w:rsidRPr="00251F1C">
              <w:rPr>
                <w:sz w:val="20"/>
                <w:szCs w:val="20"/>
              </w:rPr>
              <w:t>†</w:t>
            </w:r>
          </w:p>
        </w:tc>
        <w:tc>
          <w:tcPr>
            <w:tcW w:w="510" w:type="pct"/>
          </w:tcPr>
          <w:p w14:paraId="1A9A3AC5" w14:textId="77777777" w:rsidR="00E434C1" w:rsidRPr="00251F1C" w:rsidRDefault="00E434C1" w:rsidP="00251F1C">
            <w:pPr>
              <w:pStyle w:val="Tabletext"/>
              <w:ind w:left="0" w:right="0"/>
              <w:jc w:val="center"/>
              <w:rPr>
                <w:sz w:val="20"/>
                <w:szCs w:val="20"/>
              </w:rPr>
            </w:pPr>
            <w:r w:rsidRPr="00251F1C">
              <w:rPr>
                <w:sz w:val="20"/>
                <w:szCs w:val="20"/>
              </w:rPr>
              <w:sym w:font="Wingdings" w:char="F0FC"/>
            </w:r>
          </w:p>
        </w:tc>
        <w:tc>
          <w:tcPr>
            <w:tcW w:w="974" w:type="pct"/>
            <w:vAlign w:val="center"/>
          </w:tcPr>
          <w:p w14:paraId="29CD52E9" w14:textId="4E04541E" w:rsidR="00E434C1" w:rsidRPr="00251F1C" w:rsidRDefault="00E434C1" w:rsidP="00251F1C">
            <w:pPr>
              <w:pStyle w:val="Tabletext"/>
              <w:ind w:left="0" w:right="0"/>
              <w:jc w:val="center"/>
              <w:rPr>
                <w:sz w:val="20"/>
                <w:szCs w:val="20"/>
              </w:rPr>
            </w:pPr>
            <w:r w:rsidRPr="00251F1C">
              <w:rPr>
                <w:sz w:val="20"/>
                <w:szCs w:val="20"/>
              </w:rPr>
              <w:t>–</w:t>
            </w:r>
          </w:p>
        </w:tc>
      </w:tr>
      <w:tr w:rsidR="00E434C1" w:rsidRPr="00CB058C" w14:paraId="5B1D4B53" w14:textId="77777777" w:rsidTr="00251F1C">
        <w:trPr>
          <w:trHeight w:val="122"/>
        </w:trPr>
        <w:tc>
          <w:tcPr>
            <w:tcW w:w="1037" w:type="pct"/>
            <w:vMerge/>
          </w:tcPr>
          <w:p w14:paraId="27820608" w14:textId="77777777" w:rsidR="00E434C1" w:rsidRPr="00251F1C" w:rsidRDefault="00E434C1" w:rsidP="00251F1C">
            <w:pPr>
              <w:pStyle w:val="Tabletext"/>
              <w:ind w:left="0" w:right="0"/>
              <w:rPr>
                <w:b/>
                <w:sz w:val="20"/>
                <w:szCs w:val="20"/>
              </w:rPr>
            </w:pPr>
          </w:p>
        </w:tc>
        <w:tc>
          <w:tcPr>
            <w:tcW w:w="1330" w:type="pct"/>
          </w:tcPr>
          <w:p w14:paraId="422E301B" w14:textId="77777777" w:rsidR="00E434C1" w:rsidRPr="00852EAD" w:rsidRDefault="00E434C1" w:rsidP="00251F1C">
            <w:pPr>
              <w:pStyle w:val="Summaryofsafetyconcerns"/>
              <w:keepNext/>
              <w:keepLines/>
              <w:ind w:left="0" w:right="0"/>
              <w:rPr>
                <w:b w:val="0"/>
                <w:szCs w:val="20"/>
              </w:rPr>
            </w:pPr>
            <w:r w:rsidRPr="00852EAD">
              <w:rPr>
                <w:b w:val="0"/>
                <w:szCs w:val="20"/>
              </w:rPr>
              <w:t>Immunogenicity</w:t>
            </w:r>
          </w:p>
        </w:tc>
        <w:tc>
          <w:tcPr>
            <w:tcW w:w="510" w:type="pct"/>
          </w:tcPr>
          <w:p w14:paraId="00F8556D" w14:textId="77777777" w:rsidR="00E434C1" w:rsidRPr="00251F1C" w:rsidRDefault="00E434C1" w:rsidP="00251F1C">
            <w:pPr>
              <w:pStyle w:val="Tabletext"/>
              <w:ind w:left="0" w:right="0"/>
              <w:jc w:val="center"/>
              <w:rPr>
                <w:sz w:val="20"/>
                <w:szCs w:val="20"/>
              </w:rPr>
            </w:pPr>
            <w:r w:rsidRPr="00251F1C">
              <w:rPr>
                <w:sz w:val="20"/>
                <w:szCs w:val="20"/>
              </w:rPr>
              <w:sym w:font="Wingdings" w:char="F0FC"/>
            </w:r>
          </w:p>
        </w:tc>
        <w:tc>
          <w:tcPr>
            <w:tcW w:w="639" w:type="pct"/>
            <w:vAlign w:val="center"/>
          </w:tcPr>
          <w:p w14:paraId="51F1F35D" w14:textId="3E1341E2" w:rsidR="00E434C1" w:rsidRPr="00251F1C" w:rsidRDefault="00E434C1" w:rsidP="00251F1C">
            <w:pPr>
              <w:pStyle w:val="Tabletext"/>
              <w:ind w:left="0" w:right="0"/>
              <w:jc w:val="center"/>
              <w:rPr>
                <w:sz w:val="20"/>
                <w:szCs w:val="20"/>
              </w:rPr>
            </w:pPr>
            <w:r w:rsidRPr="00251F1C">
              <w:rPr>
                <w:sz w:val="20"/>
                <w:szCs w:val="20"/>
              </w:rPr>
              <w:sym w:font="Wingdings" w:char="F0FC"/>
            </w:r>
            <w:r w:rsidRPr="00251F1C">
              <w:rPr>
                <w:sz w:val="20"/>
                <w:szCs w:val="20"/>
              </w:rPr>
              <w:t>†‡</w:t>
            </w:r>
          </w:p>
        </w:tc>
        <w:tc>
          <w:tcPr>
            <w:tcW w:w="510" w:type="pct"/>
          </w:tcPr>
          <w:p w14:paraId="4A121C8A" w14:textId="77777777" w:rsidR="00E434C1" w:rsidRPr="00251F1C" w:rsidRDefault="00E434C1" w:rsidP="00251F1C">
            <w:pPr>
              <w:pStyle w:val="Tabletext"/>
              <w:ind w:left="0" w:right="0"/>
              <w:jc w:val="center"/>
              <w:rPr>
                <w:sz w:val="20"/>
                <w:szCs w:val="20"/>
              </w:rPr>
            </w:pPr>
            <w:r w:rsidRPr="00251F1C">
              <w:rPr>
                <w:sz w:val="20"/>
                <w:szCs w:val="20"/>
              </w:rPr>
              <w:sym w:font="Wingdings" w:char="F0FC"/>
            </w:r>
          </w:p>
        </w:tc>
        <w:tc>
          <w:tcPr>
            <w:tcW w:w="974" w:type="pct"/>
            <w:vAlign w:val="center"/>
          </w:tcPr>
          <w:p w14:paraId="33DDB2B3" w14:textId="4E707822" w:rsidR="00E434C1" w:rsidRPr="00251F1C" w:rsidRDefault="00E434C1" w:rsidP="00251F1C">
            <w:pPr>
              <w:pStyle w:val="Tabletext"/>
              <w:ind w:left="0" w:right="0"/>
              <w:jc w:val="center"/>
              <w:rPr>
                <w:sz w:val="20"/>
                <w:szCs w:val="20"/>
              </w:rPr>
            </w:pPr>
            <w:r w:rsidRPr="00251F1C">
              <w:rPr>
                <w:sz w:val="20"/>
                <w:szCs w:val="20"/>
              </w:rPr>
              <w:sym w:font="Wingdings" w:char="F0FC"/>
            </w:r>
            <w:r w:rsidRPr="00251F1C">
              <w:rPr>
                <w:sz w:val="20"/>
                <w:szCs w:val="20"/>
              </w:rPr>
              <w:t>∞¥§</w:t>
            </w:r>
          </w:p>
        </w:tc>
      </w:tr>
      <w:tr w:rsidR="00E434C1" w:rsidRPr="00CB058C" w14:paraId="36B8C976" w14:textId="77777777" w:rsidTr="00251F1C">
        <w:trPr>
          <w:trHeight w:val="112"/>
        </w:trPr>
        <w:tc>
          <w:tcPr>
            <w:tcW w:w="1037" w:type="pct"/>
            <w:vMerge/>
          </w:tcPr>
          <w:p w14:paraId="0DDFA83D" w14:textId="77777777" w:rsidR="00E434C1" w:rsidRPr="00251F1C" w:rsidRDefault="00E434C1" w:rsidP="00251F1C">
            <w:pPr>
              <w:pStyle w:val="Tabletext"/>
              <w:ind w:left="0" w:right="0"/>
              <w:rPr>
                <w:b/>
                <w:sz w:val="20"/>
                <w:szCs w:val="20"/>
              </w:rPr>
            </w:pPr>
          </w:p>
        </w:tc>
        <w:tc>
          <w:tcPr>
            <w:tcW w:w="1330" w:type="pct"/>
          </w:tcPr>
          <w:p w14:paraId="5845F404" w14:textId="77777777" w:rsidR="00E434C1" w:rsidRPr="00852EAD" w:rsidRDefault="00E434C1" w:rsidP="00251F1C">
            <w:pPr>
              <w:pStyle w:val="Summaryofsafetyconcerns"/>
              <w:keepNext/>
              <w:keepLines/>
              <w:ind w:left="0" w:right="0"/>
              <w:rPr>
                <w:b w:val="0"/>
                <w:szCs w:val="20"/>
              </w:rPr>
            </w:pPr>
            <w:r w:rsidRPr="00852EAD">
              <w:rPr>
                <w:b w:val="0"/>
                <w:szCs w:val="20"/>
              </w:rPr>
              <w:t xml:space="preserve">Serious infections in neonates after maternal exposure to </w:t>
            </w:r>
            <w:proofErr w:type="spellStart"/>
            <w:r w:rsidRPr="00852EAD">
              <w:rPr>
                <w:b w:val="0"/>
                <w:szCs w:val="20"/>
              </w:rPr>
              <w:t>eculizumab</w:t>
            </w:r>
            <w:proofErr w:type="spellEnd"/>
          </w:p>
        </w:tc>
        <w:tc>
          <w:tcPr>
            <w:tcW w:w="510" w:type="pct"/>
          </w:tcPr>
          <w:p w14:paraId="0EAF1EB7" w14:textId="77777777" w:rsidR="00E434C1" w:rsidRPr="00251F1C" w:rsidRDefault="00E434C1" w:rsidP="00251F1C">
            <w:pPr>
              <w:pStyle w:val="Tabletext"/>
              <w:ind w:left="0" w:right="0"/>
              <w:jc w:val="center"/>
              <w:rPr>
                <w:sz w:val="20"/>
                <w:szCs w:val="20"/>
              </w:rPr>
            </w:pPr>
            <w:r w:rsidRPr="00251F1C">
              <w:rPr>
                <w:sz w:val="20"/>
                <w:szCs w:val="20"/>
              </w:rPr>
              <w:sym w:font="Wingdings" w:char="F0FC"/>
            </w:r>
            <w:r w:rsidRPr="00251F1C">
              <w:rPr>
                <w:sz w:val="20"/>
                <w:szCs w:val="20"/>
              </w:rPr>
              <w:t>^</w:t>
            </w:r>
          </w:p>
        </w:tc>
        <w:tc>
          <w:tcPr>
            <w:tcW w:w="639" w:type="pct"/>
            <w:vAlign w:val="center"/>
          </w:tcPr>
          <w:p w14:paraId="6F39FD1D" w14:textId="03D348A8" w:rsidR="00E434C1" w:rsidRPr="00251F1C" w:rsidRDefault="00E434C1" w:rsidP="00251F1C">
            <w:pPr>
              <w:pStyle w:val="Tabletext"/>
              <w:ind w:left="0" w:right="0"/>
              <w:jc w:val="center"/>
              <w:rPr>
                <w:sz w:val="20"/>
                <w:szCs w:val="20"/>
              </w:rPr>
            </w:pPr>
            <w:r w:rsidRPr="00251F1C">
              <w:rPr>
                <w:sz w:val="20"/>
                <w:szCs w:val="20"/>
              </w:rPr>
              <w:sym w:font="Wingdings" w:char="F0FC"/>
            </w:r>
            <w:r w:rsidRPr="00251F1C">
              <w:rPr>
                <w:sz w:val="20"/>
                <w:szCs w:val="20"/>
              </w:rPr>
              <w:t>†‡</w:t>
            </w:r>
          </w:p>
        </w:tc>
        <w:tc>
          <w:tcPr>
            <w:tcW w:w="510" w:type="pct"/>
          </w:tcPr>
          <w:p w14:paraId="1EB028F0" w14:textId="77777777" w:rsidR="00E434C1" w:rsidRPr="00251F1C" w:rsidRDefault="00E434C1" w:rsidP="00251F1C">
            <w:pPr>
              <w:pStyle w:val="Tabletext"/>
              <w:ind w:left="0" w:right="0"/>
              <w:jc w:val="center"/>
              <w:rPr>
                <w:sz w:val="20"/>
                <w:szCs w:val="20"/>
              </w:rPr>
            </w:pPr>
            <w:r w:rsidRPr="00251F1C">
              <w:rPr>
                <w:sz w:val="20"/>
                <w:szCs w:val="20"/>
              </w:rPr>
              <w:sym w:font="Wingdings" w:char="F0FC"/>
            </w:r>
          </w:p>
        </w:tc>
        <w:tc>
          <w:tcPr>
            <w:tcW w:w="974" w:type="pct"/>
          </w:tcPr>
          <w:p w14:paraId="671F4C23" w14:textId="77777777" w:rsidR="00E434C1" w:rsidRPr="00251F1C" w:rsidRDefault="00E434C1" w:rsidP="00251F1C">
            <w:pPr>
              <w:pStyle w:val="Tabletext"/>
              <w:ind w:left="0" w:right="0"/>
              <w:jc w:val="center"/>
              <w:rPr>
                <w:sz w:val="20"/>
                <w:szCs w:val="20"/>
              </w:rPr>
            </w:pPr>
            <w:r w:rsidRPr="00251F1C">
              <w:rPr>
                <w:sz w:val="20"/>
                <w:szCs w:val="20"/>
              </w:rPr>
              <w:t>–</w:t>
            </w:r>
          </w:p>
        </w:tc>
      </w:tr>
      <w:tr w:rsidR="00CB058C" w:rsidRPr="00CB058C" w14:paraId="29E72479" w14:textId="77777777" w:rsidTr="00251F1C">
        <w:trPr>
          <w:trHeight w:val="579"/>
        </w:trPr>
        <w:tc>
          <w:tcPr>
            <w:tcW w:w="1037" w:type="pct"/>
          </w:tcPr>
          <w:p w14:paraId="6A15792C" w14:textId="77777777" w:rsidR="00CB058C" w:rsidRPr="00251F1C" w:rsidRDefault="00CB058C" w:rsidP="00251F1C">
            <w:pPr>
              <w:pStyle w:val="Tabletext"/>
              <w:ind w:left="0" w:right="0"/>
              <w:rPr>
                <w:b/>
                <w:sz w:val="20"/>
                <w:szCs w:val="20"/>
              </w:rPr>
            </w:pPr>
            <w:r w:rsidRPr="00251F1C">
              <w:rPr>
                <w:b/>
                <w:sz w:val="20"/>
                <w:szCs w:val="20"/>
              </w:rPr>
              <w:t>Missing information</w:t>
            </w:r>
          </w:p>
        </w:tc>
        <w:tc>
          <w:tcPr>
            <w:tcW w:w="1330" w:type="pct"/>
          </w:tcPr>
          <w:p w14:paraId="54D68DDC" w14:textId="77777777" w:rsidR="00CB058C" w:rsidRPr="00852EAD" w:rsidRDefault="00CB058C" w:rsidP="00251F1C">
            <w:pPr>
              <w:pStyle w:val="Summaryofsafetyconcerns"/>
              <w:keepNext/>
              <w:keepLines/>
              <w:tabs>
                <w:tab w:val="left" w:pos="1185"/>
              </w:tabs>
              <w:ind w:left="0" w:right="0"/>
              <w:rPr>
                <w:b w:val="0"/>
                <w:szCs w:val="20"/>
              </w:rPr>
            </w:pPr>
            <w:r w:rsidRPr="00852EAD">
              <w:rPr>
                <w:b w:val="0"/>
                <w:szCs w:val="20"/>
              </w:rPr>
              <w:t>None</w:t>
            </w:r>
          </w:p>
        </w:tc>
        <w:tc>
          <w:tcPr>
            <w:tcW w:w="510" w:type="pct"/>
          </w:tcPr>
          <w:p w14:paraId="460D1AF2" w14:textId="77777777" w:rsidR="00CB058C" w:rsidRPr="00251F1C" w:rsidRDefault="00CB058C" w:rsidP="00251F1C">
            <w:pPr>
              <w:pStyle w:val="Tabletext"/>
              <w:ind w:left="0" w:right="0"/>
              <w:jc w:val="center"/>
              <w:rPr>
                <w:sz w:val="20"/>
                <w:szCs w:val="20"/>
              </w:rPr>
            </w:pPr>
            <w:r w:rsidRPr="00251F1C">
              <w:rPr>
                <w:sz w:val="20"/>
                <w:szCs w:val="20"/>
              </w:rPr>
              <w:t>–</w:t>
            </w:r>
          </w:p>
        </w:tc>
        <w:tc>
          <w:tcPr>
            <w:tcW w:w="639" w:type="pct"/>
          </w:tcPr>
          <w:p w14:paraId="7FCF9093" w14:textId="77777777" w:rsidR="00CB058C" w:rsidRPr="00251F1C" w:rsidRDefault="00CB058C" w:rsidP="00251F1C">
            <w:pPr>
              <w:pStyle w:val="Tabletext"/>
              <w:ind w:left="0" w:right="0"/>
              <w:jc w:val="center"/>
              <w:rPr>
                <w:sz w:val="20"/>
                <w:szCs w:val="20"/>
              </w:rPr>
            </w:pPr>
            <w:r w:rsidRPr="00251F1C">
              <w:rPr>
                <w:sz w:val="20"/>
                <w:szCs w:val="20"/>
              </w:rPr>
              <w:t>–</w:t>
            </w:r>
          </w:p>
        </w:tc>
        <w:tc>
          <w:tcPr>
            <w:tcW w:w="510" w:type="pct"/>
          </w:tcPr>
          <w:p w14:paraId="58EA4F5D" w14:textId="77777777" w:rsidR="00CB058C" w:rsidRPr="00251F1C" w:rsidRDefault="00CB058C" w:rsidP="00251F1C">
            <w:pPr>
              <w:pStyle w:val="Tabletext"/>
              <w:ind w:left="0" w:right="0"/>
              <w:jc w:val="center"/>
              <w:rPr>
                <w:sz w:val="20"/>
                <w:szCs w:val="20"/>
              </w:rPr>
            </w:pPr>
            <w:r w:rsidRPr="00251F1C">
              <w:rPr>
                <w:sz w:val="20"/>
                <w:szCs w:val="20"/>
              </w:rPr>
              <w:t>–</w:t>
            </w:r>
          </w:p>
        </w:tc>
        <w:tc>
          <w:tcPr>
            <w:tcW w:w="974" w:type="pct"/>
          </w:tcPr>
          <w:p w14:paraId="2FF37548" w14:textId="77777777" w:rsidR="00CB058C" w:rsidRPr="00251F1C" w:rsidRDefault="00CB058C" w:rsidP="00251F1C">
            <w:pPr>
              <w:pStyle w:val="Tabletext"/>
              <w:ind w:left="0" w:right="0"/>
              <w:jc w:val="center"/>
              <w:rPr>
                <w:sz w:val="20"/>
                <w:szCs w:val="20"/>
              </w:rPr>
            </w:pPr>
            <w:r w:rsidRPr="00251F1C">
              <w:rPr>
                <w:sz w:val="20"/>
                <w:szCs w:val="20"/>
              </w:rPr>
              <w:t>–</w:t>
            </w:r>
          </w:p>
        </w:tc>
      </w:tr>
    </w:tbl>
    <w:p w14:paraId="39B06760" w14:textId="6CD1F03A" w:rsidR="00CB058C" w:rsidRDefault="00E434C1" w:rsidP="00251F1C">
      <w:pPr>
        <w:pStyle w:val="TableDescription"/>
      </w:pPr>
      <w:bookmarkStart w:id="42" w:name="_Toc247691531"/>
      <w:bookmarkStart w:id="43" w:name="_Toc314842515"/>
      <w:bookmarkStart w:id="44" w:name="_Toc196046505"/>
      <w:bookmarkStart w:id="45" w:name="_Toc196046949"/>
      <w:r>
        <w:t xml:space="preserve">Activities that apply to the extension of indications: </w:t>
      </w:r>
      <w:r w:rsidR="00CB058C" w:rsidRPr="00AD3354">
        <w:t>*</w:t>
      </w:r>
      <w:r w:rsidR="00CB058C">
        <w:t>Targeted questionnaire for suspected and confirmed meningococcal infection reports</w:t>
      </w:r>
      <w:r>
        <w:t xml:space="preserve">. </w:t>
      </w:r>
      <w:r w:rsidR="00CB058C" w:rsidRPr="00E60EFD">
        <w:t>§</w:t>
      </w:r>
      <w:r w:rsidR="00CB058C">
        <w:t xml:space="preserve"> </w:t>
      </w:r>
      <w:r w:rsidR="00CB058C" w:rsidRPr="000F0320">
        <w:t>Physician’s Guide for NMOSD.</w:t>
      </w:r>
      <w:r w:rsidR="00852EAD">
        <w:rPr>
          <w:kern w:val="16"/>
        </w:rPr>
        <w:t xml:space="preserve"> </w:t>
      </w:r>
      <w:r w:rsidR="00CB058C" w:rsidRPr="00114703">
        <w:t>α</w:t>
      </w:r>
      <w:r w:rsidR="00CB058C" w:rsidRPr="000F0320">
        <w:t xml:space="preserve"> Patient Information Guide for NMOSD.</w:t>
      </w:r>
      <w:r w:rsidR="00852EAD">
        <w:rPr>
          <w:kern w:val="16"/>
        </w:rPr>
        <w:t xml:space="preserve"> </w:t>
      </w:r>
      <w:r w:rsidR="00CB058C" w:rsidRPr="00E60EFD">
        <w:t>Π</w:t>
      </w:r>
      <w:r w:rsidR="00CB058C">
        <w:t xml:space="preserve"> </w:t>
      </w:r>
      <w:r w:rsidR="00CB058C" w:rsidRPr="000F0320">
        <w:t>Patient Safety Information Card</w:t>
      </w:r>
      <w:r w:rsidR="00CB058C" w:rsidRPr="00E60EFD">
        <w:t>.</w:t>
      </w:r>
      <w:r w:rsidR="00852EAD">
        <w:rPr>
          <w:kern w:val="16"/>
        </w:rPr>
        <w:t xml:space="preserve"> </w:t>
      </w:r>
      <w:r w:rsidR="00CB058C" w:rsidRPr="00E60EFD">
        <w:t>ǁ</w:t>
      </w:r>
      <w:r w:rsidR="00CB058C">
        <w:t xml:space="preserve"> </w:t>
      </w:r>
      <w:r w:rsidR="00CB058C" w:rsidRPr="000F0320">
        <w:t>Controlled access program</w:t>
      </w:r>
      <w:r w:rsidR="00852EAD">
        <w:rPr>
          <w:kern w:val="16"/>
        </w:rPr>
        <w:t xml:space="preserve">. </w:t>
      </w:r>
      <w:r w:rsidR="00CB058C" w:rsidRPr="00E60EFD">
        <w:t>¶</w:t>
      </w:r>
      <w:r w:rsidR="00CB058C">
        <w:t xml:space="preserve"> </w:t>
      </w:r>
      <w:r w:rsidR="00CB058C" w:rsidRPr="000F0320">
        <w:t>Annual electronic vaccination reminder letters for HCPs.</w:t>
      </w:r>
      <w:r w:rsidR="00852EAD">
        <w:rPr>
          <w:kern w:val="16"/>
        </w:rPr>
        <w:t xml:space="preserve"> </w:t>
      </w:r>
      <w:r w:rsidR="00CB058C" w:rsidRPr="00AD3354">
        <w:t xml:space="preserve">^ </w:t>
      </w:r>
      <w:r w:rsidR="00CB058C" w:rsidRPr="000F0320">
        <w:t xml:space="preserve">Targeted questionnaire for newborns and infants exposed to </w:t>
      </w:r>
      <w:proofErr w:type="spellStart"/>
      <w:r w:rsidR="00CB058C" w:rsidRPr="000F0320">
        <w:t>Soliris</w:t>
      </w:r>
      <w:proofErr w:type="spellEnd"/>
      <w:r w:rsidR="00CB058C" w:rsidRPr="000F0320">
        <w:t xml:space="preserve"> during pregnancy (including 3 months</w:t>
      </w:r>
      <w:r w:rsidR="00CB058C" w:rsidRPr="00955B88">
        <w:t xml:space="preserve"> follow-up after delivery and breastfeeding case reports).</w:t>
      </w:r>
    </w:p>
    <w:p w14:paraId="30FFC27F" w14:textId="4C2AE007" w:rsidR="00E434C1" w:rsidRDefault="00E434C1" w:rsidP="00251F1C">
      <w:pPr>
        <w:pStyle w:val="TableDescription"/>
      </w:pPr>
      <w:r>
        <w:t xml:space="preserve">Activities that do not apply to the extension of indications: </w:t>
      </w:r>
      <w:r w:rsidRPr="00251F1C">
        <w:t>† PNH registry.</w:t>
      </w:r>
      <w:r w:rsidRPr="00E434C1">
        <w:t xml:space="preserve"> </w:t>
      </w:r>
      <w:r w:rsidRPr="00251F1C">
        <w:t xml:space="preserve">‡ </w:t>
      </w:r>
      <w:proofErr w:type="spellStart"/>
      <w:r w:rsidRPr="00251F1C">
        <w:t>aHUS</w:t>
      </w:r>
      <w:proofErr w:type="spellEnd"/>
      <w:r w:rsidRPr="00251F1C">
        <w:t xml:space="preserve"> registry. </w:t>
      </w:r>
      <w:r w:rsidRPr="00E434C1">
        <w:t xml:space="preserve"> </w:t>
      </w:r>
      <w:r w:rsidRPr="00251F1C">
        <w:t>∞ Physician’s guide for PNH.</w:t>
      </w:r>
      <w:r w:rsidRPr="00E434C1">
        <w:t xml:space="preserve"> </w:t>
      </w:r>
      <w:r w:rsidRPr="00251F1C">
        <w:t xml:space="preserve">¥ Physician’s guide for </w:t>
      </w:r>
      <w:proofErr w:type="spellStart"/>
      <w:r w:rsidRPr="00251F1C">
        <w:t>aHUS</w:t>
      </w:r>
      <w:proofErr w:type="spellEnd"/>
      <w:r w:rsidRPr="00251F1C">
        <w:t>.</w:t>
      </w:r>
      <w:r w:rsidRPr="00E434C1">
        <w:t xml:space="preserve"> </w:t>
      </w:r>
      <w:r w:rsidRPr="00251F1C">
        <w:t>β Patient/Parent Guide for PNH.</w:t>
      </w:r>
      <w:r w:rsidRPr="00E434C1">
        <w:t xml:space="preserve"> </w:t>
      </w:r>
      <w:r w:rsidRPr="00251F1C">
        <w:t xml:space="preserve">µ Patient/Parent guide for </w:t>
      </w:r>
      <w:proofErr w:type="spellStart"/>
      <w:r w:rsidRPr="00251F1C">
        <w:t>aHUS</w:t>
      </w:r>
      <w:proofErr w:type="spellEnd"/>
      <w:r w:rsidRPr="00251F1C">
        <w:t>.</w:t>
      </w:r>
      <w:r w:rsidRPr="00E434C1">
        <w:t xml:space="preserve"> </w:t>
      </w:r>
      <w:r w:rsidRPr="00251F1C">
        <w:t xml:space="preserve">ɸ Parent Information Brochure. </w:t>
      </w:r>
      <w:r w:rsidRPr="00E434C1">
        <w:t xml:space="preserve"> </w:t>
      </w:r>
      <w:r w:rsidRPr="00251F1C">
        <w:t>Ω Patient Safety Information Card</w:t>
      </w:r>
    </w:p>
    <w:p w14:paraId="76E4560A" w14:textId="7A892ECB" w:rsidR="00CB058C" w:rsidRDefault="00CB058C" w:rsidP="00251F1C">
      <w:r>
        <w:t>The risk management plan (RMP) evaluator has concluded that t</w:t>
      </w:r>
      <w:r w:rsidRPr="00B46AFE">
        <w:t>he re</w:t>
      </w:r>
      <w:r>
        <w:t>commendation made in the</w:t>
      </w:r>
      <w:r w:rsidRPr="00B46AFE">
        <w:t xml:space="preserve"> RMP evaluation report has been resolved and there are no new recommendations for this submission.</w:t>
      </w:r>
    </w:p>
    <w:p w14:paraId="3423FA9D" w14:textId="2EFB39C7" w:rsidR="008E7846" w:rsidRDefault="00AA0ED0" w:rsidP="008E7846">
      <w:pPr>
        <w:pStyle w:val="Heading3"/>
      </w:pPr>
      <w:bookmarkStart w:id="46" w:name="_Toc57794891"/>
      <w:r>
        <w:t>Risk-benefit a</w:t>
      </w:r>
      <w:r w:rsidR="008E7846">
        <w:t>nalysis</w:t>
      </w:r>
      <w:bookmarkEnd w:id="42"/>
      <w:bookmarkEnd w:id="43"/>
      <w:bookmarkEnd w:id="46"/>
    </w:p>
    <w:p w14:paraId="6352259C" w14:textId="77777777" w:rsidR="00D23139" w:rsidRDefault="007D53B6" w:rsidP="00D23139">
      <w:pPr>
        <w:pStyle w:val="Heading4"/>
      </w:pPr>
      <w:r>
        <w:t>Delegate’s considerations</w:t>
      </w:r>
    </w:p>
    <w:p w14:paraId="6B7D37D9" w14:textId="549425DE" w:rsidR="00D65DDC" w:rsidRPr="00F42F3A" w:rsidRDefault="00D65DDC" w:rsidP="00D65DDC">
      <w:r w:rsidRPr="00F42F3A">
        <w:t xml:space="preserve">NMOSD is a rare (orphan) </w:t>
      </w:r>
      <w:r w:rsidR="00C90F96">
        <w:t xml:space="preserve">immune </w:t>
      </w:r>
      <w:r w:rsidRPr="00F42F3A">
        <w:t xml:space="preserve">mediated demyelinating disease with severe morbidity (frequent relapse) and mortality. There are no other medicines currently approved by </w:t>
      </w:r>
      <w:r w:rsidR="008C24C8">
        <w:t xml:space="preserve">the </w:t>
      </w:r>
      <w:r w:rsidRPr="00F42F3A">
        <w:t>TGA for treatment of this group of patients.</w:t>
      </w:r>
    </w:p>
    <w:p w14:paraId="3DD4783E" w14:textId="73F53EE3" w:rsidR="00D65DDC" w:rsidRDefault="008F01FB" w:rsidP="00D65DDC">
      <w:r>
        <w:t>The findings of the p</w:t>
      </w:r>
      <w:r w:rsidR="00D65DDC" w:rsidRPr="00F42F3A">
        <w:t>op</w:t>
      </w:r>
      <w:r>
        <w:t>ulation</w:t>
      </w:r>
      <w:r w:rsidR="00D65DDC" w:rsidRPr="00F42F3A">
        <w:t xml:space="preserve"> PK study supports the rationale for dose selection of </w:t>
      </w:r>
      <w:proofErr w:type="spellStart"/>
      <w:r w:rsidR="00D65DDC" w:rsidRPr="00F42F3A">
        <w:t>eculizumab</w:t>
      </w:r>
      <w:proofErr w:type="spellEnd"/>
      <w:r w:rsidR="00D65DDC" w:rsidRPr="00F42F3A">
        <w:t xml:space="preserve"> for the treatment of</w:t>
      </w:r>
      <w:r w:rsidR="00C90F96">
        <w:t xml:space="preserve"> NMOSD. The PD findings of near </w:t>
      </w:r>
      <w:r w:rsidR="00D65DDC" w:rsidRPr="00F42F3A">
        <w:t>complete terminal complement i</w:t>
      </w:r>
      <w:r w:rsidR="00D65DDC">
        <w:t>nhibition in CSF is supported by</w:t>
      </w:r>
      <w:r w:rsidR="00D65DDC" w:rsidRPr="00F42F3A">
        <w:t xml:space="preserve"> the </w:t>
      </w:r>
      <w:r w:rsidR="00D65DDC">
        <w:t xml:space="preserve">efficacy </w:t>
      </w:r>
      <w:r w:rsidR="00D65DDC" w:rsidRPr="00F42F3A">
        <w:t>outcomes of</w:t>
      </w:r>
      <w:r w:rsidR="00D65DDC">
        <w:t xml:space="preserve"> the</w:t>
      </w:r>
      <w:r w:rsidR="001A3004">
        <w:t xml:space="preserve"> clinical study.</w:t>
      </w:r>
    </w:p>
    <w:p w14:paraId="1B15B878" w14:textId="6F6F5F1D" w:rsidR="00D65DDC" w:rsidRDefault="00D65DDC" w:rsidP="00D65DDC">
      <w:r w:rsidRPr="00F42F3A">
        <w:t xml:space="preserve">In the pivotal study, patients treated with </w:t>
      </w:r>
      <w:proofErr w:type="spellStart"/>
      <w:r w:rsidRPr="00F42F3A">
        <w:t>eculizumab</w:t>
      </w:r>
      <w:proofErr w:type="spellEnd"/>
      <w:r w:rsidRPr="00F42F3A">
        <w:t xml:space="preserve"> achieved a significant reduction in relative risk for relapses </w:t>
      </w:r>
      <w:r>
        <w:t>(94.2%). This</w:t>
      </w:r>
      <w:r w:rsidRPr="00F42F3A">
        <w:t xml:space="preserve"> outcome was clinically relevant as well. </w:t>
      </w:r>
      <w:r>
        <w:t>In patients with NMOSD, treatment with IST alone has shown a 33% reduction in relapse.</w:t>
      </w:r>
      <w:bookmarkStart w:id="47" w:name="_Ref52290529"/>
      <w:r>
        <w:rPr>
          <w:rStyle w:val="FootnoteReference"/>
        </w:rPr>
        <w:footnoteReference w:id="12"/>
      </w:r>
      <w:bookmarkEnd w:id="47"/>
      <w:r>
        <w:t xml:space="preserve"> Also, around 57% of patients in placebo group did not experience a relapse. It needs to be considered that the reduction in relapse rate was achieved when </w:t>
      </w:r>
      <w:proofErr w:type="spellStart"/>
      <w:r>
        <w:t>eculizumab</w:t>
      </w:r>
      <w:proofErr w:type="spellEnd"/>
      <w:r>
        <w:t xml:space="preserve"> was administered as an </w:t>
      </w:r>
      <w:r w:rsidRPr="008F01FB">
        <w:t>adjuvant therapy</w:t>
      </w:r>
      <w:r>
        <w:t>. Statements to reflect this aspect of the study has been recommended to be inserted in the PI.</w:t>
      </w:r>
    </w:p>
    <w:p w14:paraId="2B52942F" w14:textId="33D65869" w:rsidR="00D65DDC" w:rsidRDefault="00D65DDC" w:rsidP="00D65DDC">
      <w:r w:rsidRPr="00F42F3A">
        <w:t xml:space="preserve">The relative risk reduction for relapse of NMOSD in </w:t>
      </w:r>
      <w:proofErr w:type="spellStart"/>
      <w:r w:rsidRPr="00F42F3A">
        <w:t>eculizumab</w:t>
      </w:r>
      <w:proofErr w:type="spellEnd"/>
      <w:r w:rsidRPr="00F42F3A">
        <w:t xml:space="preserve"> group was supported by the overall improvement in annualised relapse rate. A non-significant improvement in EDSS was reported. The duration of treatment period might not be sufficient enough to have a significant treatment difference in this measure. It could also be due to the undefined sensitivity and specificity of this </w:t>
      </w:r>
      <w:r w:rsidR="00B97A07">
        <w:t>measure in patients with NMOSD.</w:t>
      </w:r>
    </w:p>
    <w:p w14:paraId="1A0B9895" w14:textId="7115C5C5" w:rsidR="00D65DDC" w:rsidRDefault="00B95DFF" w:rsidP="00D65DDC">
      <w:r>
        <w:t>The D</w:t>
      </w:r>
      <w:r w:rsidR="008F01FB">
        <w:t>elegate recommends</w:t>
      </w:r>
      <w:r w:rsidR="00D65DDC">
        <w:t xml:space="preserve"> that the </w:t>
      </w:r>
      <w:r w:rsidR="00D65DDC" w:rsidRPr="00110925">
        <w:t>length</w:t>
      </w:r>
      <w:r w:rsidR="00D65DDC">
        <w:t xml:space="preserve"> of treatment with </w:t>
      </w:r>
      <w:proofErr w:type="spellStart"/>
      <w:r w:rsidR="00D65DDC">
        <w:t>eculizumab</w:t>
      </w:r>
      <w:proofErr w:type="spellEnd"/>
      <w:r w:rsidR="00D65DDC">
        <w:t xml:space="preserve"> should be individualised and based on</w:t>
      </w:r>
      <w:r w:rsidR="00D65DDC" w:rsidRPr="00110925">
        <w:t xml:space="preserve"> the severity </w:t>
      </w:r>
      <w:r w:rsidR="00D65DDC">
        <w:t xml:space="preserve">and frequency </w:t>
      </w:r>
      <w:r w:rsidR="00D65DDC" w:rsidRPr="00110925">
        <w:t>of attacks and disability.</w:t>
      </w:r>
      <w:r>
        <w:t xml:space="preserve"> The D</w:t>
      </w:r>
      <w:r w:rsidR="00D65DDC">
        <w:t xml:space="preserve">elegate has recommended statements to be include in the PI to reflect this approach of treatment. It was noted that around 57% of patients in placebo group did not experience a relapse. This suggests that a considerable proportion of </w:t>
      </w:r>
      <w:r w:rsidR="008F01FB">
        <w:t>patients with NMOSD and having frequent relapses and being positive for AQP4 antibodies</w:t>
      </w:r>
      <w:r w:rsidR="00D65DDC">
        <w:t xml:space="preserve"> may not require treatment w</w:t>
      </w:r>
      <w:r w:rsidR="008F01FB">
        <w:t xml:space="preserve">ith </w:t>
      </w:r>
      <w:proofErr w:type="spellStart"/>
      <w:r w:rsidR="008F01FB">
        <w:lastRenderedPageBreak/>
        <w:t>eculizumab</w:t>
      </w:r>
      <w:proofErr w:type="spellEnd"/>
      <w:r w:rsidR="008F01FB">
        <w:t xml:space="preserve"> during a relapse </w:t>
      </w:r>
      <w:r w:rsidR="00D65DDC">
        <w:t>free time period.</w:t>
      </w:r>
      <w:bookmarkStart w:id="48" w:name="_Ref52290531"/>
      <w:r w:rsidR="00D65DDC">
        <w:rPr>
          <w:rStyle w:val="FootnoteReference"/>
        </w:rPr>
        <w:footnoteReference w:id="13"/>
      </w:r>
      <w:bookmarkEnd w:id="48"/>
      <w:r w:rsidR="00D65DDC">
        <w:t xml:space="preserve"> </w:t>
      </w:r>
      <w:r w:rsidR="00D65DDC" w:rsidRPr="00CE341A">
        <w:t xml:space="preserve">This </w:t>
      </w:r>
      <w:r w:rsidR="00D65DDC">
        <w:t xml:space="preserve">finding </w:t>
      </w:r>
      <w:r w:rsidR="00D65DDC" w:rsidRPr="00CE341A">
        <w:t>highlights the heterogeneous nature clinical progression of NMOSD</w:t>
      </w:r>
      <w:r w:rsidR="00D65DDC">
        <w:t>;</w:t>
      </w:r>
      <w:r w:rsidR="00D65DDC">
        <w:fldChar w:fldCharType="begin"/>
      </w:r>
      <w:r w:rsidR="00D65DDC">
        <w:instrText xml:space="preserve"> NOTEREF _Ref52290531 \f \h </w:instrText>
      </w:r>
      <w:r w:rsidR="00D65DDC">
        <w:fldChar w:fldCharType="separate"/>
      </w:r>
      <w:r w:rsidR="00FF7BA0" w:rsidRPr="00FF7BA0">
        <w:rPr>
          <w:rStyle w:val="FootnoteReference"/>
        </w:rPr>
        <w:t>13</w:t>
      </w:r>
      <w:r w:rsidR="00D65DDC">
        <w:fldChar w:fldCharType="end"/>
      </w:r>
      <w:r w:rsidR="00D65DDC">
        <w:t xml:space="preserve"> and the determinants for relapse rate to be mu</w:t>
      </w:r>
      <w:r w:rsidR="008C24C8">
        <w:t>l</w:t>
      </w:r>
      <w:r w:rsidR="00D65DDC">
        <w:t>ti-factorial;</w:t>
      </w:r>
      <w:r w:rsidR="00D65DDC">
        <w:rPr>
          <w:rStyle w:val="FootnoteReference"/>
        </w:rPr>
        <w:footnoteReference w:id="14"/>
      </w:r>
      <w:r w:rsidR="00D65DDC">
        <w:t xml:space="preserve"> rather than solely dependent on AQP4</w:t>
      </w:r>
      <w:r w:rsidR="008C24C8">
        <w:t xml:space="preserve"> autoantibody </w:t>
      </w:r>
      <w:r w:rsidR="00D65DDC">
        <w:t xml:space="preserve">status. </w:t>
      </w:r>
      <w:r w:rsidR="00D65DDC" w:rsidRPr="00CE341A">
        <w:t xml:space="preserve">The study was not designed to find the optimal use of </w:t>
      </w:r>
      <w:proofErr w:type="spellStart"/>
      <w:r w:rsidR="00D65DDC" w:rsidRPr="00CE341A">
        <w:t>eculizumab</w:t>
      </w:r>
      <w:proofErr w:type="spellEnd"/>
      <w:r w:rsidR="00D65DDC" w:rsidRPr="00CE341A">
        <w:t xml:space="preserve"> </w:t>
      </w:r>
      <w:r w:rsidR="00D65DDC">
        <w:t xml:space="preserve">during the non-clustered </w:t>
      </w:r>
      <w:r w:rsidR="008F01FB">
        <w:t xml:space="preserve">period of relapses or a relapse </w:t>
      </w:r>
      <w:r w:rsidR="00D65DDC">
        <w:t>free period of NMOSD</w:t>
      </w:r>
      <w:r w:rsidR="00D65DDC" w:rsidRPr="00CE341A">
        <w:t xml:space="preserve">. </w:t>
      </w:r>
      <w:r w:rsidR="008F01FB">
        <w:t>Considering the cluster phenomenon</w:t>
      </w:r>
      <w:r w:rsidR="00D65DDC">
        <w:t xml:space="preserve"> of frequency of relapses;</w:t>
      </w:r>
      <w:r w:rsidR="00D65DDC">
        <w:fldChar w:fldCharType="begin"/>
      </w:r>
      <w:r w:rsidR="00D65DDC">
        <w:instrText xml:space="preserve"> NOTEREF _Ref52290531 \f \h </w:instrText>
      </w:r>
      <w:r w:rsidR="00D65DDC">
        <w:fldChar w:fldCharType="separate"/>
      </w:r>
      <w:r w:rsidR="00FF7BA0" w:rsidRPr="00FF7BA0">
        <w:rPr>
          <w:rStyle w:val="FootnoteReference"/>
        </w:rPr>
        <w:t>13</w:t>
      </w:r>
      <w:r w:rsidR="00D65DDC">
        <w:fldChar w:fldCharType="end"/>
      </w:r>
      <w:r w:rsidR="00D65DDC">
        <w:t xml:space="preserve"> and t</w:t>
      </w:r>
      <w:r w:rsidR="00CC345B">
        <w:t>he treatment algorithm for ISTs;</w:t>
      </w:r>
      <w:r w:rsidR="00CC345B">
        <w:rPr>
          <w:rStyle w:val="FootnoteReference"/>
        </w:rPr>
        <w:footnoteReference w:id="15"/>
      </w:r>
      <w:r w:rsidR="00D65DDC">
        <w:t xml:space="preserve"> to treat NMOSD, an effective approach to define the duration of treatment with </w:t>
      </w:r>
      <w:proofErr w:type="spellStart"/>
      <w:r w:rsidR="00D65DDC">
        <w:t>eculizumab</w:t>
      </w:r>
      <w:proofErr w:type="spellEnd"/>
      <w:r w:rsidR="00D65DDC">
        <w:t xml:space="preserve"> need to be inserted in the PI. </w:t>
      </w:r>
      <w:r w:rsidR="00D65DDC" w:rsidRPr="00CE341A">
        <w:t>From a clinical perspective, it is i</w:t>
      </w:r>
      <w:r w:rsidR="00D65DDC">
        <w:t xml:space="preserve">mportant to ensure the optimal use of </w:t>
      </w:r>
      <w:proofErr w:type="spellStart"/>
      <w:r w:rsidR="00D65DDC" w:rsidRPr="00CE341A">
        <w:t>eculizumab</w:t>
      </w:r>
      <w:proofErr w:type="spellEnd"/>
      <w:r w:rsidR="00D65DDC">
        <w:t xml:space="preserve"> to treat</w:t>
      </w:r>
      <w:r w:rsidR="00D65DDC" w:rsidRPr="00CE341A">
        <w:t xml:space="preserve"> patients with NMOSD</w:t>
      </w:r>
      <w:r w:rsidR="00D65DDC">
        <w:t>.</w:t>
      </w:r>
    </w:p>
    <w:p w14:paraId="49E946DF" w14:textId="2426364E" w:rsidR="00D65DDC" w:rsidRDefault="00D65DDC" w:rsidP="00D65DDC">
      <w:pPr>
        <w:rPr>
          <w:sz w:val="23"/>
          <w:szCs w:val="23"/>
        </w:rPr>
      </w:pPr>
      <w:r>
        <w:rPr>
          <w:sz w:val="23"/>
          <w:szCs w:val="23"/>
        </w:rPr>
        <w:t xml:space="preserve">Patients on treatment with rituximab and </w:t>
      </w:r>
      <w:proofErr w:type="spellStart"/>
      <w:r>
        <w:rPr>
          <w:sz w:val="23"/>
          <w:szCs w:val="23"/>
        </w:rPr>
        <w:t>mitoxantrone</w:t>
      </w:r>
      <w:proofErr w:type="spellEnd"/>
      <w:r>
        <w:rPr>
          <w:sz w:val="23"/>
          <w:szCs w:val="23"/>
        </w:rPr>
        <w:t xml:space="preserve"> within 3 months prior to screening were excluded. The evaluator has stated that </w:t>
      </w:r>
      <w:r w:rsidR="00573B95">
        <w:rPr>
          <w:i/>
          <w:sz w:val="23"/>
          <w:szCs w:val="23"/>
        </w:rPr>
        <w:t>‘</w:t>
      </w:r>
      <w:r w:rsidR="008F01FB">
        <w:rPr>
          <w:i/>
          <w:sz w:val="23"/>
          <w:szCs w:val="23"/>
        </w:rPr>
        <w:t>t</w:t>
      </w:r>
      <w:r w:rsidRPr="00555053">
        <w:rPr>
          <w:i/>
          <w:sz w:val="23"/>
          <w:szCs w:val="23"/>
        </w:rPr>
        <w:t xml:space="preserve">he sponsor stated that the rationale for not permitting rituximab or </w:t>
      </w:r>
      <w:proofErr w:type="spellStart"/>
      <w:r w:rsidRPr="00555053">
        <w:rPr>
          <w:i/>
          <w:sz w:val="23"/>
          <w:szCs w:val="23"/>
        </w:rPr>
        <w:t>mitoxantrone</w:t>
      </w:r>
      <w:proofErr w:type="spellEnd"/>
      <w:r w:rsidRPr="00555053">
        <w:rPr>
          <w:i/>
          <w:sz w:val="23"/>
          <w:szCs w:val="23"/>
        </w:rPr>
        <w:t xml:space="preserve"> as background therapies during the study was based on both having a potential impact on continuation of stable ba</w:t>
      </w:r>
      <w:r w:rsidR="00573B95">
        <w:rPr>
          <w:i/>
          <w:sz w:val="23"/>
          <w:szCs w:val="23"/>
        </w:rPr>
        <w:t>ckground doses during the study’</w:t>
      </w:r>
      <w:r w:rsidRPr="008F01FB">
        <w:rPr>
          <w:sz w:val="23"/>
          <w:szCs w:val="23"/>
        </w:rPr>
        <w:t>.</w:t>
      </w:r>
      <w:r w:rsidR="002E6CB5">
        <w:rPr>
          <w:sz w:val="23"/>
          <w:szCs w:val="23"/>
        </w:rPr>
        <w:t xml:space="preserve"> The D</w:t>
      </w:r>
      <w:r>
        <w:rPr>
          <w:sz w:val="23"/>
          <w:szCs w:val="23"/>
        </w:rPr>
        <w:t xml:space="preserve">elegate considers this rational acceptable. However, a statement is recommended in the PI to state that the efficacy and safety of </w:t>
      </w:r>
      <w:proofErr w:type="spellStart"/>
      <w:r>
        <w:rPr>
          <w:sz w:val="23"/>
          <w:szCs w:val="23"/>
        </w:rPr>
        <w:t>eculizumab</w:t>
      </w:r>
      <w:proofErr w:type="spellEnd"/>
      <w:r>
        <w:rPr>
          <w:sz w:val="23"/>
          <w:szCs w:val="23"/>
        </w:rPr>
        <w:t xml:space="preserve">, when administered as an adjuvant therapy with rituximab and </w:t>
      </w:r>
      <w:proofErr w:type="spellStart"/>
      <w:r>
        <w:rPr>
          <w:sz w:val="23"/>
          <w:szCs w:val="23"/>
        </w:rPr>
        <w:t>mitoxantrone</w:t>
      </w:r>
      <w:proofErr w:type="spellEnd"/>
      <w:r>
        <w:rPr>
          <w:sz w:val="23"/>
          <w:szCs w:val="23"/>
        </w:rPr>
        <w:t xml:space="preserve"> has not been studied.</w:t>
      </w:r>
    </w:p>
    <w:p w14:paraId="1550C270" w14:textId="678580EF" w:rsidR="00D65DDC" w:rsidRPr="00F42F3A" w:rsidRDefault="00D65DDC" w:rsidP="00D65DDC">
      <w:r>
        <w:t>Overall, t</w:t>
      </w:r>
      <w:r w:rsidRPr="00F42F3A">
        <w:t xml:space="preserve">he adverse events were previously known with the use of </w:t>
      </w:r>
      <w:proofErr w:type="spellStart"/>
      <w:r w:rsidRPr="00F42F3A">
        <w:t>eculizumab</w:t>
      </w:r>
      <w:proofErr w:type="spellEnd"/>
      <w:r w:rsidRPr="00F42F3A">
        <w:t xml:space="preserve"> in already approved indications to treat patients with PNH and </w:t>
      </w:r>
      <w:proofErr w:type="spellStart"/>
      <w:r w:rsidRPr="00F42F3A">
        <w:t>aHUS</w:t>
      </w:r>
      <w:proofErr w:type="spellEnd"/>
      <w:r w:rsidRPr="00F42F3A">
        <w:t xml:space="preserve">. The rate of incidence of </w:t>
      </w:r>
      <w:r>
        <w:t xml:space="preserve">most of the </w:t>
      </w:r>
      <w:r w:rsidRPr="00F42F3A">
        <w:t xml:space="preserve">adverse events appear to be largely comparable across treatment groups. Higher incidence of infusion site reactions were reported in patients treated with </w:t>
      </w:r>
      <w:proofErr w:type="spellStart"/>
      <w:r w:rsidRPr="00F42F3A">
        <w:t>eculizumab</w:t>
      </w:r>
      <w:proofErr w:type="spellEnd"/>
      <w:r w:rsidRPr="00F42F3A">
        <w:t>. These events do not appear to have resu</w:t>
      </w:r>
      <w:r w:rsidR="00CC345B">
        <w:t>lted in discontinuations.</w:t>
      </w:r>
    </w:p>
    <w:p w14:paraId="56400BF7" w14:textId="0EA32CAF" w:rsidR="00D65DDC" w:rsidRDefault="00D65DDC" w:rsidP="00D65DDC">
      <w:r w:rsidRPr="00F42F3A">
        <w:t xml:space="preserve">No cases of meningococcal infections were reported. Boxed warnings to indicate the increased risk of meningococcal infections with the use of </w:t>
      </w:r>
      <w:proofErr w:type="spellStart"/>
      <w:r w:rsidRPr="00F42F3A">
        <w:t>eculizumab</w:t>
      </w:r>
      <w:proofErr w:type="spellEnd"/>
      <w:r w:rsidRPr="00F42F3A">
        <w:t xml:space="preserve"> are on both PI and </w:t>
      </w:r>
      <w:r w:rsidR="00113651">
        <w:t>C</w:t>
      </w:r>
      <w:r w:rsidR="008F01FB">
        <w:t>onsumer</w:t>
      </w:r>
      <w:r w:rsidR="00113651">
        <w:t xml:space="preserve"> Medicine</w:t>
      </w:r>
      <w:r w:rsidR="00881839">
        <w:t>s</w:t>
      </w:r>
      <w:r w:rsidR="00113651">
        <w:t xml:space="preserve"> I</w:t>
      </w:r>
      <w:r w:rsidR="008F01FB">
        <w:t>nformation (</w:t>
      </w:r>
      <w:r w:rsidRPr="00F42F3A">
        <w:t>CMI</w:t>
      </w:r>
      <w:r w:rsidR="008F01FB">
        <w:t>)</w:t>
      </w:r>
      <w:r w:rsidRPr="00F42F3A">
        <w:t>.</w:t>
      </w:r>
    </w:p>
    <w:p w14:paraId="2FE5C7F2" w14:textId="77777777" w:rsidR="00011B71" w:rsidRDefault="00D65DDC" w:rsidP="00D65DDC">
      <w:r>
        <w:t>The evaluator recommen</w:t>
      </w:r>
      <w:r w:rsidR="008F01FB">
        <w:t>ded the proposed indication as:</w:t>
      </w:r>
    </w:p>
    <w:p w14:paraId="4A245132" w14:textId="7A040EE7" w:rsidR="00011B71" w:rsidRDefault="00D65DDC" w:rsidP="00251F1C">
      <w:pPr>
        <w:ind w:left="720"/>
      </w:pPr>
      <w:proofErr w:type="spellStart"/>
      <w:r w:rsidRPr="005401AD">
        <w:rPr>
          <w:i/>
        </w:rPr>
        <w:t>Soliris</w:t>
      </w:r>
      <w:proofErr w:type="spellEnd"/>
      <w:r w:rsidRPr="005401AD">
        <w:rPr>
          <w:i/>
        </w:rPr>
        <w:t xml:space="preserve"> is indicated for the treatment of patients with Neuromyelitis Optica Spectrum Disorder (NMOSD) who are anti-aquaporin-4 (AQP4) antibody-positive with a relapsing course of the disease.</w:t>
      </w:r>
    </w:p>
    <w:p w14:paraId="7217F54B" w14:textId="7EDE2FE6" w:rsidR="00D65DDC" w:rsidRPr="00444371" w:rsidRDefault="00B95DFF" w:rsidP="00D65DDC">
      <w:r>
        <w:t>The D</w:t>
      </w:r>
      <w:r w:rsidR="00D65DDC">
        <w:t>elegate has considered that those NMOSD patients who are AQP4</w:t>
      </w:r>
      <w:r w:rsidR="008C24C8">
        <w:t xml:space="preserve"> autoantibody</w:t>
      </w:r>
      <w:r w:rsidR="00D65DDC">
        <w:t xml:space="preserve"> positive will be at a greater risk of relapses. Also, the patients might have had relapses by the time the diagnosis of NMOSD has been confirmed.</w:t>
      </w:r>
      <w:r w:rsidR="00D65DDC">
        <w:fldChar w:fldCharType="begin"/>
      </w:r>
      <w:r w:rsidR="00D65DDC">
        <w:instrText xml:space="preserve"> NOTEREF _Ref52290529 \f \h </w:instrText>
      </w:r>
      <w:r w:rsidR="00D65DDC">
        <w:fldChar w:fldCharType="separate"/>
      </w:r>
      <w:r w:rsidR="00FF7BA0" w:rsidRPr="00FF7BA0">
        <w:rPr>
          <w:rStyle w:val="FootnoteReference"/>
        </w:rPr>
        <w:t>12</w:t>
      </w:r>
      <w:r w:rsidR="00D65DDC">
        <w:fldChar w:fldCharType="end"/>
      </w:r>
      <w:r w:rsidR="00D65DDC" w:rsidRPr="008F01FB">
        <w:rPr>
          <w:vertAlign w:val="superscript"/>
        </w:rPr>
        <w:t>,</w:t>
      </w:r>
      <w:r w:rsidR="00D65DDC">
        <w:fldChar w:fldCharType="begin"/>
      </w:r>
      <w:r w:rsidR="00D65DDC">
        <w:instrText xml:space="preserve"> NOTEREF _Ref52290531 \f \h </w:instrText>
      </w:r>
      <w:r w:rsidR="00D65DDC">
        <w:fldChar w:fldCharType="separate"/>
      </w:r>
      <w:r w:rsidR="00FF7BA0" w:rsidRPr="00FF7BA0">
        <w:rPr>
          <w:rStyle w:val="FootnoteReference"/>
        </w:rPr>
        <w:t>13</w:t>
      </w:r>
      <w:r w:rsidR="00D65DDC">
        <w:fldChar w:fldCharType="end"/>
      </w:r>
      <w:r w:rsidR="00D65DDC">
        <w:t xml:space="preserve"> However, an effective strategy to provide optimal duration of use of </w:t>
      </w:r>
      <w:proofErr w:type="spellStart"/>
      <w:r w:rsidR="00D65DDC">
        <w:t>eculizumab</w:t>
      </w:r>
      <w:proofErr w:type="spellEnd"/>
      <w:r w:rsidR="00D65DDC">
        <w:t xml:space="preserve"> for these patients need to be formulated. Based on the findings of clinical study, it appears that administering </w:t>
      </w:r>
      <w:proofErr w:type="spellStart"/>
      <w:r w:rsidR="00D65DDC">
        <w:t>eculizumab</w:t>
      </w:r>
      <w:proofErr w:type="spellEnd"/>
      <w:r w:rsidR="00D65DDC">
        <w:t xml:space="preserve"> reduces the relative risk of further relapses</w:t>
      </w:r>
      <w:r w:rsidR="009401B9">
        <w:t>, compared to standard of care.</w:t>
      </w:r>
    </w:p>
    <w:p w14:paraId="175EA81B" w14:textId="77777777" w:rsidR="00D23139" w:rsidRDefault="00D23139" w:rsidP="00D23139">
      <w:pPr>
        <w:pStyle w:val="Heading4"/>
      </w:pPr>
      <w:r w:rsidRPr="00D23139">
        <w:t>Proposed action</w:t>
      </w:r>
    </w:p>
    <w:p w14:paraId="13BEAE84" w14:textId="778322EF" w:rsidR="00D65DDC" w:rsidRDefault="00573B95" w:rsidP="00D65DDC">
      <w:r>
        <w:t>The findings of the S</w:t>
      </w:r>
      <w:r w:rsidR="00D65DDC">
        <w:t xml:space="preserve">tudy </w:t>
      </w:r>
      <w:r w:rsidR="00D65DDC" w:rsidRPr="00B02F44">
        <w:t>ECU-NMO-301</w:t>
      </w:r>
      <w:r w:rsidR="00D65DDC">
        <w:t xml:space="preserve"> suggest that use of </w:t>
      </w:r>
      <w:proofErr w:type="spellStart"/>
      <w:r w:rsidR="00D65DDC">
        <w:t>eculizumab</w:t>
      </w:r>
      <w:proofErr w:type="spellEnd"/>
      <w:r w:rsidR="00D65DDC">
        <w:t xml:space="preserve"> in the treatment of patients with NMOSD resulted in a significant reduction of relative risk for relapses, compared to placebo. Treatment regimen for patients with NMOSD needs to</w:t>
      </w:r>
      <w:r w:rsidR="00C90F96">
        <w:t xml:space="preserve"> be well </w:t>
      </w:r>
      <w:r w:rsidR="00D65DDC">
        <w:t>defined. Safety signals are largely in line with the know</w:t>
      </w:r>
      <w:r w:rsidR="001A3004">
        <w:t xml:space="preserve">n safety profile of </w:t>
      </w:r>
      <w:proofErr w:type="spellStart"/>
      <w:r w:rsidR="001A3004">
        <w:t>eculizumab</w:t>
      </w:r>
      <w:proofErr w:type="spellEnd"/>
      <w:r w:rsidR="001A3004">
        <w:t>.</w:t>
      </w:r>
    </w:p>
    <w:p w14:paraId="2563C616" w14:textId="78CBC02F" w:rsidR="00456765" w:rsidRPr="00456765" w:rsidRDefault="00D65DDC" w:rsidP="00CC345B">
      <w:r>
        <w:lastRenderedPageBreak/>
        <w:t xml:space="preserve">This submission will be progressed based on sponsor’s response to the recommended changes to </w:t>
      </w:r>
      <w:r w:rsidR="00011B71">
        <w:t xml:space="preserve">the </w:t>
      </w:r>
      <w:r>
        <w:t>PI, response to clinical questions a</w:t>
      </w:r>
      <w:r w:rsidR="00B95DFF">
        <w:t>nd the expert’s opinion on the D</w:t>
      </w:r>
      <w:r>
        <w:t>elegate’s clinical questions.</w:t>
      </w:r>
    </w:p>
    <w:p w14:paraId="0A773E97" w14:textId="54B0B33D" w:rsidR="00593902" w:rsidRPr="00593902" w:rsidRDefault="007D53B6" w:rsidP="00FF7BA0">
      <w:pPr>
        <w:pStyle w:val="Heading4"/>
      </w:pPr>
      <w:r>
        <w:t>Questions for sponsor</w:t>
      </w:r>
    </w:p>
    <w:p w14:paraId="053BC92C" w14:textId="0DBB6673" w:rsidR="00593902" w:rsidRPr="00FF7BA0" w:rsidRDefault="00D65DDC" w:rsidP="00FF7BA0">
      <w:pPr>
        <w:pStyle w:val="Numberbullet0"/>
        <w:rPr>
          <w:b/>
          <w:i/>
        </w:rPr>
      </w:pPr>
      <w:r w:rsidRPr="00FF7BA0">
        <w:rPr>
          <w:b/>
          <w:i/>
        </w:rPr>
        <w:t>It was noted that 57.4% of patients in the placebo group in the pivotal study did not experience a relapse during treatment period. This finding suggests that a considerab</w:t>
      </w:r>
      <w:r w:rsidR="008F01FB" w:rsidRPr="00FF7BA0">
        <w:rPr>
          <w:b/>
          <w:i/>
        </w:rPr>
        <w:t>le proportion of patients with frequent relapse</w:t>
      </w:r>
      <w:r w:rsidRPr="00FF7BA0">
        <w:rPr>
          <w:b/>
          <w:i/>
        </w:rPr>
        <w:t xml:space="preserve"> as defined by the study protocol did not require </w:t>
      </w:r>
      <w:proofErr w:type="spellStart"/>
      <w:r w:rsidRPr="00FF7BA0">
        <w:rPr>
          <w:b/>
          <w:i/>
        </w:rPr>
        <w:t>eculizumab</w:t>
      </w:r>
      <w:proofErr w:type="spellEnd"/>
      <w:r w:rsidRPr="00FF7BA0">
        <w:rPr>
          <w:b/>
          <w:i/>
        </w:rPr>
        <w:t xml:space="preserve"> to be seizur</w:t>
      </w:r>
      <w:r w:rsidR="001A3004" w:rsidRPr="00FF7BA0">
        <w:rPr>
          <w:b/>
          <w:i/>
        </w:rPr>
        <w:t>e free during the study period.</w:t>
      </w:r>
    </w:p>
    <w:p w14:paraId="5D52EC9B" w14:textId="1F684BFB" w:rsidR="00546EB2" w:rsidRDefault="00546EB2" w:rsidP="00251F1C">
      <w:r>
        <w:t xml:space="preserve">All patients randomized in Study ECU-NMO-301 met the historical relapse inclusion criteria. </w:t>
      </w:r>
      <w:r w:rsidR="002E6CB5">
        <w:t>Sponsor</w:t>
      </w:r>
      <w:r>
        <w:t xml:space="preserve"> acknowledges that 57.4% of the patients randomized into the placebo arm of Study ECU-NMO-301 remained free from adjudicated on-trial relapse during the study period. In comparison, 96.9% of the patients randomized into the </w:t>
      </w:r>
      <w:proofErr w:type="spellStart"/>
      <w:r>
        <w:t>eculizumab</w:t>
      </w:r>
      <w:proofErr w:type="spellEnd"/>
      <w:r>
        <w:t xml:space="preserve"> arm remained free from adjudicated on-trial relapse during the study period (p &lt; 0.0001).</w:t>
      </w:r>
    </w:p>
    <w:p w14:paraId="2325794D" w14:textId="10D81189" w:rsidR="00546EB2" w:rsidRPr="00546EB2" w:rsidRDefault="00546EB2" w:rsidP="00251F1C">
      <w:r>
        <w:t>While 57.4% of the patients in the placebo arm did not experience an adjudicated on-trial relapse during the study period, the literature indicates that patients with anti-AQP4 antibody positive NMOSD have a high likelihood of additional relapses following the first attack, which are unpredictable in timing and severity.</w:t>
      </w:r>
      <w:r>
        <w:rPr>
          <w:rStyle w:val="FootnoteReference"/>
        </w:rPr>
        <w:footnoteReference w:id="16"/>
      </w:r>
      <w:r>
        <w:t xml:space="preserve"> This uncertainty is particularly relevant as each new relapse can result in significant permanent morbidity that may include blindness or paralysis, and potentially death. In contrast to diseases such as multiple sclerosis, patients with NMOSD do not typically recover from their relapse-related neurologic deficits over time</w:t>
      </w:r>
      <w:r>
        <w:rPr>
          <w:color w:val="000000"/>
        </w:rPr>
        <w:t>.</w:t>
      </w:r>
      <w:r>
        <w:rPr>
          <w:rStyle w:val="FootnoteReference"/>
          <w:color w:val="000000"/>
        </w:rPr>
        <w:footnoteReference w:id="17"/>
      </w:r>
    </w:p>
    <w:p w14:paraId="6CA78A46" w14:textId="25DA5A21" w:rsidR="00546EB2" w:rsidRPr="00573B95" w:rsidRDefault="00546EB2" w:rsidP="00251F1C">
      <w:r>
        <w:t>As a direct result of the unpredictable nature of relapses and the significant, often permanent, morbidity associated with them, treatment guidelines recommend preventative treatment for all patients with anti-AQP4 antibodies. The current international recommendations conclude that ‘</w:t>
      </w:r>
      <w:r>
        <w:rPr>
          <w:i/>
        </w:rPr>
        <w:t>p</w:t>
      </w:r>
      <w:r w:rsidRPr="00546EB2">
        <w:rPr>
          <w:i/>
        </w:rPr>
        <w:t>atients who are AQP4-IgG-seropositive should be assumed to be at risk for relapse indefinitely and preventive treatment should be considered, even in the setting of a prolonged clinical remissio</w:t>
      </w:r>
      <w:r w:rsidRPr="00546EB2">
        <w:t>n’</w:t>
      </w:r>
      <w:r>
        <w:t>.</w:t>
      </w:r>
      <w:r>
        <w:rPr>
          <w:rStyle w:val="FootnoteReference"/>
        </w:rPr>
        <w:footnoteReference w:id="18"/>
      </w:r>
    </w:p>
    <w:p w14:paraId="32D8E4FE" w14:textId="57379570" w:rsidR="00593902" w:rsidRPr="00FF7BA0" w:rsidRDefault="00D65DDC" w:rsidP="00FF7BA0">
      <w:pPr>
        <w:pStyle w:val="Numberbullet0"/>
        <w:rPr>
          <w:b/>
          <w:i/>
        </w:rPr>
      </w:pPr>
      <w:r w:rsidRPr="00FF7BA0">
        <w:rPr>
          <w:b/>
          <w:i/>
        </w:rPr>
        <w:t>What was the mean and median total duration for which these patients remained seizure free,</w:t>
      </w:r>
      <w:r w:rsidR="00573B95" w:rsidRPr="00FF7BA0">
        <w:rPr>
          <w:b/>
          <w:i/>
        </w:rPr>
        <w:t xml:space="preserve"> including the study period of S</w:t>
      </w:r>
      <w:r w:rsidRPr="00FF7BA0">
        <w:rPr>
          <w:b/>
          <w:i/>
        </w:rPr>
        <w:t>tudy ECU-NMO</w:t>
      </w:r>
      <w:r w:rsidR="004C5C3A" w:rsidRPr="00FF7BA0">
        <w:rPr>
          <w:b/>
          <w:i/>
        </w:rPr>
        <w:t>-302?</w:t>
      </w:r>
      <w:r w:rsidRPr="00FF7BA0">
        <w:rPr>
          <w:b/>
          <w:i/>
        </w:rPr>
        <w:t xml:space="preserve"> What proportion of these patients rem</w:t>
      </w:r>
      <w:r w:rsidR="009401B9" w:rsidRPr="00FF7BA0">
        <w:rPr>
          <w:b/>
          <w:i/>
        </w:rPr>
        <w:t>ained seizure free?</w:t>
      </w:r>
    </w:p>
    <w:p w14:paraId="14B6A489" w14:textId="188274ED" w:rsidR="00546EB2" w:rsidRDefault="00546EB2" w:rsidP="00251F1C">
      <w:r>
        <w:t>The mean and median duration for which patients in Study ECU-NMO-301 remained free from adjudicated On-trial Relapse is presented by treatment group in</w:t>
      </w:r>
      <w:r>
        <w:rPr>
          <w:b/>
          <w:bCs/>
        </w:rPr>
        <w:t xml:space="preserve"> </w:t>
      </w:r>
      <w:r w:rsidR="0002160E">
        <w:rPr>
          <w:b/>
          <w:bCs/>
        </w:rPr>
        <w:fldChar w:fldCharType="begin"/>
      </w:r>
      <w:r w:rsidR="0002160E">
        <w:rPr>
          <w:b/>
          <w:bCs/>
        </w:rPr>
        <w:instrText xml:space="preserve"> REF _Ref53999670 \h </w:instrText>
      </w:r>
      <w:r w:rsidR="0002160E">
        <w:rPr>
          <w:b/>
          <w:bCs/>
        </w:rPr>
      </w:r>
      <w:r w:rsidR="0002160E">
        <w:rPr>
          <w:b/>
          <w:bCs/>
        </w:rPr>
        <w:fldChar w:fldCharType="separate"/>
      </w:r>
      <w:r w:rsidR="00FF7BA0" w:rsidRPr="00546EB2">
        <w:t xml:space="preserve">Table </w:t>
      </w:r>
      <w:r w:rsidR="00FF7BA0">
        <w:rPr>
          <w:noProof/>
        </w:rPr>
        <w:t>6</w:t>
      </w:r>
      <w:r w:rsidR="0002160E">
        <w:rPr>
          <w:b/>
          <w:bCs/>
        </w:rPr>
        <w:fldChar w:fldCharType="end"/>
      </w:r>
      <w:r>
        <w:t xml:space="preserve">. In Study ECU-NMO-301, the mean duration that patients remained relapse-free in the placebo arm was 75.9 weeks (median 58.4 weeks), compared with a mean duration in the </w:t>
      </w:r>
      <w:proofErr w:type="spellStart"/>
      <w:r>
        <w:t>eculizumab</w:t>
      </w:r>
      <w:proofErr w:type="spellEnd"/>
      <w:r>
        <w:t xml:space="preserve"> arm of 95.2 weeks (median 94.0 weeks)</w:t>
      </w:r>
    </w:p>
    <w:p w14:paraId="73C0ACB1" w14:textId="70D92A6E" w:rsidR="00546EB2" w:rsidRDefault="00546EB2" w:rsidP="00546EB2">
      <w:pPr>
        <w:pStyle w:val="TableTitle"/>
      </w:pPr>
      <w:bookmarkStart w:id="49" w:name="_Ref53999670"/>
      <w:r w:rsidRPr="00546EB2">
        <w:lastRenderedPageBreak/>
        <w:t xml:space="preserve">Table </w:t>
      </w:r>
      <w:fldSimple w:instr=" SEQ Table \* ARABIC ">
        <w:r w:rsidR="00FF7BA0">
          <w:rPr>
            <w:noProof/>
          </w:rPr>
          <w:t>6</w:t>
        </w:r>
      </w:fldSimple>
      <w:bookmarkEnd w:id="49"/>
      <w:r w:rsidR="008C0C8B">
        <w:t>:</w:t>
      </w:r>
      <w:r>
        <w:t xml:space="preserve"> </w:t>
      </w:r>
      <w:r w:rsidR="00593902">
        <w:t xml:space="preserve">Study ECU-NMO-301 </w:t>
      </w:r>
      <w:r>
        <w:t>Summary of study period duration for patients free from adjudicated on-trial relapse</w:t>
      </w:r>
      <w:r w:rsidR="00593902">
        <w:t xml:space="preserve"> </w:t>
      </w:r>
      <w:r>
        <w:t>(full analysis set free from adjudicated on-trial relapse)</w:t>
      </w:r>
    </w:p>
    <w:p w14:paraId="674B2CA7" w14:textId="5D28CFD9" w:rsidR="00046945" w:rsidRDefault="00046945" w:rsidP="00046945">
      <w:r w:rsidRPr="00046945">
        <w:rPr>
          <w:noProof/>
          <w:lang w:eastAsia="en-AU"/>
        </w:rPr>
        <w:drawing>
          <wp:inline distT="0" distB="0" distL="0" distR="0" wp14:anchorId="31F6C15E" wp14:editId="1F8D4B6C">
            <wp:extent cx="4896533" cy="895475"/>
            <wp:effectExtent l="0" t="0" r="0" b="0"/>
            <wp:docPr id="3" name="Picture 3" descr="Summary of study period duration for patients free from adjudicated on-trial relapse in Study ECU-NMO-301 (full analysis set free from adjudicated on-trial relap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896533" cy="895475"/>
                    </a:xfrm>
                    <a:prstGeom prst="rect">
                      <a:avLst/>
                    </a:prstGeom>
                  </pic:spPr>
                </pic:pic>
              </a:graphicData>
            </a:graphic>
          </wp:inline>
        </w:drawing>
      </w:r>
    </w:p>
    <w:p w14:paraId="01BAA169" w14:textId="5C0306B3" w:rsidR="00046945" w:rsidRDefault="00046945" w:rsidP="00046945">
      <w:pPr>
        <w:pStyle w:val="TableDescription"/>
      </w:pPr>
      <w:r>
        <w:t>Source: Study ECU-NMO-301, Table 350</w:t>
      </w:r>
    </w:p>
    <w:p w14:paraId="7B24FADC" w14:textId="26ACABC6" w:rsidR="00046945" w:rsidRDefault="00046945" w:rsidP="00046945">
      <w:r>
        <w:t xml:space="preserve">In Study ECU-NMO-302, all patients were transitioned to open-label treatment with </w:t>
      </w:r>
      <w:proofErr w:type="spellStart"/>
      <w:r>
        <w:t>eculizumab</w:t>
      </w:r>
      <w:proofErr w:type="spellEnd"/>
      <w:r>
        <w:t xml:space="preserve">. Of the 27 patients in the placebo arm of Study ECU-NMO-301who did not experience an adjudicated on-trial relapse, 23 enrolled in Study ECU-NMO-302 and 22 remained relapse free. Of the 93 patients in the </w:t>
      </w:r>
      <w:proofErr w:type="spellStart"/>
      <w:r>
        <w:t>eculizumab</w:t>
      </w:r>
      <w:proofErr w:type="spellEnd"/>
      <w:r>
        <w:t xml:space="preserve"> arm of Study ECU-NMO-301 who did not experience an adjudicated on-trial relapse, 75 enrolled in Study</w:t>
      </w:r>
      <w:r w:rsidR="00593902">
        <w:t> </w:t>
      </w:r>
      <w:r>
        <w:t>ECU</w:t>
      </w:r>
      <w:r w:rsidR="00593902">
        <w:noBreakHyphen/>
      </w:r>
      <w:r>
        <w:t>NMO</w:t>
      </w:r>
      <w:r w:rsidR="00593902">
        <w:noBreakHyphen/>
      </w:r>
      <w:r>
        <w:t xml:space="preserve">302 and 72 remained relapse free. The mean and median duration for which these patients remained free from adjudicated on-trial relapse in Study ECU-NMO-302 (data cut </w:t>
      </w:r>
      <w:r w:rsidR="00593902">
        <w:t xml:space="preserve">off </w:t>
      </w:r>
      <w:r>
        <w:t>31</w:t>
      </w:r>
      <w:r w:rsidR="002E6CB5">
        <w:t xml:space="preserve"> </w:t>
      </w:r>
      <w:r>
        <w:t>Oct</w:t>
      </w:r>
      <w:r w:rsidR="00593902">
        <w:t>ober</w:t>
      </w:r>
      <w:r w:rsidR="002E6CB5">
        <w:t xml:space="preserve"> </w:t>
      </w:r>
      <w:r>
        <w:t>2018) is pr</w:t>
      </w:r>
      <w:r w:rsidR="0002160E">
        <w:t>esented by treatment group (</w:t>
      </w:r>
      <w:r w:rsidR="0002160E">
        <w:fldChar w:fldCharType="begin"/>
      </w:r>
      <w:r w:rsidR="0002160E">
        <w:instrText xml:space="preserve"> REF _Ref53999713 \h </w:instrText>
      </w:r>
      <w:r w:rsidR="0002160E">
        <w:fldChar w:fldCharType="separate"/>
      </w:r>
      <w:r w:rsidR="00FF7BA0" w:rsidRPr="00046945">
        <w:t xml:space="preserve">Table </w:t>
      </w:r>
      <w:r w:rsidR="00FF7BA0">
        <w:rPr>
          <w:noProof/>
        </w:rPr>
        <w:t>7</w:t>
      </w:r>
      <w:r w:rsidR="0002160E">
        <w:fldChar w:fldCharType="end"/>
      </w:r>
      <w:r w:rsidR="0002160E">
        <w:t>)</w:t>
      </w:r>
      <w:r>
        <w:t>. In Study ECU-NMO-302, the mean duration that patients remained relapse-free in the placebo/</w:t>
      </w:r>
      <w:proofErr w:type="spellStart"/>
      <w:r>
        <w:t>eculizumab</w:t>
      </w:r>
      <w:proofErr w:type="spellEnd"/>
      <w:r>
        <w:t xml:space="preserve"> arm was 38.7 weeks (median 20.1 weeks), compared with a mean duration in the </w:t>
      </w:r>
      <w:proofErr w:type="spellStart"/>
      <w:r>
        <w:t>eculizumab</w:t>
      </w:r>
      <w:proofErr w:type="spellEnd"/>
      <w:r>
        <w:t>/</w:t>
      </w:r>
      <w:proofErr w:type="spellStart"/>
      <w:r>
        <w:t>eculizumab</w:t>
      </w:r>
      <w:proofErr w:type="spellEnd"/>
      <w:r>
        <w:t xml:space="preserve"> arm of 33.3 weeks (median 20.1 weeks).</w:t>
      </w:r>
    </w:p>
    <w:p w14:paraId="71A6CC6C" w14:textId="686B0866" w:rsidR="00046945" w:rsidRDefault="00046945" w:rsidP="00046945">
      <w:pPr>
        <w:pStyle w:val="TableTitle"/>
      </w:pPr>
      <w:bookmarkStart w:id="50" w:name="_Ref53999713"/>
      <w:r w:rsidRPr="00046945">
        <w:t xml:space="preserve">Table </w:t>
      </w:r>
      <w:fldSimple w:instr=" SEQ Table \* ARABIC ">
        <w:r w:rsidR="00FF7BA0">
          <w:rPr>
            <w:noProof/>
          </w:rPr>
          <w:t>7</w:t>
        </w:r>
      </w:fldSimple>
      <w:bookmarkEnd w:id="50"/>
      <w:r w:rsidR="008C0C8B">
        <w:t>:</w:t>
      </w:r>
      <w:r>
        <w:t xml:space="preserve"> S</w:t>
      </w:r>
      <w:r w:rsidR="00593902">
        <w:t xml:space="preserve">tudies </w:t>
      </w:r>
      <w:r>
        <w:t>ECU-NMO-</w:t>
      </w:r>
      <w:r w:rsidR="00593902">
        <w:t>301/</w:t>
      </w:r>
      <w:r>
        <w:t xml:space="preserve">302 </w:t>
      </w:r>
      <w:r w:rsidR="00593902">
        <w:t xml:space="preserve">Summary of </w:t>
      </w:r>
      <w:r>
        <w:t>study period duration for patients free from adjudicated on-trial relapse (full analysis set free from adjudicated on-trial relapse)</w:t>
      </w:r>
    </w:p>
    <w:p w14:paraId="7853F23B" w14:textId="2EAC9D17" w:rsidR="00046945" w:rsidRDefault="00046945" w:rsidP="00046945">
      <w:r w:rsidRPr="00046945">
        <w:rPr>
          <w:noProof/>
          <w:lang w:eastAsia="en-AU"/>
        </w:rPr>
        <w:drawing>
          <wp:inline distT="0" distB="0" distL="0" distR="0" wp14:anchorId="7E64C953" wp14:editId="4EB8675C">
            <wp:extent cx="4915586" cy="1019317"/>
            <wp:effectExtent l="0" t="0" r="0" b="9525"/>
            <wp:docPr id="4" name="Picture 4" descr="Summary of ECU-NMO-302 study period duration for patients free from adjudicated on-trial relapse in Study ECU-NMO-301 and Study ECU-NMO-302 (full analysis set free from adjudicated on-trial relap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915586" cy="1019317"/>
                    </a:xfrm>
                    <a:prstGeom prst="rect">
                      <a:avLst/>
                    </a:prstGeom>
                  </pic:spPr>
                </pic:pic>
              </a:graphicData>
            </a:graphic>
          </wp:inline>
        </w:drawing>
      </w:r>
    </w:p>
    <w:p w14:paraId="2F133E31" w14:textId="11861503" w:rsidR="00046945" w:rsidRDefault="00046945" w:rsidP="00046945">
      <w:pPr>
        <w:pStyle w:val="TableDescription"/>
      </w:pPr>
      <w:r>
        <w:t>Source: Studies ECU-NMO-301 and ECU-NMO-302, Table 354</w:t>
      </w:r>
    </w:p>
    <w:p w14:paraId="39B7C156" w14:textId="01DA5028" w:rsidR="00046945" w:rsidRDefault="00046945" w:rsidP="00046945">
      <w:r>
        <w:t xml:space="preserve">At the end of Study ECU-NMO-301, 57.4% of the patients in the placebo arm were relapse free. As noted, upon entry into Study ECU-NMO-302, all patients were transitioned to open-label </w:t>
      </w:r>
      <w:proofErr w:type="spellStart"/>
      <w:r>
        <w:t>eculizumab</w:t>
      </w:r>
      <w:proofErr w:type="spellEnd"/>
      <w:r>
        <w:t>. In this setting, as of the data-cut of 31 Oct</w:t>
      </w:r>
      <w:r w:rsidR="00593902">
        <w:t>ober</w:t>
      </w:r>
      <w:r>
        <w:t xml:space="preserve"> 2018, 26 of 27 patients (96.3%) initially randomized to placebo who did not experience an adjudicated on-trial relapse in Study ECU-NMO-301 and who then transitioned to </w:t>
      </w:r>
      <w:proofErr w:type="spellStart"/>
      <w:r>
        <w:t>eculizumab</w:t>
      </w:r>
      <w:proofErr w:type="spellEnd"/>
      <w:r>
        <w:t xml:space="preserve"> in Study</w:t>
      </w:r>
      <w:r w:rsidR="00593902">
        <w:t> </w:t>
      </w:r>
      <w:r>
        <w:t>ECU-NMO-302 remained relapse free.</w:t>
      </w:r>
    </w:p>
    <w:p w14:paraId="53B68305" w14:textId="488CB13C" w:rsidR="00046945" w:rsidRDefault="00046945" w:rsidP="00046945">
      <w:pPr>
        <w:pStyle w:val="TableTitle"/>
      </w:pPr>
      <w:r w:rsidRPr="00046945">
        <w:lastRenderedPageBreak/>
        <w:t xml:space="preserve">Table </w:t>
      </w:r>
      <w:fldSimple w:instr=" SEQ Table \* ARABIC ">
        <w:r w:rsidR="00FF7BA0">
          <w:rPr>
            <w:noProof/>
          </w:rPr>
          <w:t>8</w:t>
        </w:r>
      </w:fldSimple>
      <w:r w:rsidR="008C0C8B">
        <w:t>:</w:t>
      </w:r>
      <w:r>
        <w:t xml:space="preserve"> </w:t>
      </w:r>
      <w:r w:rsidR="00593902">
        <w:t xml:space="preserve">Studies ECU-NMO-301/302 </w:t>
      </w:r>
      <w:r>
        <w:t>Summary of relapse experience for patients free from adjudicated on-trial relapse in Study ECU-NMO-301 (full analysis set free from adjudicated on-trial relapse)</w:t>
      </w:r>
    </w:p>
    <w:p w14:paraId="7626ADBF" w14:textId="504B4CE7" w:rsidR="00046945" w:rsidRDefault="00046945" w:rsidP="00046945">
      <w:r w:rsidRPr="00046945">
        <w:rPr>
          <w:noProof/>
          <w:lang w:eastAsia="en-AU"/>
        </w:rPr>
        <w:drawing>
          <wp:inline distT="0" distB="0" distL="0" distR="0" wp14:anchorId="108D243F" wp14:editId="55EBB63E">
            <wp:extent cx="4858428" cy="2876951"/>
            <wp:effectExtent l="0" t="0" r="0" b="0"/>
            <wp:docPr id="5" name="Picture 5" descr="Summary of relapse experience in Studies ECU-NMO-301 and ECU-NMO-302 for patients free from adjudicated on-trial relapse in Study ECU-NMO-301 (full analysis set free from adjudicated on-trial relap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858428" cy="2876951"/>
                    </a:xfrm>
                    <a:prstGeom prst="rect">
                      <a:avLst/>
                    </a:prstGeom>
                  </pic:spPr>
                </pic:pic>
              </a:graphicData>
            </a:graphic>
          </wp:inline>
        </w:drawing>
      </w:r>
    </w:p>
    <w:p w14:paraId="73D22C8E" w14:textId="618CA257" w:rsidR="00046945" w:rsidRDefault="00046945" w:rsidP="00046945">
      <w:pPr>
        <w:pStyle w:val="TableDescription"/>
      </w:pPr>
      <w:r>
        <w:t>Source: Studies ECU-NMO-301 and ECU-NMO-302, Table 352.</w:t>
      </w:r>
    </w:p>
    <w:p w14:paraId="09A52FC8" w14:textId="047E0F89" w:rsidR="00046945" w:rsidRDefault="00046945" w:rsidP="00046945">
      <w:pPr>
        <w:pStyle w:val="TableDescription"/>
      </w:pPr>
      <w:r>
        <w:t>(1) Number of patients free from adjudicated on-trial relapse in ECU-NMO-302 divided by the number of patients enrolled in ECU-NMO-302</w:t>
      </w:r>
    </w:p>
    <w:p w14:paraId="33998000" w14:textId="17EACA3D" w:rsidR="00593902" w:rsidRPr="00546EB2" w:rsidRDefault="00046945" w:rsidP="00FF7BA0">
      <w:pPr>
        <w:pStyle w:val="TableDescription"/>
      </w:pPr>
      <w:r>
        <w:t xml:space="preserve">(2) Number of patients free from adjudicated on-trial relapse in both ECU-NMO-301 and ECU-NMO-302 regardless of </w:t>
      </w:r>
      <w:proofErr w:type="spellStart"/>
      <w:r>
        <w:t>enrollment</w:t>
      </w:r>
      <w:proofErr w:type="spellEnd"/>
      <w:r>
        <w:t xml:space="preserve"> status of ECU-NMO-302 divided by the number of patients free from adjudicated on-trial relapse in ECU-NMO-301.</w:t>
      </w:r>
    </w:p>
    <w:p w14:paraId="160C3210" w14:textId="7647EE8C" w:rsidR="00D65DDC" w:rsidRPr="00FF7BA0" w:rsidRDefault="00D65DDC" w:rsidP="00FF7BA0">
      <w:pPr>
        <w:pStyle w:val="Numberbullet0"/>
        <w:rPr>
          <w:b/>
          <w:i/>
        </w:rPr>
      </w:pPr>
      <w:r w:rsidRPr="00FF7BA0">
        <w:rPr>
          <w:b/>
          <w:i/>
        </w:rPr>
        <w:t xml:space="preserve">In the pivotal study, 21.9% of patients in </w:t>
      </w:r>
      <w:proofErr w:type="spellStart"/>
      <w:r w:rsidRPr="00FF7BA0">
        <w:rPr>
          <w:b/>
          <w:i/>
        </w:rPr>
        <w:t>eculizumab</w:t>
      </w:r>
      <w:proofErr w:type="spellEnd"/>
      <w:r w:rsidRPr="00FF7BA0">
        <w:rPr>
          <w:b/>
          <w:i/>
        </w:rPr>
        <w:t xml:space="preserve"> group were no</w:t>
      </w:r>
      <w:r w:rsidR="00636D0A" w:rsidRPr="00FF7BA0">
        <w:rPr>
          <w:b/>
          <w:i/>
        </w:rPr>
        <w:t>t treated with immunosuppressive therapy</w:t>
      </w:r>
      <w:r w:rsidR="005D7284" w:rsidRPr="00FF7BA0">
        <w:rPr>
          <w:b/>
          <w:i/>
        </w:rPr>
        <w:t xml:space="preserve"> at B</w:t>
      </w:r>
      <w:r w:rsidR="00B440C5" w:rsidRPr="00FF7BA0">
        <w:rPr>
          <w:b/>
          <w:i/>
        </w:rPr>
        <w:t>aseline.</w:t>
      </w:r>
    </w:p>
    <w:p w14:paraId="14D30A2B" w14:textId="5793A008" w:rsidR="00FB05AF" w:rsidRPr="00FF7BA0" w:rsidRDefault="00D65DDC" w:rsidP="00FF7BA0">
      <w:pPr>
        <w:pStyle w:val="ListBullet2"/>
        <w:rPr>
          <w:b/>
          <w:i/>
        </w:rPr>
      </w:pPr>
      <w:r w:rsidRPr="00FF7BA0">
        <w:rPr>
          <w:b/>
          <w:i/>
        </w:rPr>
        <w:t>What was the treatment regimen for thes</w:t>
      </w:r>
      <w:r w:rsidR="00046945" w:rsidRPr="00FF7BA0">
        <w:rPr>
          <w:b/>
          <w:i/>
        </w:rPr>
        <w:t xml:space="preserve">e patients during study </w:t>
      </w:r>
      <w:r w:rsidR="0002160E" w:rsidRPr="00FF7BA0">
        <w:rPr>
          <w:b/>
          <w:i/>
        </w:rPr>
        <w:t>period?</w:t>
      </w:r>
    </w:p>
    <w:p w14:paraId="57D5BEF7" w14:textId="5C181D71" w:rsidR="00046945" w:rsidRPr="00046945" w:rsidRDefault="00046945" w:rsidP="00251F1C">
      <w:r>
        <w:t xml:space="preserve">During the treatment period of Study ECU-NMO-301, Investigators were not permitted to make changes to the patients’ background ISTs. As such, patients who were </w:t>
      </w:r>
      <w:r>
        <w:rPr>
          <w:rFonts w:ascii="Times New Roman" w:hAnsi="Times New Roman"/>
        </w:rPr>
        <w:t>not</w:t>
      </w:r>
      <w:r>
        <w:t xml:space="preserve"> treated </w:t>
      </w:r>
      <w:r w:rsidR="00B95DFF">
        <w:t>with ISTs at B</w:t>
      </w:r>
      <w:r>
        <w:t xml:space="preserve">aseline were treated with </w:t>
      </w:r>
      <w:proofErr w:type="spellStart"/>
      <w:r>
        <w:t>eculizumab</w:t>
      </w:r>
      <w:proofErr w:type="spellEnd"/>
      <w:r>
        <w:t xml:space="preserve"> monotherapy for the study duration.</w:t>
      </w:r>
    </w:p>
    <w:p w14:paraId="6CE94456" w14:textId="4F512E21" w:rsidR="00D65DDC" w:rsidRDefault="00D65DDC" w:rsidP="00D65DDC">
      <w:pPr>
        <w:pStyle w:val="ListBullet2"/>
        <w:rPr>
          <w:b/>
          <w:i/>
        </w:rPr>
      </w:pPr>
      <w:r w:rsidRPr="00573B95">
        <w:rPr>
          <w:b/>
          <w:i/>
        </w:rPr>
        <w:t>W</w:t>
      </w:r>
      <w:r w:rsidR="00636D0A">
        <w:rPr>
          <w:b/>
          <w:i/>
        </w:rPr>
        <w:t xml:space="preserve">ere they treated with an </w:t>
      </w:r>
      <w:r w:rsidR="00636D0A" w:rsidRPr="00636D0A">
        <w:rPr>
          <w:b/>
          <w:i/>
        </w:rPr>
        <w:t>immunosuppressive therapy</w:t>
      </w:r>
      <w:r w:rsidRPr="00573B95">
        <w:rPr>
          <w:b/>
          <w:i/>
        </w:rPr>
        <w:t xml:space="preserve"> during th</w:t>
      </w:r>
      <w:r w:rsidR="00636D0A">
        <w:rPr>
          <w:b/>
          <w:i/>
        </w:rPr>
        <w:t xml:space="preserve">e study period? If so, which </w:t>
      </w:r>
      <w:r w:rsidR="00636D0A" w:rsidRPr="00636D0A">
        <w:rPr>
          <w:b/>
          <w:i/>
        </w:rPr>
        <w:t>immunosuppressive therapy</w:t>
      </w:r>
      <w:r w:rsidRPr="00573B95">
        <w:rPr>
          <w:b/>
          <w:i/>
        </w:rPr>
        <w:t xml:space="preserve"> was used and what was the </w:t>
      </w:r>
      <w:r w:rsidR="00636D0A">
        <w:rPr>
          <w:b/>
          <w:i/>
        </w:rPr>
        <w:t xml:space="preserve">rationale for selection of </w:t>
      </w:r>
      <w:r w:rsidR="00636D0A" w:rsidRPr="00636D0A">
        <w:rPr>
          <w:b/>
          <w:i/>
        </w:rPr>
        <w:t>immunosuppressive therapy</w:t>
      </w:r>
      <w:r w:rsidR="009401B9" w:rsidRPr="00573B95">
        <w:rPr>
          <w:b/>
          <w:i/>
        </w:rPr>
        <w:t>?</w:t>
      </w:r>
    </w:p>
    <w:p w14:paraId="32391B94" w14:textId="5D61C2A4" w:rsidR="00046945" w:rsidRPr="00046945" w:rsidRDefault="00046945" w:rsidP="00251F1C">
      <w:r>
        <w:t>As noted, none of the patients who w</w:t>
      </w:r>
      <w:r w:rsidR="002E6CB5">
        <w:t>ere not treated with an IST at B</w:t>
      </w:r>
      <w:r>
        <w:t xml:space="preserve">aseline were treated with an IST during the trial. They were all maintained on </w:t>
      </w:r>
      <w:proofErr w:type="spellStart"/>
      <w:r>
        <w:t>eculizumab</w:t>
      </w:r>
      <w:proofErr w:type="spellEnd"/>
      <w:r>
        <w:t xml:space="preserve"> alone.</w:t>
      </w:r>
    </w:p>
    <w:p w14:paraId="73CC1CBA" w14:textId="07197BBB" w:rsidR="00D65DDC" w:rsidRDefault="00D65DDC" w:rsidP="00D65DDC">
      <w:pPr>
        <w:pStyle w:val="ListBullet2"/>
        <w:rPr>
          <w:b/>
          <w:i/>
        </w:rPr>
      </w:pPr>
      <w:r w:rsidRPr="00573B95">
        <w:rPr>
          <w:b/>
          <w:i/>
        </w:rPr>
        <w:t>Was the same rationale applied for patients in placebo group?</w:t>
      </w:r>
    </w:p>
    <w:p w14:paraId="77AC6137" w14:textId="23FF916C" w:rsidR="00046945" w:rsidRPr="00046945" w:rsidRDefault="002E6CB5" w:rsidP="00251F1C">
      <w:r>
        <w:t xml:space="preserve">In this randomized, double blind, placebo </w:t>
      </w:r>
      <w:r w:rsidR="00046945">
        <w:t>controlled trial, no patients in Study ECU</w:t>
      </w:r>
      <w:r w:rsidR="00EA6388">
        <w:t>-</w:t>
      </w:r>
      <w:r w:rsidR="00046945">
        <w:t>NMO-301 were permitted to have any changes to their background ISTs. Placebo patients who</w:t>
      </w:r>
      <w:r w:rsidR="00B95DFF">
        <w:t xml:space="preserve"> were not on background IST at B</w:t>
      </w:r>
      <w:r w:rsidR="00046945">
        <w:t xml:space="preserve">aseline were therefore considered to be </w:t>
      </w:r>
      <w:r w:rsidR="00EA6388">
        <w:t>‘pure placebo’</w:t>
      </w:r>
      <w:r w:rsidR="00046945">
        <w:t xml:space="preserve"> patients and were maintained as such throughout the trial</w:t>
      </w:r>
      <w:r w:rsidR="00046945">
        <w:rPr>
          <w:rFonts w:ascii="Times New Roman" w:hAnsi="Times New Roman"/>
        </w:rPr>
        <w:t>.</w:t>
      </w:r>
    </w:p>
    <w:p w14:paraId="4F77BEE2" w14:textId="33B07F2E" w:rsidR="00D65DDC" w:rsidRDefault="00D65DDC" w:rsidP="00D65DDC">
      <w:pPr>
        <w:pStyle w:val="ListBullet2"/>
        <w:rPr>
          <w:b/>
          <w:i/>
        </w:rPr>
      </w:pPr>
      <w:r w:rsidRPr="00573B95">
        <w:rPr>
          <w:b/>
          <w:i/>
        </w:rPr>
        <w:t xml:space="preserve">Similarly, 27.1% and 42.6% of patients in </w:t>
      </w:r>
      <w:proofErr w:type="spellStart"/>
      <w:r w:rsidRPr="00573B95">
        <w:rPr>
          <w:b/>
          <w:i/>
        </w:rPr>
        <w:t>eculizumab</w:t>
      </w:r>
      <w:proofErr w:type="spellEnd"/>
      <w:r w:rsidRPr="00573B95">
        <w:rPr>
          <w:b/>
          <w:i/>
        </w:rPr>
        <w:t xml:space="preserve"> and placebo groups respectively </w:t>
      </w:r>
      <w:r w:rsidR="005D7284" w:rsidRPr="00573B95">
        <w:rPr>
          <w:b/>
          <w:i/>
        </w:rPr>
        <w:t>were treated with Rituximab at B</w:t>
      </w:r>
      <w:r w:rsidRPr="00573B95">
        <w:rPr>
          <w:b/>
          <w:i/>
        </w:rPr>
        <w:t xml:space="preserve">aseline. What was the treatment regime for these patients when Rituximab </w:t>
      </w:r>
      <w:r w:rsidR="009401B9" w:rsidRPr="00573B95">
        <w:rPr>
          <w:b/>
          <w:i/>
        </w:rPr>
        <w:t>w</w:t>
      </w:r>
      <w:r w:rsidR="008F01FB" w:rsidRPr="00573B95">
        <w:rPr>
          <w:b/>
          <w:i/>
        </w:rPr>
        <w:t>as discontinued at B</w:t>
      </w:r>
      <w:r w:rsidR="009401B9" w:rsidRPr="00573B95">
        <w:rPr>
          <w:b/>
          <w:i/>
        </w:rPr>
        <w:t>aseline?</w:t>
      </w:r>
    </w:p>
    <w:p w14:paraId="150BC6CE" w14:textId="161A405E" w:rsidR="0002160E" w:rsidRDefault="0002160E" w:rsidP="00251F1C">
      <w:r w:rsidRPr="0002160E">
        <w:t>During Study ECU-NMO-301, rituximab was not permitted as background therapy based</w:t>
      </w:r>
      <w:r>
        <w:t xml:space="preserve"> </w:t>
      </w:r>
      <w:r w:rsidRPr="0002160E">
        <w:t xml:space="preserve">on the potential effects of </w:t>
      </w:r>
      <w:proofErr w:type="spellStart"/>
      <w:r w:rsidRPr="0002160E">
        <w:t>eculizumab</w:t>
      </w:r>
      <w:proofErr w:type="spellEnd"/>
      <w:r w:rsidRPr="0002160E">
        <w:t xml:space="preserve"> on the efficacy of rituximab. This criterion was not</w:t>
      </w:r>
      <w:r>
        <w:t xml:space="preserve"> </w:t>
      </w:r>
      <w:r w:rsidRPr="0002160E">
        <w:t xml:space="preserve">based on safety reasons related to concomitant use with </w:t>
      </w:r>
      <w:proofErr w:type="spellStart"/>
      <w:r w:rsidRPr="0002160E">
        <w:t>eculizumab</w:t>
      </w:r>
      <w:proofErr w:type="spellEnd"/>
      <w:r w:rsidRPr="0002160E">
        <w:t>. Rituximab is n</w:t>
      </w:r>
      <w:r>
        <w:t xml:space="preserve">ot </w:t>
      </w:r>
      <w:r w:rsidRPr="0002160E">
        <w:lastRenderedPageBreak/>
        <w:t>approved for the treatment of patients with NMOSD. Ri</w:t>
      </w:r>
      <w:r>
        <w:t xml:space="preserve">tuximab has been used off-label </w:t>
      </w:r>
      <w:r w:rsidRPr="0002160E">
        <w:t xml:space="preserve">in patients with NMOSD as it selectively </w:t>
      </w:r>
      <w:r>
        <w:t xml:space="preserve">depletes B-cells mainly through </w:t>
      </w:r>
      <w:r w:rsidRPr="0002160E">
        <w:t>complement</w:t>
      </w:r>
      <w:r>
        <w:t xml:space="preserve"> mediated </w:t>
      </w:r>
      <w:r w:rsidRPr="0002160E">
        <w:t>cytotoxicity. In whole blo</w:t>
      </w:r>
      <w:r w:rsidR="00EA6388">
        <w:t xml:space="preserve">od assays, rituximab mediated B </w:t>
      </w:r>
      <w:r w:rsidRPr="0002160E">
        <w:t>cell lysis is inhi</w:t>
      </w:r>
      <w:r>
        <w:t xml:space="preserve">bited </w:t>
      </w:r>
      <w:r w:rsidRPr="0002160E">
        <w:t>by 90% in the pres</w:t>
      </w:r>
      <w:r>
        <w:t xml:space="preserve">ence of </w:t>
      </w:r>
      <w:proofErr w:type="spellStart"/>
      <w:r>
        <w:t>eculizumab</w:t>
      </w:r>
      <w:proofErr w:type="spellEnd"/>
      <w:r>
        <w:t>.</w:t>
      </w:r>
      <w:r>
        <w:rPr>
          <w:rStyle w:val="FootnoteReference"/>
        </w:rPr>
        <w:footnoteReference w:id="19"/>
      </w:r>
      <w:r>
        <w:t xml:space="preserve"> There have been no clinical </w:t>
      </w:r>
      <w:r w:rsidRPr="0002160E">
        <w:t xml:space="preserve">studies evaluating concomitant administration of </w:t>
      </w:r>
      <w:proofErr w:type="spellStart"/>
      <w:r w:rsidRPr="0002160E">
        <w:t>ecu</w:t>
      </w:r>
      <w:r>
        <w:t>lizumab</w:t>
      </w:r>
      <w:proofErr w:type="spellEnd"/>
      <w:r>
        <w:t xml:space="preserve"> and rituximab. However, </w:t>
      </w:r>
      <w:r w:rsidRPr="0002160E">
        <w:t xml:space="preserve">based on the potential inhibitory effect of </w:t>
      </w:r>
      <w:proofErr w:type="spellStart"/>
      <w:r w:rsidRPr="0002160E">
        <w:t>ecu</w:t>
      </w:r>
      <w:r>
        <w:t>lizumab</w:t>
      </w:r>
      <w:proofErr w:type="spellEnd"/>
      <w:r>
        <w:t xml:space="preserve"> on complement-dependent </w:t>
      </w:r>
      <w:r w:rsidRPr="0002160E">
        <w:t>cytotoxicity of rituximab, patients could be at risk</w:t>
      </w:r>
      <w:r>
        <w:t xml:space="preserve"> of a reduction of the expected </w:t>
      </w:r>
      <w:r w:rsidRPr="0002160E">
        <w:t xml:space="preserve">pharmacodynamics effects of rituximab. </w:t>
      </w:r>
      <w:r w:rsidR="00EA6388">
        <w:t>Sponsor</w:t>
      </w:r>
      <w:r>
        <w:t xml:space="preserve"> agrees that rituximab had been </w:t>
      </w:r>
      <w:r w:rsidRPr="0002160E">
        <w:t xml:space="preserve">discontinued for all patients prior to baseline. Patients </w:t>
      </w:r>
      <w:r>
        <w:t xml:space="preserve">who had previously been treated </w:t>
      </w:r>
      <w:r w:rsidRPr="0002160E">
        <w:t>with rituximab had been transitioned to a number of d</w:t>
      </w:r>
      <w:r>
        <w:t xml:space="preserve">ifferent ISTs by their treating </w:t>
      </w:r>
      <w:r w:rsidRPr="0002160E">
        <w:t>physicians prior to the trial, including some patients o</w:t>
      </w:r>
      <w:r>
        <w:t xml:space="preserve">n no IST at trial baseline. IST </w:t>
      </w:r>
      <w:r w:rsidRPr="0002160E">
        <w:t>subgroups are presented by treatment arm for patients with</w:t>
      </w:r>
      <w:r>
        <w:t xml:space="preserve"> historical use of rituximab in </w:t>
      </w:r>
      <w:r>
        <w:fldChar w:fldCharType="begin"/>
      </w:r>
      <w:r>
        <w:instrText xml:space="preserve"> REF _Ref53999947 \h </w:instrText>
      </w:r>
      <w:r w:rsidR="00011B71">
        <w:instrText xml:space="preserve"> \* MERGEFORMAT </w:instrText>
      </w:r>
      <w:r>
        <w:fldChar w:fldCharType="separate"/>
      </w:r>
      <w:r w:rsidR="00FF7BA0" w:rsidRPr="0002160E">
        <w:t xml:space="preserve">Table </w:t>
      </w:r>
      <w:r w:rsidR="00FF7BA0">
        <w:rPr>
          <w:noProof/>
        </w:rPr>
        <w:t>9</w:t>
      </w:r>
      <w:r>
        <w:fldChar w:fldCharType="end"/>
      </w:r>
      <w:r w:rsidRPr="0002160E">
        <w:t>.</w:t>
      </w:r>
    </w:p>
    <w:p w14:paraId="4F27FA5D" w14:textId="48AB42B6" w:rsidR="0002160E" w:rsidRDefault="0002160E" w:rsidP="0002160E">
      <w:pPr>
        <w:pStyle w:val="TableTitle"/>
      </w:pPr>
      <w:bookmarkStart w:id="51" w:name="_Ref53999947"/>
      <w:r w:rsidRPr="0002160E">
        <w:t xml:space="preserve">Table </w:t>
      </w:r>
      <w:fldSimple w:instr=" SEQ Table \* ARABIC ">
        <w:r w:rsidR="00FF7BA0">
          <w:rPr>
            <w:noProof/>
          </w:rPr>
          <w:t>9</w:t>
        </w:r>
      </w:fldSimple>
      <w:bookmarkEnd w:id="51"/>
      <w:r w:rsidR="008C0C8B">
        <w:t>:</w:t>
      </w:r>
      <w:r w:rsidRPr="0002160E">
        <w:t xml:space="preserve"> </w:t>
      </w:r>
      <w:r>
        <w:t xml:space="preserve">Subgroup of supportive </w:t>
      </w:r>
      <w:r w:rsidR="00636D0A" w:rsidRPr="00636D0A">
        <w:t>immunosuppressive therapy</w:t>
      </w:r>
      <w:r>
        <w:t xml:space="preserve"> use at Baseline for patients with historical use of </w:t>
      </w:r>
      <w:r w:rsidR="00FB05AF">
        <w:t>r</w:t>
      </w:r>
      <w:r>
        <w:t xml:space="preserve">ituximab (full analysis set with historical use of </w:t>
      </w:r>
      <w:r w:rsidR="00FB05AF">
        <w:t>r</w:t>
      </w:r>
      <w:r>
        <w:t>ituximab)</w:t>
      </w:r>
    </w:p>
    <w:p w14:paraId="38A1F92D" w14:textId="58437183" w:rsidR="0002160E" w:rsidRDefault="0002160E" w:rsidP="005027F0">
      <w:r w:rsidRPr="0002160E">
        <w:rPr>
          <w:noProof/>
          <w:lang w:eastAsia="en-AU"/>
        </w:rPr>
        <w:drawing>
          <wp:inline distT="0" distB="0" distL="0" distR="0" wp14:anchorId="5FB6F81B" wp14:editId="6EBEF943">
            <wp:extent cx="5201376" cy="2743583"/>
            <wp:effectExtent l="0" t="0" r="0" b="0"/>
            <wp:docPr id="6" name="Picture 6" descr="Subgroup of supportive IST use at Baseline for patients with historical use of Rituximab (full analysis set with historical use of Rituxim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201376" cy="2743583"/>
                    </a:xfrm>
                    <a:prstGeom prst="rect">
                      <a:avLst/>
                    </a:prstGeom>
                  </pic:spPr>
                </pic:pic>
              </a:graphicData>
            </a:graphic>
          </wp:inline>
        </w:drawing>
      </w:r>
    </w:p>
    <w:p w14:paraId="2E669013" w14:textId="2B63FE0E" w:rsidR="0002160E" w:rsidRPr="00573B95" w:rsidRDefault="0002160E" w:rsidP="0002160E">
      <w:pPr>
        <w:pStyle w:val="TableDescription"/>
      </w:pPr>
      <w:r>
        <w:t>Source: Study ECU-NMO-301, Table 353.</w:t>
      </w:r>
    </w:p>
    <w:p w14:paraId="25954AFA" w14:textId="08AD4FB1" w:rsidR="007D53B6" w:rsidRDefault="007D53B6" w:rsidP="007D53B6">
      <w:pPr>
        <w:pStyle w:val="Heading4"/>
      </w:pPr>
      <w:r>
        <w:t>Request for independent expert advice</w:t>
      </w:r>
    </w:p>
    <w:p w14:paraId="7BD6E0EF" w14:textId="72285A79" w:rsidR="00F06E68" w:rsidRPr="00F06E68" w:rsidRDefault="00F06E68" w:rsidP="00251F1C">
      <w:r>
        <w:t>The Delegate sought and received independent expert clinical advice on the following.</w:t>
      </w:r>
    </w:p>
    <w:p w14:paraId="5B6ADB25" w14:textId="78EAFE88" w:rsidR="00D65DDC" w:rsidRDefault="00D65DDC" w:rsidP="00573B95">
      <w:pPr>
        <w:pStyle w:val="Numberbullet0"/>
        <w:numPr>
          <w:ilvl w:val="0"/>
          <w:numId w:val="36"/>
        </w:numPr>
        <w:rPr>
          <w:b/>
          <w:i/>
        </w:rPr>
      </w:pPr>
      <w:r w:rsidRPr="00573B95">
        <w:rPr>
          <w:b/>
          <w:i/>
        </w:rPr>
        <w:t xml:space="preserve">Rituximab and </w:t>
      </w:r>
      <w:proofErr w:type="spellStart"/>
      <w:r w:rsidR="00FB05AF">
        <w:rPr>
          <w:b/>
          <w:i/>
        </w:rPr>
        <w:t>m</w:t>
      </w:r>
      <w:r w:rsidRPr="00573B95">
        <w:rPr>
          <w:b/>
          <w:i/>
        </w:rPr>
        <w:t>itoxantrone</w:t>
      </w:r>
      <w:proofErr w:type="spellEnd"/>
      <w:r w:rsidRPr="00573B95">
        <w:rPr>
          <w:b/>
          <w:i/>
        </w:rPr>
        <w:t xml:space="preserve"> were not permitted as background therapies in the pivotal study. Please comment on the external validity (whether this approach will have an implication on the treatment parad</w:t>
      </w:r>
      <w:r w:rsidR="009401B9" w:rsidRPr="00573B95">
        <w:rPr>
          <w:b/>
          <w:i/>
        </w:rPr>
        <w:t>igm of NMOSD) of this approach.</w:t>
      </w:r>
    </w:p>
    <w:p w14:paraId="5FBC9BE2" w14:textId="573A4939" w:rsidR="009666A6" w:rsidRPr="009666A6" w:rsidRDefault="009666A6" w:rsidP="00251F1C">
      <w:r w:rsidRPr="009666A6">
        <w:t xml:space="preserve">The approach of </w:t>
      </w:r>
      <w:r w:rsidR="00F06E68">
        <w:t>r</w:t>
      </w:r>
      <w:r w:rsidRPr="009666A6">
        <w:t xml:space="preserve">ituximab and </w:t>
      </w:r>
      <w:proofErr w:type="spellStart"/>
      <w:r w:rsidR="00F06E68">
        <w:t>m</w:t>
      </w:r>
      <w:r w:rsidRPr="009666A6">
        <w:t>itoxantrone</w:t>
      </w:r>
      <w:proofErr w:type="spellEnd"/>
      <w:r w:rsidRPr="009666A6">
        <w:t xml:space="preserve"> not being permitted as background therapies in the pivotal study is considered as externally valid. It would not have any implications on the study findings.</w:t>
      </w:r>
    </w:p>
    <w:p w14:paraId="4B56BF80" w14:textId="77777777" w:rsidR="009666A6" w:rsidRDefault="00D65DDC" w:rsidP="009666A6">
      <w:pPr>
        <w:pStyle w:val="Numberbullet0"/>
        <w:rPr>
          <w:b/>
          <w:i/>
        </w:rPr>
      </w:pPr>
      <w:r w:rsidRPr="00573B95">
        <w:rPr>
          <w:b/>
          <w:i/>
        </w:rPr>
        <w:t>Please comment on the potential benefits of establishing registry for patients with NMOSD.</w:t>
      </w:r>
    </w:p>
    <w:p w14:paraId="7B9BEE67" w14:textId="06D448AA" w:rsidR="009666A6" w:rsidRPr="00573B95" w:rsidRDefault="009666A6" w:rsidP="00251F1C">
      <w:pPr>
        <w:rPr>
          <w:b/>
          <w:i/>
        </w:rPr>
      </w:pPr>
      <w:r w:rsidRPr="00534599">
        <w:t>Establishing a NMOSD patient registry would be a good initiatives. Potential benefits includes long term safety data.</w:t>
      </w:r>
    </w:p>
    <w:p w14:paraId="3D1F6B65" w14:textId="205974B0" w:rsidR="00D65DDC" w:rsidRDefault="00D65DDC" w:rsidP="00573B95">
      <w:pPr>
        <w:pStyle w:val="Numberbullet0"/>
        <w:rPr>
          <w:b/>
          <w:i/>
        </w:rPr>
      </w:pPr>
      <w:r w:rsidRPr="00573B95">
        <w:rPr>
          <w:b/>
          <w:i/>
        </w:rPr>
        <w:lastRenderedPageBreak/>
        <w:t>Considering the incidence of NMOSD in children, what is your opinion to have the age limit (&gt;</w:t>
      </w:r>
      <w:r w:rsidR="008F01FB" w:rsidRPr="00573B95">
        <w:rPr>
          <w:b/>
          <w:i/>
        </w:rPr>
        <w:t xml:space="preserve"> </w:t>
      </w:r>
      <w:r w:rsidRPr="00573B95">
        <w:rPr>
          <w:b/>
          <w:i/>
        </w:rPr>
        <w:t>18 years) to be mentioned in the proposed indication (</w:t>
      </w:r>
      <w:r w:rsidR="00FB05AF">
        <w:rPr>
          <w:b/>
          <w:i/>
        </w:rPr>
        <w:t>t</w:t>
      </w:r>
      <w:r w:rsidRPr="00573B95">
        <w:rPr>
          <w:b/>
          <w:i/>
        </w:rPr>
        <w:t>he pivotal study was conducted in adults)?</w:t>
      </w:r>
    </w:p>
    <w:p w14:paraId="60F009E4" w14:textId="5AD55561" w:rsidR="009666A6" w:rsidRPr="009666A6" w:rsidRDefault="009666A6" w:rsidP="00251F1C">
      <w:r w:rsidRPr="00534599">
        <w:t>It will be appropriate to have age limit (&gt;</w:t>
      </w:r>
      <w:r>
        <w:t xml:space="preserve"> </w:t>
      </w:r>
      <w:r w:rsidRPr="00534599">
        <w:t>18 years) mentioned in the proposed indication.</w:t>
      </w:r>
    </w:p>
    <w:p w14:paraId="034A04F7" w14:textId="14BA19A2" w:rsidR="00D65DDC" w:rsidRPr="009666A6" w:rsidRDefault="00D65DDC" w:rsidP="00573B95">
      <w:pPr>
        <w:pStyle w:val="Numberbullet0"/>
        <w:rPr>
          <w:b/>
          <w:bCs/>
          <w:i/>
        </w:rPr>
      </w:pPr>
      <w:r w:rsidRPr="00573B95">
        <w:rPr>
          <w:b/>
          <w:i/>
        </w:rPr>
        <w:t xml:space="preserve">What is your opinion regarding when and how to re-consider continued use of </w:t>
      </w:r>
      <w:proofErr w:type="spellStart"/>
      <w:r w:rsidRPr="00573B95">
        <w:rPr>
          <w:b/>
          <w:i/>
        </w:rPr>
        <w:t>eculizumab</w:t>
      </w:r>
      <w:proofErr w:type="spellEnd"/>
      <w:r w:rsidRPr="00573B95">
        <w:rPr>
          <w:b/>
          <w:i/>
        </w:rPr>
        <w:t xml:space="preserve"> for the treatment of AQP-4 </w:t>
      </w:r>
      <w:r w:rsidR="00FB05AF">
        <w:rPr>
          <w:b/>
          <w:i/>
        </w:rPr>
        <w:t xml:space="preserve">autoantibody </w:t>
      </w:r>
      <w:r w:rsidRPr="00573B95">
        <w:rPr>
          <w:b/>
          <w:i/>
        </w:rPr>
        <w:t>pos</w:t>
      </w:r>
      <w:r w:rsidR="00573B95" w:rsidRPr="00573B95">
        <w:rPr>
          <w:b/>
          <w:i/>
        </w:rPr>
        <w:t>itive patients with NMOSD</w:t>
      </w:r>
      <w:r w:rsidR="00FB05AF">
        <w:rPr>
          <w:b/>
          <w:i/>
        </w:rPr>
        <w:t>?</w:t>
      </w:r>
      <w:r w:rsidR="00573B95" w:rsidRPr="00573B95">
        <w:rPr>
          <w:b/>
          <w:i/>
        </w:rPr>
        <w:t xml:space="preserve"> S</w:t>
      </w:r>
      <w:r w:rsidRPr="00573B95">
        <w:rPr>
          <w:b/>
          <w:i/>
        </w:rPr>
        <w:t>tudy ECU-NMO-301 was not designed to examine this aspect.</w:t>
      </w:r>
    </w:p>
    <w:p w14:paraId="2FE48C31" w14:textId="571F8417" w:rsidR="009666A6" w:rsidRPr="009666A6" w:rsidRDefault="009666A6" w:rsidP="00251F1C">
      <w:r w:rsidRPr="00534599">
        <w:t>It would be a case-by-case basis approach. Multiple factors such as treatment response</w:t>
      </w:r>
      <w:r>
        <w:t>,</w:t>
      </w:r>
      <w:r w:rsidRPr="00534599">
        <w:t xml:space="preserve"> would need to be taken into consideration to determine when and how to re-consider the use of </w:t>
      </w:r>
      <w:proofErr w:type="spellStart"/>
      <w:r w:rsidRPr="00534599">
        <w:t>eculizumab</w:t>
      </w:r>
      <w:proofErr w:type="spellEnd"/>
      <w:r w:rsidRPr="00534599">
        <w:t xml:space="preserve"> for treatment of AQP-4 </w:t>
      </w:r>
      <w:r w:rsidR="00FB05AF">
        <w:t xml:space="preserve">autoantibody </w:t>
      </w:r>
      <w:r w:rsidRPr="00534599">
        <w:t>positive patients with NMOSD.</w:t>
      </w:r>
    </w:p>
    <w:p w14:paraId="60C515FE" w14:textId="1360CAA0" w:rsidR="008E7846" w:rsidRDefault="008E7846" w:rsidP="00D65DDC">
      <w:pPr>
        <w:pStyle w:val="Heading4"/>
      </w:pPr>
      <w:r>
        <w:t xml:space="preserve">Advisory Committee </w:t>
      </w:r>
      <w:r w:rsidR="007D53B6">
        <w:t>c</w:t>
      </w:r>
      <w:r>
        <w:t>onsiderations</w:t>
      </w:r>
      <w:r w:rsidR="00456765">
        <w:rPr>
          <w:rStyle w:val="FootnoteReference"/>
        </w:rPr>
        <w:footnoteReference w:id="20"/>
      </w:r>
    </w:p>
    <w:p w14:paraId="3132D97F" w14:textId="77777777" w:rsidR="007D53B6" w:rsidRPr="007D53B6" w:rsidRDefault="007D53B6" w:rsidP="007D53B6">
      <w:r w:rsidRPr="007D53B6">
        <w:t>The Delegate did not refer this application to the Advisory Committee on Medicines (ACM) for advice.</w:t>
      </w:r>
    </w:p>
    <w:p w14:paraId="3F6333A1" w14:textId="77777777" w:rsidR="008E7846" w:rsidRPr="002E238E" w:rsidRDefault="008E7846" w:rsidP="008E7846">
      <w:pPr>
        <w:pStyle w:val="Heading3"/>
      </w:pPr>
      <w:bookmarkStart w:id="52" w:name="_Toc247691532"/>
      <w:bookmarkStart w:id="53" w:name="_Toc314842516"/>
      <w:bookmarkStart w:id="54" w:name="_Toc57794892"/>
      <w:bookmarkEnd w:id="29"/>
      <w:bookmarkEnd w:id="44"/>
      <w:bookmarkEnd w:id="45"/>
      <w:r>
        <w:t>Outcome</w:t>
      </w:r>
      <w:bookmarkEnd w:id="52"/>
      <w:bookmarkEnd w:id="53"/>
      <w:bookmarkEnd w:id="54"/>
    </w:p>
    <w:p w14:paraId="5BC06D52" w14:textId="16D22DFC" w:rsidR="007D53B6" w:rsidRDefault="007D53B6" w:rsidP="007D53B6">
      <w:bookmarkStart w:id="55" w:name="_Toc247691533"/>
      <w:bookmarkStart w:id="56" w:name="_Toc314842517"/>
      <w:r>
        <w:t>Based on a review of quality, safety and efficacy,</w:t>
      </w:r>
      <w:r w:rsidR="00FB05AF">
        <w:t xml:space="preserve"> the</w:t>
      </w:r>
      <w:r>
        <w:t xml:space="preserve"> TG</w:t>
      </w:r>
      <w:r w:rsidR="009D796D">
        <w:t xml:space="preserve">A approved the registration of </w:t>
      </w:r>
      <w:proofErr w:type="spellStart"/>
      <w:r w:rsidR="009D796D">
        <w:t>Soliri</w:t>
      </w:r>
      <w:r w:rsidR="00D72965">
        <w:t>s</w:t>
      </w:r>
      <w:proofErr w:type="spellEnd"/>
      <w:r w:rsidR="00D72965">
        <w:t xml:space="preserve"> (</w:t>
      </w:r>
      <w:proofErr w:type="spellStart"/>
      <w:r w:rsidR="00D72965">
        <w:t>eculizumab</w:t>
      </w:r>
      <w:proofErr w:type="spellEnd"/>
      <w:r w:rsidR="00D72965">
        <w:t xml:space="preserve"> rmc</w:t>
      </w:r>
      <w:r w:rsidR="009D796D">
        <w:t>) for 300 mg intravenous infusion</w:t>
      </w:r>
      <w:r>
        <w:t>, indicated for the following extension of indications:</w:t>
      </w:r>
    </w:p>
    <w:p w14:paraId="58F06DD1" w14:textId="624BA968" w:rsidR="009D796D" w:rsidRPr="009D796D" w:rsidRDefault="009D796D" w:rsidP="009D796D">
      <w:pPr>
        <w:ind w:left="720"/>
        <w:rPr>
          <w:i/>
        </w:rPr>
      </w:pPr>
      <w:r w:rsidRPr="009D796D">
        <w:rPr>
          <w:i/>
        </w:rPr>
        <w:t>Adult patients with Neuromyelitis Optica Spectrum Disorder (NMOSD) who are anti-aquaporin-4 (AQP4) antibody-positive.</w:t>
      </w:r>
    </w:p>
    <w:p w14:paraId="1AB1D0AE" w14:textId="33A110C7" w:rsidR="009D796D" w:rsidRPr="009D796D" w:rsidRDefault="009D796D" w:rsidP="009D796D">
      <w:pPr>
        <w:ind w:firstLine="720"/>
        <w:rPr>
          <w:i/>
        </w:rPr>
      </w:pPr>
      <w:proofErr w:type="spellStart"/>
      <w:r w:rsidRPr="009D796D">
        <w:rPr>
          <w:i/>
        </w:rPr>
        <w:t>Soliris</w:t>
      </w:r>
      <w:proofErr w:type="spellEnd"/>
      <w:r w:rsidRPr="009D796D">
        <w:rPr>
          <w:i/>
        </w:rPr>
        <w:t xml:space="preserve"> is not intended for acute treat</w:t>
      </w:r>
      <w:r>
        <w:rPr>
          <w:i/>
        </w:rPr>
        <w:t>ment of a NMOSD relapse.</w:t>
      </w:r>
    </w:p>
    <w:p w14:paraId="3F462E21" w14:textId="77777777" w:rsidR="009D796D" w:rsidRDefault="009D796D" w:rsidP="009D796D">
      <w:r>
        <w:t>As such, the full indications at this time were:</w:t>
      </w:r>
    </w:p>
    <w:p w14:paraId="29A48362" w14:textId="6F947842" w:rsidR="009D796D" w:rsidRPr="009D796D" w:rsidRDefault="009D796D" w:rsidP="00251F1C">
      <w:pPr>
        <w:ind w:left="360"/>
        <w:rPr>
          <w:i/>
        </w:rPr>
      </w:pPr>
      <w:proofErr w:type="spellStart"/>
      <w:r w:rsidRPr="009D796D">
        <w:rPr>
          <w:i/>
        </w:rPr>
        <w:t>Soliris</w:t>
      </w:r>
      <w:proofErr w:type="spellEnd"/>
      <w:r w:rsidRPr="009D796D">
        <w:rPr>
          <w:i/>
        </w:rPr>
        <w:t xml:space="preserve"> is indicated for the treatment of patients with:</w:t>
      </w:r>
    </w:p>
    <w:p w14:paraId="275103AC" w14:textId="6CA5D50C" w:rsidR="009D796D" w:rsidRPr="00251F1C" w:rsidRDefault="009D796D" w:rsidP="00251F1C">
      <w:pPr>
        <w:pStyle w:val="ListBullet"/>
        <w:ind w:left="720"/>
        <w:rPr>
          <w:i/>
        </w:rPr>
      </w:pPr>
      <w:r w:rsidRPr="00251F1C">
        <w:rPr>
          <w:i/>
        </w:rPr>
        <w:t>Paroxysmal Nocturnal Haemoglobinuria (PNH) to reduce haemolysis.</w:t>
      </w:r>
    </w:p>
    <w:p w14:paraId="6A069262" w14:textId="42E0C1DB" w:rsidR="009D796D" w:rsidRPr="00251F1C" w:rsidRDefault="009D796D" w:rsidP="00251F1C">
      <w:pPr>
        <w:pStyle w:val="ListBullet"/>
        <w:ind w:left="720"/>
        <w:rPr>
          <w:i/>
        </w:rPr>
      </w:pPr>
      <w:r w:rsidRPr="00251F1C">
        <w:rPr>
          <w:i/>
        </w:rPr>
        <w:t>atypical Haemolytic Uraemic Syndrome (</w:t>
      </w:r>
      <w:proofErr w:type="spellStart"/>
      <w:r w:rsidRPr="00251F1C">
        <w:rPr>
          <w:i/>
        </w:rPr>
        <w:t>aHUS</w:t>
      </w:r>
      <w:proofErr w:type="spellEnd"/>
      <w:r w:rsidRPr="00251F1C">
        <w:rPr>
          <w:i/>
        </w:rPr>
        <w:t>).</w:t>
      </w:r>
    </w:p>
    <w:p w14:paraId="192A9C96" w14:textId="2E7DCC3A" w:rsidR="009D796D" w:rsidRPr="00251F1C" w:rsidRDefault="009D796D" w:rsidP="00251F1C">
      <w:pPr>
        <w:pStyle w:val="ListBullet"/>
        <w:ind w:left="720"/>
        <w:rPr>
          <w:i/>
        </w:rPr>
      </w:pPr>
      <w:r w:rsidRPr="00251F1C">
        <w:rPr>
          <w:i/>
        </w:rPr>
        <w:t>Adult patients with Neuromyelitis Optica Spectrum Disorder (NMOSD) who are anti-aquaporin-4 (AQP4) antibody-positive.</w:t>
      </w:r>
    </w:p>
    <w:p w14:paraId="002EC7B9" w14:textId="5A3DBB0F" w:rsidR="007D53B6" w:rsidRPr="009D796D" w:rsidRDefault="009D796D" w:rsidP="00251F1C">
      <w:pPr>
        <w:ind w:left="360"/>
        <w:rPr>
          <w:i/>
        </w:rPr>
      </w:pPr>
      <w:proofErr w:type="spellStart"/>
      <w:r w:rsidRPr="009D796D">
        <w:rPr>
          <w:i/>
        </w:rPr>
        <w:t>Soliris</w:t>
      </w:r>
      <w:proofErr w:type="spellEnd"/>
      <w:r w:rsidRPr="009D796D">
        <w:rPr>
          <w:i/>
        </w:rPr>
        <w:t xml:space="preserve"> is not intended for acut</w:t>
      </w:r>
      <w:r>
        <w:rPr>
          <w:i/>
        </w:rPr>
        <w:t>e treatment of a NMOSD relapse.</w:t>
      </w:r>
    </w:p>
    <w:p w14:paraId="0182EB38" w14:textId="77777777" w:rsidR="00D23139" w:rsidRPr="00D23139" w:rsidRDefault="00D23139" w:rsidP="00D23139">
      <w:pPr>
        <w:pStyle w:val="Heading4"/>
      </w:pPr>
      <w:r w:rsidRPr="00D23139">
        <w:t>Specific conditions of registration applying to these goods</w:t>
      </w:r>
    </w:p>
    <w:p w14:paraId="50486049" w14:textId="6928BD0E" w:rsidR="006A1A03" w:rsidRPr="006A1A03" w:rsidRDefault="006A1A03" w:rsidP="006A1A03">
      <w:pPr>
        <w:pStyle w:val="ListBullet"/>
      </w:pPr>
      <w:proofErr w:type="spellStart"/>
      <w:r w:rsidRPr="006A1A03">
        <w:t>S</w:t>
      </w:r>
      <w:r w:rsidR="00D72965">
        <w:t>oliris</w:t>
      </w:r>
      <w:proofErr w:type="spellEnd"/>
      <w:r w:rsidR="00497721">
        <w:t xml:space="preserve"> (</w:t>
      </w:r>
      <w:proofErr w:type="spellStart"/>
      <w:r w:rsidR="00497721">
        <w:t>eculizumab</w:t>
      </w:r>
      <w:proofErr w:type="spellEnd"/>
      <w:r w:rsidRPr="006A1A03">
        <w:t xml:space="preserve">) is to be included in the Black Triangle Scheme. The PI, CMI and all additional risk minimisation materials for </w:t>
      </w:r>
      <w:proofErr w:type="spellStart"/>
      <w:r w:rsidRPr="006A1A03">
        <w:t>S</w:t>
      </w:r>
      <w:r>
        <w:t>oliris</w:t>
      </w:r>
      <w:proofErr w:type="spellEnd"/>
      <w:r>
        <w:t xml:space="preserve"> </w:t>
      </w:r>
      <w:r w:rsidRPr="006A1A03">
        <w:t>must include the black triangle symbol and mandatory accompanying text for five years, which starts from the date the new indication is registered.</w:t>
      </w:r>
    </w:p>
    <w:p w14:paraId="03A2C38A" w14:textId="7B26534C" w:rsidR="006A1A03" w:rsidRPr="006A1A03" w:rsidRDefault="006A1A03" w:rsidP="006A1A03">
      <w:pPr>
        <w:pStyle w:val="ListBullet"/>
      </w:pPr>
      <w:r w:rsidRPr="006A1A03">
        <w:lastRenderedPageBreak/>
        <w:t xml:space="preserve">The </w:t>
      </w:r>
      <w:proofErr w:type="spellStart"/>
      <w:r w:rsidRPr="006A1A03">
        <w:t>S</w:t>
      </w:r>
      <w:r w:rsidR="00D72965">
        <w:t>oliris</w:t>
      </w:r>
      <w:proofErr w:type="spellEnd"/>
      <w:r w:rsidRPr="006A1A03">
        <w:t xml:space="preserve"> EU-Risk Management Plan (RMP) (version 19.3, dated 22 July 2019, data lock point 30 September 2018), with Australian Specific Annex (version 6.1, dated 23 March 2020), included with submission PM-2019-04825-1-1, and any subsequent revisions, as agreed with the TGA will be implemented in Australia.</w:t>
      </w:r>
    </w:p>
    <w:p w14:paraId="163431A5" w14:textId="77777777" w:rsidR="006A1A03" w:rsidRPr="006A1A03" w:rsidRDefault="006A1A03" w:rsidP="00251F1C">
      <w:pPr>
        <w:pStyle w:val="ListBullet"/>
        <w:numPr>
          <w:ilvl w:val="0"/>
          <w:numId w:val="0"/>
        </w:numPr>
        <w:ind w:left="360"/>
      </w:pPr>
      <w:r w:rsidRPr="006A1A03">
        <w:t>An obligatory component of risk management plans is routine pharmacovigilance. Routine pharmacovigilance includes the submission of periodic safety update reports (PSURs).</w:t>
      </w:r>
    </w:p>
    <w:p w14:paraId="6B61365E" w14:textId="1A0389E6" w:rsidR="006A1A03" w:rsidRPr="006A1A03" w:rsidRDefault="006A1A03" w:rsidP="00251F1C">
      <w:pPr>
        <w:pStyle w:val="ListBullet"/>
        <w:numPr>
          <w:ilvl w:val="0"/>
          <w:numId w:val="0"/>
        </w:numPr>
        <w:ind w:left="360"/>
      </w:pPr>
      <w:r w:rsidRPr="006A1A03">
        <w:t xml:space="preserve">Reports are to be provided in line with the current published list of EU reference dates and frequency of submission of PSURs until the period covered by such reports is not less than three years from the date of </w:t>
      </w:r>
      <w:r w:rsidR="00F06E68" w:rsidRPr="006A1A03">
        <w:t>t</w:t>
      </w:r>
      <w:r w:rsidR="00F06E68">
        <w:t>he</w:t>
      </w:r>
      <w:r w:rsidR="00F06E68" w:rsidRPr="006A1A03">
        <w:t xml:space="preserve"> </w:t>
      </w:r>
      <w:r w:rsidRPr="006A1A03">
        <w:t>approval letter.</w:t>
      </w:r>
    </w:p>
    <w:p w14:paraId="0B6FB388" w14:textId="66B7E92A" w:rsidR="006A1A03" w:rsidRDefault="006A1A03" w:rsidP="00251F1C">
      <w:pPr>
        <w:pStyle w:val="ListBullet"/>
        <w:numPr>
          <w:ilvl w:val="0"/>
          <w:numId w:val="0"/>
        </w:numPr>
        <w:ind w:left="360"/>
      </w:pPr>
      <w:r w:rsidRPr="006A1A03">
        <w:t>The reports are to at least meet the requirements for PSURs as described in the European Medicines Agency’s Guideline on good pharmacovigilance practices (GVP) Module VII-periodic safety update report (Rev 1), Part VII.B Structures and processes. Note that submission of a PSUR does not constitute an application to vary the registration.</w:t>
      </w:r>
    </w:p>
    <w:p w14:paraId="18B4EF4F" w14:textId="6C58B25A" w:rsidR="009752A5" w:rsidRDefault="006A1A03" w:rsidP="009752A5">
      <w:pPr>
        <w:pStyle w:val="ListBullet"/>
      </w:pPr>
      <w:r>
        <w:t>For all injectable products the PI must be included with the product as a package insert.</w:t>
      </w:r>
    </w:p>
    <w:p w14:paraId="704D5934" w14:textId="77777777" w:rsidR="008E7846" w:rsidRDefault="00A80B5B" w:rsidP="00D23139">
      <w:pPr>
        <w:pStyle w:val="Heading2"/>
      </w:pPr>
      <w:bookmarkStart w:id="57" w:name="_Toc57794893"/>
      <w:r>
        <w:t xml:space="preserve">Attachment 1. </w:t>
      </w:r>
      <w:r w:rsidR="008E7846">
        <w:t xml:space="preserve">Product </w:t>
      </w:r>
      <w:r w:rsidR="00AA0ED0">
        <w:t>I</w:t>
      </w:r>
      <w:r w:rsidR="008E7846">
        <w:t>nformation</w:t>
      </w:r>
      <w:bookmarkEnd w:id="55"/>
      <w:bookmarkEnd w:id="56"/>
      <w:bookmarkEnd w:id="57"/>
    </w:p>
    <w:p w14:paraId="5CADD5D9" w14:textId="55D5C101" w:rsidR="00291957" w:rsidRPr="00F92D05" w:rsidRDefault="006136D7" w:rsidP="00F92D05">
      <w:pPr>
        <w:rPr>
          <w:color w:val="000000"/>
          <w:lang w:eastAsia="en-AU"/>
        </w:rPr>
      </w:pPr>
      <w:r w:rsidRPr="002B3624">
        <w:t xml:space="preserve">The </w:t>
      </w:r>
      <w:r>
        <w:t>PI</w:t>
      </w:r>
      <w:r w:rsidR="006A1A03">
        <w:t xml:space="preserve"> for </w:t>
      </w:r>
      <w:proofErr w:type="spellStart"/>
      <w:r w:rsidR="006A1A03">
        <w:t>S</w:t>
      </w:r>
      <w:r w:rsidR="00D72965">
        <w:t>oliris</w:t>
      </w:r>
      <w:proofErr w:type="spellEnd"/>
      <w:r w:rsidRPr="002B3624">
        <w:t xml:space="preserve"> </w:t>
      </w:r>
      <w:r>
        <w:t xml:space="preserve">approved with the submission which is described in </w:t>
      </w:r>
      <w:r w:rsidRPr="002B3624">
        <w:t xml:space="preserve">this AusPAR is at Attachment 1. For the most recent </w:t>
      </w:r>
      <w:r>
        <w:t>PI,</w:t>
      </w:r>
      <w:r w:rsidRPr="002B3624">
        <w:t xml:space="preserve"> please refer to the </w:t>
      </w:r>
      <w:r w:rsidRPr="007C6B9B">
        <w:t xml:space="preserve">TGA website at </w:t>
      </w:r>
      <w:r w:rsidR="007C6B9B" w:rsidRPr="007C6B9B">
        <w:t>&lt;</w:t>
      </w:r>
      <w:hyperlink r:id="rId24" w:history="1">
        <w:r w:rsidR="007C6B9B" w:rsidRPr="007C6B9B">
          <w:rPr>
            <w:rStyle w:val="Hyperlink"/>
          </w:rPr>
          <w:t>https://www.tga.gov.au/product-information-pi</w:t>
        </w:r>
      </w:hyperlink>
      <w:r w:rsidR="006A1A03">
        <w:t>&gt;.</w:t>
      </w:r>
    </w:p>
    <w:p w14:paraId="13F1BBB4" w14:textId="77777777" w:rsidR="00C80137" w:rsidRPr="001D043B" w:rsidRDefault="00C80137" w:rsidP="003A7F6C">
      <w:pPr>
        <w:pStyle w:val="TableTitle"/>
        <w:sectPr w:rsidR="00C80137" w:rsidRPr="001D043B" w:rsidSect="00B452CE">
          <w:headerReference w:type="even" r:id="rId25"/>
          <w:headerReference w:type="default" r:id="rId26"/>
          <w:headerReference w:type="first" r:id="rId27"/>
          <w:footerReference w:type="first" r:id="rId28"/>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14:paraId="01E61AB8" w14:textId="77777777" w:rsidTr="00A05FA4">
        <w:trPr>
          <w:trHeight w:hRule="exact" w:val="704"/>
        </w:trPr>
        <w:tc>
          <w:tcPr>
            <w:tcW w:w="9175" w:type="dxa"/>
          </w:tcPr>
          <w:p w14:paraId="3BBAA203" w14:textId="77777777" w:rsidR="001C32CD" w:rsidRPr="00487162" w:rsidRDefault="001C32CD" w:rsidP="00A05FA4">
            <w:pPr>
              <w:pStyle w:val="TGASignoff"/>
            </w:pPr>
            <w:r w:rsidRPr="00487162">
              <w:lastRenderedPageBreak/>
              <w:t>Therapeutic Goods Administration</w:t>
            </w:r>
          </w:p>
        </w:tc>
      </w:tr>
      <w:tr w:rsidR="001C32CD" w:rsidRPr="004C239D" w14:paraId="36B01006" w14:textId="77777777" w:rsidTr="00A05FA4">
        <w:trPr>
          <w:trHeight w:val="1221"/>
        </w:trPr>
        <w:tc>
          <w:tcPr>
            <w:tcW w:w="9175" w:type="dxa"/>
            <w:tcMar>
              <w:top w:w="28" w:type="dxa"/>
            </w:tcMar>
          </w:tcPr>
          <w:p w14:paraId="739BBF36" w14:textId="77777777" w:rsidR="001C32CD" w:rsidRPr="00487162" w:rsidRDefault="001C32CD" w:rsidP="00A05FA4">
            <w:pPr>
              <w:pStyle w:val="Address"/>
            </w:pPr>
            <w:r w:rsidRPr="00487162">
              <w:t>PO Box 100 Woden ACT 2606 Australia</w:t>
            </w:r>
          </w:p>
          <w:p w14:paraId="39036791" w14:textId="045A2513" w:rsidR="001C32CD" w:rsidRPr="00487162" w:rsidRDefault="001C32CD" w:rsidP="00A05FA4">
            <w:pPr>
              <w:pStyle w:val="Address"/>
            </w:pPr>
            <w:r w:rsidRPr="00487162">
              <w:t xml:space="preserve">Email: </w:t>
            </w:r>
            <w:hyperlink r:id="rId29" w:history="1">
              <w:r w:rsidRPr="004C239D">
                <w:rPr>
                  <w:rStyle w:val="Hyperlink"/>
                </w:rPr>
                <w:t>info@tga.gov.au</w:t>
              </w:r>
            </w:hyperlink>
            <w:r w:rsidRPr="00487162">
              <w:t xml:space="preserve">  Phone: 1800 020 653  Fax: 02 6232 8605</w:t>
            </w:r>
          </w:p>
          <w:p w14:paraId="52A8F446" w14:textId="114CF7FD" w:rsidR="001C32CD" w:rsidRPr="004C239D" w:rsidRDefault="005027F0" w:rsidP="00A05FA4">
            <w:pPr>
              <w:pStyle w:val="Address"/>
              <w:spacing w:line="260" w:lineRule="atLeast"/>
              <w:rPr>
                <w:b/>
                <w:color w:val="0000FF"/>
                <w:u w:val="single"/>
              </w:rPr>
            </w:pPr>
            <w:hyperlink r:id="rId30" w:history="1">
              <w:r w:rsidR="007C6B9B" w:rsidRPr="007C6B9B">
                <w:rPr>
                  <w:rStyle w:val="Hyperlink"/>
                  <w:b/>
                </w:rPr>
                <w:t>https://www.tga.gov.au</w:t>
              </w:r>
            </w:hyperlink>
          </w:p>
        </w:tc>
      </w:tr>
    </w:tbl>
    <w:p w14:paraId="1B6393EB" w14:textId="77777777" w:rsidR="00774E1D" w:rsidRPr="008A5E0B" w:rsidRDefault="00774E1D" w:rsidP="004C239D"/>
    <w:sectPr w:rsidR="00774E1D" w:rsidRPr="008A5E0B" w:rsidSect="001C32CD">
      <w:headerReference w:type="even" r:id="rId31"/>
      <w:headerReference w:type="default" r:id="rId32"/>
      <w:footerReference w:type="default" r:id="rId33"/>
      <w:headerReference w:type="first" r:id="rId34"/>
      <w:footerReference w:type="first" r:id="rId35"/>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C8593F" w14:textId="77777777" w:rsidR="00A353BE" w:rsidRDefault="00A353BE" w:rsidP="00C40A36">
      <w:pPr>
        <w:spacing w:after="0"/>
      </w:pPr>
      <w:r>
        <w:separator/>
      </w:r>
    </w:p>
  </w:endnote>
  <w:endnote w:type="continuationSeparator" w:id="0">
    <w:p w14:paraId="6F3A5D7A" w14:textId="77777777" w:rsidR="00A353BE" w:rsidRDefault="00A353BE"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A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Wingdings 3">
    <w:panose1 w:val="05040102010807070707"/>
    <w:charset w:val="02"/>
    <w:family w:val="roman"/>
    <w:pitch w:val="variable"/>
    <w:sig w:usb0="00000000" w:usb1="10000000" w:usb2="00000000" w:usb3="00000000" w:csb0="80000000" w:csb1="00000000"/>
  </w:font>
  <w:font w:name="MingLiU">
    <w:altName w:val="細明體"/>
    <w:panose1 w:val="02020509000000000000"/>
    <w:charset w:val="88"/>
    <w:family w:val="modern"/>
    <w:pitch w:val="fixed"/>
    <w:sig w:usb0="A00002FF" w:usb1="2A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AB37C" w14:textId="77777777" w:rsidR="009D6289" w:rsidRDefault="009D62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A353BE" w:rsidRPr="00487162" w14:paraId="551FED50" w14:textId="77777777" w:rsidTr="00DB750B">
      <w:trPr>
        <w:trHeight w:val="269"/>
      </w:trPr>
      <w:tc>
        <w:tcPr>
          <w:tcW w:w="7371" w:type="dxa"/>
          <w:tcMar>
            <w:top w:w="142" w:type="dxa"/>
            <w:bottom w:w="0" w:type="dxa"/>
          </w:tcMar>
        </w:tcPr>
        <w:p w14:paraId="46597608" w14:textId="72B2C49E" w:rsidR="00A353BE" w:rsidRPr="00487162" w:rsidRDefault="00A353BE" w:rsidP="003A270C">
          <w:pPr>
            <w:pStyle w:val="Footer"/>
          </w:pPr>
          <w:r w:rsidRPr="00487162">
            <w:t>AusPA</w:t>
          </w:r>
          <w:r>
            <w:t xml:space="preserve">R – </w:t>
          </w:r>
          <w:proofErr w:type="spellStart"/>
          <w:r w:rsidRPr="000746FE">
            <w:t>S</w:t>
          </w:r>
          <w:r>
            <w:t>oliris</w:t>
          </w:r>
          <w:proofErr w:type="spellEnd"/>
          <w:r>
            <w:t xml:space="preserve"> – </w:t>
          </w:r>
          <w:proofErr w:type="spellStart"/>
          <w:r>
            <w:t>E</w:t>
          </w:r>
          <w:r w:rsidRPr="000746FE">
            <w:t>culizumab</w:t>
          </w:r>
          <w:proofErr w:type="spellEnd"/>
          <w:r>
            <w:t xml:space="preserve"> </w:t>
          </w:r>
          <w:r w:rsidRPr="000746FE">
            <w:t>-</w:t>
          </w:r>
          <w:r>
            <w:t xml:space="preserve"> </w:t>
          </w:r>
          <w:r w:rsidRPr="00DD71FD">
            <w:t>Alexion Pharmaceuticals Australasia Pty Ltd</w:t>
          </w:r>
          <w:r>
            <w:t xml:space="preserve"> - </w:t>
          </w:r>
          <w:r w:rsidRPr="000746FE">
            <w:t>PM-2019-04825-1-1</w:t>
          </w:r>
          <w:r w:rsidR="00FF7BA0">
            <w:br/>
            <w:t>FINAL</w:t>
          </w:r>
          <w:r w:rsidRPr="00487162">
            <w:t xml:space="preserve"> </w:t>
          </w:r>
          <w:r w:rsidR="00FF7BA0">
            <w:t>24</w:t>
          </w:r>
          <w:r>
            <w:t xml:space="preserve"> November 2020</w:t>
          </w:r>
        </w:p>
      </w:tc>
      <w:tc>
        <w:tcPr>
          <w:tcW w:w="1490" w:type="dxa"/>
          <w:tcMar>
            <w:top w:w="142" w:type="dxa"/>
            <w:bottom w:w="0" w:type="dxa"/>
          </w:tcMar>
        </w:tcPr>
        <w:p w14:paraId="7111DB88" w14:textId="43FE9B45" w:rsidR="00A353BE" w:rsidRPr="00487162" w:rsidRDefault="00A353BE" w:rsidP="00DB750B">
          <w:pPr>
            <w:pStyle w:val="Footer"/>
            <w:jc w:val="right"/>
          </w:pPr>
          <w:r w:rsidRPr="00487162">
            <w:t xml:space="preserve">Page </w:t>
          </w:r>
          <w:r>
            <w:fldChar w:fldCharType="begin"/>
          </w:r>
          <w:r>
            <w:instrText xml:space="preserve"> PAGE  \* Arabic </w:instrText>
          </w:r>
          <w:r>
            <w:fldChar w:fldCharType="separate"/>
          </w:r>
          <w:r w:rsidR="005027F0">
            <w:rPr>
              <w:noProof/>
            </w:rPr>
            <w:t>21</w:t>
          </w:r>
          <w:r>
            <w:fldChar w:fldCharType="end"/>
          </w:r>
          <w:r w:rsidRPr="00487162">
            <w:t xml:space="preserve"> of </w:t>
          </w:r>
          <w:fldSimple w:instr=" NUMPAGES  \* Arabic ">
            <w:r w:rsidR="005027F0">
              <w:rPr>
                <w:noProof/>
              </w:rPr>
              <w:t>26</w:t>
            </w:r>
          </w:fldSimple>
        </w:p>
      </w:tc>
    </w:tr>
  </w:tbl>
  <w:p w14:paraId="44DFE81C" w14:textId="77777777" w:rsidR="00A353BE" w:rsidRDefault="00A353BE" w:rsidP="003D1E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D69C3" w14:textId="77777777" w:rsidR="009D6289" w:rsidRDefault="009D628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A353BE" w:rsidRPr="00487162" w14:paraId="13F08E75" w14:textId="77777777" w:rsidTr="00E45619">
      <w:trPr>
        <w:trHeight w:val="269"/>
      </w:trPr>
      <w:tc>
        <w:tcPr>
          <w:tcW w:w="4519" w:type="dxa"/>
          <w:tcBorders>
            <w:top w:val="single" w:sz="4" w:space="0" w:color="auto"/>
          </w:tcBorders>
          <w:tcMar>
            <w:top w:w="142" w:type="dxa"/>
            <w:bottom w:w="0" w:type="dxa"/>
          </w:tcMar>
        </w:tcPr>
        <w:p w14:paraId="32432BBE" w14:textId="77777777" w:rsidR="00A353BE" w:rsidRPr="00487162" w:rsidRDefault="00A353BE" w:rsidP="00FE1DEE">
          <w:pPr>
            <w:pStyle w:val="Footer"/>
          </w:pPr>
          <w:r w:rsidRPr="00487162">
            <w:t>Document title, Part #, Section # - Section title</w:t>
          </w:r>
        </w:p>
        <w:p w14:paraId="55F1EAF8" w14:textId="77777777" w:rsidR="00A353BE" w:rsidRPr="00487162" w:rsidRDefault="00A353BE" w:rsidP="00FE1DEE">
          <w:pPr>
            <w:pStyle w:val="Footer"/>
          </w:pPr>
          <w:r w:rsidRPr="00487162">
            <w:t>V1.0 October 2010</w:t>
          </w:r>
        </w:p>
      </w:tc>
      <w:tc>
        <w:tcPr>
          <w:tcW w:w="4342" w:type="dxa"/>
          <w:tcBorders>
            <w:top w:val="single" w:sz="4" w:space="0" w:color="auto"/>
          </w:tcBorders>
          <w:tcMar>
            <w:top w:w="142" w:type="dxa"/>
            <w:bottom w:w="0" w:type="dxa"/>
          </w:tcMar>
        </w:tcPr>
        <w:p w14:paraId="3CD008DB" w14:textId="3ED050EB" w:rsidR="00A353BE" w:rsidRPr="00487162" w:rsidRDefault="00A353BE" w:rsidP="00E45619">
          <w:pPr>
            <w:pStyle w:val="Footer"/>
            <w:jc w:val="right"/>
          </w:pPr>
          <w:r w:rsidRPr="00487162">
            <w:t xml:space="preserve">Page </w:t>
          </w:r>
          <w:r>
            <w:fldChar w:fldCharType="begin"/>
          </w:r>
          <w:r>
            <w:instrText xml:space="preserve"> PAGE   \* MERGEFORMAT </w:instrText>
          </w:r>
          <w:r>
            <w:fldChar w:fldCharType="separate"/>
          </w:r>
          <w:r>
            <w:rPr>
              <w:noProof/>
            </w:rPr>
            <w:t>i</w:t>
          </w:r>
          <w:r>
            <w:rPr>
              <w:noProof/>
            </w:rPr>
            <w:fldChar w:fldCharType="end"/>
          </w:r>
          <w:r w:rsidRPr="00487162">
            <w:t xml:space="preserve"> of </w:t>
          </w:r>
          <w:fldSimple w:instr=" NUMPAGES  ">
            <w:r>
              <w:rPr>
                <w:noProof/>
              </w:rPr>
              <w:t>24</w:t>
            </w:r>
          </w:fldSimple>
        </w:p>
      </w:tc>
    </w:tr>
  </w:tbl>
  <w:p w14:paraId="0E95CA44" w14:textId="77777777" w:rsidR="00A353BE" w:rsidRDefault="00A353B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E29D9" w14:textId="77777777" w:rsidR="00A353BE" w:rsidRPr="001C32CD" w:rsidRDefault="00A353BE" w:rsidP="001C32C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A353BE" w14:paraId="55D21255" w14:textId="77777777" w:rsidTr="0010601F">
      <w:trPr>
        <w:trHeight w:val="108"/>
      </w:trPr>
      <w:tc>
        <w:tcPr>
          <w:tcW w:w="8875" w:type="dxa"/>
          <w:gridSpan w:val="2"/>
          <w:tcBorders>
            <w:bottom w:val="single" w:sz="4" w:space="0" w:color="auto"/>
          </w:tcBorders>
          <w:tcMar>
            <w:right w:w="284" w:type="dxa"/>
          </w:tcMar>
        </w:tcPr>
        <w:p w14:paraId="01F8A5F4" w14:textId="77777777" w:rsidR="00A353BE" w:rsidRDefault="00A353BE" w:rsidP="006E08B3">
          <w:pPr>
            <w:pStyle w:val="Heading3"/>
          </w:pPr>
          <w:r>
            <w:t>Copyright</w:t>
          </w:r>
        </w:p>
        <w:p w14:paraId="3B0336B1" w14:textId="77777777" w:rsidR="00A353BE" w:rsidRDefault="00A353BE" w:rsidP="006E08B3">
          <w:r>
            <w:rPr>
              <w:rFonts w:cs="Arial"/>
            </w:rPr>
            <w:t>©</w:t>
          </w:r>
          <w:r>
            <w:t xml:space="preserve"> Commonwealth of Australia [add year]</w:t>
          </w:r>
        </w:p>
        <w:p w14:paraId="0555EEDC" w14:textId="77777777" w:rsidR="00A353BE" w:rsidRDefault="00A353BE" w:rsidP="006E08B3"/>
        <w:p w14:paraId="4CB92E23" w14:textId="77777777" w:rsidR="00A353BE" w:rsidRDefault="00A353BE"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14:paraId="772BC1BD" w14:textId="77777777" w:rsidR="00A353BE" w:rsidRDefault="00A353BE" w:rsidP="006E08B3"/>
        <w:p w14:paraId="64B4655F" w14:textId="77777777" w:rsidR="00A353BE" w:rsidRDefault="00A353BE" w:rsidP="006E08B3">
          <w:pPr>
            <w:pStyle w:val="Heading3"/>
          </w:pPr>
          <w:r>
            <w:t>Confidentiality</w:t>
          </w:r>
        </w:p>
        <w:p w14:paraId="77A1D522" w14:textId="77777777" w:rsidR="00A353BE" w:rsidRDefault="00A353BE"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167A8193" w14:textId="77777777" w:rsidR="00A353BE" w:rsidRDefault="00A353BE" w:rsidP="006E08B3"/>
        <w:p w14:paraId="74C9A091" w14:textId="77777777" w:rsidR="00A353BE" w:rsidRDefault="00A353BE" w:rsidP="006E08B3">
          <w:r>
            <w:t>For submission made by individuals, all personal details, other than your name, will be removed from your submission before it is published on the TGA’s Internet site.</w:t>
          </w:r>
        </w:p>
        <w:p w14:paraId="7621D568" w14:textId="77777777" w:rsidR="00A353BE" w:rsidRDefault="00A353BE" w:rsidP="006E08B3"/>
        <w:p w14:paraId="0B04E501" w14:textId="77777777" w:rsidR="00A353BE" w:rsidRDefault="00A353BE"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A353BE" w14:paraId="3862A9FF" w14:textId="77777777" w:rsidTr="0010601F">
      <w:trPr>
        <w:trHeight w:val="417"/>
      </w:trPr>
      <w:tc>
        <w:tcPr>
          <w:tcW w:w="4519" w:type="dxa"/>
          <w:tcBorders>
            <w:top w:val="single" w:sz="4" w:space="0" w:color="auto"/>
          </w:tcBorders>
          <w:tcMar>
            <w:top w:w="142" w:type="dxa"/>
            <w:bottom w:w="0" w:type="dxa"/>
          </w:tcMar>
        </w:tcPr>
        <w:p w14:paraId="77161ED7" w14:textId="77777777" w:rsidR="00A353BE" w:rsidRDefault="00A353BE" w:rsidP="006E08B3">
          <w:r>
            <w:t>Document title, Part #, Section # - Section title</w:t>
          </w:r>
        </w:p>
        <w:p w14:paraId="26AA27C0" w14:textId="77777777" w:rsidR="00A353BE" w:rsidRDefault="00A353BE" w:rsidP="006E08B3">
          <w:r>
            <w:t>V1.0 October 2010</w:t>
          </w:r>
        </w:p>
      </w:tc>
      <w:tc>
        <w:tcPr>
          <w:tcW w:w="4356" w:type="dxa"/>
          <w:tcBorders>
            <w:top w:val="single" w:sz="4" w:space="0" w:color="auto"/>
          </w:tcBorders>
          <w:tcMar>
            <w:top w:w="142" w:type="dxa"/>
            <w:bottom w:w="0" w:type="dxa"/>
          </w:tcMar>
        </w:tcPr>
        <w:p w14:paraId="68C3BE26" w14:textId="0BBB066A" w:rsidR="00A353BE" w:rsidRDefault="00A353BE" w:rsidP="006E08B3">
          <w:pPr>
            <w:jc w:val="right"/>
          </w:pPr>
          <w:r>
            <w:t xml:space="preserve">Page </w:t>
          </w:r>
          <w:r>
            <w:fldChar w:fldCharType="begin"/>
          </w:r>
          <w:r>
            <w:instrText xml:space="preserve"> PAGE   \* MERGEFORMAT </w:instrText>
          </w:r>
          <w:r>
            <w:fldChar w:fldCharType="separate"/>
          </w:r>
          <w:r>
            <w:rPr>
              <w:noProof/>
            </w:rPr>
            <w:t>i</w:t>
          </w:r>
          <w:r>
            <w:rPr>
              <w:noProof/>
            </w:rPr>
            <w:fldChar w:fldCharType="end"/>
          </w:r>
          <w:r>
            <w:t xml:space="preserve"> of </w:t>
          </w:r>
          <w:fldSimple w:instr=" NUMPAGES  \* Arabic ">
            <w:r>
              <w:rPr>
                <w:noProof/>
              </w:rPr>
              <w:t>24</w:t>
            </w:r>
          </w:fldSimple>
          <w:r>
            <w:t xml:space="preserve">  </w:t>
          </w:r>
        </w:p>
      </w:tc>
    </w:tr>
  </w:tbl>
  <w:p w14:paraId="3C206E95" w14:textId="77777777" w:rsidR="00A353BE" w:rsidRDefault="00A353B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9F094D" w14:textId="77777777" w:rsidR="00A353BE" w:rsidRDefault="00A353BE" w:rsidP="00C40A36">
      <w:pPr>
        <w:spacing w:after="0"/>
      </w:pPr>
      <w:r>
        <w:separator/>
      </w:r>
    </w:p>
  </w:footnote>
  <w:footnote w:type="continuationSeparator" w:id="0">
    <w:p w14:paraId="5E39F9DA" w14:textId="77777777" w:rsidR="00A353BE" w:rsidRDefault="00A353BE" w:rsidP="00C40A36">
      <w:pPr>
        <w:spacing w:after="0"/>
      </w:pPr>
      <w:r>
        <w:continuationSeparator/>
      </w:r>
    </w:p>
  </w:footnote>
  <w:footnote w:id="1">
    <w:p w14:paraId="1A38517E" w14:textId="77777777" w:rsidR="00A353BE" w:rsidRDefault="00A353BE">
      <w:pPr>
        <w:pStyle w:val="FootnoteText"/>
      </w:pPr>
      <w:r>
        <w:rPr>
          <w:rStyle w:val="FootnoteReference"/>
        </w:rPr>
        <w:footnoteRef/>
      </w:r>
      <w:r>
        <w:t xml:space="preserve"> </w:t>
      </w:r>
      <w:r w:rsidRPr="00460036">
        <w:t xml:space="preserve">The </w:t>
      </w:r>
      <w:r w:rsidRPr="00460036">
        <w:rPr>
          <w:b/>
        </w:rPr>
        <w:t>Black Triangle Scheme</w:t>
      </w:r>
      <w:r w:rsidRPr="00460036">
        <w:t xml:space="preserve"> provides a simple means for practitioners and patients to identify certain types of new prescription medicines, including those being used in new ways and to encourage the reporting of adverse events associated with their use. The Black Triangle does not denote that there are known safety problems, just that the TGA is encouraging adverse event reporting to help us build up the full picture of a medicine's safety profile.</w:t>
      </w:r>
    </w:p>
  </w:footnote>
  <w:footnote w:id="2">
    <w:p w14:paraId="28EF33AB" w14:textId="0C221D84" w:rsidR="00AC7C4D" w:rsidRPr="00FF7BA0" w:rsidRDefault="00AC7C4D">
      <w:pPr>
        <w:pStyle w:val="FootnoteText"/>
        <w:rPr>
          <w:lang w:val="en-US"/>
        </w:rPr>
      </w:pPr>
      <w:r>
        <w:rPr>
          <w:rStyle w:val="FootnoteReference"/>
        </w:rPr>
        <w:footnoteRef/>
      </w:r>
      <w:r>
        <w:t xml:space="preserve"> </w:t>
      </w:r>
      <w:proofErr w:type="spellStart"/>
      <w:r>
        <w:rPr>
          <w:lang w:val="en-US"/>
        </w:rPr>
        <w:t>Aquarporin</w:t>
      </w:r>
      <w:proofErr w:type="spellEnd"/>
      <w:r>
        <w:rPr>
          <w:lang w:val="en-US"/>
        </w:rPr>
        <w:t xml:space="preserve"> 4 immunoglobulin G antibody is also known as neuromyelitis optica immunoglobulin G (NMO</w:t>
      </w:r>
      <w:r>
        <w:rPr>
          <w:lang w:val="en-US"/>
        </w:rPr>
        <w:noBreakHyphen/>
        <w:t>IgG).</w:t>
      </w:r>
    </w:p>
  </w:footnote>
  <w:footnote w:id="3">
    <w:p w14:paraId="13ADE121" w14:textId="7C569AE1" w:rsidR="00A353BE" w:rsidRDefault="00A353BE">
      <w:pPr>
        <w:pStyle w:val="FootnoteText"/>
      </w:pPr>
      <w:r>
        <w:rPr>
          <w:rStyle w:val="FootnoteReference"/>
        </w:rPr>
        <w:footnoteRef/>
      </w:r>
      <w:r>
        <w:t xml:space="preserve"> Product Information for </w:t>
      </w:r>
      <w:proofErr w:type="spellStart"/>
      <w:r w:rsidRPr="00804ACE">
        <w:t>Soliris</w:t>
      </w:r>
      <w:proofErr w:type="spellEnd"/>
      <w:r w:rsidRPr="00804ACE">
        <w:t xml:space="preserve"> (</w:t>
      </w:r>
      <w:proofErr w:type="spellStart"/>
      <w:r w:rsidRPr="00804ACE">
        <w:t>Eculizumab</w:t>
      </w:r>
      <w:proofErr w:type="spellEnd"/>
      <w:r>
        <w:t xml:space="preserve"> rmc</w:t>
      </w:r>
      <w:r w:rsidRPr="00804ACE">
        <w:t>) concentrated solution for intravenous infusion</w:t>
      </w:r>
      <w:r>
        <w:t xml:space="preserve">, sponsored by </w:t>
      </w:r>
      <w:r w:rsidRPr="00804ACE">
        <w:t>Alexion Pharmaceuticals Australasia Pty Ltd</w:t>
      </w:r>
      <w:r>
        <w:t>. Date of first approval 20 March 2009. Date of revision 1 July 2020.</w:t>
      </w:r>
    </w:p>
  </w:footnote>
  <w:footnote w:id="4">
    <w:p w14:paraId="4E7CCD92" w14:textId="0B3186CF" w:rsidR="008919FD" w:rsidRPr="004B68B4" w:rsidRDefault="008919FD" w:rsidP="008919FD">
      <w:pPr>
        <w:pStyle w:val="FootnoteText"/>
      </w:pPr>
      <w:r>
        <w:rPr>
          <w:rStyle w:val="FootnoteReference"/>
        </w:rPr>
        <w:footnoteRef/>
      </w:r>
      <w:r>
        <w:t xml:space="preserve"> </w:t>
      </w:r>
      <w:r w:rsidRPr="004B68B4">
        <w:t xml:space="preserve">The TGA makes use of assessments from </w:t>
      </w:r>
      <w:r w:rsidRPr="00FF7BA0">
        <w:rPr>
          <w:b/>
        </w:rPr>
        <w:t>comparable overseas regulators</w:t>
      </w:r>
      <w:r>
        <w:t xml:space="preserve"> (</w:t>
      </w:r>
      <w:r w:rsidRPr="00FF7BA0">
        <w:rPr>
          <w:b/>
        </w:rPr>
        <w:t>COR</w:t>
      </w:r>
      <w:r w:rsidRPr="004B68B4">
        <w:t>), w</w:t>
      </w:r>
      <w:r>
        <w:t>here possible, in the evaluation</w:t>
      </w:r>
      <w:r w:rsidRPr="004B68B4">
        <w:t xml:space="preserve"> of prescription medicines. Under the </w:t>
      </w:r>
      <w:r w:rsidRPr="002C6521">
        <w:rPr>
          <w:b/>
        </w:rPr>
        <w:t>COR-A</w:t>
      </w:r>
      <w:r w:rsidRPr="004B68B4">
        <w:t xml:space="preserve"> </w:t>
      </w:r>
      <w:r>
        <w:t>approach</w:t>
      </w:r>
      <w:r w:rsidRPr="004B68B4">
        <w:t>, the TGA regulatory decision will be based on a critical review of the COR assessment reports and an evaluation of the Australian label, Product Information (PI) and where required, the Risk Management Plan (RMP). The evaluation and decision timeframe for COR-A applications is 120 working days.</w:t>
      </w:r>
    </w:p>
    <w:p w14:paraId="17A5CAE9" w14:textId="24E731C8" w:rsidR="008919FD" w:rsidRPr="00FF7BA0" w:rsidRDefault="008919FD" w:rsidP="008919FD">
      <w:pPr>
        <w:pStyle w:val="FootnoteText"/>
        <w:rPr>
          <w:lang w:val="en-US"/>
        </w:rPr>
      </w:pPr>
      <w:r w:rsidRPr="004B68B4">
        <w:t>To meet this significantly shortened timeframe, the application must meet specific requirements. Key considerations for COR-A include: identical medicine and manufacturing to that approved by the COR, with evidence of compliance with Good Manufacturing Practice (GMP); the full overseas marketing approval for the medicine is no older than 1 year; and, aside from the label, PI and RMP (where required), no additional evaluation of Australian specific data is required.</w:t>
      </w:r>
    </w:p>
  </w:footnote>
  <w:footnote w:id="5">
    <w:p w14:paraId="35EC9412" w14:textId="5212A7A9" w:rsidR="008919FD" w:rsidRPr="00FF7BA0" w:rsidRDefault="008919FD">
      <w:pPr>
        <w:pStyle w:val="FootnoteText"/>
        <w:rPr>
          <w:lang w:val="en-US"/>
        </w:rPr>
      </w:pPr>
      <w:r>
        <w:rPr>
          <w:rStyle w:val="FootnoteReference"/>
        </w:rPr>
        <w:footnoteRef/>
      </w:r>
      <w:r>
        <w:t xml:space="preserve"> </w:t>
      </w:r>
      <w:r w:rsidR="00FF7BA0" w:rsidRPr="005C0841">
        <w:t xml:space="preserve">Orphan drugs are often developed to treat small and very specific patient populations who suffer from rare diseases and conditions. In order to facilitate orphan drug access to the Australian marketplace and help offset orphan drug development costs the TGA waives application and evaluation fees for prescription medicine registration applications if a related </w:t>
      </w:r>
      <w:r w:rsidR="00FF7BA0" w:rsidRPr="005C0841">
        <w:rPr>
          <w:b/>
        </w:rPr>
        <w:t>orphan designation</w:t>
      </w:r>
      <w:r w:rsidR="00FF7BA0" w:rsidRPr="005C0841">
        <w:t xml:space="preserve"> is in force. A medicine may be eligible for orphan drug designation if all orphan criteria set by the TGA are met. The orphan designation application precedes the registration application and the designation is specific to the sponsor, orphan indication for which designation was granted and dosage form of the medicine.</w:t>
      </w:r>
    </w:p>
  </w:footnote>
  <w:footnote w:id="6">
    <w:p w14:paraId="2BF5866D" w14:textId="5E18F12B" w:rsidR="008310DC" w:rsidRDefault="008310DC" w:rsidP="008310DC">
      <w:pPr>
        <w:pStyle w:val="FootnoteText"/>
      </w:pPr>
      <w:r>
        <w:rPr>
          <w:rStyle w:val="FootnoteReference"/>
        </w:rPr>
        <w:footnoteRef/>
      </w:r>
      <w:r>
        <w:t xml:space="preserve"> </w:t>
      </w:r>
      <w:r w:rsidRPr="00FF7BA0">
        <w:rPr>
          <w:b/>
        </w:rPr>
        <w:t>Trough concentration</w:t>
      </w:r>
      <w:r>
        <w:t xml:space="preserve"> (</w:t>
      </w:r>
      <w:proofErr w:type="spellStart"/>
      <w:r w:rsidRPr="00FF7BA0">
        <w:rPr>
          <w:b/>
        </w:rPr>
        <w:t>C</w:t>
      </w:r>
      <w:r w:rsidRPr="00FF7BA0">
        <w:rPr>
          <w:b/>
          <w:vertAlign w:val="subscript"/>
        </w:rPr>
        <w:t>trough</w:t>
      </w:r>
      <w:proofErr w:type="spellEnd"/>
      <w:r>
        <w:t>) is t</w:t>
      </w:r>
      <w:r w:rsidRPr="002170DB">
        <w:t>he</w:t>
      </w:r>
      <w:r>
        <w:t xml:space="preserve"> lowest concentration of</w:t>
      </w:r>
      <w:r w:rsidRPr="002170DB">
        <w:t xml:space="preserve"> a drug </w:t>
      </w:r>
      <w:r>
        <w:t xml:space="preserve">immediately </w:t>
      </w:r>
      <w:r w:rsidRPr="002170DB">
        <w:t>before the next dose is administered</w:t>
      </w:r>
      <w:r>
        <w:t>.</w:t>
      </w:r>
    </w:p>
  </w:footnote>
  <w:footnote w:id="7">
    <w:p w14:paraId="30584427" w14:textId="28565E69" w:rsidR="00A353BE" w:rsidRDefault="00A353BE" w:rsidP="009E02AA">
      <w:pPr>
        <w:pStyle w:val="FootnoteText"/>
      </w:pPr>
      <w:r>
        <w:rPr>
          <w:rStyle w:val="FootnoteReference"/>
        </w:rPr>
        <w:footnoteRef/>
      </w:r>
      <w:r>
        <w:t xml:space="preserve"> </w:t>
      </w:r>
      <w:proofErr w:type="spellStart"/>
      <w:r>
        <w:t>Wingerchuk</w:t>
      </w:r>
      <w:proofErr w:type="spellEnd"/>
      <w:r>
        <w:t xml:space="preserve"> DM, Lennon VA, </w:t>
      </w:r>
      <w:proofErr w:type="spellStart"/>
      <w:r>
        <w:t>Pittock</w:t>
      </w:r>
      <w:proofErr w:type="spellEnd"/>
      <w:r>
        <w:t xml:space="preserve"> SJ, </w:t>
      </w:r>
      <w:proofErr w:type="spellStart"/>
      <w:r>
        <w:t>Lucchinetti</w:t>
      </w:r>
      <w:proofErr w:type="spellEnd"/>
      <w:r>
        <w:t xml:space="preserve"> CF, </w:t>
      </w:r>
      <w:proofErr w:type="spellStart"/>
      <w:r>
        <w:t>Weinshenker</w:t>
      </w:r>
      <w:proofErr w:type="spellEnd"/>
      <w:r>
        <w:t xml:space="preserve"> BG. Revised diagnostic criteria for neuromyelitis optica. </w:t>
      </w:r>
      <w:r w:rsidRPr="000F3877">
        <w:rPr>
          <w:i/>
        </w:rPr>
        <w:t>Neurology</w:t>
      </w:r>
      <w:r>
        <w:t>. 2006;66(10):1485-1489.</w:t>
      </w:r>
    </w:p>
  </w:footnote>
  <w:footnote w:id="8">
    <w:p w14:paraId="593C5675" w14:textId="4505DC3B" w:rsidR="00A353BE" w:rsidRDefault="00A353BE">
      <w:pPr>
        <w:pStyle w:val="FootnoteText"/>
      </w:pPr>
      <w:r>
        <w:rPr>
          <w:rStyle w:val="FootnoteReference"/>
        </w:rPr>
        <w:footnoteRef/>
      </w:r>
      <w:r>
        <w:t xml:space="preserve"> </w:t>
      </w:r>
      <w:proofErr w:type="spellStart"/>
      <w:r>
        <w:t>Wingerchuk</w:t>
      </w:r>
      <w:proofErr w:type="spellEnd"/>
      <w:r>
        <w:t xml:space="preserve"> DM, Lennon VA, </w:t>
      </w:r>
      <w:proofErr w:type="spellStart"/>
      <w:r>
        <w:t>Lucchinetti</w:t>
      </w:r>
      <w:proofErr w:type="spellEnd"/>
      <w:r>
        <w:t xml:space="preserve"> CF, </w:t>
      </w:r>
      <w:proofErr w:type="spellStart"/>
      <w:r>
        <w:t>Pittock</w:t>
      </w:r>
      <w:proofErr w:type="spellEnd"/>
      <w:r>
        <w:t xml:space="preserve"> SJ, </w:t>
      </w:r>
      <w:proofErr w:type="spellStart"/>
      <w:r>
        <w:t>Weinshenker</w:t>
      </w:r>
      <w:proofErr w:type="spellEnd"/>
      <w:r>
        <w:t xml:space="preserve"> BG. The spectrum of neuromyelitis optica. </w:t>
      </w:r>
      <w:r w:rsidRPr="000F3877">
        <w:rPr>
          <w:i/>
        </w:rPr>
        <w:t>Lancet Neurol</w:t>
      </w:r>
      <w:r>
        <w:t>. 2007;6(9):805-815.</w:t>
      </w:r>
    </w:p>
  </w:footnote>
  <w:footnote w:id="9">
    <w:p w14:paraId="748EDFD7" w14:textId="00FDD0AE" w:rsidR="00FA40B0" w:rsidRPr="00FA40B0" w:rsidRDefault="00FA40B0" w:rsidP="00FA40B0">
      <w:pPr>
        <w:pStyle w:val="FootnoteText"/>
      </w:pPr>
      <w:r>
        <w:rPr>
          <w:rStyle w:val="FootnoteReference"/>
        </w:rPr>
        <w:footnoteRef/>
      </w:r>
      <w:r>
        <w:t xml:space="preserve"> The </w:t>
      </w:r>
      <w:r w:rsidRPr="00FF7BA0">
        <w:rPr>
          <w:b/>
        </w:rPr>
        <w:t>Expanded Disability Status Scale</w:t>
      </w:r>
      <w:r>
        <w:t xml:space="preserve"> (</w:t>
      </w:r>
      <w:r w:rsidRPr="00FF7BA0">
        <w:rPr>
          <w:b/>
        </w:rPr>
        <w:t>EDSS</w:t>
      </w:r>
      <w:r>
        <w:t xml:space="preserve">) is a method of quantifying disability in multiple sclerosis and monitoring changes in the level of disability over time. It is widely used in clinical trials and in the assessment of people with MS. The EDSS scale ranges from 0 to 10 in 0.5 unit increments that represent higher levels of disability. Scoring is based on an examination by a neurologist. EDSS steps 1.0 to 4.5 refer to people with MS who are able to walk without any aid and is based on measures of impairment in eight functional systems (FS). </w:t>
      </w:r>
      <w:r w:rsidRPr="00FA40B0">
        <w:t>EDSS steps 5.0 to 9.5 are defined by the impairment to walking.</w:t>
      </w:r>
    </w:p>
  </w:footnote>
  <w:footnote w:id="10">
    <w:p w14:paraId="08C532EC" w14:textId="4484B793" w:rsidR="00A353BE" w:rsidRDefault="00A353BE" w:rsidP="005562AB">
      <w:pPr>
        <w:pStyle w:val="FootnoteText"/>
      </w:pPr>
      <w:r>
        <w:rPr>
          <w:rStyle w:val="FootnoteReference"/>
        </w:rPr>
        <w:footnoteRef/>
      </w:r>
      <w:r>
        <w:t xml:space="preserve"> T</w:t>
      </w:r>
      <w:r w:rsidRPr="005562AB">
        <w:t xml:space="preserve">he </w:t>
      </w:r>
      <w:r w:rsidRPr="00FF7BA0">
        <w:rPr>
          <w:b/>
        </w:rPr>
        <w:t>Modified Rankin Score</w:t>
      </w:r>
      <w:r>
        <w:t xml:space="preserve"> (</w:t>
      </w:r>
      <w:proofErr w:type="spellStart"/>
      <w:r w:rsidRPr="00FF7BA0">
        <w:rPr>
          <w:b/>
        </w:rPr>
        <w:t>mRS</w:t>
      </w:r>
      <w:proofErr w:type="spellEnd"/>
      <w:r>
        <w:t>) is a 5</w:t>
      </w:r>
      <w:r w:rsidRPr="005562AB">
        <w:t xml:space="preserve"> point disability scale with possible sc</w:t>
      </w:r>
      <w:r>
        <w:t>ores ranging from 0 to 5</w:t>
      </w:r>
      <w:r w:rsidRPr="005562AB">
        <w:t>. The Modified Rankin Score (</w:t>
      </w:r>
      <w:proofErr w:type="spellStart"/>
      <w:r w:rsidRPr="005562AB">
        <w:t>mRS</w:t>
      </w:r>
      <w:proofErr w:type="spellEnd"/>
      <w:r w:rsidRPr="005562AB">
        <w:t xml:space="preserve">) is the most widely used outcome measure in stroke clinical trials. </w:t>
      </w:r>
      <w:r>
        <w:t>0: The patient has no residual symptoms. 1: The patient has no significant disability; able to carry out all pre-stroke activities. 2: The patient has slight disability; unable to carry out all pre-stroke activities but able to look after self without daily help. 3: The patient has moderate disability; requiring some external help but able to walk without the assistance of another individual. 4: The patient has moderately severe disability; unable to walk or attend to bodily functions without assistance of another individual. 5: The patient has severe disability; bedridden, incontinent, requires continuous care.</w:t>
      </w:r>
    </w:p>
  </w:footnote>
  <w:footnote w:id="11">
    <w:p w14:paraId="7D9B00BF" w14:textId="77777777" w:rsidR="00A353BE" w:rsidRDefault="00A353BE" w:rsidP="007D53B6">
      <w:pPr>
        <w:pStyle w:val="FootnoteText"/>
      </w:pPr>
      <w:r>
        <w:rPr>
          <w:rStyle w:val="FootnoteReference"/>
        </w:rPr>
        <w:footnoteRef/>
      </w:r>
      <w:r>
        <w:t xml:space="preserve"> </w:t>
      </w:r>
      <w:r w:rsidRPr="007D53B6">
        <w:rPr>
          <w:i/>
        </w:rPr>
        <w:t xml:space="preserve">Routine risk minimisation </w:t>
      </w:r>
      <w:r>
        <w:t>activities may be limited to ensuring that suitable warnings are included in the product information or by careful use of labelling and packaging.</w:t>
      </w:r>
    </w:p>
    <w:p w14:paraId="3E78A582" w14:textId="77777777" w:rsidR="00A353BE" w:rsidRDefault="00A353BE" w:rsidP="007D53B6">
      <w:pPr>
        <w:pStyle w:val="FootnoteText"/>
      </w:pPr>
      <w:r w:rsidRPr="007D53B6">
        <w:rPr>
          <w:i/>
        </w:rPr>
        <w:t>Routine pharmacovigilance</w:t>
      </w:r>
      <w:r>
        <w:t xml:space="preserve"> practices involve the following activities:</w:t>
      </w:r>
    </w:p>
    <w:p w14:paraId="35724B76" w14:textId="77777777" w:rsidR="00A353BE" w:rsidRDefault="00A353BE" w:rsidP="007D53B6">
      <w:pPr>
        <w:pStyle w:val="FootnoteText"/>
        <w:numPr>
          <w:ilvl w:val="0"/>
          <w:numId w:val="32"/>
        </w:numPr>
        <w:ind w:left="284" w:hanging="284"/>
      </w:pPr>
      <w:r>
        <w:t>All suspected adverse reactions that are reported to the personnel of the company are collected and collated in an accessible manner;</w:t>
      </w:r>
    </w:p>
    <w:p w14:paraId="7CC5C288" w14:textId="77777777" w:rsidR="00A353BE" w:rsidRDefault="00A353BE" w:rsidP="007D53B6">
      <w:pPr>
        <w:pStyle w:val="FootnoteText"/>
        <w:numPr>
          <w:ilvl w:val="0"/>
          <w:numId w:val="32"/>
        </w:numPr>
        <w:ind w:left="284" w:hanging="284"/>
      </w:pPr>
      <w:r>
        <w:t>Reporting to regulatory authorities;</w:t>
      </w:r>
    </w:p>
    <w:p w14:paraId="49C4E559" w14:textId="77777777" w:rsidR="00A353BE" w:rsidRDefault="00A353BE" w:rsidP="007D53B6">
      <w:pPr>
        <w:pStyle w:val="FootnoteText"/>
        <w:numPr>
          <w:ilvl w:val="0"/>
          <w:numId w:val="32"/>
        </w:numPr>
        <w:ind w:left="284" w:hanging="284"/>
      </w:pPr>
      <w:r>
        <w:t>Continuous monitoring of the safety profiles of approved products including signal detection and updating of labelling;</w:t>
      </w:r>
    </w:p>
    <w:p w14:paraId="219F709C" w14:textId="77777777" w:rsidR="00A353BE" w:rsidRDefault="00A353BE" w:rsidP="007D53B6">
      <w:pPr>
        <w:pStyle w:val="FootnoteText"/>
        <w:numPr>
          <w:ilvl w:val="0"/>
          <w:numId w:val="32"/>
        </w:numPr>
        <w:ind w:left="284" w:hanging="284"/>
      </w:pPr>
      <w:r>
        <w:t>Submission of PSURs;</w:t>
      </w:r>
    </w:p>
    <w:p w14:paraId="7CAFCC03" w14:textId="77777777" w:rsidR="00A353BE" w:rsidRDefault="00A353BE" w:rsidP="007D53B6">
      <w:pPr>
        <w:pStyle w:val="FootnoteText"/>
        <w:numPr>
          <w:ilvl w:val="0"/>
          <w:numId w:val="32"/>
        </w:numPr>
        <w:ind w:left="284" w:hanging="284"/>
      </w:pPr>
      <w:r>
        <w:t>Meeting other local regulatory agency requirements.</w:t>
      </w:r>
    </w:p>
  </w:footnote>
  <w:footnote w:id="12">
    <w:p w14:paraId="0F918683" w14:textId="77C7265E" w:rsidR="00A353BE" w:rsidRDefault="00A353BE">
      <w:pPr>
        <w:pStyle w:val="FootnoteText"/>
      </w:pPr>
      <w:r>
        <w:rPr>
          <w:rStyle w:val="FootnoteReference"/>
        </w:rPr>
        <w:footnoteRef/>
      </w:r>
      <w:r>
        <w:t xml:space="preserve"> </w:t>
      </w:r>
      <w:r w:rsidRPr="00D65DDC">
        <w:t xml:space="preserve">Palace, J., et al., Outcome prediction models in AQP4-IgG positive neuromyelitis optica spectrum disorders. </w:t>
      </w:r>
      <w:r w:rsidRPr="000F3877">
        <w:rPr>
          <w:i/>
        </w:rPr>
        <w:t>Brain</w:t>
      </w:r>
      <w:r w:rsidRPr="00D65DDC">
        <w:t>, 2019. 142(5): p. 1310-1323.</w:t>
      </w:r>
    </w:p>
  </w:footnote>
  <w:footnote w:id="13">
    <w:p w14:paraId="1E1EF8F3" w14:textId="70473F55" w:rsidR="00A353BE" w:rsidRDefault="00A353BE">
      <w:pPr>
        <w:pStyle w:val="FootnoteText"/>
      </w:pPr>
      <w:r>
        <w:rPr>
          <w:rStyle w:val="FootnoteReference"/>
        </w:rPr>
        <w:footnoteRef/>
      </w:r>
      <w:r>
        <w:t xml:space="preserve"> </w:t>
      </w:r>
      <w:r w:rsidRPr="00CC345B">
        <w:t xml:space="preserve">Akaishi, T., et al., </w:t>
      </w:r>
      <w:r w:rsidRPr="00CC345B">
        <w:rPr>
          <w:i/>
        </w:rPr>
        <w:t>Neuromyelitis optica spectrum disorders with unevenly clustered attack occurrence.</w:t>
      </w:r>
      <w:r w:rsidRPr="00CC345B">
        <w:t xml:space="preserve"> </w:t>
      </w:r>
      <w:proofErr w:type="spellStart"/>
      <w:r w:rsidRPr="000F3877">
        <w:rPr>
          <w:i/>
        </w:rPr>
        <w:t>Neurol</w:t>
      </w:r>
      <w:proofErr w:type="spellEnd"/>
      <w:r w:rsidRPr="000F3877">
        <w:rPr>
          <w:i/>
        </w:rPr>
        <w:t xml:space="preserve"> </w:t>
      </w:r>
      <w:proofErr w:type="spellStart"/>
      <w:r w:rsidRPr="000F3877">
        <w:rPr>
          <w:i/>
        </w:rPr>
        <w:t>Neuroimmunol</w:t>
      </w:r>
      <w:proofErr w:type="spellEnd"/>
      <w:r w:rsidRPr="000F3877">
        <w:rPr>
          <w:i/>
        </w:rPr>
        <w:t xml:space="preserve"> </w:t>
      </w:r>
      <w:proofErr w:type="spellStart"/>
      <w:r w:rsidRPr="000F3877">
        <w:rPr>
          <w:i/>
        </w:rPr>
        <w:t>Neuroinflamm</w:t>
      </w:r>
      <w:proofErr w:type="spellEnd"/>
      <w:r w:rsidRPr="00CC345B">
        <w:t>, 2020. 7(1)</w:t>
      </w:r>
      <w:r>
        <w:t>.</w:t>
      </w:r>
    </w:p>
  </w:footnote>
  <w:footnote w:id="14">
    <w:p w14:paraId="49133844" w14:textId="454830F4" w:rsidR="00A353BE" w:rsidRDefault="00A353BE">
      <w:pPr>
        <w:pStyle w:val="FootnoteText"/>
      </w:pPr>
      <w:r>
        <w:rPr>
          <w:rStyle w:val="FootnoteReference"/>
        </w:rPr>
        <w:footnoteRef/>
      </w:r>
      <w:r>
        <w:t xml:space="preserve"> </w:t>
      </w:r>
      <w:r w:rsidRPr="00D65DDC">
        <w:t xml:space="preserve">Kinoshita, M. and Y. </w:t>
      </w:r>
      <w:proofErr w:type="spellStart"/>
      <w:r w:rsidRPr="00D65DDC">
        <w:t>Nakatsuji</w:t>
      </w:r>
      <w:proofErr w:type="spellEnd"/>
      <w:r w:rsidRPr="00D65DDC">
        <w:t xml:space="preserve">, Where Do AQP4 Antibodies Fit in the Pathogenesis of NMO? </w:t>
      </w:r>
      <w:r w:rsidRPr="000F3877">
        <w:rPr>
          <w:i/>
        </w:rPr>
        <w:t>Multiple Sclerosis International</w:t>
      </w:r>
      <w:r w:rsidRPr="00D65DDC">
        <w:t>, 2012. 2012: p. 862169</w:t>
      </w:r>
      <w:r>
        <w:t>.</w:t>
      </w:r>
    </w:p>
  </w:footnote>
  <w:footnote w:id="15">
    <w:p w14:paraId="79E6B50C" w14:textId="3F9F25AF" w:rsidR="00A353BE" w:rsidRDefault="00A353BE">
      <w:pPr>
        <w:pStyle w:val="FootnoteText"/>
      </w:pPr>
      <w:r>
        <w:rPr>
          <w:rStyle w:val="FootnoteReference"/>
        </w:rPr>
        <w:footnoteRef/>
      </w:r>
      <w:r>
        <w:t xml:space="preserve"> </w:t>
      </w:r>
      <w:proofErr w:type="spellStart"/>
      <w:r w:rsidRPr="00CC345B">
        <w:t>Crout</w:t>
      </w:r>
      <w:proofErr w:type="spellEnd"/>
      <w:r w:rsidRPr="00CC345B">
        <w:t xml:space="preserve">, T.M., L.P. Parks, and V. </w:t>
      </w:r>
      <w:proofErr w:type="spellStart"/>
      <w:r w:rsidRPr="00CC345B">
        <w:t>Majithia</w:t>
      </w:r>
      <w:proofErr w:type="spellEnd"/>
      <w:r w:rsidRPr="00CC345B">
        <w:t>, Neuromyelitis Optica (</w:t>
      </w:r>
      <w:proofErr w:type="spellStart"/>
      <w:r w:rsidRPr="00CC345B">
        <w:t>Devic's</w:t>
      </w:r>
      <w:proofErr w:type="spellEnd"/>
      <w:r w:rsidRPr="00CC345B">
        <w:t xml:space="preserve"> Syndrome): an Appraisal. </w:t>
      </w:r>
      <w:proofErr w:type="spellStart"/>
      <w:r w:rsidRPr="000F3877">
        <w:rPr>
          <w:i/>
        </w:rPr>
        <w:t>Curr</w:t>
      </w:r>
      <w:proofErr w:type="spellEnd"/>
      <w:r w:rsidRPr="000F3877">
        <w:rPr>
          <w:i/>
        </w:rPr>
        <w:t xml:space="preserve"> </w:t>
      </w:r>
      <w:proofErr w:type="spellStart"/>
      <w:r w:rsidRPr="000F3877">
        <w:rPr>
          <w:i/>
        </w:rPr>
        <w:t>Rheumatol</w:t>
      </w:r>
      <w:proofErr w:type="spellEnd"/>
      <w:r w:rsidRPr="000F3877">
        <w:rPr>
          <w:i/>
        </w:rPr>
        <w:t xml:space="preserve"> Rep</w:t>
      </w:r>
      <w:r w:rsidRPr="00CC345B">
        <w:t>, 2016. 18(8): p. 54.</w:t>
      </w:r>
    </w:p>
  </w:footnote>
  <w:footnote w:id="16">
    <w:p w14:paraId="5E9D8CEA" w14:textId="3553BD9F" w:rsidR="00A353BE" w:rsidRDefault="00A353BE">
      <w:pPr>
        <w:pStyle w:val="FootnoteText"/>
      </w:pPr>
      <w:r>
        <w:rPr>
          <w:rStyle w:val="FootnoteReference"/>
        </w:rPr>
        <w:footnoteRef/>
      </w:r>
      <w:r>
        <w:t xml:space="preserve"> </w:t>
      </w:r>
      <w:proofErr w:type="spellStart"/>
      <w:r w:rsidRPr="00546EB2">
        <w:t>Jarius</w:t>
      </w:r>
      <w:proofErr w:type="spellEnd"/>
      <w:r w:rsidRPr="00546EB2">
        <w:t xml:space="preserve"> S, Paul F, </w:t>
      </w:r>
      <w:proofErr w:type="spellStart"/>
      <w:r w:rsidRPr="00546EB2">
        <w:t>Franciotta</w:t>
      </w:r>
      <w:proofErr w:type="spellEnd"/>
      <w:r w:rsidRPr="00546EB2">
        <w:t xml:space="preserve"> D, et al. Neuromyelitis optica spectrum disorders in patients with myasthenia gravis: ten new aquaporin-4 antibody positive cases and a review of the literature. </w:t>
      </w:r>
      <w:proofErr w:type="spellStart"/>
      <w:r w:rsidRPr="00546EB2">
        <w:rPr>
          <w:i/>
          <w:iCs/>
        </w:rPr>
        <w:t>Mult</w:t>
      </w:r>
      <w:proofErr w:type="spellEnd"/>
      <w:r w:rsidRPr="00546EB2">
        <w:rPr>
          <w:i/>
          <w:iCs/>
        </w:rPr>
        <w:t xml:space="preserve"> </w:t>
      </w:r>
      <w:proofErr w:type="spellStart"/>
      <w:r w:rsidRPr="00546EB2">
        <w:rPr>
          <w:i/>
          <w:iCs/>
        </w:rPr>
        <w:t>Scler</w:t>
      </w:r>
      <w:proofErr w:type="spellEnd"/>
      <w:r>
        <w:t>. 2012;18(8):1135-1143.</w:t>
      </w:r>
    </w:p>
  </w:footnote>
  <w:footnote w:id="17">
    <w:p w14:paraId="4C256626" w14:textId="3E162D8E" w:rsidR="00A353BE" w:rsidRDefault="00A353BE">
      <w:pPr>
        <w:pStyle w:val="FootnoteText"/>
      </w:pPr>
      <w:r>
        <w:rPr>
          <w:rStyle w:val="FootnoteReference"/>
        </w:rPr>
        <w:footnoteRef/>
      </w:r>
      <w:r>
        <w:t xml:space="preserve"> </w:t>
      </w:r>
      <w:proofErr w:type="spellStart"/>
      <w:r w:rsidRPr="00546EB2">
        <w:t>Wingerchuk</w:t>
      </w:r>
      <w:proofErr w:type="spellEnd"/>
      <w:r w:rsidRPr="00546EB2">
        <w:t xml:space="preserve"> DM, Lennon VA, </w:t>
      </w:r>
      <w:proofErr w:type="spellStart"/>
      <w:r w:rsidRPr="00546EB2">
        <w:t>Lucchinetti</w:t>
      </w:r>
      <w:proofErr w:type="spellEnd"/>
      <w:r w:rsidRPr="00546EB2">
        <w:t xml:space="preserve"> CF, </w:t>
      </w:r>
      <w:proofErr w:type="spellStart"/>
      <w:r w:rsidRPr="00546EB2">
        <w:t>Pittock</w:t>
      </w:r>
      <w:proofErr w:type="spellEnd"/>
      <w:r w:rsidRPr="00546EB2">
        <w:t xml:space="preserve"> SJ, </w:t>
      </w:r>
      <w:proofErr w:type="spellStart"/>
      <w:r w:rsidRPr="00546EB2">
        <w:t>Weinshenker</w:t>
      </w:r>
      <w:proofErr w:type="spellEnd"/>
      <w:r w:rsidRPr="00546EB2">
        <w:t xml:space="preserve"> BG. The spectrum of neuromyelitis optica. </w:t>
      </w:r>
      <w:r w:rsidRPr="00546EB2">
        <w:rPr>
          <w:i/>
          <w:iCs/>
        </w:rPr>
        <w:t>Lancet Neurol</w:t>
      </w:r>
      <w:r>
        <w:t>. 2007;6(9):805-815.</w:t>
      </w:r>
    </w:p>
  </w:footnote>
  <w:footnote w:id="18">
    <w:p w14:paraId="6A73D855" w14:textId="0D13B0BC" w:rsidR="00A353BE" w:rsidRDefault="00A353BE">
      <w:pPr>
        <w:pStyle w:val="FootnoteText"/>
      </w:pPr>
      <w:r>
        <w:rPr>
          <w:rStyle w:val="FootnoteReference"/>
        </w:rPr>
        <w:footnoteRef/>
      </w:r>
      <w:r>
        <w:t xml:space="preserve"> </w:t>
      </w:r>
      <w:proofErr w:type="spellStart"/>
      <w:r w:rsidRPr="00546EB2">
        <w:t>Wingerchuk</w:t>
      </w:r>
      <w:proofErr w:type="spellEnd"/>
      <w:r w:rsidRPr="00546EB2">
        <w:t xml:space="preserve"> DM, </w:t>
      </w:r>
      <w:proofErr w:type="spellStart"/>
      <w:r w:rsidRPr="00546EB2">
        <w:t>Banwell</w:t>
      </w:r>
      <w:proofErr w:type="spellEnd"/>
      <w:r w:rsidRPr="00546EB2">
        <w:t xml:space="preserve"> B, Bennett JL, et al. International consensus diagnostic criteria for neuromyelitis optica spectrum disorders. </w:t>
      </w:r>
      <w:r w:rsidRPr="00546EB2">
        <w:rPr>
          <w:i/>
          <w:iCs/>
        </w:rPr>
        <w:t>Neurology</w:t>
      </w:r>
      <w:r>
        <w:t>. 2015;85(2):177-189.</w:t>
      </w:r>
    </w:p>
  </w:footnote>
  <w:footnote w:id="19">
    <w:p w14:paraId="6D4BA543" w14:textId="5BC83D05" w:rsidR="00A353BE" w:rsidRDefault="00A353BE">
      <w:pPr>
        <w:pStyle w:val="FootnoteText"/>
      </w:pPr>
      <w:r>
        <w:rPr>
          <w:rStyle w:val="FootnoteReference"/>
        </w:rPr>
        <w:footnoteRef/>
      </w:r>
      <w:r>
        <w:t xml:space="preserve"> </w:t>
      </w:r>
      <w:r w:rsidRPr="0002160E">
        <w:t xml:space="preserve">Bologna L, </w:t>
      </w:r>
      <w:proofErr w:type="spellStart"/>
      <w:r w:rsidRPr="0002160E">
        <w:t>Gotti</w:t>
      </w:r>
      <w:proofErr w:type="spellEnd"/>
      <w:r w:rsidRPr="0002160E">
        <w:t xml:space="preserve"> E, </w:t>
      </w:r>
      <w:proofErr w:type="spellStart"/>
      <w:r w:rsidRPr="0002160E">
        <w:t>Manganini</w:t>
      </w:r>
      <w:proofErr w:type="spellEnd"/>
      <w:r w:rsidRPr="0002160E">
        <w:t xml:space="preserve"> M, et al. Mechanism of action of type II, </w:t>
      </w:r>
      <w:proofErr w:type="spellStart"/>
      <w:r w:rsidRPr="0002160E">
        <w:t>glycoengineered</w:t>
      </w:r>
      <w:proofErr w:type="spellEnd"/>
      <w:r w:rsidRPr="0002160E">
        <w:t xml:space="preserve">, anti-CD20 monoclonal antibody GA101 in B-chronic lymphocytic </w:t>
      </w:r>
      <w:proofErr w:type="spellStart"/>
      <w:r w:rsidRPr="0002160E">
        <w:t>leukemia</w:t>
      </w:r>
      <w:proofErr w:type="spellEnd"/>
      <w:r w:rsidRPr="0002160E">
        <w:t xml:space="preserve"> whole blood assays in comparison with rituximab and </w:t>
      </w:r>
      <w:proofErr w:type="spellStart"/>
      <w:r w:rsidRPr="0002160E">
        <w:t>alemtuzumab</w:t>
      </w:r>
      <w:proofErr w:type="spellEnd"/>
      <w:r w:rsidRPr="0002160E">
        <w:t>. </w:t>
      </w:r>
      <w:r w:rsidRPr="0002160E">
        <w:rPr>
          <w:i/>
          <w:iCs/>
        </w:rPr>
        <w:t xml:space="preserve">J </w:t>
      </w:r>
      <w:proofErr w:type="spellStart"/>
      <w:r w:rsidRPr="0002160E">
        <w:rPr>
          <w:i/>
          <w:iCs/>
        </w:rPr>
        <w:t>Immunol</w:t>
      </w:r>
      <w:proofErr w:type="spellEnd"/>
      <w:r>
        <w:t>. 2011;186(6):3762-3769.</w:t>
      </w:r>
    </w:p>
  </w:footnote>
  <w:footnote w:id="20">
    <w:p w14:paraId="50E10B4E" w14:textId="77777777" w:rsidR="00A353BE" w:rsidRDefault="00A353BE" w:rsidP="00456765">
      <w:pPr>
        <w:pStyle w:val="FootnoteText"/>
      </w:pPr>
      <w:r>
        <w:rPr>
          <w:rStyle w:val="FootnoteReference"/>
        </w:rPr>
        <w:footnoteRef/>
      </w:r>
      <w:r>
        <w:t xml:space="preserve"> The ACM provides independent medical and scientific advice to the Minister for Health and the Therapeutic Goods Administration (TGA) on issues relating to the safety, quality and efficacy of medicines supplied in Australia including issues relating to pre-market and post-market functions for medicines.</w:t>
      </w:r>
    </w:p>
    <w:p w14:paraId="647B8594" w14:textId="77777777" w:rsidR="00A353BE" w:rsidRPr="00456765" w:rsidRDefault="00A353BE" w:rsidP="00456765">
      <w:pPr>
        <w:pStyle w:val="FootnoteText"/>
        <w:rPr>
          <w:lang w:val="en-US"/>
        </w:rPr>
      </w:pPr>
      <w:r>
        <w:t xml:space="preserve">The Committee is established under Regulation 35 of the Therapeutic Goods Regulations 1990. Members are appointed by the Minister. The ACM was established in January 2017 replacing </w:t>
      </w:r>
      <w:r w:rsidRPr="009E0C19">
        <w:t xml:space="preserve">Advisory Committee on Prescription Medicines (ACPM) </w:t>
      </w:r>
      <w:r>
        <w:t xml:space="preserve">which </w:t>
      </w:r>
      <w:r w:rsidRPr="009E0C19">
        <w:t>was formed in January 2010</w:t>
      </w:r>
      <w:r>
        <w:t>. ACM encompass pre and post-market advice for medicines, following the consolidation of the previous functions of the Advisory Committee on Prescription Medicines (ACPM), the Advisory Committee on the Safety of Medicines (ACSOM) and the Advisory Committee on Non-Prescription Medicines (ACNM). Membership comprises of professionals with specific scientific, medical or clinical expertise, as well as appropriate consumer health issues relating to medicines.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B965A" w14:textId="77777777" w:rsidR="009D6289" w:rsidRDefault="009D62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88DBC" w14:textId="77777777" w:rsidR="00A353BE" w:rsidRDefault="00A353BE" w:rsidP="00E45619">
    <w:pPr>
      <w:pStyle w:val="Header"/>
    </w:pPr>
    <w:r>
      <w:t>Therapeutic Goods Administration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36F9D" w14:textId="77777777" w:rsidR="00A353BE" w:rsidRDefault="00A353BE">
    <w:pPr>
      <w:rPr>
        <w:noProof/>
        <w:lang w:eastAsia="en-AU"/>
      </w:rPr>
    </w:pPr>
    <w:r w:rsidRPr="00347824">
      <w:rPr>
        <w:noProof/>
        <w:lang w:eastAsia="en-AU"/>
      </w:rPr>
      <w:drawing>
        <wp:anchor distT="0" distB="0" distL="114300" distR="114300" simplePos="0" relativeHeight="251658752" behindDoc="1" locked="0" layoutInCell="1" allowOverlap="1" wp14:anchorId="3AB80454" wp14:editId="408AE75A">
          <wp:simplePos x="0" y="0"/>
          <wp:positionH relativeFrom="column">
            <wp:posOffset>-1089660</wp:posOffset>
          </wp:positionH>
          <wp:positionV relativeFrom="paragraph">
            <wp:posOffset>-585470</wp:posOffset>
          </wp:positionV>
          <wp:extent cx="7572375" cy="10706100"/>
          <wp:effectExtent l="19050" t="0" r="0" b="0"/>
          <wp:wrapNone/>
          <wp:docPr id="14"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14:paraId="5A5DCE06" w14:textId="77777777" w:rsidR="00A353BE" w:rsidRDefault="00A353BE" w:rsidP="00593AD1">
    <w:pPr>
      <w:pStyle w:val="HeaderNoLine"/>
    </w:pPr>
    <w:r>
      <w:rPr>
        <w:noProof/>
        <w:lang w:eastAsia="en-AU"/>
      </w:rPr>
      <w:drawing>
        <wp:inline distT="0" distB="0" distL="0" distR="0" wp14:anchorId="2BDA438F" wp14:editId="6F5E92F2">
          <wp:extent cx="5400675" cy="7639050"/>
          <wp:effectExtent l="0" t="0" r="9525" b="0"/>
          <wp:docPr id="15" name="Picture 15"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675" cy="763905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18397" w14:textId="77777777" w:rsidR="00A353BE" w:rsidRDefault="00A353B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8E45B" w14:textId="77777777" w:rsidR="00A353BE" w:rsidRDefault="00A353BE">
    <w:pPr>
      <w:pStyle w:val="Header"/>
    </w:pPr>
    <w:r>
      <w:t>Therapeutic Goods Administration</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98F06" w14:textId="77777777" w:rsidR="00A353BE" w:rsidRDefault="00A353BE">
    <w:pPr>
      <w:pStyle w:val="Header"/>
    </w:pPr>
    <w:r>
      <w:t>Therapeutic Goods Administration</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D1F36" w14:textId="77777777" w:rsidR="00A353BE" w:rsidRDefault="00A353B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A129B" w14:textId="77777777" w:rsidR="00A353BE" w:rsidRDefault="00A353BE" w:rsidP="004C239D">
    <w:pPr>
      <w:pStyle w:val="HeaderNoLine"/>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2261B" w14:textId="77777777" w:rsidR="00A353BE" w:rsidRDefault="00A353BE" w:rsidP="006E08B3">
    <w:r>
      <w:t>Therapeutic Goods Administration</w:t>
    </w:r>
  </w:p>
  <w:p w14:paraId="398C9F45" w14:textId="77777777" w:rsidR="00A353BE" w:rsidRDefault="00A353BE" w:rsidP="006D03E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E372389A"/>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B8320B0A"/>
    <w:lvl w:ilvl="0">
      <w:numFmt w:val="bullet"/>
      <w:lvlText w:val="*"/>
      <w:lvlJc w:val="left"/>
    </w:lvl>
  </w:abstractNum>
  <w:abstractNum w:abstractNumId="4" w15:restartNumberingAfterBreak="0">
    <w:nsid w:val="07020A57"/>
    <w:multiLevelType w:val="hybridMultilevel"/>
    <w:tmpl w:val="F582155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080017AB"/>
    <w:multiLevelType w:val="hybridMultilevel"/>
    <w:tmpl w:val="7FB83D2E"/>
    <w:lvl w:ilvl="0" w:tplc="CB98220E">
      <w:numFmt w:val="bullet"/>
      <w:lvlText w:val="-"/>
      <w:lvlJc w:val="left"/>
      <w:pPr>
        <w:ind w:left="1080" w:hanging="72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9108CD"/>
    <w:multiLevelType w:val="hybridMultilevel"/>
    <w:tmpl w:val="F07C7BCA"/>
    <w:lvl w:ilvl="0" w:tplc="7E7496A6">
      <w:start w:val="1"/>
      <w:numFmt w:val="bullet"/>
      <w:pStyle w:val="Bullet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8" w15:restartNumberingAfterBreak="0">
    <w:nsid w:val="11F3578D"/>
    <w:multiLevelType w:val="hybridMultilevel"/>
    <w:tmpl w:val="1D92B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8F13E9"/>
    <w:multiLevelType w:val="multilevel"/>
    <w:tmpl w:val="F9EA477A"/>
    <w:styleLink w:val="ListBullets"/>
    <w:lvl w:ilvl="0">
      <w:start w:val="1"/>
      <w:numFmt w:val="bullet"/>
      <w:pStyle w:val="ListBullet"/>
      <w:lvlText w:val="•"/>
      <w:lvlJc w:val="left"/>
      <w:pPr>
        <w:ind w:left="360" w:hanging="360"/>
      </w:pPr>
      <w:rPr>
        <w:rFonts w:ascii="Arial" w:hAnsi="Aria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15:restartNumberingAfterBreak="0">
    <w:nsid w:val="3A2F5CDC"/>
    <w:multiLevelType w:val="hybridMultilevel"/>
    <w:tmpl w:val="CB4A66DE"/>
    <w:lvl w:ilvl="0" w:tplc="CB98220E">
      <w:numFmt w:val="bullet"/>
      <w:lvlText w:val="-"/>
      <w:lvlJc w:val="left"/>
      <w:pPr>
        <w:ind w:left="1080" w:hanging="72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EB41F2F"/>
    <w:multiLevelType w:val="hybridMultilevel"/>
    <w:tmpl w:val="E79C1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07279CB"/>
    <w:multiLevelType w:val="hybridMultilevel"/>
    <w:tmpl w:val="324839D4"/>
    <w:lvl w:ilvl="0" w:tplc="E5EACD22">
      <w:numFmt w:val="bullet"/>
      <w:lvlText w:val="•"/>
      <w:lvlJc w:val="left"/>
      <w:pPr>
        <w:ind w:left="720" w:hanging="72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CAD6BD4"/>
    <w:multiLevelType w:val="hybridMultilevel"/>
    <w:tmpl w:val="DBB8D546"/>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77606DC0"/>
    <w:multiLevelType w:val="hybridMultilevel"/>
    <w:tmpl w:val="8780E0A6"/>
    <w:lvl w:ilvl="0" w:tplc="4224B92E">
      <w:numFmt w:val="bullet"/>
      <w:lvlText w:val="•"/>
      <w:lvlJc w:val="left"/>
      <w:pPr>
        <w:ind w:left="360" w:hanging="36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D851D10"/>
    <w:multiLevelType w:val="hybridMultilevel"/>
    <w:tmpl w:val="317E401E"/>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2"/>
  </w:num>
  <w:num w:numId="2">
    <w:abstractNumId w:val="1"/>
  </w:num>
  <w:num w:numId="3">
    <w:abstractNumId w:val="9"/>
  </w:num>
  <w:num w:numId="4">
    <w:abstractNumId w:val="9"/>
  </w:num>
  <w:num w:numId="5">
    <w:abstractNumId w:val="0"/>
  </w:num>
  <w:num w:numId="6">
    <w:abstractNumId w:val="9"/>
  </w:num>
  <w:num w:numId="7">
    <w:abstractNumId w:val="9"/>
  </w:num>
  <w:num w:numId="8">
    <w:abstractNumId w:val="7"/>
  </w:num>
  <w:num w:numId="9">
    <w:abstractNumId w:val="7"/>
  </w:num>
  <w:num w:numId="10">
    <w:abstractNumId w:val="7"/>
  </w:num>
  <w:num w:numId="11">
    <w:abstractNumId w:val="7"/>
  </w:num>
  <w:num w:numId="12">
    <w:abstractNumId w:val="3"/>
    <w:lvlOverride w:ilvl="0">
      <w:lvl w:ilvl="0">
        <w:numFmt w:val="bullet"/>
        <w:lvlText w:val="•"/>
        <w:legacy w:legacy="1" w:legacySpace="0" w:legacyIndent="0"/>
        <w:lvlJc w:val="left"/>
        <w:rPr>
          <w:rFonts w:ascii="Helv" w:hAnsi="Helv" w:hint="default"/>
        </w:rPr>
      </w:lvl>
    </w:lvlOverride>
  </w:num>
  <w:num w:numId="13">
    <w:abstractNumId w:val="9"/>
  </w:num>
  <w:num w:numId="14">
    <w:abstractNumId w:val="9"/>
  </w:num>
  <w:num w:numId="15">
    <w:abstractNumId w:val="9"/>
  </w:num>
  <w:num w:numId="16">
    <w:abstractNumId w:val="7"/>
  </w:num>
  <w:num w:numId="17">
    <w:abstractNumId w:val="7"/>
  </w:num>
  <w:num w:numId="18">
    <w:abstractNumId w:val="7"/>
  </w:num>
  <w:num w:numId="19">
    <w:abstractNumId w:val="9"/>
  </w:num>
  <w:num w:numId="20">
    <w:abstractNumId w:val="9"/>
  </w:num>
  <w:num w:numId="21">
    <w:abstractNumId w:val="9"/>
  </w:num>
  <w:num w:numId="22">
    <w:abstractNumId w:val="7"/>
  </w:num>
  <w:num w:numId="23">
    <w:abstractNumId w:val="7"/>
  </w:num>
  <w:num w:numId="24">
    <w:abstractNumId w:val="7"/>
  </w:num>
  <w:num w:numId="25">
    <w:abstractNumId w:val="7"/>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7"/>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11"/>
  </w:num>
  <w:num w:numId="28">
    <w:abstractNumId w:val="14"/>
  </w:num>
  <w:num w:numId="29">
    <w:abstractNumId w:val="8"/>
  </w:num>
  <w:num w:numId="30">
    <w:abstractNumId w:val="10"/>
  </w:num>
  <w:num w:numId="31">
    <w:abstractNumId w:val="5"/>
  </w:num>
  <w:num w:numId="32">
    <w:abstractNumId w:val="12"/>
  </w:num>
  <w:num w:numId="33">
    <w:abstractNumId w:val="13"/>
  </w:num>
  <w:num w:numId="34">
    <w:abstractNumId w:val="15"/>
  </w:num>
  <w:num w:numId="35">
    <w:abstractNumId w:val="4"/>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78E"/>
    <w:rsid w:val="00002031"/>
    <w:rsid w:val="00004734"/>
    <w:rsid w:val="00006B22"/>
    <w:rsid w:val="00006FAB"/>
    <w:rsid w:val="00007F50"/>
    <w:rsid w:val="00011B71"/>
    <w:rsid w:val="0001276A"/>
    <w:rsid w:val="0002160E"/>
    <w:rsid w:val="000246AE"/>
    <w:rsid w:val="00025C67"/>
    <w:rsid w:val="00044772"/>
    <w:rsid w:val="0004541C"/>
    <w:rsid w:val="00046945"/>
    <w:rsid w:val="0005559E"/>
    <w:rsid w:val="000604D6"/>
    <w:rsid w:val="000734D8"/>
    <w:rsid w:val="000746FE"/>
    <w:rsid w:val="00077775"/>
    <w:rsid w:val="00090471"/>
    <w:rsid w:val="00096AA7"/>
    <w:rsid w:val="000A3AED"/>
    <w:rsid w:val="000B3532"/>
    <w:rsid w:val="000B3A75"/>
    <w:rsid w:val="000C00C2"/>
    <w:rsid w:val="000C04BD"/>
    <w:rsid w:val="000C069C"/>
    <w:rsid w:val="000C690F"/>
    <w:rsid w:val="000D1295"/>
    <w:rsid w:val="000D391B"/>
    <w:rsid w:val="000D3D6D"/>
    <w:rsid w:val="000D4FC7"/>
    <w:rsid w:val="000E6196"/>
    <w:rsid w:val="000F3877"/>
    <w:rsid w:val="000F4869"/>
    <w:rsid w:val="000F5B42"/>
    <w:rsid w:val="000F6E6F"/>
    <w:rsid w:val="0010601F"/>
    <w:rsid w:val="0010788A"/>
    <w:rsid w:val="00107A31"/>
    <w:rsid w:val="00110EA5"/>
    <w:rsid w:val="001126E2"/>
    <w:rsid w:val="00112F56"/>
    <w:rsid w:val="00113651"/>
    <w:rsid w:val="00124ACD"/>
    <w:rsid w:val="00125318"/>
    <w:rsid w:val="0012553B"/>
    <w:rsid w:val="001305A2"/>
    <w:rsid w:val="00133238"/>
    <w:rsid w:val="00133A1B"/>
    <w:rsid w:val="0014197B"/>
    <w:rsid w:val="001447CD"/>
    <w:rsid w:val="001516B1"/>
    <w:rsid w:val="00154EBB"/>
    <w:rsid w:val="00156316"/>
    <w:rsid w:val="00161181"/>
    <w:rsid w:val="00162D14"/>
    <w:rsid w:val="00163780"/>
    <w:rsid w:val="00165389"/>
    <w:rsid w:val="0017693F"/>
    <w:rsid w:val="0018110E"/>
    <w:rsid w:val="00181684"/>
    <w:rsid w:val="001843C6"/>
    <w:rsid w:val="001850E0"/>
    <w:rsid w:val="001A03AF"/>
    <w:rsid w:val="001A2158"/>
    <w:rsid w:val="001A3004"/>
    <w:rsid w:val="001A525F"/>
    <w:rsid w:val="001B09F9"/>
    <w:rsid w:val="001B2328"/>
    <w:rsid w:val="001B5C90"/>
    <w:rsid w:val="001B6448"/>
    <w:rsid w:val="001C32CD"/>
    <w:rsid w:val="001C74AF"/>
    <w:rsid w:val="001D2984"/>
    <w:rsid w:val="001E07CF"/>
    <w:rsid w:val="001E59F1"/>
    <w:rsid w:val="001F2CEE"/>
    <w:rsid w:val="001F49EB"/>
    <w:rsid w:val="001F6CBA"/>
    <w:rsid w:val="00201D4E"/>
    <w:rsid w:val="002076C9"/>
    <w:rsid w:val="00210FBC"/>
    <w:rsid w:val="002170DB"/>
    <w:rsid w:val="00220B8A"/>
    <w:rsid w:val="002257F3"/>
    <w:rsid w:val="00233456"/>
    <w:rsid w:val="002339A5"/>
    <w:rsid w:val="00250271"/>
    <w:rsid w:val="00251F1C"/>
    <w:rsid w:val="00257848"/>
    <w:rsid w:val="002578E8"/>
    <w:rsid w:val="0027084A"/>
    <w:rsid w:val="00280265"/>
    <w:rsid w:val="00286434"/>
    <w:rsid w:val="00286C59"/>
    <w:rsid w:val="00291957"/>
    <w:rsid w:val="002942D1"/>
    <w:rsid w:val="0029501A"/>
    <w:rsid w:val="002A3721"/>
    <w:rsid w:val="002B1638"/>
    <w:rsid w:val="002B3624"/>
    <w:rsid w:val="002C6D77"/>
    <w:rsid w:val="002D0952"/>
    <w:rsid w:val="002E40B3"/>
    <w:rsid w:val="002E4C9A"/>
    <w:rsid w:val="002E6CB5"/>
    <w:rsid w:val="002F11F8"/>
    <w:rsid w:val="002F3F56"/>
    <w:rsid w:val="002F44B5"/>
    <w:rsid w:val="002F5122"/>
    <w:rsid w:val="00311AC0"/>
    <w:rsid w:val="003176FC"/>
    <w:rsid w:val="0032583B"/>
    <w:rsid w:val="00327883"/>
    <w:rsid w:val="003310FE"/>
    <w:rsid w:val="00335504"/>
    <w:rsid w:val="00340C18"/>
    <w:rsid w:val="003442FD"/>
    <w:rsid w:val="00347824"/>
    <w:rsid w:val="00350567"/>
    <w:rsid w:val="003521E8"/>
    <w:rsid w:val="00370CE3"/>
    <w:rsid w:val="003728F3"/>
    <w:rsid w:val="003735BC"/>
    <w:rsid w:val="0037496E"/>
    <w:rsid w:val="00383221"/>
    <w:rsid w:val="00386150"/>
    <w:rsid w:val="003874CE"/>
    <w:rsid w:val="00390900"/>
    <w:rsid w:val="003A270C"/>
    <w:rsid w:val="003A7F6C"/>
    <w:rsid w:val="003B4D60"/>
    <w:rsid w:val="003B7E39"/>
    <w:rsid w:val="003C58DC"/>
    <w:rsid w:val="003D1E62"/>
    <w:rsid w:val="003E0B99"/>
    <w:rsid w:val="003E2486"/>
    <w:rsid w:val="003E3208"/>
    <w:rsid w:val="003F0B04"/>
    <w:rsid w:val="003F43BD"/>
    <w:rsid w:val="003F5B31"/>
    <w:rsid w:val="003F5E70"/>
    <w:rsid w:val="0040134E"/>
    <w:rsid w:val="004166C1"/>
    <w:rsid w:val="00421BF7"/>
    <w:rsid w:val="004334C7"/>
    <w:rsid w:val="00440A2D"/>
    <w:rsid w:val="0044116E"/>
    <w:rsid w:val="00441C3F"/>
    <w:rsid w:val="004420B6"/>
    <w:rsid w:val="00444D1A"/>
    <w:rsid w:val="0045186A"/>
    <w:rsid w:val="00455980"/>
    <w:rsid w:val="004564A7"/>
    <w:rsid w:val="00456765"/>
    <w:rsid w:val="00460036"/>
    <w:rsid w:val="004617BF"/>
    <w:rsid w:val="00463658"/>
    <w:rsid w:val="004637A0"/>
    <w:rsid w:val="004722CC"/>
    <w:rsid w:val="004837C4"/>
    <w:rsid w:val="00490483"/>
    <w:rsid w:val="00490C67"/>
    <w:rsid w:val="004936E4"/>
    <w:rsid w:val="00494E60"/>
    <w:rsid w:val="00497487"/>
    <w:rsid w:val="00497721"/>
    <w:rsid w:val="004A073D"/>
    <w:rsid w:val="004A2771"/>
    <w:rsid w:val="004A6189"/>
    <w:rsid w:val="004A7390"/>
    <w:rsid w:val="004B1135"/>
    <w:rsid w:val="004B7B76"/>
    <w:rsid w:val="004C239D"/>
    <w:rsid w:val="004C2DCA"/>
    <w:rsid w:val="004C4FBE"/>
    <w:rsid w:val="004C5C3A"/>
    <w:rsid w:val="004C61D2"/>
    <w:rsid w:val="004F0C4A"/>
    <w:rsid w:val="004F0F38"/>
    <w:rsid w:val="004F47D6"/>
    <w:rsid w:val="00500337"/>
    <w:rsid w:val="00501921"/>
    <w:rsid w:val="005027F0"/>
    <w:rsid w:val="00530354"/>
    <w:rsid w:val="0053625B"/>
    <w:rsid w:val="005434C6"/>
    <w:rsid w:val="00543B39"/>
    <w:rsid w:val="00546154"/>
    <w:rsid w:val="00546EB2"/>
    <w:rsid w:val="00550096"/>
    <w:rsid w:val="00555280"/>
    <w:rsid w:val="005562AB"/>
    <w:rsid w:val="00557FF9"/>
    <w:rsid w:val="00562327"/>
    <w:rsid w:val="00562DA4"/>
    <w:rsid w:val="005711D5"/>
    <w:rsid w:val="00573B95"/>
    <w:rsid w:val="00576378"/>
    <w:rsid w:val="00577130"/>
    <w:rsid w:val="00577945"/>
    <w:rsid w:val="00577E38"/>
    <w:rsid w:val="00585322"/>
    <w:rsid w:val="005857C6"/>
    <w:rsid w:val="00592F6E"/>
    <w:rsid w:val="00593902"/>
    <w:rsid w:val="00593AD1"/>
    <w:rsid w:val="005A68B6"/>
    <w:rsid w:val="005A7391"/>
    <w:rsid w:val="005B404F"/>
    <w:rsid w:val="005B6D95"/>
    <w:rsid w:val="005C5570"/>
    <w:rsid w:val="005C5B66"/>
    <w:rsid w:val="005C79A4"/>
    <w:rsid w:val="005D246C"/>
    <w:rsid w:val="005D5442"/>
    <w:rsid w:val="005D7284"/>
    <w:rsid w:val="005F124C"/>
    <w:rsid w:val="00603F32"/>
    <w:rsid w:val="00604DBA"/>
    <w:rsid w:val="00605AD4"/>
    <w:rsid w:val="00612CF1"/>
    <w:rsid w:val="006136D7"/>
    <w:rsid w:val="00625A6E"/>
    <w:rsid w:val="006310D0"/>
    <w:rsid w:val="00632398"/>
    <w:rsid w:val="0063439E"/>
    <w:rsid w:val="00636D0A"/>
    <w:rsid w:val="00640FC3"/>
    <w:rsid w:val="00642020"/>
    <w:rsid w:val="006430EE"/>
    <w:rsid w:val="006521C9"/>
    <w:rsid w:val="0065337B"/>
    <w:rsid w:val="0065419D"/>
    <w:rsid w:val="006603BC"/>
    <w:rsid w:val="006604D8"/>
    <w:rsid w:val="00664A5B"/>
    <w:rsid w:val="0066735C"/>
    <w:rsid w:val="006763D2"/>
    <w:rsid w:val="00680C08"/>
    <w:rsid w:val="006916A0"/>
    <w:rsid w:val="006931B1"/>
    <w:rsid w:val="006A15C0"/>
    <w:rsid w:val="006A1A03"/>
    <w:rsid w:val="006A58A8"/>
    <w:rsid w:val="006B784E"/>
    <w:rsid w:val="006C1E40"/>
    <w:rsid w:val="006C3E2A"/>
    <w:rsid w:val="006C642F"/>
    <w:rsid w:val="006D03E5"/>
    <w:rsid w:val="006D5D3E"/>
    <w:rsid w:val="006E08B3"/>
    <w:rsid w:val="006F17AC"/>
    <w:rsid w:val="006F25B8"/>
    <w:rsid w:val="006F26ED"/>
    <w:rsid w:val="006F572E"/>
    <w:rsid w:val="007046D6"/>
    <w:rsid w:val="00705DB0"/>
    <w:rsid w:val="00722B57"/>
    <w:rsid w:val="00730F8A"/>
    <w:rsid w:val="00735A8C"/>
    <w:rsid w:val="0074253D"/>
    <w:rsid w:val="00743748"/>
    <w:rsid w:val="0074429B"/>
    <w:rsid w:val="007615BC"/>
    <w:rsid w:val="00762F05"/>
    <w:rsid w:val="007652FF"/>
    <w:rsid w:val="00770CAC"/>
    <w:rsid w:val="00770EF1"/>
    <w:rsid w:val="00773EF7"/>
    <w:rsid w:val="00774E1D"/>
    <w:rsid w:val="007765D8"/>
    <w:rsid w:val="0077675A"/>
    <w:rsid w:val="00780355"/>
    <w:rsid w:val="007819FD"/>
    <w:rsid w:val="00785717"/>
    <w:rsid w:val="00785721"/>
    <w:rsid w:val="00793A59"/>
    <w:rsid w:val="007A46F5"/>
    <w:rsid w:val="007A6505"/>
    <w:rsid w:val="007B6132"/>
    <w:rsid w:val="007B6E9F"/>
    <w:rsid w:val="007C1216"/>
    <w:rsid w:val="007C1440"/>
    <w:rsid w:val="007C1AF7"/>
    <w:rsid w:val="007C5C55"/>
    <w:rsid w:val="007C6B9B"/>
    <w:rsid w:val="007D53B6"/>
    <w:rsid w:val="007F5480"/>
    <w:rsid w:val="00804ACE"/>
    <w:rsid w:val="00805D27"/>
    <w:rsid w:val="00806DCB"/>
    <w:rsid w:val="00821776"/>
    <w:rsid w:val="00823320"/>
    <w:rsid w:val="008310DC"/>
    <w:rsid w:val="008321F5"/>
    <w:rsid w:val="00832369"/>
    <w:rsid w:val="00834660"/>
    <w:rsid w:val="00836BC2"/>
    <w:rsid w:val="0085156D"/>
    <w:rsid w:val="00852B28"/>
    <w:rsid w:val="00852EAD"/>
    <w:rsid w:val="0085641B"/>
    <w:rsid w:val="00857136"/>
    <w:rsid w:val="00875A6B"/>
    <w:rsid w:val="00881839"/>
    <w:rsid w:val="00885B11"/>
    <w:rsid w:val="00886D15"/>
    <w:rsid w:val="00887DD8"/>
    <w:rsid w:val="00891639"/>
    <w:rsid w:val="008919FD"/>
    <w:rsid w:val="00891BA9"/>
    <w:rsid w:val="00896018"/>
    <w:rsid w:val="008960DD"/>
    <w:rsid w:val="0089635C"/>
    <w:rsid w:val="008A2B9D"/>
    <w:rsid w:val="008A3D9F"/>
    <w:rsid w:val="008A5E0B"/>
    <w:rsid w:val="008A6D59"/>
    <w:rsid w:val="008B4B03"/>
    <w:rsid w:val="008B596F"/>
    <w:rsid w:val="008C0C8B"/>
    <w:rsid w:val="008C159F"/>
    <w:rsid w:val="008C1623"/>
    <w:rsid w:val="008C1850"/>
    <w:rsid w:val="008C24C8"/>
    <w:rsid w:val="008C51A9"/>
    <w:rsid w:val="008E1C4B"/>
    <w:rsid w:val="008E7846"/>
    <w:rsid w:val="008F01FB"/>
    <w:rsid w:val="008F02E5"/>
    <w:rsid w:val="008F1B85"/>
    <w:rsid w:val="008F1CCC"/>
    <w:rsid w:val="008F2967"/>
    <w:rsid w:val="008F6943"/>
    <w:rsid w:val="00902A21"/>
    <w:rsid w:val="0091523F"/>
    <w:rsid w:val="00920330"/>
    <w:rsid w:val="009219D7"/>
    <w:rsid w:val="00922D53"/>
    <w:rsid w:val="00923B70"/>
    <w:rsid w:val="00924482"/>
    <w:rsid w:val="00930237"/>
    <w:rsid w:val="00937C17"/>
    <w:rsid w:val="009401B9"/>
    <w:rsid w:val="00940A89"/>
    <w:rsid w:val="00941F77"/>
    <w:rsid w:val="009422D4"/>
    <w:rsid w:val="00946EA5"/>
    <w:rsid w:val="00960520"/>
    <w:rsid w:val="00963C08"/>
    <w:rsid w:val="009666A6"/>
    <w:rsid w:val="009752A5"/>
    <w:rsid w:val="0098585A"/>
    <w:rsid w:val="00992B7F"/>
    <w:rsid w:val="009A4CED"/>
    <w:rsid w:val="009A690D"/>
    <w:rsid w:val="009B1D12"/>
    <w:rsid w:val="009B416B"/>
    <w:rsid w:val="009B482C"/>
    <w:rsid w:val="009C4BD5"/>
    <w:rsid w:val="009D6289"/>
    <w:rsid w:val="009D796D"/>
    <w:rsid w:val="009D7B77"/>
    <w:rsid w:val="009E02AA"/>
    <w:rsid w:val="009E0BB0"/>
    <w:rsid w:val="009E3FBB"/>
    <w:rsid w:val="009F7353"/>
    <w:rsid w:val="00A04F85"/>
    <w:rsid w:val="00A05FA4"/>
    <w:rsid w:val="00A102E4"/>
    <w:rsid w:val="00A1219C"/>
    <w:rsid w:val="00A12C42"/>
    <w:rsid w:val="00A14DF7"/>
    <w:rsid w:val="00A22D57"/>
    <w:rsid w:val="00A3246D"/>
    <w:rsid w:val="00A353BE"/>
    <w:rsid w:val="00A3685E"/>
    <w:rsid w:val="00A36FA7"/>
    <w:rsid w:val="00A44DDB"/>
    <w:rsid w:val="00A475B7"/>
    <w:rsid w:val="00A47AF7"/>
    <w:rsid w:val="00A47C3E"/>
    <w:rsid w:val="00A50226"/>
    <w:rsid w:val="00A60BAD"/>
    <w:rsid w:val="00A77F87"/>
    <w:rsid w:val="00A80B5B"/>
    <w:rsid w:val="00A84E36"/>
    <w:rsid w:val="00A964D1"/>
    <w:rsid w:val="00AA0ED0"/>
    <w:rsid w:val="00AB1B30"/>
    <w:rsid w:val="00AB30E5"/>
    <w:rsid w:val="00AC2B40"/>
    <w:rsid w:val="00AC2BB2"/>
    <w:rsid w:val="00AC2C3C"/>
    <w:rsid w:val="00AC512D"/>
    <w:rsid w:val="00AC7C4D"/>
    <w:rsid w:val="00AD0083"/>
    <w:rsid w:val="00AD3935"/>
    <w:rsid w:val="00AE65EB"/>
    <w:rsid w:val="00AE67A7"/>
    <w:rsid w:val="00AF1D94"/>
    <w:rsid w:val="00AF60C5"/>
    <w:rsid w:val="00B009C6"/>
    <w:rsid w:val="00B01548"/>
    <w:rsid w:val="00B130C5"/>
    <w:rsid w:val="00B13EBD"/>
    <w:rsid w:val="00B154B2"/>
    <w:rsid w:val="00B21D29"/>
    <w:rsid w:val="00B25034"/>
    <w:rsid w:val="00B33588"/>
    <w:rsid w:val="00B33863"/>
    <w:rsid w:val="00B37D17"/>
    <w:rsid w:val="00B4175E"/>
    <w:rsid w:val="00B41C85"/>
    <w:rsid w:val="00B440C5"/>
    <w:rsid w:val="00B452CE"/>
    <w:rsid w:val="00B54C25"/>
    <w:rsid w:val="00B76B91"/>
    <w:rsid w:val="00B77EB1"/>
    <w:rsid w:val="00B80E2C"/>
    <w:rsid w:val="00B811C6"/>
    <w:rsid w:val="00B855B0"/>
    <w:rsid w:val="00B92E08"/>
    <w:rsid w:val="00B95DFF"/>
    <w:rsid w:val="00B97A07"/>
    <w:rsid w:val="00BB4F88"/>
    <w:rsid w:val="00BC622A"/>
    <w:rsid w:val="00BC7C1D"/>
    <w:rsid w:val="00BE0A78"/>
    <w:rsid w:val="00BE73D9"/>
    <w:rsid w:val="00BE79F0"/>
    <w:rsid w:val="00BF046D"/>
    <w:rsid w:val="00BF1190"/>
    <w:rsid w:val="00BF3774"/>
    <w:rsid w:val="00BF5D04"/>
    <w:rsid w:val="00C009AA"/>
    <w:rsid w:val="00C1164D"/>
    <w:rsid w:val="00C15CBA"/>
    <w:rsid w:val="00C16861"/>
    <w:rsid w:val="00C32129"/>
    <w:rsid w:val="00C346AB"/>
    <w:rsid w:val="00C404A6"/>
    <w:rsid w:val="00C40A36"/>
    <w:rsid w:val="00C44419"/>
    <w:rsid w:val="00C45E7B"/>
    <w:rsid w:val="00C471B1"/>
    <w:rsid w:val="00C525A2"/>
    <w:rsid w:val="00C52E24"/>
    <w:rsid w:val="00C6316B"/>
    <w:rsid w:val="00C634A9"/>
    <w:rsid w:val="00C64586"/>
    <w:rsid w:val="00C70A36"/>
    <w:rsid w:val="00C70D53"/>
    <w:rsid w:val="00C73D0B"/>
    <w:rsid w:val="00C74F5C"/>
    <w:rsid w:val="00C772FF"/>
    <w:rsid w:val="00C80137"/>
    <w:rsid w:val="00C801AF"/>
    <w:rsid w:val="00C80256"/>
    <w:rsid w:val="00C87780"/>
    <w:rsid w:val="00C90F96"/>
    <w:rsid w:val="00C94CD4"/>
    <w:rsid w:val="00C9747E"/>
    <w:rsid w:val="00CB058C"/>
    <w:rsid w:val="00CB6BC0"/>
    <w:rsid w:val="00CC1B7C"/>
    <w:rsid w:val="00CC345B"/>
    <w:rsid w:val="00CC727F"/>
    <w:rsid w:val="00CF15C3"/>
    <w:rsid w:val="00CF2B6F"/>
    <w:rsid w:val="00CF2F3E"/>
    <w:rsid w:val="00CF58B6"/>
    <w:rsid w:val="00CF5DAD"/>
    <w:rsid w:val="00D0062D"/>
    <w:rsid w:val="00D017ED"/>
    <w:rsid w:val="00D040D3"/>
    <w:rsid w:val="00D04C65"/>
    <w:rsid w:val="00D153D8"/>
    <w:rsid w:val="00D201D2"/>
    <w:rsid w:val="00D224FE"/>
    <w:rsid w:val="00D23139"/>
    <w:rsid w:val="00D344FD"/>
    <w:rsid w:val="00D425BB"/>
    <w:rsid w:val="00D441E6"/>
    <w:rsid w:val="00D453FA"/>
    <w:rsid w:val="00D50A4C"/>
    <w:rsid w:val="00D54A7E"/>
    <w:rsid w:val="00D6493E"/>
    <w:rsid w:val="00D65DDC"/>
    <w:rsid w:val="00D7195D"/>
    <w:rsid w:val="00D72965"/>
    <w:rsid w:val="00D72F95"/>
    <w:rsid w:val="00D7301E"/>
    <w:rsid w:val="00D83AE1"/>
    <w:rsid w:val="00D855D4"/>
    <w:rsid w:val="00D902C9"/>
    <w:rsid w:val="00D93466"/>
    <w:rsid w:val="00D961DA"/>
    <w:rsid w:val="00DA1124"/>
    <w:rsid w:val="00DA64CB"/>
    <w:rsid w:val="00DB06B8"/>
    <w:rsid w:val="00DB6124"/>
    <w:rsid w:val="00DB750B"/>
    <w:rsid w:val="00DB75B7"/>
    <w:rsid w:val="00DC0A2F"/>
    <w:rsid w:val="00DC1948"/>
    <w:rsid w:val="00DC6E02"/>
    <w:rsid w:val="00DD28CD"/>
    <w:rsid w:val="00DD71FD"/>
    <w:rsid w:val="00DE02AE"/>
    <w:rsid w:val="00DE39D1"/>
    <w:rsid w:val="00DF1D7F"/>
    <w:rsid w:val="00DF4BE4"/>
    <w:rsid w:val="00DF7CF6"/>
    <w:rsid w:val="00E02382"/>
    <w:rsid w:val="00E02FB4"/>
    <w:rsid w:val="00E13FC7"/>
    <w:rsid w:val="00E14480"/>
    <w:rsid w:val="00E20571"/>
    <w:rsid w:val="00E21108"/>
    <w:rsid w:val="00E235F7"/>
    <w:rsid w:val="00E23659"/>
    <w:rsid w:val="00E239D4"/>
    <w:rsid w:val="00E26130"/>
    <w:rsid w:val="00E40B22"/>
    <w:rsid w:val="00E434C1"/>
    <w:rsid w:val="00E44ED1"/>
    <w:rsid w:val="00E45619"/>
    <w:rsid w:val="00E4588F"/>
    <w:rsid w:val="00E46DA3"/>
    <w:rsid w:val="00E4778E"/>
    <w:rsid w:val="00E51BB1"/>
    <w:rsid w:val="00E55CB0"/>
    <w:rsid w:val="00E624A5"/>
    <w:rsid w:val="00E64BA4"/>
    <w:rsid w:val="00E7344E"/>
    <w:rsid w:val="00E82665"/>
    <w:rsid w:val="00E908F9"/>
    <w:rsid w:val="00E93415"/>
    <w:rsid w:val="00E975EA"/>
    <w:rsid w:val="00EA6388"/>
    <w:rsid w:val="00EB0798"/>
    <w:rsid w:val="00EB40AD"/>
    <w:rsid w:val="00EB586E"/>
    <w:rsid w:val="00EB5FC8"/>
    <w:rsid w:val="00EC463D"/>
    <w:rsid w:val="00EC49CB"/>
    <w:rsid w:val="00EC7A85"/>
    <w:rsid w:val="00ED2813"/>
    <w:rsid w:val="00ED2922"/>
    <w:rsid w:val="00ED3CAD"/>
    <w:rsid w:val="00ED3FA8"/>
    <w:rsid w:val="00ED5A41"/>
    <w:rsid w:val="00EE1DE8"/>
    <w:rsid w:val="00EE27C2"/>
    <w:rsid w:val="00EF4BAD"/>
    <w:rsid w:val="00EF59DC"/>
    <w:rsid w:val="00F033EC"/>
    <w:rsid w:val="00F04F68"/>
    <w:rsid w:val="00F06E68"/>
    <w:rsid w:val="00F12670"/>
    <w:rsid w:val="00F14B27"/>
    <w:rsid w:val="00F3148D"/>
    <w:rsid w:val="00F325C5"/>
    <w:rsid w:val="00F32FE0"/>
    <w:rsid w:val="00F35298"/>
    <w:rsid w:val="00F47333"/>
    <w:rsid w:val="00F47E37"/>
    <w:rsid w:val="00F53C07"/>
    <w:rsid w:val="00F53F8B"/>
    <w:rsid w:val="00F54B65"/>
    <w:rsid w:val="00F640B6"/>
    <w:rsid w:val="00F66DF2"/>
    <w:rsid w:val="00F80E40"/>
    <w:rsid w:val="00F848D9"/>
    <w:rsid w:val="00F86F0F"/>
    <w:rsid w:val="00F92D05"/>
    <w:rsid w:val="00FA40B0"/>
    <w:rsid w:val="00FA5069"/>
    <w:rsid w:val="00FA5B82"/>
    <w:rsid w:val="00FA639E"/>
    <w:rsid w:val="00FB05AF"/>
    <w:rsid w:val="00FB6B4C"/>
    <w:rsid w:val="00FC1FCA"/>
    <w:rsid w:val="00FC25E4"/>
    <w:rsid w:val="00FC4EF7"/>
    <w:rsid w:val="00FD0824"/>
    <w:rsid w:val="00FD119B"/>
    <w:rsid w:val="00FD1EDC"/>
    <w:rsid w:val="00FE1DEE"/>
    <w:rsid w:val="00FF2126"/>
    <w:rsid w:val="00FF2AE5"/>
    <w:rsid w:val="00FF5755"/>
    <w:rsid w:val="00FF69BE"/>
    <w:rsid w:val="00FF7B93"/>
    <w:rsid w:val="00FF7BA0"/>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9EA19AE"/>
  <w15:docId w15:val="{4D325899-D4E3-4A76-8828-841905F66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D3935"/>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C74F5C"/>
    <w:pPr>
      <w:outlineLvl w:val="1"/>
    </w:pPr>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9D6289"/>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C74F5C"/>
    <w:pPr>
      <w:spacing w:before="240"/>
      <w:outlineLvl w:val="1"/>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24"/>
      </w:numPr>
    </w:pPr>
  </w:style>
  <w:style w:type="paragraph" w:customStyle="1" w:styleId="Numberbullet2">
    <w:name w:val="Number bullet 2"/>
    <w:basedOn w:val="ListBullet2"/>
    <w:uiPriority w:val="2"/>
    <w:qFormat/>
    <w:rsid w:val="004C2DCA"/>
    <w:pPr>
      <w:numPr>
        <w:numId w:val="24"/>
      </w:numPr>
    </w:pPr>
  </w:style>
  <w:style w:type="paragraph" w:customStyle="1" w:styleId="Numberbullet3">
    <w:name w:val="Number bullet 3"/>
    <w:basedOn w:val="ListBullet3"/>
    <w:uiPriority w:val="2"/>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500337"/>
    <w:pPr>
      <w:spacing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C74F5C"/>
    <w:pPr>
      <w:spacing w:after="480" w:line="240" w:lineRule="auto"/>
      <w:contextualSpacing/>
      <w:outlineLvl w:val="0"/>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C74F5C"/>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uiPriority w:val="99"/>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customStyle="1" w:styleId="Default">
    <w:name w:val="Default"/>
    <w:rsid w:val="00D441E6"/>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rsid w:val="00D65DDC"/>
    <w:pPr>
      <w:adjustRightInd w:val="0"/>
      <w:snapToGrid w:val="0"/>
      <w:spacing w:before="180" w:after="180"/>
      <w:ind w:left="720"/>
      <w:contextualSpacing/>
    </w:pPr>
    <w:rPr>
      <w:rFonts w:eastAsia="MS Mincho"/>
      <w:szCs w:val="20"/>
      <w:lang w:eastAsia="ja-JP"/>
    </w:rPr>
  </w:style>
  <w:style w:type="paragraph" w:customStyle="1" w:styleId="Summaryofsafetyconcerns">
    <w:name w:val="Summary of safety concerns"/>
    <w:basedOn w:val="Normal"/>
    <w:link w:val="SummaryofsafetyconcernsChar"/>
    <w:qFormat/>
    <w:rsid w:val="00AB1B30"/>
    <w:pPr>
      <w:spacing w:before="20" w:after="20" w:line="252" w:lineRule="auto"/>
    </w:pPr>
    <w:rPr>
      <w:rFonts w:eastAsia="Times New Roman"/>
      <w:b/>
      <w:snapToGrid w:val="0"/>
      <w:kern w:val="16"/>
      <w:sz w:val="20"/>
      <w:szCs w:val="24"/>
    </w:rPr>
  </w:style>
  <w:style w:type="character" w:customStyle="1" w:styleId="SummaryofsafetyconcernsChar">
    <w:name w:val="Summary of safety concerns Char"/>
    <w:basedOn w:val="DefaultParagraphFont"/>
    <w:link w:val="Summaryofsafetyconcerns"/>
    <w:rsid w:val="00AB1B30"/>
    <w:rPr>
      <w:rFonts w:ascii="Cambria" w:eastAsia="Times New Roman" w:hAnsi="Cambria" w:cs="Times New Roman"/>
      <w:b/>
      <w:snapToGrid w:val="0"/>
      <w:kern w:val="16"/>
      <w:sz w:val="20"/>
      <w:szCs w:val="24"/>
    </w:rPr>
  </w:style>
  <w:style w:type="table" w:customStyle="1" w:styleId="TableGrid1">
    <w:name w:val="Table Grid1"/>
    <w:basedOn w:val="TableNormal"/>
    <w:next w:val="TableGrid"/>
    <w:uiPriority w:val="59"/>
    <w:rsid w:val="00CB0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 text Char"/>
    <w:basedOn w:val="DefaultParagraphFont"/>
    <w:link w:val="Tabletext"/>
    <w:rsid w:val="00CB058C"/>
    <w:rPr>
      <w:rFonts w:ascii="Cambria" w:eastAsia="Cambria" w:hAnsi="Cambria" w:cs="Times New Roman"/>
      <w:sz w:val="19"/>
    </w:rPr>
  </w:style>
  <w:style w:type="paragraph" w:customStyle="1" w:styleId="Bulletlist">
    <w:name w:val="Bullet list"/>
    <w:basedOn w:val="Normal"/>
    <w:link w:val="BulletlistChar"/>
    <w:qFormat/>
    <w:rsid w:val="00CB058C"/>
    <w:pPr>
      <w:numPr>
        <w:numId w:val="37"/>
      </w:numPr>
      <w:spacing w:before="0" w:after="180" w:line="252" w:lineRule="auto"/>
      <w:ind w:left="426" w:hanging="284"/>
    </w:pPr>
    <w:rPr>
      <w:rFonts w:eastAsia="Times New Roman"/>
      <w:snapToGrid w:val="0"/>
      <w:kern w:val="2"/>
      <w:sz w:val="23"/>
    </w:rPr>
  </w:style>
  <w:style w:type="character" w:customStyle="1" w:styleId="BulletlistChar">
    <w:name w:val="Bullet list Char"/>
    <w:basedOn w:val="DefaultParagraphFont"/>
    <w:link w:val="Bulletlist"/>
    <w:rsid w:val="00CB058C"/>
    <w:rPr>
      <w:rFonts w:ascii="Cambria" w:eastAsia="Times New Roman" w:hAnsi="Cambria" w:cs="Times New Roman"/>
      <w:snapToGrid w:val="0"/>
      <w:kern w:val="2"/>
      <w:sz w:val="23"/>
    </w:rPr>
  </w:style>
  <w:style w:type="paragraph" w:styleId="BodyText">
    <w:name w:val="Body Text"/>
    <w:basedOn w:val="Normal"/>
    <w:link w:val="BodyTextChar"/>
    <w:uiPriority w:val="1"/>
    <w:qFormat/>
    <w:rsid w:val="003A270C"/>
    <w:pPr>
      <w:widowControl w:val="0"/>
      <w:autoSpaceDE w:val="0"/>
      <w:autoSpaceDN w:val="0"/>
      <w:adjustRightInd w:val="0"/>
      <w:spacing w:before="0" w:after="0" w:line="240" w:lineRule="auto"/>
    </w:pPr>
    <w:rPr>
      <w:rFonts w:eastAsia="Times New Roman" w:cs="Cambria"/>
      <w:lang w:val="en-US"/>
    </w:rPr>
  </w:style>
  <w:style w:type="character" w:customStyle="1" w:styleId="BodyTextChar">
    <w:name w:val="Body Text Char"/>
    <w:basedOn w:val="DefaultParagraphFont"/>
    <w:link w:val="BodyText"/>
    <w:uiPriority w:val="1"/>
    <w:rsid w:val="003A270C"/>
    <w:rPr>
      <w:rFonts w:ascii="Cambria" w:eastAsia="Times New Roman" w:hAnsi="Cambria" w:cs="Cambr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363051">
      <w:bodyDiv w:val="1"/>
      <w:marLeft w:val="0"/>
      <w:marRight w:val="0"/>
      <w:marTop w:val="0"/>
      <w:marBottom w:val="0"/>
      <w:divBdr>
        <w:top w:val="none" w:sz="0" w:space="0" w:color="auto"/>
        <w:left w:val="none" w:sz="0" w:space="0" w:color="auto"/>
        <w:bottom w:val="none" w:sz="0" w:space="0" w:color="auto"/>
        <w:right w:val="none" w:sz="0" w:space="0" w:color="auto"/>
      </w:divBdr>
    </w:div>
    <w:div w:id="112226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ga.gov.au" TargetMode="External"/><Relationship Id="rId13" Type="http://schemas.openxmlformats.org/officeDocument/2006/relationships/footer" Target="footer2.xml"/><Relationship Id="rId18" Type="http://schemas.openxmlformats.org/officeDocument/2006/relationships/image" Target="media/image4.emf"/><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header" Target="header4.xml"/><Relationship Id="rId33"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s://www.tga.gov.au/product-information-pi" TargetMode="External"/><Relationship Id="rId20" Type="http://schemas.openxmlformats.org/officeDocument/2006/relationships/image" Target="media/image6.png"/><Relationship Id="rId29" Type="http://schemas.openxmlformats.org/officeDocument/2006/relationships/hyperlink" Target="mailto:info@tga.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tga.gov.au/product-information-pi" TargetMode="External"/><Relationship Id="rId32" Type="http://schemas.openxmlformats.org/officeDocument/2006/relationships/header" Target="header8.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9.png"/><Relationship Id="rId28" Type="http://schemas.openxmlformats.org/officeDocument/2006/relationships/footer" Target="footer4.xm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5.png"/><Relationship Id="rId31"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mailto:tga.copyright@tga.gov.au" TargetMode="External"/><Relationship Id="rId14" Type="http://schemas.openxmlformats.org/officeDocument/2006/relationships/header" Target="header3.xml"/><Relationship Id="rId22" Type="http://schemas.openxmlformats.org/officeDocument/2006/relationships/image" Target="media/image8.png"/><Relationship Id="rId27" Type="http://schemas.openxmlformats.org/officeDocument/2006/relationships/header" Target="header6.xml"/><Relationship Id="rId30" Type="http://schemas.openxmlformats.org/officeDocument/2006/relationships/hyperlink" Target="https://www.tga.gov.au" TargetMode="External"/><Relationship Id="rId35" Type="http://schemas.openxmlformats.org/officeDocument/2006/relationships/footer" Target="footer6.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YYIN\AppData\Local\Hewlett-Packard\HP%20TRIM\TEMP\HPTRIM.69212\D19-5975236%20%20AusPAR%20-%20template%20-%20streamlined.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9AB10-9A9C-49FD-A8FC-66AF1FD73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D19-5975236  AusPAR - template - streamlined.DOTX</Template>
  <TotalTime>8</TotalTime>
  <Pages>26</Pages>
  <Words>7273</Words>
  <Characters>41457</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Australian public assessment report for</vt:lpstr>
    </vt:vector>
  </TitlesOfParts>
  <Company>Department of Health Therapeutic Goods Administration</Company>
  <LinksUpToDate>false</LinksUpToDate>
  <CharactersWithSpaces>48633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Eculizumab</dc:title>
  <dc:subject>prescription medicines</dc:subject>
  <dc:creator> Therapeutic Goods Administration</dc:creator>
  <cp:keywords/>
  <cp:lastPrinted>2020-10-19T01:58:00Z</cp:lastPrinted>
  <dcterms:created xsi:type="dcterms:W3CDTF">2020-12-01T22:40:00Z</dcterms:created>
  <dcterms:modified xsi:type="dcterms:W3CDTF">2020-12-01T22:48:00Z</dcterms:modified>
  <cp:category/>
</cp:coreProperties>
</file>