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F02C9" w14:textId="77777777" w:rsidR="000B4C5D" w:rsidRPr="00D82CA2" w:rsidRDefault="000B4C5D" w:rsidP="007F4E2A">
      <w:pPr>
        <w:tabs>
          <w:tab w:val="left" w:pos="284"/>
        </w:tabs>
        <w:spacing w:after="360"/>
      </w:pPr>
      <w:r>
        <w:rPr>
          <w:noProof/>
          <w:color w:val="2B579A"/>
          <w:shd w:val="clear" w:color="auto" w:fill="E6E6E6"/>
          <w:lang w:eastAsia="en-AU"/>
        </w:rPr>
        <mc:AlternateContent>
          <mc:Choice Requires="wps">
            <w:drawing>
              <wp:inline distT="0" distB="0" distL="0" distR="0" wp14:anchorId="435AB089" wp14:editId="0933579B">
                <wp:extent cx="252095" cy="252095"/>
                <wp:effectExtent l="0" t="0" r="0" b="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70C67" w14:textId="77777777" w:rsidR="00E679E2" w:rsidRPr="00BE2A26" w:rsidRDefault="00E679E2" w:rsidP="000B4C5D">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35AB08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" stroked="f">
                <v:textbox inset="0,0,0,0">
                  <w:txbxContent>
                    <w:p w14:paraId="24E70C67" w14:textId="77777777" w:rsidR="00E679E2" w:rsidRPr="00BE2A26" w:rsidRDefault="00E679E2" w:rsidP="000B4C5D">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D82CA2">
        <w:t xml:space="preserve">This medicinal product is subject to additional monitoring </w:t>
      </w:r>
      <w:r w:rsidRPr="00123DFA">
        <w:t>in Australia</w:t>
      </w:r>
      <w:r w:rsidRPr="00D82CA2">
        <w:t xml:space="preserve">. This will allow quick identification of new safety information. Healthcare professionals are asked to report any suspected adverse events at </w:t>
      </w:r>
      <w:hyperlink r:id="rId11" w:history="1">
        <w:r w:rsidRPr="00D82CA2">
          <w:rPr>
            <w:rStyle w:val="Hyperlink"/>
          </w:rPr>
          <w:t>www.tga.gov.au/reporting-problems</w:t>
        </w:r>
      </w:hyperlink>
      <w:r w:rsidRPr="00D82CA2">
        <w:t>.</w:t>
      </w:r>
    </w:p>
    <w:p w14:paraId="04CC014A" w14:textId="45E0DDE2" w:rsidR="004032BD" w:rsidRDefault="00F40327" w:rsidP="003C13FF">
      <w:pPr>
        <w:pStyle w:val="Heading1"/>
        <w:numPr>
          <w:ilvl w:val="0"/>
          <w:numId w:val="0"/>
        </w:numPr>
        <w:spacing w:before="0" w:after="360"/>
        <w:jc w:val="center"/>
        <w:rPr>
          <w:rFonts w:cs="Times New Roman"/>
        </w:rPr>
      </w:pPr>
      <w:r w:rsidRPr="00731806">
        <w:rPr>
          <w:rFonts w:eastAsia="SimSun" w:cs="Times New Roman"/>
          <w:noProof/>
          <w:lang w:eastAsia="en-AU"/>
        </w:rPr>
        <mc:AlternateContent>
          <mc:Choice Requires="wps">
            <w:drawing>
              <wp:anchor distT="0" distB="0" distL="114300" distR="114300" simplePos="0" relativeHeight="251659264" behindDoc="0" locked="0" layoutInCell="1" allowOverlap="1" wp14:anchorId="33536A1E" wp14:editId="221ADC3D">
                <wp:simplePos x="0" y="0"/>
                <wp:positionH relativeFrom="column">
                  <wp:posOffset>-158750</wp:posOffset>
                </wp:positionH>
                <wp:positionV relativeFrom="paragraph">
                  <wp:posOffset>628651</wp:posOffset>
                </wp:positionV>
                <wp:extent cx="5875655" cy="2844800"/>
                <wp:effectExtent l="0" t="0" r="10795" b="12700"/>
                <wp:wrapNone/>
                <wp:docPr id="1" name="Rectangle 1"/>
                <wp:cNvGraphicFramePr/>
                <a:graphic xmlns:a="http://schemas.openxmlformats.org/drawingml/2006/main">
                  <a:graphicData uri="http://schemas.microsoft.com/office/word/2010/wordprocessingShape">
                    <wps:wsp>
                      <wps:cNvSpPr/>
                      <wps:spPr>
                        <a:xfrm>
                          <a:off x="0" y="0"/>
                          <a:ext cx="5875655" cy="284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9B143E" id="Rectangle 1" o:spid="_x0000_s1026" style="position:absolute;margin-left:-12.5pt;margin-top:49.5pt;width:462.6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" filled="f" strokecolor="black [3213]"/>
            </w:pict>
          </mc:Fallback>
        </mc:AlternateContent>
      </w:r>
      <w:r w:rsidR="004032BD" w:rsidRPr="00731806">
        <w:rPr>
          <w:rFonts w:eastAsia="SimSun" w:cs="Times New Roman"/>
        </w:rPr>
        <w:t>Australian P</w:t>
      </w:r>
      <w:r w:rsidR="00977A03" w:rsidRPr="00731806">
        <w:rPr>
          <w:rFonts w:eastAsia="SimSun" w:cs="Times New Roman"/>
        </w:rPr>
        <w:t xml:space="preserve">roduct </w:t>
      </w:r>
      <w:r w:rsidR="004032BD" w:rsidRPr="00731806">
        <w:rPr>
          <w:rFonts w:eastAsia="SimSun" w:cs="Times New Roman"/>
        </w:rPr>
        <w:t>I</w:t>
      </w:r>
      <w:r w:rsidR="00977A03" w:rsidRPr="00731806">
        <w:rPr>
          <w:rFonts w:eastAsia="SimSun" w:cs="Times New Roman"/>
        </w:rPr>
        <w:t>nformation</w:t>
      </w:r>
      <w:r w:rsidR="004032BD" w:rsidRPr="00731806">
        <w:rPr>
          <w:rFonts w:eastAsia="SimSun" w:cs="Times New Roman"/>
        </w:rPr>
        <w:t xml:space="preserve"> – </w:t>
      </w:r>
      <w:r w:rsidR="004A1545" w:rsidRPr="00731806">
        <w:rPr>
          <w:rFonts w:cs="Times New Roman"/>
          <w:szCs w:val="24"/>
          <w:lang w:val="en-US"/>
        </w:rPr>
        <w:t>SOLIRIS</w:t>
      </w:r>
      <w:r w:rsidR="004A1545" w:rsidRPr="00731806">
        <w:rPr>
          <w:rFonts w:cs="Times New Roman"/>
          <w:szCs w:val="24"/>
          <w:vertAlign w:val="superscript"/>
          <w:lang w:val="en-US"/>
        </w:rPr>
        <w:t>®</w:t>
      </w:r>
      <w:r w:rsidR="00F45343" w:rsidRPr="00731806">
        <w:rPr>
          <w:rFonts w:cs="Times New Roman"/>
          <w:szCs w:val="24"/>
          <w:vertAlign w:val="superscript"/>
          <w:lang w:val="en-US"/>
        </w:rPr>
        <w:t xml:space="preserve"> </w:t>
      </w:r>
      <w:r w:rsidR="00F93377" w:rsidRPr="00F93377">
        <w:rPr>
          <w:rFonts w:cs="Times New Roman"/>
          <w:szCs w:val="24"/>
          <w:lang w:val="en-US"/>
        </w:rPr>
        <w:t>(</w:t>
      </w:r>
      <w:r w:rsidR="00F45343" w:rsidRPr="00731806">
        <w:rPr>
          <w:rFonts w:eastAsia="SimSun" w:cs="Times New Roman"/>
        </w:rPr>
        <w:t xml:space="preserve">eculizumab </w:t>
      </w:r>
      <w:r w:rsidR="00F45343" w:rsidRPr="00731806">
        <w:rPr>
          <w:rFonts w:cs="Times New Roman"/>
          <w:i/>
        </w:rPr>
        <w:t>rMC</w:t>
      </w:r>
      <w:r w:rsidR="00F93377">
        <w:rPr>
          <w:rFonts w:cs="Times New Roman"/>
          <w:i/>
        </w:rPr>
        <w:t>)</w:t>
      </w:r>
      <w:r w:rsidR="00DB4CEE">
        <w:rPr>
          <w:rFonts w:cs="Times New Roman"/>
          <w:i/>
        </w:rPr>
        <w:t xml:space="preserve"> </w:t>
      </w:r>
      <w:r w:rsidR="00DB4CEE" w:rsidRPr="00DB4CEE">
        <w:rPr>
          <w:rFonts w:cs="Times New Roman"/>
        </w:rPr>
        <w:t>concentrated solution for intravenous infusion</w:t>
      </w:r>
    </w:p>
    <w:p w14:paraId="215A1C0C" w14:textId="77777777" w:rsidR="004A1545" w:rsidRPr="00864407" w:rsidRDefault="004A1545" w:rsidP="003C13FF">
      <w:pPr>
        <w:rPr>
          <w:rFonts w:asciiTheme="majorHAnsi" w:eastAsia="Batang" w:hAnsiTheme="majorHAnsi" w:cs="Times New Roman"/>
          <w:b/>
        </w:rPr>
      </w:pPr>
      <w:r w:rsidRPr="00864407">
        <w:rPr>
          <w:rFonts w:asciiTheme="majorHAnsi" w:eastAsia="Batang" w:hAnsiTheme="majorHAnsi" w:cs="Times New Roman"/>
          <w:b/>
        </w:rPr>
        <w:t>WARNING: SERIOUS MENINGOCOCCAL INFECTION</w:t>
      </w:r>
      <w:r w:rsidRPr="00864407">
        <w:rPr>
          <w:rFonts w:asciiTheme="majorHAnsi" w:eastAsia="Batang" w:hAnsiTheme="majorHAnsi" w:cs="Times New Roman"/>
          <w:b/>
        </w:rPr>
        <w:br/>
        <w:t>S</w:t>
      </w:r>
      <w:r w:rsidR="003C2E29" w:rsidRPr="00864407">
        <w:rPr>
          <w:rFonts w:asciiTheme="majorHAnsi" w:eastAsia="Batang" w:hAnsiTheme="majorHAnsi" w:cs="Times New Roman"/>
          <w:b/>
        </w:rPr>
        <w:t>oliris</w:t>
      </w:r>
      <w:r w:rsidRPr="00864407">
        <w:rPr>
          <w:rFonts w:asciiTheme="majorHAnsi" w:eastAsia="Batang" w:hAnsiTheme="majorHAnsi" w:cs="Times New Roman"/>
          <w:b/>
        </w:rPr>
        <w:t xml:space="preserve"> increases the risk of meningococcal infections</w:t>
      </w:r>
    </w:p>
    <w:p w14:paraId="18F2B9A0" w14:textId="641707FA" w:rsidR="001F7533" w:rsidRDefault="004A1545" w:rsidP="009F3AF8">
      <w:pPr>
        <w:pStyle w:val="Default"/>
        <w:numPr>
          <w:ilvl w:val="0"/>
          <w:numId w:val="2"/>
        </w:numPr>
        <w:spacing w:after="120"/>
        <w:ind w:left="714" w:hanging="357"/>
        <w:rPr>
          <w:rFonts w:asciiTheme="majorHAnsi" w:eastAsia="Batang" w:hAnsiTheme="majorHAnsi" w:cs="Times New Roman"/>
          <w:b/>
          <w:color w:val="auto"/>
          <w:lang w:val="en-AU"/>
        </w:rPr>
      </w:pPr>
      <w:r w:rsidRPr="00864407">
        <w:rPr>
          <w:rFonts w:asciiTheme="majorHAnsi" w:eastAsia="Batang" w:hAnsiTheme="majorHAnsi" w:cs="Times New Roman"/>
          <w:b/>
          <w:color w:val="auto"/>
          <w:lang w:val="en-AU"/>
        </w:rPr>
        <w:t>Vaccinate patients a</w:t>
      </w:r>
      <w:r w:rsidR="00A06E2B">
        <w:rPr>
          <w:rFonts w:asciiTheme="majorHAnsi" w:eastAsia="Batang" w:hAnsiTheme="majorHAnsi" w:cs="Times New Roman"/>
          <w:b/>
          <w:color w:val="auto"/>
          <w:lang w:val="en-AU"/>
        </w:rPr>
        <w:t>gainst</w:t>
      </w:r>
      <w:r w:rsidRPr="00864407">
        <w:rPr>
          <w:rFonts w:asciiTheme="majorHAnsi" w:eastAsia="Batang" w:hAnsiTheme="majorHAnsi" w:cs="Times New Roman"/>
          <w:b/>
          <w:color w:val="auto"/>
          <w:lang w:val="en-AU"/>
        </w:rPr>
        <w:t xml:space="preserve"> meningococcal </w:t>
      </w:r>
      <w:r w:rsidR="007123A3">
        <w:rPr>
          <w:rFonts w:asciiTheme="majorHAnsi" w:eastAsia="Batang" w:hAnsiTheme="majorHAnsi" w:cs="Times New Roman"/>
          <w:b/>
          <w:color w:val="auto"/>
          <w:lang w:val="en-AU"/>
        </w:rPr>
        <w:t>infection (</w:t>
      </w:r>
      <w:r w:rsidR="00D552C7">
        <w:rPr>
          <w:rFonts w:asciiTheme="majorHAnsi" w:eastAsia="Batang" w:hAnsiTheme="majorHAnsi" w:cs="Times New Roman"/>
          <w:b/>
          <w:i/>
          <w:color w:val="auto"/>
          <w:lang w:val="en-AU"/>
        </w:rPr>
        <w:t>Neisseria meningitid</w:t>
      </w:r>
      <w:r w:rsidR="00B8042B">
        <w:rPr>
          <w:rFonts w:asciiTheme="majorHAnsi" w:eastAsia="Batang" w:hAnsiTheme="majorHAnsi" w:cs="Times New Roman"/>
          <w:b/>
          <w:i/>
          <w:color w:val="auto"/>
          <w:lang w:val="en-AU"/>
        </w:rPr>
        <w:t>i</w:t>
      </w:r>
      <w:r w:rsidR="00782FF0" w:rsidRPr="00782FF0">
        <w:rPr>
          <w:rFonts w:asciiTheme="majorHAnsi" w:eastAsia="Batang" w:hAnsiTheme="majorHAnsi" w:cs="Times New Roman"/>
          <w:b/>
          <w:i/>
          <w:color w:val="auto"/>
          <w:lang w:val="en-AU"/>
        </w:rPr>
        <w:t>s</w:t>
      </w:r>
      <w:r w:rsidR="007123A3" w:rsidRPr="00A06E2B">
        <w:rPr>
          <w:rFonts w:asciiTheme="majorHAnsi" w:eastAsia="Batang" w:hAnsiTheme="majorHAnsi" w:cs="Times New Roman"/>
          <w:b/>
          <w:color w:val="auto"/>
          <w:lang w:val="en-AU"/>
        </w:rPr>
        <w:t>)</w:t>
      </w:r>
      <w:r w:rsidR="007123A3">
        <w:rPr>
          <w:rFonts w:asciiTheme="majorHAnsi" w:eastAsia="Batang" w:hAnsiTheme="majorHAnsi" w:cs="Times New Roman"/>
          <w:b/>
          <w:color w:val="auto"/>
          <w:lang w:val="en-AU"/>
        </w:rPr>
        <w:t>,</w:t>
      </w:r>
      <w:r w:rsidRPr="00782FF0">
        <w:rPr>
          <w:rFonts w:asciiTheme="majorHAnsi" w:eastAsia="Batang" w:hAnsiTheme="majorHAnsi" w:cs="Times New Roman"/>
          <w:b/>
          <w:i/>
          <w:color w:val="auto"/>
          <w:lang w:val="en-AU"/>
        </w:rPr>
        <w:t xml:space="preserve"> </w:t>
      </w:r>
      <w:r w:rsidR="00E67881" w:rsidRPr="00864407">
        <w:rPr>
          <w:rFonts w:asciiTheme="majorHAnsi" w:eastAsia="Batang" w:hAnsiTheme="majorHAnsi" w:cs="Times New Roman"/>
          <w:b/>
          <w:color w:val="auto"/>
          <w:lang w:val="en-AU"/>
        </w:rPr>
        <w:t xml:space="preserve">at least 2 weeks </w:t>
      </w:r>
      <w:r w:rsidRPr="00864407">
        <w:rPr>
          <w:rFonts w:asciiTheme="majorHAnsi" w:eastAsia="Batang" w:hAnsiTheme="majorHAnsi" w:cs="Times New Roman"/>
          <w:b/>
          <w:color w:val="auto"/>
          <w:lang w:val="en-AU"/>
        </w:rPr>
        <w:t>prior to</w:t>
      </w:r>
      <w:r w:rsidR="00E67881" w:rsidRPr="00864407">
        <w:rPr>
          <w:rFonts w:asciiTheme="majorHAnsi" w:eastAsia="Batang" w:hAnsiTheme="majorHAnsi" w:cs="Times New Roman"/>
          <w:b/>
          <w:color w:val="auto"/>
          <w:lang w:val="en-AU"/>
        </w:rPr>
        <w:t xml:space="preserve"> receiv</w:t>
      </w:r>
      <w:r w:rsidRPr="00864407">
        <w:rPr>
          <w:rFonts w:asciiTheme="majorHAnsi" w:eastAsia="Batang" w:hAnsiTheme="majorHAnsi" w:cs="Times New Roman"/>
          <w:b/>
          <w:color w:val="auto"/>
          <w:lang w:val="en-AU"/>
        </w:rPr>
        <w:t>ing S</w:t>
      </w:r>
      <w:r w:rsidR="003C2E29" w:rsidRPr="00864407">
        <w:rPr>
          <w:rFonts w:asciiTheme="majorHAnsi" w:eastAsia="Batang" w:hAnsiTheme="majorHAnsi" w:cs="Times New Roman"/>
          <w:b/>
          <w:color w:val="auto"/>
          <w:lang w:val="en-AU"/>
        </w:rPr>
        <w:t>oliris</w:t>
      </w:r>
      <w:r w:rsidR="00F40327" w:rsidRPr="00864407">
        <w:rPr>
          <w:rFonts w:asciiTheme="majorHAnsi" w:eastAsia="Batang" w:hAnsiTheme="majorHAnsi" w:cs="Times New Roman"/>
          <w:b/>
          <w:color w:val="auto"/>
          <w:lang w:val="en-AU"/>
        </w:rPr>
        <w:t xml:space="preserve">, unless the risk </w:t>
      </w:r>
      <w:r w:rsidR="00F40327" w:rsidRPr="00864407">
        <w:rPr>
          <w:rFonts w:asciiTheme="majorHAnsi" w:hAnsiTheme="majorHAnsi" w:cs="Times New Roman"/>
          <w:b/>
        </w:rPr>
        <w:t>of delaying Soliris therapy outweighs the risk of meningococcal infection</w:t>
      </w:r>
      <w:r w:rsidR="001F7533">
        <w:rPr>
          <w:rFonts w:asciiTheme="majorHAnsi" w:hAnsiTheme="majorHAnsi" w:cs="Times New Roman"/>
          <w:b/>
        </w:rPr>
        <w:t>.</w:t>
      </w:r>
    </w:p>
    <w:p w14:paraId="32C7EA9F" w14:textId="77777777" w:rsidR="004A1545" w:rsidRPr="00864407" w:rsidRDefault="001F7533" w:rsidP="009F3AF8">
      <w:pPr>
        <w:pStyle w:val="Default"/>
        <w:numPr>
          <w:ilvl w:val="0"/>
          <w:numId w:val="2"/>
        </w:numPr>
        <w:spacing w:after="120"/>
        <w:ind w:left="714" w:hanging="357"/>
        <w:rPr>
          <w:rFonts w:asciiTheme="majorHAnsi" w:eastAsia="Batang" w:hAnsiTheme="majorHAnsi" w:cs="Times New Roman"/>
          <w:b/>
          <w:color w:val="auto"/>
          <w:lang w:val="en-AU"/>
        </w:rPr>
      </w:pPr>
      <w:r>
        <w:rPr>
          <w:rFonts w:asciiTheme="majorHAnsi" w:eastAsia="Batang" w:hAnsiTheme="majorHAnsi" w:cs="Times New Roman"/>
          <w:b/>
          <w:color w:val="auto"/>
          <w:lang w:val="en-AU"/>
        </w:rPr>
        <w:t>Vaccinate and/or</w:t>
      </w:r>
      <w:r w:rsidR="004A1545" w:rsidRPr="00864407">
        <w:rPr>
          <w:rFonts w:asciiTheme="majorHAnsi" w:eastAsia="Batang" w:hAnsiTheme="majorHAnsi" w:cs="Times New Roman"/>
          <w:b/>
          <w:color w:val="auto"/>
          <w:lang w:val="en-AU"/>
        </w:rPr>
        <w:t xml:space="preserve"> revaccinate according to current </w:t>
      </w:r>
      <w:r w:rsidR="003731B9">
        <w:rPr>
          <w:rFonts w:asciiTheme="majorHAnsi" w:eastAsia="Batang" w:hAnsiTheme="majorHAnsi" w:cs="Times New Roman"/>
          <w:b/>
          <w:color w:val="auto"/>
          <w:lang w:val="en-AU"/>
        </w:rPr>
        <w:t>national vaccination</w:t>
      </w:r>
      <w:r w:rsidR="003731B9" w:rsidRPr="00864407">
        <w:rPr>
          <w:rFonts w:asciiTheme="majorHAnsi" w:eastAsia="Batang" w:hAnsiTheme="majorHAnsi" w:cs="Times New Roman"/>
          <w:b/>
          <w:color w:val="auto"/>
          <w:lang w:val="en-AU"/>
        </w:rPr>
        <w:t xml:space="preserve"> </w:t>
      </w:r>
      <w:r w:rsidR="004A1545" w:rsidRPr="00864407">
        <w:rPr>
          <w:rFonts w:asciiTheme="majorHAnsi" w:eastAsia="Batang" w:hAnsiTheme="majorHAnsi" w:cs="Times New Roman"/>
          <w:b/>
          <w:color w:val="auto"/>
          <w:lang w:val="en-AU"/>
        </w:rPr>
        <w:t xml:space="preserve">guidelines </w:t>
      </w:r>
      <w:r w:rsidR="003731B9">
        <w:rPr>
          <w:rFonts w:asciiTheme="majorHAnsi" w:eastAsia="Batang" w:hAnsiTheme="majorHAnsi" w:cs="Times New Roman"/>
          <w:b/>
          <w:color w:val="auto"/>
          <w:lang w:val="en-AU"/>
        </w:rPr>
        <w:t xml:space="preserve">such as </w:t>
      </w:r>
      <w:r w:rsidR="00540A96">
        <w:rPr>
          <w:rFonts w:asciiTheme="majorHAnsi" w:eastAsia="Batang" w:hAnsiTheme="majorHAnsi" w:cs="Times New Roman"/>
          <w:b/>
          <w:color w:val="auto"/>
          <w:lang w:val="en-AU"/>
        </w:rPr>
        <w:t>the Australian Immunisation Handbook</w:t>
      </w:r>
      <w:r>
        <w:rPr>
          <w:rFonts w:asciiTheme="majorHAnsi" w:eastAsia="Batang" w:hAnsiTheme="majorHAnsi" w:cs="Times New Roman"/>
          <w:b/>
          <w:color w:val="auto"/>
          <w:lang w:val="en-AU"/>
        </w:rPr>
        <w:t>; v</w:t>
      </w:r>
      <w:r w:rsidRPr="001F7533">
        <w:rPr>
          <w:rFonts w:asciiTheme="majorHAnsi" w:eastAsia="Batang" w:hAnsiTheme="majorHAnsi" w:cs="Times New Roman"/>
          <w:b/>
          <w:color w:val="auto"/>
          <w:lang w:val="en-AU"/>
        </w:rPr>
        <w:t>accines against serogroups A, B, C, Y and W135 are recommended</w:t>
      </w:r>
      <w:r>
        <w:rPr>
          <w:rFonts w:asciiTheme="majorHAnsi" w:eastAsia="Batang" w:hAnsiTheme="majorHAnsi" w:cs="Times New Roman"/>
          <w:b/>
          <w:color w:val="auto"/>
          <w:lang w:val="en-AU"/>
        </w:rPr>
        <w:t>.</w:t>
      </w:r>
    </w:p>
    <w:p w14:paraId="3A8091C8" w14:textId="77777777" w:rsidR="009A4819" w:rsidRPr="00F618B9" w:rsidRDefault="004A1545" w:rsidP="009F3AF8">
      <w:pPr>
        <w:pStyle w:val="Default"/>
        <w:numPr>
          <w:ilvl w:val="0"/>
          <w:numId w:val="2"/>
        </w:numPr>
        <w:spacing w:after="120"/>
        <w:rPr>
          <w:rFonts w:asciiTheme="majorHAnsi" w:eastAsia="Batang" w:hAnsiTheme="majorHAnsi" w:cs="Times New Roman"/>
          <w:b/>
          <w:color w:val="auto"/>
          <w:lang w:val="en-AU"/>
        </w:rPr>
      </w:pPr>
      <w:r w:rsidRPr="00864407">
        <w:rPr>
          <w:rFonts w:asciiTheme="majorHAnsi" w:eastAsia="Batang" w:hAnsiTheme="majorHAnsi" w:cs="Times New Roman"/>
          <w:b/>
          <w:color w:val="auto"/>
          <w:lang w:val="en-GB"/>
        </w:rPr>
        <w:t>Patients who initiate S</w:t>
      </w:r>
      <w:r w:rsidR="003C2E29" w:rsidRPr="00864407">
        <w:rPr>
          <w:rFonts w:asciiTheme="majorHAnsi" w:eastAsia="Batang" w:hAnsiTheme="majorHAnsi" w:cs="Times New Roman"/>
          <w:b/>
          <w:color w:val="auto"/>
          <w:lang w:val="en-GB"/>
        </w:rPr>
        <w:t>oliris</w:t>
      </w:r>
      <w:r w:rsidRPr="00864407">
        <w:rPr>
          <w:rFonts w:asciiTheme="majorHAnsi" w:eastAsia="Batang" w:hAnsiTheme="majorHAnsi" w:cs="Times New Roman"/>
          <w:b/>
          <w:color w:val="auto"/>
          <w:lang w:val="en-GB"/>
        </w:rPr>
        <w:t xml:space="preserve"> treatment less than 2 weeks after receiving a meningococcal vaccine must receive treatment with appropriate prophylactic antibiotics until 2 weeks after vaccination. </w:t>
      </w:r>
    </w:p>
    <w:p w14:paraId="71656C16" w14:textId="77777777" w:rsidR="004A1545" w:rsidRPr="00864407" w:rsidRDefault="004A1545" w:rsidP="009F3AF8">
      <w:pPr>
        <w:pStyle w:val="Default"/>
        <w:numPr>
          <w:ilvl w:val="0"/>
          <w:numId w:val="2"/>
        </w:numPr>
        <w:spacing w:after="120"/>
        <w:rPr>
          <w:rFonts w:asciiTheme="majorHAnsi" w:eastAsia="Batang" w:hAnsiTheme="majorHAnsi" w:cs="Times New Roman"/>
          <w:b/>
          <w:color w:val="auto"/>
          <w:lang w:val="en-AU"/>
        </w:rPr>
      </w:pPr>
      <w:r w:rsidRPr="00864407">
        <w:rPr>
          <w:rFonts w:asciiTheme="majorHAnsi" w:eastAsia="Batang" w:hAnsiTheme="majorHAnsi" w:cs="Times New Roman"/>
          <w:b/>
          <w:color w:val="auto"/>
          <w:lang w:val="en-AU"/>
        </w:rPr>
        <w:t>Monitor patients for early signs of meningococcal infections, evaluate immediately if infection is suspected, and treat with antibiotics if necessary.</w:t>
      </w:r>
    </w:p>
    <w:p w14:paraId="5AF07E4D" w14:textId="77777777" w:rsidR="009056F4" w:rsidRPr="0039396F" w:rsidRDefault="009056F4" w:rsidP="00AF305A">
      <w:pPr>
        <w:pStyle w:val="Heading1"/>
        <w:spacing w:before="360"/>
        <w:ind w:left="431" w:hanging="431"/>
        <w:rPr>
          <w:rFonts w:cs="Times New Roman"/>
        </w:rPr>
      </w:pPr>
      <w:r w:rsidRPr="0039396F">
        <w:rPr>
          <w:rFonts w:cs="Times New Roman"/>
        </w:rPr>
        <w:t>Name of the medicine</w:t>
      </w:r>
    </w:p>
    <w:p w14:paraId="572A48FB" w14:textId="77777777" w:rsidR="004A1545" w:rsidRPr="0039396F" w:rsidRDefault="003853DB" w:rsidP="004A1545">
      <w:pPr>
        <w:pStyle w:val="CM16"/>
        <w:spacing w:after="0"/>
        <w:rPr>
          <w:rFonts w:asciiTheme="majorHAnsi" w:hAnsiTheme="majorHAnsi"/>
          <w:lang w:val="en-AU"/>
        </w:rPr>
      </w:pPr>
      <w:proofErr w:type="spellStart"/>
      <w:r>
        <w:rPr>
          <w:rFonts w:asciiTheme="majorHAnsi" w:hAnsiTheme="majorHAnsi"/>
          <w:lang w:val="en-AU"/>
        </w:rPr>
        <w:t>E</w:t>
      </w:r>
      <w:r w:rsidR="004A1545" w:rsidRPr="0039396F">
        <w:rPr>
          <w:rFonts w:asciiTheme="majorHAnsi" w:hAnsiTheme="majorHAnsi"/>
          <w:lang w:val="en-AU"/>
        </w:rPr>
        <w:t>culizumab</w:t>
      </w:r>
      <w:proofErr w:type="spellEnd"/>
      <w:r w:rsidR="004A1545" w:rsidRPr="0039396F">
        <w:rPr>
          <w:rFonts w:asciiTheme="majorHAnsi" w:hAnsiTheme="majorHAnsi"/>
          <w:lang w:val="en-AU"/>
        </w:rPr>
        <w:t xml:space="preserve"> </w:t>
      </w:r>
      <w:r w:rsidR="004A1545" w:rsidRPr="00DB4CEE">
        <w:rPr>
          <w:rFonts w:asciiTheme="majorHAnsi" w:eastAsiaTheme="minorHAnsi" w:hAnsiTheme="majorHAnsi"/>
          <w:i/>
          <w:lang w:val="en-AU"/>
        </w:rPr>
        <w:t>rmc</w:t>
      </w:r>
      <w:r w:rsidR="004A1545" w:rsidRPr="00DB4CEE">
        <w:rPr>
          <w:rFonts w:asciiTheme="majorHAnsi" w:eastAsiaTheme="minorHAnsi" w:hAnsiTheme="majorHAnsi"/>
          <w:lang w:val="en-AU"/>
        </w:rPr>
        <w:t xml:space="preserve"> </w:t>
      </w:r>
    </w:p>
    <w:p w14:paraId="0C3EAC70" w14:textId="77777777" w:rsidR="001A3992" w:rsidRPr="0039396F" w:rsidRDefault="001A3992" w:rsidP="00F00B64">
      <w:pPr>
        <w:pStyle w:val="Heading1"/>
        <w:spacing w:before="240"/>
        <w:rPr>
          <w:rFonts w:cs="Times New Roman"/>
        </w:rPr>
      </w:pPr>
      <w:r w:rsidRPr="0039396F">
        <w:rPr>
          <w:rFonts w:cs="Times New Roman"/>
        </w:rPr>
        <w:t>Qualitative and quantitative composition</w:t>
      </w:r>
    </w:p>
    <w:p w14:paraId="5B6A03B3" w14:textId="77777777" w:rsidR="00935D8A" w:rsidRPr="0039396F" w:rsidRDefault="00B65E77" w:rsidP="00935D8A">
      <w:pPr>
        <w:autoSpaceDE w:val="0"/>
        <w:autoSpaceDN w:val="0"/>
        <w:adjustRightInd w:val="0"/>
        <w:rPr>
          <w:rFonts w:asciiTheme="majorHAnsi" w:eastAsia="Times New Roman" w:hAnsiTheme="majorHAnsi" w:cs="Times New Roman"/>
          <w:szCs w:val="24"/>
        </w:rPr>
      </w:pPr>
      <w:r w:rsidRPr="0039396F">
        <w:rPr>
          <w:rFonts w:asciiTheme="majorHAnsi" w:hAnsiTheme="majorHAnsi" w:cs="Times New Roman"/>
          <w:szCs w:val="24"/>
        </w:rPr>
        <w:t>Soliris is supplied as 300 mg single-use glass vials containing 30 mL of 10 mg/mL sterile, preservative-free Soliris solution per vial</w:t>
      </w:r>
      <w:r w:rsidR="0091787C" w:rsidRPr="0039396F">
        <w:rPr>
          <w:rFonts w:asciiTheme="majorHAnsi" w:hAnsiTheme="majorHAnsi" w:cs="Times New Roman"/>
          <w:szCs w:val="24"/>
        </w:rPr>
        <w:t>.</w:t>
      </w:r>
    </w:p>
    <w:p w14:paraId="0D1CE104" w14:textId="77777777" w:rsidR="000A65A5" w:rsidRDefault="008C011C" w:rsidP="00AF305A">
      <w:pPr>
        <w:widowControl w:val="0"/>
        <w:spacing w:before="120" w:after="120"/>
        <w:jc w:val="both"/>
        <w:rPr>
          <w:rFonts w:asciiTheme="majorHAnsi" w:hAnsiTheme="majorHAnsi" w:cs="Times New Roman"/>
          <w:szCs w:val="24"/>
        </w:rPr>
      </w:pPr>
      <w:r w:rsidRPr="0039396F">
        <w:rPr>
          <w:rFonts w:asciiTheme="majorHAnsi" w:hAnsiTheme="majorHAnsi" w:cs="Times New Roman"/>
          <w:szCs w:val="24"/>
        </w:rPr>
        <w:t xml:space="preserve">Excipients with known effect: </w:t>
      </w:r>
      <w:r w:rsidR="003C2E29" w:rsidRPr="0039396F">
        <w:rPr>
          <w:rFonts w:asciiTheme="majorHAnsi" w:hAnsiTheme="majorHAnsi" w:cs="Times New Roman"/>
          <w:szCs w:val="24"/>
        </w:rPr>
        <w:t>s</w:t>
      </w:r>
      <w:r w:rsidRPr="0039396F">
        <w:rPr>
          <w:rFonts w:asciiTheme="majorHAnsi" w:hAnsiTheme="majorHAnsi" w:cs="Times New Roman"/>
          <w:szCs w:val="24"/>
        </w:rPr>
        <w:t xml:space="preserve">odium </w:t>
      </w:r>
      <w:r w:rsidR="003C2E29" w:rsidRPr="0039396F">
        <w:rPr>
          <w:rFonts w:asciiTheme="majorHAnsi" w:hAnsiTheme="majorHAnsi" w:cs="Times New Roman"/>
          <w:szCs w:val="24"/>
        </w:rPr>
        <w:t>chloride (5</w:t>
      </w:r>
      <w:r w:rsidR="00DD4A7C">
        <w:rPr>
          <w:rFonts w:asciiTheme="majorHAnsi" w:hAnsiTheme="majorHAnsi" w:cs="Times New Roman"/>
          <w:szCs w:val="24"/>
        </w:rPr>
        <w:t xml:space="preserve"> </w:t>
      </w:r>
      <w:r w:rsidR="003C2E29" w:rsidRPr="0039396F">
        <w:rPr>
          <w:rFonts w:asciiTheme="majorHAnsi" w:hAnsiTheme="majorHAnsi" w:cs="Times New Roman"/>
          <w:szCs w:val="24"/>
        </w:rPr>
        <w:t>mmol)</w:t>
      </w:r>
      <w:r w:rsidR="00554988">
        <w:rPr>
          <w:rFonts w:asciiTheme="majorHAnsi" w:hAnsiTheme="majorHAnsi" w:cs="Times New Roman"/>
          <w:szCs w:val="24"/>
        </w:rPr>
        <w:t xml:space="preserve"> </w:t>
      </w:r>
    </w:p>
    <w:p w14:paraId="27F11B04" w14:textId="6299DEA8" w:rsidR="008C011C" w:rsidRPr="000A65A5" w:rsidRDefault="000A65A5" w:rsidP="008C011C">
      <w:pPr>
        <w:widowControl w:val="0"/>
        <w:jc w:val="both"/>
        <w:rPr>
          <w:rFonts w:asciiTheme="majorHAnsi" w:hAnsiTheme="majorHAnsi" w:cs="Times New Roman"/>
          <w:szCs w:val="24"/>
        </w:rPr>
      </w:pPr>
      <w:r w:rsidRPr="000A65A5">
        <w:rPr>
          <w:rFonts w:asciiTheme="majorHAnsi" w:hAnsiTheme="majorHAnsi" w:cs="Times New Roman"/>
          <w:szCs w:val="24"/>
        </w:rPr>
        <w:t>F</w:t>
      </w:r>
      <w:r w:rsidR="008C011C" w:rsidRPr="000A65A5">
        <w:rPr>
          <w:rFonts w:asciiTheme="majorHAnsi" w:hAnsiTheme="majorHAnsi" w:cs="Times New Roman"/>
          <w:szCs w:val="24"/>
        </w:rPr>
        <w:t xml:space="preserve">or the full list of excipients, see </w:t>
      </w:r>
      <w:r w:rsidR="00C90E83" w:rsidRPr="00C90E83">
        <w:rPr>
          <w:rFonts w:asciiTheme="majorHAnsi" w:hAnsiTheme="majorHAnsi" w:cs="Times New Roman"/>
          <w:i/>
          <w:iCs/>
          <w:szCs w:val="24"/>
        </w:rPr>
        <w:t>s</w:t>
      </w:r>
      <w:r w:rsidR="00554988" w:rsidRPr="00C90E83">
        <w:rPr>
          <w:rFonts w:asciiTheme="majorHAnsi" w:hAnsiTheme="majorHAnsi" w:cs="Times New Roman"/>
          <w:i/>
          <w:iCs/>
          <w:szCs w:val="24"/>
        </w:rPr>
        <w:t xml:space="preserve">ection </w:t>
      </w:r>
      <w:r w:rsidR="008C011C" w:rsidRPr="00C90E83">
        <w:rPr>
          <w:rFonts w:asciiTheme="majorHAnsi" w:hAnsiTheme="majorHAnsi" w:cs="Times New Roman"/>
          <w:i/>
          <w:iCs/>
          <w:szCs w:val="24"/>
        </w:rPr>
        <w:t>6.1</w:t>
      </w:r>
      <w:r w:rsidR="00977A03" w:rsidRPr="00C90E83">
        <w:rPr>
          <w:rFonts w:asciiTheme="majorHAnsi" w:hAnsiTheme="majorHAnsi" w:cs="Times New Roman"/>
          <w:i/>
          <w:iCs/>
          <w:szCs w:val="24"/>
        </w:rPr>
        <w:t xml:space="preserve"> </w:t>
      </w:r>
      <w:r w:rsidRPr="00C90E83">
        <w:rPr>
          <w:rFonts w:asciiTheme="majorHAnsi" w:hAnsiTheme="majorHAnsi" w:cs="Times New Roman"/>
          <w:i/>
          <w:iCs/>
          <w:szCs w:val="24"/>
        </w:rPr>
        <w:t xml:space="preserve">- </w:t>
      </w:r>
      <w:r w:rsidR="00977A03" w:rsidRPr="00C90E83">
        <w:rPr>
          <w:rFonts w:asciiTheme="majorHAnsi" w:hAnsiTheme="majorHAnsi" w:cs="Times New Roman"/>
          <w:i/>
          <w:iCs/>
          <w:szCs w:val="24"/>
        </w:rPr>
        <w:t>List of excipients</w:t>
      </w:r>
      <w:r w:rsidR="008C011C" w:rsidRPr="000A65A5">
        <w:rPr>
          <w:rFonts w:asciiTheme="majorHAnsi" w:hAnsiTheme="majorHAnsi" w:cs="Times New Roman"/>
          <w:szCs w:val="24"/>
        </w:rPr>
        <w:t>.</w:t>
      </w:r>
    </w:p>
    <w:p w14:paraId="67A623A5" w14:textId="77777777" w:rsidR="001A3992" w:rsidRPr="0039396F" w:rsidRDefault="001A3992" w:rsidP="00F00B64">
      <w:pPr>
        <w:pStyle w:val="Heading1"/>
        <w:spacing w:before="240"/>
        <w:rPr>
          <w:rFonts w:cs="Times New Roman"/>
        </w:rPr>
      </w:pPr>
      <w:r w:rsidRPr="0039396F">
        <w:rPr>
          <w:rFonts w:cs="Times New Roman"/>
        </w:rPr>
        <w:t>Pharmaceutical form</w:t>
      </w:r>
    </w:p>
    <w:p w14:paraId="6BB25DCF" w14:textId="77777777" w:rsidR="00B65E77" w:rsidRPr="0039396F" w:rsidRDefault="00AA6AAD" w:rsidP="00B65E77">
      <w:pPr>
        <w:autoSpaceDE w:val="0"/>
        <w:autoSpaceDN w:val="0"/>
        <w:adjustRightInd w:val="0"/>
        <w:rPr>
          <w:rFonts w:asciiTheme="majorHAnsi" w:eastAsia="Times New Roman" w:hAnsiTheme="majorHAnsi" w:cs="Times New Roman"/>
          <w:szCs w:val="24"/>
        </w:rPr>
      </w:pPr>
      <w:proofErr w:type="spellStart"/>
      <w:r>
        <w:rPr>
          <w:rFonts w:asciiTheme="majorHAnsi" w:hAnsiTheme="majorHAnsi"/>
        </w:rPr>
        <w:t>Soliris</w:t>
      </w:r>
      <w:proofErr w:type="spellEnd"/>
      <w:r>
        <w:rPr>
          <w:rFonts w:asciiTheme="majorHAnsi" w:hAnsiTheme="majorHAnsi"/>
        </w:rPr>
        <w:t xml:space="preserve"> (</w:t>
      </w:r>
      <w:proofErr w:type="spellStart"/>
      <w:r w:rsidR="00B65E77" w:rsidRPr="0039396F">
        <w:rPr>
          <w:rFonts w:asciiTheme="majorHAnsi" w:hAnsiTheme="majorHAnsi"/>
        </w:rPr>
        <w:t>eculizumab</w:t>
      </w:r>
      <w:proofErr w:type="spellEnd"/>
      <w:r w:rsidR="00B65E77" w:rsidRPr="0039396F">
        <w:rPr>
          <w:rFonts w:asciiTheme="majorHAnsi" w:hAnsiTheme="majorHAnsi"/>
        </w:rPr>
        <w:t xml:space="preserve"> </w:t>
      </w:r>
      <w:r w:rsidR="00B65E77" w:rsidRPr="0039396F">
        <w:rPr>
          <w:rFonts w:asciiTheme="majorHAnsi" w:hAnsiTheme="majorHAnsi"/>
          <w:i/>
        </w:rPr>
        <w:t>rmc</w:t>
      </w:r>
      <w:r>
        <w:rPr>
          <w:rFonts w:asciiTheme="majorHAnsi" w:hAnsiTheme="majorHAnsi"/>
          <w:i/>
        </w:rPr>
        <w:t>)</w:t>
      </w:r>
      <w:r w:rsidR="00B65E77" w:rsidRPr="0039396F">
        <w:rPr>
          <w:rFonts w:asciiTheme="majorHAnsi" w:hAnsiTheme="majorHAnsi"/>
          <w:i/>
        </w:rPr>
        <w:t xml:space="preserve"> </w:t>
      </w:r>
      <w:r w:rsidR="00B65E77" w:rsidRPr="0039396F">
        <w:rPr>
          <w:rFonts w:asciiTheme="majorHAnsi" w:hAnsiTheme="majorHAnsi"/>
        </w:rPr>
        <w:t>concentrated solution for intravenous infusion</w:t>
      </w:r>
      <w:r w:rsidR="00B65E77" w:rsidRPr="0039396F">
        <w:rPr>
          <w:rFonts w:asciiTheme="majorHAnsi" w:eastAsia="Times New Roman" w:hAnsiTheme="majorHAnsi" w:cs="Times New Roman"/>
          <w:szCs w:val="24"/>
        </w:rPr>
        <w:t xml:space="preserve"> is a sterile, clear, colourless, preservative-free solution</w:t>
      </w:r>
      <w:r w:rsidR="0091787C" w:rsidRPr="0039396F">
        <w:rPr>
          <w:rFonts w:asciiTheme="majorHAnsi" w:eastAsia="Times New Roman" w:hAnsiTheme="majorHAnsi" w:cs="Times New Roman"/>
          <w:szCs w:val="24"/>
        </w:rPr>
        <w:t>.</w:t>
      </w:r>
    </w:p>
    <w:p w14:paraId="34C5CB7B" w14:textId="77777777" w:rsidR="001A3992" w:rsidRPr="0039396F" w:rsidRDefault="001A3992" w:rsidP="00F00B64">
      <w:pPr>
        <w:pStyle w:val="Heading1"/>
        <w:spacing w:before="240"/>
        <w:rPr>
          <w:rFonts w:cs="Times New Roman"/>
        </w:rPr>
      </w:pPr>
      <w:r w:rsidRPr="0039396F">
        <w:rPr>
          <w:rFonts w:cs="Times New Roman"/>
        </w:rPr>
        <w:t>Clinical particulars</w:t>
      </w:r>
    </w:p>
    <w:p w14:paraId="231BFC23" w14:textId="77777777" w:rsidR="001A3992" w:rsidRPr="0039396F" w:rsidRDefault="001A3992" w:rsidP="0039396F">
      <w:pPr>
        <w:pStyle w:val="Heading2"/>
        <w:spacing w:before="240"/>
        <w:rPr>
          <w:rFonts w:cs="Times New Roman"/>
        </w:rPr>
      </w:pPr>
      <w:r w:rsidRPr="0039396F">
        <w:rPr>
          <w:rFonts w:cs="Times New Roman"/>
        </w:rPr>
        <w:t xml:space="preserve">Therapeutic indications </w:t>
      </w:r>
    </w:p>
    <w:p w14:paraId="03A48503" w14:textId="77777777" w:rsidR="006C5055" w:rsidRPr="0039396F" w:rsidRDefault="006C5055" w:rsidP="0039396F">
      <w:pPr>
        <w:pStyle w:val="Default"/>
        <w:rPr>
          <w:rFonts w:asciiTheme="majorHAnsi" w:hAnsiTheme="majorHAnsi" w:cs="Times New Roman"/>
          <w:color w:val="auto"/>
          <w:lang w:val="en-AU"/>
        </w:rPr>
      </w:pPr>
      <w:r w:rsidRPr="0039396F">
        <w:rPr>
          <w:rFonts w:asciiTheme="majorHAnsi" w:hAnsiTheme="majorHAnsi" w:cs="Times New Roman"/>
          <w:color w:val="auto"/>
          <w:lang w:val="en-AU"/>
        </w:rPr>
        <w:t>S</w:t>
      </w:r>
      <w:r w:rsidR="003C2E29" w:rsidRPr="0039396F">
        <w:rPr>
          <w:rFonts w:asciiTheme="majorHAnsi" w:hAnsiTheme="majorHAnsi" w:cs="Times New Roman"/>
          <w:color w:val="auto"/>
          <w:lang w:val="en-AU"/>
        </w:rPr>
        <w:t>oliris</w:t>
      </w:r>
      <w:r w:rsidRPr="0039396F">
        <w:rPr>
          <w:rFonts w:asciiTheme="majorHAnsi" w:hAnsiTheme="majorHAnsi" w:cs="Times New Roman"/>
          <w:color w:val="auto"/>
          <w:lang w:val="en-AU"/>
        </w:rPr>
        <w:t xml:space="preserve"> is indicated for the treatment of patients with:</w:t>
      </w:r>
    </w:p>
    <w:p w14:paraId="598F83B4" w14:textId="77777777" w:rsidR="006C5055" w:rsidRPr="0039396F" w:rsidRDefault="006C5055" w:rsidP="0039396F">
      <w:pPr>
        <w:pStyle w:val="Default"/>
        <w:numPr>
          <w:ilvl w:val="0"/>
          <w:numId w:val="8"/>
        </w:numPr>
        <w:rPr>
          <w:rFonts w:asciiTheme="majorHAnsi" w:hAnsiTheme="majorHAnsi" w:cs="Times New Roman"/>
          <w:color w:val="auto"/>
          <w:lang w:val="en-AU"/>
        </w:rPr>
      </w:pPr>
      <w:r w:rsidRPr="0039396F">
        <w:rPr>
          <w:rFonts w:asciiTheme="majorHAnsi" w:hAnsiTheme="majorHAnsi" w:cs="Times New Roman"/>
          <w:color w:val="auto"/>
          <w:lang w:val="en-AU"/>
        </w:rPr>
        <w:t>Paroxysmal Nocturnal Haemoglobinuria (PNH) to reduce haemolysis.</w:t>
      </w:r>
    </w:p>
    <w:p w14:paraId="71BC7265" w14:textId="77777777" w:rsidR="006C5055" w:rsidRDefault="006C5055" w:rsidP="0039396F">
      <w:pPr>
        <w:pStyle w:val="Default"/>
        <w:numPr>
          <w:ilvl w:val="0"/>
          <w:numId w:val="8"/>
        </w:numPr>
        <w:rPr>
          <w:rFonts w:asciiTheme="majorHAnsi" w:hAnsiTheme="majorHAnsi" w:cs="Times New Roman"/>
          <w:color w:val="auto"/>
          <w:lang w:val="en-AU"/>
        </w:rPr>
      </w:pPr>
      <w:r w:rsidRPr="0039396F">
        <w:rPr>
          <w:rFonts w:asciiTheme="majorHAnsi" w:hAnsiTheme="majorHAnsi" w:cs="Times New Roman"/>
          <w:color w:val="auto"/>
          <w:lang w:val="en-AU"/>
        </w:rPr>
        <w:t>atypical Haemolytic Uraemic Syndrome (aHUS).</w:t>
      </w:r>
    </w:p>
    <w:p w14:paraId="4E8AF5A8" w14:textId="43FFAEE5" w:rsidR="0014299A" w:rsidRPr="00B2319B" w:rsidRDefault="00975FAE" w:rsidP="00E73DF0">
      <w:pPr>
        <w:pStyle w:val="ListParagraph"/>
        <w:numPr>
          <w:ilvl w:val="0"/>
          <w:numId w:val="8"/>
        </w:numPr>
        <w:shd w:val="clear" w:color="auto" w:fill="FFFFFF"/>
        <w:spacing w:after="120"/>
        <w:ind w:left="714" w:hanging="357"/>
        <w:rPr>
          <w:rFonts w:asciiTheme="majorHAnsi" w:hAnsiTheme="majorHAnsi" w:cs="Times New Roman"/>
        </w:rPr>
      </w:pPr>
      <w:r>
        <w:rPr>
          <w:rFonts w:asciiTheme="majorHAnsi" w:eastAsia="Times New Roman" w:hAnsiTheme="majorHAnsi" w:cs="Times New Roman"/>
          <w:szCs w:val="24"/>
        </w:rPr>
        <w:lastRenderedPageBreak/>
        <w:t xml:space="preserve">Adult patients with </w:t>
      </w:r>
      <w:r w:rsidR="00B63B61" w:rsidRPr="00B63B61">
        <w:rPr>
          <w:rFonts w:asciiTheme="majorHAnsi" w:eastAsia="Times New Roman" w:hAnsiTheme="majorHAnsi" w:cs="Times New Roman"/>
          <w:szCs w:val="24"/>
        </w:rPr>
        <w:t>N</w:t>
      </w:r>
      <w:r w:rsidR="008E2D65">
        <w:rPr>
          <w:rFonts w:asciiTheme="majorHAnsi" w:eastAsia="Times New Roman" w:hAnsiTheme="majorHAnsi" w:cs="Times New Roman"/>
          <w:szCs w:val="24"/>
        </w:rPr>
        <w:t>euromyelitis Optica Spectrum D</w:t>
      </w:r>
      <w:r w:rsidR="00B63B61" w:rsidRPr="00B63B61">
        <w:rPr>
          <w:rFonts w:asciiTheme="majorHAnsi" w:eastAsia="Times New Roman" w:hAnsiTheme="majorHAnsi" w:cs="Times New Roman"/>
          <w:szCs w:val="24"/>
        </w:rPr>
        <w:t>isorder (NMOSD) who are anti-aquaporin-4 (AQP4) antibody-positive</w:t>
      </w:r>
      <w:r w:rsidR="00B63B61">
        <w:rPr>
          <w:rFonts w:asciiTheme="majorHAnsi" w:eastAsia="Times New Roman" w:hAnsiTheme="majorHAnsi" w:cs="Times New Roman"/>
          <w:szCs w:val="24"/>
        </w:rPr>
        <w:t>.</w:t>
      </w:r>
    </w:p>
    <w:p w14:paraId="657D7D02" w14:textId="42E55531" w:rsidR="00B63B61" w:rsidRPr="00B63B61" w:rsidRDefault="00F05FCA" w:rsidP="00493F4F">
      <w:pPr>
        <w:pStyle w:val="ListParagraph"/>
        <w:shd w:val="clear" w:color="auto" w:fill="FFFFFF"/>
        <w:spacing w:before="200"/>
        <w:contextualSpacing w:val="0"/>
        <w:rPr>
          <w:rFonts w:asciiTheme="majorHAnsi" w:hAnsiTheme="majorHAnsi" w:cs="Times New Roman"/>
        </w:rPr>
      </w:pPr>
      <w:r>
        <w:rPr>
          <w:rFonts w:asciiTheme="majorHAnsi" w:eastAsia="Times New Roman" w:hAnsiTheme="majorHAnsi" w:cs="Times New Roman"/>
          <w:szCs w:val="24"/>
        </w:rPr>
        <w:t xml:space="preserve">Soliris is not intended for </w:t>
      </w:r>
      <w:r w:rsidR="00356C35">
        <w:rPr>
          <w:rFonts w:asciiTheme="majorHAnsi" w:eastAsia="Times New Roman" w:hAnsiTheme="majorHAnsi" w:cs="Times New Roman"/>
          <w:szCs w:val="24"/>
        </w:rPr>
        <w:t xml:space="preserve">acute </w:t>
      </w:r>
      <w:r>
        <w:rPr>
          <w:rFonts w:asciiTheme="majorHAnsi" w:eastAsia="Times New Roman" w:hAnsiTheme="majorHAnsi" w:cs="Times New Roman"/>
          <w:szCs w:val="24"/>
        </w:rPr>
        <w:t xml:space="preserve">treatment of </w:t>
      </w:r>
      <w:r w:rsidR="00356C35">
        <w:rPr>
          <w:rFonts w:asciiTheme="majorHAnsi" w:eastAsia="Times New Roman" w:hAnsiTheme="majorHAnsi" w:cs="Times New Roman"/>
          <w:szCs w:val="24"/>
        </w:rPr>
        <w:t xml:space="preserve">a NMOSD </w:t>
      </w:r>
      <w:r>
        <w:rPr>
          <w:rFonts w:asciiTheme="majorHAnsi" w:eastAsia="Times New Roman" w:hAnsiTheme="majorHAnsi" w:cs="Times New Roman"/>
          <w:szCs w:val="24"/>
        </w:rPr>
        <w:t>relapse.</w:t>
      </w:r>
    </w:p>
    <w:p w14:paraId="1A319A5C" w14:textId="77777777" w:rsidR="001A3992" w:rsidRPr="0039396F" w:rsidRDefault="001A3992" w:rsidP="0039396F">
      <w:pPr>
        <w:pStyle w:val="Heading2"/>
        <w:spacing w:before="240"/>
        <w:rPr>
          <w:rFonts w:cs="Times New Roman"/>
        </w:rPr>
      </w:pPr>
      <w:r w:rsidRPr="0039396F">
        <w:rPr>
          <w:rFonts w:cs="Times New Roman"/>
        </w:rPr>
        <w:t xml:space="preserve">Dose and method of administration </w:t>
      </w:r>
    </w:p>
    <w:p w14:paraId="7BFB6CB9" w14:textId="77777777" w:rsidR="00080745" w:rsidRPr="0039396F" w:rsidRDefault="00080745" w:rsidP="004559A2">
      <w:pPr>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Patients must be administered a meningococcal vaccine </w:t>
      </w:r>
      <w:r w:rsidR="00325B0D">
        <w:rPr>
          <w:rFonts w:asciiTheme="majorHAnsi" w:hAnsiTheme="majorHAnsi" w:cs="Times New Roman"/>
          <w:szCs w:val="24"/>
        </w:rPr>
        <w:t xml:space="preserve">at least two weeks </w:t>
      </w:r>
      <w:r w:rsidRPr="0039396F">
        <w:rPr>
          <w:rFonts w:asciiTheme="majorHAnsi" w:hAnsiTheme="majorHAnsi" w:cs="Times New Roman"/>
          <w:szCs w:val="24"/>
        </w:rPr>
        <w:t>prior to</w:t>
      </w:r>
      <w:r w:rsidR="00325B0D">
        <w:rPr>
          <w:rFonts w:asciiTheme="majorHAnsi" w:hAnsiTheme="majorHAnsi" w:cs="Times New Roman"/>
          <w:szCs w:val="24"/>
        </w:rPr>
        <w:t xml:space="preserve"> receiving</w:t>
      </w:r>
      <w:r w:rsidRPr="0039396F">
        <w:rPr>
          <w:rFonts w:asciiTheme="majorHAnsi" w:hAnsiTheme="majorHAnsi" w:cs="Times New Roman"/>
          <w:szCs w:val="24"/>
        </w:rPr>
        <w:t xml:space="preserve"> </w:t>
      </w:r>
      <w:r w:rsidR="003C2E29" w:rsidRPr="0039396F">
        <w:rPr>
          <w:rFonts w:asciiTheme="majorHAnsi" w:hAnsiTheme="majorHAnsi" w:cs="Times New Roman"/>
        </w:rPr>
        <w:t>Soliris</w:t>
      </w:r>
      <w:r w:rsidRPr="0039396F">
        <w:rPr>
          <w:rFonts w:asciiTheme="majorHAnsi" w:hAnsiTheme="majorHAnsi" w:cs="Times New Roman"/>
          <w:szCs w:val="24"/>
        </w:rPr>
        <w:t xml:space="preserve"> therapy</w:t>
      </w:r>
      <w:r w:rsidR="00B36CBB">
        <w:rPr>
          <w:rFonts w:asciiTheme="majorHAnsi" w:hAnsiTheme="majorHAnsi" w:cs="Times New Roman"/>
          <w:szCs w:val="24"/>
        </w:rPr>
        <w:t>. Refer to Box Warning and</w:t>
      </w:r>
      <w:r w:rsidRPr="0039396F">
        <w:rPr>
          <w:rFonts w:asciiTheme="majorHAnsi" w:hAnsiTheme="majorHAnsi" w:cs="Times New Roman"/>
          <w:szCs w:val="24"/>
        </w:rPr>
        <w:t xml:space="preserve"> </w:t>
      </w:r>
      <w:r w:rsidR="0039396F" w:rsidRPr="00C90E83">
        <w:rPr>
          <w:rFonts w:asciiTheme="majorHAnsi" w:hAnsiTheme="majorHAnsi" w:cs="Times New Roman"/>
          <w:i/>
          <w:iCs/>
          <w:szCs w:val="24"/>
        </w:rPr>
        <w:t>Section 4.4</w:t>
      </w:r>
      <w:r w:rsidR="00D83C44" w:rsidRPr="00C90E83">
        <w:rPr>
          <w:rFonts w:asciiTheme="majorHAnsi" w:hAnsiTheme="majorHAnsi" w:cs="Times New Roman"/>
          <w:i/>
          <w:iCs/>
          <w:szCs w:val="24"/>
        </w:rPr>
        <w:t xml:space="preserve"> – Special Warnings and Precautions for Use</w:t>
      </w:r>
      <w:r w:rsidR="00752F00" w:rsidRPr="00C90E83">
        <w:rPr>
          <w:rFonts w:asciiTheme="majorHAnsi" w:hAnsiTheme="majorHAnsi" w:cs="Times New Roman"/>
          <w:i/>
          <w:iCs/>
          <w:szCs w:val="24"/>
        </w:rPr>
        <w:t xml:space="preserve">; Meningococcal Infection </w:t>
      </w:r>
      <w:r w:rsidR="00752F00" w:rsidRPr="00C90E83">
        <w:rPr>
          <w:rFonts w:asciiTheme="majorHAnsi" w:hAnsiTheme="majorHAnsi" w:cs="Times New Roman"/>
          <w:szCs w:val="24"/>
        </w:rPr>
        <w:t>and</w:t>
      </w:r>
      <w:r w:rsidR="00752F00" w:rsidRPr="00C90E83">
        <w:rPr>
          <w:rFonts w:asciiTheme="majorHAnsi" w:hAnsiTheme="majorHAnsi" w:cs="Times New Roman"/>
          <w:i/>
          <w:iCs/>
          <w:szCs w:val="24"/>
        </w:rPr>
        <w:t xml:space="preserve"> Immunisation</w:t>
      </w:r>
      <w:r w:rsidR="00B36CBB">
        <w:rPr>
          <w:rFonts w:asciiTheme="majorHAnsi" w:hAnsiTheme="majorHAnsi" w:cs="Times New Roman"/>
          <w:szCs w:val="24"/>
        </w:rPr>
        <w:t>, for vaccination information before initiating Soliris treatment</w:t>
      </w:r>
      <w:r w:rsidRPr="0039396F">
        <w:rPr>
          <w:rFonts w:asciiTheme="majorHAnsi" w:hAnsiTheme="majorHAnsi" w:cs="Times New Roman"/>
          <w:szCs w:val="24"/>
        </w:rPr>
        <w:t>.</w:t>
      </w:r>
    </w:p>
    <w:p w14:paraId="7786E2F9" w14:textId="77777777" w:rsidR="00080745" w:rsidRPr="0039396F" w:rsidDel="00B63B61" w:rsidRDefault="003C2E29" w:rsidP="00AF305A">
      <w:pPr>
        <w:autoSpaceDE w:val="0"/>
        <w:autoSpaceDN w:val="0"/>
        <w:adjustRightInd w:val="0"/>
        <w:spacing w:before="120"/>
        <w:rPr>
          <w:rFonts w:asciiTheme="majorHAnsi" w:hAnsiTheme="majorHAnsi" w:cs="Times New Roman"/>
          <w:szCs w:val="24"/>
        </w:rPr>
      </w:pPr>
      <w:r w:rsidRPr="0039396F" w:rsidDel="00B63B61">
        <w:rPr>
          <w:rFonts w:asciiTheme="majorHAnsi" w:hAnsiTheme="majorHAnsi" w:cs="Times New Roman"/>
        </w:rPr>
        <w:t>Soliris</w:t>
      </w:r>
      <w:r w:rsidR="00080745" w:rsidRPr="0039396F" w:rsidDel="00B63B61">
        <w:rPr>
          <w:rFonts w:asciiTheme="majorHAnsi" w:hAnsiTheme="majorHAnsi" w:cs="Times New Roman"/>
          <w:szCs w:val="24"/>
        </w:rPr>
        <w:t xml:space="preserve"> should be administered by a healthcare professional and under appropriate medical supervision.</w:t>
      </w:r>
      <w:r w:rsidR="00080745" w:rsidRPr="0039396F" w:rsidDel="00B63B61">
        <w:rPr>
          <w:rFonts w:asciiTheme="majorHAnsi" w:hAnsiTheme="majorHAnsi" w:cs="Times New Roman"/>
          <w:szCs w:val="24"/>
          <w:vertAlign w:val="superscript"/>
        </w:rPr>
        <w:t xml:space="preserve"> </w:t>
      </w:r>
    </w:p>
    <w:p w14:paraId="0CBE6EB5" w14:textId="77777777" w:rsidR="00080745" w:rsidRPr="0039396F" w:rsidRDefault="00080745" w:rsidP="00BF24C5">
      <w:pPr>
        <w:pStyle w:val="Heading3"/>
        <w:rPr>
          <w:noProof/>
        </w:rPr>
      </w:pPr>
      <w:bookmarkStart w:id="0" w:name="_2.1_Recommended_Dosage"/>
      <w:bookmarkEnd w:id="0"/>
      <w:r w:rsidRPr="0039396F">
        <w:rPr>
          <w:noProof/>
        </w:rPr>
        <w:t>A</w:t>
      </w:r>
      <w:r w:rsidR="004559A2" w:rsidRPr="0039396F">
        <w:rPr>
          <w:noProof/>
        </w:rPr>
        <w:t>d</w:t>
      </w:r>
      <w:r w:rsidRPr="0039396F">
        <w:rPr>
          <w:noProof/>
        </w:rPr>
        <w:t xml:space="preserve">ult </w:t>
      </w:r>
      <w:r w:rsidR="00356495">
        <w:rPr>
          <w:noProof/>
        </w:rPr>
        <w:t>P</w:t>
      </w:r>
      <w:r w:rsidR="00356495" w:rsidRPr="0039396F">
        <w:rPr>
          <w:noProof/>
        </w:rPr>
        <w:t>atients</w:t>
      </w:r>
    </w:p>
    <w:p w14:paraId="00A9E029" w14:textId="77777777" w:rsidR="00080745" w:rsidRPr="0039396F" w:rsidRDefault="00080745" w:rsidP="000F42A6">
      <w:pPr>
        <w:keepNext/>
        <w:tabs>
          <w:tab w:val="left" w:pos="567"/>
        </w:tabs>
        <w:spacing w:before="120" w:after="120"/>
        <w:rPr>
          <w:rFonts w:asciiTheme="majorHAnsi" w:hAnsiTheme="majorHAnsi" w:cs="Times New Roman"/>
          <w:i/>
          <w:szCs w:val="24"/>
          <w:u w:val="single"/>
        </w:rPr>
      </w:pPr>
      <w:r w:rsidRPr="0039396F">
        <w:rPr>
          <w:rFonts w:asciiTheme="majorHAnsi" w:hAnsiTheme="majorHAnsi" w:cs="Times New Roman"/>
          <w:i/>
          <w:noProof/>
          <w:szCs w:val="24"/>
          <w:u w:val="single"/>
        </w:rPr>
        <w:t>Paroxysmal Nocturnal Haemoglobinuria (PNH)</w:t>
      </w:r>
    </w:p>
    <w:p w14:paraId="10094689" w14:textId="77777777" w:rsidR="00080745" w:rsidRPr="0039396F" w:rsidRDefault="00080745" w:rsidP="004559A2">
      <w:pPr>
        <w:tabs>
          <w:tab w:val="left" w:pos="567"/>
        </w:tabs>
        <w:rPr>
          <w:rFonts w:asciiTheme="majorHAnsi" w:hAnsiTheme="majorHAnsi" w:cs="Times New Roman"/>
          <w:szCs w:val="24"/>
        </w:rPr>
      </w:pPr>
      <w:r w:rsidRPr="0039396F">
        <w:rPr>
          <w:rFonts w:asciiTheme="majorHAnsi" w:hAnsiTheme="majorHAnsi" w:cs="Times New Roman"/>
          <w:szCs w:val="24"/>
        </w:rPr>
        <w:t xml:space="preserve">The PNH dosing regimen </w:t>
      </w:r>
      <w:r w:rsidRPr="0039396F">
        <w:rPr>
          <w:rFonts w:asciiTheme="majorHAnsi" w:hAnsiTheme="majorHAnsi" w:cs="Times New Roman"/>
          <w:szCs w:val="24"/>
          <w:lang w:val="en-US"/>
        </w:rPr>
        <w:t xml:space="preserve">for adult patients (≥18 years of age) </w:t>
      </w:r>
      <w:r w:rsidRPr="0039396F">
        <w:rPr>
          <w:rFonts w:asciiTheme="majorHAnsi" w:hAnsiTheme="majorHAnsi" w:cs="Times New Roman"/>
          <w:szCs w:val="24"/>
        </w:rPr>
        <w:t xml:space="preserve">consists of a 4-week initial phase followed by a maintenance phase: </w:t>
      </w:r>
    </w:p>
    <w:p w14:paraId="4EE3ADBE" w14:textId="77777777" w:rsidR="00080745" w:rsidRPr="0039396F" w:rsidRDefault="00080745" w:rsidP="009F3AF8">
      <w:pPr>
        <w:numPr>
          <w:ilvl w:val="0"/>
          <w:numId w:val="4"/>
        </w:numPr>
        <w:tabs>
          <w:tab w:val="left" w:pos="567"/>
        </w:tabs>
        <w:autoSpaceDE w:val="0"/>
        <w:autoSpaceDN w:val="0"/>
        <w:adjustRightInd w:val="0"/>
        <w:ind w:left="357" w:hanging="357"/>
        <w:rPr>
          <w:rFonts w:asciiTheme="majorHAnsi" w:hAnsiTheme="majorHAnsi" w:cs="Times New Roman"/>
          <w:szCs w:val="24"/>
        </w:rPr>
      </w:pPr>
      <w:r w:rsidRPr="0039396F">
        <w:rPr>
          <w:rFonts w:asciiTheme="majorHAnsi" w:hAnsiTheme="majorHAnsi" w:cs="Times New Roman"/>
          <w:szCs w:val="24"/>
        </w:rPr>
        <w:t xml:space="preserve">Initial phase:  600 mg of </w:t>
      </w:r>
      <w:r w:rsidR="003C2E29" w:rsidRPr="0039396F">
        <w:rPr>
          <w:rFonts w:asciiTheme="majorHAnsi" w:hAnsiTheme="majorHAnsi" w:cs="Times New Roman"/>
        </w:rPr>
        <w:t>Soliris</w:t>
      </w:r>
      <w:r w:rsidRPr="0039396F">
        <w:rPr>
          <w:rFonts w:asciiTheme="majorHAnsi" w:hAnsiTheme="majorHAnsi" w:cs="Times New Roman"/>
          <w:szCs w:val="24"/>
        </w:rPr>
        <w:t xml:space="preserve"> administered via a 25 - 45 minute intravenous infusion every week for the first 4 weeks </w:t>
      </w:r>
    </w:p>
    <w:p w14:paraId="0F8D2B4E" w14:textId="77777777" w:rsidR="00080745" w:rsidRPr="0039396F" w:rsidRDefault="00080745" w:rsidP="009F3AF8">
      <w:pPr>
        <w:numPr>
          <w:ilvl w:val="0"/>
          <w:numId w:val="4"/>
        </w:numPr>
        <w:tabs>
          <w:tab w:val="left" w:pos="567"/>
        </w:tabs>
        <w:autoSpaceDE w:val="0"/>
        <w:autoSpaceDN w:val="0"/>
        <w:adjustRightInd w:val="0"/>
        <w:ind w:left="357" w:hanging="357"/>
        <w:rPr>
          <w:rFonts w:asciiTheme="majorHAnsi" w:hAnsiTheme="majorHAnsi" w:cs="Times New Roman"/>
          <w:szCs w:val="24"/>
        </w:rPr>
      </w:pPr>
      <w:r w:rsidRPr="0039396F">
        <w:rPr>
          <w:rFonts w:asciiTheme="majorHAnsi" w:hAnsiTheme="majorHAnsi" w:cs="Times New Roman"/>
          <w:szCs w:val="24"/>
        </w:rPr>
        <w:t xml:space="preserve">Maintenance phase: 900 mg of </w:t>
      </w:r>
      <w:r w:rsidR="003C2E29" w:rsidRPr="0039396F">
        <w:rPr>
          <w:rFonts w:asciiTheme="majorHAnsi" w:hAnsiTheme="majorHAnsi" w:cs="Times New Roman"/>
        </w:rPr>
        <w:t>Soliris</w:t>
      </w:r>
      <w:r w:rsidR="003C2E29" w:rsidRPr="0039396F">
        <w:rPr>
          <w:rFonts w:asciiTheme="majorHAnsi" w:hAnsiTheme="majorHAnsi" w:cs="Times New Roman"/>
          <w:szCs w:val="24"/>
        </w:rPr>
        <w:t xml:space="preserve"> </w:t>
      </w:r>
      <w:r w:rsidRPr="0039396F">
        <w:rPr>
          <w:rFonts w:asciiTheme="majorHAnsi" w:hAnsiTheme="majorHAnsi" w:cs="Times New Roman"/>
          <w:szCs w:val="24"/>
        </w:rPr>
        <w:t xml:space="preserve">administered via a 25 - 45 minute intravenous infusion </w:t>
      </w:r>
      <w:r w:rsidR="00220A19">
        <w:rPr>
          <w:rFonts w:asciiTheme="majorHAnsi" w:hAnsiTheme="majorHAnsi" w:cs="Times New Roman"/>
          <w:szCs w:val="24"/>
        </w:rPr>
        <w:t>on</w:t>
      </w:r>
      <w:r w:rsidR="00220A19" w:rsidRPr="0039396F">
        <w:rPr>
          <w:rFonts w:asciiTheme="majorHAnsi" w:hAnsiTheme="majorHAnsi" w:cs="Times New Roman"/>
          <w:szCs w:val="24"/>
        </w:rPr>
        <w:t xml:space="preserve"> </w:t>
      </w:r>
      <w:r w:rsidRPr="0039396F">
        <w:rPr>
          <w:rFonts w:asciiTheme="majorHAnsi" w:hAnsiTheme="majorHAnsi" w:cs="Times New Roman"/>
          <w:szCs w:val="24"/>
        </w:rPr>
        <w:t xml:space="preserve">the fifth week, followed by 900 mg of </w:t>
      </w:r>
      <w:r w:rsidR="003C2E29" w:rsidRPr="0039396F">
        <w:rPr>
          <w:rFonts w:asciiTheme="majorHAnsi" w:hAnsiTheme="majorHAnsi" w:cs="Times New Roman"/>
        </w:rPr>
        <w:t>Soliris</w:t>
      </w:r>
      <w:r w:rsidRPr="0039396F">
        <w:rPr>
          <w:rFonts w:asciiTheme="majorHAnsi" w:hAnsiTheme="majorHAnsi" w:cs="Times New Roman"/>
          <w:szCs w:val="24"/>
        </w:rPr>
        <w:t xml:space="preserve"> administered via a 25 - 45 minute intravenous infusion every 14 ± 2 days.</w:t>
      </w:r>
    </w:p>
    <w:p w14:paraId="35C2FFE4" w14:textId="77777777" w:rsidR="00080745" w:rsidRPr="000F42A6" w:rsidRDefault="00080745" w:rsidP="000F42A6">
      <w:pPr>
        <w:keepNext/>
        <w:tabs>
          <w:tab w:val="left" w:pos="567"/>
        </w:tabs>
        <w:spacing w:before="120" w:after="120"/>
        <w:rPr>
          <w:rFonts w:asciiTheme="majorHAnsi" w:hAnsiTheme="majorHAnsi" w:cs="Times New Roman"/>
          <w:i/>
          <w:noProof/>
          <w:szCs w:val="24"/>
          <w:u w:val="single"/>
        </w:rPr>
      </w:pPr>
      <w:r w:rsidRPr="000F42A6">
        <w:rPr>
          <w:rFonts w:asciiTheme="majorHAnsi" w:hAnsiTheme="majorHAnsi" w:cs="Times New Roman"/>
          <w:i/>
          <w:noProof/>
          <w:szCs w:val="24"/>
          <w:u w:val="single"/>
        </w:rPr>
        <w:t>atypical Haemolytic Uraemic Syndrome (aHUS)</w:t>
      </w:r>
      <w:r w:rsidR="00674F35" w:rsidRPr="000F42A6">
        <w:rPr>
          <w:rFonts w:asciiTheme="majorHAnsi" w:hAnsiTheme="majorHAnsi" w:cs="Times New Roman"/>
          <w:i/>
          <w:noProof/>
          <w:szCs w:val="24"/>
          <w:u w:val="single"/>
        </w:rPr>
        <w:t xml:space="preserve"> and Neuromyelitis Optica Spectrum Disorder (NMOSD)</w:t>
      </w:r>
    </w:p>
    <w:p w14:paraId="14DF9C48" w14:textId="7C6840E8" w:rsidR="00080745" w:rsidRDefault="00080745" w:rsidP="004559A2">
      <w:pPr>
        <w:rPr>
          <w:rFonts w:asciiTheme="majorHAnsi" w:hAnsiTheme="majorHAnsi" w:cs="Times New Roman"/>
          <w:szCs w:val="24"/>
          <w:lang w:val="en-US"/>
        </w:rPr>
      </w:pPr>
      <w:r w:rsidRPr="0039396F">
        <w:rPr>
          <w:rFonts w:asciiTheme="majorHAnsi" w:hAnsiTheme="majorHAnsi" w:cs="Times New Roman"/>
          <w:szCs w:val="24"/>
          <w:lang w:val="en-US"/>
        </w:rPr>
        <w:t xml:space="preserve">The aHUS </w:t>
      </w:r>
      <w:r w:rsidR="00674F35">
        <w:rPr>
          <w:rFonts w:asciiTheme="majorHAnsi" w:hAnsiTheme="majorHAnsi" w:cs="Times New Roman"/>
          <w:szCs w:val="24"/>
          <w:lang w:val="en-US"/>
        </w:rPr>
        <w:t xml:space="preserve">and NMOSD </w:t>
      </w:r>
      <w:r w:rsidRPr="0039396F">
        <w:rPr>
          <w:rFonts w:asciiTheme="majorHAnsi" w:hAnsiTheme="majorHAnsi" w:cs="Times New Roman"/>
          <w:szCs w:val="24"/>
          <w:lang w:val="en-US"/>
        </w:rPr>
        <w:t>dosing regimen for adult patients (≥18 years of age) consists of a 4-week initial phase followed by a maintenance phase:</w:t>
      </w:r>
    </w:p>
    <w:p w14:paraId="617B3073" w14:textId="77777777" w:rsidR="00080745" w:rsidRPr="0039396F" w:rsidRDefault="00080745" w:rsidP="00A95424">
      <w:pPr>
        <w:numPr>
          <w:ilvl w:val="0"/>
          <w:numId w:val="4"/>
        </w:numPr>
        <w:tabs>
          <w:tab w:val="left" w:pos="567"/>
        </w:tabs>
        <w:autoSpaceDE w:val="0"/>
        <w:autoSpaceDN w:val="0"/>
        <w:adjustRightInd w:val="0"/>
        <w:spacing w:before="120"/>
        <w:ind w:left="357" w:hanging="357"/>
        <w:rPr>
          <w:rFonts w:asciiTheme="majorHAnsi" w:hAnsiTheme="majorHAnsi" w:cs="Times New Roman"/>
          <w:szCs w:val="24"/>
        </w:rPr>
      </w:pPr>
      <w:r w:rsidRPr="0039396F">
        <w:rPr>
          <w:rFonts w:asciiTheme="majorHAnsi" w:hAnsiTheme="majorHAnsi" w:cs="Times New Roman"/>
          <w:szCs w:val="24"/>
        </w:rPr>
        <w:t xml:space="preserve">Initial phase:  900 mg of </w:t>
      </w:r>
      <w:r w:rsidR="003C2E29" w:rsidRPr="0039396F">
        <w:rPr>
          <w:rFonts w:asciiTheme="majorHAnsi" w:hAnsiTheme="majorHAnsi" w:cs="Times New Roman"/>
        </w:rPr>
        <w:t>Soliris</w:t>
      </w:r>
      <w:r w:rsidRPr="0039396F">
        <w:rPr>
          <w:rFonts w:asciiTheme="majorHAnsi" w:hAnsiTheme="majorHAnsi" w:cs="Times New Roman"/>
          <w:szCs w:val="24"/>
        </w:rPr>
        <w:t xml:space="preserve"> via a 25 - 45 minute intravenous infusion every week for the first 4 weeks</w:t>
      </w:r>
    </w:p>
    <w:p w14:paraId="73FEC64F" w14:textId="74303B45" w:rsidR="00232E86" w:rsidRDefault="00080745" w:rsidP="00A95424">
      <w:pPr>
        <w:numPr>
          <w:ilvl w:val="0"/>
          <w:numId w:val="4"/>
        </w:numPr>
        <w:tabs>
          <w:tab w:val="left" w:pos="567"/>
        </w:tabs>
        <w:autoSpaceDE w:val="0"/>
        <w:autoSpaceDN w:val="0"/>
        <w:adjustRightInd w:val="0"/>
        <w:spacing w:before="120"/>
        <w:ind w:left="357" w:hanging="357"/>
        <w:rPr>
          <w:rFonts w:asciiTheme="majorHAnsi" w:hAnsiTheme="majorHAnsi" w:cs="Times New Roman"/>
          <w:szCs w:val="24"/>
        </w:rPr>
      </w:pPr>
      <w:r w:rsidRPr="0039396F">
        <w:rPr>
          <w:rFonts w:asciiTheme="majorHAnsi" w:hAnsiTheme="majorHAnsi" w:cs="Times New Roman"/>
          <w:szCs w:val="24"/>
        </w:rPr>
        <w:t xml:space="preserve">Maintenance phase: 1200 mg of </w:t>
      </w:r>
      <w:r w:rsidR="003C2E29" w:rsidRPr="0039396F">
        <w:rPr>
          <w:rFonts w:asciiTheme="majorHAnsi" w:hAnsiTheme="majorHAnsi" w:cs="Times New Roman"/>
        </w:rPr>
        <w:t>Soliris</w:t>
      </w:r>
      <w:r w:rsidRPr="0039396F">
        <w:rPr>
          <w:rFonts w:asciiTheme="majorHAnsi" w:hAnsiTheme="majorHAnsi" w:cs="Times New Roman"/>
          <w:szCs w:val="24"/>
        </w:rPr>
        <w:t xml:space="preserve"> administered via a 25 - 45 minute intravenous infusion </w:t>
      </w:r>
      <w:r w:rsidR="00FD5017">
        <w:rPr>
          <w:rFonts w:asciiTheme="majorHAnsi" w:hAnsiTheme="majorHAnsi" w:cs="Times New Roman"/>
          <w:szCs w:val="24"/>
        </w:rPr>
        <w:t>on</w:t>
      </w:r>
      <w:r w:rsidR="00FD5017" w:rsidRPr="0039396F">
        <w:rPr>
          <w:rFonts w:asciiTheme="majorHAnsi" w:hAnsiTheme="majorHAnsi" w:cs="Times New Roman"/>
          <w:szCs w:val="24"/>
        </w:rPr>
        <w:t xml:space="preserve"> </w:t>
      </w:r>
      <w:r w:rsidRPr="0039396F">
        <w:rPr>
          <w:rFonts w:asciiTheme="majorHAnsi" w:hAnsiTheme="majorHAnsi" w:cs="Times New Roman"/>
          <w:szCs w:val="24"/>
        </w:rPr>
        <w:t xml:space="preserve">the fifth week, followed by 1200 mg of </w:t>
      </w:r>
      <w:r w:rsidR="003C2E29" w:rsidRPr="0039396F">
        <w:rPr>
          <w:rFonts w:asciiTheme="majorHAnsi" w:hAnsiTheme="majorHAnsi" w:cs="Times New Roman"/>
        </w:rPr>
        <w:t>Soliris</w:t>
      </w:r>
      <w:r w:rsidRPr="0039396F">
        <w:rPr>
          <w:rFonts w:asciiTheme="majorHAnsi" w:hAnsiTheme="majorHAnsi" w:cs="Times New Roman"/>
          <w:szCs w:val="24"/>
        </w:rPr>
        <w:t xml:space="preserve"> administered via a 25 - 45 minute intravenous infusion every 14 ± 2 days. </w:t>
      </w:r>
    </w:p>
    <w:p w14:paraId="2CBF67ED" w14:textId="5BD3773F" w:rsidR="00A95424" w:rsidRDefault="00232E86" w:rsidP="00A95424">
      <w:pPr>
        <w:tabs>
          <w:tab w:val="left" w:pos="567"/>
        </w:tabs>
        <w:autoSpaceDE w:val="0"/>
        <w:autoSpaceDN w:val="0"/>
        <w:adjustRightInd w:val="0"/>
        <w:spacing w:before="120" w:after="120"/>
        <w:rPr>
          <w:rFonts w:asciiTheme="majorHAnsi" w:hAnsiTheme="majorHAnsi" w:cs="Times New Roman"/>
          <w:szCs w:val="24"/>
        </w:rPr>
      </w:pPr>
      <w:r>
        <w:rPr>
          <w:rFonts w:asciiTheme="majorHAnsi" w:hAnsiTheme="majorHAnsi" w:cs="Times New Roman"/>
          <w:szCs w:val="24"/>
        </w:rPr>
        <w:t xml:space="preserve">For patients with NMOSD, Soliris </w:t>
      </w:r>
      <w:r w:rsidR="00C90E83">
        <w:rPr>
          <w:rFonts w:asciiTheme="majorHAnsi" w:hAnsiTheme="majorHAnsi" w:cs="Times New Roman"/>
          <w:szCs w:val="24"/>
        </w:rPr>
        <w:t>should</w:t>
      </w:r>
      <w:r w:rsidR="00296FC8">
        <w:rPr>
          <w:rFonts w:asciiTheme="majorHAnsi" w:hAnsiTheme="majorHAnsi" w:cs="Times New Roman"/>
          <w:szCs w:val="24"/>
        </w:rPr>
        <w:t xml:space="preserve"> be</w:t>
      </w:r>
      <w:r>
        <w:rPr>
          <w:rFonts w:asciiTheme="majorHAnsi" w:hAnsiTheme="majorHAnsi" w:cs="Times New Roman"/>
          <w:szCs w:val="24"/>
        </w:rPr>
        <w:t xml:space="preserve"> administered </w:t>
      </w:r>
      <w:r w:rsidR="00C90E83">
        <w:rPr>
          <w:rFonts w:asciiTheme="majorHAnsi" w:hAnsiTheme="majorHAnsi" w:cs="Times New Roman"/>
          <w:szCs w:val="24"/>
        </w:rPr>
        <w:t xml:space="preserve">as an adjuvant therapy to their existing immunosuppressive therapy (IST). In clinical studies with Soliris, </w:t>
      </w:r>
      <w:r w:rsidR="00E679E2" w:rsidRPr="00E679E2">
        <w:rPr>
          <w:rFonts w:asciiTheme="majorHAnsi" w:hAnsiTheme="majorHAnsi" w:cs="Times New Roman"/>
          <w:szCs w:val="24"/>
        </w:rPr>
        <w:t>~76</w:t>
      </w:r>
      <w:r w:rsidR="00C90E83">
        <w:rPr>
          <w:rFonts w:asciiTheme="majorHAnsi" w:hAnsiTheme="majorHAnsi" w:cs="Times New Roman"/>
          <w:szCs w:val="24"/>
        </w:rPr>
        <w:t xml:space="preserve">% of patients were on ISTs at baseline (see </w:t>
      </w:r>
      <w:r w:rsidR="00C90E83" w:rsidRPr="00C90E83">
        <w:rPr>
          <w:rFonts w:asciiTheme="majorHAnsi" w:hAnsiTheme="majorHAnsi" w:cs="Times New Roman"/>
          <w:i/>
          <w:iCs/>
          <w:szCs w:val="24"/>
        </w:rPr>
        <w:t xml:space="preserve">section 5.1 </w:t>
      </w:r>
      <w:r w:rsidR="00A95424" w:rsidRPr="00A95424">
        <w:rPr>
          <w:i/>
          <w:iCs/>
        </w:rPr>
        <w:t>Pharmacodynamic Properties;</w:t>
      </w:r>
      <w:r w:rsidR="00A95424">
        <w:rPr>
          <w:i/>
          <w:iCs/>
        </w:rPr>
        <w:t xml:space="preserve"> </w:t>
      </w:r>
      <w:r w:rsidR="00C90E83" w:rsidRPr="00C90E83">
        <w:rPr>
          <w:rFonts w:asciiTheme="majorHAnsi" w:hAnsiTheme="majorHAnsi" w:cs="Times New Roman"/>
          <w:i/>
          <w:iCs/>
          <w:szCs w:val="24"/>
        </w:rPr>
        <w:t>Clinical Trials</w:t>
      </w:r>
      <w:r w:rsidR="00C90E83">
        <w:rPr>
          <w:rFonts w:asciiTheme="majorHAnsi" w:hAnsiTheme="majorHAnsi" w:cs="Times New Roman"/>
          <w:szCs w:val="24"/>
        </w:rPr>
        <w:t>)</w:t>
      </w:r>
      <w:r>
        <w:rPr>
          <w:rFonts w:asciiTheme="majorHAnsi" w:hAnsiTheme="majorHAnsi" w:cs="Times New Roman"/>
          <w:szCs w:val="24"/>
        </w:rPr>
        <w:t>.</w:t>
      </w:r>
    </w:p>
    <w:p w14:paraId="112C8010" w14:textId="4602BD8C" w:rsidR="00232E86" w:rsidRPr="007F4E2A" w:rsidRDefault="00232E86" w:rsidP="00C90E83">
      <w:pPr>
        <w:tabs>
          <w:tab w:val="left" w:pos="567"/>
        </w:tabs>
        <w:autoSpaceDE w:val="0"/>
        <w:autoSpaceDN w:val="0"/>
        <w:adjustRightInd w:val="0"/>
        <w:spacing w:after="120"/>
        <w:rPr>
          <w:rFonts w:asciiTheme="majorHAnsi" w:hAnsiTheme="majorHAnsi" w:cs="Times New Roman"/>
          <w:szCs w:val="24"/>
        </w:rPr>
      </w:pPr>
      <w:r>
        <w:rPr>
          <w:rFonts w:asciiTheme="majorHAnsi" w:hAnsiTheme="majorHAnsi" w:cs="Times New Roman"/>
          <w:szCs w:val="24"/>
        </w:rPr>
        <w:t xml:space="preserve">Refer to </w:t>
      </w:r>
      <w:r w:rsidRPr="00C90E83">
        <w:rPr>
          <w:rFonts w:asciiTheme="majorHAnsi" w:hAnsiTheme="majorHAnsi" w:cs="Times New Roman"/>
          <w:i/>
          <w:iCs/>
          <w:szCs w:val="24"/>
        </w:rPr>
        <w:t>section 4.4 – Special Warnings and Precautions for Use; Immunosuppressant Therapy</w:t>
      </w:r>
      <w:r w:rsidR="00296FC8" w:rsidRPr="00C90E83">
        <w:rPr>
          <w:rFonts w:asciiTheme="majorHAnsi" w:hAnsiTheme="majorHAnsi" w:cs="Times New Roman"/>
          <w:i/>
          <w:iCs/>
          <w:szCs w:val="24"/>
        </w:rPr>
        <w:t xml:space="preserve"> (IST)</w:t>
      </w:r>
      <w:r w:rsidRPr="007F4E2A">
        <w:rPr>
          <w:rFonts w:asciiTheme="majorHAnsi" w:hAnsiTheme="majorHAnsi" w:cs="Times New Roman"/>
          <w:szCs w:val="24"/>
        </w:rPr>
        <w:t xml:space="preserve"> for ISTs that are not to be used along with Soliris.</w:t>
      </w:r>
    </w:p>
    <w:p w14:paraId="3A2A7B1F" w14:textId="77777777" w:rsidR="00080745" w:rsidRPr="0039396F" w:rsidRDefault="00080745" w:rsidP="00BF24C5">
      <w:pPr>
        <w:pStyle w:val="Heading3"/>
        <w:rPr>
          <w:noProof/>
        </w:rPr>
      </w:pPr>
      <w:r w:rsidRPr="0039396F">
        <w:rPr>
          <w:noProof/>
        </w:rPr>
        <w:lastRenderedPageBreak/>
        <w:t xml:space="preserve">Paediatric </w:t>
      </w:r>
      <w:r w:rsidR="00356495">
        <w:rPr>
          <w:noProof/>
        </w:rPr>
        <w:t>P</w:t>
      </w:r>
      <w:r w:rsidR="00356495" w:rsidRPr="0039396F">
        <w:rPr>
          <w:noProof/>
        </w:rPr>
        <w:t xml:space="preserve">atients </w:t>
      </w:r>
      <w:r w:rsidRPr="0039396F">
        <w:rPr>
          <w:noProof/>
        </w:rPr>
        <w:t>(&lt;18 years of age)</w:t>
      </w:r>
    </w:p>
    <w:p w14:paraId="0AC21E38" w14:textId="73021602" w:rsidR="00080745" w:rsidRPr="0039396F" w:rsidRDefault="00080745" w:rsidP="004559A2">
      <w:pPr>
        <w:keepNext/>
        <w:rPr>
          <w:rFonts w:asciiTheme="majorHAnsi" w:hAnsiTheme="majorHAnsi" w:cs="Times New Roman"/>
          <w:szCs w:val="24"/>
          <w:lang w:val="en-US"/>
        </w:rPr>
      </w:pP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w:t>
      </w:r>
      <w:r w:rsidR="00A8461F">
        <w:rPr>
          <w:rFonts w:asciiTheme="majorHAnsi" w:hAnsiTheme="majorHAnsi" w:cs="Times New Roman"/>
          <w:szCs w:val="24"/>
          <w:lang w:val="en-US"/>
        </w:rPr>
        <w:t xml:space="preserve">patients with </w:t>
      </w:r>
      <w:r w:rsidRPr="0039396F">
        <w:rPr>
          <w:rFonts w:asciiTheme="majorHAnsi" w:hAnsiTheme="majorHAnsi" w:cs="Times New Roman"/>
          <w:szCs w:val="24"/>
          <w:lang w:val="en-US"/>
        </w:rPr>
        <w:t>PNH and aHUS with body weight ≥ 40 kg are treated with the adult dosing recommendations above.</w:t>
      </w:r>
    </w:p>
    <w:p w14:paraId="540E0889" w14:textId="3213496E" w:rsidR="00080745" w:rsidRPr="0039396F" w:rsidRDefault="00080745" w:rsidP="00AF305A">
      <w:pPr>
        <w:keepNext/>
        <w:spacing w:before="120" w:after="120"/>
        <w:rPr>
          <w:rFonts w:asciiTheme="majorHAnsi" w:hAnsiTheme="majorHAnsi" w:cs="Times New Roman"/>
          <w:szCs w:val="24"/>
          <w:lang w:val="en-US"/>
        </w:rPr>
      </w:pPr>
      <w:r w:rsidRPr="0039396F">
        <w:rPr>
          <w:rFonts w:asciiTheme="majorHAnsi" w:hAnsiTheme="majorHAnsi" w:cs="Times New Roman"/>
          <w:szCs w:val="24"/>
          <w:lang w:val="en-US"/>
        </w:rPr>
        <w:t xml:space="preserve">For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w:t>
      </w:r>
      <w:r w:rsidR="00A8461F">
        <w:rPr>
          <w:rFonts w:asciiTheme="majorHAnsi" w:hAnsiTheme="majorHAnsi" w:cs="Times New Roman"/>
          <w:szCs w:val="24"/>
          <w:lang w:val="en-US"/>
        </w:rPr>
        <w:t xml:space="preserve">patients with </w:t>
      </w:r>
      <w:r w:rsidRPr="0039396F">
        <w:rPr>
          <w:rFonts w:asciiTheme="majorHAnsi" w:hAnsiTheme="majorHAnsi" w:cs="Times New Roman"/>
          <w:szCs w:val="24"/>
          <w:lang w:val="en-US"/>
        </w:rPr>
        <w:t xml:space="preserve">PNH and aHUS with a body weight below 40 kg, the </w:t>
      </w:r>
      <w:r w:rsidR="003C2E29" w:rsidRPr="0039396F">
        <w:rPr>
          <w:rFonts w:asciiTheme="majorHAnsi" w:hAnsiTheme="majorHAnsi" w:cs="Times New Roman"/>
        </w:rPr>
        <w:t>Soliris</w:t>
      </w:r>
      <w:r w:rsidRPr="0039396F">
        <w:rPr>
          <w:rFonts w:asciiTheme="majorHAnsi" w:hAnsiTheme="majorHAnsi" w:cs="Times New Roman"/>
          <w:szCs w:val="24"/>
          <w:lang w:val="en-US"/>
        </w:rPr>
        <w:t xml:space="preserve"> dosing regimen consists 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2218"/>
        <w:gridCol w:w="4995"/>
      </w:tblGrid>
      <w:tr w:rsidR="00080745" w:rsidRPr="0039396F" w14:paraId="67F852E8" w14:textId="77777777" w:rsidTr="00AF4009">
        <w:tc>
          <w:tcPr>
            <w:tcW w:w="1710" w:type="dxa"/>
            <w:shd w:val="clear" w:color="auto" w:fill="auto"/>
          </w:tcPr>
          <w:p w14:paraId="396A4078" w14:textId="77777777" w:rsidR="00080745" w:rsidRPr="0039396F" w:rsidRDefault="00080745" w:rsidP="004559A2">
            <w:pPr>
              <w:keepNext/>
              <w:jc w:val="center"/>
              <w:rPr>
                <w:rFonts w:asciiTheme="majorHAnsi" w:hAnsiTheme="majorHAnsi" w:cs="Times New Roman"/>
                <w:b/>
                <w:szCs w:val="24"/>
                <w:lang w:val="en-US"/>
              </w:rPr>
            </w:pPr>
            <w:r w:rsidRPr="0039396F">
              <w:rPr>
                <w:rFonts w:asciiTheme="majorHAnsi" w:hAnsiTheme="majorHAnsi" w:cs="Times New Roman"/>
                <w:b/>
                <w:szCs w:val="24"/>
                <w:lang w:val="en-US"/>
              </w:rPr>
              <w:t>Patient Body Weight</w:t>
            </w:r>
            <w:r w:rsidRPr="0039396F">
              <w:rPr>
                <w:rFonts w:asciiTheme="majorHAnsi" w:hAnsiTheme="majorHAnsi" w:cs="Times New Roman"/>
                <w:b/>
                <w:szCs w:val="24"/>
                <w:vertAlign w:val="superscript"/>
                <w:lang w:val="en-US"/>
              </w:rPr>
              <w:t>*</w:t>
            </w:r>
          </w:p>
        </w:tc>
        <w:tc>
          <w:tcPr>
            <w:tcW w:w="2250" w:type="dxa"/>
            <w:shd w:val="clear" w:color="auto" w:fill="auto"/>
          </w:tcPr>
          <w:p w14:paraId="3C38071F" w14:textId="77777777" w:rsidR="00080745" w:rsidRPr="0039396F" w:rsidRDefault="00080745" w:rsidP="004559A2">
            <w:pPr>
              <w:keepNext/>
              <w:jc w:val="center"/>
              <w:rPr>
                <w:rFonts w:asciiTheme="majorHAnsi" w:hAnsiTheme="majorHAnsi" w:cs="Times New Roman"/>
                <w:b/>
                <w:szCs w:val="24"/>
                <w:lang w:val="en-US"/>
              </w:rPr>
            </w:pPr>
            <w:r w:rsidRPr="0039396F">
              <w:rPr>
                <w:rFonts w:asciiTheme="majorHAnsi" w:hAnsiTheme="majorHAnsi" w:cs="Times New Roman"/>
                <w:b/>
                <w:szCs w:val="24"/>
                <w:lang w:val="en-US"/>
              </w:rPr>
              <w:t>Initial Phase</w:t>
            </w:r>
          </w:p>
        </w:tc>
        <w:tc>
          <w:tcPr>
            <w:tcW w:w="5076" w:type="dxa"/>
            <w:shd w:val="clear" w:color="auto" w:fill="auto"/>
          </w:tcPr>
          <w:p w14:paraId="4C760DB2" w14:textId="77777777" w:rsidR="00080745" w:rsidRPr="0039396F" w:rsidRDefault="00080745" w:rsidP="004559A2">
            <w:pPr>
              <w:keepNext/>
              <w:jc w:val="center"/>
              <w:rPr>
                <w:rFonts w:asciiTheme="majorHAnsi" w:hAnsiTheme="majorHAnsi" w:cs="Times New Roman"/>
                <w:b/>
                <w:szCs w:val="24"/>
                <w:lang w:val="en-US"/>
              </w:rPr>
            </w:pPr>
            <w:r w:rsidRPr="0039396F">
              <w:rPr>
                <w:rFonts w:asciiTheme="majorHAnsi" w:hAnsiTheme="majorHAnsi" w:cs="Times New Roman"/>
                <w:b/>
                <w:szCs w:val="24"/>
                <w:lang w:val="en-US"/>
              </w:rPr>
              <w:t>Maintenance Phase</w:t>
            </w:r>
          </w:p>
        </w:tc>
      </w:tr>
      <w:tr w:rsidR="00080745" w:rsidRPr="0039396F" w14:paraId="60E6F295" w14:textId="77777777" w:rsidTr="00AF4009">
        <w:tc>
          <w:tcPr>
            <w:tcW w:w="1710" w:type="dxa"/>
            <w:shd w:val="clear" w:color="auto" w:fill="auto"/>
          </w:tcPr>
          <w:p w14:paraId="3C91880A" w14:textId="77777777" w:rsidR="00080745" w:rsidRPr="0039396F" w:rsidRDefault="00080745" w:rsidP="004559A2">
            <w:pPr>
              <w:keepNext/>
              <w:jc w:val="center"/>
              <w:rPr>
                <w:rFonts w:asciiTheme="majorHAnsi" w:hAnsiTheme="majorHAnsi" w:cs="Times New Roman"/>
                <w:szCs w:val="24"/>
                <w:lang w:val="en-US"/>
              </w:rPr>
            </w:pPr>
            <w:r w:rsidRPr="0039396F">
              <w:rPr>
                <w:rFonts w:asciiTheme="majorHAnsi" w:hAnsiTheme="majorHAnsi" w:cs="Times New Roman"/>
                <w:szCs w:val="24"/>
                <w:lang w:val="en-US"/>
              </w:rPr>
              <w:t>30 to</w:t>
            </w:r>
            <w:r w:rsidR="00F030F3">
              <w:rPr>
                <w:rFonts w:asciiTheme="majorHAnsi" w:hAnsiTheme="majorHAnsi" w:cs="Times New Roman"/>
                <w:szCs w:val="24"/>
                <w:lang w:val="en-US"/>
              </w:rPr>
              <w:t xml:space="preserve"> </w:t>
            </w:r>
            <w:r w:rsidRPr="0039396F">
              <w:rPr>
                <w:rFonts w:asciiTheme="majorHAnsi" w:hAnsiTheme="majorHAnsi" w:cs="Times New Roman"/>
                <w:szCs w:val="24"/>
                <w:lang w:val="en-US"/>
              </w:rPr>
              <w:t>&lt;40 kg</w:t>
            </w:r>
          </w:p>
        </w:tc>
        <w:tc>
          <w:tcPr>
            <w:tcW w:w="2250" w:type="dxa"/>
            <w:shd w:val="clear" w:color="auto" w:fill="auto"/>
          </w:tcPr>
          <w:p w14:paraId="361CC7D7" w14:textId="77777777" w:rsidR="00080745" w:rsidRPr="0039396F" w:rsidRDefault="00080745" w:rsidP="004559A2">
            <w:pPr>
              <w:keepNext/>
              <w:jc w:val="center"/>
              <w:rPr>
                <w:rFonts w:asciiTheme="majorHAnsi" w:hAnsiTheme="majorHAnsi" w:cs="Times New Roman"/>
                <w:szCs w:val="24"/>
                <w:lang w:val="en-US"/>
              </w:rPr>
            </w:pPr>
            <w:r w:rsidRPr="0039396F">
              <w:rPr>
                <w:rFonts w:asciiTheme="majorHAnsi" w:hAnsiTheme="majorHAnsi" w:cs="Times New Roman"/>
                <w:szCs w:val="24"/>
                <w:lang w:val="en-US"/>
              </w:rPr>
              <w:t xml:space="preserve">600 mg </w:t>
            </w:r>
            <w:r w:rsidR="00220A19">
              <w:rPr>
                <w:rFonts w:asciiTheme="majorHAnsi" w:hAnsiTheme="majorHAnsi" w:cs="Times New Roman"/>
                <w:szCs w:val="24"/>
                <w:lang w:val="en-US"/>
              </w:rPr>
              <w:t xml:space="preserve">on </w:t>
            </w:r>
            <w:r w:rsidRPr="0039396F">
              <w:rPr>
                <w:rFonts w:asciiTheme="majorHAnsi" w:hAnsiTheme="majorHAnsi" w:cs="Times New Roman"/>
                <w:szCs w:val="24"/>
                <w:lang w:val="en-US"/>
              </w:rPr>
              <w:t>week</w:t>
            </w:r>
            <w:r w:rsidR="00220A19">
              <w:rPr>
                <w:rFonts w:asciiTheme="majorHAnsi" w:hAnsiTheme="majorHAnsi" w:cs="Times New Roman"/>
                <w:szCs w:val="24"/>
                <w:lang w:val="en-US"/>
              </w:rPr>
              <w:t>s</w:t>
            </w:r>
            <w:r w:rsidRPr="0039396F">
              <w:rPr>
                <w:rFonts w:asciiTheme="majorHAnsi" w:hAnsiTheme="majorHAnsi" w:cs="Times New Roman"/>
                <w:szCs w:val="24"/>
                <w:lang w:val="en-US"/>
              </w:rPr>
              <w:t xml:space="preserve"> </w:t>
            </w:r>
            <w:r w:rsidR="00220A19">
              <w:rPr>
                <w:rFonts w:asciiTheme="majorHAnsi" w:hAnsiTheme="majorHAnsi" w:cs="Times New Roman"/>
                <w:szCs w:val="24"/>
                <w:lang w:val="en-US"/>
              </w:rPr>
              <w:t>1 and</w:t>
            </w:r>
            <w:r w:rsidRPr="0039396F">
              <w:rPr>
                <w:rFonts w:asciiTheme="majorHAnsi" w:hAnsiTheme="majorHAnsi" w:cs="Times New Roman"/>
                <w:szCs w:val="24"/>
                <w:lang w:val="en-US"/>
              </w:rPr>
              <w:t xml:space="preserve"> 2</w:t>
            </w:r>
          </w:p>
        </w:tc>
        <w:tc>
          <w:tcPr>
            <w:tcW w:w="5076" w:type="dxa"/>
            <w:shd w:val="clear" w:color="auto" w:fill="auto"/>
          </w:tcPr>
          <w:p w14:paraId="092B65A4" w14:textId="77777777" w:rsidR="00080745" w:rsidRPr="0039396F" w:rsidRDefault="00080745" w:rsidP="003D77AC">
            <w:pPr>
              <w:keepNext/>
              <w:jc w:val="center"/>
              <w:rPr>
                <w:rFonts w:asciiTheme="majorHAnsi" w:hAnsiTheme="majorHAnsi" w:cs="Times New Roman"/>
                <w:szCs w:val="24"/>
                <w:lang w:val="en-US"/>
              </w:rPr>
            </w:pPr>
            <w:r w:rsidRPr="0039396F">
              <w:rPr>
                <w:rFonts w:asciiTheme="majorHAnsi" w:hAnsiTheme="majorHAnsi" w:cs="Times New Roman"/>
                <w:szCs w:val="24"/>
                <w:lang w:val="en-US"/>
              </w:rPr>
              <w:t xml:space="preserve">900 mg </w:t>
            </w:r>
            <w:r w:rsidR="003D77AC">
              <w:rPr>
                <w:rFonts w:asciiTheme="majorHAnsi" w:hAnsiTheme="majorHAnsi" w:cs="Times New Roman"/>
                <w:szCs w:val="24"/>
                <w:lang w:val="en-US"/>
              </w:rPr>
              <w:t>on</w:t>
            </w:r>
            <w:r w:rsidRPr="0039396F">
              <w:rPr>
                <w:rFonts w:asciiTheme="majorHAnsi" w:hAnsiTheme="majorHAnsi" w:cs="Times New Roman"/>
                <w:szCs w:val="24"/>
                <w:lang w:val="en-US"/>
              </w:rPr>
              <w:t xml:space="preserve"> week 3; then 900 mg every 2 weeks</w:t>
            </w:r>
          </w:p>
        </w:tc>
      </w:tr>
      <w:tr w:rsidR="00080745" w:rsidRPr="0039396F" w14:paraId="1F950A31" w14:textId="77777777" w:rsidTr="00AF4009">
        <w:tc>
          <w:tcPr>
            <w:tcW w:w="1710" w:type="dxa"/>
            <w:shd w:val="clear" w:color="auto" w:fill="auto"/>
          </w:tcPr>
          <w:p w14:paraId="16F52C34" w14:textId="77777777" w:rsidR="00080745" w:rsidRPr="0039396F" w:rsidRDefault="00080745" w:rsidP="004559A2">
            <w:pPr>
              <w:jc w:val="center"/>
              <w:rPr>
                <w:rFonts w:asciiTheme="majorHAnsi" w:hAnsiTheme="majorHAnsi" w:cs="Times New Roman"/>
                <w:szCs w:val="24"/>
                <w:lang w:val="en-US"/>
              </w:rPr>
            </w:pPr>
            <w:r w:rsidRPr="0039396F">
              <w:rPr>
                <w:rFonts w:asciiTheme="majorHAnsi" w:hAnsiTheme="majorHAnsi" w:cs="Times New Roman"/>
                <w:szCs w:val="24"/>
                <w:lang w:val="en-US"/>
              </w:rPr>
              <w:t>20 to</w:t>
            </w:r>
            <w:r w:rsidR="00F030F3">
              <w:rPr>
                <w:rFonts w:asciiTheme="majorHAnsi" w:hAnsiTheme="majorHAnsi" w:cs="Times New Roman"/>
                <w:szCs w:val="24"/>
                <w:lang w:val="en-US"/>
              </w:rPr>
              <w:t xml:space="preserve"> </w:t>
            </w:r>
            <w:r w:rsidRPr="0039396F">
              <w:rPr>
                <w:rFonts w:asciiTheme="majorHAnsi" w:hAnsiTheme="majorHAnsi" w:cs="Times New Roman"/>
                <w:szCs w:val="24"/>
                <w:lang w:val="en-US"/>
              </w:rPr>
              <w:t>&lt;30 kg</w:t>
            </w:r>
          </w:p>
        </w:tc>
        <w:tc>
          <w:tcPr>
            <w:tcW w:w="2250" w:type="dxa"/>
            <w:shd w:val="clear" w:color="auto" w:fill="auto"/>
          </w:tcPr>
          <w:p w14:paraId="56AD73D9" w14:textId="77777777" w:rsidR="00080745" w:rsidRPr="0039396F" w:rsidRDefault="00080745" w:rsidP="00220A19">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600 mg </w:t>
            </w:r>
            <w:r w:rsidR="00220A19">
              <w:rPr>
                <w:rFonts w:asciiTheme="majorHAnsi" w:hAnsiTheme="majorHAnsi" w:cs="Times New Roman"/>
                <w:szCs w:val="24"/>
                <w:lang w:val="en-US"/>
              </w:rPr>
              <w:t xml:space="preserve">on </w:t>
            </w:r>
            <w:r w:rsidRPr="0039396F">
              <w:rPr>
                <w:rFonts w:asciiTheme="majorHAnsi" w:hAnsiTheme="majorHAnsi" w:cs="Times New Roman"/>
                <w:szCs w:val="24"/>
                <w:lang w:val="en-US"/>
              </w:rPr>
              <w:t>week</w:t>
            </w:r>
            <w:r w:rsidR="00220A19">
              <w:rPr>
                <w:rFonts w:asciiTheme="majorHAnsi" w:hAnsiTheme="majorHAnsi" w:cs="Times New Roman"/>
                <w:szCs w:val="24"/>
                <w:lang w:val="en-US"/>
              </w:rPr>
              <w:t>s</w:t>
            </w:r>
            <w:r w:rsidRPr="0039396F">
              <w:rPr>
                <w:rFonts w:asciiTheme="majorHAnsi" w:hAnsiTheme="majorHAnsi" w:cs="Times New Roman"/>
                <w:szCs w:val="24"/>
                <w:lang w:val="en-US"/>
              </w:rPr>
              <w:t xml:space="preserve"> </w:t>
            </w:r>
            <w:r w:rsidR="00220A19">
              <w:rPr>
                <w:rFonts w:asciiTheme="majorHAnsi" w:hAnsiTheme="majorHAnsi" w:cs="Times New Roman"/>
                <w:szCs w:val="24"/>
                <w:lang w:val="en-US"/>
              </w:rPr>
              <w:t>1 and</w:t>
            </w:r>
            <w:r w:rsidRPr="0039396F">
              <w:rPr>
                <w:rFonts w:asciiTheme="majorHAnsi" w:hAnsiTheme="majorHAnsi" w:cs="Times New Roman"/>
                <w:szCs w:val="24"/>
                <w:lang w:val="en-US"/>
              </w:rPr>
              <w:t xml:space="preserve"> 2</w:t>
            </w:r>
          </w:p>
        </w:tc>
        <w:tc>
          <w:tcPr>
            <w:tcW w:w="5076" w:type="dxa"/>
            <w:shd w:val="clear" w:color="auto" w:fill="auto"/>
          </w:tcPr>
          <w:p w14:paraId="57422512" w14:textId="77777777" w:rsidR="00080745" w:rsidRPr="0039396F" w:rsidRDefault="00080745" w:rsidP="003D77AC">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600 mg </w:t>
            </w:r>
            <w:r w:rsidR="003D77AC">
              <w:rPr>
                <w:rFonts w:asciiTheme="majorHAnsi" w:hAnsiTheme="majorHAnsi" w:cs="Times New Roman"/>
                <w:szCs w:val="24"/>
                <w:lang w:val="en-US"/>
              </w:rPr>
              <w:t>on</w:t>
            </w:r>
            <w:r w:rsidRPr="0039396F">
              <w:rPr>
                <w:rFonts w:asciiTheme="majorHAnsi" w:hAnsiTheme="majorHAnsi" w:cs="Times New Roman"/>
                <w:szCs w:val="24"/>
                <w:lang w:val="en-US"/>
              </w:rPr>
              <w:t xml:space="preserve"> week 3; then 600 mg every 2 weeks</w:t>
            </w:r>
          </w:p>
        </w:tc>
      </w:tr>
      <w:tr w:rsidR="00080745" w:rsidRPr="0039396F" w14:paraId="3CF90DFD" w14:textId="77777777" w:rsidTr="00157488">
        <w:trPr>
          <w:trHeight w:val="395"/>
        </w:trPr>
        <w:tc>
          <w:tcPr>
            <w:tcW w:w="1710" w:type="dxa"/>
            <w:shd w:val="clear" w:color="auto" w:fill="auto"/>
          </w:tcPr>
          <w:p w14:paraId="33B4CDCC" w14:textId="77777777" w:rsidR="00080745" w:rsidRPr="0039396F" w:rsidRDefault="00080745" w:rsidP="00F030F3">
            <w:pPr>
              <w:jc w:val="center"/>
              <w:rPr>
                <w:rFonts w:asciiTheme="majorHAnsi" w:hAnsiTheme="majorHAnsi" w:cs="Times New Roman"/>
                <w:szCs w:val="24"/>
                <w:lang w:val="en-US"/>
              </w:rPr>
            </w:pPr>
            <w:r w:rsidRPr="0039396F">
              <w:rPr>
                <w:rFonts w:asciiTheme="majorHAnsi" w:hAnsiTheme="majorHAnsi" w:cs="Times New Roman"/>
                <w:szCs w:val="24"/>
                <w:lang w:val="en-US"/>
              </w:rPr>
              <w:t>10 to</w:t>
            </w:r>
            <w:r w:rsidR="00F030F3">
              <w:rPr>
                <w:rFonts w:asciiTheme="majorHAnsi" w:hAnsiTheme="majorHAnsi" w:cs="Times New Roman"/>
                <w:szCs w:val="24"/>
                <w:lang w:val="en-US"/>
              </w:rPr>
              <w:t xml:space="preserve"> </w:t>
            </w:r>
            <w:r w:rsidRPr="0039396F">
              <w:rPr>
                <w:rFonts w:asciiTheme="majorHAnsi" w:hAnsiTheme="majorHAnsi" w:cs="Times New Roman"/>
                <w:szCs w:val="24"/>
                <w:lang w:val="en-US"/>
              </w:rPr>
              <w:t>&lt;20 kg</w:t>
            </w:r>
          </w:p>
        </w:tc>
        <w:tc>
          <w:tcPr>
            <w:tcW w:w="2250" w:type="dxa"/>
            <w:shd w:val="clear" w:color="auto" w:fill="auto"/>
          </w:tcPr>
          <w:p w14:paraId="3A47D657" w14:textId="77777777" w:rsidR="00080745" w:rsidRPr="0039396F" w:rsidRDefault="00080745" w:rsidP="00220A19">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600 mg </w:t>
            </w:r>
            <w:r w:rsidR="00220A19">
              <w:rPr>
                <w:rFonts w:asciiTheme="majorHAnsi" w:hAnsiTheme="majorHAnsi" w:cs="Times New Roman"/>
                <w:szCs w:val="24"/>
                <w:lang w:val="en-US"/>
              </w:rPr>
              <w:t xml:space="preserve">on </w:t>
            </w:r>
            <w:r w:rsidRPr="0039396F">
              <w:rPr>
                <w:rFonts w:asciiTheme="majorHAnsi" w:hAnsiTheme="majorHAnsi" w:cs="Times New Roman"/>
                <w:szCs w:val="24"/>
                <w:lang w:val="en-US"/>
              </w:rPr>
              <w:t>week 1</w:t>
            </w:r>
          </w:p>
        </w:tc>
        <w:tc>
          <w:tcPr>
            <w:tcW w:w="5076" w:type="dxa"/>
            <w:shd w:val="clear" w:color="auto" w:fill="auto"/>
          </w:tcPr>
          <w:p w14:paraId="70F6892A" w14:textId="77777777" w:rsidR="00080745" w:rsidRPr="0039396F" w:rsidRDefault="00080745" w:rsidP="003D77AC">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300 mg </w:t>
            </w:r>
            <w:r w:rsidR="003D77AC">
              <w:rPr>
                <w:rFonts w:asciiTheme="majorHAnsi" w:hAnsiTheme="majorHAnsi" w:cs="Times New Roman"/>
                <w:szCs w:val="24"/>
                <w:lang w:val="en-US"/>
              </w:rPr>
              <w:t>on</w:t>
            </w:r>
            <w:r w:rsidRPr="0039396F">
              <w:rPr>
                <w:rFonts w:asciiTheme="majorHAnsi" w:hAnsiTheme="majorHAnsi" w:cs="Times New Roman"/>
                <w:szCs w:val="24"/>
                <w:lang w:val="en-US"/>
              </w:rPr>
              <w:t xml:space="preserve"> week 2; then 300 mg every 2 weeks</w:t>
            </w:r>
          </w:p>
        </w:tc>
      </w:tr>
      <w:tr w:rsidR="00080745" w:rsidRPr="0039396F" w14:paraId="22E71657" w14:textId="77777777" w:rsidTr="00157488">
        <w:trPr>
          <w:trHeight w:val="359"/>
        </w:trPr>
        <w:tc>
          <w:tcPr>
            <w:tcW w:w="1710" w:type="dxa"/>
            <w:shd w:val="clear" w:color="auto" w:fill="auto"/>
          </w:tcPr>
          <w:p w14:paraId="399A74F5" w14:textId="77777777" w:rsidR="00080745" w:rsidRPr="0039396F" w:rsidRDefault="00080745" w:rsidP="004559A2">
            <w:pPr>
              <w:jc w:val="center"/>
              <w:rPr>
                <w:rFonts w:asciiTheme="majorHAnsi" w:hAnsiTheme="majorHAnsi" w:cs="Times New Roman"/>
                <w:szCs w:val="24"/>
                <w:lang w:val="en-US"/>
              </w:rPr>
            </w:pPr>
            <w:r w:rsidRPr="0039396F">
              <w:rPr>
                <w:rFonts w:asciiTheme="majorHAnsi" w:hAnsiTheme="majorHAnsi" w:cs="Times New Roman"/>
                <w:szCs w:val="24"/>
                <w:lang w:val="en-US"/>
              </w:rPr>
              <w:t>5 to</w:t>
            </w:r>
            <w:r w:rsidR="00F030F3">
              <w:rPr>
                <w:rFonts w:asciiTheme="majorHAnsi" w:hAnsiTheme="majorHAnsi" w:cs="Times New Roman"/>
                <w:szCs w:val="24"/>
                <w:lang w:val="en-US"/>
              </w:rPr>
              <w:t xml:space="preserve"> </w:t>
            </w:r>
            <w:r w:rsidRPr="0039396F">
              <w:rPr>
                <w:rFonts w:asciiTheme="majorHAnsi" w:hAnsiTheme="majorHAnsi" w:cs="Times New Roman"/>
                <w:szCs w:val="24"/>
                <w:lang w:val="en-US"/>
              </w:rPr>
              <w:t>&lt;10 kg</w:t>
            </w:r>
          </w:p>
        </w:tc>
        <w:tc>
          <w:tcPr>
            <w:tcW w:w="2250" w:type="dxa"/>
            <w:shd w:val="clear" w:color="auto" w:fill="auto"/>
          </w:tcPr>
          <w:p w14:paraId="7585B0DE" w14:textId="77777777" w:rsidR="00080745" w:rsidRPr="0039396F" w:rsidRDefault="00080745" w:rsidP="00220A19">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300 mg </w:t>
            </w:r>
            <w:r w:rsidR="00220A19">
              <w:rPr>
                <w:rFonts w:asciiTheme="majorHAnsi" w:hAnsiTheme="majorHAnsi" w:cs="Times New Roman"/>
                <w:szCs w:val="24"/>
                <w:lang w:val="en-US"/>
              </w:rPr>
              <w:t xml:space="preserve">on </w:t>
            </w:r>
            <w:r w:rsidRPr="0039396F">
              <w:rPr>
                <w:rFonts w:asciiTheme="majorHAnsi" w:hAnsiTheme="majorHAnsi" w:cs="Times New Roman"/>
                <w:szCs w:val="24"/>
                <w:lang w:val="en-US"/>
              </w:rPr>
              <w:t>week 1</w:t>
            </w:r>
          </w:p>
        </w:tc>
        <w:tc>
          <w:tcPr>
            <w:tcW w:w="5076" w:type="dxa"/>
            <w:shd w:val="clear" w:color="auto" w:fill="auto"/>
          </w:tcPr>
          <w:p w14:paraId="24DF3AFF" w14:textId="77777777" w:rsidR="00080745" w:rsidRPr="0039396F" w:rsidRDefault="00080745" w:rsidP="003D77AC">
            <w:pPr>
              <w:jc w:val="center"/>
              <w:rPr>
                <w:rFonts w:asciiTheme="majorHAnsi" w:hAnsiTheme="majorHAnsi" w:cs="Times New Roman"/>
                <w:szCs w:val="24"/>
                <w:lang w:val="en-US"/>
              </w:rPr>
            </w:pPr>
            <w:r w:rsidRPr="0039396F">
              <w:rPr>
                <w:rFonts w:asciiTheme="majorHAnsi" w:hAnsiTheme="majorHAnsi" w:cs="Times New Roman"/>
                <w:szCs w:val="24"/>
                <w:lang w:val="en-US"/>
              </w:rPr>
              <w:t xml:space="preserve">300 mg </w:t>
            </w:r>
            <w:r w:rsidR="003D77AC">
              <w:rPr>
                <w:rFonts w:asciiTheme="majorHAnsi" w:hAnsiTheme="majorHAnsi" w:cs="Times New Roman"/>
                <w:szCs w:val="24"/>
                <w:lang w:val="en-US"/>
              </w:rPr>
              <w:t>on</w:t>
            </w:r>
            <w:r w:rsidRPr="0039396F">
              <w:rPr>
                <w:rFonts w:asciiTheme="majorHAnsi" w:hAnsiTheme="majorHAnsi" w:cs="Times New Roman"/>
                <w:szCs w:val="24"/>
                <w:lang w:val="en-US"/>
              </w:rPr>
              <w:t xml:space="preserve"> week 2; then 300 mg every 3 weeks</w:t>
            </w:r>
          </w:p>
        </w:tc>
      </w:tr>
    </w:tbl>
    <w:p w14:paraId="5556CFD2" w14:textId="28F4E0CC" w:rsidR="00B2319B" w:rsidRDefault="00080745" w:rsidP="00B2319B">
      <w:pPr>
        <w:pStyle w:val="C-BodyText"/>
        <w:widowControl w:val="0"/>
        <w:spacing w:before="0" w:after="0" w:line="240" w:lineRule="auto"/>
        <w:ind w:right="-46"/>
        <w:rPr>
          <w:rFonts w:asciiTheme="majorHAnsi" w:hAnsiTheme="majorHAnsi"/>
          <w:sz w:val="22"/>
          <w:szCs w:val="24"/>
          <w:lang w:val="en-GB"/>
        </w:rPr>
      </w:pPr>
      <w:r w:rsidRPr="00731806">
        <w:rPr>
          <w:rFonts w:asciiTheme="majorHAnsi" w:hAnsiTheme="majorHAnsi"/>
          <w:sz w:val="22"/>
          <w:szCs w:val="24"/>
          <w:vertAlign w:val="superscript"/>
        </w:rPr>
        <w:t>*</w:t>
      </w:r>
      <w:r w:rsidR="003C2E29" w:rsidRPr="00731806">
        <w:rPr>
          <w:rFonts w:asciiTheme="majorHAnsi" w:hAnsiTheme="majorHAnsi"/>
          <w:sz w:val="22"/>
          <w:lang w:val="en-AU"/>
        </w:rPr>
        <w:t xml:space="preserve"> Soliris</w:t>
      </w:r>
      <w:r w:rsidRPr="00731806">
        <w:rPr>
          <w:rFonts w:asciiTheme="majorHAnsi" w:hAnsiTheme="majorHAnsi"/>
          <w:sz w:val="22"/>
          <w:szCs w:val="24"/>
          <w:lang w:val="en-GB"/>
        </w:rPr>
        <w:t xml:space="preserve"> has not been studied in patients with PNH who weigh &lt;40kg. The dosing for  patients</w:t>
      </w:r>
      <w:r w:rsidR="00A8461F">
        <w:rPr>
          <w:rFonts w:asciiTheme="majorHAnsi" w:hAnsiTheme="majorHAnsi"/>
          <w:sz w:val="22"/>
          <w:szCs w:val="24"/>
          <w:lang w:val="en-GB"/>
        </w:rPr>
        <w:t xml:space="preserve"> with PNH</w:t>
      </w:r>
      <w:r w:rsidRPr="00731806">
        <w:rPr>
          <w:rFonts w:asciiTheme="majorHAnsi" w:hAnsiTheme="majorHAnsi"/>
          <w:sz w:val="22"/>
          <w:szCs w:val="24"/>
          <w:lang w:val="en-GB"/>
        </w:rPr>
        <w:t xml:space="preserve"> &lt;40kg weight is based on the dosing used for patients with aHUS and who weigh &lt;40kg.</w:t>
      </w:r>
    </w:p>
    <w:p w14:paraId="6BD50394" w14:textId="5560B1CC" w:rsidR="00B2319B" w:rsidRPr="00B2319B" w:rsidRDefault="00B2319B" w:rsidP="00B2319B">
      <w:pPr>
        <w:pStyle w:val="C-BodyText"/>
        <w:widowControl w:val="0"/>
        <w:spacing w:before="240" w:line="240" w:lineRule="auto"/>
        <w:ind w:right="-45"/>
        <w:rPr>
          <w:rFonts w:asciiTheme="majorHAnsi" w:hAnsiTheme="majorHAnsi"/>
          <w:szCs w:val="24"/>
          <w:lang w:val="en-AU"/>
        </w:rPr>
      </w:pPr>
      <w:r w:rsidRPr="00B2319B">
        <w:rPr>
          <w:rFonts w:asciiTheme="majorHAnsi" w:hAnsiTheme="majorHAnsi"/>
          <w:szCs w:val="24"/>
        </w:rPr>
        <w:t>The safety and eff</w:t>
      </w:r>
      <w:r w:rsidR="00A95424">
        <w:rPr>
          <w:rFonts w:asciiTheme="majorHAnsi" w:hAnsiTheme="majorHAnsi"/>
          <w:szCs w:val="24"/>
        </w:rPr>
        <w:t>icacy</w:t>
      </w:r>
      <w:r w:rsidRPr="00B2319B">
        <w:rPr>
          <w:rFonts w:asciiTheme="majorHAnsi" w:hAnsiTheme="majorHAnsi"/>
          <w:szCs w:val="24"/>
        </w:rPr>
        <w:t xml:space="preserve"> of S</w:t>
      </w:r>
      <w:r>
        <w:rPr>
          <w:rFonts w:asciiTheme="majorHAnsi" w:hAnsiTheme="majorHAnsi"/>
          <w:szCs w:val="24"/>
        </w:rPr>
        <w:t>oliris</w:t>
      </w:r>
      <w:r w:rsidRPr="00B2319B">
        <w:rPr>
          <w:rFonts w:asciiTheme="majorHAnsi" w:hAnsiTheme="majorHAnsi"/>
          <w:szCs w:val="24"/>
        </w:rPr>
        <w:t xml:space="preserve"> for the treatment of NMOSD in </w:t>
      </w:r>
      <w:proofErr w:type="spellStart"/>
      <w:r w:rsidRPr="00B2319B">
        <w:rPr>
          <w:rFonts w:asciiTheme="majorHAnsi" w:hAnsiTheme="majorHAnsi"/>
          <w:szCs w:val="24"/>
        </w:rPr>
        <w:t>p</w:t>
      </w:r>
      <w:r>
        <w:rPr>
          <w:rFonts w:asciiTheme="majorHAnsi" w:hAnsiTheme="majorHAnsi"/>
          <w:szCs w:val="24"/>
        </w:rPr>
        <w:t>a</w:t>
      </w:r>
      <w:r w:rsidRPr="00B2319B">
        <w:rPr>
          <w:rFonts w:asciiTheme="majorHAnsi" w:hAnsiTheme="majorHAnsi"/>
          <w:szCs w:val="24"/>
        </w:rPr>
        <w:t>ediatric</w:t>
      </w:r>
      <w:proofErr w:type="spellEnd"/>
      <w:r w:rsidRPr="00B2319B">
        <w:rPr>
          <w:rFonts w:asciiTheme="majorHAnsi" w:hAnsiTheme="majorHAnsi"/>
          <w:szCs w:val="24"/>
        </w:rPr>
        <w:t xml:space="preserve"> patients below the age of 18 years have not been established.</w:t>
      </w:r>
    </w:p>
    <w:p w14:paraId="3439AE60" w14:textId="77777777" w:rsidR="00080745" w:rsidRPr="0039396F" w:rsidRDefault="00080745" w:rsidP="00BF24C5">
      <w:pPr>
        <w:pStyle w:val="Heading3"/>
      </w:pPr>
      <w:r w:rsidRPr="0039396F">
        <w:t>Treatment Monitoring/Dose Modifications</w:t>
      </w:r>
    </w:p>
    <w:p w14:paraId="23E37723" w14:textId="77777777" w:rsidR="00080745" w:rsidRPr="0039396F" w:rsidRDefault="00080745" w:rsidP="00C340EA">
      <w:pPr>
        <w:autoSpaceDE w:val="0"/>
        <w:autoSpaceDN w:val="0"/>
        <w:adjustRightInd w:val="0"/>
        <w:spacing w:after="240"/>
        <w:rPr>
          <w:rFonts w:asciiTheme="majorHAnsi" w:hAnsiTheme="majorHAnsi" w:cs="Times New Roman"/>
          <w:szCs w:val="24"/>
        </w:rPr>
      </w:pPr>
      <w:r w:rsidRPr="0039396F">
        <w:rPr>
          <w:rFonts w:asciiTheme="majorHAnsi" w:hAnsiTheme="majorHAnsi" w:cs="Times New Roman"/>
          <w:szCs w:val="24"/>
        </w:rPr>
        <w:t xml:space="preserve">Patients with PNH may need to be monitored to see whether the 14 day dosing schedule needs to be reduced to 12 days (refer to </w:t>
      </w:r>
      <w:r w:rsidR="00731806" w:rsidRPr="00C90E83">
        <w:rPr>
          <w:rFonts w:asciiTheme="majorHAnsi" w:hAnsiTheme="majorHAnsi" w:cs="Times New Roman"/>
          <w:i/>
          <w:iCs/>
          <w:szCs w:val="24"/>
        </w:rPr>
        <w:t>Section 4.4</w:t>
      </w:r>
      <w:r w:rsidR="00D83C44" w:rsidRPr="00C90E83">
        <w:rPr>
          <w:rFonts w:asciiTheme="majorHAnsi" w:hAnsiTheme="majorHAnsi" w:cs="Times New Roman"/>
          <w:i/>
          <w:iCs/>
          <w:szCs w:val="24"/>
        </w:rPr>
        <w:t xml:space="preserve"> </w:t>
      </w:r>
      <w:r w:rsidR="00D83C44" w:rsidRPr="00C90E83">
        <w:rPr>
          <w:rFonts w:asciiTheme="majorHAnsi" w:hAnsiTheme="majorHAnsi" w:cs="Times New Roman"/>
          <w:i/>
          <w:iCs/>
          <w:szCs w:val="24"/>
          <w:lang w:val="en-US"/>
        </w:rPr>
        <w:t>– Special Warnings and Precautions for Use</w:t>
      </w:r>
      <w:r w:rsidR="00731806">
        <w:rPr>
          <w:rFonts w:asciiTheme="majorHAnsi" w:hAnsiTheme="majorHAnsi" w:cs="Times New Roman"/>
          <w:szCs w:val="24"/>
        </w:rPr>
        <w:t>).</w:t>
      </w:r>
    </w:p>
    <w:p w14:paraId="685E4085" w14:textId="7991C815" w:rsidR="00080745" w:rsidRPr="0039396F" w:rsidRDefault="00A8461F" w:rsidP="00C340EA">
      <w:pPr>
        <w:spacing w:after="240"/>
        <w:rPr>
          <w:rFonts w:asciiTheme="majorHAnsi" w:hAnsiTheme="majorHAnsi" w:cs="Times New Roman"/>
          <w:szCs w:val="24"/>
        </w:rPr>
      </w:pPr>
      <w:r>
        <w:rPr>
          <w:rFonts w:asciiTheme="majorHAnsi" w:hAnsiTheme="majorHAnsi" w:cs="Times New Roman"/>
          <w:szCs w:val="24"/>
        </w:rPr>
        <w:t>P</w:t>
      </w:r>
      <w:r w:rsidR="00080745" w:rsidRPr="0039396F">
        <w:rPr>
          <w:rFonts w:asciiTheme="majorHAnsi" w:hAnsiTheme="majorHAnsi" w:cs="Times New Roman"/>
          <w:szCs w:val="24"/>
        </w:rPr>
        <w:t>atients</w:t>
      </w:r>
      <w:r>
        <w:rPr>
          <w:rFonts w:asciiTheme="majorHAnsi" w:hAnsiTheme="majorHAnsi" w:cs="Times New Roman"/>
          <w:szCs w:val="24"/>
        </w:rPr>
        <w:t xml:space="preserve"> with aHUS</w:t>
      </w:r>
      <w:r w:rsidR="00080745" w:rsidRPr="0039396F">
        <w:rPr>
          <w:rFonts w:asciiTheme="majorHAnsi" w:hAnsiTheme="majorHAnsi" w:cs="Times New Roman"/>
          <w:szCs w:val="24"/>
        </w:rPr>
        <w:t xml:space="preserve"> should be monitored for signs and symptoms of thrombotic microangiopathy (TMA) (refer to </w:t>
      </w:r>
      <w:r w:rsidR="00731806" w:rsidRPr="00C90E83">
        <w:rPr>
          <w:rFonts w:asciiTheme="majorHAnsi" w:hAnsiTheme="majorHAnsi" w:cs="Times New Roman"/>
          <w:i/>
          <w:iCs/>
          <w:szCs w:val="24"/>
        </w:rPr>
        <w:t>Section 4.4</w:t>
      </w:r>
      <w:r w:rsidR="00D83C44" w:rsidRPr="00C90E83">
        <w:rPr>
          <w:rFonts w:asciiTheme="majorHAnsi" w:hAnsiTheme="majorHAnsi" w:cs="Times New Roman"/>
          <w:i/>
          <w:iCs/>
          <w:szCs w:val="24"/>
        </w:rPr>
        <w:t xml:space="preserve"> </w:t>
      </w:r>
      <w:r w:rsidR="00D83C44" w:rsidRPr="00C90E83">
        <w:rPr>
          <w:rFonts w:asciiTheme="majorHAnsi" w:hAnsiTheme="majorHAnsi" w:cs="Times New Roman"/>
          <w:i/>
          <w:iCs/>
          <w:szCs w:val="24"/>
          <w:lang w:val="en-US"/>
        </w:rPr>
        <w:t>– Special Warnings and Precautions for Use</w:t>
      </w:r>
      <w:r w:rsidR="00080745" w:rsidRPr="0039396F">
        <w:rPr>
          <w:rFonts w:asciiTheme="majorHAnsi" w:hAnsiTheme="majorHAnsi" w:cs="Times New Roman"/>
          <w:szCs w:val="24"/>
        </w:rPr>
        <w:t>).</w:t>
      </w:r>
    </w:p>
    <w:p w14:paraId="02DE211C" w14:textId="77777777" w:rsidR="00080745" w:rsidRPr="0039396F" w:rsidRDefault="003C2E29" w:rsidP="004559A2">
      <w:pPr>
        <w:rPr>
          <w:rFonts w:asciiTheme="majorHAnsi" w:hAnsiTheme="majorHAnsi" w:cs="Times New Roman"/>
          <w:szCs w:val="24"/>
        </w:rPr>
      </w:pPr>
      <w:r w:rsidRPr="0039396F">
        <w:rPr>
          <w:rFonts w:asciiTheme="majorHAnsi" w:hAnsiTheme="majorHAnsi" w:cs="Times New Roman"/>
        </w:rPr>
        <w:t>Soliris</w:t>
      </w:r>
      <w:r w:rsidR="00080745" w:rsidRPr="0039396F">
        <w:rPr>
          <w:rFonts w:asciiTheme="majorHAnsi" w:hAnsiTheme="majorHAnsi" w:cs="Times New Roman"/>
          <w:b/>
          <w:szCs w:val="24"/>
          <w:vertAlign w:val="superscript"/>
        </w:rPr>
        <w:t xml:space="preserve"> </w:t>
      </w:r>
      <w:r w:rsidR="00080745" w:rsidRPr="0039396F">
        <w:rPr>
          <w:rFonts w:asciiTheme="majorHAnsi" w:hAnsiTheme="majorHAnsi" w:cs="Times New Roman"/>
          <w:szCs w:val="24"/>
        </w:rPr>
        <w:t xml:space="preserve">treatment is recommended to continue for the patient’s lifetime, unless the discontinuation of </w:t>
      </w:r>
      <w:r w:rsidRPr="0039396F">
        <w:rPr>
          <w:rFonts w:asciiTheme="majorHAnsi" w:hAnsiTheme="majorHAnsi" w:cs="Times New Roman"/>
        </w:rPr>
        <w:t>Soliris</w:t>
      </w:r>
      <w:r w:rsidR="00080745" w:rsidRPr="0039396F">
        <w:rPr>
          <w:rFonts w:asciiTheme="majorHAnsi" w:hAnsiTheme="majorHAnsi" w:cs="Times New Roman"/>
          <w:b/>
          <w:szCs w:val="24"/>
        </w:rPr>
        <w:t xml:space="preserve"> </w:t>
      </w:r>
      <w:r w:rsidR="00080745" w:rsidRPr="0039396F">
        <w:rPr>
          <w:rFonts w:asciiTheme="majorHAnsi" w:hAnsiTheme="majorHAnsi" w:cs="Times New Roman"/>
          <w:szCs w:val="24"/>
        </w:rPr>
        <w:t>is clinically indicated.</w:t>
      </w:r>
    </w:p>
    <w:p w14:paraId="1EA8ED24" w14:textId="77777777" w:rsidR="00674F35" w:rsidRDefault="003C2E29" w:rsidP="00674F35">
      <w:pPr>
        <w:spacing w:before="240" w:after="120"/>
        <w:rPr>
          <w:rFonts w:asciiTheme="majorHAnsi" w:hAnsiTheme="majorHAnsi" w:cs="Times New Roman"/>
          <w:szCs w:val="24"/>
          <w:lang w:val="en-US"/>
        </w:rPr>
      </w:pPr>
      <w:r w:rsidRPr="0039396F">
        <w:rPr>
          <w:rFonts w:asciiTheme="majorHAnsi" w:hAnsiTheme="majorHAnsi" w:cs="Times New Roman"/>
        </w:rPr>
        <w:t>Soliris</w:t>
      </w:r>
      <w:r w:rsidR="00080745" w:rsidRPr="0039396F">
        <w:rPr>
          <w:rFonts w:asciiTheme="majorHAnsi" w:hAnsiTheme="majorHAnsi" w:cs="Times New Roman"/>
          <w:szCs w:val="24"/>
        </w:rPr>
        <w:t xml:space="preserve"> should be administered at the recommended dosage regimen time points, or within 2 days of these time points. </w:t>
      </w:r>
      <w:r w:rsidR="00080745" w:rsidRPr="0039396F">
        <w:rPr>
          <w:rFonts w:asciiTheme="majorHAnsi" w:hAnsiTheme="majorHAnsi" w:cs="Times New Roman"/>
          <w:szCs w:val="24"/>
          <w:lang w:val="en-US"/>
        </w:rPr>
        <w:t xml:space="preserve">If a patient misses a scheduled dose, monitor for signs and symptoms of a TMA complication (refer to </w:t>
      </w:r>
      <w:r w:rsidR="00731806" w:rsidRPr="00C90E83">
        <w:rPr>
          <w:rFonts w:asciiTheme="majorHAnsi" w:hAnsiTheme="majorHAnsi" w:cs="Times New Roman"/>
          <w:i/>
          <w:iCs/>
          <w:szCs w:val="24"/>
          <w:lang w:val="en-US"/>
        </w:rPr>
        <w:t>Section 4.4</w:t>
      </w:r>
      <w:r w:rsidR="000A65A5" w:rsidRPr="00C90E83">
        <w:rPr>
          <w:rFonts w:asciiTheme="majorHAnsi" w:hAnsiTheme="majorHAnsi" w:cs="Times New Roman"/>
          <w:i/>
          <w:iCs/>
          <w:szCs w:val="24"/>
          <w:lang w:val="en-US"/>
        </w:rPr>
        <w:t xml:space="preserve"> – Special Warnings and Precautions for Use</w:t>
      </w:r>
      <w:r w:rsidR="00325B0D" w:rsidRPr="00C90E83">
        <w:rPr>
          <w:rFonts w:asciiTheme="majorHAnsi" w:hAnsiTheme="majorHAnsi" w:cs="Times New Roman"/>
          <w:i/>
          <w:iCs/>
          <w:szCs w:val="24"/>
          <w:lang w:val="en-US"/>
        </w:rPr>
        <w:t>; Laboratory Monitoring</w:t>
      </w:r>
      <w:r w:rsidR="00080745" w:rsidRPr="0039396F">
        <w:rPr>
          <w:rFonts w:asciiTheme="majorHAnsi" w:hAnsiTheme="majorHAnsi" w:cs="Times New Roman"/>
          <w:szCs w:val="24"/>
          <w:lang w:val="en-US"/>
        </w:rPr>
        <w:t xml:space="preserve">) and resume the regular schedule as soon as possible. If a patient misses multiple doses of </w:t>
      </w:r>
      <w:r w:rsidRPr="0039396F">
        <w:rPr>
          <w:rFonts w:asciiTheme="majorHAnsi" w:hAnsiTheme="majorHAnsi" w:cs="Times New Roman"/>
        </w:rPr>
        <w:t>Soliris</w:t>
      </w:r>
      <w:r w:rsidR="00080745" w:rsidRPr="0039396F">
        <w:rPr>
          <w:rFonts w:asciiTheme="majorHAnsi" w:hAnsiTheme="majorHAnsi" w:cs="Times New Roman"/>
          <w:szCs w:val="24"/>
          <w:lang w:val="en-US"/>
        </w:rPr>
        <w:t xml:space="preserve"> re-induction can be considered.  </w:t>
      </w:r>
    </w:p>
    <w:p w14:paraId="519E39DF" w14:textId="77777777" w:rsidR="00080745" w:rsidRPr="0039396F" w:rsidRDefault="00080745" w:rsidP="00674F35">
      <w:pPr>
        <w:spacing w:before="240" w:after="120"/>
        <w:rPr>
          <w:rFonts w:asciiTheme="majorHAnsi" w:hAnsiTheme="majorHAnsi" w:cs="Times New Roman"/>
          <w:szCs w:val="24"/>
          <w:lang w:val="en-US"/>
        </w:rPr>
      </w:pPr>
      <w:r w:rsidRPr="0039396F">
        <w:rPr>
          <w:rFonts w:asciiTheme="majorHAnsi" w:hAnsiTheme="majorHAnsi" w:cs="Times New Roman"/>
          <w:szCs w:val="24"/>
          <w:lang w:val="en-US"/>
        </w:rPr>
        <w:t xml:space="preserve">Supplemental dosing of </w:t>
      </w:r>
      <w:r w:rsidR="003C2E29" w:rsidRPr="0039396F">
        <w:rPr>
          <w:rFonts w:asciiTheme="majorHAnsi" w:hAnsiTheme="majorHAnsi" w:cs="Times New Roman"/>
        </w:rPr>
        <w:t>Soliris</w:t>
      </w:r>
      <w:r w:rsidRPr="0039396F">
        <w:rPr>
          <w:rFonts w:asciiTheme="majorHAnsi" w:hAnsiTheme="majorHAnsi" w:cs="Times New Roman"/>
          <w:szCs w:val="24"/>
          <w:lang w:val="en-US"/>
        </w:rPr>
        <w:t xml:space="preserve"> is required in the setting of concomitant P</w:t>
      </w:r>
      <w:r w:rsidR="003D77AC">
        <w:rPr>
          <w:rFonts w:asciiTheme="majorHAnsi" w:hAnsiTheme="majorHAnsi" w:cs="Times New Roman"/>
          <w:szCs w:val="24"/>
          <w:lang w:val="en-US"/>
        </w:rPr>
        <w:t>lasma intervention</w:t>
      </w:r>
      <w:r w:rsidR="004F65FF">
        <w:rPr>
          <w:rFonts w:asciiTheme="majorHAnsi" w:hAnsiTheme="majorHAnsi" w:cs="Times New Roman"/>
          <w:szCs w:val="24"/>
          <w:lang w:val="en-US"/>
        </w:rPr>
        <w:t xml:space="preserve"> </w:t>
      </w:r>
      <w:r w:rsidRPr="0039396F">
        <w:rPr>
          <w:rFonts w:asciiTheme="majorHAnsi" w:hAnsiTheme="majorHAnsi" w:cs="Times New Roman"/>
          <w:szCs w:val="24"/>
          <w:lang w:val="en-US"/>
        </w:rPr>
        <w:t>(plasmapheresis or plasma exchange, or plasma infusion)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620"/>
        <w:gridCol w:w="3240"/>
        <w:gridCol w:w="2294"/>
      </w:tblGrid>
      <w:tr w:rsidR="00080745" w:rsidRPr="0039396F" w14:paraId="2CF1665D" w14:textId="77777777" w:rsidTr="00C340EA">
        <w:trPr>
          <w:trHeight w:val="876"/>
          <w:tblHead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1F0EE8" w14:textId="77777777" w:rsidR="00080745" w:rsidRPr="00C340EA" w:rsidRDefault="00080745" w:rsidP="00731806">
            <w:pPr>
              <w:jc w:val="center"/>
              <w:rPr>
                <w:rFonts w:asciiTheme="majorHAnsi" w:hAnsiTheme="majorHAnsi" w:cs="Times New Roman"/>
                <w:b/>
                <w:szCs w:val="24"/>
                <w:lang w:val="en-US"/>
              </w:rPr>
            </w:pPr>
            <w:r w:rsidRPr="003B12DB">
              <w:rPr>
                <w:rFonts w:asciiTheme="majorHAnsi" w:hAnsiTheme="majorHAnsi" w:cs="Times New Roman"/>
                <w:b/>
                <w:szCs w:val="24"/>
                <w:lang w:val="en-US"/>
              </w:rPr>
              <w:lastRenderedPageBreak/>
              <w:t>Type of Plasma Intervention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8BAD87" w14:textId="77777777" w:rsidR="00080745" w:rsidRPr="0039396F" w:rsidRDefault="00080745" w:rsidP="00AD13ED">
            <w:pPr>
              <w:jc w:val="center"/>
              <w:rPr>
                <w:rFonts w:asciiTheme="majorHAnsi" w:hAnsiTheme="majorHAnsi" w:cs="Times New Roman"/>
                <w:b/>
                <w:szCs w:val="24"/>
                <w:lang w:val="en-US"/>
              </w:rPr>
            </w:pPr>
            <w:r w:rsidRPr="0039396F">
              <w:rPr>
                <w:rFonts w:asciiTheme="majorHAnsi" w:hAnsiTheme="majorHAnsi" w:cs="Times New Roman"/>
                <w:b/>
                <w:szCs w:val="24"/>
                <w:lang w:val="en-US"/>
              </w:rPr>
              <w:t xml:space="preserve">Most Recent </w:t>
            </w:r>
            <w:r w:rsidR="00AD13ED">
              <w:rPr>
                <w:rFonts w:asciiTheme="majorHAnsi" w:hAnsiTheme="majorHAnsi" w:cs="Times New Roman"/>
                <w:b/>
                <w:szCs w:val="24"/>
                <w:lang w:val="en-US"/>
              </w:rPr>
              <w:t>Soliris</w:t>
            </w:r>
            <w:r w:rsidR="00AD13ED" w:rsidRPr="0039396F">
              <w:rPr>
                <w:rFonts w:asciiTheme="majorHAnsi" w:hAnsiTheme="majorHAnsi" w:cs="Times New Roman"/>
                <w:b/>
                <w:szCs w:val="24"/>
                <w:lang w:val="en-US"/>
              </w:rPr>
              <w:t xml:space="preserve"> </w:t>
            </w:r>
            <w:r w:rsidRPr="0039396F">
              <w:rPr>
                <w:rFonts w:asciiTheme="majorHAnsi" w:hAnsiTheme="majorHAnsi" w:cs="Times New Roman"/>
                <w:b/>
                <w:szCs w:val="24"/>
                <w:lang w:val="en-US"/>
              </w:rPr>
              <w:t>Dose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18CE651" w14:textId="77777777" w:rsidR="00080745" w:rsidRPr="0039396F" w:rsidRDefault="00080745" w:rsidP="00F2544A">
            <w:pPr>
              <w:jc w:val="center"/>
              <w:rPr>
                <w:rFonts w:asciiTheme="majorHAnsi" w:hAnsiTheme="majorHAnsi" w:cs="Times New Roman"/>
                <w:b/>
                <w:szCs w:val="24"/>
                <w:lang w:val="en-US"/>
              </w:rPr>
            </w:pPr>
            <w:r w:rsidRPr="0039396F">
              <w:rPr>
                <w:rFonts w:asciiTheme="majorHAnsi" w:hAnsiTheme="majorHAnsi" w:cs="Times New Roman"/>
                <w:b/>
                <w:szCs w:val="24"/>
                <w:lang w:val="en-US"/>
              </w:rPr>
              <w:t xml:space="preserve">Supplemental </w:t>
            </w:r>
            <w:r w:rsidR="00AD13ED">
              <w:rPr>
                <w:rFonts w:asciiTheme="majorHAnsi" w:hAnsiTheme="majorHAnsi" w:cs="Times New Roman"/>
                <w:b/>
                <w:szCs w:val="24"/>
                <w:lang w:val="en-US"/>
              </w:rPr>
              <w:t>Soliris</w:t>
            </w:r>
            <w:r w:rsidR="00AD13ED" w:rsidRPr="0039396F">
              <w:rPr>
                <w:rFonts w:asciiTheme="majorHAnsi" w:hAnsiTheme="majorHAnsi" w:cs="Times New Roman"/>
                <w:b/>
                <w:szCs w:val="24"/>
                <w:lang w:val="en-US"/>
              </w:rPr>
              <w:t xml:space="preserve"> </w:t>
            </w:r>
            <w:r w:rsidRPr="0039396F">
              <w:rPr>
                <w:rFonts w:asciiTheme="majorHAnsi" w:hAnsiTheme="majorHAnsi" w:cs="Times New Roman"/>
                <w:b/>
                <w:szCs w:val="24"/>
                <w:lang w:val="en-US"/>
              </w:rPr>
              <w:t>Dose With Each Plasma Intervention</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14:paraId="056C75D7" w14:textId="77777777" w:rsidR="00080745" w:rsidRPr="0039396F" w:rsidRDefault="00080745" w:rsidP="00AD13ED">
            <w:pPr>
              <w:jc w:val="center"/>
              <w:rPr>
                <w:rFonts w:asciiTheme="majorHAnsi" w:hAnsiTheme="majorHAnsi" w:cs="Times New Roman"/>
                <w:b/>
                <w:szCs w:val="24"/>
                <w:lang w:val="en-US"/>
              </w:rPr>
            </w:pPr>
            <w:r w:rsidRPr="0039396F">
              <w:rPr>
                <w:rFonts w:asciiTheme="majorHAnsi" w:hAnsiTheme="majorHAnsi" w:cs="Times New Roman"/>
                <w:b/>
                <w:szCs w:val="24"/>
                <w:lang w:val="en-US"/>
              </w:rPr>
              <w:t xml:space="preserve">Timing of Supplemental </w:t>
            </w:r>
            <w:r w:rsidR="00AD13ED">
              <w:rPr>
                <w:rFonts w:asciiTheme="majorHAnsi" w:hAnsiTheme="majorHAnsi" w:cs="Times New Roman"/>
                <w:b/>
                <w:szCs w:val="24"/>
                <w:lang w:val="en-US"/>
              </w:rPr>
              <w:t>Soliris</w:t>
            </w:r>
            <w:r w:rsidR="00AD13ED" w:rsidRPr="0039396F">
              <w:rPr>
                <w:rFonts w:asciiTheme="majorHAnsi" w:hAnsiTheme="majorHAnsi" w:cs="Times New Roman"/>
                <w:b/>
                <w:szCs w:val="24"/>
                <w:lang w:val="en-US"/>
              </w:rPr>
              <w:t xml:space="preserve"> </w:t>
            </w:r>
            <w:r w:rsidRPr="0039396F">
              <w:rPr>
                <w:rFonts w:asciiTheme="majorHAnsi" w:hAnsiTheme="majorHAnsi" w:cs="Times New Roman"/>
                <w:b/>
                <w:szCs w:val="24"/>
                <w:lang w:val="en-US"/>
              </w:rPr>
              <w:t>Dose</w:t>
            </w:r>
          </w:p>
        </w:tc>
      </w:tr>
      <w:tr w:rsidR="00080745" w:rsidRPr="0039396F" w14:paraId="6DB935B6" w14:textId="77777777" w:rsidTr="00C340EA">
        <w:trPr>
          <w:trHeight w:val="989"/>
        </w:trPr>
        <w:tc>
          <w:tcPr>
            <w:tcW w:w="1980" w:type="dxa"/>
            <w:vMerge w:val="restart"/>
            <w:tcBorders>
              <w:top w:val="single" w:sz="4" w:space="0" w:color="auto"/>
              <w:left w:val="single" w:sz="4" w:space="0" w:color="auto"/>
              <w:right w:val="single" w:sz="4" w:space="0" w:color="auto"/>
            </w:tcBorders>
            <w:shd w:val="clear" w:color="auto" w:fill="auto"/>
            <w:vAlign w:val="center"/>
          </w:tcPr>
          <w:p w14:paraId="43F0CC89" w14:textId="77777777" w:rsidR="00080745" w:rsidRPr="00C340EA" w:rsidRDefault="00080745" w:rsidP="00731806">
            <w:pPr>
              <w:rPr>
                <w:rFonts w:asciiTheme="majorHAnsi" w:hAnsiTheme="majorHAnsi" w:cs="Times New Roman"/>
                <w:b/>
                <w:szCs w:val="24"/>
                <w:lang w:val="en-US"/>
              </w:rPr>
            </w:pPr>
            <w:r w:rsidRPr="00C340EA">
              <w:rPr>
                <w:rFonts w:asciiTheme="majorHAnsi" w:hAnsiTheme="majorHAnsi" w:cs="Times New Roman"/>
                <w:b/>
                <w:szCs w:val="24"/>
                <w:lang w:val="en-US"/>
              </w:rPr>
              <w:t>Plasmapheresis or plasma exchange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E379F1" w14:textId="77777777" w:rsidR="00080745" w:rsidRPr="0039396F" w:rsidRDefault="00080745" w:rsidP="00731806">
            <w:pPr>
              <w:jc w:val="center"/>
              <w:rPr>
                <w:rFonts w:asciiTheme="majorHAnsi" w:hAnsiTheme="majorHAnsi" w:cs="Times New Roman"/>
                <w:szCs w:val="24"/>
                <w:lang w:val="en-US"/>
              </w:rPr>
            </w:pPr>
            <w:r w:rsidRPr="0039396F">
              <w:rPr>
                <w:rFonts w:asciiTheme="majorHAnsi" w:hAnsiTheme="majorHAnsi" w:cs="Times New Roman"/>
                <w:szCs w:val="24"/>
                <w:lang w:val="en-US"/>
              </w:rPr>
              <w:t>300 mg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CC9C1AE" w14:textId="77777777" w:rsidR="00080745" w:rsidRPr="0039396F" w:rsidRDefault="00080745" w:rsidP="00731806">
            <w:pPr>
              <w:rPr>
                <w:rFonts w:asciiTheme="majorHAnsi" w:hAnsiTheme="majorHAnsi" w:cs="Times New Roman"/>
                <w:szCs w:val="24"/>
                <w:lang w:val="en-US"/>
              </w:rPr>
            </w:pPr>
            <w:r w:rsidRPr="0039396F">
              <w:rPr>
                <w:rFonts w:asciiTheme="majorHAnsi" w:hAnsiTheme="majorHAnsi" w:cs="Times New Roman"/>
                <w:szCs w:val="24"/>
                <w:lang w:val="en-US"/>
              </w:rPr>
              <w:t>300 mg per each plasmapheresis or plasma exchange session</w:t>
            </w:r>
          </w:p>
        </w:tc>
        <w:tc>
          <w:tcPr>
            <w:tcW w:w="2294" w:type="dxa"/>
            <w:vMerge w:val="restart"/>
            <w:tcBorders>
              <w:top w:val="single" w:sz="4" w:space="0" w:color="auto"/>
              <w:left w:val="single" w:sz="4" w:space="0" w:color="auto"/>
              <w:right w:val="single" w:sz="4" w:space="0" w:color="auto"/>
            </w:tcBorders>
            <w:shd w:val="clear" w:color="auto" w:fill="auto"/>
            <w:vAlign w:val="center"/>
          </w:tcPr>
          <w:p w14:paraId="231813B8" w14:textId="77777777" w:rsidR="00080745" w:rsidRPr="0039396F" w:rsidRDefault="00080745" w:rsidP="00731806">
            <w:pPr>
              <w:rPr>
                <w:rFonts w:asciiTheme="majorHAnsi" w:hAnsiTheme="majorHAnsi" w:cs="Times New Roman"/>
                <w:szCs w:val="24"/>
                <w:lang w:val="en-US"/>
              </w:rPr>
            </w:pPr>
            <w:r w:rsidRPr="0039396F">
              <w:rPr>
                <w:rFonts w:asciiTheme="majorHAnsi" w:hAnsiTheme="majorHAnsi" w:cs="Times New Roman"/>
                <w:szCs w:val="24"/>
                <w:lang w:val="en-US"/>
              </w:rPr>
              <w:t>Within 60 minutes after each plasmapheresis or plasma exchange</w:t>
            </w:r>
            <w:r w:rsidR="00B36CBB">
              <w:rPr>
                <w:rFonts w:asciiTheme="majorHAnsi" w:hAnsiTheme="majorHAnsi" w:cs="Times New Roman"/>
                <w:szCs w:val="24"/>
                <w:lang w:val="en-US"/>
              </w:rPr>
              <w:t xml:space="preserve"> session</w:t>
            </w:r>
          </w:p>
        </w:tc>
      </w:tr>
      <w:tr w:rsidR="00080745" w:rsidRPr="0039396F" w14:paraId="306B71BD" w14:textId="77777777" w:rsidTr="00C340EA">
        <w:trPr>
          <w:trHeight w:val="944"/>
        </w:trPr>
        <w:tc>
          <w:tcPr>
            <w:tcW w:w="1980" w:type="dxa"/>
            <w:vMerge/>
            <w:tcBorders>
              <w:left w:val="single" w:sz="4" w:space="0" w:color="auto"/>
              <w:bottom w:val="single" w:sz="4" w:space="0" w:color="auto"/>
              <w:right w:val="single" w:sz="4" w:space="0" w:color="auto"/>
            </w:tcBorders>
            <w:shd w:val="clear" w:color="auto" w:fill="auto"/>
            <w:vAlign w:val="center"/>
          </w:tcPr>
          <w:p w14:paraId="754E65F9" w14:textId="77777777" w:rsidR="00080745" w:rsidRPr="00C340EA" w:rsidRDefault="00080745" w:rsidP="00731806">
            <w:pPr>
              <w:rPr>
                <w:rFonts w:asciiTheme="majorHAnsi" w:hAnsiTheme="majorHAnsi" w:cs="Times New Roman"/>
                <w:szCs w:val="24"/>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AB0029" w14:textId="77777777" w:rsidR="00080745" w:rsidRPr="0039396F" w:rsidRDefault="00080745" w:rsidP="00731806">
            <w:pPr>
              <w:jc w:val="center"/>
              <w:rPr>
                <w:rFonts w:asciiTheme="majorHAnsi" w:hAnsiTheme="majorHAnsi" w:cs="Times New Roman"/>
                <w:szCs w:val="24"/>
                <w:lang w:val="en-US"/>
              </w:rPr>
            </w:pPr>
            <w:r w:rsidRPr="0039396F">
              <w:rPr>
                <w:rFonts w:asciiTheme="majorHAnsi" w:hAnsiTheme="majorHAnsi" w:cs="Times New Roman"/>
                <w:szCs w:val="24"/>
                <w:lang w:val="en-US"/>
              </w:rPr>
              <w:t>≥600 mg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A3204BA" w14:textId="77777777" w:rsidR="00080745" w:rsidRPr="0039396F" w:rsidRDefault="00080745" w:rsidP="00731806">
            <w:pPr>
              <w:rPr>
                <w:rFonts w:asciiTheme="majorHAnsi" w:hAnsiTheme="majorHAnsi" w:cs="Times New Roman"/>
                <w:szCs w:val="24"/>
                <w:lang w:val="en-US"/>
              </w:rPr>
            </w:pPr>
            <w:r w:rsidRPr="0039396F">
              <w:rPr>
                <w:rFonts w:asciiTheme="majorHAnsi" w:hAnsiTheme="majorHAnsi" w:cs="Times New Roman"/>
                <w:szCs w:val="24"/>
                <w:lang w:val="en-US"/>
              </w:rPr>
              <w:t>600 mg per each plasmapheresis or plasma exchange session</w:t>
            </w:r>
          </w:p>
        </w:tc>
        <w:tc>
          <w:tcPr>
            <w:tcW w:w="2294" w:type="dxa"/>
            <w:vMerge/>
            <w:tcBorders>
              <w:left w:val="single" w:sz="4" w:space="0" w:color="auto"/>
              <w:bottom w:val="single" w:sz="4" w:space="0" w:color="auto"/>
              <w:right w:val="single" w:sz="4" w:space="0" w:color="auto"/>
            </w:tcBorders>
            <w:shd w:val="clear" w:color="auto" w:fill="auto"/>
            <w:vAlign w:val="center"/>
          </w:tcPr>
          <w:p w14:paraId="7BEC399F" w14:textId="77777777" w:rsidR="00080745" w:rsidRPr="0039396F" w:rsidRDefault="00080745" w:rsidP="00731806">
            <w:pPr>
              <w:rPr>
                <w:rFonts w:asciiTheme="majorHAnsi" w:hAnsiTheme="majorHAnsi" w:cs="Times New Roman"/>
                <w:szCs w:val="24"/>
                <w:lang w:val="en-US"/>
              </w:rPr>
            </w:pPr>
          </w:p>
        </w:tc>
      </w:tr>
      <w:tr w:rsidR="00080745" w:rsidRPr="0039396F" w14:paraId="532CF80B" w14:textId="77777777" w:rsidTr="00C340EA">
        <w:trPr>
          <w:trHeight w:val="318"/>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F72592" w14:textId="77777777" w:rsidR="00080745" w:rsidRPr="00C340EA" w:rsidRDefault="003D77AC" w:rsidP="003D77AC">
            <w:pPr>
              <w:rPr>
                <w:rFonts w:asciiTheme="majorHAnsi" w:hAnsiTheme="majorHAnsi" w:cs="Times New Roman"/>
                <w:b/>
                <w:szCs w:val="24"/>
                <w:lang w:val="en-US"/>
              </w:rPr>
            </w:pPr>
            <w:r>
              <w:rPr>
                <w:rFonts w:asciiTheme="majorHAnsi" w:hAnsiTheme="majorHAnsi" w:cs="Times New Roman"/>
                <w:b/>
                <w:szCs w:val="24"/>
                <w:lang w:val="en-US"/>
              </w:rPr>
              <w:t>P</w:t>
            </w:r>
            <w:r w:rsidR="00080745" w:rsidRPr="00C340EA">
              <w:rPr>
                <w:rFonts w:asciiTheme="majorHAnsi" w:hAnsiTheme="majorHAnsi" w:cs="Times New Roman"/>
                <w:b/>
                <w:szCs w:val="24"/>
                <w:lang w:val="en-US"/>
              </w:rPr>
              <w:t>lasma infusion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691793" w14:textId="77777777" w:rsidR="00080745" w:rsidRPr="0039396F" w:rsidRDefault="00080745" w:rsidP="00731806">
            <w:pPr>
              <w:jc w:val="center"/>
              <w:rPr>
                <w:rFonts w:asciiTheme="majorHAnsi" w:hAnsiTheme="majorHAnsi" w:cs="Times New Roman"/>
                <w:szCs w:val="24"/>
                <w:lang w:val="en-US"/>
              </w:rPr>
            </w:pPr>
            <w:r w:rsidRPr="0039396F">
              <w:rPr>
                <w:rFonts w:asciiTheme="majorHAnsi" w:hAnsiTheme="majorHAnsi" w:cs="Times New Roman"/>
                <w:szCs w:val="24"/>
                <w:lang w:val="en-US"/>
              </w:rPr>
              <w:t>≥300 mg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2BA2B75" w14:textId="77777777" w:rsidR="00080745" w:rsidRPr="0039396F" w:rsidRDefault="00080745" w:rsidP="005D5BF4">
            <w:pPr>
              <w:rPr>
                <w:rFonts w:asciiTheme="majorHAnsi" w:hAnsiTheme="majorHAnsi" w:cs="Times New Roman"/>
                <w:szCs w:val="24"/>
                <w:lang w:val="en-US"/>
              </w:rPr>
            </w:pPr>
            <w:r w:rsidRPr="0039396F">
              <w:rPr>
                <w:rFonts w:asciiTheme="majorHAnsi" w:hAnsiTheme="majorHAnsi" w:cs="Times New Roman"/>
                <w:szCs w:val="24"/>
                <w:lang w:val="en-US"/>
              </w:rPr>
              <w:t>300 mg per plasma</w:t>
            </w:r>
            <w:r w:rsidR="00325B0D">
              <w:rPr>
                <w:rFonts w:asciiTheme="majorHAnsi" w:hAnsiTheme="majorHAnsi" w:cs="Times New Roman"/>
                <w:szCs w:val="24"/>
                <w:lang w:val="en-US"/>
              </w:rPr>
              <w:t xml:space="preserve"> </w:t>
            </w:r>
            <w:r w:rsidR="005D5BF4">
              <w:rPr>
                <w:rFonts w:asciiTheme="majorHAnsi" w:hAnsiTheme="majorHAnsi" w:cs="Times New Roman"/>
                <w:szCs w:val="24"/>
                <w:lang w:val="en-US"/>
              </w:rPr>
              <w:t xml:space="preserve">infusion </w:t>
            </w:r>
            <w:r w:rsidR="00325B0D">
              <w:rPr>
                <w:rFonts w:asciiTheme="majorHAnsi" w:hAnsiTheme="majorHAnsi" w:cs="Times New Roman"/>
                <w:szCs w:val="24"/>
                <w:lang w:val="en-US"/>
              </w:rPr>
              <w:t>session</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center"/>
          </w:tcPr>
          <w:p w14:paraId="2B22052A" w14:textId="77777777" w:rsidR="00080745" w:rsidRPr="0039396F" w:rsidRDefault="00080745" w:rsidP="004F65FF">
            <w:pPr>
              <w:rPr>
                <w:rFonts w:asciiTheme="majorHAnsi" w:hAnsiTheme="majorHAnsi" w:cs="Times New Roman"/>
                <w:szCs w:val="24"/>
                <w:lang w:val="en-US"/>
              </w:rPr>
            </w:pPr>
            <w:r w:rsidRPr="0039396F">
              <w:rPr>
                <w:rFonts w:asciiTheme="majorHAnsi" w:hAnsiTheme="majorHAnsi" w:cs="Times New Roman"/>
                <w:szCs w:val="24"/>
                <w:lang w:val="en-US"/>
              </w:rPr>
              <w:t>60 minutes prior to each plasma infusion</w:t>
            </w:r>
            <w:r w:rsidR="00540A96">
              <w:rPr>
                <w:rFonts w:asciiTheme="majorHAnsi" w:hAnsiTheme="majorHAnsi" w:cs="Times New Roman"/>
                <w:szCs w:val="24"/>
                <w:lang w:val="en-US"/>
              </w:rPr>
              <w:t xml:space="preserve"> session</w:t>
            </w:r>
          </w:p>
        </w:tc>
      </w:tr>
    </w:tbl>
    <w:p w14:paraId="7F34AB63" w14:textId="77777777" w:rsidR="00080745" w:rsidRPr="0039396F" w:rsidRDefault="00080745" w:rsidP="00BF24C5">
      <w:pPr>
        <w:pStyle w:val="Heading3"/>
      </w:pPr>
      <w:bookmarkStart w:id="1" w:name="_2.3_Preparation_for"/>
      <w:bookmarkEnd w:id="1"/>
      <w:r w:rsidRPr="0039396F">
        <w:t>Preparation for Administration</w:t>
      </w:r>
    </w:p>
    <w:p w14:paraId="229FFCA9" w14:textId="77777777" w:rsidR="00080745" w:rsidRPr="0039396F" w:rsidRDefault="00842A89" w:rsidP="00B63B61">
      <w:pPr>
        <w:spacing w:after="120"/>
        <w:rPr>
          <w:rFonts w:asciiTheme="majorHAnsi" w:hAnsiTheme="majorHAnsi" w:cs="Times New Roman"/>
          <w:szCs w:val="24"/>
        </w:rPr>
      </w:pPr>
      <w:r w:rsidRPr="0039396F">
        <w:rPr>
          <w:rFonts w:asciiTheme="majorHAnsi" w:hAnsiTheme="majorHAnsi" w:cs="Times New Roman"/>
        </w:rPr>
        <w:t>Soliris</w:t>
      </w:r>
      <w:r w:rsidR="00080745" w:rsidRPr="0039396F">
        <w:rPr>
          <w:rFonts w:asciiTheme="majorHAnsi" w:hAnsiTheme="majorHAnsi" w:cs="Times New Roman"/>
          <w:szCs w:val="24"/>
        </w:rPr>
        <w:t xml:space="preserve"> must be diluted to a final admixture concentration of 5 mg/mL using the following steps:</w:t>
      </w:r>
    </w:p>
    <w:p w14:paraId="6EACB76F" w14:textId="77777777" w:rsidR="00080745" w:rsidRPr="0039396F" w:rsidRDefault="00080745" w:rsidP="009F3AF8">
      <w:pPr>
        <w:numPr>
          <w:ilvl w:val="0"/>
          <w:numId w:val="4"/>
        </w:numPr>
        <w:tabs>
          <w:tab w:val="left" w:pos="567"/>
        </w:tabs>
        <w:autoSpaceDE w:val="0"/>
        <w:autoSpaceDN w:val="0"/>
        <w:adjustRightInd w:val="0"/>
        <w:spacing w:after="120"/>
        <w:rPr>
          <w:rFonts w:asciiTheme="majorHAnsi" w:hAnsiTheme="majorHAnsi" w:cs="Times New Roman"/>
          <w:szCs w:val="24"/>
        </w:rPr>
      </w:pPr>
      <w:r w:rsidRPr="0039396F">
        <w:rPr>
          <w:rFonts w:asciiTheme="majorHAnsi" w:hAnsiTheme="majorHAnsi" w:cs="Times New Roman"/>
          <w:szCs w:val="24"/>
        </w:rPr>
        <w:t xml:space="preserve">Withdraw the total amount of </w:t>
      </w:r>
      <w:r w:rsidR="00842A89" w:rsidRPr="0039396F">
        <w:rPr>
          <w:rFonts w:asciiTheme="majorHAnsi" w:hAnsiTheme="majorHAnsi" w:cs="Times New Roman"/>
        </w:rPr>
        <w:t>Soliris</w:t>
      </w:r>
      <w:r w:rsidRPr="0039396F">
        <w:rPr>
          <w:rFonts w:asciiTheme="majorHAnsi" w:hAnsiTheme="majorHAnsi" w:cs="Times New Roman"/>
          <w:szCs w:val="24"/>
        </w:rPr>
        <w:t xml:space="preserve"> from the vial</w:t>
      </w:r>
      <w:r w:rsidR="003D77AC">
        <w:rPr>
          <w:rFonts w:asciiTheme="majorHAnsi" w:hAnsiTheme="majorHAnsi" w:cs="Times New Roman"/>
          <w:szCs w:val="24"/>
        </w:rPr>
        <w:t>(s)</w:t>
      </w:r>
      <w:r w:rsidRPr="0039396F">
        <w:rPr>
          <w:rFonts w:asciiTheme="majorHAnsi" w:hAnsiTheme="majorHAnsi" w:cs="Times New Roman"/>
          <w:szCs w:val="24"/>
        </w:rPr>
        <w:t xml:space="preserve"> into a sterile syringe.</w:t>
      </w:r>
    </w:p>
    <w:p w14:paraId="73060792" w14:textId="77777777" w:rsidR="00080745" w:rsidRPr="0039396F" w:rsidRDefault="00080745" w:rsidP="009F3AF8">
      <w:pPr>
        <w:numPr>
          <w:ilvl w:val="0"/>
          <w:numId w:val="4"/>
        </w:numPr>
        <w:tabs>
          <w:tab w:val="left" w:pos="567"/>
        </w:tabs>
        <w:autoSpaceDE w:val="0"/>
        <w:autoSpaceDN w:val="0"/>
        <w:adjustRightInd w:val="0"/>
        <w:spacing w:after="120"/>
        <w:rPr>
          <w:rFonts w:asciiTheme="majorHAnsi" w:hAnsiTheme="majorHAnsi" w:cs="Times New Roman"/>
          <w:szCs w:val="24"/>
        </w:rPr>
      </w:pPr>
      <w:r w:rsidRPr="0039396F">
        <w:rPr>
          <w:rFonts w:asciiTheme="majorHAnsi" w:hAnsiTheme="majorHAnsi" w:cs="Times New Roman"/>
          <w:szCs w:val="24"/>
        </w:rPr>
        <w:t xml:space="preserve">Transfer the recommended dose to an infusion bag. </w:t>
      </w:r>
    </w:p>
    <w:p w14:paraId="495D5BC2" w14:textId="77777777" w:rsidR="00080745" w:rsidRPr="0039396F" w:rsidRDefault="00080745" w:rsidP="009F3AF8">
      <w:pPr>
        <w:numPr>
          <w:ilvl w:val="0"/>
          <w:numId w:val="4"/>
        </w:numPr>
        <w:tabs>
          <w:tab w:val="left" w:pos="567"/>
        </w:tabs>
        <w:autoSpaceDE w:val="0"/>
        <w:autoSpaceDN w:val="0"/>
        <w:adjustRightInd w:val="0"/>
        <w:spacing w:after="120"/>
        <w:rPr>
          <w:rFonts w:asciiTheme="majorHAnsi" w:hAnsiTheme="majorHAnsi" w:cs="Times New Roman"/>
          <w:szCs w:val="24"/>
        </w:rPr>
      </w:pPr>
      <w:r w:rsidRPr="0039396F">
        <w:rPr>
          <w:rFonts w:asciiTheme="majorHAnsi" w:hAnsiTheme="majorHAnsi" w:cs="Times New Roman"/>
          <w:szCs w:val="24"/>
        </w:rPr>
        <w:t xml:space="preserve">Dilute </w:t>
      </w:r>
      <w:r w:rsidR="00842A89" w:rsidRPr="0039396F">
        <w:rPr>
          <w:rFonts w:asciiTheme="majorHAnsi" w:hAnsiTheme="majorHAnsi" w:cs="Times New Roman"/>
        </w:rPr>
        <w:t>Soliris</w:t>
      </w:r>
      <w:r w:rsidRPr="0039396F">
        <w:rPr>
          <w:rFonts w:asciiTheme="majorHAnsi" w:hAnsiTheme="majorHAnsi" w:cs="Times New Roman"/>
          <w:szCs w:val="24"/>
        </w:rPr>
        <w:t xml:space="preserve"> to a final concentration of 5 mg/mL by adding the appropriate amount (equal volume of diluent to drug volume – refer to table below) of 0.9% Sodium Chloride Injection USP; 0.45% Sodium Chloride Injection USP; 5% Dextrose in Water Injection USP; or Ringer’s </w:t>
      </w:r>
      <w:r w:rsidR="0018473C">
        <w:rPr>
          <w:rFonts w:asciiTheme="majorHAnsi" w:hAnsiTheme="majorHAnsi" w:cs="Times New Roman"/>
          <w:szCs w:val="24"/>
        </w:rPr>
        <w:t xml:space="preserve">Solution for </w:t>
      </w:r>
      <w:r w:rsidRPr="0039396F">
        <w:rPr>
          <w:rFonts w:asciiTheme="majorHAnsi" w:hAnsiTheme="majorHAnsi" w:cs="Times New Roman"/>
          <w:szCs w:val="24"/>
        </w:rPr>
        <w:t>In</w:t>
      </w:r>
      <w:r w:rsidR="00BA3BED">
        <w:rPr>
          <w:rFonts w:asciiTheme="majorHAnsi" w:hAnsiTheme="majorHAnsi" w:cs="Times New Roman"/>
          <w:szCs w:val="24"/>
        </w:rPr>
        <w:t>travenous Infus</w:t>
      </w:r>
      <w:r w:rsidRPr="0039396F">
        <w:rPr>
          <w:rFonts w:asciiTheme="majorHAnsi" w:hAnsiTheme="majorHAnsi" w:cs="Times New Roman"/>
          <w:szCs w:val="24"/>
        </w:rPr>
        <w:t xml:space="preserve">ion USP to the infusion bag. </w:t>
      </w:r>
    </w:p>
    <w:p w14:paraId="1D95F4B9" w14:textId="77777777" w:rsidR="00080745" w:rsidRPr="0039396F" w:rsidRDefault="00080745" w:rsidP="003C13FF">
      <w:pPr>
        <w:numPr>
          <w:ilvl w:val="0"/>
          <w:numId w:val="4"/>
        </w:numPr>
        <w:tabs>
          <w:tab w:val="left" w:pos="567"/>
        </w:tabs>
        <w:autoSpaceDE w:val="0"/>
        <w:autoSpaceDN w:val="0"/>
        <w:adjustRightInd w:val="0"/>
        <w:spacing w:after="240"/>
        <w:rPr>
          <w:rFonts w:asciiTheme="majorHAnsi" w:hAnsiTheme="majorHAnsi" w:cs="Times New Roman"/>
          <w:szCs w:val="24"/>
        </w:rPr>
      </w:pPr>
      <w:r w:rsidRPr="0039396F">
        <w:rPr>
          <w:rFonts w:asciiTheme="majorHAnsi" w:hAnsiTheme="majorHAnsi" w:cs="Times New Roman"/>
          <w:szCs w:val="24"/>
        </w:rPr>
        <w:t>Do not mix with other medicinal products</w:t>
      </w:r>
    </w:p>
    <w:tbl>
      <w:tblPr>
        <w:tblStyle w:val="TableGrid"/>
        <w:tblW w:w="0" w:type="auto"/>
        <w:jc w:val="center"/>
        <w:tblLook w:val="04A0" w:firstRow="1" w:lastRow="0" w:firstColumn="1" w:lastColumn="0" w:noHBand="0" w:noVBand="1"/>
      </w:tblPr>
      <w:tblGrid>
        <w:gridCol w:w="2182"/>
        <w:gridCol w:w="2169"/>
        <w:gridCol w:w="2217"/>
      </w:tblGrid>
      <w:tr w:rsidR="00EF07AD" w:rsidRPr="0039396F" w14:paraId="033A0A5C" w14:textId="77777777" w:rsidTr="007123A3">
        <w:trPr>
          <w:tblHeader/>
          <w:jc w:val="center"/>
        </w:trPr>
        <w:tc>
          <w:tcPr>
            <w:tcW w:w="2182" w:type="dxa"/>
          </w:tcPr>
          <w:p w14:paraId="1CDA2F7B" w14:textId="77777777" w:rsidR="00EF07AD" w:rsidRPr="0039396F" w:rsidRDefault="00EF07AD" w:rsidP="00731806">
            <w:pPr>
              <w:jc w:val="center"/>
              <w:rPr>
                <w:rFonts w:asciiTheme="majorHAnsi" w:hAnsiTheme="majorHAnsi"/>
                <w:b/>
                <w:szCs w:val="24"/>
                <w:lang w:val="en-AU"/>
              </w:rPr>
            </w:pPr>
            <w:r w:rsidRPr="00731806">
              <w:rPr>
                <w:rFonts w:asciiTheme="majorHAnsi" w:hAnsiTheme="majorHAnsi"/>
                <w:b/>
                <w:lang w:val="en-AU"/>
              </w:rPr>
              <w:t>Soliris</w:t>
            </w:r>
            <w:r w:rsidRPr="00731806">
              <w:rPr>
                <w:rFonts w:asciiTheme="majorHAnsi" w:hAnsiTheme="majorHAnsi"/>
                <w:b/>
                <w:sz w:val="32"/>
                <w:szCs w:val="24"/>
                <w:lang w:val="en-AU"/>
              </w:rPr>
              <w:t xml:space="preserve"> </w:t>
            </w:r>
            <w:r w:rsidRPr="0039396F">
              <w:rPr>
                <w:rFonts w:asciiTheme="majorHAnsi" w:hAnsiTheme="majorHAnsi"/>
                <w:b/>
                <w:szCs w:val="24"/>
                <w:lang w:val="en-AU"/>
              </w:rPr>
              <w:t>dose</w:t>
            </w:r>
          </w:p>
        </w:tc>
        <w:tc>
          <w:tcPr>
            <w:tcW w:w="2169" w:type="dxa"/>
          </w:tcPr>
          <w:p w14:paraId="795C4617" w14:textId="77777777" w:rsidR="00EF07AD" w:rsidRPr="0039396F" w:rsidRDefault="00EF07AD" w:rsidP="00731806">
            <w:pPr>
              <w:jc w:val="center"/>
              <w:rPr>
                <w:rFonts w:asciiTheme="majorHAnsi" w:hAnsiTheme="majorHAnsi"/>
                <w:b/>
                <w:szCs w:val="24"/>
                <w:lang w:val="en-AU"/>
              </w:rPr>
            </w:pPr>
            <w:r w:rsidRPr="0039396F">
              <w:rPr>
                <w:rFonts w:asciiTheme="majorHAnsi" w:hAnsiTheme="majorHAnsi"/>
                <w:b/>
                <w:szCs w:val="24"/>
                <w:lang w:val="en-AU"/>
              </w:rPr>
              <w:t>Diluent volume</w:t>
            </w:r>
          </w:p>
        </w:tc>
        <w:tc>
          <w:tcPr>
            <w:tcW w:w="2217" w:type="dxa"/>
          </w:tcPr>
          <w:p w14:paraId="63F9DA56" w14:textId="77777777" w:rsidR="00EF07AD" w:rsidRPr="0039396F" w:rsidRDefault="00EF07AD" w:rsidP="00731806">
            <w:pPr>
              <w:jc w:val="center"/>
              <w:rPr>
                <w:rFonts w:asciiTheme="majorHAnsi" w:hAnsiTheme="majorHAnsi"/>
                <w:b/>
                <w:szCs w:val="24"/>
                <w:lang w:val="en-AU"/>
              </w:rPr>
            </w:pPr>
            <w:r w:rsidRPr="0039396F">
              <w:rPr>
                <w:rFonts w:asciiTheme="majorHAnsi" w:hAnsiTheme="majorHAnsi"/>
                <w:b/>
                <w:szCs w:val="24"/>
                <w:lang w:val="en-AU"/>
              </w:rPr>
              <w:t>Final volume</w:t>
            </w:r>
          </w:p>
        </w:tc>
      </w:tr>
      <w:tr w:rsidR="00EF07AD" w:rsidRPr="0039396F" w14:paraId="6716A474" w14:textId="77777777" w:rsidTr="007123A3">
        <w:trPr>
          <w:tblHeader/>
          <w:jc w:val="center"/>
        </w:trPr>
        <w:tc>
          <w:tcPr>
            <w:tcW w:w="2182" w:type="dxa"/>
          </w:tcPr>
          <w:p w14:paraId="64AC1B39"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300 mg</w:t>
            </w:r>
          </w:p>
        </w:tc>
        <w:tc>
          <w:tcPr>
            <w:tcW w:w="2169" w:type="dxa"/>
          </w:tcPr>
          <w:p w14:paraId="399D5591"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30 mL</w:t>
            </w:r>
          </w:p>
        </w:tc>
        <w:tc>
          <w:tcPr>
            <w:tcW w:w="2217" w:type="dxa"/>
          </w:tcPr>
          <w:p w14:paraId="63E86FD2"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60 mL</w:t>
            </w:r>
          </w:p>
        </w:tc>
      </w:tr>
      <w:tr w:rsidR="00EF07AD" w:rsidRPr="0039396F" w14:paraId="7739D364" w14:textId="77777777" w:rsidTr="007123A3">
        <w:trPr>
          <w:tblHeader/>
          <w:jc w:val="center"/>
        </w:trPr>
        <w:tc>
          <w:tcPr>
            <w:tcW w:w="2182" w:type="dxa"/>
          </w:tcPr>
          <w:p w14:paraId="6AAFD5D2"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600 mg</w:t>
            </w:r>
          </w:p>
        </w:tc>
        <w:tc>
          <w:tcPr>
            <w:tcW w:w="2169" w:type="dxa"/>
          </w:tcPr>
          <w:p w14:paraId="76AAD7C4"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60 mL</w:t>
            </w:r>
          </w:p>
        </w:tc>
        <w:tc>
          <w:tcPr>
            <w:tcW w:w="2217" w:type="dxa"/>
          </w:tcPr>
          <w:p w14:paraId="13246B6C"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120 mL</w:t>
            </w:r>
          </w:p>
        </w:tc>
      </w:tr>
      <w:tr w:rsidR="00EF07AD" w:rsidRPr="0039396F" w14:paraId="4DFF189D" w14:textId="77777777" w:rsidTr="007123A3">
        <w:trPr>
          <w:tblHeader/>
          <w:jc w:val="center"/>
        </w:trPr>
        <w:tc>
          <w:tcPr>
            <w:tcW w:w="2182" w:type="dxa"/>
          </w:tcPr>
          <w:p w14:paraId="006F9646"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900 mg</w:t>
            </w:r>
          </w:p>
        </w:tc>
        <w:tc>
          <w:tcPr>
            <w:tcW w:w="2169" w:type="dxa"/>
          </w:tcPr>
          <w:p w14:paraId="53E4A11E"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90 mL</w:t>
            </w:r>
          </w:p>
        </w:tc>
        <w:tc>
          <w:tcPr>
            <w:tcW w:w="2217" w:type="dxa"/>
          </w:tcPr>
          <w:p w14:paraId="0505E3C1"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180 mL</w:t>
            </w:r>
          </w:p>
        </w:tc>
      </w:tr>
      <w:tr w:rsidR="00EF07AD" w:rsidRPr="0039396F" w14:paraId="690337F0" w14:textId="77777777" w:rsidTr="007123A3">
        <w:trPr>
          <w:tblHeader/>
          <w:jc w:val="center"/>
        </w:trPr>
        <w:tc>
          <w:tcPr>
            <w:tcW w:w="2182" w:type="dxa"/>
          </w:tcPr>
          <w:p w14:paraId="4E600D09"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1200 mg</w:t>
            </w:r>
          </w:p>
        </w:tc>
        <w:tc>
          <w:tcPr>
            <w:tcW w:w="2169" w:type="dxa"/>
          </w:tcPr>
          <w:p w14:paraId="55E0EF7B"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120 mL</w:t>
            </w:r>
          </w:p>
        </w:tc>
        <w:tc>
          <w:tcPr>
            <w:tcW w:w="2217" w:type="dxa"/>
          </w:tcPr>
          <w:p w14:paraId="31501A06" w14:textId="77777777" w:rsidR="00EF07AD" w:rsidRPr="0039396F" w:rsidRDefault="00EF07AD" w:rsidP="00731806">
            <w:pPr>
              <w:jc w:val="center"/>
              <w:rPr>
                <w:rFonts w:asciiTheme="majorHAnsi" w:hAnsiTheme="majorHAnsi"/>
                <w:szCs w:val="24"/>
                <w:lang w:val="en-AU"/>
              </w:rPr>
            </w:pPr>
            <w:r w:rsidRPr="0039396F">
              <w:rPr>
                <w:rFonts w:asciiTheme="majorHAnsi" w:hAnsiTheme="majorHAnsi"/>
                <w:szCs w:val="24"/>
                <w:lang w:val="en-AU"/>
              </w:rPr>
              <w:t>240 mL</w:t>
            </w:r>
          </w:p>
        </w:tc>
      </w:tr>
    </w:tbl>
    <w:p w14:paraId="3B85D146" w14:textId="77777777" w:rsidR="00080745" w:rsidRPr="0039396F" w:rsidRDefault="00080745" w:rsidP="00C340EA">
      <w:pPr>
        <w:spacing w:before="240" w:after="120"/>
        <w:rPr>
          <w:rFonts w:asciiTheme="majorHAnsi" w:hAnsiTheme="majorHAnsi" w:cs="Times New Roman"/>
          <w:szCs w:val="24"/>
        </w:rPr>
      </w:pPr>
      <w:r w:rsidRPr="0039396F">
        <w:rPr>
          <w:rFonts w:asciiTheme="majorHAnsi" w:hAnsiTheme="majorHAnsi" w:cs="Times New Roman"/>
          <w:szCs w:val="24"/>
        </w:rPr>
        <w:t>Product is for single use in one patient only. Discard any unused portion left in a vial, as the product contains no preservatives.</w:t>
      </w:r>
    </w:p>
    <w:p w14:paraId="17BA312A" w14:textId="77777777" w:rsidR="003B12DB" w:rsidRDefault="00080745" w:rsidP="00C340EA">
      <w:pPr>
        <w:autoSpaceDE w:val="0"/>
        <w:autoSpaceDN w:val="0"/>
        <w:adjustRightInd w:val="0"/>
      </w:pPr>
      <w:r w:rsidRPr="0039396F">
        <w:rPr>
          <w:rFonts w:asciiTheme="majorHAnsi" w:hAnsiTheme="majorHAnsi" w:cs="Times New Roman"/>
          <w:szCs w:val="24"/>
        </w:rPr>
        <w:t xml:space="preserve">Gently invert the infusion bag containing the diluted </w:t>
      </w:r>
      <w:r w:rsidR="00842A89" w:rsidRPr="0039396F">
        <w:rPr>
          <w:rFonts w:asciiTheme="majorHAnsi" w:hAnsiTheme="majorHAnsi" w:cs="Times New Roman"/>
        </w:rPr>
        <w:t>Soliris</w:t>
      </w:r>
      <w:r w:rsidRPr="0039396F">
        <w:rPr>
          <w:rFonts w:asciiTheme="majorHAnsi" w:hAnsiTheme="majorHAnsi" w:cs="Times New Roman"/>
          <w:szCs w:val="24"/>
        </w:rPr>
        <w:t xml:space="preserve"> solution to ensure thorough mixing of the product and diluent. Prior to administration, the admixture should be allowed to </w:t>
      </w:r>
      <w:r w:rsidR="006E73C2">
        <w:rPr>
          <w:rFonts w:asciiTheme="majorHAnsi" w:hAnsiTheme="majorHAnsi" w:cs="Times New Roman"/>
          <w:szCs w:val="24"/>
        </w:rPr>
        <w:t>reach</w:t>
      </w:r>
      <w:r w:rsidRPr="0039396F">
        <w:rPr>
          <w:rFonts w:asciiTheme="majorHAnsi" w:hAnsiTheme="majorHAnsi" w:cs="Times New Roman"/>
          <w:szCs w:val="24"/>
        </w:rPr>
        <w:t xml:space="preserve"> 18° to 25°C. The admixture must not be heated in a microwave or with any heat source other than ambient air temperature. The </w:t>
      </w:r>
      <w:r w:rsidR="00842A89" w:rsidRPr="0039396F">
        <w:rPr>
          <w:rFonts w:asciiTheme="majorHAnsi" w:hAnsiTheme="majorHAnsi" w:cs="Times New Roman"/>
        </w:rPr>
        <w:t>Soliris</w:t>
      </w:r>
      <w:r w:rsidRPr="0039396F">
        <w:rPr>
          <w:rFonts w:asciiTheme="majorHAnsi" w:hAnsiTheme="majorHAnsi" w:cs="Times New Roman"/>
          <w:szCs w:val="24"/>
        </w:rPr>
        <w:t xml:space="preserve"> admixture should be inspected visually for particulate matter and discolouration prior to administration.</w:t>
      </w:r>
      <w:bookmarkStart w:id="2" w:name="_2.4_Administration"/>
      <w:bookmarkEnd w:id="2"/>
    </w:p>
    <w:p w14:paraId="5CFCDDB7" w14:textId="77777777" w:rsidR="00080745" w:rsidRPr="0039396F" w:rsidRDefault="00080745" w:rsidP="00B63B61">
      <w:pPr>
        <w:pStyle w:val="Heading3"/>
        <w:spacing w:after="120"/>
      </w:pPr>
      <w:r w:rsidRPr="0039396F">
        <w:t>Administration</w:t>
      </w:r>
    </w:p>
    <w:p w14:paraId="6BD29DEE" w14:textId="77777777" w:rsidR="00080745" w:rsidRPr="0039396F" w:rsidRDefault="00080745" w:rsidP="000F42A6">
      <w:pPr>
        <w:spacing w:before="120" w:after="120"/>
        <w:jc w:val="both"/>
        <w:rPr>
          <w:rFonts w:asciiTheme="majorHAnsi" w:hAnsiTheme="majorHAnsi" w:cs="Times New Roman"/>
          <w:i/>
          <w:szCs w:val="24"/>
        </w:rPr>
      </w:pPr>
      <w:r w:rsidRPr="0039396F">
        <w:rPr>
          <w:rFonts w:asciiTheme="majorHAnsi" w:hAnsiTheme="majorHAnsi" w:cs="Times New Roman"/>
          <w:i/>
          <w:szCs w:val="24"/>
        </w:rPr>
        <w:t xml:space="preserve">Do Not Administer </w:t>
      </w:r>
      <w:r w:rsidR="00C65557">
        <w:rPr>
          <w:rFonts w:asciiTheme="majorHAnsi" w:hAnsiTheme="majorHAnsi" w:cs="Times New Roman"/>
          <w:i/>
          <w:szCs w:val="24"/>
        </w:rPr>
        <w:t>a</w:t>
      </w:r>
      <w:r w:rsidRPr="0039396F">
        <w:rPr>
          <w:rFonts w:asciiTheme="majorHAnsi" w:hAnsiTheme="majorHAnsi" w:cs="Times New Roman"/>
          <w:i/>
          <w:szCs w:val="24"/>
        </w:rPr>
        <w:t xml:space="preserve">s </w:t>
      </w:r>
      <w:r w:rsidR="00540A96">
        <w:rPr>
          <w:rFonts w:asciiTheme="majorHAnsi" w:hAnsiTheme="majorHAnsi" w:cs="Times New Roman"/>
          <w:i/>
          <w:szCs w:val="24"/>
        </w:rPr>
        <w:t>a</w:t>
      </w:r>
      <w:r w:rsidRPr="0039396F">
        <w:rPr>
          <w:rFonts w:asciiTheme="majorHAnsi" w:hAnsiTheme="majorHAnsi" w:cs="Times New Roman"/>
          <w:i/>
          <w:szCs w:val="24"/>
        </w:rPr>
        <w:t xml:space="preserve">n Intravenous Push Or Bolus Injection </w:t>
      </w:r>
    </w:p>
    <w:p w14:paraId="79C74702" w14:textId="77777777" w:rsidR="008E2753" w:rsidRDefault="00080745" w:rsidP="000F42A6">
      <w:pPr>
        <w:spacing w:after="120"/>
        <w:rPr>
          <w:rFonts w:asciiTheme="majorHAnsi" w:hAnsiTheme="majorHAnsi" w:cs="Times New Roman"/>
          <w:szCs w:val="24"/>
        </w:rPr>
      </w:pPr>
      <w:r w:rsidRPr="0039396F">
        <w:rPr>
          <w:rFonts w:asciiTheme="majorHAnsi" w:hAnsiTheme="majorHAnsi" w:cs="Times New Roman"/>
          <w:szCs w:val="24"/>
        </w:rPr>
        <w:t xml:space="preserve">The </w:t>
      </w:r>
      <w:r w:rsidR="00842A89" w:rsidRPr="0039396F">
        <w:rPr>
          <w:rFonts w:asciiTheme="majorHAnsi" w:hAnsiTheme="majorHAnsi" w:cs="Times New Roman"/>
        </w:rPr>
        <w:t>Soliris</w:t>
      </w:r>
      <w:r w:rsidRPr="0039396F">
        <w:rPr>
          <w:rFonts w:asciiTheme="majorHAnsi" w:hAnsiTheme="majorHAnsi" w:cs="Times New Roman"/>
          <w:szCs w:val="24"/>
        </w:rPr>
        <w:t xml:space="preserve"> admixture should be administered by intravenous infusion over 25 to 45 minutes</w:t>
      </w:r>
      <w:r w:rsidR="00D63C7C" w:rsidRPr="00D63C7C">
        <w:rPr>
          <w:rFonts w:asciiTheme="majorHAnsi" w:hAnsiTheme="majorHAnsi" w:cs="Times New Roman"/>
          <w:szCs w:val="24"/>
        </w:rPr>
        <w:t xml:space="preserve"> </w:t>
      </w:r>
      <w:r w:rsidR="00D63C7C">
        <w:rPr>
          <w:rFonts w:asciiTheme="majorHAnsi" w:hAnsiTheme="majorHAnsi" w:cs="Times New Roman"/>
          <w:szCs w:val="24"/>
        </w:rPr>
        <w:t xml:space="preserve">in adults, and 1 to 4 hours in paediatric patients, </w:t>
      </w:r>
      <w:r w:rsidRPr="0039396F">
        <w:rPr>
          <w:rFonts w:asciiTheme="majorHAnsi" w:hAnsiTheme="majorHAnsi" w:cs="Times New Roman"/>
          <w:szCs w:val="24"/>
        </w:rPr>
        <w:t xml:space="preserve">via gravity feed, a syringe-type pump, or an infusion pump.  It is not necessary to protect the diluted solution of </w:t>
      </w:r>
      <w:r w:rsidR="00842A89" w:rsidRPr="0039396F">
        <w:rPr>
          <w:rFonts w:asciiTheme="majorHAnsi" w:hAnsiTheme="majorHAnsi" w:cs="Times New Roman"/>
        </w:rPr>
        <w:t>Soliris</w:t>
      </w:r>
      <w:r w:rsidRPr="0039396F">
        <w:rPr>
          <w:rFonts w:asciiTheme="majorHAnsi" w:hAnsiTheme="majorHAnsi" w:cs="Times New Roman"/>
          <w:szCs w:val="24"/>
        </w:rPr>
        <w:t xml:space="preserve"> from light during administration to the patient. </w:t>
      </w:r>
    </w:p>
    <w:p w14:paraId="1CEFC57E" w14:textId="1EA6B895" w:rsidR="00080745" w:rsidRPr="0039396F" w:rsidRDefault="00080745" w:rsidP="004559A2">
      <w:pPr>
        <w:rPr>
          <w:rFonts w:asciiTheme="majorHAnsi" w:hAnsiTheme="majorHAnsi" w:cs="Times New Roman"/>
          <w:szCs w:val="24"/>
        </w:rPr>
      </w:pPr>
      <w:r w:rsidRPr="0039396F">
        <w:rPr>
          <w:rFonts w:asciiTheme="majorHAnsi" w:hAnsiTheme="majorHAnsi" w:cs="Times New Roman"/>
          <w:szCs w:val="24"/>
        </w:rPr>
        <w:lastRenderedPageBreak/>
        <w:t xml:space="preserve">If an adverse </w:t>
      </w:r>
      <w:r w:rsidR="00C37CF0">
        <w:rPr>
          <w:rFonts w:asciiTheme="majorHAnsi" w:hAnsiTheme="majorHAnsi" w:cs="Times New Roman"/>
          <w:szCs w:val="24"/>
        </w:rPr>
        <w:t>event</w:t>
      </w:r>
      <w:r w:rsidR="00C37CF0" w:rsidRPr="0039396F">
        <w:rPr>
          <w:rFonts w:asciiTheme="majorHAnsi" w:hAnsiTheme="majorHAnsi" w:cs="Times New Roman"/>
          <w:szCs w:val="24"/>
        </w:rPr>
        <w:t xml:space="preserve"> </w:t>
      </w:r>
      <w:r w:rsidRPr="0039396F">
        <w:rPr>
          <w:rFonts w:asciiTheme="majorHAnsi" w:hAnsiTheme="majorHAnsi" w:cs="Times New Roman"/>
          <w:szCs w:val="24"/>
        </w:rPr>
        <w:t xml:space="preserve">occurs during the administration of </w:t>
      </w:r>
      <w:r w:rsidR="00842A89" w:rsidRPr="0039396F">
        <w:rPr>
          <w:rFonts w:asciiTheme="majorHAnsi" w:hAnsiTheme="majorHAnsi" w:cs="Times New Roman"/>
        </w:rPr>
        <w:t>Soliris</w:t>
      </w:r>
      <w:r w:rsidRPr="0039396F">
        <w:rPr>
          <w:rFonts w:asciiTheme="majorHAnsi" w:hAnsiTheme="majorHAnsi" w:cs="Times New Roman"/>
          <w:szCs w:val="24"/>
        </w:rPr>
        <w:t xml:space="preserve">, the infusion may be slowed or stopped at the discretion of the physician. If the infusion is slowed, the total infusion time may not exceed 2 hours in adults and 4 hours in </w:t>
      </w:r>
      <w:r w:rsidR="002A0C27">
        <w:rPr>
          <w:rFonts w:asciiTheme="majorHAnsi" w:hAnsiTheme="majorHAnsi" w:cs="Times New Roman"/>
          <w:szCs w:val="24"/>
        </w:rPr>
        <w:t>paediatric patients</w:t>
      </w:r>
      <w:r w:rsidRPr="0039396F">
        <w:rPr>
          <w:rFonts w:asciiTheme="majorHAnsi" w:hAnsiTheme="majorHAnsi" w:cs="Times New Roman"/>
          <w:szCs w:val="24"/>
        </w:rPr>
        <w:t>. Monitor the patient for at least 1 hour following completion of the infusion for signs or symptoms of an infusion reaction.</w:t>
      </w:r>
    </w:p>
    <w:p w14:paraId="5CE1BC9C" w14:textId="77777777" w:rsidR="00080745" w:rsidRPr="0039396F" w:rsidRDefault="00080745" w:rsidP="000F42A6">
      <w:pPr>
        <w:tabs>
          <w:tab w:val="left" w:pos="567"/>
        </w:tabs>
        <w:autoSpaceDE w:val="0"/>
        <w:autoSpaceDN w:val="0"/>
        <w:adjustRightInd w:val="0"/>
        <w:spacing w:before="120"/>
        <w:rPr>
          <w:rFonts w:asciiTheme="majorHAnsi" w:hAnsiTheme="majorHAnsi" w:cs="Times New Roman"/>
          <w:szCs w:val="24"/>
        </w:rPr>
      </w:pPr>
      <w:r w:rsidRPr="0039396F">
        <w:rPr>
          <w:rFonts w:asciiTheme="majorHAnsi" w:hAnsiTheme="majorHAnsi" w:cs="Times New Roman"/>
          <w:i/>
          <w:szCs w:val="24"/>
          <w:u w:val="single"/>
        </w:rPr>
        <w:t>Paediatric Population</w:t>
      </w:r>
      <w:r w:rsidRPr="0039396F">
        <w:rPr>
          <w:rFonts w:asciiTheme="majorHAnsi" w:hAnsiTheme="majorHAnsi" w:cs="Times New Roman"/>
          <w:szCs w:val="24"/>
        </w:rPr>
        <w:t xml:space="preserve">: </w:t>
      </w:r>
      <w:r w:rsidR="000758B1">
        <w:rPr>
          <w:rFonts w:asciiTheme="majorHAnsi" w:hAnsiTheme="majorHAnsi" w:cs="Times New Roman"/>
          <w:szCs w:val="24"/>
        </w:rPr>
        <w:t>T</w:t>
      </w:r>
      <w:r w:rsidR="000758B1" w:rsidRPr="0039396F">
        <w:rPr>
          <w:rFonts w:asciiTheme="majorHAnsi" w:hAnsiTheme="majorHAnsi" w:cs="Times New Roman"/>
          <w:szCs w:val="24"/>
        </w:rPr>
        <w:t xml:space="preserve">he </w:t>
      </w:r>
      <w:r w:rsidR="006E73C2">
        <w:rPr>
          <w:rFonts w:asciiTheme="majorHAnsi" w:hAnsiTheme="majorHAnsi" w:cs="Times New Roman"/>
          <w:szCs w:val="24"/>
        </w:rPr>
        <w:t>route</w:t>
      </w:r>
      <w:r w:rsidR="006E73C2" w:rsidRPr="0039396F">
        <w:rPr>
          <w:rFonts w:asciiTheme="majorHAnsi" w:hAnsiTheme="majorHAnsi" w:cs="Times New Roman"/>
          <w:szCs w:val="24"/>
        </w:rPr>
        <w:t xml:space="preserve"> </w:t>
      </w:r>
      <w:r w:rsidRPr="0039396F">
        <w:rPr>
          <w:rFonts w:asciiTheme="majorHAnsi" w:hAnsiTheme="majorHAnsi" w:cs="Times New Roman"/>
          <w:szCs w:val="24"/>
        </w:rPr>
        <w:t xml:space="preserve">of administration of </w:t>
      </w:r>
      <w:r w:rsidR="00842A89" w:rsidRPr="0039396F">
        <w:rPr>
          <w:rFonts w:asciiTheme="majorHAnsi" w:hAnsiTheme="majorHAnsi" w:cs="Times New Roman"/>
        </w:rPr>
        <w:t>Soliris</w:t>
      </w:r>
      <w:r w:rsidRPr="0039396F">
        <w:rPr>
          <w:rFonts w:asciiTheme="majorHAnsi" w:hAnsiTheme="majorHAnsi" w:cs="Times New Roman"/>
          <w:szCs w:val="24"/>
        </w:rPr>
        <w:t xml:space="preserve"> is the same for all age groups.</w:t>
      </w:r>
    </w:p>
    <w:p w14:paraId="350A31EE" w14:textId="77777777" w:rsidR="00080745" w:rsidRPr="0039396F" w:rsidRDefault="00080745" w:rsidP="000F42A6">
      <w:pPr>
        <w:tabs>
          <w:tab w:val="left" w:pos="567"/>
        </w:tabs>
        <w:autoSpaceDE w:val="0"/>
        <w:autoSpaceDN w:val="0"/>
        <w:adjustRightInd w:val="0"/>
        <w:spacing w:before="120"/>
        <w:rPr>
          <w:rFonts w:asciiTheme="majorHAnsi" w:hAnsiTheme="majorHAnsi" w:cs="Times New Roman"/>
          <w:noProof/>
          <w:szCs w:val="24"/>
        </w:rPr>
      </w:pPr>
      <w:r w:rsidRPr="0039396F">
        <w:rPr>
          <w:rFonts w:asciiTheme="majorHAnsi" w:hAnsiTheme="majorHAnsi" w:cs="Times New Roman"/>
          <w:i/>
          <w:szCs w:val="24"/>
          <w:u w:val="single"/>
        </w:rPr>
        <w:t>Elderly:</w:t>
      </w:r>
      <w:r w:rsidRPr="0039396F">
        <w:rPr>
          <w:rFonts w:asciiTheme="majorHAnsi" w:hAnsiTheme="majorHAnsi" w:cs="Times New Roman"/>
          <w:szCs w:val="24"/>
        </w:rPr>
        <w:t xml:space="preserve"> </w:t>
      </w:r>
      <w:r w:rsidR="00842A89" w:rsidRPr="0039396F">
        <w:rPr>
          <w:rFonts w:asciiTheme="majorHAnsi" w:hAnsiTheme="majorHAnsi" w:cs="Times New Roman"/>
        </w:rPr>
        <w:t>Soliris</w:t>
      </w:r>
      <w:r w:rsidRPr="0039396F">
        <w:rPr>
          <w:rFonts w:asciiTheme="majorHAnsi" w:hAnsiTheme="majorHAnsi" w:cs="Times New Roman"/>
          <w:szCs w:val="24"/>
        </w:rPr>
        <w:t xml:space="preserve"> may be administered to patients aged 65 years and over.  </w:t>
      </w:r>
      <w:r w:rsidRPr="0039396F">
        <w:rPr>
          <w:rFonts w:asciiTheme="majorHAnsi" w:hAnsiTheme="majorHAnsi" w:cs="Times New Roman"/>
          <w:noProof/>
          <w:szCs w:val="24"/>
        </w:rPr>
        <w:t xml:space="preserve">There is no evidence to suggest that any special precautions are needed when older people are treated – although experience with </w:t>
      </w:r>
      <w:r w:rsidR="00842A89" w:rsidRPr="0039396F">
        <w:rPr>
          <w:rFonts w:asciiTheme="majorHAnsi" w:hAnsiTheme="majorHAnsi" w:cs="Times New Roman"/>
        </w:rPr>
        <w:t>Soliris</w:t>
      </w:r>
      <w:r w:rsidRPr="0039396F">
        <w:rPr>
          <w:rFonts w:asciiTheme="majorHAnsi" w:hAnsiTheme="majorHAnsi" w:cs="Times New Roman"/>
          <w:noProof/>
          <w:szCs w:val="24"/>
        </w:rPr>
        <w:t xml:space="preserve"> in this patient population is still limited.</w:t>
      </w:r>
    </w:p>
    <w:p w14:paraId="679ADE5F" w14:textId="77777777" w:rsidR="00080745" w:rsidRPr="0039396F" w:rsidRDefault="00080745" w:rsidP="000F42A6">
      <w:pPr>
        <w:tabs>
          <w:tab w:val="left" w:pos="567"/>
        </w:tabs>
        <w:autoSpaceDE w:val="0"/>
        <w:autoSpaceDN w:val="0"/>
        <w:adjustRightInd w:val="0"/>
        <w:spacing w:before="120"/>
        <w:rPr>
          <w:rFonts w:asciiTheme="majorHAnsi" w:hAnsiTheme="majorHAnsi" w:cs="Times New Roman"/>
          <w:szCs w:val="24"/>
        </w:rPr>
      </w:pPr>
      <w:r w:rsidRPr="0039396F">
        <w:rPr>
          <w:rFonts w:asciiTheme="majorHAnsi" w:hAnsiTheme="majorHAnsi" w:cs="Times New Roman"/>
          <w:i/>
          <w:szCs w:val="24"/>
          <w:u w:val="single"/>
        </w:rPr>
        <w:t>Renal impairment</w:t>
      </w:r>
      <w:r w:rsidRPr="0039396F">
        <w:rPr>
          <w:rFonts w:asciiTheme="majorHAnsi" w:hAnsiTheme="majorHAnsi" w:cs="Times New Roman"/>
          <w:szCs w:val="24"/>
          <w:u w:val="single"/>
        </w:rPr>
        <w:t>:</w:t>
      </w:r>
      <w:r w:rsidRPr="0039396F">
        <w:rPr>
          <w:rFonts w:asciiTheme="majorHAnsi" w:hAnsiTheme="majorHAnsi" w:cs="Times New Roman"/>
          <w:szCs w:val="24"/>
        </w:rPr>
        <w:t xml:space="preserve"> No dose adjustment is required for patients with renal impairment.</w:t>
      </w:r>
    </w:p>
    <w:p w14:paraId="49E7580A" w14:textId="77777777" w:rsidR="00080745" w:rsidRPr="0039396F" w:rsidRDefault="00080745" w:rsidP="000F42A6">
      <w:pPr>
        <w:tabs>
          <w:tab w:val="left" w:pos="567"/>
        </w:tabs>
        <w:autoSpaceDE w:val="0"/>
        <w:autoSpaceDN w:val="0"/>
        <w:adjustRightInd w:val="0"/>
        <w:spacing w:before="120"/>
        <w:rPr>
          <w:rFonts w:asciiTheme="majorHAnsi" w:hAnsiTheme="majorHAnsi" w:cs="Times New Roman"/>
          <w:noProof/>
          <w:szCs w:val="24"/>
        </w:rPr>
      </w:pPr>
      <w:r w:rsidRPr="0039396F">
        <w:rPr>
          <w:rFonts w:asciiTheme="majorHAnsi" w:hAnsiTheme="majorHAnsi" w:cs="Times New Roman"/>
          <w:i/>
          <w:noProof/>
          <w:szCs w:val="24"/>
          <w:u w:val="single"/>
        </w:rPr>
        <w:t>Hepatic impairment:</w:t>
      </w:r>
      <w:r w:rsidRPr="0039396F">
        <w:rPr>
          <w:rFonts w:asciiTheme="majorHAnsi" w:hAnsiTheme="majorHAnsi" w:cs="Times New Roman"/>
          <w:noProof/>
          <w:szCs w:val="24"/>
        </w:rPr>
        <w:t xml:space="preserve"> The safety and efficacy of </w:t>
      </w:r>
      <w:r w:rsidR="00842A89" w:rsidRPr="0039396F">
        <w:rPr>
          <w:rFonts w:asciiTheme="majorHAnsi" w:hAnsiTheme="majorHAnsi" w:cs="Times New Roman"/>
        </w:rPr>
        <w:t>Soliris</w:t>
      </w:r>
      <w:r w:rsidRPr="0039396F">
        <w:rPr>
          <w:rFonts w:asciiTheme="majorHAnsi" w:hAnsiTheme="majorHAnsi" w:cs="Times New Roman"/>
          <w:noProof/>
          <w:szCs w:val="24"/>
        </w:rPr>
        <w:t xml:space="preserve"> have not been studied in patients with hepatic impairment.</w:t>
      </w:r>
    </w:p>
    <w:p w14:paraId="4B295392" w14:textId="77777777" w:rsidR="001A3992" w:rsidRPr="0039396F" w:rsidRDefault="001A3992" w:rsidP="00F00B64">
      <w:pPr>
        <w:pStyle w:val="Heading2"/>
        <w:spacing w:before="240"/>
        <w:rPr>
          <w:rFonts w:cs="Times New Roman"/>
        </w:rPr>
      </w:pPr>
      <w:r w:rsidRPr="0039396F">
        <w:rPr>
          <w:rFonts w:cs="Times New Roman"/>
        </w:rPr>
        <w:t>Contraindications</w:t>
      </w:r>
    </w:p>
    <w:p w14:paraId="0B77DD03" w14:textId="77777777" w:rsidR="006C5055" w:rsidRPr="0039396F" w:rsidRDefault="001C3135" w:rsidP="006C5055">
      <w:pPr>
        <w:pStyle w:val="Default"/>
        <w:rPr>
          <w:rFonts w:asciiTheme="majorHAnsi" w:hAnsiTheme="majorHAnsi" w:cs="Times New Roman"/>
          <w:color w:val="auto"/>
          <w:lang w:val="en-AU"/>
        </w:rPr>
      </w:pPr>
      <w:r>
        <w:rPr>
          <w:rFonts w:asciiTheme="majorHAnsi" w:hAnsiTheme="majorHAnsi" w:cs="Times New Roman"/>
          <w:color w:val="auto"/>
          <w:lang w:val="en-AU"/>
        </w:rPr>
        <w:t xml:space="preserve">Hypersensitivity to </w:t>
      </w:r>
      <w:proofErr w:type="spellStart"/>
      <w:r>
        <w:rPr>
          <w:rFonts w:asciiTheme="majorHAnsi" w:hAnsiTheme="majorHAnsi" w:cs="Times New Roman"/>
          <w:color w:val="auto"/>
          <w:lang w:val="en-AU"/>
        </w:rPr>
        <w:t>eculizumab</w:t>
      </w:r>
      <w:proofErr w:type="spellEnd"/>
      <w:r w:rsidR="006C5055" w:rsidRPr="0039396F">
        <w:rPr>
          <w:rFonts w:asciiTheme="majorHAnsi" w:hAnsiTheme="majorHAnsi" w:cs="Times New Roman"/>
          <w:color w:val="auto"/>
          <w:lang w:val="en-AU"/>
        </w:rPr>
        <w:t xml:space="preserve"> </w:t>
      </w:r>
      <w:r w:rsidR="006C5055" w:rsidRPr="0039396F">
        <w:rPr>
          <w:rFonts w:asciiTheme="majorHAnsi" w:hAnsiTheme="majorHAnsi" w:cs="Times New Roman"/>
          <w:i/>
          <w:color w:val="auto"/>
          <w:lang w:val="en-AU"/>
        </w:rPr>
        <w:t>rmc</w:t>
      </w:r>
      <w:r w:rsidR="006C5055" w:rsidRPr="0039396F">
        <w:rPr>
          <w:rFonts w:asciiTheme="majorHAnsi" w:hAnsiTheme="majorHAnsi" w:cs="Times New Roman"/>
          <w:color w:val="auto"/>
          <w:lang w:val="en-AU"/>
        </w:rPr>
        <w:t>; murine proteins; or to any of the excipients</w:t>
      </w:r>
      <w:r w:rsidR="00B63B61">
        <w:rPr>
          <w:rFonts w:asciiTheme="majorHAnsi" w:hAnsiTheme="majorHAnsi" w:cs="Times New Roman"/>
          <w:color w:val="auto"/>
          <w:lang w:val="en-AU"/>
        </w:rPr>
        <w:t xml:space="preserve">, see </w:t>
      </w:r>
      <w:r w:rsidR="00B63B61" w:rsidRPr="00A95424">
        <w:rPr>
          <w:rFonts w:asciiTheme="majorHAnsi" w:hAnsiTheme="majorHAnsi" w:cs="Times New Roman"/>
          <w:i/>
          <w:iCs/>
          <w:color w:val="auto"/>
          <w:lang w:val="en-AU"/>
        </w:rPr>
        <w:t>section 6.1 – List of excipients</w:t>
      </w:r>
      <w:r w:rsidR="006C5055" w:rsidRPr="0039396F">
        <w:rPr>
          <w:rFonts w:asciiTheme="majorHAnsi" w:hAnsiTheme="majorHAnsi" w:cs="Times New Roman"/>
          <w:color w:val="auto"/>
          <w:lang w:val="en-AU"/>
        </w:rPr>
        <w:t>.</w:t>
      </w:r>
    </w:p>
    <w:p w14:paraId="44B620A4" w14:textId="77777777" w:rsidR="006C5055" w:rsidRPr="0039396F" w:rsidRDefault="006C5055" w:rsidP="000F42A6">
      <w:pPr>
        <w:autoSpaceDE w:val="0"/>
        <w:autoSpaceDN w:val="0"/>
        <w:adjustRightInd w:val="0"/>
        <w:spacing w:before="120"/>
        <w:ind w:left="11"/>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Do not initiate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therapy in patients:</w:t>
      </w:r>
    </w:p>
    <w:p w14:paraId="1A0F0FD1" w14:textId="77777777" w:rsidR="006C5055" w:rsidRPr="0039396F" w:rsidRDefault="006C5055" w:rsidP="00731806">
      <w:pPr>
        <w:pStyle w:val="CM16"/>
        <w:numPr>
          <w:ilvl w:val="0"/>
          <w:numId w:val="5"/>
        </w:numPr>
        <w:spacing w:after="0"/>
        <w:ind w:left="778"/>
        <w:rPr>
          <w:rFonts w:asciiTheme="majorHAnsi" w:hAnsiTheme="majorHAnsi"/>
          <w:lang w:val="en-AU"/>
        </w:rPr>
      </w:pPr>
      <w:r w:rsidRPr="0039396F">
        <w:rPr>
          <w:rFonts w:asciiTheme="majorHAnsi" w:hAnsiTheme="majorHAnsi"/>
          <w:lang w:val="en-AU"/>
        </w:rPr>
        <w:t xml:space="preserve">with unresolved </w:t>
      </w:r>
      <w:r w:rsidRPr="0039396F">
        <w:rPr>
          <w:rFonts w:asciiTheme="majorHAnsi" w:hAnsiTheme="majorHAnsi"/>
          <w:i/>
          <w:lang w:val="en-AU"/>
        </w:rPr>
        <w:t>Neisseria meningitidis</w:t>
      </w:r>
      <w:r w:rsidR="00731806">
        <w:rPr>
          <w:rFonts w:asciiTheme="majorHAnsi" w:hAnsiTheme="majorHAnsi"/>
          <w:lang w:val="en-AU"/>
        </w:rPr>
        <w:t xml:space="preserve"> infection</w:t>
      </w:r>
    </w:p>
    <w:p w14:paraId="30E92849" w14:textId="44EFF491" w:rsidR="006C5055" w:rsidRPr="000D7936" w:rsidRDefault="006C5055" w:rsidP="000D7936">
      <w:pPr>
        <w:pStyle w:val="CM16"/>
        <w:numPr>
          <w:ilvl w:val="0"/>
          <w:numId w:val="5"/>
        </w:numPr>
        <w:tabs>
          <w:tab w:val="left" w:pos="765"/>
        </w:tabs>
        <w:spacing w:after="200" w:line="276" w:lineRule="auto"/>
        <w:ind w:left="778"/>
        <w:rPr>
          <w:rFonts w:asciiTheme="majorHAnsi" w:hAnsiTheme="majorHAnsi"/>
          <w:lang w:val="en-AU"/>
        </w:rPr>
      </w:pPr>
      <w:r w:rsidRPr="000D7936">
        <w:rPr>
          <w:rFonts w:asciiTheme="majorHAnsi" w:hAnsiTheme="majorHAnsi"/>
          <w:lang w:val="en-AU"/>
        </w:rPr>
        <w:t xml:space="preserve">who are not currently vaccinated against </w:t>
      </w:r>
      <w:r w:rsidRPr="000D7936">
        <w:rPr>
          <w:rFonts w:asciiTheme="majorHAnsi" w:hAnsiTheme="majorHAnsi"/>
          <w:i/>
          <w:lang w:val="en-AU"/>
        </w:rPr>
        <w:t>Neisseria meningitidis</w:t>
      </w:r>
      <w:r w:rsidRPr="000D7936">
        <w:rPr>
          <w:rFonts w:asciiTheme="majorHAnsi" w:hAnsiTheme="majorHAnsi"/>
          <w:lang w:val="en-AU"/>
        </w:rPr>
        <w:t xml:space="preserve"> (unless they receive prophylactic treatment with appropriate antibiotics u</w:t>
      </w:r>
      <w:r w:rsidR="00731806" w:rsidRPr="000D7936">
        <w:rPr>
          <w:rFonts w:asciiTheme="majorHAnsi" w:hAnsiTheme="majorHAnsi"/>
          <w:lang w:val="en-AU"/>
        </w:rPr>
        <w:t>ntil 2 weeks after vaccination)</w:t>
      </w:r>
    </w:p>
    <w:p w14:paraId="4B305163" w14:textId="77777777" w:rsidR="001A3992" w:rsidRPr="0039396F" w:rsidRDefault="00E74A56" w:rsidP="00F00B64">
      <w:pPr>
        <w:pStyle w:val="Heading2"/>
        <w:spacing w:before="240"/>
        <w:rPr>
          <w:rFonts w:cs="Times New Roman"/>
        </w:rPr>
      </w:pPr>
      <w:r w:rsidRPr="0039396F">
        <w:rPr>
          <w:rFonts w:cs="Times New Roman"/>
        </w:rPr>
        <w:t>Special warnings and p</w:t>
      </w:r>
      <w:r w:rsidR="001A3992" w:rsidRPr="0039396F">
        <w:rPr>
          <w:rFonts w:cs="Times New Roman"/>
        </w:rPr>
        <w:t xml:space="preserve">recautions </w:t>
      </w:r>
      <w:r w:rsidRPr="0039396F">
        <w:rPr>
          <w:rFonts w:cs="Times New Roman"/>
        </w:rPr>
        <w:t>for use</w:t>
      </w:r>
    </w:p>
    <w:p w14:paraId="33FF3BDD" w14:textId="0AA1D3D0" w:rsidR="006C5055" w:rsidRPr="0039396F" w:rsidRDefault="006C5055" w:rsidP="00AF305A">
      <w:pPr>
        <w:pStyle w:val="Heading3"/>
        <w:spacing w:before="120"/>
        <w:rPr>
          <w:sz w:val="20"/>
        </w:rPr>
      </w:pPr>
      <w:r w:rsidRPr="0039396F">
        <w:t>Meningococcal</w:t>
      </w:r>
      <w:r w:rsidRPr="0039396F">
        <w:rPr>
          <w:sz w:val="20"/>
        </w:rPr>
        <w:t xml:space="preserve"> </w:t>
      </w:r>
      <w:r w:rsidRPr="0039396F">
        <w:t>Infection</w:t>
      </w:r>
      <w:r w:rsidR="00B63B61">
        <w:t>s</w:t>
      </w:r>
    </w:p>
    <w:p w14:paraId="61A85211" w14:textId="7D03F94D" w:rsidR="00D20EF6" w:rsidRDefault="006C5055" w:rsidP="00D20EF6">
      <w:pPr>
        <w:tabs>
          <w:tab w:val="left" w:pos="567"/>
        </w:tabs>
        <w:autoSpaceDE w:val="0"/>
        <w:autoSpaceDN w:val="0"/>
        <w:adjustRightInd w:val="0"/>
        <w:spacing w:after="12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Due to its mechanism of action, the use of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increases the patient’s susceptibility to meningococcal infection (</w:t>
      </w:r>
      <w:r w:rsidRPr="0039396F">
        <w:rPr>
          <w:rFonts w:asciiTheme="majorHAnsi" w:eastAsia="Times New Roman" w:hAnsiTheme="majorHAnsi" w:cs="Times New Roman"/>
          <w:i/>
          <w:szCs w:val="24"/>
        </w:rPr>
        <w:t>Neisseria meningitid</w:t>
      </w:r>
      <w:r w:rsidR="00D25211">
        <w:rPr>
          <w:rFonts w:asciiTheme="majorHAnsi" w:eastAsia="Times New Roman" w:hAnsiTheme="majorHAnsi" w:cs="Times New Roman"/>
          <w:i/>
          <w:szCs w:val="24"/>
        </w:rPr>
        <w:t>i</w:t>
      </w:r>
      <w:r w:rsidRPr="0039396F">
        <w:rPr>
          <w:rFonts w:asciiTheme="majorHAnsi" w:eastAsia="Times New Roman" w:hAnsiTheme="majorHAnsi" w:cs="Times New Roman"/>
          <w:i/>
          <w:szCs w:val="24"/>
        </w:rPr>
        <w:t>s</w:t>
      </w:r>
      <w:r w:rsidRPr="0039396F">
        <w:rPr>
          <w:rFonts w:asciiTheme="majorHAnsi" w:eastAsia="Times New Roman" w:hAnsiTheme="majorHAnsi" w:cs="Times New Roman"/>
          <w:szCs w:val="24"/>
        </w:rPr>
        <w:t xml:space="preserve">). Meningococcal </w:t>
      </w:r>
      <w:r w:rsidR="0018473C">
        <w:rPr>
          <w:rFonts w:asciiTheme="majorHAnsi" w:eastAsia="Times New Roman" w:hAnsiTheme="majorHAnsi" w:cs="Times New Roman"/>
          <w:szCs w:val="24"/>
        </w:rPr>
        <w:t xml:space="preserve">infection </w:t>
      </w:r>
      <w:r w:rsidR="005D34D0">
        <w:rPr>
          <w:rFonts w:asciiTheme="majorHAnsi" w:eastAsia="Times New Roman" w:hAnsiTheme="majorHAnsi" w:cs="Times New Roman"/>
          <w:szCs w:val="24"/>
        </w:rPr>
        <w:t>due to</w:t>
      </w:r>
      <w:r w:rsidRPr="0039396F">
        <w:rPr>
          <w:rFonts w:asciiTheme="majorHAnsi" w:eastAsia="Times New Roman" w:hAnsiTheme="majorHAnsi" w:cs="Times New Roman"/>
          <w:szCs w:val="24"/>
        </w:rPr>
        <w:t xml:space="preserve"> any serogroup may occur. To reduce the risk of infection, all patients must be vaccinated </w:t>
      </w:r>
      <w:r w:rsidR="0022780D">
        <w:rPr>
          <w:rFonts w:asciiTheme="majorHAnsi" w:eastAsia="Times New Roman" w:hAnsiTheme="majorHAnsi" w:cs="Times New Roman"/>
          <w:szCs w:val="24"/>
        </w:rPr>
        <w:t xml:space="preserve">at least 2 weeks </w:t>
      </w:r>
      <w:r w:rsidRPr="0039396F">
        <w:rPr>
          <w:rFonts w:asciiTheme="majorHAnsi" w:eastAsia="Times New Roman" w:hAnsiTheme="majorHAnsi" w:cs="Times New Roman"/>
          <w:szCs w:val="24"/>
        </w:rPr>
        <w:t>prior to</w:t>
      </w:r>
      <w:r w:rsidR="0022780D">
        <w:rPr>
          <w:rFonts w:asciiTheme="majorHAnsi" w:eastAsia="Times New Roman" w:hAnsiTheme="majorHAnsi" w:cs="Times New Roman"/>
          <w:szCs w:val="24"/>
        </w:rPr>
        <w:t xml:space="preserve"> receiv</w:t>
      </w:r>
      <w:r w:rsidRPr="0039396F">
        <w:rPr>
          <w:rFonts w:asciiTheme="majorHAnsi" w:eastAsia="Times New Roman" w:hAnsiTheme="majorHAnsi" w:cs="Times New Roman"/>
          <w:szCs w:val="24"/>
        </w:rPr>
        <w:t xml:space="preserve">ing </w:t>
      </w:r>
      <w:r w:rsidR="00842A89" w:rsidRPr="0039396F">
        <w:rPr>
          <w:rFonts w:asciiTheme="majorHAnsi" w:hAnsiTheme="majorHAnsi" w:cs="Times New Roman"/>
        </w:rPr>
        <w:t>Soliris</w:t>
      </w:r>
      <w:r w:rsidR="00F40327">
        <w:rPr>
          <w:rFonts w:asciiTheme="majorHAnsi" w:hAnsiTheme="majorHAnsi" w:cs="Times New Roman"/>
        </w:rPr>
        <w:t>,</w:t>
      </w:r>
      <w:r w:rsidR="0022780D">
        <w:rPr>
          <w:rFonts w:asciiTheme="majorHAnsi" w:hAnsiTheme="majorHAnsi" w:cs="Times New Roman"/>
        </w:rPr>
        <w:t xml:space="preserve"> unless the risk of delaying Soliris therapy outweighs the risk of meningococcal infection</w:t>
      </w:r>
      <w:r w:rsidRPr="0039396F">
        <w:rPr>
          <w:rFonts w:asciiTheme="majorHAnsi" w:eastAsia="Times New Roman" w:hAnsiTheme="majorHAnsi" w:cs="Times New Roman"/>
          <w:szCs w:val="24"/>
        </w:rPr>
        <w:t xml:space="preserve">. Patients who initiate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treatment less than 2 weeks after receiving a meningococcal vaccine must receive treatment with appropriate prophylactic antibiotics until 2 weeks after vaccination. </w:t>
      </w:r>
      <w:r w:rsidR="00D20EF6" w:rsidRPr="0039396F">
        <w:rPr>
          <w:rFonts w:asciiTheme="majorHAnsi" w:hAnsiTheme="majorHAnsi" w:cs="Times New Roman"/>
          <w:szCs w:val="24"/>
        </w:rPr>
        <w:t>Vaccines against serogroup</w:t>
      </w:r>
      <w:r w:rsidR="00D20EF6">
        <w:rPr>
          <w:rFonts w:asciiTheme="majorHAnsi" w:hAnsiTheme="majorHAnsi" w:cs="Times New Roman"/>
          <w:szCs w:val="24"/>
        </w:rPr>
        <w:t>s</w:t>
      </w:r>
      <w:r w:rsidR="00D20EF6" w:rsidRPr="0039396F">
        <w:rPr>
          <w:rFonts w:asciiTheme="majorHAnsi" w:hAnsiTheme="majorHAnsi" w:cs="Times New Roman"/>
          <w:szCs w:val="24"/>
        </w:rPr>
        <w:t xml:space="preserve"> A, B, C, Y and W135 are recommended in minimi</w:t>
      </w:r>
      <w:r w:rsidR="00D20EF6">
        <w:rPr>
          <w:rFonts w:asciiTheme="majorHAnsi" w:hAnsiTheme="majorHAnsi" w:cs="Times New Roman"/>
          <w:szCs w:val="24"/>
        </w:rPr>
        <w:t>s</w:t>
      </w:r>
      <w:r w:rsidR="00D20EF6" w:rsidRPr="0039396F">
        <w:rPr>
          <w:rFonts w:asciiTheme="majorHAnsi" w:hAnsiTheme="majorHAnsi" w:cs="Times New Roman"/>
          <w:szCs w:val="24"/>
        </w:rPr>
        <w:t>ing infection with the commonly pathogenic meningococcal serogroups</w:t>
      </w:r>
      <w:r w:rsidR="00D96E43">
        <w:rPr>
          <w:rFonts w:asciiTheme="majorHAnsi" w:hAnsiTheme="majorHAnsi" w:cs="Times New Roman"/>
          <w:szCs w:val="24"/>
        </w:rPr>
        <w:t xml:space="preserve"> (see</w:t>
      </w:r>
      <w:r w:rsidR="00D96E43" w:rsidRPr="00C90E83">
        <w:rPr>
          <w:rFonts w:asciiTheme="majorHAnsi" w:hAnsiTheme="majorHAnsi" w:cs="Times New Roman"/>
          <w:i/>
          <w:iCs/>
          <w:szCs w:val="24"/>
        </w:rPr>
        <w:t xml:space="preserve"> Section 4.4-Special Warnings and Precautions for Use; Immunisation</w:t>
      </w:r>
      <w:r w:rsidR="00D96E43">
        <w:rPr>
          <w:rFonts w:asciiTheme="majorHAnsi" w:hAnsiTheme="majorHAnsi" w:cs="Times New Roman"/>
          <w:szCs w:val="24"/>
        </w:rPr>
        <w:t>)</w:t>
      </w:r>
      <w:r w:rsidR="00D20EF6">
        <w:rPr>
          <w:rFonts w:asciiTheme="majorHAnsi" w:hAnsiTheme="majorHAnsi" w:cs="Times New Roman"/>
          <w:szCs w:val="24"/>
        </w:rPr>
        <w:t>.</w:t>
      </w:r>
      <w:r w:rsidR="00D20EF6" w:rsidRPr="0039396F">
        <w:rPr>
          <w:rFonts w:asciiTheme="majorHAnsi" w:eastAsia="Times New Roman" w:hAnsiTheme="majorHAnsi" w:cs="Times New Roman"/>
          <w:szCs w:val="24"/>
        </w:rPr>
        <w:t xml:space="preserve"> </w:t>
      </w:r>
      <w:r w:rsidR="00D0193C">
        <w:rPr>
          <w:rFonts w:asciiTheme="majorHAnsi" w:eastAsia="Batang" w:hAnsiTheme="majorHAnsi" w:cs="Times New Roman"/>
        </w:rPr>
        <w:t>Vaccinate and/or r</w:t>
      </w:r>
      <w:r w:rsidR="00D0193C" w:rsidRPr="00346859">
        <w:rPr>
          <w:rFonts w:asciiTheme="majorHAnsi" w:eastAsia="Batang" w:hAnsiTheme="majorHAnsi" w:cs="Times New Roman"/>
        </w:rPr>
        <w:t xml:space="preserve">evaccinate according to </w:t>
      </w:r>
      <w:r w:rsidR="00540A96">
        <w:rPr>
          <w:rFonts w:asciiTheme="majorHAnsi" w:eastAsia="Batang" w:hAnsiTheme="majorHAnsi" w:cs="Times New Roman"/>
        </w:rPr>
        <w:t>the</w:t>
      </w:r>
      <w:r w:rsidR="00D96E43">
        <w:rPr>
          <w:rFonts w:asciiTheme="majorHAnsi" w:eastAsia="Batang" w:hAnsiTheme="majorHAnsi" w:cs="Times New Roman"/>
        </w:rPr>
        <w:t xml:space="preserve"> current national vaccination guidelines such as the</w:t>
      </w:r>
      <w:r w:rsidR="00540A96">
        <w:rPr>
          <w:rFonts w:asciiTheme="majorHAnsi" w:eastAsia="Batang" w:hAnsiTheme="majorHAnsi" w:cs="Times New Roman"/>
        </w:rPr>
        <w:t xml:space="preserve"> Australian Immunisation Handbook</w:t>
      </w:r>
      <w:r w:rsidR="00E83301">
        <w:rPr>
          <w:rFonts w:asciiTheme="majorHAnsi" w:eastAsia="Batang" w:hAnsiTheme="majorHAnsi" w:cs="Times New Roman"/>
        </w:rPr>
        <w:t>.</w:t>
      </w:r>
      <w:r w:rsidR="00CA3E0F">
        <w:rPr>
          <w:rFonts w:asciiTheme="majorHAnsi" w:eastAsia="Batang" w:hAnsiTheme="majorHAnsi" w:cs="Times New Roman"/>
        </w:rPr>
        <w:t xml:space="preserve"> </w:t>
      </w:r>
    </w:p>
    <w:p w14:paraId="11614CA4" w14:textId="77777777" w:rsidR="006C5055" w:rsidRPr="0039396F" w:rsidRDefault="006C5055" w:rsidP="00D20EF6">
      <w:pPr>
        <w:tabs>
          <w:tab w:val="left" w:pos="567"/>
        </w:tabs>
        <w:autoSpaceDE w:val="0"/>
        <w:autoSpaceDN w:val="0"/>
        <w:adjustRightInd w:val="0"/>
        <w:spacing w:after="120"/>
        <w:rPr>
          <w:rFonts w:asciiTheme="majorHAnsi" w:eastAsia="Times New Roman" w:hAnsiTheme="majorHAnsi" w:cs="Times New Roman"/>
          <w:szCs w:val="24"/>
        </w:rPr>
      </w:pPr>
      <w:r w:rsidRPr="0039396F">
        <w:rPr>
          <w:rFonts w:asciiTheme="majorHAnsi" w:eastAsia="Times New Roman" w:hAnsiTheme="majorHAnsi" w:cs="Times New Roman"/>
          <w:szCs w:val="24"/>
        </w:rPr>
        <w:t>For patients stabili</w:t>
      </w:r>
      <w:r w:rsidR="00D20EF6">
        <w:rPr>
          <w:rFonts w:asciiTheme="majorHAnsi" w:eastAsia="Times New Roman" w:hAnsiTheme="majorHAnsi" w:cs="Times New Roman"/>
          <w:szCs w:val="24"/>
        </w:rPr>
        <w:t>s</w:t>
      </w:r>
      <w:r w:rsidRPr="0039396F">
        <w:rPr>
          <w:rFonts w:asciiTheme="majorHAnsi" w:eastAsia="Times New Roman" w:hAnsiTheme="majorHAnsi" w:cs="Times New Roman"/>
          <w:szCs w:val="24"/>
        </w:rPr>
        <w:t xml:space="preserve">ed on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and receiving maintenance therapy, and for whom additional vaccination is warranted, careful consideration should be given to the timing of vaccination relative to administration of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(see </w:t>
      </w:r>
      <w:r w:rsidR="00B0649E" w:rsidRPr="00C90E83">
        <w:rPr>
          <w:rFonts w:asciiTheme="majorHAnsi" w:eastAsia="Times New Roman" w:hAnsiTheme="majorHAnsi" w:cs="Times New Roman"/>
          <w:i/>
          <w:iCs/>
          <w:szCs w:val="24"/>
        </w:rPr>
        <w:t>Section 4.4 – Special Warnings and Precautions for Use;</w:t>
      </w:r>
      <w:r w:rsidRPr="00C90E83">
        <w:rPr>
          <w:rFonts w:asciiTheme="majorHAnsi" w:eastAsia="Times New Roman" w:hAnsiTheme="majorHAnsi" w:cs="Times New Roman"/>
          <w:i/>
          <w:iCs/>
          <w:szCs w:val="24"/>
        </w:rPr>
        <w:t xml:space="preserve"> Immuni</w:t>
      </w:r>
      <w:r w:rsidR="00F47414" w:rsidRPr="00C90E83">
        <w:rPr>
          <w:rFonts w:asciiTheme="majorHAnsi" w:eastAsia="Times New Roman" w:hAnsiTheme="majorHAnsi" w:cs="Times New Roman"/>
          <w:i/>
          <w:iCs/>
          <w:szCs w:val="24"/>
        </w:rPr>
        <w:t>s</w:t>
      </w:r>
      <w:r w:rsidRPr="00C90E83">
        <w:rPr>
          <w:rFonts w:asciiTheme="majorHAnsi" w:eastAsia="Times New Roman" w:hAnsiTheme="majorHAnsi" w:cs="Times New Roman"/>
          <w:i/>
          <w:iCs/>
          <w:szCs w:val="24"/>
        </w:rPr>
        <w:t>ation</w:t>
      </w:r>
      <w:r w:rsidR="00536444" w:rsidRPr="0039396F">
        <w:rPr>
          <w:rFonts w:asciiTheme="majorHAnsi" w:eastAsia="Times New Roman" w:hAnsiTheme="majorHAnsi" w:cs="Times New Roman"/>
          <w:szCs w:val="24"/>
        </w:rPr>
        <w:t>).</w:t>
      </w:r>
    </w:p>
    <w:p w14:paraId="5CC5E9B9" w14:textId="77777777" w:rsidR="00536444" w:rsidRPr="0039396F" w:rsidRDefault="006C5055" w:rsidP="00536444">
      <w:pPr>
        <w:tabs>
          <w:tab w:val="left" w:pos="567"/>
        </w:tabs>
        <w:autoSpaceDE w:val="0"/>
        <w:autoSpaceDN w:val="0"/>
        <w:adjustRightInd w:val="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Cases of serious or fatal meningococcal infections have been reported in </w:t>
      </w:r>
      <w:r w:rsidR="00842A89" w:rsidRPr="0039396F">
        <w:rPr>
          <w:rFonts w:asciiTheme="majorHAnsi" w:hAnsiTheme="majorHAnsi" w:cs="Times New Roman"/>
        </w:rPr>
        <w:t>Soliris</w:t>
      </w:r>
      <w:r w:rsidRPr="0039396F">
        <w:rPr>
          <w:rFonts w:asciiTheme="majorHAnsi" w:eastAsia="Times New Roman" w:hAnsiTheme="majorHAnsi" w:cs="Times New Roman"/>
          <w:szCs w:val="24"/>
        </w:rPr>
        <w:t>-treated patients.</w:t>
      </w:r>
      <w:r w:rsidR="00841E49" w:rsidRPr="00841E49" w:rsidDel="00D20EF6">
        <w:rPr>
          <w:rFonts w:asciiTheme="majorHAnsi" w:eastAsia="Times New Roman" w:hAnsiTheme="majorHAnsi" w:cs="Times New Roman"/>
          <w:szCs w:val="24"/>
        </w:rPr>
        <w:t xml:space="preserve"> </w:t>
      </w:r>
      <w:r w:rsidR="00841E49" w:rsidRPr="0039396F" w:rsidDel="00D20EF6">
        <w:rPr>
          <w:rFonts w:asciiTheme="majorHAnsi" w:eastAsia="Times New Roman" w:hAnsiTheme="majorHAnsi" w:cs="Times New Roman"/>
          <w:szCs w:val="24"/>
        </w:rPr>
        <w:t xml:space="preserve">Vaccination may not be sufficient to prevent meningococcal infection. Consideration should be given to official guidance on the appropriate use of </w:t>
      </w:r>
      <w:r w:rsidR="00841E49" w:rsidRPr="0039396F" w:rsidDel="00D20EF6">
        <w:rPr>
          <w:rFonts w:asciiTheme="majorHAnsi" w:eastAsia="Times New Roman" w:hAnsiTheme="majorHAnsi" w:cs="Times New Roman"/>
          <w:szCs w:val="24"/>
        </w:rPr>
        <w:lastRenderedPageBreak/>
        <w:t>antibacterial agents</w:t>
      </w:r>
      <w:r w:rsidR="00841E49" w:rsidRPr="00346859" w:rsidDel="00D20EF6">
        <w:rPr>
          <w:rFonts w:asciiTheme="majorHAnsi" w:eastAsia="Times New Roman" w:hAnsiTheme="majorHAnsi" w:cs="Times New Roman"/>
          <w:szCs w:val="24"/>
        </w:rPr>
        <w:t>.</w:t>
      </w:r>
      <w:r w:rsidRPr="0039396F">
        <w:rPr>
          <w:rFonts w:asciiTheme="majorHAnsi" w:eastAsia="Times New Roman" w:hAnsiTheme="majorHAnsi" w:cs="Times New Roman"/>
          <w:szCs w:val="24"/>
        </w:rPr>
        <w:t xml:space="preserve"> All patients should be monitored for early signs of meningococcal infection, evaluated immediately if infection is suspected, and treated with appropriate</w:t>
      </w:r>
      <w:r w:rsidRPr="0039396F" w:rsidDel="00C43423">
        <w:rPr>
          <w:rFonts w:asciiTheme="majorHAnsi" w:eastAsia="Times New Roman" w:hAnsiTheme="majorHAnsi" w:cs="Times New Roman"/>
          <w:szCs w:val="24"/>
        </w:rPr>
        <w:t xml:space="preserve"> </w:t>
      </w:r>
      <w:r w:rsidRPr="0039396F">
        <w:rPr>
          <w:rFonts w:asciiTheme="majorHAnsi" w:eastAsia="Times New Roman" w:hAnsiTheme="majorHAnsi" w:cs="Times New Roman"/>
          <w:szCs w:val="24"/>
        </w:rPr>
        <w:t xml:space="preserve">antibiotics if necessary. Patients should be informed of these signs and symptoms and steps taken to seek medical care immediately (see </w:t>
      </w:r>
      <w:r w:rsidR="000A65A5" w:rsidRPr="00C90E83">
        <w:rPr>
          <w:rFonts w:asciiTheme="majorHAnsi" w:eastAsia="Times New Roman" w:hAnsiTheme="majorHAnsi" w:cs="Times New Roman"/>
          <w:i/>
          <w:iCs/>
          <w:szCs w:val="24"/>
        </w:rPr>
        <w:t xml:space="preserve">Section 4.4 – Special Warnings and Precautions for Use; </w:t>
      </w:r>
      <w:r w:rsidRPr="00C90E83">
        <w:rPr>
          <w:rFonts w:asciiTheme="majorHAnsi" w:eastAsia="Times New Roman" w:hAnsiTheme="majorHAnsi" w:cs="Times New Roman"/>
          <w:i/>
          <w:iCs/>
          <w:szCs w:val="24"/>
        </w:rPr>
        <w:t>Educational Materials</w:t>
      </w:r>
      <w:r w:rsidRPr="0039396F">
        <w:rPr>
          <w:rFonts w:asciiTheme="majorHAnsi" w:eastAsia="Times New Roman" w:hAnsiTheme="majorHAnsi" w:cs="Times New Roman"/>
          <w:szCs w:val="24"/>
        </w:rPr>
        <w:t>).</w:t>
      </w:r>
      <w:bookmarkStart w:id="3" w:name="_5.2.1_Other_Systemic"/>
      <w:bookmarkEnd w:id="3"/>
    </w:p>
    <w:p w14:paraId="2FA43640" w14:textId="77777777" w:rsidR="006C5055" w:rsidRPr="00926FE7" w:rsidRDefault="006C5055" w:rsidP="00BF24C5">
      <w:pPr>
        <w:pStyle w:val="Heading3"/>
      </w:pPr>
      <w:r w:rsidRPr="00926FE7">
        <w:t>Other Systemic Infections</w:t>
      </w:r>
    </w:p>
    <w:p w14:paraId="49C1F922" w14:textId="77777777" w:rsidR="00F4495A" w:rsidRDefault="006C5055" w:rsidP="00C458C1">
      <w:pPr>
        <w:tabs>
          <w:tab w:val="left" w:pos="567"/>
        </w:tabs>
        <w:autoSpaceDE w:val="0"/>
        <w:autoSpaceDN w:val="0"/>
        <w:adjustRightInd w:val="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Due to its mechanism of action,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therapy should be administered with caution to patients with active systemic infections. </w:t>
      </w:r>
      <w:r w:rsidR="00842A89" w:rsidRPr="0039396F">
        <w:rPr>
          <w:rFonts w:asciiTheme="majorHAnsi" w:hAnsiTheme="majorHAnsi" w:cs="Times New Roman"/>
        </w:rPr>
        <w:t>Soliris</w:t>
      </w:r>
      <w:r w:rsidR="00842A89" w:rsidRPr="0039396F">
        <w:rPr>
          <w:rFonts w:asciiTheme="majorHAnsi" w:eastAsia="Times New Roman" w:hAnsiTheme="majorHAnsi" w:cs="Times New Roman"/>
          <w:szCs w:val="24"/>
        </w:rPr>
        <w:t xml:space="preserve"> </w:t>
      </w:r>
      <w:r w:rsidRPr="0039396F">
        <w:rPr>
          <w:rFonts w:asciiTheme="majorHAnsi" w:eastAsia="Times New Roman" w:hAnsiTheme="majorHAnsi" w:cs="Times New Roman"/>
          <w:szCs w:val="24"/>
        </w:rPr>
        <w:t xml:space="preserve">blocks terminal complement activation; therefore patients may have increased susceptibility to infections, especially with </w:t>
      </w:r>
      <w:r w:rsidR="00C458C1" w:rsidRPr="00EF19B9">
        <w:rPr>
          <w:rFonts w:asciiTheme="majorHAnsi" w:eastAsia="Times New Roman" w:hAnsiTheme="majorHAnsi" w:cs="Times New Roman"/>
          <w:i/>
          <w:szCs w:val="24"/>
        </w:rPr>
        <w:t>Neisseria</w:t>
      </w:r>
      <w:r w:rsidR="00C458C1">
        <w:rPr>
          <w:rFonts w:asciiTheme="majorHAnsi" w:eastAsia="Times New Roman" w:hAnsiTheme="majorHAnsi" w:cs="Times New Roman"/>
          <w:szCs w:val="24"/>
        </w:rPr>
        <w:t xml:space="preserve"> and </w:t>
      </w:r>
      <w:r w:rsidRPr="0039396F">
        <w:rPr>
          <w:rFonts w:asciiTheme="majorHAnsi" w:eastAsia="Times New Roman" w:hAnsiTheme="majorHAnsi" w:cs="Times New Roman"/>
          <w:szCs w:val="24"/>
        </w:rPr>
        <w:t>encapsulated bacteria</w:t>
      </w:r>
      <w:r w:rsidR="00536444" w:rsidRPr="0039396F">
        <w:rPr>
          <w:rFonts w:asciiTheme="majorHAnsi" w:eastAsia="Times New Roman" w:hAnsiTheme="majorHAnsi" w:cs="Times New Roman"/>
          <w:szCs w:val="24"/>
        </w:rPr>
        <w:t>.</w:t>
      </w:r>
      <w:r w:rsidR="00C458C1">
        <w:rPr>
          <w:rFonts w:asciiTheme="majorHAnsi" w:eastAsia="Times New Roman" w:hAnsiTheme="majorHAnsi" w:cs="Times New Roman"/>
          <w:szCs w:val="24"/>
        </w:rPr>
        <w:t xml:space="preserve"> Serious infections with </w:t>
      </w:r>
      <w:r w:rsidR="00C458C1" w:rsidRPr="00EF19B9">
        <w:rPr>
          <w:rFonts w:asciiTheme="majorHAnsi" w:eastAsia="Times New Roman" w:hAnsiTheme="majorHAnsi" w:cs="Times New Roman"/>
          <w:i/>
          <w:szCs w:val="24"/>
        </w:rPr>
        <w:t>Neisseria</w:t>
      </w:r>
      <w:r w:rsidR="00C458C1">
        <w:rPr>
          <w:rFonts w:asciiTheme="majorHAnsi" w:eastAsia="Times New Roman" w:hAnsiTheme="majorHAnsi" w:cs="Times New Roman"/>
          <w:szCs w:val="24"/>
        </w:rPr>
        <w:t xml:space="preserve"> species (other than </w:t>
      </w:r>
      <w:r w:rsidR="00C458C1" w:rsidRPr="0086531E">
        <w:rPr>
          <w:rFonts w:asciiTheme="majorHAnsi" w:eastAsia="Times New Roman" w:hAnsiTheme="majorHAnsi" w:cs="Times New Roman"/>
          <w:i/>
          <w:szCs w:val="24"/>
        </w:rPr>
        <w:t>N. meningitidis</w:t>
      </w:r>
      <w:r w:rsidR="00C458C1">
        <w:rPr>
          <w:rFonts w:asciiTheme="majorHAnsi" w:eastAsia="Times New Roman" w:hAnsiTheme="majorHAnsi" w:cs="Times New Roman"/>
          <w:szCs w:val="24"/>
        </w:rPr>
        <w:t xml:space="preserve">), including disseminated gonococcal infections, have been reported. </w:t>
      </w:r>
    </w:p>
    <w:p w14:paraId="317F7CEC" w14:textId="77777777" w:rsidR="00F4495A" w:rsidRDefault="00F4495A" w:rsidP="00C458C1">
      <w:pPr>
        <w:tabs>
          <w:tab w:val="left" w:pos="567"/>
        </w:tabs>
        <w:autoSpaceDE w:val="0"/>
        <w:autoSpaceDN w:val="0"/>
        <w:adjustRightInd w:val="0"/>
        <w:rPr>
          <w:rFonts w:ascii="Times New Roman" w:eastAsia="Calibri" w:hAnsi="Times New Roman"/>
          <w:sz w:val="21"/>
          <w:szCs w:val="21"/>
        </w:rPr>
      </w:pPr>
    </w:p>
    <w:p w14:paraId="02E82EF9" w14:textId="77777777" w:rsidR="00C458C1" w:rsidRPr="0039396F" w:rsidRDefault="00F4495A" w:rsidP="00C458C1">
      <w:pPr>
        <w:tabs>
          <w:tab w:val="left" w:pos="567"/>
        </w:tabs>
        <w:autoSpaceDE w:val="0"/>
        <w:autoSpaceDN w:val="0"/>
        <w:adjustRightInd w:val="0"/>
        <w:rPr>
          <w:rFonts w:asciiTheme="majorHAnsi" w:eastAsia="Times New Roman" w:hAnsiTheme="majorHAnsi" w:cs="Times New Roman"/>
          <w:szCs w:val="24"/>
        </w:rPr>
      </w:pPr>
      <w:r w:rsidRPr="00F4495A">
        <w:rPr>
          <w:rFonts w:asciiTheme="majorHAnsi" w:eastAsia="Times New Roman" w:hAnsiTheme="majorHAnsi" w:cs="Times New Roman"/>
          <w:szCs w:val="24"/>
        </w:rPr>
        <w:t xml:space="preserve">Patients should be provided with information from the </w:t>
      </w:r>
      <w:r w:rsidR="00975BBA">
        <w:rPr>
          <w:rFonts w:asciiTheme="majorHAnsi" w:eastAsia="Times New Roman" w:hAnsiTheme="majorHAnsi" w:cs="Times New Roman"/>
          <w:szCs w:val="24"/>
        </w:rPr>
        <w:t>Patient/Parent Guide</w:t>
      </w:r>
      <w:r w:rsidRPr="00F4495A">
        <w:rPr>
          <w:rFonts w:asciiTheme="majorHAnsi" w:eastAsia="Times New Roman" w:hAnsiTheme="majorHAnsi" w:cs="Times New Roman"/>
          <w:szCs w:val="24"/>
        </w:rPr>
        <w:t xml:space="preserve"> to increase their awareness of potential serious infections and their signs and symptoms.</w:t>
      </w:r>
      <w:r w:rsidRPr="007C5E46">
        <w:rPr>
          <w:rFonts w:ascii="Times New Roman" w:eastAsia="Calibri" w:hAnsi="Times New Roman"/>
          <w:color w:val="0000CC"/>
          <w:sz w:val="21"/>
          <w:szCs w:val="21"/>
        </w:rPr>
        <w:t xml:space="preserve"> </w:t>
      </w:r>
      <w:r w:rsidR="00C458C1">
        <w:rPr>
          <w:rFonts w:asciiTheme="majorHAnsi" w:eastAsia="Times New Roman" w:hAnsiTheme="majorHAnsi" w:cs="Times New Roman"/>
          <w:szCs w:val="24"/>
        </w:rPr>
        <w:t>Counsel patients about gonorrhoea prevention and advise regular testing for patients at-risk.</w:t>
      </w:r>
    </w:p>
    <w:p w14:paraId="205EB3A4" w14:textId="77777777" w:rsidR="006C5055" w:rsidRPr="0039396F" w:rsidRDefault="006C5055" w:rsidP="00BF24C5">
      <w:pPr>
        <w:pStyle w:val="Heading3"/>
      </w:pPr>
      <w:r w:rsidRPr="0039396F">
        <w:t>Infusion Reactions</w:t>
      </w:r>
    </w:p>
    <w:p w14:paraId="6C1E625C" w14:textId="1C8002A0" w:rsidR="006C5055" w:rsidRPr="0039396F" w:rsidRDefault="006C5055" w:rsidP="006C5055">
      <w:pPr>
        <w:autoSpaceDE w:val="0"/>
        <w:autoSpaceDN w:val="0"/>
        <w:adjustRightInd w:val="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Administration of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may result in infusion reactions or immunogenicity that could cause allergic or hypersensitivity reactions (including anaphylaxis). Immune system</w:t>
      </w:r>
      <w:r w:rsidRPr="0039396F">
        <w:rPr>
          <w:rFonts w:asciiTheme="majorHAnsi" w:hAnsiTheme="majorHAnsi" w:cs="Times New Roman"/>
          <w:bCs/>
          <w:szCs w:val="24"/>
        </w:rPr>
        <w:t xml:space="preserve"> disorders within 48 hours of </w:t>
      </w:r>
      <w:r w:rsidR="00842A89" w:rsidRPr="0039396F">
        <w:rPr>
          <w:rFonts w:asciiTheme="majorHAnsi" w:hAnsiTheme="majorHAnsi" w:cs="Times New Roman"/>
        </w:rPr>
        <w:t>Soliris</w:t>
      </w:r>
      <w:r w:rsidRPr="0039396F">
        <w:rPr>
          <w:rFonts w:asciiTheme="majorHAnsi" w:hAnsiTheme="majorHAnsi" w:cs="Times New Roman"/>
          <w:szCs w:val="24"/>
        </w:rPr>
        <w:t xml:space="preserve"> administration did not differ from placebo treatment in PNH, aHUS</w:t>
      </w:r>
      <w:r w:rsidR="00925ABF">
        <w:rPr>
          <w:rFonts w:asciiTheme="majorHAnsi" w:hAnsiTheme="majorHAnsi" w:cs="Times New Roman"/>
          <w:szCs w:val="24"/>
        </w:rPr>
        <w:t>, NMOSD</w:t>
      </w:r>
      <w:r w:rsidRPr="0039396F">
        <w:rPr>
          <w:rFonts w:asciiTheme="majorHAnsi" w:hAnsiTheme="majorHAnsi" w:cs="Times New Roman"/>
          <w:szCs w:val="24"/>
        </w:rPr>
        <w:t xml:space="preserve"> and other studies conducted with </w:t>
      </w:r>
      <w:r w:rsidR="00842A89" w:rsidRPr="0039396F">
        <w:rPr>
          <w:rFonts w:asciiTheme="majorHAnsi" w:hAnsiTheme="majorHAnsi" w:cs="Times New Roman"/>
        </w:rPr>
        <w:t>Soliris</w:t>
      </w:r>
      <w:r w:rsidRPr="0039396F">
        <w:rPr>
          <w:rFonts w:asciiTheme="majorHAnsi" w:hAnsiTheme="majorHAnsi" w:cs="Times New Roman"/>
          <w:szCs w:val="24"/>
        </w:rPr>
        <w:t>. In clinical trials, no PNH</w:t>
      </w:r>
      <w:r w:rsidR="00925ABF">
        <w:rPr>
          <w:rFonts w:asciiTheme="majorHAnsi" w:hAnsiTheme="majorHAnsi" w:cs="Times New Roman"/>
          <w:szCs w:val="24"/>
        </w:rPr>
        <w:t>,</w:t>
      </w:r>
      <w:r w:rsidRPr="0039396F">
        <w:rPr>
          <w:rFonts w:asciiTheme="majorHAnsi" w:hAnsiTheme="majorHAnsi" w:cs="Times New Roman"/>
          <w:szCs w:val="24"/>
        </w:rPr>
        <w:t xml:space="preserve"> aHUS</w:t>
      </w:r>
      <w:r w:rsidR="00925ABF">
        <w:rPr>
          <w:rFonts w:asciiTheme="majorHAnsi" w:hAnsiTheme="majorHAnsi" w:cs="Times New Roman"/>
          <w:szCs w:val="24"/>
        </w:rPr>
        <w:t xml:space="preserve"> or NMOSD</w:t>
      </w:r>
      <w:r w:rsidRPr="0039396F">
        <w:rPr>
          <w:rFonts w:asciiTheme="majorHAnsi" w:hAnsiTheme="majorHAnsi" w:cs="Times New Roman"/>
          <w:szCs w:val="24"/>
        </w:rPr>
        <w:t xml:space="preserve"> patients experienced an infusion reaction which required discontinuation </w:t>
      </w:r>
      <w:r w:rsidRPr="0039396F">
        <w:rPr>
          <w:rFonts w:asciiTheme="majorHAnsi" w:eastAsia="Times New Roman" w:hAnsiTheme="majorHAnsi" w:cs="Times New Roman"/>
          <w:szCs w:val="24"/>
        </w:rPr>
        <w:t xml:space="preserve">of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w:t>
      </w:r>
      <w:r w:rsidR="00842A89" w:rsidRPr="0039396F">
        <w:rPr>
          <w:rFonts w:asciiTheme="majorHAnsi" w:hAnsiTheme="majorHAnsi" w:cs="Times New Roman"/>
        </w:rPr>
        <w:t>Soliris</w:t>
      </w:r>
      <w:r w:rsidRPr="0039396F">
        <w:rPr>
          <w:rFonts w:asciiTheme="majorHAnsi" w:eastAsia="Times New Roman" w:hAnsiTheme="majorHAnsi" w:cs="Times New Roman"/>
          <w:szCs w:val="24"/>
        </w:rPr>
        <w:t xml:space="preserve"> administration should be interrupted in all patients experiencing severe infusion reactions and appropriate medical therapy administered.</w:t>
      </w:r>
    </w:p>
    <w:p w14:paraId="64B054B6" w14:textId="77777777" w:rsidR="006C5055" w:rsidRPr="0039396F" w:rsidRDefault="006C5055" w:rsidP="00BF24C5">
      <w:pPr>
        <w:pStyle w:val="Heading3"/>
      </w:pPr>
      <w:r w:rsidRPr="0039396F">
        <w:t>Immunogenicity</w:t>
      </w:r>
    </w:p>
    <w:p w14:paraId="20243896" w14:textId="4CD1C09D" w:rsidR="00B2319B" w:rsidRDefault="006C5055" w:rsidP="00536444">
      <w:pPr>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Infrequent, low titre antibody responses have been detected in </w:t>
      </w:r>
      <w:r w:rsidR="00842A89" w:rsidRPr="0039396F">
        <w:rPr>
          <w:rFonts w:asciiTheme="majorHAnsi" w:hAnsiTheme="majorHAnsi" w:cs="Times New Roman"/>
        </w:rPr>
        <w:t>Soliris</w:t>
      </w:r>
      <w:r w:rsidR="00842A89" w:rsidRPr="0039396F">
        <w:rPr>
          <w:rFonts w:asciiTheme="majorHAnsi" w:hAnsiTheme="majorHAnsi" w:cs="Times New Roman"/>
          <w:szCs w:val="24"/>
        </w:rPr>
        <w:t xml:space="preserve"> </w:t>
      </w:r>
      <w:r w:rsidRPr="0039396F">
        <w:rPr>
          <w:rFonts w:asciiTheme="majorHAnsi" w:hAnsiTheme="majorHAnsi" w:cs="Times New Roman"/>
          <w:szCs w:val="24"/>
        </w:rPr>
        <w:t>-treated patients across all studies. In placebo-controlled studies</w:t>
      </w:r>
      <w:r w:rsidR="00925ABF">
        <w:rPr>
          <w:rFonts w:asciiTheme="majorHAnsi" w:hAnsiTheme="majorHAnsi" w:cs="Times New Roman"/>
          <w:szCs w:val="24"/>
        </w:rPr>
        <w:t xml:space="preserve"> in patients with PNH treated with Soliris,</w:t>
      </w:r>
      <w:r w:rsidRPr="0039396F">
        <w:rPr>
          <w:rFonts w:asciiTheme="majorHAnsi" w:hAnsiTheme="majorHAnsi" w:cs="Times New Roman"/>
          <w:szCs w:val="24"/>
        </w:rPr>
        <w:t xml:space="preserve"> low titre responses have been reported with a frequency (3.4%) similar to that of placebo (4.8%). In patients</w:t>
      </w:r>
      <w:r w:rsidR="00A8461F">
        <w:rPr>
          <w:rFonts w:asciiTheme="majorHAnsi" w:hAnsiTheme="majorHAnsi" w:cs="Times New Roman"/>
          <w:szCs w:val="24"/>
        </w:rPr>
        <w:t xml:space="preserve"> with aHUS</w:t>
      </w:r>
      <w:r w:rsidRPr="0039396F">
        <w:rPr>
          <w:rFonts w:asciiTheme="majorHAnsi" w:hAnsiTheme="majorHAnsi" w:cs="Times New Roman"/>
          <w:szCs w:val="24"/>
        </w:rPr>
        <w:t xml:space="preserve"> treated with </w:t>
      </w:r>
      <w:r w:rsidR="00842A89" w:rsidRPr="0039396F">
        <w:rPr>
          <w:rFonts w:asciiTheme="majorHAnsi" w:hAnsiTheme="majorHAnsi" w:cs="Times New Roman"/>
        </w:rPr>
        <w:t>Soliris</w:t>
      </w:r>
      <w:r w:rsidRPr="0039396F">
        <w:rPr>
          <w:rFonts w:asciiTheme="majorHAnsi" w:hAnsiTheme="majorHAnsi" w:cs="Times New Roman"/>
          <w:szCs w:val="24"/>
        </w:rPr>
        <w:t xml:space="preserve">, antibodies to </w:t>
      </w:r>
      <w:r w:rsidR="00842A89" w:rsidRPr="0039396F">
        <w:rPr>
          <w:rFonts w:asciiTheme="majorHAnsi" w:hAnsiTheme="majorHAnsi" w:cs="Times New Roman"/>
        </w:rPr>
        <w:t>Soliris</w:t>
      </w:r>
      <w:r w:rsidRPr="0039396F">
        <w:rPr>
          <w:rFonts w:asciiTheme="majorHAnsi" w:hAnsiTheme="majorHAnsi" w:cs="Times New Roman"/>
          <w:szCs w:val="24"/>
        </w:rPr>
        <w:t xml:space="preserve"> were detected in 3/100 (3%) by the ECL bridging format assay.  1/100 (1%) of patients</w:t>
      </w:r>
      <w:r w:rsidR="00A8461F">
        <w:rPr>
          <w:rFonts w:asciiTheme="majorHAnsi" w:hAnsiTheme="majorHAnsi" w:cs="Times New Roman"/>
          <w:szCs w:val="24"/>
        </w:rPr>
        <w:t xml:space="preserve"> with aHUS</w:t>
      </w:r>
      <w:r w:rsidRPr="0039396F">
        <w:rPr>
          <w:rFonts w:asciiTheme="majorHAnsi" w:hAnsiTheme="majorHAnsi" w:cs="Times New Roman"/>
          <w:szCs w:val="24"/>
        </w:rPr>
        <w:t xml:space="preserve"> had low positive values for</w:t>
      </w:r>
      <w:r w:rsidRPr="0039396F" w:rsidDel="00495F81">
        <w:rPr>
          <w:rFonts w:asciiTheme="majorHAnsi" w:hAnsiTheme="majorHAnsi" w:cs="Times New Roman"/>
          <w:szCs w:val="24"/>
        </w:rPr>
        <w:t xml:space="preserve"> </w:t>
      </w:r>
      <w:r w:rsidR="00F47414">
        <w:rPr>
          <w:rFonts w:asciiTheme="majorHAnsi" w:hAnsiTheme="majorHAnsi" w:cs="Times New Roman"/>
          <w:szCs w:val="24"/>
        </w:rPr>
        <w:t>neutralizing antibodies.</w:t>
      </w:r>
      <w:r w:rsidR="00925ABF" w:rsidRPr="00925ABF">
        <w:rPr>
          <w:sz w:val="18"/>
          <w:szCs w:val="18"/>
        </w:rPr>
        <w:t xml:space="preserve"> </w:t>
      </w:r>
      <w:r w:rsidR="00925ABF" w:rsidRPr="00925ABF">
        <w:rPr>
          <w:rFonts w:asciiTheme="majorHAnsi" w:hAnsiTheme="majorHAnsi" w:cs="Times New Roman"/>
          <w:szCs w:val="24"/>
        </w:rPr>
        <w:t>In an NM</w:t>
      </w:r>
      <w:r w:rsidR="002A0C27">
        <w:rPr>
          <w:rFonts w:asciiTheme="majorHAnsi" w:hAnsiTheme="majorHAnsi" w:cs="Times New Roman"/>
          <w:szCs w:val="24"/>
        </w:rPr>
        <w:t>O</w:t>
      </w:r>
      <w:r w:rsidR="00925ABF" w:rsidRPr="00925ABF">
        <w:rPr>
          <w:rFonts w:asciiTheme="majorHAnsi" w:hAnsiTheme="majorHAnsi" w:cs="Times New Roman"/>
          <w:szCs w:val="24"/>
        </w:rPr>
        <w:t>SD placebo-controlled study, 2/9</w:t>
      </w:r>
      <w:r w:rsidR="007B11D9">
        <w:rPr>
          <w:rFonts w:asciiTheme="majorHAnsi" w:hAnsiTheme="majorHAnsi" w:cs="Times New Roman"/>
          <w:szCs w:val="24"/>
        </w:rPr>
        <w:t>5</w:t>
      </w:r>
      <w:r w:rsidR="00925ABF" w:rsidRPr="00925ABF">
        <w:rPr>
          <w:rFonts w:asciiTheme="majorHAnsi" w:hAnsiTheme="majorHAnsi" w:cs="Times New Roman"/>
          <w:szCs w:val="24"/>
        </w:rPr>
        <w:t xml:space="preserve"> (2</w:t>
      </w:r>
      <w:r w:rsidR="007B11D9">
        <w:rPr>
          <w:rFonts w:asciiTheme="majorHAnsi" w:hAnsiTheme="majorHAnsi" w:cs="Times New Roman"/>
          <w:szCs w:val="24"/>
        </w:rPr>
        <w:t>.1</w:t>
      </w:r>
      <w:r w:rsidR="00925ABF" w:rsidRPr="00925ABF">
        <w:rPr>
          <w:rFonts w:asciiTheme="majorHAnsi" w:hAnsiTheme="majorHAnsi" w:cs="Times New Roman"/>
          <w:szCs w:val="24"/>
        </w:rPr>
        <w:t>%) of the Soliris</w:t>
      </w:r>
      <w:r w:rsidR="007129DB">
        <w:rPr>
          <w:rFonts w:asciiTheme="majorHAnsi" w:hAnsiTheme="majorHAnsi" w:cs="Times New Roman"/>
          <w:szCs w:val="24"/>
        </w:rPr>
        <w:t>-</w:t>
      </w:r>
      <w:r w:rsidR="00925ABF" w:rsidRPr="00925ABF">
        <w:rPr>
          <w:rFonts w:asciiTheme="majorHAnsi" w:hAnsiTheme="majorHAnsi" w:cs="Times New Roman"/>
          <w:szCs w:val="24"/>
        </w:rPr>
        <w:t xml:space="preserve">treated patients showed antidrug antibody </w:t>
      </w:r>
      <w:r w:rsidR="00B2319B">
        <w:rPr>
          <w:rFonts w:asciiTheme="majorHAnsi" w:hAnsiTheme="majorHAnsi" w:cs="Times New Roman"/>
          <w:szCs w:val="24"/>
        </w:rPr>
        <w:t xml:space="preserve">(ADA) </w:t>
      </w:r>
      <w:r w:rsidR="00925ABF" w:rsidRPr="00925ABF">
        <w:rPr>
          <w:rFonts w:asciiTheme="majorHAnsi" w:hAnsiTheme="majorHAnsi" w:cs="Times New Roman"/>
          <w:szCs w:val="24"/>
        </w:rPr>
        <w:t>response</w:t>
      </w:r>
      <w:r w:rsidR="00B2319B">
        <w:rPr>
          <w:rFonts w:asciiTheme="majorHAnsi" w:hAnsiTheme="majorHAnsi" w:cs="Times New Roman"/>
          <w:szCs w:val="24"/>
        </w:rPr>
        <w:t>. Positive</w:t>
      </w:r>
      <w:r w:rsidR="00925ABF" w:rsidRPr="00925ABF">
        <w:rPr>
          <w:rFonts w:asciiTheme="majorHAnsi" w:hAnsiTheme="majorHAnsi" w:cs="Times New Roman"/>
          <w:szCs w:val="24"/>
        </w:rPr>
        <w:t xml:space="preserve"> ADA samples </w:t>
      </w:r>
      <w:r w:rsidR="00B2319B">
        <w:rPr>
          <w:rFonts w:asciiTheme="majorHAnsi" w:hAnsiTheme="majorHAnsi" w:cs="Times New Roman"/>
          <w:szCs w:val="24"/>
        </w:rPr>
        <w:t>were</w:t>
      </w:r>
      <w:r w:rsidR="00925ABF" w:rsidRPr="00925ABF">
        <w:rPr>
          <w:rFonts w:asciiTheme="majorHAnsi" w:hAnsiTheme="majorHAnsi" w:cs="Times New Roman"/>
          <w:szCs w:val="24"/>
        </w:rPr>
        <w:t xml:space="preserve"> low tit</w:t>
      </w:r>
      <w:r w:rsidR="00B2319B">
        <w:rPr>
          <w:rFonts w:asciiTheme="majorHAnsi" w:hAnsiTheme="majorHAnsi" w:cs="Times New Roman"/>
          <w:szCs w:val="24"/>
        </w:rPr>
        <w:t>r</w:t>
      </w:r>
      <w:r w:rsidR="00925ABF" w:rsidRPr="00925ABF">
        <w:rPr>
          <w:rFonts w:asciiTheme="majorHAnsi" w:hAnsiTheme="majorHAnsi" w:cs="Times New Roman"/>
          <w:szCs w:val="24"/>
        </w:rPr>
        <w:t>e and transient. Both patients were negative for neutralizing antibodies.</w:t>
      </w:r>
    </w:p>
    <w:p w14:paraId="5BAEBC88" w14:textId="40628F67" w:rsidR="00536444" w:rsidRPr="0039396F" w:rsidRDefault="006C5055" w:rsidP="00B2319B">
      <w:pPr>
        <w:autoSpaceDE w:val="0"/>
        <w:autoSpaceDN w:val="0"/>
        <w:adjustRightInd w:val="0"/>
        <w:spacing w:before="120"/>
        <w:rPr>
          <w:rFonts w:asciiTheme="majorHAnsi" w:hAnsiTheme="majorHAnsi" w:cs="Times New Roman"/>
          <w:szCs w:val="24"/>
        </w:rPr>
      </w:pPr>
      <w:r w:rsidRPr="0039396F">
        <w:rPr>
          <w:rFonts w:asciiTheme="majorHAnsi" w:hAnsiTheme="majorHAnsi" w:cs="Times New Roman"/>
          <w:szCs w:val="24"/>
        </w:rPr>
        <w:t>There has been no observed correlation of antibody development to clinic</w:t>
      </w:r>
      <w:r w:rsidR="00F47414">
        <w:rPr>
          <w:rFonts w:asciiTheme="majorHAnsi" w:hAnsiTheme="majorHAnsi" w:cs="Times New Roman"/>
          <w:szCs w:val="24"/>
        </w:rPr>
        <w:t>al response or adverse events.</w:t>
      </w:r>
    </w:p>
    <w:p w14:paraId="59839541" w14:textId="77777777" w:rsidR="006C5055" w:rsidRPr="0039396F" w:rsidRDefault="006C5055" w:rsidP="00BF24C5">
      <w:pPr>
        <w:pStyle w:val="Heading3"/>
      </w:pPr>
      <w:r w:rsidRPr="0039396F">
        <w:t>Immuni</w:t>
      </w:r>
      <w:r w:rsidR="0039396F" w:rsidRPr="0039396F">
        <w:t>s</w:t>
      </w:r>
      <w:r w:rsidRPr="0039396F">
        <w:t>ation</w:t>
      </w:r>
    </w:p>
    <w:p w14:paraId="2801D560" w14:textId="77777777" w:rsidR="006C5055" w:rsidRPr="0039396F" w:rsidRDefault="006C5055" w:rsidP="00536444">
      <w:pPr>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Patients </w:t>
      </w:r>
      <w:r w:rsidR="0018473C">
        <w:rPr>
          <w:rFonts w:asciiTheme="majorHAnsi" w:hAnsiTheme="majorHAnsi" w:cs="Times New Roman"/>
          <w:szCs w:val="24"/>
        </w:rPr>
        <w:t>under</w:t>
      </w:r>
      <w:r w:rsidRPr="0039396F">
        <w:rPr>
          <w:rFonts w:asciiTheme="majorHAnsi" w:hAnsiTheme="majorHAnsi" w:cs="Times New Roman"/>
          <w:szCs w:val="24"/>
        </w:rPr>
        <w:t xml:space="preserve"> 18 years of age must be vaccinated against </w:t>
      </w:r>
      <w:r w:rsidRPr="0039396F">
        <w:rPr>
          <w:rFonts w:asciiTheme="majorHAnsi" w:hAnsiTheme="majorHAnsi" w:cs="Times New Roman"/>
          <w:i/>
          <w:szCs w:val="24"/>
        </w:rPr>
        <w:t>Haemophilus influenzae</w:t>
      </w:r>
      <w:r w:rsidRPr="0039396F">
        <w:rPr>
          <w:rFonts w:asciiTheme="majorHAnsi" w:hAnsiTheme="majorHAnsi" w:cs="Times New Roman"/>
          <w:szCs w:val="24"/>
        </w:rPr>
        <w:t xml:space="preserve"> and </w:t>
      </w:r>
      <w:r w:rsidR="0018473C">
        <w:rPr>
          <w:rFonts w:asciiTheme="majorHAnsi" w:hAnsiTheme="majorHAnsi" w:cs="Times New Roman"/>
          <w:szCs w:val="24"/>
        </w:rPr>
        <w:t>S</w:t>
      </w:r>
      <w:r w:rsidR="00E02B8C" w:rsidRPr="00493EC0">
        <w:rPr>
          <w:rFonts w:asciiTheme="majorHAnsi" w:hAnsiTheme="majorHAnsi" w:cs="Times New Roman"/>
          <w:i/>
          <w:szCs w:val="24"/>
        </w:rPr>
        <w:t>treptococcus pn</w:t>
      </w:r>
      <w:r w:rsidR="00493EC0">
        <w:rPr>
          <w:rFonts w:asciiTheme="majorHAnsi" w:hAnsiTheme="majorHAnsi" w:cs="Times New Roman"/>
          <w:i/>
          <w:szCs w:val="24"/>
        </w:rPr>
        <w:t>e</w:t>
      </w:r>
      <w:r w:rsidR="00E02B8C" w:rsidRPr="00493EC0">
        <w:rPr>
          <w:rFonts w:asciiTheme="majorHAnsi" w:hAnsiTheme="majorHAnsi" w:cs="Times New Roman"/>
          <w:i/>
          <w:szCs w:val="24"/>
        </w:rPr>
        <w:t>umon</w:t>
      </w:r>
      <w:r w:rsidR="00493EC0">
        <w:rPr>
          <w:rFonts w:asciiTheme="majorHAnsi" w:hAnsiTheme="majorHAnsi" w:cs="Times New Roman"/>
          <w:i/>
          <w:szCs w:val="24"/>
        </w:rPr>
        <w:t>i</w:t>
      </w:r>
      <w:r w:rsidR="00E02B8C" w:rsidRPr="00493EC0">
        <w:rPr>
          <w:rFonts w:asciiTheme="majorHAnsi" w:hAnsiTheme="majorHAnsi" w:cs="Times New Roman"/>
          <w:i/>
          <w:szCs w:val="24"/>
        </w:rPr>
        <w:t>ae</w:t>
      </w:r>
      <w:r w:rsidRPr="0039396F">
        <w:rPr>
          <w:rFonts w:asciiTheme="majorHAnsi" w:hAnsiTheme="majorHAnsi" w:cs="Times New Roman"/>
          <w:szCs w:val="24"/>
        </w:rPr>
        <w:t xml:space="preserve"> and strictly adhere to the national vaccination rec</w:t>
      </w:r>
      <w:r w:rsidR="00F47414">
        <w:rPr>
          <w:rFonts w:asciiTheme="majorHAnsi" w:hAnsiTheme="majorHAnsi" w:cs="Times New Roman"/>
          <w:szCs w:val="24"/>
        </w:rPr>
        <w:t>ommendations of each age group.</w:t>
      </w:r>
    </w:p>
    <w:p w14:paraId="696399E4" w14:textId="77777777" w:rsidR="00536444" w:rsidRPr="0039396F" w:rsidRDefault="00536444" w:rsidP="00536444">
      <w:pPr>
        <w:tabs>
          <w:tab w:val="left" w:pos="567"/>
        </w:tabs>
        <w:autoSpaceDE w:val="0"/>
        <w:autoSpaceDN w:val="0"/>
        <w:adjustRightInd w:val="0"/>
        <w:rPr>
          <w:rFonts w:asciiTheme="majorHAnsi" w:hAnsiTheme="majorHAnsi" w:cs="Times New Roman"/>
          <w:szCs w:val="24"/>
        </w:rPr>
      </w:pPr>
    </w:p>
    <w:p w14:paraId="2D13ADC0" w14:textId="25D71ABB" w:rsidR="006C5055"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All patients must be vaccinated against </w:t>
      </w:r>
      <w:r w:rsidRPr="00C03D18">
        <w:rPr>
          <w:rFonts w:asciiTheme="majorHAnsi" w:hAnsiTheme="majorHAnsi" w:cs="Times New Roman"/>
          <w:szCs w:val="24"/>
        </w:rPr>
        <w:t>meningo</w:t>
      </w:r>
      <w:r w:rsidRPr="0039396F">
        <w:rPr>
          <w:rFonts w:asciiTheme="majorHAnsi" w:hAnsiTheme="majorHAnsi" w:cs="Times New Roman"/>
          <w:szCs w:val="24"/>
        </w:rPr>
        <w:t xml:space="preserve">coccal infections </w:t>
      </w:r>
      <w:r w:rsidR="004A5C20">
        <w:rPr>
          <w:rFonts w:asciiTheme="majorHAnsi" w:hAnsiTheme="majorHAnsi" w:cs="Times New Roman"/>
          <w:szCs w:val="24"/>
        </w:rPr>
        <w:t>(</w:t>
      </w:r>
      <w:r w:rsidR="0018473C" w:rsidRPr="0018473C">
        <w:rPr>
          <w:rFonts w:asciiTheme="majorHAnsi" w:eastAsia="Batang" w:hAnsiTheme="majorHAnsi" w:cs="Times New Roman"/>
          <w:i/>
        </w:rPr>
        <w:t xml:space="preserve">Neisseria </w:t>
      </w:r>
      <w:r w:rsidR="00C03D18">
        <w:rPr>
          <w:rFonts w:asciiTheme="majorHAnsi" w:eastAsia="Batang" w:hAnsiTheme="majorHAnsi" w:cs="Times New Roman"/>
          <w:i/>
        </w:rPr>
        <w:t>meningitid</w:t>
      </w:r>
      <w:r w:rsidR="00D25211">
        <w:rPr>
          <w:rFonts w:asciiTheme="majorHAnsi" w:eastAsia="Batang" w:hAnsiTheme="majorHAnsi" w:cs="Times New Roman"/>
          <w:i/>
        </w:rPr>
        <w:t>i</w:t>
      </w:r>
      <w:r w:rsidR="0018473C" w:rsidRPr="0018473C">
        <w:rPr>
          <w:rFonts w:asciiTheme="majorHAnsi" w:eastAsia="Batang" w:hAnsiTheme="majorHAnsi" w:cs="Times New Roman"/>
          <w:i/>
        </w:rPr>
        <w:t>s</w:t>
      </w:r>
      <w:r w:rsidR="004A5C20" w:rsidRPr="00C03D18">
        <w:rPr>
          <w:rFonts w:asciiTheme="majorHAnsi" w:eastAsia="Batang" w:hAnsiTheme="majorHAnsi" w:cs="Times New Roman"/>
        </w:rPr>
        <w:t>)</w:t>
      </w:r>
      <w:r w:rsidR="00F5350F" w:rsidRPr="004A5C20">
        <w:rPr>
          <w:rFonts w:asciiTheme="majorHAnsi" w:hAnsiTheme="majorHAnsi" w:cs="Times New Roman"/>
          <w:szCs w:val="24"/>
        </w:rPr>
        <w:t xml:space="preserve"> </w:t>
      </w:r>
      <w:r w:rsidR="0022780D">
        <w:rPr>
          <w:rFonts w:asciiTheme="majorHAnsi" w:hAnsiTheme="majorHAnsi" w:cs="Times New Roman"/>
          <w:szCs w:val="24"/>
        </w:rPr>
        <w:t xml:space="preserve">at least 2 weeks </w:t>
      </w:r>
      <w:r w:rsidRPr="0039396F">
        <w:rPr>
          <w:rFonts w:asciiTheme="majorHAnsi" w:hAnsiTheme="majorHAnsi" w:cs="Times New Roman"/>
          <w:szCs w:val="24"/>
        </w:rPr>
        <w:t xml:space="preserve">prior to </w:t>
      </w:r>
      <w:r w:rsidR="0022780D">
        <w:rPr>
          <w:rFonts w:asciiTheme="majorHAnsi" w:hAnsiTheme="majorHAnsi" w:cs="Times New Roman"/>
          <w:szCs w:val="24"/>
        </w:rPr>
        <w:t>receiv</w:t>
      </w:r>
      <w:r w:rsidRPr="0039396F">
        <w:rPr>
          <w:rFonts w:asciiTheme="majorHAnsi" w:hAnsiTheme="majorHAnsi" w:cs="Times New Roman"/>
          <w:szCs w:val="24"/>
        </w:rPr>
        <w:t xml:space="preserve">ing </w:t>
      </w:r>
      <w:r w:rsidR="00842A89" w:rsidRPr="0039396F">
        <w:rPr>
          <w:rFonts w:asciiTheme="majorHAnsi" w:hAnsiTheme="majorHAnsi" w:cs="Times New Roman"/>
        </w:rPr>
        <w:t>Soliris</w:t>
      </w:r>
      <w:r w:rsidR="0022780D">
        <w:rPr>
          <w:rFonts w:asciiTheme="majorHAnsi" w:hAnsiTheme="majorHAnsi" w:cs="Times New Roman"/>
        </w:rPr>
        <w:t xml:space="preserve">, unless the risk of delaying Soliris </w:t>
      </w:r>
      <w:r w:rsidR="0022780D">
        <w:rPr>
          <w:rFonts w:asciiTheme="majorHAnsi" w:hAnsiTheme="majorHAnsi" w:cs="Times New Roman"/>
        </w:rPr>
        <w:lastRenderedPageBreak/>
        <w:t>therapy outweigh</w:t>
      </w:r>
      <w:r w:rsidR="009F08B0">
        <w:rPr>
          <w:rFonts w:asciiTheme="majorHAnsi" w:hAnsiTheme="majorHAnsi" w:cs="Times New Roman"/>
        </w:rPr>
        <w:t>s</w:t>
      </w:r>
      <w:r w:rsidR="0022780D">
        <w:rPr>
          <w:rFonts w:asciiTheme="majorHAnsi" w:hAnsiTheme="majorHAnsi" w:cs="Times New Roman"/>
        </w:rPr>
        <w:t xml:space="preserve"> the risk</w:t>
      </w:r>
      <w:r w:rsidR="00506FFB">
        <w:rPr>
          <w:rFonts w:asciiTheme="majorHAnsi" w:hAnsiTheme="majorHAnsi" w:cs="Times New Roman"/>
        </w:rPr>
        <w:t xml:space="preserve"> of</w:t>
      </w:r>
      <w:r w:rsidR="0022780D">
        <w:rPr>
          <w:rFonts w:asciiTheme="majorHAnsi" w:hAnsiTheme="majorHAnsi" w:cs="Times New Roman"/>
        </w:rPr>
        <w:t xml:space="preserve"> meningococcal infection</w:t>
      </w:r>
      <w:r w:rsidRPr="0039396F">
        <w:rPr>
          <w:rFonts w:asciiTheme="majorHAnsi" w:hAnsiTheme="majorHAnsi" w:cs="Times New Roman"/>
          <w:szCs w:val="24"/>
        </w:rPr>
        <w:t xml:space="preserve">. Patients who initiate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less than 2 weeks after receiving a meningococcal vaccine must receive treatment with appropriate prophylactic antibiotics until 2 weeks after vaccination (see also </w:t>
      </w:r>
      <w:r w:rsidR="00F47414" w:rsidRPr="00C90E83">
        <w:rPr>
          <w:rFonts w:asciiTheme="majorHAnsi" w:hAnsiTheme="majorHAnsi" w:cs="Times New Roman"/>
          <w:i/>
          <w:iCs/>
          <w:szCs w:val="24"/>
        </w:rPr>
        <w:t>Section 4.4</w:t>
      </w:r>
      <w:r w:rsidR="000A65A5" w:rsidRPr="00C90E83">
        <w:rPr>
          <w:rFonts w:asciiTheme="majorHAnsi" w:hAnsiTheme="majorHAnsi" w:cs="Times New Roman"/>
          <w:i/>
          <w:iCs/>
          <w:szCs w:val="24"/>
        </w:rPr>
        <w:t xml:space="preserve"> – Special Warnings and Precautions for Use</w:t>
      </w:r>
      <w:r w:rsidR="001315EB" w:rsidRPr="00C90E83">
        <w:rPr>
          <w:rFonts w:asciiTheme="majorHAnsi" w:hAnsiTheme="majorHAnsi" w:cs="Times New Roman"/>
          <w:i/>
          <w:iCs/>
          <w:szCs w:val="24"/>
        </w:rPr>
        <w:t>; Meningococcal Infection</w:t>
      </w:r>
      <w:r w:rsidRPr="0039396F">
        <w:rPr>
          <w:rFonts w:asciiTheme="majorHAnsi" w:hAnsiTheme="majorHAnsi" w:cs="Times New Roman"/>
          <w:szCs w:val="24"/>
        </w:rPr>
        <w:t>).  Vaccines against serogroup</w:t>
      </w:r>
      <w:r w:rsidR="00E95C4B">
        <w:rPr>
          <w:rFonts w:asciiTheme="majorHAnsi" w:hAnsiTheme="majorHAnsi" w:cs="Times New Roman"/>
          <w:szCs w:val="24"/>
        </w:rPr>
        <w:t>s</w:t>
      </w:r>
      <w:r w:rsidRPr="0039396F">
        <w:rPr>
          <w:rFonts w:asciiTheme="majorHAnsi" w:hAnsiTheme="majorHAnsi" w:cs="Times New Roman"/>
          <w:szCs w:val="24"/>
        </w:rPr>
        <w:t xml:space="preserve"> A, B, C, Y and W135 are recommended in minimi</w:t>
      </w:r>
      <w:r w:rsidR="00F47414">
        <w:rPr>
          <w:rFonts w:asciiTheme="majorHAnsi" w:hAnsiTheme="majorHAnsi" w:cs="Times New Roman"/>
          <w:szCs w:val="24"/>
        </w:rPr>
        <w:t>s</w:t>
      </w:r>
      <w:r w:rsidRPr="0039396F">
        <w:rPr>
          <w:rFonts w:asciiTheme="majorHAnsi" w:hAnsiTheme="majorHAnsi" w:cs="Times New Roman"/>
          <w:szCs w:val="24"/>
        </w:rPr>
        <w:t>ing infection with the commonly pathogenic meningococcal serogroups.</w:t>
      </w:r>
    </w:p>
    <w:p w14:paraId="66FD6422" w14:textId="77777777" w:rsidR="0050524F" w:rsidRPr="0039396F" w:rsidRDefault="0050524F" w:rsidP="00536444">
      <w:pPr>
        <w:tabs>
          <w:tab w:val="left" w:pos="567"/>
        </w:tabs>
        <w:autoSpaceDE w:val="0"/>
        <w:autoSpaceDN w:val="0"/>
        <w:adjustRightInd w:val="0"/>
        <w:rPr>
          <w:rFonts w:asciiTheme="majorHAnsi" w:hAnsiTheme="majorHAnsi" w:cs="Times New Roman"/>
          <w:szCs w:val="24"/>
        </w:rPr>
      </w:pPr>
    </w:p>
    <w:p w14:paraId="21F74DD6" w14:textId="2F3E2F5A" w:rsidR="00E27A98"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Vaccination may further activate complement</w:t>
      </w:r>
      <w:r w:rsidR="00E95C4B">
        <w:rPr>
          <w:rFonts w:asciiTheme="majorHAnsi" w:hAnsiTheme="majorHAnsi" w:cs="Times New Roman"/>
          <w:szCs w:val="24"/>
        </w:rPr>
        <w:t>.</w:t>
      </w:r>
      <w:r w:rsidR="00E27A98">
        <w:rPr>
          <w:rFonts w:asciiTheme="majorHAnsi" w:hAnsiTheme="majorHAnsi" w:cs="Times New Roman"/>
          <w:szCs w:val="24"/>
        </w:rPr>
        <w:t xml:space="preserve"> </w:t>
      </w:r>
      <w:r w:rsidR="00E95C4B">
        <w:rPr>
          <w:rFonts w:asciiTheme="majorHAnsi" w:hAnsiTheme="majorHAnsi" w:cs="Times New Roman"/>
          <w:szCs w:val="24"/>
        </w:rPr>
        <w:t>A</w:t>
      </w:r>
      <w:r w:rsidRPr="0039396F">
        <w:rPr>
          <w:rFonts w:asciiTheme="majorHAnsi" w:hAnsiTheme="majorHAnsi" w:cs="Times New Roman"/>
          <w:szCs w:val="24"/>
        </w:rPr>
        <w:t>s a result, patients with complement-mediated diseases, including PNH</w:t>
      </w:r>
      <w:r w:rsidR="00925ABF">
        <w:rPr>
          <w:rFonts w:asciiTheme="majorHAnsi" w:hAnsiTheme="majorHAnsi" w:cs="Times New Roman"/>
          <w:szCs w:val="24"/>
        </w:rPr>
        <w:t>,</w:t>
      </w:r>
      <w:r w:rsidRPr="0039396F">
        <w:rPr>
          <w:rFonts w:asciiTheme="majorHAnsi" w:hAnsiTheme="majorHAnsi" w:cs="Times New Roman"/>
          <w:szCs w:val="24"/>
        </w:rPr>
        <w:t xml:space="preserve"> aHUS</w:t>
      </w:r>
      <w:r w:rsidR="00925ABF">
        <w:rPr>
          <w:rFonts w:asciiTheme="majorHAnsi" w:hAnsiTheme="majorHAnsi" w:cs="Times New Roman"/>
          <w:szCs w:val="24"/>
        </w:rPr>
        <w:t xml:space="preserve"> and NMOSD</w:t>
      </w:r>
      <w:r w:rsidRPr="0039396F">
        <w:rPr>
          <w:rFonts w:asciiTheme="majorHAnsi" w:hAnsiTheme="majorHAnsi" w:cs="Times New Roman"/>
          <w:szCs w:val="24"/>
        </w:rPr>
        <w:t xml:space="preserve"> may experience increased symptoms of their underlying disease, such as haemolysis (PNH)</w:t>
      </w:r>
      <w:r w:rsidR="00925ABF">
        <w:rPr>
          <w:rFonts w:asciiTheme="majorHAnsi" w:hAnsiTheme="majorHAnsi" w:cs="Times New Roman"/>
          <w:szCs w:val="24"/>
        </w:rPr>
        <w:t>,</w:t>
      </w:r>
      <w:r w:rsidRPr="0039396F">
        <w:rPr>
          <w:rFonts w:asciiTheme="majorHAnsi" w:hAnsiTheme="majorHAnsi" w:cs="Times New Roman"/>
          <w:szCs w:val="24"/>
        </w:rPr>
        <w:t xml:space="preserve"> TMA complications (aHUS)</w:t>
      </w:r>
      <w:r w:rsidR="00925ABF">
        <w:rPr>
          <w:rFonts w:asciiTheme="majorHAnsi" w:hAnsiTheme="majorHAnsi" w:cs="Times New Roman"/>
          <w:szCs w:val="24"/>
        </w:rPr>
        <w:t xml:space="preserve"> or relapse (NMOSD)</w:t>
      </w:r>
      <w:r w:rsidRPr="0039396F">
        <w:rPr>
          <w:rFonts w:asciiTheme="majorHAnsi" w:hAnsiTheme="majorHAnsi" w:cs="Times New Roman"/>
          <w:szCs w:val="24"/>
        </w:rPr>
        <w:t>.</w:t>
      </w:r>
      <w:r w:rsidR="00E95C4B">
        <w:rPr>
          <w:rFonts w:asciiTheme="majorHAnsi" w:hAnsiTheme="majorHAnsi" w:cs="Times New Roman"/>
          <w:szCs w:val="24"/>
        </w:rPr>
        <w:t xml:space="preserve"> </w:t>
      </w:r>
      <w:r w:rsidR="00E27A98">
        <w:rPr>
          <w:rFonts w:asciiTheme="majorHAnsi" w:hAnsiTheme="majorHAnsi" w:cs="Times New Roman"/>
          <w:szCs w:val="24"/>
        </w:rPr>
        <w:t>Therefore,</w:t>
      </w:r>
      <w:r w:rsidR="00E95C4B">
        <w:rPr>
          <w:rFonts w:asciiTheme="majorHAnsi" w:hAnsiTheme="majorHAnsi" w:cs="Times New Roman"/>
          <w:szCs w:val="24"/>
        </w:rPr>
        <w:t xml:space="preserve"> patients should be closely monitored for disease symptoms</w:t>
      </w:r>
      <w:r w:rsidR="00E27A98">
        <w:rPr>
          <w:rFonts w:asciiTheme="majorHAnsi" w:hAnsiTheme="majorHAnsi" w:cs="Times New Roman"/>
          <w:szCs w:val="24"/>
        </w:rPr>
        <w:t xml:space="preserve"> after recommended vaccination.</w:t>
      </w:r>
      <w:r w:rsidRPr="0039396F">
        <w:rPr>
          <w:rFonts w:asciiTheme="majorHAnsi" w:hAnsiTheme="majorHAnsi" w:cs="Times New Roman"/>
          <w:szCs w:val="24"/>
        </w:rPr>
        <w:t xml:space="preserve"> </w:t>
      </w:r>
    </w:p>
    <w:p w14:paraId="2771CA49" w14:textId="77777777" w:rsidR="006D3D1F" w:rsidRDefault="006D3D1F" w:rsidP="00536444">
      <w:pPr>
        <w:tabs>
          <w:tab w:val="left" w:pos="567"/>
        </w:tabs>
        <w:autoSpaceDE w:val="0"/>
        <w:autoSpaceDN w:val="0"/>
        <w:adjustRightInd w:val="0"/>
        <w:rPr>
          <w:rFonts w:asciiTheme="majorHAnsi" w:hAnsiTheme="majorHAnsi" w:cs="Times New Roman"/>
          <w:szCs w:val="24"/>
        </w:rPr>
      </w:pPr>
    </w:p>
    <w:p w14:paraId="536A0731" w14:textId="77777777" w:rsidR="006C5055" w:rsidRPr="0039396F"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For patients stabili</w:t>
      </w:r>
      <w:r w:rsidR="00F47414">
        <w:rPr>
          <w:rFonts w:asciiTheme="majorHAnsi" w:hAnsiTheme="majorHAnsi" w:cs="Times New Roman"/>
          <w:szCs w:val="24"/>
        </w:rPr>
        <w:t>s</w:t>
      </w:r>
      <w:r w:rsidRPr="0039396F">
        <w:rPr>
          <w:rFonts w:asciiTheme="majorHAnsi" w:hAnsiTheme="majorHAnsi" w:cs="Times New Roman"/>
          <w:szCs w:val="24"/>
        </w:rPr>
        <w:t xml:space="preserve">ed on </w:t>
      </w:r>
      <w:r w:rsidR="00842A89" w:rsidRPr="0039396F">
        <w:rPr>
          <w:rFonts w:asciiTheme="majorHAnsi" w:hAnsiTheme="majorHAnsi" w:cs="Times New Roman"/>
        </w:rPr>
        <w:t>Soliris</w:t>
      </w:r>
      <w:r w:rsidRPr="0039396F">
        <w:rPr>
          <w:rFonts w:asciiTheme="majorHAnsi" w:hAnsiTheme="majorHAnsi" w:cs="Times New Roman"/>
          <w:szCs w:val="24"/>
        </w:rPr>
        <w:t xml:space="preserve"> and receiving maintenance therapy, and for whom additional vaccination is warranted, careful consideration should be given to the timing of vaccination (or booster in patients previously vaccinated against meningococcal infections) relative to administration of </w:t>
      </w:r>
      <w:r w:rsidR="00842A89" w:rsidRPr="0039396F">
        <w:rPr>
          <w:rFonts w:asciiTheme="majorHAnsi" w:hAnsiTheme="majorHAnsi" w:cs="Times New Roman"/>
        </w:rPr>
        <w:t>Soliris</w:t>
      </w:r>
      <w:r w:rsidRPr="0039396F">
        <w:rPr>
          <w:rFonts w:asciiTheme="majorHAnsi" w:hAnsiTheme="majorHAnsi" w:cs="Times New Roman"/>
          <w:szCs w:val="24"/>
        </w:rPr>
        <w:t xml:space="preserve">. </w:t>
      </w:r>
    </w:p>
    <w:p w14:paraId="25A2D73E" w14:textId="77777777" w:rsidR="006C5055" w:rsidRPr="0039396F" w:rsidRDefault="006C5055" w:rsidP="00536444">
      <w:pPr>
        <w:tabs>
          <w:tab w:val="left" w:pos="567"/>
        </w:tabs>
        <w:autoSpaceDE w:val="0"/>
        <w:autoSpaceDN w:val="0"/>
        <w:adjustRightInd w:val="0"/>
        <w:rPr>
          <w:rFonts w:asciiTheme="majorHAnsi" w:hAnsiTheme="majorHAnsi" w:cs="Times New Roman"/>
          <w:szCs w:val="24"/>
        </w:rPr>
      </w:pPr>
    </w:p>
    <w:p w14:paraId="73282356" w14:textId="77777777" w:rsidR="006C5055" w:rsidRPr="0039396F"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Patients must be vaccinated or revaccinated according to current</w:t>
      </w:r>
      <w:r w:rsidR="00D96E43">
        <w:rPr>
          <w:rFonts w:asciiTheme="majorHAnsi" w:hAnsiTheme="majorHAnsi" w:cs="Times New Roman"/>
          <w:szCs w:val="24"/>
        </w:rPr>
        <w:t xml:space="preserve"> national vaccination</w:t>
      </w:r>
      <w:r w:rsidRPr="0039396F">
        <w:rPr>
          <w:rFonts w:asciiTheme="majorHAnsi" w:hAnsiTheme="majorHAnsi" w:cs="Times New Roman"/>
          <w:szCs w:val="24"/>
        </w:rPr>
        <w:t xml:space="preserve"> g</w:t>
      </w:r>
      <w:r w:rsidR="00402C04">
        <w:rPr>
          <w:rFonts w:asciiTheme="majorHAnsi" w:hAnsiTheme="majorHAnsi" w:cs="Times New Roman"/>
          <w:szCs w:val="24"/>
        </w:rPr>
        <w:t xml:space="preserve">uidelines </w:t>
      </w:r>
      <w:r w:rsidR="00D96E43">
        <w:rPr>
          <w:rFonts w:asciiTheme="majorHAnsi" w:hAnsiTheme="majorHAnsi" w:cs="Times New Roman"/>
          <w:szCs w:val="24"/>
        </w:rPr>
        <w:t>such as the Australian Immunisation Handbook</w:t>
      </w:r>
      <w:r w:rsidR="00402C04">
        <w:rPr>
          <w:rFonts w:asciiTheme="majorHAnsi" w:hAnsiTheme="majorHAnsi" w:cs="Times New Roman"/>
          <w:szCs w:val="24"/>
        </w:rPr>
        <w:t>.</w:t>
      </w:r>
    </w:p>
    <w:p w14:paraId="65E094D3" w14:textId="77777777" w:rsidR="006C5055" w:rsidRPr="0039396F" w:rsidRDefault="006C5055" w:rsidP="00925ABF">
      <w:pPr>
        <w:pStyle w:val="Heading3"/>
      </w:pPr>
      <w:r w:rsidRPr="0039396F">
        <w:t>Anticoagulant Therapy</w:t>
      </w:r>
    </w:p>
    <w:p w14:paraId="73BA42C8" w14:textId="77777777" w:rsidR="006C5055" w:rsidRPr="0039396F"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The effect of withdrawal of anticoagulant therapy during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has not been established.</w:t>
      </w:r>
      <w:r w:rsidR="00A90290">
        <w:rPr>
          <w:rFonts w:asciiTheme="majorHAnsi" w:hAnsiTheme="majorHAnsi" w:cs="Times New Roman"/>
          <w:szCs w:val="24"/>
        </w:rPr>
        <w:t xml:space="preserve"> </w:t>
      </w:r>
      <w:r w:rsidRPr="0039396F">
        <w:rPr>
          <w:rFonts w:asciiTheme="majorHAnsi" w:hAnsiTheme="majorHAnsi" w:cs="Times New Roman"/>
          <w:szCs w:val="24"/>
        </w:rPr>
        <w:t xml:space="preserve">Treatment with </w:t>
      </w:r>
      <w:r w:rsidR="00842A89" w:rsidRPr="0039396F">
        <w:rPr>
          <w:rFonts w:asciiTheme="majorHAnsi" w:hAnsiTheme="majorHAnsi" w:cs="Times New Roman"/>
        </w:rPr>
        <w:t>Soliris</w:t>
      </w:r>
      <w:r w:rsidRPr="0039396F">
        <w:rPr>
          <w:rFonts w:asciiTheme="majorHAnsi" w:hAnsiTheme="majorHAnsi" w:cs="Times New Roman"/>
          <w:szCs w:val="24"/>
        </w:rPr>
        <w:t xml:space="preserve"> should not </w:t>
      </w:r>
      <w:r w:rsidR="00536444" w:rsidRPr="0039396F">
        <w:rPr>
          <w:rFonts w:asciiTheme="majorHAnsi" w:hAnsiTheme="majorHAnsi" w:cs="Times New Roman"/>
          <w:szCs w:val="24"/>
        </w:rPr>
        <w:t>alter anticoagulant management.</w:t>
      </w:r>
    </w:p>
    <w:p w14:paraId="4BA0F495" w14:textId="52A16A71" w:rsidR="00925ABF" w:rsidRDefault="00925ABF" w:rsidP="00925ABF">
      <w:pPr>
        <w:pStyle w:val="Heading3"/>
      </w:pPr>
      <w:r w:rsidRPr="00925ABF">
        <w:t xml:space="preserve">Immunosuppressant </w:t>
      </w:r>
      <w:r w:rsidR="00FB6F8E">
        <w:t>T</w:t>
      </w:r>
      <w:r w:rsidRPr="00925ABF">
        <w:t>herap</w:t>
      </w:r>
      <w:r w:rsidR="00FB6F8E">
        <w:t>y</w:t>
      </w:r>
    </w:p>
    <w:p w14:paraId="1B9A959F" w14:textId="6FC3F38A" w:rsidR="00933E37" w:rsidRDefault="00933E37" w:rsidP="00925ABF">
      <w:pPr>
        <w:spacing w:after="120"/>
      </w:pPr>
      <w:r>
        <w:t xml:space="preserve">The safety and efficacy of eculizumab, when administered as an adjuvant therapy along with rituximab and mitoxantrone has not been studied in patients with NMOSD, see </w:t>
      </w:r>
      <w:r w:rsidRPr="00A95424">
        <w:rPr>
          <w:i/>
          <w:iCs/>
        </w:rPr>
        <w:t>section 5.1 Pharmacodynamic Properties; Clinical Trials</w:t>
      </w:r>
      <w:r>
        <w:t>.</w:t>
      </w:r>
    </w:p>
    <w:p w14:paraId="78D3D0C4" w14:textId="6EC1CB21" w:rsidR="00925ABF" w:rsidRDefault="00925ABF" w:rsidP="00925ABF">
      <w:pPr>
        <w:spacing w:after="120"/>
      </w:pPr>
      <w:r>
        <w:t>Patients who entered NMOSD clinical trials while receiving background immunosuppressant therapy continued treatment with immunosuppressant therapy while on Soliris treatment. Withdrawal of immunosuppressant therapy during Soliris treatment for NMOSD was not assessed in the placebo-controlled study.</w:t>
      </w:r>
      <w:r w:rsidR="00F55EB3">
        <w:t xml:space="preserve"> If background immunosuppressant therapy is decreased or discontinued, patients should be monitored closely for signs and symptoms of potential NMOSD relapse.</w:t>
      </w:r>
      <w:r>
        <w:t xml:space="preserve"> </w:t>
      </w:r>
    </w:p>
    <w:p w14:paraId="31C9E27E" w14:textId="77777777" w:rsidR="006C5055" w:rsidRPr="0039396F" w:rsidRDefault="00402C04" w:rsidP="00925ABF">
      <w:pPr>
        <w:pStyle w:val="Heading3"/>
      </w:pPr>
      <w:r>
        <w:t>Laboratory Monitoring</w:t>
      </w:r>
    </w:p>
    <w:p w14:paraId="2902D205" w14:textId="2353FC3C" w:rsidR="006C5055" w:rsidRPr="0039396F" w:rsidRDefault="006C5055" w:rsidP="00536444">
      <w:pPr>
        <w:rPr>
          <w:rFonts w:asciiTheme="majorHAnsi" w:hAnsiTheme="majorHAnsi" w:cs="Times New Roman"/>
          <w:szCs w:val="24"/>
          <w:lang w:val="en-US"/>
        </w:rPr>
      </w:pPr>
      <w:r w:rsidRPr="0039396F">
        <w:rPr>
          <w:rFonts w:asciiTheme="majorHAnsi" w:hAnsiTheme="majorHAnsi" w:cs="Times New Roman"/>
          <w:i/>
          <w:szCs w:val="24"/>
          <w:u w:val="single"/>
          <w:lang w:val="en-US"/>
        </w:rPr>
        <w:t>PNH Laboratory Monitoring:</w:t>
      </w:r>
      <w:r w:rsidRPr="0039396F">
        <w:rPr>
          <w:rFonts w:asciiTheme="majorHAnsi" w:hAnsiTheme="majorHAnsi" w:cs="Times New Roman"/>
          <w:b/>
          <w:szCs w:val="24"/>
          <w:lang w:val="en-US"/>
        </w:rPr>
        <w:t xml:space="preserve"> </w:t>
      </w:r>
      <w:r w:rsidRPr="0039396F">
        <w:rPr>
          <w:rFonts w:asciiTheme="majorHAnsi" w:hAnsiTheme="majorHAnsi" w:cs="Times New Roman"/>
          <w:szCs w:val="24"/>
          <w:lang w:val="en-US"/>
        </w:rPr>
        <w:t>Patients</w:t>
      </w:r>
      <w:r w:rsidR="00DA4F23">
        <w:rPr>
          <w:rFonts w:asciiTheme="majorHAnsi" w:hAnsiTheme="majorHAnsi" w:cs="Times New Roman"/>
          <w:szCs w:val="24"/>
          <w:lang w:val="en-US"/>
        </w:rPr>
        <w:t xml:space="preserve"> with PNH</w:t>
      </w:r>
      <w:r w:rsidRPr="0039396F">
        <w:rPr>
          <w:rFonts w:asciiTheme="majorHAnsi" w:hAnsiTheme="majorHAnsi" w:cs="Times New Roman"/>
          <w:szCs w:val="24"/>
          <w:lang w:val="en-US"/>
        </w:rPr>
        <w:t xml:space="preserve"> should be monitored for signs and symptoms of intravascular </w:t>
      </w:r>
      <w:proofErr w:type="spellStart"/>
      <w:r w:rsidRPr="0039396F">
        <w:rPr>
          <w:rFonts w:asciiTheme="majorHAnsi" w:hAnsiTheme="majorHAnsi" w:cs="Times New Roman"/>
          <w:szCs w:val="24"/>
          <w:lang w:val="en-US"/>
        </w:rPr>
        <w:t>haemolysis</w:t>
      </w:r>
      <w:proofErr w:type="spellEnd"/>
      <w:r w:rsidRPr="0039396F">
        <w:rPr>
          <w:rFonts w:asciiTheme="majorHAnsi" w:hAnsiTheme="majorHAnsi" w:cs="Times New Roman"/>
          <w:szCs w:val="24"/>
          <w:lang w:val="en-US"/>
        </w:rPr>
        <w:t>, including serum lactate dehydrogenase (LDH) levels.  Patients</w:t>
      </w:r>
      <w:r w:rsidR="00DA4F23">
        <w:rPr>
          <w:rFonts w:asciiTheme="majorHAnsi" w:hAnsiTheme="majorHAnsi" w:cs="Times New Roman"/>
          <w:szCs w:val="24"/>
          <w:lang w:val="en-US"/>
        </w:rPr>
        <w:t xml:space="preserve"> with PNH</w:t>
      </w:r>
      <w:r w:rsidRPr="0039396F">
        <w:rPr>
          <w:rFonts w:asciiTheme="majorHAnsi" w:hAnsiTheme="majorHAnsi" w:cs="Times New Roman"/>
          <w:szCs w:val="24"/>
          <w:lang w:val="en-US"/>
        </w:rPr>
        <w:t xml:space="preserve"> receiving </w:t>
      </w:r>
      <w:r w:rsidR="00842A89" w:rsidRPr="0039396F">
        <w:rPr>
          <w:rFonts w:asciiTheme="majorHAnsi" w:hAnsiTheme="majorHAnsi" w:cs="Times New Roman"/>
        </w:rPr>
        <w:t>Soliris</w:t>
      </w:r>
      <w:r w:rsidRPr="0039396F">
        <w:rPr>
          <w:rFonts w:asciiTheme="majorHAnsi" w:hAnsiTheme="majorHAnsi" w:cs="Times New Roman"/>
          <w:szCs w:val="24"/>
          <w:lang w:val="en-US"/>
        </w:rPr>
        <w:t xml:space="preserve"> therapy should be monitored for intravascular </w:t>
      </w:r>
      <w:proofErr w:type="spellStart"/>
      <w:r w:rsidRPr="0039396F">
        <w:rPr>
          <w:rFonts w:asciiTheme="majorHAnsi" w:hAnsiTheme="majorHAnsi" w:cs="Times New Roman"/>
          <w:szCs w:val="24"/>
          <w:lang w:val="en-US"/>
        </w:rPr>
        <w:t>haemolysis</w:t>
      </w:r>
      <w:proofErr w:type="spellEnd"/>
      <w:r w:rsidRPr="0039396F">
        <w:rPr>
          <w:rFonts w:asciiTheme="majorHAnsi" w:hAnsiTheme="majorHAnsi" w:cs="Times New Roman"/>
          <w:szCs w:val="24"/>
          <w:lang w:val="en-US"/>
        </w:rPr>
        <w:t xml:space="preserve"> by measuring LDH levels and may require dose adjustment within the recommended 14</w:t>
      </w:r>
      <w:r w:rsidR="00925ABF">
        <w:rPr>
          <w:rFonts w:asciiTheme="majorHAnsi" w:hAnsiTheme="majorHAnsi" w:cs="Times New Roman"/>
          <w:szCs w:val="24"/>
          <w:lang w:val="en-US"/>
        </w:rPr>
        <w:t xml:space="preserve"> </w:t>
      </w:r>
      <w:r w:rsidRPr="0039396F">
        <w:rPr>
          <w:rFonts w:asciiTheme="majorHAnsi" w:hAnsiTheme="majorHAnsi" w:cs="Times New Roman"/>
          <w:szCs w:val="24"/>
          <w:lang w:val="en-US"/>
        </w:rPr>
        <w:t>±</w:t>
      </w:r>
      <w:r w:rsidR="00925ABF">
        <w:rPr>
          <w:rFonts w:asciiTheme="majorHAnsi" w:hAnsiTheme="majorHAnsi" w:cs="Times New Roman"/>
          <w:szCs w:val="24"/>
          <w:lang w:val="en-US"/>
        </w:rPr>
        <w:t xml:space="preserve"> </w:t>
      </w:r>
      <w:r w:rsidRPr="0039396F">
        <w:rPr>
          <w:rFonts w:asciiTheme="majorHAnsi" w:hAnsiTheme="majorHAnsi" w:cs="Times New Roman"/>
          <w:szCs w:val="24"/>
          <w:lang w:val="en-US"/>
        </w:rPr>
        <w:t>2 day dosing schedule during the maintenance phase (up to every 12 days).</w:t>
      </w:r>
    </w:p>
    <w:p w14:paraId="6C3FBFEA" w14:textId="704C0948" w:rsidR="006C5055" w:rsidRPr="0039396F" w:rsidRDefault="006C5055" w:rsidP="00402C04">
      <w:pPr>
        <w:spacing w:before="120"/>
        <w:rPr>
          <w:rFonts w:asciiTheme="majorHAnsi" w:hAnsiTheme="majorHAnsi" w:cs="Times New Roman"/>
          <w:szCs w:val="24"/>
          <w:lang w:val="en-US"/>
        </w:rPr>
      </w:pPr>
      <w:r w:rsidRPr="0039396F">
        <w:rPr>
          <w:rFonts w:asciiTheme="majorHAnsi" w:hAnsiTheme="majorHAnsi" w:cs="Times New Roman"/>
          <w:i/>
          <w:szCs w:val="24"/>
          <w:u w:val="single"/>
          <w:lang w:val="en-US"/>
        </w:rPr>
        <w:t>aHUS Laboratory Monitoring:</w:t>
      </w:r>
      <w:r w:rsidRPr="0039396F">
        <w:rPr>
          <w:rFonts w:asciiTheme="majorHAnsi" w:hAnsiTheme="majorHAnsi" w:cs="Times New Roman"/>
          <w:szCs w:val="24"/>
          <w:lang w:val="en-US"/>
        </w:rPr>
        <w:t xml:space="preserve"> </w:t>
      </w:r>
      <w:r w:rsidR="00DA4F23">
        <w:rPr>
          <w:rFonts w:asciiTheme="majorHAnsi" w:hAnsiTheme="majorHAnsi" w:cs="Times New Roman"/>
          <w:szCs w:val="24"/>
          <w:lang w:val="en-US"/>
        </w:rPr>
        <w:t>P</w:t>
      </w:r>
      <w:r w:rsidRPr="0039396F">
        <w:rPr>
          <w:rFonts w:asciiTheme="majorHAnsi" w:hAnsiTheme="majorHAnsi" w:cs="Times New Roman"/>
          <w:szCs w:val="24"/>
          <w:lang w:val="en-US"/>
        </w:rPr>
        <w:t>atients</w:t>
      </w:r>
      <w:r w:rsidR="00DA4F23">
        <w:rPr>
          <w:rFonts w:asciiTheme="majorHAnsi" w:hAnsiTheme="majorHAnsi" w:cs="Times New Roman"/>
          <w:szCs w:val="24"/>
          <w:lang w:val="en-US"/>
        </w:rPr>
        <w:t xml:space="preserve"> with </w:t>
      </w:r>
      <w:r w:rsidR="002333CE">
        <w:rPr>
          <w:rFonts w:asciiTheme="majorHAnsi" w:hAnsiTheme="majorHAnsi" w:cs="Times New Roman"/>
          <w:szCs w:val="24"/>
          <w:lang w:val="en-US"/>
        </w:rPr>
        <w:t>aHUS</w:t>
      </w:r>
      <w:r w:rsidRPr="0039396F">
        <w:rPr>
          <w:rFonts w:asciiTheme="majorHAnsi" w:hAnsiTheme="majorHAnsi" w:cs="Times New Roman"/>
          <w:szCs w:val="24"/>
          <w:lang w:val="en-US"/>
        </w:rPr>
        <w:t xml:space="preserve"> receiving </w:t>
      </w:r>
      <w:r w:rsidR="00842A89" w:rsidRPr="0039396F">
        <w:rPr>
          <w:rFonts w:asciiTheme="majorHAnsi" w:hAnsiTheme="majorHAnsi" w:cs="Times New Roman"/>
        </w:rPr>
        <w:t>Soliris</w:t>
      </w:r>
      <w:r w:rsidRPr="0039396F">
        <w:rPr>
          <w:rFonts w:asciiTheme="majorHAnsi" w:hAnsiTheme="majorHAnsi" w:cs="Times New Roman"/>
          <w:szCs w:val="24"/>
        </w:rPr>
        <w:t xml:space="preserve"> </w:t>
      </w:r>
      <w:r w:rsidRPr="0039396F">
        <w:rPr>
          <w:rFonts w:asciiTheme="majorHAnsi" w:hAnsiTheme="majorHAnsi" w:cs="Times New Roman"/>
          <w:szCs w:val="24"/>
          <w:lang w:val="en-US"/>
        </w:rPr>
        <w:t>should be monitored for thrombotic microangiopathy by measuring platelet counts, serum LDH levels and serum creatinine and may require dose adjustment within the recommended 14 ± 2 day dosing schedule during the maintenance phase (up to every 12 days).</w:t>
      </w:r>
    </w:p>
    <w:p w14:paraId="64B25364" w14:textId="77777777" w:rsidR="006C5055" w:rsidRPr="0039396F" w:rsidRDefault="006C5055" w:rsidP="00BF24C5">
      <w:pPr>
        <w:pStyle w:val="Heading3"/>
      </w:pPr>
      <w:r w:rsidRPr="0039396F">
        <w:lastRenderedPageBreak/>
        <w:t xml:space="preserve">Monitoring after </w:t>
      </w:r>
      <w:r w:rsidR="00842A89" w:rsidRPr="0039396F">
        <w:t>Soliris</w:t>
      </w:r>
      <w:r w:rsidRPr="0039396F">
        <w:t xml:space="preserve"> Discontinuation</w:t>
      </w:r>
    </w:p>
    <w:p w14:paraId="28360603" w14:textId="77777777" w:rsidR="006C5055" w:rsidRPr="0039396F" w:rsidRDefault="006C5055" w:rsidP="00536444">
      <w:pPr>
        <w:keepNext/>
        <w:tabs>
          <w:tab w:val="left" w:pos="567"/>
        </w:tabs>
        <w:autoSpaceDE w:val="0"/>
        <w:autoSpaceDN w:val="0"/>
        <w:adjustRightInd w:val="0"/>
        <w:rPr>
          <w:rFonts w:asciiTheme="majorHAnsi" w:hAnsiTheme="majorHAnsi" w:cs="Times New Roman"/>
          <w:b/>
          <w:szCs w:val="24"/>
        </w:rPr>
      </w:pPr>
      <w:r w:rsidRPr="0039396F">
        <w:rPr>
          <w:rFonts w:asciiTheme="majorHAnsi" w:hAnsiTheme="majorHAnsi" w:cs="Times New Roman"/>
          <w:i/>
          <w:szCs w:val="24"/>
          <w:u w:val="single"/>
        </w:rPr>
        <w:t>Treatment Discontinuation for PNH</w:t>
      </w:r>
      <w:r w:rsidRPr="0039396F">
        <w:rPr>
          <w:rFonts w:asciiTheme="majorHAnsi" w:hAnsiTheme="majorHAnsi" w:cs="Times New Roman"/>
          <w:b/>
          <w:szCs w:val="24"/>
        </w:rPr>
        <w:t xml:space="preserve"> </w:t>
      </w:r>
    </w:p>
    <w:p w14:paraId="3B915D08" w14:textId="300D1342" w:rsidR="006C5055" w:rsidRPr="0039396F" w:rsidRDefault="006C5055" w:rsidP="00536444">
      <w:pPr>
        <w:tabs>
          <w:tab w:val="left" w:pos="567"/>
        </w:tabs>
        <w:autoSpaceDE w:val="0"/>
        <w:autoSpaceDN w:val="0"/>
        <w:adjustRightInd w:val="0"/>
        <w:rPr>
          <w:rFonts w:asciiTheme="majorHAnsi" w:hAnsiTheme="majorHAnsi" w:cs="Times New Roman"/>
          <w:szCs w:val="24"/>
        </w:rPr>
      </w:pPr>
      <w:r w:rsidRPr="0039396F">
        <w:rPr>
          <w:rFonts w:asciiTheme="majorHAnsi" w:hAnsiTheme="majorHAnsi" w:cs="Times New Roman"/>
          <w:szCs w:val="24"/>
        </w:rPr>
        <w:t>If patients</w:t>
      </w:r>
      <w:r w:rsidR="00DA4F23">
        <w:rPr>
          <w:rFonts w:asciiTheme="majorHAnsi" w:hAnsiTheme="majorHAnsi" w:cs="Times New Roman"/>
          <w:szCs w:val="24"/>
        </w:rPr>
        <w:t xml:space="preserve"> with PNH</w:t>
      </w:r>
      <w:r w:rsidRPr="0039396F">
        <w:rPr>
          <w:rFonts w:asciiTheme="majorHAnsi" w:hAnsiTheme="majorHAnsi" w:cs="Times New Roman"/>
          <w:szCs w:val="24"/>
        </w:rPr>
        <w:t xml:space="preserve"> discontinue treatment with </w:t>
      </w:r>
      <w:r w:rsidR="00842A89" w:rsidRPr="0039396F">
        <w:rPr>
          <w:rFonts w:asciiTheme="majorHAnsi" w:hAnsiTheme="majorHAnsi" w:cs="Times New Roman"/>
        </w:rPr>
        <w:t>Soliris</w:t>
      </w:r>
      <w:r w:rsidRPr="0039396F">
        <w:rPr>
          <w:rFonts w:asciiTheme="majorHAnsi" w:hAnsiTheme="majorHAnsi" w:cs="Times New Roman"/>
          <w:szCs w:val="24"/>
        </w:rPr>
        <w:t xml:space="preserve"> they should be closely monitored for signs and symptoms of serious intravascular haemolysis.  Serious haemolysis is identified by serum LDH levels greater than the pre</w:t>
      </w:r>
      <w:r w:rsidRPr="0039396F">
        <w:rPr>
          <w:rFonts w:asciiTheme="majorHAnsi" w:hAnsiTheme="majorHAnsi" w:cs="Times New Roman"/>
          <w:szCs w:val="24"/>
        </w:rPr>
        <w:noBreakHyphen/>
        <w:t xml:space="preserve">treatment level, along with any of the following: greater than 25% absolute decrease in PNH </w:t>
      </w:r>
      <w:r w:rsidR="00446FF7">
        <w:rPr>
          <w:rFonts w:asciiTheme="majorHAnsi" w:hAnsiTheme="majorHAnsi" w:cs="Times New Roman"/>
          <w:szCs w:val="24"/>
        </w:rPr>
        <w:t xml:space="preserve">red blood cell </w:t>
      </w:r>
      <w:r w:rsidRPr="0039396F">
        <w:rPr>
          <w:rFonts w:asciiTheme="majorHAnsi" w:hAnsiTheme="majorHAnsi" w:cs="Times New Roman"/>
          <w:szCs w:val="24"/>
        </w:rPr>
        <w:t xml:space="preserve">clone size (in the absence of dilution due to transfusion) in one week or less; a haemoglobin level of &lt;5 g/dL or a decrease of &gt;4 g/dL in one week or less; angina; change in mental status; a 50% increase in serum creatinine level; or thrombosis.  Monitor any patient who discontinues </w:t>
      </w:r>
      <w:r w:rsidR="00842A89" w:rsidRPr="0039396F">
        <w:rPr>
          <w:rFonts w:asciiTheme="majorHAnsi" w:hAnsiTheme="majorHAnsi" w:cs="Times New Roman"/>
        </w:rPr>
        <w:t>Soliris</w:t>
      </w:r>
      <w:r w:rsidRPr="0039396F">
        <w:rPr>
          <w:rFonts w:asciiTheme="majorHAnsi" w:hAnsiTheme="majorHAnsi" w:cs="Times New Roman"/>
          <w:szCs w:val="24"/>
        </w:rPr>
        <w:t xml:space="preserve"> for at least 8 weeks to detect serious haemolysis and other reactions.</w:t>
      </w:r>
    </w:p>
    <w:p w14:paraId="52AAE1BC" w14:textId="77777777" w:rsidR="006C5055" w:rsidRPr="0039396F" w:rsidRDefault="006C5055" w:rsidP="00CE2010">
      <w:pPr>
        <w:tabs>
          <w:tab w:val="left" w:pos="567"/>
        </w:tabs>
        <w:autoSpaceDE w:val="0"/>
        <w:autoSpaceDN w:val="0"/>
        <w:adjustRightInd w:val="0"/>
        <w:spacing w:before="120"/>
        <w:rPr>
          <w:rFonts w:asciiTheme="majorHAnsi" w:hAnsiTheme="majorHAnsi" w:cs="Times New Roman"/>
          <w:szCs w:val="24"/>
        </w:rPr>
      </w:pPr>
      <w:r w:rsidRPr="0039396F">
        <w:rPr>
          <w:rFonts w:asciiTheme="majorHAnsi" w:hAnsiTheme="majorHAnsi" w:cs="Times New Roman"/>
          <w:szCs w:val="24"/>
        </w:rPr>
        <w:t xml:space="preserve">If serious haemolysis occurs after </w:t>
      </w:r>
      <w:r w:rsidR="00842A89" w:rsidRPr="0039396F">
        <w:rPr>
          <w:rFonts w:asciiTheme="majorHAnsi" w:hAnsiTheme="majorHAnsi" w:cs="Times New Roman"/>
        </w:rPr>
        <w:t>Soliris</w:t>
      </w:r>
      <w:r w:rsidRPr="0039396F">
        <w:rPr>
          <w:rFonts w:asciiTheme="majorHAnsi" w:hAnsiTheme="majorHAnsi" w:cs="Times New Roman"/>
          <w:szCs w:val="24"/>
        </w:rPr>
        <w:t xml:space="preserve"> discontinuation, consider the following procedures/treatments: blood transfusion (packed RBCs), or exchange transfusion if the PNH RBCs are &gt;50% of the total RBCs by flow cytometry; anticoagulation; corticosteroids; or reinstitution of </w:t>
      </w:r>
      <w:r w:rsidR="00842A89" w:rsidRPr="0039396F">
        <w:rPr>
          <w:rFonts w:asciiTheme="majorHAnsi" w:hAnsiTheme="majorHAnsi" w:cs="Times New Roman"/>
        </w:rPr>
        <w:t>Soliris</w:t>
      </w:r>
      <w:r w:rsidRPr="0039396F">
        <w:rPr>
          <w:rFonts w:asciiTheme="majorHAnsi" w:hAnsiTheme="majorHAnsi" w:cs="Times New Roman"/>
          <w:szCs w:val="24"/>
        </w:rPr>
        <w:t xml:space="preserve">.  In PNH clinical studies, 16 patients discontinued the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regimen.  Serious haemolysis was not observed.</w:t>
      </w:r>
    </w:p>
    <w:p w14:paraId="00A2BD5F" w14:textId="77777777" w:rsidR="006C5055" w:rsidRPr="0039396F" w:rsidRDefault="006C5055" w:rsidP="00CE2010">
      <w:pPr>
        <w:keepNext/>
        <w:tabs>
          <w:tab w:val="left" w:pos="567"/>
        </w:tabs>
        <w:autoSpaceDE w:val="0"/>
        <w:autoSpaceDN w:val="0"/>
        <w:adjustRightInd w:val="0"/>
        <w:spacing w:before="120"/>
        <w:rPr>
          <w:rFonts w:asciiTheme="majorHAnsi" w:hAnsiTheme="majorHAnsi" w:cs="Times New Roman"/>
          <w:b/>
          <w:szCs w:val="24"/>
        </w:rPr>
      </w:pPr>
      <w:r w:rsidRPr="0039396F">
        <w:rPr>
          <w:rFonts w:asciiTheme="majorHAnsi" w:hAnsiTheme="majorHAnsi" w:cs="Times New Roman"/>
          <w:i/>
          <w:szCs w:val="24"/>
          <w:u w:val="single"/>
        </w:rPr>
        <w:t>Treatment Discontinuation for aHUS</w:t>
      </w:r>
      <w:r w:rsidRPr="0039396F">
        <w:rPr>
          <w:rFonts w:asciiTheme="majorHAnsi" w:hAnsiTheme="majorHAnsi" w:cs="Times New Roman"/>
          <w:b/>
          <w:szCs w:val="24"/>
        </w:rPr>
        <w:t xml:space="preserve"> </w:t>
      </w:r>
    </w:p>
    <w:p w14:paraId="7E479157" w14:textId="00A88773" w:rsidR="006C5055" w:rsidRPr="0039396F" w:rsidRDefault="00C7722A" w:rsidP="00CE2010">
      <w:pPr>
        <w:tabs>
          <w:tab w:val="left" w:pos="567"/>
        </w:tabs>
        <w:autoSpaceDE w:val="0"/>
        <w:autoSpaceDN w:val="0"/>
        <w:adjustRightInd w:val="0"/>
        <w:spacing w:before="120"/>
        <w:rPr>
          <w:rFonts w:asciiTheme="majorHAnsi" w:hAnsiTheme="majorHAnsi" w:cs="Times New Roman"/>
          <w:szCs w:val="24"/>
        </w:rPr>
      </w:pPr>
      <w:r>
        <w:rPr>
          <w:rFonts w:asciiTheme="majorHAnsi" w:hAnsiTheme="majorHAnsi" w:cs="Times New Roman"/>
          <w:szCs w:val="24"/>
        </w:rPr>
        <w:t xml:space="preserve">Severe </w:t>
      </w:r>
      <w:r w:rsidR="009E1481">
        <w:rPr>
          <w:rFonts w:asciiTheme="majorHAnsi" w:hAnsiTheme="majorHAnsi" w:cs="Times New Roman"/>
          <w:szCs w:val="24"/>
        </w:rPr>
        <w:t>t</w:t>
      </w:r>
      <w:r w:rsidR="009E1481" w:rsidRPr="0039396F">
        <w:rPr>
          <w:rFonts w:asciiTheme="majorHAnsi" w:hAnsiTheme="majorHAnsi" w:cs="Times New Roman"/>
          <w:szCs w:val="24"/>
        </w:rPr>
        <w:t xml:space="preserve">hrombotic </w:t>
      </w:r>
      <w:r w:rsidR="006C5055" w:rsidRPr="0039396F">
        <w:rPr>
          <w:rFonts w:asciiTheme="majorHAnsi" w:hAnsiTheme="majorHAnsi" w:cs="Times New Roman"/>
          <w:szCs w:val="24"/>
        </w:rPr>
        <w:t xml:space="preserve">microangiopathy (TMA) complications </w:t>
      </w:r>
      <w:r w:rsidR="002B53A4">
        <w:rPr>
          <w:rFonts w:asciiTheme="majorHAnsi" w:hAnsiTheme="majorHAnsi" w:cs="Times New Roman"/>
          <w:szCs w:val="24"/>
        </w:rPr>
        <w:t>were</w:t>
      </w:r>
      <w:r w:rsidR="006C5055" w:rsidRPr="0039396F">
        <w:rPr>
          <w:rFonts w:asciiTheme="majorHAnsi" w:hAnsiTheme="majorHAnsi" w:cs="Times New Roman"/>
          <w:szCs w:val="24"/>
        </w:rPr>
        <w:t xml:space="preserve"> observed following </w:t>
      </w:r>
      <w:r w:rsidR="00842A89" w:rsidRPr="0039396F">
        <w:rPr>
          <w:rFonts w:asciiTheme="majorHAnsi" w:hAnsiTheme="majorHAnsi" w:cs="Times New Roman"/>
        </w:rPr>
        <w:t>Soliris</w:t>
      </w:r>
      <w:r w:rsidR="006C5055" w:rsidRPr="0039396F">
        <w:rPr>
          <w:rFonts w:asciiTheme="majorHAnsi" w:hAnsiTheme="majorHAnsi" w:cs="Times New Roman"/>
          <w:szCs w:val="24"/>
        </w:rPr>
        <w:t xml:space="preserve"> discontinuation in aHUS clinical studies </w:t>
      </w:r>
      <w:r w:rsidR="002B53A4">
        <w:rPr>
          <w:rFonts w:asciiTheme="majorHAnsi" w:hAnsiTheme="majorHAnsi" w:cs="Times New Roman"/>
          <w:szCs w:val="24"/>
        </w:rPr>
        <w:t>(</w:t>
      </w:r>
      <w:r w:rsidR="006C5055" w:rsidRPr="0039396F">
        <w:rPr>
          <w:rFonts w:asciiTheme="majorHAnsi" w:hAnsiTheme="majorHAnsi" w:cs="Times New Roman"/>
          <w:szCs w:val="24"/>
        </w:rPr>
        <w:t>in some patients up to 127 weeks after discontinuation</w:t>
      </w:r>
      <w:r w:rsidR="002B53A4">
        <w:rPr>
          <w:rFonts w:asciiTheme="majorHAnsi" w:hAnsiTheme="majorHAnsi" w:cs="Times New Roman"/>
          <w:szCs w:val="24"/>
        </w:rPr>
        <w:t>) and can occur at any time</w:t>
      </w:r>
      <w:r w:rsidR="006C5055" w:rsidRPr="0039396F">
        <w:rPr>
          <w:rFonts w:asciiTheme="majorHAnsi" w:hAnsiTheme="majorHAnsi" w:cs="Times New Roman"/>
          <w:szCs w:val="24"/>
        </w:rPr>
        <w:t>. Discontinuation of treatment is not recommended unless medically justified. Close monitoring of patients</w:t>
      </w:r>
      <w:r w:rsidR="00DA4F23">
        <w:rPr>
          <w:rFonts w:asciiTheme="majorHAnsi" w:hAnsiTheme="majorHAnsi" w:cs="Times New Roman"/>
          <w:szCs w:val="24"/>
        </w:rPr>
        <w:t xml:space="preserve"> with aHUS</w:t>
      </w:r>
      <w:r w:rsidR="006C5055" w:rsidRPr="0039396F">
        <w:rPr>
          <w:rFonts w:asciiTheme="majorHAnsi" w:hAnsiTheme="majorHAnsi" w:cs="Times New Roman"/>
          <w:szCs w:val="24"/>
        </w:rPr>
        <w:t xml:space="preserve"> who discontinue </w:t>
      </w:r>
      <w:r w:rsidR="00842A89" w:rsidRPr="0039396F">
        <w:rPr>
          <w:rFonts w:asciiTheme="majorHAnsi" w:hAnsiTheme="majorHAnsi" w:cs="Times New Roman"/>
        </w:rPr>
        <w:t>Soliris</w:t>
      </w:r>
      <w:r w:rsidR="006C5055" w:rsidRPr="0039396F">
        <w:rPr>
          <w:rFonts w:asciiTheme="majorHAnsi" w:hAnsiTheme="majorHAnsi" w:cs="Times New Roman"/>
          <w:szCs w:val="24"/>
        </w:rPr>
        <w:t xml:space="preserve"> treatment for signs and symptoms of severe TMA complications should commence immediately after discontinuation. </w:t>
      </w:r>
    </w:p>
    <w:p w14:paraId="1A9FC0C7" w14:textId="77777777" w:rsidR="006C5055" w:rsidRPr="0039396F" w:rsidRDefault="006C5055" w:rsidP="00CE2010">
      <w:pPr>
        <w:tabs>
          <w:tab w:val="left" w:pos="567"/>
        </w:tabs>
        <w:autoSpaceDE w:val="0"/>
        <w:autoSpaceDN w:val="0"/>
        <w:adjustRightInd w:val="0"/>
        <w:spacing w:before="120"/>
        <w:rPr>
          <w:rFonts w:asciiTheme="majorHAnsi" w:hAnsiTheme="majorHAnsi" w:cs="Times New Roman"/>
          <w:szCs w:val="24"/>
        </w:rPr>
      </w:pPr>
      <w:r w:rsidRPr="0039396F">
        <w:rPr>
          <w:rFonts w:asciiTheme="majorHAnsi" w:hAnsiTheme="majorHAnsi" w:cs="Times New Roman"/>
          <w:szCs w:val="24"/>
        </w:rPr>
        <w:t xml:space="preserve">Severe TMA complications post discontinuation can be identified by; </w:t>
      </w:r>
    </w:p>
    <w:p w14:paraId="7DB34F35" w14:textId="77777777" w:rsidR="006C5055" w:rsidRPr="0039396F" w:rsidRDefault="006C5055" w:rsidP="00CE2010">
      <w:pPr>
        <w:pStyle w:val="ListParagraph"/>
        <w:numPr>
          <w:ilvl w:val="0"/>
          <w:numId w:val="6"/>
        </w:numPr>
        <w:tabs>
          <w:tab w:val="left" w:pos="720"/>
        </w:tabs>
        <w:autoSpaceDE w:val="0"/>
        <w:autoSpaceDN w:val="0"/>
        <w:adjustRightInd w:val="0"/>
        <w:spacing w:before="120" w:after="240"/>
        <w:rPr>
          <w:rFonts w:asciiTheme="majorHAnsi" w:hAnsiTheme="majorHAnsi" w:cs="Times New Roman"/>
          <w:szCs w:val="24"/>
          <w:lang w:val="en-US"/>
        </w:rPr>
      </w:pPr>
      <w:r w:rsidRPr="0039396F">
        <w:rPr>
          <w:rFonts w:asciiTheme="majorHAnsi" w:hAnsiTheme="majorHAnsi" w:cs="Times New Roman"/>
          <w:szCs w:val="24"/>
        </w:rPr>
        <w:t xml:space="preserve">any two, or repeated measurement of any one of the following: a decrease in platelet count of 25% or more as compared to either baseline or to peak platelet count during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an increase in serum creatinine of 25% or more as compared to baseline or to nadir during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or, an increase in serum LDH of 25% or more as compared to baseline or to nadir during </w:t>
      </w:r>
      <w:r w:rsidR="00842A89" w:rsidRPr="0039396F">
        <w:rPr>
          <w:rFonts w:asciiTheme="majorHAnsi" w:hAnsiTheme="majorHAnsi" w:cs="Times New Roman"/>
        </w:rPr>
        <w:t>Soliris</w:t>
      </w:r>
      <w:r w:rsidRPr="0039396F">
        <w:rPr>
          <w:rFonts w:asciiTheme="majorHAnsi" w:hAnsiTheme="majorHAnsi" w:cs="Times New Roman"/>
          <w:szCs w:val="24"/>
        </w:rPr>
        <w:t xml:space="preserve"> treatment; or </w:t>
      </w:r>
    </w:p>
    <w:p w14:paraId="62F297F1" w14:textId="77777777" w:rsidR="006C5055" w:rsidRPr="0039396F" w:rsidRDefault="006C5055" w:rsidP="00CE2010">
      <w:pPr>
        <w:pStyle w:val="ListParagraph"/>
        <w:numPr>
          <w:ilvl w:val="0"/>
          <w:numId w:val="6"/>
        </w:numPr>
        <w:tabs>
          <w:tab w:val="left" w:pos="720"/>
        </w:tabs>
        <w:autoSpaceDE w:val="0"/>
        <w:autoSpaceDN w:val="0"/>
        <w:adjustRightInd w:val="0"/>
        <w:spacing w:before="120"/>
        <w:rPr>
          <w:rFonts w:asciiTheme="majorHAnsi" w:hAnsiTheme="majorHAnsi" w:cs="Times New Roman"/>
          <w:szCs w:val="24"/>
          <w:lang w:val="en-US"/>
        </w:rPr>
      </w:pPr>
      <w:r w:rsidRPr="0039396F">
        <w:rPr>
          <w:rFonts w:asciiTheme="majorHAnsi" w:hAnsiTheme="majorHAnsi" w:cs="Times New Roman"/>
          <w:szCs w:val="24"/>
        </w:rPr>
        <w:t>any one of the following: a change in mental status or seizures; angina or dyspnoea; or thrombosis.</w:t>
      </w:r>
    </w:p>
    <w:p w14:paraId="0FBBE3C7" w14:textId="5C60EA4B" w:rsidR="006C5055" w:rsidRPr="0039396F" w:rsidRDefault="006C5055" w:rsidP="00CE2010">
      <w:pPr>
        <w:spacing w:before="120"/>
        <w:rPr>
          <w:rFonts w:asciiTheme="majorHAnsi" w:hAnsiTheme="majorHAnsi" w:cs="Times New Roman"/>
          <w:szCs w:val="24"/>
        </w:rPr>
      </w:pPr>
      <w:r w:rsidRPr="0039396F">
        <w:rPr>
          <w:rFonts w:asciiTheme="majorHAnsi" w:hAnsiTheme="majorHAnsi" w:cs="Times New Roman"/>
          <w:szCs w:val="24"/>
        </w:rPr>
        <w:t>Monitoring may be insufficient to predict or prevent severe TMA complications in patients</w:t>
      </w:r>
      <w:r w:rsidR="00A8461F">
        <w:rPr>
          <w:rFonts w:asciiTheme="majorHAnsi" w:hAnsiTheme="majorHAnsi" w:cs="Times New Roman"/>
          <w:szCs w:val="24"/>
        </w:rPr>
        <w:t xml:space="preserve"> with aHUS</w:t>
      </w:r>
      <w:r w:rsidR="00536444" w:rsidRPr="0039396F">
        <w:rPr>
          <w:rFonts w:asciiTheme="majorHAnsi" w:hAnsiTheme="majorHAnsi" w:cs="Times New Roman"/>
          <w:szCs w:val="24"/>
        </w:rPr>
        <w:t>.</w:t>
      </w:r>
    </w:p>
    <w:p w14:paraId="361DF9FF" w14:textId="77777777" w:rsidR="006C5055" w:rsidRPr="0039396F" w:rsidRDefault="006C5055" w:rsidP="00CE2010">
      <w:pPr>
        <w:spacing w:before="120"/>
        <w:rPr>
          <w:rFonts w:asciiTheme="majorHAnsi" w:hAnsiTheme="majorHAnsi" w:cs="Times New Roman"/>
          <w:bCs/>
        </w:rPr>
      </w:pPr>
      <w:r w:rsidRPr="0039396F">
        <w:rPr>
          <w:rFonts w:asciiTheme="majorHAnsi" w:hAnsiTheme="majorHAnsi" w:cs="Times New Roman"/>
        </w:rPr>
        <w:t xml:space="preserve">If severe TMA complications occur after </w:t>
      </w:r>
      <w:r w:rsidR="006C4F8B" w:rsidRPr="0039396F">
        <w:rPr>
          <w:rFonts w:asciiTheme="majorHAnsi" w:hAnsiTheme="majorHAnsi" w:cs="Times New Roman"/>
        </w:rPr>
        <w:t>Soliris</w:t>
      </w:r>
      <w:r w:rsidRPr="0039396F">
        <w:rPr>
          <w:rFonts w:asciiTheme="majorHAnsi" w:hAnsiTheme="majorHAnsi" w:cs="Times New Roman"/>
        </w:rPr>
        <w:t xml:space="preserve"> discontinuation, consider reinstitution of </w:t>
      </w:r>
      <w:r w:rsidR="006C4F8B" w:rsidRPr="0039396F">
        <w:rPr>
          <w:rFonts w:asciiTheme="majorHAnsi" w:hAnsiTheme="majorHAnsi" w:cs="Times New Roman"/>
        </w:rPr>
        <w:t>Soliris</w:t>
      </w:r>
      <w:r w:rsidRPr="0039396F">
        <w:rPr>
          <w:rFonts w:asciiTheme="majorHAnsi" w:hAnsiTheme="majorHAnsi" w:cs="Times New Roman"/>
        </w:rPr>
        <w:t xml:space="preserve"> treatment, supportive care with PE/PI, or appropriate organ-specific supportive measures including renal support with dialysis, respiratory support with mechanical ventilation or anticoagulation.  </w:t>
      </w:r>
    </w:p>
    <w:p w14:paraId="370C8806" w14:textId="77777777" w:rsidR="006C5055" w:rsidRDefault="006C5055" w:rsidP="00CE2010">
      <w:pPr>
        <w:spacing w:before="120"/>
        <w:rPr>
          <w:rFonts w:asciiTheme="majorHAnsi" w:hAnsiTheme="majorHAnsi" w:cs="Times New Roman"/>
        </w:rPr>
      </w:pPr>
      <w:r w:rsidRPr="0039396F">
        <w:rPr>
          <w:rFonts w:asciiTheme="majorHAnsi" w:hAnsiTheme="majorHAnsi" w:cs="Times New Roman"/>
          <w:bCs/>
        </w:rPr>
        <w:t>Sixty one</w:t>
      </w:r>
      <w:r w:rsidRPr="0039396F">
        <w:rPr>
          <w:rFonts w:asciiTheme="majorHAnsi" w:hAnsiTheme="majorHAnsi" w:cs="Times New Roman"/>
        </w:rPr>
        <w:t xml:space="preserve"> patients (21 paediatric) discontinued </w:t>
      </w:r>
      <w:r w:rsidR="006C4F8B" w:rsidRPr="0039396F">
        <w:rPr>
          <w:rFonts w:asciiTheme="majorHAnsi" w:hAnsiTheme="majorHAnsi" w:cs="Times New Roman"/>
        </w:rPr>
        <w:t>Soliris</w:t>
      </w:r>
      <w:r w:rsidRPr="0039396F">
        <w:rPr>
          <w:rFonts w:asciiTheme="majorHAnsi" w:hAnsiTheme="majorHAnsi" w:cs="Times New Roman"/>
        </w:rPr>
        <w:t xml:space="preserve"> in the aHUS clinical trials (median follow up 24 weeks).</w:t>
      </w:r>
      <w:r w:rsidR="00840A11">
        <w:rPr>
          <w:rFonts w:asciiTheme="majorHAnsi" w:hAnsiTheme="majorHAnsi" w:cs="Times New Roman"/>
        </w:rPr>
        <w:t xml:space="preserve"> </w:t>
      </w:r>
      <w:r w:rsidRPr="0039396F">
        <w:rPr>
          <w:rFonts w:asciiTheme="majorHAnsi" w:hAnsiTheme="majorHAnsi" w:cs="Times New Roman"/>
        </w:rPr>
        <w:t xml:space="preserve">Fifteen severe </w:t>
      </w:r>
      <w:r w:rsidRPr="0039396F">
        <w:rPr>
          <w:rFonts w:asciiTheme="majorHAnsi" w:hAnsiTheme="majorHAnsi" w:cs="Times New Roman"/>
          <w:bCs/>
        </w:rPr>
        <w:t>TMA</w:t>
      </w:r>
      <w:r w:rsidRPr="0039396F">
        <w:rPr>
          <w:rFonts w:asciiTheme="majorHAnsi" w:hAnsiTheme="majorHAnsi" w:cs="Times New Roman"/>
        </w:rPr>
        <w:t xml:space="preserve"> complications were observed in 12 patients following treatment discontinuation, and</w:t>
      </w:r>
      <w:r w:rsidRPr="0039396F">
        <w:rPr>
          <w:rFonts w:asciiTheme="majorHAnsi" w:hAnsiTheme="majorHAnsi" w:cs="Times New Roman"/>
          <w:bCs/>
        </w:rPr>
        <w:t xml:space="preserve"> 2 severe TMA complications occurred in 2 additional patients that received a reduced </w:t>
      </w:r>
      <w:r w:rsidR="006C4F8B" w:rsidRPr="0039396F">
        <w:rPr>
          <w:rFonts w:asciiTheme="majorHAnsi" w:hAnsiTheme="majorHAnsi" w:cs="Times New Roman"/>
        </w:rPr>
        <w:t>Soliris</w:t>
      </w:r>
      <w:r w:rsidRPr="0039396F">
        <w:rPr>
          <w:rFonts w:asciiTheme="majorHAnsi" w:hAnsiTheme="majorHAnsi" w:cs="Times New Roman"/>
          <w:bCs/>
        </w:rPr>
        <w:t xml:space="preserve"> dose outside the approved dosing regimen. </w:t>
      </w:r>
      <w:r w:rsidR="00840A11">
        <w:rPr>
          <w:rFonts w:asciiTheme="majorHAnsi" w:hAnsiTheme="majorHAnsi" w:cs="Times New Roman"/>
          <w:bCs/>
        </w:rPr>
        <w:t xml:space="preserve"> </w:t>
      </w:r>
      <w:r w:rsidRPr="0039396F">
        <w:rPr>
          <w:rFonts w:asciiTheme="majorHAnsi" w:hAnsiTheme="majorHAnsi" w:cs="Times New Roman"/>
        </w:rPr>
        <w:t>Severe TMA complications occurred regardless of whether the patient had an identified genetic mutation, high risk polymorphism or auto-antibodies.</w:t>
      </w:r>
      <w:r w:rsidR="00840A11">
        <w:rPr>
          <w:rFonts w:asciiTheme="majorHAnsi" w:hAnsiTheme="majorHAnsi" w:cs="Times New Roman"/>
        </w:rPr>
        <w:t xml:space="preserve"> </w:t>
      </w:r>
      <w:r w:rsidRPr="0039396F">
        <w:rPr>
          <w:rFonts w:asciiTheme="majorHAnsi" w:hAnsiTheme="majorHAnsi" w:cs="Times New Roman"/>
        </w:rPr>
        <w:t xml:space="preserve">Additional </w:t>
      </w:r>
      <w:r w:rsidRPr="0039396F">
        <w:rPr>
          <w:rFonts w:asciiTheme="majorHAnsi" w:hAnsiTheme="majorHAnsi" w:cs="Times New Roman"/>
        </w:rPr>
        <w:lastRenderedPageBreak/>
        <w:t xml:space="preserve">serious medical complications occurred in these patients, including severe worsening of kidney function, progression to end stage renal disease requiring dialysis and disease-related </w:t>
      </w:r>
      <w:r w:rsidR="00812726" w:rsidRPr="0039396F">
        <w:rPr>
          <w:rFonts w:asciiTheme="majorHAnsi" w:hAnsiTheme="majorHAnsi" w:cs="Times New Roman"/>
        </w:rPr>
        <w:t>hospitali</w:t>
      </w:r>
      <w:r w:rsidR="00812726">
        <w:rPr>
          <w:rFonts w:asciiTheme="majorHAnsi" w:hAnsiTheme="majorHAnsi" w:cs="Times New Roman"/>
        </w:rPr>
        <w:t>s</w:t>
      </w:r>
      <w:r w:rsidR="00812726" w:rsidRPr="0039396F">
        <w:rPr>
          <w:rFonts w:asciiTheme="majorHAnsi" w:hAnsiTheme="majorHAnsi" w:cs="Times New Roman"/>
        </w:rPr>
        <w:t>ation</w:t>
      </w:r>
      <w:r w:rsidRPr="0039396F">
        <w:rPr>
          <w:rFonts w:asciiTheme="majorHAnsi" w:hAnsiTheme="majorHAnsi" w:cs="Times New Roman"/>
        </w:rPr>
        <w:t>.</w:t>
      </w:r>
      <w:r w:rsidR="00840A11">
        <w:rPr>
          <w:rFonts w:asciiTheme="majorHAnsi" w:hAnsiTheme="majorHAnsi" w:cs="Times New Roman"/>
        </w:rPr>
        <w:t xml:space="preserve"> </w:t>
      </w:r>
      <w:r w:rsidRPr="0039396F">
        <w:rPr>
          <w:rFonts w:asciiTheme="majorHAnsi" w:hAnsiTheme="majorHAnsi" w:cs="Times New Roman"/>
        </w:rPr>
        <w:t xml:space="preserve">Despite </w:t>
      </w:r>
      <w:r w:rsidR="006C4F8B" w:rsidRPr="0039396F">
        <w:rPr>
          <w:rFonts w:asciiTheme="majorHAnsi" w:hAnsiTheme="majorHAnsi" w:cs="Times New Roman"/>
        </w:rPr>
        <w:t>Soliris</w:t>
      </w:r>
      <w:r w:rsidRPr="0039396F">
        <w:rPr>
          <w:rFonts w:asciiTheme="majorHAnsi" w:hAnsiTheme="majorHAnsi" w:cs="Times New Roman"/>
        </w:rPr>
        <w:t xml:space="preserve"> re-initiation following discontinuation, progression to end stage renal disease occurred in 1 patient.</w:t>
      </w:r>
    </w:p>
    <w:p w14:paraId="76CB2698" w14:textId="77777777" w:rsidR="00925ABF" w:rsidRDefault="00925ABF" w:rsidP="00CE2010">
      <w:pPr>
        <w:spacing w:before="120"/>
        <w:rPr>
          <w:rFonts w:asciiTheme="majorHAnsi" w:hAnsiTheme="majorHAnsi" w:cs="Times New Roman"/>
          <w:i/>
          <w:szCs w:val="24"/>
          <w:u w:val="single"/>
        </w:rPr>
      </w:pPr>
      <w:r w:rsidRPr="0039396F">
        <w:rPr>
          <w:rFonts w:asciiTheme="majorHAnsi" w:hAnsiTheme="majorHAnsi" w:cs="Times New Roman"/>
          <w:i/>
          <w:szCs w:val="24"/>
          <w:u w:val="single"/>
        </w:rPr>
        <w:t>Treatment Discontinuation for</w:t>
      </w:r>
      <w:r>
        <w:rPr>
          <w:rFonts w:asciiTheme="majorHAnsi" w:hAnsiTheme="majorHAnsi" w:cs="Times New Roman"/>
          <w:i/>
          <w:szCs w:val="24"/>
          <w:u w:val="single"/>
        </w:rPr>
        <w:t xml:space="preserve"> NMOSD</w:t>
      </w:r>
    </w:p>
    <w:p w14:paraId="6A947BF1" w14:textId="77777777" w:rsidR="00925ABF" w:rsidRPr="00925ABF" w:rsidRDefault="00925ABF" w:rsidP="00CE2010">
      <w:pPr>
        <w:spacing w:before="120"/>
        <w:rPr>
          <w:rFonts w:asciiTheme="majorHAnsi" w:hAnsiTheme="majorHAnsi" w:cs="Times New Roman"/>
        </w:rPr>
      </w:pPr>
      <w:r w:rsidRPr="00925ABF">
        <w:rPr>
          <w:rFonts w:asciiTheme="majorHAnsi" w:hAnsiTheme="majorHAnsi" w:cs="Times New Roman"/>
        </w:rPr>
        <w:t>Use of Soliris in NMOSD treatment has been studied only in the setting of chronic administration and the effect of Soliris discontinuation has not been characteri</w:t>
      </w:r>
      <w:r>
        <w:rPr>
          <w:rFonts w:asciiTheme="majorHAnsi" w:hAnsiTheme="majorHAnsi" w:cs="Times New Roman"/>
        </w:rPr>
        <w:t>s</w:t>
      </w:r>
      <w:r w:rsidRPr="00925ABF">
        <w:rPr>
          <w:rFonts w:asciiTheme="majorHAnsi" w:hAnsiTheme="majorHAnsi" w:cs="Times New Roman"/>
        </w:rPr>
        <w:t>ed. Patients who discontinue Soliris treatment should be carefully monitored for signs and symptoms of potential NMOSD relapse.</w:t>
      </w:r>
    </w:p>
    <w:p w14:paraId="5D63CDF3" w14:textId="77777777" w:rsidR="006C5055" w:rsidRPr="00926FE7" w:rsidRDefault="006C5055" w:rsidP="00BF24C5">
      <w:pPr>
        <w:pStyle w:val="Heading3"/>
      </w:pPr>
      <w:r w:rsidRPr="00664A08">
        <w:t>Educational Materials</w:t>
      </w:r>
      <w:r w:rsidRPr="00926FE7">
        <w:t xml:space="preserve"> </w:t>
      </w:r>
    </w:p>
    <w:p w14:paraId="58E0D7B7" w14:textId="77777777" w:rsidR="00536444" w:rsidRPr="0039396F" w:rsidRDefault="006C5055" w:rsidP="000D7936">
      <w:pPr>
        <w:spacing w:after="120"/>
        <w:rPr>
          <w:rFonts w:asciiTheme="majorHAnsi" w:hAnsiTheme="majorHAnsi" w:cs="Times New Roman"/>
          <w:szCs w:val="24"/>
        </w:rPr>
      </w:pPr>
      <w:r w:rsidRPr="0039396F">
        <w:rPr>
          <w:rFonts w:asciiTheme="majorHAnsi" w:hAnsiTheme="majorHAnsi" w:cs="Times New Roman"/>
          <w:szCs w:val="24"/>
        </w:rPr>
        <w:t xml:space="preserve">All physicians who intend to prescribe </w:t>
      </w:r>
      <w:r w:rsidR="006C4F8B" w:rsidRPr="0039396F">
        <w:rPr>
          <w:rFonts w:asciiTheme="majorHAnsi" w:hAnsiTheme="majorHAnsi" w:cs="Times New Roman"/>
        </w:rPr>
        <w:t>Soliris</w:t>
      </w:r>
      <w:r w:rsidRPr="0039396F">
        <w:rPr>
          <w:rFonts w:asciiTheme="majorHAnsi" w:hAnsiTheme="majorHAnsi" w:cs="Times New Roman"/>
          <w:szCs w:val="24"/>
        </w:rPr>
        <w:t xml:space="preserve"> must ensure they are familiar with the physician’s guide to prescribing. Physicians must discuss the benefits and risks of </w:t>
      </w:r>
      <w:r w:rsidR="006C4F8B" w:rsidRPr="0039396F">
        <w:rPr>
          <w:rFonts w:asciiTheme="majorHAnsi" w:hAnsiTheme="majorHAnsi" w:cs="Times New Roman"/>
        </w:rPr>
        <w:t>Soliris</w:t>
      </w:r>
      <w:r w:rsidRPr="0039396F">
        <w:rPr>
          <w:rFonts w:asciiTheme="majorHAnsi" w:hAnsiTheme="majorHAnsi" w:cs="Times New Roman"/>
          <w:szCs w:val="24"/>
        </w:rPr>
        <w:t xml:space="preserve"> therapy with patients and </w:t>
      </w:r>
      <w:r w:rsidRPr="00664A08">
        <w:rPr>
          <w:rFonts w:asciiTheme="majorHAnsi" w:hAnsiTheme="majorHAnsi" w:cs="Times New Roman"/>
          <w:szCs w:val="24"/>
        </w:rPr>
        <w:t>provide them with a Patient</w:t>
      </w:r>
      <w:r w:rsidR="00664A08" w:rsidRPr="00664A08">
        <w:rPr>
          <w:rFonts w:asciiTheme="majorHAnsi" w:hAnsiTheme="majorHAnsi" w:cs="Times New Roman"/>
          <w:szCs w:val="24"/>
        </w:rPr>
        <w:t>/Parent</w:t>
      </w:r>
      <w:r w:rsidRPr="00664A08">
        <w:rPr>
          <w:rFonts w:asciiTheme="majorHAnsi" w:hAnsiTheme="majorHAnsi" w:cs="Times New Roman"/>
          <w:szCs w:val="24"/>
        </w:rPr>
        <w:t xml:space="preserve"> </w:t>
      </w:r>
      <w:r w:rsidR="008601B4">
        <w:rPr>
          <w:rFonts w:asciiTheme="majorHAnsi" w:hAnsiTheme="majorHAnsi" w:cs="Times New Roman"/>
          <w:szCs w:val="24"/>
        </w:rPr>
        <w:t>G</w:t>
      </w:r>
      <w:r w:rsidR="00664A08" w:rsidRPr="00664A08">
        <w:rPr>
          <w:rFonts w:asciiTheme="majorHAnsi" w:hAnsiTheme="majorHAnsi" w:cs="Times New Roman"/>
          <w:szCs w:val="24"/>
        </w:rPr>
        <w:t>uide</w:t>
      </w:r>
      <w:r w:rsidRPr="00664A08">
        <w:rPr>
          <w:rFonts w:asciiTheme="majorHAnsi" w:hAnsiTheme="majorHAnsi" w:cs="Times New Roman"/>
          <w:szCs w:val="24"/>
        </w:rPr>
        <w:t xml:space="preserve"> and a Patien</w:t>
      </w:r>
      <w:r w:rsidR="00AF4009" w:rsidRPr="00664A08">
        <w:rPr>
          <w:rFonts w:asciiTheme="majorHAnsi" w:hAnsiTheme="majorHAnsi" w:cs="Times New Roman"/>
          <w:szCs w:val="24"/>
        </w:rPr>
        <w:t xml:space="preserve">t Safety </w:t>
      </w:r>
      <w:r w:rsidR="00664A08" w:rsidRPr="00664A08">
        <w:rPr>
          <w:rFonts w:asciiTheme="majorHAnsi" w:hAnsiTheme="majorHAnsi" w:cs="Times New Roman"/>
          <w:szCs w:val="24"/>
        </w:rPr>
        <w:t xml:space="preserve">Information </w:t>
      </w:r>
      <w:r w:rsidR="00AF4009" w:rsidRPr="00664A08">
        <w:rPr>
          <w:rFonts w:asciiTheme="majorHAnsi" w:hAnsiTheme="majorHAnsi" w:cs="Times New Roman"/>
          <w:szCs w:val="24"/>
        </w:rPr>
        <w:t>Card</w:t>
      </w:r>
      <w:r w:rsidR="00AF4009" w:rsidRPr="0039396F">
        <w:rPr>
          <w:rFonts w:asciiTheme="majorHAnsi" w:hAnsiTheme="majorHAnsi" w:cs="Times New Roman"/>
          <w:szCs w:val="24"/>
        </w:rPr>
        <w:t>.</w:t>
      </w:r>
    </w:p>
    <w:p w14:paraId="24EF069E" w14:textId="77777777" w:rsidR="006C5055" w:rsidRDefault="006C5055" w:rsidP="00AF4009">
      <w:pPr>
        <w:rPr>
          <w:rFonts w:asciiTheme="majorHAnsi" w:hAnsiTheme="majorHAnsi" w:cs="Times New Roman"/>
          <w:szCs w:val="24"/>
        </w:rPr>
      </w:pPr>
      <w:r w:rsidRPr="0039396F">
        <w:rPr>
          <w:rFonts w:asciiTheme="majorHAnsi" w:hAnsiTheme="majorHAnsi" w:cs="Times New Roman"/>
          <w:szCs w:val="24"/>
        </w:rPr>
        <w:t>Patients should be instructed that if they develop fever, headache accompanied with fever and/or stiff neck or sensitivity to light, they should immediately seek medical care as these signs may be indicative of meningococcal infection.</w:t>
      </w:r>
    </w:p>
    <w:p w14:paraId="00DD952C" w14:textId="77777777" w:rsidR="006C5055" w:rsidRPr="00926FE7" w:rsidRDefault="006C5055" w:rsidP="00BF24C5">
      <w:pPr>
        <w:pStyle w:val="Heading3"/>
      </w:pPr>
      <w:r w:rsidRPr="00926FE7">
        <w:t xml:space="preserve">Patients on </w:t>
      </w:r>
      <w:r w:rsidR="003E4DE1">
        <w:t>C</w:t>
      </w:r>
      <w:r w:rsidR="003E4DE1" w:rsidRPr="00926FE7">
        <w:t xml:space="preserve">ontrolled </w:t>
      </w:r>
      <w:r w:rsidR="003E4DE1">
        <w:t>S</w:t>
      </w:r>
      <w:r w:rsidR="003E4DE1" w:rsidRPr="00926FE7">
        <w:t xml:space="preserve">odium </w:t>
      </w:r>
      <w:r w:rsidR="003E4DE1">
        <w:t>D</w:t>
      </w:r>
      <w:r w:rsidR="003E4DE1" w:rsidRPr="00926FE7">
        <w:t>iets</w:t>
      </w:r>
    </w:p>
    <w:p w14:paraId="4FB06E2F" w14:textId="77777777" w:rsidR="006C5055" w:rsidRPr="0039396F" w:rsidRDefault="006C4F8B" w:rsidP="00536444">
      <w:pPr>
        <w:rPr>
          <w:rFonts w:asciiTheme="majorHAnsi" w:hAnsiTheme="majorHAnsi" w:cs="Times New Roman"/>
          <w:bCs/>
          <w:szCs w:val="24"/>
        </w:rPr>
      </w:pPr>
      <w:r w:rsidRPr="0039396F">
        <w:rPr>
          <w:rFonts w:asciiTheme="majorHAnsi" w:hAnsiTheme="majorHAnsi" w:cs="Times New Roman"/>
        </w:rPr>
        <w:t>Soliris</w:t>
      </w:r>
      <w:r w:rsidR="006C5055" w:rsidRPr="0039396F">
        <w:rPr>
          <w:rFonts w:asciiTheme="majorHAnsi" w:hAnsiTheme="majorHAnsi" w:cs="Times New Roman"/>
          <w:bCs/>
          <w:szCs w:val="24"/>
        </w:rPr>
        <w:t xml:space="preserve"> contains 5 mmol sodium</w:t>
      </w:r>
      <w:r w:rsidR="00615803">
        <w:rPr>
          <w:rFonts w:asciiTheme="majorHAnsi" w:hAnsiTheme="majorHAnsi" w:cs="Times New Roman"/>
          <w:bCs/>
          <w:szCs w:val="24"/>
        </w:rPr>
        <w:t xml:space="preserve"> </w:t>
      </w:r>
      <w:r w:rsidR="006C5055" w:rsidRPr="0039396F">
        <w:rPr>
          <w:rFonts w:asciiTheme="majorHAnsi" w:hAnsiTheme="majorHAnsi" w:cs="Times New Roman"/>
          <w:bCs/>
          <w:szCs w:val="24"/>
        </w:rPr>
        <w:t>per vial. This should be taken into consideration when calculating the sodium intake of patients on a controlled sodium diet.</w:t>
      </w:r>
    </w:p>
    <w:p w14:paraId="3E7FD991" w14:textId="77777777" w:rsidR="009F3AF8" w:rsidRPr="00926FE7" w:rsidRDefault="009F3AF8" w:rsidP="00BF24C5">
      <w:pPr>
        <w:pStyle w:val="Heading3"/>
      </w:pPr>
      <w:r w:rsidRPr="00926FE7">
        <w:t>Paediatric Use</w:t>
      </w:r>
    </w:p>
    <w:p w14:paraId="49CA6279" w14:textId="181E852E" w:rsidR="009F3AF8" w:rsidRPr="0039396F" w:rsidRDefault="006C4F8B" w:rsidP="009F3AF8">
      <w:pPr>
        <w:autoSpaceDE w:val="0"/>
        <w:autoSpaceDN w:val="0"/>
        <w:adjustRightInd w:val="0"/>
        <w:rPr>
          <w:rFonts w:asciiTheme="majorHAnsi" w:hAnsiTheme="majorHAnsi" w:cs="Times New Roman"/>
          <w:bCs/>
          <w:szCs w:val="24"/>
        </w:rPr>
      </w:pPr>
      <w:r w:rsidRPr="0039396F">
        <w:rPr>
          <w:rFonts w:asciiTheme="majorHAnsi" w:hAnsiTheme="majorHAnsi" w:cs="Times New Roman"/>
        </w:rPr>
        <w:t>Soliris</w:t>
      </w:r>
      <w:r w:rsidR="009F3AF8" w:rsidRPr="0039396F">
        <w:rPr>
          <w:rFonts w:asciiTheme="majorHAnsi" w:hAnsiTheme="majorHAnsi" w:cs="Times New Roman"/>
          <w:bCs/>
          <w:szCs w:val="24"/>
        </w:rPr>
        <w:t xml:space="preserve"> has not been studied in PNH paediatric patients who weigh less than 40 kg</w:t>
      </w:r>
      <w:r w:rsidR="009D1E12">
        <w:rPr>
          <w:rFonts w:asciiTheme="majorHAnsi" w:hAnsiTheme="majorHAnsi" w:cs="Times New Roman"/>
          <w:bCs/>
          <w:szCs w:val="24"/>
        </w:rPr>
        <w:t xml:space="preserve">, or </w:t>
      </w:r>
      <w:r w:rsidR="003916FC">
        <w:rPr>
          <w:rFonts w:asciiTheme="majorHAnsi" w:hAnsiTheme="majorHAnsi" w:cs="Times New Roman"/>
          <w:bCs/>
          <w:szCs w:val="24"/>
        </w:rPr>
        <w:t xml:space="preserve">in </w:t>
      </w:r>
      <w:r w:rsidR="009D1E12">
        <w:rPr>
          <w:rFonts w:asciiTheme="majorHAnsi" w:hAnsiTheme="majorHAnsi" w:cs="Times New Roman"/>
          <w:bCs/>
          <w:szCs w:val="24"/>
        </w:rPr>
        <w:t>paediatric patients with NMOSD</w:t>
      </w:r>
      <w:r w:rsidR="009F3AF8" w:rsidRPr="0039396F">
        <w:rPr>
          <w:rFonts w:asciiTheme="majorHAnsi" w:hAnsiTheme="majorHAnsi" w:cs="Times New Roman"/>
          <w:bCs/>
          <w:szCs w:val="24"/>
        </w:rPr>
        <w:t>.</w:t>
      </w:r>
    </w:p>
    <w:p w14:paraId="74308AC7" w14:textId="77777777" w:rsidR="009F3AF8" w:rsidRPr="00926FE7" w:rsidRDefault="009F3AF8" w:rsidP="00BF24C5">
      <w:pPr>
        <w:pStyle w:val="Heading3"/>
      </w:pPr>
      <w:r w:rsidRPr="00926FE7">
        <w:t>Use in the Elderly</w:t>
      </w:r>
    </w:p>
    <w:p w14:paraId="0548F7CC" w14:textId="77777777" w:rsidR="009F3AF8" w:rsidRPr="0039396F" w:rsidRDefault="006C4F8B" w:rsidP="009F3AF8">
      <w:pPr>
        <w:autoSpaceDE w:val="0"/>
        <w:autoSpaceDN w:val="0"/>
        <w:adjustRightInd w:val="0"/>
        <w:rPr>
          <w:rFonts w:asciiTheme="majorHAnsi" w:hAnsiTheme="majorHAnsi" w:cs="Times New Roman"/>
          <w:bCs/>
          <w:szCs w:val="24"/>
        </w:rPr>
      </w:pPr>
      <w:r w:rsidRPr="0039396F">
        <w:rPr>
          <w:rFonts w:asciiTheme="majorHAnsi" w:hAnsiTheme="majorHAnsi" w:cs="Times New Roman"/>
        </w:rPr>
        <w:t>Soliris</w:t>
      </w:r>
      <w:r w:rsidR="009F3AF8" w:rsidRPr="0039396F">
        <w:rPr>
          <w:rFonts w:asciiTheme="majorHAnsi" w:hAnsiTheme="majorHAnsi" w:cs="Times New Roman"/>
          <w:bCs/>
          <w:szCs w:val="24"/>
        </w:rPr>
        <w:t xml:space="preserve"> may be administered to patients 65 years and over. There is no evidence that any special precautions are needed when older people are treated, although experience in this patient population is still limited.</w:t>
      </w:r>
    </w:p>
    <w:p w14:paraId="5B56F831" w14:textId="77777777" w:rsidR="00AA6AAD" w:rsidRPr="00926FE7" w:rsidRDefault="00AA6AAD" w:rsidP="00BF24C5">
      <w:pPr>
        <w:pStyle w:val="Heading3"/>
      </w:pPr>
      <w:r w:rsidRPr="00926FE7">
        <w:t>Effects on Laboratory Tests</w:t>
      </w:r>
    </w:p>
    <w:p w14:paraId="327C5AA6" w14:textId="77777777" w:rsidR="00AA6AAD" w:rsidRPr="00AA6AAD" w:rsidRDefault="00AA6AAD" w:rsidP="00AA6AAD">
      <w:pPr>
        <w:rPr>
          <w:rFonts w:asciiTheme="majorHAnsi" w:hAnsiTheme="majorHAnsi" w:cs="Times New Roman"/>
          <w:bCs/>
          <w:szCs w:val="24"/>
        </w:rPr>
      </w:pPr>
      <w:r w:rsidRPr="00AA6AAD">
        <w:rPr>
          <w:rFonts w:asciiTheme="majorHAnsi" w:hAnsiTheme="majorHAnsi" w:cs="Times New Roman"/>
          <w:bCs/>
          <w:szCs w:val="24"/>
        </w:rPr>
        <w:t>There are no drug-laboratory interactions known at this time.</w:t>
      </w:r>
    </w:p>
    <w:p w14:paraId="67AE6CE4" w14:textId="77777777" w:rsidR="00AA6AAD" w:rsidRPr="00AA6AAD" w:rsidRDefault="00AA6AAD" w:rsidP="00AA6AAD">
      <w:pPr>
        <w:rPr>
          <w:rFonts w:asciiTheme="majorHAnsi" w:hAnsiTheme="majorHAnsi" w:cs="Times New Roman"/>
          <w:bCs/>
          <w:szCs w:val="24"/>
        </w:rPr>
      </w:pPr>
    </w:p>
    <w:p w14:paraId="299457D2" w14:textId="77777777" w:rsidR="00AA6AAD" w:rsidRPr="00AA6AAD" w:rsidRDefault="00AA6AAD" w:rsidP="00AA6AAD">
      <w:pPr>
        <w:rPr>
          <w:rFonts w:asciiTheme="majorHAnsi" w:hAnsiTheme="majorHAnsi" w:cs="Times New Roman"/>
          <w:bCs/>
          <w:szCs w:val="24"/>
        </w:rPr>
      </w:pPr>
      <w:r w:rsidRPr="00AA6AAD">
        <w:rPr>
          <w:rFonts w:asciiTheme="majorHAnsi" w:hAnsiTheme="majorHAnsi" w:cs="Times New Roman"/>
          <w:bCs/>
          <w:szCs w:val="24"/>
        </w:rPr>
        <w:t xml:space="preserve">The efficacy and safety of </w:t>
      </w:r>
      <w:r w:rsidR="00F1450A">
        <w:rPr>
          <w:rFonts w:asciiTheme="majorHAnsi" w:hAnsiTheme="majorHAnsi" w:cs="Times New Roman"/>
          <w:bCs/>
          <w:szCs w:val="24"/>
        </w:rPr>
        <w:t>Soliris</w:t>
      </w:r>
      <w:r w:rsidR="00F1450A" w:rsidRPr="00AA6AAD">
        <w:rPr>
          <w:rFonts w:asciiTheme="majorHAnsi" w:hAnsiTheme="majorHAnsi" w:cs="Times New Roman"/>
          <w:bCs/>
          <w:szCs w:val="24"/>
        </w:rPr>
        <w:t xml:space="preserve"> </w:t>
      </w:r>
      <w:r w:rsidRPr="00AA6AAD">
        <w:rPr>
          <w:rFonts w:asciiTheme="majorHAnsi" w:hAnsiTheme="majorHAnsi" w:cs="Times New Roman"/>
          <w:bCs/>
          <w:szCs w:val="24"/>
        </w:rPr>
        <w:t>have not been established for the treatment of patients with Shiga and Shiga-like toxin (verocytotoxin-related haemolytic uraemic syndrome (so called classic HUS).</w:t>
      </w:r>
    </w:p>
    <w:p w14:paraId="3AF9E9D5" w14:textId="77777777" w:rsidR="001A3992" w:rsidRPr="0039396F" w:rsidRDefault="001A3992" w:rsidP="00926FE7">
      <w:pPr>
        <w:pStyle w:val="Heading2"/>
        <w:spacing w:before="240"/>
        <w:rPr>
          <w:rFonts w:cs="Times New Roman"/>
        </w:rPr>
      </w:pPr>
      <w:r w:rsidRPr="0039396F">
        <w:rPr>
          <w:rFonts w:cs="Times New Roman"/>
        </w:rPr>
        <w:t>Interactions with other medicines and other forms of interactions</w:t>
      </w:r>
    </w:p>
    <w:p w14:paraId="208C625A" w14:textId="77777777" w:rsidR="00B768AC" w:rsidRPr="0039396F" w:rsidRDefault="00B768AC" w:rsidP="00080745">
      <w:pPr>
        <w:autoSpaceDE w:val="0"/>
        <w:autoSpaceDN w:val="0"/>
        <w:adjustRightInd w:val="0"/>
        <w:rPr>
          <w:rFonts w:asciiTheme="majorHAnsi" w:hAnsiTheme="majorHAnsi" w:cs="Times New Roman"/>
          <w:szCs w:val="24"/>
        </w:rPr>
      </w:pPr>
      <w:r w:rsidRPr="00C50C14">
        <w:rPr>
          <w:rFonts w:asciiTheme="majorHAnsi" w:hAnsiTheme="majorHAnsi" w:cs="Times New Roman"/>
          <w:szCs w:val="24"/>
        </w:rPr>
        <w:t>Chronic intravenous human immunoglobulin (</w:t>
      </w:r>
      <w:proofErr w:type="spellStart"/>
      <w:r w:rsidRPr="00C50C14">
        <w:rPr>
          <w:rFonts w:asciiTheme="majorHAnsi" w:hAnsiTheme="majorHAnsi" w:cs="Times New Roman"/>
          <w:szCs w:val="24"/>
        </w:rPr>
        <w:t>IVIg</w:t>
      </w:r>
      <w:proofErr w:type="spellEnd"/>
      <w:r w:rsidRPr="00C50C14">
        <w:rPr>
          <w:rFonts w:asciiTheme="majorHAnsi" w:hAnsiTheme="majorHAnsi" w:cs="Times New Roman"/>
          <w:szCs w:val="24"/>
        </w:rPr>
        <w:t>) treatment may interfere with the endosomal neonatal Fc receptor (</w:t>
      </w:r>
      <w:proofErr w:type="spellStart"/>
      <w:r w:rsidRPr="00C50C14">
        <w:rPr>
          <w:rFonts w:asciiTheme="majorHAnsi" w:hAnsiTheme="majorHAnsi" w:cs="Times New Roman"/>
          <w:szCs w:val="24"/>
        </w:rPr>
        <w:t>FcRn</w:t>
      </w:r>
      <w:proofErr w:type="spellEnd"/>
      <w:r w:rsidRPr="00C50C14">
        <w:rPr>
          <w:rFonts w:asciiTheme="majorHAnsi" w:hAnsiTheme="majorHAnsi" w:cs="Times New Roman"/>
          <w:szCs w:val="24"/>
        </w:rPr>
        <w:t xml:space="preserve">) recycling mechanism of monoclonal antibodies such as </w:t>
      </w:r>
      <w:proofErr w:type="spellStart"/>
      <w:r w:rsidRPr="00C50C14">
        <w:rPr>
          <w:rFonts w:asciiTheme="majorHAnsi" w:hAnsiTheme="majorHAnsi" w:cs="Times New Roman"/>
          <w:szCs w:val="24"/>
        </w:rPr>
        <w:t>eculizumab</w:t>
      </w:r>
      <w:proofErr w:type="spellEnd"/>
      <w:r w:rsidR="00285DEC">
        <w:rPr>
          <w:rFonts w:asciiTheme="majorHAnsi" w:hAnsiTheme="majorHAnsi" w:cs="Times New Roman"/>
          <w:szCs w:val="24"/>
        </w:rPr>
        <w:t xml:space="preserve"> </w:t>
      </w:r>
      <w:r w:rsidR="00285DEC" w:rsidRPr="00285DEC">
        <w:rPr>
          <w:rFonts w:asciiTheme="majorHAnsi" w:hAnsiTheme="majorHAnsi" w:cs="Times New Roman"/>
          <w:i/>
          <w:szCs w:val="24"/>
        </w:rPr>
        <w:t>rmc</w:t>
      </w:r>
      <w:r w:rsidRPr="00C50C14">
        <w:rPr>
          <w:rFonts w:asciiTheme="majorHAnsi" w:hAnsiTheme="majorHAnsi" w:cs="Times New Roman"/>
          <w:szCs w:val="24"/>
        </w:rPr>
        <w:t xml:space="preserve">, and thereby decrease serum </w:t>
      </w:r>
      <w:proofErr w:type="spellStart"/>
      <w:r w:rsidRPr="00C50C14">
        <w:rPr>
          <w:rFonts w:asciiTheme="majorHAnsi" w:hAnsiTheme="majorHAnsi" w:cs="Times New Roman"/>
          <w:szCs w:val="24"/>
        </w:rPr>
        <w:t>eculizumab</w:t>
      </w:r>
      <w:proofErr w:type="spellEnd"/>
      <w:r w:rsidRPr="00C50C14">
        <w:rPr>
          <w:rFonts w:asciiTheme="majorHAnsi" w:hAnsiTheme="majorHAnsi" w:cs="Times New Roman"/>
          <w:szCs w:val="24"/>
        </w:rPr>
        <w:t xml:space="preserve"> </w:t>
      </w:r>
      <w:r w:rsidR="00285DEC" w:rsidRPr="00285DEC">
        <w:rPr>
          <w:rFonts w:asciiTheme="majorHAnsi" w:hAnsiTheme="majorHAnsi" w:cs="Times New Roman"/>
          <w:i/>
          <w:szCs w:val="24"/>
        </w:rPr>
        <w:t>rmc</w:t>
      </w:r>
      <w:r w:rsidR="00285DEC" w:rsidRPr="00C50C14">
        <w:rPr>
          <w:rFonts w:asciiTheme="majorHAnsi" w:hAnsiTheme="majorHAnsi" w:cs="Times New Roman"/>
          <w:szCs w:val="24"/>
        </w:rPr>
        <w:t xml:space="preserve"> </w:t>
      </w:r>
      <w:r w:rsidRPr="00C50C14">
        <w:rPr>
          <w:rFonts w:asciiTheme="majorHAnsi" w:hAnsiTheme="majorHAnsi" w:cs="Times New Roman"/>
          <w:szCs w:val="24"/>
        </w:rPr>
        <w:t>concentrations.</w:t>
      </w:r>
      <w:r>
        <w:rPr>
          <w:rFonts w:asciiTheme="majorHAnsi" w:hAnsiTheme="majorHAnsi" w:cs="Times New Roman"/>
          <w:szCs w:val="24"/>
        </w:rPr>
        <w:t xml:space="preserve"> Drug interaction studies have not been conducted with </w:t>
      </w:r>
      <w:proofErr w:type="spellStart"/>
      <w:r>
        <w:rPr>
          <w:rFonts w:asciiTheme="majorHAnsi" w:hAnsiTheme="majorHAnsi" w:cs="Times New Roman"/>
        </w:rPr>
        <w:t>eculizumab</w:t>
      </w:r>
      <w:proofErr w:type="spellEnd"/>
      <w:r w:rsidR="00285DEC">
        <w:rPr>
          <w:rFonts w:asciiTheme="majorHAnsi" w:hAnsiTheme="majorHAnsi" w:cs="Times New Roman"/>
        </w:rPr>
        <w:t xml:space="preserve"> </w:t>
      </w:r>
      <w:r w:rsidR="00285DEC" w:rsidRPr="00285DEC">
        <w:rPr>
          <w:rFonts w:asciiTheme="majorHAnsi" w:hAnsiTheme="majorHAnsi" w:cs="Times New Roman"/>
          <w:i/>
          <w:szCs w:val="24"/>
        </w:rPr>
        <w:t>rmc</w:t>
      </w:r>
      <w:r>
        <w:rPr>
          <w:rFonts w:asciiTheme="majorHAnsi" w:hAnsiTheme="majorHAnsi" w:cs="Times New Roman"/>
        </w:rPr>
        <w:t xml:space="preserve"> in patients treated with </w:t>
      </w:r>
      <w:proofErr w:type="spellStart"/>
      <w:r>
        <w:rPr>
          <w:rFonts w:asciiTheme="majorHAnsi" w:hAnsiTheme="majorHAnsi" w:cs="Times New Roman"/>
        </w:rPr>
        <w:t>IVIg</w:t>
      </w:r>
      <w:proofErr w:type="spellEnd"/>
      <w:r>
        <w:rPr>
          <w:rFonts w:asciiTheme="majorHAnsi" w:hAnsiTheme="majorHAnsi" w:cs="Times New Roman"/>
        </w:rPr>
        <w:t>.</w:t>
      </w:r>
    </w:p>
    <w:p w14:paraId="44A5E598" w14:textId="77777777" w:rsidR="00C628AE" w:rsidRPr="0039396F" w:rsidRDefault="001A3992" w:rsidP="00926FE7">
      <w:pPr>
        <w:pStyle w:val="Heading2"/>
        <w:spacing w:before="240"/>
        <w:rPr>
          <w:rFonts w:cs="Times New Roman"/>
        </w:rPr>
      </w:pPr>
      <w:r w:rsidRPr="0039396F">
        <w:rPr>
          <w:rFonts w:cs="Times New Roman"/>
        </w:rPr>
        <w:lastRenderedPageBreak/>
        <w:t xml:space="preserve">Fertility, pregnancy and lactation </w:t>
      </w:r>
    </w:p>
    <w:p w14:paraId="2B65DC53" w14:textId="77777777" w:rsidR="001A3992" w:rsidRPr="0039396F" w:rsidRDefault="001A3992" w:rsidP="00BF24C5">
      <w:pPr>
        <w:pStyle w:val="Heading3"/>
      </w:pPr>
      <w:r w:rsidRPr="0039396F">
        <w:t xml:space="preserve">Effects on </w:t>
      </w:r>
      <w:r w:rsidR="003E4DE1">
        <w:t>F</w:t>
      </w:r>
      <w:r w:rsidR="003E4DE1" w:rsidRPr="0039396F">
        <w:t>ertility</w:t>
      </w:r>
    </w:p>
    <w:p w14:paraId="7DC22966" w14:textId="77777777" w:rsidR="006C5055" w:rsidRPr="0039396F" w:rsidRDefault="006C5055" w:rsidP="00536444">
      <w:pPr>
        <w:rPr>
          <w:rFonts w:asciiTheme="majorHAnsi" w:hAnsiTheme="majorHAnsi" w:cs="Times New Roman"/>
          <w:szCs w:val="24"/>
        </w:rPr>
      </w:pPr>
      <w:r w:rsidRPr="0039396F">
        <w:rPr>
          <w:rFonts w:asciiTheme="majorHAnsi" w:hAnsiTheme="majorHAnsi" w:cs="Times New Roman"/>
          <w:szCs w:val="24"/>
        </w:rPr>
        <w:t xml:space="preserve">No studies have been conducted to assess the effects of </w:t>
      </w:r>
      <w:proofErr w:type="spellStart"/>
      <w:r w:rsidRPr="0039396F">
        <w:rPr>
          <w:rFonts w:asciiTheme="majorHAnsi" w:hAnsiTheme="majorHAnsi" w:cs="Times New Roman"/>
          <w:szCs w:val="24"/>
        </w:rPr>
        <w:t>eculizumab</w:t>
      </w:r>
      <w:proofErr w:type="spellEnd"/>
      <w:r w:rsidRPr="0039396F">
        <w:rPr>
          <w:rFonts w:asciiTheme="majorHAnsi" w:hAnsiTheme="majorHAnsi" w:cs="Times New Roman"/>
          <w:szCs w:val="24"/>
        </w:rPr>
        <w:t xml:space="preserve"> </w:t>
      </w:r>
      <w:r w:rsidRPr="0039396F">
        <w:rPr>
          <w:rFonts w:asciiTheme="majorHAnsi" w:hAnsiTheme="majorHAnsi" w:cs="Times New Roman"/>
          <w:i/>
          <w:szCs w:val="24"/>
        </w:rPr>
        <w:t>rmc</w:t>
      </w:r>
      <w:r w:rsidRPr="0039396F">
        <w:rPr>
          <w:rFonts w:asciiTheme="majorHAnsi" w:hAnsiTheme="majorHAnsi" w:cs="Times New Roman"/>
          <w:szCs w:val="24"/>
        </w:rPr>
        <w:t xml:space="preserve"> on male and female fertility. In animal studies with a </w:t>
      </w:r>
      <w:r w:rsidR="00A3638B">
        <w:rPr>
          <w:rFonts w:asciiTheme="majorHAnsi" w:hAnsiTheme="majorHAnsi" w:cs="Times New Roman"/>
          <w:szCs w:val="24"/>
        </w:rPr>
        <w:t>surrogate terminal complement inhibitor</w:t>
      </w:r>
      <w:r w:rsidR="00561726">
        <w:rPr>
          <w:rFonts w:asciiTheme="majorHAnsi" w:hAnsiTheme="majorHAnsi" w:cs="Times New Roman"/>
          <w:szCs w:val="24"/>
        </w:rPr>
        <w:t xml:space="preserve"> </w:t>
      </w:r>
      <w:r w:rsidR="006C6C4E">
        <w:rPr>
          <w:rFonts w:asciiTheme="majorHAnsi" w:hAnsiTheme="majorHAnsi" w:cs="Times New Roman"/>
          <w:szCs w:val="24"/>
        </w:rPr>
        <w:t>(</w:t>
      </w:r>
      <w:r w:rsidRPr="0039396F">
        <w:rPr>
          <w:rFonts w:asciiTheme="majorHAnsi" w:hAnsiTheme="majorHAnsi" w:cs="Times New Roman"/>
          <w:szCs w:val="24"/>
        </w:rPr>
        <w:t>murine anti-C5</w:t>
      </w:r>
      <w:r w:rsidR="00561726">
        <w:rPr>
          <w:rFonts w:asciiTheme="majorHAnsi" w:hAnsiTheme="majorHAnsi" w:cs="Times New Roman"/>
          <w:szCs w:val="24"/>
        </w:rPr>
        <w:t>)</w:t>
      </w:r>
      <w:r w:rsidRPr="0039396F">
        <w:rPr>
          <w:rFonts w:asciiTheme="majorHAnsi" w:hAnsiTheme="majorHAnsi" w:cs="Times New Roman"/>
          <w:szCs w:val="24"/>
        </w:rPr>
        <w:t xml:space="preserve"> antibody, no adverse effects on the fertility of treated mice were observed.</w:t>
      </w:r>
    </w:p>
    <w:p w14:paraId="1CBB38AD" w14:textId="77777777" w:rsidR="001A3992" w:rsidRPr="0039396F" w:rsidRDefault="001A3992" w:rsidP="00BF24C5">
      <w:pPr>
        <w:pStyle w:val="Heading3"/>
      </w:pPr>
      <w:r w:rsidRPr="0039396F">
        <w:t xml:space="preserve">Use in </w:t>
      </w:r>
      <w:r w:rsidR="003E4DE1">
        <w:t>P</w:t>
      </w:r>
      <w:r w:rsidR="003E4DE1" w:rsidRPr="0039396F">
        <w:t xml:space="preserve">regnancy </w:t>
      </w:r>
      <w:r w:rsidR="009F3AF8" w:rsidRPr="0039396F">
        <w:t>-</w:t>
      </w:r>
      <w:r w:rsidR="007D10A2" w:rsidRPr="0039396F">
        <w:t xml:space="preserve"> Category B2</w:t>
      </w:r>
    </w:p>
    <w:p w14:paraId="5579F9D2" w14:textId="327564B2" w:rsidR="00AB0D18" w:rsidRDefault="006C5055" w:rsidP="002B6DB1">
      <w:pPr>
        <w:rPr>
          <w:rFonts w:asciiTheme="majorHAnsi" w:hAnsiTheme="majorHAnsi" w:cs="Times New Roman"/>
          <w:szCs w:val="24"/>
        </w:rPr>
      </w:pPr>
      <w:r w:rsidRPr="0039396F">
        <w:rPr>
          <w:rFonts w:asciiTheme="majorHAnsi" w:hAnsiTheme="majorHAnsi" w:cs="Times New Roman"/>
          <w:szCs w:val="24"/>
        </w:rPr>
        <w:t>There are no well-controlled studies in pregnant women</w:t>
      </w:r>
      <w:r w:rsidR="00A157C0">
        <w:rPr>
          <w:rFonts w:asciiTheme="majorHAnsi" w:hAnsiTheme="majorHAnsi" w:cs="Times New Roman"/>
          <w:szCs w:val="24"/>
        </w:rPr>
        <w:t xml:space="preserve"> </w:t>
      </w:r>
      <w:r w:rsidR="00847AF7">
        <w:rPr>
          <w:rFonts w:asciiTheme="majorHAnsi" w:hAnsiTheme="majorHAnsi" w:cs="Times New Roman"/>
          <w:szCs w:val="24"/>
        </w:rPr>
        <w:t xml:space="preserve">treated with </w:t>
      </w:r>
      <w:r w:rsidR="005E5B69">
        <w:rPr>
          <w:rFonts w:asciiTheme="majorHAnsi" w:hAnsiTheme="majorHAnsi" w:cs="Times New Roman"/>
          <w:szCs w:val="24"/>
        </w:rPr>
        <w:t>Soliris</w:t>
      </w:r>
      <w:r w:rsidR="005E5B69" w:rsidRPr="005E5B69">
        <w:rPr>
          <w:rFonts w:asciiTheme="majorHAnsi" w:hAnsiTheme="majorHAnsi" w:cs="Times New Roman"/>
          <w:szCs w:val="24"/>
        </w:rPr>
        <w:t>.</w:t>
      </w:r>
      <w:r w:rsidR="00847AF7">
        <w:rPr>
          <w:rFonts w:asciiTheme="majorHAnsi" w:hAnsiTheme="majorHAnsi" w:cs="Times New Roman"/>
          <w:szCs w:val="24"/>
        </w:rPr>
        <w:t xml:space="preserve"> </w:t>
      </w:r>
      <w:r w:rsidRPr="0039396F">
        <w:rPr>
          <w:rFonts w:asciiTheme="majorHAnsi" w:hAnsiTheme="majorHAnsi" w:cs="Times New Roman"/>
          <w:szCs w:val="24"/>
        </w:rPr>
        <w:t xml:space="preserve"> </w:t>
      </w:r>
      <w:r w:rsidR="005F1BCF">
        <w:rPr>
          <w:rFonts w:asciiTheme="majorHAnsi" w:hAnsiTheme="majorHAnsi" w:cs="Times New Roman"/>
          <w:szCs w:val="24"/>
        </w:rPr>
        <w:t>Post-market d</w:t>
      </w:r>
      <w:r w:rsidR="005E5B69" w:rsidRPr="005E5B69">
        <w:rPr>
          <w:rFonts w:asciiTheme="majorHAnsi" w:hAnsiTheme="majorHAnsi" w:cs="Times New Roman"/>
          <w:szCs w:val="24"/>
        </w:rPr>
        <w:t>ata</w:t>
      </w:r>
      <w:r w:rsidR="00214F3E">
        <w:rPr>
          <w:rFonts w:asciiTheme="majorHAnsi" w:hAnsiTheme="majorHAnsi" w:cs="Times New Roman"/>
          <w:szCs w:val="24"/>
        </w:rPr>
        <w:t xml:space="preserve"> and literature</w:t>
      </w:r>
      <w:r w:rsidR="005E5B69" w:rsidRPr="005E5B69">
        <w:rPr>
          <w:rFonts w:asciiTheme="majorHAnsi" w:hAnsiTheme="majorHAnsi" w:cs="Times New Roman"/>
          <w:szCs w:val="24"/>
        </w:rPr>
        <w:t xml:space="preserve"> on </w:t>
      </w:r>
      <w:r w:rsidR="00214F3E">
        <w:rPr>
          <w:rFonts w:asciiTheme="majorHAnsi" w:hAnsiTheme="majorHAnsi" w:cs="Times New Roman"/>
          <w:szCs w:val="24"/>
        </w:rPr>
        <w:t xml:space="preserve">a </w:t>
      </w:r>
      <w:r w:rsidR="005E5B69" w:rsidRPr="005E5B69">
        <w:rPr>
          <w:rFonts w:asciiTheme="majorHAnsi" w:hAnsiTheme="majorHAnsi" w:cs="Times New Roman"/>
          <w:szCs w:val="24"/>
        </w:rPr>
        <w:t xml:space="preserve">limited number of pregnancies exposed to </w:t>
      </w:r>
      <w:r w:rsidR="005E5B69">
        <w:rPr>
          <w:rFonts w:asciiTheme="majorHAnsi" w:hAnsiTheme="majorHAnsi" w:cs="Times New Roman"/>
          <w:szCs w:val="24"/>
        </w:rPr>
        <w:t xml:space="preserve">Soliris </w:t>
      </w:r>
      <w:r w:rsidR="005E5B69" w:rsidRPr="005E5B69">
        <w:rPr>
          <w:rFonts w:asciiTheme="majorHAnsi" w:hAnsiTheme="majorHAnsi" w:cs="Times New Roman"/>
          <w:szCs w:val="24"/>
        </w:rPr>
        <w:t xml:space="preserve">(less than 300 pregnancy outcomes) indicate there is no increased </w:t>
      </w:r>
      <w:r w:rsidR="005E5B69">
        <w:rPr>
          <w:rFonts w:asciiTheme="majorHAnsi" w:hAnsiTheme="majorHAnsi" w:cs="Times New Roman"/>
          <w:szCs w:val="24"/>
        </w:rPr>
        <w:t xml:space="preserve">risk of </w:t>
      </w:r>
      <w:proofErr w:type="spellStart"/>
      <w:r w:rsidR="005E5B69">
        <w:rPr>
          <w:rFonts w:asciiTheme="majorHAnsi" w:hAnsiTheme="majorHAnsi" w:cs="Times New Roman"/>
          <w:szCs w:val="24"/>
        </w:rPr>
        <w:t>fetal</w:t>
      </w:r>
      <w:proofErr w:type="spellEnd"/>
      <w:r w:rsidR="005E5B69">
        <w:rPr>
          <w:rFonts w:asciiTheme="majorHAnsi" w:hAnsiTheme="majorHAnsi" w:cs="Times New Roman"/>
          <w:szCs w:val="24"/>
        </w:rPr>
        <w:t xml:space="preserve"> malformation or </w:t>
      </w:r>
      <w:proofErr w:type="spellStart"/>
      <w:r w:rsidR="005E5B69">
        <w:rPr>
          <w:rFonts w:asciiTheme="majorHAnsi" w:hAnsiTheme="majorHAnsi" w:cs="Times New Roman"/>
          <w:szCs w:val="24"/>
        </w:rPr>
        <w:t>f</w:t>
      </w:r>
      <w:r w:rsidR="005E5B69" w:rsidRPr="005E5B69">
        <w:rPr>
          <w:rFonts w:asciiTheme="majorHAnsi" w:hAnsiTheme="majorHAnsi" w:cs="Times New Roman"/>
          <w:szCs w:val="24"/>
        </w:rPr>
        <w:t>etal</w:t>
      </w:r>
      <w:proofErr w:type="spellEnd"/>
      <w:r w:rsidR="005E5B69" w:rsidRPr="005E5B69">
        <w:rPr>
          <w:rFonts w:asciiTheme="majorHAnsi" w:hAnsiTheme="majorHAnsi" w:cs="Times New Roman"/>
          <w:szCs w:val="24"/>
        </w:rPr>
        <w:t xml:space="preserve">-neonatal </w:t>
      </w:r>
      <w:r w:rsidR="003D0130" w:rsidRPr="005E5B69">
        <w:rPr>
          <w:rFonts w:asciiTheme="majorHAnsi" w:hAnsiTheme="majorHAnsi" w:cs="Times New Roman"/>
          <w:szCs w:val="24"/>
        </w:rPr>
        <w:t>toxicity</w:t>
      </w:r>
      <w:r w:rsidR="005F1BCF">
        <w:rPr>
          <w:rFonts w:asciiTheme="majorHAnsi" w:hAnsiTheme="majorHAnsi" w:cs="Times New Roman"/>
          <w:szCs w:val="24"/>
        </w:rPr>
        <w:t xml:space="preserve"> compared to the existing risk in PNH and aHUS</w:t>
      </w:r>
      <w:r w:rsidR="003D0130">
        <w:rPr>
          <w:rFonts w:asciiTheme="majorHAnsi" w:hAnsiTheme="majorHAnsi" w:cs="Times New Roman"/>
          <w:szCs w:val="24"/>
        </w:rPr>
        <w:t>;</w:t>
      </w:r>
      <w:r w:rsidR="00E83E65">
        <w:rPr>
          <w:rFonts w:asciiTheme="majorHAnsi" w:hAnsiTheme="majorHAnsi" w:cs="Times New Roman"/>
          <w:szCs w:val="24"/>
        </w:rPr>
        <w:t xml:space="preserve"> h</w:t>
      </w:r>
      <w:r w:rsidR="005E5B69" w:rsidRPr="005E5B69">
        <w:rPr>
          <w:rFonts w:asciiTheme="majorHAnsi" w:hAnsiTheme="majorHAnsi" w:cs="Times New Roman"/>
          <w:szCs w:val="24"/>
        </w:rPr>
        <w:t>owever, due to the lack of well-controlled studies, un</w:t>
      </w:r>
      <w:r w:rsidR="00E83E65">
        <w:rPr>
          <w:rFonts w:asciiTheme="majorHAnsi" w:hAnsiTheme="majorHAnsi" w:cs="Times New Roman"/>
          <w:szCs w:val="24"/>
        </w:rPr>
        <w:t xml:space="preserve">certainties remain. </w:t>
      </w:r>
      <w:r w:rsidR="002B6DB1" w:rsidRPr="00311D4E" w:rsidDel="00392817">
        <w:rPr>
          <w:rFonts w:asciiTheme="majorHAnsi" w:hAnsiTheme="majorHAnsi" w:cs="Times New Roman"/>
          <w:szCs w:val="24"/>
        </w:rPr>
        <w:t>As an IgG antibody,</w:t>
      </w:r>
      <w:r w:rsidR="002B6DB1" w:rsidDel="00392817">
        <w:rPr>
          <w:rFonts w:asciiTheme="majorHAnsi" w:hAnsiTheme="majorHAnsi" w:cs="Times New Roman"/>
          <w:szCs w:val="24"/>
        </w:rPr>
        <w:t xml:space="preserve"> </w:t>
      </w:r>
      <w:proofErr w:type="spellStart"/>
      <w:r w:rsidR="002B6DB1" w:rsidDel="00392817">
        <w:rPr>
          <w:rFonts w:asciiTheme="majorHAnsi" w:hAnsiTheme="majorHAnsi" w:cs="Times New Roman"/>
          <w:szCs w:val="24"/>
        </w:rPr>
        <w:t>e</w:t>
      </w:r>
      <w:r w:rsidR="002B6DB1" w:rsidRPr="0039396F" w:rsidDel="00392817">
        <w:rPr>
          <w:rFonts w:asciiTheme="majorHAnsi" w:hAnsiTheme="majorHAnsi" w:cs="Times New Roman"/>
          <w:szCs w:val="24"/>
        </w:rPr>
        <w:t>culizumab</w:t>
      </w:r>
      <w:proofErr w:type="spellEnd"/>
      <w:r w:rsidR="002B6DB1" w:rsidRPr="0039396F" w:rsidDel="00392817">
        <w:rPr>
          <w:rFonts w:asciiTheme="majorHAnsi" w:hAnsiTheme="majorHAnsi" w:cs="Times New Roman"/>
          <w:szCs w:val="24"/>
        </w:rPr>
        <w:t xml:space="preserve"> </w:t>
      </w:r>
      <w:r w:rsidR="002B6DB1" w:rsidRPr="0039396F" w:rsidDel="00392817">
        <w:rPr>
          <w:rFonts w:asciiTheme="majorHAnsi" w:hAnsiTheme="majorHAnsi" w:cs="Times New Roman"/>
          <w:i/>
          <w:szCs w:val="24"/>
        </w:rPr>
        <w:t>rmc</w:t>
      </w:r>
      <w:r w:rsidR="002B6DB1" w:rsidRPr="0039396F" w:rsidDel="00392817">
        <w:rPr>
          <w:rFonts w:asciiTheme="majorHAnsi" w:hAnsiTheme="majorHAnsi" w:cs="Times New Roman"/>
          <w:szCs w:val="24"/>
        </w:rPr>
        <w:t xml:space="preserve"> is expected to cross the placenta.</w:t>
      </w:r>
      <w:r w:rsidR="002B6DB1">
        <w:rPr>
          <w:rFonts w:asciiTheme="majorHAnsi" w:hAnsiTheme="majorHAnsi" w:cs="Times New Roman"/>
          <w:szCs w:val="24"/>
        </w:rPr>
        <w:t xml:space="preserve"> </w:t>
      </w:r>
      <w:r w:rsidR="002B6DB1" w:rsidRPr="00311D4E" w:rsidDel="00392817">
        <w:rPr>
          <w:rFonts w:asciiTheme="majorHAnsi" w:hAnsiTheme="majorHAnsi" w:cs="Times New Roman"/>
          <w:szCs w:val="24"/>
        </w:rPr>
        <w:t>Animal studies conducted with a surrogate antibody did not reveal obvious teratogenicity, but are of limited predictive value.</w:t>
      </w:r>
      <w:r w:rsidR="002B6DB1">
        <w:rPr>
          <w:rFonts w:asciiTheme="majorHAnsi" w:hAnsiTheme="majorHAnsi" w:cs="Times New Roman"/>
          <w:szCs w:val="24"/>
        </w:rPr>
        <w:t xml:space="preserve"> </w:t>
      </w:r>
      <w:r w:rsidR="00392817" w:rsidRPr="00413798">
        <w:rPr>
          <w:rFonts w:asciiTheme="majorHAnsi" w:hAnsiTheme="majorHAnsi" w:cs="Cambria"/>
          <w:color w:val="000000"/>
          <w:szCs w:val="24"/>
        </w:rPr>
        <w:t xml:space="preserve">There is not enough data to determine the risks of </w:t>
      </w:r>
      <w:r w:rsidR="00392817">
        <w:rPr>
          <w:rFonts w:asciiTheme="majorHAnsi" w:hAnsiTheme="majorHAnsi" w:cs="Cambria"/>
          <w:color w:val="000000"/>
          <w:szCs w:val="24"/>
        </w:rPr>
        <w:t>Soliris use during pregnancy.</w:t>
      </w:r>
      <w:r w:rsidR="00392817" w:rsidRPr="00413798">
        <w:rPr>
          <w:rFonts w:asciiTheme="majorHAnsi" w:hAnsiTheme="majorHAnsi" w:cs="Cambria"/>
          <w:color w:val="000000"/>
          <w:szCs w:val="24"/>
        </w:rPr>
        <w:t xml:space="preserve"> </w:t>
      </w:r>
      <w:r w:rsidR="00392817">
        <w:rPr>
          <w:rFonts w:asciiTheme="majorHAnsi" w:hAnsiTheme="majorHAnsi" w:cs="Cambria"/>
          <w:color w:val="000000"/>
          <w:szCs w:val="24"/>
        </w:rPr>
        <w:t>Use of Soliris</w:t>
      </w:r>
      <w:r w:rsidR="00392817" w:rsidRPr="00413798">
        <w:rPr>
          <w:rFonts w:asciiTheme="majorHAnsi" w:hAnsiTheme="majorHAnsi" w:cs="Cambria"/>
          <w:color w:val="000000"/>
          <w:szCs w:val="24"/>
        </w:rPr>
        <w:t xml:space="preserve"> </w:t>
      </w:r>
      <w:r w:rsidR="00392817">
        <w:rPr>
          <w:rFonts w:asciiTheme="majorHAnsi" w:hAnsiTheme="majorHAnsi" w:cs="Cambria"/>
          <w:color w:val="000000"/>
          <w:szCs w:val="24"/>
        </w:rPr>
        <w:t xml:space="preserve">in pregnancy </w:t>
      </w:r>
      <w:r w:rsidR="00392817" w:rsidRPr="00413798">
        <w:rPr>
          <w:rFonts w:asciiTheme="majorHAnsi" w:hAnsiTheme="majorHAnsi" w:cs="Cambria"/>
          <w:color w:val="000000"/>
          <w:szCs w:val="24"/>
        </w:rPr>
        <w:t>should be carefully considered, with regards to the specific risks (including maternal and neonatal death and non-live birth) and benefits for each patient</w:t>
      </w:r>
      <w:r w:rsidR="00392817" w:rsidRPr="00413798">
        <w:rPr>
          <w:rFonts w:asciiTheme="majorHAnsi" w:hAnsiTheme="majorHAnsi" w:cs="Times New Roman"/>
          <w:szCs w:val="24"/>
        </w:rPr>
        <w:t xml:space="preserve">. </w:t>
      </w:r>
      <w:r w:rsidR="00392817" w:rsidRPr="0039396F">
        <w:rPr>
          <w:rFonts w:asciiTheme="majorHAnsi" w:hAnsiTheme="majorHAnsi" w:cs="Times New Roman"/>
          <w:szCs w:val="24"/>
        </w:rPr>
        <w:t xml:space="preserve"> </w:t>
      </w:r>
      <w:r w:rsidR="00E83E65">
        <w:rPr>
          <w:rFonts w:asciiTheme="majorHAnsi" w:hAnsiTheme="majorHAnsi" w:cs="Times New Roman"/>
          <w:szCs w:val="24"/>
        </w:rPr>
        <w:t>A</w:t>
      </w:r>
      <w:r w:rsidR="005E5B69" w:rsidRPr="005E5B69">
        <w:rPr>
          <w:rFonts w:asciiTheme="majorHAnsi" w:hAnsiTheme="majorHAnsi" w:cs="Times New Roman"/>
          <w:szCs w:val="24"/>
        </w:rPr>
        <w:t xml:space="preserve">n individual risk benefit analysis is recommended before starting and during treatment with </w:t>
      </w:r>
      <w:r w:rsidR="005E5B69">
        <w:rPr>
          <w:rFonts w:asciiTheme="majorHAnsi" w:hAnsiTheme="majorHAnsi" w:cs="Times New Roman"/>
          <w:szCs w:val="24"/>
        </w:rPr>
        <w:t>Soliris</w:t>
      </w:r>
      <w:r w:rsidR="005E5B69" w:rsidRPr="005E5B69">
        <w:rPr>
          <w:rFonts w:asciiTheme="majorHAnsi" w:hAnsiTheme="majorHAnsi" w:cs="Times New Roman"/>
          <w:szCs w:val="24"/>
        </w:rPr>
        <w:t xml:space="preserve"> in pregnant women. Should treatment be considered necessary during pregnancy, close maternal and </w:t>
      </w:r>
      <w:proofErr w:type="spellStart"/>
      <w:r w:rsidR="005E5B69" w:rsidRPr="005E5B69">
        <w:rPr>
          <w:rFonts w:asciiTheme="majorHAnsi" w:hAnsiTheme="majorHAnsi" w:cs="Times New Roman"/>
          <w:szCs w:val="24"/>
        </w:rPr>
        <w:t>fetal</w:t>
      </w:r>
      <w:proofErr w:type="spellEnd"/>
      <w:r w:rsidR="005E5B69" w:rsidRPr="005E5B69">
        <w:rPr>
          <w:rFonts w:asciiTheme="majorHAnsi" w:hAnsiTheme="majorHAnsi" w:cs="Times New Roman"/>
          <w:szCs w:val="24"/>
        </w:rPr>
        <w:t xml:space="preserve"> monitoring according to local guidelines is recommended</w:t>
      </w:r>
      <w:r w:rsidR="00311D4E">
        <w:rPr>
          <w:rFonts w:asciiTheme="majorHAnsi" w:hAnsiTheme="majorHAnsi" w:cs="Times New Roman"/>
          <w:szCs w:val="24"/>
        </w:rPr>
        <w:t xml:space="preserve">. </w:t>
      </w:r>
    </w:p>
    <w:p w14:paraId="044E34AA" w14:textId="0D091CD6" w:rsidR="00702A3C" w:rsidRDefault="00392817" w:rsidP="000D7936">
      <w:pPr>
        <w:spacing w:before="120"/>
        <w:rPr>
          <w:rFonts w:asciiTheme="majorHAnsi" w:hAnsiTheme="majorHAnsi" w:cs="Times New Roman"/>
          <w:szCs w:val="24"/>
        </w:rPr>
      </w:pPr>
      <w:r w:rsidRPr="0039396F">
        <w:rPr>
          <w:rFonts w:asciiTheme="majorHAnsi" w:hAnsiTheme="majorHAnsi" w:cs="Times New Roman"/>
        </w:rPr>
        <w:t>Soliris</w:t>
      </w:r>
      <w:r w:rsidRPr="0039396F">
        <w:rPr>
          <w:rFonts w:asciiTheme="majorHAnsi" w:hAnsiTheme="majorHAnsi" w:cs="Times New Roman"/>
          <w:szCs w:val="24"/>
        </w:rPr>
        <w:t xml:space="preserve"> should be used during pregnancy only if the potential benefit justifies the potential risk to the </w:t>
      </w:r>
      <w:r>
        <w:rPr>
          <w:rFonts w:asciiTheme="majorHAnsi" w:hAnsiTheme="majorHAnsi" w:cs="Times New Roman"/>
          <w:szCs w:val="24"/>
        </w:rPr>
        <w:t xml:space="preserve">mother, </w:t>
      </w:r>
      <w:proofErr w:type="spellStart"/>
      <w:r w:rsidRPr="0039396F">
        <w:rPr>
          <w:rFonts w:asciiTheme="majorHAnsi" w:hAnsiTheme="majorHAnsi" w:cs="Times New Roman"/>
          <w:szCs w:val="24"/>
        </w:rPr>
        <w:t>fetus</w:t>
      </w:r>
      <w:proofErr w:type="spellEnd"/>
      <w:r>
        <w:rPr>
          <w:rFonts w:asciiTheme="majorHAnsi" w:hAnsiTheme="majorHAnsi" w:cs="Times New Roman"/>
          <w:szCs w:val="24"/>
        </w:rPr>
        <w:t xml:space="preserve"> and/or neonate</w:t>
      </w:r>
      <w:r w:rsidRPr="0039396F">
        <w:rPr>
          <w:rFonts w:asciiTheme="majorHAnsi" w:hAnsiTheme="majorHAnsi" w:cs="Times New Roman"/>
          <w:szCs w:val="24"/>
        </w:rPr>
        <w:t xml:space="preserve">. </w:t>
      </w:r>
      <w:r>
        <w:rPr>
          <w:rFonts w:asciiTheme="majorHAnsi" w:hAnsiTheme="majorHAnsi" w:cs="Times New Roman"/>
          <w:szCs w:val="24"/>
        </w:rPr>
        <w:t>Unless pregnancy is specifically desired, w</w:t>
      </w:r>
      <w:r w:rsidRPr="0039396F">
        <w:rPr>
          <w:rFonts w:asciiTheme="majorHAnsi" w:hAnsiTheme="majorHAnsi" w:cs="Times New Roman"/>
          <w:szCs w:val="24"/>
        </w:rPr>
        <w:t xml:space="preserve">omen should use adequate contraception during </w:t>
      </w:r>
      <w:r>
        <w:rPr>
          <w:rFonts w:asciiTheme="majorHAnsi" w:hAnsiTheme="majorHAnsi" w:cs="Times New Roman"/>
          <w:szCs w:val="24"/>
        </w:rPr>
        <w:t xml:space="preserve">Soliris </w:t>
      </w:r>
      <w:r w:rsidRPr="0039396F">
        <w:rPr>
          <w:rFonts w:asciiTheme="majorHAnsi" w:hAnsiTheme="majorHAnsi" w:cs="Times New Roman"/>
          <w:szCs w:val="24"/>
        </w:rPr>
        <w:t xml:space="preserve">treatment, and for up to 5 months after </w:t>
      </w:r>
      <w:r>
        <w:rPr>
          <w:rFonts w:asciiTheme="majorHAnsi" w:hAnsiTheme="majorHAnsi" w:cs="Times New Roman"/>
          <w:szCs w:val="24"/>
        </w:rPr>
        <w:t xml:space="preserve">discontinuing </w:t>
      </w:r>
      <w:r w:rsidRPr="0039396F">
        <w:rPr>
          <w:rFonts w:asciiTheme="majorHAnsi" w:hAnsiTheme="majorHAnsi" w:cs="Times New Roman"/>
          <w:szCs w:val="24"/>
        </w:rPr>
        <w:t>treatment.</w:t>
      </w:r>
      <w:r w:rsidR="00702A3C">
        <w:rPr>
          <w:rFonts w:asciiTheme="majorHAnsi" w:hAnsiTheme="majorHAnsi" w:cs="Times New Roman"/>
          <w:szCs w:val="24"/>
        </w:rPr>
        <w:br w:type="page"/>
      </w:r>
    </w:p>
    <w:p w14:paraId="015B12DC" w14:textId="77777777" w:rsidR="00F37BF6" w:rsidRPr="00F37BF6" w:rsidRDefault="00F37BF6" w:rsidP="002F7610">
      <w:pPr>
        <w:spacing w:before="240"/>
        <w:rPr>
          <w:rFonts w:asciiTheme="majorHAnsi" w:hAnsiTheme="majorHAnsi" w:cs="Times New Roman"/>
          <w:i/>
          <w:szCs w:val="24"/>
          <w:u w:val="single"/>
        </w:rPr>
      </w:pPr>
      <w:r w:rsidRPr="00F37BF6">
        <w:rPr>
          <w:rFonts w:asciiTheme="majorHAnsi" w:hAnsiTheme="majorHAnsi" w:cs="Times New Roman"/>
          <w:i/>
          <w:szCs w:val="24"/>
          <w:u w:val="single"/>
        </w:rPr>
        <w:lastRenderedPageBreak/>
        <w:t>Clinical Considerations</w:t>
      </w:r>
    </w:p>
    <w:p w14:paraId="1DEF3147" w14:textId="77777777" w:rsidR="00156810" w:rsidRDefault="0013506A" w:rsidP="000049D7">
      <w:pPr>
        <w:rPr>
          <w:rFonts w:asciiTheme="majorHAnsi" w:hAnsiTheme="majorHAnsi" w:cs="Times New Roman"/>
          <w:szCs w:val="24"/>
        </w:rPr>
      </w:pPr>
      <w:r w:rsidRPr="003E451C">
        <w:rPr>
          <w:rFonts w:asciiTheme="majorHAnsi" w:hAnsiTheme="majorHAnsi" w:cs="Times New Roman"/>
          <w:szCs w:val="24"/>
        </w:rPr>
        <w:t xml:space="preserve">There are risks to the mother and </w:t>
      </w:r>
      <w:proofErr w:type="spellStart"/>
      <w:r w:rsidRPr="003E451C">
        <w:rPr>
          <w:rFonts w:asciiTheme="majorHAnsi" w:hAnsiTheme="majorHAnsi" w:cs="Times New Roman"/>
          <w:szCs w:val="24"/>
        </w:rPr>
        <w:t>fetus</w:t>
      </w:r>
      <w:proofErr w:type="spellEnd"/>
      <w:r w:rsidRPr="003E451C">
        <w:rPr>
          <w:rFonts w:asciiTheme="majorHAnsi" w:hAnsiTheme="majorHAnsi" w:cs="Times New Roman"/>
          <w:szCs w:val="24"/>
        </w:rPr>
        <w:t xml:space="preserve"> associated with </w:t>
      </w:r>
      <w:r w:rsidR="005E5B69" w:rsidRPr="003E451C">
        <w:rPr>
          <w:rFonts w:asciiTheme="majorHAnsi" w:hAnsiTheme="majorHAnsi" w:cs="Times New Roman"/>
          <w:szCs w:val="24"/>
        </w:rPr>
        <w:t xml:space="preserve">treated and </w:t>
      </w:r>
      <w:r w:rsidRPr="003E451C">
        <w:rPr>
          <w:rFonts w:asciiTheme="majorHAnsi" w:hAnsiTheme="majorHAnsi" w:cs="Times New Roman"/>
          <w:szCs w:val="24"/>
        </w:rPr>
        <w:t xml:space="preserve">untreated PNH and aHUS. </w:t>
      </w:r>
      <w:r w:rsidR="00156810" w:rsidRPr="003E451C">
        <w:rPr>
          <w:rFonts w:asciiTheme="majorHAnsi" w:hAnsiTheme="majorHAnsi" w:cs="Times New Roman"/>
          <w:szCs w:val="24"/>
        </w:rPr>
        <w:t xml:space="preserve">PNH in pregnancy is associated with adverse maternal outcomes, including worsening </w:t>
      </w:r>
      <w:proofErr w:type="spellStart"/>
      <w:r w:rsidR="00156810" w:rsidRPr="003E451C">
        <w:rPr>
          <w:rFonts w:asciiTheme="majorHAnsi" w:hAnsiTheme="majorHAnsi" w:cs="Times New Roman"/>
          <w:szCs w:val="24"/>
        </w:rPr>
        <w:t>cytopenias</w:t>
      </w:r>
      <w:proofErr w:type="spellEnd"/>
      <w:r w:rsidR="00156810" w:rsidRPr="003E451C">
        <w:rPr>
          <w:rFonts w:asciiTheme="majorHAnsi" w:hAnsiTheme="majorHAnsi" w:cs="Times New Roman"/>
          <w:szCs w:val="24"/>
        </w:rPr>
        <w:t xml:space="preserve">, thrombotic events, infections, bleeding, miscarriages and increased maternal mortality, and adverse </w:t>
      </w:r>
      <w:proofErr w:type="spellStart"/>
      <w:r w:rsidR="00156810" w:rsidRPr="003E451C">
        <w:rPr>
          <w:rFonts w:asciiTheme="majorHAnsi" w:hAnsiTheme="majorHAnsi" w:cs="Times New Roman"/>
          <w:szCs w:val="24"/>
        </w:rPr>
        <w:t>fetal</w:t>
      </w:r>
      <w:proofErr w:type="spellEnd"/>
      <w:r w:rsidR="00156810" w:rsidRPr="003E451C">
        <w:rPr>
          <w:rFonts w:asciiTheme="majorHAnsi" w:hAnsiTheme="majorHAnsi" w:cs="Times New Roman"/>
          <w:szCs w:val="24"/>
        </w:rPr>
        <w:t xml:space="preserve"> outcomes, including </w:t>
      </w:r>
      <w:proofErr w:type="spellStart"/>
      <w:r w:rsidR="00156810" w:rsidRPr="003E451C">
        <w:rPr>
          <w:rFonts w:asciiTheme="majorHAnsi" w:hAnsiTheme="majorHAnsi" w:cs="Times New Roman"/>
          <w:szCs w:val="24"/>
        </w:rPr>
        <w:t>fetal</w:t>
      </w:r>
      <w:proofErr w:type="spellEnd"/>
      <w:r w:rsidR="00156810" w:rsidRPr="003E451C">
        <w:rPr>
          <w:rFonts w:asciiTheme="majorHAnsi" w:hAnsiTheme="majorHAnsi" w:cs="Times New Roman"/>
          <w:szCs w:val="24"/>
        </w:rPr>
        <w:t xml:space="preserve"> death and premature delivery.</w:t>
      </w:r>
      <w:r w:rsidRPr="003E451C">
        <w:rPr>
          <w:rFonts w:asciiTheme="majorHAnsi" w:hAnsiTheme="majorHAnsi" w:cs="Times New Roman"/>
          <w:szCs w:val="24"/>
        </w:rPr>
        <w:t xml:space="preserve"> </w:t>
      </w:r>
      <w:r w:rsidR="00156810" w:rsidRPr="003E451C">
        <w:rPr>
          <w:rFonts w:asciiTheme="majorHAnsi" w:hAnsiTheme="majorHAnsi" w:cs="Times New Roman"/>
          <w:szCs w:val="24"/>
        </w:rPr>
        <w:t>aHUS in pregnancy is associated with adverse maternal outcomes, including pre</w:t>
      </w:r>
      <w:r w:rsidR="00621F23" w:rsidRPr="003E451C">
        <w:rPr>
          <w:rFonts w:asciiTheme="majorHAnsi" w:hAnsiTheme="majorHAnsi" w:cs="Times New Roman"/>
          <w:szCs w:val="24"/>
        </w:rPr>
        <w:t>-</w:t>
      </w:r>
      <w:r w:rsidR="00156810" w:rsidRPr="003E451C">
        <w:rPr>
          <w:rFonts w:asciiTheme="majorHAnsi" w:hAnsiTheme="majorHAnsi" w:cs="Times New Roman"/>
          <w:szCs w:val="24"/>
        </w:rPr>
        <w:t xml:space="preserve">eclampsia and preterm delivery, and adverse </w:t>
      </w:r>
      <w:proofErr w:type="spellStart"/>
      <w:r w:rsidR="00156810" w:rsidRPr="003E451C">
        <w:rPr>
          <w:rFonts w:asciiTheme="majorHAnsi" w:hAnsiTheme="majorHAnsi" w:cs="Times New Roman"/>
          <w:szCs w:val="24"/>
        </w:rPr>
        <w:t>fetal</w:t>
      </w:r>
      <w:proofErr w:type="spellEnd"/>
      <w:r w:rsidR="00156810" w:rsidRPr="003E451C">
        <w:rPr>
          <w:rFonts w:asciiTheme="majorHAnsi" w:hAnsiTheme="majorHAnsi" w:cs="Times New Roman"/>
          <w:szCs w:val="24"/>
        </w:rPr>
        <w:t xml:space="preserve">/neonatal outcomes, including intrauterine growth restriction (IUGR), </w:t>
      </w:r>
      <w:proofErr w:type="spellStart"/>
      <w:r w:rsidR="00156810" w:rsidRPr="003E451C">
        <w:rPr>
          <w:rFonts w:asciiTheme="majorHAnsi" w:hAnsiTheme="majorHAnsi" w:cs="Times New Roman"/>
          <w:szCs w:val="24"/>
        </w:rPr>
        <w:t>fetal</w:t>
      </w:r>
      <w:proofErr w:type="spellEnd"/>
      <w:r w:rsidR="00156810" w:rsidRPr="003E451C">
        <w:rPr>
          <w:rFonts w:asciiTheme="majorHAnsi" w:hAnsiTheme="majorHAnsi" w:cs="Times New Roman"/>
          <w:szCs w:val="24"/>
        </w:rPr>
        <w:t xml:space="preserve"> death and low birth weight.</w:t>
      </w:r>
      <w:r w:rsidR="005C14EE" w:rsidRPr="003E451C">
        <w:rPr>
          <w:rFonts w:asciiTheme="majorHAnsi" w:hAnsiTheme="majorHAnsi" w:cs="Times New Roman"/>
          <w:szCs w:val="24"/>
        </w:rPr>
        <w:t xml:space="preserve">  There is a risk of maternal, </w:t>
      </w:r>
      <w:proofErr w:type="spellStart"/>
      <w:r w:rsidR="005C14EE" w:rsidRPr="003E451C">
        <w:rPr>
          <w:rFonts w:asciiTheme="majorHAnsi" w:hAnsiTheme="majorHAnsi" w:cs="Times New Roman"/>
          <w:szCs w:val="24"/>
        </w:rPr>
        <w:t>fetal</w:t>
      </w:r>
      <w:proofErr w:type="spellEnd"/>
      <w:r w:rsidR="005C14EE" w:rsidRPr="003E451C">
        <w:rPr>
          <w:rFonts w:asciiTheme="majorHAnsi" w:hAnsiTheme="majorHAnsi" w:cs="Times New Roman"/>
          <w:szCs w:val="24"/>
        </w:rPr>
        <w:t xml:space="preserve"> or neonatal death with both PNH and aHUS pregnancies whether treated with </w:t>
      </w:r>
      <w:r w:rsidR="000277CB">
        <w:rPr>
          <w:rFonts w:asciiTheme="majorHAnsi" w:hAnsiTheme="majorHAnsi" w:cs="Times New Roman"/>
          <w:szCs w:val="24"/>
        </w:rPr>
        <w:t>Soliris</w:t>
      </w:r>
      <w:r w:rsidR="005C14EE" w:rsidRPr="003E451C">
        <w:rPr>
          <w:rFonts w:asciiTheme="majorHAnsi" w:hAnsiTheme="majorHAnsi" w:cs="Times New Roman"/>
          <w:szCs w:val="24"/>
        </w:rPr>
        <w:t xml:space="preserve"> or not.</w:t>
      </w:r>
    </w:p>
    <w:p w14:paraId="7C4242D6" w14:textId="77777777" w:rsidR="00F37BF6" w:rsidRPr="00F37BF6" w:rsidRDefault="00E83E65" w:rsidP="002F7610">
      <w:pPr>
        <w:spacing w:before="240"/>
        <w:rPr>
          <w:rFonts w:asciiTheme="majorHAnsi" w:hAnsiTheme="majorHAnsi" w:cs="Times New Roman"/>
          <w:i/>
          <w:szCs w:val="24"/>
          <w:u w:val="single"/>
        </w:rPr>
      </w:pPr>
      <w:r>
        <w:rPr>
          <w:rFonts w:asciiTheme="majorHAnsi" w:hAnsiTheme="majorHAnsi" w:cs="Times New Roman"/>
          <w:i/>
          <w:szCs w:val="24"/>
          <w:u w:val="single"/>
        </w:rPr>
        <w:t xml:space="preserve">Human </w:t>
      </w:r>
      <w:r w:rsidR="00F37BF6" w:rsidRPr="00F37BF6">
        <w:rPr>
          <w:rFonts w:asciiTheme="majorHAnsi" w:hAnsiTheme="majorHAnsi" w:cs="Times New Roman"/>
          <w:i/>
          <w:szCs w:val="24"/>
          <w:u w:val="single"/>
        </w:rPr>
        <w:t>Data</w:t>
      </w:r>
    </w:p>
    <w:p w14:paraId="150B137A" w14:textId="77777777" w:rsidR="00D02E27" w:rsidRPr="005E5B69" w:rsidRDefault="002D3823" w:rsidP="005E5B69">
      <w:pPr>
        <w:pStyle w:val="NormalWeb"/>
        <w:spacing w:before="0" w:beforeAutospacing="0" w:after="120" w:afterAutospacing="0"/>
        <w:rPr>
          <w:rFonts w:asciiTheme="majorHAnsi" w:eastAsiaTheme="minorHAnsi" w:hAnsiTheme="majorHAnsi"/>
          <w:lang w:eastAsia="en-US"/>
        </w:rPr>
      </w:pPr>
      <w:r w:rsidRPr="005E5B69">
        <w:rPr>
          <w:rFonts w:asciiTheme="majorHAnsi" w:eastAsiaTheme="minorHAnsi" w:hAnsiTheme="majorHAnsi"/>
          <w:lang w:eastAsia="en-US"/>
        </w:rPr>
        <w:t xml:space="preserve">Limited data are available from reports of pregnancy-related outcomes from the safety database. </w:t>
      </w:r>
      <w:r w:rsidR="00D02E27" w:rsidRPr="00D02E27">
        <w:rPr>
          <w:rFonts w:asciiTheme="majorHAnsi" w:eastAsiaTheme="minorHAnsi" w:hAnsiTheme="majorHAnsi"/>
          <w:lang w:eastAsia="en-US"/>
        </w:rPr>
        <w:t>Analysis of available data show no difference in the risk of overall major</w:t>
      </w:r>
      <w:r w:rsidR="003D0130">
        <w:rPr>
          <w:rFonts w:asciiTheme="majorHAnsi" w:eastAsiaTheme="minorHAnsi" w:hAnsiTheme="majorHAnsi"/>
          <w:lang w:eastAsia="en-US"/>
        </w:rPr>
        <w:t xml:space="preserve"> birth defects for Soliris</w:t>
      </w:r>
      <w:r w:rsidR="00D02E27" w:rsidRPr="00D02E27">
        <w:rPr>
          <w:rFonts w:asciiTheme="majorHAnsi" w:eastAsiaTheme="minorHAnsi" w:hAnsiTheme="majorHAnsi"/>
          <w:lang w:eastAsia="en-US"/>
        </w:rPr>
        <w:t xml:space="preserve"> (0.94 per 100 live-births) compared with the background rate for major birth defects of 2.7% in the U.S. reference population of the Metropolitan Atlanta Congenital Defects Program (MACDP) or 2-3% in the U.K. reference population. The rate of </w:t>
      </w:r>
      <w:proofErr w:type="spellStart"/>
      <w:r w:rsidR="00D02E27" w:rsidRPr="00D02E27">
        <w:rPr>
          <w:rFonts w:asciiTheme="majorHAnsi" w:eastAsiaTheme="minorHAnsi" w:hAnsiTheme="majorHAnsi"/>
          <w:lang w:eastAsia="en-US"/>
        </w:rPr>
        <w:t>fetal</w:t>
      </w:r>
      <w:proofErr w:type="spellEnd"/>
      <w:r w:rsidR="00D02E27" w:rsidRPr="00D02E27">
        <w:rPr>
          <w:rFonts w:asciiTheme="majorHAnsi" w:eastAsiaTheme="minorHAnsi" w:hAnsiTheme="majorHAnsi"/>
          <w:lang w:eastAsia="en-US"/>
        </w:rPr>
        <w:t xml:space="preserve"> death (miscarriage and stillbirth) observed in the safety database is estimated to be 16.2%. The estimated background rate of miscarriage in clinically recogni</w:t>
      </w:r>
      <w:r w:rsidR="003D0130">
        <w:rPr>
          <w:rFonts w:asciiTheme="majorHAnsi" w:eastAsiaTheme="minorHAnsi" w:hAnsiTheme="majorHAnsi"/>
          <w:lang w:eastAsia="en-US"/>
        </w:rPr>
        <w:t>s</w:t>
      </w:r>
      <w:r w:rsidR="00D02E27" w:rsidRPr="00D02E27">
        <w:rPr>
          <w:rFonts w:asciiTheme="majorHAnsi" w:eastAsiaTheme="minorHAnsi" w:hAnsiTheme="majorHAnsi"/>
          <w:lang w:eastAsia="en-US"/>
        </w:rPr>
        <w:t>ed pregnancies in the U.S. general population is 15-20%.</w:t>
      </w:r>
    </w:p>
    <w:p w14:paraId="64F6F7A0" w14:textId="77777777" w:rsidR="005E5B69" w:rsidRDefault="0081467F" w:rsidP="005E5B69">
      <w:pPr>
        <w:spacing w:after="120"/>
        <w:rPr>
          <w:rFonts w:asciiTheme="majorHAnsi" w:hAnsiTheme="majorHAnsi" w:cs="Times New Roman"/>
          <w:szCs w:val="24"/>
        </w:rPr>
      </w:pPr>
      <w:r w:rsidRPr="0081467F">
        <w:rPr>
          <w:rFonts w:asciiTheme="majorHAnsi" w:hAnsiTheme="majorHAnsi" w:cs="Times New Roman"/>
          <w:szCs w:val="24"/>
        </w:rPr>
        <w:t>The background risk of birth defects for the indicated population of PNH or aHUS is not thought to be different than that in the general population.</w:t>
      </w:r>
      <w:r>
        <w:rPr>
          <w:sz w:val="22"/>
        </w:rPr>
        <w:t xml:space="preserve"> </w:t>
      </w:r>
      <w:r w:rsidR="005E5B69" w:rsidRPr="005E5B69">
        <w:rPr>
          <w:rFonts w:asciiTheme="majorHAnsi" w:hAnsiTheme="majorHAnsi" w:cs="Times New Roman"/>
          <w:szCs w:val="24"/>
        </w:rPr>
        <w:t>Rates of miscarriage and still birth are reported to be as high as 26% and 10% respectively in PNH. Methodological limitations of this data analysis include the use of MACDP and published literature on PNH and aHUS as the external comparator group. The MACDP population is not disease-specific, evaluates women and infants from a limited geographic area, and does not include outcomes for births that occurred at &lt;20 weeks gestation.</w:t>
      </w:r>
    </w:p>
    <w:p w14:paraId="718699D3" w14:textId="77777777" w:rsidR="00E83E65" w:rsidRDefault="00E83E65" w:rsidP="00F56BBD">
      <w:pPr>
        <w:spacing w:before="240"/>
        <w:rPr>
          <w:rFonts w:asciiTheme="majorHAnsi" w:hAnsiTheme="majorHAnsi" w:cs="Times New Roman"/>
          <w:szCs w:val="24"/>
        </w:rPr>
      </w:pPr>
      <w:r>
        <w:rPr>
          <w:rFonts w:asciiTheme="majorHAnsi" w:hAnsiTheme="majorHAnsi" w:cs="Times New Roman"/>
          <w:i/>
          <w:szCs w:val="24"/>
          <w:u w:val="single"/>
        </w:rPr>
        <w:t xml:space="preserve">Animal </w:t>
      </w:r>
      <w:r w:rsidRPr="00F37BF6">
        <w:rPr>
          <w:rFonts w:asciiTheme="majorHAnsi" w:hAnsiTheme="majorHAnsi" w:cs="Times New Roman"/>
          <w:i/>
          <w:szCs w:val="24"/>
          <w:u w:val="single"/>
        </w:rPr>
        <w:t>Data</w:t>
      </w:r>
    </w:p>
    <w:p w14:paraId="53C838A6" w14:textId="77777777" w:rsidR="003D0130" w:rsidRDefault="006C5055" w:rsidP="00B60206">
      <w:pPr>
        <w:rPr>
          <w:rFonts w:asciiTheme="majorHAnsi" w:hAnsiTheme="majorHAnsi" w:cs="Times New Roman"/>
          <w:szCs w:val="24"/>
        </w:rPr>
      </w:pPr>
      <w:r w:rsidRPr="0039396F">
        <w:rPr>
          <w:rFonts w:asciiTheme="majorHAnsi" w:hAnsiTheme="majorHAnsi" w:cs="Times New Roman"/>
          <w:szCs w:val="24"/>
        </w:rPr>
        <w:t xml:space="preserve">In </w:t>
      </w:r>
      <w:r w:rsidR="002E1C4E">
        <w:rPr>
          <w:rFonts w:asciiTheme="majorHAnsi" w:hAnsiTheme="majorHAnsi" w:cs="Times New Roman"/>
          <w:szCs w:val="24"/>
        </w:rPr>
        <w:t xml:space="preserve">reproductive toxicology </w:t>
      </w:r>
      <w:r w:rsidRPr="0039396F">
        <w:rPr>
          <w:rFonts w:asciiTheme="majorHAnsi" w:hAnsiTheme="majorHAnsi" w:cs="Times New Roman"/>
          <w:szCs w:val="24"/>
        </w:rPr>
        <w:t xml:space="preserve">studies </w:t>
      </w:r>
      <w:r w:rsidR="001E2DA1">
        <w:rPr>
          <w:rFonts w:asciiTheme="majorHAnsi" w:hAnsiTheme="majorHAnsi" w:cs="Times New Roman"/>
          <w:szCs w:val="24"/>
        </w:rPr>
        <w:t xml:space="preserve">in mice </w:t>
      </w:r>
      <w:r w:rsidRPr="0039396F">
        <w:rPr>
          <w:rFonts w:asciiTheme="majorHAnsi" w:hAnsiTheme="majorHAnsi" w:cs="Times New Roman"/>
          <w:szCs w:val="24"/>
        </w:rPr>
        <w:t xml:space="preserve">with </w:t>
      </w:r>
      <w:r w:rsidR="001E2DA1">
        <w:rPr>
          <w:rFonts w:asciiTheme="majorHAnsi" w:hAnsiTheme="majorHAnsi" w:cs="Times New Roman"/>
          <w:szCs w:val="24"/>
        </w:rPr>
        <w:t>the</w:t>
      </w:r>
      <w:r w:rsidR="001E2DA1" w:rsidRPr="0039396F">
        <w:rPr>
          <w:rFonts w:asciiTheme="majorHAnsi" w:hAnsiTheme="majorHAnsi" w:cs="Times New Roman"/>
          <w:szCs w:val="24"/>
        </w:rPr>
        <w:t xml:space="preserve"> </w:t>
      </w:r>
      <w:r w:rsidRPr="0039396F">
        <w:rPr>
          <w:rFonts w:asciiTheme="majorHAnsi" w:hAnsiTheme="majorHAnsi" w:cs="Times New Roman"/>
          <w:szCs w:val="24"/>
        </w:rPr>
        <w:t>murine</w:t>
      </w:r>
      <w:r w:rsidR="001E2DA1">
        <w:rPr>
          <w:rFonts w:asciiTheme="majorHAnsi" w:hAnsiTheme="majorHAnsi" w:cs="Times New Roman"/>
          <w:szCs w:val="24"/>
        </w:rPr>
        <w:t xml:space="preserve"> surrogate</w:t>
      </w:r>
      <w:r w:rsidRPr="0039396F">
        <w:rPr>
          <w:rFonts w:asciiTheme="majorHAnsi" w:hAnsiTheme="majorHAnsi" w:cs="Times New Roman"/>
          <w:szCs w:val="24"/>
        </w:rPr>
        <w:t xml:space="preserve"> </w:t>
      </w:r>
      <w:r w:rsidR="001E2DA1">
        <w:rPr>
          <w:rFonts w:asciiTheme="majorHAnsi" w:hAnsiTheme="majorHAnsi" w:cs="Times New Roman"/>
          <w:szCs w:val="24"/>
        </w:rPr>
        <w:t>terminal complement inhibitory</w:t>
      </w:r>
      <w:r w:rsidRPr="0039396F">
        <w:rPr>
          <w:rFonts w:asciiTheme="majorHAnsi" w:hAnsiTheme="majorHAnsi" w:cs="Times New Roman"/>
          <w:szCs w:val="24"/>
        </w:rPr>
        <w:t xml:space="preserve"> antibody given during the period of organogenesis, there were no clear treatment-related findings in </w:t>
      </w:r>
      <w:proofErr w:type="spellStart"/>
      <w:r w:rsidRPr="0039396F">
        <w:rPr>
          <w:rFonts w:asciiTheme="majorHAnsi" w:hAnsiTheme="majorHAnsi" w:cs="Times New Roman"/>
          <w:szCs w:val="24"/>
        </w:rPr>
        <w:t>fetuses</w:t>
      </w:r>
      <w:proofErr w:type="spellEnd"/>
      <w:r w:rsidRPr="0039396F">
        <w:rPr>
          <w:rFonts w:asciiTheme="majorHAnsi" w:hAnsiTheme="majorHAnsi" w:cs="Times New Roman"/>
          <w:szCs w:val="24"/>
        </w:rPr>
        <w:t xml:space="preserve"> of mice exposed to 60 mg/kg/week, a dose comparable to the human dose of </w:t>
      </w:r>
      <w:r w:rsidR="005E5B69">
        <w:rPr>
          <w:rFonts w:asciiTheme="majorHAnsi" w:hAnsiTheme="majorHAnsi" w:cs="Times New Roman"/>
          <w:szCs w:val="24"/>
        </w:rPr>
        <w:t>Soliris</w:t>
      </w:r>
      <w:r w:rsidRPr="0039396F">
        <w:rPr>
          <w:rFonts w:asciiTheme="majorHAnsi" w:hAnsiTheme="majorHAnsi" w:cs="Times New Roman"/>
          <w:szCs w:val="24"/>
        </w:rPr>
        <w:t xml:space="preserve"> on a mg/kg basis. When maternal exposure to the murine antibody occurred from the time of implantation to the end of lactation, a slightly higher number of male offspring became moribund or died in the group given 60 mg/kg/week. The relevance to use of </w:t>
      </w:r>
      <w:r w:rsidR="006C4F8B" w:rsidRPr="00B60206">
        <w:rPr>
          <w:rFonts w:asciiTheme="majorHAnsi" w:hAnsiTheme="majorHAnsi" w:cs="Times New Roman"/>
          <w:szCs w:val="24"/>
        </w:rPr>
        <w:t>Soliris</w:t>
      </w:r>
      <w:r w:rsidRPr="0039396F">
        <w:rPr>
          <w:rFonts w:asciiTheme="majorHAnsi" w:hAnsiTheme="majorHAnsi" w:cs="Times New Roman"/>
          <w:szCs w:val="24"/>
        </w:rPr>
        <w:t xml:space="preserve"> is unclear.</w:t>
      </w:r>
      <w:r w:rsidR="003D0130">
        <w:rPr>
          <w:rFonts w:asciiTheme="majorHAnsi" w:hAnsiTheme="majorHAnsi" w:cs="Times New Roman"/>
          <w:szCs w:val="24"/>
        </w:rPr>
        <w:t xml:space="preserve"> </w:t>
      </w:r>
    </w:p>
    <w:p w14:paraId="43322207" w14:textId="77777777" w:rsidR="001A3992" w:rsidRPr="0039396F" w:rsidRDefault="003C2E29" w:rsidP="00BF24C5">
      <w:pPr>
        <w:pStyle w:val="Heading3"/>
      </w:pPr>
      <w:r w:rsidRPr="0039396F">
        <w:t xml:space="preserve">Use in </w:t>
      </w:r>
      <w:r w:rsidR="003E4DE1">
        <w:t>L</w:t>
      </w:r>
      <w:r w:rsidRPr="0039396F">
        <w:t>actation</w:t>
      </w:r>
    </w:p>
    <w:p w14:paraId="75504BB1" w14:textId="31E1B29C" w:rsidR="00AD4DC5" w:rsidRDefault="0081467F" w:rsidP="00407C4C">
      <w:pPr>
        <w:rPr>
          <w:rFonts w:asciiTheme="majorHAnsi" w:hAnsiTheme="majorHAnsi" w:cs="Times New Roman"/>
          <w:szCs w:val="24"/>
        </w:rPr>
      </w:pPr>
      <w:r>
        <w:rPr>
          <w:rFonts w:asciiTheme="majorHAnsi" w:hAnsiTheme="majorHAnsi" w:cs="Times New Roman"/>
          <w:szCs w:val="24"/>
        </w:rPr>
        <w:t>Although l</w:t>
      </w:r>
      <w:r w:rsidR="00382C11">
        <w:rPr>
          <w:rFonts w:asciiTheme="majorHAnsi" w:hAnsiTheme="majorHAnsi" w:cs="Times New Roman"/>
          <w:szCs w:val="24"/>
        </w:rPr>
        <w:t xml:space="preserve">imited </w:t>
      </w:r>
      <w:r>
        <w:rPr>
          <w:rFonts w:asciiTheme="majorHAnsi" w:hAnsiTheme="majorHAnsi" w:cs="Times New Roman"/>
          <w:szCs w:val="24"/>
        </w:rPr>
        <w:t xml:space="preserve">published </w:t>
      </w:r>
      <w:r w:rsidR="00382C11">
        <w:rPr>
          <w:rFonts w:asciiTheme="majorHAnsi" w:hAnsiTheme="majorHAnsi" w:cs="Times New Roman"/>
          <w:szCs w:val="24"/>
        </w:rPr>
        <w:t xml:space="preserve">data </w:t>
      </w:r>
      <w:r>
        <w:rPr>
          <w:rFonts w:asciiTheme="majorHAnsi" w:hAnsiTheme="majorHAnsi" w:cs="Times New Roman"/>
          <w:szCs w:val="24"/>
        </w:rPr>
        <w:t>does not repor</w:t>
      </w:r>
      <w:r w:rsidR="00382C11">
        <w:rPr>
          <w:rFonts w:asciiTheme="majorHAnsi" w:hAnsiTheme="majorHAnsi" w:cs="Times New Roman"/>
          <w:szCs w:val="24"/>
        </w:rPr>
        <w:t>t</w:t>
      </w:r>
      <w:r>
        <w:rPr>
          <w:rFonts w:asciiTheme="majorHAnsi" w:hAnsiTheme="majorHAnsi" w:cs="Times New Roman"/>
          <w:szCs w:val="24"/>
        </w:rPr>
        <w:t xml:space="preserve"> detectable levels of</w:t>
      </w:r>
      <w:r w:rsidR="006C5055" w:rsidRPr="0039396F">
        <w:rPr>
          <w:rFonts w:asciiTheme="majorHAnsi" w:hAnsiTheme="majorHAnsi" w:cs="Times New Roman"/>
          <w:szCs w:val="24"/>
        </w:rPr>
        <w:t xml:space="preserve"> </w:t>
      </w:r>
      <w:proofErr w:type="spellStart"/>
      <w:r w:rsidR="006C5055" w:rsidRPr="0039396F">
        <w:rPr>
          <w:rFonts w:asciiTheme="majorHAnsi" w:hAnsiTheme="majorHAnsi" w:cs="Times New Roman"/>
          <w:szCs w:val="24"/>
        </w:rPr>
        <w:t>eculizumab</w:t>
      </w:r>
      <w:proofErr w:type="spellEnd"/>
      <w:r w:rsidR="006C5055" w:rsidRPr="0039396F">
        <w:rPr>
          <w:rFonts w:asciiTheme="majorHAnsi" w:hAnsiTheme="majorHAnsi" w:cs="Times New Roman"/>
          <w:szCs w:val="24"/>
        </w:rPr>
        <w:t xml:space="preserve"> </w:t>
      </w:r>
      <w:r w:rsidR="006C5055" w:rsidRPr="0039396F">
        <w:rPr>
          <w:rFonts w:asciiTheme="majorHAnsi" w:hAnsiTheme="majorHAnsi" w:cs="Times New Roman"/>
          <w:i/>
          <w:szCs w:val="24"/>
        </w:rPr>
        <w:t>rmc</w:t>
      </w:r>
      <w:r w:rsidR="006C5055" w:rsidRPr="0039396F">
        <w:rPr>
          <w:rFonts w:asciiTheme="majorHAnsi" w:hAnsiTheme="majorHAnsi" w:cs="Times New Roman"/>
          <w:szCs w:val="24"/>
        </w:rPr>
        <w:t xml:space="preserve"> in human milk</w:t>
      </w:r>
      <w:r>
        <w:rPr>
          <w:rFonts w:asciiTheme="majorHAnsi" w:hAnsiTheme="majorHAnsi" w:cs="Times New Roman"/>
          <w:szCs w:val="24"/>
        </w:rPr>
        <w:t>, maternal IgG is known to be present in human milk</w:t>
      </w:r>
      <w:r w:rsidR="006C5055" w:rsidRPr="0039396F">
        <w:rPr>
          <w:rFonts w:asciiTheme="majorHAnsi" w:hAnsiTheme="majorHAnsi" w:cs="Times New Roman"/>
          <w:szCs w:val="24"/>
        </w:rPr>
        <w:t>.</w:t>
      </w:r>
      <w:r>
        <w:rPr>
          <w:rFonts w:asciiTheme="majorHAnsi" w:hAnsiTheme="majorHAnsi" w:cs="Times New Roman"/>
          <w:szCs w:val="24"/>
        </w:rPr>
        <w:t xml:space="preserve"> </w:t>
      </w:r>
      <w:r w:rsidRPr="0081467F">
        <w:rPr>
          <w:rFonts w:asciiTheme="majorHAnsi" w:hAnsiTheme="majorHAnsi" w:cs="Times New Roman"/>
          <w:szCs w:val="24"/>
        </w:rPr>
        <w:t xml:space="preserve">Available information is insufficient to inform the effect of </w:t>
      </w:r>
      <w:proofErr w:type="spellStart"/>
      <w:r w:rsidRPr="0081467F">
        <w:rPr>
          <w:rFonts w:asciiTheme="majorHAnsi" w:hAnsiTheme="majorHAnsi" w:cs="Times New Roman"/>
          <w:szCs w:val="24"/>
        </w:rPr>
        <w:t>eculizumab</w:t>
      </w:r>
      <w:proofErr w:type="spellEnd"/>
      <w:r w:rsidR="003D0130">
        <w:rPr>
          <w:rFonts w:asciiTheme="majorHAnsi" w:hAnsiTheme="majorHAnsi" w:cs="Times New Roman"/>
          <w:szCs w:val="24"/>
        </w:rPr>
        <w:t xml:space="preserve"> </w:t>
      </w:r>
      <w:r w:rsidR="003D0130" w:rsidRPr="00187B06">
        <w:rPr>
          <w:rFonts w:asciiTheme="majorHAnsi" w:hAnsiTheme="majorHAnsi" w:cs="Times New Roman"/>
          <w:i/>
          <w:szCs w:val="24"/>
        </w:rPr>
        <w:t>rmc</w:t>
      </w:r>
      <w:r w:rsidRPr="0081467F">
        <w:rPr>
          <w:rFonts w:asciiTheme="majorHAnsi" w:hAnsiTheme="majorHAnsi" w:cs="Times New Roman"/>
          <w:szCs w:val="24"/>
        </w:rPr>
        <w:t xml:space="preserve"> on the breastfed infant. There are no data on the effects of </w:t>
      </w:r>
      <w:proofErr w:type="spellStart"/>
      <w:r w:rsidRPr="0081467F">
        <w:rPr>
          <w:rFonts w:asciiTheme="majorHAnsi" w:hAnsiTheme="majorHAnsi" w:cs="Times New Roman"/>
          <w:szCs w:val="24"/>
        </w:rPr>
        <w:t>eculizumab</w:t>
      </w:r>
      <w:proofErr w:type="spellEnd"/>
      <w:r w:rsidRPr="0081467F">
        <w:rPr>
          <w:rFonts w:asciiTheme="majorHAnsi" w:hAnsiTheme="majorHAnsi" w:cs="Times New Roman"/>
          <w:szCs w:val="24"/>
        </w:rPr>
        <w:t xml:space="preserve"> </w:t>
      </w:r>
      <w:r w:rsidR="003D0130" w:rsidRPr="007B147A">
        <w:rPr>
          <w:rFonts w:asciiTheme="majorHAnsi" w:hAnsiTheme="majorHAnsi" w:cs="Times New Roman"/>
          <w:i/>
          <w:szCs w:val="24"/>
        </w:rPr>
        <w:t>rmc</w:t>
      </w:r>
      <w:r w:rsidR="003D0130" w:rsidRPr="0081467F">
        <w:rPr>
          <w:rFonts w:asciiTheme="majorHAnsi" w:hAnsiTheme="majorHAnsi" w:cs="Times New Roman"/>
          <w:szCs w:val="24"/>
        </w:rPr>
        <w:t xml:space="preserve"> </w:t>
      </w:r>
      <w:r w:rsidRPr="0081467F">
        <w:rPr>
          <w:rFonts w:asciiTheme="majorHAnsi" w:hAnsiTheme="majorHAnsi" w:cs="Times New Roman"/>
          <w:szCs w:val="24"/>
        </w:rPr>
        <w:t xml:space="preserve">on milk production. The developmental and health benefits of breastfeeding should be considered along with the mother's clinical need for Soliris and any potential adverse effects on the breastfed child from </w:t>
      </w:r>
      <w:r w:rsidR="00DA2E7F">
        <w:rPr>
          <w:rFonts w:asciiTheme="majorHAnsi" w:hAnsiTheme="majorHAnsi" w:cs="Times New Roman"/>
          <w:szCs w:val="24"/>
        </w:rPr>
        <w:t>Soliris</w:t>
      </w:r>
      <w:r w:rsidR="000277CB">
        <w:rPr>
          <w:rFonts w:asciiTheme="majorHAnsi" w:hAnsiTheme="majorHAnsi" w:cs="Times New Roman"/>
          <w:szCs w:val="24"/>
        </w:rPr>
        <w:t xml:space="preserve"> </w:t>
      </w:r>
      <w:r w:rsidRPr="0081467F">
        <w:rPr>
          <w:rFonts w:asciiTheme="majorHAnsi" w:hAnsiTheme="majorHAnsi" w:cs="Times New Roman"/>
          <w:szCs w:val="24"/>
        </w:rPr>
        <w:t>or from the underlying maternal condition.</w:t>
      </w:r>
      <w:r>
        <w:rPr>
          <w:rFonts w:asciiTheme="majorHAnsi" w:hAnsiTheme="majorHAnsi" w:cs="Times New Roman"/>
          <w:szCs w:val="24"/>
        </w:rPr>
        <w:t xml:space="preserve"> </w:t>
      </w:r>
    </w:p>
    <w:p w14:paraId="2474CDBF" w14:textId="77777777" w:rsidR="001A3992" w:rsidRPr="0039396F" w:rsidRDefault="001A3992" w:rsidP="0098396D">
      <w:pPr>
        <w:pStyle w:val="Heading2"/>
        <w:pageBreakBefore/>
        <w:ind w:left="578" w:hanging="578"/>
        <w:rPr>
          <w:rFonts w:cs="Times New Roman"/>
        </w:rPr>
      </w:pPr>
      <w:r w:rsidRPr="0039396F">
        <w:rPr>
          <w:rFonts w:cs="Times New Roman"/>
        </w:rPr>
        <w:lastRenderedPageBreak/>
        <w:t>Effects on ability to drive and use machines</w:t>
      </w:r>
    </w:p>
    <w:p w14:paraId="3005E963" w14:textId="77777777" w:rsidR="003C2E29" w:rsidRPr="0039396F" w:rsidRDefault="003C2E29" w:rsidP="003C2E29">
      <w:pPr>
        <w:autoSpaceDE w:val="0"/>
        <w:autoSpaceDN w:val="0"/>
        <w:adjustRightInd w:val="0"/>
        <w:rPr>
          <w:rFonts w:asciiTheme="majorHAnsi" w:hAnsiTheme="majorHAnsi" w:cs="Times New Roman"/>
          <w:i/>
          <w:szCs w:val="24"/>
        </w:rPr>
      </w:pPr>
      <w:r w:rsidRPr="0039396F">
        <w:rPr>
          <w:rFonts w:asciiTheme="majorHAnsi" w:hAnsiTheme="majorHAnsi" w:cs="Times New Roman"/>
          <w:i/>
          <w:szCs w:val="24"/>
        </w:rPr>
        <w:t>The effects of this medicine on a person’s ability to drive and use machines were not assessed as part of its registration</w:t>
      </w:r>
      <w:r w:rsidR="00B60206">
        <w:rPr>
          <w:rFonts w:asciiTheme="majorHAnsi" w:hAnsiTheme="majorHAnsi" w:cs="Times New Roman"/>
          <w:i/>
          <w:szCs w:val="24"/>
        </w:rPr>
        <w:t>.</w:t>
      </w:r>
    </w:p>
    <w:p w14:paraId="6DD73C00" w14:textId="77777777" w:rsidR="001A3992" w:rsidRPr="0039396F" w:rsidRDefault="001A3992" w:rsidP="006908ED">
      <w:pPr>
        <w:pStyle w:val="Heading2"/>
        <w:keepNext/>
        <w:keepLines/>
        <w:rPr>
          <w:rFonts w:cs="Times New Roman"/>
        </w:rPr>
      </w:pPr>
      <w:r w:rsidRPr="0039396F">
        <w:rPr>
          <w:rFonts w:cs="Times New Roman"/>
        </w:rPr>
        <w:t>Adverse effects (Undesirable effects)</w:t>
      </w:r>
    </w:p>
    <w:p w14:paraId="7525BF50" w14:textId="77777777" w:rsidR="00080745" w:rsidRPr="0039396F" w:rsidRDefault="00080745" w:rsidP="00BF24C5">
      <w:pPr>
        <w:pStyle w:val="Heading3"/>
        <w:rPr>
          <w:lang w:val="en-US"/>
        </w:rPr>
      </w:pPr>
      <w:r w:rsidRPr="0039396F">
        <w:rPr>
          <w:lang w:val="en-US"/>
        </w:rPr>
        <w:t>Clinical Trial Experience</w:t>
      </w:r>
    </w:p>
    <w:p w14:paraId="44294EE2" w14:textId="77777777" w:rsidR="00080745" w:rsidRPr="0039396F" w:rsidRDefault="00080745" w:rsidP="006908ED">
      <w:pPr>
        <w:spacing w:before="120" w:after="120"/>
        <w:rPr>
          <w:rFonts w:asciiTheme="majorHAnsi" w:hAnsiTheme="majorHAnsi" w:cs="Times New Roman"/>
          <w:b/>
          <w:szCs w:val="24"/>
          <w:lang w:val="en-US"/>
        </w:rPr>
      </w:pPr>
      <w:bookmarkStart w:id="4" w:name="_Toc288231727"/>
      <w:bookmarkStart w:id="5" w:name="_Toc289348638"/>
      <w:r w:rsidRPr="0039396F">
        <w:rPr>
          <w:rFonts w:asciiTheme="majorHAnsi" w:hAnsiTheme="majorHAnsi" w:cs="Times New Roman"/>
          <w:b/>
          <w:szCs w:val="24"/>
          <w:lang w:val="en-US"/>
        </w:rPr>
        <w:t>PNH</w:t>
      </w:r>
      <w:bookmarkEnd w:id="4"/>
      <w:bookmarkEnd w:id="5"/>
    </w:p>
    <w:p w14:paraId="7FC40073"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 xml:space="preserve">The data described below reflect exposure to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in 196 adult patients with PNH, age 18-85, of whom 55% were female.  All had signs or symptoms of intravascular </w:t>
      </w:r>
      <w:proofErr w:type="spellStart"/>
      <w:r w:rsidRPr="0039396F">
        <w:rPr>
          <w:rFonts w:asciiTheme="majorHAnsi" w:hAnsiTheme="majorHAnsi" w:cs="Times New Roman"/>
          <w:szCs w:val="24"/>
          <w:lang w:val="en-US"/>
        </w:rPr>
        <w:t>haemolysis</w:t>
      </w:r>
      <w:proofErr w:type="spellEnd"/>
      <w:r w:rsidRPr="0039396F">
        <w:rPr>
          <w:rFonts w:asciiTheme="majorHAnsi" w:hAnsiTheme="majorHAnsi" w:cs="Times New Roman"/>
          <w:szCs w:val="24"/>
          <w:lang w:val="en-US"/>
        </w:rPr>
        <w:t xml:space="preserve">.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was studied in a placebo-controlled clinical study (in which 43 patients received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and 44, placebo); a single arm clinical study and a long term extension study.  182 patients were exposed for greater than 1 year.  All patients received the recommended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dose regimen.</w:t>
      </w:r>
    </w:p>
    <w:p w14:paraId="1D523F81" w14:textId="77777777" w:rsidR="00080745" w:rsidRPr="0039396F" w:rsidRDefault="00080745" w:rsidP="00080745">
      <w:pPr>
        <w:rPr>
          <w:rFonts w:asciiTheme="majorHAnsi" w:hAnsiTheme="majorHAnsi" w:cs="Times New Roman"/>
          <w:szCs w:val="24"/>
          <w:lang w:val="en-US"/>
        </w:rPr>
      </w:pPr>
    </w:p>
    <w:p w14:paraId="775AF7ED" w14:textId="7A60F7E4" w:rsidR="00080745"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 xml:space="preserve">Because clinical trials are conducted under widely varying conditions, adverse reaction rates observed in the clinical trials of a drug cannot be directly compared to rates in the clinical trials of another drug and may not reflect the rates observed in practice.  </w:t>
      </w:r>
      <w:r w:rsidR="00FB566F">
        <w:rPr>
          <w:rFonts w:asciiTheme="majorHAnsi" w:hAnsiTheme="majorHAnsi" w:cs="Times New Roman"/>
          <w:szCs w:val="24"/>
          <w:lang w:val="en-US"/>
        </w:rPr>
        <w:fldChar w:fldCharType="begin"/>
      </w:r>
      <w:r w:rsidR="00FB566F">
        <w:rPr>
          <w:rFonts w:asciiTheme="majorHAnsi" w:hAnsiTheme="majorHAnsi" w:cs="Times New Roman"/>
          <w:szCs w:val="24"/>
          <w:lang w:val="en-US"/>
        </w:rPr>
        <w:instrText xml:space="preserve"> REF _Ref415058810 \h </w:instrText>
      </w:r>
      <w:r w:rsidR="00FB566F">
        <w:rPr>
          <w:rFonts w:asciiTheme="majorHAnsi" w:hAnsiTheme="majorHAnsi" w:cs="Times New Roman"/>
          <w:szCs w:val="24"/>
          <w:lang w:val="en-US"/>
        </w:rPr>
      </w:r>
      <w:r w:rsidR="00FB566F">
        <w:rPr>
          <w:rFonts w:asciiTheme="majorHAnsi" w:hAnsiTheme="majorHAnsi" w:cs="Times New Roman"/>
          <w:szCs w:val="24"/>
          <w:lang w:val="en-US"/>
        </w:rPr>
        <w:fldChar w:fldCharType="separate"/>
      </w:r>
      <w:r w:rsidR="00AE6672" w:rsidRPr="0039396F">
        <w:rPr>
          <w:rFonts w:asciiTheme="majorHAnsi" w:hAnsiTheme="majorHAnsi"/>
          <w:szCs w:val="24"/>
        </w:rPr>
        <w:t xml:space="preserve">Table </w:t>
      </w:r>
      <w:r w:rsidR="00AE6672">
        <w:rPr>
          <w:rFonts w:asciiTheme="majorHAnsi" w:hAnsiTheme="majorHAnsi"/>
          <w:noProof/>
          <w:szCs w:val="24"/>
        </w:rPr>
        <w:t>1</w:t>
      </w:r>
      <w:r w:rsidR="00FB566F">
        <w:rPr>
          <w:rFonts w:asciiTheme="majorHAnsi" w:hAnsiTheme="majorHAnsi" w:cs="Times New Roman"/>
          <w:szCs w:val="24"/>
          <w:lang w:val="en-US"/>
        </w:rPr>
        <w:fldChar w:fldCharType="end"/>
      </w:r>
      <w:r w:rsidR="00247559">
        <w:rPr>
          <w:rFonts w:asciiTheme="majorHAnsi" w:hAnsiTheme="majorHAnsi" w:cs="Times New Roman"/>
          <w:szCs w:val="24"/>
          <w:lang w:val="en-US"/>
        </w:rPr>
        <w:t xml:space="preserve"> </w:t>
      </w:r>
      <w:proofErr w:type="spellStart"/>
      <w:r w:rsidR="002169AF" w:rsidRPr="0039396F">
        <w:rPr>
          <w:rFonts w:asciiTheme="majorHAnsi" w:hAnsiTheme="majorHAnsi" w:cs="Times New Roman"/>
          <w:szCs w:val="24"/>
          <w:lang w:val="en-US"/>
        </w:rPr>
        <w:t>summari</w:t>
      </w:r>
      <w:r w:rsidR="002169AF">
        <w:rPr>
          <w:rFonts w:asciiTheme="majorHAnsi" w:hAnsiTheme="majorHAnsi" w:cs="Times New Roman"/>
          <w:szCs w:val="24"/>
          <w:lang w:val="en-US"/>
        </w:rPr>
        <w:t>s</w:t>
      </w:r>
      <w:r w:rsidR="002169AF" w:rsidRPr="0039396F">
        <w:rPr>
          <w:rFonts w:asciiTheme="majorHAnsi" w:hAnsiTheme="majorHAnsi" w:cs="Times New Roman"/>
          <w:szCs w:val="24"/>
          <w:lang w:val="en-US"/>
        </w:rPr>
        <w:t>es</w:t>
      </w:r>
      <w:proofErr w:type="spellEnd"/>
      <w:r w:rsidR="002169AF" w:rsidRPr="0039396F">
        <w:rPr>
          <w:rFonts w:asciiTheme="majorHAnsi" w:hAnsiTheme="majorHAnsi" w:cs="Times New Roman"/>
          <w:szCs w:val="24"/>
          <w:lang w:val="en-US"/>
        </w:rPr>
        <w:t xml:space="preserve"> </w:t>
      </w:r>
      <w:r w:rsidRPr="0039396F">
        <w:rPr>
          <w:rFonts w:asciiTheme="majorHAnsi" w:hAnsiTheme="majorHAnsi" w:cs="Times New Roman"/>
          <w:szCs w:val="24"/>
          <w:lang w:val="en-US"/>
        </w:rPr>
        <w:t xml:space="preserve">the adverse reactions that occurred at a numerically higher rate in the </w:t>
      </w:r>
      <w:proofErr w:type="spellStart"/>
      <w:r w:rsidR="006C4F8B" w:rsidRPr="0039396F">
        <w:rPr>
          <w:rFonts w:asciiTheme="majorHAnsi" w:hAnsiTheme="majorHAnsi" w:cs="Times New Roman"/>
        </w:rPr>
        <w:t>Soliris</w:t>
      </w:r>
      <w:proofErr w:type="spellEnd"/>
      <w:r w:rsidR="00F406F9">
        <w:rPr>
          <w:rFonts w:asciiTheme="majorHAnsi" w:hAnsiTheme="majorHAnsi" w:cs="Times New Roman"/>
          <w:szCs w:val="24"/>
          <w:lang w:val="en-US"/>
        </w:rPr>
        <w:t xml:space="preserve"> </w:t>
      </w:r>
      <w:r w:rsidRPr="0039396F">
        <w:rPr>
          <w:rFonts w:asciiTheme="majorHAnsi" w:hAnsiTheme="majorHAnsi" w:cs="Times New Roman"/>
          <w:szCs w:val="24"/>
          <w:lang w:val="en-US"/>
        </w:rPr>
        <w:t xml:space="preserve">group than the placebo group and at a rate of 5% or more among patients treated with </w:t>
      </w:r>
      <w:proofErr w:type="spellStart"/>
      <w:r w:rsidR="006C4F8B" w:rsidRPr="0039396F">
        <w:rPr>
          <w:rFonts w:asciiTheme="majorHAnsi" w:hAnsiTheme="majorHAnsi" w:cs="Times New Roman"/>
        </w:rPr>
        <w:t>Soliris</w:t>
      </w:r>
      <w:proofErr w:type="spellEnd"/>
      <w:r w:rsidRPr="0039396F">
        <w:rPr>
          <w:rFonts w:asciiTheme="majorHAnsi" w:hAnsiTheme="majorHAnsi" w:cs="Times New Roman"/>
          <w:szCs w:val="24"/>
          <w:lang w:val="en-US"/>
        </w:rPr>
        <w:t>.</w:t>
      </w:r>
    </w:p>
    <w:p w14:paraId="77E6248C" w14:textId="7512DC70" w:rsidR="00080745" w:rsidRDefault="00080745" w:rsidP="00C340EA">
      <w:pPr>
        <w:pStyle w:val="Caption"/>
        <w:spacing w:after="120"/>
        <w:jc w:val="left"/>
        <w:rPr>
          <w:rFonts w:asciiTheme="majorHAnsi" w:hAnsiTheme="majorHAnsi"/>
          <w:szCs w:val="24"/>
          <w:lang w:val="en-AU"/>
        </w:rPr>
      </w:pPr>
      <w:bookmarkStart w:id="6" w:name="_Ref415058810"/>
      <w:r w:rsidRPr="0039396F">
        <w:rPr>
          <w:rFonts w:asciiTheme="majorHAnsi" w:hAnsiTheme="majorHAnsi"/>
          <w:szCs w:val="24"/>
        </w:rPr>
        <w:t xml:space="preserve">Table </w:t>
      </w:r>
      <w:r w:rsidR="00345186">
        <w:rPr>
          <w:rFonts w:asciiTheme="majorHAnsi" w:hAnsiTheme="majorHAnsi"/>
          <w:szCs w:val="24"/>
        </w:rPr>
        <w:fldChar w:fldCharType="begin"/>
      </w:r>
      <w:r w:rsidR="00345186">
        <w:rPr>
          <w:rFonts w:asciiTheme="majorHAnsi" w:hAnsiTheme="majorHAnsi"/>
          <w:szCs w:val="24"/>
        </w:rPr>
        <w:instrText xml:space="preserve"> SEQ Table \* ARABIC </w:instrText>
      </w:r>
      <w:r w:rsidR="00345186">
        <w:rPr>
          <w:rFonts w:asciiTheme="majorHAnsi" w:hAnsiTheme="majorHAnsi"/>
          <w:szCs w:val="24"/>
        </w:rPr>
        <w:fldChar w:fldCharType="separate"/>
      </w:r>
      <w:r w:rsidR="00345186">
        <w:rPr>
          <w:rFonts w:asciiTheme="majorHAnsi" w:hAnsiTheme="majorHAnsi"/>
          <w:noProof/>
          <w:szCs w:val="24"/>
        </w:rPr>
        <w:t>1</w:t>
      </w:r>
      <w:r w:rsidR="00345186">
        <w:rPr>
          <w:rFonts w:asciiTheme="majorHAnsi" w:hAnsiTheme="majorHAnsi"/>
          <w:szCs w:val="24"/>
        </w:rPr>
        <w:fldChar w:fldCharType="end"/>
      </w:r>
      <w:bookmarkEnd w:id="6"/>
      <w:r w:rsidRPr="0039396F">
        <w:rPr>
          <w:rFonts w:asciiTheme="majorHAnsi" w:hAnsiTheme="majorHAnsi"/>
          <w:b w:val="0"/>
          <w:szCs w:val="24"/>
          <w:lang w:val="en-AU"/>
        </w:rPr>
        <w:t xml:space="preserve">: </w:t>
      </w:r>
      <w:r w:rsidRPr="0039396F">
        <w:rPr>
          <w:rFonts w:asciiTheme="majorHAnsi" w:hAnsiTheme="majorHAnsi"/>
          <w:szCs w:val="24"/>
          <w:lang w:val="en-AU"/>
        </w:rPr>
        <w:t>Adverse Drug Reactions</w:t>
      </w:r>
      <w:r w:rsidRPr="0039396F">
        <w:rPr>
          <w:rFonts w:asciiTheme="majorHAnsi" w:hAnsiTheme="majorHAnsi"/>
          <w:szCs w:val="24"/>
          <w:vertAlign w:val="superscript"/>
          <w:lang w:val="en-AU"/>
        </w:rPr>
        <w:t>*</w:t>
      </w:r>
      <w:r w:rsidRPr="0039396F">
        <w:rPr>
          <w:rFonts w:asciiTheme="majorHAnsi" w:hAnsiTheme="majorHAnsi"/>
          <w:szCs w:val="24"/>
          <w:lang w:val="en-AU"/>
        </w:rPr>
        <w:t xml:space="preserve"> Reported in ≥2 patients in the Controlled Clinical Study</w:t>
      </w:r>
    </w:p>
    <w:tbl>
      <w:tblPr>
        <w:tblW w:w="3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1782"/>
        <w:gridCol w:w="1861"/>
      </w:tblGrid>
      <w:tr w:rsidR="00080745" w:rsidRPr="0039396F" w14:paraId="2578AB21" w14:textId="77777777" w:rsidTr="00C340EA">
        <w:trPr>
          <w:tblHeader/>
          <w:jc w:val="center"/>
        </w:trPr>
        <w:tc>
          <w:tcPr>
            <w:tcW w:w="3649" w:type="dxa"/>
          </w:tcPr>
          <w:p w14:paraId="53150CF6" w14:textId="77777777" w:rsidR="00080745" w:rsidRPr="0039396F" w:rsidRDefault="00080745" w:rsidP="00080745">
            <w:pPr>
              <w:rPr>
                <w:rFonts w:asciiTheme="majorHAnsi" w:hAnsiTheme="majorHAnsi" w:cs="Times New Roman"/>
                <w:b/>
                <w:szCs w:val="24"/>
                <w:lang w:val="en-US"/>
              </w:rPr>
            </w:pPr>
            <w:r w:rsidRPr="0039396F">
              <w:rPr>
                <w:rFonts w:asciiTheme="majorHAnsi" w:hAnsiTheme="majorHAnsi" w:cs="Times New Roman"/>
                <w:b/>
                <w:szCs w:val="24"/>
                <w:lang w:val="en-US"/>
              </w:rPr>
              <w:t>Reaction</w:t>
            </w:r>
          </w:p>
        </w:tc>
        <w:tc>
          <w:tcPr>
            <w:tcW w:w="1823" w:type="dxa"/>
            <w:vAlign w:val="center"/>
          </w:tcPr>
          <w:p w14:paraId="699F2E2E" w14:textId="77777777" w:rsidR="00080745" w:rsidRPr="0039396F" w:rsidRDefault="00FA43AC" w:rsidP="00FA43AC">
            <w:pPr>
              <w:jc w:val="center"/>
              <w:rPr>
                <w:rFonts w:asciiTheme="majorHAnsi" w:hAnsiTheme="majorHAnsi" w:cs="Times New Roman"/>
                <w:b/>
                <w:szCs w:val="24"/>
                <w:lang w:val="en-US"/>
              </w:rPr>
            </w:pPr>
            <w:r w:rsidRPr="0039396F">
              <w:rPr>
                <w:rFonts w:asciiTheme="majorHAnsi" w:hAnsiTheme="majorHAnsi" w:cs="Times New Roman"/>
                <w:b/>
                <w:bCs/>
                <w:szCs w:val="24"/>
              </w:rPr>
              <w:t>S</w:t>
            </w:r>
            <w:r>
              <w:rPr>
                <w:rFonts w:asciiTheme="majorHAnsi" w:hAnsiTheme="majorHAnsi" w:cs="Times New Roman"/>
                <w:b/>
                <w:bCs/>
                <w:szCs w:val="24"/>
              </w:rPr>
              <w:t>oliris</w:t>
            </w:r>
            <w:r w:rsidR="00080745" w:rsidRPr="0039396F">
              <w:rPr>
                <w:rFonts w:asciiTheme="majorHAnsi" w:hAnsiTheme="majorHAnsi" w:cs="Times New Roman"/>
                <w:bCs/>
                <w:szCs w:val="24"/>
                <w:vertAlign w:val="superscript"/>
              </w:rPr>
              <w:br/>
            </w:r>
            <w:r w:rsidR="00080745" w:rsidRPr="0039396F">
              <w:rPr>
                <w:rFonts w:asciiTheme="majorHAnsi" w:hAnsiTheme="majorHAnsi" w:cs="Times New Roman"/>
                <w:b/>
                <w:szCs w:val="24"/>
                <w:lang w:val="en-US"/>
              </w:rPr>
              <w:t>N = 43 (%)</w:t>
            </w:r>
          </w:p>
        </w:tc>
        <w:tc>
          <w:tcPr>
            <w:tcW w:w="1898" w:type="dxa"/>
            <w:vAlign w:val="center"/>
          </w:tcPr>
          <w:p w14:paraId="1ABB7B5F" w14:textId="77777777" w:rsidR="00080745" w:rsidRPr="0039396F" w:rsidRDefault="00080745" w:rsidP="00080745">
            <w:pPr>
              <w:jc w:val="center"/>
              <w:rPr>
                <w:rFonts w:asciiTheme="majorHAnsi" w:hAnsiTheme="majorHAnsi" w:cs="Times New Roman"/>
                <w:b/>
                <w:szCs w:val="24"/>
                <w:lang w:val="en-US"/>
              </w:rPr>
            </w:pPr>
            <w:r w:rsidRPr="0039396F">
              <w:rPr>
                <w:rFonts w:asciiTheme="majorHAnsi" w:hAnsiTheme="majorHAnsi" w:cs="Times New Roman"/>
                <w:b/>
                <w:szCs w:val="24"/>
                <w:lang w:val="en-US"/>
              </w:rPr>
              <w:t>Placebo</w:t>
            </w:r>
            <w:r w:rsidRPr="0039396F">
              <w:rPr>
                <w:rFonts w:asciiTheme="majorHAnsi" w:hAnsiTheme="majorHAnsi" w:cs="Times New Roman"/>
                <w:b/>
                <w:szCs w:val="24"/>
                <w:lang w:val="en-US"/>
              </w:rPr>
              <w:br/>
              <w:t>N = 44 (%)</w:t>
            </w:r>
          </w:p>
        </w:tc>
      </w:tr>
      <w:tr w:rsidR="00080745" w:rsidRPr="0039396F" w14:paraId="273C2CCF" w14:textId="77777777" w:rsidTr="003605FD">
        <w:trPr>
          <w:jc w:val="center"/>
        </w:trPr>
        <w:tc>
          <w:tcPr>
            <w:tcW w:w="7370" w:type="dxa"/>
            <w:gridSpan w:val="3"/>
            <w:vAlign w:val="center"/>
          </w:tcPr>
          <w:p w14:paraId="2149CCA2"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NERVOUS SYSTEM</w:t>
            </w:r>
          </w:p>
        </w:tc>
      </w:tr>
      <w:tr w:rsidR="00080745" w:rsidRPr="0039396F" w14:paraId="6E5AB7F9" w14:textId="77777777" w:rsidTr="00C340EA">
        <w:trPr>
          <w:jc w:val="center"/>
        </w:trPr>
        <w:tc>
          <w:tcPr>
            <w:tcW w:w="3649" w:type="dxa"/>
          </w:tcPr>
          <w:p w14:paraId="4A8FBF64"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Headache</w:t>
            </w:r>
          </w:p>
        </w:tc>
        <w:tc>
          <w:tcPr>
            <w:tcW w:w="1823" w:type="dxa"/>
            <w:vAlign w:val="center"/>
          </w:tcPr>
          <w:p w14:paraId="07AE3008"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15 (34.9)</w:t>
            </w:r>
          </w:p>
        </w:tc>
        <w:tc>
          <w:tcPr>
            <w:tcW w:w="1898" w:type="dxa"/>
            <w:vAlign w:val="center"/>
          </w:tcPr>
          <w:p w14:paraId="40754812"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(4.5)</w:t>
            </w:r>
          </w:p>
        </w:tc>
      </w:tr>
      <w:tr w:rsidR="00080745" w:rsidRPr="0039396F" w14:paraId="18CAA4F0" w14:textId="77777777" w:rsidTr="003605FD">
        <w:trPr>
          <w:jc w:val="center"/>
        </w:trPr>
        <w:tc>
          <w:tcPr>
            <w:tcW w:w="7370" w:type="dxa"/>
            <w:gridSpan w:val="3"/>
            <w:vAlign w:val="center"/>
          </w:tcPr>
          <w:p w14:paraId="2950B8B4"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GASTROINTESTINAL</w:t>
            </w:r>
          </w:p>
        </w:tc>
      </w:tr>
      <w:tr w:rsidR="00080745" w:rsidRPr="0039396F" w14:paraId="48C82BDF" w14:textId="77777777" w:rsidTr="00C340EA">
        <w:trPr>
          <w:jc w:val="center"/>
        </w:trPr>
        <w:tc>
          <w:tcPr>
            <w:tcW w:w="3649" w:type="dxa"/>
          </w:tcPr>
          <w:p w14:paraId="312652F8"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Nausea</w:t>
            </w:r>
          </w:p>
        </w:tc>
        <w:tc>
          <w:tcPr>
            <w:tcW w:w="1823" w:type="dxa"/>
            <w:vAlign w:val="center"/>
          </w:tcPr>
          <w:p w14:paraId="2649CE62"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(4.7)</w:t>
            </w:r>
          </w:p>
        </w:tc>
        <w:tc>
          <w:tcPr>
            <w:tcW w:w="1898" w:type="dxa"/>
            <w:vAlign w:val="center"/>
          </w:tcPr>
          <w:p w14:paraId="787F5AB8"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1 (2.3)</w:t>
            </w:r>
          </w:p>
        </w:tc>
      </w:tr>
      <w:tr w:rsidR="00080745" w:rsidRPr="0039396F" w14:paraId="374E25B7" w14:textId="77777777" w:rsidTr="00C340EA">
        <w:trPr>
          <w:jc w:val="center"/>
        </w:trPr>
        <w:tc>
          <w:tcPr>
            <w:tcW w:w="3649" w:type="dxa"/>
          </w:tcPr>
          <w:p w14:paraId="4247DA8F"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Abdominal pain</w:t>
            </w:r>
          </w:p>
        </w:tc>
        <w:tc>
          <w:tcPr>
            <w:tcW w:w="1823" w:type="dxa"/>
            <w:vAlign w:val="center"/>
          </w:tcPr>
          <w:p w14:paraId="599883E7"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(4.7)</w:t>
            </w:r>
          </w:p>
        </w:tc>
        <w:tc>
          <w:tcPr>
            <w:tcW w:w="1898" w:type="dxa"/>
            <w:vAlign w:val="center"/>
          </w:tcPr>
          <w:p w14:paraId="4B091A98"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1 (2.3)</w:t>
            </w:r>
          </w:p>
        </w:tc>
      </w:tr>
      <w:tr w:rsidR="00080745" w:rsidRPr="0039396F" w14:paraId="2BE1956E" w14:textId="77777777" w:rsidTr="003605FD">
        <w:trPr>
          <w:jc w:val="center"/>
        </w:trPr>
        <w:tc>
          <w:tcPr>
            <w:tcW w:w="7370" w:type="dxa"/>
            <w:gridSpan w:val="3"/>
            <w:vAlign w:val="center"/>
          </w:tcPr>
          <w:p w14:paraId="4C09B7EB"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GENERAL</w:t>
            </w:r>
          </w:p>
        </w:tc>
      </w:tr>
      <w:tr w:rsidR="00080745" w:rsidRPr="0039396F" w14:paraId="13E8FB40" w14:textId="77777777" w:rsidTr="00C340EA">
        <w:trPr>
          <w:jc w:val="center"/>
        </w:trPr>
        <w:tc>
          <w:tcPr>
            <w:tcW w:w="3649" w:type="dxa"/>
          </w:tcPr>
          <w:p w14:paraId="082E5563"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Fatigue</w:t>
            </w:r>
          </w:p>
        </w:tc>
        <w:tc>
          <w:tcPr>
            <w:tcW w:w="1823" w:type="dxa"/>
            <w:vAlign w:val="center"/>
          </w:tcPr>
          <w:p w14:paraId="748E61D2"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5 (12)</w:t>
            </w:r>
          </w:p>
        </w:tc>
        <w:tc>
          <w:tcPr>
            <w:tcW w:w="1898" w:type="dxa"/>
            <w:vAlign w:val="center"/>
          </w:tcPr>
          <w:p w14:paraId="154BB199"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1 (2)</w:t>
            </w:r>
          </w:p>
        </w:tc>
      </w:tr>
      <w:tr w:rsidR="00080745" w:rsidRPr="0039396F" w14:paraId="28125669" w14:textId="77777777" w:rsidTr="003605FD">
        <w:trPr>
          <w:jc w:val="center"/>
        </w:trPr>
        <w:tc>
          <w:tcPr>
            <w:tcW w:w="7370" w:type="dxa"/>
            <w:gridSpan w:val="3"/>
            <w:vAlign w:val="center"/>
          </w:tcPr>
          <w:p w14:paraId="6BFB705B"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INFECTIONS AND INFESTATIONS</w:t>
            </w:r>
          </w:p>
        </w:tc>
      </w:tr>
      <w:tr w:rsidR="00080745" w:rsidRPr="0039396F" w14:paraId="2259E31A" w14:textId="77777777" w:rsidTr="00C340EA">
        <w:trPr>
          <w:jc w:val="center"/>
        </w:trPr>
        <w:tc>
          <w:tcPr>
            <w:tcW w:w="3649" w:type="dxa"/>
          </w:tcPr>
          <w:p w14:paraId="6289BDA7"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 xml:space="preserve">Oral Herpes </w:t>
            </w:r>
          </w:p>
        </w:tc>
        <w:tc>
          <w:tcPr>
            <w:tcW w:w="1823" w:type="dxa"/>
            <w:vAlign w:val="center"/>
          </w:tcPr>
          <w:p w14:paraId="593DA2C2"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(4.7)</w:t>
            </w:r>
          </w:p>
        </w:tc>
        <w:tc>
          <w:tcPr>
            <w:tcW w:w="1898" w:type="dxa"/>
            <w:vAlign w:val="center"/>
          </w:tcPr>
          <w:p w14:paraId="2C99C651"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0 (0)</w:t>
            </w:r>
          </w:p>
        </w:tc>
      </w:tr>
      <w:tr w:rsidR="00080745" w:rsidRPr="0039396F" w14:paraId="716A09FE" w14:textId="77777777" w:rsidTr="00C340EA">
        <w:trPr>
          <w:jc w:val="center"/>
        </w:trPr>
        <w:tc>
          <w:tcPr>
            <w:tcW w:w="3649" w:type="dxa"/>
          </w:tcPr>
          <w:p w14:paraId="6D6A0F78"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Upper respiratory tract infection</w:t>
            </w:r>
          </w:p>
        </w:tc>
        <w:tc>
          <w:tcPr>
            <w:tcW w:w="1823" w:type="dxa"/>
            <w:vAlign w:val="center"/>
          </w:tcPr>
          <w:p w14:paraId="18E0632F"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(4.7)</w:t>
            </w:r>
          </w:p>
        </w:tc>
        <w:tc>
          <w:tcPr>
            <w:tcW w:w="1898" w:type="dxa"/>
            <w:vAlign w:val="center"/>
          </w:tcPr>
          <w:p w14:paraId="7349CDD3" w14:textId="77777777" w:rsidR="00080745" w:rsidRPr="0039396F"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0 (0)</w:t>
            </w:r>
          </w:p>
        </w:tc>
      </w:tr>
      <w:tr w:rsidR="00080745" w:rsidRPr="0039396F" w14:paraId="184630DF" w14:textId="77777777" w:rsidTr="003605FD">
        <w:trPr>
          <w:jc w:val="center"/>
        </w:trPr>
        <w:tc>
          <w:tcPr>
            <w:tcW w:w="7370" w:type="dxa"/>
            <w:gridSpan w:val="3"/>
            <w:vAlign w:val="center"/>
          </w:tcPr>
          <w:p w14:paraId="0C0E364F" w14:textId="77777777" w:rsidR="00080745" w:rsidRPr="0039396F" w:rsidDel="00A540B9"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SKIN AND SUBCUTANEOUS TISSUE</w:t>
            </w:r>
          </w:p>
        </w:tc>
      </w:tr>
      <w:tr w:rsidR="00080745" w:rsidRPr="0039396F" w14:paraId="00C6CD3F" w14:textId="77777777" w:rsidTr="00C340EA">
        <w:trPr>
          <w:jc w:val="center"/>
        </w:trPr>
        <w:tc>
          <w:tcPr>
            <w:tcW w:w="3649" w:type="dxa"/>
          </w:tcPr>
          <w:p w14:paraId="57CD8904"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Dry skin</w:t>
            </w:r>
          </w:p>
        </w:tc>
        <w:tc>
          <w:tcPr>
            <w:tcW w:w="1823" w:type="dxa"/>
            <w:vAlign w:val="center"/>
          </w:tcPr>
          <w:p w14:paraId="030E4C87" w14:textId="77777777" w:rsidR="00080745" w:rsidRPr="0039396F" w:rsidDel="00A540B9"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2 (4.7)</w:t>
            </w:r>
          </w:p>
        </w:tc>
        <w:tc>
          <w:tcPr>
            <w:tcW w:w="1898" w:type="dxa"/>
            <w:vAlign w:val="center"/>
          </w:tcPr>
          <w:p w14:paraId="569A8400" w14:textId="77777777" w:rsidR="00080745" w:rsidRPr="0039396F" w:rsidDel="00A540B9" w:rsidRDefault="00080745" w:rsidP="00080745">
            <w:pPr>
              <w:jc w:val="center"/>
              <w:rPr>
                <w:rFonts w:asciiTheme="majorHAnsi" w:hAnsiTheme="majorHAnsi" w:cs="Times New Roman"/>
                <w:szCs w:val="24"/>
                <w:lang w:val="en-US"/>
              </w:rPr>
            </w:pPr>
            <w:r w:rsidRPr="0039396F">
              <w:rPr>
                <w:rFonts w:asciiTheme="majorHAnsi" w:hAnsiTheme="majorHAnsi" w:cs="Times New Roman"/>
                <w:szCs w:val="24"/>
                <w:lang w:val="en-US"/>
              </w:rPr>
              <w:t>0 (0)</w:t>
            </w:r>
          </w:p>
        </w:tc>
      </w:tr>
    </w:tbl>
    <w:p w14:paraId="65BC9AD0" w14:textId="77777777" w:rsidR="00080745" w:rsidRPr="006235F7" w:rsidRDefault="00080745" w:rsidP="006235F7">
      <w:pPr>
        <w:ind w:left="810" w:right="836"/>
        <w:rPr>
          <w:rFonts w:asciiTheme="majorHAnsi" w:hAnsiTheme="majorHAnsi" w:cs="Times New Roman"/>
          <w:sz w:val="20"/>
        </w:rPr>
      </w:pPr>
      <w:r w:rsidRPr="006235F7">
        <w:rPr>
          <w:rFonts w:asciiTheme="majorHAnsi" w:hAnsiTheme="majorHAnsi" w:cs="Times New Roman"/>
          <w:sz w:val="20"/>
        </w:rPr>
        <w:t xml:space="preserve">*Drug-related Adverse Events occurring at a higher frequency (1 or more </w:t>
      </w:r>
      <w:r w:rsidR="006235F7">
        <w:rPr>
          <w:rFonts w:asciiTheme="majorHAnsi" w:hAnsiTheme="majorHAnsi" w:cs="Times New Roman"/>
          <w:sz w:val="20"/>
        </w:rPr>
        <w:t>p</w:t>
      </w:r>
      <w:r w:rsidRPr="006235F7">
        <w:rPr>
          <w:rFonts w:asciiTheme="majorHAnsi" w:hAnsiTheme="majorHAnsi" w:cs="Times New Roman"/>
          <w:sz w:val="20"/>
        </w:rPr>
        <w:t xml:space="preserve">atients) in the </w:t>
      </w:r>
      <w:r w:rsidR="00DB2061" w:rsidRPr="006235F7">
        <w:rPr>
          <w:rFonts w:asciiTheme="majorHAnsi" w:hAnsiTheme="majorHAnsi" w:cs="Times New Roman"/>
          <w:sz w:val="20"/>
        </w:rPr>
        <w:t>S</w:t>
      </w:r>
      <w:r w:rsidR="00DB2061">
        <w:rPr>
          <w:rFonts w:asciiTheme="majorHAnsi" w:hAnsiTheme="majorHAnsi" w:cs="Times New Roman"/>
          <w:sz w:val="20"/>
        </w:rPr>
        <w:t>oliris</w:t>
      </w:r>
      <w:r w:rsidRPr="006235F7">
        <w:rPr>
          <w:rFonts w:asciiTheme="majorHAnsi" w:hAnsiTheme="majorHAnsi" w:cs="Times New Roman"/>
          <w:sz w:val="20"/>
        </w:rPr>
        <w:t>-treated patients relative to placebo</w:t>
      </w:r>
    </w:p>
    <w:p w14:paraId="0F8C0EDC" w14:textId="77777777" w:rsidR="00080745" w:rsidRPr="0039396F" w:rsidRDefault="00080745" w:rsidP="00080745">
      <w:pPr>
        <w:rPr>
          <w:rFonts w:asciiTheme="majorHAnsi" w:hAnsiTheme="majorHAnsi" w:cs="Times New Roman"/>
          <w:szCs w:val="24"/>
          <w:lang w:val="en-US"/>
        </w:rPr>
      </w:pPr>
    </w:p>
    <w:p w14:paraId="0B22BF14"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 xml:space="preserve">In the placebo-controlled clinical study, serious adverse reactions occurred among 4 (9%) patients receiving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and 9 (21%) patients receiving placebo.  The serious reactions included infections and progression of PNH.  No deaths occurred in the study </w:t>
      </w:r>
      <w:r w:rsidRPr="0039396F">
        <w:rPr>
          <w:rFonts w:asciiTheme="majorHAnsi" w:hAnsiTheme="majorHAnsi" w:cs="Times New Roman"/>
          <w:szCs w:val="24"/>
          <w:lang w:val="en-US"/>
        </w:rPr>
        <w:lastRenderedPageBreak/>
        <w:t xml:space="preserve">and no patients receiving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experienced a thrombotic event; one thrombotic event occurred in a patient receiving placebo.</w:t>
      </w:r>
    </w:p>
    <w:p w14:paraId="4F091BBC" w14:textId="77777777" w:rsidR="00080745" w:rsidRPr="0039396F" w:rsidRDefault="00080745" w:rsidP="00080745">
      <w:pPr>
        <w:rPr>
          <w:rFonts w:asciiTheme="majorHAnsi" w:hAnsiTheme="majorHAnsi" w:cs="Times New Roman"/>
          <w:szCs w:val="24"/>
          <w:lang w:val="en-US"/>
        </w:rPr>
      </w:pPr>
    </w:p>
    <w:p w14:paraId="2B79E15A"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t xml:space="preserve">Among 193 patients with PNH treated with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in the single arm, clinical study or the follow-up study, the adverse reactions were similar to those reported in the placebo-controlled clinical study.  Serious adverse reactions occurred among 16% of the patients in these studies.  The most common serious adverse reactions were: viral infection (2%), headache (2%), </w:t>
      </w:r>
      <w:proofErr w:type="spellStart"/>
      <w:r w:rsidRPr="0039396F">
        <w:rPr>
          <w:rFonts w:asciiTheme="majorHAnsi" w:hAnsiTheme="majorHAnsi" w:cs="Times New Roman"/>
          <w:szCs w:val="24"/>
          <w:lang w:val="en-US"/>
        </w:rPr>
        <w:t>anaemia</w:t>
      </w:r>
      <w:proofErr w:type="spellEnd"/>
      <w:r w:rsidRPr="0039396F">
        <w:rPr>
          <w:rFonts w:asciiTheme="majorHAnsi" w:hAnsiTheme="majorHAnsi" w:cs="Times New Roman"/>
          <w:szCs w:val="24"/>
          <w:lang w:val="en-US"/>
        </w:rPr>
        <w:t xml:space="preserve"> (2%), and pyrexia (2%).</w:t>
      </w:r>
    </w:p>
    <w:p w14:paraId="7DC6FC4E" w14:textId="77777777" w:rsidR="00080745" w:rsidRPr="0039396F" w:rsidRDefault="00080745" w:rsidP="00080745">
      <w:pPr>
        <w:rPr>
          <w:rFonts w:asciiTheme="majorHAnsi" w:hAnsiTheme="majorHAnsi" w:cs="Times New Roman"/>
          <w:szCs w:val="24"/>
          <w:lang w:val="en-US"/>
        </w:rPr>
      </w:pPr>
    </w:p>
    <w:p w14:paraId="55CA2888" w14:textId="77777777" w:rsidR="00080745" w:rsidRPr="0039396F" w:rsidRDefault="00080745" w:rsidP="006C4F8B">
      <w:pPr>
        <w:pStyle w:val="C-BodyText"/>
        <w:keepNext/>
        <w:spacing w:before="0" w:line="240" w:lineRule="auto"/>
        <w:rPr>
          <w:rFonts w:asciiTheme="majorHAnsi" w:hAnsiTheme="majorHAnsi"/>
          <w:b/>
          <w:i/>
          <w:szCs w:val="24"/>
        </w:rPr>
      </w:pPr>
      <w:proofErr w:type="spellStart"/>
      <w:r w:rsidRPr="0039396F">
        <w:rPr>
          <w:rFonts w:asciiTheme="majorHAnsi" w:hAnsiTheme="majorHAnsi"/>
          <w:b/>
          <w:i/>
          <w:szCs w:val="24"/>
        </w:rPr>
        <w:t>Paediatric</w:t>
      </w:r>
      <w:proofErr w:type="spellEnd"/>
      <w:r w:rsidRPr="0039396F">
        <w:rPr>
          <w:rFonts w:asciiTheme="majorHAnsi" w:hAnsiTheme="majorHAnsi"/>
          <w:b/>
          <w:i/>
          <w:szCs w:val="24"/>
        </w:rPr>
        <w:t xml:space="preserve"> patients</w:t>
      </w:r>
    </w:p>
    <w:p w14:paraId="4781CE56" w14:textId="402A6335" w:rsidR="00080745" w:rsidRPr="0039396F" w:rsidRDefault="00080745" w:rsidP="00080745">
      <w:pPr>
        <w:pStyle w:val="C-BodyText"/>
        <w:spacing w:before="0" w:after="0" w:line="240" w:lineRule="auto"/>
        <w:rPr>
          <w:rFonts w:asciiTheme="majorHAnsi" w:hAnsiTheme="majorHAnsi"/>
          <w:bCs/>
          <w:szCs w:val="24"/>
          <w:lang w:val="en-GB"/>
        </w:rPr>
      </w:pPr>
      <w:r w:rsidRPr="0039396F">
        <w:rPr>
          <w:rFonts w:asciiTheme="majorHAnsi" w:hAnsiTheme="majorHAnsi"/>
          <w:bCs/>
          <w:szCs w:val="24"/>
          <w:lang w:val="en-GB"/>
        </w:rPr>
        <w:t>The safety profile of paediatric patients</w:t>
      </w:r>
      <w:r w:rsidR="00A8461F">
        <w:rPr>
          <w:rFonts w:asciiTheme="majorHAnsi" w:hAnsiTheme="majorHAnsi"/>
          <w:bCs/>
          <w:szCs w:val="24"/>
          <w:lang w:val="en-GB"/>
        </w:rPr>
        <w:t xml:space="preserve"> with PNH</w:t>
      </w:r>
      <w:r w:rsidRPr="0039396F">
        <w:rPr>
          <w:rFonts w:asciiTheme="majorHAnsi" w:hAnsiTheme="majorHAnsi"/>
          <w:bCs/>
          <w:szCs w:val="24"/>
          <w:lang w:val="en-GB"/>
        </w:rPr>
        <w:t xml:space="preserve"> (aged 11 years to</w:t>
      </w:r>
      <w:r w:rsidR="00FB566F">
        <w:rPr>
          <w:rFonts w:asciiTheme="majorHAnsi" w:hAnsiTheme="majorHAnsi"/>
          <w:bCs/>
          <w:szCs w:val="24"/>
          <w:lang w:val="en-GB"/>
        </w:rPr>
        <w:t xml:space="preserve"> &lt;17 years) included in the PNH </w:t>
      </w:r>
      <w:r w:rsidRPr="0050524F">
        <w:rPr>
          <w:rFonts w:asciiTheme="majorHAnsi" w:hAnsiTheme="majorHAnsi"/>
          <w:bCs/>
          <w:szCs w:val="24"/>
          <w:lang w:val="en-GB"/>
        </w:rPr>
        <w:t>Study</w:t>
      </w:r>
      <w:r w:rsidRPr="0039396F">
        <w:rPr>
          <w:rFonts w:asciiTheme="majorHAnsi" w:hAnsiTheme="majorHAnsi"/>
          <w:bCs/>
          <w:i/>
          <w:szCs w:val="24"/>
          <w:lang w:val="en-GB"/>
        </w:rPr>
        <w:t xml:space="preserve"> M07-005</w:t>
      </w:r>
      <w:r w:rsidRPr="0039396F">
        <w:rPr>
          <w:rFonts w:asciiTheme="majorHAnsi" w:hAnsiTheme="majorHAnsi"/>
          <w:bCs/>
          <w:szCs w:val="24"/>
          <w:lang w:val="en-GB"/>
        </w:rPr>
        <w:t>, appeared similar to that observed in adult patients</w:t>
      </w:r>
      <w:r w:rsidR="00A8461F">
        <w:rPr>
          <w:rFonts w:asciiTheme="majorHAnsi" w:hAnsiTheme="majorHAnsi"/>
          <w:bCs/>
          <w:szCs w:val="24"/>
          <w:lang w:val="en-GB"/>
        </w:rPr>
        <w:t xml:space="preserve"> with PNH</w:t>
      </w:r>
      <w:r w:rsidRPr="0039396F">
        <w:rPr>
          <w:rFonts w:asciiTheme="majorHAnsi" w:hAnsiTheme="majorHAnsi"/>
          <w:bCs/>
          <w:szCs w:val="24"/>
          <w:lang w:val="en-GB"/>
        </w:rPr>
        <w:t xml:space="preserve">. The most common adverse reaction reported in paediatric patients was headache. </w:t>
      </w:r>
    </w:p>
    <w:p w14:paraId="59D5866B" w14:textId="77777777" w:rsidR="006C4F8B" w:rsidRPr="0039396F" w:rsidRDefault="006C4F8B" w:rsidP="00080745">
      <w:pPr>
        <w:pStyle w:val="C-BodyText"/>
        <w:spacing w:before="0" w:after="0" w:line="240" w:lineRule="auto"/>
        <w:rPr>
          <w:rFonts w:asciiTheme="majorHAnsi" w:hAnsiTheme="majorHAnsi"/>
          <w:bCs/>
          <w:szCs w:val="24"/>
          <w:lang w:val="en-GB"/>
        </w:rPr>
      </w:pPr>
    </w:p>
    <w:p w14:paraId="6F929427" w14:textId="77777777" w:rsidR="00080745" w:rsidRPr="0039396F" w:rsidRDefault="00080745" w:rsidP="006C4F8B">
      <w:pPr>
        <w:spacing w:after="120"/>
        <w:rPr>
          <w:rFonts w:asciiTheme="majorHAnsi" w:hAnsiTheme="majorHAnsi" w:cs="Times New Roman"/>
          <w:b/>
          <w:szCs w:val="24"/>
          <w:lang w:val="en-US"/>
        </w:rPr>
      </w:pPr>
      <w:r w:rsidRPr="0039396F">
        <w:rPr>
          <w:rFonts w:asciiTheme="majorHAnsi" w:hAnsiTheme="majorHAnsi" w:cs="Times New Roman"/>
          <w:b/>
          <w:szCs w:val="24"/>
          <w:lang w:val="en-US"/>
        </w:rPr>
        <w:t>aHUS</w:t>
      </w:r>
    </w:p>
    <w:p w14:paraId="654AA1D7" w14:textId="77777777" w:rsidR="00AA6AAD" w:rsidRDefault="00080745" w:rsidP="00AA6AAD">
      <w:pPr>
        <w:pStyle w:val="C-BodyText"/>
        <w:spacing w:before="0" w:after="0" w:line="240" w:lineRule="auto"/>
        <w:rPr>
          <w:rFonts w:asciiTheme="majorHAnsi" w:hAnsiTheme="majorHAnsi"/>
          <w:szCs w:val="24"/>
        </w:rPr>
      </w:pPr>
      <w:r w:rsidRPr="0039396F">
        <w:rPr>
          <w:rFonts w:asciiTheme="majorHAnsi" w:hAnsiTheme="majorHAnsi"/>
          <w:szCs w:val="24"/>
        </w:rPr>
        <w:t xml:space="preserve">The safety of </w:t>
      </w:r>
      <w:proofErr w:type="spellStart"/>
      <w:r w:rsidRPr="0039396F">
        <w:rPr>
          <w:rFonts w:asciiTheme="majorHAnsi" w:hAnsiTheme="majorHAnsi"/>
          <w:szCs w:val="24"/>
        </w:rPr>
        <w:t>eculizumab</w:t>
      </w:r>
      <w:proofErr w:type="spellEnd"/>
      <w:r w:rsidRPr="0039396F">
        <w:rPr>
          <w:rFonts w:asciiTheme="majorHAnsi" w:hAnsiTheme="majorHAnsi"/>
          <w:szCs w:val="24"/>
        </w:rPr>
        <w:t xml:space="preserve"> </w:t>
      </w:r>
      <w:r w:rsidRPr="0039396F">
        <w:rPr>
          <w:rFonts w:asciiTheme="majorHAnsi" w:hAnsiTheme="majorHAnsi"/>
          <w:i/>
          <w:szCs w:val="24"/>
        </w:rPr>
        <w:t>rmc</w:t>
      </w:r>
      <w:r w:rsidRPr="0039396F">
        <w:rPr>
          <w:rFonts w:asciiTheme="majorHAnsi" w:hAnsiTheme="majorHAnsi"/>
          <w:szCs w:val="24"/>
        </w:rPr>
        <w:t xml:space="preserve"> in patients with aHUS was evaluated in 1 retrospective </w:t>
      </w:r>
      <w:proofErr w:type="spellStart"/>
      <w:r w:rsidRPr="0039396F">
        <w:rPr>
          <w:rFonts w:asciiTheme="majorHAnsi" w:hAnsiTheme="majorHAnsi"/>
          <w:szCs w:val="24"/>
        </w:rPr>
        <w:t>paediatric</w:t>
      </w:r>
      <w:proofErr w:type="spellEnd"/>
      <w:r w:rsidRPr="0039396F">
        <w:rPr>
          <w:rFonts w:asciiTheme="majorHAnsi" w:hAnsiTheme="majorHAnsi"/>
          <w:szCs w:val="24"/>
        </w:rPr>
        <w:t xml:space="preserve"> study (</w:t>
      </w:r>
      <w:r w:rsidRPr="0039396F">
        <w:rPr>
          <w:rFonts w:asciiTheme="majorHAnsi" w:hAnsiTheme="majorHAnsi"/>
          <w:i/>
          <w:szCs w:val="24"/>
        </w:rPr>
        <w:t>C09-001r</w:t>
      </w:r>
      <w:r w:rsidRPr="0039396F">
        <w:rPr>
          <w:rFonts w:asciiTheme="majorHAnsi" w:hAnsiTheme="majorHAnsi"/>
          <w:szCs w:val="24"/>
        </w:rPr>
        <w:t>) and 4 prospective, single-arm studies [3 in adult patients (</w:t>
      </w:r>
      <w:r w:rsidRPr="0039396F">
        <w:rPr>
          <w:rFonts w:asciiTheme="majorHAnsi" w:hAnsiTheme="majorHAnsi"/>
          <w:i/>
          <w:szCs w:val="24"/>
        </w:rPr>
        <w:t>C08-002A/B, C08-003A/B and C10-004</w:t>
      </w:r>
      <w:r w:rsidRPr="0039396F">
        <w:rPr>
          <w:rFonts w:asciiTheme="majorHAnsi" w:hAnsiTheme="majorHAnsi"/>
          <w:szCs w:val="24"/>
        </w:rPr>
        <w:t xml:space="preserve">) and 1 in </w:t>
      </w:r>
      <w:proofErr w:type="spellStart"/>
      <w:r w:rsidRPr="0039396F">
        <w:rPr>
          <w:rFonts w:asciiTheme="majorHAnsi" w:hAnsiTheme="majorHAnsi"/>
          <w:szCs w:val="24"/>
        </w:rPr>
        <w:t>paediatric</w:t>
      </w:r>
      <w:proofErr w:type="spellEnd"/>
      <w:r w:rsidRPr="0039396F">
        <w:rPr>
          <w:rFonts w:asciiTheme="majorHAnsi" w:hAnsiTheme="majorHAnsi"/>
          <w:szCs w:val="24"/>
        </w:rPr>
        <w:t xml:space="preserve"> patients (</w:t>
      </w:r>
      <w:r w:rsidRPr="0039396F">
        <w:rPr>
          <w:rFonts w:asciiTheme="majorHAnsi" w:hAnsiTheme="majorHAnsi"/>
          <w:i/>
          <w:szCs w:val="24"/>
        </w:rPr>
        <w:t>C10-003</w:t>
      </w:r>
      <w:r w:rsidR="003605FD">
        <w:rPr>
          <w:rFonts w:asciiTheme="majorHAnsi" w:hAnsiTheme="majorHAnsi"/>
          <w:szCs w:val="24"/>
        </w:rPr>
        <w:t>)]).</w:t>
      </w:r>
    </w:p>
    <w:p w14:paraId="7B2F90BD" w14:textId="77777777" w:rsidR="00AA6AAD" w:rsidRDefault="00AA6AAD" w:rsidP="00AA6AAD">
      <w:pPr>
        <w:pStyle w:val="C-BodyText"/>
        <w:spacing w:before="0" w:after="0" w:line="240" w:lineRule="auto"/>
        <w:rPr>
          <w:rFonts w:asciiTheme="majorHAnsi" w:hAnsiTheme="majorHAnsi"/>
          <w:szCs w:val="24"/>
        </w:rPr>
      </w:pPr>
    </w:p>
    <w:p w14:paraId="6AD0A87B" w14:textId="352CCCCF" w:rsidR="00FB566F" w:rsidRPr="00FB566F" w:rsidRDefault="00080745" w:rsidP="00FB566F">
      <w:pPr>
        <w:pStyle w:val="C-BodyText"/>
        <w:spacing w:before="0" w:after="0" w:line="240" w:lineRule="auto"/>
        <w:rPr>
          <w:rFonts w:asciiTheme="majorHAnsi" w:hAnsiTheme="majorHAnsi"/>
          <w:szCs w:val="24"/>
        </w:rPr>
      </w:pPr>
      <w:r w:rsidRPr="00AA6AAD">
        <w:rPr>
          <w:rFonts w:asciiTheme="majorHAnsi" w:hAnsiTheme="majorHAnsi"/>
          <w:szCs w:val="24"/>
        </w:rPr>
        <w:t xml:space="preserve">The data described below in </w:t>
      </w:r>
      <w:r w:rsidR="00FB566F">
        <w:rPr>
          <w:rFonts w:asciiTheme="majorHAnsi" w:hAnsiTheme="majorHAnsi"/>
          <w:szCs w:val="24"/>
        </w:rPr>
        <w:fldChar w:fldCharType="begin"/>
      </w:r>
      <w:r w:rsidR="00FB566F">
        <w:rPr>
          <w:rFonts w:asciiTheme="majorHAnsi" w:hAnsiTheme="majorHAnsi"/>
          <w:szCs w:val="24"/>
        </w:rPr>
        <w:instrText xml:space="preserve"> REF _Ref18588872 \h </w:instrText>
      </w:r>
      <w:r w:rsidR="00FB566F">
        <w:rPr>
          <w:rFonts w:asciiTheme="majorHAnsi" w:hAnsiTheme="majorHAnsi"/>
          <w:szCs w:val="24"/>
        </w:rPr>
      </w:r>
      <w:r w:rsidR="00FB566F">
        <w:rPr>
          <w:rFonts w:asciiTheme="majorHAnsi" w:hAnsiTheme="majorHAnsi"/>
          <w:szCs w:val="24"/>
        </w:rPr>
        <w:fldChar w:fldCharType="separate"/>
      </w:r>
      <w:r w:rsidR="00AE6672">
        <w:t xml:space="preserve">Table </w:t>
      </w:r>
      <w:r w:rsidR="00AE6672">
        <w:rPr>
          <w:noProof/>
        </w:rPr>
        <w:t>2</w:t>
      </w:r>
      <w:r w:rsidR="00FB566F">
        <w:rPr>
          <w:rFonts w:asciiTheme="majorHAnsi" w:hAnsiTheme="majorHAnsi"/>
          <w:szCs w:val="24"/>
        </w:rPr>
        <w:fldChar w:fldCharType="end"/>
      </w:r>
      <w:r w:rsidR="00FA12E0">
        <w:rPr>
          <w:rFonts w:asciiTheme="majorHAnsi" w:hAnsiTheme="majorHAnsi"/>
          <w:szCs w:val="24"/>
        </w:rPr>
        <w:t xml:space="preserve"> </w:t>
      </w:r>
      <w:r w:rsidRPr="00AA6AAD">
        <w:rPr>
          <w:rFonts w:asciiTheme="majorHAnsi" w:hAnsiTheme="majorHAnsi"/>
          <w:szCs w:val="24"/>
        </w:rPr>
        <w:t>were derived from 78 adult patients</w:t>
      </w:r>
      <w:r w:rsidR="00A8461F">
        <w:rPr>
          <w:rFonts w:asciiTheme="majorHAnsi" w:hAnsiTheme="majorHAnsi"/>
          <w:szCs w:val="24"/>
        </w:rPr>
        <w:t xml:space="preserve"> with aHUS</w:t>
      </w:r>
      <w:r w:rsidRPr="00AA6AAD">
        <w:rPr>
          <w:rFonts w:asciiTheme="majorHAnsi" w:hAnsiTheme="majorHAnsi"/>
          <w:szCs w:val="24"/>
        </w:rPr>
        <w:t xml:space="preserve"> enrolled in Studies </w:t>
      </w:r>
      <w:r w:rsidRPr="0050524F">
        <w:rPr>
          <w:rFonts w:asciiTheme="majorHAnsi" w:hAnsiTheme="majorHAnsi"/>
          <w:i/>
          <w:szCs w:val="24"/>
        </w:rPr>
        <w:t>C08-002A/B</w:t>
      </w:r>
      <w:r w:rsidRPr="00AA6AAD">
        <w:rPr>
          <w:rFonts w:asciiTheme="majorHAnsi" w:hAnsiTheme="majorHAnsi"/>
          <w:szCs w:val="24"/>
        </w:rPr>
        <w:t xml:space="preserve">, </w:t>
      </w:r>
      <w:r w:rsidRPr="0050524F">
        <w:rPr>
          <w:rFonts w:asciiTheme="majorHAnsi" w:hAnsiTheme="majorHAnsi"/>
          <w:i/>
          <w:szCs w:val="24"/>
        </w:rPr>
        <w:t>C08-003A/B</w:t>
      </w:r>
      <w:r w:rsidRPr="00AA6AAD">
        <w:rPr>
          <w:rFonts w:asciiTheme="majorHAnsi" w:hAnsiTheme="majorHAnsi"/>
          <w:szCs w:val="24"/>
        </w:rPr>
        <w:t xml:space="preserve"> and </w:t>
      </w:r>
      <w:r w:rsidRPr="0050524F">
        <w:rPr>
          <w:rFonts w:asciiTheme="majorHAnsi" w:hAnsiTheme="majorHAnsi"/>
          <w:i/>
          <w:szCs w:val="24"/>
        </w:rPr>
        <w:t>C10-004</w:t>
      </w:r>
      <w:r w:rsidRPr="00AA6AAD">
        <w:rPr>
          <w:rFonts w:asciiTheme="majorHAnsi" w:hAnsiTheme="majorHAnsi"/>
          <w:szCs w:val="24"/>
        </w:rPr>
        <w:t xml:space="preserve">. </w:t>
      </w:r>
      <w:proofErr w:type="spellStart"/>
      <w:r w:rsidRPr="00AA6AAD">
        <w:rPr>
          <w:rFonts w:asciiTheme="majorHAnsi" w:hAnsiTheme="majorHAnsi"/>
          <w:szCs w:val="24"/>
        </w:rPr>
        <w:t>Paediatric</w:t>
      </w:r>
      <w:proofErr w:type="spellEnd"/>
      <w:r w:rsidRPr="00AA6AAD">
        <w:rPr>
          <w:rFonts w:asciiTheme="majorHAnsi" w:hAnsiTheme="majorHAnsi"/>
          <w:szCs w:val="24"/>
        </w:rPr>
        <w:t xml:space="preserve"> safety data are </w:t>
      </w:r>
      <w:proofErr w:type="spellStart"/>
      <w:r w:rsidR="00731765" w:rsidRPr="00AA6AAD">
        <w:rPr>
          <w:rFonts w:asciiTheme="majorHAnsi" w:hAnsiTheme="majorHAnsi"/>
          <w:szCs w:val="24"/>
        </w:rPr>
        <w:t>summari</w:t>
      </w:r>
      <w:r w:rsidR="00731765">
        <w:rPr>
          <w:rFonts w:asciiTheme="majorHAnsi" w:hAnsiTheme="majorHAnsi"/>
          <w:szCs w:val="24"/>
        </w:rPr>
        <w:t>s</w:t>
      </w:r>
      <w:r w:rsidR="00731765" w:rsidRPr="00AA6AAD">
        <w:rPr>
          <w:rFonts w:asciiTheme="majorHAnsi" w:hAnsiTheme="majorHAnsi"/>
          <w:szCs w:val="24"/>
        </w:rPr>
        <w:t>ed</w:t>
      </w:r>
      <w:proofErr w:type="spellEnd"/>
      <w:r w:rsidR="00731765" w:rsidRPr="00AA6AAD">
        <w:rPr>
          <w:rFonts w:asciiTheme="majorHAnsi" w:hAnsiTheme="majorHAnsi"/>
          <w:szCs w:val="24"/>
        </w:rPr>
        <w:t xml:space="preserve"> </w:t>
      </w:r>
      <w:r w:rsidRPr="00AA6AAD">
        <w:rPr>
          <w:rFonts w:asciiTheme="majorHAnsi" w:hAnsiTheme="majorHAnsi"/>
          <w:szCs w:val="24"/>
        </w:rPr>
        <w:t>in</w:t>
      </w:r>
      <w:r w:rsidR="00247559" w:rsidRPr="00AA6AAD">
        <w:rPr>
          <w:rFonts w:asciiTheme="majorHAnsi" w:hAnsiTheme="majorHAnsi"/>
          <w:szCs w:val="24"/>
        </w:rPr>
        <w:t xml:space="preserve"> </w:t>
      </w:r>
      <w:r w:rsidR="00C376F0">
        <w:rPr>
          <w:rFonts w:asciiTheme="majorHAnsi" w:hAnsiTheme="majorHAnsi"/>
          <w:szCs w:val="24"/>
        </w:rPr>
        <w:fldChar w:fldCharType="begin"/>
      </w:r>
      <w:r w:rsidR="00C376F0">
        <w:rPr>
          <w:rFonts w:asciiTheme="majorHAnsi" w:hAnsiTheme="majorHAnsi"/>
          <w:szCs w:val="24"/>
        </w:rPr>
        <w:instrText xml:space="preserve"> REF _Ref18588638 \h </w:instrText>
      </w:r>
      <w:r w:rsidR="00C376F0">
        <w:rPr>
          <w:rFonts w:asciiTheme="majorHAnsi" w:hAnsiTheme="majorHAnsi"/>
          <w:szCs w:val="24"/>
        </w:rPr>
      </w:r>
      <w:r w:rsidR="00C376F0">
        <w:rPr>
          <w:rFonts w:asciiTheme="majorHAnsi" w:hAnsiTheme="majorHAnsi"/>
          <w:szCs w:val="24"/>
        </w:rPr>
        <w:fldChar w:fldCharType="separate"/>
      </w:r>
      <w:r w:rsidR="00AE6672">
        <w:t xml:space="preserve">Table </w:t>
      </w:r>
      <w:r w:rsidR="00AE6672">
        <w:rPr>
          <w:noProof/>
        </w:rPr>
        <w:t>4</w:t>
      </w:r>
      <w:r w:rsidR="00C376F0">
        <w:rPr>
          <w:rFonts w:asciiTheme="majorHAnsi" w:hAnsiTheme="majorHAnsi"/>
          <w:szCs w:val="24"/>
        </w:rPr>
        <w:fldChar w:fldCharType="end"/>
      </w:r>
      <w:r w:rsidR="00247559" w:rsidRPr="00AA6AAD">
        <w:rPr>
          <w:rFonts w:asciiTheme="majorHAnsi" w:hAnsiTheme="majorHAnsi"/>
          <w:szCs w:val="24"/>
        </w:rPr>
        <w:t xml:space="preserve"> </w:t>
      </w:r>
      <w:r w:rsidRPr="00AA6AAD">
        <w:rPr>
          <w:rFonts w:asciiTheme="majorHAnsi" w:hAnsiTheme="majorHAnsi"/>
          <w:szCs w:val="24"/>
        </w:rPr>
        <w:t xml:space="preserve">and refer to </w:t>
      </w:r>
      <w:r w:rsidR="00C376F0">
        <w:rPr>
          <w:rFonts w:asciiTheme="majorHAnsi" w:hAnsiTheme="majorHAnsi"/>
          <w:szCs w:val="24"/>
        </w:rPr>
        <w:fldChar w:fldCharType="begin"/>
      </w:r>
      <w:r w:rsidR="00C376F0">
        <w:rPr>
          <w:rFonts w:asciiTheme="majorHAnsi" w:hAnsiTheme="majorHAnsi"/>
          <w:szCs w:val="24"/>
        </w:rPr>
        <w:instrText xml:space="preserve"> REF _Ref18589110 \h </w:instrText>
      </w:r>
      <w:r w:rsidR="00C376F0">
        <w:rPr>
          <w:rFonts w:asciiTheme="majorHAnsi" w:hAnsiTheme="majorHAnsi"/>
          <w:szCs w:val="24"/>
        </w:rPr>
      </w:r>
      <w:r w:rsidR="00C376F0">
        <w:rPr>
          <w:rFonts w:asciiTheme="majorHAnsi" w:hAnsiTheme="majorHAnsi"/>
          <w:szCs w:val="24"/>
        </w:rPr>
        <w:fldChar w:fldCharType="separate"/>
      </w:r>
      <w:r w:rsidR="00AE6672">
        <w:t xml:space="preserve">Table </w:t>
      </w:r>
      <w:r w:rsidR="00AE6672">
        <w:rPr>
          <w:noProof/>
        </w:rPr>
        <w:t>5</w:t>
      </w:r>
      <w:r w:rsidR="00C376F0">
        <w:rPr>
          <w:rFonts w:asciiTheme="majorHAnsi" w:hAnsiTheme="majorHAnsi"/>
          <w:szCs w:val="24"/>
        </w:rPr>
        <w:fldChar w:fldCharType="end"/>
      </w:r>
      <w:r w:rsidR="00247559" w:rsidRPr="00AA6AAD">
        <w:rPr>
          <w:rFonts w:asciiTheme="majorHAnsi" w:hAnsiTheme="majorHAnsi"/>
          <w:szCs w:val="24"/>
        </w:rPr>
        <w:t xml:space="preserve"> </w:t>
      </w:r>
      <w:r w:rsidRPr="00AA6AAD">
        <w:rPr>
          <w:rFonts w:asciiTheme="majorHAnsi" w:hAnsiTheme="majorHAnsi"/>
          <w:szCs w:val="24"/>
        </w:rPr>
        <w:t xml:space="preserve">for additional safety data collected in 30 patients in the retrospective study </w:t>
      </w:r>
      <w:r w:rsidRPr="0050524F">
        <w:rPr>
          <w:rFonts w:asciiTheme="majorHAnsi" w:hAnsiTheme="majorHAnsi"/>
          <w:i/>
          <w:szCs w:val="24"/>
        </w:rPr>
        <w:t>C09-001r</w:t>
      </w:r>
      <w:r w:rsidRPr="00AA6AAD" w:rsidDel="00DD5156">
        <w:rPr>
          <w:rFonts w:asciiTheme="majorHAnsi" w:hAnsiTheme="majorHAnsi"/>
          <w:szCs w:val="24"/>
        </w:rPr>
        <w:t>.</w:t>
      </w:r>
    </w:p>
    <w:p w14:paraId="61DC6068" w14:textId="12B9F1E6" w:rsidR="00080745" w:rsidRPr="00875260" w:rsidRDefault="00FB566F" w:rsidP="00AE2D6F">
      <w:pPr>
        <w:pStyle w:val="Caption"/>
        <w:spacing w:after="120"/>
        <w:jc w:val="left"/>
        <w:rPr>
          <w:rFonts w:asciiTheme="majorHAnsi" w:hAnsiTheme="majorHAnsi"/>
          <w:szCs w:val="24"/>
        </w:rPr>
      </w:pPr>
      <w:bookmarkStart w:id="7" w:name="_Ref18588872"/>
      <w:r>
        <w:t xml:space="preserve">Table </w:t>
      </w:r>
      <w:r w:rsidR="00345186">
        <w:fldChar w:fldCharType="begin"/>
      </w:r>
      <w:r w:rsidR="00345186">
        <w:instrText xml:space="preserve"> SEQ Table \* ARABIC </w:instrText>
      </w:r>
      <w:r w:rsidR="00345186">
        <w:fldChar w:fldCharType="separate"/>
      </w:r>
      <w:r w:rsidR="00345186">
        <w:rPr>
          <w:noProof/>
        </w:rPr>
        <w:t>2</w:t>
      </w:r>
      <w:r w:rsidR="00345186">
        <w:fldChar w:fldCharType="end"/>
      </w:r>
      <w:bookmarkEnd w:id="7"/>
      <w:r>
        <w:t xml:space="preserve">: </w:t>
      </w:r>
      <w:r w:rsidR="00080745" w:rsidRPr="00875260">
        <w:rPr>
          <w:rFonts w:asciiTheme="majorHAnsi" w:hAnsiTheme="majorHAnsi"/>
          <w:szCs w:val="24"/>
        </w:rPr>
        <w:t>Per Patient Incidence of Adverse Drug Reactions (ADRs) in ≥10% of Adult and Adolescent Patients Enrolled in aHUS studies C08-002A/B, C08-003A/B and C10-004, Separately and in Total</w:t>
      </w: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1493"/>
        <w:gridCol w:w="1494"/>
        <w:gridCol w:w="1494"/>
        <w:gridCol w:w="1494"/>
      </w:tblGrid>
      <w:tr w:rsidR="00080745" w:rsidRPr="006235F7" w14:paraId="2E4E5319" w14:textId="77777777" w:rsidTr="00080745">
        <w:trPr>
          <w:cantSplit/>
          <w:trHeight w:val="288"/>
          <w:tblHeader/>
        </w:trPr>
        <w:tc>
          <w:tcPr>
            <w:tcW w:w="3008" w:type="dxa"/>
            <w:vMerge w:val="restart"/>
            <w:shd w:val="clear" w:color="auto" w:fill="auto"/>
            <w:vAlign w:val="center"/>
          </w:tcPr>
          <w:p w14:paraId="5E6B5B02" w14:textId="77777777" w:rsidR="00080745" w:rsidRPr="006235F7" w:rsidRDefault="00080745" w:rsidP="00080745">
            <w:pPr>
              <w:keepNext/>
              <w:rPr>
                <w:rFonts w:asciiTheme="majorHAnsi" w:hAnsiTheme="majorHAnsi" w:cs="Times New Roman"/>
                <w:b/>
                <w:sz w:val="22"/>
                <w:lang w:val="en-US"/>
              </w:rPr>
            </w:pPr>
            <w:r w:rsidRPr="006235F7">
              <w:rPr>
                <w:rFonts w:asciiTheme="majorHAnsi" w:hAnsiTheme="majorHAnsi" w:cs="Times New Roman"/>
                <w:b/>
                <w:sz w:val="22"/>
                <w:lang w:val="en-US"/>
              </w:rPr>
              <w:t>MedDRA SOC</w:t>
            </w:r>
          </w:p>
        </w:tc>
        <w:tc>
          <w:tcPr>
            <w:tcW w:w="6091" w:type="dxa"/>
            <w:gridSpan w:val="4"/>
          </w:tcPr>
          <w:p w14:paraId="578F44C6" w14:textId="77777777" w:rsidR="00080745" w:rsidRPr="006235F7" w:rsidRDefault="00080745" w:rsidP="00080745">
            <w:pPr>
              <w:keepNext/>
              <w:jc w:val="center"/>
              <w:rPr>
                <w:rFonts w:asciiTheme="majorHAnsi" w:hAnsiTheme="majorHAnsi" w:cs="Times New Roman"/>
                <w:sz w:val="22"/>
                <w:lang w:val="en-US"/>
              </w:rPr>
            </w:pPr>
            <w:r w:rsidRPr="006235F7">
              <w:rPr>
                <w:rFonts w:asciiTheme="majorHAnsi" w:hAnsiTheme="majorHAnsi" w:cs="Times New Roman"/>
                <w:b/>
                <w:bCs/>
                <w:sz w:val="22"/>
                <w:lang w:val="en-US"/>
              </w:rPr>
              <w:t>Number (%) of Patients</w:t>
            </w:r>
          </w:p>
        </w:tc>
      </w:tr>
      <w:tr w:rsidR="00080745" w:rsidRPr="006235F7" w14:paraId="366167B9" w14:textId="77777777" w:rsidTr="00080745">
        <w:trPr>
          <w:cantSplit/>
          <w:trHeight w:val="288"/>
          <w:tblHeader/>
        </w:trPr>
        <w:tc>
          <w:tcPr>
            <w:tcW w:w="3008" w:type="dxa"/>
            <w:vMerge/>
            <w:shd w:val="clear" w:color="auto" w:fill="auto"/>
            <w:vAlign w:val="center"/>
          </w:tcPr>
          <w:p w14:paraId="0DD6A088" w14:textId="77777777" w:rsidR="00080745" w:rsidRPr="006235F7" w:rsidRDefault="00080745" w:rsidP="00080745">
            <w:pPr>
              <w:keepNext/>
              <w:rPr>
                <w:rFonts w:asciiTheme="majorHAnsi" w:hAnsiTheme="majorHAnsi" w:cs="Times New Roman"/>
                <w:sz w:val="22"/>
                <w:lang w:val="en-US"/>
              </w:rPr>
            </w:pPr>
          </w:p>
        </w:tc>
        <w:tc>
          <w:tcPr>
            <w:tcW w:w="1522" w:type="dxa"/>
            <w:shd w:val="clear" w:color="auto" w:fill="auto"/>
          </w:tcPr>
          <w:p w14:paraId="7DD92897" w14:textId="77777777" w:rsidR="00080745" w:rsidRPr="006235F7" w:rsidRDefault="00080745" w:rsidP="00080745">
            <w:pPr>
              <w:keepNext/>
              <w:jc w:val="center"/>
              <w:rPr>
                <w:rFonts w:asciiTheme="majorHAnsi" w:hAnsiTheme="majorHAnsi" w:cs="Times New Roman"/>
                <w:sz w:val="22"/>
                <w:lang w:val="en-US"/>
              </w:rPr>
            </w:pPr>
            <w:r w:rsidRPr="006235F7">
              <w:rPr>
                <w:rFonts w:asciiTheme="majorHAnsi" w:hAnsiTheme="majorHAnsi" w:cs="Times New Roman"/>
                <w:b/>
                <w:bCs/>
                <w:sz w:val="22"/>
                <w:lang w:val="en-US"/>
              </w:rPr>
              <w:t>C08-002 (n=17)</w:t>
            </w:r>
          </w:p>
        </w:tc>
        <w:tc>
          <w:tcPr>
            <w:tcW w:w="1523" w:type="dxa"/>
            <w:shd w:val="clear" w:color="auto" w:fill="auto"/>
          </w:tcPr>
          <w:p w14:paraId="0EF728FC" w14:textId="77777777" w:rsidR="00080745" w:rsidRPr="006235F7" w:rsidRDefault="00080745" w:rsidP="00080745">
            <w:pPr>
              <w:keepNext/>
              <w:jc w:val="center"/>
              <w:rPr>
                <w:rFonts w:asciiTheme="majorHAnsi" w:hAnsiTheme="majorHAnsi" w:cs="Times New Roman"/>
                <w:sz w:val="22"/>
                <w:lang w:val="en-US"/>
              </w:rPr>
            </w:pPr>
            <w:r w:rsidRPr="006235F7">
              <w:rPr>
                <w:rFonts w:asciiTheme="majorHAnsi" w:hAnsiTheme="majorHAnsi" w:cs="Times New Roman"/>
                <w:b/>
                <w:bCs/>
                <w:sz w:val="22"/>
                <w:lang w:val="en-US"/>
              </w:rPr>
              <w:t>C08-003 (n=20)</w:t>
            </w:r>
          </w:p>
        </w:tc>
        <w:tc>
          <w:tcPr>
            <w:tcW w:w="1523" w:type="dxa"/>
          </w:tcPr>
          <w:p w14:paraId="3AEC1667"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b/>
                <w:bCs/>
                <w:sz w:val="22"/>
                <w:lang w:val="en-US"/>
              </w:rPr>
              <w:t>C10-004</w:t>
            </w:r>
          </w:p>
          <w:p w14:paraId="0E243281"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b/>
                <w:bCs/>
                <w:sz w:val="22"/>
                <w:lang w:val="en-US"/>
              </w:rPr>
              <w:t>(n=41)</w:t>
            </w:r>
          </w:p>
        </w:tc>
        <w:tc>
          <w:tcPr>
            <w:tcW w:w="1523" w:type="dxa"/>
            <w:shd w:val="clear" w:color="auto" w:fill="auto"/>
          </w:tcPr>
          <w:p w14:paraId="1DB24479"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b/>
                <w:bCs/>
                <w:sz w:val="22"/>
                <w:lang w:val="en-US"/>
              </w:rPr>
              <w:t xml:space="preserve">Total </w:t>
            </w:r>
          </w:p>
          <w:p w14:paraId="5AF9A5FB" w14:textId="77777777" w:rsidR="00080745" w:rsidRPr="006235F7" w:rsidRDefault="00080745" w:rsidP="00080745">
            <w:pPr>
              <w:keepNext/>
              <w:jc w:val="center"/>
              <w:rPr>
                <w:rFonts w:asciiTheme="majorHAnsi" w:hAnsiTheme="majorHAnsi" w:cs="Times New Roman"/>
                <w:sz w:val="22"/>
                <w:lang w:val="en-US"/>
              </w:rPr>
            </w:pPr>
            <w:r w:rsidRPr="006235F7">
              <w:rPr>
                <w:rFonts w:asciiTheme="majorHAnsi" w:hAnsiTheme="majorHAnsi" w:cs="Times New Roman"/>
                <w:b/>
                <w:bCs/>
                <w:sz w:val="22"/>
                <w:lang w:val="en-US"/>
              </w:rPr>
              <w:t>(n=78)</w:t>
            </w:r>
          </w:p>
        </w:tc>
      </w:tr>
      <w:tr w:rsidR="00080745" w:rsidRPr="006235F7" w14:paraId="737C0005" w14:textId="77777777" w:rsidTr="00080745">
        <w:trPr>
          <w:cantSplit/>
          <w:trHeight w:val="288"/>
          <w:tblHeader/>
        </w:trPr>
        <w:tc>
          <w:tcPr>
            <w:tcW w:w="9099" w:type="dxa"/>
            <w:gridSpan w:val="5"/>
            <w:shd w:val="clear" w:color="auto" w:fill="auto"/>
          </w:tcPr>
          <w:p w14:paraId="51D5005E" w14:textId="77777777" w:rsidR="00080745" w:rsidRPr="006235F7" w:rsidRDefault="00080745" w:rsidP="00080745">
            <w:pPr>
              <w:keepNext/>
              <w:rPr>
                <w:rFonts w:asciiTheme="majorHAnsi" w:hAnsiTheme="majorHAnsi" w:cs="Times New Roman"/>
                <w:b/>
                <w:bCs/>
                <w:sz w:val="22"/>
                <w:lang w:val="en-US"/>
              </w:rPr>
            </w:pPr>
            <w:r w:rsidRPr="006235F7">
              <w:rPr>
                <w:rFonts w:asciiTheme="majorHAnsi" w:hAnsiTheme="majorHAnsi" w:cs="Times New Roman"/>
                <w:b/>
                <w:color w:val="000000"/>
                <w:sz w:val="22"/>
              </w:rPr>
              <w:t>Blood and Lymphatic System Disorders</w:t>
            </w:r>
          </w:p>
        </w:tc>
      </w:tr>
      <w:tr w:rsidR="00080745" w:rsidRPr="006235F7" w14:paraId="5700F935" w14:textId="77777777" w:rsidTr="00080745">
        <w:trPr>
          <w:cantSplit/>
          <w:trHeight w:val="288"/>
          <w:tblHeader/>
        </w:trPr>
        <w:tc>
          <w:tcPr>
            <w:tcW w:w="3008" w:type="dxa"/>
            <w:shd w:val="clear" w:color="auto" w:fill="auto"/>
          </w:tcPr>
          <w:p w14:paraId="7719B2E7" w14:textId="77777777" w:rsidR="00080745" w:rsidRPr="006235F7" w:rsidRDefault="00080745" w:rsidP="00080745">
            <w:pPr>
              <w:keepNext/>
              <w:rPr>
                <w:rFonts w:asciiTheme="majorHAnsi" w:hAnsiTheme="majorHAnsi" w:cs="Times New Roman"/>
                <w:sz w:val="22"/>
                <w:lang w:val="en-US"/>
              </w:rPr>
            </w:pPr>
            <w:proofErr w:type="spellStart"/>
            <w:r w:rsidRPr="006235F7">
              <w:rPr>
                <w:rFonts w:asciiTheme="majorHAnsi" w:hAnsiTheme="majorHAnsi" w:cs="Times New Roman"/>
                <w:sz w:val="22"/>
              </w:rPr>
              <w:t>Leu</w:t>
            </w:r>
            <w:r w:rsidR="00446FF7">
              <w:rPr>
                <w:rFonts w:asciiTheme="majorHAnsi" w:hAnsiTheme="majorHAnsi" w:cs="Times New Roman"/>
                <w:sz w:val="22"/>
              </w:rPr>
              <w:t>c</w:t>
            </w:r>
            <w:r w:rsidRPr="006235F7">
              <w:rPr>
                <w:rFonts w:asciiTheme="majorHAnsi" w:hAnsiTheme="majorHAnsi" w:cs="Times New Roman"/>
                <w:sz w:val="22"/>
              </w:rPr>
              <w:t>op</w:t>
            </w:r>
            <w:r w:rsidR="00446FF7">
              <w:rPr>
                <w:rFonts w:asciiTheme="majorHAnsi" w:hAnsiTheme="majorHAnsi" w:cs="Times New Roman"/>
                <w:sz w:val="22"/>
              </w:rPr>
              <w:t>a</w:t>
            </w:r>
            <w:r w:rsidRPr="006235F7">
              <w:rPr>
                <w:rFonts w:asciiTheme="majorHAnsi" w:hAnsiTheme="majorHAnsi" w:cs="Times New Roman"/>
                <w:sz w:val="22"/>
              </w:rPr>
              <w:t>enia</w:t>
            </w:r>
            <w:proofErr w:type="spellEnd"/>
          </w:p>
        </w:tc>
        <w:tc>
          <w:tcPr>
            <w:tcW w:w="1522" w:type="dxa"/>
            <w:shd w:val="clear" w:color="auto" w:fill="auto"/>
            <w:vAlign w:val="center"/>
          </w:tcPr>
          <w:p w14:paraId="2FF1481F"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(11.8)</w:t>
            </w:r>
          </w:p>
        </w:tc>
        <w:tc>
          <w:tcPr>
            <w:tcW w:w="1523" w:type="dxa"/>
            <w:shd w:val="clear" w:color="auto" w:fill="auto"/>
            <w:vAlign w:val="center"/>
          </w:tcPr>
          <w:p w14:paraId="56689F02"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(10.0)</w:t>
            </w:r>
          </w:p>
        </w:tc>
        <w:tc>
          <w:tcPr>
            <w:tcW w:w="1523" w:type="dxa"/>
            <w:vAlign w:val="center"/>
          </w:tcPr>
          <w:p w14:paraId="06A8F017"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1A0F4619"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4 (5.1)</w:t>
            </w:r>
          </w:p>
        </w:tc>
      </w:tr>
      <w:tr w:rsidR="00080745" w:rsidRPr="006235F7" w14:paraId="2D531907" w14:textId="77777777" w:rsidTr="00080745">
        <w:trPr>
          <w:cantSplit/>
          <w:trHeight w:val="288"/>
          <w:tblHeader/>
        </w:trPr>
        <w:tc>
          <w:tcPr>
            <w:tcW w:w="3008" w:type="dxa"/>
            <w:shd w:val="clear" w:color="auto" w:fill="auto"/>
          </w:tcPr>
          <w:p w14:paraId="5B655512"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Lymphopenia</w:t>
            </w:r>
          </w:p>
        </w:tc>
        <w:tc>
          <w:tcPr>
            <w:tcW w:w="1522" w:type="dxa"/>
            <w:shd w:val="clear" w:color="auto" w:fill="auto"/>
            <w:vAlign w:val="center"/>
          </w:tcPr>
          <w:p w14:paraId="597D862E"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3F91691B"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(10.0)</w:t>
            </w:r>
          </w:p>
        </w:tc>
        <w:tc>
          <w:tcPr>
            <w:tcW w:w="1523" w:type="dxa"/>
            <w:vAlign w:val="center"/>
          </w:tcPr>
          <w:p w14:paraId="4879F4D8"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09B2D99D"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(2.6)</w:t>
            </w:r>
          </w:p>
        </w:tc>
      </w:tr>
      <w:tr w:rsidR="00080745" w:rsidRPr="006235F7" w14:paraId="152AF9D9" w14:textId="77777777" w:rsidTr="00080745">
        <w:trPr>
          <w:cantSplit/>
          <w:trHeight w:val="288"/>
          <w:tblHeader/>
        </w:trPr>
        <w:tc>
          <w:tcPr>
            <w:tcW w:w="9099" w:type="dxa"/>
            <w:gridSpan w:val="5"/>
            <w:shd w:val="clear" w:color="auto" w:fill="auto"/>
            <w:vAlign w:val="center"/>
          </w:tcPr>
          <w:p w14:paraId="67F3F5D6" w14:textId="77777777" w:rsidR="00080745" w:rsidRPr="006235F7" w:rsidRDefault="00080745" w:rsidP="00080745">
            <w:pPr>
              <w:keepNext/>
              <w:rPr>
                <w:rFonts w:asciiTheme="majorHAnsi" w:hAnsiTheme="majorHAnsi" w:cs="Times New Roman"/>
                <w:b/>
                <w:bCs/>
                <w:sz w:val="22"/>
                <w:lang w:val="en-US"/>
              </w:rPr>
            </w:pPr>
            <w:r w:rsidRPr="006235F7">
              <w:rPr>
                <w:rFonts w:asciiTheme="majorHAnsi" w:hAnsiTheme="majorHAnsi" w:cs="Times New Roman"/>
                <w:b/>
                <w:color w:val="000000"/>
                <w:sz w:val="22"/>
              </w:rPr>
              <w:t>Gastrointestinal Disorders</w:t>
            </w:r>
          </w:p>
        </w:tc>
      </w:tr>
      <w:tr w:rsidR="00080745" w:rsidRPr="006235F7" w14:paraId="5BFF0E22" w14:textId="77777777" w:rsidTr="00080745">
        <w:trPr>
          <w:cantSplit/>
          <w:trHeight w:val="288"/>
          <w:tblHeader/>
        </w:trPr>
        <w:tc>
          <w:tcPr>
            <w:tcW w:w="3008" w:type="dxa"/>
            <w:shd w:val="clear" w:color="auto" w:fill="auto"/>
          </w:tcPr>
          <w:p w14:paraId="2CBFAAE9"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Nausea</w:t>
            </w:r>
          </w:p>
        </w:tc>
        <w:tc>
          <w:tcPr>
            <w:tcW w:w="1522" w:type="dxa"/>
            <w:shd w:val="clear" w:color="auto" w:fill="auto"/>
            <w:vAlign w:val="center"/>
          </w:tcPr>
          <w:p w14:paraId="500C8582"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(11.8)</w:t>
            </w:r>
          </w:p>
        </w:tc>
        <w:tc>
          <w:tcPr>
            <w:tcW w:w="1523" w:type="dxa"/>
            <w:shd w:val="clear" w:color="auto" w:fill="auto"/>
            <w:vAlign w:val="center"/>
          </w:tcPr>
          <w:p w14:paraId="0B6AB667"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vAlign w:val="center"/>
          </w:tcPr>
          <w:p w14:paraId="17E44FA8"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2CD0A963"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(2.6)</w:t>
            </w:r>
          </w:p>
        </w:tc>
      </w:tr>
      <w:tr w:rsidR="00080745" w:rsidRPr="006235F7" w14:paraId="1572A29E" w14:textId="77777777" w:rsidTr="00080745">
        <w:trPr>
          <w:cantSplit/>
          <w:trHeight w:val="288"/>
          <w:tblHeader/>
        </w:trPr>
        <w:tc>
          <w:tcPr>
            <w:tcW w:w="3008" w:type="dxa"/>
            <w:shd w:val="clear" w:color="auto" w:fill="auto"/>
          </w:tcPr>
          <w:p w14:paraId="62CE2004"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Vomiting</w:t>
            </w:r>
          </w:p>
        </w:tc>
        <w:tc>
          <w:tcPr>
            <w:tcW w:w="1522" w:type="dxa"/>
            <w:shd w:val="clear" w:color="auto" w:fill="auto"/>
            <w:vAlign w:val="center"/>
          </w:tcPr>
          <w:p w14:paraId="18AF285A"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3 (17.6)</w:t>
            </w:r>
          </w:p>
        </w:tc>
        <w:tc>
          <w:tcPr>
            <w:tcW w:w="1523" w:type="dxa"/>
            <w:shd w:val="clear" w:color="auto" w:fill="auto"/>
            <w:vAlign w:val="center"/>
          </w:tcPr>
          <w:p w14:paraId="12ABB195"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vAlign w:val="center"/>
          </w:tcPr>
          <w:p w14:paraId="5FC84D09"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1 (2.4)</w:t>
            </w:r>
          </w:p>
        </w:tc>
        <w:tc>
          <w:tcPr>
            <w:tcW w:w="1523" w:type="dxa"/>
            <w:shd w:val="clear" w:color="auto" w:fill="auto"/>
            <w:vAlign w:val="center"/>
          </w:tcPr>
          <w:p w14:paraId="22403D0B"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4 (5.1)</w:t>
            </w:r>
          </w:p>
        </w:tc>
      </w:tr>
      <w:tr w:rsidR="00080745" w:rsidRPr="006235F7" w14:paraId="3856C5F9" w14:textId="77777777" w:rsidTr="00080745">
        <w:trPr>
          <w:cantSplit/>
          <w:trHeight w:val="288"/>
          <w:tblHeader/>
        </w:trPr>
        <w:tc>
          <w:tcPr>
            <w:tcW w:w="9099" w:type="dxa"/>
            <w:gridSpan w:val="5"/>
            <w:shd w:val="clear" w:color="auto" w:fill="auto"/>
            <w:vAlign w:val="center"/>
          </w:tcPr>
          <w:p w14:paraId="69D55625" w14:textId="77777777" w:rsidR="00080745" w:rsidRPr="006235F7" w:rsidRDefault="00080745" w:rsidP="00080745">
            <w:pPr>
              <w:keepNext/>
              <w:rPr>
                <w:rFonts w:asciiTheme="majorHAnsi" w:hAnsiTheme="majorHAnsi" w:cs="Times New Roman"/>
                <w:b/>
                <w:bCs/>
                <w:sz w:val="22"/>
                <w:lang w:val="en-US"/>
              </w:rPr>
            </w:pPr>
            <w:r w:rsidRPr="006235F7">
              <w:rPr>
                <w:rFonts w:asciiTheme="majorHAnsi" w:hAnsiTheme="majorHAnsi" w:cs="Times New Roman"/>
                <w:b/>
                <w:color w:val="000000"/>
                <w:sz w:val="22"/>
              </w:rPr>
              <w:t>Nervous System Disorders</w:t>
            </w:r>
          </w:p>
        </w:tc>
      </w:tr>
      <w:tr w:rsidR="00080745" w:rsidRPr="006235F7" w14:paraId="5FE301CA" w14:textId="77777777" w:rsidTr="00080745">
        <w:trPr>
          <w:cantSplit/>
          <w:trHeight w:val="288"/>
          <w:tblHeader/>
        </w:trPr>
        <w:tc>
          <w:tcPr>
            <w:tcW w:w="3008" w:type="dxa"/>
            <w:shd w:val="clear" w:color="auto" w:fill="auto"/>
          </w:tcPr>
          <w:p w14:paraId="73F5B6F3"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Headache</w:t>
            </w:r>
          </w:p>
        </w:tc>
        <w:tc>
          <w:tcPr>
            <w:tcW w:w="1522" w:type="dxa"/>
            <w:shd w:val="clear" w:color="auto" w:fill="auto"/>
            <w:vAlign w:val="center"/>
          </w:tcPr>
          <w:p w14:paraId="34786BC8"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1 (5.9)</w:t>
            </w:r>
          </w:p>
        </w:tc>
        <w:tc>
          <w:tcPr>
            <w:tcW w:w="1523" w:type="dxa"/>
            <w:shd w:val="clear" w:color="auto" w:fill="auto"/>
            <w:vAlign w:val="center"/>
          </w:tcPr>
          <w:p w14:paraId="0ACBB9E4"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3 (15.0)</w:t>
            </w:r>
          </w:p>
        </w:tc>
        <w:tc>
          <w:tcPr>
            <w:tcW w:w="1523" w:type="dxa"/>
            <w:vAlign w:val="center"/>
          </w:tcPr>
          <w:p w14:paraId="44A71853"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595D0057"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4 (5.1)</w:t>
            </w:r>
          </w:p>
        </w:tc>
      </w:tr>
      <w:tr w:rsidR="00080745" w:rsidRPr="006235F7" w14:paraId="0257D11B" w14:textId="77777777" w:rsidTr="00080745">
        <w:trPr>
          <w:cantSplit/>
          <w:trHeight w:val="288"/>
          <w:tblHeader/>
        </w:trPr>
        <w:tc>
          <w:tcPr>
            <w:tcW w:w="9099" w:type="dxa"/>
            <w:gridSpan w:val="5"/>
            <w:shd w:val="clear" w:color="auto" w:fill="auto"/>
            <w:vAlign w:val="center"/>
          </w:tcPr>
          <w:p w14:paraId="22C889B6" w14:textId="77777777" w:rsidR="00080745" w:rsidRPr="006235F7" w:rsidRDefault="00080745" w:rsidP="00080745">
            <w:pPr>
              <w:keepNext/>
              <w:rPr>
                <w:rFonts w:asciiTheme="majorHAnsi" w:hAnsiTheme="majorHAnsi" w:cs="Times New Roman"/>
                <w:b/>
                <w:bCs/>
                <w:sz w:val="22"/>
                <w:lang w:val="en-US"/>
              </w:rPr>
            </w:pPr>
            <w:r w:rsidRPr="006235F7">
              <w:rPr>
                <w:rFonts w:asciiTheme="majorHAnsi" w:hAnsiTheme="majorHAnsi" w:cs="Times New Roman"/>
                <w:b/>
                <w:color w:val="000000"/>
                <w:sz w:val="22"/>
              </w:rPr>
              <w:t>Respiratory, Thoracic and Mediastinal Disorders</w:t>
            </w:r>
          </w:p>
        </w:tc>
      </w:tr>
      <w:tr w:rsidR="00080745" w:rsidRPr="006235F7" w14:paraId="0F0E09B2" w14:textId="77777777" w:rsidTr="00080745">
        <w:trPr>
          <w:cantSplit/>
          <w:trHeight w:val="288"/>
          <w:tblHeader/>
        </w:trPr>
        <w:tc>
          <w:tcPr>
            <w:tcW w:w="3008" w:type="dxa"/>
            <w:shd w:val="clear" w:color="auto" w:fill="auto"/>
          </w:tcPr>
          <w:p w14:paraId="7DFD9EF2"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 xml:space="preserve">Cough </w:t>
            </w:r>
            <w:r w:rsidRPr="006235F7">
              <w:rPr>
                <w:rFonts w:asciiTheme="majorHAnsi" w:hAnsiTheme="majorHAnsi" w:cs="Times New Roman"/>
                <w:sz w:val="22"/>
                <w:vertAlign w:val="superscript"/>
              </w:rPr>
              <w:t>a</w:t>
            </w:r>
          </w:p>
        </w:tc>
        <w:tc>
          <w:tcPr>
            <w:tcW w:w="1522" w:type="dxa"/>
            <w:shd w:val="clear" w:color="auto" w:fill="auto"/>
            <w:vAlign w:val="center"/>
          </w:tcPr>
          <w:p w14:paraId="05C79538"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54B42DBB"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(10.0)</w:t>
            </w:r>
          </w:p>
        </w:tc>
        <w:tc>
          <w:tcPr>
            <w:tcW w:w="1523" w:type="dxa"/>
            <w:vAlign w:val="center"/>
          </w:tcPr>
          <w:p w14:paraId="1F4B351A"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2340FBF1"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2 (2.6)</w:t>
            </w:r>
          </w:p>
        </w:tc>
      </w:tr>
      <w:tr w:rsidR="00080745" w:rsidRPr="006235F7" w14:paraId="378C1944" w14:textId="77777777" w:rsidTr="00080745">
        <w:trPr>
          <w:cantSplit/>
          <w:trHeight w:val="288"/>
          <w:tblHeader/>
        </w:trPr>
        <w:tc>
          <w:tcPr>
            <w:tcW w:w="9099" w:type="dxa"/>
            <w:gridSpan w:val="5"/>
            <w:shd w:val="clear" w:color="auto" w:fill="auto"/>
            <w:vAlign w:val="center"/>
          </w:tcPr>
          <w:p w14:paraId="2896AD89" w14:textId="77777777" w:rsidR="00080745" w:rsidRPr="006235F7" w:rsidRDefault="00080745" w:rsidP="00080745">
            <w:pPr>
              <w:keepNext/>
              <w:rPr>
                <w:rFonts w:asciiTheme="majorHAnsi" w:hAnsiTheme="majorHAnsi" w:cs="Times New Roman"/>
                <w:b/>
                <w:bCs/>
                <w:sz w:val="22"/>
                <w:lang w:val="en-US"/>
              </w:rPr>
            </w:pPr>
            <w:r w:rsidRPr="006235F7">
              <w:rPr>
                <w:rFonts w:asciiTheme="majorHAnsi" w:hAnsiTheme="majorHAnsi" w:cs="Times New Roman"/>
                <w:b/>
                <w:color w:val="000000"/>
                <w:sz w:val="22"/>
              </w:rPr>
              <w:t>Vascular Disorders</w:t>
            </w:r>
          </w:p>
        </w:tc>
      </w:tr>
      <w:tr w:rsidR="00080745" w:rsidRPr="006235F7" w14:paraId="581D7CBF" w14:textId="77777777" w:rsidTr="00080745">
        <w:trPr>
          <w:cantSplit/>
          <w:trHeight w:val="288"/>
          <w:tblHeader/>
        </w:trPr>
        <w:tc>
          <w:tcPr>
            <w:tcW w:w="3008" w:type="dxa"/>
            <w:shd w:val="clear" w:color="auto" w:fill="auto"/>
          </w:tcPr>
          <w:p w14:paraId="14B21DE6" w14:textId="77777777" w:rsidR="00080745" w:rsidRPr="006235F7" w:rsidRDefault="00080745" w:rsidP="00080745">
            <w:pPr>
              <w:keepNext/>
              <w:rPr>
                <w:rFonts w:asciiTheme="majorHAnsi" w:hAnsiTheme="majorHAnsi" w:cs="Times New Roman"/>
                <w:sz w:val="22"/>
                <w:lang w:val="en-US"/>
              </w:rPr>
            </w:pPr>
            <w:r w:rsidRPr="006235F7">
              <w:rPr>
                <w:rFonts w:asciiTheme="majorHAnsi" w:hAnsiTheme="majorHAnsi" w:cs="Times New Roman"/>
                <w:sz w:val="22"/>
              </w:rPr>
              <w:t xml:space="preserve">Hypertension </w:t>
            </w:r>
            <w:r w:rsidRPr="006235F7">
              <w:rPr>
                <w:rFonts w:asciiTheme="majorHAnsi" w:hAnsiTheme="majorHAnsi" w:cs="Times New Roman"/>
                <w:sz w:val="22"/>
                <w:vertAlign w:val="superscript"/>
              </w:rPr>
              <w:t>b</w:t>
            </w:r>
          </w:p>
        </w:tc>
        <w:tc>
          <w:tcPr>
            <w:tcW w:w="1522" w:type="dxa"/>
            <w:shd w:val="clear" w:color="auto" w:fill="auto"/>
            <w:vAlign w:val="center"/>
          </w:tcPr>
          <w:p w14:paraId="1031AC04"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3 (17.6)</w:t>
            </w:r>
          </w:p>
        </w:tc>
        <w:tc>
          <w:tcPr>
            <w:tcW w:w="1523" w:type="dxa"/>
            <w:shd w:val="clear" w:color="auto" w:fill="auto"/>
            <w:vAlign w:val="center"/>
          </w:tcPr>
          <w:p w14:paraId="5CA0D66A"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vAlign w:val="center"/>
          </w:tcPr>
          <w:p w14:paraId="214E8CDB"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0 (0.0)</w:t>
            </w:r>
          </w:p>
        </w:tc>
        <w:tc>
          <w:tcPr>
            <w:tcW w:w="1523" w:type="dxa"/>
            <w:shd w:val="clear" w:color="auto" w:fill="auto"/>
            <w:vAlign w:val="center"/>
          </w:tcPr>
          <w:p w14:paraId="5D7E7A0F" w14:textId="77777777" w:rsidR="00080745" w:rsidRPr="006235F7" w:rsidRDefault="00080745" w:rsidP="00080745">
            <w:pPr>
              <w:keepNext/>
              <w:jc w:val="center"/>
              <w:rPr>
                <w:rFonts w:asciiTheme="majorHAnsi" w:hAnsiTheme="majorHAnsi" w:cs="Times New Roman"/>
                <w:b/>
                <w:bCs/>
                <w:sz w:val="22"/>
                <w:lang w:val="en-US"/>
              </w:rPr>
            </w:pPr>
            <w:r w:rsidRPr="006235F7">
              <w:rPr>
                <w:rFonts w:asciiTheme="majorHAnsi" w:hAnsiTheme="majorHAnsi" w:cs="Times New Roman"/>
                <w:color w:val="000000"/>
                <w:sz w:val="22"/>
              </w:rPr>
              <w:t>3 (3.8)</w:t>
            </w:r>
          </w:p>
        </w:tc>
      </w:tr>
    </w:tbl>
    <w:p w14:paraId="7E47896B" w14:textId="77777777" w:rsidR="00080745" w:rsidRPr="003C13FF" w:rsidRDefault="00080745" w:rsidP="00080745">
      <w:pPr>
        <w:rPr>
          <w:rFonts w:asciiTheme="majorHAnsi" w:hAnsiTheme="majorHAnsi" w:cs="Times New Roman"/>
          <w:sz w:val="20"/>
          <w:szCs w:val="24"/>
          <w:lang w:val="en-US"/>
        </w:rPr>
      </w:pPr>
      <w:r w:rsidRPr="003C13FF">
        <w:rPr>
          <w:rFonts w:asciiTheme="majorHAnsi" w:hAnsiTheme="majorHAnsi" w:cs="Times New Roman"/>
          <w:sz w:val="20"/>
          <w:szCs w:val="24"/>
          <w:vertAlign w:val="superscript"/>
          <w:lang w:val="en-US"/>
        </w:rPr>
        <w:t>a.</w:t>
      </w:r>
      <w:r w:rsidRPr="003C13FF">
        <w:rPr>
          <w:rFonts w:asciiTheme="majorHAnsi" w:hAnsiTheme="majorHAnsi" w:cs="Times New Roman"/>
          <w:sz w:val="20"/>
          <w:szCs w:val="24"/>
          <w:lang w:val="en-US"/>
        </w:rPr>
        <w:t xml:space="preserve"> includes preferred terms Cough and Productive Cough</w:t>
      </w:r>
    </w:p>
    <w:p w14:paraId="196FCC81" w14:textId="77777777" w:rsidR="00080745" w:rsidRPr="003C13FF" w:rsidRDefault="00080745" w:rsidP="00080745">
      <w:pPr>
        <w:rPr>
          <w:rFonts w:asciiTheme="majorHAnsi" w:hAnsiTheme="majorHAnsi" w:cs="Times New Roman"/>
          <w:sz w:val="20"/>
          <w:szCs w:val="24"/>
          <w:lang w:val="en-US"/>
        </w:rPr>
      </w:pPr>
      <w:r w:rsidRPr="003C13FF">
        <w:rPr>
          <w:rFonts w:asciiTheme="majorHAnsi" w:hAnsiTheme="majorHAnsi" w:cs="Times New Roman"/>
          <w:sz w:val="20"/>
          <w:szCs w:val="24"/>
          <w:vertAlign w:val="superscript"/>
          <w:lang w:val="en-US"/>
        </w:rPr>
        <w:t>b.</w:t>
      </w:r>
      <w:r w:rsidRPr="003C13FF">
        <w:rPr>
          <w:rFonts w:asciiTheme="majorHAnsi" w:hAnsiTheme="majorHAnsi" w:cs="Times New Roman"/>
          <w:sz w:val="20"/>
          <w:szCs w:val="24"/>
          <w:lang w:val="en-US"/>
        </w:rPr>
        <w:t xml:space="preserve"> includes preferred terms Hypertension and Accelerated Hypertension.</w:t>
      </w:r>
    </w:p>
    <w:p w14:paraId="71052370" w14:textId="77777777" w:rsidR="00080745" w:rsidRPr="0039396F" w:rsidRDefault="00080745" w:rsidP="00080745">
      <w:pPr>
        <w:rPr>
          <w:rFonts w:asciiTheme="majorHAnsi" w:hAnsiTheme="majorHAnsi" w:cs="Times New Roman"/>
          <w:szCs w:val="24"/>
          <w:lang w:val="en-US"/>
        </w:rPr>
      </w:pPr>
    </w:p>
    <w:p w14:paraId="6D2D70D4" w14:textId="77777777" w:rsidR="00080745" w:rsidRPr="0039396F" w:rsidRDefault="00080745" w:rsidP="00080745">
      <w:pPr>
        <w:rPr>
          <w:rFonts w:asciiTheme="majorHAnsi" w:hAnsiTheme="majorHAnsi" w:cs="Times New Roman"/>
          <w:szCs w:val="24"/>
          <w:lang w:val="en-US"/>
        </w:rPr>
      </w:pPr>
      <w:r w:rsidRPr="0039396F">
        <w:rPr>
          <w:rFonts w:asciiTheme="majorHAnsi" w:hAnsiTheme="majorHAnsi" w:cs="Times New Roman"/>
          <w:szCs w:val="24"/>
          <w:lang w:val="en-US"/>
        </w:rPr>
        <w:lastRenderedPageBreak/>
        <w:t xml:space="preserve">In Studies </w:t>
      </w:r>
      <w:r w:rsidRPr="0039396F">
        <w:rPr>
          <w:rFonts w:asciiTheme="majorHAnsi" w:hAnsiTheme="majorHAnsi" w:cs="Times New Roman"/>
          <w:i/>
          <w:szCs w:val="24"/>
          <w:lang w:val="en-US"/>
        </w:rPr>
        <w:t>C08-002A/B, C08-003A/B and C10-004</w:t>
      </w:r>
      <w:r w:rsidRPr="0039396F">
        <w:rPr>
          <w:rFonts w:asciiTheme="majorHAnsi" w:hAnsiTheme="majorHAnsi" w:cs="Times New Roman"/>
          <w:szCs w:val="24"/>
          <w:lang w:val="en-US"/>
        </w:rPr>
        <w:t xml:space="preserve"> combined, 60% (47/78) of patients experienced a serious adverse event (SAE</w:t>
      </w:r>
      <w:r w:rsidR="003605FD">
        <w:rPr>
          <w:rFonts w:asciiTheme="majorHAnsi" w:hAnsiTheme="majorHAnsi" w:cs="Times New Roman"/>
          <w:szCs w:val="24"/>
          <w:lang w:val="en-US"/>
        </w:rPr>
        <w:t>)</w:t>
      </w:r>
      <w:r w:rsidR="0038001F">
        <w:rPr>
          <w:rFonts w:asciiTheme="majorHAnsi" w:hAnsiTheme="majorHAnsi" w:cs="Times New Roman"/>
          <w:szCs w:val="24"/>
          <w:lang w:val="en-US"/>
        </w:rPr>
        <w:t>.</w:t>
      </w:r>
    </w:p>
    <w:p w14:paraId="034E59A6" w14:textId="77777777" w:rsidR="00080745" w:rsidRPr="0039396F" w:rsidRDefault="00080745" w:rsidP="00080745">
      <w:pPr>
        <w:rPr>
          <w:rFonts w:asciiTheme="majorHAnsi" w:hAnsiTheme="majorHAnsi" w:cs="Times New Roman"/>
          <w:szCs w:val="24"/>
          <w:lang w:val="en-US"/>
        </w:rPr>
      </w:pPr>
    </w:p>
    <w:p w14:paraId="6FD1E6AE" w14:textId="77777777" w:rsidR="00080745" w:rsidRPr="0039396F" w:rsidRDefault="00080745" w:rsidP="00080745">
      <w:pPr>
        <w:pStyle w:val="C-BodyText"/>
        <w:spacing w:before="0" w:after="0" w:line="240" w:lineRule="auto"/>
        <w:rPr>
          <w:rFonts w:asciiTheme="majorHAnsi" w:hAnsiTheme="majorHAnsi"/>
          <w:szCs w:val="24"/>
        </w:rPr>
      </w:pPr>
      <w:r w:rsidRPr="0039396F">
        <w:rPr>
          <w:rFonts w:asciiTheme="majorHAnsi" w:hAnsiTheme="majorHAnsi"/>
          <w:szCs w:val="24"/>
        </w:rPr>
        <w:t xml:space="preserve">The following ADRs occurred in &gt;1% to &lt;10% of adult and adolescent patients enrolled in Studies </w:t>
      </w:r>
      <w:r w:rsidRPr="0039396F">
        <w:rPr>
          <w:rFonts w:asciiTheme="majorHAnsi" w:hAnsiTheme="majorHAnsi"/>
          <w:i/>
          <w:szCs w:val="24"/>
        </w:rPr>
        <w:t>C08-002A/B, C08-003A/B and C10-004</w:t>
      </w:r>
      <w:r w:rsidRPr="0039396F">
        <w:rPr>
          <w:rFonts w:asciiTheme="majorHAnsi" w:hAnsiTheme="majorHAnsi"/>
          <w:szCs w:val="24"/>
        </w:rPr>
        <w:t xml:space="preserve">. </w:t>
      </w:r>
    </w:p>
    <w:p w14:paraId="628B95F3" w14:textId="15B880CE" w:rsidR="00080745" w:rsidRPr="00875260" w:rsidRDefault="00FB566F" w:rsidP="00AE2D6F">
      <w:pPr>
        <w:pStyle w:val="Caption"/>
        <w:spacing w:after="120"/>
        <w:jc w:val="left"/>
        <w:rPr>
          <w:rFonts w:asciiTheme="majorHAnsi" w:hAnsiTheme="majorHAnsi"/>
          <w:szCs w:val="24"/>
        </w:rPr>
      </w:pPr>
      <w:r>
        <w:t xml:space="preserve">Table </w:t>
      </w:r>
      <w:r w:rsidR="00345186">
        <w:fldChar w:fldCharType="begin"/>
      </w:r>
      <w:r w:rsidR="00345186">
        <w:instrText xml:space="preserve"> SEQ Table \* ARABIC </w:instrText>
      </w:r>
      <w:r w:rsidR="00345186">
        <w:fldChar w:fldCharType="separate"/>
      </w:r>
      <w:r w:rsidR="00345186">
        <w:rPr>
          <w:noProof/>
        </w:rPr>
        <w:t>3</w:t>
      </w:r>
      <w:r w:rsidR="00345186">
        <w:fldChar w:fldCharType="end"/>
      </w:r>
      <w:r>
        <w:t xml:space="preserve">: </w:t>
      </w:r>
      <w:r w:rsidR="00080745" w:rsidRPr="00875260">
        <w:rPr>
          <w:rFonts w:asciiTheme="majorHAnsi" w:hAnsiTheme="majorHAnsi"/>
          <w:szCs w:val="24"/>
        </w:rPr>
        <w:t xml:space="preserve">Per Patient Incidence of Adverse Drug Reactions in &gt;1% and &lt;10% Adult and Adolescent Patients Enrolled in aHUS studies </w:t>
      </w:r>
      <w:r w:rsidR="00080745" w:rsidRPr="00443A5D">
        <w:rPr>
          <w:rFonts w:asciiTheme="majorHAnsi" w:hAnsiTheme="majorHAnsi"/>
          <w:i/>
          <w:szCs w:val="24"/>
        </w:rPr>
        <w:t>C08-002A/B, C08-003A/B</w:t>
      </w:r>
      <w:r w:rsidR="00080745" w:rsidRPr="00875260">
        <w:rPr>
          <w:rFonts w:asciiTheme="majorHAnsi" w:hAnsiTheme="majorHAnsi"/>
          <w:szCs w:val="24"/>
        </w:rPr>
        <w:t xml:space="preserve"> and </w:t>
      </w:r>
      <w:r w:rsidR="00080745" w:rsidRPr="00443A5D">
        <w:rPr>
          <w:rFonts w:asciiTheme="majorHAnsi" w:hAnsiTheme="majorHAnsi"/>
          <w:i/>
          <w:szCs w:val="24"/>
        </w:rPr>
        <w:t>C10-004</w:t>
      </w:r>
      <w:r w:rsidR="00080745" w:rsidRPr="00875260">
        <w:rPr>
          <w:rFonts w:asciiTheme="majorHAnsi" w:hAnsiTheme="majorHAnsi"/>
          <w:szCs w:val="24"/>
        </w:rPr>
        <w:t>, Separately and in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1507"/>
        <w:gridCol w:w="1539"/>
        <w:gridCol w:w="1468"/>
        <w:gridCol w:w="1580"/>
      </w:tblGrid>
      <w:tr w:rsidR="00080745" w:rsidRPr="006235F7" w14:paraId="1634833C" w14:textId="77777777" w:rsidTr="00080745">
        <w:trPr>
          <w:cantSplit/>
          <w:trHeight w:val="288"/>
          <w:tblHeader/>
        </w:trPr>
        <w:tc>
          <w:tcPr>
            <w:tcW w:w="2974" w:type="dxa"/>
            <w:vMerge w:val="restart"/>
            <w:shd w:val="clear" w:color="auto" w:fill="auto"/>
            <w:vAlign w:val="center"/>
          </w:tcPr>
          <w:p w14:paraId="20047C0C" w14:textId="77777777" w:rsidR="00080745" w:rsidRPr="006235F7" w:rsidRDefault="00080745" w:rsidP="00080745">
            <w:pPr>
              <w:pStyle w:val="C-BodyText"/>
              <w:spacing w:before="0" w:after="0" w:line="240" w:lineRule="auto"/>
              <w:rPr>
                <w:rFonts w:asciiTheme="majorHAnsi" w:hAnsiTheme="majorHAnsi"/>
                <w:b/>
                <w:sz w:val="22"/>
                <w:szCs w:val="24"/>
              </w:rPr>
            </w:pPr>
            <w:r w:rsidRPr="006235F7">
              <w:rPr>
                <w:rFonts w:asciiTheme="majorHAnsi" w:hAnsiTheme="majorHAnsi"/>
                <w:b/>
                <w:sz w:val="22"/>
                <w:szCs w:val="24"/>
              </w:rPr>
              <w:t>MedDRA SOC</w:t>
            </w:r>
          </w:p>
        </w:tc>
        <w:tc>
          <w:tcPr>
            <w:tcW w:w="1541" w:type="dxa"/>
          </w:tcPr>
          <w:p w14:paraId="671799FF" w14:textId="77777777" w:rsidR="00080745" w:rsidRPr="006235F7" w:rsidRDefault="00080745" w:rsidP="00080745">
            <w:pPr>
              <w:pStyle w:val="C-BodyText"/>
              <w:spacing w:before="0" w:after="0" w:line="240" w:lineRule="auto"/>
              <w:jc w:val="center"/>
              <w:rPr>
                <w:rFonts w:asciiTheme="majorHAnsi" w:hAnsiTheme="majorHAnsi"/>
                <w:b/>
                <w:bCs/>
                <w:sz w:val="22"/>
                <w:szCs w:val="24"/>
              </w:rPr>
            </w:pPr>
          </w:p>
        </w:tc>
        <w:tc>
          <w:tcPr>
            <w:tcW w:w="4693" w:type="dxa"/>
            <w:gridSpan w:val="3"/>
            <w:shd w:val="clear" w:color="auto" w:fill="auto"/>
          </w:tcPr>
          <w:p w14:paraId="0F7BA9FA" w14:textId="77777777" w:rsidR="00080745" w:rsidRPr="006235F7" w:rsidRDefault="00080745" w:rsidP="00080745">
            <w:pPr>
              <w:pStyle w:val="C-BodyText"/>
              <w:spacing w:before="0" w:after="0" w:line="240" w:lineRule="auto"/>
              <w:jc w:val="center"/>
              <w:rPr>
                <w:rFonts w:asciiTheme="majorHAnsi" w:hAnsiTheme="majorHAnsi"/>
                <w:sz w:val="22"/>
                <w:szCs w:val="24"/>
              </w:rPr>
            </w:pPr>
            <w:r w:rsidRPr="006235F7">
              <w:rPr>
                <w:rFonts w:asciiTheme="majorHAnsi" w:hAnsiTheme="majorHAnsi"/>
                <w:b/>
                <w:bCs/>
                <w:sz w:val="22"/>
                <w:szCs w:val="24"/>
              </w:rPr>
              <w:t>Number (%) of Patients</w:t>
            </w:r>
          </w:p>
        </w:tc>
      </w:tr>
      <w:tr w:rsidR="00080745" w:rsidRPr="006235F7" w14:paraId="5E2C55AC" w14:textId="77777777" w:rsidTr="00080745">
        <w:trPr>
          <w:cantSplit/>
          <w:trHeight w:val="288"/>
          <w:tblHeader/>
        </w:trPr>
        <w:tc>
          <w:tcPr>
            <w:tcW w:w="2974" w:type="dxa"/>
            <w:vMerge/>
            <w:shd w:val="clear" w:color="auto" w:fill="auto"/>
            <w:vAlign w:val="center"/>
          </w:tcPr>
          <w:p w14:paraId="779B5D1A" w14:textId="77777777" w:rsidR="00080745" w:rsidRPr="006235F7" w:rsidRDefault="00080745" w:rsidP="00080745">
            <w:pPr>
              <w:pStyle w:val="C-BodyText"/>
              <w:spacing w:before="0" w:after="0" w:line="240" w:lineRule="auto"/>
              <w:rPr>
                <w:rFonts w:asciiTheme="majorHAnsi" w:hAnsiTheme="majorHAnsi"/>
                <w:sz w:val="22"/>
                <w:szCs w:val="24"/>
              </w:rPr>
            </w:pPr>
          </w:p>
        </w:tc>
        <w:tc>
          <w:tcPr>
            <w:tcW w:w="1541" w:type="dxa"/>
            <w:shd w:val="clear" w:color="auto" w:fill="auto"/>
          </w:tcPr>
          <w:p w14:paraId="1E4F9327" w14:textId="77777777" w:rsidR="00080745" w:rsidRPr="006235F7" w:rsidRDefault="00080745" w:rsidP="00080745">
            <w:pPr>
              <w:pStyle w:val="C-BodyText"/>
              <w:spacing w:before="0" w:after="0" w:line="240" w:lineRule="auto"/>
              <w:jc w:val="center"/>
              <w:rPr>
                <w:rFonts w:asciiTheme="majorHAnsi" w:hAnsiTheme="majorHAnsi"/>
                <w:sz w:val="22"/>
                <w:szCs w:val="24"/>
              </w:rPr>
            </w:pPr>
            <w:r w:rsidRPr="006235F7">
              <w:rPr>
                <w:rFonts w:asciiTheme="majorHAnsi" w:hAnsiTheme="majorHAnsi"/>
                <w:b/>
                <w:bCs/>
                <w:sz w:val="22"/>
                <w:szCs w:val="24"/>
              </w:rPr>
              <w:t>C08-002 (n=17)</w:t>
            </w:r>
          </w:p>
        </w:tc>
        <w:tc>
          <w:tcPr>
            <w:tcW w:w="1575" w:type="dxa"/>
            <w:shd w:val="clear" w:color="auto" w:fill="auto"/>
          </w:tcPr>
          <w:p w14:paraId="6DCCF770" w14:textId="77777777" w:rsidR="00080745" w:rsidRPr="006235F7" w:rsidRDefault="00080745" w:rsidP="00080745">
            <w:pPr>
              <w:pStyle w:val="C-BodyText"/>
              <w:spacing w:before="0" w:after="0" w:line="240" w:lineRule="auto"/>
              <w:jc w:val="center"/>
              <w:rPr>
                <w:rFonts w:asciiTheme="majorHAnsi" w:hAnsiTheme="majorHAnsi"/>
                <w:sz w:val="22"/>
                <w:szCs w:val="24"/>
              </w:rPr>
            </w:pPr>
            <w:r w:rsidRPr="006235F7">
              <w:rPr>
                <w:rFonts w:asciiTheme="majorHAnsi" w:hAnsiTheme="majorHAnsi"/>
                <w:b/>
                <w:bCs/>
                <w:sz w:val="22"/>
                <w:szCs w:val="24"/>
              </w:rPr>
              <w:t>C08-003 (n=20)</w:t>
            </w:r>
          </w:p>
        </w:tc>
        <w:tc>
          <w:tcPr>
            <w:tcW w:w="1500" w:type="dxa"/>
          </w:tcPr>
          <w:p w14:paraId="6B3D6D56" w14:textId="77777777" w:rsidR="00080745" w:rsidRPr="006235F7" w:rsidRDefault="00080745" w:rsidP="00080745">
            <w:pPr>
              <w:keepNext/>
              <w:jc w:val="center"/>
              <w:rPr>
                <w:rFonts w:asciiTheme="majorHAnsi" w:hAnsiTheme="majorHAnsi" w:cs="Times New Roman"/>
                <w:b/>
                <w:bCs/>
                <w:sz w:val="22"/>
                <w:szCs w:val="24"/>
              </w:rPr>
            </w:pPr>
            <w:r w:rsidRPr="006235F7">
              <w:rPr>
                <w:rFonts w:asciiTheme="majorHAnsi" w:hAnsiTheme="majorHAnsi" w:cs="Times New Roman"/>
                <w:b/>
                <w:bCs/>
                <w:sz w:val="22"/>
                <w:szCs w:val="24"/>
                <w:lang w:val="en-US"/>
              </w:rPr>
              <w:t>C10-004 (n=41)</w:t>
            </w:r>
          </w:p>
        </w:tc>
        <w:tc>
          <w:tcPr>
            <w:tcW w:w="1618" w:type="dxa"/>
            <w:shd w:val="clear" w:color="auto" w:fill="auto"/>
          </w:tcPr>
          <w:p w14:paraId="2E985A94" w14:textId="77777777" w:rsidR="00080745" w:rsidRPr="006235F7" w:rsidRDefault="00080745" w:rsidP="00080745">
            <w:pPr>
              <w:keepNext/>
              <w:jc w:val="center"/>
              <w:rPr>
                <w:rFonts w:asciiTheme="majorHAnsi" w:hAnsiTheme="majorHAnsi" w:cs="Times New Roman"/>
                <w:b/>
                <w:bCs/>
                <w:sz w:val="22"/>
                <w:szCs w:val="24"/>
                <w:lang w:val="en-US"/>
              </w:rPr>
            </w:pPr>
            <w:r w:rsidRPr="006235F7">
              <w:rPr>
                <w:rFonts w:asciiTheme="majorHAnsi" w:hAnsiTheme="majorHAnsi" w:cs="Times New Roman"/>
                <w:b/>
                <w:bCs/>
                <w:sz w:val="22"/>
                <w:szCs w:val="24"/>
                <w:lang w:val="en-US"/>
              </w:rPr>
              <w:t xml:space="preserve">Total  </w:t>
            </w:r>
          </w:p>
          <w:p w14:paraId="25D7AD9E" w14:textId="77777777" w:rsidR="00080745" w:rsidRPr="006235F7" w:rsidRDefault="00080745" w:rsidP="00080745">
            <w:pPr>
              <w:keepNext/>
              <w:jc w:val="center"/>
              <w:rPr>
                <w:rFonts w:asciiTheme="majorHAnsi" w:hAnsiTheme="majorHAnsi" w:cs="Times New Roman"/>
                <w:sz w:val="22"/>
                <w:szCs w:val="24"/>
              </w:rPr>
            </w:pPr>
            <w:r w:rsidRPr="006235F7">
              <w:rPr>
                <w:rFonts w:asciiTheme="majorHAnsi" w:hAnsiTheme="majorHAnsi" w:cs="Times New Roman"/>
                <w:b/>
                <w:bCs/>
                <w:sz w:val="22"/>
                <w:szCs w:val="24"/>
                <w:lang w:val="en-US"/>
              </w:rPr>
              <w:t>(n=78)</w:t>
            </w:r>
          </w:p>
        </w:tc>
      </w:tr>
      <w:tr w:rsidR="00080745" w:rsidRPr="006235F7" w14:paraId="4B73D32F" w14:textId="77777777" w:rsidTr="00080745">
        <w:trPr>
          <w:cantSplit/>
        </w:trPr>
        <w:tc>
          <w:tcPr>
            <w:tcW w:w="9208" w:type="dxa"/>
            <w:gridSpan w:val="5"/>
            <w:shd w:val="clear" w:color="auto" w:fill="auto"/>
            <w:vAlign w:val="center"/>
          </w:tcPr>
          <w:p w14:paraId="65DF8811"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Blood and Lymphatic System Disorders</w:t>
            </w:r>
          </w:p>
        </w:tc>
      </w:tr>
      <w:tr w:rsidR="00080745" w:rsidRPr="006235F7" w14:paraId="0631314C" w14:textId="77777777" w:rsidTr="00080745">
        <w:trPr>
          <w:cantSplit/>
        </w:trPr>
        <w:tc>
          <w:tcPr>
            <w:tcW w:w="2974" w:type="dxa"/>
            <w:shd w:val="clear" w:color="auto" w:fill="auto"/>
            <w:vAlign w:val="center"/>
          </w:tcPr>
          <w:p w14:paraId="35799834"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Abnormal clotting factor</w:t>
            </w:r>
          </w:p>
        </w:tc>
        <w:tc>
          <w:tcPr>
            <w:tcW w:w="1541" w:type="dxa"/>
            <w:shd w:val="clear" w:color="auto" w:fill="auto"/>
            <w:vAlign w:val="center"/>
          </w:tcPr>
          <w:p w14:paraId="14D0CC7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2940FFA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3D9D286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5124A74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954E248" w14:textId="77777777" w:rsidTr="00080745">
        <w:trPr>
          <w:cantSplit/>
        </w:trPr>
        <w:tc>
          <w:tcPr>
            <w:tcW w:w="2974" w:type="dxa"/>
            <w:shd w:val="clear" w:color="auto" w:fill="auto"/>
            <w:vAlign w:val="center"/>
          </w:tcPr>
          <w:p w14:paraId="283CEB6E" w14:textId="77777777" w:rsidR="00080745" w:rsidRPr="006235F7" w:rsidRDefault="00080745" w:rsidP="00080745">
            <w:pPr>
              <w:pStyle w:val="C-BodyText"/>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t>Anaemia</w:t>
            </w:r>
            <w:proofErr w:type="spellEnd"/>
          </w:p>
        </w:tc>
        <w:tc>
          <w:tcPr>
            <w:tcW w:w="1541" w:type="dxa"/>
            <w:shd w:val="clear" w:color="auto" w:fill="auto"/>
            <w:vAlign w:val="center"/>
          </w:tcPr>
          <w:p w14:paraId="4420A4F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3366696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7AE793E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2121D0D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6A266DC6" w14:textId="77777777" w:rsidTr="00080745">
        <w:trPr>
          <w:cantSplit/>
        </w:trPr>
        <w:tc>
          <w:tcPr>
            <w:tcW w:w="2974" w:type="dxa"/>
            <w:shd w:val="clear" w:color="auto" w:fill="auto"/>
            <w:vAlign w:val="center"/>
          </w:tcPr>
          <w:p w14:paraId="38799D67"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Neutropenia</w:t>
            </w:r>
          </w:p>
        </w:tc>
        <w:tc>
          <w:tcPr>
            <w:tcW w:w="1541" w:type="dxa"/>
            <w:shd w:val="clear" w:color="auto" w:fill="auto"/>
            <w:vAlign w:val="center"/>
          </w:tcPr>
          <w:p w14:paraId="2C98499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694B0EA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7F7DE16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1B3C0F5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86B9EC6" w14:textId="77777777" w:rsidTr="00080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4E42F5" w14:textId="77777777" w:rsidR="00080745" w:rsidRPr="006235F7" w:rsidRDefault="00080745" w:rsidP="00080745">
            <w:pPr>
              <w:pStyle w:val="C-BodyText"/>
              <w:spacing w:before="0" w:after="0" w:line="240" w:lineRule="auto"/>
              <w:ind w:left="20"/>
              <w:rPr>
                <w:rFonts w:asciiTheme="majorHAnsi" w:hAnsiTheme="majorHAnsi"/>
                <w:bCs/>
                <w:sz w:val="22"/>
                <w:szCs w:val="24"/>
              </w:rPr>
            </w:pPr>
            <w:r w:rsidRPr="006235F7">
              <w:rPr>
                <w:rFonts w:asciiTheme="majorHAnsi" w:hAnsiTheme="majorHAnsi"/>
                <w:b/>
                <w:sz w:val="22"/>
                <w:szCs w:val="24"/>
              </w:rPr>
              <w:t>Cardiac Disorders</w:t>
            </w:r>
          </w:p>
        </w:tc>
      </w:tr>
      <w:tr w:rsidR="00080745" w:rsidRPr="006235F7" w14:paraId="54EAC06D" w14:textId="77777777" w:rsidTr="00080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14:paraId="33B6EFB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Cardiomyopathy</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0C180F6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21307C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Borders>
              <w:top w:val="single" w:sz="4" w:space="0" w:color="auto"/>
              <w:left w:val="single" w:sz="4" w:space="0" w:color="auto"/>
              <w:bottom w:val="single" w:sz="4" w:space="0" w:color="auto"/>
              <w:right w:val="single" w:sz="4" w:space="0" w:color="auto"/>
            </w:tcBorders>
          </w:tcPr>
          <w:p w14:paraId="7F1D5931"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1 (2.4)</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F3A417"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04721C7F" w14:textId="77777777" w:rsidTr="00080745">
        <w:trPr>
          <w:cantSplit/>
        </w:trPr>
        <w:tc>
          <w:tcPr>
            <w:tcW w:w="9208" w:type="dxa"/>
            <w:gridSpan w:val="5"/>
            <w:shd w:val="clear" w:color="auto" w:fill="auto"/>
            <w:vAlign w:val="center"/>
          </w:tcPr>
          <w:p w14:paraId="4CE4E6AB" w14:textId="77777777" w:rsidR="00080745" w:rsidRPr="006235F7" w:rsidRDefault="00080745" w:rsidP="00080745">
            <w:pPr>
              <w:pStyle w:val="C-BodyText"/>
              <w:spacing w:before="0" w:after="0" w:line="240" w:lineRule="auto"/>
              <w:ind w:left="20"/>
              <w:rPr>
                <w:rFonts w:asciiTheme="majorHAnsi" w:hAnsiTheme="majorHAnsi"/>
                <w:bCs/>
                <w:sz w:val="22"/>
                <w:szCs w:val="24"/>
              </w:rPr>
            </w:pPr>
            <w:r w:rsidRPr="006235F7">
              <w:rPr>
                <w:rFonts w:asciiTheme="majorHAnsi" w:hAnsiTheme="majorHAnsi"/>
                <w:b/>
                <w:sz w:val="22"/>
                <w:szCs w:val="24"/>
              </w:rPr>
              <w:t>Ear and Labyrinth Disorders</w:t>
            </w:r>
          </w:p>
        </w:tc>
      </w:tr>
      <w:tr w:rsidR="00080745" w:rsidRPr="006235F7" w14:paraId="28715998" w14:textId="77777777" w:rsidTr="00080745">
        <w:trPr>
          <w:cantSplit/>
        </w:trPr>
        <w:tc>
          <w:tcPr>
            <w:tcW w:w="2974" w:type="dxa"/>
            <w:shd w:val="clear" w:color="auto" w:fill="auto"/>
            <w:vAlign w:val="center"/>
          </w:tcPr>
          <w:p w14:paraId="28BBD69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Deafness bilateral</w:t>
            </w:r>
          </w:p>
        </w:tc>
        <w:tc>
          <w:tcPr>
            <w:tcW w:w="1541" w:type="dxa"/>
            <w:shd w:val="clear" w:color="auto" w:fill="auto"/>
            <w:vAlign w:val="center"/>
          </w:tcPr>
          <w:p w14:paraId="4924C110" w14:textId="77777777" w:rsidR="00080745" w:rsidRPr="006235F7" w:rsidRDefault="00080745" w:rsidP="00080745">
            <w:pPr>
              <w:pStyle w:val="C-BodyText"/>
              <w:spacing w:before="0" w:after="0" w:line="240" w:lineRule="auto"/>
              <w:ind w:left="252"/>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220F6AF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44874BA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56D981D"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70C492C" w14:textId="77777777" w:rsidTr="00080745">
        <w:trPr>
          <w:cantSplit/>
        </w:trPr>
        <w:tc>
          <w:tcPr>
            <w:tcW w:w="2974" w:type="dxa"/>
            <w:shd w:val="clear" w:color="auto" w:fill="auto"/>
            <w:vAlign w:val="center"/>
          </w:tcPr>
          <w:p w14:paraId="1F86D385"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Vertigo</w:t>
            </w:r>
          </w:p>
        </w:tc>
        <w:tc>
          <w:tcPr>
            <w:tcW w:w="1541" w:type="dxa"/>
            <w:shd w:val="clear" w:color="auto" w:fill="auto"/>
            <w:vAlign w:val="center"/>
          </w:tcPr>
          <w:p w14:paraId="126D4ABE" w14:textId="77777777" w:rsidR="00080745" w:rsidRPr="006235F7" w:rsidRDefault="00080745" w:rsidP="00080745">
            <w:pPr>
              <w:pStyle w:val="C-BodyText"/>
              <w:spacing w:before="0" w:after="0" w:line="240" w:lineRule="auto"/>
              <w:ind w:left="252"/>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5D9220F" w14:textId="77777777" w:rsidR="00080745" w:rsidRPr="006235F7" w:rsidRDefault="00080745" w:rsidP="00080745">
            <w:pPr>
              <w:pStyle w:val="C-BodyText"/>
              <w:spacing w:before="0" w:after="0" w:line="240" w:lineRule="auto"/>
              <w:ind w:left="252"/>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75FC546A"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6C3F64D6"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5C64BBD" w14:textId="77777777" w:rsidTr="00080745">
        <w:trPr>
          <w:cantSplit/>
        </w:trPr>
        <w:tc>
          <w:tcPr>
            <w:tcW w:w="9208" w:type="dxa"/>
            <w:gridSpan w:val="5"/>
            <w:shd w:val="clear" w:color="auto" w:fill="auto"/>
            <w:vAlign w:val="center"/>
          </w:tcPr>
          <w:p w14:paraId="0D5FF853" w14:textId="77777777" w:rsidR="00080745" w:rsidRPr="006235F7" w:rsidRDefault="00080745" w:rsidP="00080745">
            <w:pPr>
              <w:pStyle w:val="C-BodyText"/>
              <w:spacing w:before="0" w:after="0" w:line="240" w:lineRule="auto"/>
              <w:ind w:left="20"/>
              <w:rPr>
                <w:rFonts w:asciiTheme="majorHAnsi" w:hAnsiTheme="majorHAnsi"/>
                <w:bCs/>
                <w:sz w:val="22"/>
                <w:szCs w:val="24"/>
              </w:rPr>
            </w:pPr>
            <w:r w:rsidRPr="006235F7">
              <w:rPr>
                <w:rFonts w:asciiTheme="majorHAnsi" w:hAnsiTheme="majorHAnsi"/>
                <w:b/>
                <w:sz w:val="22"/>
                <w:szCs w:val="24"/>
              </w:rPr>
              <w:t>Eye Disorders</w:t>
            </w:r>
          </w:p>
        </w:tc>
      </w:tr>
      <w:tr w:rsidR="00080745" w:rsidRPr="006235F7" w14:paraId="21B40C2E" w14:textId="77777777" w:rsidTr="00080745">
        <w:trPr>
          <w:cantSplit/>
        </w:trPr>
        <w:tc>
          <w:tcPr>
            <w:tcW w:w="2974" w:type="dxa"/>
            <w:shd w:val="clear" w:color="auto" w:fill="auto"/>
            <w:vAlign w:val="center"/>
          </w:tcPr>
          <w:p w14:paraId="1354655C"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Lacrimation increased</w:t>
            </w:r>
          </w:p>
        </w:tc>
        <w:tc>
          <w:tcPr>
            <w:tcW w:w="1541" w:type="dxa"/>
            <w:shd w:val="clear" w:color="auto" w:fill="auto"/>
            <w:vAlign w:val="center"/>
          </w:tcPr>
          <w:p w14:paraId="27C129C7" w14:textId="77777777" w:rsidR="00080745" w:rsidRPr="006235F7" w:rsidRDefault="00080745" w:rsidP="00080745">
            <w:pPr>
              <w:pStyle w:val="C-BodyText"/>
              <w:spacing w:before="0" w:after="0" w:line="240" w:lineRule="auto"/>
              <w:ind w:left="252"/>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386C895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6DDA47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6FFB95F0"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2041B36" w14:textId="77777777" w:rsidTr="00080745">
        <w:trPr>
          <w:cantSplit/>
        </w:trPr>
        <w:tc>
          <w:tcPr>
            <w:tcW w:w="9208" w:type="dxa"/>
            <w:gridSpan w:val="5"/>
            <w:shd w:val="clear" w:color="auto" w:fill="auto"/>
            <w:vAlign w:val="center"/>
          </w:tcPr>
          <w:p w14:paraId="1343FB15"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Gastrointestinal Disorders</w:t>
            </w:r>
          </w:p>
        </w:tc>
      </w:tr>
      <w:tr w:rsidR="00080745" w:rsidRPr="006235F7" w14:paraId="2AA81171" w14:textId="77777777" w:rsidTr="00080745">
        <w:trPr>
          <w:cantSplit/>
        </w:trPr>
        <w:tc>
          <w:tcPr>
            <w:tcW w:w="2974" w:type="dxa"/>
            <w:shd w:val="clear" w:color="auto" w:fill="auto"/>
            <w:vAlign w:val="center"/>
          </w:tcPr>
          <w:p w14:paraId="6294C480" w14:textId="77777777" w:rsidR="00080745" w:rsidRPr="006235F7" w:rsidRDefault="00080745" w:rsidP="00080745">
            <w:pPr>
              <w:pStyle w:val="C-BodyText"/>
              <w:tabs>
                <w:tab w:val="left" w:pos="1090"/>
              </w:tabs>
              <w:spacing w:before="0" w:after="0" w:line="240" w:lineRule="auto"/>
              <w:ind w:left="240"/>
              <w:rPr>
                <w:rFonts w:asciiTheme="majorHAnsi" w:hAnsiTheme="majorHAnsi"/>
                <w:sz w:val="22"/>
                <w:szCs w:val="24"/>
              </w:rPr>
            </w:pPr>
            <w:r w:rsidRPr="006235F7">
              <w:rPr>
                <w:rFonts w:asciiTheme="majorHAnsi" w:hAnsiTheme="majorHAnsi"/>
                <w:sz w:val="22"/>
                <w:szCs w:val="24"/>
              </w:rPr>
              <w:t>Abdominal pain</w:t>
            </w:r>
          </w:p>
        </w:tc>
        <w:tc>
          <w:tcPr>
            <w:tcW w:w="1541" w:type="dxa"/>
            <w:shd w:val="clear" w:color="auto" w:fill="auto"/>
            <w:vAlign w:val="center"/>
          </w:tcPr>
          <w:p w14:paraId="0043533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31DB5FD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47F850D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1C41FD88"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4F145BA1" w14:textId="77777777" w:rsidTr="00080745">
        <w:trPr>
          <w:cantSplit/>
        </w:trPr>
        <w:tc>
          <w:tcPr>
            <w:tcW w:w="2974" w:type="dxa"/>
            <w:shd w:val="clear" w:color="auto" w:fill="auto"/>
            <w:vAlign w:val="center"/>
          </w:tcPr>
          <w:p w14:paraId="0CB1D706" w14:textId="77777777" w:rsidR="00080745" w:rsidRPr="006235F7" w:rsidRDefault="00080745" w:rsidP="00080745">
            <w:pPr>
              <w:pStyle w:val="C-BodyText"/>
              <w:tabs>
                <w:tab w:val="left" w:pos="1090"/>
              </w:tabs>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t>Diarrhoea</w:t>
            </w:r>
            <w:proofErr w:type="spellEnd"/>
            <w:r w:rsidRPr="006235F7">
              <w:rPr>
                <w:rFonts w:asciiTheme="majorHAnsi" w:hAnsiTheme="majorHAnsi"/>
                <w:sz w:val="22"/>
                <w:szCs w:val="24"/>
              </w:rPr>
              <w:tab/>
            </w:r>
          </w:p>
        </w:tc>
        <w:tc>
          <w:tcPr>
            <w:tcW w:w="1541" w:type="dxa"/>
            <w:shd w:val="clear" w:color="auto" w:fill="auto"/>
            <w:vAlign w:val="center"/>
          </w:tcPr>
          <w:p w14:paraId="1D92B2C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1FE185F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29DC158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7B322DC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(2.6)</w:t>
            </w:r>
          </w:p>
        </w:tc>
      </w:tr>
      <w:tr w:rsidR="00080745" w:rsidRPr="006235F7" w14:paraId="461A1A4B" w14:textId="77777777" w:rsidTr="00080745">
        <w:trPr>
          <w:cantSplit/>
        </w:trPr>
        <w:tc>
          <w:tcPr>
            <w:tcW w:w="2974" w:type="dxa"/>
            <w:shd w:val="clear" w:color="auto" w:fill="auto"/>
            <w:vAlign w:val="center"/>
          </w:tcPr>
          <w:p w14:paraId="5B0C0C06" w14:textId="77777777" w:rsidR="00080745" w:rsidRPr="006235F7" w:rsidRDefault="00080745" w:rsidP="00080745">
            <w:pPr>
              <w:pStyle w:val="C-BodyText"/>
              <w:tabs>
                <w:tab w:val="left" w:pos="1090"/>
              </w:tabs>
              <w:spacing w:before="0" w:after="0" w:line="240" w:lineRule="auto"/>
              <w:ind w:left="240"/>
              <w:rPr>
                <w:rFonts w:asciiTheme="majorHAnsi" w:hAnsiTheme="majorHAnsi"/>
                <w:sz w:val="22"/>
                <w:szCs w:val="24"/>
              </w:rPr>
            </w:pPr>
            <w:r w:rsidRPr="006235F7">
              <w:rPr>
                <w:rFonts w:asciiTheme="majorHAnsi" w:hAnsiTheme="majorHAnsi"/>
                <w:sz w:val="22"/>
                <w:szCs w:val="24"/>
              </w:rPr>
              <w:t>Stomatitis</w:t>
            </w:r>
          </w:p>
        </w:tc>
        <w:tc>
          <w:tcPr>
            <w:tcW w:w="1541" w:type="dxa"/>
            <w:shd w:val="clear" w:color="auto" w:fill="auto"/>
            <w:vAlign w:val="center"/>
          </w:tcPr>
          <w:p w14:paraId="7836288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0BDC7E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1BAA519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7009E16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BA5E5C5" w14:textId="77777777" w:rsidTr="00080745">
        <w:trPr>
          <w:cantSplit/>
        </w:trPr>
        <w:tc>
          <w:tcPr>
            <w:tcW w:w="9208" w:type="dxa"/>
            <w:gridSpan w:val="5"/>
            <w:shd w:val="clear" w:color="auto" w:fill="auto"/>
            <w:vAlign w:val="center"/>
          </w:tcPr>
          <w:p w14:paraId="726F8749" w14:textId="77777777" w:rsidR="00080745" w:rsidRPr="006235F7" w:rsidRDefault="00080745" w:rsidP="00080745">
            <w:pPr>
              <w:pStyle w:val="C-BodyText"/>
              <w:keepNext/>
              <w:spacing w:before="0" w:after="0" w:line="240" w:lineRule="auto"/>
              <w:rPr>
                <w:rFonts w:asciiTheme="majorHAnsi" w:hAnsiTheme="majorHAnsi"/>
                <w:bCs/>
                <w:sz w:val="22"/>
                <w:szCs w:val="24"/>
              </w:rPr>
            </w:pPr>
            <w:r w:rsidRPr="006235F7">
              <w:rPr>
                <w:rFonts w:asciiTheme="majorHAnsi" w:hAnsiTheme="majorHAnsi"/>
                <w:b/>
                <w:sz w:val="22"/>
                <w:szCs w:val="24"/>
              </w:rPr>
              <w:t>General Disorders and Administration Site Conditions</w:t>
            </w:r>
          </w:p>
        </w:tc>
      </w:tr>
      <w:tr w:rsidR="00080745" w:rsidRPr="006235F7" w14:paraId="2EFEEFC3" w14:textId="77777777" w:rsidTr="00080745">
        <w:trPr>
          <w:cantSplit/>
        </w:trPr>
        <w:tc>
          <w:tcPr>
            <w:tcW w:w="2974" w:type="dxa"/>
            <w:shd w:val="clear" w:color="auto" w:fill="auto"/>
            <w:vAlign w:val="center"/>
          </w:tcPr>
          <w:p w14:paraId="666C7FE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Asthenia</w:t>
            </w:r>
          </w:p>
        </w:tc>
        <w:tc>
          <w:tcPr>
            <w:tcW w:w="1541" w:type="dxa"/>
            <w:shd w:val="clear" w:color="auto" w:fill="auto"/>
            <w:vAlign w:val="center"/>
          </w:tcPr>
          <w:p w14:paraId="6B7453E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68C3B695"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7406119"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2 (4.9)</w:t>
            </w:r>
          </w:p>
        </w:tc>
        <w:tc>
          <w:tcPr>
            <w:tcW w:w="1618" w:type="dxa"/>
            <w:shd w:val="clear" w:color="auto" w:fill="auto"/>
            <w:vAlign w:val="center"/>
          </w:tcPr>
          <w:p w14:paraId="3BD9D64C" w14:textId="77777777" w:rsidR="00080745" w:rsidRPr="006235F7" w:rsidRDefault="00080745" w:rsidP="00080745">
            <w:pPr>
              <w:pStyle w:val="C-BodyText"/>
              <w:spacing w:before="0" w:after="0" w:line="240" w:lineRule="auto"/>
              <w:ind w:left="20"/>
              <w:jc w:val="center"/>
              <w:rPr>
                <w:rFonts w:asciiTheme="majorHAnsi" w:hAnsiTheme="majorHAnsi"/>
                <w:bCs/>
                <w:sz w:val="22"/>
                <w:szCs w:val="24"/>
              </w:rPr>
            </w:pPr>
            <w:r w:rsidRPr="006235F7">
              <w:rPr>
                <w:rFonts w:asciiTheme="majorHAnsi" w:hAnsiTheme="majorHAnsi"/>
                <w:bCs/>
                <w:sz w:val="22"/>
                <w:szCs w:val="24"/>
              </w:rPr>
              <w:t>3 (3.8)</w:t>
            </w:r>
          </w:p>
        </w:tc>
      </w:tr>
      <w:tr w:rsidR="00080745" w:rsidRPr="006235F7" w14:paraId="3520EE88" w14:textId="77777777" w:rsidTr="00080745">
        <w:trPr>
          <w:cantSplit/>
        </w:trPr>
        <w:tc>
          <w:tcPr>
            <w:tcW w:w="2974" w:type="dxa"/>
            <w:shd w:val="clear" w:color="auto" w:fill="auto"/>
            <w:vAlign w:val="center"/>
          </w:tcPr>
          <w:p w14:paraId="0540D0A1"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Chest discomfort</w:t>
            </w:r>
          </w:p>
        </w:tc>
        <w:tc>
          <w:tcPr>
            <w:tcW w:w="1541" w:type="dxa"/>
            <w:shd w:val="clear" w:color="auto" w:fill="auto"/>
            <w:vAlign w:val="center"/>
          </w:tcPr>
          <w:p w14:paraId="22905A3A"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6E21D3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7B879F05"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CEC6D1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27E0DA9" w14:textId="77777777" w:rsidTr="00080745">
        <w:trPr>
          <w:cantSplit/>
        </w:trPr>
        <w:tc>
          <w:tcPr>
            <w:tcW w:w="2974" w:type="dxa"/>
            <w:shd w:val="clear" w:color="auto" w:fill="auto"/>
            <w:vAlign w:val="center"/>
          </w:tcPr>
          <w:p w14:paraId="4B6BAA94"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Extravasation</w:t>
            </w:r>
          </w:p>
        </w:tc>
        <w:tc>
          <w:tcPr>
            <w:tcW w:w="1541" w:type="dxa"/>
            <w:shd w:val="clear" w:color="auto" w:fill="auto"/>
            <w:vAlign w:val="center"/>
          </w:tcPr>
          <w:p w14:paraId="7C7BBB1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31C46A1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572607C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69057C4A"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7E5C039" w14:textId="77777777" w:rsidTr="00080745">
        <w:trPr>
          <w:cantSplit/>
        </w:trPr>
        <w:tc>
          <w:tcPr>
            <w:tcW w:w="2974" w:type="dxa"/>
            <w:shd w:val="clear" w:color="auto" w:fill="auto"/>
            <w:vAlign w:val="center"/>
          </w:tcPr>
          <w:p w14:paraId="08DEB9A8"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Fatigue</w:t>
            </w:r>
          </w:p>
        </w:tc>
        <w:tc>
          <w:tcPr>
            <w:tcW w:w="1541" w:type="dxa"/>
            <w:shd w:val="clear" w:color="auto" w:fill="auto"/>
            <w:vAlign w:val="center"/>
          </w:tcPr>
          <w:p w14:paraId="63850A6A"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1ED810B"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0F7C322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2A9BD922"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5067DAB" w14:textId="77777777" w:rsidTr="00080745">
        <w:trPr>
          <w:cantSplit/>
        </w:trPr>
        <w:tc>
          <w:tcPr>
            <w:tcW w:w="2974" w:type="dxa"/>
            <w:shd w:val="clear" w:color="auto" w:fill="auto"/>
            <w:vAlign w:val="center"/>
          </w:tcPr>
          <w:p w14:paraId="040C2081"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Pyrexia</w:t>
            </w:r>
          </w:p>
        </w:tc>
        <w:tc>
          <w:tcPr>
            <w:tcW w:w="1541" w:type="dxa"/>
            <w:shd w:val="clear" w:color="auto" w:fill="auto"/>
            <w:vAlign w:val="center"/>
          </w:tcPr>
          <w:p w14:paraId="6047A78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37F244B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6442676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62850B1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4AE7E70B" w14:textId="77777777" w:rsidTr="00080745">
        <w:trPr>
          <w:cantSplit/>
        </w:trPr>
        <w:tc>
          <w:tcPr>
            <w:tcW w:w="9208" w:type="dxa"/>
            <w:gridSpan w:val="5"/>
            <w:shd w:val="clear" w:color="auto" w:fill="auto"/>
            <w:vAlign w:val="center"/>
          </w:tcPr>
          <w:p w14:paraId="050FD195"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Infections and Infestations</w:t>
            </w:r>
          </w:p>
        </w:tc>
      </w:tr>
      <w:tr w:rsidR="00080745" w:rsidRPr="006235F7" w14:paraId="74596950" w14:textId="77777777" w:rsidTr="00080745">
        <w:trPr>
          <w:cantSplit/>
        </w:trPr>
        <w:tc>
          <w:tcPr>
            <w:tcW w:w="2974" w:type="dxa"/>
            <w:shd w:val="clear" w:color="auto" w:fill="auto"/>
            <w:vAlign w:val="center"/>
          </w:tcPr>
          <w:p w14:paraId="3D976764"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Asymptomatic bacteriuria</w:t>
            </w:r>
          </w:p>
        </w:tc>
        <w:tc>
          <w:tcPr>
            <w:tcW w:w="1541" w:type="dxa"/>
            <w:shd w:val="clear" w:color="auto" w:fill="auto"/>
            <w:vAlign w:val="center"/>
          </w:tcPr>
          <w:p w14:paraId="74662B5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E9A65E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5445188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79CACE4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70FDA9C2" w14:textId="77777777" w:rsidTr="00080745">
        <w:trPr>
          <w:cantSplit/>
        </w:trPr>
        <w:tc>
          <w:tcPr>
            <w:tcW w:w="2974" w:type="dxa"/>
            <w:shd w:val="clear" w:color="auto" w:fill="auto"/>
            <w:vAlign w:val="center"/>
          </w:tcPr>
          <w:p w14:paraId="252A2052"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Bacterial infection</w:t>
            </w:r>
          </w:p>
        </w:tc>
        <w:tc>
          <w:tcPr>
            <w:tcW w:w="1541" w:type="dxa"/>
            <w:shd w:val="clear" w:color="auto" w:fill="auto"/>
            <w:vAlign w:val="center"/>
          </w:tcPr>
          <w:p w14:paraId="5C269FD0"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0CDC6FA"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01574B8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0CFA14D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6D9793A1" w14:textId="77777777" w:rsidTr="00080745">
        <w:trPr>
          <w:cantSplit/>
        </w:trPr>
        <w:tc>
          <w:tcPr>
            <w:tcW w:w="2974" w:type="dxa"/>
            <w:shd w:val="clear" w:color="auto" w:fill="auto"/>
            <w:vAlign w:val="center"/>
          </w:tcPr>
          <w:p w14:paraId="4E666B47"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BK virus infection</w:t>
            </w:r>
          </w:p>
        </w:tc>
        <w:tc>
          <w:tcPr>
            <w:tcW w:w="1541" w:type="dxa"/>
            <w:shd w:val="clear" w:color="auto" w:fill="auto"/>
            <w:vAlign w:val="center"/>
          </w:tcPr>
          <w:p w14:paraId="4A2E655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0F1F585"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0D64DD6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718DF25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(2.6)</w:t>
            </w:r>
          </w:p>
        </w:tc>
      </w:tr>
      <w:tr w:rsidR="00080745" w:rsidRPr="006235F7" w14:paraId="3206387E" w14:textId="77777777" w:rsidTr="00080745">
        <w:trPr>
          <w:cantSplit/>
        </w:trPr>
        <w:tc>
          <w:tcPr>
            <w:tcW w:w="2974" w:type="dxa"/>
            <w:shd w:val="clear" w:color="auto" w:fill="auto"/>
            <w:vAlign w:val="center"/>
          </w:tcPr>
          <w:p w14:paraId="6B076A04"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Herpes zoster</w:t>
            </w:r>
          </w:p>
        </w:tc>
        <w:tc>
          <w:tcPr>
            <w:tcW w:w="1541" w:type="dxa"/>
            <w:shd w:val="clear" w:color="auto" w:fill="auto"/>
            <w:vAlign w:val="center"/>
          </w:tcPr>
          <w:p w14:paraId="167B164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B11D71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4675638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2077E12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(2.6)</w:t>
            </w:r>
          </w:p>
        </w:tc>
      </w:tr>
      <w:tr w:rsidR="00080745" w:rsidRPr="006235F7" w14:paraId="118CDEC7" w14:textId="77777777" w:rsidTr="00080745">
        <w:trPr>
          <w:cantSplit/>
        </w:trPr>
        <w:tc>
          <w:tcPr>
            <w:tcW w:w="2974" w:type="dxa"/>
            <w:shd w:val="clear" w:color="auto" w:fill="auto"/>
            <w:vAlign w:val="center"/>
          </w:tcPr>
          <w:p w14:paraId="33B1F5A4"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Impetigo</w:t>
            </w:r>
          </w:p>
        </w:tc>
        <w:tc>
          <w:tcPr>
            <w:tcW w:w="1541" w:type="dxa"/>
            <w:shd w:val="clear" w:color="auto" w:fill="auto"/>
            <w:vAlign w:val="center"/>
          </w:tcPr>
          <w:p w14:paraId="4D29737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4A3E67E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5723F48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969F94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56F30E1" w14:textId="77777777" w:rsidTr="00080745">
        <w:trPr>
          <w:cantSplit/>
        </w:trPr>
        <w:tc>
          <w:tcPr>
            <w:tcW w:w="2974" w:type="dxa"/>
            <w:shd w:val="clear" w:color="auto" w:fill="auto"/>
            <w:vAlign w:val="center"/>
          </w:tcPr>
          <w:p w14:paraId="644B44C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Influenza</w:t>
            </w:r>
          </w:p>
        </w:tc>
        <w:tc>
          <w:tcPr>
            <w:tcW w:w="1541" w:type="dxa"/>
            <w:shd w:val="clear" w:color="auto" w:fill="auto"/>
            <w:vAlign w:val="center"/>
          </w:tcPr>
          <w:p w14:paraId="369B0B0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503830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22C6A22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39484AED"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0C0867A4" w14:textId="77777777" w:rsidTr="00080745">
        <w:trPr>
          <w:cantSplit/>
        </w:trPr>
        <w:tc>
          <w:tcPr>
            <w:tcW w:w="2974" w:type="dxa"/>
            <w:shd w:val="clear" w:color="auto" w:fill="auto"/>
            <w:vAlign w:val="center"/>
          </w:tcPr>
          <w:p w14:paraId="35B2E5D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Meningitis meningococcal</w:t>
            </w:r>
          </w:p>
        </w:tc>
        <w:tc>
          <w:tcPr>
            <w:tcW w:w="1541" w:type="dxa"/>
            <w:shd w:val="clear" w:color="auto" w:fill="auto"/>
            <w:vAlign w:val="center"/>
          </w:tcPr>
          <w:p w14:paraId="2B28CC4A"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732028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497F87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4523DDFF"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5C56E70" w14:textId="77777777" w:rsidTr="00080745">
        <w:trPr>
          <w:cantSplit/>
        </w:trPr>
        <w:tc>
          <w:tcPr>
            <w:tcW w:w="2974" w:type="dxa"/>
            <w:shd w:val="clear" w:color="auto" w:fill="auto"/>
            <w:vAlign w:val="center"/>
          </w:tcPr>
          <w:p w14:paraId="397CB68D"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Meningococcal sepsis</w:t>
            </w:r>
          </w:p>
        </w:tc>
        <w:tc>
          <w:tcPr>
            <w:tcW w:w="1541" w:type="dxa"/>
            <w:shd w:val="clear" w:color="auto" w:fill="auto"/>
            <w:vAlign w:val="center"/>
          </w:tcPr>
          <w:p w14:paraId="00740D0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F23814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1024720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6137D3C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8476EFA" w14:textId="77777777" w:rsidTr="00080745">
        <w:trPr>
          <w:cantSplit/>
        </w:trPr>
        <w:tc>
          <w:tcPr>
            <w:tcW w:w="2974" w:type="dxa"/>
            <w:shd w:val="clear" w:color="auto" w:fill="auto"/>
            <w:vAlign w:val="center"/>
          </w:tcPr>
          <w:p w14:paraId="722A880A"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Nasopharyngitis</w:t>
            </w:r>
          </w:p>
        </w:tc>
        <w:tc>
          <w:tcPr>
            <w:tcW w:w="1541" w:type="dxa"/>
            <w:shd w:val="clear" w:color="auto" w:fill="auto"/>
            <w:vAlign w:val="center"/>
          </w:tcPr>
          <w:p w14:paraId="64B1E12A"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717FA1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0DE1815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F2CE48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0992B17" w14:textId="77777777" w:rsidTr="00080745">
        <w:trPr>
          <w:cantSplit/>
        </w:trPr>
        <w:tc>
          <w:tcPr>
            <w:tcW w:w="2974" w:type="dxa"/>
            <w:shd w:val="clear" w:color="auto" w:fill="auto"/>
            <w:vAlign w:val="center"/>
          </w:tcPr>
          <w:p w14:paraId="07792A31"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Peritonitis</w:t>
            </w:r>
          </w:p>
        </w:tc>
        <w:tc>
          <w:tcPr>
            <w:tcW w:w="1541" w:type="dxa"/>
            <w:shd w:val="clear" w:color="auto" w:fill="auto"/>
            <w:vAlign w:val="center"/>
          </w:tcPr>
          <w:p w14:paraId="4E54443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1C99E1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7EC397D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30A54D7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989105F" w14:textId="77777777" w:rsidTr="00080745">
        <w:trPr>
          <w:cantSplit/>
        </w:trPr>
        <w:tc>
          <w:tcPr>
            <w:tcW w:w="2974" w:type="dxa"/>
            <w:shd w:val="clear" w:color="auto" w:fill="auto"/>
            <w:vAlign w:val="center"/>
          </w:tcPr>
          <w:p w14:paraId="1F16E3E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Pneumonia</w:t>
            </w:r>
          </w:p>
        </w:tc>
        <w:tc>
          <w:tcPr>
            <w:tcW w:w="1541" w:type="dxa"/>
            <w:shd w:val="clear" w:color="auto" w:fill="auto"/>
            <w:vAlign w:val="center"/>
          </w:tcPr>
          <w:p w14:paraId="4C32DB6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61701B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4BAA7FE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66F9D5B9"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075C57CE" w14:textId="77777777" w:rsidTr="00080745">
        <w:trPr>
          <w:cantSplit/>
        </w:trPr>
        <w:tc>
          <w:tcPr>
            <w:tcW w:w="2974" w:type="dxa"/>
            <w:shd w:val="clear" w:color="auto" w:fill="auto"/>
            <w:vAlign w:val="center"/>
          </w:tcPr>
          <w:p w14:paraId="3A45D126"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Pyelonephritis</w:t>
            </w:r>
          </w:p>
        </w:tc>
        <w:tc>
          <w:tcPr>
            <w:tcW w:w="1541" w:type="dxa"/>
            <w:shd w:val="clear" w:color="auto" w:fill="auto"/>
            <w:vAlign w:val="center"/>
          </w:tcPr>
          <w:p w14:paraId="237560F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6915CC7A"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045261F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67857EBF"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E38D7C7" w14:textId="77777777" w:rsidTr="00080745">
        <w:trPr>
          <w:cantSplit/>
        </w:trPr>
        <w:tc>
          <w:tcPr>
            <w:tcW w:w="2974" w:type="dxa"/>
            <w:shd w:val="clear" w:color="auto" w:fill="auto"/>
            <w:vAlign w:val="center"/>
          </w:tcPr>
          <w:p w14:paraId="7CA13B52"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Q fever</w:t>
            </w:r>
          </w:p>
        </w:tc>
        <w:tc>
          <w:tcPr>
            <w:tcW w:w="1541" w:type="dxa"/>
            <w:shd w:val="clear" w:color="auto" w:fill="auto"/>
            <w:vAlign w:val="center"/>
          </w:tcPr>
          <w:p w14:paraId="506DAF8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AF48A5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326B13F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50E938E7"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41A342CB" w14:textId="77777777" w:rsidTr="00080745">
        <w:trPr>
          <w:cantSplit/>
        </w:trPr>
        <w:tc>
          <w:tcPr>
            <w:tcW w:w="2974" w:type="dxa"/>
            <w:shd w:val="clear" w:color="auto" w:fill="auto"/>
            <w:vAlign w:val="center"/>
          </w:tcPr>
          <w:p w14:paraId="05BAA95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Urinary tract infection</w:t>
            </w:r>
          </w:p>
        </w:tc>
        <w:tc>
          <w:tcPr>
            <w:tcW w:w="1541" w:type="dxa"/>
            <w:shd w:val="clear" w:color="auto" w:fill="auto"/>
            <w:vAlign w:val="center"/>
          </w:tcPr>
          <w:p w14:paraId="64FE287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564601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76C6FE8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4B20BA9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(2.6)</w:t>
            </w:r>
          </w:p>
        </w:tc>
      </w:tr>
      <w:tr w:rsidR="00080745" w:rsidRPr="006235F7" w14:paraId="349D93B1" w14:textId="77777777" w:rsidTr="00080745">
        <w:trPr>
          <w:cantSplit/>
        </w:trPr>
        <w:tc>
          <w:tcPr>
            <w:tcW w:w="9208" w:type="dxa"/>
            <w:gridSpan w:val="5"/>
            <w:shd w:val="clear" w:color="auto" w:fill="auto"/>
            <w:vAlign w:val="center"/>
          </w:tcPr>
          <w:p w14:paraId="2F463CF7"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Investigations</w:t>
            </w:r>
          </w:p>
        </w:tc>
      </w:tr>
      <w:tr w:rsidR="00080745" w:rsidRPr="006235F7" w14:paraId="762E0A66" w14:textId="77777777" w:rsidTr="00080745">
        <w:trPr>
          <w:cantSplit/>
        </w:trPr>
        <w:tc>
          <w:tcPr>
            <w:tcW w:w="2974" w:type="dxa"/>
            <w:shd w:val="clear" w:color="auto" w:fill="auto"/>
            <w:vAlign w:val="center"/>
          </w:tcPr>
          <w:p w14:paraId="1C37BD7A" w14:textId="77777777" w:rsidR="00080745" w:rsidRPr="006235F7" w:rsidRDefault="00080745" w:rsidP="00080745">
            <w:pPr>
              <w:pStyle w:val="C-BodyText"/>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lastRenderedPageBreak/>
              <w:t>Haematocrit</w:t>
            </w:r>
            <w:proofErr w:type="spellEnd"/>
            <w:r w:rsidRPr="006235F7">
              <w:rPr>
                <w:rFonts w:asciiTheme="majorHAnsi" w:hAnsiTheme="majorHAnsi"/>
                <w:sz w:val="22"/>
                <w:szCs w:val="24"/>
              </w:rPr>
              <w:t xml:space="preserve"> decreased</w:t>
            </w:r>
          </w:p>
        </w:tc>
        <w:tc>
          <w:tcPr>
            <w:tcW w:w="1541" w:type="dxa"/>
            <w:shd w:val="clear" w:color="auto" w:fill="auto"/>
            <w:vAlign w:val="center"/>
          </w:tcPr>
          <w:p w14:paraId="216CB26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6206203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200FD52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A70D87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E41CDA0" w14:textId="77777777" w:rsidTr="00080745">
        <w:trPr>
          <w:cantSplit/>
        </w:trPr>
        <w:tc>
          <w:tcPr>
            <w:tcW w:w="2974" w:type="dxa"/>
            <w:shd w:val="clear" w:color="auto" w:fill="auto"/>
            <w:vAlign w:val="center"/>
          </w:tcPr>
          <w:p w14:paraId="5F51E6D6" w14:textId="77777777" w:rsidR="00080745" w:rsidRPr="006235F7" w:rsidRDefault="00080745" w:rsidP="00080745">
            <w:pPr>
              <w:pStyle w:val="C-BodyText"/>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t>Haemoglobin</w:t>
            </w:r>
            <w:proofErr w:type="spellEnd"/>
            <w:r w:rsidRPr="006235F7">
              <w:rPr>
                <w:rFonts w:asciiTheme="majorHAnsi" w:hAnsiTheme="majorHAnsi"/>
                <w:sz w:val="22"/>
                <w:szCs w:val="24"/>
              </w:rPr>
              <w:t xml:space="preserve"> decreased</w:t>
            </w:r>
          </w:p>
        </w:tc>
        <w:tc>
          <w:tcPr>
            <w:tcW w:w="1541" w:type="dxa"/>
            <w:shd w:val="clear" w:color="auto" w:fill="auto"/>
            <w:vAlign w:val="center"/>
          </w:tcPr>
          <w:p w14:paraId="64117C4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DD9962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6F61E7E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A0B4AD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9A4FD5B" w14:textId="77777777" w:rsidTr="00080745">
        <w:trPr>
          <w:cantSplit/>
        </w:trPr>
        <w:tc>
          <w:tcPr>
            <w:tcW w:w="9208" w:type="dxa"/>
            <w:gridSpan w:val="5"/>
            <w:shd w:val="clear" w:color="auto" w:fill="auto"/>
            <w:vAlign w:val="center"/>
          </w:tcPr>
          <w:p w14:paraId="7D7A5893"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Metabolism and nutrition disorders</w:t>
            </w:r>
          </w:p>
        </w:tc>
      </w:tr>
      <w:tr w:rsidR="00080745" w:rsidRPr="006235F7" w14:paraId="28226C66" w14:textId="77777777" w:rsidTr="00080745">
        <w:trPr>
          <w:cantSplit/>
        </w:trPr>
        <w:tc>
          <w:tcPr>
            <w:tcW w:w="2974" w:type="dxa"/>
            <w:shd w:val="clear" w:color="auto" w:fill="auto"/>
            <w:vAlign w:val="center"/>
          </w:tcPr>
          <w:p w14:paraId="299872F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Decreased appetite</w:t>
            </w:r>
          </w:p>
        </w:tc>
        <w:tc>
          <w:tcPr>
            <w:tcW w:w="1541" w:type="dxa"/>
            <w:shd w:val="clear" w:color="auto" w:fill="auto"/>
            <w:vAlign w:val="center"/>
          </w:tcPr>
          <w:p w14:paraId="587E23B9"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A2D556F"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8336C6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27D16BD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F22AC4D" w14:textId="77777777" w:rsidTr="00080745">
        <w:trPr>
          <w:cantSplit/>
        </w:trPr>
        <w:tc>
          <w:tcPr>
            <w:tcW w:w="9208" w:type="dxa"/>
            <w:gridSpan w:val="5"/>
            <w:shd w:val="clear" w:color="auto" w:fill="auto"/>
            <w:vAlign w:val="center"/>
          </w:tcPr>
          <w:p w14:paraId="4BA54A5D" w14:textId="77777777" w:rsidR="00080745" w:rsidRPr="006235F7" w:rsidRDefault="00080745" w:rsidP="00080745">
            <w:pPr>
              <w:pStyle w:val="C-BodyText"/>
              <w:spacing w:before="0" w:after="0" w:line="240" w:lineRule="auto"/>
              <w:ind w:left="20"/>
              <w:rPr>
                <w:rFonts w:asciiTheme="majorHAnsi" w:hAnsiTheme="majorHAnsi"/>
                <w:bCs/>
                <w:sz w:val="22"/>
                <w:szCs w:val="24"/>
              </w:rPr>
            </w:pPr>
            <w:r w:rsidRPr="006235F7">
              <w:rPr>
                <w:rFonts w:asciiTheme="majorHAnsi" w:hAnsiTheme="majorHAnsi"/>
                <w:b/>
                <w:sz w:val="22"/>
                <w:szCs w:val="24"/>
              </w:rPr>
              <w:t>Musculo</w:t>
            </w:r>
            <w:r w:rsidR="00C376F0">
              <w:rPr>
                <w:rFonts w:asciiTheme="majorHAnsi" w:hAnsiTheme="majorHAnsi"/>
                <w:b/>
                <w:sz w:val="22"/>
                <w:szCs w:val="24"/>
              </w:rPr>
              <w:t xml:space="preserve">skeletal and Connective Tissue </w:t>
            </w:r>
            <w:r w:rsidRPr="006235F7">
              <w:rPr>
                <w:rFonts w:asciiTheme="majorHAnsi" w:hAnsiTheme="majorHAnsi"/>
                <w:b/>
                <w:sz w:val="22"/>
                <w:szCs w:val="24"/>
              </w:rPr>
              <w:t>Disorders</w:t>
            </w:r>
          </w:p>
        </w:tc>
      </w:tr>
      <w:tr w:rsidR="00080745" w:rsidRPr="006235F7" w14:paraId="4DC8F627" w14:textId="77777777" w:rsidTr="00080745">
        <w:trPr>
          <w:cantSplit/>
        </w:trPr>
        <w:tc>
          <w:tcPr>
            <w:tcW w:w="2974" w:type="dxa"/>
            <w:shd w:val="clear" w:color="auto" w:fill="auto"/>
            <w:vAlign w:val="center"/>
          </w:tcPr>
          <w:p w14:paraId="1038C9A3"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Arthralgia</w:t>
            </w:r>
          </w:p>
        </w:tc>
        <w:tc>
          <w:tcPr>
            <w:tcW w:w="1541" w:type="dxa"/>
            <w:shd w:val="clear" w:color="auto" w:fill="auto"/>
            <w:vAlign w:val="center"/>
          </w:tcPr>
          <w:p w14:paraId="6D9C2683"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A7E678D"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7E575EB7"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(4.9)</w:t>
            </w:r>
          </w:p>
        </w:tc>
        <w:tc>
          <w:tcPr>
            <w:tcW w:w="1618" w:type="dxa"/>
            <w:shd w:val="clear" w:color="auto" w:fill="auto"/>
            <w:vAlign w:val="center"/>
          </w:tcPr>
          <w:p w14:paraId="78D9922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(2.6)</w:t>
            </w:r>
          </w:p>
        </w:tc>
      </w:tr>
      <w:tr w:rsidR="00080745" w:rsidRPr="006235F7" w14:paraId="0185BF36" w14:textId="77777777" w:rsidTr="00080745">
        <w:trPr>
          <w:cantSplit/>
        </w:trPr>
        <w:tc>
          <w:tcPr>
            <w:tcW w:w="2974" w:type="dxa"/>
            <w:shd w:val="clear" w:color="auto" w:fill="auto"/>
            <w:vAlign w:val="center"/>
          </w:tcPr>
          <w:p w14:paraId="3198061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Pain in extremity</w:t>
            </w:r>
          </w:p>
        </w:tc>
        <w:tc>
          <w:tcPr>
            <w:tcW w:w="1541" w:type="dxa"/>
            <w:shd w:val="clear" w:color="auto" w:fill="auto"/>
            <w:vAlign w:val="center"/>
          </w:tcPr>
          <w:p w14:paraId="302F7F79"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2939FEE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0F3C0E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123B21A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7744F1B8" w14:textId="77777777" w:rsidTr="00080745">
        <w:trPr>
          <w:cantSplit/>
        </w:trPr>
        <w:tc>
          <w:tcPr>
            <w:tcW w:w="9208" w:type="dxa"/>
            <w:gridSpan w:val="5"/>
            <w:shd w:val="clear" w:color="auto" w:fill="auto"/>
            <w:vAlign w:val="center"/>
          </w:tcPr>
          <w:p w14:paraId="0305240E"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Nervous System Disorders</w:t>
            </w:r>
          </w:p>
        </w:tc>
      </w:tr>
      <w:tr w:rsidR="00080745" w:rsidRPr="006235F7" w14:paraId="46211D38" w14:textId="77777777" w:rsidTr="00080745">
        <w:trPr>
          <w:cantSplit/>
        </w:trPr>
        <w:tc>
          <w:tcPr>
            <w:tcW w:w="2974" w:type="dxa"/>
            <w:shd w:val="clear" w:color="auto" w:fill="auto"/>
            <w:vAlign w:val="center"/>
          </w:tcPr>
          <w:p w14:paraId="2AFA13DF" w14:textId="77777777" w:rsidR="00080745" w:rsidRPr="006235F7" w:rsidRDefault="00080745" w:rsidP="00080745">
            <w:pPr>
              <w:pStyle w:val="C-BodyText"/>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t>Paraesthesia</w:t>
            </w:r>
            <w:proofErr w:type="spellEnd"/>
          </w:p>
        </w:tc>
        <w:tc>
          <w:tcPr>
            <w:tcW w:w="1541" w:type="dxa"/>
            <w:shd w:val="clear" w:color="auto" w:fill="auto"/>
            <w:vAlign w:val="center"/>
          </w:tcPr>
          <w:p w14:paraId="56D90C15"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FB152B3"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0BE8B6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18F690E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60731DB" w14:textId="77777777" w:rsidTr="00080745">
        <w:trPr>
          <w:cantSplit/>
        </w:trPr>
        <w:tc>
          <w:tcPr>
            <w:tcW w:w="2974" w:type="dxa"/>
            <w:shd w:val="clear" w:color="auto" w:fill="auto"/>
            <w:vAlign w:val="center"/>
          </w:tcPr>
          <w:p w14:paraId="7F6AD57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Tremor</w:t>
            </w:r>
          </w:p>
        </w:tc>
        <w:tc>
          <w:tcPr>
            <w:tcW w:w="1541" w:type="dxa"/>
            <w:shd w:val="clear" w:color="auto" w:fill="auto"/>
            <w:vAlign w:val="center"/>
          </w:tcPr>
          <w:p w14:paraId="408D2F0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352A4F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148F8E1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624BEE7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673348E9" w14:textId="77777777" w:rsidTr="00080745">
        <w:trPr>
          <w:cantSplit/>
        </w:trPr>
        <w:tc>
          <w:tcPr>
            <w:tcW w:w="9208" w:type="dxa"/>
            <w:gridSpan w:val="5"/>
            <w:shd w:val="clear" w:color="auto" w:fill="auto"/>
            <w:vAlign w:val="center"/>
          </w:tcPr>
          <w:p w14:paraId="2D105901"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Renal and urinary Disorders</w:t>
            </w:r>
          </w:p>
        </w:tc>
      </w:tr>
      <w:tr w:rsidR="00080745" w:rsidRPr="006235F7" w14:paraId="4FC997FF" w14:textId="77777777" w:rsidTr="00080745">
        <w:trPr>
          <w:cantSplit/>
        </w:trPr>
        <w:tc>
          <w:tcPr>
            <w:tcW w:w="2974" w:type="dxa"/>
            <w:shd w:val="clear" w:color="auto" w:fill="auto"/>
            <w:vAlign w:val="center"/>
          </w:tcPr>
          <w:p w14:paraId="358112C6" w14:textId="77777777" w:rsidR="00080745" w:rsidRPr="006235F7" w:rsidRDefault="00080745" w:rsidP="00080745">
            <w:pPr>
              <w:pStyle w:val="C-BodyText"/>
              <w:spacing w:before="0" w:after="0" w:line="240" w:lineRule="auto"/>
              <w:ind w:left="240"/>
              <w:rPr>
                <w:rFonts w:asciiTheme="majorHAnsi" w:hAnsiTheme="majorHAnsi"/>
                <w:b/>
                <w:sz w:val="22"/>
                <w:szCs w:val="24"/>
              </w:rPr>
            </w:pPr>
            <w:proofErr w:type="spellStart"/>
            <w:r w:rsidRPr="006235F7">
              <w:rPr>
                <w:rFonts w:asciiTheme="majorHAnsi" w:hAnsiTheme="majorHAnsi"/>
                <w:sz w:val="22"/>
                <w:szCs w:val="24"/>
              </w:rPr>
              <w:t>Haematuria</w:t>
            </w:r>
            <w:proofErr w:type="spellEnd"/>
          </w:p>
        </w:tc>
        <w:tc>
          <w:tcPr>
            <w:tcW w:w="1541" w:type="dxa"/>
            <w:shd w:val="clear" w:color="auto" w:fill="auto"/>
            <w:vAlign w:val="center"/>
          </w:tcPr>
          <w:p w14:paraId="33BA00A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01B7245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69FAD1A2"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5649297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338FFB8" w14:textId="77777777" w:rsidTr="00080745">
        <w:trPr>
          <w:cantSplit/>
        </w:trPr>
        <w:tc>
          <w:tcPr>
            <w:tcW w:w="9208" w:type="dxa"/>
            <w:gridSpan w:val="5"/>
            <w:shd w:val="clear" w:color="auto" w:fill="auto"/>
            <w:vAlign w:val="center"/>
          </w:tcPr>
          <w:p w14:paraId="03D8E795"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Reproductive system and Breast Disorders</w:t>
            </w:r>
          </w:p>
        </w:tc>
      </w:tr>
      <w:tr w:rsidR="00080745" w:rsidRPr="006235F7" w14:paraId="2337046A" w14:textId="77777777" w:rsidTr="00080745">
        <w:trPr>
          <w:cantSplit/>
        </w:trPr>
        <w:tc>
          <w:tcPr>
            <w:tcW w:w="2974" w:type="dxa"/>
            <w:shd w:val="clear" w:color="auto" w:fill="auto"/>
            <w:vAlign w:val="center"/>
          </w:tcPr>
          <w:p w14:paraId="2CB6FF5A"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Menorrhagia</w:t>
            </w:r>
          </w:p>
        </w:tc>
        <w:tc>
          <w:tcPr>
            <w:tcW w:w="1541" w:type="dxa"/>
            <w:shd w:val="clear" w:color="auto" w:fill="auto"/>
            <w:vAlign w:val="center"/>
          </w:tcPr>
          <w:p w14:paraId="036EDA7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4EBEE41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0C41F5D2"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59801F20"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75F23686" w14:textId="77777777" w:rsidTr="00080745">
        <w:trPr>
          <w:cantSplit/>
        </w:trPr>
        <w:tc>
          <w:tcPr>
            <w:tcW w:w="9208" w:type="dxa"/>
            <w:gridSpan w:val="5"/>
            <w:shd w:val="clear" w:color="auto" w:fill="auto"/>
            <w:vAlign w:val="center"/>
          </w:tcPr>
          <w:p w14:paraId="10B11EAB"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Respiratory, Thoracic and Mediastinal Disorders</w:t>
            </w:r>
          </w:p>
        </w:tc>
      </w:tr>
      <w:tr w:rsidR="00080745" w:rsidRPr="006235F7" w14:paraId="2814E918" w14:textId="77777777" w:rsidTr="00080745">
        <w:trPr>
          <w:cantSplit/>
        </w:trPr>
        <w:tc>
          <w:tcPr>
            <w:tcW w:w="2974" w:type="dxa"/>
            <w:shd w:val="clear" w:color="auto" w:fill="auto"/>
            <w:vAlign w:val="center"/>
          </w:tcPr>
          <w:p w14:paraId="6822998E" w14:textId="77777777" w:rsidR="00080745" w:rsidRPr="006235F7" w:rsidRDefault="00080745" w:rsidP="00080745">
            <w:pPr>
              <w:pStyle w:val="C-BodyText"/>
              <w:spacing w:before="0" w:after="0" w:line="240" w:lineRule="auto"/>
              <w:ind w:left="240"/>
              <w:rPr>
                <w:rFonts w:asciiTheme="majorHAnsi" w:hAnsiTheme="majorHAnsi"/>
                <w:b/>
                <w:sz w:val="22"/>
                <w:szCs w:val="24"/>
              </w:rPr>
            </w:pPr>
            <w:proofErr w:type="spellStart"/>
            <w:r w:rsidRPr="006235F7">
              <w:rPr>
                <w:rFonts w:asciiTheme="majorHAnsi" w:hAnsiTheme="majorHAnsi"/>
                <w:sz w:val="22"/>
                <w:szCs w:val="24"/>
              </w:rPr>
              <w:t>Dyspnoea</w:t>
            </w:r>
            <w:proofErr w:type="spellEnd"/>
          </w:p>
        </w:tc>
        <w:tc>
          <w:tcPr>
            <w:tcW w:w="1541" w:type="dxa"/>
            <w:shd w:val="clear" w:color="auto" w:fill="auto"/>
            <w:vAlign w:val="center"/>
          </w:tcPr>
          <w:p w14:paraId="1269C590"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ECCEB24"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1665CF5F"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5AD13CC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37747CB5" w14:textId="77777777" w:rsidTr="00080745">
        <w:trPr>
          <w:cantSplit/>
        </w:trPr>
        <w:tc>
          <w:tcPr>
            <w:tcW w:w="2974" w:type="dxa"/>
            <w:shd w:val="clear" w:color="auto" w:fill="auto"/>
            <w:vAlign w:val="center"/>
          </w:tcPr>
          <w:p w14:paraId="453F18E8" w14:textId="77777777" w:rsidR="00080745" w:rsidRPr="006235F7" w:rsidRDefault="00080745" w:rsidP="00080745">
            <w:pPr>
              <w:pStyle w:val="C-BodyText"/>
              <w:spacing w:before="0" w:after="0" w:line="240" w:lineRule="auto"/>
              <w:ind w:left="240"/>
              <w:rPr>
                <w:rFonts w:asciiTheme="majorHAnsi" w:hAnsiTheme="majorHAnsi"/>
                <w:b/>
                <w:sz w:val="22"/>
                <w:szCs w:val="24"/>
              </w:rPr>
            </w:pPr>
            <w:proofErr w:type="spellStart"/>
            <w:r w:rsidRPr="006235F7">
              <w:rPr>
                <w:rFonts w:asciiTheme="majorHAnsi" w:hAnsiTheme="majorHAnsi"/>
                <w:sz w:val="22"/>
                <w:szCs w:val="24"/>
              </w:rPr>
              <w:t>Dyspnoea</w:t>
            </w:r>
            <w:proofErr w:type="spellEnd"/>
            <w:r w:rsidRPr="006235F7">
              <w:rPr>
                <w:rFonts w:asciiTheme="majorHAnsi" w:hAnsiTheme="majorHAnsi"/>
                <w:sz w:val="22"/>
                <w:szCs w:val="24"/>
              </w:rPr>
              <w:t xml:space="preserve"> exertional</w:t>
            </w:r>
          </w:p>
        </w:tc>
        <w:tc>
          <w:tcPr>
            <w:tcW w:w="1541" w:type="dxa"/>
            <w:shd w:val="clear" w:color="auto" w:fill="auto"/>
            <w:vAlign w:val="center"/>
          </w:tcPr>
          <w:p w14:paraId="20AB584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6867112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vAlign w:val="center"/>
          </w:tcPr>
          <w:p w14:paraId="550B0D0B"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24003816"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102B6992" w14:textId="77777777" w:rsidTr="00080745">
        <w:trPr>
          <w:cantSplit/>
        </w:trPr>
        <w:tc>
          <w:tcPr>
            <w:tcW w:w="2974" w:type="dxa"/>
            <w:shd w:val="clear" w:color="auto" w:fill="auto"/>
            <w:vAlign w:val="center"/>
          </w:tcPr>
          <w:p w14:paraId="0AE107FF"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Nasal congestion</w:t>
            </w:r>
          </w:p>
        </w:tc>
        <w:tc>
          <w:tcPr>
            <w:tcW w:w="1541" w:type="dxa"/>
            <w:shd w:val="clear" w:color="auto" w:fill="auto"/>
            <w:vAlign w:val="center"/>
          </w:tcPr>
          <w:p w14:paraId="75FC65C0"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6ED865B7"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7EC31E2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E67D38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641378D" w14:textId="77777777" w:rsidTr="00080745">
        <w:trPr>
          <w:cantSplit/>
        </w:trPr>
        <w:tc>
          <w:tcPr>
            <w:tcW w:w="2974" w:type="dxa"/>
            <w:shd w:val="clear" w:color="auto" w:fill="auto"/>
            <w:vAlign w:val="center"/>
          </w:tcPr>
          <w:p w14:paraId="6C7DB2FE"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Oropharyngeal pain</w:t>
            </w:r>
          </w:p>
        </w:tc>
        <w:tc>
          <w:tcPr>
            <w:tcW w:w="1541" w:type="dxa"/>
            <w:shd w:val="clear" w:color="auto" w:fill="auto"/>
            <w:vAlign w:val="center"/>
          </w:tcPr>
          <w:p w14:paraId="2D48B9E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A0FAD1A"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26709969"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48BA1840"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12A994D" w14:textId="77777777" w:rsidTr="00080745">
        <w:trPr>
          <w:cantSplit/>
        </w:trPr>
        <w:tc>
          <w:tcPr>
            <w:tcW w:w="2974" w:type="dxa"/>
            <w:shd w:val="clear" w:color="auto" w:fill="auto"/>
            <w:vAlign w:val="center"/>
          </w:tcPr>
          <w:p w14:paraId="2EFCF012" w14:textId="77777777" w:rsidR="00080745" w:rsidRPr="006235F7" w:rsidRDefault="00080745" w:rsidP="00080745">
            <w:pPr>
              <w:pStyle w:val="C-BodyText"/>
              <w:spacing w:before="0" w:after="0" w:line="240" w:lineRule="auto"/>
              <w:ind w:left="240"/>
              <w:rPr>
                <w:rFonts w:asciiTheme="majorHAnsi" w:hAnsiTheme="majorHAnsi"/>
                <w:b/>
                <w:sz w:val="22"/>
                <w:szCs w:val="24"/>
              </w:rPr>
            </w:pPr>
            <w:proofErr w:type="spellStart"/>
            <w:r w:rsidRPr="006235F7">
              <w:rPr>
                <w:rFonts w:asciiTheme="majorHAnsi" w:hAnsiTheme="majorHAnsi"/>
                <w:sz w:val="22"/>
                <w:szCs w:val="24"/>
              </w:rPr>
              <w:t>Rhinorrhoea</w:t>
            </w:r>
            <w:proofErr w:type="spellEnd"/>
          </w:p>
        </w:tc>
        <w:tc>
          <w:tcPr>
            <w:tcW w:w="1541" w:type="dxa"/>
            <w:shd w:val="clear" w:color="auto" w:fill="auto"/>
            <w:vAlign w:val="center"/>
          </w:tcPr>
          <w:p w14:paraId="38929FD5"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6C0A782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68B179B0"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7B96543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67BF029C" w14:textId="77777777" w:rsidTr="00080745">
        <w:trPr>
          <w:cantSplit/>
        </w:trPr>
        <w:tc>
          <w:tcPr>
            <w:tcW w:w="9208" w:type="dxa"/>
            <w:gridSpan w:val="5"/>
            <w:shd w:val="clear" w:color="auto" w:fill="auto"/>
            <w:vAlign w:val="center"/>
          </w:tcPr>
          <w:p w14:paraId="6A480399" w14:textId="77777777" w:rsidR="00080745" w:rsidRPr="006235F7" w:rsidRDefault="00080745" w:rsidP="00080745">
            <w:pPr>
              <w:pStyle w:val="C-BodyText"/>
              <w:spacing w:before="0" w:after="0" w:line="240" w:lineRule="auto"/>
              <w:rPr>
                <w:rFonts w:asciiTheme="majorHAnsi" w:hAnsiTheme="majorHAnsi"/>
                <w:bCs/>
                <w:sz w:val="22"/>
                <w:szCs w:val="24"/>
              </w:rPr>
            </w:pPr>
            <w:r w:rsidRPr="006235F7">
              <w:rPr>
                <w:rFonts w:asciiTheme="majorHAnsi" w:hAnsiTheme="majorHAnsi"/>
                <w:b/>
                <w:sz w:val="22"/>
                <w:szCs w:val="24"/>
              </w:rPr>
              <w:t>Skin and subcutaneous tissue Disorders</w:t>
            </w:r>
          </w:p>
        </w:tc>
      </w:tr>
      <w:tr w:rsidR="00080745" w:rsidRPr="006235F7" w14:paraId="38710B65" w14:textId="77777777" w:rsidTr="00080745">
        <w:trPr>
          <w:cantSplit/>
        </w:trPr>
        <w:tc>
          <w:tcPr>
            <w:tcW w:w="2974" w:type="dxa"/>
            <w:shd w:val="clear" w:color="auto" w:fill="auto"/>
            <w:vAlign w:val="center"/>
          </w:tcPr>
          <w:p w14:paraId="25D40872"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Alopecia</w:t>
            </w:r>
          </w:p>
        </w:tc>
        <w:tc>
          <w:tcPr>
            <w:tcW w:w="1541" w:type="dxa"/>
            <w:shd w:val="clear" w:color="auto" w:fill="auto"/>
            <w:vAlign w:val="center"/>
          </w:tcPr>
          <w:p w14:paraId="5254B4D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16AB45A6"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439BB01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2 (4.9)</w:t>
            </w:r>
          </w:p>
        </w:tc>
        <w:tc>
          <w:tcPr>
            <w:tcW w:w="1618" w:type="dxa"/>
            <w:shd w:val="clear" w:color="auto" w:fill="auto"/>
            <w:vAlign w:val="center"/>
          </w:tcPr>
          <w:p w14:paraId="46BF6AC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3 (3.8)</w:t>
            </w:r>
          </w:p>
        </w:tc>
      </w:tr>
      <w:tr w:rsidR="00080745" w:rsidRPr="006235F7" w14:paraId="2649B1AE" w14:textId="77777777" w:rsidTr="00080745">
        <w:trPr>
          <w:cantSplit/>
        </w:trPr>
        <w:tc>
          <w:tcPr>
            <w:tcW w:w="2974" w:type="dxa"/>
            <w:shd w:val="clear" w:color="auto" w:fill="auto"/>
            <w:vAlign w:val="center"/>
          </w:tcPr>
          <w:p w14:paraId="63CF021F"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Dermatitis</w:t>
            </w:r>
          </w:p>
        </w:tc>
        <w:tc>
          <w:tcPr>
            <w:tcW w:w="1541" w:type="dxa"/>
            <w:shd w:val="clear" w:color="auto" w:fill="auto"/>
            <w:vAlign w:val="center"/>
          </w:tcPr>
          <w:p w14:paraId="179156B3"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3DB7D90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510DF71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FCD6934"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5A11B9ED" w14:textId="77777777" w:rsidTr="00080745">
        <w:trPr>
          <w:cantSplit/>
        </w:trPr>
        <w:tc>
          <w:tcPr>
            <w:tcW w:w="2974" w:type="dxa"/>
            <w:shd w:val="clear" w:color="auto" w:fill="auto"/>
            <w:vAlign w:val="center"/>
          </w:tcPr>
          <w:p w14:paraId="7432261E"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Erythema</w:t>
            </w:r>
          </w:p>
        </w:tc>
        <w:tc>
          <w:tcPr>
            <w:tcW w:w="1541" w:type="dxa"/>
            <w:shd w:val="clear" w:color="auto" w:fill="auto"/>
            <w:vAlign w:val="center"/>
          </w:tcPr>
          <w:p w14:paraId="42ED38CC"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(5.9)</w:t>
            </w:r>
          </w:p>
        </w:tc>
        <w:tc>
          <w:tcPr>
            <w:tcW w:w="1575" w:type="dxa"/>
            <w:shd w:val="clear" w:color="auto" w:fill="auto"/>
            <w:vAlign w:val="center"/>
          </w:tcPr>
          <w:p w14:paraId="21A8B32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5FEE2FEB"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4FB1262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631B6A21" w14:textId="77777777" w:rsidTr="00080745">
        <w:trPr>
          <w:cantSplit/>
        </w:trPr>
        <w:tc>
          <w:tcPr>
            <w:tcW w:w="2974" w:type="dxa"/>
            <w:shd w:val="clear" w:color="auto" w:fill="auto"/>
            <w:vAlign w:val="center"/>
          </w:tcPr>
          <w:p w14:paraId="75169A6D"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Photosensitivity reaction</w:t>
            </w:r>
          </w:p>
        </w:tc>
        <w:tc>
          <w:tcPr>
            <w:tcW w:w="1541" w:type="dxa"/>
            <w:shd w:val="clear" w:color="auto" w:fill="auto"/>
            <w:vAlign w:val="center"/>
          </w:tcPr>
          <w:p w14:paraId="7F2F45E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39A7887"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680EAE6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1644A931"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0F82284" w14:textId="77777777" w:rsidTr="00080745">
        <w:trPr>
          <w:cantSplit/>
        </w:trPr>
        <w:tc>
          <w:tcPr>
            <w:tcW w:w="2974" w:type="dxa"/>
            <w:shd w:val="clear" w:color="auto" w:fill="auto"/>
            <w:vAlign w:val="center"/>
          </w:tcPr>
          <w:p w14:paraId="2DC37012"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Pruritus</w:t>
            </w:r>
          </w:p>
        </w:tc>
        <w:tc>
          <w:tcPr>
            <w:tcW w:w="1541" w:type="dxa"/>
            <w:shd w:val="clear" w:color="auto" w:fill="auto"/>
            <w:vAlign w:val="center"/>
          </w:tcPr>
          <w:p w14:paraId="3DAF3496"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0581345D"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vAlign w:val="center"/>
          </w:tcPr>
          <w:p w14:paraId="48C28D68"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6AB79C68"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438EF922" w14:textId="77777777" w:rsidTr="00080745">
        <w:trPr>
          <w:cantSplit/>
        </w:trPr>
        <w:tc>
          <w:tcPr>
            <w:tcW w:w="2974" w:type="dxa"/>
            <w:shd w:val="clear" w:color="auto" w:fill="auto"/>
            <w:vAlign w:val="center"/>
          </w:tcPr>
          <w:p w14:paraId="6A50E889" w14:textId="77777777" w:rsidR="00080745" w:rsidRPr="006235F7" w:rsidRDefault="00080745" w:rsidP="00080745">
            <w:pPr>
              <w:pStyle w:val="C-BodyText"/>
              <w:spacing w:before="0" w:after="0" w:line="240" w:lineRule="auto"/>
              <w:ind w:left="240"/>
              <w:rPr>
                <w:rFonts w:asciiTheme="majorHAnsi" w:hAnsiTheme="majorHAnsi"/>
                <w:b/>
                <w:sz w:val="22"/>
                <w:szCs w:val="24"/>
              </w:rPr>
            </w:pPr>
            <w:r w:rsidRPr="006235F7">
              <w:rPr>
                <w:rFonts w:asciiTheme="majorHAnsi" w:hAnsiTheme="majorHAnsi"/>
                <w:sz w:val="22"/>
                <w:szCs w:val="24"/>
              </w:rPr>
              <w:t>Rash</w:t>
            </w:r>
            <w:r w:rsidRPr="006235F7">
              <w:rPr>
                <w:rFonts w:asciiTheme="majorHAnsi" w:hAnsiTheme="majorHAnsi"/>
                <w:sz w:val="22"/>
                <w:szCs w:val="24"/>
                <w:vertAlign w:val="superscript"/>
              </w:rPr>
              <w:t>a</w:t>
            </w:r>
          </w:p>
        </w:tc>
        <w:tc>
          <w:tcPr>
            <w:tcW w:w="1541" w:type="dxa"/>
            <w:shd w:val="clear" w:color="auto" w:fill="auto"/>
            <w:vAlign w:val="center"/>
          </w:tcPr>
          <w:p w14:paraId="3CF5ADA8"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3813D05C"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6B2D3A74" w14:textId="77777777" w:rsidR="00080745" w:rsidRPr="006235F7"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2 (4.9)</w:t>
            </w:r>
          </w:p>
        </w:tc>
        <w:tc>
          <w:tcPr>
            <w:tcW w:w="1618" w:type="dxa"/>
            <w:shd w:val="clear" w:color="auto" w:fill="auto"/>
            <w:vAlign w:val="center"/>
          </w:tcPr>
          <w:p w14:paraId="41285699" w14:textId="77777777" w:rsidR="00080745" w:rsidRPr="006235F7"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2 (2.6)</w:t>
            </w:r>
          </w:p>
        </w:tc>
      </w:tr>
      <w:tr w:rsidR="00080745" w:rsidRPr="006235F7" w14:paraId="01033677" w14:textId="77777777" w:rsidTr="00080745">
        <w:trPr>
          <w:cantSplit/>
        </w:trPr>
        <w:tc>
          <w:tcPr>
            <w:tcW w:w="2974" w:type="dxa"/>
            <w:shd w:val="clear" w:color="auto" w:fill="auto"/>
            <w:vAlign w:val="center"/>
          </w:tcPr>
          <w:p w14:paraId="5EF8671D" w14:textId="77777777" w:rsidR="00080745" w:rsidRPr="006235F7" w:rsidRDefault="00080745" w:rsidP="00080745">
            <w:pPr>
              <w:pStyle w:val="C-BodyText"/>
              <w:spacing w:before="0" w:after="0" w:line="240" w:lineRule="auto"/>
              <w:ind w:left="240"/>
              <w:rPr>
                <w:rFonts w:asciiTheme="majorHAnsi" w:hAnsiTheme="majorHAnsi"/>
                <w:b/>
                <w:sz w:val="22"/>
                <w:szCs w:val="24"/>
                <w:lang w:val="fr-FR"/>
              </w:rPr>
            </w:pPr>
            <w:r w:rsidRPr="006235F7">
              <w:rPr>
                <w:rFonts w:asciiTheme="majorHAnsi" w:hAnsiTheme="majorHAnsi"/>
                <w:sz w:val="22"/>
                <w:szCs w:val="24"/>
                <w:lang w:val="fr-FR"/>
              </w:rPr>
              <w:t>Skin discolouration</w:t>
            </w:r>
          </w:p>
        </w:tc>
        <w:tc>
          <w:tcPr>
            <w:tcW w:w="1541" w:type="dxa"/>
            <w:shd w:val="clear" w:color="auto" w:fill="auto"/>
            <w:vAlign w:val="center"/>
          </w:tcPr>
          <w:p w14:paraId="7A98B499"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0 (0.0)</w:t>
            </w:r>
          </w:p>
        </w:tc>
        <w:tc>
          <w:tcPr>
            <w:tcW w:w="1575" w:type="dxa"/>
            <w:shd w:val="clear" w:color="auto" w:fill="auto"/>
            <w:vAlign w:val="center"/>
          </w:tcPr>
          <w:p w14:paraId="4F555575"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0 (0.0)</w:t>
            </w:r>
          </w:p>
        </w:tc>
        <w:tc>
          <w:tcPr>
            <w:tcW w:w="1500" w:type="dxa"/>
          </w:tcPr>
          <w:p w14:paraId="17BC375B" w14:textId="77777777" w:rsidR="00080745" w:rsidRPr="006235F7"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1 (2.4)</w:t>
            </w:r>
          </w:p>
        </w:tc>
        <w:tc>
          <w:tcPr>
            <w:tcW w:w="1618" w:type="dxa"/>
            <w:shd w:val="clear" w:color="auto" w:fill="auto"/>
            <w:vAlign w:val="center"/>
          </w:tcPr>
          <w:p w14:paraId="2AA46D56" w14:textId="77777777" w:rsidR="00080745" w:rsidRPr="006235F7" w:rsidRDefault="00080745" w:rsidP="00080745">
            <w:pPr>
              <w:pStyle w:val="C-BodyText"/>
              <w:spacing w:before="0" w:after="0" w:line="240" w:lineRule="auto"/>
              <w:jc w:val="center"/>
              <w:rPr>
                <w:rFonts w:asciiTheme="majorHAnsi" w:hAnsiTheme="majorHAnsi"/>
                <w:bCs/>
                <w:sz w:val="22"/>
                <w:szCs w:val="24"/>
                <w:lang w:val="fr-FR"/>
              </w:rPr>
            </w:pPr>
            <w:r w:rsidRPr="006235F7">
              <w:rPr>
                <w:rFonts w:asciiTheme="majorHAnsi" w:hAnsiTheme="majorHAnsi"/>
                <w:bCs/>
                <w:sz w:val="22"/>
                <w:szCs w:val="24"/>
                <w:lang w:val="fr-FR"/>
              </w:rPr>
              <w:t>1 (1.3)</w:t>
            </w:r>
          </w:p>
        </w:tc>
      </w:tr>
      <w:tr w:rsidR="00080745" w:rsidRPr="006235F7" w14:paraId="72991680" w14:textId="77777777" w:rsidTr="00080745">
        <w:trPr>
          <w:cantSplit/>
        </w:trPr>
        <w:tc>
          <w:tcPr>
            <w:tcW w:w="9208" w:type="dxa"/>
            <w:gridSpan w:val="5"/>
            <w:shd w:val="clear" w:color="auto" w:fill="auto"/>
            <w:vAlign w:val="center"/>
          </w:tcPr>
          <w:p w14:paraId="734D2BE0" w14:textId="77777777" w:rsidR="00080745" w:rsidRPr="006235F7" w:rsidRDefault="00080745" w:rsidP="00080745">
            <w:pPr>
              <w:pStyle w:val="C-BodyText"/>
              <w:spacing w:before="0" w:after="0" w:line="240" w:lineRule="auto"/>
              <w:rPr>
                <w:rFonts w:asciiTheme="majorHAnsi" w:hAnsiTheme="majorHAnsi"/>
                <w:bCs/>
                <w:sz w:val="22"/>
                <w:szCs w:val="24"/>
                <w:lang w:val="fr-FR"/>
              </w:rPr>
            </w:pPr>
            <w:proofErr w:type="spellStart"/>
            <w:r w:rsidRPr="006235F7">
              <w:rPr>
                <w:rFonts w:asciiTheme="majorHAnsi" w:hAnsiTheme="majorHAnsi"/>
                <w:b/>
                <w:sz w:val="22"/>
                <w:szCs w:val="24"/>
                <w:lang w:val="fr-FR"/>
              </w:rPr>
              <w:t>Vascular</w:t>
            </w:r>
            <w:proofErr w:type="spellEnd"/>
            <w:r w:rsidRPr="006235F7">
              <w:rPr>
                <w:rFonts w:asciiTheme="majorHAnsi" w:hAnsiTheme="majorHAnsi"/>
                <w:b/>
                <w:sz w:val="22"/>
                <w:szCs w:val="24"/>
                <w:lang w:val="fr-FR"/>
              </w:rPr>
              <w:t xml:space="preserve"> </w:t>
            </w:r>
            <w:proofErr w:type="spellStart"/>
            <w:r w:rsidRPr="006235F7">
              <w:rPr>
                <w:rFonts w:asciiTheme="majorHAnsi" w:hAnsiTheme="majorHAnsi"/>
                <w:b/>
                <w:sz w:val="22"/>
                <w:szCs w:val="24"/>
                <w:lang w:val="fr-FR"/>
              </w:rPr>
              <w:t>Disorders</w:t>
            </w:r>
            <w:proofErr w:type="spellEnd"/>
          </w:p>
        </w:tc>
      </w:tr>
      <w:tr w:rsidR="00080745" w:rsidRPr="006235F7" w14:paraId="10C77B19" w14:textId="77777777" w:rsidTr="00080745">
        <w:trPr>
          <w:cantSplit/>
        </w:trPr>
        <w:tc>
          <w:tcPr>
            <w:tcW w:w="2974" w:type="dxa"/>
            <w:shd w:val="clear" w:color="auto" w:fill="auto"/>
            <w:vAlign w:val="center"/>
          </w:tcPr>
          <w:p w14:paraId="7601280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Hypotension</w:t>
            </w:r>
          </w:p>
        </w:tc>
        <w:tc>
          <w:tcPr>
            <w:tcW w:w="1541" w:type="dxa"/>
            <w:shd w:val="clear" w:color="auto" w:fill="auto"/>
            <w:vAlign w:val="center"/>
          </w:tcPr>
          <w:p w14:paraId="256A8F28"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0402C4E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7949984D"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764CADF"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6CF1955" w14:textId="77777777" w:rsidTr="00080745">
        <w:trPr>
          <w:cantSplit/>
        </w:trPr>
        <w:tc>
          <w:tcPr>
            <w:tcW w:w="2974" w:type="dxa"/>
            <w:shd w:val="clear" w:color="auto" w:fill="auto"/>
            <w:vAlign w:val="center"/>
          </w:tcPr>
          <w:p w14:paraId="4FCA1665"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Vein disorder</w:t>
            </w:r>
          </w:p>
        </w:tc>
        <w:tc>
          <w:tcPr>
            <w:tcW w:w="1541" w:type="dxa"/>
            <w:shd w:val="clear" w:color="auto" w:fill="auto"/>
            <w:vAlign w:val="center"/>
          </w:tcPr>
          <w:p w14:paraId="16C9EFE5"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5C04D771"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(5.0)</w:t>
            </w:r>
          </w:p>
        </w:tc>
        <w:tc>
          <w:tcPr>
            <w:tcW w:w="1500" w:type="dxa"/>
          </w:tcPr>
          <w:p w14:paraId="40C9ED2E"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618" w:type="dxa"/>
            <w:shd w:val="clear" w:color="auto" w:fill="auto"/>
            <w:vAlign w:val="center"/>
          </w:tcPr>
          <w:p w14:paraId="1D9CE377"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r w:rsidR="00080745" w:rsidRPr="006235F7" w14:paraId="2BE0D5B1" w14:textId="77777777" w:rsidTr="00080745">
        <w:trPr>
          <w:cantSplit/>
        </w:trPr>
        <w:tc>
          <w:tcPr>
            <w:tcW w:w="2974" w:type="dxa"/>
            <w:shd w:val="clear" w:color="auto" w:fill="auto"/>
            <w:vAlign w:val="center"/>
          </w:tcPr>
          <w:p w14:paraId="720BA832"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Venous thrombosis</w:t>
            </w:r>
          </w:p>
        </w:tc>
        <w:tc>
          <w:tcPr>
            <w:tcW w:w="1541" w:type="dxa"/>
            <w:shd w:val="clear" w:color="auto" w:fill="auto"/>
            <w:vAlign w:val="center"/>
          </w:tcPr>
          <w:p w14:paraId="44406998"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75" w:type="dxa"/>
            <w:shd w:val="clear" w:color="auto" w:fill="auto"/>
            <w:vAlign w:val="center"/>
          </w:tcPr>
          <w:p w14:paraId="761FC78E"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0 (0.0)</w:t>
            </w:r>
          </w:p>
        </w:tc>
        <w:tc>
          <w:tcPr>
            <w:tcW w:w="1500" w:type="dxa"/>
          </w:tcPr>
          <w:p w14:paraId="3C377C89" w14:textId="77777777" w:rsidR="00080745" w:rsidRPr="006235F7"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(2.4)</w:t>
            </w:r>
          </w:p>
        </w:tc>
        <w:tc>
          <w:tcPr>
            <w:tcW w:w="1618" w:type="dxa"/>
            <w:shd w:val="clear" w:color="auto" w:fill="auto"/>
            <w:vAlign w:val="center"/>
          </w:tcPr>
          <w:p w14:paraId="37B1679D" w14:textId="77777777" w:rsidR="00080745" w:rsidRPr="006235F7" w:rsidDel="00ED6EDA" w:rsidRDefault="00080745" w:rsidP="00080745">
            <w:pPr>
              <w:pStyle w:val="C-BodyText"/>
              <w:spacing w:before="0" w:after="0" w:line="240" w:lineRule="auto"/>
              <w:jc w:val="center"/>
              <w:rPr>
                <w:rFonts w:asciiTheme="majorHAnsi" w:hAnsiTheme="majorHAnsi"/>
                <w:bCs/>
                <w:sz w:val="22"/>
                <w:szCs w:val="24"/>
              </w:rPr>
            </w:pPr>
            <w:r w:rsidRPr="006235F7">
              <w:rPr>
                <w:rFonts w:asciiTheme="majorHAnsi" w:hAnsiTheme="majorHAnsi"/>
                <w:bCs/>
                <w:sz w:val="22"/>
                <w:szCs w:val="24"/>
              </w:rPr>
              <w:t>1 (1.3)</w:t>
            </w:r>
          </w:p>
        </w:tc>
      </w:tr>
    </w:tbl>
    <w:p w14:paraId="6B72B11A" w14:textId="77777777" w:rsidR="00080745" w:rsidRPr="0039396F" w:rsidRDefault="00080745" w:rsidP="00080745">
      <w:pPr>
        <w:rPr>
          <w:rFonts w:asciiTheme="majorHAnsi" w:hAnsiTheme="majorHAnsi" w:cs="Times New Roman"/>
          <w:szCs w:val="24"/>
        </w:rPr>
      </w:pPr>
      <w:proofErr w:type="spellStart"/>
      <w:r w:rsidRPr="006235F7">
        <w:rPr>
          <w:rFonts w:asciiTheme="majorHAnsi" w:hAnsiTheme="majorHAnsi" w:cs="Times New Roman"/>
          <w:sz w:val="22"/>
          <w:szCs w:val="24"/>
          <w:vertAlign w:val="superscript"/>
        </w:rPr>
        <w:t>a</w:t>
      </w:r>
      <w:proofErr w:type="spellEnd"/>
      <w:r w:rsidRPr="006235F7">
        <w:rPr>
          <w:rFonts w:asciiTheme="majorHAnsi" w:hAnsiTheme="majorHAnsi" w:cs="Times New Roman"/>
          <w:sz w:val="22"/>
          <w:szCs w:val="24"/>
          <w:vertAlign w:val="superscript"/>
        </w:rPr>
        <w:t xml:space="preserve"> </w:t>
      </w:r>
      <w:r w:rsidRPr="006235F7">
        <w:rPr>
          <w:rFonts w:asciiTheme="majorHAnsi" w:hAnsiTheme="majorHAnsi" w:cs="Times New Roman"/>
          <w:sz w:val="22"/>
          <w:szCs w:val="24"/>
        </w:rPr>
        <w:t xml:space="preserve">Includes rash and rash </w:t>
      </w:r>
      <w:proofErr w:type="spellStart"/>
      <w:r w:rsidRPr="006235F7">
        <w:rPr>
          <w:rFonts w:asciiTheme="majorHAnsi" w:hAnsiTheme="majorHAnsi" w:cs="Times New Roman"/>
          <w:sz w:val="22"/>
          <w:szCs w:val="24"/>
        </w:rPr>
        <w:t>papular</w:t>
      </w:r>
      <w:proofErr w:type="spellEnd"/>
    </w:p>
    <w:p w14:paraId="2A012F6D" w14:textId="77777777" w:rsidR="00080745" w:rsidRPr="0039396F" w:rsidRDefault="00080745" w:rsidP="00443A5D">
      <w:pPr>
        <w:pStyle w:val="C-BodyText"/>
        <w:keepNext/>
        <w:spacing w:before="200" w:line="240" w:lineRule="auto"/>
        <w:rPr>
          <w:rFonts w:asciiTheme="majorHAnsi" w:hAnsiTheme="majorHAnsi"/>
          <w:b/>
          <w:i/>
          <w:szCs w:val="24"/>
        </w:rPr>
      </w:pPr>
      <w:proofErr w:type="spellStart"/>
      <w:r w:rsidRPr="0039396F">
        <w:rPr>
          <w:rFonts w:asciiTheme="majorHAnsi" w:hAnsiTheme="majorHAnsi"/>
          <w:b/>
          <w:i/>
          <w:szCs w:val="24"/>
        </w:rPr>
        <w:t>Paediatric</w:t>
      </w:r>
      <w:proofErr w:type="spellEnd"/>
      <w:r w:rsidRPr="0039396F">
        <w:rPr>
          <w:rFonts w:asciiTheme="majorHAnsi" w:hAnsiTheme="majorHAnsi"/>
          <w:b/>
          <w:i/>
          <w:szCs w:val="24"/>
        </w:rPr>
        <w:t xml:space="preserve"> </w:t>
      </w:r>
      <w:r w:rsidR="0038001F">
        <w:rPr>
          <w:rFonts w:asciiTheme="majorHAnsi" w:hAnsiTheme="majorHAnsi"/>
          <w:b/>
          <w:i/>
          <w:szCs w:val="24"/>
        </w:rPr>
        <w:t>P</w:t>
      </w:r>
      <w:r w:rsidRPr="0039396F">
        <w:rPr>
          <w:rFonts w:asciiTheme="majorHAnsi" w:hAnsiTheme="majorHAnsi"/>
          <w:b/>
          <w:i/>
          <w:szCs w:val="24"/>
        </w:rPr>
        <w:t>atients</w:t>
      </w:r>
    </w:p>
    <w:p w14:paraId="0A85418B" w14:textId="77777777" w:rsidR="00080745" w:rsidRPr="0039396F" w:rsidRDefault="00080745" w:rsidP="00080745">
      <w:pPr>
        <w:rPr>
          <w:rFonts w:asciiTheme="majorHAnsi" w:hAnsiTheme="majorHAnsi" w:cs="Times New Roman"/>
          <w:szCs w:val="24"/>
        </w:rPr>
      </w:pPr>
      <w:r w:rsidRPr="0039396F">
        <w:rPr>
          <w:rFonts w:asciiTheme="majorHAnsi" w:hAnsiTheme="majorHAnsi" w:cs="Times New Roman"/>
          <w:szCs w:val="24"/>
        </w:rPr>
        <w:t xml:space="preserve">The following ADRs were reported &gt;10% </w:t>
      </w:r>
      <w:r w:rsidRPr="0039396F">
        <w:rPr>
          <w:rFonts w:asciiTheme="majorHAnsi" w:hAnsiTheme="majorHAnsi" w:cs="Times New Roman"/>
          <w:szCs w:val="24"/>
          <w:lang w:val="en-US"/>
        </w:rPr>
        <w:t xml:space="preserve">in the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w:t>
      </w:r>
      <w:proofErr w:type="spellStart"/>
      <w:r w:rsidRPr="0039396F">
        <w:rPr>
          <w:rFonts w:asciiTheme="majorHAnsi" w:hAnsiTheme="majorHAnsi" w:cs="Times New Roman"/>
          <w:szCs w:val="24"/>
          <w:lang w:val="en-US"/>
        </w:rPr>
        <w:t>aHUS</w:t>
      </w:r>
      <w:proofErr w:type="spellEnd"/>
      <w:r w:rsidRPr="0039396F">
        <w:rPr>
          <w:rFonts w:asciiTheme="majorHAnsi" w:hAnsiTheme="majorHAnsi" w:cs="Times New Roman"/>
          <w:szCs w:val="24"/>
          <w:lang w:val="en-US"/>
        </w:rPr>
        <w:t xml:space="preserve"> </w:t>
      </w:r>
      <w:r w:rsidRPr="0050524F">
        <w:rPr>
          <w:rFonts w:asciiTheme="majorHAnsi" w:hAnsiTheme="majorHAnsi" w:cs="Times New Roman"/>
          <w:szCs w:val="24"/>
          <w:lang w:val="en-US"/>
        </w:rPr>
        <w:t>Study</w:t>
      </w:r>
      <w:r w:rsidRPr="0039396F">
        <w:rPr>
          <w:rFonts w:asciiTheme="majorHAnsi" w:hAnsiTheme="majorHAnsi" w:cs="Times New Roman"/>
          <w:i/>
          <w:szCs w:val="24"/>
          <w:lang w:val="en-US"/>
        </w:rPr>
        <w:t xml:space="preserve"> C10-003</w:t>
      </w:r>
      <w:r w:rsidRPr="0039396F">
        <w:rPr>
          <w:rFonts w:asciiTheme="majorHAnsi" w:hAnsiTheme="majorHAnsi" w:cs="Times New Roman"/>
          <w:szCs w:val="24"/>
        </w:rPr>
        <w:t xml:space="preserve">: </w:t>
      </w:r>
    </w:p>
    <w:p w14:paraId="353015EA" w14:textId="77777777" w:rsidR="00080745" w:rsidRPr="0039396F" w:rsidRDefault="00080745" w:rsidP="009F3AF8">
      <w:pPr>
        <w:pStyle w:val="ListParagraph"/>
        <w:numPr>
          <w:ilvl w:val="0"/>
          <w:numId w:val="7"/>
        </w:numPr>
        <w:rPr>
          <w:rFonts w:asciiTheme="majorHAnsi" w:hAnsiTheme="majorHAnsi" w:cs="Times New Roman"/>
          <w:szCs w:val="24"/>
        </w:rPr>
      </w:pPr>
      <w:r w:rsidRPr="0039396F">
        <w:rPr>
          <w:rFonts w:asciiTheme="majorHAnsi" w:hAnsiTheme="majorHAnsi" w:cs="Times New Roman"/>
          <w:szCs w:val="24"/>
        </w:rPr>
        <w:t xml:space="preserve">3 (16.8%) respiratory tract infection viral (includes preferred terms: respiratory tract infection viral, viral upper respiratory tract infection and respiratory syncytial virus infection) in 1 month to &lt;12 </w:t>
      </w:r>
      <w:proofErr w:type="spellStart"/>
      <w:r w:rsidRPr="0039396F">
        <w:rPr>
          <w:rFonts w:asciiTheme="majorHAnsi" w:hAnsiTheme="majorHAnsi" w:cs="Times New Roman"/>
          <w:szCs w:val="24"/>
        </w:rPr>
        <w:t>yrs</w:t>
      </w:r>
      <w:proofErr w:type="spellEnd"/>
      <w:r w:rsidRPr="0039396F">
        <w:rPr>
          <w:rFonts w:asciiTheme="majorHAnsi" w:hAnsiTheme="majorHAnsi" w:cs="Times New Roman"/>
          <w:szCs w:val="24"/>
        </w:rPr>
        <w:t xml:space="preserve"> patients</w:t>
      </w:r>
    </w:p>
    <w:p w14:paraId="10C57020" w14:textId="77777777" w:rsidR="00080745" w:rsidRPr="0039396F" w:rsidRDefault="00080745" w:rsidP="009F3AF8">
      <w:pPr>
        <w:pStyle w:val="ListParagraph"/>
        <w:numPr>
          <w:ilvl w:val="0"/>
          <w:numId w:val="7"/>
        </w:numPr>
        <w:rPr>
          <w:rFonts w:asciiTheme="majorHAnsi" w:hAnsiTheme="majorHAnsi" w:cs="Times New Roman"/>
          <w:szCs w:val="24"/>
        </w:rPr>
      </w:pPr>
      <w:r w:rsidRPr="0039396F">
        <w:rPr>
          <w:rFonts w:asciiTheme="majorHAnsi" w:hAnsiTheme="majorHAnsi" w:cs="Times New Roman"/>
          <w:szCs w:val="24"/>
        </w:rPr>
        <w:t xml:space="preserve">2 (11.8%) rash in 1 month to &lt;12 </w:t>
      </w:r>
      <w:proofErr w:type="spellStart"/>
      <w:r w:rsidRPr="0039396F">
        <w:rPr>
          <w:rFonts w:asciiTheme="majorHAnsi" w:hAnsiTheme="majorHAnsi" w:cs="Times New Roman"/>
          <w:szCs w:val="24"/>
        </w:rPr>
        <w:t>yrs</w:t>
      </w:r>
      <w:proofErr w:type="spellEnd"/>
      <w:r w:rsidRPr="0039396F">
        <w:rPr>
          <w:rFonts w:asciiTheme="majorHAnsi" w:hAnsiTheme="majorHAnsi" w:cs="Times New Roman"/>
          <w:szCs w:val="24"/>
        </w:rPr>
        <w:t xml:space="preserve"> patients</w:t>
      </w:r>
    </w:p>
    <w:p w14:paraId="016B455C" w14:textId="3FD5829F" w:rsidR="008D01CD" w:rsidRDefault="00FB566F" w:rsidP="00443A5D">
      <w:pPr>
        <w:spacing w:before="120"/>
        <w:rPr>
          <w:lang w:val="en-US"/>
        </w:rPr>
      </w:pPr>
      <w:r>
        <w:rPr>
          <w:lang w:val="en-US"/>
        </w:rPr>
        <w:fldChar w:fldCharType="begin"/>
      </w:r>
      <w:r>
        <w:rPr>
          <w:lang w:val="en-US"/>
        </w:rPr>
        <w:instrText xml:space="preserve"> REF _Ref18588638 \h </w:instrText>
      </w:r>
      <w:r>
        <w:rPr>
          <w:lang w:val="en-US"/>
        </w:rPr>
      </w:r>
      <w:r>
        <w:rPr>
          <w:lang w:val="en-US"/>
        </w:rPr>
        <w:fldChar w:fldCharType="separate"/>
      </w:r>
      <w:r w:rsidR="00AE6672">
        <w:t xml:space="preserve">Table </w:t>
      </w:r>
      <w:r w:rsidR="00AE6672">
        <w:rPr>
          <w:noProof/>
        </w:rPr>
        <w:t>4</w:t>
      </w:r>
      <w:r>
        <w:rPr>
          <w:lang w:val="en-US"/>
        </w:rPr>
        <w:fldChar w:fldCharType="end"/>
      </w:r>
      <w:r w:rsidR="00247559">
        <w:rPr>
          <w:lang w:val="en-US"/>
        </w:rPr>
        <w:t xml:space="preserve"> </w:t>
      </w:r>
      <w:r w:rsidR="00080745" w:rsidRPr="0039396F">
        <w:rPr>
          <w:lang w:val="en-US"/>
        </w:rPr>
        <w:t xml:space="preserve">below </w:t>
      </w:r>
      <w:proofErr w:type="spellStart"/>
      <w:r w:rsidR="00080745" w:rsidRPr="0039396F">
        <w:rPr>
          <w:lang w:val="en-US"/>
        </w:rPr>
        <w:t>summari</w:t>
      </w:r>
      <w:r w:rsidR="00F406F9">
        <w:rPr>
          <w:lang w:val="en-US"/>
        </w:rPr>
        <w:t>s</w:t>
      </w:r>
      <w:r w:rsidR="00080745" w:rsidRPr="0039396F">
        <w:rPr>
          <w:lang w:val="en-US"/>
        </w:rPr>
        <w:t>es</w:t>
      </w:r>
      <w:proofErr w:type="spellEnd"/>
      <w:r w:rsidR="00080745" w:rsidRPr="0039396F">
        <w:rPr>
          <w:lang w:val="en-US"/>
        </w:rPr>
        <w:t xml:space="preserve"> the adverse events reported in &gt;1% to &lt;10% of </w:t>
      </w:r>
      <w:proofErr w:type="spellStart"/>
      <w:r w:rsidR="00080745" w:rsidRPr="0039396F">
        <w:rPr>
          <w:lang w:val="en-US"/>
        </w:rPr>
        <w:t>paediatric</w:t>
      </w:r>
      <w:proofErr w:type="spellEnd"/>
      <w:r w:rsidR="00080745" w:rsidRPr="0039396F">
        <w:rPr>
          <w:lang w:val="en-US"/>
        </w:rPr>
        <w:t xml:space="preserve"> patients enrolled in </w:t>
      </w:r>
      <w:proofErr w:type="spellStart"/>
      <w:r w:rsidR="00080745" w:rsidRPr="0039396F">
        <w:rPr>
          <w:lang w:val="en-US"/>
        </w:rPr>
        <w:t>aHUS</w:t>
      </w:r>
      <w:proofErr w:type="spellEnd"/>
      <w:r w:rsidR="00080745" w:rsidRPr="0039396F">
        <w:rPr>
          <w:lang w:val="en-US"/>
        </w:rPr>
        <w:t xml:space="preserve"> </w:t>
      </w:r>
      <w:r w:rsidR="00080745" w:rsidRPr="0050524F">
        <w:rPr>
          <w:lang w:val="en-US"/>
        </w:rPr>
        <w:t>Study</w:t>
      </w:r>
      <w:r w:rsidR="00080745" w:rsidRPr="0039396F">
        <w:rPr>
          <w:i/>
          <w:lang w:val="en-US"/>
        </w:rPr>
        <w:t xml:space="preserve"> C10-003</w:t>
      </w:r>
      <w:r w:rsidR="00080745" w:rsidRPr="0039396F">
        <w:rPr>
          <w:lang w:val="en-US"/>
        </w:rPr>
        <w:t>.</w:t>
      </w:r>
    </w:p>
    <w:p w14:paraId="161D6FDB" w14:textId="77777777" w:rsidR="008D01CD" w:rsidRDefault="008D01CD">
      <w:pPr>
        <w:spacing w:after="200" w:line="276" w:lineRule="auto"/>
        <w:rPr>
          <w:lang w:val="en-US"/>
        </w:rPr>
      </w:pPr>
      <w:r>
        <w:rPr>
          <w:lang w:val="en-US"/>
        </w:rPr>
        <w:br w:type="page"/>
      </w:r>
    </w:p>
    <w:p w14:paraId="0B5083B6" w14:textId="6232226B" w:rsidR="00080745" w:rsidRPr="00875260" w:rsidRDefault="00FB566F" w:rsidP="00AE2D6F">
      <w:pPr>
        <w:pStyle w:val="Caption"/>
        <w:spacing w:after="120"/>
        <w:jc w:val="left"/>
        <w:rPr>
          <w:rFonts w:asciiTheme="majorHAnsi" w:hAnsiTheme="majorHAnsi"/>
          <w:szCs w:val="24"/>
        </w:rPr>
      </w:pPr>
      <w:bookmarkStart w:id="8" w:name="_Ref18588638"/>
      <w:r>
        <w:lastRenderedPageBreak/>
        <w:t xml:space="preserve">Table </w:t>
      </w:r>
      <w:r w:rsidR="00345186">
        <w:fldChar w:fldCharType="begin"/>
      </w:r>
      <w:r w:rsidR="00345186">
        <w:instrText xml:space="preserve"> SEQ Table \* ARABIC </w:instrText>
      </w:r>
      <w:r w:rsidR="00345186">
        <w:fldChar w:fldCharType="separate"/>
      </w:r>
      <w:r w:rsidR="00345186">
        <w:rPr>
          <w:noProof/>
        </w:rPr>
        <w:t>4</w:t>
      </w:r>
      <w:r w:rsidR="00345186">
        <w:fldChar w:fldCharType="end"/>
      </w:r>
      <w:bookmarkEnd w:id="8"/>
      <w:r>
        <w:t xml:space="preserve">: </w:t>
      </w:r>
      <w:r w:rsidR="00080745" w:rsidRPr="00875260">
        <w:rPr>
          <w:rFonts w:asciiTheme="majorHAnsi" w:hAnsiTheme="majorHAnsi"/>
          <w:szCs w:val="24"/>
        </w:rPr>
        <w:t xml:space="preserve">Per Patient Incidence of Adverse Drug Reactions in &gt;1% to &lt;10% of Paediatric Patients Enrolled in aHUS </w:t>
      </w:r>
      <w:r w:rsidR="00080745" w:rsidRPr="00443A5D">
        <w:rPr>
          <w:rFonts w:asciiTheme="majorHAnsi" w:hAnsiTheme="majorHAnsi"/>
          <w:i/>
          <w:szCs w:val="24"/>
        </w:rPr>
        <w:t>C10-003</w:t>
      </w:r>
    </w:p>
    <w:tbl>
      <w:tblPr>
        <w:tblStyle w:val="TableGrid"/>
        <w:tblW w:w="0" w:type="auto"/>
        <w:tblInd w:w="648" w:type="dxa"/>
        <w:tblLook w:val="04A0" w:firstRow="1" w:lastRow="0" w:firstColumn="1" w:lastColumn="0" w:noHBand="0" w:noVBand="1"/>
      </w:tblPr>
      <w:tblGrid>
        <w:gridCol w:w="4050"/>
        <w:gridCol w:w="2160"/>
        <w:gridCol w:w="1710"/>
      </w:tblGrid>
      <w:tr w:rsidR="00080745" w:rsidRPr="006235F7" w14:paraId="7B5C51A9" w14:textId="77777777" w:rsidTr="00C340EA">
        <w:trPr>
          <w:trHeight w:val="253"/>
          <w:tblHeader/>
        </w:trPr>
        <w:tc>
          <w:tcPr>
            <w:tcW w:w="4050" w:type="dxa"/>
            <w:vMerge w:val="restart"/>
            <w:vAlign w:val="center"/>
          </w:tcPr>
          <w:p w14:paraId="2AD993D1" w14:textId="77777777" w:rsidR="00080745" w:rsidRPr="006235F7" w:rsidRDefault="00080745" w:rsidP="00080745">
            <w:pPr>
              <w:rPr>
                <w:rFonts w:asciiTheme="majorHAnsi" w:hAnsiTheme="majorHAnsi"/>
                <w:b/>
                <w:sz w:val="22"/>
                <w:szCs w:val="24"/>
                <w:lang w:val="fr-FR"/>
              </w:rPr>
            </w:pPr>
            <w:r w:rsidRPr="006235F7">
              <w:rPr>
                <w:rFonts w:asciiTheme="majorHAnsi" w:hAnsiTheme="majorHAnsi"/>
                <w:b/>
                <w:sz w:val="22"/>
                <w:szCs w:val="24"/>
                <w:lang w:val="fr-FR"/>
              </w:rPr>
              <w:t>MedDRA SOC</w:t>
            </w:r>
          </w:p>
        </w:tc>
        <w:tc>
          <w:tcPr>
            <w:tcW w:w="3870" w:type="dxa"/>
            <w:gridSpan w:val="2"/>
          </w:tcPr>
          <w:p w14:paraId="78088ED4" w14:textId="77777777" w:rsidR="00080745" w:rsidRPr="006235F7" w:rsidRDefault="00080745" w:rsidP="00080745">
            <w:pPr>
              <w:jc w:val="center"/>
              <w:rPr>
                <w:rFonts w:asciiTheme="majorHAnsi" w:hAnsiTheme="majorHAnsi"/>
                <w:b/>
                <w:color w:val="000000"/>
                <w:sz w:val="22"/>
                <w:szCs w:val="24"/>
              </w:rPr>
            </w:pPr>
            <w:proofErr w:type="spellStart"/>
            <w:r w:rsidRPr="006235F7">
              <w:rPr>
                <w:rFonts w:asciiTheme="majorHAnsi" w:hAnsiTheme="majorHAnsi"/>
                <w:b/>
                <w:sz w:val="22"/>
                <w:szCs w:val="24"/>
                <w:lang w:val="fr-FR"/>
              </w:rPr>
              <w:t>Number</w:t>
            </w:r>
            <w:proofErr w:type="spellEnd"/>
            <w:r w:rsidRPr="006235F7">
              <w:rPr>
                <w:rFonts w:asciiTheme="majorHAnsi" w:hAnsiTheme="majorHAnsi"/>
                <w:b/>
                <w:sz w:val="22"/>
                <w:szCs w:val="24"/>
                <w:lang w:val="fr-FR"/>
              </w:rPr>
              <w:t xml:space="preserve"> (%) of Patients</w:t>
            </w:r>
          </w:p>
        </w:tc>
      </w:tr>
      <w:tr w:rsidR="00080745" w:rsidRPr="006235F7" w14:paraId="240BB5D8" w14:textId="77777777" w:rsidTr="00C340EA">
        <w:trPr>
          <w:trHeight w:val="149"/>
          <w:tblHeader/>
        </w:trPr>
        <w:tc>
          <w:tcPr>
            <w:tcW w:w="4050" w:type="dxa"/>
            <w:vMerge/>
          </w:tcPr>
          <w:p w14:paraId="1FB5C58B" w14:textId="77777777" w:rsidR="00080745" w:rsidRPr="006235F7" w:rsidRDefault="00080745" w:rsidP="00080745">
            <w:pPr>
              <w:rPr>
                <w:rFonts w:asciiTheme="majorHAnsi" w:hAnsiTheme="majorHAnsi"/>
                <w:b/>
                <w:color w:val="000000"/>
                <w:sz w:val="22"/>
                <w:szCs w:val="24"/>
              </w:rPr>
            </w:pPr>
          </w:p>
        </w:tc>
        <w:tc>
          <w:tcPr>
            <w:tcW w:w="2160" w:type="dxa"/>
          </w:tcPr>
          <w:p w14:paraId="1B6836CC" w14:textId="77777777" w:rsidR="00080745" w:rsidRPr="006235F7" w:rsidRDefault="00080745" w:rsidP="00080745">
            <w:pPr>
              <w:jc w:val="center"/>
              <w:rPr>
                <w:rFonts w:asciiTheme="majorHAnsi" w:hAnsiTheme="majorHAnsi"/>
                <w:b/>
                <w:color w:val="000000"/>
                <w:sz w:val="22"/>
                <w:szCs w:val="24"/>
              </w:rPr>
            </w:pPr>
            <w:r w:rsidRPr="006235F7">
              <w:rPr>
                <w:rFonts w:asciiTheme="majorHAnsi" w:hAnsiTheme="majorHAnsi"/>
                <w:b/>
                <w:color w:val="000000"/>
                <w:sz w:val="22"/>
                <w:szCs w:val="24"/>
              </w:rPr>
              <w:t xml:space="preserve">1 month to &lt;12 </w:t>
            </w:r>
            <w:proofErr w:type="spellStart"/>
            <w:r w:rsidRPr="006235F7">
              <w:rPr>
                <w:rFonts w:asciiTheme="majorHAnsi" w:hAnsiTheme="majorHAnsi"/>
                <w:b/>
                <w:color w:val="000000"/>
                <w:sz w:val="22"/>
                <w:szCs w:val="24"/>
              </w:rPr>
              <w:t>yrs</w:t>
            </w:r>
            <w:proofErr w:type="spellEnd"/>
          </w:p>
          <w:p w14:paraId="080AE6A9" w14:textId="77777777" w:rsidR="00080745" w:rsidRPr="006235F7" w:rsidRDefault="00080745" w:rsidP="00080745">
            <w:pPr>
              <w:jc w:val="center"/>
              <w:rPr>
                <w:rFonts w:asciiTheme="majorHAnsi" w:hAnsiTheme="majorHAnsi"/>
                <w:b/>
                <w:color w:val="000000"/>
                <w:sz w:val="22"/>
                <w:szCs w:val="24"/>
              </w:rPr>
            </w:pPr>
            <w:r w:rsidRPr="006235F7">
              <w:rPr>
                <w:rFonts w:asciiTheme="majorHAnsi" w:hAnsiTheme="majorHAnsi"/>
                <w:b/>
                <w:color w:val="000000"/>
                <w:sz w:val="22"/>
                <w:szCs w:val="24"/>
              </w:rPr>
              <w:t>(n=18)</w:t>
            </w:r>
          </w:p>
        </w:tc>
        <w:tc>
          <w:tcPr>
            <w:tcW w:w="1710" w:type="dxa"/>
          </w:tcPr>
          <w:p w14:paraId="253F9DDD" w14:textId="77777777" w:rsidR="00080745" w:rsidRPr="006235F7" w:rsidRDefault="00080745" w:rsidP="00080745">
            <w:pPr>
              <w:autoSpaceDE w:val="0"/>
              <w:autoSpaceDN w:val="0"/>
              <w:adjustRightInd w:val="0"/>
              <w:jc w:val="center"/>
              <w:rPr>
                <w:rFonts w:asciiTheme="majorHAnsi" w:hAnsiTheme="majorHAnsi"/>
                <w:b/>
                <w:color w:val="000000"/>
                <w:sz w:val="22"/>
                <w:szCs w:val="24"/>
              </w:rPr>
            </w:pPr>
            <w:r w:rsidRPr="006235F7">
              <w:rPr>
                <w:rFonts w:asciiTheme="majorHAnsi" w:hAnsiTheme="majorHAnsi"/>
                <w:b/>
                <w:color w:val="000000"/>
                <w:sz w:val="22"/>
                <w:szCs w:val="24"/>
              </w:rPr>
              <w:t>Total</w:t>
            </w:r>
          </w:p>
          <w:p w14:paraId="1497F12B" w14:textId="77777777" w:rsidR="00080745" w:rsidRPr="006235F7" w:rsidRDefault="00080745" w:rsidP="00080745">
            <w:pPr>
              <w:autoSpaceDE w:val="0"/>
              <w:autoSpaceDN w:val="0"/>
              <w:adjustRightInd w:val="0"/>
              <w:jc w:val="center"/>
              <w:rPr>
                <w:rFonts w:asciiTheme="majorHAnsi" w:hAnsiTheme="majorHAnsi"/>
                <w:b/>
                <w:color w:val="000000"/>
                <w:sz w:val="22"/>
                <w:szCs w:val="24"/>
              </w:rPr>
            </w:pPr>
            <w:r w:rsidRPr="006235F7">
              <w:rPr>
                <w:rFonts w:asciiTheme="majorHAnsi" w:hAnsiTheme="majorHAnsi"/>
                <w:b/>
                <w:color w:val="000000"/>
                <w:sz w:val="22"/>
                <w:szCs w:val="24"/>
              </w:rPr>
              <w:t>(n=22)</w:t>
            </w:r>
          </w:p>
        </w:tc>
      </w:tr>
      <w:tr w:rsidR="00080745" w:rsidRPr="006235F7" w14:paraId="2CE7860A" w14:textId="77777777" w:rsidTr="00926FE7">
        <w:trPr>
          <w:trHeight w:val="253"/>
        </w:trPr>
        <w:tc>
          <w:tcPr>
            <w:tcW w:w="7920" w:type="dxa"/>
            <w:gridSpan w:val="3"/>
          </w:tcPr>
          <w:p w14:paraId="704BF449" w14:textId="77777777" w:rsidR="00080745" w:rsidRPr="006235F7" w:rsidRDefault="00080745" w:rsidP="00080745">
            <w:pPr>
              <w:rPr>
                <w:rFonts w:asciiTheme="majorHAnsi" w:hAnsiTheme="majorHAnsi"/>
                <w:b/>
                <w:color w:val="000000"/>
                <w:sz w:val="22"/>
                <w:szCs w:val="24"/>
              </w:rPr>
            </w:pPr>
            <w:r w:rsidRPr="006235F7">
              <w:rPr>
                <w:rFonts w:asciiTheme="majorHAnsi" w:hAnsiTheme="majorHAnsi"/>
                <w:b/>
                <w:color w:val="000000"/>
                <w:sz w:val="22"/>
                <w:szCs w:val="24"/>
              </w:rPr>
              <w:t>Eye Disorders</w:t>
            </w:r>
          </w:p>
        </w:tc>
      </w:tr>
      <w:tr w:rsidR="00080745" w:rsidRPr="006235F7" w14:paraId="3202949D" w14:textId="77777777" w:rsidTr="00C340EA">
        <w:trPr>
          <w:trHeight w:val="266"/>
        </w:trPr>
        <w:tc>
          <w:tcPr>
            <w:tcW w:w="4050" w:type="dxa"/>
          </w:tcPr>
          <w:p w14:paraId="490DE84D" w14:textId="77777777" w:rsidR="00080745" w:rsidRPr="006235F7" w:rsidRDefault="00080745" w:rsidP="00080745">
            <w:pPr>
              <w:pStyle w:val="C-BodyText"/>
              <w:spacing w:before="0" w:after="0" w:line="240" w:lineRule="auto"/>
              <w:ind w:left="240"/>
              <w:rPr>
                <w:rFonts w:asciiTheme="majorHAnsi" w:hAnsiTheme="majorHAnsi"/>
                <w:sz w:val="22"/>
                <w:szCs w:val="24"/>
                <w:lang w:val="fr-FR"/>
              </w:rPr>
            </w:pPr>
            <w:r w:rsidRPr="006235F7">
              <w:rPr>
                <w:rFonts w:asciiTheme="majorHAnsi" w:hAnsiTheme="majorHAnsi"/>
                <w:color w:val="000000"/>
                <w:sz w:val="22"/>
                <w:szCs w:val="24"/>
              </w:rPr>
              <w:t>Eye discharge</w:t>
            </w:r>
          </w:p>
        </w:tc>
        <w:tc>
          <w:tcPr>
            <w:tcW w:w="2160" w:type="dxa"/>
          </w:tcPr>
          <w:p w14:paraId="3595B46E"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4B37AD5D"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73E702F1" w14:textId="77777777" w:rsidTr="00926FE7">
        <w:trPr>
          <w:trHeight w:val="192"/>
        </w:trPr>
        <w:tc>
          <w:tcPr>
            <w:tcW w:w="7920" w:type="dxa"/>
            <w:gridSpan w:val="3"/>
          </w:tcPr>
          <w:p w14:paraId="280C1DFC" w14:textId="77777777" w:rsidR="00080745" w:rsidRPr="006235F7" w:rsidRDefault="00080745" w:rsidP="00080745">
            <w:pPr>
              <w:rPr>
                <w:rFonts w:asciiTheme="majorHAnsi" w:hAnsiTheme="majorHAnsi"/>
                <w:b/>
                <w:color w:val="000000"/>
                <w:sz w:val="22"/>
                <w:szCs w:val="24"/>
              </w:rPr>
            </w:pPr>
            <w:r w:rsidRPr="006235F7">
              <w:rPr>
                <w:rFonts w:asciiTheme="majorHAnsi" w:hAnsiTheme="majorHAnsi"/>
                <w:b/>
                <w:color w:val="000000"/>
                <w:sz w:val="22"/>
                <w:szCs w:val="24"/>
              </w:rPr>
              <w:t>Gastrointestinal Disorders</w:t>
            </w:r>
          </w:p>
        </w:tc>
      </w:tr>
      <w:tr w:rsidR="00080745" w:rsidRPr="006235F7" w14:paraId="35750544" w14:textId="77777777" w:rsidTr="00C340EA">
        <w:trPr>
          <w:trHeight w:val="253"/>
        </w:trPr>
        <w:tc>
          <w:tcPr>
            <w:tcW w:w="4050" w:type="dxa"/>
          </w:tcPr>
          <w:p w14:paraId="0068D2D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Abdominal discomfort</w:t>
            </w:r>
          </w:p>
        </w:tc>
        <w:tc>
          <w:tcPr>
            <w:tcW w:w="2160" w:type="dxa"/>
          </w:tcPr>
          <w:p w14:paraId="506C2165"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5F4A037F"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204A2151" w14:textId="77777777" w:rsidTr="00C340EA">
        <w:trPr>
          <w:trHeight w:val="266"/>
        </w:trPr>
        <w:tc>
          <w:tcPr>
            <w:tcW w:w="4050" w:type="dxa"/>
          </w:tcPr>
          <w:p w14:paraId="6557CB48" w14:textId="77777777" w:rsidR="00080745" w:rsidRPr="006235F7" w:rsidRDefault="00080745" w:rsidP="00080745">
            <w:pPr>
              <w:pStyle w:val="C-BodyText"/>
              <w:spacing w:before="0" w:after="0" w:line="240" w:lineRule="auto"/>
              <w:ind w:left="240"/>
              <w:rPr>
                <w:rFonts w:asciiTheme="majorHAnsi" w:hAnsiTheme="majorHAnsi"/>
                <w:sz w:val="22"/>
                <w:szCs w:val="24"/>
              </w:rPr>
            </w:pPr>
            <w:proofErr w:type="spellStart"/>
            <w:r w:rsidRPr="006235F7">
              <w:rPr>
                <w:rFonts w:asciiTheme="majorHAnsi" w:hAnsiTheme="majorHAnsi"/>
                <w:sz w:val="22"/>
                <w:szCs w:val="24"/>
              </w:rPr>
              <w:t>Diarrhoea</w:t>
            </w:r>
            <w:proofErr w:type="spellEnd"/>
          </w:p>
        </w:tc>
        <w:tc>
          <w:tcPr>
            <w:tcW w:w="2160" w:type="dxa"/>
          </w:tcPr>
          <w:p w14:paraId="741E713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4EEAC9BC"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2F1B807F" w14:textId="77777777" w:rsidTr="00C340EA">
        <w:trPr>
          <w:trHeight w:val="253"/>
        </w:trPr>
        <w:tc>
          <w:tcPr>
            <w:tcW w:w="4050" w:type="dxa"/>
          </w:tcPr>
          <w:p w14:paraId="56ECE91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Dyspepsia</w:t>
            </w:r>
          </w:p>
        </w:tc>
        <w:tc>
          <w:tcPr>
            <w:tcW w:w="2160" w:type="dxa"/>
          </w:tcPr>
          <w:p w14:paraId="59B791FD" w14:textId="77777777" w:rsidR="00080745" w:rsidRPr="006235F7" w:rsidRDefault="00080745" w:rsidP="00080745">
            <w:pPr>
              <w:jc w:val="center"/>
              <w:rPr>
                <w:rFonts w:asciiTheme="majorHAnsi" w:hAnsiTheme="majorHAnsi"/>
                <w:sz w:val="22"/>
                <w:szCs w:val="24"/>
                <w:lang w:val="fr-FR"/>
              </w:rPr>
            </w:pPr>
            <w:r w:rsidRPr="006235F7">
              <w:rPr>
                <w:rFonts w:asciiTheme="majorHAnsi" w:hAnsiTheme="majorHAnsi"/>
                <w:color w:val="000000"/>
                <w:sz w:val="22"/>
                <w:szCs w:val="24"/>
              </w:rPr>
              <w:t>0 (0.0)</w:t>
            </w:r>
          </w:p>
        </w:tc>
        <w:tc>
          <w:tcPr>
            <w:tcW w:w="1710" w:type="dxa"/>
          </w:tcPr>
          <w:p w14:paraId="7268874D"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794A9C40" w14:textId="77777777" w:rsidTr="00926FE7">
        <w:trPr>
          <w:trHeight w:val="228"/>
        </w:trPr>
        <w:tc>
          <w:tcPr>
            <w:tcW w:w="7920" w:type="dxa"/>
            <w:gridSpan w:val="3"/>
          </w:tcPr>
          <w:p w14:paraId="4D1D54CA" w14:textId="77777777" w:rsidR="00080745" w:rsidRPr="006235F7" w:rsidRDefault="00080745" w:rsidP="00080745">
            <w:pPr>
              <w:rPr>
                <w:rFonts w:asciiTheme="majorHAnsi" w:hAnsiTheme="majorHAnsi"/>
                <w:b/>
                <w:sz w:val="22"/>
                <w:szCs w:val="24"/>
              </w:rPr>
            </w:pPr>
            <w:r w:rsidRPr="006235F7">
              <w:rPr>
                <w:rFonts w:asciiTheme="majorHAnsi" w:hAnsiTheme="majorHAnsi"/>
                <w:b/>
                <w:color w:val="000000"/>
                <w:sz w:val="22"/>
                <w:szCs w:val="24"/>
              </w:rPr>
              <w:t>General Disorders and Administration Site Conditions</w:t>
            </w:r>
          </w:p>
        </w:tc>
      </w:tr>
      <w:tr w:rsidR="00080745" w:rsidRPr="006235F7" w14:paraId="0F67ABD0" w14:textId="77777777" w:rsidTr="00C340EA">
        <w:trPr>
          <w:trHeight w:val="318"/>
        </w:trPr>
        <w:tc>
          <w:tcPr>
            <w:tcW w:w="4050" w:type="dxa"/>
          </w:tcPr>
          <w:p w14:paraId="3E593F68"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Injection site rash</w:t>
            </w:r>
          </w:p>
        </w:tc>
        <w:tc>
          <w:tcPr>
            <w:tcW w:w="2160" w:type="dxa"/>
          </w:tcPr>
          <w:p w14:paraId="00E251E0"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056BB0B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4FCB80FA" w14:textId="77777777" w:rsidTr="00C340EA">
        <w:trPr>
          <w:trHeight w:val="264"/>
        </w:trPr>
        <w:tc>
          <w:tcPr>
            <w:tcW w:w="4050" w:type="dxa"/>
          </w:tcPr>
          <w:p w14:paraId="1736FA2D"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Pain</w:t>
            </w:r>
          </w:p>
        </w:tc>
        <w:tc>
          <w:tcPr>
            <w:tcW w:w="2160" w:type="dxa"/>
          </w:tcPr>
          <w:p w14:paraId="33285FF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2EF6DEB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59834A55" w14:textId="77777777" w:rsidTr="00926FE7">
        <w:trPr>
          <w:trHeight w:val="296"/>
        </w:trPr>
        <w:tc>
          <w:tcPr>
            <w:tcW w:w="7920" w:type="dxa"/>
            <w:gridSpan w:val="3"/>
          </w:tcPr>
          <w:p w14:paraId="4D1FD6E1" w14:textId="77777777" w:rsidR="00080745" w:rsidRPr="006235F7" w:rsidRDefault="00080745" w:rsidP="00080745">
            <w:pPr>
              <w:rPr>
                <w:rFonts w:asciiTheme="majorHAnsi" w:hAnsiTheme="majorHAnsi"/>
                <w:b/>
                <w:sz w:val="22"/>
                <w:szCs w:val="24"/>
                <w:lang w:val="fr-FR"/>
              </w:rPr>
            </w:pPr>
            <w:r w:rsidRPr="006235F7">
              <w:rPr>
                <w:rFonts w:asciiTheme="majorHAnsi" w:hAnsiTheme="majorHAnsi"/>
                <w:b/>
                <w:color w:val="000000"/>
                <w:sz w:val="22"/>
                <w:szCs w:val="24"/>
              </w:rPr>
              <w:t>Infections and Infestations</w:t>
            </w:r>
          </w:p>
        </w:tc>
      </w:tr>
      <w:tr w:rsidR="00080745" w:rsidRPr="006235F7" w14:paraId="5611EEB2" w14:textId="77777777" w:rsidTr="00C340EA">
        <w:trPr>
          <w:trHeight w:val="210"/>
        </w:trPr>
        <w:tc>
          <w:tcPr>
            <w:tcW w:w="4050" w:type="dxa"/>
          </w:tcPr>
          <w:p w14:paraId="1CC77B7E"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Ear infection</w:t>
            </w:r>
          </w:p>
        </w:tc>
        <w:tc>
          <w:tcPr>
            <w:tcW w:w="2160" w:type="dxa"/>
          </w:tcPr>
          <w:p w14:paraId="2BD957B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4C077B4C"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71D1DAA7" w14:textId="77777777" w:rsidTr="00C340EA">
        <w:trPr>
          <w:trHeight w:val="192"/>
        </w:trPr>
        <w:tc>
          <w:tcPr>
            <w:tcW w:w="4050" w:type="dxa"/>
          </w:tcPr>
          <w:p w14:paraId="08FF0593"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Fungal infection</w:t>
            </w:r>
          </w:p>
        </w:tc>
        <w:tc>
          <w:tcPr>
            <w:tcW w:w="2160" w:type="dxa"/>
          </w:tcPr>
          <w:p w14:paraId="3A8582E3"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2EFB17EE"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2AAF6EAF" w14:textId="77777777" w:rsidTr="00C340EA">
        <w:trPr>
          <w:trHeight w:val="291"/>
        </w:trPr>
        <w:tc>
          <w:tcPr>
            <w:tcW w:w="4050" w:type="dxa"/>
          </w:tcPr>
          <w:p w14:paraId="1ABE26AA"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Nasopharyngitis</w:t>
            </w:r>
          </w:p>
        </w:tc>
        <w:tc>
          <w:tcPr>
            <w:tcW w:w="2160" w:type="dxa"/>
          </w:tcPr>
          <w:p w14:paraId="0BDE141D"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61B65388"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25B68463" w14:textId="77777777" w:rsidTr="00C340EA">
        <w:trPr>
          <w:trHeight w:val="291"/>
        </w:trPr>
        <w:tc>
          <w:tcPr>
            <w:tcW w:w="4050" w:type="dxa"/>
          </w:tcPr>
          <w:p w14:paraId="27360718"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Respiratory syncytial virus infection</w:t>
            </w:r>
          </w:p>
        </w:tc>
        <w:tc>
          <w:tcPr>
            <w:tcW w:w="2160" w:type="dxa"/>
          </w:tcPr>
          <w:p w14:paraId="5EBADD30"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41C4607D"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5660B87C" w14:textId="77777777" w:rsidTr="00C340EA">
        <w:trPr>
          <w:trHeight w:val="264"/>
        </w:trPr>
        <w:tc>
          <w:tcPr>
            <w:tcW w:w="4050" w:type="dxa"/>
          </w:tcPr>
          <w:p w14:paraId="66018FCC"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Respiratory tract infection viral</w:t>
            </w:r>
          </w:p>
        </w:tc>
        <w:tc>
          <w:tcPr>
            <w:tcW w:w="2160" w:type="dxa"/>
          </w:tcPr>
          <w:p w14:paraId="64F66A09"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5C4ECECF"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5545D4D6" w14:textId="77777777" w:rsidTr="00C340EA">
        <w:trPr>
          <w:trHeight w:val="307"/>
        </w:trPr>
        <w:tc>
          <w:tcPr>
            <w:tcW w:w="4050" w:type="dxa"/>
          </w:tcPr>
          <w:p w14:paraId="57924C5B"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Viral upper respiratory tract infection</w:t>
            </w:r>
          </w:p>
        </w:tc>
        <w:tc>
          <w:tcPr>
            <w:tcW w:w="2160" w:type="dxa"/>
          </w:tcPr>
          <w:p w14:paraId="22881AB3"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5A74FE1F"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52495D54" w14:textId="77777777" w:rsidTr="00926FE7">
        <w:trPr>
          <w:trHeight w:val="210"/>
        </w:trPr>
        <w:tc>
          <w:tcPr>
            <w:tcW w:w="7920" w:type="dxa"/>
            <w:gridSpan w:val="3"/>
          </w:tcPr>
          <w:p w14:paraId="7302ECF5" w14:textId="77777777" w:rsidR="00080745" w:rsidRPr="006235F7" w:rsidRDefault="00080745" w:rsidP="00080745">
            <w:pPr>
              <w:rPr>
                <w:rFonts w:asciiTheme="majorHAnsi" w:hAnsiTheme="majorHAnsi"/>
                <w:b/>
                <w:sz w:val="22"/>
                <w:szCs w:val="24"/>
                <w:lang w:val="fr-FR"/>
              </w:rPr>
            </w:pPr>
            <w:r w:rsidRPr="006235F7">
              <w:rPr>
                <w:rFonts w:asciiTheme="majorHAnsi" w:hAnsiTheme="majorHAnsi"/>
                <w:b/>
                <w:color w:val="000000"/>
                <w:sz w:val="22"/>
                <w:szCs w:val="24"/>
              </w:rPr>
              <w:t>Nervous System Disorders</w:t>
            </w:r>
          </w:p>
        </w:tc>
      </w:tr>
      <w:tr w:rsidR="00080745" w:rsidRPr="006235F7" w14:paraId="489C586C" w14:textId="77777777" w:rsidTr="00C340EA">
        <w:trPr>
          <w:trHeight w:val="264"/>
        </w:trPr>
        <w:tc>
          <w:tcPr>
            <w:tcW w:w="4050" w:type="dxa"/>
          </w:tcPr>
          <w:p w14:paraId="638E2FC3" w14:textId="77777777" w:rsidR="00080745" w:rsidRPr="006235F7" w:rsidRDefault="00080745" w:rsidP="00080745">
            <w:pPr>
              <w:pStyle w:val="C-BodyText"/>
              <w:spacing w:before="0" w:after="0" w:line="240" w:lineRule="auto"/>
              <w:ind w:left="240"/>
              <w:rPr>
                <w:rFonts w:asciiTheme="majorHAnsi" w:hAnsiTheme="majorHAnsi"/>
                <w:sz w:val="22"/>
                <w:szCs w:val="24"/>
                <w:lang w:val="fr-FR"/>
              </w:rPr>
            </w:pPr>
            <w:r w:rsidRPr="006235F7">
              <w:rPr>
                <w:rFonts w:asciiTheme="majorHAnsi" w:hAnsiTheme="majorHAnsi"/>
                <w:sz w:val="22"/>
                <w:szCs w:val="24"/>
              </w:rPr>
              <w:t>Headache</w:t>
            </w:r>
          </w:p>
        </w:tc>
        <w:tc>
          <w:tcPr>
            <w:tcW w:w="2160" w:type="dxa"/>
          </w:tcPr>
          <w:p w14:paraId="60CB3A48"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6F87D251" w14:textId="77777777" w:rsidR="00080745" w:rsidRPr="006235F7" w:rsidRDefault="00080745" w:rsidP="00080745">
            <w:pPr>
              <w:adjustRightInd w:val="0"/>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5DDE6E3A" w14:textId="77777777" w:rsidTr="00926FE7">
        <w:trPr>
          <w:trHeight w:val="237"/>
        </w:trPr>
        <w:tc>
          <w:tcPr>
            <w:tcW w:w="7920" w:type="dxa"/>
            <w:gridSpan w:val="3"/>
          </w:tcPr>
          <w:p w14:paraId="30F90FC3" w14:textId="77777777" w:rsidR="00080745" w:rsidRPr="006235F7" w:rsidRDefault="00080745" w:rsidP="00080745">
            <w:pPr>
              <w:adjustRightInd w:val="0"/>
              <w:rPr>
                <w:rFonts w:asciiTheme="majorHAnsi" w:hAnsiTheme="majorHAnsi"/>
                <w:b/>
                <w:color w:val="000000"/>
                <w:sz w:val="22"/>
                <w:szCs w:val="24"/>
              </w:rPr>
            </w:pPr>
            <w:r w:rsidRPr="006235F7">
              <w:rPr>
                <w:rFonts w:asciiTheme="majorHAnsi" w:hAnsiTheme="majorHAnsi"/>
                <w:b/>
                <w:color w:val="000000"/>
                <w:sz w:val="22"/>
                <w:szCs w:val="24"/>
              </w:rPr>
              <w:t>Psychiatric Disorders</w:t>
            </w:r>
          </w:p>
        </w:tc>
      </w:tr>
      <w:tr w:rsidR="00080745" w:rsidRPr="006235F7" w14:paraId="0CE12143" w14:textId="77777777" w:rsidTr="00C340EA">
        <w:trPr>
          <w:trHeight w:val="253"/>
        </w:trPr>
        <w:tc>
          <w:tcPr>
            <w:tcW w:w="4050" w:type="dxa"/>
          </w:tcPr>
          <w:p w14:paraId="39377E5D" w14:textId="77777777" w:rsidR="00080745" w:rsidRPr="006235F7" w:rsidRDefault="00080745" w:rsidP="00080745">
            <w:pPr>
              <w:pStyle w:val="C-BodyText"/>
              <w:spacing w:before="0" w:after="0" w:line="240" w:lineRule="auto"/>
              <w:ind w:left="240"/>
              <w:rPr>
                <w:rFonts w:asciiTheme="majorHAnsi" w:hAnsiTheme="majorHAnsi"/>
                <w:sz w:val="22"/>
                <w:szCs w:val="24"/>
                <w:lang w:val="fr-FR"/>
              </w:rPr>
            </w:pPr>
            <w:r w:rsidRPr="006235F7">
              <w:rPr>
                <w:rFonts w:asciiTheme="majorHAnsi" w:hAnsiTheme="majorHAnsi"/>
                <w:sz w:val="22"/>
                <w:szCs w:val="24"/>
              </w:rPr>
              <w:t>Agitation</w:t>
            </w:r>
          </w:p>
        </w:tc>
        <w:tc>
          <w:tcPr>
            <w:tcW w:w="2160" w:type="dxa"/>
          </w:tcPr>
          <w:p w14:paraId="20F780B7"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5211B888" w14:textId="77777777" w:rsidR="00080745" w:rsidRPr="006235F7" w:rsidRDefault="00080745" w:rsidP="00080745">
            <w:pPr>
              <w:adjustRightInd w:val="0"/>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423285E5" w14:textId="77777777" w:rsidTr="00926FE7">
        <w:trPr>
          <w:trHeight w:val="228"/>
        </w:trPr>
        <w:tc>
          <w:tcPr>
            <w:tcW w:w="7920" w:type="dxa"/>
            <w:gridSpan w:val="3"/>
          </w:tcPr>
          <w:p w14:paraId="33C5B160" w14:textId="77777777" w:rsidR="00080745" w:rsidRPr="006235F7" w:rsidRDefault="00080745" w:rsidP="00080745">
            <w:pPr>
              <w:rPr>
                <w:rFonts w:asciiTheme="majorHAnsi" w:hAnsiTheme="majorHAnsi"/>
                <w:b/>
                <w:sz w:val="22"/>
                <w:szCs w:val="24"/>
              </w:rPr>
            </w:pPr>
            <w:r w:rsidRPr="006235F7">
              <w:rPr>
                <w:rFonts w:asciiTheme="majorHAnsi" w:hAnsiTheme="majorHAnsi"/>
                <w:b/>
                <w:color w:val="000000"/>
                <w:sz w:val="22"/>
                <w:szCs w:val="24"/>
              </w:rPr>
              <w:t>Skin and Subcutaneous Tissue Disorders</w:t>
            </w:r>
          </w:p>
        </w:tc>
      </w:tr>
      <w:tr w:rsidR="00080745" w:rsidRPr="006235F7" w14:paraId="6954765B" w14:textId="77777777" w:rsidTr="00C340EA">
        <w:trPr>
          <w:trHeight w:val="266"/>
        </w:trPr>
        <w:tc>
          <w:tcPr>
            <w:tcW w:w="4050" w:type="dxa"/>
          </w:tcPr>
          <w:p w14:paraId="274769C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Alopecia</w:t>
            </w:r>
          </w:p>
        </w:tc>
        <w:tc>
          <w:tcPr>
            <w:tcW w:w="2160" w:type="dxa"/>
          </w:tcPr>
          <w:p w14:paraId="79B0B021"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0A61E9D6"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69C3D857" w14:textId="77777777" w:rsidTr="00C340EA">
        <w:trPr>
          <w:trHeight w:val="253"/>
        </w:trPr>
        <w:tc>
          <w:tcPr>
            <w:tcW w:w="4050" w:type="dxa"/>
          </w:tcPr>
          <w:p w14:paraId="684D631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Dermatitis diaper</w:t>
            </w:r>
          </w:p>
        </w:tc>
        <w:tc>
          <w:tcPr>
            <w:tcW w:w="2160" w:type="dxa"/>
          </w:tcPr>
          <w:p w14:paraId="7BDE4D20"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1A41CF8B"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r w:rsidR="00080745" w:rsidRPr="006235F7" w14:paraId="1343EBA2" w14:textId="77777777" w:rsidTr="00C340EA">
        <w:trPr>
          <w:trHeight w:val="266"/>
        </w:trPr>
        <w:tc>
          <w:tcPr>
            <w:tcW w:w="4050" w:type="dxa"/>
          </w:tcPr>
          <w:p w14:paraId="194F8170" w14:textId="77777777" w:rsidR="00080745" w:rsidRPr="006235F7" w:rsidRDefault="00080745" w:rsidP="00080745">
            <w:pPr>
              <w:pStyle w:val="C-BodyText"/>
              <w:spacing w:before="0" w:after="0" w:line="240" w:lineRule="auto"/>
              <w:ind w:left="240"/>
              <w:rPr>
                <w:rFonts w:asciiTheme="majorHAnsi" w:hAnsiTheme="majorHAnsi"/>
                <w:sz w:val="22"/>
                <w:szCs w:val="24"/>
              </w:rPr>
            </w:pPr>
            <w:r w:rsidRPr="006235F7">
              <w:rPr>
                <w:rFonts w:asciiTheme="majorHAnsi" w:hAnsiTheme="majorHAnsi"/>
                <w:sz w:val="22"/>
                <w:szCs w:val="24"/>
              </w:rPr>
              <w:t>Eczema</w:t>
            </w:r>
          </w:p>
        </w:tc>
        <w:tc>
          <w:tcPr>
            <w:tcW w:w="2160" w:type="dxa"/>
          </w:tcPr>
          <w:p w14:paraId="1A255485"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(5.6%)</w:t>
            </w:r>
          </w:p>
        </w:tc>
        <w:tc>
          <w:tcPr>
            <w:tcW w:w="1710" w:type="dxa"/>
          </w:tcPr>
          <w:p w14:paraId="252839F3" w14:textId="77777777" w:rsidR="00080745" w:rsidRPr="006235F7" w:rsidRDefault="00080745" w:rsidP="00080745">
            <w:pPr>
              <w:jc w:val="center"/>
              <w:rPr>
                <w:rFonts w:asciiTheme="majorHAnsi" w:hAnsiTheme="majorHAnsi"/>
                <w:color w:val="000000"/>
                <w:sz w:val="22"/>
                <w:szCs w:val="24"/>
              </w:rPr>
            </w:pPr>
            <w:r w:rsidRPr="006235F7">
              <w:rPr>
                <w:rFonts w:asciiTheme="majorHAnsi" w:hAnsiTheme="majorHAnsi"/>
                <w:color w:val="000000"/>
                <w:sz w:val="22"/>
                <w:szCs w:val="24"/>
              </w:rPr>
              <w:t>1 (4.5%)</w:t>
            </w:r>
          </w:p>
        </w:tc>
      </w:tr>
    </w:tbl>
    <w:p w14:paraId="2FB35CDA" w14:textId="77777777" w:rsidR="00080745" w:rsidRPr="0039396F" w:rsidRDefault="00080745" w:rsidP="003C13FF">
      <w:pPr>
        <w:spacing w:before="240"/>
        <w:rPr>
          <w:rFonts w:asciiTheme="majorHAnsi" w:hAnsiTheme="majorHAnsi" w:cs="Times New Roman"/>
          <w:szCs w:val="24"/>
          <w:lang w:val="en-US"/>
        </w:rPr>
      </w:pPr>
      <w:r w:rsidRPr="0039396F">
        <w:rPr>
          <w:rFonts w:asciiTheme="majorHAnsi" w:hAnsiTheme="majorHAnsi" w:cs="Times New Roman"/>
          <w:szCs w:val="24"/>
          <w:lang w:val="en-US"/>
        </w:rPr>
        <w:t xml:space="preserve">Analysis of retrospectively collected adverse event data from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and adult patients enrolled in aHUS </w:t>
      </w:r>
      <w:r w:rsidRPr="0039396F">
        <w:rPr>
          <w:rFonts w:asciiTheme="majorHAnsi" w:hAnsiTheme="majorHAnsi" w:cs="Times New Roman"/>
          <w:i/>
          <w:szCs w:val="24"/>
          <w:lang w:val="en-US"/>
        </w:rPr>
        <w:t>C09-001r</w:t>
      </w:r>
      <w:r w:rsidRPr="0039396F">
        <w:rPr>
          <w:rFonts w:asciiTheme="majorHAnsi" w:hAnsiTheme="majorHAnsi" w:cs="Times New Roman"/>
          <w:szCs w:val="24"/>
          <w:lang w:val="en-US"/>
        </w:rPr>
        <w:t xml:space="preserve"> revealed a safety profile that was similar to that which was observed in the prospective studies.  </w:t>
      </w:r>
      <w:r w:rsidRPr="0039396F">
        <w:rPr>
          <w:rFonts w:asciiTheme="majorHAnsi" w:hAnsiTheme="majorHAnsi" w:cs="Times New Roman"/>
          <w:i/>
          <w:szCs w:val="24"/>
          <w:lang w:val="en-US"/>
        </w:rPr>
        <w:t>C09-001r</w:t>
      </w:r>
      <w:r w:rsidRPr="0039396F">
        <w:rPr>
          <w:rFonts w:asciiTheme="majorHAnsi" w:hAnsiTheme="majorHAnsi" w:cs="Times New Roman"/>
          <w:szCs w:val="24"/>
          <w:lang w:val="en-US"/>
        </w:rPr>
        <w:t xml:space="preserve"> included 19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patients less than 18 years of age.  </w:t>
      </w:r>
    </w:p>
    <w:p w14:paraId="3B3224B0" w14:textId="77777777" w:rsidR="00080745" w:rsidRPr="0039396F" w:rsidRDefault="00080745" w:rsidP="00FA12E0">
      <w:pPr>
        <w:spacing w:before="120"/>
        <w:rPr>
          <w:rFonts w:asciiTheme="majorHAnsi" w:hAnsiTheme="majorHAnsi" w:cs="Times New Roman"/>
          <w:szCs w:val="24"/>
          <w:lang w:val="en-US"/>
        </w:rPr>
      </w:pPr>
      <w:r w:rsidRPr="0039396F">
        <w:rPr>
          <w:rFonts w:asciiTheme="majorHAnsi" w:hAnsiTheme="majorHAnsi" w:cs="Times New Roman"/>
          <w:szCs w:val="24"/>
          <w:lang w:val="en-US"/>
        </w:rPr>
        <w:t xml:space="preserve">Overall, the safety of </w:t>
      </w:r>
      <w:r w:rsidR="006C4F8B" w:rsidRPr="0039396F">
        <w:rPr>
          <w:rFonts w:asciiTheme="majorHAnsi" w:hAnsiTheme="majorHAnsi" w:cs="Times New Roman"/>
        </w:rPr>
        <w:t>Soliris</w:t>
      </w:r>
      <w:r w:rsidRPr="0039396F">
        <w:rPr>
          <w:rFonts w:asciiTheme="majorHAnsi" w:hAnsiTheme="majorHAnsi" w:cs="Times New Roman"/>
          <w:bCs/>
          <w:szCs w:val="24"/>
          <w:vertAlign w:val="superscript"/>
        </w:rPr>
        <w:t xml:space="preserve"> </w:t>
      </w:r>
      <w:r w:rsidRPr="0039396F">
        <w:rPr>
          <w:rFonts w:asciiTheme="majorHAnsi" w:hAnsiTheme="majorHAnsi" w:cs="Times New Roman"/>
          <w:szCs w:val="24"/>
          <w:lang w:val="en-US"/>
        </w:rPr>
        <w:t xml:space="preserve">in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patients with </w:t>
      </w:r>
      <w:proofErr w:type="spellStart"/>
      <w:r w:rsidRPr="0039396F">
        <w:rPr>
          <w:rFonts w:asciiTheme="majorHAnsi" w:hAnsiTheme="majorHAnsi" w:cs="Times New Roman"/>
          <w:szCs w:val="24"/>
          <w:lang w:val="en-US"/>
        </w:rPr>
        <w:t>aHUS</w:t>
      </w:r>
      <w:proofErr w:type="spellEnd"/>
      <w:r w:rsidRPr="0039396F">
        <w:rPr>
          <w:rFonts w:asciiTheme="majorHAnsi" w:hAnsiTheme="majorHAnsi" w:cs="Times New Roman"/>
          <w:szCs w:val="24"/>
          <w:lang w:val="en-US"/>
        </w:rPr>
        <w:t xml:space="preserve"> enrolled in </w:t>
      </w:r>
      <w:r w:rsidRPr="0039396F">
        <w:rPr>
          <w:rFonts w:asciiTheme="majorHAnsi" w:hAnsiTheme="majorHAnsi" w:cs="Times New Roman"/>
          <w:i/>
          <w:szCs w:val="24"/>
          <w:lang w:val="en-US"/>
        </w:rPr>
        <w:t>C09-001r</w:t>
      </w:r>
      <w:r w:rsidRPr="0039396F">
        <w:rPr>
          <w:rFonts w:asciiTheme="majorHAnsi" w:hAnsiTheme="majorHAnsi" w:cs="Times New Roman"/>
          <w:szCs w:val="24"/>
          <w:lang w:val="en-US"/>
        </w:rPr>
        <w:t xml:space="preserve"> appeared similar to that observed in adult patients.  The most common (≥15%) Adverse Drug Reactions occurring in </w:t>
      </w:r>
      <w:proofErr w:type="spellStart"/>
      <w:r w:rsidRPr="0039396F">
        <w:rPr>
          <w:rFonts w:asciiTheme="majorHAnsi" w:hAnsiTheme="majorHAnsi" w:cs="Times New Roman"/>
          <w:szCs w:val="24"/>
          <w:lang w:val="en-US"/>
        </w:rPr>
        <w:t>paediatric</w:t>
      </w:r>
      <w:proofErr w:type="spellEnd"/>
      <w:r w:rsidRPr="0039396F">
        <w:rPr>
          <w:rFonts w:asciiTheme="majorHAnsi" w:hAnsiTheme="majorHAnsi" w:cs="Times New Roman"/>
          <w:szCs w:val="24"/>
          <w:lang w:val="en-US"/>
        </w:rPr>
        <w:t xml:space="preserve"> patients are presented in </w:t>
      </w:r>
      <w:r w:rsidR="00247559">
        <w:rPr>
          <w:rFonts w:asciiTheme="majorHAnsi" w:hAnsiTheme="majorHAnsi" w:cs="Times New Roman"/>
          <w:szCs w:val="24"/>
          <w:lang w:val="en-US"/>
        </w:rPr>
        <w:t>Table 5</w:t>
      </w:r>
      <w:r w:rsidRPr="0039396F">
        <w:rPr>
          <w:rFonts w:asciiTheme="majorHAnsi" w:hAnsiTheme="majorHAnsi" w:cs="Times New Roman"/>
          <w:szCs w:val="24"/>
          <w:lang w:val="en-US"/>
        </w:rPr>
        <w:t>.</w:t>
      </w:r>
    </w:p>
    <w:p w14:paraId="0DB653C6" w14:textId="3A6C4C17" w:rsidR="00080745" w:rsidRPr="00443A5D" w:rsidRDefault="00FB566F" w:rsidP="00AE2D6F">
      <w:pPr>
        <w:pStyle w:val="Caption"/>
        <w:spacing w:after="120"/>
        <w:jc w:val="left"/>
        <w:rPr>
          <w:rFonts w:asciiTheme="majorHAnsi" w:hAnsiTheme="majorHAnsi"/>
          <w:szCs w:val="24"/>
          <w:lang w:val="en-AU"/>
        </w:rPr>
      </w:pPr>
      <w:bookmarkStart w:id="9" w:name="_Ref18589110"/>
      <w:r>
        <w:t xml:space="preserve">Table </w:t>
      </w:r>
      <w:r w:rsidR="00345186">
        <w:fldChar w:fldCharType="begin"/>
      </w:r>
      <w:r w:rsidR="00345186">
        <w:instrText xml:space="preserve"> SEQ Table \* ARABIC </w:instrText>
      </w:r>
      <w:r w:rsidR="00345186">
        <w:fldChar w:fldCharType="separate"/>
      </w:r>
      <w:r w:rsidR="00345186">
        <w:rPr>
          <w:noProof/>
        </w:rPr>
        <w:t>5</w:t>
      </w:r>
      <w:r w:rsidR="00345186">
        <w:fldChar w:fldCharType="end"/>
      </w:r>
      <w:bookmarkEnd w:id="9"/>
      <w:r>
        <w:t xml:space="preserve">: </w:t>
      </w:r>
      <w:r w:rsidR="00080745" w:rsidRPr="00443A5D">
        <w:rPr>
          <w:rFonts w:asciiTheme="majorHAnsi" w:hAnsiTheme="majorHAnsi"/>
          <w:szCs w:val="24"/>
          <w:lang w:val="en-AU"/>
        </w:rPr>
        <w:t xml:space="preserve">Adverse Drug Reactions Occurring in </w:t>
      </w:r>
      <w:r w:rsidR="00080745" w:rsidRPr="00443A5D">
        <w:rPr>
          <w:rFonts w:asciiTheme="majorHAnsi" w:hAnsiTheme="majorHAnsi"/>
          <w:szCs w:val="24"/>
          <w:lang w:val="en-US"/>
        </w:rPr>
        <w:t>≥</w:t>
      </w:r>
      <w:r w:rsidR="00080745" w:rsidRPr="00443A5D">
        <w:rPr>
          <w:rFonts w:asciiTheme="majorHAnsi" w:hAnsiTheme="majorHAnsi"/>
          <w:szCs w:val="24"/>
          <w:lang w:val="en-AU"/>
        </w:rPr>
        <w:t xml:space="preserve">15% of Patients &lt;18 Years of Age Enrolled in </w:t>
      </w:r>
      <w:r w:rsidR="00080745" w:rsidRPr="00443A5D">
        <w:rPr>
          <w:rFonts w:asciiTheme="majorHAnsi" w:hAnsiTheme="majorHAnsi"/>
          <w:i/>
          <w:szCs w:val="24"/>
          <w:lang w:val="en-AU"/>
        </w:rPr>
        <w:t>aHUS C09-001r</w:t>
      </w:r>
    </w:p>
    <w:tbl>
      <w:tblPr>
        <w:tblW w:w="4105"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230"/>
        <w:gridCol w:w="1492"/>
        <w:gridCol w:w="1484"/>
        <w:gridCol w:w="1153"/>
      </w:tblGrid>
      <w:tr w:rsidR="00080745" w:rsidRPr="006235F7" w14:paraId="7E5E48B4" w14:textId="77777777" w:rsidTr="00080745">
        <w:trPr>
          <w:cantSplit/>
          <w:trHeight w:val="288"/>
          <w:tblHeader/>
        </w:trPr>
        <w:tc>
          <w:tcPr>
            <w:tcW w:w="2070" w:type="dxa"/>
            <w:vMerge w:val="restart"/>
            <w:shd w:val="clear" w:color="auto" w:fill="auto"/>
            <w:vAlign w:val="center"/>
          </w:tcPr>
          <w:p w14:paraId="26B8929F" w14:textId="77777777" w:rsidR="00080745" w:rsidRPr="006235F7" w:rsidRDefault="00080745" w:rsidP="00080745">
            <w:pPr>
              <w:rPr>
                <w:rFonts w:asciiTheme="majorHAnsi" w:hAnsiTheme="majorHAnsi" w:cs="Times New Roman"/>
                <w:b/>
                <w:sz w:val="22"/>
                <w:szCs w:val="24"/>
                <w:lang w:val="en-US"/>
              </w:rPr>
            </w:pPr>
            <w:r w:rsidRPr="006235F7">
              <w:rPr>
                <w:rFonts w:asciiTheme="majorHAnsi" w:hAnsiTheme="majorHAnsi" w:cs="Times New Roman"/>
                <w:b/>
                <w:sz w:val="22"/>
                <w:szCs w:val="24"/>
                <w:lang w:val="en-US"/>
              </w:rPr>
              <w:t xml:space="preserve">MedDRA SOC </w:t>
            </w:r>
          </w:p>
        </w:tc>
        <w:tc>
          <w:tcPr>
            <w:tcW w:w="5490" w:type="dxa"/>
            <w:gridSpan w:val="4"/>
            <w:shd w:val="clear" w:color="auto" w:fill="auto"/>
          </w:tcPr>
          <w:p w14:paraId="11DDA060" w14:textId="77777777" w:rsidR="00080745" w:rsidRPr="006235F7" w:rsidRDefault="00080745" w:rsidP="00080745">
            <w:pPr>
              <w:jc w:val="center"/>
              <w:rPr>
                <w:rFonts w:asciiTheme="majorHAnsi" w:hAnsiTheme="majorHAnsi" w:cs="Times New Roman"/>
                <w:b/>
                <w:sz w:val="22"/>
                <w:szCs w:val="24"/>
                <w:lang w:val="en-US"/>
              </w:rPr>
            </w:pPr>
            <w:r w:rsidRPr="006235F7">
              <w:rPr>
                <w:rFonts w:asciiTheme="majorHAnsi" w:hAnsiTheme="majorHAnsi" w:cs="Times New Roman"/>
                <w:b/>
                <w:bCs/>
                <w:sz w:val="22"/>
                <w:szCs w:val="24"/>
                <w:lang w:val="en-US"/>
              </w:rPr>
              <w:t>Number (%) of Patients</w:t>
            </w:r>
          </w:p>
        </w:tc>
      </w:tr>
      <w:tr w:rsidR="00080745" w:rsidRPr="006235F7" w14:paraId="02259A93" w14:textId="77777777" w:rsidTr="00080745">
        <w:trPr>
          <w:cantSplit/>
          <w:trHeight w:val="432"/>
          <w:tblHeader/>
        </w:trPr>
        <w:tc>
          <w:tcPr>
            <w:tcW w:w="2070" w:type="dxa"/>
            <w:vMerge/>
            <w:shd w:val="clear" w:color="auto" w:fill="auto"/>
            <w:vAlign w:val="center"/>
          </w:tcPr>
          <w:p w14:paraId="02182CB0" w14:textId="77777777" w:rsidR="00080745" w:rsidRPr="006235F7" w:rsidRDefault="00080745" w:rsidP="00080745">
            <w:pPr>
              <w:rPr>
                <w:rFonts w:asciiTheme="majorHAnsi" w:hAnsiTheme="majorHAnsi" w:cs="Times New Roman"/>
                <w:sz w:val="22"/>
                <w:szCs w:val="24"/>
                <w:lang w:val="en-US"/>
              </w:rPr>
            </w:pPr>
          </w:p>
        </w:tc>
        <w:tc>
          <w:tcPr>
            <w:tcW w:w="1260" w:type="dxa"/>
            <w:shd w:val="clear" w:color="auto" w:fill="auto"/>
          </w:tcPr>
          <w:p w14:paraId="747702D3"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 xml:space="preserve">&lt;2 </w:t>
            </w:r>
            <w:proofErr w:type="spellStart"/>
            <w:r w:rsidRPr="006235F7">
              <w:rPr>
                <w:rFonts w:asciiTheme="majorHAnsi" w:hAnsiTheme="majorHAnsi" w:cs="Times New Roman"/>
                <w:bCs/>
                <w:sz w:val="22"/>
                <w:szCs w:val="24"/>
                <w:lang w:val="en-US"/>
              </w:rPr>
              <w:t>yrs</w:t>
            </w:r>
            <w:proofErr w:type="spellEnd"/>
            <w:r w:rsidRPr="006235F7">
              <w:rPr>
                <w:rFonts w:asciiTheme="majorHAnsi" w:hAnsiTheme="majorHAnsi" w:cs="Times New Roman"/>
                <w:bCs/>
                <w:sz w:val="22"/>
                <w:szCs w:val="24"/>
                <w:lang w:val="en-US"/>
              </w:rPr>
              <w:br/>
              <w:t>(n=5)</w:t>
            </w:r>
          </w:p>
        </w:tc>
        <w:tc>
          <w:tcPr>
            <w:tcW w:w="1530" w:type="dxa"/>
            <w:shd w:val="clear" w:color="auto" w:fill="auto"/>
            <w:vAlign w:val="center"/>
          </w:tcPr>
          <w:p w14:paraId="14B43CE9"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 xml:space="preserve">2 to &lt;12 </w:t>
            </w:r>
            <w:proofErr w:type="spellStart"/>
            <w:r w:rsidRPr="006235F7">
              <w:rPr>
                <w:rFonts w:asciiTheme="majorHAnsi" w:hAnsiTheme="majorHAnsi" w:cs="Times New Roman"/>
                <w:bCs/>
                <w:sz w:val="22"/>
                <w:szCs w:val="24"/>
                <w:lang w:val="en-US"/>
              </w:rPr>
              <w:t>yrs</w:t>
            </w:r>
            <w:proofErr w:type="spellEnd"/>
            <w:r w:rsidRPr="006235F7">
              <w:rPr>
                <w:rFonts w:asciiTheme="majorHAnsi" w:hAnsiTheme="majorHAnsi" w:cs="Times New Roman"/>
                <w:bCs/>
                <w:sz w:val="22"/>
                <w:szCs w:val="24"/>
                <w:lang w:val="en-US"/>
              </w:rPr>
              <w:br/>
              <w:t>(n=10)</w:t>
            </w:r>
          </w:p>
        </w:tc>
        <w:tc>
          <w:tcPr>
            <w:tcW w:w="1530" w:type="dxa"/>
            <w:shd w:val="clear" w:color="auto" w:fill="auto"/>
          </w:tcPr>
          <w:p w14:paraId="6191828C"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 xml:space="preserve">12 to &lt;18 </w:t>
            </w:r>
            <w:proofErr w:type="spellStart"/>
            <w:r w:rsidRPr="006235F7">
              <w:rPr>
                <w:rFonts w:asciiTheme="majorHAnsi" w:hAnsiTheme="majorHAnsi" w:cs="Times New Roman"/>
                <w:bCs/>
                <w:sz w:val="22"/>
                <w:szCs w:val="24"/>
                <w:lang w:val="en-US"/>
              </w:rPr>
              <w:t>yrs</w:t>
            </w:r>
            <w:proofErr w:type="spellEnd"/>
            <w:r w:rsidRPr="006235F7">
              <w:rPr>
                <w:rFonts w:asciiTheme="majorHAnsi" w:hAnsiTheme="majorHAnsi" w:cs="Times New Roman"/>
                <w:bCs/>
                <w:sz w:val="22"/>
                <w:szCs w:val="24"/>
                <w:lang w:val="en-US"/>
              </w:rPr>
              <w:br/>
              <w:t>(n=4)</w:t>
            </w:r>
          </w:p>
        </w:tc>
        <w:tc>
          <w:tcPr>
            <w:tcW w:w="1170" w:type="dxa"/>
            <w:vAlign w:val="center"/>
          </w:tcPr>
          <w:p w14:paraId="264A0EC6"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Total</w:t>
            </w:r>
            <w:r w:rsidRPr="006235F7">
              <w:rPr>
                <w:rFonts w:asciiTheme="majorHAnsi" w:hAnsiTheme="majorHAnsi" w:cs="Times New Roman"/>
                <w:bCs/>
                <w:sz w:val="22"/>
                <w:szCs w:val="24"/>
                <w:lang w:val="en-US"/>
              </w:rPr>
              <w:br/>
              <w:t>(n=19)</w:t>
            </w:r>
          </w:p>
        </w:tc>
      </w:tr>
      <w:tr w:rsidR="00080745" w:rsidRPr="006235F7" w14:paraId="75F0AD4C" w14:textId="77777777" w:rsidTr="00080745">
        <w:trPr>
          <w:cantSplit/>
        </w:trPr>
        <w:tc>
          <w:tcPr>
            <w:tcW w:w="7560" w:type="dxa"/>
            <w:gridSpan w:val="5"/>
            <w:shd w:val="clear" w:color="auto" w:fill="auto"/>
            <w:vAlign w:val="center"/>
          </w:tcPr>
          <w:p w14:paraId="77A7A84E" w14:textId="77777777" w:rsidR="00080745" w:rsidRPr="006235F7" w:rsidRDefault="00080745" w:rsidP="00080745">
            <w:pPr>
              <w:rPr>
                <w:rFonts w:asciiTheme="majorHAnsi" w:hAnsiTheme="majorHAnsi" w:cs="Times New Roman"/>
                <w:sz w:val="22"/>
                <w:szCs w:val="24"/>
                <w:lang w:val="en-US"/>
              </w:rPr>
            </w:pPr>
            <w:r w:rsidRPr="006235F7">
              <w:rPr>
                <w:rFonts w:asciiTheme="majorHAnsi" w:hAnsiTheme="majorHAnsi" w:cs="Times New Roman"/>
                <w:b/>
                <w:sz w:val="22"/>
                <w:szCs w:val="24"/>
                <w:lang w:val="en-US"/>
              </w:rPr>
              <w:t>General Disorders and Administration Site Conditions</w:t>
            </w:r>
          </w:p>
        </w:tc>
      </w:tr>
      <w:tr w:rsidR="00080745" w:rsidRPr="006235F7" w14:paraId="359E7DFB" w14:textId="77777777" w:rsidTr="00080745">
        <w:trPr>
          <w:cantSplit/>
        </w:trPr>
        <w:tc>
          <w:tcPr>
            <w:tcW w:w="2070" w:type="dxa"/>
            <w:shd w:val="clear" w:color="auto" w:fill="auto"/>
            <w:vAlign w:val="center"/>
          </w:tcPr>
          <w:p w14:paraId="2D354235" w14:textId="77777777" w:rsidR="00080745" w:rsidRPr="006235F7" w:rsidRDefault="00080745" w:rsidP="00080745">
            <w:pPr>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t>Pyrexia</w:t>
            </w:r>
          </w:p>
        </w:tc>
        <w:tc>
          <w:tcPr>
            <w:tcW w:w="1260" w:type="dxa"/>
            <w:shd w:val="clear" w:color="auto" w:fill="auto"/>
            <w:vAlign w:val="center"/>
          </w:tcPr>
          <w:p w14:paraId="6F39BFFF"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(80)</w:t>
            </w:r>
          </w:p>
        </w:tc>
        <w:tc>
          <w:tcPr>
            <w:tcW w:w="1530" w:type="dxa"/>
            <w:shd w:val="clear" w:color="auto" w:fill="auto"/>
            <w:vAlign w:val="center"/>
          </w:tcPr>
          <w:p w14:paraId="15878430"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(40)</w:t>
            </w:r>
          </w:p>
        </w:tc>
        <w:tc>
          <w:tcPr>
            <w:tcW w:w="1530" w:type="dxa"/>
            <w:shd w:val="clear" w:color="auto" w:fill="auto"/>
            <w:vAlign w:val="center"/>
          </w:tcPr>
          <w:p w14:paraId="0AE6E44E"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(25)</w:t>
            </w:r>
          </w:p>
        </w:tc>
        <w:tc>
          <w:tcPr>
            <w:tcW w:w="1170" w:type="dxa"/>
          </w:tcPr>
          <w:p w14:paraId="56D14705"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9 (47)</w:t>
            </w:r>
          </w:p>
        </w:tc>
      </w:tr>
      <w:tr w:rsidR="00080745" w:rsidRPr="006235F7" w14:paraId="59D16BD3" w14:textId="77777777" w:rsidTr="00080745">
        <w:trPr>
          <w:cantSplit/>
        </w:trPr>
        <w:tc>
          <w:tcPr>
            <w:tcW w:w="7560" w:type="dxa"/>
            <w:gridSpan w:val="5"/>
            <w:shd w:val="clear" w:color="auto" w:fill="auto"/>
            <w:vAlign w:val="center"/>
          </w:tcPr>
          <w:p w14:paraId="1C53E6FE" w14:textId="77777777" w:rsidR="00080745" w:rsidRPr="006235F7" w:rsidRDefault="00080745" w:rsidP="00080745">
            <w:pPr>
              <w:rPr>
                <w:rFonts w:asciiTheme="majorHAnsi" w:hAnsiTheme="majorHAnsi" w:cs="Times New Roman"/>
                <w:sz w:val="22"/>
                <w:szCs w:val="24"/>
                <w:lang w:val="en-US"/>
              </w:rPr>
            </w:pPr>
            <w:r w:rsidRPr="006235F7">
              <w:rPr>
                <w:rFonts w:asciiTheme="majorHAnsi" w:hAnsiTheme="majorHAnsi" w:cs="Times New Roman"/>
                <w:b/>
                <w:sz w:val="22"/>
                <w:szCs w:val="24"/>
                <w:lang w:val="en-US"/>
              </w:rPr>
              <w:t>Gastrointestinal Disorders</w:t>
            </w:r>
          </w:p>
        </w:tc>
      </w:tr>
      <w:tr w:rsidR="00080745" w:rsidRPr="006235F7" w14:paraId="4CA8199E" w14:textId="77777777" w:rsidTr="00080745">
        <w:trPr>
          <w:cantSplit/>
        </w:trPr>
        <w:tc>
          <w:tcPr>
            <w:tcW w:w="2070" w:type="dxa"/>
            <w:shd w:val="clear" w:color="auto" w:fill="auto"/>
            <w:vAlign w:val="center"/>
          </w:tcPr>
          <w:p w14:paraId="5222576A" w14:textId="77777777" w:rsidR="00080745" w:rsidRPr="006235F7" w:rsidRDefault="00080745" w:rsidP="00080745">
            <w:pPr>
              <w:ind w:left="240"/>
              <w:rPr>
                <w:rFonts w:asciiTheme="majorHAnsi" w:hAnsiTheme="majorHAnsi" w:cs="Times New Roman"/>
                <w:sz w:val="22"/>
                <w:szCs w:val="24"/>
                <w:lang w:val="en-US"/>
              </w:rPr>
            </w:pPr>
            <w:proofErr w:type="spellStart"/>
            <w:r w:rsidRPr="006235F7">
              <w:rPr>
                <w:rFonts w:asciiTheme="majorHAnsi" w:hAnsiTheme="majorHAnsi" w:cs="Times New Roman"/>
                <w:sz w:val="22"/>
                <w:szCs w:val="24"/>
                <w:lang w:val="en-US"/>
              </w:rPr>
              <w:t>Diarrhoea</w:t>
            </w:r>
            <w:proofErr w:type="spellEnd"/>
          </w:p>
        </w:tc>
        <w:tc>
          <w:tcPr>
            <w:tcW w:w="1260" w:type="dxa"/>
            <w:shd w:val="clear" w:color="auto" w:fill="auto"/>
            <w:vAlign w:val="center"/>
          </w:tcPr>
          <w:p w14:paraId="0A806E94"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(20)</w:t>
            </w:r>
          </w:p>
        </w:tc>
        <w:tc>
          <w:tcPr>
            <w:tcW w:w="1530" w:type="dxa"/>
            <w:shd w:val="clear" w:color="auto" w:fill="auto"/>
            <w:vAlign w:val="center"/>
          </w:tcPr>
          <w:p w14:paraId="7C1EDAE9"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(40)</w:t>
            </w:r>
          </w:p>
        </w:tc>
        <w:tc>
          <w:tcPr>
            <w:tcW w:w="1530" w:type="dxa"/>
            <w:shd w:val="clear" w:color="auto" w:fill="auto"/>
            <w:vAlign w:val="center"/>
          </w:tcPr>
          <w:p w14:paraId="46C110DC"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(25)</w:t>
            </w:r>
          </w:p>
        </w:tc>
        <w:tc>
          <w:tcPr>
            <w:tcW w:w="1170" w:type="dxa"/>
          </w:tcPr>
          <w:p w14:paraId="77B09745"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6 (32)</w:t>
            </w:r>
          </w:p>
        </w:tc>
      </w:tr>
      <w:tr w:rsidR="00080745" w:rsidRPr="006235F7" w14:paraId="4E1293FB" w14:textId="77777777" w:rsidTr="00080745">
        <w:trPr>
          <w:cantSplit/>
        </w:trPr>
        <w:tc>
          <w:tcPr>
            <w:tcW w:w="2070" w:type="dxa"/>
            <w:shd w:val="clear" w:color="auto" w:fill="auto"/>
            <w:vAlign w:val="center"/>
          </w:tcPr>
          <w:p w14:paraId="67EB9D6F" w14:textId="77777777" w:rsidR="00080745" w:rsidRPr="006235F7" w:rsidRDefault="00080745" w:rsidP="00080745">
            <w:pPr>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lastRenderedPageBreak/>
              <w:t xml:space="preserve">Vomiting </w:t>
            </w:r>
          </w:p>
        </w:tc>
        <w:tc>
          <w:tcPr>
            <w:tcW w:w="1260" w:type="dxa"/>
            <w:shd w:val="clear" w:color="auto" w:fill="auto"/>
            <w:vAlign w:val="center"/>
          </w:tcPr>
          <w:p w14:paraId="55039FC3"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(40)</w:t>
            </w:r>
          </w:p>
        </w:tc>
        <w:tc>
          <w:tcPr>
            <w:tcW w:w="1530" w:type="dxa"/>
            <w:shd w:val="clear" w:color="auto" w:fill="auto"/>
            <w:vAlign w:val="center"/>
          </w:tcPr>
          <w:p w14:paraId="0714E006"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(10)</w:t>
            </w:r>
          </w:p>
        </w:tc>
        <w:tc>
          <w:tcPr>
            <w:tcW w:w="1530" w:type="dxa"/>
            <w:shd w:val="clear" w:color="auto" w:fill="auto"/>
            <w:vAlign w:val="center"/>
          </w:tcPr>
          <w:p w14:paraId="46E2F409"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(25)</w:t>
            </w:r>
          </w:p>
        </w:tc>
        <w:tc>
          <w:tcPr>
            <w:tcW w:w="1170" w:type="dxa"/>
          </w:tcPr>
          <w:p w14:paraId="0BB8DD68"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(21)</w:t>
            </w:r>
          </w:p>
        </w:tc>
      </w:tr>
      <w:tr w:rsidR="00080745" w:rsidRPr="006235F7" w14:paraId="29F5A02E" w14:textId="77777777" w:rsidTr="00080745">
        <w:trPr>
          <w:cantSplit/>
        </w:trPr>
        <w:tc>
          <w:tcPr>
            <w:tcW w:w="7560" w:type="dxa"/>
            <w:gridSpan w:val="5"/>
            <w:shd w:val="clear" w:color="auto" w:fill="auto"/>
            <w:vAlign w:val="center"/>
          </w:tcPr>
          <w:p w14:paraId="39C3DCAD" w14:textId="77777777" w:rsidR="00080745" w:rsidRPr="006235F7" w:rsidRDefault="00080745" w:rsidP="00080745">
            <w:pPr>
              <w:rPr>
                <w:rFonts w:asciiTheme="majorHAnsi" w:hAnsiTheme="majorHAnsi" w:cs="Times New Roman"/>
                <w:sz w:val="22"/>
                <w:szCs w:val="24"/>
                <w:lang w:val="en-US"/>
              </w:rPr>
            </w:pPr>
            <w:r w:rsidRPr="006235F7">
              <w:rPr>
                <w:rFonts w:asciiTheme="majorHAnsi" w:hAnsiTheme="majorHAnsi" w:cs="Times New Roman"/>
                <w:b/>
                <w:sz w:val="22"/>
                <w:szCs w:val="24"/>
                <w:lang w:val="en-US"/>
              </w:rPr>
              <w:t>Infections and Infestations</w:t>
            </w:r>
          </w:p>
        </w:tc>
      </w:tr>
      <w:tr w:rsidR="00080745" w:rsidRPr="006235F7" w14:paraId="3A6B1548" w14:textId="77777777" w:rsidTr="00080745">
        <w:trPr>
          <w:cantSplit/>
        </w:trPr>
        <w:tc>
          <w:tcPr>
            <w:tcW w:w="2070" w:type="dxa"/>
            <w:shd w:val="clear" w:color="auto" w:fill="auto"/>
            <w:vAlign w:val="center"/>
          </w:tcPr>
          <w:p w14:paraId="4F0EDB8D" w14:textId="77777777" w:rsidR="00080745" w:rsidRPr="006235F7" w:rsidRDefault="00080745" w:rsidP="00080745">
            <w:pPr>
              <w:tabs>
                <w:tab w:val="left" w:pos="1090"/>
              </w:tabs>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t xml:space="preserve">Upper respiratory tract </w:t>
            </w:r>
            <w:proofErr w:type="spellStart"/>
            <w:r w:rsidRPr="006235F7">
              <w:rPr>
                <w:rFonts w:asciiTheme="majorHAnsi" w:hAnsiTheme="majorHAnsi" w:cs="Times New Roman"/>
                <w:sz w:val="22"/>
                <w:szCs w:val="24"/>
                <w:lang w:val="en-US"/>
              </w:rPr>
              <w:t>infection</w:t>
            </w:r>
            <w:r w:rsidRPr="006235F7">
              <w:rPr>
                <w:rFonts w:asciiTheme="majorHAnsi" w:hAnsiTheme="majorHAnsi" w:cs="Times New Roman"/>
                <w:sz w:val="22"/>
                <w:szCs w:val="24"/>
                <w:vertAlign w:val="superscript"/>
                <w:lang w:val="en-US"/>
              </w:rPr>
              <w:t>a</w:t>
            </w:r>
            <w:proofErr w:type="spellEnd"/>
          </w:p>
        </w:tc>
        <w:tc>
          <w:tcPr>
            <w:tcW w:w="1260" w:type="dxa"/>
            <w:shd w:val="clear" w:color="auto" w:fill="auto"/>
            <w:vAlign w:val="center"/>
          </w:tcPr>
          <w:p w14:paraId="08099E12"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(40)</w:t>
            </w:r>
          </w:p>
        </w:tc>
        <w:tc>
          <w:tcPr>
            <w:tcW w:w="1530" w:type="dxa"/>
            <w:shd w:val="clear" w:color="auto" w:fill="auto"/>
            <w:vAlign w:val="center"/>
          </w:tcPr>
          <w:p w14:paraId="7401D6F4"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3 (30)</w:t>
            </w:r>
          </w:p>
        </w:tc>
        <w:tc>
          <w:tcPr>
            <w:tcW w:w="1530" w:type="dxa"/>
            <w:shd w:val="clear" w:color="auto" w:fill="auto"/>
            <w:vAlign w:val="center"/>
          </w:tcPr>
          <w:p w14:paraId="05A0343F"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1 (25)</w:t>
            </w:r>
          </w:p>
        </w:tc>
        <w:tc>
          <w:tcPr>
            <w:tcW w:w="1170" w:type="dxa"/>
            <w:vAlign w:val="center"/>
          </w:tcPr>
          <w:p w14:paraId="6E01140C"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6 (32)</w:t>
            </w:r>
          </w:p>
        </w:tc>
      </w:tr>
      <w:tr w:rsidR="00080745" w:rsidRPr="006235F7" w14:paraId="0DE8ACCB" w14:textId="77777777" w:rsidTr="00080745">
        <w:trPr>
          <w:cantSplit/>
        </w:trPr>
        <w:tc>
          <w:tcPr>
            <w:tcW w:w="7560" w:type="dxa"/>
            <w:gridSpan w:val="5"/>
            <w:shd w:val="clear" w:color="auto" w:fill="auto"/>
            <w:vAlign w:val="center"/>
          </w:tcPr>
          <w:p w14:paraId="391C4DFD" w14:textId="77777777" w:rsidR="00080745" w:rsidRPr="006235F7" w:rsidRDefault="00080745" w:rsidP="00080745">
            <w:pPr>
              <w:rPr>
                <w:rFonts w:asciiTheme="majorHAnsi" w:hAnsiTheme="majorHAnsi" w:cs="Times New Roman"/>
                <w:sz w:val="22"/>
                <w:szCs w:val="24"/>
                <w:lang w:val="en-US"/>
              </w:rPr>
            </w:pPr>
            <w:r w:rsidRPr="006235F7">
              <w:rPr>
                <w:rFonts w:asciiTheme="majorHAnsi" w:hAnsiTheme="majorHAnsi" w:cs="Times New Roman"/>
                <w:b/>
                <w:sz w:val="22"/>
                <w:szCs w:val="24"/>
                <w:lang w:val="en-US"/>
              </w:rPr>
              <w:t>Respiratory, Thoracic and Mediastinal Disorders</w:t>
            </w:r>
          </w:p>
        </w:tc>
      </w:tr>
      <w:tr w:rsidR="00080745" w:rsidRPr="006235F7" w14:paraId="48659619" w14:textId="77777777" w:rsidTr="00080745">
        <w:trPr>
          <w:cantSplit/>
        </w:trPr>
        <w:tc>
          <w:tcPr>
            <w:tcW w:w="2070" w:type="dxa"/>
            <w:shd w:val="clear" w:color="auto" w:fill="auto"/>
            <w:vAlign w:val="center"/>
          </w:tcPr>
          <w:p w14:paraId="32399EF8" w14:textId="77777777" w:rsidR="00080745" w:rsidRPr="006235F7" w:rsidRDefault="00080745" w:rsidP="00080745">
            <w:pPr>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t>Cough</w:t>
            </w:r>
          </w:p>
        </w:tc>
        <w:tc>
          <w:tcPr>
            <w:tcW w:w="1260" w:type="dxa"/>
            <w:shd w:val="clear" w:color="auto" w:fill="auto"/>
            <w:vAlign w:val="center"/>
          </w:tcPr>
          <w:p w14:paraId="679464E9"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3 (60)</w:t>
            </w:r>
          </w:p>
        </w:tc>
        <w:tc>
          <w:tcPr>
            <w:tcW w:w="1530" w:type="dxa"/>
            <w:shd w:val="clear" w:color="auto" w:fill="auto"/>
            <w:vAlign w:val="center"/>
          </w:tcPr>
          <w:p w14:paraId="42F03029"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(20)</w:t>
            </w:r>
          </w:p>
        </w:tc>
        <w:tc>
          <w:tcPr>
            <w:tcW w:w="1530" w:type="dxa"/>
            <w:shd w:val="clear" w:color="auto" w:fill="auto"/>
            <w:vAlign w:val="center"/>
          </w:tcPr>
          <w:p w14:paraId="137475DB"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0 (0)</w:t>
            </w:r>
          </w:p>
        </w:tc>
        <w:tc>
          <w:tcPr>
            <w:tcW w:w="1170" w:type="dxa"/>
          </w:tcPr>
          <w:p w14:paraId="75DA07AE"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5 (26)</w:t>
            </w:r>
          </w:p>
        </w:tc>
      </w:tr>
      <w:tr w:rsidR="00080745" w:rsidRPr="006235F7" w14:paraId="3C20EFDC" w14:textId="77777777" w:rsidTr="00080745">
        <w:trPr>
          <w:cantSplit/>
        </w:trPr>
        <w:tc>
          <w:tcPr>
            <w:tcW w:w="2070" w:type="dxa"/>
            <w:shd w:val="clear" w:color="auto" w:fill="auto"/>
            <w:vAlign w:val="center"/>
          </w:tcPr>
          <w:p w14:paraId="7C3C0888" w14:textId="77777777" w:rsidR="00080745" w:rsidRPr="006235F7" w:rsidRDefault="00080745" w:rsidP="00080745">
            <w:pPr>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t>Nasal congestion</w:t>
            </w:r>
          </w:p>
        </w:tc>
        <w:tc>
          <w:tcPr>
            <w:tcW w:w="1260" w:type="dxa"/>
            <w:shd w:val="clear" w:color="auto" w:fill="auto"/>
            <w:vAlign w:val="center"/>
          </w:tcPr>
          <w:p w14:paraId="2620463D"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(40)</w:t>
            </w:r>
          </w:p>
        </w:tc>
        <w:tc>
          <w:tcPr>
            <w:tcW w:w="1530" w:type="dxa"/>
            <w:shd w:val="clear" w:color="auto" w:fill="auto"/>
            <w:vAlign w:val="center"/>
          </w:tcPr>
          <w:p w14:paraId="3F335D50"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(20)</w:t>
            </w:r>
          </w:p>
        </w:tc>
        <w:tc>
          <w:tcPr>
            <w:tcW w:w="1530" w:type="dxa"/>
            <w:shd w:val="clear" w:color="auto" w:fill="auto"/>
            <w:vAlign w:val="center"/>
          </w:tcPr>
          <w:p w14:paraId="308FA705"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0 (0)</w:t>
            </w:r>
          </w:p>
        </w:tc>
        <w:tc>
          <w:tcPr>
            <w:tcW w:w="1170" w:type="dxa"/>
          </w:tcPr>
          <w:p w14:paraId="1207464F"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(21)</w:t>
            </w:r>
          </w:p>
        </w:tc>
      </w:tr>
      <w:tr w:rsidR="00080745" w:rsidRPr="006235F7" w14:paraId="1CFBB758" w14:textId="77777777" w:rsidTr="00080745">
        <w:trPr>
          <w:cantSplit/>
        </w:trPr>
        <w:tc>
          <w:tcPr>
            <w:tcW w:w="7560" w:type="dxa"/>
            <w:gridSpan w:val="5"/>
            <w:shd w:val="clear" w:color="auto" w:fill="auto"/>
            <w:vAlign w:val="center"/>
          </w:tcPr>
          <w:p w14:paraId="569E9660" w14:textId="77777777" w:rsidR="00080745" w:rsidRPr="006235F7" w:rsidRDefault="00080745" w:rsidP="00080745">
            <w:pPr>
              <w:rPr>
                <w:rFonts w:asciiTheme="majorHAnsi" w:hAnsiTheme="majorHAnsi" w:cs="Times New Roman"/>
                <w:sz w:val="22"/>
                <w:szCs w:val="24"/>
                <w:lang w:val="en-US"/>
              </w:rPr>
            </w:pPr>
            <w:r w:rsidRPr="006235F7">
              <w:rPr>
                <w:rFonts w:asciiTheme="majorHAnsi" w:hAnsiTheme="majorHAnsi" w:cs="Times New Roman"/>
                <w:b/>
                <w:sz w:val="22"/>
                <w:szCs w:val="24"/>
                <w:lang w:val="en-US"/>
              </w:rPr>
              <w:t>Cardiac Disorders</w:t>
            </w:r>
          </w:p>
        </w:tc>
      </w:tr>
      <w:tr w:rsidR="00080745" w:rsidRPr="006235F7" w14:paraId="28D376EE" w14:textId="77777777" w:rsidTr="00080745">
        <w:trPr>
          <w:cantSplit/>
        </w:trPr>
        <w:tc>
          <w:tcPr>
            <w:tcW w:w="2070" w:type="dxa"/>
            <w:shd w:val="clear" w:color="auto" w:fill="auto"/>
            <w:vAlign w:val="center"/>
          </w:tcPr>
          <w:p w14:paraId="7FB575F8" w14:textId="77777777" w:rsidR="00080745" w:rsidRPr="006235F7" w:rsidRDefault="00080745" w:rsidP="00080745">
            <w:pPr>
              <w:ind w:left="240"/>
              <w:rPr>
                <w:rFonts w:asciiTheme="majorHAnsi" w:hAnsiTheme="majorHAnsi" w:cs="Times New Roman"/>
                <w:sz w:val="22"/>
                <w:szCs w:val="24"/>
                <w:lang w:val="en-US"/>
              </w:rPr>
            </w:pPr>
            <w:r w:rsidRPr="006235F7">
              <w:rPr>
                <w:rFonts w:asciiTheme="majorHAnsi" w:hAnsiTheme="majorHAnsi" w:cs="Times New Roman"/>
                <w:sz w:val="22"/>
                <w:szCs w:val="24"/>
                <w:lang w:val="en-US"/>
              </w:rPr>
              <w:t>Tachycardia</w:t>
            </w:r>
          </w:p>
        </w:tc>
        <w:tc>
          <w:tcPr>
            <w:tcW w:w="1260" w:type="dxa"/>
            <w:shd w:val="clear" w:color="auto" w:fill="auto"/>
            <w:vAlign w:val="center"/>
          </w:tcPr>
          <w:p w14:paraId="6F7BA47A"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(40)</w:t>
            </w:r>
          </w:p>
        </w:tc>
        <w:tc>
          <w:tcPr>
            <w:tcW w:w="1530" w:type="dxa"/>
            <w:shd w:val="clear" w:color="auto" w:fill="auto"/>
            <w:vAlign w:val="center"/>
          </w:tcPr>
          <w:p w14:paraId="7561C00C"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2 (20)</w:t>
            </w:r>
          </w:p>
        </w:tc>
        <w:tc>
          <w:tcPr>
            <w:tcW w:w="1530" w:type="dxa"/>
            <w:shd w:val="clear" w:color="auto" w:fill="auto"/>
            <w:vAlign w:val="center"/>
          </w:tcPr>
          <w:p w14:paraId="42118392"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0 (0)</w:t>
            </w:r>
          </w:p>
        </w:tc>
        <w:tc>
          <w:tcPr>
            <w:tcW w:w="1170" w:type="dxa"/>
          </w:tcPr>
          <w:p w14:paraId="34F15194" w14:textId="77777777" w:rsidR="00080745" w:rsidRPr="006235F7" w:rsidRDefault="00080745" w:rsidP="00080745">
            <w:pPr>
              <w:jc w:val="center"/>
              <w:rPr>
                <w:rFonts w:asciiTheme="majorHAnsi" w:hAnsiTheme="majorHAnsi" w:cs="Times New Roman"/>
                <w:bCs/>
                <w:sz w:val="22"/>
                <w:szCs w:val="24"/>
                <w:lang w:val="en-US"/>
              </w:rPr>
            </w:pPr>
            <w:r w:rsidRPr="006235F7">
              <w:rPr>
                <w:rFonts w:asciiTheme="majorHAnsi" w:hAnsiTheme="majorHAnsi" w:cs="Times New Roman"/>
                <w:bCs/>
                <w:sz w:val="22"/>
                <w:szCs w:val="24"/>
                <w:lang w:val="en-US"/>
              </w:rPr>
              <w:t>4 (21)</w:t>
            </w:r>
          </w:p>
        </w:tc>
      </w:tr>
    </w:tbl>
    <w:p w14:paraId="53864BF8" w14:textId="77777777" w:rsidR="00080745" w:rsidRPr="006235F7" w:rsidRDefault="00080745" w:rsidP="006235F7">
      <w:pPr>
        <w:ind w:left="540"/>
        <w:rPr>
          <w:rFonts w:asciiTheme="majorHAnsi" w:hAnsiTheme="majorHAnsi" w:cs="Times New Roman"/>
          <w:sz w:val="22"/>
          <w:szCs w:val="24"/>
          <w:lang w:val="en-US"/>
        </w:rPr>
      </w:pPr>
      <w:r w:rsidRPr="006235F7">
        <w:rPr>
          <w:rFonts w:asciiTheme="majorHAnsi" w:hAnsiTheme="majorHAnsi" w:cs="Times New Roman"/>
          <w:sz w:val="22"/>
          <w:szCs w:val="24"/>
          <w:vertAlign w:val="superscript"/>
          <w:lang w:val="en-US"/>
        </w:rPr>
        <w:t>a.</w:t>
      </w:r>
      <w:r w:rsidRPr="006235F7">
        <w:rPr>
          <w:rFonts w:asciiTheme="majorHAnsi" w:hAnsiTheme="majorHAnsi" w:cs="Times New Roman"/>
          <w:sz w:val="22"/>
          <w:szCs w:val="24"/>
          <w:lang w:val="en-US"/>
        </w:rPr>
        <w:t xml:space="preserve"> includes the preferred terms upper respiratory tract infection and nasopharyngitis.</w:t>
      </w:r>
    </w:p>
    <w:p w14:paraId="621D5C2F" w14:textId="77777777" w:rsidR="00506E3D" w:rsidRPr="00506E3D" w:rsidRDefault="00506E3D" w:rsidP="00506E3D">
      <w:pPr>
        <w:pStyle w:val="C-BodyText"/>
        <w:keepNext/>
        <w:spacing w:before="200" w:line="240" w:lineRule="auto"/>
        <w:rPr>
          <w:rFonts w:asciiTheme="majorHAnsi" w:hAnsiTheme="majorHAnsi"/>
          <w:b/>
          <w:szCs w:val="24"/>
        </w:rPr>
      </w:pPr>
      <w:r w:rsidRPr="00506E3D">
        <w:rPr>
          <w:rFonts w:asciiTheme="majorHAnsi" w:hAnsiTheme="majorHAnsi"/>
          <w:b/>
          <w:szCs w:val="24"/>
        </w:rPr>
        <w:t>NMOSD</w:t>
      </w:r>
    </w:p>
    <w:p w14:paraId="2CB88058" w14:textId="77777777" w:rsidR="00E74BC5" w:rsidRDefault="00506E3D" w:rsidP="00506E3D">
      <w:pPr>
        <w:autoSpaceDE w:val="0"/>
        <w:autoSpaceDN w:val="0"/>
        <w:adjustRightInd w:val="0"/>
        <w:rPr>
          <w:rFonts w:asciiTheme="majorHAnsi" w:hAnsiTheme="majorHAnsi" w:cs="LiberationSerif"/>
          <w:szCs w:val="24"/>
        </w:rPr>
      </w:pPr>
      <w:r w:rsidRPr="00506E3D">
        <w:rPr>
          <w:rFonts w:asciiTheme="majorHAnsi" w:hAnsiTheme="majorHAnsi" w:cs="LiberationSerif"/>
          <w:szCs w:val="24"/>
        </w:rPr>
        <w:t>In</w:t>
      </w:r>
      <w:r w:rsidR="00007002">
        <w:rPr>
          <w:rFonts w:asciiTheme="majorHAnsi" w:hAnsiTheme="majorHAnsi" w:cs="LiberationSerif"/>
          <w:szCs w:val="24"/>
        </w:rPr>
        <w:t xml:space="preserve"> Study</w:t>
      </w:r>
      <w:r w:rsidRPr="00506E3D">
        <w:rPr>
          <w:rFonts w:asciiTheme="majorHAnsi" w:hAnsiTheme="majorHAnsi" w:cs="LiberationSerif"/>
          <w:szCs w:val="24"/>
        </w:rPr>
        <w:t xml:space="preserve"> </w:t>
      </w:r>
      <w:r w:rsidR="00FB566F" w:rsidRPr="00FB566F">
        <w:rPr>
          <w:rFonts w:asciiTheme="majorHAnsi" w:hAnsiTheme="majorHAnsi" w:cs="LiberationSerif"/>
          <w:i/>
          <w:szCs w:val="24"/>
        </w:rPr>
        <w:t>ECU-NMO-301</w:t>
      </w:r>
      <w:r w:rsidRPr="00506E3D">
        <w:rPr>
          <w:rFonts w:asciiTheme="majorHAnsi" w:hAnsiTheme="majorHAnsi" w:cs="LiberationSerif"/>
          <w:szCs w:val="24"/>
        </w:rPr>
        <w:t xml:space="preserve">, 96 patients received Soliris at the recommended dosage regimen and 47 patients received </w:t>
      </w:r>
      <w:r>
        <w:rPr>
          <w:rFonts w:asciiTheme="majorHAnsi" w:hAnsiTheme="majorHAnsi" w:cs="LiberationSerif"/>
          <w:szCs w:val="24"/>
        </w:rPr>
        <w:t>placebo</w:t>
      </w:r>
      <w:r w:rsidRPr="00506E3D">
        <w:rPr>
          <w:rFonts w:asciiTheme="majorHAnsi" w:hAnsiTheme="majorHAnsi" w:cs="LiberationSerif"/>
          <w:szCs w:val="24"/>
        </w:rPr>
        <w:t xml:space="preserve">. Patients were 19 to 75 years of age, and 91% were female. </w:t>
      </w:r>
    </w:p>
    <w:p w14:paraId="3777C5BC" w14:textId="77777777" w:rsidR="00E74BC5" w:rsidRDefault="00E74BC5" w:rsidP="00506E3D">
      <w:pPr>
        <w:autoSpaceDE w:val="0"/>
        <w:autoSpaceDN w:val="0"/>
        <w:adjustRightInd w:val="0"/>
        <w:rPr>
          <w:rFonts w:asciiTheme="majorHAnsi" w:hAnsiTheme="majorHAnsi" w:cs="LiberationSerif"/>
          <w:szCs w:val="24"/>
        </w:rPr>
      </w:pPr>
    </w:p>
    <w:p w14:paraId="1B6650EA" w14:textId="3287A8BB" w:rsidR="00506E3D" w:rsidRPr="00506E3D" w:rsidRDefault="00C376F0" w:rsidP="00506E3D">
      <w:pPr>
        <w:autoSpaceDE w:val="0"/>
        <w:autoSpaceDN w:val="0"/>
        <w:adjustRightInd w:val="0"/>
        <w:rPr>
          <w:rFonts w:asciiTheme="majorHAnsi" w:hAnsiTheme="majorHAnsi" w:cs="LiberationSerif"/>
          <w:szCs w:val="24"/>
        </w:rPr>
      </w:pPr>
      <w:r>
        <w:rPr>
          <w:rFonts w:asciiTheme="majorHAnsi" w:hAnsiTheme="majorHAnsi" w:cs="LiberationSerif"/>
          <w:szCs w:val="24"/>
          <w:highlight w:val="yellow"/>
        </w:rPr>
        <w:fldChar w:fldCharType="begin"/>
      </w:r>
      <w:r>
        <w:rPr>
          <w:rFonts w:asciiTheme="majorHAnsi" w:hAnsiTheme="majorHAnsi" w:cs="LiberationSerif"/>
          <w:szCs w:val="24"/>
        </w:rPr>
        <w:instrText xml:space="preserve"> REF _Ref18588993 \h </w:instrText>
      </w:r>
      <w:r>
        <w:rPr>
          <w:rFonts w:asciiTheme="majorHAnsi" w:hAnsiTheme="majorHAnsi" w:cs="LiberationSerif"/>
          <w:szCs w:val="24"/>
          <w:highlight w:val="yellow"/>
        </w:rPr>
      </w:r>
      <w:r>
        <w:rPr>
          <w:rFonts w:asciiTheme="majorHAnsi" w:hAnsiTheme="majorHAnsi" w:cs="LiberationSerif"/>
          <w:szCs w:val="24"/>
          <w:highlight w:val="yellow"/>
        </w:rPr>
        <w:fldChar w:fldCharType="separate"/>
      </w:r>
      <w:r w:rsidR="00AE6672">
        <w:t xml:space="preserve">Table </w:t>
      </w:r>
      <w:r w:rsidR="00AE6672">
        <w:rPr>
          <w:noProof/>
        </w:rPr>
        <w:t>6</w:t>
      </w:r>
      <w:r>
        <w:rPr>
          <w:rFonts w:asciiTheme="majorHAnsi" w:hAnsiTheme="majorHAnsi" w:cs="LiberationSerif"/>
          <w:szCs w:val="24"/>
          <w:highlight w:val="yellow"/>
        </w:rPr>
        <w:fldChar w:fldCharType="end"/>
      </w:r>
      <w:r w:rsidR="00506E3D" w:rsidRPr="00506E3D">
        <w:rPr>
          <w:rFonts w:asciiTheme="majorHAnsi" w:hAnsiTheme="majorHAnsi" w:cs="LiberationSerif"/>
          <w:szCs w:val="24"/>
        </w:rPr>
        <w:t xml:space="preserve"> displays the most common adverse </w:t>
      </w:r>
      <w:r w:rsidR="00A65C1D">
        <w:rPr>
          <w:rFonts w:asciiTheme="majorHAnsi" w:hAnsiTheme="majorHAnsi" w:cs="LiberationSerif"/>
          <w:szCs w:val="24"/>
        </w:rPr>
        <w:t>events</w:t>
      </w:r>
      <w:r w:rsidR="00506E3D" w:rsidRPr="00506E3D">
        <w:rPr>
          <w:rFonts w:asciiTheme="majorHAnsi" w:hAnsiTheme="majorHAnsi" w:cs="LiberationSerif"/>
          <w:szCs w:val="24"/>
        </w:rPr>
        <w:t xml:space="preserve"> from</w:t>
      </w:r>
      <w:r w:rsidR="0087199B">
        <w:rPr>
          <w:rFonts w:asciiTheme="majorHAnsi" w:hAnsiTheme="majorHAnsi" w:cs="LiberationSerif"/>
          <w:szCs w:val="24"/>
        </w:rPr>
        <w:t xml:space="preserve"> Study</w:t>
      </w:r>
      <w:r w:rsidR="00506E3D" w:rsidRPr="00506E3D">
        <w:rPr>
          <w:rFonts w:asciiTheme="majorHAnsi" w:hAnsiTheme="majorHAnsi" w:cs="LiberationSerif"/>
          <w:szCs w:val="24"/>
        </w:rPr>
        <w:t xml:space="preserve"> </w:t>
      </w:r>
      <w:r w:rsidR="00FB566F" w:rsidRPr="00FB566F">
        <w:rPr>
          <w:rFonts w:asciiTheme="majorHAnsi" w:hAnsiTheme="majorHAnsi" w:cs="LiberationSerif"/>
          <w:i/>
          <w:szCs w:val="24"/>
        </w:rPr>
        <w:t>ECU-NMO-301</w:t>
      </w:r>
      <w:r w:rsidR="00FB566F">
        <w:rPr>
          <w:rFonts w:asciiTheme="majorHAnsi" w:hAnsiTheme="majorHAnsi" w:cs="LiberationSerif"/>
          <w:i/>
          <w:szCs w:val="24"/>
        </w:rPr>
        <w:t xml:space="preserve"> </w:t>
      </w:r>
      <w:r w:rsidR="00506E3D" w:rsidRPr="00506E3D">
        <w:rPr>
          <w:rFonts w:asciiTheme="majorHAnsi" w:hAnsiTheme="majorHAnsi" w:cs="LiberationSerif"/>
          <w:szCs w:val="24"/>
        </w:rPr>
        <w:t>that occurred in ≥5% of Soliris-treated patients and at a greater frequency than on placebo.</w:t>
      </w:r>
    </w:p>
    <w:p w14:paraId="3F3AF2AE" w14:textId="1960E4EE" w:rsidR="00506E3D" w:rsidRDefault="00FB566F" w:rsidP="00C6624F">
      <w:pPr>
        <w:pStyle w:val="Caption"/>
        <w:spacing w:after="240"/>
        <w:jc w:val="left"/>
        <w:rPr>
          <w:rFonts w:asciiTheme="majorHAnsi" w:hAnsiTheme="majorHAnsi"/>
          <w:szCs w:val="24"/>
        </w:rPr>
      </w:pPr>
      <w:bookmarkStart w:id="10" w:name="_Ref18588993"/>
      <w:r>
        <w:t xml:space="preserve">Table </w:t>
      </w:r>
      <w:r w:rsidR="00345186">
        <w:fldChar w:fldCharType="begin"/>
      </w:r>
      <w:r w:rsidR="00345186">
        <w:instrText xml:space="preserve"> SEQ Table \* ARABIC </w:instrText>
      </w:r>
      <w:r w:rsidR="00345186">
        <w:fldChar w:fldCharType="separate"/>
      </w:r>
      <w:r w:rsidR="00345186">
        <w:rPr>
          <w:noProof/>
        </w:rPr>
        <w:t>6</w:t>
      </w:r>
      <w:r w:rsidR="00345186">
        <w:fldChar w:fldCharType="end"/>
      </w:r>
      <w:bookmarkEnd w:id="10"/>
      <w:r>
        <w:t xml:space="preserve">: </w:t>
      </w:r>
      <w:r w:rsidRPr="00FB566F">
        <w:rPr>
          <w:rFonts w:asciiTheme="majorHAnsi" w:hAnsiTheme="majorHAnsi"/>
          <w:szCs w:val="24"/>
        </w:rPr>
        <w:t xml:space="preserve">Adverse </w:t>
      </w:r>
      <w:r w:rsidR="00D37CED">
        <w:rPr>
          <w:rFonts w:asciiTheme="majorHAnsi" w:hAnsiTheme="majorHAnsi"/>
          <w:szCs w:val="24"/>
        </w:rPr>
        <w:t>Event</w:t>
      </w:r>
      <w:r w:rsidRPr="00FB566F">
        <w:rPr>
          <w:rFonts w:asciiTheme="majorHAnsi" w:hAnsiTheme="majorHAnsi"/>
          <w:szCs w:val="24"/>
        </w:rPr>
        <w:t>s Reported in 5% or More of</w:t>
      </w:r>
      <w:r>
        <w:rPr>
          <w:rFonts w:asciiTheme="majorHAnsi" w:hAnsiTheme="majorHAnsi"/>
          <w:szCs w:val="24"/>
        </w:rPr>
        <w:t xml:space="preserve"> </w:t>
      </w:r>
      <w:r w:rsidRPr="00FB566F">
        <w:rPr>
          <w:rFonts w:asciiTheme="majorHAnsi" w:hAnsiTheme="majorHAnsi"/>
          <w:szCs w:val="24"/>
        </w:rPr>
        <w:t xml:space="preserve">Soliris -Treated Patients in </w:t>
      </w:r>
      <w:r w:rsidR="0087199B">
        <w:rPr>
          <w:rFonts w:asciiTheme="majorHAnsi" w:hAnsiTheme="majorHAnsi"/>
          <w:szCs w:val="24"/>
        </w:rPr>
        <w:t xml:space="preserve">Study </w:t>
      </w:r>
      <w:r w:rsidRPr="00FB566F">
        <w:rPr>
          <w:rFonts w:asciiTheme="majorHAnsi" w:hAnsiTheme="majorHAnsi"/>
          <w:i/>
          <w:szCs w:val="24"/>
        </w:rPr>
        <w:t>ECU-NMO-301</w:t>
      </w:r>
      <w:r w:rsidRPr="00FB566F">
        <w:rPr>
          <w:rFonts w:asciiTheme="majorHAnsi" w:hAnsiTheme="majorHAnsi"/>
          <w:szCs w:val="24"/>
        </w:rPr>
        <w:t xml:space="preserve"> and at a Greater</w:t>
      </w:r>
      <w:r>
        <w:rPr>
          <w:rFonts w:asciiTheme="majorHAnsi" w:hAnsiTheme="majorHAnsi"/>
          <w:szCs w:val="24"/>
        </w:rPr>
        <w:t xml:space="preserve"> </w:t>
      </w:r>
      <w:r w:rsidRPr="00FB566F">
        <w:rPr>
          <w:rFonts w:asciiTheme="majorHAnsi" w:hAnsiTheme="majorHAnsi"/>
          <w:szCs w:val="24"/>
        </w:rPr>
        <w:t>Frequency than in Placebo-Treated Patients</w:t>
      </w:r>
    </w:p>
    <w:tbl>
      <w:tblPr>
        <w:tblW w:w="3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504"/>
        <w:gridCol w:w="1862"/>
      </w:tblGrid>
      <w:tr w:rsidR="00C376F0" w:rsidRPr="0004215A" w14:paraId="19507E2D" w14:textId="77777777" w:rsidTr="00C6624F">
        <w:trPr>
          <w:trHeight w:val="1000"/>
          <w:tblHeader/>
          <w:jc w:val="center"/>
        </w:trPr>
        <w:tc>
          <w:tcPr>
            <w:tcW w:w="3823" w:type="dxa"/>
          </w:tcPr>
          <w:p w14:paraId="537CD699" w14:textId="77777777" w:rsidR="00C376F0" w:rsidRPr="0004215A" w:rsidRDefault="00C376F0" w:rsidP="00A42424">
            <w:pPr>
              <w:rPr>
                <w:rFonts w:asciiTheme="majorHAnsi" w:hAnsiTheme="majorHAnsi" w:cs="Times New Roman"/>
                <w:b/>
                <w:szCs w:val="24"/>
                <w:lang w:val="en-US"/>
              </w:rPr>
            </w:pPr>
          </w:p>
        </w:tc>
        <w:tc>
          <w:tcPr>
            <w:tcW w:w="1504" w:type="dxa"/>
            <w:vAlign w:val="center"/>
          </w:tcPr>
          <w:p w14:paraId="7741A02B" w14:textId="77777777" w:rsidR="00C376F0" w:rsidRPr="00AC2747" w:rsidRDefault="00C376F0" w:rsidP="00A42424">
            <w:pPr>
              <w:jc w:val="center"/>
              <w:rPr>
                <w:rFonts w:asciiTheme="majorHAnsi" w:hAnsiTheme="majorHAnsi" w:cs="Times New Roman"/>
                <w:b/>
                <w:bCs/>
                <w:szCs w:val="24"/>
              </w:rPr>
            </w:pPr>
            <w:r w:rsidRPr="00AC2747">
              <w:rPr>
                <w:rFonts w:asciiTheme="majorHAnsi" w:hAnsiTheme="majorHAnsi" w:cs="Times New Roman"/>
                <w:b/>
                <w:bCs/>
                <w:szCs w:val="24"/>
              </w:rPr>
              <w:t>Soliris</w:t>
            </w:r>
          </w:p>
          <w:p w14:paraId="2BAA83BD" w14:textId="77777777" w:rsidR="00C376F0" w:rsidRPr="002F6E56" w:rsidRDefault="00C376F0" w:rsidP="00A42424">
            <w:pPr>
              <w:jc w:val="center"/>
              <w:rPr>
                <w:rFonts w:asciiTheme="majorHAnsi" w:hAnsiTheme="majorHAnsi" w:cs="Times New Roman"/>
                <w:b/>
                <w:bCs/>
                <w:szCs w:val="24"/>
              </w:rPr>
            </w:pPr>
            <w:r w:rsidRPr="002F6E56">
              <w:rPr>
                <w:rFonts w:asciiTheme="majorHAnsi" w:hAnsiTheme="majorHAnsi" w:cs="Times New Roman"/>
                <w:b/>
                <w:bCs/>
                <w:szCs w:val="24"/>
              </w:rPr>
              <w:t>(N=96)</w:t>
            </w:r>
          </w:p>
          <w:p w14:paraId="478CB5B6" w14:textId="77777777" w:rsidR="00C376F0" w:rsidRPr="002F6E56" w:rsidRDefault="00C376F0" w:rsidP="00A42424">
            <w:pPr>
              <w:jc w:val="center"/>
              <w:rPr>
                <w:rFonts w:asciiTheme="majorHAnsi" w:hAnsiTheme="majorHAnsi" w:cs="Times New Roman"/>
                <w:b/>
                <w:szCs w:val="24"/>
                <w:lang w:val="en-US"/>
              </w:rPr>
            </w:pPr>
            <w:r w:rsidRPr="002F6E56">
              <w:rPr>
                <w:rFonts w:asciiTheme="majorHAnsi" w:hAnsiTheme="majorHAnsi" w:cs="Times New Roman"/>
                <w:b/>
                <w:szCs w:val="24"/>
                <w:lang w:val="en-US"/>
              </w:rPr>
              <w:t>N (%)</w:t>
            </w:r>
          </w:p>
        </w:tc>
        <w:tc>
          <w:tcPr>
            <w:tcW w:w="1862" w:type="dxa"/>
            <w:vAlign w:val="center"/>
          </w:tcPr>
          <w:p w14:paraId="7C23EEF7" w14:textId="77777777" w:rsidR="00C376F0" w:rsidRPr="002F6E56" w:rsidRDefault="00C376F0" w:rsidP="00A42424">
            <w:pPr>
              <w:jc w:val="center"/>
              <w:rPr>
                <w:rFonts w:asciiTheme="majorHAnsi" w:hAnsiTheme="majorHAnsi" w:cs="Times New Roman"/>
                <w:b/>
                <w:szCs w:val="24"/>
                <w:lang w:val="en-US"/>
              </w:rPr>
            </w:pPr>
            <w:r w:rsidRPr="002F6E56">
              <w:rPr>
                <w:rFonts w:asciiTheme="majorHAnsi" w:hAnsiTheme="majorHAnsi" w:cs="Times New Roman"/>
                <w:b/>
                <w:szCs w:val="24"/>
                <w:lang w:val="en-US"/>
              </w:rPr>
              <w:t xml:space="preserve">Placebo </w:t>
            </w:r>
          </w:p>
          <w:p w14:paraId="0993707F" w14:textId="77777777" w:rsidR="00C376F0" w:rsidRPr="002F6E56" w:rsidRDefault="00C376F0" w:rsidP="00A42424">
            <w:pPr>
              <w:jc w:val="center"/>
              <w:rPr>
                <w:rFonts w:asciiTheme="majorHAnsi" w:hAnsiTheme="majorHAnsi" w:cs="Times New Roman"/>
                <w:b/>
                <w:szCs w:val="24"/>
                <w:lang w:val="en-US"/>
              </w:rPr>
            </w:pPr>
            <w:r w:rsidRPr="002F6E56">
              <w:rPr>
                <w:rFonts w:asciiTheme="majorHAnsi" w:hAnsiTheme="majorHAnsi" w:cs="Times New Roman"/>
                <w:b/>
                <w:szCs w:val="24"/>
                <w:lang w:val="en-US"/>
              </w:rPr>
              <w:t>(N=47)</w:t>
            </w:r>
          </w:p>
          <w:p w14:paraId="784F67DD" w14:textId="77777777" w:rsidR="00C376F0" w:rsidRPr="002F6E56" w:rsidRDefault="00C376F0" w:rsidP="00A42424">
            <w:pPr>
              <w:jc w:val="center"/>
              <w:rPr>
                <w:rFonts w:asciiTheme="majorHAnsi" w:hAnsiTheme="majorHAnsi" w:cs="Times New Roman"/>
                <w:b/>
                <w:szCs w:val="24"/>
                <w:lang w:val="en-US"/>
              </w:rPr>
            </w:pPr>
            <w:r w:rsidRPr="002F6E56">
              <w:rPr>
                <w:rFonts w:asciiTheme="majorHAnsi" w:hAnsiTheme="majorHAnsi" w:cs="Times New Roman"/>
                <w:b/>
                <w:szCs w:val="24"/>
                <w:lang w:val="en-US"/>
              </w:rPr>
              <w:t>N (%)</w:t>
            </w:r>
          </w:p>
        </w:tc>
      </w:tr>
      <w:tr w:rsidR="00C376F0" w:rsidRPr="0004215A" w14:paraId="6FA6D007" w14:textId="77777777" w:rsidTr="00F717BF">
        <w:trPr>
          <w:trHeight w:val="561"/>
          <w:jc w:val="center"/>
        </w:trPr>
        <w:tc>
          <w:tcPr>
            <w:tcW w:w="3823" w:type="dxa"/>
            <w:vAlign w:val="center"/>
          </w:tcPr>
          <w:p w14:paraId="4005459C" w14:textId="77777777" w:rsidR="00C376F0" w:rsidRPr="0004215A" w:rsidRDefault="00C376F0" w:rsidP="00F717BF">
            <w:pPr>
              <w:rPr>
                <w:rFonts w:asciiTheme="majorHAnsi" w:hAnsiTheme="majorHAnsi" w:cs="Times New Roman"/>
                <w:b/>
                <w:szCs w:val="24"/>
                <w:lang w:val="en-US"/>
              </w:rPr>
            </w:pPr>
            <w:r w:rsidRPr="0004215A">
              <w:rPr>
                <w:rFonts w:asciiTheme="majorHAnsi" w:hAnsiTheme="majorHAnsi" w:cs="Times New Roman"/>
                <w:b/>
                <w:szCs w:val="24"/>
                <w:lang w:val="en-US"/>
              </w:rPr>
              <w:t>Events / Patients</w:t>
            </w:r>
          </w:p>
        </w:tc>
        <w:tc>
          <w:tcPr>
            <w:tcW w:w="1504" w:type="dxa"/>
            <w:vAlign w:val="center"/>
          </w:tcPr>
          <w:p w14:paraId="254C5388" w14:textId="77777777" w:rsidR="00C376F0" w:rsidRPr="0004215A" w:rsidRDefault="00C376F0" w:rsidP="00F717BF">
            <w:pPr>
              <w:jc w:val="center"/>
              <w:rPr>
                <w:rFonts w:asciiTheme="majorHAnsi" w:hAnsiTheme="majorHAnsi" w:cs="Times New Roman"/>
                <w:szCs w:val="24"/>
                <w:lang w:val="en-US"/>
              </w:rPr>
            </w:pPr>
            <w:r w:rsidRPr="0004215A">
              <w:rPr>
                <w:rFonts w:asciiTheme="majorHAnsi" w:hAnsiTheme="majorHAnsi" w:cs="Times New Roman"/>
                <w:szCs w:val="24"/>
                <w:lang w:val="en-US"/>
              </w:rPr>
              <w:t>1295 / 88</w:t>
            </w:r>
          </w:p>
        </w:tc>
        <w:tc>
          <w:tcPr>
            <w:tcW w:w="1862" w:type="dxa"/>
            <w:vAlign w:val="center"/>
          </w:tcPr>
          <w:p w14:paraId="7C2D446C" w14:textId="77777777" w:rsidR="00C376F0" w:rsidRPr="0004215A" w:rsidRDefault="00C376F0" w:rsidP="00F717BF">
            <w:pPr>
              <w:jc w:val="center"/>
              <w:rPr>
                <w:rFonts w:asciiTheme="majorHAnsi" w:hAnsiTheme="majorHAnsi" w:cs="Times New Roman"/>
                <w:szCs w:val="24"/>
                <w:lang w:val="en-US"/>
              </w:rPr>
            </w:pPr>
            <w:r w:rsidRPr="0004215A">
              <w:rPr>
                <w:rFonts w:asciiTheme="majorHAnsi" w:hAnsiTheme="majorHAnsi" w:cs="Times New Roman"/>
                <w:szCs w:val="24"/>
                <w:lang w:val="en-US"/>
              </w:rPr>
              <w:t>617 / 45</w:t>
            </w:r>
          </w:p>
        </w:tc>
      </w:tr>
      <w:tr w:rsidR="00C376F0" w:rsidRPr="0004215A" w14:paraId="0519AE35" w14:textId="77777777" w:rsidTr="00A42424">
        <w:trPr>
          <w:jc w:val="center"/>
        </w:trPr>
        <w:tc>
          <w:tcPr>
            <w:tcW w:w="7189" w:type="dxa"/>
            <w:gridSpan w:val="3"/>
          </w:tcPr>
          <w:p w14:paraId="6D8792DA" w14:textId="77777777" w:rsidR="00C376F0" w:rsidRPr="0004215A" w:rsidRDefault="00C376F0" w:rsidP="00C376F0">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Blood and lymphatic system disorders</w:t>
            </w:r>
          </w:p>
        </w:tc>
      </w:tr>
      <w:tr w:rsidR="00C376F0" w:rsidRPr="0004215A" w14:paraId="1908FDC1" w14:textId="77777777" w:rsidTr="00A42424">
        <w:trPr>
          <w:jc w:val="center"/>
        </w:trPr>
        <w:tc>
          <w:tcPr>
            <w:tcW w:w="3823" w:type="dxa"/>
          </w:tcPr>
          <w:p w14:paraId="453CE837" w14:textId="77777777" w:rsidR="00C376F0" w:rsidRPr="0004215A" w:rsidRDefault="00C376F0" w:rsidP="00A42424">
            <w:pPr>
              <w:ind w:left="174"/>
              <w:rPr>
                <w:rFonts w:asciiTheme="majorHAnsi" w:hAnsiTheme="majorHAnsi" w:cs="Times New Roman"/>
                <w:szCs w:val="24"/>
                <w:lang w:val="en-US"/>
              </w:rPr>
            </w:pPr>
            <w:proofErr w:type="spellStart"/>
            <w:r w:rsidRPr="0004215A">
              <w:rPr>
                <w:rFonts w:asciiTheme="majorHAnsi" w:hAnsiTheme="majorHAnsi" w:cs="Times New Roman"/>
                <w:szCs w:val="24"/>
                <w:lang w:val="en-US"/>
              </w:rPr>
              <w:t>Leucopaenia</w:t>
            </w:r>
            <w:proofErr w:type="spellEnd"/>
          </w:p>
        </w:tc>
        <w:tc>
          <w:tcPr>
            <w:tcW w:w="1504" w:type="dxa"/>
            <w:vAlign w:val="center"/>
          </w:tcPr>
          <w:p w14:paraId="4CA57254"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5 (5)</w:t>
            </w:r>
          </w:p>
        </w:tc>
        <w:tc>
          <w:tcPr>
            <w:tcW w:w="1862" w:type="dxa"/>
            <w:vAlign w:val="center"/>
          </w:tcPr>
          <w:p w14:paraId="021FCD06"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1 (2)</w:t>
            </w:r>
          </w:p>
        </w:tc>
      </w:tr>
      <w:tr w:rsidR="00C376F0" w:rsidRPr="0004215A" w14:paraId="25646657" w14:textId="77777777" w:rsidTr="00A42424">
        <w:trPr>
          <w:jc w:val="center"/>
        </w:trPr>
        <w:tc>
          <w:tcPr>
            <w:tcW w:w="3823" w:type="dxa"/>
          </w:tcPr>
          <w:p w14:paraId="08FB8CCB" w14:textId="3C5806A6" w:rsidR="00C376F0" w:rsidRPr="0004215A" w:rsidRDefault="00C376F0" w:rsidP="00A42424">
            <w:pPr>
              <w:ind w:left="174"/>
              <w:rPr>
                <w:rFonts w:asciiTheme="majorHAnsi" w:hAnsiTheme="majorHAnsi" w:cs="Times New Roman"/>
                <w:szCs w:val="24"/>
                <w:lang w:val="en-US"/>
              </w:rPr>
            </w:pPr>
            <w:proofErr w:type="spellStart"/>
            <w:r w:rsidRPr="0004215A">
              <w:rPr>
                <w:rFonts w:asciiTheme="majorHAnsi" w:hAnsiTheme="majorHAnsi" w:cs="LiberationSerif"/>
                <w:szCs w:val="24"/>
              </w:rPr>
              <w:t>Lymphop</w:t>
            </w:r>
            <w:r w:rsidR="008E2D65">
              <w:rPr>
                <w:rFonts w:asciiTheme="majorHAnsi" w:hAnsiTheme="majorHAnsi" w:cs="LiberationSerif"/>
                <w:szCs w:val="24"/>
              </w:rPr>
              <w:t>a</w:t>
            </w:r>
            <w:r w:rsidRPr="0004215A">
              <w:rPr>
                <w:rFonts w:asciiTheme="majorHAnsi" w:hAnsiTheme="majorHAnsi" w:cs="LiberationSerif"/>
                <w:szCs w:val="24"/>
              </w:rPr>
              <w:t>enia</w:t>
            </w:r>
            <w:proofErr w:type="spellEnd"/>
          </w:p>
        </w:tc>
        <w:tc>
          <w:tcPr>
            <w:tcW w:w="1504" w:type="dxa"/>
            <w:vAlign w:val="center"/>
          </w:tcPr>
          <w:p w14:paraId="3554EA4A"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5 (5)</w:t>
            </w:r>
          </w:p>
        </w:tc>
        <w:tc>
          <w:tcPr>
            <w:tcW w:w="1862" w:type="dxa"/>
            <w:vAlign w:val="center"/>
          </w:tcPr>
          <w:p w14:paraId="15ACE89C"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0 (0)</w:t>
            </w:r>
          </w:p>
        </w:tc>
      </w:tr>
      <w:tr w:rsidR="00C376F0" w:rsidRPr="0004215A" w14:paraId="5D6B35D7" w14:textId="77777777" w:rsidTr="00A42424">
        <w:trPr>
          <w:jc w:val="center"/>
        </w:trPr>
        <w:tc>
          <w:tcPr>
            <w:tcW w:w="7189" w:type="dxa"/>
            <w:gridSpan w:val="3"/>
          </w:tcPr>
          <w:p w14:paraId="17B6DDE4" w14:textId="77777777" w:rsidR="00C376F0" w:rsidRPr="0004215A" w:rsidRDefault="00C376F0" w:rsidP="00C376F0">
            <w:pPr>
              <w:rPr>
                <w:rFonts w:asciiTheme="majorHAnsi" w:hAnsiTheme="majorHAnsi" w:cs="Times New Roman"/>
                <w:szCs w:val="24"/>
                <w:lang w:val="en-US"/>
              </w:rPr>
            </w:pPr>
            <w:r w:rsidRPr="0004215A">
              <w:rPr>
                <w:rFonts w:asciiTheme="majorHAnsi" w:hAnsiTheme="majorHAnsi" w:cs="LiberationSerif-Bold"/>
                <w:b/>
                <w:bCs/>
                <w:szCs w:val="24"/>
              </w:rPr>
              <w:t>Eye disorders</w:t>
            </w:r>
          </w:p>
        </w:tc>
      </w:tr>
      <w:tr w:rsidR="00C376F0" w:rsidRPr="0004215A" w14:paraId="6845DCD5" w14:textId="77777777" w:rsidTr="00A42424">
        <w:trPr>
          <w:jc w:val="center"/>
        </w:trPr>
        <w:tc>
          <w:tcPr>
            <w:tcW w:w="3823" w:type="dxa"/>
          </w:tcPr>
          <w:p w14:paraId="74FD53EA" w14:textId="77777777" w:rsidR="00C376F0" w:rsidRPr="0004215A" w:rsidRDefault="00C376F0" w:rsidP="00C376F0">
            <w:pPr>
              <w:ind w:left="174"/>
              <w:rPr>
                <w:rFonts w:asciiTheme="majorHAnsi" w:hAnsiTheme="majorHAnsi" w:cs="Times New Roman"/>
                <w:szCs w:val="24"/>
                <w:lang w:val="en-US"/>
              </w:rPr>
            </w:pPr>
            <w:r w:rsidRPr="0004215A">
              <w:rPr>
                <w:rFonts w:asciiTheme="majorHAnsi" w:hAnsiTheme="majorHAnsi" w:cs="LiberationSerif"/>
                <w:szCs w:val="24"/>
              </w:rPr>
              <w:t>Cataract</w:t>
            </w:r>
          </w:p>
        </w:tc>
        <w:tc>
          <w:tcPr>
            <w:tcW w:w="1504" w:type="dxa"/>
            <w:vAlign w:val="center"/>
          </w:tcPr>
          <w:p w14:paraId="35893DE8"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6 (6)</w:t>
            </w:r>
          </w:p>
        </w:tc>
        <w:tc>
          <w:tcPr>
            <w:tcW w:w="1862" w:type="dxa"/>
            <w:vAlign w:val="center"/>
          </w:tcPr>
          <w:p w14:paraId="6D18B788" w14:textId="77777777" w:rsidR="00C376F0" w:rsidRPr="0004215A" w:rsidRDefault="00C376F0"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2 (4)</w:t>
            </w:r>
          </w:p>
        </w:tc>
      </w:tr>
      <w:tr w:rsidR="00C376F0" w:rsidRPr="0004215A" w14:paraId="37CAECC6" w14:textId="77777777" w:rsidTr="00A42424">
        <w:trPr>
          <w:jc w:val="center"/>
        </w:trPr>
        <w:tc>
          <w:tcPr>
            <w:tcW w:w="7189" w:type="dxa"/>
            <w:gridSpan w:val="3"/>
          </w:tcPr>
          <w:p w14:paraId="5B35BE1B" w14:textId="77777777" w:rsidR="00C376F0" w:rsidRPr="0004215A" w:rsidRDefault="00C376F0" w:rsidP="00C376F0">
            <w:pPr>
              <w:rPr>
                <w:rFonts w:asciiTheme="majorHAnsi" w:hAnsiTheme="majorHAnsi" w:cs="Times New Roman"/>
                <w:szCs w:val="24"/>
                <w:lang w:val="en-US"/>
              </w:rPr>
            </w:pPr>
            <w:r w:rsidRPr="0004215A">
              <w:rPr>
                <w:rFonts w:asciiTheme="majorHAnsi" w:hAnsiTheme="majorHAnsi" w:cs="LiberationSerif-Bold"/>
                <w:b/>
                <w:bCs/>
                <w:szCs w:val="24"/>
              </w:rPr>
              <w:t>Gastrointestinal disorders</w:t>
            </w:r>
          </w:p>
        </w:tc>
      </w:tr>
      <w:tr w:rsidR="00C376F0" w:rsidRPr="0004215A" w14:paraId="0CFB19D6" w14:textId="77777777" w:rsidTr="00A42424">
        <w:trPr>
          <w:jc w:val="center"/>
        </w:trPr>
        <w:tc>
          <w:tcPr>
            <w:tcW w:w="3823" w:type="dxa"/>
          </w:tcPr>
          <w:p w14:paraId="7EEA2F08" w14:textId="77777777" w:rsidR="00C376F0" w:rsidRPr="0004215A" w:rsidRDefault="00C376F0" w:rsidP="00C376F0">
            <w:pPr>
              <w:ind w:left="174"/>
              <w:rPr>
                <w:rFonts w:asciiTheme="majorHAnsi" w:hAnsiTheme="majorHAnsi" w:cs="Times New Roman"/>
                <w:szCs w:val="24"/>
                <w:lang w:val="en-US"/>
              </w:rPr>
            </w:pPr>
            <w:r w:rsidRPr="0004215A">
              <w:rPr>
                <w:rFonts w:asciiTheme="majorHAnsi" w:hAnsiTheme="majorHAnsi" w:cs="LiberationSerif"/>
                <w:szCs w:val="24"/>
              </w:rPr>
              <w:t>Diarrhoea</w:t>
            </w:r>
          </w:p>
        </w:tc>
        <w:tc>
          <w:tcPr>
            <w:tcW w:w="1504" w:type="dxa"/>
            <w:vAlign w:val="center"/>
          </w:tcPr>
          <w:p w14:paraId="791B5491" w14:textId="77777777" w:rsidR="00C376F0" w:rsidRPr="0004215A" w:rsidRDefault="00C376F0" w:rsidP="00C376F0">
            <w:pPr>
              <w:jc w:val="center"/>
              <w:rPr>
                <w:rFonts w:asciiTheme="majorHAnsi" w:hAnsiTheme="majorHAnsi" w:cs="Times New Roman"/>
                <w:szCs w:val="24"/>
                <w:lang w:val="en-US"/>
              </w:rPr>
            </w:pPr>
            <w:r w:rsidRPr="0004215A">
              <w:rPr>
                <w:rFonts w:asciiTheme="majorHAnsi" w:hAnsiTheme="majorHAnsi" w:cs="LiberationSerif"/>
                <w:szCs w:val="24"/>
              </w:rPr>
              <w:t>15 (16)</w:t>
            </w:r>
          </w:p>
        </w:tc>
        <w:tc>
          <w:tcPr>
            <w:tcW w:w="1862" w:type="dxa"/>
            <w:vAlign w:val="center"/>
          </w:tcPr>
          <w:p w14:paraId="288838E3" w14:textId="77777777" w:rsidR="00C376F0" w:rsidRPr="0004215A" w:rsidRDefault="00C376F0" w:rsidP="00C376F0">
            <w:pPr>
              <w:jc w:val="center"/>
              <w:rPr>
                <w:rFonts w:asciiTheme="majorHAnsi" w:hAnsiTheme="majorHAnsi" w:cs="Times New Roman"/>
                <w:szCs w:val="24"/>
                <w:lang w:val="en-US"/>
              </w:rPr>
            </w:pPr>
            <w:r w:rsidRPr="0004215A">
              <w:rPr>
                <w:rFonts w:asciiTheme="majorHAnsi" w:hAnsiTheme="majorHAnsi" w:cs="LiberationSerif"/>
                <w:szCs w:val="24"/>
              </w:rPr>
              <w:t>7 (15)</w:t>
            </w:r>
          </w:p>
        </w:tc>
      </w:tr>
      <w:tr w:rsidR="00C376F0" w:rsidRPr="0004215A" w14:paraId="36455629" w14:textId="77777777" w:rsidTr="00A42424">
        <w:trPr>
          <w:jc w:val="center"/>
        </w:trPr>
        <w:tc>
          <w:tcPr>
            <w:tcW w:w="3823" w:type="dxa"/>
          </w:tcPr>
          <w:p w14:paraId="181AD128" w14:textId="77777777" w:rsidR="00C376F0"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Constipation</w:t>
            </w:r>
          </w:p>
        </w:tc>
        <w:tc>
          <w:tcPr>
            <w:tcW w:w="1504" w:type="dxa"/>
            <w:vAlign w:val="center"/>
          </w:tcPr>
          <w:p w14:paraId="57D697AA" w14:textId="52C98AF0" w:rsidR="00C376F0" w:rsidRPr="0004215A" w:rsidRDefault="00A2140D" w:rsidP="00C376F0">
            <w:pPr>
              <w:jc w:val="center"/>
              <w:rPr>
                <w:rFonts w:asciiTheme="majorHAnsi" w:hAnsiTheme="majorHAnsi" w:cs="Times New Roman"/>
                <w:szCs w:val="24"/>
                <w:lang w:val="en-US"/>
              </w:rPr>
            </w:pPr>
            <w:r>
              <w:rPr>
                <w:rFonts w:asciiTheme="majorHAnsi" w:hAnsiTheme="majorHAnsi" w:cs="Times New Roman"/>
                <w:szCs w:val="24"/>
                <w:lang w:val="en-US"/>
              </w:rPr>
              <w:t>9 (9)</w:t>
            </w:r>
          </w:p>
        </w:tc>
        <w:tc>
          <w:tcPr>
            <w:tcW w:w="1862" w:type="dxa"/>
            <w:vAlign w:val="center"/>
          </w:tcPr>
          <w:p w14:paraId="5E852E12" w14:textId="3748BFE6" w:rsidR="00C376F0" w:rsidRPr="0004215A" w:rsidRDefault="00A2140D" w:rsidP="00C376F0">
            <w:pPr>
              <w:jc w:val="center"/>
              <w:rPr>
                <w:rFonts w:asciiTheme="majorHAnsi" w:hAnsiTheme="majorHAnsi" w:cs="Times New Roman"/>
                <w:szCs w:val="24"/>
                <w:lang w:val="en-US"/>
              </w:rPr>
            </w:pPr>
            <w:r>
              <w:rPr>
                <w:rFonts w:asciiTheme="majorHAnsi" w:hAnsiTheme="majorHAnsi" w:cs="Times New Roman"/>
                <w:szCs w:val="24"/>
                <w:lang w:val="en-US"/>
              </w:rPr>
              <w:t>3 (6)</w:t>
            </w:r>
          </w:p>
        </w:tc>
      </w:tr>
      <w:tr w:rsidR="00A42424" w:rsidRPr="0004215A" w14:paraId="38337B2B" w14:textId="77777777" w:rsidTr="00A42424">
        <w:trPr>
          <w:jc w:val="center"/>
        </w:trPr>
        <w:tc>
          <w:tcPr>
            <w:tcW w:w="7189" w:type="dxa"/>
            <w:gridSpan w:val="3"/>
          </w:tcPr>
          <w:p w14:paraId="1D0732C5" w14:textId="77777777" w:rsidR="00A42424" w:rsidRPr="0004215A" w:rsidRDefault="00A42424" w:rsidP="00A42424">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General disorders and administration site conditions</w:t>
            </w:r>
          </w:p>
        </w:tc>
      </w:tr>
      <w:tr w:rsidR="00A42424" w:rsidRPr="0004215A" w14:paraId="74507C7E" w14:textId="77777777" w:rsidTr="00A42424">
        <w:trPr>
          <w:jc w:val="center"/>
        </w:trPr>
        <w:tc>
          <w:tcPr>
            <w:tcW w:w="3823" w:type="dxa"/>
          </w:tcPr>
          <w:p w14:paraId="2A090507"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Asthenia</w:t>
            </w:r>
          </w:p>
        </w:tc>
        <w:tc>
          <w:tcPr>
            <w:tcW w:w="1504" w:type="dxa"/>
            <w:vAlign w:val="center"/>
          </w:tcPr>
          <w:p w14:paraId="3712A04E"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5 (5)</w:t>
            </w:r>
          </w:p>
        </w:tc>
        <w:tc>
          <w:tcPr>
            <w:tcW w:w="1862" w:type="dxa"/>
            <w:vAlign w:val="center"/>
          </w:tcPr>
          <w:p w14:paraId="609CA41B"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1 (2)</w:t>
            </w:r>
          </w:p>
        </w:tc>
      </w:tr>
      <w:tr w:rsidR="00A42424" w:rsidRPr="0004215A" w14:paraId="7221560D" w14:textId="77777777" w:rsidTr="00A42424">
        <w:trPr>
          <w:jc w:val="center"/>
        </w:trPr>
        <w:tc>
          <w:tcPr>
            <w:tcW w:w="7189" w:type="dxa"/>
            <w:gridSpan w:val="3"/>
          </w:tcPr>
          <w:p w14:paraId="4EC4E210" w14:textId="77777777" w:rsidR="00A42424" w:rsidRPr="0004215A" w:rsidRDefault="00A42424" w:rsidP="00A42424">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Infections and infestations</w:t>
            </w:r>
          </w:p>
        </w:tc>
      </w:tr>
      <w:tr w:rsidR="00A42424" w:rsidRPr="0004215A" w14:paraId="0765231C" w14:textId="77777777" w:rsidTr="00A42424">
        <w:trPr>
          <w:jc w:val="center"/>
        </w:trPr>
        <w:tc>
          <w:tcPr>
            <w:tcW w:w="3823" w:type="dxa"/>
          </w:tcPr>
          <w:p w14:paraId="03EF338D"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 xml:space="preserve">Upper </w:t>
            </w:r>
            <w:r w:rsidR="0004215A">
              <w:rPr>
                <w:rFonts w:asciiTheme="majorHAnsi" w:hAnsiTheme="majorHAnsi" w:cs="Times New Roman"/>
                <w:szCs w:val="24"/>
                <w:lang w:val="en-US"/>
              </w:rPr>
              <w:t>r</w:t>
            </w:r>
            <w:r w:rsidRPr="0004215A">
              <w:rPr>
                <w:rFonts w:asciiTheme="majorHAnsi" w:hAnsiTheme="majorHAnsi" w:cs="Times New Roman"/>
                <w:szCs w:val="24"/>
                <w:lang w:val="en-US"/>
              </w:rPr>
              <w:t>espiratory tract infection</w:t>
            </w:r>
          </w:p>
        </w:tc>
        <w:tc>
          <w:tcPr>
            <w:tcW w:w="1504" w:type="dxa"/>
            <w:vAlign w:val="center"/>
          </w:tcPr>
          <w:p w14:paraId="0A996166"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28 (29)</w:t>
            </w:r>
          </w:p>
        </w:tc>
        <w:tc>
          <w:tcPr>
            <w:tcW w:w="1862" w:type="dxa"/>
            <w:vAlign w:val="center"/>
          </w:tcPr>
          <w:p w14:paraId="393A29DF"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6 (13)</w:t>
            </w:r>
          </w:p>
        </w:tc>
      </w:tr>
      <w:tr w:rsidR="00A42424" w:rsidRPr="0004215A" w14:paraId="21767878" w14:textId="77777777" w:rsidTr="00A42424">
        <w:trPr>
          <w:jc w:val="center"/>
        </w:trPr>
        <w:tc>
          <w:tcPr>
            <w:tcW w:w="3823" w:type="dxa"/>
          </w:tcPr>
          <w:p w14:paraId="4E00AD82"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LiberationSerif"/>
                <w:szCs w:val="24"/>
              </w:rPr>
              <w:t>Nasopharyngitis</w:t>
            </w:r>
          </w:p>
        </w:tc>
        <w:tc>
          <w:tcPr>
            <w:tcW w:w="1504" w:type="dxa"/>
            <w:vAlign w:val="center"/>
          </w:tcPr>
          <w:p w14:paraId="0B0D20E2"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20 (21)</w:t>
            </w:r>
          </w:p>
        </w:tc>
        <w:tc>
          <w:tcPr>
            <w:tcW w:w="1862" w:type="dxa"/>
            <w:vAlign w:val="center"/>
          </w:tcPr>
          <w:p w14:paraId="11B32A9D"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9 (19)</w:t>
            </w:r>
          </w:p>
        </w:tc>
      </w:tr>
      <w:tr w:rsidR="00A42424" w:rsidRPr="0004215A" w14:paraId="521B3CB8" w14:textId="77777777" w:rsidTr="00A42424">
        <w:trPr>
          <w:jc w:val="center"/>
        </w:trPr>
        <w:tc>
          <w:tcPr>
            <w:tcW w:w="3823" w:type="dxa"/>
          </w:tcPr>
          <w:p w14:paraId="58F8463E" w14:textId="071ACE96"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LiberationSerif"/>
                <w:szCs w:val="24"/>
              </w:rPr>
              <w:t xml:space="preserve">Influenza </w:t>
            </w:r>
          </w:p>
        </w:tc>
        <w:tc>
          <w:tcPr>
            <w:tcW w:w="1504" w:type="dxa"/>
          </w:tcPr>
          <w:p w14:paraId="47ABB0A2"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LiberationSerif"/>
                <w:szCs w:val="24"/>
              </w:rPr>
              <w:t>11 (11)</w:t>
            </w:r>
          </w:p>
        </w:tc>
        <w:tc>
          <w:tcPr>
            <w:tcW w:w="1862" w:type="dxa"/>
          </w:tcPr>
          <w:p w14:paraId="20A41736"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LiberationSerif"/>
                <w:szCs w:val="24"/>
              </w:rPr>
              <w:t>2 (4)</w:t>
            </w:r>
          </w:p>
        </w:tc>
      </w:tr>
      <w:tr w:rsidR="00A42424" w:rsidRPr="0004215A" w14:paraId="75930199" w14:textId="77777777" w:rsidTr="00A42424">
        <w:trPr>
          <w:jc w:val="center"/>
        </w:trPr>
        <w:tc>
          <w:tcPr>
            <w:tcW w:w="3823" w:type="dxa"/>
          </w:tcPr>
          <w:p w14:paraId="79F55155"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Pharyngitis</w:t>
            </w:r>
          </w:p>
        </w:tc>
        <w:tc>
          <w:tcPr>
            <w:tcW w:w="1504" w:type="dxa"/>
            <w:vAlign w:val="center"/>
          </w:tcPr>
          <w:p w14:paraId="533E18B2"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10 (10)</w:t>
            </w:r>
          </w:p>
        </w:tc>
        <w:tc>
          <w:tcPr>
            <w:tcW w:w="1862" w:type="dxa"/>
            <w:vAlign w:val="center"/>
          </w:tcPr>
          <w:p w14:paraId="10465762"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3 (6)</w:t>
            </w:r>
          </w:p>
        </w:tc>
      </w:tr>
      <w:tr w:rsidR="00A42424" w:rsidRPr="0004215A" w14:paraId="13DDBD43" w14:textId="77777777" w:rsidTr="00A42424">
        <w:trPr>
          <w:jc w:val="center"/>
        </w:trPr>
        <w:tc>
          <w:tcPr>
            <w:tcW w:w="3823" w:type="dxa"/>
          </w:tcPr>
          <w:p w14:paraId="23B130DC"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lastRenderedPageBreak/>
              <w:t>Bronchitis</w:t>
            </w:r>
          </w:p>
        </w:tc>
        <w:tc>
          <w:tcPr>
            <w:tcW w:w="1504" w:type="dxa"/>
            <w:vAlign w:val="center"/>
          </w:tcPr>
          <w:p w14:paraId="5FAC3F83"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9 (9)</w:t>
            </w:r>
          </w:p>
        </w:tc>
        <w:tc>
          <w:tcPr>
            <w:tcW w:w="1862" w:type="dxa"/>
            <w:vAlign w:val="center"/>
          </w:tcPr>
          <w:p w14:paraId="6E0D6B64"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3 (6)</w:t>
            </w:r>
          </w:p>
        </w:tc>
      </w:tr>
      <w:tr w:rsidR="00A42424" w:rsidRPr="0004215A" w14:paraId="1E40AFDC" w14:textId="77777777" w:rsidTr="00A42424">
        <w:trPr>
          <w:jc w:val="center"/>
        </w:trPr>
        <w:tc>
          <w:tcPr>
            <w:tcW w:w="3823" w:type="dxa"/>
          </w:tcPr>
          <w:p w14:paraId="3CB27667"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Conjunctivitis</w:t>
            </w:r>
          </w:p>
        </w:tc>
        <w:tc>
          <w:tcPr>
            <w:tcW w:w="1504" w:type="dxa"/>
            <w:vAlign w:val="center"/>
          </w:tcPr>
          <w:p w14:paraId="257516B3"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9 (9)</w:t>
            </w:r>
          </w:p>
        </w:tc>
        <w:tc>
          <w:tcPr>
            <w:tcW w:w="1862" w:type="dxa"/>
            <w:vAlign w:val="center"/>
          </w:tcPr>
          <w:p w14:paraId="17F49D3B"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4 (9)</w:t>
            </w:r>
          </w:p>
        </w:tc>
      </w:tr>
      <w:tr w:rsidR="00A42424" w:rsidRPr="0004215A" w14:paraId="40899B8E" w14:textId="77777777" w:rsidTr="00A42424">
        <w:trPr>
          <w:jc w:val="center"/>
        </w:trPr>
        <w:tc>
          <w:tcPr>
            <w:tcW w:w="3823" w:type="dxa"/>
          </w:tcPr>
          <w:p w14:paraId="32A75314"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Cystitis</w:t>
            </w:r>
          </w:p>
        </w:tc>
        <w:tc>
          <w:tcPr>
            <w:tcW w:w="1504" w:type="dxa"/>
            <w:vAlign w:val="center"/>
          </w:tcPr>
          <w:p w14:paraId="582AFD08"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8 (8)</w:t>
            </w:r>
          </w:p>
        </w:tc>
        <w:tc>
          <w:tcPr>
            <w:tcW w:w="1862" w:type="dxa"/>
            <w:vAlign w:val="center"/>
          </w:tcPr>
          <w:p w14:paraId="043A02C9"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1 (2)</w:t>
            </w:r>
          </w:p>
        </w:tc>
      </w:tr>
      <w:tr w:rsidR="00A42424" w:rsidRPr="0004215A" w14:paraId="13D5F45E" w14:textId="77777777" w:rsidTr="00A42424">
        <w:trPr>
          <w:jc w:val="center"/>
        </w:trPr>
        <w:tc>
          <w:tcPr>
            <w:tcW w:w="3823" w:type="dxa"/>
          </w:tcPr>
          <w:p w14:paraId="7A217BD0" w14:textId="77777777" w:rsidR="00A42424" w:rsidRPr="0004215A" w:rsidRDefault="00A42424" w:rsidP="00A42424">
            <w:pPr>
              <w:ind w:left="174"/>
              <w:rPr>
                <w:rFonts w:asciiTheme="majorHAnsi" w:hAnsiTheme="majorHAnsi" w:cs="Times New Roman"/>
                <w:szCs w:val="24"/>
                <w:lang w:val="en-US"/>
              </w:rPr>
            </w:pPr>
            <w:r w:rsidRPr="0004215A">
              <w:rPr>
                <w:rFonts w:asciiTheme="majorHAnsi" w:hAnsiTheme="majorHAnsi" w:cs="Times New Roman"/>
                <w:szCs w:val="24"/>
                <w:lang w:val="en-US"/>
              </w:rPr>
              <w:t>Hordeolum</w:t>
            </w:r>
          </w:p>
        </w:tc>
        <w:tc>
          <w:tcPr>
            <w:tcW w:w="1504" w:type="dxa"/>
            <w:vAlign w:val="center"/>
          </w:tcPr>
          <w:p w14:paraId="7197C39C"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7 (7)</w:t>
            </w:r>
          </w:p>
        </w:tc>
        <w:tc>
          <w:tcPr>
            <w:tcW w:w="1862" w:type="dxa"/>
            <w:vAlign w:val="center"/>
          </w:tcPr>
          <w:p w14:paraId="66382AFC"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0(0)</w:t>
            </w:r>
          </w:p>
        </w:tc>
      </w:tr>
      <w:tr w:rsidR="00A42424" w:rsidRPr="0004215A" w14:paraId="049C12D8" w14:textId="77777777" w:rsidTr="00A42424">
        <w:trPr>
          <w:jc w:val="center"/>
        </w:trPr>
        <w:tc>
          <w:tcPr>
            <w:tcW w:w="3823" w:type="dxa"/>
          </w:tcPr>
          <w:p w14:paraId="120C866E" w14:textId="77777777" w:rsidR="00A42424" w:rsidRPr="0004215A" w:rsidRDefault="00A42424" w:rsidP="0004215A">
            <w:pPr>
              <w:ind w:left="174"/>
              <w:rPr>
                <w:rFonts w:asciiTheme="majorHAnsi" w:hAnsiTheme="majorHAnsi" w:cs="Times New Roman"/>
                <w:szCs w:val="24"/>
                <w:lang w:val="en-US"/>
              </w:rPr>
            </w:pPr>
            <w:r w:rsidRPr="0004215A">
              <w:rPr>
                <w:rFonts w:asciiTheme="majorHAnsi" w:hAnsiTheme="majorHAnsi" w:cs="Times New Roman"/>
                <w:szCs w:val="24"/>
                <w:lang w:val="en-US"/>
              </w:rPr>
              <w:t>Sinusitis</w:t>
            </w:r>
          </w:p>
        </w:tc>
        <w:tc>
          <w:tcPr>
            <w:tcW w:w="1504" w:type="dxa"/>
            <w:vAlign w:val="center"/>
          </w:tcPr>
          <w:p w14:paraId="058DD9FE"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6 (6)</w:t>
            </w:r>
          </w:p>
        </w:tc>
        <w:tc>
          <w:tcPr>
            <w:tcW w:w="1862" w:type="dxa"/>
            <w:vAlign w:val="center"/>
          </w:tcPr>
          <w:p w14:paraId="2DF0A94F"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0 (0)</w:t>
            </w:r>
          </w:p>
        </w:tc>
      </w:tr>
      <w:tr w:rsidR="00A42424" w:rsidRPr="0004215A" w14:paraId="28110107" w14:textId="77777777" w:rsidTr="00F717BF">
        <w:trPr>
          <w:jc w:val="center"/>
        </w:trPr>
        <w:tc>
          <w:tcPr>
            <w:tcW w:w="3823" w:type="dxa"/>
          </w:tcPr>
          <w:p w14:paraId="728BA575" w14:textId="77777777" w:rsidR="00A42424" w:rsidRPr="0004215A" w:rsidRDefault="00A42424" w:rsidP="0004215A">
            <w:pPr>
              <w:ind w:left="174"/>
              <w:rPr>
                <w:rFonts w:asciiTheme="majorHAnsi" w:hAnsiTheme="majorHAnsi" w:cs="Times New Roman"/>
                <w:szCs w:val="24"/>
                <w:lang w:val="en-US"/>
              </w:rPr>
            </w:pPr>
            <w:r w:rsidRPr="0004215A">
              <w:rPr>
                <w:rFonts w:asciiTheme="majorHAnsi" w:hAnsiTheme="majorHAnsi" w:cs="Times New Roman"/>
                <w:szCs w:val="24"/>
                <w:lang w:val="en-US"/>
              </w:rPr>
              <w:t>Cellulitis</w:t>
            </w:r>
          </w:p>
        </w:tc>
        <w:tc>
          <w:tcPr>
            <w:tcW w:w="1504" w:type="dxa"/>
            <w:vAlign w:val="center"/>
          </w:tcPr>
          <w:p w14:paraId="72577429"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5 (5)</w:t>
            </w:r>
          </w:p>
        </w:tc>
        <w:tc>
          <w:tcPr>
            <w:tcW w:w="1862" w:type="dxa"/>
            <w:vAlign w:val="center"/>
          </w:tcPr>
          <w:p w14:paraId="20103013" w14:textId="77777777" w:rsidR="00A42424" w:rsidRPr="0004215A" w:rsidRDefault="00A42424" w:rsidP="00A42424">
            <w:pPr>
              <w:jc w:val="center"/>
              <w:rPr>
                <w:rFonts w:asciiTheme="majorHAnsi" w:hAnsiTheme="majorHAnsi" w:cs="Times New Roman"/>
                <w:szCs w:val="24"/>
                <w:lang w:val="en-US"/>
              </w:rPr>
            </w:pPr>
            <w:r w:rsidRPr="0004215A">
              <w:rPr>
                <w:rFonts w:asciiTheme="majorHAnsi" w:hAnsiTheme="majorHAnsi" w:cs="Times New Roman"/>
                <w:szCs w:val="24"/>
                <w:lang w:val="en-US"/>
              </w:rPr>
              <w:t>1 (2)</w:t>
            </w:r>
          </w:p>
        </w:tc>
      </w:tr>
      <w:tr w:rsidR="00B876D3" w:rsidRPr="0004215A" w14:paraId="3B7A7EFF" w14:textId="77777777" w:rsidTr="00F717BF">
        <w:trPr>
          <w:jc w:val="center"/>
        </w:trPr>
        <w:tc>
          <w:tcPr>
            <w:tcW w:w="7189" w:type="dxa"/>
            <w:gridSpan w:val="3"/>
          </w:tcPr>
          <w:p w14:paraId="54D2F128" w14:textId="55E9D9A2" w:rsidR="00B876D3" w:rsidRPr="0004215A" w:rsidRDefault="00B876D3" w:rsidP="00A42424">
            <w:pPr>
              <w:autoSpaceDE w:val="0"/>
              <w:autoSpaceDN w:val="0"/>
              <w:adjustRightInd w:val="0"/>
              <w:rPr>
                <w:rFonts w:asciiTheme="majorHAnsi" w:hAnsiTheme="majorHAnsi" w:cs="LiberationSerif-Bold"/>
                <w:b/>
                <w:bCs/>
                <w:szCs w:val="24"/>
              </w:rPr>
            </w:pPr>
            <w:r>
              <w:rPr>
                <w:rFonts w:asciiTheme="majorHAnsi" w:hAnsiTheme="majorHAnsi" w:cs="LiberationSerif-Bold"/>
                <w:b/>
                <w:bCs/>
                <w:szCs w:val="24"/>
              </w:rPr>
              <w:t>Injury, poisoning and procedural complications</w:t>
            </w:r>
          </w:p>
        </w:tc>
      </w:tr>
      <w:tr w:rsidR="00B876D3" w:rsidRPr="0004215A" w14:paraId="0B456894" w14:textId="77777777" w:rsidTr="00B876D3">
        <w:trPr>
          <w:jc w:val="center"/>
        </w:trPr>
        <w:tc>
          <w:tcPr>
            <w:tcW w:w="3823" w:type="dxa"/>
          </w:tcPr>
          <w:p w14:paraId="7E5B8FC5" w14:textId="7ADC148F" w:rsidR="00B876D3" w:rsidRPr="007566BB" w:rsidRDefault="007566BB" w:rsidP="007566BB">
            <w:pPr>
              <w:autoSpaceDE w:val="0"/>
              <w:autoSpaceDN w:val="0"/>
              <w:adjustRightInd w:val="0"/>
              <w:ind w:left="168"/>
              <w:rPr>
                <w:rFonts w:asciiTheme="majorHAnsi" w:hAnsiTheme="majorHAnsi" w:cs="LiberationSerif-Bold"/>
                <w:szCs w:val="24"/>
              </w:rPr>
            </w:pPr>
            <w:r w:rsidRPr="007566BB">
              <w:rPr>
                <w:rFonts w:asciiTheme="majorHAnsi" w:hAnsiTheme="majorHAnsi" w:cs="LiberationSerif-Bold"/>
                <w:szCs w:val="24"/>
              </w:rPr>
              <w:t>Contusion</w:t>
            </w:r>
          </w:p>
        </w:tc>
        <w:tc>
          <w:tcPr>
            <w:tcW w:w="1504" w:type="dxa"/>
          </w:tcPr>
          <w:p w14:paraId="19A77E51" w14:textId="4619C9AE" w:rsidR="00B876D3" w:rsidRPr="00B876D3" w:rsidRDefault="00B876D3" w:rsidP="00B876D3">
            <w:pPr>
              <w:autoSpaceDE w:val="0"/>
              <w:autoSpaceDN w:val="0"/>
              <w:adjustRightInd w:val="0"/>
              <w:jc w:val="center"/>
              <w:rPr>
                <w:rFonts w:asciiTheme="majorHAnsi" w:hAnsiTheme="majorHAnsi" w:cs="LiberationSerif-Bold"/>
                <w:szCs w:val="24"/>
              </w:rPr>
            </w:pPr>
            <w:r w:rsidRPr="00B876D3">
              <w:rPr>
                <w:rFonts w:asciiTheme="majorHAnsi" w:hAnsiTheme="majorHAnsi" w:cs="LiberationSerif-Bold"/>
                <w:szCs w:val="24"/>
              </w:rPr>
              <w:t>10 (10)</w:t>
            </w:r>
          </w:p>
        </w:tc>
        <w:tc>
          <w:tcPr>
            <w:tcW w:w="1862" w:type="dxa"/>
          </w:tcPr>
          <w:p w14:paraId="7E973E7E" w14:textId="5DD802C9" w:rsidR="00B876D3" w:rsidRPr="007566BB" w:rsidRDefault="007566BB" w:rsidP="007566BB">
            <w:pPr>
              <w:autoSpaceDE w:val="0"/>
              <w:autoSpaceDN w:val="0"/>
              <w:adjustRightInd w:val="0"/>
              <w:jc w:val="center"/>
              <w:rPr>
                <w:rFonts w:asciiTheme="majorHAnsi" w:hAnsiTheme="majorHAnsi" w:cs="LiberationSerif-Bold"/>
                <w:szCs w:val="24"/>
              </w:rPr>
            </w:pPr>
            <w:r w:rsidRPr="007566BB">
              <w:rPr>
                <w:rFonts w:asciiTheme="majorHAnsi" w:hAnsiTheme="majorHAnsi" w:cs="LiberationSerif-Bold"/>
                <w:szCs w:val="24"/>
              </w:rPr>
              <w:t>2 (4)</w:t>
            </w:r>
          </w:p>
        </w:tc>
      </w:tr>
      <w:tr w:rsidR="00A42424" w:rsidRPr="0004215A" w14:paraId="58E3FCE4" w14:textId="77777777" w:rsidTr="00F717BF">
        <w:trPr>
          <w:jc w:val="center"/>
        </w:trPr>
        <w:tc>
          <w:tcPr>
            <w:tcW w:w="7189" w:type="dxa"/>
            <w:gridSpan w:val="3"/>
          </w:tcPr>
          <w:p w14:paraId="4882B198" w14:textId="77777777" w:rsidR="00A42424" w:rsidRPr="0004215A" w:rsidRDefault="00A42424" w:rsidP="00A42424">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Metabolism and nutrition disorders</w:t>
            </w:r>
          </w:p>
        </w:tc>
      </w:tr>
      <w:tr w:rsidR="0004215A" w:rsidRPr="0004215A" w14:paraId="38F84501" w14:textId="77777777" w:rsidTr="00A42424">
        <w:trPr>
          <w:jc w:val="center"/>
        </w:trPr>
        <w:tc>
          <w:tcPr>
            <w:tcW w:w="3823" w:type="dxa"/>
          </w:tcPr>
          <w:p w14:paraId="3D69AD84" w14:textId="77777777" w:rsidR="0004215A" w:rsidRPr="0004215A" w:rsidRDefault="0004215A" w:rsidP="0004215A">
            <w:pPr>
              <w:tabs>
                <w:tab w:val="left" w:pos="920"/>
              </w:tabs>
              <w:ind w:left="174"/>
              <w:rPr>
                <w:rFonts w:asciiTheme="majorHAnsi" w:hAnsiTheme="majorHAnsi" w:cs="Times New Roman"/>
                <w:szCs w:val="24"/>
                <w:lang w:val="en-US"/>
              </w:rPr>
            </w:pPr>
            <w:r w:rsidRPr="0004215A">
              <w:rPr>
                <w:rFonts w:asciiTheme="majorHAnsi" w:hAnsiTheme="majorHAnsi" w:cs="LiberationSerif"/>
                <w:szCs w:val="24"/>
              </w:rPr>
              <w:t>Decreased appetite</w:t>
            </w:r>
          </w:p>
        </w:tc>
        <w:tc>
          <w:tcPr>
            <w:tcW w:w="1504" w:type="dxa"/>
            <w:vAlign w:val="center"/>
          </w:tcPr>
          <w:p w14:paraId="1A327001" w14:textId="77777777" w:rsidR="0004215A" w:rsidRPr="0004215A" w:rsidRDefault="0004215A" w:rsidP="0004215A">
            <w:pPr>
              <w:jc w:val="center"/>
              <w:rPr>
                <w:rFonts w:asciiTheme="majorHAnsi" w:hAnsiTheme="majorHAnsi" w:cs="Times New Roman"/>
                <w:szCs w:val="24"/>
                <w:lang w:val="en-US"/>
              </w:rPr>
            </w:pPr>
            <w:r w:rsidRPr="0004215A">
              <w:rPr>
                <w:rFonts w:asciiTheme="majorHAnsi" w:hAnsiTheme="majorHAnsi" w:cs="Times New Roman"/>
                <w:szCs w:val="24"/>
                <w:lang w:val="en-US"/>
              </w:rPr>
              <w:t>5 (5)</w:t>
            </w:r>
          </w:p>
        </w:tc>
        <w:tc>
          <w:tcPr>
            <w:tcW w:w="1862" w:type="dxa"/>
            <w:vAlign w:val="center"/>
          </w:tcPr>
          <w:p w14:paraId="1BFFA20B" w14:textId="77777777" w:rsidR="0004215A" w:rsidRPr="0004215A" w:rsidRDefault="0004215A" w:rsidP="0004215A">
            <w:pPr>
              <w:jc w:val="center"/>
              <w:rPr>
                <w:rFonts w:asciiTheme="majorHAnsi" w:hAnsiTheme="majorHAnsi" w:cs="Times New Roman"/>
                <w:szCs w:val="24"/>
                <w:lang w:val="en-US"/>
              </w:rPr>
            </w:pPr>
            <w:r w:rsidRPr="0004215A">
              <w:rPr>
                <w:rFonts w:asciiTheme="majorHAnsi" w:hAnsiTheme="majorHAnsi" w:cs="Times New Roman"/>
                <w:szCs w:val="24"/>
                <w:lang w:val="en-US"/>
              </w:rPr>
              <w:t>1 (2)</w:t>
            </w:r>
          </w:p>
        </w:tc>
      </w:tr>
      <w:tr w:rsidR="0004215A" w:rsidRPr="0004215A" w14:paraId="5F59164B" w14:textId="77777777" w:rsidTr="00A42424">
        <w:trPr>
          <w:jc w:val="center"/>
        </w:trPr>
        <w:tc>
          <w:tcPr>
            <w:tcW w:w="7189" w:type="dxa"/>
            <w:gridSpan w:val="3"/>
          </w:tcPr>
          <w:p w14:paraId="277C1C5E" w14:textId="77777777" w:rsidR="0004215A" w:rsidRPr="0004215A" w:rsidRDefault="0004215A" w:rsidP="0004215A">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Musculoskeletal and connective tissue disorders</w:t>
            </w:r>
          </w:p>
        </w:tc>
      </w:tr>
      <w:tr w:rsidR="0004215A" w:rsidRPr="0004215A" w14:paraId="10B9E314" w14:textId="77777777" w:rsidTr="00A42424">
        <w:trPr>
          <w:jc w:val="center"/>
        </w:trPr>
        <w:tc>
          <w:tcPr>
            <w:tcW w:w="3823" w:type="dxa"/>
          </w:tcPr>
          <w:p w14:paraId="77B91468"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Back pain</w:t>
            </w:r>
          </w:p>
        </w:tc>
        <w:tc>
          <w:tcPr>
            <w:tcW w:w="1504" w:type="dxa"/>
            <w:vAlign w:val="center"/>
          </w:tcPr>
          <w:p w14:paraId="1250DFD5" w14:textId="77777777" w:rsidR="0004215A" w:rsidRPr="0004215A" w:rsidRDefault="0004215A" w:rsidP="0004215A">
            <w:pPr>
              <w:jc w:val="center"/>
              <w:rPr>
                <w:rFonts w:asciiTheme="majorHAnsi" w:hAnsiTheme="majorHAnsi" w:cs="Times New Roman"/>
                <w:szCs w:val="24"/>
                <w:lang w:val="en-US"/>
              </w:rPr>
            </w:pPr>
            <w:r>
              <w:rPr>
                <w:rFonts w:asciiTheme="majorHAnsi" w:hAnsiTheme="majorHAnsi" w:cs="Times New Roman"/>
                <w:szCs w:val="24"/>
                <w:lang w:val="en-US"/>
              </w:rPr>
              <w:t>14 (15)</w:t>
            </w:r>
          </w:p>
        </w:tc>
        <w:tc>
          <w:tcPr>
            <w:tcW w:w="1862" w:type="dxa"/>
            <w:vAlign w:val="center"/>
          </w:tcPr>
          <w:p w14:paraId="43A7A035" w14:textId="77777777" w:rsidR="0004215A" w:rsidRPr="0004215A" w:rsidRDefault="0004215A" w:rsidP="0004215A">
            <w:pPr>
              <w:jc w:val="center"/>
              <w:rPr>
                <w:rFonts w:asciiTheme="majorHAnsi" w:hAnsiTheme="majorHAnsi" w:cs="Times New Roman"/>
                <w:szCs w:val="24"/>
                <w:lang w:val="en-US"/>
              </w:rPr>
            </w:pPr>
            <w:r>
              <w:rPr>
                <w:rFonts w:asciiTheme="majorHAnsi" w:hAnsiTheme="majorHAnsi" w:cs="Times New Roman"/>
                <w:szCs w:val="24"/>
                <w:lang w:val="en-US"/>
              </w:rPr>
              <w:t>6 (13)</w:t>
            </w:r>
          </w:p>
        </w:tc>
      </w:tr>
      <w:tr w:rsidR="0004215A" w:rsidRPr="0004215A" w14:paraId="7F79E0CF" w14:textId="77777777" w:rsidTr="00A42424">
        <w:trPr>
          <w:jc w:val="center"/>
        </w:trPr>
        <w:tc>
          <w:tcPr>
            <w:tcW w:w="3823" w:type="dxa"/>
          </w:tcPr>
          <w:p w14:paraId="4649373A"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Arthralgia</w:t>
            </w:r>
          </w:p>
        </w:tc>
        <w:tc>
          <w:tcPr>
            <w:tcW w:w="1504" w:type="dxa"/>
            <w:vAlign w:val="center"/>
          </w:tcPr>
          <w:p w14:paraId="01D8986C" w14:textId="77777777" w:rsidR="0004215A" w:rsidRPr="0004215A" w:rsidRDefault="0004215A" w:rsidP="0004215A">
            <w:pPr>
              <w:jc w:val="center"/>
              <w:rPr>
                <w:rFonts w:asciiTheme="majorHAnsi" w:hAnsiTheme="majorHAnsi" w:cs="Times New Roman"/>
                <w:szCs w:val="24"/>
                <w:lang w:val="en-US"/>
              </w:rPr>
            </w:pPr>
            <w:r>
              <w:rPr>
                <w:rFonts w:asciiTheme="majorHAnsi" w:hAnsiTheme="majorHAnsi" w:cs="Times New Roman"/>
                <w:szCs w:val="24"/>
                <w:lang w:val="en-US"/>
              </w:rPr>
              <w:t>11 (11)</w:t>
            </w:r>
          </w:p>
        </w:tc>
        <w:tc>
          <w:tcPr>
            <w:tcW w:w="1862" w:type="dxa"/>
            <w:vAlign w:val="center"/>
          </w:tcPr>
          <w:p w14:paraId="6D5C0D5F" w14:textId="77777777" w:rsidR="0004215A" w:rsidRPr="0004215A" w:rsidRDefault="0004215A" w:rsidP="0004215A">
            <w:pPr>
              <w:jc w:val="center"/>
              <w:rPr>
                <w:rFonts w:asciiTheme="majorHAnsi" w:hAnsiTheme="majorHAnsi" w:cs="Times New Roman"/>
                <w:szCs w:val="24"/>
                <w:lang w:val="en-US"/>
              </w:rPr>
            </w:pPr>
            <w:r>
              <w:rPr>
                <w:rFonts w:asciiTheme="majorHAnsi" w:hAnsiTheme="majorHAnsi" w:cs="Times New Roman"/>
                <w:szCs w:val="24"/>
                <w:lang w:val="en-US"/>
              </w:rPr>
              <w:t>5 (11)</w:t>
            </w:r>
          </w:p>
        </w:tc>
      </w:tr>
      <w:tr w:rsidR="0004215A" w:rsidRPr="0004215A" w14:paraId="2BEED17F" w14:textId="77777777" w:rsidTr="00A42424">
        <w:trPr>
          <w:jc w:val="center"/>
        </w:trPr>
        <w:tc>
          <w:tcPr>
            <w:tcW w:w="3823" w:type="dxa"/>
          </w:tcPr>
          <w:p w14:paraId="01B25A51"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Musculoskeletal pain</w:t>
            </w:r>
          </w:p>
        </w:tc>
        <w:tc>
          <w:tcPr>
            <w:tcW w:w="1504" w:type="dxa"/>
            <w:vAlign w:val="center"/>
          </w:tcPr>
          <w:p w14:paraId="323F854E"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6 (6)</w:t>
            </w:r>
          </w:p>
        </w:tc>
        <w:tc>
          <w:tcPr>
            <w:tcW w:w="1862" w:type="dxa"/>
            <w:vAlign w:val="center"/>
          </w:tcPr>
          <w:p w14:paraId="49E9DDCD"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0 (0)</w:t>
            </w:r>
          </w:p>
        </w:tc>
      </w:tr>
      <w:tr w:rsidR="0004215A" w:rsidRPr="0004215A" w14:paraId="464455BF" w14:textId="77777777" w:rsidTr="00A42424">
        <w:trPr>
          <w:jc w:val="center"/>
        </w:trPr>
        <w:tc>
          <w:tcPr>
            <w:tcW w:w="3823" w:type="dxa"/>
          </w:tcPr>
          <w:p w14:paraId="03E7CEAE"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Muscle spasms</w:t>
            </w:r>
          </w:p>
        </w:tc>
        <w:tc>
          <w:tcPr>
            <w:tcW w:w="1504" w:type="dxa"/>
            <w:vAlign w:val="center"/>
          </w:tcPr>
          <w:p w14:paraId="6EF09F02"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5 (5)</w:t>
            </w:r>
          </w:p>
        </w:tc>
        <w:tc>
          <w:tcPr>
            <w:tcW w:w="1862" w:type="dxa"/>
            <w:vAlign w:val="center"/>
          </w:tcPr>
          <w:p w14:paraId="2010F99A"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2 (4)</w:t>
            </w:r>
          </w:p>
        </w:tc>
      </w:tr>
      <w:tr w:rsidR="0004215A" w:rsidRPr="0004215A" w14:paraId="2B8F88B7" w14:textId="77777777" w:rsidTr="00A42424">
        <w:trPr>
          <w:jc w:val="center"/>
        </w:trPr>
        <w:tc>
          <w:tcPr>
            <w:tcW w:w="7189" w:type="dxa"/>
            <w:gridSpan w:val="3"/>
          </w:tcPr>
          <w:p w14:paraId="469A6132" w14:textId="77777777" w:rsidR="0004215A" w:rsidRPr="0004215A" w:rsidRDefault="0004215A" w:rsidP="0004215A">
            <w:pPr>
              <w:autoSpaceDE w:val="0"/>
              <w:autoSpaceDN w:val="0"/>
              <w:adjustRightInd w:val="0"/>
              <w:rPr>
                <w:rFonts w:asciiTheme="majorHAnsi" w:hAnsiTheme="majorHAnsi" w:cs="LiberationSerif-Bold"/>
                <w:b/>
                <w:bCs/>
                <w:szCs w:val="24"/>
              </w:rPr>
            </w:pPr>
            <w:r w:rsidRPr="0004215A">
              <w:rPr>
                <w:rFonts w:asciiTheme="majorHAnsi" w:hAnsiTheme="majorHAnsi" w:cs="LiberationSerif-Bold"/>
                <w:b/>
                <w:bCs/>
                <w:szCs w:val="24"/>
              </w:rPr>
              <w:t>Nervous system disorders</w:t>
            </w:r>
          </w:p>
        </w:tc>
      </w:tr>
      <w:tr w:rsidR="0004215A" w:rsidRPr="0004215A" w14:paraId="6F1662FF" w14:textId="77777777" w:rsidTr="00A42424">
        <w:trPr>
          <w:jc w:val="center"/>
        </w:trPr>
        <w:tc>
          <w:tcPr>
            <w:tcW w:w="3823" w:type="dxa"/>
          </w:tcPr>
          <w:p w14:paraId="3C7CAE3F"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Dizziness</w:t>
            </w:r>
          </w:p>
        </w:tc>
        <w:tc>
          <w:tcPr>
            <w:tcW w:w="1504" w:type="dxa"/>
            <w:vAlign w:val="center"/>
          </w:tcPr>
          <w:p w14:paraId="16357198"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14 (15)</w:t>
            </w:r>
          </w:p>
        </w:tc>
        <w:tc>
          <w:tcPr>
            <w:tcW w:w="1862" w:type="dxa"/>
            <w:vAlign w:val="center"/>
          </w:tcPr>
          <w:p w14:paraId="1B538B5E"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6 (13)</w:t>
            </w:r>
          </w:p>
        </w:tc>
      </w:tr>
      <w:tr w:rsidR="0004215A" w:rsidRPr="0004215A" w14:paraId="2672EF24" w14:textId="77777777" w:rsidTr="00A42424">
        <w:trPr>
          <w:jc w:val="center"/>
        </w:trPr>
        <w:tc>
          <w:tcPr>
            <w:tcW w:w="3823" w:type="dxa"/>
          </w:tcPr>
          <w:p w14:paraId="48E0C646" w14:textId="77777777" w:rsidR="0004215A" w:rsidRPr="0004215A" w:rsidRDefault="0004215A" w:rsidP="0004215A">
            <w:pPr>
              <w:tabs>
                <w:tab w:val="left" w:pos="920"/>
              </w:tabs>
              <w:ind w:left="174"/>
              <w:rPr>
                <w:rFonts w:asciiTheme="majorHAnsi" w:hAnsiTheme="majorHAnsi" w:cs="LiberationSerif"/>
                <w:szCs w:val="24"/>
              </w:rPr>
            </w:pPr>
            <w:r w:rsidRPr="0004215A">
              <w:rPr>
                <w:rFonts w:asciiTheme="majorHAnsi" w:hAnsiTheme="majorHAnsi" w:cs="LiberationSerif"/>
                <w:szCs w:val="24"/>
              </w:rPr>
              <w:t>Paraesthesia</w:t>
            </w:r>
          </w:p>
        </w:tc>
        <w:tc>
          <w:tcPr>
            <w:tcW w:w="1504" w:type="dxa"/>
            <w:vAlign w:val="center"/>
          </w:tcPr>
          <w:p w14:paraId="72234C29"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8 (8)</w:t>
            </w:r>
          </w:p>
        </w:tc>
        <w:tc>
          <w:tcPr>
            <w:tcW w:w="1862" w:type="dxa"/>
            <w:vAlign w:val="center"/>
          </w:tcPr>
          <w:p w14:paraId="4F2DADD7"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3 (6)</w:t>
            </w:r>
          </w:p>
        </w:tc>
      </w:tr>
      <w:tr w:rsidR="0004215A" w:rsidRPr="0004215A" w14:paraId="0178D8C3" w14:textId="77777777" w:rsidTr="002F6E56">
        <w:trPr>
          <w:jc w:val="center"/>
        </w:trPr>
        <w:tc>
          <w:tcPr>
            <w:tcW w:w="7189" w:type="dxa"/>
            <w:gridSpan w:val="3"/>
          </w:tcPr>
          <w:p w14:paraId="224D1059" w14:textId="77777777" w:rsidR="0004215A" w:rsidRPr="0004215A" w:rsidRDefault="0004215A" w:rsidP="0004215A">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Respiratory, thoracic and mediastinal disorders</w:t>
            </w:r>
          </w:p>
        </w:tc>
      </w:tr>
      <w:tr w:rsidR="0004215A" w:rsidRPr="0004215A" w14:paraId="21EDDEA4" w14:textId="77777777" w:rsidTr="00A42424">
        <w:trPr>
          <w:jc w:val="center"/>
        </w:trPr>
        <w:tc>
          <w:tcPr>
            <w:tcW w:w="3823" w:type="dxa"/>
          </w:tcPr>
          <w:p w14:paraId="14206DAF" w14:textId="77777777" w:rsidR="0004215A" w:rsidRPr="0004215A" w:rsidRDefault="0004215A" w:rsidP="0004215A">
            <w:pPr>
              <w:tabs>
                <w:tab w:val="left" w:pos="920"/>
              </w:tabs>
              <w:ind w:left="174"/>
              <w:rPr>
                <w:rFonts w:asciiTheme="majorHAnsi" w:hAnsiTheme="majorHAnsi" w:cs="Times New Roman"/>
                <w:szCs w:val="24"/>
                <w:lang w:val="en-US"/>
              </w:rPr>
            </w:pPr>
            <w:r w:rsidRPr="0004215A">
              <w:rPr>
                <w:rFonts w:asciiTheme="majorHAnsi" w:hAnsiTheme="majorHAnsi" w:cs="LiberationSerif"/>
                <w:szCs w:val="24"/>
              </w:rPr>
              <w:t>Oropharyngeal pain</w:t>
            </w:r>
          </w:p>
        </w:tc>
        <w:tc>
          <w:tcPr>
            <w:tcW w:w="1504" w:type="dxa"/>
            <w:vAlign w:val="center"/>
          </w:tcPr>
          <w:p w14:paraId="3B1C98EF"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7 (7)</w:t>
            </w:r>
          </w:p>
        </w:tc>
        <w:tc>
          <w:tcPr>
            <w:tcW w:w="1862" w:type="dxa"/>
            <w:vAlign w:val="center"/>
          </w:tcPr>
          <w:p w14:paraId="5323DD4E"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2 (4)</w:t>
            </w:r>
          </w:p>
        </w:tc>
      </w:tr>
      <w:tr w:rsidR="0004215A" w:rsidRPr="0004215A" w14:paraId="661FDD7A" w14:textId="77777777" w:rsidTr="002F6E56">
        <w:trPr>
          <w:jc w:val="center"/>
        </w:trPr>
        <w:tc>
          <w:tcPr>
            <w:tcW w:w="7189" w:type="dxa"/>
            <w:gridSpan w:val="3"/>
          </w:tcPr>
          <w:p w14:paraId="3D83033C" w14:textId="77777777" w:rsidR="0004215A" w:rsidRPr="0004215A" w:rsidRDefault="0004215A" w:rsidP="0004215A">
            <w:pPr>
              <w:autoSpaceDE w:val="0"/>
              <w:autoSpaceDN w:val="0"/>
              <w:adjustRightInd w:val="0"/>
              <w:rPr>
                <w:rFonts w:asciiTheme="majorHAnsi" w:hAnsiTheme="majorHAnsi" w:cs="Times New Roman"/>
                <w:szCs w:val="24"/>
                <w:lang w:val="en-US"/>
              </w:rPr>
            </w:pPr>
            <w:r w:rsidRPr="0004215A">
              <w:rPr>
                <w:rFonts w:asciiTheme="majorHAnsi" w:hAnsiTheme="majorHAnsi" w:cs="LiberationSerif-Bold"/>
                <w:b/>
                <w:bCs/>
                <w:szCs w:val="24"/>
              </w:rPr>
              <w:t>Skin and subcutaneous tissue disorders</w:t>
            </w:r>
          </w:p>
        </w:tc>
      </w:tr>
      <w:tr w:rsidR="0004215A" w:rsidRPr="0004215A" w14:paraId="59690F45" w14:textId="77777777" w:rsidTr="00A42424">
        <w:trPr>
          <w:jc w:val="center"/>
        </w:trPr>
        <w:tc>
          <w:tcPr>
            <w:tcW w:w="3823" w:type="dxa"/>
          </w:tcPr>
          <w:p w14:paraId="6F807280" w14:textId="77777777" w:rsidR="0004215A" w:rsidRPr="0004215A" w:rsidRDefault="0004215A" w:rsidP="0004215A">
            <w:pPr>
              <w:tabs>
                <w:tab w:val="left" w:pos="920"/>
              </w:tabs>
              <w:ind w:left="174"/>
              <w:rPr>
                <w:rFonts w:asciiTheme="majorHAnsi" w:hAnsiTheme="majorHAnsi" w:cs="Times New Roman"/>
                <w:szCs w:val="24"/>
                <w:lang w:val="en-US"/>
              </w:rPr>
            </w:pPr>
            <w:r w:rsidRPr="0004215A">
              <w:rPr>
                <w:rFonts w:asciiTheme="majorHAnsi" w:hAnsiTheme="majorHAnsi" w:cs="LiberationSerif"/>
                <w:szCs w:val="24"/>
              </w:rPr>
              <w:t>Alopecia</w:t>
            </w:r>
          </w:p>
        </w:tc>
        <w:tc>
          <w:tcPr>
            <w:tcW w:w="1504" w:type="dxa"/>
            <w:vAlign w:val="center"/>
          </w:tcPr>
          <w:p w14:paraId="2DB588E5"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5 (5)</w:t>
            </w:r>
          </w:p>
        </w:tc>
        <w:tc>
          <w:tcPr>
            <w:tcW w:w="1862" w:type="dxa"/>
            <w:vAlign w:val="center"/>
          </w:tcPr>
          <w:p w14:paraId="28517E5A" w14:textId="77777777" w:rsidR="0004215A" w:rsidRPr="0004215A" w:rsidRDefault="00AC2747" w:rsidP="0004215A">
            <w:pPr>
              <w:jc w:val="center"/>
              <w:rPr>
                <w:rFonts w:asciiTheme="majorHAnsi" w:hAnsiTheme="majorHAnsi" w:cs="Times New Roman"/>
                <w:szCs w:val="24"/>
                <w:lang w:val="en-US"/>
              </w:rPr>
            </w:pPr>
            <w:r>
              <w:rPr>
                <w:rFonts w:asciiTheme="majorHAnsi" w:hAnsiTheme="majorHAnsi" w:cs="Times New Roman"/>
                <w:szCs w:val="24"/>
                <w:lang w:val="en-US"/>
              </w:rPr>
              <w:t>2 (4)</w:t>
            </w:r>
          </w:p>
        </w:tc>
      </w:tr>
    </w:tbl>
    <w:p w14:paraId="2E7BBC55" w14:textId="77777777" w:rsidR="00080745" w:rsidRPr="00BF24C5" w:rsidRDefault="00080745" w:rsidP="00BF24C5">
      <w:pPr>
        <w:pStyle w:val="Heading3"/>
        <w:rPr>
          <w:rFonts w:eastAsia="MS Mincho"/>
          <w:u w:val="single"/>
          <w:lang w:val="en-US"/>
        </w:rPr>
      </w:pPr>
      <w:r w:rsidRPr="00BF24C5">
        <w:rPr>
          <w:rFonts w:eastAsia="MS Mincho"/>
          <w:u w:val="single"/>
          <w:lang w:val="en-US"/>
        </w:rPr>
        <w:t xml:space="preserve">Tabulated Summary of Adverse Reactions </w:t>
      </w:r>
      <w:r w:rsidRPr="00BF24C5">
        <w:rPr>
          <w:rFonts w:eastAsia="MS Mincho"/>
          <w:iCs/>
          <w:u w:val="single"/>
          <w:lang w:val="en-US" w:eastAsia="ja-JP"/>
        </w:rPr>
        <w:t>(</w:t>
      </w:r>
      <w:r w:rsidR="00AE60D4">
        <w:rPr>
          <w:rFonts w:eastAsia="MS Mincho"/>
          <w:iCs/>
          <w:u w:val="single"/>
          <w:lang w:val="en-US" w:eastAsia="ja-JP"/>
        </w:rPr>
        <w:t>I</w:t>
      </w:r>
      <w:r w:rsidR="00AE60D4" w:rsidRPr="00BF24C5">
        <w:rPr>
          <w:rFonts w:eastAsia="MS Mincho"/>
          <w:iCs/>
          <w:u w:val="single"/>
          <w:lang w:val="en-US" w:eastAsia="ja-JP"/>
        </w:rPr>
        <w:t xml:space="preserve">ncluding </w:t>
      </w:r>
      <w:r w:rsidR="00AE60D4">
        <w:rPr>
          <w:rFonts w:eastAsia="MS Mincho"/>
          <w:iCs/>
          <w:u w:val="single"/>
          <w:lang w:val="en-US" w:eastAsia="ja-JP"/>
        </w:rPr>
        <w:t>P</w:t>
      </w:r>
      <w:r w:rsidR="00AE60D4" w:rsidRPr="00BF24C5">
        <w:rPr>
          <w:rFonts w:eastAsia="MS Mincho"/>
          <w:iCs/>
          <w:u w:val="single"/>
          <w:lang w:val="en-US" w:eastAsia="ja-JP"/>
        </w:rPr>
        <w:t>ost</w:t>
      </w:r>
      <w:r w:rsidRPr="00BF24C5">
        <w:rPr>
          <w:rFonts w:eastAsia="MS Mincho"/>
          <w:iCs/>
          <w:u w:val="single"/>
          <w:lang w:val="en-US" w:eastAsia="ja-JP"/>
        </w:rPr>
        <w:t>-</w:t>
      </w:r>
      <w:r w:rsidR="00AE60D4">
        <w:rPr>
          <w:rFonts w:eastAsia="MS Mincho"/>
          <w:iCs/>
          <w:u w:val="single"/>
          <w:lang w:val="en-US" w:eastAsia="ja-JP"/>
        </w:rPr>
        <w:t>M</w:t>
      </w:r>
      <w:r w:rsidR="00AE60D4" w:rsidRPr="00BF24C5">
        <w:rPr>
          <w:rFonts w:eastAsia="MS Mincho"/>
          <w:iCs/>
          <w:u w:val="single"/>
          <w:lang w:val="en-US" w:eastAsia="ja-JP"/>
        </w:rPr>
        <w:t xml:space="preserve">arketing </w:t>
      </w:r>
      <w:r w:rsidR="00AE60D4">
        <w:rPr>
          <w:rFonts w:eastAsia="MS Mincho"/>
          <w:iCs/>
          <w:u w:val="single"/>
          <w:lang w:val="en-US" w:eastAsia="ja-JP"/>
        </w:rPr>
        <w:t>E</w:t>
      </w:r>
      <w:r w:rsidR="00AE60D4" w:rsidRPr="00BF24C5">
        <w:rPr>
          <w:rFonts w:eastAsia="MS Mincho"/>
          <w:iCs/>
          <w:u w:val="single"/>
          <w:lang w:val="en-US" w:eastAsia="ja-JP"/>
        </w:rPr>
        <w:t>xperience</w:t>
      </w:r>
      <w:r w:rsidRPr="00BF24C5">
        <w:rPr>
          <w:rFonts w:eastAsia="MS Mincho"/>
          <w:iCs/>
          <w:u w:val="single"/>
          <w:lang w:val="en-US" w:eastAsia="ja-JP"/>
        </w:rPr>
        <w:t>)</w:t>
      </w:r>
    </w:p>
    <w:p w14:paraId="5BF4E2CB" w14:textId="1AA5BD3A" w:rsidR="00080745" w:rsidRPr="0039396F" w:rsidRDefault="00474895" w:rsidP="00AE2D6F">
      <w:pPr>
        <w:tabs>
          <w:tab w:val="left" w:pos="567"/>
        </w:tabs>
        <w:spacing w:after="120"/>
        <w:rPr>
          <w:rFonts w:asciiTheme="majorHAnsi" w:hAnsiTheme="majorHAnsi" w:cs="Times New Roman"/>
          <w:szCs w:val="24"/>
        </w:rPr>
      </w:pPr>
      <w:r>
        <w:rPr>
          <w:rFonts w:asciiTheme="majorHAnsi" w:hAnsiTheme="majorHAnsi" w:cs="Times New Roman"/>
          <w:szCs w:val="24"/>
        </w:rPr>
        <w:fldChar w:fldCharType="begin"/>
      </w:r>
      <w:r>
        <w:rPr>
          <w:rFonts w:asciiTheme="majorHAnsi" w:hAnsiTheme="majorHAnsi" w:cs="Times New Roman"/>
          <w:szCs w:val="24"/>
        </w:rPr>
        <w:instrText xml:space="preserve"> REF _Ref18591825 \h </w:instrText>
      </w:r>
      <w:r>
        <w:rPr>
          <w:rFonts w:asciiTheme="majorHAnsi" w:hAnsiTheme="majorHAnsi" w:cs="Times New Roman"/>
          <w:szCs w:val="24"/>
        </w:rPr>
      </w:r>
      <w:r>
        <w:rPr>
          <w:rFonts w:asciiTheme="majorHAnsi" w:hAnsiTheme="majorHAnsi" w:cs="Times New Roman"/>
          <w:szCs w:val="24"/>
        </w:rPr>
        <w:fldChar w:fldCharType="separate"/>
      </w:r>
      <w:r w:rsidR="00AE6672">
        <w:t xml:space="preserve">Table </w:t>
      </w:r>
      <w:r w:rsidR="00AE6672">
        <w:rPr>
          <w:noProof/>
        </w:rPr>
        <w:t>7</w:t>
      </w:r>
      <w:r>
        <w:rPr>
          <w:rFonts w:asciiTheme="majorHAnsi" w:hAnsiTheme="majorHAnsi" w:cs="Times New Roman"/>
          <w:szCs w:val="24"/>
        </w:rPr>
        <w:fldChar w:fldCharType="end"/>
      </w:r>
      <w:r w:rsidR="00247559">
        <w:rPr>
          <w:rFonts w:asciiTheme="majorHAnsi" w:hAnsiTheme="majorHAnsi" w:cs="Times New Roman"/>
          <w:szCs w:val="24"/>
        </w:rPr>
        <w:t xml:space="preserve"> </w:t>
      </w:r>
      <w:r w:rsidR="00080745" w:rsidRPr="0039396F">
        <w:rPr>
          <w:rFonts w:asciiTheme="majorHAnsi" w:hAnsiTheme="majorHAnsi" w:cs="Times New Roman"/>
          <w:szCs w:val="24"/>
        </w:rPr>
        <w:t xml:space="preserve">below </w:t>
      </w:r>
      <w:r w:rsidR="00953FA6" w:rsidRPr="0039396F">
        <w:rPr>
          <w:rFonts w:asciiTheme="majorHAnsi" w:hAnsiTheme="majorHAnsi" w:cs="Times New Roman"/>
          <w:szCs w:val="24"/>
        </w:rPr>
        <w:t>summari</w:t>
      </w:r>
      <w:r w:rsidR="00953FA6">
        <w:rPr>
          <w:rFonts w:asciiTheme="majorHAnsi" w:hAnsiTheme="majorHAnsi" w:cs="Times New Roman"/>
          <w:szCs w:val="24"/>
        </w:rPr>
        <w:t>s</w:t>
      </w:r>
      <w:r w:rsidR="00953FA6" w:rsidRPr="0039396F">
        <w:rPr>
          <w:rFonts w:asciiTheme="majorHAnsi" w:hAnsiTheme="majorHAnsi" w:cs="Times New Roman"/>
          <w:szCs w:val="24"/>
        </w:rPr>
        <w:t xml:space="preserve">es </w:t>
      </w:r>
      <w:r w:rsidR="00080745" w:rsidRPr="0039396F">
        <w:rPr>
          <w:rFonts w:asciiTheme="majorHAnsi" w:hAnsiTheme="majorHAnsi" w:cs="Times New Roman"/>
          <w:szCs w:val="24"/>
        </w:rPr>
        <w:t xml:space="preserve">the adverse reactions observed from spontaneous reporting and in </w:t>
      </w:r>
      <w:r w:rsidR="00D83C44">
        <w:rPr>
          <w:rFonts w:asciiTheme="majorHAnsi" w:hAnsiTheme="majorHAnsi" w:cs="Times New Roman"/>
          <w:szCs w:val="24"/>
        </w:rPr>
        <w:t xml:space="preserve">completed </w:t>
      </w:r>
      <w:r w:rsidR="00AA4CD9">
        <w:rPr>
          <w:rFonts w:asciiTheme="majorHAnsi" w:hAnsiTheme="majorHAnsi" w:cs="Times New Roman"/>
          <w:szCs w:val="24"/>
        </w:rPr>
        <w:t>Soliris</w:t>
      </w:r>
      <w:r w:rsidR="006C6404">
        <w:rPr>
          <w:rFonts w:asciiTheme="majorHAnsi" w:hAnsiTheme="majorHAnsi" w:cs="Times New Roman"/>
          <w:szCs w:val="24"/>
        </w:rPr>
        <w:t xml:space="preserve"> </w:t>
      </w:r>
      <w:r w:rsidR="00080745" w:rsidRPr="0039396F">
        <w:rPr>
          <w:rFonts w:asciiTheme="majorHAnsi" w:hAnsiTheme="majorHAnsi" w:cs="Times New Roman"/>
          <w:szCs w:val="24"/>
        </w:rPr>
        <w:t xml:space="preserve">clinical trials.  The most frequent adverse reaction was headache (occurring mostly in the initial phase), and the most serious adverse reaction was meningococcal sepsis. </w:t>
      </w:r>
    </w:p>
    <w:p w14:paraId="020AD13D" w14:textId="77777777" w:rsidR="00080745" w:rsidRPr="0039396F" w:rsidRDefault="00080745" w:rsidP="00080745">
      <w:pPr>
        <w:tabs>
          <w:tab w:val="left" w:pos="567"/>
        </w:tabs>
        <w:rPr>
          <w:rFonts w:asciiTheme="majorHAnsi" w:hAnsiTheme="majorHAnsi" w:cs="Times New Roman"/>
          <w:szCs w:val="24"/>
        </w:rPr>
      </w:pPr>
      <w:r w:rsidRPr="0039396F">
        <w:rPr>
          <w:rFonts w:asciiTheme="majorHAnsi" w:hAnsiTheme="majorHAnsi" w:cs="Times New Roman"/>
          <w:szCs w:val="24"/>
        </w:rPr>
        <w:t>Adverse reactions reported at a very common (≥</w:t>
      </w:r>
      <w:r w:rsidRPr="0039396F">
        <w:rPr>
          <w:rFonts w:asciiTheme="majorHAnsi" w:hAnsiTheme="majorHAnsi" w:cs="Times New Roman"/>
          <w:bCs/>
          <w:szCs w:val="24"/>
        </w:rPr>
        <w:t>1/10</w:t>
      </w:r>
      <w:r w:rsidRPr="0039396F">
        <w:rPr>
          <w:rFonts w:asciiTheme="majorHAnsi" w:hAnsiTheme="majorHAnsi" w:cs="Times New Roman"/>
          <w:szCs w:val="24"/>
        </w:rPr>
        <w:t xml:space="preserve">), common </w:t>
      </w:r>
      <w:r w:rsidRPr="0039396F">
        <w:rPr>
          <w:rFonts w:asciiTheme="majorHAnsi" w:hAnsiTheme="majorHAnsi" w:cs="Times New Roman"/>
          <w:bCs/>
          <w:szCs w:val="24"/>
        </w:rPr>
        <w:t>(≥1/100 to &lt;1/10),</w:t>
      </w:r>
      <w:r w:rsidRPr="0039396F">
        <w:rPr>
          <w:rFonts w:asciiTheme="majorHAnsi" w:hAnsiTheme="majorHAnsi" w:cs="Times New Roman"/>
          <w:szCs w:val="24"/>
        </w:rPr>
        <w:t xml:space="preserve"> uncommon </w:t>
      </w:r>
      <w:r w:rsidRPr="0039396F">
        <w:rPr>
          <w:rFonts w:asciiTheme="majorHAnsi" w:hAnsiTheme="majorHAnsi" w:cs="Times New Roman"/>
          <w:bCs/>
          <w:szCs w:val="24"/>
        </w:rPr>
        <w:t>(≥1/1,000 to &lt;1/100)</w:t>
      </w:r>
      <w:r w:rsidR="00443A5D">
        <w:rPr>
          <w:rFonts w:asciiTheme="majorHAnsi" w:hAnsiTheme="majorHAnsi" w:cs="Times New Roman"/>
          <w:bCs/>
          <w:szCs w:val="24"/>
        </w:rPr>
        <w:t>, or very uncommon (</w:t>
      </w:r>
      <w:r w:rsidR="00443A5D" w:rsidRPr="0039396F">
        <w:rPr>
          <w:rFonts w:asciiTheme="majorHAnsi" w:hAnsiTheme="majorHAnsi" w:cs="Times New Roman"/>
          <w:bCs/>
          <w:szCs w:val="24"/>
        </w:rPr>
        <w:t>&lt;1/100</w:t>
      </w:r>
      <w:r w:rsidR="00443A5D">
        <w:rPr>
          <w:rFonts w:asciiTheme="majorHAnsi" w:hAnsiTheme="majorHAnsi" w:cs="Times New Roman"/>
          <w:bCs/>
          <w:szCs w:val="24"/>
        </w:rPr>
        <w:t xml:space="preserve">0) </w:t>
      </w:r>
      <w:r w:rsidRPr="0039396F">
        <w:rPr>
          <w:rFonts w:asciiTheme="majorHAnsi" w:hAnsiTheme="majorHAnsi" w:cs="Times New Roman"/>
          <w:szCs w:val="24"/>
        </w:rPr>
        <w:t xml:space="preserve">frequency with </w:t>
      </w:r>
      <w:r w:rsidR="00187B06">
        <w:rPr>
          <w:rFonts w:asciiTheme="majorHAnsi" w:hAnsiTheme="majorHAnsi" w:cs="Times New Roman"/>
          <w:szCs w:val="24"/>
        </w:rPr>
        <w:t>Soliris</w:t>
      </w:r>
      <w:r w:rsidRPr="0039396F">
        <w:rPr>
          <w:rFonts w:asciiTheme="majorHAnsi" w:hAnsiTheme="majorHAnsi" w:cs="Times New Roman"/>
          <w:szCs w:val="24"/>
        </w:rPr>
        <w:t xml:space="preserve"> are listed by system organ class and preferred term.  Adverse reactions were mostly mild to moderate in severity. </w:t>
      </w:r>
    </w:p>
    <w:p w14:paraId="7409B965" w14:textId="767ED42A" w:rsidR="00080745" w:rsidRPr="006C6404" w:rsidRDefault="00474895" w:rsidP="00474895">
      <w:pPr>
        <w:pStyle w:val="Caption"/>
        <w:jc w:val="left"/>
        <w:rPr>
          <w:rFonts w:asciiTheme="majorHAnsi" w:eastAsiaTheme="minorHAnsi" w:hAnsiTheme="majorHAnsi"/>
          <w:bCs w:val="0"/>
          <w:sz w:val="22"/>
          <w:szCs w:val="24"/>
          <w:lang w:val="en-AU"/>
        </w:rPr>
      </w:pPr>
      <w:bookmarkStart w:id="11" w:name="_Ref18591825"/>
      <w:r>
        <w:t xml:space="preserve">Table </w:t>
      </w:r>
      <w:r w:rsidR="00345186">
        <w:fldChar w:fldCharType="begin"/>
      </w:r>
      <w:r w:rsidR="00345186">
        <w:instrText xml:space="preserve"> SEQ Table \* ARABIC </w:instrText>
      </w:r>
      <w:r w:rsidR="00345186">
        <w:fldChar w:fldCharType="separate"/>
      </w:r>
      <w:r w:rsidR="00345186">
        <w:rPr>
          <w:noProof/>
        </w:rPr>
        <w:t>7</w:t>
      </w:r>
      <w:r w:rsidR="00345186">
        <w:fldChar w:fldCharType="end"/>
      </w:r>
      <w:bookmarkEnd w:id="11"/>
      <w:r>
        <w:t xml:space="preserve">: </w:t>
      </w:r>
      <w:r w:rsidR="00080745" w:rsidRPr="006C6404">
        <w:rPr>
          <w:rFonts w:asciiTheme="majorHAnsi" w:hAnsiTheme="majorHAnsi"/>
          <w:szCs w:val="24"/>
          <w:lang w:val="en-AU"/>
        </w:rPr>
        <w:t xml:space="preserve">Adverse Reactions Reported in </w:t>
      </w:r>
      <w:r w:rsidR="00D83C44">
        <w:rPr>
          <w:rFonts w:asciiTheme="majorHAnsi" w:hAnsiTheme="majorHAnsi"/>
          <w:szCs w:val="24"/>
          <w:lang w:val="en-AU"/>
        </w:rPr>
        <w:t>C</w:t>
      </w:r>
      <w:r w:rsidR="00443A5D" w:rsidRPr="006C6404">
        <w:rPr>
          <w:rFonts w:asciiTheme="majorHAnsi" w:hAnsiTheme="majorHAnsi"/>
          <w:szCs w:val="24"/>
          <w:lang w:val="en-AU"/>
        </w:rPr>
        <w:t xml:space="preserve">ompleted </w:t>
      </w:r>
      <w:r w:rsidR="00187B06">
        <w:rPr>
          <w:rFonts w:asciiTheme="majorHAnsi" w:hAnsiTheme="majorHAnsi"/>
          <w:szCs w:val="24"/>
          <w:lang w:val="en-AU"/>
        </w:rPr>
        <w:t>Soliris</w:t>
      </w:r>
      <w:r w:rsidR="00080745" w:rsidRPr="006C6404">
        <w:rPr>
          <w:rFonts w:asciiTheme="majorHAnsi" w:hAnsiTheme="majorHAnsi"/>
          <w:szCs w:val="24"/>
          <w:lang w:val="en-AU"/>
        </w:rPr>
        <w:t xml:space="preserve"> Clinical Trials and in Post Marketing Reports</w:t>
      </w:r>
    </w:p>
    <w:tbl>
      <w:tblPr>
        <w:tblW w:w="5193"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1272"/>
        <w:gridCol w:w="2033"/>
        <w:gridCol w:w="2508"/>
        <w:gridCol w:w="1702"/>
      </w:tblGrid>
      <w:tr w:rsidR="006C6404" w:rsidRPr="006235F7" w14:paraId="3522066E" w14:textId="77777777" w:rsidTr="00AE2D6F">
        <w:trPr>
          <w:tblHeader/>
        </w:trPr>
        <w:tc>
          <w:tcPr>
            <w:tcW w:w="1843" w:type="dxa"/>
            <w:vAlign w:val="center"/>
          </w:tcPr>
          <w:p w14:paraId="341A464A" w14:textId="77777777" w:rsidR="00443A5D" w:rsidRPr="006235F7" w:rsidRDefault="00443A5D" w:rsidP="0050524F">
            <w:pPr>
              <w:tabs>
                <w:tab w:val="left" w:pos="567"/>
              </w:tabs>
              <w:ind w:left="44"/>
              <w:jc w:val="center"/>
              <w:rPr>
                <w:rFonts w:asciiTheme="majorHAnsi" w:hAnsiTheme="majorHAnsi" w:cs="Times New Roman"/>
                <w:b/>
                <w:sz w:val="22"/>
                <w:szCs w:val="24"/>
              </w:rPr>
            </w:pPr>
            <w:r w:rsidRPr="006235F7">
              <w:rPr>
                <w:rFonts w:asciiTheme="majorHAnsi" w:hAnsiTheme="majorHAnsi" w:cs="Times New Roman"/>
                <w:b/>
                <w:sz w:val="22"/>
                <w:szCs w:val="24"/>
              </w:rPr>
              <w:t>MedDRA SOC</w:t>
            </w:r>
          </w:p>
        </w:tc>
        <w:tc>
          <w:tcPr>
            <w:tcW w:w="1272" w:type="dxa"/>
            <w:vAlign w:val="center"/>
          </w:tcPr>
          <w:p w14:paraId="6F075355" w14:textId="77777777" w:rsidR="00443A5D" w:rsidRPr="006235F7" w:rsidRDefault="00443A5D" w:rsidP="00BE3753">
            <w:pPr>
              <w:tabs>
                <w:tab w:val="left" w:pos="567"/>
              </w:tabs>
              <w:jc w:val="center"/>
              <w:rPr>
                <w:rFonts w:asciiTheme="majorHAnsi" w:hAnsiTheme="majorHAnsi" w:cs="Times New Roman"/>
                <w:b/>
                <w:sz w:val="22"/>
                <w:szCs w:val="24"/>
              </w:rPr>
            </w:pPr>
            <w:r w:rsidRPr="006235F7">
              <w:rPr>
                <w:rFonts w:asciiTheme="majorHAnsi" w:hAnsiTheme="majorHAnsi" w:cs="Times New Roman"/>
                <w:b/>
                <w:sz w:val="22"/>
                <w:szCs w:val="24"/>
              </w:rPr>
              <w:t>Very Common</w:t>
            </w:r>
            <w:r w:rsidRPr="006235F7">
              <w:rPr>
                <w:rFonts w:asciiTheme="majorHAnsi" w:hAnsiTheme="majorHAnsi" w:cs="Times New Roman"/>
                <w:b/>
                <w:sz w:val="22"/>
                <w:szCs w:val="24"/>
              </w:rPr>
              <w:br/>
            </w:r>
            <w:r w:rsidRPr="006235F7">
              <w:rPr>
                <w:rFonts w:asciiTheme="majorHAnsi" w:hAnsiTheme="majorHAnsi" w:cs="Times New Roman"/>
                <w:b/>
                <w:bCs/>
                <w:sz w:val="22"/>
                <w:szCs w:val="24"/>
              </w:rPr>
              <w:t>(≥1/10)</w:t>
            </w:r>
          </w:p>
        </w:tc>
        <w:tc>
          <w:tcPr>
            <w:tcW w:w="2033" w:type="dxa"/>
            <w:vAlign w:val="center"/>
          </w:tcPr>
          <w:p w14:paraId="0714C48A" w14:textId="77777777" w:rsidR="00443A5D" w:rsidRPr="006235F7" w:rsidRDefault="00443A5D">
            <w:pPr>
              <w:tabs>
                <w:tab w:val="left" w:pos="567"/>
              </w:tabs>
              <w:jc w:val="center"/>
              <w:rPr>
                <w:rFonts w:asciiTheme="majorHAnsi" w:hAnsiTheme="majorHAnsi" w:cs="Times New Roman"/>
                <w:b/>
                <w:sz w:val="22"/>
                <w:szCs w:val="24"/>
              </w:rPr>
            </w:pPr>
            <w:r w:rsidRPr="006235F7">
              <w:rPr>
                <w:rFonts w:asciiTheme="majorHAnsi" w:hAnsiTheme="majorHAnsi" w:cs="Times New Roman"/>
                <w:b/>
                <w:sz w:val="22"/>
                <w:szCs w:val="24"/>
              </w:rPr>
              <w:t>Common</w:t>
            </w:r>
            <w:r w:rsidRPr="006235F7">
              <w:rPr>
                <w:rFonts w:asciiTheme="majorHAnsi" w:hAnsiTheme="majorHAnsi" w:cs="Times New Roman"/>
                <w:b/>
                <w:sz w:val="22"/>
                <w:szCs w:val="24"/>
              </w:rPr>
              <w:br/>
            </w:r>
            <w:r w:rsidRPr="006235F7">
              <w:rPr>
                <w:rFonts w:asciiTheme="majorHAnsi" w:hAnsiTheme="majorHAnsi" w:cs="Times New Roman"/>
                <w:b/>
                <w:bCs/>
                <w:sz w:val="22"/>
                <w:szCs w:val="24"/>
              </w:rPr>
              <w:t>(≥1/100 to &lt;1/10)</w:t>
            </w:r>
          </w:p>
        </w:tc>
        <w:tc>
          <w:tcPr>
            <w:tcW w:w="2508" w:type="dxa"/>
            <w:tcMar>
              <w:top w:w="0" w:type="dxa"/>
              <w:left w:w="108" w:type="dxa"/>
              <w:bottom w:w="0" w:type="dxa"/>
              <w:right w:w="108" w:type="dxa"/>
            </w:tcMar>
            <w:vAlign w:val="center"/>
          </w:tcPr>
          <w:p w14:paraId="42C4A1E6" w14:textId="77777777" w:rsidR="00443A5D" w:rsidRPr="006235F7" w:rsidRDefault="00443A5D">
            <w:pPr>
              <w:tabs>
                <w:tab w:val="left" w:pos="567"/>
              </w:tabs>
              <w:jc w:val="center"/>
              <w:rPr>
                <w:rFonts w:asciiTheme="majorHAnsi" w:hAnsiTheme="majorHAnsi" w:cs="Times New Roman"/>
                <w:b/>
                <w:sz w:val="22"/>
                <w:szCs w:val="24"/>
              </w:rPr>
            </w:pPr>
            <w:r w:rsidRPr="006235F7">
              <w:rPr>
                <w:rFonts w:asciiTheme="majorHAnsi" w:hAnsiTheme="majorHAnsi" w:cs="Times New Roman"/>
                <w:b/>
                <w:sz w:val="22"/>
                <w:szCs w:val="24"/>
              </w:rPr>
              <w:t>Uncommon</w:t>
            </w:r>
            <w:r w:rsidRPr="006235F7">
              <w:rPr>
                <w:rFonts w:asciiTheme="majorHAnsi" w:hAnsiTheme="majorHAnsi" w:cs="Times New Roman"/>
                <w:b/>
                <w:sz w:val="22"/>
                <w:szCs w:val="24"/>
              </w:rPr>
              <w:br/>
            </w:r>
            <w:r w:rsidRPr="006235F7">
              <w:rPr>
                <w:rFonts w:asciiTheme="majorHAnsi" w:hAnsiTheme="majorHAnsi" w:cs="Times New Roman"/>
                <w:b/>
                <w:bCs/>
                <w:sz w:val="22"/>
                <w:szCs w:val="24"/>
              </w:rPr>
              <w:t>(≥1/1,000 to &lt;1/100)</w:t>
            </w:r>
          </w:p>
        </w:tc>
        <w:tc>
          <w:tcPr>
            <w:tcW w:w="1702" w:type="dxa"/>
          </w:tcPr>
          <w:p w14:paraId="0C83BE23" w14:textId="77777777" w:rsidR="00443A5D" w:rsidRPr="006235F7" w:rsidRDefault="00443A5D" w:rsidP="00BD719B">
            <w:pPr>
              <w:tabs>
                <w:tab w:val="left" w:pos="567"/>
              </w:tabs>
              <w:ind w:left="90"/>
              <w:jc w:val="center"/>
              <w:rPr>
                <w:rFonts w:asciiTheme="majorHAnsi" w:hAnsiTheme="majorHAnsi" w:cs="Times New Roman"/>
                <w:b/>
                <w:sz w:val="22"/>
                <w:szCs w:val="24"/>
              </w:rPr>
            </w:pPr>
            <w:r>
              <w:rPr>
                <w:rFonts w:asciiTheme="majorHAnsi" w:hAnsiTheme="majorHAnsi" w:cs="Times New Roman"/>
                <w:b/>
                <w:sz w:val="22"/>
                <w:szCs w:val="24"/>
              </w:rPr>
              <w:t xml:space="preserve">Very </w:t>
            </w:r>
            <w:r w:rsidRPr="006235F7">
              <w:rPr>
                <w:rFonts w:asciiTheme="majorHAnsi" w:hAnsiTheme="majorHAnsi" w:cs="Times New Roman"/>
                <w:b/>
                <w:sz w:val="22"/>
                <w:szCs w:val="24"/>
              </w:rPr>
              <w:t>Uncommon</w:t>
            </w:r>
            <w:r w:rsidRPr="006235F7">
              <w:rPr>
                <w:rFonts w:asciiTheme="majorHAnsi" w:hAnsiTheme="majorHAnsi" w:cs="Times New Roman"/>
                <w:b/>
                <w:sz w:val="22"/>
                <w:szCs w:val="24"/>
              </w:rPr>
              <w:br/>
            </w:r>
            <w:r>
              <w:rPr>
                <w:rFonts w:asciiTheme="majorHAnsi" w:hAnsiTheme="majorHAnsi" w:cs="Times New Roman"/>
                <w:b/>
                <w:bCs/>
                <w:sz w:val="22"/>
                <w:szCs w:val="24"/>
              </w:rPr>
              <w:t>(&lt;</w:t>
            </w:r>
            <w:r w:rsidRPr="006235F7">
              <w:rPr>
                <w:rFonts w:asciiTheme="majorHAnsi" w:hAnsiTheme="majorHAnsi" w:cs="Times New Roman"/>
                <w:b/>
                <w:bCs/>
                <w:sz w:val="22"/>
                <w:szCs w:val="24"/>
              </w:rPr>
              <w:t>1/1,000)</w:t>
            </w:r>
          </w:p>
        </w:tc>
      </w:tr>
      <w:tr w:rsidR="006C6404" w:rsidRPr="006235F7" w14:paraId="4FF40294" w14:textId="77777777" w:rsidTr="00AE2D6F">
        <w:tc>
          <w:tcPr>
            <w:tcW w:w="1843" w:type="dxa"/>
          </w:tcPr>
          <w:p w14:paraId="755D68E6"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Infection and infestations</w:t>
            </w:r>
          </w:p>
        </w:tc>
        <w:tc>
          <w:tcPr>
            <w:tcW w:w="1272" w:type="dxa"/>
          </w:tcPr>
          <w:p w14:paraId="1B8E2F93"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38C3E329" w14:textId="77777777" w:rsidR="00443A5D" w:rsidRPr="006235F7" w:rsidRDefault="00443A5D" w:rsidP="00A91329">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Pneumonia</w:t>
            </w:r>
            <w:r>
              <w:rPr>
                <w:rFonts w:asciiTheme="majorHAnsi" w:hAnsiTheme="majorHAnsi" w:cs="Times New Roman"/>
                <w:sz w:val="22"/>
                <w:szCs w:val="24"/>
              </w:rPr>
              <w:t xml:space="preserve">, </w:t>
            </w:r>
            <w:r w:rsidRPr="006235F7">
              <w:rPr>
                <w:rFonts w:asciiTheme="majorHAnsi" w:hAnsiTheme="majorHAnsi" w:cs="Times New Roman"/>
                <w:sz w:val="22"/>
                <w:szCs w:val="24"/>
              </w:rPr>
              <w:t xml:space="preserve">Bronchitis, Nasopharyngitis, Oral Herpes, Upper respiratory tract </w:t>
            </w:r>
            <w:r w:rsidRPr="006235F7">
              <w:rPr>
                <w:rFonts w:asciiTheme="majorHAnsi" w:hAnsiTheme="majorHAnsi" w:cs="Times New Roman"/>
                <w:sz w:val="22"/>
                <w:szCs w:val="24"/>
              </w:rPr>
              <w:lastRenderedPageBreak/>
              <w:t>infection, Urinary tract infection</w:t>
            </w:r>
          </w:p>
        </w:tc>
        <w:tc>
          <w:tcPr>
            <w:tcW w:w="2508" w:type="dxa"/>
            <w:tcMar>
              <w:top w:w="0" w:type="dxa"/>
              <w:left w:w="108" w:type="dxa"/>
              <w:bottom w:w="0" w:type="dxa"/>
              <w:right w:w="108" w:type="dxa"/>
            </w:tcMar>
          </w:tcPr>
          <w:p w14:paraId="4DEE5DAE" w14:textId="77777777" w:rsidR="00443A5D" w:rsidRPr="006235F7" w:rsidRDefault="00443A5D" w:rsidP="000277CB">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lastRenderedPageBreak/>
              <w:t xml:space="preserve">Meningococcal </w:t>
            </w:r>
            <w:proofErr w:type="spellStart"/>
            <w:r w:rsidR="00A91329">
              <w:rPr>
                <w:rFonts w:asciiTheme="majorHAnsi" w:hAnsiTheme="majorHAnsi" w:cs="Times New Roman"/>
                <w:sz w:val="22"/>
                <w:szCs w:val="24"/>
              </w:rPr>
              <w:t>infection</w:t>
            </w:r>
            <w:r w:rsidR="00A91329" w:rsidRPr="00A91329">
              <w:rPr>
                <w:rFonts w:asciiTheme="majorHAnsi" w:hAnsiTheme="majorHAnsi" w:cs="Times New Roman"/>
                <w:sz w:val="22"/>
                <w:szCs w:val="24"/>
                <w:vertAlign w:val="superscript"/>
              </w:rPr>
              <w:t>a</w:t>
            </w:r>
            <w:proofErr w:type="spellEnd"/>
            <w:r w:rsidRPr="006235F7">
              <w:rPr>
                <w:rFonts w:asciiTheme="majorHAnsi" w:hAnsiTheme="majorHAnsi" w:cs="Times New Roman"/>
                <w:sz w:val="22"/>
                <w:szCs w:val="24"/>
              </w:rPr>
              <w:t xml:space="preserve">, </w:t>
            </w:r>
            <w:proofErr w:type="spellStart"/>
            <w:r w:rsidRPr="006235F7">
              <w:rPr>
                <w:rFonts w:asciiTheme="majorHAnsi" w:hAnsiTheme="majorHAnsi" w:cs="Times New Roman"/>
                <w:sz w:val="22"/>
                <w:szCs w:val="24"/>
              </w:rPr>
              <w:t>Abscess</w:t>
            </w:r>
            <w:r w:rsidR="002F4D75" w:rsidRPr="00A91329">
              <w:rPr>
                <w:rFonts w:asciiTheme="majorHAnsi" w:hAnsiTheme="majorHAnsi" w:cs="Times New Roman"/>
                <w:sz w:val="22"/>
                <w:szCs w:val="24"/>
                <w:vertAlign w:val="superscript"/>
              </w:rPr>
              <w:t>b</w:t>
            </w:r>
            <w:proofErr w:type="spellEnd"/>
            <w:r w:rsidRPr="006235F7">
              <w:rPr>
                <w:rFonts w:asciiTheme="majorHAnsi" w:hAnsiTheme="majorHAnsi" w:cs="Times New Roman"/>
                <w:sz w:val="22"/>
                <w:szCs w:val="24"/>
              </w:rPr>
              <w:t xml:space="preserve">, Cellulitis, Fungal infection, Infection, Influenza, Sepsis, Septic </w:t>
            </w:r>
            <w:r w:rsidRPr="006235F7">
              <w:rPr>
                <w:rFonts w:asciiTheme="majorHAnsi" w:hAnsiTheme="majorHAnsi" w:cs="Times New Roman"/>
                <w:sz w:val="22"/>
                <w:szCs w:val="24"/>
              </w:rPr>
              <w:lastRenderedPageBreak/>
              <w:t xml:space="preserve">shock, Lower respiratory tract infection, Gastrointestinal infection, Cystitis, Sinusitis, </w:t>
            </w:r>
            <w:r w:rsidR="00A91329" w:rsidRPr="006235F7">
              <w:rPr>
                <w:rFonts w:asciiTheme="majorHAnsi" w:hAnsiTheme="majorHAnsi" w:cs="Times New Roman"/>
                <w:sz w:val="22"/>
                <w:szCs w:val="24"/>
              </w:rPr>
              <w:t>Viral infection</w:t>
            </w:r>
            <w:r w:rsidR="00BD719B">
              <w:rPr>
                <w:rFonts w:asciiTheme="majorHAnsi" w:hAnsiTheme="majorHAnsi" w:cs="Times New Roman"/>
                <w:sz w:val="22"/>
                <w:szCs w:val="24"/>
              </w:rPr>
              <w:t>, Peritonitis</w:t>
            </w:r>
          </w:p>
        </w:tc>
        <w:tc>
          <w:tcPr>
            <w:tcW w:w="1702" w:type="dxa"/>
          </w:tcPr>
          <w:p w14:paraId="4C8CC87B" w14:textId="77777777" w:rsidR="00443A5D" w:rsidRPr="00A91329" w:rsidRDefault="00443A5D" w:rsidP="00BD719B">
            <w:pPr>
              <w:tabs>
                <w:tab w:val="left" w:pos="567"/>
              </w:tabs>
              <w:ind w:left="90"/>
              <w:rPr>
                <w:rFonts w:asciiTheme="majorHAnsi" w:hAnsiTheme="majorHAnsi" w:cs="Times New Roman"/>
                <w:sz w:val="22"/>
                <w:szCs w:val="24"/>
              </w:rPr>
            </w:pPr>
            <w:r>
              <w:rPr>
                <w:rFonts w:asciiTheme="majorHAnsi" w:hAnsiTheme="majorHAnsi" w:cs="Times New Roman"/>
                <w:sz w:val="22"/>
                <w:szCs w:val="24"/>
              </w:rPr>
              <w:lastRenderedPageBreak/>
              <w:t>Genitourinary tract gonococcal infection</w:t>
            </w:r>
            <w:r w:rsidR="00A91329">
              <w:rPr>
                <w:rFonts w:asciiTheme="majorHAnsi" w:hAnsiTheme="majorHAnsi" w:cs="Times New Roman"/>
                <w:sz w:val="22"/>
                <w:szCs w:val="24"/>
              </w:rPr>
              <w:t xml:space="preserve">, </w:t>
            </w:r>
            <w:r w:rsidR="00A91329" w:rsidRPr="006235F7">
              <w:rPr>
                <w:rFonts w:asciiTheme="majorHAnsi" w:hAnsiTheme="majorHAnsi" w:cs="Times New Roman"/>
                <w:sz w:val="22"/>
                <w:szCs w:val="24"/>
              </w:rPr>
              <w:t xml:space="preserve">Aspergillus </w:t>
            </w:r>
            <w:proofErr w:type="spellStart"/>
            <w:r w:rsidR="00A91329" w:rsidRPr="006235F7">
              <w:rPr>
                <w:rFonts w:asciiTheme="majorHAnsi" w:hAnsiTheme="majorHAnsi" w:cs="Times New Roman"/>
                <w:sz w:val="22"/>
                <w:szCs w:val="24"/>
              </w:rPr>
              <w:t>infection</w:t>
            </w:r>
            <w:r w:rsidR="002F4D75">
              <w:rPr>
                <w:rFonts w:asciiTheme="majorHAnsi" w:hAnsiTheme="majorHAnsi" w:cs="Times New Roman"/>
                <w:sz w:val="22"/>
                <w:szCs w:val="24"/>
                <w:vertAlign w:val="superscript"/>
              </w:rPr>
              <w:t>c</w:t>
            </w:r>
            <w:proofErr w:type="spellEnd"/>
            <w:r w:rsidR="00A91329" w:rsidRPr="006235F7">
              <w:rPr>
                <w:rFonts w:asciiTheme="majorHAnsi" w:hAnsiTheme="majorHAnsi" w:cs="Times New Roman"/>
                <w:sz w:val="22"/>
                <w:szCs w:val="24"/>
              </w:rPr>
              <w:t xml:space="preserve">, </w:t>
            </w:r>
            <w:r w:rsidR="00A91329" w:rsidRPr="006235F7">
              <w:rPr>
                <w:rFonts w:asciiTheme="majorHAnsi" w:hAnsiTheme="majorHAnsi" w:cs="Times New Roman"/>
                <w:sz w:val="22"/>
                <w:szCs w:val="24"/>
              </w:rPr>
              <w:lastRenderedPageBreak/>
              <w:t xml:space="preserve">Arthritis </w:t>
            </w:r>
            <w:proofErr w:type="spellStart"/>
            <w:r w:rsidR="00A91329" w:rsidRPr="006235F7">
              <w:rPr>
                <w:rFonts w:asciiTheme="majorHAnsi" w:hAnsiTheme="majorHAnsi" w:cs="Times New Roman"/>
                <w:sz w:val="22"/>
                <w:szCs w:val="24"/>
              </w:rPr>
              <w:t>bacterial</w:t>
            </w:r>
            <w:r w:rsidR="002F4D75">
              <w:rPr>
                <w:rFonts w:asciiTheme="majorHAnsi" w:hAnsiTheme="majorHAnsi" w:cs="Times New Roman"/>
                <w:sz w:val="22"/>
                <w:szCs w:val="24"/>
                <w:vertAlign w:val="superscript"/>
              </w:rPr>
              <w:t>c</w:t>
            </w:r>
            <w:proofErr w:type="spellEnd"/>
            <w:r w:rsidR="00A91329">
              <w:rPr>
                <w:rFonts w:asciiTheme="majorHAnsi" w:hAnsiTheme="majorHAnsi" w:cs="Times New Roman"/>
                <w:sz w:val="22"/>
                <w:szCs w:val="24"/>
              </w:rPr>
              <w:t xml:space="preserve">, </w:t>
            </w:r>
            <w:r w:rsidR="00A91329" w:rsidRPr="006235F7">
              <w:rPr>
                <w:rFonts w:asciiTheme="majorHAnsi" w:hAnsiTheme="majorHAnsi" w:cs="Times New Roman"/>
                <w:i/>
                <w:sz w:val="22"/>
                <w:szCs w:val="24"/>
              </w:rPr>
              <w:t>Haemophilus influenza</w:t>
            </w:r>
            <w:r w:rsidR="00710ADE">
              <w:rPr>
                <w:rFonts w:asciiTheme="majorHAnsi" w:hAnsiTheme="majorHAnsi" w:cs="Times New Roman"/>
                <w:i/>
                <w:sz w:val="22"/>
                <w:szCs w:val="24"/>
              </w:rPr>
              <w:t>e</w:t>
            </w:r>
            <w:r w:rsidR="00A91329" w:rsidRPr="006235F7">
              <w:rPr>
                <w:rFonts w:asciiTheme="majorHAnsi" w:hAnsiTheme="majorHAnsi" w:cs="Times New Roman"/>
                <w:sz w:val="22"/>
                <w:szCs w:val="24"/>
              </w:rPr>
              <w:t xml:space="preserve"> infection</w:t>
            </w:r>
            <w:r w:rsidR="003D0130">
              <w:rPr>
                <w:rFonts w:asciiTheme="majorHAnsi" w:hAnsiTheme="majorHAnsi" w:cs="Times New Roman"/>
                <w:sz w:val="22"/>
                <w:szCs w:val="24"/>
              </w:rPr>
              <w:t>,</w:t>
            </w:r>
            <w:r w:rsidR="00A91329" w:rsidRPr="006235F7">
              <w:rPr>
                <w:rFonts w:asciiTheme="majorHAnsi" w:hAnsiTheme="majorHAnsi" w:cs="Times New Roman"/>
                <w:sz w:val="22"/>
                <w:szCs w:val="24"/>
              </w:rPr>
              <w:t xml:space="preserve"> Impetigo</w:t>
            </w:r>
            <w:r w:rsidR="00A91329">
              <w:rPr>
                <w:rFonts w:asciiTheme="majorHAnsi" w:hAnsiTheme="majorHAnsi" w:cs="Times New Roman"/>
                <w:sz w:val="22"/>
                <w:szCs w:val="24"/>
              </w:rPr>
              <w:t>, Gingivitis</w:t>
            </w:r>
          </w:p>
        </w:tc>
      </w:tr>
      <w:tr w:rsidR="006C6404" w:rsidRPr="006235F7" w14:paraId="4A394A8E" w14:textId="77777777" w:rsidTr="00AE2D6F">
        <w:tc>
          <w:tcPr>
            <w:tcW w:w="1843" w:type="dxa"/>
          </w:tcPr>
          <w:p w14:paraId="5F13D72F"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lastRenderedPageBreak/>
              <w:t>Neoplasms benign, malignant and unspecified</w:t>
            </w:r>
          </w:p>
        </w:tc>
        <w:tc>
          <w:tcPr>
            <w:tcW w:w="1272" w:type="dxa"/>
          </w:tcPr>
          <w:p w14:paraId="173303BD"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1B231F16"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2D6C5607" w14:textId="77777777" w:rsidR="00443A5D" w:rsidRPr="006235F7" w:rsidRDefault="00443A5D" w:rsidP="00080745">
            <w:pPr>
              <w:tabs>
                <w:tab w:val="left" w:pos="567"/>
              </w:tabs>
              <w:ind w:left="-22"/>
              <w:rPr>
                <w:rFonts w:asciiTheme="majorHAnsi" w:hAnsiTheme="majorHAnsi" w:cs="Times New Roman"/>
                <w:sz w:val="22"/>
                <w:szCs w:val="24"/>
              </w:rPr>
            </w:pPr>
          </w:p>
        </w:tc>
        <w:tc>
          <w:tcPr>
            <w:tcW w:w="1702" w:type="dxa"/>
          </w:tcPr>
          <w:p w14:paraId="302D0583"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Malignant melanoma, Myelodysplastic syndrome</w:t>
            </w:r>
          </w:p>
        </w:tc>
      </w:tr>
      <w:tr w:rsidR="006C6404" w:rsidRPr="006235F7" w14:paraId="51A41B20" w14:textId="77777777" w:rsidTr="00AE2D6F">
        <w:tc>
          <w:tcPr>
            <w:tcW w:w="1843" w:type="dxa"/>
          </w:tcPr>
          <w:p w14:paraId="12EE0CDE"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Blood and lymphatic system disorders</w:t>
            </w:r>
          </w:p>
        </w:tc>
        <w:tc>
          <w:tcPr>
            <w:tcW w:w="1272" w:type="dxa"/>
          </w:tcPr>
          <w:p w14:paraId="51706DF9" w14:textId="77777777" w:rsidR="00443A5D" w:rsidRPr="006235F7" w:rsidRDefault="00443A5D" w:rsidP="00080745">
            <w:pPr>
              <w:tabs>
                <w:tab w:val="left" w:pos="567"/>
              </w:tabs>
              <w:ind w:left="77"/>
              <w:rPr>
                <w:rFonts w:asciiTheme="majorHAnsi" w:hAnsiTheme="majorHAnsi" w:cs="Times New Roman"/>
                <w:sz w:val="22"/>
                <w:szCs w:val="24"/>
              </w:rPr>
            </w:pPr>
          </w:p>
        </w:tc>
        <w:tc>
          <w:tcPr>
            <w:tcW w:w="2033" w:type="dxa"/>
          </w:tcPr>
          <w:p w14:paraId="6137D4AD" w14:textId="77777777" w:rsidR="00443A5D" w:rsidRPr="006235F7" w:rsidRDefault="00443A5D" w:rsidP="00BD719B">
            <w:pPr>
              <w:tabs>
                <w:tab w:val="left" w:pos="567"/>
              </w:tabs>
              <w:ind w:left="77"/>
              <w:rPr>
                <w:rFonts w:asciiTheme="majorHAnsi" w:hAnsiTheme="majorHAnsi" w:cs="Times New Roman"/>
                <w:sz w:val="22"/>
                <w:szCs w:val="24"/>
              </w:rPr>
            </w:pPr>
            <w:proofErr w:type="spellStart"/>
            <w:r w:rsidRPr="006235F7">
              <w:rPr>
                <w:rFonts w:asciiTheme="majorHAnsi" w:hAnsiTheme="majorHAnsi" w:cs="Times New Roman"/>
                <w:sz w:val="22"/>
                <w:szCs w:val="24"/>
              </w:rPr>
              <w:t>Leu</w:t>
            </w:r>
            <w:r w:rsidR="00446FF7">
              <w:rPr>
                <w:rFonts w:asciiTheme="majorHAnsi" w:hAnsiTheme="majorHAnsi" w:cs="Times New Roman"/>
                <w:sz w:val="22"/>
                <w:szCs w:val="24"/>
              </w:rPr>
              <w:t>c</w:t>
            </w:r>
            <w:r w:rsidRPr="006235F7">
              <w:rPr>
                <w:rFonts w:asciiTheme="majorHAnsi" w:hAnsiTheme="majorHAnsi" w:cs="Times New Roman"/>
                <w:sz w:val="22"/>
                <w:szCs w:val="24"/>
              </w:rPr>
              <w:t>op</w:t>
            </w:r>
            <w:r w:rsidR="00446FF7">
              <w:rPr>
                <w:rFonts w:asciiTheme="majorHAnsi" w:hAnsiTheme="majorHAnsi" w:cs="Times New Roman"/>
                <w:sz w:val="22"/>
                <w:szCs w:val="24"/>
              </w:rPr>
              <w:t>a</w:t>
            </w:r>
            <w:r w:rsidRPr="006235F7">
              <w:rPr>
                <w:rFonts w:asciiTheme="majorHAnsi" w:hAnsiTheme="majorHAnsi" w:cs="Times New Roman"/>
                <w:sz w:val="22"/>
                <w:szCs w:val="24"/>
              </w:rPr>
              <w:t>enia</w:t>
            </w:r>
            <w:proofErr w:type="spellEnd"/>
            <w:r w:rsidRPr="006235F7">
              <w:rPr>
                <w:rFonts w:asciiTheme="majorHAnsi" w:hAnsiTheme="majorHAnsi" w:cs="Times New Roman"/>
                <w:sz w:val="22"/>
                <w:szCs w:val="24"/>
              </w:rPr>
              <w:t>,</w:t>
            </w:r>
            <w:r>
              <w:rPr>
                <w:rFonts w:asciiTheme="majorHAnsi" w:hAnsiTheme="majorHAnsi" w:cs="Times New Roman"/>
                <w:sz w:val="22"/>
                <w:szCs w:val="24"/>
              </w:rPr>
              <w:t xml:space="preserve"> </w:t>
            </w:r>
            <w:r w:rsidRPr="006235F7">
              <w:rPr>
                <w:rFonts w:asciiTheme="majorHAnsi" w:hAnsiTheme="majorHAnsi" w:cs="Times New Roman"/>
                <w:sz w:val="22"/>
                <w:szCs w:val="24"/>
              </w:rPr>
              <w:t>Anaemia</w:t>
            </w:r>
          </w:p>
        </w:tc>
        <w:tc>
          <w:tcPr>
            <w:tcW w:w="2508" w:type="dxa"/>
            <w:tcMar>
              <w:top w:w="0" w:type="dxa"/>
              <w:left w:w="108" w:type="dxa"/>
              <w:bottom w:w="0" w:type="dxa"/>
              <w:right w:w="108" w:type="dxa"/>
            </w:tcMar>
          </w:tcPr>
          <w:p w14:paraId="35E6EE47" w14:textId="77777777" w:rsidR="00443A5D" w:rsidRPr="006235F7" w:rsidRDefault="00BD719B" w:rsidP="00BD719B">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 xml:space="preserve">Thrombocytopenia, </w:t>
            </w:r>
            <w:r w:rsidR="00443A5D" w:rsidRPr="006235F7">
              <w:rPr>
                <w:rFonts w:asciiTheme="majorHAnsi" w:hAnsiTheme="majorHAnsi" w:cs="Times New Roman"/>
                <w:sz w:val="22"/>
                <w:szCs w:val="24"/>
              </w:rPr>
              <w:t>Lymphopenia</w:t>
            </w:r>
          </w:p>
        </w:tc>
        <w:tc>
          <w:tcPr>
            <w:tcW w:w="1702" w:type="dxa"/>
          </w:tcPr>
          <w:p w14:paraId="774FF62D"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Haemolysis*</w:t>
            </w:r>
            <w:r>
              <w:rPr>
                <w:rFonts w:asciiTheme="majorHAnsi" w:hAnsiTheme="majorHAnsi" w:cs="Times New Roman"/>
                <w:sz w:val="22"/>
                <w:szCs w:val="24"/>
              </w:rPr>
              <w:t xml:space="preserve">, </w:t>
            </w:r>
            <w:r w:rsidRPr="006235F7">
              <w:rPr>
                <w:rFonts w:asciiTheme="majorHAnsi" w:hAnsiTheme="majorHAnsi" w:cs="Times New Roman"/>
                <w:sz w:val="22"/>
                <w:szCs w:val="24"/>
              </w:rPr>
              <w:t>Abnormal clotting factor,</w:t>
            </w:r>
            <w:r>
              <w:rPr>
                <w:rFonts w:asciiTheme="majorHAnsi" w:hAnsiTheme="majorHAnsi" w:cs="Times New Roman"/>
                <w:sz w:val="22"/>
                <w:szCs w:val="24"/>
              </w:rPr>
              <w:t xml:space="preserve"> </w:t>
            </w:r>
            <w:r w:rsidRPr="006235F7">
              <w:rPr>
                <w:rFonts w:asciiTheme="majorHAnsi" w:hAnsiTheme="majorHAnsi" w:cs="Times New Roman"/>
                <w:sz w:val="22"/>
                <w:szCs w:val="24"/>
              </w:rPr>
              <w:t>Red blood cell agglutination,</w:t>
            </w:r>
            <w:r>
              <w:rPr>
                <w:rFonts w:asciiTheme="majorHAnsi" w:hAnsiTheme="majorHAnsi" w:cs="Times New Roman"/>
                <w:sz w:val="22"/>
                <w:szCs w:val="24"/>
              </w:rPr>
              <w:t xml:space="preserve"> </w:t>
            </w:r>
            <w:r w:rsidRPr="006235F7">
              <w:rPr>
                <w:rFonts w:asciiTheme="majorHAnsi" w:hAnsiTheme="majorHAnsi" w:cs="Times New Roman"/>
                <w:sz w:val="22"/>
                <w:szCs w:val="24"/>
              </w:rPr>
              <w:t>Coagulopathy</w:t>
            </w:r>
          </w:p>
        </w:tc>
      </w:tr>
      <w:tr w:rsidR="006C6404" w:rsidRPr="006235F7" w14:paraId="790988F8" w14:textId="77777777" w:rsidTr="00AE2D6F">
        <w:tc>
          <w:tcPr>
            <w:tcW w:w="1843" w:type="dxa"/>
          </w:tcPr>
          <w:p w14:paraId="1FB1815B"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Immune system disorders</w:t>
            </w:r>
          </w:p>
        </w:tc>
        <w:tc>
          <w:tcPr>
            <w:tcW w:w="1272" w:type="dxa"/>
          </w:tcPr>
          <w:p w14:paraId="77BC34A8"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0A3CFE81"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60FC5CE0" w14:textId="77777777" w:rsidR="00443A5D" w:rsidRPr="006235F7" w:rsidRDefault="00BD719B" w:rsidP="0008074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Anaphylactic reaction</w:t>
            </w:r>
            <w:r>
              <w:rPr>
                <w:rFonts w:asciiTheme="majorHAnsi" w:hAnsiTheme="majorHAnsi" w:cs="Times New Roman"/>
                <w:sz w:val="22"/>
                <w:szCs w:val="24"/>
              </w:rPr>
              <w:t>,</w:t>
            </w:r>
            <w:r w:rsidRPr="006235F7">
              <w:rPr>
                <w:rFonts w:asciiTheme="majorHAnsi" w:hAnsiTheme="majorHAnsi" w:cs="Times New Roman"/>
                <w:sz w:val="22"/>
                <w:szCs w:val="24"/>
              </w:rPr>
              <w:t xml:space="preserve"> </w:t>
            </w:r>
            <w:r w:rsidR="00443A5D" w:rsidRPr="006235F7">
              <w:rPr>
                <w:rFonts w:asciiTheme="majorHAnsi" w:hAnsiTheme="majorHAnsi" w:cs="Times New Roman"/>
                <w:sz w:val="22"/>
                <w:szCs w:val="24"/>
              </w:rPr>
              <w:t>Hypersensitivity</w:t>
            </w:r>
          </w:p>
        </w:tc>
        <w:tc>
          <w:tcPr>
            <w:tcW w:w="1702" w:type="dxa"/>
          </w:tcPr>
          <w:p w14:paraId="4C83D830"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094AFEC1" w14:textId="77777777" w:rsidTr="00AE2D6F">
        <w:tc>
          <w:tcPr>
            <w:tcW w:w="1843" w:type="dxa"/>
          </w:tcPr>
          <w:p w14:paraId="7DD882A2"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Endocrine disorders</w:t>
            </w:r>
          </w:p>
        </w:tc>
        <w:tc>
          <w:tcPr>
            <w:tcW w:w="1272" w:type="dxa"/>
          </w:tcPr>
          <w:p w14:paraId="76187A75"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241ED337"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4D99B06F" w14:textId="77777777" w:rsidR="00443A5D" w:rsidRPr="006235F7" w:rsidRDefault="00443A5D" w:rsidP="00080745">
            <w:pPr>
              <w:tabs>
                <w:tab w:val="left" w:pos="567"/>
              </w:tabs>
              <w:ind w:left="-22"/>
              <w:rPr>
                <w:rFonts w:asciiTheme="majorHAnsi" w:hAnsiTheme="majorHAnsi" w:cs="Times New Roman"/>
                <w:sz w:val="22"/>
                <w:szCs w:val="24"/>
              </w:rPr>
            </w:pPr>
          </w:p>
        </w:tc>
        <w:tc>
          <w:tcPr>
            <w:tcW w:w="1702" w:type="dxa"/>
          </w:tcPr>
          <w:p w14:paraId="1C1268CB" w14:textId="77777777" w:rsidR="00443A5D" w:rsidRPr="006235F7" w:rsidRDefault="00BD719B" w:rsidP="00BD719B">
            <w:pPr>
              <w:tabs>
                <w:tab w:val="left" w:pos="567"/>
              </w:tabs>
              <w:ind w:left="90"/>
              <w:rPr>
                <w:rFonts w:asciiTheme="majorHAnsi" w:hAnsiTheme="majorHAnsi" w:cs="Times New Roman"/>
                <w:sz w:val="22"/>
                <w:szCs w:val="24"/>
              </w:rPr>
            </w:pPr>
            <w:proofErr w:type="spellStart"/>
            <w:r w:rsidRPr="006235F7">
              <w:rPr>
                <w:rFonts w:asciiTheme="majorHAnsi" w:hAnsiTheme="majorHAnsi" w:cs="Times New Roman"/>
                <w:sz w:val="22"/>
                <w:szCs w:val="24"/>
              </w:rPr>
              <w:t>Basedow’s</w:t>
            </w:r>
            <w:proofErr w:type="spellEnd"/>
            <w:r w:rsidRPr="006235F7">
              <w:rPr>
                <w:rFonts w:asciiTheme="majorHAnsi" w:hAnsiTheme="majorHAnsi" w:cs="Times New Roman"/>
                <w:sz w:val="22"/>
                <w:szCs w:val="24"/>
              </w:rPr>
              <w:t xml:space="preserve"> disease</w:t>
            </w:r>
          </w:p>
        </w:tc>
      </w:tr>
      <w:tr w:rsidR="006C6404" w:rsidRPr="006235F7" w14:paraId="74129D4F" w14:textId="77777777" w:rsidTr="00AE2D6F">
        <w:tc>
          <w:tcPr>
            <w:tcW w:w="1843" w:type="dxa"/>
          </w:tcPr>
          <w:p w14:paraId="1D1BDEC6"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Metabolism and nutrition disorders</w:t>
            </w:r>
          </w:p>
        </w:tc>
        <w:tc>
          <w:tcPr>
            <w:tcW w:w="1272" w:type="dxa"/>
          </w:tcPr>
          <w:p w14:paraId="513E0F4C"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4DDA762"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566B2D19" w14:textId="77777777" w:rsidR="00443A5D" w:rsidRPr="006235F7" w:rsidRDefault="00BD719B" w:rsidP="0008074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Decreased appetite</w:t>
            </w:r>
          </w:p>
        </w:tc>
        <w:tc>
          <w:tcPr>
            <w:tcW w:w="1702" w:type="dxa"/>
          </w:tcPr>
          <w:p w14:paraId="68ADF165"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5FB0CE0A" w14:textId="77777777" w:rsidTr="00AE2D6F">
        <w:tc>
          <w:tcPr>
            <w:tcW w:w="1843" w:type="dxa"/>
          </w:tcPr>
          <w:p w14:paraId="0929D5F1"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Psychiatric disorders</w:t>
            </w:r>
          </w:p>
        </w:tc>
        <w:tc>
          <w:tcPr>
            <w:tcW w:w="1272" w:type="dxa"/>
          </w:tcPr>
          <w:p w14:paraId="250123F1"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37CCA087" w14:textId="77777777" w:rsidR="00443A5D" w:rsidRPr="006235F7" w:rsidRDefault="00443A5D" w:rsidP="00080745">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Insomnia</w:t>
            </w:r>
          </w:p>
        </w:tc>
        <w:tc>
          <w:tcPr>
            <w:tcW w:w="2508" w:type="dxa"/>
            <w:tcMar>
              <w:top w:w="0" w:type="dxa"/>
              <w:left w:w="108" w:type="dxa"/>
              <w:bottom w:w="0" w:type="dxa"/>
              <w:right w:w="108" w:type="dxa"/>
            </w:tcMar>
          </w:tcPr>
          <w:p w14:paraId="40373BED" w14:textId="77777777" w:rsidR="00443A5D" w:rsidRPr="006235F7" w:rsidRDefault="00443A5D" w:rsidP="00BD719B">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Anxiety, Depression, Mood swings</w:t>
            </w:r>
          </w:p>
        </w:tc>
        <w:tc>
          <w:tcPr>
            <w:tcW w:w="1702" w:type="dxa"/>
          </w:tcPr>
          <w:p w14:paraId="2202C79E"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Abnormal dreams,</w:t>
            </w:r>
            <w:r>
              <w:rPr>
                <w:rFonts w:asciiTheme="majorHAnsi" w:hAnsiTheme="majorHAnsi" w:cs="Times New Roman"/>
                <w:sz w:val="22"/>
                <w:szCs w:val="24"/>
              </w:rPr>
              <w:t xml:space="preserve"> </w:t>
            </w:r>
            <w:r w:rsidRPr="006235F7">
              <w:rPr>
                <w:rFonts w:asciiTheme="majorHAnsi" w:hAnsiTheme="majorHAnsi" w:cs="Times New Roman"/>
                <w:sz w:val="22"/>
                <w:szCs w:val="24"/>
              </w:rPr>
              <w:t>Sleep disorder</w:t>
            </w:r>
          </w:p>
        </w:tc>
      </w:tr>
      <w:tr w:rsidR="006C6404" w:rsidRPr="006235F7" w14:paraId="1810178E" w14:textId="77777777" w:rsidTr="00AE2D6F">
        <w:tc>
          <w:tcPr>
            <w:tcW w:w="1843" w:type="dxa"/>
          </w:tcPr>
          <w:p w14:paraId="1CDD4714"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Nervous system disorders</w:t>
            </w:r>
          </w:p>
        </w:tc>
        <w:tc>
          <w:tcPr>
            <w:tcW w:w="1272" w:type="dxa"/>
          </w:tcPr>
          <w:p w14:paraId="6FFC7DE3" w14:textId="77777777" w:rsidR="00443A5D" w:rsidRPr="006235F7" w:rsidRDefault="00443A5D" w:rsidP="00080745">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Headache</w:t>
            </w:r>
          </w:p>
        </w:tc>
        <w:tc>
          <w:tcPr>
            <w:tcW w:w="2033" w:type="dxa"/>
          </w:tcPr>
          <w:p w14:paraId="44767370" w14:textId="77777777" w:rsidR="00443A5D" w:rsidRPr="006235F7" w:rsidRDefault="00443A5D" w:rsidP="002F4D75">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Dizziness, Dysgeusia</w:t>
            </w:r>
          </w:p>
        </w:tc>
        <w:tc>
          <w:tcPr>
            <w:tcW w:w="2508" w:type="dxa"/>
            <w:tcMar>
              <w:top w:w="0" w:type="dxa"/>
              <w:left w:w="108" w:type="dxa"/>
              <w:bottom w:w="0" w:type="dxa"/>
              <w:right w:w="108" w:type="dxa"/>
            </w:tcMar>
          </w:tcPr>
          <w:p w14:paraId="0F3760D7" w14:textId="77777777" w:rsidR="00443A5D" w:rsidRPr="006235F7" w:rsidRDefault="00443A5D" w:rsidP="000541F8">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Paraesthesia</w:t>
            </w:r>
            <w:r w:rsidR="002F4D75">
              <w:rPr>
                <w:rFonts w:asciiTheme="majorHAnsi" w:hAnsiTheme="majorHAnsi" w:cs="Times New Roman"/>
                <w:sz w:val="22"/>
                <w:szCs w:val="24"/>
              </w:rPr>
              <w:t xml:space="preserve">, </w:t>
            </w:r>
            <w:r w:rsidR="002F4D75" w:rsidRPr="006235F7">
              <w:rPr>
                <w:rFonts w:asciiTheme="majorHAnsi" w:hAnsiTheme="majorHAnsi" w:cs="Times New Roman"/>
                <w:sz w:val="22"/>
                <w:szCs w:val="24"/>
              </w:rPr>
              <w:t>Tremor</w:t>
            </w:r>
          </w:p>
        </w:tc>
        <w:tc>
          <w:tcPr>
            <w:tcW w:w="1702" w:type="dxa"/>
          </w:tcPr>
          <w:p w14:paraId="5A8AC0B7"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Syncope</w:t>
            </w:r>
          </w:p>
        </w:tc>
      </w:tr>
      <w:tr w:rsidR="006C6404" w:rsidRPr="006235F7" w14:paraId="1C51BD90" w14:textId="77777777" w:rsidTr="00AE2D6F">
        <w:tc>
          <w:tcPr>
            <w:tcW w:w="1843" w:type="dxa"/>
          </w:tcPr>
          <w:p w14:paraId="3C646BB7"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Eye disorders</w:t>
            </w:r>
          </w:p>
        </w:tc>
        <w:tc>
          <w:tcPr>
            <w:tcW w:w="1272" w:type="dxa"/>
          </w:tcPr>
          <w:p w14:paraId="7385301B"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79379D6"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4FB5F4A9" w14:textId="77777777" w:rsidR="00443A5D" w:rsidRPr="006235F7" w:rsidRDefault="00443A5D" w:rsidP="0008074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Vision blurred</w:t>
            </w:r>
          </w:p>
        </w:tc>
        <w:tc>
          <w:tcPr>
            <w:tcW w:w="1702" w:type="dxa"/>
          </w:tcPr>
          <w:p w14:paraId="1277E325"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Conjunctival irritation</w:t>
            </w:r>
          </w:p>
        </w:tc>
      </w:tr>
      <w:tr w:rsidR="006C6404" w:rsidRPr="006235F7" w14:paraId="24FB2BE6" w14:textId="77777777" w:rsidTr="00AE2D6F">
        <w:tc>
          <w:tcPr>
            <w:tcW w:w="1843" w:type="dxa"/>
          </w:tcPr>
          <w:p w14:paraId="06E1FCDB"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Ear and labyrinth disorders</w:t>
            </w:r>
          </w:p>
        </w:tc>
        <w:tc>
          <w:tcPr>
            <w:tcW w:w="1272" w:type="dxa"/>
          </w:tcPr>
          <w:p w14:paraId="26AE123C"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7EFE55DE"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7E313030" w14:textId="77777777" w:rsidR="00443A5D" w:rsidRPr="006235F7" w:rsidRDefault="00443A5D" w:rsidP="00A25493">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Tinnitus</w:t>
            </w:r>
            <w:r w:rsidR="00BD719B">
              <w:rPr>
                <w:rFonts w:asciiTheme="majorHAnsi" w:hAnsiTheme="majorHAnsi" w:cs="Times New Roman"/>
                <w:sz w:val="22"/>
                <w:szCs w:val="24"/>
              </w:rPr>
              <w:t xml:space="preserve">, </w:t>
            </w:r>
            <w:r w:rsidR="00BD719B" w:rsidRPr="006235F7">
              <w:rPr>
                <w:rFonts w:asciiTheme="majorHAnsi" w:hAnsiTheme="majorHAnsi" w:cs="Times New Roman"/>
                <w:sz w:val="22"/>
                <w:szCs w:val="24"/>
              </w:rPr>
              <w:t>Vertigo</w:t>
            </w:r>
          </w:p>
        </w:tc>
        <w:tc>
          <w:tcPr>
            <w:tcW w:w="1702" w:type="dxa"/>
          </w:tcPr>
          <w:p w14:paraId="40129C18"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39E8AFA6" w14:textId="77777777" w:rsidTr="00AE2D6F">
        <w:tc>
          <w:tcPr>
            <w:tcW w:w="1843" w:type="dxa"/>
          </w:tcPr>
          <w:p w14:paraId="52CFCE9A"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Cardiac disorders</w:t>
            </w:r>
          </w:p>
        </w:tc>
        <w:tc>
          <w:tcPr>
            <w:tcW w:w="1272" w:type="dxa"/>
          </w:tcPr>
          <w:p w14:paraId="0935BEB1"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6DE1507C"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77D98A1F" w14:textId="77777777" w:rsidR="00443A5D" w:rsidRPr="006235F7" w:rsidRDefault="00443A5D" w:rsidP="0008074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Palpitation</w:t>
            </w:r>
          </w:p>
        </w:tc>
        <w:tc>
          <w:tcPr>
            <w:tcW w:w="1702" w:type="dxa"/>
          </w:tcPr>
          <w:p w14:paraId="6F94C8CF"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3FC76ED8" w14:textId="77777777" w:rsidTr="00AE2D6F">
        <w:tc>
          <w:tcPr>
            <w:tcW w:w="1843" w:type="dxa"/>
          </w:tcPr>
          <w:p w14:paraId="2EA75649"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Vascular disorders</w:t>
            </w:r>
          </w:p>
        </w:tc>
        <w:tc>
          <w:tcPr>
            <w:tcW w:w="1272" w:type="dxa"/>
          </w:tcPr>
          <w:p w14:paraId="64A60655"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04DE696" w14:textId="77777777" w:rsidR="00443A5D" w:rsidRPr="006235F7" w:rsidRDefault="00443A5D" w:rsidP="00BD719B">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Hypertension</w:t>
            </w:r>
          </w:p>
        </w:tc>
        <w:tc>
          <w:tcPr>
            <w:tcW w:w="2508" w:type="dxa"/>
            <w:tcMar>
              <w:top w:w="0" w:type="dxa"/>
              <w:left w:w="108" w:type="dxa"/>
              <w:bottom w:w="0" w:type="dxa"/>
              <w:right w:w="108" w:type="dxa"/>
            </w:tcMar>
          </w:tcPr>
          <w:p w14:paraId="5793DE0F" w14:textId="77777777" w:rsidR="00443A5D" w:rsidRPr="006235F7" w:rsidRDefault="00BD719B" w:rsidP="00BD719B">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Hypotension</w:t>
            </w:r>
            <w:r w:rsidR="00443A5D" w:rsidRPr="006235F7">
              <w:rPr>
                <w:rFonts w:asciiTheme="majorHAnsi" w:hAnsiTheme="majorHAnsi" w:cs="Times New Roman"/>
                <w:sz w:val="22"/>
                <w:szCs w:val="24"/>
              </w:rPr>
              <w:t>, Hot flush, Accelerated hypertension, Vein disorder</w:t>
            </w:r>
          </w:p>
        </w:tc>
        <w:tc>
          <w:tcPr>
            <w:tcW w:w="1702" w:type="dxa"/>
          </w:tcPr>
          <w:p w14:paraId="5EBACFEC" w14:textId="77777777" w:rsidR="00443A5D" w:rsidRPr="006235F7" w:rsidRDefault="00BD719B"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Haematoma</w:t>
            </w:r>
          </w:p>
        </w:tc>
      </w:tr>
      <w:tr w:rsidR="006C6404" w:rsidRPr="006235F7" w14:paraId="56E1A967" w14:textId="77777777" w:rsidTr="00AE2D6F">
        <w:trPr>
          <w:trHeight w:val="916"/>
        </w:trPr>
        <w:tc>
          <w:tcPr>
            <w:tcW w:w="1843" w:type="dxa"/>
          </w:tcPr>
          <w:p w14:paraId="60F433B3"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Respiratory, thoracic and mediastinal disorders</w:t>
            </w:r>
          </w:p>
        </w:tc>
        <w:tc>
          <w:tcPr>
            <w:tcW w:w="1272" w:type="dxa"/>
          </w:tcPr>
          <w:p w14:paraId="13705510"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77C0407" w14:textId="77777777" w:rsidR="00443A5D" w:rsidRPr="006235F7" w:rsidRDefault="00443A5D" w:rsidP="00BD719B">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 xml:space="preserve">Cough, </w:t>
            </w:r>
            <w:r w:rsidR="00BD719B">
              <w:rPr>
                <w:rFonts w:asciiTheme="majorHAnsi" w:hAnsiTheme="majorHAnsi" w:cs="Times New Roman"/>
                <w:sz w:val="22"/>
                <w:szCs w:val="24"/>
              </w:rPr>
              <w:t>Orop</w:t>
            </w:r>
            <w:r w:rsidRPr="006235F7">
              <w:rPr>
                <w:rFonts w:asciiTheme="majorHAnsi" w:hAnsiTheme="majorHAnsi" w:cs="Times New Roman"/>
                <w:sz w:val="22"/>
                <w:szCs w:val="24"/>
              </w:rPr>
              <w:t>haryngeal pain</w:t>
            </w:r>
          </w:p>
        </w:tc>
        <w:tc>
          <w:tcPr>
            <w:tcW w:w="2508" w:type="dxa"/>
            <w:tcMar>
              <w:top w:w="0" w:type="dxa"/>
              <w:left w:w="108" w:type="dxa"/>
              <w:bottom w:w="0" w:type="dxa"/>
              <w:right w:w="108" w:type="dxa"/>
            </w:tcMar>
          </w:tcPr>
          <w:p w14:paraId="4BB369BE" w14:textId="77777777" w:rsidR="00443A5D" w:rsidRPr="006235F7" w:rsidRDefault="00BD719B" w:rsidP="007E5CC6">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Dyspnoea</w:t>
            </w:r>
            <w:r>
              <w:rPr>
                <w:rFonts w:asciiTheme="majorHAnsi" w:hAnsiTheme="majorHAnsi" w:cs="Times New Roman"/>
                <w:sz w:val="22"/>
                <w:szCs w:val="24"/>
              </w:rPr>
              <w:t>,</w:t>
            </w:r>
            <w:r w:rsidRPr="006235F7">
              <w:rPr>
                <w:rFonts w:asciiTheme="majorHAnsi" w:hAnsiTheme="majorHAnsi" w:cs="Times New Roman"/>
                <w:sz w:val="22"/>
                <w:szCs w:val="24"/>
              </w:rPr>
              <w:t xml:space="preserve"> </w:t>
            </w:r>
            <w:r w:rsidR="00443A5D" w:rsidRPr="006235F7">
              <w:rPr>
                <w:rFonts w:asciiTheme="majorHAnsi" w:hAnsiTheme="majorHAnsi" w:cs="Times New Roman"/>
                <w:sz w:val="22"/>
                <w:szCs w:val="24"/>
              </w:rPr>
              <w:t>Epistaxis, Throat irritation</w:t>
            </w:r>
            <w:r>
              <w:rPr>
                <w:rFonts w:asciiTheme="majorHAnsi" w:hAnsiTheme="majorHAnsi" w:cs="Times New Roman"/>
                <w:sz w:val="22"/>
                <w:szCs w:val="24"/>
              </w:rPr>
              <w:t xml:space="preserve">, </w:t>
            </w:r>
            <w:r w:rsidRPr="006235F7">
              <w:rPr>
                <w:rFonts w:asciiTheme="majorHAnsi" w:hAnsiTheme="majorHAnsi" w:cs="Times New Roman"/>
                <w:sz w:val="22"/>
                <w:szCs w:val="24"/>
              </w:rPr>
              <w:t>Nasal congestion</w:t>
            </w:r>
            <w:r w:rsidR="007E5CC6" w:rsidRPr="006235F7">
              <w:rPr>
                <w:rFonts w:asciiTheme="majorHAnsi" w:hAnsiTheme="majorHAnsi" w:cs="Times New Roman"/>
                <w:sz w:val="22"/>
                <w:szCs w:val="24"/>
              </w:rPr>
              <w:t>, Rhinorrhoea</w:t>
            </w:r>
          </w:p>
        </w:tc>
        <w:tc>
          <w:tcPr>
            <w:tcW w:w="1702" w:type="dxa"/>
          </w:tcPr>
          <w:p w14:paraId="3CEC78C3"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2A95105B" w14:textId="77777777" w:rsidTr="00AE2D6F">
        <w:trPr>
          <w:trHeight w:val="916"/>
        </w:trPr>
        <w:tc>
          <w:tcPr>
            <w:tcW w:w="1843" w:type="dxa"/>
          </w:tcPr>
          <w:p w14:paraId="2A2CC915"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Gastrointestinal disorders</w:t>
            </w:r>
          </w:p>
        </w:tc>
        <w:tc>
          <w:tcPr>
            <w:tcW w:w="1272" w:type="dxa"/>
          </w:tcPr>
          <w:p w14:paraId="132AFD5A"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73462D8C" w14:textId="77777777" w:rsidR="00443A5D" w:rsidRPr="006235F7" w:rsidRDefault="00443A5D" w:rsidP="007E5CC6">
            <w:pPr>
              <w:tabs>
                <w:tab w:val="left" w:pos="567"/>
              </w:tabs>
              <w:ind w:left="77"/>
              <w:rPr>
                <w:rFonts w:asciiTheme="majorHAnsi" w:hAnsiTheme="majorHAnsi" w:cs="Times New Roman"/>
                <w:sz w:val="22"/>
                <w:szCs w:val="24"/>
              </w:rPr>
            </w:pPr>
            <w:r w:rsidRPr="006235F7">
              <w:rPr>
                <w:rFonts w:asciiTheme="majorHAnsi" w:hAnsiTheme="majorHAnsi" w:cs="Times New Roman"/>
                <w:sz w:val="22"/>
                <w:szCs w:val="24"/>
              </w:rPr>
              <w:t>Abdominal pain, Diarrhoea, Nausea, Vomiting</w:t>
            </w:r>
          </w:p>
        </w:tc>
        <w:tc>
          <w:tcPr>
            <w:tcW w:w="2508" w:type="dxa"/>
            <w:tcMar>
              <w:top w:w="0" w:type="dxa"/>
              <w:left w:w="108" w:type="dxa"/>
              <w:bottom w:w="0" w:type="dxa"/>
              <w:right w:w="108" w:type="dxa"/>
            </w:tcMar>
          </w:tcPr>
          <w:p w14:paraId="664E5B7A" w14:textId="77777777" w:rsidR="00443A5D" w:rsidRPr="006235F7" w:rsidRDefault="007E5CC6" w:rsidP="007E5CC6">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 xml:space="preserve">Constipation, Dyspepsia, </w:t>
            </w:r>
            <w:r w:rsidR="00443A5D" w:rsidRPr="006235F7">
              <w:rPr>
                <w:rFonts w:asciiTheme="majorHAnsi" w:hAnsiTheme="majorHAnsi" w:cs="Times New Roman"/>
                <w:sz w:val="22"/>
                <w:szCs w:val="24"/>
              </w:rPr>
              <w:t>Abdominal distension</w:t>
            </w:r>
          </w:p>
        </w:tc>
        <w:tc>
          <w:tcPr>
            <w:tcW w:w="1702" w:type="dxa"/>
          </w:tcPr>
          <w:p w14:paraId="67184ED4" w14:textId="77777777" w:rsidR="00443A5D" w:rsidRPr="006235F7" w:rsidRDefault="003D0130" w:rsidP="007E5CC6">
            <w:pPr>
              <w:tabs>
                <w:tab w:val="left" w:pos="567"/>
              </w:tabs>
              <w:ind w:left="90"/>
              <w:rPr>
                <w:rFonts w:asciiTheme="majorHAnsi" w:hAnsiTheme="majorHAnsi" w:cs="Times New Roman"/>
                <w:sz w:val="22"/>
                <w:szCs w:val="24"/>
              </w:rPr>
            </w:pPr>
            <w:r>
              <w:rPr>
                <w:rFonts w:asciiTheme="majorHAnsi" w:hAnsiTheme="majorHAnsi" w:cs="Times New Roman"/>
                <w:sz w:val="22"/>
                <w:szCs w:val="24"/>
              </w:rPr>
              <w:t>G</w:t>
            </w:r>
            <w:r w:rsidRPr="006235F7">
              <w:rPr>
                <w:rFonts w:asciiTheme="majorHAnsi" w:hAnsiTheme="majorHAnsi" w:cs="Times New Roman"/>
                <w:sz w:val="22"/>
                <w:szCs w:val="24"/>
              </w:rPr>
              <w:t>astroesophage</w:t>
            </w:r>
            <w:r>
              <w:rPr>
                <w:rFonts w:asciiTheme="majorHAnsi" w:hAnsiTheme="majorHAnsi" w:cs="Times New Roman"/>
                <w:sz w:val="22"/>
                <w:szCs w:val="24"/>
              </w:rPr>
              <w:t>a</w:t>
            </w:r>
            <w:r w:rsidRPr="006235F7">
              <w:rPr>
                <w:rFonts w:asciiTheme="majorHAnsi" w:hAnsiTheme="majorHAnsi" w:cs="Times New Roman"/>
                <w:sz w:val="22"/>
                <w:szCs w:val="24"/>
              </w:rPr>
              <w:t>l</w:t>
            </w:r>
            <w:r w:rsidR="007E5CC6" w:rsidRPr="006235F7">
              <w:rPr>
                <w:rFonts w:asciiTheme="majorHAnsi" w:hAnsiTheme="majorHAnsi" w:cs="Times New Roman"/>
                <w:sz w:val="22"/>
                <w:szCs w:val="24"/>
              </w:rPr>
              <w:t xml:space="preserve"> reflux disease, Gingival pain</w:t>
            </w:r>
          </w:p>
        </w:tc>
      </w:tr>
      <w:tr w:rsidR="006C6404" w:rsidRPr="006235F7" w14:paraId="07D75A52" w14:textId="77777777" w:rsidTr="00AE2D6F">
        <w:tc>
          <w:tcPr>
            <w:tcW w:w="1843" w:type="dxa"/>
          </w:tcPr>
          <w:p w14:paraId="33A137C5"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lastRenderedPageBreak/>
              <w:t>Hepatobiliary disorders</w:t>
            </w:r>
          </w:p>
        </w:tc>
        <w:tc>
          <w:tcPr>
            <w:tcW w:w="1272" w:type="dxa"/>
          </w:tcPr>
          <w:p w14:paraId="4AE549B2"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949164B" w14:textId="77777777" w:rsidR="00443A5D" w:rsidRPr="006235F7" w:rsidRDefault="00443A5D" w:rsidP="00080745">
            <w:pPr>
              <w:tabs>
                <w:tab w:val="left" w:pos="567"/>
              </w:tabs>
              <w:ind w:left="77"/>
              <w:rPr>
                <w:rFonts w:asciiTheme="majorHAnsi" w:hAnsiTheme="majorHAnsi" w:cs="Times New Roman"/>
                <w:sz w:val="22"/>
                <w:szCs w:val="24"/>
                <w:lang w:val="fr-FR"/>
              </w:rPr>
            </w:pPr>
          </w:p>
        </w:tc>
        <w:tc>
          <w:tcPr>
            <w:tcW w:w="2508" w:type="dxa"/>
            <w:tcMar>
              <w:top w:w="0" w:type="dxa"/>
              <w:left w:w="108" w:type="dxa"/>
              <w:bottom w:w="0" w:type="dxa"/>
              <w:right w:w="108" w:type="dxa"/>
            </w:tcMar>
          </w:tcPr>
          <w:p w14:paraId="63E912E9" w14:textId="77777777" w:rsidR="00443A5D" w:rsidRPr="006235F7" w:rsidRDefault="00443A5D" w:rsidP="00080745">
            <w:pPr>
              <w:tabs>
                <w:tab w:val="left" w:pos="567"/>
              </w:tabs>
              <w:ind w:left="-22"/>
              <w:rPr>
                <w:rFonts w:asciiTheme="majorHAnsi" w:hAnsiTheme="majorHAnsi" w:cs="Times New Roman"/>
                <w:sz w:val="22"/>
                <w:szCs w:val="24"/>
              </w:rPr>
            </w:pPr>
          </w:p>
        </w:tc>
        <w:tc>
          <w:tcPr>
            <w:tcW w:w="1702" w:type="dxa"/>
          </w:tcPr>
          <w:p w14:paraId="7F876269" w14:textId="77777777" w:rsidR="00443A5D" w:rsidRPr="006235F7" w:rsidRDefault="007E5CC6"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Jaundice</w:t>
            </w:r>
          </w:p>
        </w:tc>
      </w:tr>
      <w:tr w:rsidR="006C6404" w:rsidRPr="006235F7" w14:paraId="1E6A996C" w14:textId="77777777" w:rsidTr="00AE2D6F">
        <w:tc>
          <w:tcPr>
            <w:tcW w:w="1843" w:type="dxa"/>
          </w:tcPr>
          <w:p w14:paraId="6BB0BF26"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Skin and subcutaneous tissue disorders</w:t>
            </w:r>
          </w:p>
        </w:tc>
        <w:tc>
          <w:tcPr>
            <w:tcW w:w="1272" w:type="dxa"/>
          </w:tcPr>
          <w:p w14:paraId="76A1F9F4"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3EFF0E3C" w14:textId="77777777" w:rsidR="00443A5D" w:rsidRPr="006235F7" w:rsidRDefault="00443A5D" w:rsidP="007E5CC6">
            <w:pPr>
              <w:tabs>
                <w:tab w:val="left" w:pos="567"/>
              </w:tabs>
              <w:ind w:left="77"/>
              <w:rPr>
                <w:rFonts w:asciiTheme="majorHAnsi" w:hAnsiTheme="majorHAnsi" w:cs="Times New Roman"/>
                <w:sz w:val="22"/>
                <w:szCs w:val="24"/>
                <w:lang w:val="fr-FR"/>
              </w:rPr>
            </w:pPr>
            <w:r w:rsidRPr="006235F7">
              <w:rPr>
                <w:rFonts w:asciiTheme="majorHAnsi" w:hAnsiTheme="majorHAnsi" w:cs="Times New Roman"/>
                <w:sz w:val="22"/>
                <w:szCs w:val="24"/>
                <w:lang w:val="fi-FI"/>
              </w:rPr>
              <w:t>Alopecia, Pruritus, Rash</w:t>
            </w:r>
          </w:p>
        </w:tc>
        <w:tc>
          <w:tcPr>
            <w:tcW w:w="2508" w:type="dxa"/>
            <w:tcMar>
              <w:top w:w="0" w:type="dxa"/>
              <w:left w:w="108" w:type="dxa"/>
              <w:bottom w:w="0" w:type="dxa"/>
              <w:right w:w="108" w:type="dxa"/>
            </w:tcMar>
          </w:tcPr>
          <w:p w14:paraId="59D1F2BB" w14:textId="77777777" w:rsidR="00443A5D" w:rsidRPr="006235F7" w:rsidRDefault="00443A5D" w:rsidP="007E5CC6">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 xml:space="preserve">Hyperhidrosis, Petechiae, Urticaria, </w:t>
            </w:r>
            <w:r w:rsidRPr="006235F7">
              <w:rPr>
                <w:rFonts w:asciiTheme="majorHAnsi" w:hAnsiTheme="majorHAnsi" w:cs="Times New Roman"/>
                <w:sz w:val="22"/>
                <w:szCs w:val="24"/>
                <w:lang w:val="fi-FI"/>
              </w:rPr>
              <w:t xml:space="preserve">Dry skin, </w:t>
            </w:r>
            <w:r w:rsidRPr="006235F7">
              <w:rPr>
                <w:rFonts w:asciiTheme="majorHAnsi" w:hAnsiTheme="majorHAnsi" w:cs="Times New Roman"/>
                <w:sz w:val="22"/>
                <w:szCs w:val="24"/>
              </w:rPr>
              <w:t>Erythema</w:t>
            </w:r>
          </w:p>
        </w:tc>
        <w:tc>
          <w:tcPr>
            <w:tcW w:w="1702" w:type="dxa"/>
          </w:tcPr>
          <w:p w14:paraId="6659CF17" w14:textId="77777777" w:rsidR="00443A5D" w:rsidRPr="006235F7" w:rsidRDefault="007E5CC6"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Skin depigmentation,</w:t>
            </w:r>
            <w:r>
              <w:rPr>
                <w:rFonts w:asciiTheme="majorHAnsi" w:hAnsiTheme="majorHAnsi" w:cs="Times New Roman"/>
                <w:sz w:val="22"/>
                <w:szCs w:val="24"/>
              </w:rPr>
              <w:t xml:space="preserve"> </w:t>
            </w:r>
            <w:r w:rsidRPr="006235F7">
              <w:rPr>
                <w:rFonts w:asciiTheme="majorHAnsi" w:hAnsiTheme="majorHAnsi" w:cs="Times New Roman"/>
                <w:sz w:val="22"/>
                <w:szCs w:val="24"/>
              </w:rPr>
              <w:t>Dermatitis</w:t>
            </w:r>
          </w:p>
        </w:tc>
      </w:tr>
      <w:tr w:rsidR="006C6404" w:rsidRPr="006235F7" w14:paraId="507D8448" w14:textId="77777777" w:rsidTr="00AE2D6F">
        <w:tc>
          <w:tcPr>
            <w:tcW w:w="1843" w:type="dxa"/>
          </w:tcPr>
          <w:p w14:paraId="7A8C8592"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Musculoskeletal and connective tissue disorders</w:t>
            </w:r>
          </w:p>
        </w:tc>
        <w:tc>
          <w:tcPr>
            <w:tcW w:w="1272" w:type="dxa"/>
          </w:tcPr>
          <w:p w14:paraId="7BED1ADC"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22C6E9E" w14:textId="77777777" w:rsidR="00443A5D" w:rsidRPr="006235F7" w:rsidRDefault="00443A5D" w:rsidP="00AA4CD9">
            <w:pPr>
              <w:tabs>
                <w:tab w:val="left" w:pos="567"/>
              </w:tabs>
              <w:ind w:left="77"/>
              <w:rPr>
                <w:rFonts w:asciiTheme="majorHAnsi" w:hAnsiTheme="majorHAnsi" w:cs="Times New Roman"/>
                <w:sz w:val="22"/>
                <w:szCs w:val="24"/>
                <w:lang w:val="en-US"/>
              </w:rPr>
            </w:pPr>
            <w:r w:rsidRPr="006235F7">
              <w:rPr>
                <w:rFonts w:asciiTheme="majorHAnsi" w:hAnsiTheme="majorHAnsi" w:cs="Times New Roman"/>
                <w:sz w:val="22"/>
                <w:szCs w:val="24"/>
              </w:rPr>
              <w:t>Arthralgia, Myalgia</w:t>
            </w:r>
          </w:p>
        </w:tc>
        <w:tc>
          <w:tcPr>
            <w:tcW w:w="2508" w:type="dxa"/>
            <w:tcMar>
              <w:top w:w="0" w:type="dxa"/>
              <w:left w:w="108" w:type="dxa"/>
              <w:bottom w:w="0" w:type="dxa"/>
              <w:right w:w="108" w:type="dxa"/>
            </w:tcMar>
          </w:tcPr>
          <w:p w14:paraId="0D9C979E" w14:textId="77777777" w:rsidR="00443A5D" w:rsidRPr="006235F7" w:rsidRDefault="007E5CC6" w:rsidP="007E5CC6">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Muscle spasms</w:t>
            </w:r>
            <w:r>
              <w:rPr>
                <w:rFonts w:asciiTheme="majorHAnsi" w:hAnsiTheme="majorHAnsi" w:cs="Times New Roman"/>
                <w:sz w:val="22"/>
                <w:szCs w:val="24"/>
              </w:rPr>
              <w:t>,</w:t>
            </w:r>
            <w:r w:rsidRPr="006235F7">
              <w:rPr>
                <w:rFonts w:asciiTheme="majorHAnsi" w:hAnsiTheme="majorHAnsi" w:cs="Times New Roman"/>
                <w:sz w:val="22"/>
                <w:szCs w:val="24"/>
              </w:rPr>
              <w:t xml:space="preserve"> </w:t>
            </w:r>
            <w:r w:rsidR="00443A5D" w:rsidRPr="006235F7">
              <w:rPr>
                <w:rFonts w:asciiTheme="majorHAnsi" w:hAnsiTheme="majorHAnsi" w:cs="Times New Roman"/>
                <w:sz w:val="22"/>
                <w:szCs w:val="24"/>
              </w:rPr>
              <w:t xml:space="preserve">Joint swelling, </w:t>
            </w:r>
            <w:r w:rsidRPr="006235F7">
              <w:rPr>
                <w:rFonts w:asciiTheme="majorHAnsi" w:hAnsiTheme="majorHAnsi" w:cs="Times New Roman"/>
                <w:sz w:val="22"/>
                <w:szCs w:val="24"/>
              </w:rPr>
              <w:t>Back pain,</w:t>
            </w:r>
            <w:r>
              <w:rPr>
                <w:rFonts w:asciiTheme="majorHAnsi" w:hAnsiTheme="majorHAnsi" w:cs="Times New Roman"/>
                <w:sz w:val="22"/>
                <w:szCs w:val="24"/>
              </w:rPr>
              <w:t xml:space="preserve"> </w:t>
            </w:r>
            <w:r w:rsidRPr="006235F7">
              <w:rPr>
                <w:rFonts w:asciiTheme="majorHAnsi" w:hAnsiTheme="majorHAnsi" w:cs="Times New Roman"/>
                <w:sz w:val="22"/>
                <w:szCs w:val="24"/>
              </w:rPr>
              <w:t>Neck pain,</w:t>
            </w:r>
            <w:r>
              <w:rPr>
                <w:rFonts w:asciiTheme="majorHAnsi" w:hAnsiTheme="majorHAnsi" w:cs="Times New Roman"/>
                <w:sz w:val="22"/>
                <w:szCs w:val="24"/>
              </w:rPr>
              <w:t xml:space="preserve"> </w:t>
            </w:r>
            <w:r w:rsidRPr="006235F7">
              <w:rPr>
                <w:rFonts w:asciiTheme="majorHAnsi" w:hAnsiTheme="majorHAnsi" w:cs="Times New Roman"/>
                <w:sz w:val="22"/>
                <w:szCs w:val="24"/>
              </w:rPr>
              <w:t>Bone pain</w:t>
            </w:r>
            <w:r w:rsidR="002F4D75">
              <w:rPr>
                <w:rFonts w:asciiTheme="majorHAnsi" w:hAnsiTheme="majorHAnsi" w:cs="Times New Roman"/>
                <w:sz w:val="22"/>
                <w:szCs w:val="24"/>
              </w:rPr>
              <w:t xml:space="preserve">, </w:t>
            </w:r>
            <w:r w:rsidR="002F4D75" w:rsidRPr="006235F7">
              <w:rPr>
                <w:rFonts w:asciiTheme="majorHAnsi" w:hAnsiTheme="majorHAnsi" w:cs="Times New Roman"/>
                <w:sz w:val="22"/>
                <w:szCs w:val="24"/>
              </w:rPr>
              <w:t>Pain in extremity</w:t>
            </w:r>
          </w:p>
        </w:tc>
        <w:tc>
          <w:tcPr>
            <w:tcW w:w="1702" w:type="dxa"/>
          </w:tcPr>
          <w:p w14:paraId="4B71314F" w14:textId="77777777" w:rsidR="00443A5D" w:rsidRPr="006235F7" w:rsidRDefault="007E5CC6"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Trismus</w:t>
            </w:r>
          </w:p>
        </w:tc>
      </w:tr>
      <w:tr w:rsidR="006C6404" w:rsidRPr="006235F7" w14:paraId="775E48D3" w14:textId="77777777" w:rsidTr="00AE2D6F">
        <w:tc>
          <w:tcPr>
            <w:tcW w:w="1843" w:type="dxa"/>
          </w:tcPr>
          <w:p w14:paraId="7A489D29"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Renal and urinary disorders</w:t>
            </w:r>
          </w:p>
        </w:tc>
        <w:tc>
          <w:tcPr>
            <w:tcW w:w="1272" w:type="dxa"/>
          </w:tcPr>
          <w:p w14:paraId="4EC23A62"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0C46B19F" w14:textId="77777777" w:rsidR="00443A5D" w:rsidRPr="006235F7" w:rsidRDefault="00443A5D" w:rsidP="00080745">
            <w:pPr>
              <w:tabs>
                <w:tab w:val="left" w:pos="567"/>
              </w:tabs>
              <w:ind w:left="77"/>
              <w:rPr>
                <w:rFonts w:asciiTheme="majorHAnsi" w:hAnsiTheme="majorHAnsi" w:cs="Times New Roman"/>
                <w:sz w:val="22"/>
                <w:szCs w:val="24"/>
                <w:lang w:val="fr-FR"/>
              </w:rPr>
            </w:pPr>
          </w:p>
        </w:tc>
        <w:tc>
          <w:tcPr>
            <w:tcW w:w="2508" w:type="dxa"/>
            <w:tcMar>
              <w:top w:w="0" w:type="dxa"/>
              <w:left w:w="108" w:type="dxa"/>
              <w:bottom w:w="0" w:type="dxa"/>
              <w:right w:w="108" w:type="dxa"/>
            </w:tcMar>
          </w:tcPr>
          <w:p w14:paraId="0F18E972" w14:textId="77777777" w:rsidR="00443A5D" w:rsidRPr="006235F7" w:rsidRDefault="00443A5D" w:rsidP="007E5CC6">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 xml:space="preserve">Renal impairment, Haematuria, </w:t>
            </w:r>
            <w:proofErr w:type="spellStart"/>
            <w:r w:rsidRPr="006235F7">
              <w:rPr>
                <w:rFonts w:asciiTheme="majorHAnsi" w:hAnsiTheme="majorHAnsi" w:cs="Times New Roman"/>
                <w:sz w:val="22"/>
                <w:szCs w:val="24"/>
                <w:lang w:val="fr-FR"/>
              </w:rPr>
              <w:t>Dysuria</w:t>
            </w:r>
            <w:proofErr w:type="spellEnd"/>
          </w:p>
        </w:tc>
        <w:tc>
          <w:tcPr>
            <w:tcW w:w="1702" w:type="dxa"/>
          </w:tcPr>
          <w:p w14:paraId="49C0753C" w14:textId="77777777" w:rsidR="00443A5D" w:rsidRPr="006235F7" w:rsidRDefault="00443A5D" w:rsidP="00BD719B">
            <w:pPr>
              <w:tabs>
                <w:tab w:val="left" w:pos="567"/>
              </w:tabs>
              <w:ind w:left="90"/>
              <w:rPr>
                <w:rFonts w:asciiTheme="majorHAnsi" w:hAnsiTheme="majorHAnsi" w:cs="Times New Roman"/>
                <w:sz w:val="22"/>
                <w:szCs w:val="24"/>
              </w:rPr>
            </w:pPr>
          </w:p>
        </w:tc>
      </w:tr>
      <w:tr w:rsidR="006C6404" w:rsidRPr="006235F7" w14:paraId="048FE726" w14:textId="77777777" w:rsidTr="00AE2D6F">
        <w:tc>
          <w:tcPr>
            <w:tcW w:w="1843" w:type="dxa"/>
          </w:tcPr>
          <w:p w14:paraId="771CB22C"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Reproductive system and breast disorders</w:t>
            </w:r>
          </w:p>
        </w:tc>
        <w:tc>
          <w:tcPr>
            <w:tcW w:w="1272" w:type="dxa"/>
          </w:tcPr>
          <w:p w14:paraId="22EC3500"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5ABA13F2" w14:textId="77777777" w:rsidR="00443A5D" w:rsidRPr="000359B8" w:rsidRDefault="00443A5D" w:rsidP="00080745">
            <w:pPr>
              <w:tabs>
                <w:tab w:val="left" w:pos="567"/>
              </w:tabs>
              <w:ind w:left="77"/>
              <w:rPr>
                <w:rFonts w:asciiTheme="majorHAnsi" w:hAnsiTheme="majorHAnsi" w:cs="Times New Roman"/>
                <w:sz w:val="22"/>
                <w:szCs w:val="24"/>
                <w:lang w:val="en-US"/>
              </w:rPr>
            </w:pPr>
          </w:p>
        </w:tc>
        <w:tc>
          <w:tcPr>
            <w:tcW w:w="2508" w:type="dxa"/>
            <w:tcMar>
              <w:top w:w="0" w:type="dxa"/>
              <w:left w:w="108" w:type="dxa"/>
              <w:bottom w:w="0" w:type="dxa"/>
              <w:right w:w="108" w:type="dxa"/>
            </w:tcMar>
          </w:tcPr>
          <w:p w14:paraId="2F9C07AD" w14:textId="77777777" w:rsidR="00443A5D" w:rsidRPr="006235F7" w:rsidRDefault="00443A5D" w:rsidP="002F4D7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Spontaneous penile erection</w:t>
            </w:r>
          </w:p>
        </w:tc>
        <w:tc>
          <w:tcPr>
            <w:tcW w:w="1702" w:type="dxa"/>
          </w:tcPr>
          <w:p w14:paraId="0FDF4CBF" w14:textId="77777777" w:rsidR="00443A5D" w:rsidRPr="006235F7" w:rsidRDefault="002F4D75"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Menstrual disorder</w:t>
            </w:r>
          </w:p>
        </w:tc>
      </w:tr>
      <w:tr w:rsidR="006C6404" w:rsidRPr="006235F7" w14:paraId="3F6C9BEB" w14:textId="77777777" w:rsidTr="00AE2D6F">
        <w:tc>
          <w:tcPr>
            <w:tcW w:w="1843" w:type="dxa"/>
          </w:tcPr>
          <w:p w14:paraId="1FA35348"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General disorders and administration site condition</w:t>
            </w:r>
          </w:p>
        </w:tc>
        <w:tc>
          <w:tcPr>
            <w:tcW w:w="1272" w:type="dxa"/>
          </w:tcPr>
          <w:p w14:paraId="57BEA6A7"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480C4908" w14:textId="77777777" w:rsidR="00443A5D" w:rsidRPr="006235F7" w:rsidRDefault="007E5CC6" w:rsidP="002F4D75">
            <w:pPr>
              <w:tabs>
                <w:tab w:val="left" w:pos="567"/>
              </w:tabs>
              <w:ind w:left="77"/>
              <w:rPr>
                <w:rFonts w:asciiTheme="majorHAnsi" w:hAnsiTheme="majorHAnsi" w:cs="Times New Roman"/>
                <w:sz w:val="22"/>
                <w:szCs w:val="24"/>
                <w:lang w:val="en-US"/>
              </w:rPr>
            </w:pPr>
            <w:r w:rsidRPr="006235F7">
              <w:rPr>
                <w:rFonts w:asciiTheme="majorHAnsi" w:hAnsiTheme="majorHAnsi" w:cs="Times New Roman"/>
                <w:sz w:val="22"/>
                <w:szCs w:val="24"/>
                <w:lang w:val="en-US"/>
              </w:rPr>
              <w:t xml:space="preserve">Pyrexia, </w:t>
            </w:r>
            <w:r w:rsidR="00443A5D" w:rsidRPr="006235F7">
              <w:rPr>
                <w:rFonts w:asciiTheme="majorHAnsi" w:hAnsiTheme="majorHAnsi" w:cs="Times New Roman"/>
                <w:sz w:val="22"/>
                <w:szCs w:val="24"/>
                <w:lang w:val="en-US"/>
              </w:rPr>
              <w:t xml:space="preserve">Fatigue, </w:t>
            </w:r>
            <w:r w:rsidR="00443A5D" w:rsidRPr="006235F7">
              <w:rPr>
                <w:rFonts w:asciiTheme="majorHAnsi" w:hAnsiTheme="majorHAnsi" w:cs="Times New Roman"/>
                <w:sz w:val="22"/>
                <w:szCs w:val="24"/>
              </w:rPr>
              <w:t>Influenza</w:t>
            </w:r>
            <w:r w:rsidR="006D26AE">
              <w:rPr>
                <w:rFonts w:asciiTheme="majorHAnsi" w:hAnsiTheme="majorHAnsi" w:cs="Times New Roman"/>
                <w:sz w:val="22"/>
                <w:szCs w:val="24"/>
              </w:rPr>
              <w:t>-</w:t>
            </w:r>
            <w:r w:rsidR="00443A5D" w:rsidRPr="006235F7">
              <w:rPr>
                <w:rFonts w:asciiTheme="majorHAnsi" w:hAnsiTheme="majorHAnsi" w:cs="Times New Roman"/>
                <w:sz w:val="22"/>
                <w:szCs w:val="24"/>
              </w:rPr>
              <w:t>like illness</w:t>
            </w:r>
          </w:p>
        </w:tc>
        <w:tc>
          <w:tcPr>
            <w:tcW w:w="2508" w:type="dxa"/>
            <w:tcMar>
              <w:top w:w="0" w:type="dxa"/>
              <w:left w:w="108" w:type="dxa"/>
              <w:bottom w:w="0" w:type="dxa"/>
              <w:right w:w="108" w:type="dxa"/>
            </w:tcMar>
          </w:tcPr>
          <w:p w14:paraId="1A5A951F" w14:textId="77777777" w:rsidR="00443A5D" w:rsidRPr="006235F7" w:rsidRDefault="007E5CC6" w:rsidP="002F4D75">
            <w:pPr>
              <w:tabs>
                <w:tab w:val="left" w:pos="567"/>
              </w:tabs>
              <w:ind w:left="-22"/>
              <w:rPr>
                <w:rFonts w:asciiTheme="majorHAnsi" w:hAnsiTheme="majorHAnsi" w:cs="Times New Roman"/>
                <w:sz w:val="22"/>
                <w:szCs w:val="24"/>
              </w:rPr>
            </w:pPr>
            <w:proofErr w:type="spellStart"/>
            <w:r w:rsidRPr="006235F7">
              <w:rPr>
                <w:rFonts w:asciiTheme="majorHAnsi" w:hAnsiTheme="majorHAnsi" w:cs="Times New Roman"/>
                <w:sz w:val="22"/>
                <w:szCs w:val="24"/>
                <w:lang w:val="en-US"/>
              </w:rPr>
              <w:t>Oedema</w:t>
            </w:r>
            <w:proofErr w:type="spellEnd"/>
            <w:r w:rsidRPr="006235F7">
              <w:rPr>
                <w:rFonts w:asciiTheme="majorHAnsi" w:hAnsiTheme="majorHAnsi" w:cs="Times New Roman"/>
                <w:sz w:val="22"/>
                <w:szCs w:val="24"/>
                <w:lang w:val="en-US"/>
              </w:rPr>
              <w:t xml:space="preserve">, Chest discomfort, Asthenia, </w:t>
            </w:r>
            <w:r w:rsidR="00443A5D" w:rsidRPr="006235F7">
              <w:rPr>
                <w:rFonts w:asciiTheme="majorHAnsi" w:hAnsiTheme="majorHAnsi" w:cs="Times New Roman"/>
                <w:sz w:val="22"/>
                <w:szCs w:val="24"/>
              </w:rPr>
              <w:t xml:space="preserve">Chest pain, Infusion site pain, </w:t>
            </w:r>
            <w:r w:rsidR="002F4D75" w:rsidRPr="006235F7">
              <w:rPr>
                <w:rFonts w:asciiTheme="majorHAnsi" w:hAnsiTheme="majorHAnsi" w:cs="Times New Roman"/>
                <w:sz w:val="22"/>
                <w:szCs w:val="24"/>
                <w:lang w:val="en-US"/>
              </w:rPr>
              <w:t>Chills</w:t>
            </w:r>
          </w:p>
        </w:tc>
        <w:tc>
          <w:tcPr>
            <w:tcW w:w="1702" w:type="dxa"/>
          </w:tcPr>
          <w:p w14:paraId="2017783E" w14:textId="77777777" w:rsidR="00443A5D" w:rsidRPr="006235F7" w:rsidRDefault="007E5CC6"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Extravasation</w:t>
            </w:r>
            <w:r>
              <w:rPr>
                <w:rFonts w:asciiTheme="majorHAnsi" w:hAnsiTheme="majorHAnsi" w:cs="Times New Roman"/>
                <w:sz w:val="22"/>
                <w:szCs w:val="24"/>
              </w:rPr>
              <w:t xml:space="preserve">, </w:t>
            </w:r>
            <w:r w:rsidRPr="006235F7">
              <w:rPr>
                <w:rFonts w:asciiTheme="majorHAnsi" w:hAnsiTheme="majorHAnsi" w:cs="Times New Roman"/>
                <w:sz w:val="22"/>
                <w:szCs w:val="24"/>
              </w:rPr>
              <w:t>Infusion site paraesthesia</w:t>
            </w:r>
            <w:r>
              <w:rPr>
                <w:rFonts w:asciiTheme="majorHAnsi" w:hAnsiTheme="majorHAnsi" w:cs="Times New Roman"/>
                <w:sz w:val="22"/>
                <w:szCs w:val="24"/>
              </w:rPr>
              <w:t xml:space="preserve">, </w:t>
            </w:r>
            <w:r w:rsidRPr="006235F7">
              <w:rPr>
                <w:rFonts w:asciiTheme="majorHAnsi" w:hAnsiTheme="majorHAnsi" w:cs="Times New Roman"/>
                <w:sz w:val="22"/>
                <w:szCs w:val="24"/>
              </w:rPr>
              <w:t>Feeling hot</w:t>
            </w:r>
          </w:p>
        </w:tc>
      </w:tr>
      <w:tr w:rsidR="006C6404" w:rsidRPr="006235F7" w14:paraId="00B4FA74" w14:textId="77777777" w:rsidTr="00AE2D6F">
        <w:tc>
          <w:tcPr>
            <w:tcW w:w="1843" w:type="dxa"/>
          </w:tcPr>
          <w:p w14:paraId="44A66575"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Investigations</w:t>
            </w:r>
          </w:p>
        </w:tc>
        <w:tc>
          <w:tcPr>
            <w:tcW w:w="1272" w:type="dxa"/>
          </w:tcPr>
          <w:p w14:paraId="3E8F003D"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0F08E99F"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63F73AD9" w14:textId="77777777" w:rsidR="00443A5D" w:rsidRPr="006235F7" w:rsidRDefault="00443A5D" w:rsidP="00080745">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Alanine aminotransferase increased, Aspartate aminotransferase increased, Gamma-</w:t>
            </w:r>
            <w:proofErr w:type="spellStart"/>
            <w:r w:rsidRPr="006235F7">
              <w:rPr>
                <w:rFonts w:asciiTheme="majorHAnsi" w:hAnsiTheme="majorHAnsi" w:cs="Times New Roman"/>
                <w:sz w:val="22"/>
                <w:szCs w:val="24"/>
              </w:rPr>
              <w:t>glutamyltransferase</w:t>
            </w:r>
            <w:proofErr w:type="spellEnd"/>
            <w:r w:rsidRPr="006235F7">
              <w:rPr>
                <w:rFonts w:asciiTheme="majorHAnsi" w:hAnsiTheme="majorHAnsi" w:cs="Times New Roman"/>
                <w:sz w:val="22"/>
                <w:szCs w:val="24"/>
              </w:rPr>
              <w:t xml:space="preserve"> increased, Haematocrit decreased, Haemoglobin decreased</w:t>
            </w:r>
          </w:p>
        </w:tc>
        <w:tc>
          <w:tcPr>
            <w:tcW w:w="1702" w:type="dxa"/>
          </w:tcPr>
          <w:p w14:paraId="1E99789E" w14:textId="77777777" w:rsidR="00443A5D" w:rsidRPr="006235F7" w:rsidRDefault="007E5CC6" w:rsidP="00BD719B">
            <w:pPr>
              <w:tabs>
                <w:tab w:val="left" w:pos="567"/>
              </w:tabs>
              <w:ind w:left="90"/>
              <w:rPr>
                <w:rFonts w:asciiTheme="majorHAnsi" w:hAnsiTheme="majorHAnsi" w:cs="Times New Roman"/>
                <w:sz w:val="22"/>
                <w:szCs w:val="24"/>
              </w:rPr>
            </w:pPr>
            <w:r w:rsidRPr="006235F7">
              <w:rPr>
                <w:rFonts w:asciiTheme="majorHAnsi" w:hAnsiTheme="majorHAnsi" w:cs="Times New Roman"/>
                <w:sz w:val="22"/>
                <w:szCs w:val="24"/>
              </w:rPr>
              <w:t xml:space="preserve">Coombs test </w:t>
            </w:r>
            <w:proofErr w:type="spellStart"/>
            <w:r w:rsidRPr="006235F7">
              <w:rPr>
                <w:rFonts w:asciiTheme="majorHAnsi" w:hAnsiTheme="majorHAnsi" w:cs="Times New Roman"/>
                <w:sz w:val="22"/>
                <w:szCs w:val="24"/>
              </w:rPr>
              <w:t>positive</w:t>
            </w:r>
            <w:r w:rsidR="002F4D75">
              <w:rPr>
                <w:rFonts w:asciiTheme="majorHAnsi" w:hAnsiTheme="majorHAnsi" w:cs="Times New Roman"/>
                <w:sz w:val="22"/>
                <w:szCs w:val="24"/>
                <w:vertAlign w:val="superscript"/>
              </w:rPr>
              <w:t>c</w:t>
            </w:r>
            <w:proofErr w:type="spellEnd"/>
          </w:p>
        </w:tc>
      </w:tr>
      <w:tr w:rsidR="006C6404" w:rsidRPr="006235F7" w14:paraId="25650864" w14:textId="77777777" w:rsidTr="00AE2D6F">
        <w:tc>
          <w:tcPr>
            <w:tcW w:w="1843" w:type="dxa"/>
          </w:tcPr>
          <w:p w14:paraId="39F8D855" w14:textId="77777777" w:rsidR="00443A5D" w:rsidRPr="006235F7" w:rsidRDefault="00443A5D" w:rsidP="00080745">
            <w:pPr>
              <w:tabs>
                <w:tab w:val="left" w:pos="567"/>
              </w:tabs>
              <w:ind w:left="44"/>
              <w:rPr>
                <w:rFonts w:asciiTheme="majorHAnsi" w:hAnsiTheme="majorHAnsi" w:cs="Times New Roman"/>
                <w:b/>
                <w:sz w:val="22"/>
                <w:szCs w:val="24"/>
              </w:rPr>
            </w:pPr>
            <w:r w:rsidRPr="006235F7">
              <w:rPr>
                <w:rFonts w:asciiTheme="majorHAnsi" w:hAnsiTheme="majorHAnsi" w:cs="Times New Roman"/>
                <w:b/>
                <w:sz w:val="22"/>
                <w:szCs w:val="24"/>
              </w:rPr>
              <w:t>Injury, poisoning and procedural complication</w:t>
            </w:r>
          </w:p>
        </w:tc>
        <w:tc>
          <w:tcPr>
            <w:tcW w:w="1272" w:type="dxa"/>
          </w:tcPr>
          <w:p w14:paraId="1A900475" w14:textId="77777777" w:rsidR="00443A5D" w:rsidRPr="006235F7" w:rsidRDefault="00443A5D" w:rsidP="00080745">
            <w:pPr>
              <w:tabs>
                <w:tab w:val="left" w:pos="567"/>
              </w:tabs>
              <w:rPr>
                <w:rFonts w:asciiTheme="majorHAnsi" w:hAnsiTheme="majorHAnsi" w:cs="Times New Roman"/>
                <w:sz w:val="22"/>
                <w:szCs w:val="24"/>
              </w:rPr>
            </w:pPr>
          </w:p>
        </w:tc>
        <w:tc>
          <w:tcPr>
            <w:tcW w:w="2033" w:type="dxa"/>
          </w:tcPr>
          <w:p w14:paraId="2207B7B3" w14:textId="77777777" w:rsidR="00443A5D" w:rsidRPr="006235F7" w:rsidRDefault="00443A5D" w:rsidP="00080745">
            <w:pPr>
              <w:tabs>
                <w:tab w:val="left" w:pos="567"/>
              </w:tabs>
              <w:ind w:left="77"/>
              <w:rPr>
                <w:rFonts w:asciiTheme="majorHAnsi" w:hAnsiTheme="majorHAnsi" w:cs="Times New Roman"/>
                <w:sz w:val="22"/>
                <w:szCs w:val="24"/>
              </w:rPr>
            </w:pPr>
          </w:p>
        </w:tc>
        <w:tc>
          <w:tcPr>
            <w:tcW w:w="2508" w:type="dxa"/>
            <w:tcMar>
              <w:top w:w="0" w:type="dxa"/>
              <w:left w:w="108" w:type="dxa"/>
              <w:bottom w:w="0" w:type="dxa"/>
              <w:right w:w="108" w:type="dxa"/>
            </w:tcMar>
          </w:tcPr>
          <w:p w14:paraId="1D1F148A" w14:textId="77777777" w:rsidR="00443A5D" w:rsidRPr="006235F7" w:rsidRDefault="00443A5D" w:rsidP="005F1868">
            <w:pPr>
              <w:tabs>
                <w:tab w:val="left" w:pos="567"/>
              </w:tabs>
              <w:ind w:left="-22"/>
              <w:rPr>
                <w:rFonts w:asciiTheme="majorHAnsi" w:hAnsiTheme="majorHAnsi" w:cs="Times New Roman"/>
                <w:sz w:val="22"/>
                <w:szCs w:val="24"/>
              </w:rPr>
            </w:pPr>
            <w:r w:rsidRPr="006235F7">
              <w:rPr>
                <w:rFonts w:asciiTheme="majorHAnsi" w:hAnsiTheme="majorHAnsi" w:cs="Times New Roman"/>
                <w:sz w:val="22"/>
                <w:szCs w:val="24"/>
              </w:rPr>
              <w:t>Infusion related reaction</w:t>
            </w:r>
          </w:p>
        </w:tc>
        <w:tc>
          <w:tcPr>
            <w:tcW w:w="1702" w:type="dxa"/>
          </w:tcPr>
          <w:p w14:paraId="4C63A2B0" w14:textId="77777777" w:rsidR="00443A5D" w:rsidRPr="006235F7" w:rsidRDefault="00443A5D" w:rsidP="00BD719B">
            <w:pPr>
              <w:tabs>
                <w:tab w:val="left" w:pos="567"/>
              </w:tabs>
              <w:ind w:left="90"/>
              <w:rPr>
                <w:rFonts w:asciiTheme="majorHAnsi" w:hAnsiTheme="majorHAnsi" w:cs="Times New Roman"/>
                <w:sz w:val="22"/>
                <w:szCs w:val="24"/>
              </w:rPr>
            </w:pPr>
          </w:p>
        </w:tc>
      </w:tr>
    </w:tbl>
    <w:p w14:paraId="2FFF9EA0" w14:textId="77777777" w:rsidR="005F1868" w:rsidRDefault="00080745" w:rsidP="00080745">
      <w:pPr>
        <w:tabs>
          <w:tab w:val="left" w:pos="567"/>
        </w:tabs>
        <w:autoSpaceDE w:val="0"/>
        <w:autoSpaceDN w:val="0"/>
        <w:adjustRightInd w:val="0"/>
        <w:ind w:left="108"/>
        <w:jc w:val="both"/>
        <w:rPr>
          <w:rFonts w:asciiTheme="majorHAnsi" w:hAnsiTheme="majorHAnsi" w:cs="Times New Roman"/>
          <w:i/>
          <w:sz w:val="20"/>
          <w:szCs w:val="24"/>
        </w:rPr>
      </w:pPr>
      <w:r w:rsidRPr="005F1868">
        <w:rPr>
          <w:rFonts w:asciiTheme="majorHAnsi" w:hAnsiTheme="majorHAnsi" w:cs="Times New Roman"/>
          <w:sz w:val="20"/>
          <w:szCs w:val="24"/>
        </w:rPr>
        <w:t>*</w:t>
      </w:r>
      <w:r w:rsidRPr="005F1868">
        <w:rPr>
          <w:rFonts w:asciiTheme="majorHAnsi" w:hAnsiTheme="majorHAnsi" w:cs="Times New Roman"/>
          <w:i/>
          <w:sz w:val="20"/>
          <w:szCs w:val="24"/>
        </w:rPr>
        <w:t>see below “</w:t>
      </w:r>
      <w:r w:rsidR="007E5CC6" w:rsidRPr="007E5CC6">
        <w:rPr>
          <w:rFonts w:asciiTheme="majorHAnsi" w:hAnsiTheme="majorHAnsi" w:cs="Times New Roman"/>
          <w:i/>
          <w:sz w:val="20"/>
          <w:szCs w:val="24"/>
          <w:u w:val="single"/>
        </w:rPr>
        <w:t>Description of S</w:t>
      </w:r>
      <w:r w:rsidRPr="007E5CC6">
        <w:rPr>
          <w:rFonts w:asciiTheme="majorHAnsi" w:hAnsiTheme="majorHAnsi" w:cs="Times New Roman"/>
          <w:i/>
          <w:sz w:val="20"/>
          <w:szCs w:val="24"/>
          <w:u w:val="single"/>
        </w:rPr>
        <w:t xml:space="preserve">elected </w:t>
      </w:r>
      <w:r w:rsidR="007E5CC6" w:rsidRPr="007E5CC6">
        <w:rPr>
          <w:rFonts w:asciiTheme="majorHAnsi" w:hAnsiTheme="majorHAnsi" w:cs="Times New Roman"/>
          <w:i/>
          <w:sz w:val="20"/>
          <w:szCs w:val="24"/>
          <w:u w:val="single"/>
        </w:rPr>
        <w:t>A</w:t>
      </w:r>
      <w:r w:rsidRPr="007E5CC6">
        <w:rPr>
          <w:rFonts w:asciiTheme="majorHAnsi" w:hAnsiTheme="majorHAnsi" w:cs="Times New Roman"/>
          <w:i/>
          <w:sz w:val="20"/>
          <w:szCs w:val="24"/>
          <w:u w:val="single"/>
        </w:rPr>
        <w:t xml:space="preserve">dverse </w:t>
      </w:r>
      <w:r w:rsidR="007E5CC6" w:rsidRPr="007E5CC6">
        <w:rPr>
          <w:rFonts w:asciiTheme="majorHAnsi" w:hAnsiTheme="majorHAnsi" w:cs="Times New Roman"/>
          <w:i/>
          <w:sz w:val="20"/>
          <w:szCs w:val="24"/>
          <w:u w:val="single"/>
        </w:rPr>
        <w:t>R</w:t>
      </w:r>
      <w:r w:rsidRPr="007E5CC6">
        <w:rPr>
          <w:rFonts w:asciiTheme="majorHAnsi" w:hAnsiTheme="majorHAnsi" w:cs="Times New Roman"/>
          <w:i/>
          <w:sz w:val="20"/>
          <w:szCs w:val="24"/>
          <w:u w:val="single"/>
        </w:rPr>
        <w:t>eactions</w:t>
      </w:r>
      <w:r w:rsidRPr="005F1868">
        <w:rPr>
          <w:rFonts w:asciiTheme="majorHAnsi" w:hAnsiTheme="majorHAnsi" w:cs="Times New Roman"/>
          <w:i/>
          <w:sz w:val="20"/>
          <w:szCs w:val="24"/>
        </w:rPr>
        <w:t>”</w:t>
      </w:r>
    </w:p>
    <w:p w14:paraId="7C751FBC" w14:textId="77777777" w:rsidR="007E5CC6" w:rsidRDefault="007E5CC6" w:rsidP="00E67881">
      <w:pPr>
        <w:autoSpaceDE w:val="0"/>
        <w:autoSpaceDN w:val="0"/>
        <w:adjustRightInd w:val="0"/>
        <w:ind w:left="90"/>
        <w:rPr>
          <w:rFonts w:asciiTheme="majorHAnsi" w:hAnsiTheme="majorHAnsi" w:cs="Times New Roman"/>
          <w:i/>
          <w:sz w:val="20"/>
          <w:szCs w:val="24"/>
        </w:rPr>
      </w:pPr>
      <w:r w:rsidRPr="00E67881">
        <w:rPr>
          <w:rFonts w:asciiTheme="majorHAnsi" w:hAnsiTheme="majorHAnsi" w:cs="Times New Roman"/>
          <w:i/>
          <w:sz w:val="20"/>
          <w:szCs w:val="24"/>
          <w:vertAlign w:val="superscript"/>
        </w:rPr>
        <w:t>a</w:t>
      </w:r>
      <w:r w:rsidR="006D02DB">
        <w:rPr>
          <w:rFonts w:asciiTheme="majorHAnsi" w:hAnsiTheme="majorHAnsi" w:cs="Times New Roman"/>
          <w:i/>
          <w:sz w:val="20"/>
          <w:szCs w:val="24"/>
          <w:vertAlign w:val="superscript"/>
        </w:rPr>
        <w:t xml:space="preserve"> </w:t>
      </w:r>
      <w:r w:rsidRPr="007E5CC6">
        <w:rPr>
          <w:rFonts w:asciiTheme="majorHAnsi" w:hAnsiTheme="majorHAnsi" w:cs="Times New Roman"/>
          <w:i/>
          <w:sz w:val="20"/>
          <w:szCs w:val="24"/>
        </w:rPr>
        <w:t>Menin</w:t>
      </w:r>
      <w:r>
        <w:rPr>
          <w:rFonts w:asciiTheme="majorHAnsi" w:hAnsiTheme="majorHAnsi" w:cs="Times New Roman"/>
          <w:i/>
          <w:sz w:val="20"/>
          <w:szCs w:val="24"/>
        </w:rPr>
        <w:t xml:space="preserve">gococcal </w:t>
      </w:r>
      <w:r w:rsidR="00E67881" w:rsidRPr="00E67881">
        <w:rPr>
          <w:rFonts w:asciiTheme="majorHAnsi" w:hAnsiTheme="majorHAnsi" w:cs="Times New Roman"/>
          <w:i/>
          <w:sz w:val="20"/>
          <w:szCs w:val="24"/>
        </w:rPr>
        <w:t>infection includes the following group</w:t>
      </w:r>
      <w:r w:rsidR="00E67881">
        <w:rPr>
          <w:rFonts w:asciiTheme="majorHAnsi" w:hAnsiTheme="majorHAnsi" w:cs="Times New Roman"/>
          <w:i/>
          <w:sz w:val="20"/>
          <w:szCs w:val="24"/>
        </w:rPr>
        <w:t xml:space="preserve"> </w:t>
      </w:r>
      <w:r w:rsidR="00446FF7">
        <w:rPr>
          <w:rFonts w:asciiTheme="majorHAnsi" w:hAnsiTheme="majorHAnsi" w:cs="Times New Roman"/>
          <w:i/>
          <w:sz w:val="20"/>
          <w:szCs w:val="24"/>
        </w:rPr>
        <w:t>of preferred term</w:t>
      </w:r>
      <w:r w:rsidR="00E67881" w:rsidRPr="00E67881">
        <w:rPr>
          <w:rFonts w:asciiTheme="majorHAnsi" w:hAnsiTheme="majorHAnsi" w:cs="Times New Roman"/>
          <w:i/>
          <w:sz w:val="20"/>
          <w:szCs w:val="24"/>
        </w:rPr>
        <w:t xml:space="preserve">s: </w:t>
      </w:r>
      <w:r w:rsidR="008D1572">
        <w:rPr>
          <w:rFonts w:asciiTheme="majorHAnsi" w:hAnsiTheme="majorHAnsi" w:cs="Times New Roman"/>
          <w:i/>
          <w:sz w:val="20"/>
          <w:szCs w:val="24"/>
        </w:rPr>
        <w:t xml:space="preserve">Meningococcal infection, </w:t>
      </w:r>
      <w:r w:rsidR="00E67881" w:rsidRPr="00E67881">
        <w:rPr>
          <w:rFonts w:asciiTheme="majorHAnsi" w:hAnsiTheme="majorHAnsi" w:cs="Times New Roman"/>
          <w:i/>
          <w:sz w:val="20"/>
          <w:szCs w:val="24"/>
        </w:rPr>
        <w:t xml:space="preserve">Meningococcal sepsis, </w:t>
      </w:r>
      <w:r w:rsidR="008D1572">
        <w:rPr>
          <w:rFonts w:asciiTheme="majorHAnsi" w:hAnsiTheme="majorHAnsi" w:cs="Times New Roman"/>
          <w:i/>
          <w:sz w:val="20"/>
          <w:szCs w:val="24"/>
        </w:rPr>
        <w:t>M</w:t>
      </w:r>
      <w:r w:rsidR="00E67881" w:rsidRPr="00E67881">
        <w:rPr>
          <w:rFonts w:asciiTheme="majorHAnsi" w:hAnsiTheme="majorHAnsi" w:cs="Times New Roman"/>
          <w:i/>
          <w:sz w:val="20"/>
          <w:szCs w:val="24"/>
        </w:rPr>
        <w:t>eningitis</w:t>
      </w:r>
      <w:r w:rsidR="008D1572">
        <w:rPr>
          <w:rFonts w:asciiTheme="majorHAnsi" w:hAnsiTheme="majorHAnsi" w:cs="Times New Roman"/>
          <w:i/>
          <w:sz w:val="20"/>
          <w:szCs w:val="24"/>
        </w:rPr>
        <w:t xml:space="preserve"> m</w:t>
      </w:r>
      <w:r w:rsidR="008D1572" w:rsidRPr="00E67881">
        <w:rPr>
          <w:rFonts w:asciiTheme="majorHAnsi" w:hAnsiTheme="majorHAnsi" w:cs="Times New Roman"/>
          <w:i/>
          <w:sz w:val="20"/>
          <w:szCs w:val="24"/>
        </w:rPr>
        <w:t>eningococcal</w:t>
      </w:r>
      <w:r w:rsidR="00E67881" w:rsidRPr="00E67881">
        <w:rPr>
          <w:rFonts w:asciiTheme="majorHAnsi" w:hAnsiTheme="majorHAnsi" w:cs="Times New Roman"/>
          <w:i/>
          <w:sz w:val="20"/>
          <w:szCs w:val="24"/>
        </w:rPr>
        <w:t>, Neisseria infection</w:t>
      </w:r>
    </w:p>
    <w:p w14:paraId="344F77AB" w14:textId="77777777" w:rsidR="002F4D75" w:rsidRDefault="002F4D75" w:rsidP="00E67881">
      <w:pPr>
        <w:autoSpaceDE w:val="0"/>
        <w:autoSpaceDN w:val="0"/>
        <w:adjustRightInd w:val="0"/>
        <w:ind w:left="90"/>
        <w:rPr>
          <w:rFonts w:asciiTheme="majorHAnsi" w:hAnsiTheme="majorHAnsi" w:cs="Times New Roman"/>
          <w:i/>
          <w:sz w:val="20"/>
          <w:szCs w:val="24"/>
        </w:rPr>
      </w:pPr>
      <w:r>
        <w:rPr>
          <w:rFonts w:asciiTheme="majorHAnsi" w:hAnsiTheme="majorHAnsi" w:cs="Times New Roman"/>
          <w:i/>
          <w:sz w:val="20"/>
          <w:szCs w:val="24"/>
          <w:vertAlign w:val="superscript"/>
        </w:rPr>
        <w:t xml:space="preserve">b </w:t>
      </w:r>
      <w:r>
        <w:rPr>
          <w:rFonts w:asciiTheme="majorHAnsi" w:hAnsiTheme="majorHAnsi" w:cs="Times New Roman"/>
          <w:i/>
          <w:sz w:val="20"/>
          <w:szCs w:val="24"/>
        </w:rPr>
        <w:t>Abscess</w:t>
      </w:r>
      <w:r w:rsidRPr="002F4D75">
        <w:rPr>
          <w:rFonts w:asciiTheme="majorHAnsi" w:hAnsiTheme="majorHAnsi" w:cs="Times New Roman"/>
          <w:i/>
          <w:sz w:val="20"/>
          <w:szCs w:val="24"/>
        </w:rPr>
        <w:t xml:space="preserve"> includes the following group of </w:t>
      </w:r>
      <w:r>
        <w:rPr>
          <w:rFonts w:asciiTheme="majorHAnsi" w:hAnsiTheme="majorHAnsi" w:cs="Times New Roman"/>
          <w:i/>
          <w:sz w:val="20"/>
          <w:szCs w:val="24"/>
        </w:rPr>
        <w:t>preferred terms</w:t>
      </w:r>
      <w:r w:rsidRPr="002F4D75">
        <w:rPr>
          <w:rFonts w:asciiTheme="majorHAnsi" w:hAnsiTheme="majorHAnsi" w:cs="Times New Roman"/>
          <w:i/>
          <w:sz w:val="20"/>
          <w:szCs w:val="24"/>
        </w:rPr>
        <w:t>: Abscess limb, Colonic abscess, Renal abscess, Subcutaneous abscess, Tooth abscess, Hepatosplenic abscess, Perirectal abscess, Rectal abscess</w:t>
      </w:r>
    </w:p>
    <w:p w14:paraId="67AEA513" w14:textId="77777777" w:rsidR="00E67881" w:rsidRPr="00E67881" w:rsidRDefault="002F4D75" w:rsidP="00E67881">
      <w:pPr>
        <w:autoSpaceDE w:val="0"/>
        <w:autoSpaceDN w:val="0"/>
        <w:adjustRightInd w:val="0"/>
        <w:ind w:left="90"/>
        <w:rPr>
          <w:rFonts w:asciiTheme="majorHAnsi" w:hAnsiTheme="majorHAnsi" w:cs="Times New Roman"/>
          <w:i/>
          <w:sz w:val="20"/>
          <w:szCs w:val="24"/>
        </w:rPr>
      </w:pPr>
      <w:r>
        <w:rPr>
          <w:rFonts w:asciiTheme="majorHAnsi" w:hAnsiTheme="majorHAnsi" w:cs="Times New Roman"/>
          <w:i/>
          <w:sz w:val="20"/>
          <w:szCs w:val="24"/>
          <w:vertAlign w:val="superscript"/>
        </w:rPr>
        <w:t>c</w:t>
      </w:r>
      <w:r w:rsidR="006D02DB">
        <w:rPr>
          <w:rFonts w:asciiTheme="majorHAnsi" w:hAnsiTheme="majorHAnsi" w:cs="Times New Roman"/>
          <w:i/>
          <w:sz w:val="20"/>
          <w:szCs w:val="24"/>
          <w:vertAlign w:val="superscript"/>
        </w:rPr>
        <w:t xml:space="preserve"> </w:t>
      </w:r>
      <w:r w:rsidR="00E67881">
        <w:rPr>
          <w:rFonts w:asciiTheme="majorHAnsi" w:hAnsiTheme="majorHAnsi" w:cs="Times New Roman"/>
          <w:i/>
          <w:sz w:val="20"/>
          <w:szCs w:val="24"/>
        </w:rPr>
        <w:t xml:space="preserve">ADRs identified in </w:t>
      </w:r>
      <w:proofErr w:type="spellStart"/>
      <w:r w:rsidR="00E67881">
        <w:rPr>
          <w:rFonts w:asciiTheme="majorHAnsi" w:hAnsiTheme="majorHAnsi" w:cs="Times New Roman"/>
          <w:i/>
          <w:sz w:val="20"/>
          <w:szCs w:val="24"/>
        </w:rPr>
        <w:t>postmarketing</w:t>
      </w:r>
      <w:proofErr w:type="spellEnd"/>
      <w:r w:rsidR="00E67881">
        <w:rPr>
          <w:rFonts w:asciiTheme="majorHAnsi" w:hAnsiTheme="majorHAnsi" w:cs="Times New Roman"/>
          <w:i/>
          <w:sz w:val="20"/>
          <w:szCs w:val="24"/>
        </w:rPr>
        <w:t xml:space="preserve"> reports</w:t>
      </w:r>
    </w:p>
    <w:p w14:paraId="31FFAE75" w14:textId="77777777" w:rsidR="00080745" w:rsidRPr="00BF24C5" w:rsidRDefault="00080745" w:rsidP="00BF24C5">
      <w:pPr>
        <w:pStyle w:val="Heading3"/>
        <w:rPr>
          <w:b w:val="0"/>
          <w:u w:val="single"/>
        </w:rPr>
      </w:pPr>
      <w:r w:rsidRPr="00BF24C5">
        <w:rPr>
          <w:b w:val="0"/>
          <w:u w:val="single"/>
        </w:rPr>
        <w:t>Description of Selected Adverse Reactions</w:t>
      </w:r>
    </w:p>
    <w:p w14:paraId="38D48F34" w14:textId="77777777" w:rsidR="007A65EF" w:rsidRDefault="00080745" w:rsidP="00AE2D6F">
      <w:pPr>
        <w:tabs>
          <w:tab w:val="left" w:pos="567"/>
        </w:tabs>
        <w:spacing w:after="120"/>
        <w:rPr>
          <w:rFonts w:asciiTheme="majorHAnsi" w:hAnsiTheme="majorHAnsi" w:cs="Times New Roman"/>
          <w:szCs w:val="24"/>
        </w:rPr>
      </w:pPr>
      <w:r w:rsidRPr="0039396F">
        <w:rPr>
          <w:rFonts w:asciiTheme="majorHAnsi" w:hAnsiTheme="majorHAnsi" w:cs="Times New Roman"/>
          <w:szCs w:val="24"/>
        </w:rPr>
        <w:t xml:space="preserve">In all </w:t>
      </w:r>
      <w:r w:rsidR="00187B06">
        <w:rPr>
          <w:rFonts w:asciiTheme="majorHAnsi" w:hAnsiTheme="majorHAnsi" w:cs="Times New Roman"/>
          <w:szCs w:val="24"/>
        </w:rPr>
        <w:t>Soliris</w:t>
      </w:r>
      <w:r w:rsidR="00285DEC" w:rsidRPr="0039396F">
        <w:rPr>
          <w:rFonts w:asciiTheme="majorHAnsi" w:hAnsiTheme="majorHAnsi" w:cs="Times New Roman"/>
          <w:szCs w:val="24"/>
        </w:rPr>
        <w:t xml:space="preserve"> </w:t>
      </w:r>
      <w:r w:rsidRPr="0039396F">
        <w:rPr>
          <w:rFonts w:asciiTheme="majorHAnsi" w:hAnsiTheme="majorHAnsi" w:cs="Times New Roman"/>
          <w:szCs w:val="24"/>
        </w:rPr>
        <w:t>clinical studies</w:t>
      </w:r>
      <w:r w:rsidR="007A65EF">
        <w:rPr>
          <w:rFonts w:asciiTheme="majorHAnsi" w:hAnsiTheme="majorHAnsi" w:cs="Times New Roman"/>
          <w:szCs w:val="24"/>
        </w:rPr>
        <w:t>,</w:t>
      </w:r>
      <w:r w:rsidRPr="0039396F">
        <w:rPr>
          <w:rFonts w:asciiTheme="majorHAnsi" w:hAnsiTheme="majorHAnsi" w:cs="Times New Roman"/>
          <w:szCs w:val="24"/>
        </w:rPr>
        <w:t xml:space="preserve"> the most serious adverse reaction was meningococcal sep</w:t>
      </w:r>
      <w:r w:rsidR="005F1868">
        <w:rPr>
          <w:rFonts w:asciiTheme="majorHAnsi" w:hAnsiTheme="majorHAnsi" w:cs="Times New Roman"/>
          <w:szCs w:val="24"/>
        </w:rPr>
        <w:t>s</w:t>
      </w:r>
      <w:r w:rsidRPr="0039396F">
        <w:rPr>
          <w:rFonts w:asciiTheme="majorHAnsi" w:hAnsiTheme="majorHAnsi" w:cs="Times New Roman"/>
          <w:szCs w:val="24"/>
        </w:rPr>
        <w:t>i</w:t>
      </w:r>
      <w:r w:rsidR="005F1868">
        <w:rPr>
          <w:rFonts w:asciiTheme="majorHAnsi" w:hAnsiTheme="majorHAnsi" w:cs="Times New Roman"/>
          <w:szCs w:val="24"/>
        </w:rPr>
        <w:t>s</w:t>
      </w:r>
      <w:r w:rsidR="007A65EF">
        <w:rPr>
          <w:rFonts w:asciiTheme="majorHAnsi" w:hAnsiTheme="majorHAnsi" w:cs="Times New Roman"/>
          <w:szCs w:val="24"/>
        </w:rPr>
        <w:t xml:space="preserve">, which is a common presentation of meningococcal infections in patients treated with Soliris. </w:t>
      </w:r>
      <w:r w:rsidR="007A65EF" w:rsidRPr="0039396F">
        <w:rPr>
          <w:rFonts w:asciiTheme="majorHAnsi" w:hAnsiTheme="majorHAnsi" w:cs="Times New Roman"/>
          <w:szCs w:val="24"/>
        </w:rPr>
        <w:t xml:space="preserve"> </w:t>
      </w:r>
      <w:r w:rsidR="007A65EF">
        <w:rPr>
          <w:rFonts w:asciiTheme="majorHAnsi" w:hAnsiTheme="majorHAnsi" w:cs="Times New Roman"/>
          <w:szCs w:val="24"/>
        </w:rPr>
        <w:t xml:space="preserve">Patients should be informed of the signs and symptoms of meningococcal sepsis and advised to seek medical care immediately (see </w:t>
      </w:r>
      <w:r w:rsidR="007A65EF" w:rsidRPr="00A95424">
        <w:rPr>
          <w:rFonts w:asciiTheme="majorHAnsi" w:hAnsiTheme="majorHAnsi" w:cs="Times New Roman"/>
          <w:i/>
          <w:iCs/>
          <w:szCs w:val="24"/>
        </w:rPr>
        <w:t>Section 4.4</w:t>
      </w:r>
      <w:r w:rsidR="00443A5D" w:rsidRPr="00A95424">
        <w:rPr>
          <w:rFonts w:asciiTheme="majorHAnsi" w:hAnsiTheme="majorHAnsi" w:cs="Times New Roman"/>
          <w:bCs/>
          <w:i/>
          <w:iCs/>
          <w:szCs w:val="24"/>
        </w:rPr>
        <w:t xml:space="preserve"> – Special Warnings and Precautions for Use</w:t>
      </w:r>
      <w:r w:rsidR="007A65EF">
        <w:rPr>
          <w:rFonts w:asciiTheme="majorHAnsi" w:hAnsiTheme="majorHAnsi" w:cs="Times New Roman"/>
          <w:szCs w:val="24"/>
        </w:rPr>
        <w:t>)</w:t>
      </w:r>
      <w:r w:rsidR="007A65EF" w:rsidRPr="0039396F">
        <w:rPr>
          <w:rFonts w:asciiTheme="majorHAnsi" w:hAnsiTheme="majorHAnsi" w:cs="Times New Roman"/>
          <w:szCs w:val="24"/>
        </w:rPr>
        <w:t>.</w:t>
      </w:r>
    </w:p>
    <w:p w14:paraId="3D52AB4F" w14:textId="77777777" w:rsidR="007A65EF" w:rsidRPr="0039396F" w:rsidRDefault="007A65EF" w:rsidP="00AE2D6F">
      <w:pPr>
        <w:tabs>
          <w:tab w:val="left" w:pos="567"/>
        </w:tabs>
        <w:spacing w:after="120"/>
        <w:rPr>
          <w:rFonts w:asciiTheme="majorHAnsi" w:hAnsiTheme="majorHAnsi" w:cs="Times New Roman"/>
          <w:szCs w:val="24"/>
        </w:rPr>
      </w:pPr>
      <w:r>
        <w:rPr>
          <w:rFonts w:asciiTheme="majorHAnsi" w:hAnsiTheme="majorHAnsi" w:cs="Times New Roman"/>
          <w:szCs w:val="24"/>
        </w:rPr>
        <w:t xml:space="preserve">Other cases of </w:t>
      </w:r>
      <w:r w:rsidRPr="0086531E">
        <w:rPr>
          <w:rFonts w:asciiTheme="majorHAnsi" w:hAnsiTheme="majorHAnsi" w:cs="Times New Roman"/>
          <w:i/>
          <w:szCs w:val="24"/>
        </w:rPr>
        <w:t xml:space="preserve">Neisseria </w:t>
      </w:r>
      <w:r w:rsidRPr="00EF19B9">
        <w:rPr>
          <w:rFonts w:asciiTheme="majorHAnsi" w:hAnsiTheme="majorHAnsi" w:cs="Times New Roman"/>
          <w:szCs w:val="24"/>
        </w:rPr>
        <w:t xml:space="preserve">species </w:t>
      </w:r>
      <w:r>
        <w:rPr>
          <w:rFonts w:asciiTheme="majorHAnsi" w:hAnsiTheme="majorHAnsi" w:cs="Times New Roman"/>
          <w:szCs w:val="24"/>
        </w:rPr>
        <w:t xml:space="preserve">have been reported including sepsis with </w:t>
      </w:r>
      <w:r w:rsidRPr="0086531E">
        <w:rPr>
          <w:rFonts w:asciiTheme="majorHAnsi" w:hAnsiTheme="majorHAnsi" w:cs="Times New Roman"/>
          <w:i/>
          <w:szCs w:val="24"/>
        </w:rPr>
        <w:t xml:space="preserve">Neisseria </w:t>
      </w:r>
      <w:proofErr w:type="spellStart"/>
      <w:r w:rsidRPr="0086531E">
        <w:rPr>
          <w:rFonts w:asciiTheme="majorHAnsi" w:hAnsiTheme="majorHAnsi" w:cs="Times New Roman"/>
          <w:i/>
          <w:szCs w:val="24"/>
        </w:rPr>
        <w:t>gonorrhoeae</w:t>
      </w:r>
      <w:proofErr w:type="spellEnd"/>
      <w:r>
        <w:rPr>
          <w:rFonts w:asciiTheme="majorHAnsi" w:hAnsiTheme="majorHAnsi" w:cs="Times New Roman"/>
          <w:szCs w:val="24"/>
        </w:rPr>
        <w:t xml:space="preserve">, </w:t>
      </w:r>
      <w:r w:rsidRPr="0086531E">
        <w:rPr>
          <w:rFonts w:asciiTheme="majorHAnsi" w:hAnsiTheme="majorHAnsi" w:cs="Times New Roman"/>
          <w:i/>
          <w:szCs w:val="24"/>
        </w:rPr>
        <w:t>Neisseria sicca/</w:t>
      </w:r>
      <w:proofErr w:type="spellStart"/>
      <w:r w:rsidRPr="0086531E">
        <w:rPr>
          <w:rFonts w:asciiTheme="majorHAnsi" w:hAnsiTheme="majorHAnsi" w:cs="Times New Roman"/>
          <w:i/>
          <w:szCs w:val="24"/>
        </w:rPr>
        <w:t>subflava</w:t>
      </w:r>
      <w:proofErr w:type="spellEnd"/>
      <w:r>
        <w:rPr>
          <w:rFonts w:asciiTheme="majorHAnsi" w:hAnsiTheme="majorHAnsi" w:cs="Times New Roman"/>
          <w:szCs w:val="24"/>
        </w:rPr>
        <w:t xml:space="preserve">, </w:t>
      </w:r>
      <w:r w:rsidRPr="0086531E">
        <w:rPr>
          <w:rFonts w:asciiTheme="majorHAnsi" w:hAnsiTheme="majorHAnsi" w:cs="Times New Roman"/>
          <w:i/>
          <w:szCs w:val="24"/>
        </w:rPr>
        <w:t xml:space="preserve">Neisseria </w:t>
      </w:r>
      <w:proofErr w:type="spellStart"/>
      <w:r w:rsidRPr="0086531E">
        <w:rPr>
          <w:rFonts w:asciiTheme="majorHAnsi" w:hAnsiTheme="majorHAnsi" w:cs="Times New Roman"/>
          <w:i/>
          <w:szCs w:val="24"/>
        </w:rPr>
        <w:t>spp</w:t>
      </w:r>
      <w:proofErr w:type="spellEnd"/>
      <w:r>
        <w:rPr>
          <w:rFonts w:asciiTheme="majorHAnsi" w:hAnsiTheme="majorHAnsi" w:cs="Times New Roman"/>
          <w:szCs w:val="24"/>
        </w:rPr>
        <w:t xml:space="preserve"> unspecified.</w:t>
      </w:r>
    </w:p>
    <w:p w14:paraId="5D897386" w14:textId="77777777" w:rsidR="00080745" w:rsidRPr="0039396F" w:rsidRDefault="00080745" w:rsidP="00AE2D6F">
      <w:pPr>
        <w:autoSpaceDE w:val="0"/>
        <w:autoSpaceDN w:val="0"/>
        <w:adjustRightInd w:val="0"/>
        <w:spacing w:after="120"/>
        <w:rPr>
          <w:rFonts w:asciiTheme="majorHAnsi" w:hAnsiTheme="majorHAnsi" w:cs="Times New Roman"/>
          <w:bCs/>
          <w:szCs w:val="24"/>
        </w:rPr>
      </w:pPr>
      <w:r w:rsidRPr="0039396F">
        <w:rPr>
          <w:rFonts w:asciiTheme="majorHAnsi" w:hAnsiTheme="majorHAnsi" w:cs="Times New Roman"/>
          <w:bCs/>
          <w:szCs w:val="24"/>
        </w:rPr>
        <w:lastRenderedPageBreak/>
        <w:t xml:space="preserve">Cases of haemolysis have been reported in the setting of missed or delayed </w:t>
      </w:r>
      <w:r w:rsidR="006C4F8B" w:rsidRPr="0039396F">
        <w:rPr>
          <w:rFonts w:asciiTheme="majorHAnsi" w:hAnsiTheme="majorHAnsi" w:cs="Times New Roman"/>
        </w:rPr>
        <w:t>Soliris</w:t>
      </w:r>
      <w:r w:rsidR="006C4F8B" w:rsidRPr="0039396F">
        <w:rPr>
          <w:rFonts w:asciiTheme="majorHAnsi" w:hAnsiTheme="majorHAnsi" w:cs="Times New Roman"/>
          <w:bCs/>
          <w:szCs w:val="24"/>
        </w:rPr>
        <w:t xml:space="preserve"> </w:t>
      </w:r>
      <w:r w:rsidRPr="0039396F">
        <w:rPr>
          <w:rFonts w:asciiTheme="majorHAnsi" w:hAnsiTheme="majorHAnsi" w:cs="Times New Roman"/>
          <w:bCs/>
          <w:szCs w:val="24"/>
        </w:rPr>
        <w:t>dose in PNH clinical trials (see also</w:t>
      </w:r>
      <w:r w:rsidRPr="00A95424">
        <w:rPr>
          <w:rFonts w:asciiTheme="majorHAnsi" w:hAnsiTheme="majorHAnsi" w:cs="Times New Roman"/>
          <w:bCs/>
          <w:i/>
          <w:iCs/>
          <w:szCs w:val="24"/>
        </w:rPr>
        <w:t xml:space="preserve"> </w:t>
      </w:r>
      <w:r w:rsidR="000F52ED" w:rsidRPr="00A95424">
        <w:rPr>
          <w:rFonts w:asciiTheme="majorHAnsi" w:hAnsiTheme="majorHAnsi" w:cs="Times New Roman"/>
          <w:bCs/>
          <w:i/>
          <w:iCs/>
          <w:szCs w:val="24"/>
        </w:rPr>
        <w:t>Section 4.</w:t>
      </w:r>
      <w:r w:rsidR="00443A5D" w:rsidRPr="00A95424">
        <w:rPr>
          <w:rFonts w:asciiTheme="majorHAnsi" w:hAnsiTheme="majorHAnsi" w:cs="Times New Roman"/>
          <w:bCs/>
          <w:i/>
          <w:iCs/>
          <w:szCs w:val="24"/>
        </w:rPr>
        <w:t xml:space="preserve"> 4 – Special Warnings and Precautions for Use</w:t>
      </w:r>
      <w:r w:rsidRPr="0039396F">
        <w:rPr>
          <w:rFonts w:asciiTheme="majorHAnsi" w:hAnsiTheme="majorHAnsi" w:cs="Times New Roman"/>
          <w:bCs/>
          <w:szCs w:val="24"/>
        </w:rPr>
        <w:t>).</w:t>
      </w:r>
    </w:p>
    <w:p w14:paraId="1231D600" w14:textId="77777777" w:rsidR="00080745" w:rsidRDefault="00080745" w:rsidP="00080745">
      <w:pPr>
        <w:autoSpaceDE w:val="0"/>
        <w:autoSpaceDN w:val="0"/>
        <w:adjustRightInd w:val="0"/>
        <w:rPr>
          <w:rFonts w:asciiTheme="majorHAnsi" w:hAnsiTheme="majorHAnsi" w:cs="Times New Roman"/>
          <w:bCs/>
          <w:szCs w:val="24"/>
        </w:rPr>
      </w:pPr>
      <w:r w:rsidRPr="0039396F">
        <w:rPr>
          <w:rFonts w:asciiTheme="majorHAnsi" w:hAnsiTheme="majorHAnsi" w:cs="Times New Roman"/>
          <w:bCs/>
          <w:szCs w:val="24"/>
        </w:rPr>
        <w:t xml:space="preserve">Cases of thrombotic microangiopathy complications have been reported in the setting of missed or delayed </w:t>
      </w:r>
      <w:r w:rsidR="006C4F8B" w:rsidRPr="0039396F">
        <w:rPr>
          <w:rFonts w:asciiTheme="majorHAnsi" w:hAnsiTheme="majorHAnsi" w:cs="Times New Roman"/>
        </w:rPr>
        <w:t>Soliris</w:t>
      </w:r>
      <w:r w:rsidRPr="0039396F">
        <w:rPr>
          <w:rFonts w:asciiTheme="majorHAnsi" w:hAnsiTheme="majorHAnsi" w:cs="Times New Roman"/>
          <w:bCs/>
          <w:szCs w:val="24"/>
        </w:rPr>
        <w:t xml:space="preserve"> dose in aHUS clinical trials (see also</w:t>
      </w:r>
      <w:r w:rsidRPr="00A95424">
        <w:rPr>
          <w:rFonts w:asciiTheme="majorHAnsi" w:hAnsiTheme="majorHAnsi" w:cs="Times New Roman"/>
          <w:bCs/>
          <w:i/>
          <w:iCs/>
          <w:szCs w:val="24"/>
        </w:rPr>
        <w:t xml:space="preserve"> </w:t>
      </w:r>
      <w:r w:rsidR="000F52ED" w:rsidRPr="00A95424">
        <w:rPr>
          <w:rFonts w:asciiTheme="majorHAnsi" w:hAnsiTheme="majorHAnsi" w:cs="Times New Roman"/>
          <w:bCs/>
          <w:i/>
          <w:iCs/>
          <w:szCs w:val="24"/>
        </w:rPr>
        <w:t>Section 4.4</w:t>
      </w:r>
      <w:r w:rsidR="00443A5D" w:rsidRPr="00A95424">
        <w:rPr>
          <w:rFonts w:asciiTheme="majorHAnsi" w:hAnsiTheme="majorHAnsi" w:cs="Times New Roman"/>
          <w:bCs/>
          <w:i/>
          <w:iCs/>
          <w:szCs w:val="24"/>
        </w:rPr>
        <w:t xml:space="preserve"> – Special Warnings and Precautions for Use</w:t>
      </w:r>
      <w:r w:rsidR="00393537" w:rsidRPr="0039396F">
        <w:rPr>
          <w:rFonts w:asciiTheme="majorHAnsi" w:hAnsiTheme="majorHAnsi" w:cs="Times New Roman"/>
          <w:bCs/>
          <w:szCs w:val="24"/>
        </w:rPr>
        <w:t>).</w:t>
      </w:r>
    </w:p>
    <w:p w14:paraId="1CEB6C15" w14:textId="77777777" w:rsidR="00F93377" w:rsidRPr="00872C67" w:rsidRDefault="00F93377" w:rsidP="00BF24C5">
      <w:pPr>
        <w:pStyle w:val="Heading3"/>
        <w:rPr>
          <w:rFonts w:eastAsia="Times New Roman"/>
        </w:rPr>
      </w:pPr>
      <w:r w:rsidRPr="00872C67">
        <w:rPr>
          <w:rFonts w:eastAsia="Times New Roman"/>
        </w:rPr>
        <w:t>Reporting Suspected Adverse Effects</w:t>
      </w:r>
    </w:p>
    <w:p w14:paraId="0E9E304F" w14:textId="77777777" w:rsidR="00F93377" w:rsidRPr="0039396F" w:rsidRDefault="00F93377" w:rsidP="00F93377">
      <w:pPr>
        <w:autoSpaceDE w:val="0"/>
        <w:autoSpaceDN w:val="0"/>
        <w:adjustRightInd w:val="0"/>
        <w:rPr>
          <w:rFonts w:asciiTheme="majorHAnsi" w:hAnsiTheme="majorHAnsi" w:cs="Times New Roman"/>
          <w:bCs/>
          <w:szCs w:val="24"/>
        </w:rPr>
      </w:pPr>
      <w:r w:rsidRPr="006C7BF7">
        <w:rPr>
          <w:rFonts w:eastAsia="Times New Roman"/>
          <w:i/>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6C7BF7">
          <w:rPr>
            <w:rStyle w:val="Hyperlink"/>
            <w:rFonts w:cs="Cambria"/>
            <w:i/>
            <w:szCs w:val="24"/>
            <w:lang w:eastAsia="en-AU"/>
          </w:rPr>
          <w:t>http://www.tga.gov.au/reporting-problems</w:t>
        </w:r>
      </w:hyperlink>
    </w:p>
    <w:p w14:paraId="65AFEF88" w14:textId="77777777" w:rsidR="00393537" w:rsidRPr="0039396F" w:rsidRDefault="001A3992" w:rsidP="00F00B64">
      <w:pPr>
        <w:pStyle w:val="Heading2"/>
        <w:keepNext/>
        <w:keepLines/>
        <w:spacing w:before="240"/>
        <w:rPr>
          <w:rFonts w:cs="Times New Roman"/>
        </w:rPr>
      </w:pPr>
      <w:r w:rsidRPr="0039396F">
        <w:rPr>
          <w:rFonts w:cs="Times New Roman"/>
        </w:rPr>
        <w:t>Overdose</w:t>
      </w:r>
    </w:p>
    <w:p w14:paraId="29853463" w14:textId="77777777" w:rsidR="00080745" w:rsidRPr="0039396F" w:rsidRDefault="00080745" w:rsidP="00393537">
      <w:pPr>
        <w:rPr>
          <w:rFonts w:asciiTheme="majorHAnsi" w:hAnsiTheme="majorHAnsi" w:cs="Times New Roman"/>
          <w:bCs/>
          <w:szCs w:val="24"/>
        </w:rPr>
      </w:pPr>
      <w:r w:rsidRPr="0039396F">
        <w:rPr>
          <w:rFonts w:asciiTheme="majorHAnsi" w:hAnsiTheme="majorHAnsi" w:cs="Times New Roman"/>
          <w:bCs/>
          <w:szCs w:val="24"/>
        </w:rPr>
        <w:t>No case of overdose has been reported during clinical studies. Supportive and symptomatic care should be provided in the event of overdose.</w:t>
      </w:r>
    </w:p>
    <w:p w14:paraId="48D2C9B0" w14:textId="77777777" w:rsidR="00080745" w:rsidRPr="00F93377" w:rsidRDefault="00080745" w:rsidP="000D7936">
      <w:pPr>
        <w:spacing w:before="60"/>
        <w:rPr>
          <w:rFonts w:asciiTheme="majorHAnsi" w:hAnsiTheme="majorHAnsi" w:cs="Times New Roman"/>
          <w:bCs/>
          <w:i/>
          <w:szCs w:val="24"/>
        </w:rPr>
      </w:pPr>
      <w:r w:rsidRPr="00F93377">
        <w:rPr>
          <w:rFonts w:asciiTheme="majorHAnsi" w:hAnsiTheme="majorHAnsi" w:cs="Times New Roman"/>
          <w:bCs/>
          <w:i/>
          <w:szCs w:val="24"/>
        </w:rPr>
        <w:t>For information on the management of overdose, contact the Poison Information Centre on 13 11 26 (Australia).</w:t>
      </w:r>
    </w:p>
    <w:p w14:paraId="59903230" w14:textId="77777777" w:rsidR="001A3992" w:rsidRPr="0039396F" w:rsidRDefault="001A3992" w:rsidP="00F00B64">
      <w:pPr>
        <w:pStyle w:val="Heading1"/>
        <w:spacing w:before="240"/>
        <w:rPr>
          <w:rFonts w:cs="Times New Roman"/>
          <w:lang w:val="en-US"/>
        </w:rPr>
      </w:pPr>
      <w:r w:rsidRPr="0039396F">
        <w:rPr>
          <w:rFonts w:cs="Times New Roman"/>
          <w:lang w:val="en-US"/>
        </w:rPr>
        <w:t>Pharmacological properties</w:t>
      </w:r>
    </w:p>
    <w:p w14:paraId="0BE23FB2" w14:textId="77777777" w:rsidR="001A3992" w:rsidRPr="0039396F" w:rsidRDefault="000F52ED" w:rsidP="00F00B64">
      <w:pPr>
        <w:pStyle w:val="Heading2"/>
        <w:spacing w:before="240"/>
        <w:rPr>
          <w:rFonts w:eastAsia="Times New Roman" w:cs="Times New Roman"/>
          <w:smallCaps w:val="0"/>
          <w:szCs w:val="24"/>
        </w:rPr>
      </w:pPr>
      <w:r>
        <w:rPr>
          <w:rFonts w:eastAsia="Times New Roman" w:cs="Times New Roman"/>
          <w:smallCaps w:val="0"/>
          <w:szCs w:val="24"/>
        </w:rPr>
        <w:t xml:space="preserve">Pharmacodynamic </w:t>
      </w:r>
      <w:r w:rsidR="00AE60D4">
        <w:rPr>
          <w:rFonts w:eastAsia="Times New Roman" w:cs="Times New Roman"/>
          <w:smallCaps w:val="0"/>
          <w:szCs w:val="24"/>
        </w:rPr>
        <w:t>Properties</w:t>
      </w:r>
    </w:p>
    <w:p w14:paraId="01B2447E" w14:textId="5A28992D" w:rsidR="00C31F14" w:rsidRPr="0039396F" w:rsidRDefault="006C4F8B" w:rsidP="00C31F14">
      <w:pPr>
        <w:autoSpaceDE w:val="0"/>
        <w:autoSpaceDN w:val="0"/>
        <w:adjustRightInd w:val="0"/>
        <w:rPr>
          <w:rFonts w:asciiTheme="majorHAnsi" w:eastAsia="Times New Roman" w:hAnsiTheme="majorHAnsi" w:cs="Times New Roman"/>
          <w:szCs w:val="24"/>
        </w:rPr>
      </w:pPr>
      <w:proofErr w:type="spellStart"/>
      <w:r w:rsidRPr="0039396F">
        <w:rPr>
          <w:rFonts w:asciiTheme="majorHAnsi" w:hAnsiTheme="majorHAnsi" w:cs="Times New Roman"/>
        </w:rPr>
        <w:t>Soliris</w:t>
      </w:r>
      <w:proofErr w:type="spellEnd"/>
      <w:r w:rsidR="00C31F14" w:rsidRPr="0039396F">
        <w:rPr>
          <w:rFonts w:asciiTheme="majorHAnsi" w:eastAsia="Times New Roman" w:hAnsiTheme="majorHAnsi" w:cs="Times New Roman"/>
          <w:szCs w:val="24"/>
        </w:rPr>
        <w:t xml:space="preserve"> (</w:t>
      </w:r>
      <w:proofErr w:type="spellStart"/>
      <w:r w:rsidR="00C31F14" w:rsidRPr="0039396F">
        <w:rPr>
          <w:rFonts w:asciiTheme="majorHAnsi" w:eastAsia="Times New Roman" w:hAnsiTheme="majorHAnsi" w:cs="Times New Roman"/>
          <w:szCs w:val="24"/>
        </w:rPr>
        <w:t>eculizumab</w:t>
      </w:r>
      <w:proofErr w:type="spellEnd"/>
      <w:r w:rsidR="00C31F14" w:rsidRPr="0039396F">
        <w:rPr>
          <w:rFonts w:asciiTheme="majorHAnsi" w:eastAsia="Times New Roman" w:hAnsiTheme="majorHAnsi" w:cs="Times New Roman"/>
          <w:szCs w:val="24"/>
        </w:rPr>
        <w:t xml:space="preserve"> </w:t>
      </w:r>
      <w:r w:rsidR="00C31F14" w:rsidRPr="0039396F">
        <w:rPr>
          <w:rFonts w:asciiTheme="majorHAnsi" w:eastAsia="Times New Roman" w:hAnsiTheme="majorHAnsi" w:cs="Times New Roman"/>
          <w:i/>
          <w:szCs w:val="24"/>
        </w:rPr>
        <w:t>rmc</w:t>
      </w:r>
      <w:r w:rsidR="00C31F14" w:rsidRPr="0039396F">
        <w:rPr>
          <w:rFonts w:asciiTheme="majorHAnsi" w:eastAsia="Times New Roman" w:hAnsiTheme="majorHAnsi" w:cs="Times New Roman"/>
          <w:szCs w:val="24"/>
        </w:rPr>
        <w:t>) is a genetically-engineered humani</w:t>
      </w:r>
      <w:r w:rsidR="00446FF7">
        <w:rPr>
          <w:rFonts w:asciiTheme="majorHAnsi" w:eastAsia="Times New Roman" w:hAnsiTheme="majorHAnsi" w:cs="Times New Roman"/>
          <w:szCs w:val="24"/>
        </w:rPr>
        <w:t>s</w:t>
      </w:r>
      <w:r w:rsidR="00C31F14" w:rsidRPr="0039396F">
        <w:rPr>
          <w:rFonts w:asciiTheme="majorHAnsi" w:eastAsia="Times New Roman" w:hAnsiTheme="majorHAnsi" w:cs="Times New Roman"/>
          <w:szCs w:val="24"/>
        </w:rPr>
        <w:t xml:space="preserve">ed monoclonal antibody directed against the α-chain of the C5 complement protein. The antibody is a glycosylated hybrid IgG2-IgG4 kappa immunoglobulin containing human light- and heavy-chain variable region framework sequences, murine complementarity-determining region sequences, and human constant region sequences.  </w:t>
      </w:r>
      <w:proofErr w:type="spellStart"/>
      <w:r w:rsidR="00C31F14" w:rsidRPr="0039396F">
        <w:rPr>
          <w:rFonts w:asciiTheme="majorHAnsi" w:eastAsia="Times New Roman" w:hAnsiTheme="majorHAnsi" w:cs="Times New Roman"/>
          <w:szCs w:val="24"/>
        </w:rPr>
        <w:t>Eculizumab</w:t>
      </w:r>
      <w:proofErr w:type="spellEnd"/>
      <w:r w:rsidR="00C31F14" w:rsidRPr="0039396F">
        <w:rPr>
          <w:rFonts w:asciiTheme="majorHAnsi" w:eastAsia="Times New Roman" w:hAnsiTheme="majorHAnsi" w:cs="Times New Roman"/>
          <w:szCs w:val="24"/>
        </w:rPr>
        <w:t xml:space="preserve"> </w:t>
      </w:r>
      <w:r w:rsidR="00C31F14" w:rsidRPr="0039396F">
        <w:rPr>
          <w:rFonts w:asciiTheme="majorHAnsi" w:eastAsia="Times New Roman" w:hAnsiTheme="majorHAnsi" w:cs="Times New Roman"/>
          <w:i/>
          <w:szCs w:val="24"/>
        </w:rPr>
        <w:t>rmc</w:t>
      </w:r>
      <w:r w:rsidR="00C31F14" w:rsidRPr="0039396F">
        <w:rPr>
          <w:rFonts w:asciiTheme="majorHAnsi" w:eastAsia="Times New Roman" w:hAnsiTheme="majorHAnsi" w:cs="Times New Roman"/>
          <w:szCs w:val="24"/>
        </w:rPr>
        <w:t xml:space="preserve"> is composed of two identical 448 amino acid heavy chains and two identical 214 amino acid light chains and has a molecular weight of approximately 148 </w:t>
      </w:r>
      <w:proofErr w:type="spellStart"/>
      <w:r w:rsidR="00C31F14" w:rsidRPr="0039396F">
        <w:rPr>
          <w:rFonts w:asciiTheme="majorHAnsi" w:eastAsia="Times New Roman" w:hAnsiTheme="majorHAnsi" w:cs="Times New Roman"/>
          <w:szCs w:val="24"/>
        </w:rPr>
        <w:t>kDa</w:t>
      </w:r>
      <w:proofErr w:type="spellEnd"/>
      <w:r w:rsidR="00C31F14" w:rsidRPr="0039396F">
        <w:rPr>
          <w:rFonts w:asciiTheme="majorHAnsi" w:eastAsia="Times New Roman" w:hAnsiTheme="majorHAnsi" w:cs="Times New Roman"/>
          <w:szCs w:val="24"/>
        </w:rPr>
        <w:t>.</w:t>
      </w:r>
    </w:p>
    <w:p w14:paraId="2EFA4B6C" w14:textId="61A5EC12" w:rsidR="00C31F14" w:rsidRDefault="00C31F14" w:rsidP="00AC2747">
      <w:pPr>
        <w:autoSpaceDE w:val="0"/>
        <w:autoSpaceDN w:val="0"/>
        <w:adjustRightInd w:val="0"/>
        <w:spacing w:before="12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The </w:t>
      </w:r>
      <w:proofErr w:type="spellStart"/>
      <w:r w:rsidRPr="0039396F">
        <w:rPr>
          <w:rFonts w:asciiTheme="majorHAnsi" w:eastAsia="Times New Roman" w:hAnsiTheme="majorHAnsi" w:cs="Times New Roman"/>
          <w:szCs w:val="24"/>
        </w:rPr>
        <w:t>eculizumab</w:t>
      </w:r>
      <w:proofErr w:type="spellEnd"/>
      <w:r w:rsidRPr="0039396F">
        <w:rPr>
          <w:rFonts w:asciiTheme="majorHAnsi" w:eastAsia="Times New Roman" w:hAnsiTheme="majorHAnsi" w:cs="Times New Roman"/>
          <w:szCs w:val="24"/>
        </w:rPr>
        <w:t xml:space="preserve"> </w:t>
      </w:r>
      <w:r w:rsidRPr="0039396F">
        <w:rPr>
          <w:rFonts w:asciiTheme="majorHAnsi" w:eastAsia="Times New Roman" w:hAnsiTheme="majorHAnsi" w:cs="Times New Roman"/>
          <w:i/>
          <w:szCs w:val="24"/>
        </w:rPr>
        <w:t>rmc</w:t>
      </w:r>
      <w:r w:rsidRPr="0039396F">
        <w:rPr>
          <w:rFonts w:asciiTheme="majorHAnsi" w:eastAsia="Times New Roman" w:hAnsiTheme="majorHAnsi" w:cs="Times New Roman"/>
          <w:szCs w:val="24"/>
        </w:rPr>
        <w:t xml:space="preserve"> antibody is produced by murine myeloma cell culture and purified by standard bioprocess chromatographic technology, including specific viral inactivation and filtration steps.</w:t>
      </w:r>
    </w:p>
    <w:p w14:paraId="249A72E9" w14:textId="628948FC" w:rsidR="007F33B6" w:rsidRPr="0039396F" w:rsidRDefault="007F33B6" w:rsidP="007F33B6">
      <w:pPr>
        <w:pStyle w:val="CommentText"/>
        <w:spacing w:before="120"/>
        <w:rPr>
          <w:rFonts w:asciiTheme="majorHAnsi" w:eastAsia="Times New Roman" w:hAnsiTheme="majorHAnsi" w:cs="Times New Roman"/>
          <w:szCs w:val="24"/>
        </w:rPr>
      </w:pPr>
      <w:r w:rsidRPr="007F33B6">
        <w:rPr>
          <w:sz w:val="24"/>
          <w:szCs w:val="18"/>
        </w:rPr>
        <w:t xml:space="preserve">Pharmacodynamic activity measured by free C5 concentrations of &lt;0.5 ug/mL, is correlated with essentially complete blockade of terminal complement activity in </w:t>
      </w:r>
      <w:r w:rsidRPr="00AE2D6F">
        <w:rPr>
          <w:sz w:val="24"/>
          <w:szCs w:val="18"/>
        </w:rPr>
        <w:t>patients with PNH, aHUS, and NMOSD.</w:t>
      </w:r>
    </w:p>
    <w:p w14:paraId="532C4A2C" w14:textId="77777777" w:rsidR="001A3992" w:rsidRPr="0039396F" w:rsidRDefault="001A3992" w:rsidP="00BF24C5">
      <w:pPr>
        <w:pStyle w:val="Heading3"/>
      </w:pPr>
      <w:r w:rsidRPr="0039396F">
        <w:t xml:space="preserve">Mechanism of </w:t>
      </w:r>
      <w:r w:rsidR="00AE60D4">
        <w:t>A</w:t>
      </w:r>
      <w:r w:rsidR="00AE60D4" w:rsidRPr="0039396F">
        <w:t>ction</w:t>
      </w:r>
    </w:p>
    <w:p w14:paraId="652665F4" w14:textId="47C1CC21" w:rsidR="004A1545" w:rsidRPr="0039396F" w:rsidRDefault="004A1545" w:rsidP="00863F51">
      <w:pPr>
        <w:rPr>
          <w:rFonts w:asciiTheme="majorHAnsi" w:eastAsia="Times New Roman" w:hAnsiTheme="majorHAnsi" w:cs="Times New Roman"/>
          <w:szCs w:val="24"/>
        </w:rPr>
      </w:pPr>
      <w:r w:rsidRPr="0039396F">
        <w:rPr>
          <w:rFonts w:asciiTheme="majorHAnsi" w:eastAsia="Times New Roman" w:hAnsiTheme="majorHAnsi" w:cs="Times New Roman"/>
          <w:szCs w:val="24"/>
        </w:rPr>
        <w:t>A genetic mutation in patients with Paroxysmal Nocturnal Haemoglobinuria (PNH) leads to the generation of populations of abnormal red blood cells (known as PNH RBCs) that are deficient in terminal complement inhibitors, rendering PNH RBCs sensitive to persistent terminal complement-mediated destruction.  The subsequent intravascular haemolysis is the primary disease manifestation in patients</w:t>
      </w:r>
      <w:r w:rsidR="00BF735A">
        <w:rPr>
          <w:rFonts w:asciiTheme="majorHAnsi" w:eastAsia="Times New Roman" w:hAnsiTheme="majorHAnsi" w:cs="Times New Roman"/>
          <w:szCs w:val="24"/>
        </w:rPr>
        <w:t xml:space="preserve"> with PNH</w:t>
      </w:r>
      <w:r w:rsidRPr="0039396F">
        <w:rPr>
          <w:rFonts w:asciiTheme="majorHAnsi" w:eastAsia="Times New Roman" w:hAnsiTheme="majorHAnsi" w:cs="Times New Roman"/>
          <w:szCs w:val="24"/>
        </w:rPr>
        <w:t>. The destruction and loss of these PNH cells result in low blood counts (anaemia), and also fatigue, difficulty in functioning, pain, dark urine and kidney disease, shortness of breath, and blood clots.</w:t>
      </w:r>
    </w:p>
    <w:p w14:paraId="0D223808" w14:textId="70C0ECFF" w:rsidR="00863F51" w:rsidRDefault="004A1545" w:rsidP="00AC2747">
      <w:pPr>
        <w:spacing w:before="120"/>
        <w:rPr>
          <w:rFonts w:asciiTheme="majorHAnsi" w:eastAsia="Times New Roman" w:hAnsiTheme="majorHAnsi" w:cs="Times New Roman"/>
          <w:szCs w:val="24"/>
        </w:rPr>
      </w:pPr>
      <w:r w:rsidRPr="0039396F">
        <w:rPr>
          <w:rFonts w:asciiTheme="majorHAnsi" w:eastAsia="Times New Roman" w:hAnsiTheme="majorHAnsi" w:cs="Times New Roman"/>
          <w:szCs w:val="24"/>
        </w:rPr>
        <w:lastRenderedPageBreak/>
        <w:t>In atypical Haemolytic Uraemic Syndrome (aHUS) impairment of the regulation of the complement activity leads to uncontrolled terminal complement activation, resulting in platelet activation, endothelial cell damage and thrombotic microangiopathy. In patients</w:t>
      </w:r>
      <w:r w:rsidR="00A97F07">
        <w:rPr>
          <w:rFonts w:asciiTheme="majorHAnsi" w:eastAsia="Times New Roman" w:hAnsiTheme="majorHAnsi" w:cs="Times New Roman"/>
          <w:szCs w:val="24"/>
        </w:rPr>
        <w:t xml:space="preserve"> with aHUS</w:t>
      </w:r>
      <w:r w:rsidRPr="0039396F">
        <w:rPr>
          <w:rFonts w:asciiTheme="majorHAnsi" w:eastAsia="Times New Roman" w:hAnsiTheme="majorHAnsi" w:cs="Times New Roman"/>
          <w:szCs w:val="24"/>
        </w:rPr>
        <w:t xml:space="preserve">, uncontrolled terminal complement activation and the resulting complement mediated thrombotic microangiopathy are blocked with </w:t>
      </w:r>
      <w:r w:rsidR="006C4F8B" w:rsidRPr="0039396F">
        <w:rPr>
          <w:rFonts w:asciiTheme="majorHAnsi" w:hAnsiTheme="majorHAnsi" w:cs="Times New Roman"/>
        </w:rPr>
        <w:t>Soliris</w:t>
      </w:r>
      <w:r w:rsidR="00247559">
        <w:rPr>
          <w:rFonts w:asciiTheme="majorHAnsi" w:eastAsia="Times New Roman" w:hAnsiTheme="majorHAnsi" w:cs="Times New Roman"/>
          <w:szCs w:val="24"/>
        </w:rPr>
        <w:t xml:space="preserve"> treatment.</w:t>
      </w:r>
    </w:p>
    <w:p w14:paraId="7DE5427C" w14:textId="3450D8C4" w:rsidR="007C59B8" w:rsidRDefault="007C59B8" w:rsidP="007C59B8">
      <w:pPr>
        <w:spacing w:before="120"/>
        <w:rPr>
          <w:rFonts w:asciiTheme="majorHAnsi" w:eastAsia="Times New Roman" w:hAnsiTheme="majorHAnsi" w:cs="Times New Roman"/>
          <w:szCs w:val="24"/>
        </w:rPr>
      </w:pPr>
      <w:r w:rsidRPr="00BF735A">
        <w:rPr>
          <w:rFonts w:asciiTheme="majorHAnsi" w:eastAsia="Times New Roman" w:hAnsiTheme="majorHAnsi" w:cs="Times New Roman"/>
          <w:szCs w:val="24"/>
        </w:rPr>
        <w:t xml:space="preserve">In patients with NMOSD, the exact mechanism by which </w:t>
      </w:r>
      <w:proofErr w:type="spellStart"/>
      <w:r w:rsidRPr="00BF735A">
        <w:rPr>
          <w:rFonts w:asciiTheme="majorHAnsi" w:eastAsia="Times New Roman" w:hAnsiTheme="majorHAnsi" w:cs="Times New Roman"/>
          <w:szCs w:val="24"/>
        </w:rPr>
        <w:t>eculizumab</w:t>
      </w:r>
      <w:proofErr w:type="spellEnd"/>
      <w:r>
        <w:rPr>
          <w:rFonts w:asciiTheme="majorHAnsi" w:eastAsia="Times New Roman" w:hAnsiTheme="majorHAnsi" w:cs="Times New Roman"/>
          <w:szCs w:val="24"/>
        </w:rPr>
        <w:t xml:space="preserve"> </w:t>
      </w:r>
      <w:r w:rsidRPr="00BF735A">
        <w:rPr>
          <w:rFonts w:asciiTheme="majorHAnsi" w:eastAsia="Times New Roman" w:hAnsiTheme="majorHAnsi" w:cs="Times New Roman"/>
          <w:i/>
          <w:szCs w:val="24"/>
        </w:rPr>
        <w:t>rmc</w:t>
      </w:r>
      <w:r w:rsidRPr="00BF735A">
        <w:rPr>
          <w:rFonts w:asciiTheme="majorHAnsi" w:eastAsia="Times New Roman" w:hAnsiTheme="majorHAnsi" w:cs="Times New Roman"/>
          <w:szCs w:val="24"/>
        </w:rPr>
        <w:t xml:space="preserve"> exerts its therapeutic effect is unknown but is presumed to involve inhibition of aquaporin-4 (AQP4) antibody induced terminal complement C5b-9 deposition and C5a-dependent inflammation.</w:t>
      </w:r>
    </w:p>
    <w:p w14:paraId="4F483969" w14:textId="176B7F0E" w:rsidR="007C59B8" w:rsidRPr="0039396F" w:rsidRDefault="004A1545" w:rsidP="00AC2747">
      <w:pPr>
        <w:spacing w:before="120"/>
        <w:rPr>
          <w:rFonts w:asciiTheme="majorHAnsi" w:eastAsia="Times New Roman" w:hAnsiTheme="majorHAnsi" w:cs="Times New Roman"/>
          <w:szCs w:val="24"/>
        </w:rPr>
      </w:pPr>
      <w:proofErr w:type="spellStart"/>
      <w:r w:rsidRPr="0039396F">
        <w:rPr>
          <w:rFonts w:asciiTheme="majorHAnsi" w:eastAsia="Times New Roman" w:hAnsiTheme="majorHAnsi" w:cs="Times New Roman"/>
          <w:szCs w:val="24"/>
        </w:rPr>
        <w:t>Eculizumab</w:t>
      </w:r>
      <w:proofErr w:type="spellEnd"/>
      <w:r w:rsidRPr="0039396F">
        <w:rPr>
          <w:rFonts w:asciiTheme="majorHAnsi" w:eastAsia="Times New Roman" w:hAnsiTheme="majorHAnsi" w:cs="Times New Roman"/>
          <w:szCs w:val="24"/>
        </w:rPr>
        <w:t xml:space="preserve"> </w:t>
      </w:r>
      <w:r w:rsidRPr="0039396F">
        <w:rPr>
          <w:rFonts w:asciiTheme="majorHAnsi" w:eastAsia="Times New Roman" w:hAnsiTheme="majorHAnsi" w:cs="Times New Roman"/>
          <w:i/>
          <w:szCs w:val="24"/>
        </w:rPr>
        <w:t>rmc</w:t>
      </w:r>
      <w:r w:rsidRPr="0039396F">
        <w:rPr>
          <w:rFonts w:asciiTheme="majorHAnsi" w:eastAsia="Times New Roman" w:hAnsiTheme="majorHAnsi" w:cs="Times New Roman"/>
          <w:szCs w:val="24"/>
        </w:rPr>
        <w:t xml:space="preserve">, the active ingredient in </w:t>
      </w:r>
      <w:r w:rsidR="006C4F8B" w:rsidRPr="0039396F">
        <w:rPr>
          <w:rFonts w:asciiTheme="majorHAnsi" w:hAnsiTheme="majorHAnsi" w:cs="Times New Roman"/>
        </w:rPr>
        <w:t>Soliris</w:t>
      </w:r>
      <w:r w:rsidRPr="0039396F">
        <w:rPr>
          <w:rFonts w:asciiTheme="majorHAnsi" w:eastAsia="Times New Roman" w:hAnsiTheme="majorHAnsi" w:cs="Times New Roman"/>
          <w:szCs w:val="24"/>
        </w:rPr>
        <w:t xml:space="preserve">, is a terminal complement inhibitor that specifically binds to the complement protein C5 with high affinity, thereby inhibiting its cleavage to C5a and C5b and preventing the generation of the terminal complement complex C5b-9. </w:t>
      </w:r>
      <w:proofErr w:type="spellStart"/>
      <w:r w:rsidRPr="0039396F">
        <w:rPr>
          <w:rFonts w:asciiTheme="majorHAnsi" w:eastAsia="Times New Roman" w:hAnsiTheme="majorHAnsi" w:cs="Times New Roman"/>
          <w:szCs w:val="24"/>
        </w:rPr>
        <w:t>Eculizumab</w:t>
      </w:r>
      <w:proofErr w:type="spellEnd"/>
      <w:r w:rsidRPr="0039396F">
        <w:rPr>
          <w:rFonts w:asciiTheme="majorHAnsi" w:eastAsia="Times New Roman" w:hAnsiTheme="majorHAnsi" w:cs="Times New Roman"/>
          <w:szCs w:val="24"/>
        </w:rPr>
        <w:t xml:space="preserve"> </w:t>
      </w:r>
      <w:r w:rsidRPr="0039396F">
        <w:rPr>
          <w:rFonts w:asciiTheme="majorHAnsi" w:eastAsia="Times New Roman" w:hAnsiTheme="majorHAnsi" w:cs="Times New Roman"/>
          <w:i/>
          <w:szCs w:val="24"/>
        </w:rPr>
        <w:t>rmc</w:t>
      </w:r>
      <w:r w:rsidRPr="0039396F">
        <w:rPr>
          <w:rFonts w:asciiTheme="majorHAnsi" w:eastAsia="Times New Roman" w:hAnsiTheme="majorHAnsi" w:cs="Times New Roman"/>
          <w:szCs w:val="24"/>
        </w:rPr>
        <w:t xml:space="preserve"> preserves the early components of complement activation that are es</w:t>
      </w:r>
      <w:r w:rsidR="00863F51" w:rsidRPr="0039396F">
        <w:rPr>
          <w:rFonts w:asciiTheme="majorHAnsi" w:eastAsia="Times New Roman" w:hAnsiTheme="majorHAnsi" w:cs="Times New Roman"/>
          <w:szCs w:val="24"/>
        </w:rPr>
        <w:t>s</w:t>
      </w:r>
      <w:r w:rsidRPr="0039396F">
        <w:rPr>
          <w:rFonts w:asciiTheme="majorHAnsi" w:eastAsia="Times New Roman" w:hAnsiTheme="majorHAnsi" w:cs="Times New Roman"/>
          <w:szCs w:val="24"/>
        </w:rPr>
        <w:t>ential for opsoni</w:t>
      </w:r>
      <w:r w:rsidR="000F52ED">
        <w:rPr>
          <w:rFonts w:asciiTheme="majorHAnsi" w:eastAsia="Times New Roman" w:hAnsiTheme="majorHAnsi" w:cs="Times New Roman"/>
          <w:szCs w:val="24"/>
        </w:rPr>
        <w:t>s</w:t>
      </w:r>
      <w:r w:rsidRPr="0039396F">
        <w:rPr>
          <w:rFonts w:asciiTheme="majorHAnsi" w:eastAsia="Times New Roman" w:hAnsiTheme="majorHAnsi" w:cs="Times New Roman"/>
          <w:szCs w:val="24"/>
        </w:rPr>
        <w:t>ation of microorganisms and clearance of immune complexes.</w:t>
      </w:r>
    </w:p>
    <w:p w14:paraId="5A7687CA" w14:textId="77777777" w:rsidR="004A1545" w:rsidRPr="0039396F" w:rsidRDefault="004A1545" w:rsidP="00AC2747">
      <w:pPr>
        <w:pStyle w:val="AlexionBodyText"/>
        <w:spacing w:after="0"/>
        <w:ind w:firstLine="0"/>
        <w:rPr>
          <w:rFonts w:asciiTheme="majorHAnsi" w:hAnsiTheme="majorHAnsi"/>
          <w:sz w:val="24"/>
          <w:szCs w:val="24"/>
          <w:lang w:val="en-AU"/>
        </w:rPr>
      </w:pPr>
      <w:r w:rsidRPr="0039396F">
        <w:rPr>
          <w:rFonts w:asciiTheme="majorHAnsi" w:hAnsiTheme="majorHAnsi"/>
          <w:i/>
          <w:sz w:val="24"/>
          <w:szCs w:val="24"/>
          <w:lang w:val="en-AU"/>
        </w:rPr>
        <w:t>In Vitro</w:t>
      </w:r>
      <w:r w:rsidRPr="0039396F">
        <w:rPr>
          <w:rFonts w:asciiTheme="majorHAnsi" w:hAnsiTheme="majorHAnsi"/>
          <w:sz w:val="24"/>
          <w:szCs w:val="24"/>
          <w:lang w:val="en-AU"/>
        </w:rPr>
        <w:t xml:space="preserve"> Binding Specificity:  The specificity of </w:t>
      </w:r>
      <w:r w:rsidR="006C4F8B" w:rsidRPr="0039396F">
        <w:rPr>
          <w:rFonts w:asciiTheme="majorHAnsi" w:hAnsiTheme="majorHAnsi"/>
          <w:sz w:val="24"/>
          <w:szCs w:val="24"/>
          <w:lang w:val="en-AU"/>
        </w:rPr>
        <w:t>Soliris</w:t>
      </w:r>
      <w:r w:rsidRPr="0039396F">
        <w:rPr>
          <w:rFonts w:asciiTheme="majorHAnsi" w:hAnsiTheme="majorHAnsi"/>
          <w:sz w:val="24"/>
          <w:szCs w:val="24"/>
          <w:lang w:val="en-AU"/>
        </w:rPr>
        <w:t xml:space="preserve"> for C5 in human serum was evaluated in two </w:t>
      </w:r>
      <w:r w:rsidRPr="0039396F">
        <w:rPr>
          <w:rFonts w:asciiTheme="majorHAnsi" w:hAnsiTheme="majorHAnsi"/>
          <w:i/>
          <w:sz w:val="24"/>
          <w:szCs w:val="24"/>
          <w:lang w:val="en-AU"/>
        </w:rPr>
        <w:t>in vitro</w:t>
      </w:r>
      <w:r w:rsidRPr="0039396F">
        <w:rPr>
          <w:rFonts w:asciiTheme="majorHAnsi" w:hAnsiTheme="majorHAnsi"/>
          <w:sz w:val="24"/>
          <w:szCs w:val="24"/>
          <w:lang w:val="en-AU"/>
        </w:rPr>
        <w:t xml:space="preserve"> studies.  The species specificity of </w:t>
      </w:r>
      <w:r w:rsidR="006C4F8B" w:rsidRPr="0039396F">
        <w:rPr>
          <w:rFonts w:asciiTheme="majorHAnsi" w:hAnsiTheme="majorHAnsi"/>
          <w:sz w:val="24"/>
          <w:szCs w:val="24"/>
          <w:lang w:val="en-AU"/>
        </w:rPr>
        <w:t>Soliris</w:t>
      </w:r>
      <w:r w:rsidRPr="0039396F">
        <w:rPr>
          <w:rFonts w:asciiTheme="majorHAnsi" w:hAnsiTheme="majorHAnsi"/>
          <w:sz w:val="24"/>
          <w:szCs w:val="24"/>
          <w:lang w:val="en-AU"/>
        </w:rPr>
        <w:t xml:space="preserve"> was assessed by determining its ability to inhibit haemolytic activity in non-human sera (4 primate and 4 non</w:t>
      </w:r>
      <w:r w:rsidRPr="0039396F">
        <w:rPr>
          <w:rFonts w:asciiTheme="majorHAnsi" w:hAnsiTheme="majorHAnsi"/>
          <w:sz w:val="24"/>
          <w:szCs w:val="24"/>
          <w:lang w:val="en-AU"/>
        </w:rPr>
        <w:noBreakHyphen/>
        <w:t xml:space="preserve">primate species) using a complement-mediated haemolytic assay. The results of this study demonstrate that </w:t>
      </w:r>
      <w:r w:rsidR="006C4F8B" w:rsidRPr="0039396F">
        <w:rPr>
          <w:rFonts w:asciiTheme="majorHAnsi" w:hAnsiTheme="majorHAnsi"/>
          <w:sz w:val="24"/>
          <w:szCs w:val="24"/>
          <w:lang w:val="en-AU"/>
        </w:rPr>
        <w:t>Soliris</w:t>
      </w:r>
      <w:r w:rsidRPr="0039396F">
        <w:rPr>
          <w:rFonts w:asciiTheme="majorHAnsi" w:hAnsiTheme="majorHAnsi"/>
          <w:sz w:val="24"/>
          <w:szCs w:val="24"/>
          <w:lang w:val="en-AU"/>
        </w:rPr>
        <w:t xml:space="preserve"> does not inhibit C5 activity in</w:t>
      </w:r>
      <w:r w:rsidR="000F52ED">
        <w:rPr>
          <w:rFonts w:asciiTheme="majorHAnsi" w:hAnsiTheme="majorHAnsi"/>
          <w:sz w:val="24"/>
          <w:szCs w:val="24"/>
          <w:lang w:val="en-AU"/>
        </w:rPr>
        <w:t xml:space="preserve"> sera from the species tested.</w:t>
      </w:r>
    </w:p>
    <w:p w14:paraId="10443A69" w14:textId="77777777" w:rsidR="004A1545" w:rsidRPr="0039396F" w:rsidRDefault="004A1545" w:rsidP="00AC2747">
      <w:pPr>
        <w:pStyle w:val="AlexionBodyText"/>
        <w:spacing w:after="0"/>
        <w:ind w:firstLine="0"/>
        <w:rPr>
          <w:rFonts w:asciiTheme="majorHAnsi" w:hAnsiTheme="majorHAnsi"/>
          <w:sz w:val="24"/>
          <w:szCs w:val="24"/>
          <w:lang w:val="en-AU"/>
        </w:rPr>
      </w:pPr>
      <w:r w:rsidRPr="0039396F">
        <w:rPr>
          <w:rFonts w:asciiTheme="majorHAnsi" w:hAnsiTheme="majorHAnsi"/>
          <w:sz w:val="24"/>
          <w:szCs w:val="24"/>
          <w:lang w:val="en-AU"/>
        </w:rPr>
        <w:t xml:space="preserve">The tissue cross-reactivity of </w:t>
      </w:r>
      <w:r w:rsidR="006C4F8B" w:rsidRPr="0039396F">
        <w:rPr>
          <w:rFonts w:asciiTheme="majorHAnsi" w:hAnsiTheme="majorHAnsi"/>
          <w:sz w:val="24"/>
          <w:szCs w:val="24"/>
          <w:lang w:val="en-AU"/>
        </w:rPr>
        <w:t>Soliris</w:t>
      </w:r>
      <w:r w:rsidRPr="0039396F">
        <w:rPr>
          <w:rFonts w:asciiTheme="majorHAnsi" w:hAnsiTheme="majorHAnsi"/>
          <w:sz w:val="24"/>
          <w:szCs w:val="24"/>
          <w:lang w:val="en-AU"/>
        </w:rPr>
        <w:t xml:space="preserve"> was evaluated by assessing binding to a panel of 38 human tissues. C5 expression in the human tissue panel examined in this study is consistent with published reports of C5 expression, as C5 has been reported in smooth muscle, striated muscle, and renal proximal tubular epithelium. No unexpected tissue cross-reactivity was observed.</w:t>
      </w:r>
    </w:p>
    <w:p w14:paraId="24818272" w14:textId="77777777" w:rsidR="00863F51" w:rsidRPr="0039396F" w:rsidRDefault="00863F51" w:rsidP="00BF24C5">
      <w:pPr>
        <w:pStyle w:val="Heading3"/>
      </w:pPr>
      <w:r w:rsidRPr="0039396F">
        <w:t>Pharmacodynamics</w:t>
      </w:r>
    </w:p>
    <w:p w14:paraId="17762104" w14:textId="77777777" w:rsidR="00863F51" w:rsidRPr="0039396F" w:rsidRDefault="00863F51" w:rsidP="00863F51">
      <w:pPr>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The pharmacodynamic profile of </w:t>
      </w:r>
      <w:r w:rsidR="006C4F8B"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was assessed using an </w:t>
      </w:r>
      <w:r w:rsidRPr="0050524F">
        <w:rPr>
          <w:rFonts w:asciiTheme="majorHAnsi" w:eastAsia="Times New Roman" w:hAnsiTheme="majorHAnsi" w:cs="Times New Roman"/>
          <w:i/>
          <w:szCs w:val="24"/>
        </w:rPr>
        <w:t>in vitro</w:t>
      </w:r>
      <w:r w:rsidRPr="0039396F">
        <w:rPr>
          <w:rFonts w:asciiTheme="majorHAnsi" w:eastAsia="Times New Roman" w:hAnsiTheme="majorHAnsi" w:cs="Times New Roman"/>
          <w:szCs w:val="24"/>
        </w:rPr>
        <w:t xml:space="preserve"> serum complement haemolysis assay that measures the extent of terminal complement inhibition in the serum of patients receiving </w:t>
      </w:r>
      <w:r w:rsidR="006C4F8B" w:rsidRPr="0039396F">
        <w:rPr>
          <w:rFonts w:asciiTheme="majorHAnsi" w:hAnsiTheme="majorHAnsi" w:cs="Times New Roman"/>
          <w:szCs w:val="24"/>
        </w:rPr>
        <w:t>Soliris</w:t>
      </w:r>
      <w:r w:rsidR="000F52ED">
        <w:rPr>
          <w:rFonts w:asciiTheme="majorHAnsi" w:eastAsia="Times New Roman" w:hAnsiTheme="majorHAnsi" w:cs="Times New Roman"/>
          <w:szCs w:val="24"/>
        </w:rPr>
        <w:t>.</w:t>
      </w:r>
    </w:p>
    <w:p w14:paraId="284D6DF0" w14:textId="265FE09B" w:rsidR="00863F51" w:rsidRPr="0039396F" w:rsidRDefault="00863F51" w:rsidP="00BF735A">
      <w:pPr>
        <w:tabs>
          <w:tab w:val="left" w:pos="567"/>
        </w:tabs>
        <w:autoSpaceDE w:val="0"/>
        <w:autoSpaceDN w:val="0"/>
        <w:adjustRightInd w:val="0"/>
        <w:spacing w:before="120" w:after="120"/>
        <w:rPr>
          <w:rFonts w:asciiTheme="majorHAnsi" w:eastAsia="Times New Roman" w:hAnsiTheme="majorHAnsi" w:cs="Times New Roman"/>
          <w:szCs w:val="24"/>
        </w:rPr>
      </w:pPr>
      <w:r w:rsidRPr="0039396F">
        <w:rPr>
          <w:rFonts w:asciiTheme="majorHAnsi" w:eastAsia="Times New Roman" w:hAnsiTheme="majorHAnsi" w:cs="Times New Roman"/>
          <w:szCs w:val="24"/>
        </w:rPr>
        <w:t>In patients</w:t>
      </w:r>
      <w:r w:rsidR="00A97F07">
        <w:rPr>
          <w:rFonts w:asciiTheme="majorHAnsi" w:eastAsia="Times New Roman" w:hAnsiTheme="majorHAnsi" w:cs="Times New Roman"/>
          <w:szCs w:val="24"/>
        </w:rPr>
        <w:t xml:space="preserve"> with PNH</w:t>
      </w:r>
      <w:r w:rsidRPr="0039396F">
        <w:rPr>
          <w:rFonts w:asciiTheme="majorHAnsi" w:eastAsia="Times New Roman" w:hAnsiTheme="majorHAnsi" w:cs="Times New Roman"/>
          <w:szCs w:val="24"/>
        </w:rPr>
        <w:t xml:space="preserve">, uncontrolled terminal complement activation and the resulting complement mediated intravascular haemolysis are blocked with </w:t>
      </w:r>
      <w:r w:rsidR="006C4F8B"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treatment.  Administration of </w:t>
      </w:r>
      <w:r w:rsidR="006C4F8B"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in an initial phase/maintenance regimen of 600 mg/week for the first 4 weeks and 900 mg in the fifth week of the initial phase, followed by a 900 mg maintenance dose every other week resulted in a rapid and sustained reduction in complement-mediated haemolytic activity. </w:t>
      </w:r>
      <w:r w:rsidR="006C4F8B"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when administered as recommended provides a blood concentration sufficient to completely block haemolysis within 60 minutes; red blood cell destruction, as indicated by lactate dehydrogenase (LDH) levels, is significantly reduced by one week. In the Phase III study in patients</w:t>
      </w:r>
      <w:r w:rsidR="00A97F07">
        <w:rPr>
          <w:rFonts w:asciiTheme="majorHAnsi" w:eastAsia="Times New Roman" w:hAnsiTheme="majorHAnsi" w:cs="Times New Roman"/>
          <w:szCs w:val="24"/>
        </w:rPr>
        <w:t xml:space="preserve"> with PNH</w:t>
      </w:r>
      <w:r w:rsidRPr="0039396F">
        <w:rPr>
          <w:rFonts w:asciiTheme="majorHAnsi" w:eastAsia="Times New Roman" w:hAnsiTheme="majorHAnsi" w:cs="Times New Roman"/>
          <w:szCs w:val="24"/>
        </w:rPr>
        <w:t xml:space="preserve">, </w:t>
      </w:r>
      <w:r w:rsidRPr="0050524F">
        <w:rPr>
          <w:rFonts w:asciiTheme="majorHAnsi" w:eastAsia="Times New Roman" w:hAnsiTheme="majorHAnsi" w:cs="Times New Roman"/>
          <w:i/>
          <w:szCs w:val="24"/>
        </w:rPr>
        <w:t>C04-001</w:t>
      </w:r>
      <w:r w:rsidRPr="0039396F">
        <w:rPr>
          <w:rFonts w:asciiTheme="majorHAnsi" w:eastAsia="Times New Roman" w:hAnsiTheme="majorHAnsi" w:cs="Times New Roman"/>
          <w:szCs w:val="24"/>
        </w:rPr>
        <w:t xml:space="preserve">, the dosing regimen was sufficient to maintain plasma </w:t>
      </w:r>
      <w:r w:rsidR="006C4F8B"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levels to essentially completely block terminal complement activation in 39/40 patients measured for the entire 26 week study period demonstrating that the proposed dosing regimen is adequate. </w:t>
      </w:r>
    </w:p>
    <w:p w14:paraId="59E8992C" w14:textId="47385521" w:rsidR="00863F51" w:rsidRPr="0039396F" w:rsidRDefault="00863F51" w:rsidP="00AE2D6F">
      <w:pPr>
        <w:spacing w:after="120"/>
        <w:rPr>
          <w:rFonts w:asciiTheme="majorHAnsi" w:eastAsia="Times New Roman" w:hAnsiTheme="majorHAnsi" w:cs="Times New Roman"/>
          <w:szCs w:val="24"/>
        </w:rPr>
      </w:pPr>
      <w:r w:rsidRPr="0039396F">
        <w:rPr>
          <w:rFonts w:asciiTheme="majorHAnsi" w:eastAsia="Times New Roman" w:hAnsiTheme="majorHAnsi" w:cs="Times New Roman"/>
          <w:szCs w:val="24"/>
        </w:rPr>
        <w:lastRenderedPageBreak/>
        <w:t>I</w:t>
      </w:r>
      <w:r w:rsidR="000F52ED">
        <w:rPr>
          <w:rFonts w:asciiTheme="majorHAnsi" w:eastAsia="Times New Roman" w:hAnsiTheme="majorHAnsi" w:cs="Times New Roman"/>
          <w:szCs w:val="24"/>
        </w:rPr>
        <w:t>n most patients</w:t>
      </w:r>
      <w:r w:rsidR="00A97F07">
        <w:rPr>
          <w:rFonts w:asciiTheme="majorHAnsi" w:eastAsia="Times New Roman" w:hAnsiTheme="majorHAnsi" w:cs="Times New Roman"/>
          <w:szCs w:val="24"/>
        </w:rPr>
        <w:t xml:space="preserve"> with PNH</w:t>
      </w:r>
      <w:r w:rsidR="000F52ED">
        <w:rPr>
          <w:rFonts w:asciiTheme="majorHAnsi" w:eastAsia="Times New Roman" w:hAnsiTheme="majorHAnsi" w:cs="Times New Roman"/>
          <w:szCs w:val="24"/>
        </w:rPr>
        <w:t xml:space="preserve">, </w:t>
      </w:r>
      <w:proofErr w:type="spellStart"/>
      <w:r w:rsidR="000F52ED">
        <w:rPr>
          <w:rFonts w:asciiTheme="majorHAnsi" w:eastAsia="Times New Roman" w:hAnsiTheme="majorHAnsi" w:cs="Times New Roman"/>
          <w:szCs w:val="24"/>
        </w:rPr>
        <w:t>eculizumab</w:t>
      </w:r>
      <w:proofErr w:type="spellEnd"/>
      <w:r w:rsidRPr="0039396F">
        <w:rPr>
          <w:rFonts w:asciiTheme="majorHAnsi" w:eastAsia="Times New Roman" w:hAnsiTheme="majorHAnsi" w:cs="Times New Roman"/>
          <w:szCs w:val="24"/>
        </w:rPr>
        <w:t xml:space="preserve"> </w:t>
      </w:r>
      <w:r w:rsidRPr="0039396F">
        <w:rPr>
          <w:rFonts w:asciiTheme="majorHAnsi" w:eastAsia="Times New Roman" w:hAnsiTheme="majorHAnsi" w:cs="Times New Roman"/>
          <w:i/>
          <w:szCs w:val="24"/>
        </w:rPr>
        <w:t>rmc</w:t>
      </w:r>
      <w:r w:rsidRPr="0039396F">
        <w:rPr>
          <w:rFonts w:asciiTheme="majorHAnsi" w:eastAsia="Times New Roman" w:hAnsiTheme="majorHAnsi" w:cs="Times New Roman"/>
          <w:szCs w:val="24"/>
        </w:rPr>
        <w:t xml:space="preserve"> serum concentrations of approximately 35μg/mL are sufficient for essentially complete inhibition of terminal complement-med</w:t>
      </w:r>
      <w:r w:rsidR="00247559">
        <w:rPr>
          <w:rFonts w:asciiTheme="majorHAnsi" w:eastAsia="Times New Roman" w:hAnsiTheme="majorHAnsi" w:cs="Times New Roman"/>
          <w:szCs w:val="24"/>
        </w:rPr>
        <w:t>iated intravascular haemolysis.</w:t>
      </w:r>
    </w:p>
    <w:p w14:paraId="4FBC4E9A" w14:textId="77777777" w:rsidR="00863F51" w:rsidRDefault="00863F51" w:rsidP="00AE2D6F">
      <w:pPr>
        <w:tabs>
          <w:tab w:val="left" w:pos="567"/>
        </w:tabs>
        <w:autoSpaceDE w:val="0"/>
        <w:autoSpaceDN w:val="0"/>
        <w:spacing w:after="120"/>
        <w:rPr>
          <w:rFonts w:asciiTheme="majorHAnsi" w:eastAsia="Times New Roman" w:hAnsiTheme="majorHAnsi" w:cs="Times New Roman"/>
          <w:szCs w:val="24"/>
        </w:rPr>
      </w:pPr>
      <w:r w:rsidRPr="0039396F">
        <w:rPr>
          <w:rFonts w:asciiTheme="majorHAnsi" w:eastAsia="Times New Roman" w:hAnsiTheme="majorHAnsi" w:cs="Times New Roman"/>
          <w:szCs w:val="24"/>
        </w:rPr>
        <w:t xml:space="preserve">In PNH, chronic administration of </w:t>
      </w:r>
      <w:r w:rsidR="00B249B7" w:rsidRPr="0039396F">
        <w:rPr>
          <w:rFonts w:asciiTheme="majorHAnsi" w:hAnsiTheme="majorHAnsi" w:cs="Times New Roman"/>
          <w:szCs w:val="24"/>
        </w:rPr>
        <w:t>Soliris</w:t>
      </w:r>
      <w:r w:rsidRPr="0039396F">
        <w:rPr>
          <w:rFonts w:asciiTheme="majorHAnsi" w:eastAsia="Times New Roman" w:hAnsiTheme="majorHAnsi" w:cs="Times New Roman"/>
          <w:szCs w:val="24"/>
        </w:rPr>
        <w:t xml:space="preserve"> resulted in a rapid and sustained reduction in complemen</w:t>
      </w:r>
      <w:r w:rsidR="00C628AE" w:rsidRPr="0039396F">
        <w:rPr>
          <w:rFonts w:asciiTheme="majorHAnsi" w:eastAsia="Times New Roman" w:hAnsiTheme="majorHAnsi" w:cs="Times New Roman"/>
          <w:szCs w:val="24"/>
        </w:rPr>
        <w:t>t-mediated haemolytic activity.</w:t>
      </w:r>
    </w:p>
    <w:p w14:paraId="5514C37B" w14:textId="4529D8D1" w:rsidR="00BF735A" w:rsidRDefault="00706C71" w:rsidP="00AE2D6F">
      <w:pPr>
        <w:tabs>
          <w:tab w:val="left" w:pos="567"/>
        </w:tabs>
        <w:autoSpaceDE w:val="0"/>
        <w:autoSpaceDN w:val="0"/>
        <w:spacing w:after="120"/>
        <w:rPr>
          <w:rFonts w:asciiTheme="majorHAnsi" w:eastAsia="Times New Roman" w:hAnsiTheme="majorHAnsi" w:cs="Times New Roman"/>
          <w:szCs w:val="24"/>
        </w:rPr>
      </w:pPr>
      <w:r w:rsidRPr="00706C71">
        <w:rPr>
          <w:rFonts w:asciiTheme="majorHAnsi" w:eastAsia="Times New Roman" w:hAnsiTheme="majorHAnsi" w:cs="Times New Roman"/>
          <w:szCs w:val="24"/>
        </w:rPr>
        <w:t xml:space="preserve">All patients treated with </w:t>
      </w:r>
      <w:r>
        <w:rPr>
          <w:rFonts w:asciiTheme="majorHAnsi" w:eastAsia="Times New Roman" w:hAnsiTheme="majorHAnsi" w:cs="Times New Roman"/>
          <w:szCs w:val="24"/>
        </w:rPr>
        <w:t>Soliris</w:t>
      </w:r>
      <w:r w:rsidRPr="00706C71">
        <w:rPr>
          <w:rFonts w:asciiTheme="majorHAnsi" w:eastAsia="Times New Roman" w:hAnsiTheme="majorHAnsi" w:cs="Times New Roman"/>
          <w:szCs w:val="24"/>
        </w:rPr>
        <w:t xml:space="preserve"> as recommended, demonstrated rapid and sustained reduction in terminal complement activity.</w:t>
      </w:r>
    </w:p>
    <w:p w14:paraId="20D7D08B" w14:textId="57269D04" w:rsidR="00706C71" w:rsidRPr="00706C71" w:rsidRDefault="00706C71" w:rsidP="00AE2D6F">
      <w:pPr>
        <w:tabs>
          <w:tab w:val="left" w:pos="567"/>
        </w:tabs>
        <w:autoSpaceDE w:val="0"/>
        <w:autoSpaceDN w:val="0"/>
        <w:spacing w:after="120"/>
        <w:rPr>
          <w:rFonts w:asciiTheme="majorHAnsi" w:eastAsia="Times New Roman" w:hAnsiTheme="majorHAnsi" w:cs="Times New Roman"/>
          <w:szCs w:val="24"/>
        </w:rPr>
      </w:pPr>
      <w:r w:rsidRPr="00706C71">
        <w:rPr>
          <w:rFonts w:asciiTheme="majorHAnsi" w:eastAsia="Times New Roman" w:hAnsiTheme="majorHAnsi" w:cs="Times New Roman"/>
          <w:szCs w:val="24"/>
        </w:rPr>
        <w:t>I</w:t>
      </w:r>
      <w:r w:rsidR="000910CA">
        <w:rPr>
          <w:rFonts w:asciiTheme="majorHAnsi" w:eastAsia="Times New Roman" w:hAnsiTheme="majorHAnsi" w:cs="Times New Roman"/>
          <w:szCs w:val="24"/>
        </w:rPr>
        <w:t>n all patients</w:t>
      </w:r>
      <w:r w:rsidR="00A97F07">
        <w:rPr>
          <w:rFonts w:asciiTheme="majorHAnsi" w:eastAsia="Times New Roman" w:hAnsiTheme="majorHAnsi" w:cs="Times New Roman"/>
          <w:szCs w:val="24"/>
        </w:rPr>
        <w:t xml:space="preserve"> with </w:t>
      </w:r>
      <w:proofErr w:type="spellStart"/>
      <w:r w:rsidR="00A97F07">
        <w:rPr>
          <w:rFonts w:asciiTheme="majorHAnsi" w:eastAsia="Times New Roman" w:hAnsiTheme="majorHAnsi" w:cs="Times New Roman"/>
          <w:szCs w:val="24"/>
        </w:rPr>
        <w:t>aHUS</w:t>
      </w:r>
      <w:proofErr w:type="spellEnd"/>
      <w:r w:rsidR="000910CA">
        <w:rPr>
          <w:rFonts w:asciiTheme="majorHAnsi" w:eastAsia="Times New Roman" w:hAnsiTheme="majorHAnsi" w:cs="Times New Roman"/>
          <w:szCs w:val="24"/>
        </w:rPr>
        <w:t xml:space="preserve">, </w:t>
      </w:r>
      <w:proofErr w:type="spellStart"/>
      <w:r w:rsidR="000910CA">
        <w:rPr>
          <w:rFonts w:asciiTheme="majorHAnsi" w:eastAsia="Times New Roman" w:hAnsiTheme="majorHAnsi" w:cs="Times New Roman"/>
          <w:szCs w:val="24"/>
        </w:rPr>
        <w:t>eculizumab</w:t>
      </w:r>
      <w:proofErr w:type="spellEnd"/>
      <w:r w:rsidRPr="00706C71">
        <w:rPr>
          <w:rFonts w:asciiTheme="majorHAnsi" w:eastAsia="Times New Roman" w:hAnsiTheme="majorHAnsi" w:cs="Times New Roman"/>
          <w:szCs w:val="24"/>
        </w:rPr>
        <w:t xml:space="preserve"> </w:t>
      </w:r>
      <w:r w:rsidRPr="0050524F">
        <w:rPr>
          <w:rFonts w:asciiTheme="majorHAnsi" w:eastAsia="Times New Roman" w:hAnsiTheme="majorHAnsi" w:cs="Times New Roman"/>
          <w:i/>
          <w:szCs w:val="24"/>
        </w:rPr>
        <w:t xml:space="preserve">rmc </w:t>
      </w:r>
      <w:r w:rsidRPr="00706C71">
        <w:rPr>
          <w:rFonts w:asciiTheme="majorHAnsi" w:eastAsia="Times New Roman" w:hAnsiTheme="majorHAnsi" w:cs="Times New Roman"/>
          <w:szCs w:val="24"/>
        </w:rPr>
        <w:t>serum concent</w:t>
      </w:r>
      <w:r>
        <w:rPr>
          <w:rFonts w:asciiTheme="majorHAnsi" w:eastAsia="Times New Roman" w:hAnsiTheme="majorHAnsi" w:cs="Times New Roman"/>
          <w:szCs w:val="24"/>
        </w:rPr>
        <w:t>rations of approximately 50-100</w:t>
      </w:r>
      <w:r w:rsidR="0041467E">
        <w:rPr>
          <w:rFonts w:asciiTheme="majorHAnsi" w:eastAsia="Times New Roman" w:hAnsiTheme="majorHAnsi" w:cs="Times New Roman"/>
          <w:szCs w:val="24"/>
        </w:rPr>
        <w:t>μg</w:t>
      </w:r>
      <w:r w:rsidRPr="00706C71">
        <w:rPr>
          <w:rFonts w:asciiTheme="majorHAnsi" w:eastAsia="Times New Roman" w:hAnsiTheme="majorHAnsi" w:cs="Times New Roman"/>
          <w:szCs w:val="24"/>
        </w:rPr>
        <w:t xml:space="preserve">/mL are sufficient for essentially complete inhibition of terminal complement activity. </w:t>
      </w:r>
    </w:p>
    <w:p w14:paraId="109FB23A" w14:textId="14554388" w:rsidR="007C59B8" w:rsidRDefault="00706C71" w:rsidP="007C59B8">
      <w:pPr>
        <w:tabs>
          <w:tab w:val="left" w:pos="567"/>
        </w:tabs>
        <w:autoSpaceDE w:val="0"/>
        <w:autoSpaceDN w:val="0"/>
        <w:rPr>
          <w:rFonts w:asciiTheme="majorHAnsi" w:eastAsia="Times New Roman" w:hAnsiTheme="majorHAnsi" w:cs="Times New Roman"/>
          <w:szCs w:val="24"/>
        </w:rPr>
      </w:pPr>
      <w:r w:rsidRPr="00706C71">
        <w:rPr>
          <w:rFonts w:asciiTheme="majorHAnsi" w:eastAsia="Times New Roman" w:hAnsiTheme="majorHAnsi" w:cs="Times New Roman"/>
          <w:szCs w:val="24"/>
        </w:rPr>
        <w:t xml:space="preserve">In aHUS, chronic administration of </w:t>
      </w:r>
      <w:r>
        <w:rPr>
          <w:rFonts w:asciiTheme="majorHAnsi" w:eastAsia="Times New Roman" w:hAnsiTheme="majorHAnsi" w:cs="Times New Roman"/>
          <w:szCs w:val="24"/>
        </w:rPr>
        <w:t>Soliris</w:t>
      </w:r>
      <w:r w:rsidRPr="00706C71">
        <w:rPr>
          <w:rFonts w:asciiTheme="majorHAnsi" w:eastAsia="Times New Roman" w:hAnsiTheme="majorHAnsi" w:cs="Times New Roman"/>
          <w:szCs w:val="24"/>
        </w:rPr>
        <w:t xml:space="preserve"> resulted in a rapid and sustained reduction in complement mediated thrombotic microangiopathy.</w:t>
      </w:r>
    </w:p>
    <w:p w14:paraId="76211A56" w14:textId="77777777" w:rsidR="001A3992" w:rsidRPr="0039396F" w:rsidRDefault="001A3992" w:rsidP="00BF24C5">
      <w:pPr>
        <w:pStyle w:val="Heading3"/>
        <w:rPr>
          <w:lang w:val="en-US"/>
        </w:rPr>
      </w:pPr>
      <w:r w:rsidRPr="0039396F">
        <w:t>Clinical</w:t>
      </w:r>
      <w:r w:rsidRPr="0039396F">
        <w:rPr>
          <w:lang w:val="en-US"/>
        </w:rPr>
        <w:t xml:space="preserve"> </w:t>
      </w:r>
      <w:r w:rsidR="00AE60D4">
        <w:rPr>
          <w:lang w:val="en-US"/>
        </w:rPr>
        <w:t>T</w:t>
      </w:r>
      <w:r w:rsidR="00AE60D4" w:rsidRPr="0039396F">
        <w:rPr>
          <w:lang w:val="en-US"/>
        </w:rPr>
        <w:t>rials</w:t>
      </w:r>
    </w:p>
    <w:p w14:paraId="6EFC5298" w14:textId="77777777" w:rsidR="00863F51" w:rsidRPr="0039396F" w:rsidRDefault="00863F51" w:rsidP="00F00B64">
      <w:pPr>
        <w:pStyle w:val="Default"/>
        <w:spacing w:before="240" w:after="120"/>
        <w:rPr>
          <w:rFonts w:asciiTheme="majorHAnsi" w:hAnsiTheme="majorHAnsi" w:cs="Times New Roman"/>
          <w:b/>
          <w:color w:val="auto"/>
          <w:lang w:val="en-AU"/>
        </w:rPr>
      </w:pPr>
      <w:r w:rsidRPr="0039396F">
        <w:rPr>
          <w:rFonts w:asciiTheme="majorHAnsi" w:hAnsiTheme="majorHAnsi" w:cs="Times New Roman"/>
          <w:b/>
          <w:color w:val="auto"/>
        </w:rPr>
        <w:t xml:space="preserve">Paroxysmal Nocturnal </w:t>
      </w:r>
      <w:proofErr w:type="spellStart"/>
      <w:r w:rsidRPr="0039396F">
        <w:rPr>
          <w:rFonts w:asciiTheme="majorHAnsi" w:hAnsiTheme="majorHAnsi" w:cs="Times New Roman"/>
          <w:b/>
          <w:color w:val="auto"/>
        </w:rPr>
        <w:t>Haemoglobinuria</w:t>
      </w:r>
      <w:proofErr w:type="spellEnd"/>
      <w:r w:rsidRPr="0039396F">
        <w:rPr>
          <w:rFonts w:asciiTheme="majorHAnsi" w:hAnsiTheme="majorHAnsi" w:cs="Times New Roman"/>
          <w:b/>
          <w:color w:val="auto"/>
        </w:rPr>
        <w:t xml:space="preserve"> (PNH)</w:t>
      </w:r>
    </w:p>
    <w:p w14:paraId="60F98D13" w14:textId="6BCA211B" w:rsidR="00863F51" w:rsidRPr="0039396F" w:rsidRDefault="00863F51" w:rsidP="00633E0A">
      <w:pPr>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The safety and efficacy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in </w:t>
      </w:r>
      <w:r w:rsidR="00474895">
        <w:rPr>
          <w:rFonts w:asciiTheme="majorHAnsi" w:hAnsiTheme="majorHAnsi" w:cs="Times New Roman"/>
          <w:szCs w:val="24"/>
        </w:rPr>
        <w:t xml:space="preserve">patients with </w:t>
      </w:r>
      <w:r w:rsidRPr="0039396F">
        <w:rPr>
          <w:rFonts w:asciiTheme="majorHAnsi" w:hAnsiTheme="majorHAnsi" w:cs="Times New Roman"/>
          <w:szCs w:val="24"/>
        </w:rPr>
        <w:t>PNH with haemolysis were assessed in a randomised, double-blind, placebo-controlled 26-week study (</w:t>
      </w:r>
      <w:r w:rsidRPr="0050524F">
        <w:rPr>
          <w:rFonts w:asciiTheme="majorHAnsi" w:hAnsiTheme="majorHAnsi" w:cs="Times New Roman"/>
          <w:i/>
          <w:szCs w:val="24"/>
        </w:rPr>
        <w:t>C04-001</w:t>
      </w:r>
      <w:r w:rsidRPr="0039396F">
        <w:rPr>
          <w:rFonts w:asciiTheme="majorHAnsi" w:hAnsiTheme="majorHAnsi" w:cs="Times New Roman"/>
          <w:szCs w:val="24"/>
        </w:rPr>
        <w:t>); patients</w:t>
      </w:r>
      <w:r w:rsidR="00A97F07">
        <w:rPr>
          <w:rFonts w:asciiTheme="majorHAnsi" w:hAnsiTheme="majorHAnsi" w:cs="Times New Roman"/>
          <w:szCs w:val="24"/>
        </w:rPr>
        <w:t xml:space="preserve"> with PNH</w:t>
      </w:r>
      <w:r w:rsidRPr="0039396F">
        <w:rPr>
          <w:rFonts w:asciiTheme="majorHAnsi" w:hAnsiTheme="majorHAnsi" w:cs="Times New Roman"/>
          <w:szCs w:val="24"/>
        </w:rPr>
        <w:t xml:space="preserve"> were also treated with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in a single arm 52-week study (</w:t>
      </w:r>
      <w:r w:rsidRPr="0050524F">
        <w:rPr>
          <w:rFonts w:asciiTheme="majorHAnsi" w:hAnsiTheme="majorHAnsi" w:cs="Times New Roman"/>
          <w:i/>
          <w:szCs w:val="24"/>
        </w:rPr>
        <w:t>C04-002</w:t>
      </w:r>
      <w:r w:rsidRPr="0039396F">
        <w:rPr>
          <w:rFonts w:asciiTheme="majorHAnsi" w:hAnsiTheme="majorHAnsi" w:cs="Times New Roman"/>
          <w:szCs w:val="24"/>
        </w:rPr>
        <w:t>); and in a long-term extension study (</w:t>
      </w:r>
      <w:r w:rsidRPr="0050524F">
        <w:rPr>
          <w:rFonts w:asciiTheme="majorHAnsi" w:hAnsiTheme="majorHAnsi" w:cs="Times New Roman"/>
          <w:i/>
          <w:szCs w:val="24"/>
        </w:rPr>
        <w:t>E05-001</w:t>
      </w:r>
      <w:r w:rsidRPr="0039396F">
        <w:rPr>
          <w:rFonts w:asciiTheme="majorHAnsi" w:hAnsiTheme="majorHAnsi" w:cs="Times New Roman"/>
          <w:szCs w:val="24"/>
        </w:rPr>
        <w:t xml:space="preserve">). An observational non-interventional Registry for patients </w:t>
      </w:r>
      <w:r w:rsidR="00A97F07">
        <w:rPr>
          <w:rFonts w:asciiTheme="majorHAnsi" w:hAnsiTheme="majorHAnsi" w:cs="Times New Roman"/>
          <w:szCs w:val="24"/>
        </w:rPr>
        <w:t xml:space="preserve">with PNH </w:t>
      </w:r>
      <w:r w:rsidRPr="0039396F">
        <w:rPr>
          <w:rFonts w:asciiTheme="majorHAnsi" w:hAnsiTheme="majorHAnsi" w:cs="Times New Roman"/>
          <w:szCs w:val="24"/>
        </w:rPr>
        <w:t>(</w:t>
      </w:r>
      <w:r w:rsidRPr="0050524F">
        <w:rPr>
          <w:rFonts w:asciiTheme="majorHAnsi" w:hAnsiTheme="majorHAnsi" w:cs="Times New Roman"/>
          <w:i/>
          <w:szCs w:val="24"/>
        </w:rPr>
        <w:t>M07-001</w:t>
      </w:r>
      <w:r w:rsidRPr="0039396F">
        <w:rPr>
          <w:rFonts w:asciiTheme="majorHAnsi" w:hAnsiTheme="majorHAnsi" w:cs="Times New Roman"/>
          <w:szCs w:val="24"/>
        </w:rPr>
        <w:t xml:space="preserve">) was also initiated to </w:t>
      </w:r>
      <w:r w:rsidR="0041467E" w:rsidRPr="0039396F">
        <w:rPr>
          <w:rFonts w:asciiTheme="majorHAnsi" w:hAnsiTheme="majorHAnsi" w:cs="Times New Roman"/>
          <w:szCs w:val="24"/>
        </w:rPr>
        <w:t>characteri</w:t>
      </w:r>
      <w:r w:rsidR="0041467E">
        <w:rPr>
          <w:rFonts w:asciiTheme="majorHAnsi" w:hAnsiTheme="majorHAnsi" w:cs="Times New Roman"/>
          <w:szCs w:val="24"/>
        </w:rPr>
        <w:t>s</w:t>
      </w:r>
      <w:r w:rsidR="0041467E" w:rsidRPr="0039396F">
        <w:rPr>
          <w:rFonts w:asciiTheme="majorHAnsi" w:hAnsiTheme="majorHAnsi" w:cs="Times New Roman"/>
          <w:szCs w:val="24"/>
        </w:rPr>
        <w:t xml:space="preserve">e </w:t>
      </w:r>
      <w:r w:rsidRPr="0039396F">
        <w:rPr>
          <w:rFonts w:asciiTheme="majorHAnsi" w:hAnsiTheme="majorHAnsi" w:cs="Times New Roman"/>
          <w:szCs w:val="24"/>
        </w:rPr>
        <w:t xml:space="preserve">the natural history of PNH in untreated patients and the clinical outcomes during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treatment.</w:t>
      </w:r>
    </w:p>
    <w:p w14:paraId="59C758E2" w14:textId="77777777" w:rsidR="00863F51" w:rsidRPr="0039396F" w:rsidRDefault="00863F51" w:rsidP="00A97F07">
      <w:pPr>
        <w:autoSpaceDE w:val="0"/>
        <w:autoSpaceDN w:val="0"/>
        <w:adjustRightInd w:val="0"/>
        <w:spacing w:before="120"/>
        <w:rPr>
          <w:rFonts w:asciiTheme="majorHAnsi" w:hAnsiTheme="majorHAnsi" w:cs="Times New Roman"/>
          <w:szCs w:val="24"/>
        </w:rPr>
      </w:pPr>
      <w:r w:rsidRPr="0039396F">
        <w:rPr>
          <w:rFonts w:asciiTheme="majorHAnsi" w:hAnsiTheme="majorHAnsi" w:cs="Times New Roman"/>
          <w:szCs w:val="24"/>
        </w:rPr>
        <w:t xml:space="preserve">Patients received meningococcal vaccination prior to receipt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In all studies, the dose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was 600 mg every 7 ± 2 days for 4 weeks, followed by 900 mg 7 </w:t>
      </w:r>
      <w:r w:rsidRPr="0039396F">
        <w:rPr>
          <w:rFonts w:asciiTheme="majorHAnsi" w:hAnsiTheme="majorHAnsi" w:cs="Times New Roman"/>
          <w:szCs w:val="24"/>
        </w:rPr>
        <w:sym w:font="Symbol" w:char="F0B1"/>
      </w:r>
      <w:r w:rsidRPr="0039396F">
        <w:rPr>
          <w:rFonts w:asciiTheme="majorHAnsi" w:hAnsiTheme="majorHAnsi" w:cs="Times New Roman"/>
          <w:szCs w:val="24"/>
        </w:rPr>
        <w:t xml:space="preserve"> 2 days later, then 900 mg every 14 ± 2 days for the study duration.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was administered as an intravenous infusion over 25 - 45 minutes.</w:t>
      </w:r>
    </w:p>
    <w:p w14:paraId="3BF200AC" w14:textId="77777777" w:rsidR="00863F51" w:rsidRPr="0039396F" w:rsidRDefault="00863F51" w:rsidP="00A97F07">
      <w:pPr>
        <w:spacing w:before="120"/>
        <w:rPr>
          <w:rFonts w:asciiTheme="majorHAnsi" w:hAnsiTheme="majorHAnsi" w:cs="Times New Roman"/>
          <w:szCs w:val="24"/>
          <w:u w:val="single"/>
        </w:rPr>
      </w:pPr>
      <w:r w:rsidRPr="0050524F">
        <w:rPr>
          <w:rFonts w:asciiTheme="majorHAnsi" w:hAnsiTheme="majorHAnsi" w:cs="Times New Roman"/>
          <w:i/>
          <w:szCs w:val="24"/>
          <w:u w:val="single"/>
        </w:rPr>
        <w:t>C04-001</w:t>
      </w:r>
      <w:r w:rsidRPr="0039396F">
        <w:rPr>
          <w:rFonts w:asciiTheme="majorHAnsi" w:hAnsiTheme="majorHAnsi" w:cs="Times New Roman"/>
          <w:szCs w:val="24"/>
          <w:u w:val="single"/>
        </w:rPr>
        <w:t xml:space="preserve"> Study (TRIUMPH)</w:t>
      </w:r>
    </w:p>
    <w:p w14:paraId="4E1094C9" w14:textId="4464F0A9" w:rsidR="00393537" w:rsidRPr="0039396F" w:rsidRDefault="00863F51" w:rsidP="00633E0A">
      <w:pPr>
        <w:rPr>
          <w:rFonts w:asciiTheme="majorHAnsi" w:hAnsiTheme="majorHAnsi" w:cs="Times New Roman"/>
          <w:szCs w:val="24"/>
        </w:rPr>
      </w:pPr>
      <w:r w:rsidRPr="0039396F">
        <w:rPr>
          <w:rFonts w:asciiTheme="majorHAnsi" w:hAnsiTheme="majorHAnsi" w:cs="Times New Roman"/>
          <w:szCs w:val="24"/>
        </w:rPr>
        <w:t>Patients</w:t>
      </w:r>
      <w:r w:rsidR="00A97F07">
        <w:rPr>
          <w:rFonts w:asciiTheme="majorHAnsi" w:hAnsiTheme="majorHAnsi" w:cs="Times New Roman"/>
          <w:szCs w:val="24"/>
        </w:rPr>
        <w:t xml:space="preserve"> with PNH</w:t>
      </w:r>
      <w:r w:rsidRPr="0039396F">
        <w:rPr>
          <w:rFonts w:asciiTheme="majorHAnsi" w:hAnsiTheme="majorHAnsi" w:cs="Times New Roman"/>
          <w:szCs w:val="24"/>
        </w:rPr>
        <w:t xml:space="preserve"> with at least 4 transfusions in the prior 12 months, flow cytometric confirmation of at least 10% PNH </w:t>
      </w:r>
      <w:r w:rsidR="00C90FBB">
        <w:rPr>
          <w:rFonts w:asciiTheme="majorHAnsi" w:hAnsiTheme="majorHAnsi" w:cs="Times New Roman"/>
          <w:szCs w:val="24"/>
        </w:rPr>
        <w:t xml:space="preserve">red blood </w:t>
      </w:r>
      <w:r w:rsidRPr="0039396F">
        <w:rPr>
          <w:rFonts w:asciiTheme="majorHAnsi" w:hAnsiTheme="majorHAnsi" w:cs="Times New Roman"/>
          <w:szCs w:val="24"/>
        </w:rPr>
        <w:t xml:space="preserve">cells and platelet counts of at least 100,000/microlitre were randomised to either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(n = 43) or placebo (n = 44). Prior to </w:t>
      </w:r>
      <w:r w:rsidR="0041467E" w:rsidRPr="0039396F">
        <w:rPr>
          <w:rFonts w:asciiTheme="majorHAnsi" w:hAnsiTheme="majorHAnsi" w:cs="Times New Roman"/>
          <w:szCs w:val="24"/>
        </w:rPr>
        <w:t>randomi</w:t>
      </w:r>
      <w:r w:rsidR="0041467E">
        <w:rPr>
          <w:rFonts w:asciiTheme="majorHAnsi" w:hAnsiTheme="majorHAnsi" w:cs="Times New Roman"/>
          <w:szCs w:val="24"/>
        </w:rPr>
        <w:t>s</w:t>
      </w:r>
      <w:r w:rsidR="0041467E" w:rsidRPr="0039396F">
        <w:rPr>
          <w:rFonts w:asciiTheme="majorHAnsi" w:hAnsiTheme="majorHAnsi" w:cs="Times New Roman"/>
          <w:szCs w:val="24"/>
        </w:rPr>
        <w:t>ation</w:t>
      </w:r>
      <w:r w:rsidRPr="0039396F">
        <w:rPr>
          <w:rFonts w:asciiTheme="majorHAnsi" w:hAnsiTheme="majorHAnsi" w:cs="Times New Roman"/>
          <w:szCs w:val="24"/>
        </w:rPr>
        <w:t xml:space="preserve">, all patients underwent an initial observation period to confirm the need for RBC transfusion and to identify the haemoglobin concentration (the "set-point") which would define each patient’s haemoglobin </w:t>
      </w:r>
      <w:r w:rsidR="0041467E" w:rsidRPr="0039396F">
        <w:rPr>
          <w:rFonts w:asciiTheme="majorHAnsi" w:hAnsiTheme="majorHAnsi" w:cs="Times New Roman"/>
          <w:szCs w:val="24"/>
        </w:rPr>
        <w:t>stabili</w:t>
      </w:r>
      <w:r w:rsidR="0041467E">
        <w:rPr>
          <w:rFonts w:asciiTheme="majorHAnsi" w:hAnsiTheme="majorHAnsi" w:cs="Times New Roman"/>
          <w:szCs w:val="24"/>
        </w:rPr>
        <w:t>s</w:t>
      </w:r>
      <w:r w:rsidR="0041467E" w:rsidRPr="0039396F">
        <w:rPr>
          <w:rFonts w:asciiTheme="majorHAnsi" w:hAnsiTheme="majorHAnsi" w:cs="Times New Roman"/>
          <w:szCs w:val="24"/>
        </w:rPr>
        <w:t xml:space="preserve">ation </w:t>
      </w:r>
      <w:r w:rsidR="00393537" w:rsidRPr="0039396F">
        <w:rPr>
          <w:rFonts w:asciiTheme="majorHAnsi" w:hAnsiTheme="majorHAnsi" w:cs="Times New Roman"/>
          <w:szCs w:val="24"/>
        </w:rPr>
        <w:t>and transfusion outcomes.</w:t>
      </w:r>
      <w:r w:rsidR="00C37276">
        <w:rPr>
          <w:rFonts w:asciiTheme="majorHAnsi" w:hAnsiTheme="majorHAnsi" w:cs="Times New Roman"/>
          <w:szCs w:val="24"/>
        </w:rPr>
        <w:t xml:space="preserve"> </w:t>
      </w:r>
      <w:r w:rsidRPr="0039396F">
        <w:rPr>
          <w:rFonts w:asciiTheme="majorHAnsi" w:hAnsiTheme="majorHAnsi" w:cs="Times New Roman"/>
          <w:szCs w:val="24"/>
        </w:rPr>
        <w:t>The haemoglobin set-po</w:t>
      </w:r>
      <w:r w:rsidR="000F52ED">
        <w:rPr>
          <w:rFonts w:asciiTheme="majorHAnsi" w:hAnsiTheme="majorHAnsi" w:cs="Times New Roman"/>
          <w:szCs w:val="24"/>
        </w:rPr>
        <w:t>int was less than or equal to 9</w:t>
      </w:r>
      <w:r w:rsidRPr="0039396F">
        <w:rPr>
          <w:rFonts w:asciiTheme="majorHAnsi" w:hAnsiTheme="majorHAnsi" w:cs="Times New Roman"/>
          <w:szCs w:val="24"/>
        </w:rPr>
        <w:t>g/dL in patients with symptoms and was less t</w:t>
      </w:r>
      <w:r w:rsidR="000F52ED">
        <w:rPr>
          <w:rFonts w:asciiTheme="majorHAnsi" w:hAnsiTheme="majorHAnsi" w:cs="Times New Roman"/>
          <w:szCs w:val="24"/>
        </w:rPr>
        <w:t>han or equal to 7</w:t>
      </w:r>
      <w:r w:rsidRPr="0039396F">
        <w:rPr>
          <w:rFonts w:asciiTheme="majorHAnsi" w:hAnsiTheme="majorHAnsi" w:cs="Times New Roman"/>
          <w:szCs w:val="24"/>
        </w:rPr>
        <w:t xml:space="preserve">g/dL in patients without symptoms. Endpoints related to haemolysis included the numbers of patients achieving haemoglobin </w:t>
      </w:r>
      <w:r w:rsidR="00F9620C" w:rsidRPr="0039396F">
        <w:rPr>
          <w:rFonts w:asciiTheme="majorHAnsi" w:hAnsiTheme="majorHAnsi" w:cs="Times New Roman"/>
          <w:szCs w:val="24"/>
        </w:rPr>
        <w:t>stabili</w:t>
      </w:r>
      <w:r w:rsidR="00F9620C">
        <w:rPr>
          <w:rFonts w:asciiTheme="majorHAnsi" w:hAnsiTheme="majorHAnsi" w:cs="Times New Roman"/>
          <w:szCs w:val="24"/>
        </w:rPr>
        <w:t>s</w:t>
      </w:r>
      <w:r w:rsidR="00F9620C" w:rsidRPr="0039396F">
        <w:rPr>
          <w:rFonts w:asciiTheme="majorHAnsi" w:hAnsiTheme="majorHAnsi" w:cs="Times New Roman"/>
          <w:szCs w:val="24"/>
        </w:rPr>
        <w:t>ation</w:t>
      </w:r>
      <w:r w:rsidRPr="0039396F">
        <w:rPr>
          <w:rFonts w:asciiTheme="majorHAnsi" w:hAnsiTheme="majorHAnsi" w:cs="Times New Roman"/>
          <w:szCs w:val="24"/>
        </w:rPr>
        <w:t xml:space="preserve">, the number of RBC units transfused, fatigue, and health-related quality of life. To achieve a designation of haemoglobin </w:t>
      </w:r>
      <w:r w:rsidR="00F9620C" w:rsidRPr="0039396F">
        <w:rPr>
          <w:rFonts w:asciiTheme="majorHAnsi" w:hAnsiTheme="majorHAnsi" w:cs="Times New Roman"/>
          <w:szCs w:val="24"/>
        </w:rPr>
        <w:t>stabili</w:t>
      </w:r>
      <w:r w:rsidR="00F9620C">
        <w:rPr>
          <w:rFonts w:asciiTheme="majorHAnsi" w:hAnsiTheme="majorHAnsi" w:cs="Times New Roman"/>
          <w:szCs w:val="24"/>
        </w:rPr>
        <w:t>s</w:t>
      </w:r>
      <w:r w:rsidR="00F9620C" w:rsidRPr="0039396F">
        <w:rPr>
          <w:rFonts w:asciiTheme="majorHAnsi" w:hAnsiTheme="majorHAnsi" w:cs="Times New Roman"/>
          <w:szCs w:val="24"/>
        </w:rPr>
        <w:t>ation</w:t>
      </w:r>
      <w:r w:rsidRPr="0039396F">
        <w:rPr>
          <w:rFonts w:asciiTheme="majorHAnsi" w:hAnsiTheme="majorHAnsi" w:cs="Times New Roman"/>
          <w:szCs w:val="24"/>
        </w:rPr>
        <w:t>, a patient had to maintain a haemoglobin concentration above the haemoglobin set-point and avoid any RBC transfusion for the entire 26-week period. Haemolysis was monitored mainly by the measurement of serum LDH levels, and the proportion of PNH RBCs wa</w:t>
      </w:r>
      <w:r w:rsidR="00FB7B98">
        <w:rPr>
          <w:rFonts w:asciiTheme="majorHAnsi" w:hAnsiTheme="majorHAnsi" w:cs="Times New Roman"/>
          <w:szCs w:val="24"/>
        </w:rPr>
        <w:t>s monitored by flow cytometry.</w:t>
      </w:r>
    </w:p>
    <w:p w14:paraId="6D28B5BD" w14:textId="77777777" w:rsidR="00393537" w:rsidRPr="00F93377" w:rsidRDefault="00393537" w:rsidP="00633E0A">
      <w:pPr>
        <w:rPr>
          <w:rFonts w:asciiTheme="majorHAnsi" w:hAnsiTheme="majorHAnsi" w:cs="Times New Roman"/>
          <w:sz w:val="22"/>
          <w:szCs w:val="24"/>
        </w:rPr>
      </w:pPr>
    </w:p>
    <w:p w14:paraId="4DD101E1" w14:textId="77777777" w:rsidR="00863F51" w:rsidRDefault="00863F51" w:rsidP="00633E0A">
      <w:pPr>
        <w:rPr>
          <w:rFonts w:asciiTheme="majorHAnsi" w:hAnsiTheme="majorHAnsi" w:cs="Times New Roman"/>
          <w:szCs w:val="24"/>
        </w:rPr>
      </w:pPr>
      <w:r w:rsidRPr="0039396F">
        <w:rPr>
          <w:rFonts w:asciiTheme="majorHAnsi" w:hAnsiTheme="majorHAnsi" w:cs="Times New Roman"/>
          <w:szCs w:val="24"/>
        </w:rPr>
        <w:t xml:space="preserve">Patients receiving anticoagulants and systemic corticosteroids at baseline continued these medications.  Major baseline characteristics were balanced (see Table </w:t>
      </w:r>
      <w:r w:rsidR="00FB7B98">
        <w:rPr>
          <w:rFonts w:asciiTheme="majorHAnsi" w:hAnsiTheme="majorHAnsi" w:cs="Times New Roman"/>
          <w:szCs w:val="24"/>
        </w:rPr>
        <w:t>7</w:t>
      </w:r>
      <w:r w:rsidR="00247559">
        <w:rPr>
          <w:rFonts w:asciiTheme="majorHAnsi" w:hAnsiTheme="majorHAnsi" w:cs="Times New Roman"/>
          <w:szCs w:val="24"/>
        </w:rPr>
        <w:t xml:space="preserve"> below</w:t>
      </w:r>
      <w:r w:rsidRPr="0039396F">
        <w:rPr>
          <w:rFonts w:asciiTheme="majorHAnsi" w:hAnsiTheme="majorHAnsi" w:cs="Times New Roman"/>
          <w:szCs w:val="24"/>
        </w:rPr>
        <w:t xml:space="preserve">).  </w:t>
      </w:r>
      <w:r w:rsidRPr="0039396F">
        <w:rPr>
          <w:rFonts w:asciiTheme="majorHAnsi" w:hAnsiTheme="majorHAnsi" w:cs="Times New Roman"/>
          <w:szCs w:val="24"/>
        </w:rPr>
        <w:lastRenderedPageBreak/>
        <w:t xml:space="preserve">Because of the study sample size and duration, the effects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on thrombotic events could not be determined.</w:t>
      </w:r>
    </w:p>
    <w:p w14:paraId="6641F611" w14:textId="77777777" w:rsidR="0050524F" w:rsidRPr="00F93377" w:rsidRDefault="0050524F" w:rsidP="00633E0A">
      <w:pPr>
        <w:rPr>
          <w:rFonts w:asciiTheme="majorHAnsi" w:hAnsiTheme="majorHAnsi" w:cs="Times New Roman"/>
          <w:sz w:val="22"/>
          <w:szCs w:val="24"/>
        </w:rPr>
      </w:pPr>
    </w:p>
    <w:p w14:paraId="0B89E882" w14:textId="77777777" w:rsidR="00863F51" w:rsidRPr="006235F7" w:rsidRDefault="00863F51" w:rsidP="00863F51">
      <w:pPr>
        <w:rPr>
          <w:rFonts w:asciiTheme="majorHAnsi" w:hAnsiTheme="majorHAnsi" w:cs="Times New Roman"/>
          <w:szCs w:val="24"/>
          <w:u w:val="single"/>
        </w:rPr>
      </w:pPr>
      <w:r w:rsidRPr="0050524F">
        <w:rPr>
          <w:rFonts w:asciiTheme="majorHAnsi" w:hAnsiTheme="majorHAnsi" w:cs="Times New Roman"/>
          <w:i/>
          <w:szCs w:val="24"/>
          <w:u w:val="single"/>
        </w:rPr>
        <w:t>C04-002 Study</w:t>
      </w:r>
      <w:r w:rsidRPr="006235F7">
        <w:rPr>
          <w:rFonts w:asciiTheme="majorHAnsi" w:hAnsiTheme="majorHAnsi" w:cs="Times New Roman"/>
          <w:szCs w:val="24"/>
          <w:u w:val="single"/>
        </w:rPr>
        <w:t xml:space="preserve"> (SHEPHERD)</w:t>
      </w:r>
    </w:p>
    <w:p w14:paraId="44A98025" w14:textId="6D1DC0EE" w:rsidR="00863F51" w:rsidRPr="0039396F" w:rsidRDefault="00863F51" w:rsidP="00F406F9">
      <w:pPr>
        <w:autoSpaceDE w:val="0"/>
        <w:autoSpaceDN w:val="0"/>
        <w:adjustRightInd w:val="0"/>
        <w:spacing w:line="276" w:lineRule="auto"/>
        <w:rPr>
          <w:rFonts w:asciiTheme="majorHAnsi" w:hAnsiTheme="majorHAnsi" w:cs="Times New Roman"/>
          <w:szCs w:val="24"/>
        </w:rPr>
      </w:pPr>
      <w:r w:rsidRPr="0039396F">
        <w:rPr>
          <w:rFonts w:asciiTheme="majorHAnsi" w:hAnsiTheme="majorHAnsi" w:cs="Times New Roman"/>
          <w:szCs w:val="24"/>
        </w:rPr>
        <w:t>Patients</w:t>
      </w:r>
      <w:r w:rsidR="00A97F07">
        <w:rPr>
          <w:rFonts w:asciiTheme="majorHAnsi" w:hAnsiTheme="majorHAnsi" w:cs="Times New Roman"/>
          <w:szCs w:val="24"/>
        </w:rPr>
        <w:t xml:space="preserve"> with PNH</w:t>
      </w:r>
      <w:r w:rsidRPr="0039396F">
        <w:rPr>
          <w:rFonts w:asciiTheme="majorHAnsi" w:hAnsiTheme="majorHAnsi" w:cs="Times New Roman"/>
          <w:szCs w:val="24"/>
        </w:rPr>
        <w:t xml:space="preserve"> with at least one transfusion in the prio</w:t>
      </w:r>
      <w:r w:rsidR="00FB7B98">
        <w:rPr>
          <w:rFonts w:asciiTheme="majorHAnsi" w:hAnsiTheme="majorHAnsi" w:cs="Times New Roman"/>
          <w:szCs w:val="24"/>
        </w:rPr>
        <w:t xml:space="preserve">r 24 months and at least 30,000 </w:t>
      </w:r>
      <w:r w:rsidRPr="0039396F">
        <w:rPr>
          <w:rFonts w:asciiTheme="majorHAnsi" w:hAnsiTheme="majorHAnsi" w:cs="Times New Roman"/>
          <w:szCs w:val="24"/>
        </w:rPr>
        <w:t xml:space="preserve">platelets/microlitre received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over a 52-week period.  Concomitant medications included anti-thrombotic agents in 63% of the patients and systemic corticosteroids in 40% of the patients. Baseline characteristics are shown in </w:t>
      </w:r>
      <w:r w:rsidR="00474895">
        <w:rPr>
          <w:rFonts w:asciiTheme="majorHAnsi" w:hAnsiTheme="majorHAnsi" w:cs="Times New Roman"/>
          <w:szCs w:val="24"/>
        </w:rPr>
        <w:fldChar w:fldCharType="begin"/>
      </w:r>
      <w:r w:rsidR="00474895">
        <w:rPr>
          <w:rFonts w:asciiTheme="majorHAnsi" w:hAnsiTheme="majorHAnsi" w:cs="Times New Roman"/>
          <w:szCs w:val="24"/>
        </w:rPr>
        <w:instrText xml:space="preserve"> REF _Ref18591877 \h </w:instrText>
      </w:r>
      <w:r w:rsidR="00474895">
        <w:rPr>
          <w:rFonts w:asciiTheme="majorHAnsi" w:hAnsiTheme="majorHAnsi" w:cs="Times New Roman"/>
          <w:szCs w:val="24"/>
        </w:rPr>
      </w:r>
      <w:r w:rsidR="00474895">
        <w:rPr>
          <w:rFonts w:asciiTheme="majorHAnsi" w:hAnsiTheme="majorHAnsi" w:cs="Times New Roman"/>
          <w:szCs w:val="24"/>
        </w:rPr>
        <w:fldChar w:fldCharType="separate"/>
      </w:r>
      <w:r w:rsidR="00AE6672">
        <w:t xml:space="preserve">Table </w:t>
      </w:r>
      <w:r w:rsidR="00AE6672">
        <w:rPr>
          <w:noProof/>
        </w:rPr>
        <w:t>8</w:t>
      </w:r>
      <w:r w:rsidR="00474895">
        <w:rPr>
          <w:rFonts w:asciiTheme="majorHAnsi" w:hAnsiTheme="majorHAnsi" w:cs="Times New Roman"/>
          <w:szCs w:val="24"/>
        </w:rPr>
        <w:fldChar w:fldCharType="end"/>
      </w:r>
      <w:r w:rsidR="00FB7B98">
        <w:rPr>
          <w:rFonts w:asciiTheme="majorHAnsi" w:hAnsiTheme="majorHAnsi" w:cs="Times New Roman"/>
          <w:szCs w:val="24"/>
        </w:rPr>
        <w:t>.</w:t>
      </w:r>
    </w:p>
    <w:p w14:paraId="35A5D8C5" w14:textId="4B89506A" w:rsidR="00863F51" w:rsidRPr="00BE4695" w:rsidRDefault="00474895" w:rsidP="00AE2D6F">
      <w:pPr>
        <w:pStyle w:val="Caption"/>
        <w:spacing w:after="120"/>
        <w:rPr>
          <w:rFonts w:asciiTheme="majorHAnsi" w:hAnsiTheme="majorHAnsi"/>
        </w:rPr>
      </w:pPr>
      <w:bookmarkStart w:id="12" w:name="_Ref18591877"/>
      <w:r>
        <w:t xml:space="preserve">Table </w:t>
      </w:r>
      <w:r w:rsidR="00345186">
        <w:fldChar w:fldCharType="begin"/>
      </w:r>
      <w:r w:rsidR="00345186">
        <w:instrText xml:space="preserve"> SEQ Table \* ARABIC </w:instrText>
      </w:r>
      <w:r w:rsidR="00345186">
        <w:fldChar w:fldCharType="separate"/>
      </w:r>
      <w:r w:rsidR="00345186">
        <w:rPr>
          <w:noProof/>
        </w:rPr>
        <w:t>8</w:t>
      </w:r>
      <w:r w:rsidR="00345186">
        <w:fldChar w:fldCharType="end"/>
      </w:r>
      <w:bookmarkEnd w:id="12"/>
      <w:r>
        <w:t xml:space="preserve">: </w:t>
      </w:r>
      <w:r w:rsidR="00863F51" w:rsidRPr="00BE4695">
        <w:rPr>
          <w:rFonts w:asciiTheme="majorHAnsi" w:hAnsiTheme="majorHAnsi"/>
        </w:rPr>
        <w:t xml:space="preserve">Patient Demographics and Characteristics in </w:t>
      </w:r>
      <w:r w:rsidR="00863F51" w:rsidRPr="00BE4695">
        <w:rPr>
          <w:rFonts w:asciiTheme="majorHAnsi" w:hAnsiTheme="majorHAnsi"/>
          <w:i/>
        </w:rPr>
        <w:t>C04-001</w:t>
      </w:r>
      <w:r w:rsidR="00863F51" w:rsidRPr="00BE4695">
        <w:rPr>
          <w:rFonts w:asciiTheme="majorHAnsi" w:hAnsiTheme="majorHAnsi"/>
        </w:rPr>
        <w:t xml:space="preserve"> and </w:t>
      </w:r>
      <w:r w:rsidR="00863F51" w:rsidRPr="00BE4695">
        <w:rPr>
          <w:rFonts w:asciiTheme="majorHAnsi" w:hAnsiTheme="majorHAnsi"/>
          <w:i/>
        </w:rPr>
        <w:t>C04-002</w:t>
      </w:r>
      <w:r w:rsidR="00863F51" w:rsidRPr="00BE4695">
        <w:rPr>
          <w:rFonts w:asciiTheme="majorHAnsi" w:hAnsiTheme="majorHAnsi"/>
        </w:rPr>
        <w:t xml:space="preserve"> Studies</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318"/>
        <w:gridCol w:w="1492"/>
        <w:gridCol w:w="1720"/>
      </w:tblGrid>
      <w:tr w:rsidR="00C2354D" w:rsidRPr="006235F7" w14:paraId="6617F7EE" w14:textId="77777777" w:rsidTr="00F93377">
        <w:trPr>
          <w:trHeight w:hRule="exact" w:val="392"/>
          <w:tblHeader/>
        </w:trPr>
        <w:tc>
          <w:tcPr>
            <w:tcW w:w="2440" w:type="pct"/>
            <w:vAlign w:val="center"/>
          </w:tcPr>
          <w:p w14:paraId="3679C26D" w14:textId="77777777" w:rsidR="00863F51" w:rsidRPr="006235F7" w:rsidRDefault="00863F51" w:rsidP="006C5055">
            <w:pPr>
              <w:autoSpaceDE w:val="0"/>
              <w:autoSpaceDN w:val="0"/>
              <w:adjustRightInd w:val="0"/>
              <w:spacing w:before="20" w:after="20"/>
              <w:rPr>
                <w:rFonts w:asciiTheme="majorHAnsi" w:hAnsiTheme="majorHAnsi" w:cs="Times New Roman"/>
                <w:b/>
                <w:sz w:val="22"/>
              </w:rPr>
            </w:pPr>
          </w:p>
        </w:tc>
        <w:tc>
          <w:tcPr>
            <w:tcW w:w="1587" w:type="pct"/>
            <w:gridSpan w:val="2"/>
            <w:vAlign w:val="center"/>
          </w:tcPr>
          <w:p w14:paraId="7824A6A9"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C04-001 Study</w:t>
            </w:r>
          </w:p>
        </w:tc>
        <w:tc>
          <w:tcPr>
            <w:tcW w:w="972" w:type="pct"/>
            <w:vAlign w:val="center"/>
          </w:tcPr>
          <w:p w14:paraId="311AA425"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C04-002 Study</w:t>
            </w:r>
          </w:p>
        </w:tc>
      </w:tr>
      <w:tr w:rsidR="00C2354D" w:rsidRPr="006235F7" w14:paraId="1C5DE859" w14:textId="77777777" w:rsidTr="00F93377">
        <w:trPr>
          <w:trHeight w:hRule="exact" w:val="604"/>
          <w:tblHeader/>
        </w:trPr>
        <w:tc>
          <w:tcPr>
            <w:tcW w:w="2440" w:type="pct"/>
            <w:vAlign w:val="center"/>
          </w:tcPr>
          <w:p w14:paraId="408F5328" w14:textId="77777777" w:rsidR="00863F51" w:rsidRPr="006235F7" w:rsidRDefault="00863F51" w:rsidP="006C5055">
            <w:pPr>
              <w:autoSpaceDE w:val="0"/>
              <w:autoSpaceDN w:val="0"/>
              <w:adjustRightInd w:val="0"/>
              <w:spacing w:before="20" w:after="20"/>
              <w:rPr>
                <w:rFonts w:asciiTheme="majorHAnsi" w:hAnsiTheme="majorHAnsi" w:cs="Times New Roman"/>
                <w:b/>
                <w:sz w:val="22"/>
              </w:rPr>
            </w:pPr>
            <w:r w:rsidRPr="006235F7">
              <w:rPr>
                <w:rFonts w:asciiTheme="majorHAnsi" w:hAnsiTheme="majorHAnsi" w:cs="Times New Roman"/>
                <w:b/>
                <w:sz w:val="22"/>
              </w:rPr>
              <w:t>Parameter</w:t>
            </w:r>
          </w:p>
        </w:tc>
        <w:tc>
          <w:tcPr>
            <w:tcW w:w="744" w:type="pct"/>
            <w:vAlign w:val="center"/>
          </w:tcPr>
          <w:p w14:paraId="5575FC5F"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Placebo</w:t>
            </w:r>
            <w:r w:rsidRPr="006235F7">
              <w:rPr>
                <w:rFonts w:asciiTheme="majorHAnsi" w:hAnsiTheme="majorHAnsi" w:cs="Times New Roman"/>
                <w:b/>
                <w:sz w:val="22"/>
              </w:rPr>
              <w:br/>
            </w:r>
            <w:r w:rsidRPr="006235F7">
              <w:rPr>
                <w:rFonts w:asciiTheme="majorHAnsi" w:hAnsiTheme="majorHAnsi" w:cs="Times New Roman"/>
                <w:sz w:val="22"/>
              </w:rPr>
              <w:t>N = 44</w:t>
            </w:r>
          </w:p>
        </w:tc>
        <w:tc>
          <w:tcPr>
            <w:tcW w:w="843" w:type="pct"/>
            <w:vAlign w:val="center"/>
          </w:tcPr>
          <w:p w14:paraId="2A5FB65C" w14:textId="77777777" w:rsidR="00863F51" w:rsidRPr="006235F7" w:rsidRDefault="007F109E" w:rsidP="007F109E">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S</w:t>
            </w:r>
            <w:r>
              <w:rPr>
                <w:rFonts w:asciiTheme="majorHAnsi" w:hAnsiTheme="majorHAnsi" w:cs="Times New Roman"/>
                <w:b/>
                <w:sz w:val="22"/>
              </w:rPr>
              <w:t>oliris</w:t>
            </w:r>
            <w:r w:rsidR="00863F51" w:rsidRPr="006235F7">
              <w:rPr>
                <w:rFonts w:asciiTheme="majorHAnsi" w:hAnsiTheme="majorHAnsi" w:cs="Times New Roman"/>
                <w:b/>
                <w:sz w:val="22"/>
              </w:rPr>
              <w:br/>
            </w:r>
            <w:r w:rsidR="00863F51" w:rsidRPr="006235F7">
              <w:rPr>
                <w:rFonts w:asciiTheme="majorHAnsi" w:hAnsiTheme="majorHAnsi" w:cs="Times New Roman"/>
                <w:sz w:val="22"/>
              </w:rPr>
              <w:t>N = 43</w:t>
            </w:r>
          </w:p>
        </w:tc>
        <w:tc>
          <w:tcPr>
            <w:tcW w:w="972" w:type="pct"/>
            <w:vAlign w:val="center"/>
          </w:tcPr>
          <w:p w14:paraId="34E3A5D7" w14:textId="77777777" w:rsidR="00863F51" w:rsidRPr="006235F7" w:rsidRDefault="007F109E" w:rsidP="007F109E">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S</w:t>
            </w:r>
            <w:r>
              <w:rPr>
                <w:rFonts w:asciiTheme="majorHAnsi" w:hAnsiTheme="majorHAnsi" w:cs="Times New Roman"/>
                <w:b/>
                <w:sz w:val="22"/>
              </w:rPr>
              <w:t>oliris</w:t>
            </w:r>
            <w:r w:rsidR="00863F51" w:rsidRPr="006235F7">
              <w:rPr>
                <w:rFonts w:asciiTheme="majorHAnsi" w:hAnsiTheme="majorHAnsi" w:cs="Times New Roman"/>
                <w:b/>
                <w:sz w:val="22"/>
              </w:rPr>
              <w:br/>
            </w:r>
            <w:r w:rsidR="00863F51" w:rsidRPr="006235F7">
              <w:rPr>
                <w:rFonts w:asciiTheme="majorHAnsi" w:hAnsiTheme="majorHAnsi" w:cs="Times New Roman"/>
                <w:sz w:val="22"/>
              </w:rPr>
              <w:t>N = 97</w:t>
            </w:r>
          </w:p>
        </w:tc>
      </w:tr>
      <w:tr w:rsidR="00C2354D" w:rsidRPr="006235F7" w14:paraId="373B9F42" w14:textId="77777777" w:rsidTr="00F93377">
        <w:tc>
          <w:tcPr>
            <w:tcW w:w="2440" w:type="pct"/>
          </w:tcPr>
          <w:p w14:paraId="59A75D7F"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Mean Age (SD)</w:t>
            </w:r>
          </w:p>
        </w:tc>
        <w:tc>
          <w:tcPr>
            <w:tcW w:w="744" w:type="pct"/>
            <w:vAlign w:val="center"/>
          </w:tcPr>
          <w:p w14:paraId="04BAAFB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38.4 (13.4)</w:t>
            </w:r>
          </w:p>
        </w:tc>
        <w:tc>
          <w:tcPr>
            <w:tcW w:w="843" w:type="pct"/>
            <w:vAlign w:val="center"/>
          </w:tcPr>
          <w:p w14:paraId="08F3225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42.1 (15.5)</w:t>
            </w:r>
          </w:p>
        </w:tc>
        <w:tc>
          <w:tcPr>
            <w:tcW w:w="972" w:type="pct"/>
            <w:vAlign w:val="center"/>
          </w:tcPr>
          <w:p w14:paraId="72796C46"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41.1 (14.4)</w:t>
            </w:r>
          </w:p>
        </w:tc>
      </w:tr>
      <w:tr w:rsidR="00C2354D" w:rsidRPr="006235F7" w14:paraId="241AA049" w14:textId="77777777" w:rsidTr="00F93377">
        <w:tc>
          <w:tcPr>
            <w:tcW w:w="2440" w:type="pct"/>
          </w:tcPr>
          <w:p w14:paraId="05597B20"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Gender - Female (%)</w:t>
            </w:r>
          </w:p>
        </w:tc>
        <w:tc>
          <w:tcPr>
            <w:tcW w:w="744" w:type="pct"/>
            <w:vAlign w:val="center"/>
          </w:tcPr>
          <w:p w14:paraId="54D52D6D"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29 (65.9)</w:t>
            </w:r>
          </w:p>
        </w:tc>
        <w:tc>
          <w:tcPr>
            <w:tcW w:w="843" w:type="pct"/>
            <w:vAlign w:val="center"/>
          </w:tcPr>
          <w:p w14:paraId="113C8E4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23 (53.5)</w:t>
            </w:r>
          </w:p>
        </w:tc>
        <w:tc>
          <w:tcPr>
            <w:tcW w:w="972" w:type="pct"/>
            <w:vAlign w:val="center"/>
          </w:tcPr>
          <w:p w14:paraId="5B2B3845"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49 (50.5)</w:t>
            </w:r>
          </w:p>
        </w:tc>
      </w:tr>
      <w:tr w:rsidR="00C2354D" w:rsidRPr="006235F7" w14:paraId="78C89E98" w14:textId="77777777" w:rsidTr="00F93377">
        <w:tc>
          <w:tcPr>
            <w:tcW w:w="2440" w:type="pct"/>
          </w:tcPr>
          <w:p w14:paraId="2C83D59B"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History of Aplastic Anaemia or MDS (%)</w:t>
            </w:r>
          </w:p>
        </w:tc>
        <w:tc>
          <w:tcPr>
            <w:tcW w:w="744" w:type="pct"/>
            <w:vAlign w:val="center"/>
          </w:tcPr>
          <w:p w14:paraId="58A660E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12 (27.3)</w:t>
            </w:r>
          </w:p>
        </w:tc>
        <w:tc>
          <w:tcPr>
            <w:tcW w:w="843" w:type="pct"/>
            <w:vAlign w:val="center"/>
          </w:tcPr>
          <w:p w14:paraId="01E0E766"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8 (18.7)</w:t>
            </w:r>
          </w:p>
        </w:tc>
        <w:tc>
          <w:tcPr>
            <w:tcW w:w="972" w:type="pct"/>
            <w:vAlign w:val="center"/>
          </w:tcPr>
          <w:p w14:paraId="2C19E73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29 (29.9)</w:t>
            </w:r>
          </w:p>
        </w:tc>
      </w:tr>
      <w:tr w:rsidR="00C2354D" w:rsidRPr="006235F7" w14:paraId="36B06A31" w14:textId="77777777" w:rsidTr="00F93377">
        <w:tc>
          <w:tcPr>
            <w:tcW w:w="2440" w:type="pct"/>
          </w:tcPr>
          <w:p w14:paraId="43792E18"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Patients with history of thrombosis (events)</w:t>
            </w:r>
          </w:p>
        </w:tc>
        <w:tc>
          <w:tcPr>
            <w:tcW w:w="744" w:type="pct"/>
            <w:vAlign w:val="center"/>
          </w:tcPr>
          <w:p w14:paraId="1AEA38BF"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8 (11)</w:t>
            </w:r>
          </w:p>
        </w:tc>
        <w:tc>
          <w:tcPr>
            <w:tcW w:w="843" w:type="pct"/>
            <w:vAlign w:val="center"/>
          </w:tcPr>
          <w:p w14:paraId="268FABB0"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9 (16)</w:t>
            </w:r>
          </w:p>
        </w:tc>
        <w:tc>
          <w:tcPr>
            <w:tcW w:w="972" w:type="pct"/>
            <w:vAlign w:val="center"/>
          </w:tcPr>
          <w:p w14:paraId="70BA508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42 (91)</w:t>
            </w:r>
          </w:p>
        </w:tc>
      </w:tr>
      <w:tr w:rsidR="00C2354D" w:rsidRPr="006235F7" w14:paraId="669FD2B0" w14:textId="77777777" w:rsidTr="00F93377">
        <w:tc>
          <w:tcPr>
            <w:tcW w:w="2440" w:type="pct"/>
          </w:tcPr>
          <w:p w14:paraId="28E6AC26"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Concomitant Anticoagulants (%)</w:t>
            </w:r>
          </w:p>
        </w:tc>
        <w:tc>
          <w:tcPr>
            <w:tcW w:w="744" w:type="pct"/>
            <w:vAlign w:val="center"/>
          </w:tcPr>
          <w:p w14:paraId="3466F92F"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20 (45.5)</w:t>
            </w:r>
          </w:p>
        </w:tc>
        <w:tc>
          <w:tcPr>
            <w:tcW w:w="843" w:type="pct"/>
            <w:vAlign w:val="center"/>
          </w:tcPr>
          <w:p w14:paraId="6D724F92"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24 (55.8)</w:t>
            </w:r>
          </w:p>
        </w:tc>
        <w:tc>
          <w:tcPr>
            <w:tcW w:w="972" w:type="pct"/>
            <w:vAlign w:val="center"/>
          </w:tcPr>
          <w:p w14:paraId="55638987"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59 (61)</w:t>
            </w:r>
          </w:p>
        </w:tc>
      </w:tr>
      <w:tr w:rsidR="00C2354D" w:rsidRPr="006235F7" w14:paraId="169D8C37" w14:textId="77777777" w:rsidTr="00F93377">
        <w:tc>
          <w:tcPr>
            <w:tcW w:w="2440" w:type="pct"/>
          </w:tcPr>
          <w:p w14:paraId="1C629131"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Concomitant Steroids/Immunosuppressant Treatments (%)</w:t>
            </w:r>
          </w:p>
        </w:tc>
        <w:tc>
          <w:tcPr>
            <w:tcW w:w="744" w:type="pct"/>
            <w:vAlign w:val="center"/>
          </w:tcPr>
          <w:p w14:paraId="0C68C3D2"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16 (36.4)</w:t>
            </w:r>
          </w:p>
        </w:tc>
        <w:tc>
          <w:tcPr>
            <w:tcW w:w="843" w:type="pct"/>
            <w:vAlign w:val="center"/>
          </w:tcPr>
          <w:p w14:paraId="2A2CF98D"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14 (32.6)</w:t>
            </w:r>
          </w:p>
        </w:tc>
        <w:tc>
          <w:tcPr>
            <w:tcW w:w="972" w:type="pct"/>
            <w:vAlign w:val="center"/>
          </w:tcPr>
          <w:p w14:paraId="1A6E5AC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46 (47.4)</w:t>
            </w:r>
          </w:p>
        </w:tc>
      </w:tr>
      <w:tr w:rsidR="00C2354D" w:rsidRPr="006235F7" w14:paraId="68F3CDF1" w14:textId="77777777" w:rsidTr="00F93377">
        <w:tc>
          <w:tcPr>
            <w:tcW w:w="2440" w:type="pct"/>
          </w:tcPr>
          <w:p w14:paraId="3518E07D"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Discontinued treatment</w:t>
            </w:r>
          </w:p>
        </w:tc>
        <w:tc>
          <w:tcPr>
            <w:tcW w:w="744" w:type="pct"/>
            <w:vAlign w:val="center"/>
          </w:tcPr>
          <w:p w14:paraId="1668F254"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10</w:t>
            </w:r>
          </w:p>
        </w:tc>
        <w:tc>
          <w:tcPr>
            <w:tcW w:w="843" w:type="pct"/>
            <w:vAlign w:val="center"/>
          </w:tcPr>
          <w:p w14:paraId="53254EF7"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w:t>
            </w:r>
          </w:p>
        </w:tc>
        <w:tc>
          <w:tcPr>
            <w:tcW w:w="972" w:type="pct"/>
            <w:vAlign w:val="center"/>
          </w:tcPr>
          <w:p w14:paraId="59533A6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w:t>
            </w:r>
          </w:p>
        </w:tc>
      </w:tr>
      <w:tr w:rsidR="00C2354D" w:rsidRPr="006235F7" w14:paraId="505A6973" w14:textId="77777777" w:rsidTr="00F93377">
        <w:tc>
          <w:tcPr>
            <w:tcW w:w="2440" w:type="pct"/>
            <w:vAlign w:val="center"/>
          </w:tcPr>
          <w:p w14:paraId="6C30788E" w14:textId="35900B6B" w:rsidR="00863F51" w:rsidRPr="006235F7" w:rsidRDefault="00C90FBB" w:rsidP="006C5055">
            <w:pPr>
              <w:autoSpaceDE w:val="0"/>
              <w:autoSpaceDN w:val="0"/>
              <w:adjustRightInd w:val="0"/>
              <w:spacing w:before="20" w:after="20"/>
              <w:rPr>
                <w:rFonts w:asciiTheme="majorHAnsi" w:hAnsiTheme="majorHAnsi" w:cs="Times New Roman"/>
                <w:sz w:val="22"/>
              </w:rPr>
            </w:pPr>
            <w:r>
              <w:rPr>
                <w:rFonts w:asciiTheme="majorHAnsi" w:hAnsiTheme="majorHAnsi" w:cs="Times New Roman"/>
                <w:sz w:val="22"/>
              </w:rPr>
              <w:t>Packed Red Blood Cells (</w:t>
            </w:r>
            <w:r w:rsidR="00863F51" w:rsidRPr="006235F7">
              <w:rPr>
                <w:rFonts w:asciiTheme="majorHAnsi" w:hAnsiTheme="majorHAnsi" w:cs="Times New Roman"/>
                <w:sz w:val="22"/>
              </w:rPr>
              <w:t>PRBC</w:t>
            </w:r>
            <w:r>
              <w:rPr>
                <w:rFonts w:asciiTheme="majorHAnsi" w:hAnsiTheme="majorHAnsi" w:cs="Times New Roman"/>
                <w:sz w:val="22"/>
              </w:rPr>
              <w:t>)</w:t>
            </w:r>
            <w:r w:rsidR="00863F51" w:rsidRPr="006235F7">
              <w:rPr>
                <w:rFonts w:asciiTheme="majorHAnsi" w:hAnsiTheme="majorHAnsi" w:cs="Times New Roman"/>
                <w:sz w:val="22"/>
              </w:rPr>
              <w:t xml:space="preserve"> in previous 12 months [median (Q1,</w:t>
            </w:r>
            <w:r w:rsidR="00702A3C">
              <w:rPr>
                <w:rFonts w:asciiTheme="majorHAnsi" w:hAnsiTheme="majorHAnsi" w:cs="Times New Roman"/>
                <w:sz w:val="22"/>
              </w:rPr>
              <w:t xml:space="preserve"> </w:t>
            </w:r>
            <w:r w:rsidR="00863F51" w:rsidRPr="006235F7">
              <w:rPr>
                <w:rFonts w:asciiTheme="majorHAnsi" w:hAnsiTheme="majorHAnsi" w:cs="Times New Roman"/>
                <w:sz w:val="22"/>
              </w:rPr>
              <w:t>Q3)]</w:t>
            </w:r>
          </w:p>
        </w:tc>
        <w:tc>
          <w:tcPr>
            <w:tcW w:w="744" w:type="pct"/>
            <w:vAlign w:val="center"/>
          </w:tcPr>
          <w:p w14:paraId="1A8DCFE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 xml:space="preserve">17.0 </w:t>
            </w:r>
            <w:r w:rsidRPr="006235F7">
              <w:rPr>
                <w:rFonts w:asciiTheme="majorHAnsi" w:hAnsiTheme="majorHAnsi" w:cs="Times New Roman"/>
                <w:sz w:val="22"/>
              </w:rPr>
              <w:br/>
              <w:t>(13.5, 25.0)</w:t>
            </w:r>
          </w:p>
        </w:tc>
        <w:tc>
          <w:tcPr>
            <w:tcW w:w="843" w:type="pct"/>
            <w:vAlign w:val="center"/>
          </w:tcPr>
          <w:p w14:paraId="4D6DB58C"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 xml:space="preserve">18.0 </w:t>
            </w:r>
            <w:r w:rsidRPr="006235F7">
              <w:rPr>
                <w:rFonts w:asciiTheme="majorHAnsi" w:hAnsiTheme="majorHAnsi" w:cs="Times New Roman"/>
                <w:sz w:val="22"/>
              </w:rPr>
              <w:br/>
              <w:t>(12.0, 24.0)</w:t>
            </w:r>
          </w:p>
        </w:tc>
        <w:tc>
          <w:tcPr>
            <w:tcW w:w="972" w:type="pct"/>
            <w:vAlign w:val="center"/>
          </w:tcPr>
          <w:p w14:paraId="04DA938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 xml:space="preserve">8.0 </w:t>
            </w:r>
            <w:r w:rsidRPr="006235F7">
              <w:rPr>
                <w:rFonts w:asciiTheme="majorHAnsi" w:hAnsiTheme="majorHAnsi" w:cs="Times New Roman"/>
                <w:sz w:val="22"/>
              </w:rPr>
              <w:br/>
              <w:t>(4.0, 24.0)</w:t>
            </w:r>
          </w:p>
        </w:tc>
      </w:tr>
      <w:tr w:rsidR="00C2354D" w:rsidRPr="006235F7" w14:paraId="3772523F" w14:textId="77777777" w:rsidTr="00F93377">
        <w:tc>
          <w:tcPr>
            <w:tcW w:w="2440" w:type="pct"/>
          </w:tcPr>
          <w:p w14:paraId="378C3E97"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Mean Hgb level (g/dL) at set-point (SD)</w:t>
            </w:r>
          </w:p>
        </w:tc>
        <w:tc>
          <w:tcPr>
            <w:tcW w:w="744" w:type="pct"/>
          </w:tcPr>
          <w:p w14:paraId="1A49EA3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7.7 (0.75)</w:t>
            </w:r>
          </w:p>
        </w:tc>
        <w:tc>
          <w:tcPr>
            <w:tcW w:w="843" w:type="pct"/>
          </w:tcPr>
          <w:p w14:paraId="20AB252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7.8 (0.79)</w:t>
            </w:r>
          </w:p>
        </w:tc>
        <w:tc>
          <w:tcPr>
            <w:tcW w:w="972" w:type="pct"/>
          </w:tcPr>
          <w:p w14:paraId="60BC6B6E"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N/A</w:t>
            </w:r>
          </w:p>
        </w:tc>
      </w:tr>
      <w:tr w:rsidR="00C2354D" w:rsidRPr="006235F7" w14:paraId="26301906" w14:textId="77777777" w:rsidTr="00F93377">
        <w:tc>
          <w:tcPr>
            <w:tcW w:w="2440" w:type="pct"/>
          </w:tcPr>
          <w:p w14:paraId="37CA1B52"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Pre-treatment LDH levels (median, U/L)</w:t>
            </w:r>
          </w:p>
        </w:tc>
        <w:tc>
          <w:tcPr>
            <w:tcW w:w="744" w:type="pct"/>
          </w:tcPr>
          <w:p w14:paraId="5F86E9DC"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2,234.5</w:t>
            </w:r>
          </w:p>
        </w:tc>
        <w:tc>
          <w:tcPr>
            <w:tcW w:w="843" w:type="pct"/>
          </w:tcPr>
          <w:p w14:paraId="55C68B4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2,032.0</w:t>
            </w:r>
          </w:p>
        </w:tc>
        <w:tc>
          <w:tcPr>
            <w:tcW w:w="972" w:type="pct"/>
          </w:tcPr>
          <w:p w14:paraId="3CDA8514"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2,051.0</w:t>
            </w:r>
          </w:p>
        </w:tc>
      </w:tr>
      <w:tr w:rsidR="00C2354D" w:rsidRPr="006235F7" w14:paraId="15252D56" w14:textId="77777777" w:rsidTr="00F93377">
        <w:tc>
          <w:tcPr>
            <w:tcW w:w="2440" w:type="pct"/>
          </w:tcPr>
          <w:p w14:paraId="1E3CBCF8"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 xml:space="preserve">Free Haemoglobin at baseline (median, mg/dL) </w:t>
            </w:r>
          </w:p>
        </w:tc>
        <w:tc>
          <w:tcPr>
            <w:tcW w:w="744" w:type="pct"/>
            <w:vAlign w:val="center"/>
          </w:tcPr>
          <w:p w14:paraId="1B2A3C01"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46.2</w:t>
            </w:r>
          </w:p>
        </w:tc>
        <w:tc>
          <w:tcPr>
            <w:tcW w:w="843" w:type="pct"/>
            <w:vAlign w:val="center"/>
          </w:tcPr>
          <w:p w14:paraId="3E4CB7E6"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40.5</w:t>
            </w:r>
          </w:p>
        </w:tc>
        <w:tc>
          <w:tcPr>
            <w:tcW w:w="972" w:type="pct"/>
            <w:vAlign w:val="center"/>
          </w:tcPr>
          <w:p w14:paraId="2037BB9D"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34.9</w:t>
            </w:r>
          </w:p>
        </w:tc>
      </w:tr>
    </w:tbl>
    <w:p w14:paraId="4E48F1AA" w14:textId="1C5ABE6C" w:rsidR="00863F51" w:rsidRPr="0039396F" w:rsidRDefault="00863F51" w:rsidP="003C13FF">
      <w:pPr>
        <w:pStyle w:val="TableTitle"/>
        <w:keepNext/>
        <w:spacing w:before="240" w:after="0"/>
        <w:jc w:val="left"/>
        <w:rPr>
          <w:rFonts w:asciiTheme="majorHAnsi" w:hAnsiTheme="majorHAnsi"/>
          <w:b w:val="0"/>
          <w:sz w:val="24"/>
          <w:lang w:val="en-AU"/>
        </w:rPr>
      </w:pPr>
      <w:r w:rsidRPr="0039396F">
        <w:rPr>
          <w:rFonts w:asciiTheme="majorHAnsi" w:hAnsiTheme="majorHAnsi"/>
          <w:b w:val="0"/>
          <w:sz w:val="24"/>
          <w:lang w:val="en-AU"/>
        </w:rPr>
        <w:t xml:space="preserve">In TRIUMPH, patients treated with </w:t>
      </w:r>
      <w:r w:rsidR="00B249B7" w:rsidRPr="0039396F">
        <w:rPr>
          <w:rFonts w:asciiTheme="majorHAnsi" w:hAnsiTheme="majorHAnsi"/>
          <w:b w:val="0"/>
          <w:sz w:val="24"/>
          <w:lang w:val="en-AU"/>
        </w:rPr>
        <w:t>Soliris</w:t>
      </w:r>
      <w:r w:rsidRPr="0039396F">
        <w:rPr>
          <w:rFonts w:asciiTheme="majorHAnsi" w:hAnsiTheme="majorHAnsi"/>
          <w:sz w:val="24"/>
          <w:lang w:val="en-AU"/>
        </w:rPr>
        <w:t xml:space="preserve"> </w:t>
      </w:r>
      <w:r w:rsidRPr="0039396F">
        <w:rPr>
          <w:rFonts w:asciiTheme="majorHAnsi" w:hAnsiTheme="majorHAnsi"/>
          <w:b w:val="0"/>
          <w:sz w:val="24"/>
          <w:lang w:val="en-AU"/>
        </w:rPr>
        <w:t xml:space="preserve">had significantly reduced (p&lt;0.001) haemolysis resulting in improvements in anaemia as indicated by increased haemoglobin </w:t>
      </w:r>
      <w:r w:rsidR="00F9620C" w:rsidRPr="0039396F">
        <w:rPr>
          <w:rFonts w:asciiTheme="majorHAnsi" w:hAnsiTheme="majorHAnsi"/>
          <w:b w:val="0"/>
          <w:sz w:val="24"/>
          <w:lang w:val="en-AU"/>
        </w:rPr>
        <w:t>stabili</w:t>
      </w:r>
      <w:r w:rsidR="00F9620C">
        <w:rPr>
          <w:rFonts w:asciiTheme="majorHAnsi" w:hAnsiTheme="majorHAnsi"/>
          <w:b w:val="0"/>
          <w:sz w:val="24"/>
          <w:lang w:val="en-AU"/>
        </w:rPr>
        <w:t>s</w:t>
      </w:r>
      <w:r w:rsidR="00F9620C" w:rsidRPr="0039396F">
        <w:rPr>
          <w:rFonts w:asciiTheme="majorHAnsi" w:hAnsiTheme="majorHAnsi"/>
          <w:b w:val="0"/>
          <w:sz w:val="24"/>
          <w:lang w:val="en-AU"/>
        </w:rPr>
        <w:t xml:space="preserve">ation </w:t>
      </w:r>
      <w:r w:rsidRPr="0039396F">
        <w:rPr>
          <w:rFonts w:asciiTheme="majorHAnsi" w:hAnsiTheme="majorHAnsi"/>
          <w:b w:val="0"/>
          <w:sz w:val="24"/>
          <w:lang w:val="en-AU"/>
        </w:rPr>
        <w:t>and reduced need for RBC transfusions compared to placebo treated patients (see</w:t>
      </w:r>
      <w:r w:rsidR="00247559">
        <w:rPr>
          <w:rFonts w:asciiTheme="majorHAnsi" w:hAnsiTheme="majorHAnsi"/>
          <w:b w:val="0"/>
          <w:sz w:val="24"/>
          <w:lang w:val="en-AU"/>
        </w:rPr>
        <w:t xml:space="preserve"> </w:t>
      </w:r>
      <w:r w:rsidR="00474895">
        <w:rPr>
          <w:rFonts w:asciiTheme="majorHAnsi" w:hAnsiTheme="majorHAnsi"/>
          <w:b w:val="0"/>
          <w:sz w:val="24"/>
          <w:lang w:val="en-AU"/>
        </w:rPr>
        <w:fldChar w:fldCharType="begin"/>
      </w:r>
      <w:r w:rsidR="00474895">
        <w:rPr>
          <w:rFonts w:asciiTheme="majorHAnsi" w:hAnsiTheme="majorHAnsi"/>
          <w:b w:val="0"/>
          <w:sz w:val="24"/>
          <w:lang w:val="en-AU"/>
        </w:rPr>
        <w:instrText xml:space="preserve"> REF _Ref18591914 \h  \* MERGEFORMAT </w:instrText>
      </w:r>
      <w:r w:rsidR="00474895">
        <w:rPr>
          <w:rFonts w:asciiTheme="majorHAnsi" w:hAnsiTheme="majorHAnsi"/>
          <w:b w:val="0"/>
          <w:sz w:val="24"/>
          <w:lang w:val="en-AU"/>
        </w:rPr>
      </w:r>
      <w:r w:rsidR="00474895">
        <w:rPr>
          <w:rFonts w:asciiTheme="majorHAnsi" w:hAnsiTheme="majorHAnsi"/>
          <w:b w:val="0"/>
          <w:sz w:val="24"/>
          <w:lang w:val="en-AU"/>
        </w:rPr>
        <w:fldChar w:fldCharType="separate"/>
      </w:r>
      <w:r w:rsidR="00AE6672" w:rsidRPr="001657A6">
        <w:rPr>
          <w:rFonts w:asciiTheme="majorHAnsi" w:hAnsiTheme="majorHAnsi"/>
          <w:b w:val="0"/>
          <w:sz w:val="24"/>
          <w:lang w:val="en-AU"/>
        </w:rPr>
        <w:t>Table 9</w:t>
      </w:r>
      <w:r w:rsidR="00474895">
        <w:rPr>
          <w:rFonts w:asciiTheme="majorHAnsi" w:hAnsiTheme="majorHAnsi"/>
          <w:b w:val="0"/>
          <w:sz w:val="24"/>
          <w:lang w:val="en-AU"/>
        </w:rPr>
        <w:fldChar w:fldCharType="end"/>
      </w:r>
      <w:r w:rsidRPr="0039396F">
        <w:rPr>
          <w:rFonts w:asciiTheme="majorHAnsi" w:hAnsiTheme="majorHAnsi"/>
          <w:b w:val="0"/>
          <w:sz w:val="24"/>
          <w:lang w:val="en-AU"/>
        </w:rPr>
        <w:t>). These effects were seen among patients within each of the three pre-study RBC transfusion strata (4</w:t>
      </w:r>
      <w:r w:rsidRPr="0039396F">
        <w:rPr>
          <w:rFonts w:asciiTheme="majorHAnsi" w:hAnsiTheme="majorHAnsi"/>
          <w:b w:val="0"/>
          <w:sz w:val="24"/>
          <w:lang w:val="en-AU"/>
        </w:rPr>
        <w:noBreakHyphen/>
        <w:t>14</w:t>
      </w:r>
      <w:r w:rsidR="00474895">
        <w:rPr>
          <w:rFonts w:asciiTheme="majorHAnsi" w:hAnsiTheme="majorHAnsi"/>
          <w:b w:val="0"/>
          <w:sz w:val="24"/>
          <w:lang w:val="en-AU"/>
        </w:rPr>
        <w:t xml:space="preserve"> </w:t>
      </w:r>
      <w:r w:rsidRPr="0039396F">
        <w:rPr>
          <w:rFonts w:asciiTheme="majorHAnsi" w:hAnsiTheme="majorHAnsi"/>
          <w:b w:val="0"/>
          <w:sz w:val="24"/>
          <w:lang w:val="en-AU"/>
        </w:rPr>
        <w:t xml:space="preserve">units; 15-25 units; &gt;25 units). After 3 weeks of </w:t>
      </w:r>
      <w:r w:rsidR="00B249B7" w:rsidRPr="0039396F">
        <w:rPr>
          <w:rFonts w:asciiTheme="majorHAnsi" w:hAnsiTheme="majorHAnsi"/>
          <w:b w:val="0"/>
          <w:sz w:val="24"/>
          <w:lang w:val="en-AU"/>
        </w:rPr>
        <w:t>Soliris</w:t>
      </w:r>
      <w:r w:rsidRPr="0039396F">
        <w:rPr>
          <w:rFonts w:asciiTheme="majorHAnsi" w:hAnsiTheme="majorHAnsi"/>
          <w:b w:val="0"/>
          <w:sz w:val="24"/>
          <w:lang w:val="en-AU"/>
        </w:rPr>
        <w:t xml:space="preserve"> treatment, patients reported less fatigue and improved health-related quality of life. </w:t>
      </w:r>
    </w:p>
    <w:p w14:paraId="5F6BF427" w14:textId="77777777" w:rsidR="00863F51" w:rsidRPr="00F00B64" w:rsidRDefault="00863F51" w:rsidP="00633E0A">
      <w:pPr>
        <w:autoSpaceDE w:val="0"/>
        <w:autoSpaceDN w:val="0"/>
        <w:adjustRightInd w:val="0"/>
        <w:rPr>
          <w:rFonts w:asciiTheme="majorHAnsi" w:hAnsiTheme="majorHAnsi" w:cs="Times New Roman"/>
          <w:sz w:val="20"/>
          <w:szCs w:val="24"/>
        </w:rPr>
      </w:pPr>
    </w:p>
    <w:p w14:paraId="4B825D80" w14:textId="6047FCDD" w:rsidR="00863F51" w:rsidRPr="0039396F" w:rsidRDefault="00863F51" w:rsidP="00633E0A">
      <w:pPr>
        <w:autoSpaceDE w:val="0"/>
        <w:autoSpaceDN w:val="0"/>
        <w:adjustRightInd w:val="0"/>
        <w:rPr>
          <w:rFonts w:asciiTheme="majorHAnsi" w:hAnsiTheme="majorHAnsi" w:cs="Times New Roman"/>
          <w:szCs w:val="24"/>
        </w:rPr>
      </w:pPr>
      <w:r w:rsidRPr="0039396F">
        <w:rPr>
          <w:rFonts w:asciiTheme="majorHAnsi" w:hAnsiTheme="majorHAnsi" w:cs="Times New Roman"/>
          <w:szCs w:val="24"/>
        </w:rPr>
        <w:t xml:space="preserve">In SHEPHERD, 96 of the 97 enrolled patients completed the study (one patient died following a thrombotic event). A reduction in intravascular haemolysis, as measured by serum LDH levels, was sustained for the treatment period and resulted in increased transfusion avoidance, a reduced need for RBC transfusion and less fatigue (see </w:t>
      </w:r>
      <w:r w:rsidR="00474895">
        <w:rPr>
          <w:rFonts w:asciiTheme="majorHAnsi" w:hAnsiTheme="majorHAnsi" w:cs="Times New Roman"/>
          <w:szCs w:val="24"/>
        </w:rPr>
        <w:fldChar w:fldCharType="begin"/>
      </w:r>
      <w:r w:rsidR="00474895">
        <w:rPr>
          <w:rFonts w:asciiTheme="majorHAnsi" w:hAnsiTheme="majorHAnsi" w:cs="Times New Roman"/>
          <w:szCs w:val="24"/>
        </w:rPr>
        <w:instrText xml:space="preserve"> REF _Ref18591914 \h </w:instrText>
      </w:r>
      <w:r w:rsidR="00474895">
        <w:rPr>
          <w:rFonts w:asciiTheme="majorHAnsi" w:hAnsiTheme="majorHAnsi" w:cs="Times New Roman"/>
          <w:szCs w:val="24"/>
        </w:rPr>
      </w:r>
      <w:r w:rsidR="00474895">
        <w:rPr>
          <w:rFonts w:asciiTheme="majorHAnsi" w:hAnsiTheme="majorHAnsi" w:cs="Times New Roman"/>
          <w:szCs w:val="24"/>
        </w:rPr>
        <w:fldChar w:fldCharType="separate"/>
      </w:r>
      <w:r w:rsidR="00AE6672">
        <w:t xml:space="preserve">Table </w:t>
      </w:r>
      <w:r w:rsidR="00AE6672">
        <w:rPr>
          <w:noProof/>
        </w:rPr>
        <w:t>9</w:t>
      </w:r>
      <w:r w:rsidR="00474895">
        <w:rPr>
          <w:rFonts w:asciiTheme="majorHAnsi" w:hAnsiTheme="majorHAnsi" w:cs="Times New Roman"/>
          <w:szCs w:val="24"/>
        </w:rPr>
        <w:fldChar w:fldCharType="end"/>
      </w:r>
      <w:r w:rsidRPr="0039396F">
        <w:rPr>
          <w:rFonts w:asciiTheme="majorHAnsi" w:hAnsiTheme="majorHAnsi" w:cs="Times New Roman"/>
          <w:szCs w:val="24"/>
        </w:rPr>
        <w:t>).</w:t>
      </w:r>
    </w:p>
    <w:p w14:paraId="6349CF77" w14:textId="226CD38C" w:rsidR="00863F51" w:rsidRPr="00BE4695" w:rsidRDefault="00474895" w:rsidP="00AE2D6F">
      <w:pPr>
        <w:pStyle w:val="Caption"/>
        <w:spacing w:after="120"/>
        <w:rPr>
          <w:rFonts w:asciiTheme="majorHAnsi" w:hAnsiTheme="majorHAnsi"/>
        </w:rPr>
      </w:pPr>
      <w:bookmarkStart w:id="13" w:name="_Ref18591914"/>
      <w:r>
        <w:lastRenderedPageBreak/>
        <w:t xml:space="preserve">Table </w:t>
      </w:r>
      <w:r w:rsidR="00345186">
        <w:fldChar w:fldCharType="begin"/>
      </w:r>
      <w:r w:rsidR="00345186">
        <w:instrText xml:space="preserve"> SEQ Table \* ARABIC </w:instrText>
      </w:r>
      <w:r w:rsidR="00345186">
        <w:fldChar w:fldCharType="separate"/>
      </w:r>
      <w:r w:rsidR="00345186">
        <w:rPr>
          <w:noProof/>
        </w:rPr>
        <w:t>9</w:t>
      </w:r>
      <w:r w:rsidR="00345186">
        <w:fldChar w:fldCharType="end"/>
      </w:r>
      <w:bookmarkEnd w:id="13"/>
      <w:r>
        <w:t xml:space="preserve">: </w:t>
      </w:r>
      <w:r w:rsidR="00863F51" w:rsidRPr="00BE4695">
        <w:rPr>
          <w:rFonts w:asciiTheme="majorHAnsi" w:hAnsiTheme="majorHAnsi"/>
        </w:rPr>
        <w:t xml:space="preserve">Efficacy </w:t>
      </w:r>
      <w:r w:rsidR="00247559" w:rsidRPr="00BE4695">
        <w:rPr>
          <w:rFonts w:asciiTheme="majorHAnsi" w:hAnsiTheme="majorHAnsi"/>
        </w:rPr>
        <w:t xml:space="preserve">Outcomes in </w:t>
      </w:r>
      <w:r w:rsidR="00247559" w:rsidRPr="00BE4695">
        <w:rPr>
          <w:rFonts w:asciiTheme="majorHAnsi" w:hAnsiTheme="majorHAnsi"/>
          <w:i/>
        </w:rPr>
        <w:t>C04-001</w:t>
      </w:r>
      <w:r w:rsidR="00247559" w:rsidRPr="00BE4695">
        <w:rPr>
          <w:rFonts w:asciiTheme="majorHAnsi" w:hAnsiTheme="majorHAnsi"/>
        </w:rPr>
        <w:t xml:space="preserve"> and </w:t>
      </w:r>
      <w:r w:rsidR="00247559" w:rsidRPr="00BE4695">
        <w:rPr>
          <w:rFonts w:asciiTheme="majorHAnsi" w:hAnsiTheme="majorHAnsi"/>
          <w:i/>
        </w:rPr>
        <w:t>C04-002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079"/>
        <w:gridCol w:w="1211"/>
        <w:gridCol w:w="1310"/>
        <w:gridCol w:w="1274"/>
        <w:gridCol w:w="1272"/>
      </w:tblGrid>
      <w:tr w:rsidR="00863F51" w:rsidRPr="006235F7" w14:paraId="3B7D2F80" w14:textId="77777777" w:rsidTr="006C5055">
        <w:trPr>
          <w:tblHeader/>
        </w:trPr>
        <w:tc>
          <w:tcPr>
            <w:tcW w:w="2880" w:type="dxa"/>
          </w:tcPr>
          <w:p w14:paraId="21A8EB83" w14:textId="77777777" w:rsidR="00863F51" w:rsidRPr="006235F7" w:rsidRDefault="00863F51" w:rsidP="006C5055">
            <w:pPr>
              <w:autoSpaceDE w:val="0"/>
              <w:autoSpaceDN w:val="0"/>
              <w:adjustRightInd w:val="0"/>
              <w:spacing w:before="20" w:after="20"/>
              <w:jc w:val="both"/>
              <w:rPr>
                <w:rFonts w:asciiTheme="majorHAnsi" w:hAnsiTheme="majorHAnsi" w:cs="Times New Roman"/>
                <w:sz w:val="22"/>
              </w:rPr>
            </w:pPr>
          </w:p>
        </w:tc>
        <w:tc>
          <w:tcPr>
            <w:tcW w:w="3607" w:type="dxa"/>
            <w:gridSpan w:val="3"/>
            <w:vAlign w:val="center"/>
          </w:tcPr>
          <w:p w14:paraId="685FCDEA"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C04-001 Study</w:t>
            </w:r>
          </w:p>
        </w:tc>
        <w:tc>
          <w:tcPr>
            <w:tcW w:w="2552" w:type="dxa"/>
            <w:gridSpan w:val="2"/>
            <w:vAlign w:val="center"/>
          </w:tcPr>
          <w:p w14:paraId="3E6B753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b/>
                <w:sz w:val="22"/>
              </w:rPr>
              <w:t>C04-002 Study</w:t>
            </w:r>
          </w:p>
        </w:tc>
      </w:tr>
      <w:tr w:rsidR="00863F51" w:rsidRPr="006235F7" w14:paraId="5D74E8FE" w14:textId="77777777" w:rsidTr="006C5055">
        <w:trPr>
          <w:tblHeader/>
        </w:trPr>
        <w:tc>
          <w:tcPr>
            <w:tcW w:w="2880" w:type="dxa"/>
          </w:tcPr>
          <w:p w14:paraId="4C941DE3" w14:textId="77777777" w:rsidR="00863F51" w:rsidRPr="006235F7" w:rsidRDefault="00863F51" w:rsidP="006C5055">
            <w:pPr>
              <w:autoSpaceDE w:val="0"/>
              <w:autoSpaceDN w:val="0"/>
              <w:adjustRightInd w:val="0"/>
              <w:spacing w:before="20" w:after="20"/>
              <w:jc w:val="both"/>
              <w:rPr>
                <w:rFonts w:asciiTheme="majorHAnsi" w:hAnsiTheme="majorHAnsi" w:cs="Times New Roman"/>
                <w:sz w:val="22"/>
              </w:rPr>
            </w:pPr>
          </w:p>
        </w:tc>
        <w:tc>
          <w:tcPr>
            <w:tcW w:w="1080" w:type="dxa"/>
            <w:vAlign w:val="center"/>
          </w:tcPr>
          <w:p w14:paraId="694B65E1"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Placebo</w:t>
            </w:r>
            <w:r w:rsidRPr="006235F7">
              <w:rPr>
                <w:rFonts w:asciiTheme="majorHAnsi" w:hAnsiTheme="majorHAnsi" w:cs="Times New Roman"/>
                <w:b/>
                <w:sz w:val="22"/>
              </w:rPr>
              <w:br/>
            </w:r>
            <w:r w:rsidRPr="006235F7">
              <w:rPr>
                <w:rFonts w:asciiTheme="majorHAnsi" w:hAnsiTheme="majorHAnsi" w:cs="Times New Roman"/>
                <w:sz w:val="22"/>
              </w:rPr>
              <w:t>N = 44</w:t>
            </w:r>
          </w:p>
        </w:tc>
        <w:tc>
          <w:tcPr>
            <w:tcW w:w="1214" w:type="dxa"/>
            <w:vAlign w:val="center"/>
          </w:tcPr>
          <w:p w14:paraId="0C904F78" w14:textId="28F74A01"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S</w:t>
            </w:r>
            <w:r w:rsidR="001F14D3">
              <w:rPr>
                <w:rFonts w:asciiTheme="majorHAnsi" w:hAnsiTheme="majorHAnsi" w:cs="Times New Roman"/>
                <w:b/>
                <w:sz w:val="22"/>
              </w:rPr>
              <w:t>oliris</w:t>
            </w:r>
            <w:r w:rsidRPr="006235F7">
              <w:rPr>
                <w:rFonts w:asciiTheme="majorHAnsi" w:hAnsiTheme="majorHAnsi" w:cs="Times New Roman"/>
                <w:b/>
                <w:sz w:val="22"/>
              </w:rPr>
              <w:br/>
            </w:r>
            <w:r w:rsidRPr="006235F7">
              <w:rPr>
                <w:rFonts w:asciiTheme="majorHAnsi" w:hAnsiTheme="majorHAnsi" w:cs="Times New Roman"/>
                <w:sz w:val="22"/>
              </w:rPr>
              <w:t>N = 43</w:t>
            </w:r>
          </w:p>
        </w:tc>
        <w:tc>
          <w:tcPr>
            <w:tcW w:w="1313" w:type="dxa"/>
            <w:vAlign w:val="center"/>
          </w:tcPr>
          <w:p w14:paraId="17456332"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P-Value</w:t>
            </w:r>
          </w:p>
        </w:tc>
        <w:tc>
          <w:tcPr>
            <w:tcW w:w="1276" w:type="dxa"/>
            <w:vAlign w:val="center"/>
          </w:tcPr>
          <w:p w14:paraId="5BFB3C45" w14:textId="31DEC14F"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S</w:t>
            </w:r>
            <w:r w:rsidR="001F14D3">
              <w:rPr>
                <w:rFonts w:asciiTheme="majorHAnsi" w:hAnsiTheme="majorHAnsi" w:cs="Times New Roman"/>
                <w:b/>
                <w:sz w:val="22"/>
              </w:rPr>
              <w:t>oliris</w:t>
            </w:r>
            <w:r w:rsidRPr="006235F7">
              <w:rPr>
                <w:rFonts w:asciiTheme="majorHAnsi" w:hAnsiTheme="majorHAnsi" w:cs="Times New Roman"/>
                <w:b/>
                <w:sz w:val="22"/>
              </w:rPr>
              <w:br/>
            </w:r>
            <w:r w:rsidRPr="006235F7">
              <w:rPr>
                <w:rFonts w:asciiTheme="majorHAnsi" w:hAnsiTheme="majorHAnsi" w:cs="Times New Roman"/>
                <w:sz w:val="22"/>
              </w:rPr>
              <w:t>N = 97</w:t>
            </w:r>
          </w:p>
        </w:tc>
        <w:tc>
          <w:tcPr>
            <w:tcW w:w="1276" w:type="dxa"/>
            <w:vAlign w:val="center"/>
          </w:tcPr>
          <w:p w14:paraId="50440B5E" w14:textId="77777777" w:rsidR="00863F51" w:rsidRPr="006235F7" w:rsidRDefault="00863F51" w:rsidP="006C5055">
            <w:pPr>
              <w:autoSpaceDE w:val="0"/>
              <w:autoSpaceDN w:val="0"/>
              <w:adjustRightInd w:val="0"/>
              <w:spacing w:before="20" w:after="20"/>
              <w:jc w:val="center"/>
              <w:rPr>
                <w:rFonts w:asciiTheme="majorHAnsi" w:hAnsiTheme="majorHAnsi" w:cs="Times New Roman"/>
                <w:b/>
                <w:sz w:val="22"/>
              </w:rPr>
            </w:pPr>
            <w:r w:rsidRPr="006235F7">
              <w:rPr>
                <w:rFonts w:asciiTheme="majorHAnsi" w:hAnsiTheme="majorHAnsi" w:cs="Times New Roman"/>
                <w:b/>
                <w:sz w:val="22"/>
              </w:rPr>
              <w:t>P-Value</w:t>
            </w:r>
          </w:p>
        </w:tc>
      </w:tr>
      <w:tr w:rsidR="00863F51" w:rsidRPr="006235F7" w14:paraId="1D60E2C0" w14:textId="77777777" w:rsidTr="006C5055">
        <w:tc>
          <w:tcPr>
            <w:tcW w:w="2880" w:type="dxa"/>
            <w:vAlign w:val="center"/>
          </w:tcPr>
          <w:p w14:paraId="691B3BED"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Percentage of patients with stabilised Haemoglobin levels at end of study</w:t>
            </w:r>
          </w:p>
        </w:tc>
        <w:tc>
          <w:tcPr>
            <w:tcW w:w="1080" w:type="dxa"/>
            <w:vAlign w:val="center"/>
          </w:tcPr>
          <w:p w14:paraId="54D6E344"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0</w:t>
            </w:r>
          </w:p>
        </w:tc>
        <w:tc>
          <w:tcPr>
            <w:tcW w:w="1214" w:type="dxa"/>
            <w:vAlign w:val="center"/>
          </w:tcPr>
          <w:p w14:paraId="52D97E52"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49</w:t>
            </w:r>
          </w:p>
        </w:tc>
        <w:tc>
          <w:tcPr>
            <w:tcW w:w="1313" w:type="dxa"/>
            <w:vAlign w:val="center"/>
          </w:tcPr>
          <w:p w14:paraId="7CCFE8B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2552" w:type="dxa"/>
            <w:gridSpan w:val="2"/>
            <w:vAlign w:val="center"/>
          </w:tcPr>
          <w:p w14:paraId="4F2018B6"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N/A</w:t>
            </w:r>
          </w:p>
        </w:tc>
      </w:tr>
      <w:tr w:rsidR="00863F51" w:rsidRPr="006235F7" w14:paraId="15D7C46F" w14:textId="77777777" w:rsidTr="006C5055">
        <w:tc>
          <w:tcPr>
            <w:tcW w:w="2880" w:type="dxa"/>
            <w:vAlign w:val="center"/>
          </w:tcPr>
          <w:p w14:paraId="28E7910E"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PRBC transfused during treatment (median)</w:t>
            </w:r>
          </w:p>
        </w:tc>
        <w:tc>
          <w:tcPr>
            <w:tcW w:w="1080" w:type="dxa"/>
            <w:vAlign w:val="center"/>
          </w:tcPr>
          <w:p w14:paraId="56B48D7E"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10</w:t>
            </w:r>
          </w:p>
        </w:tc>
        <w:tc>
          <w:tcPr>
            <w:tcW w:w="1214" w:type="dxa"/>
            <w:vAlign w:val="center"/>
          </w:tcPr>
          <w:p w14:paraId="67A4F895"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0</w:t>
            </w:r>
          </w:p>
        </w:tc>
        <w:tc>
          <w:tcPr>
            <w:tcW w:w="1313" w:type="dxa"/>
            <w:vAlign w:val="center"/>
          </w:tcPr>
          <w:p w14:paraId="3EE155D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1276" w:type="dxa"/>
            <w:vAlign w:val="center"/>
          </w:tcPr>
          <w:p w14:paraId="65A77159"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0.0</w:t>
            </w:r>
          </w:p>
        </w:tc>
        <w:tc>
          <w:tcPr>
            <w:tcW w:w="1276" w:type="dxa"/>
            <w:vAlign w:val="center"/>
          </w:tcPr>
          <w:p w14:paraId="63B4456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49856B0F" w14:textId="77777777" w:rsidTr="006C5055">
        <w:tc>
          <w:tcPr>
            <w:tcW w:w="2880" w:type="dxa"/>
            <w:vMerge w:val="restart"/>
            <w:vAlign w:val="center"/>
          </w:tcPr>
          <w:p w14:paraId="11979066"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Transfusion Avoidance during treatment (%)</w:t>
            </w:r>
          </w:p>
        </w:tc>
        <w:tc>
          <w:tcPr>
            <w:tcW w:w="1080" w:type="dxa"/>
            <w:vMerge w:val="restart"/>
            <w:vAlign w:val="center"/>
          </w:tcPr>
          <w:p w14:paraId="7E8B43C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0</w:t>
            </w:r>
          </w:p>
        </w:tc>
        <w:tc>
          <w:tcPr>
            <w:tcW w:w="1214" w:type="dxa"/>
            <w:vMerge w:val="restart"/>
            <w:vAlign w:val="center"/>
          </w:tcPr>
          <w:p w14:paraId="3FB37E36"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51</w:t>
            </w:r>
          </w:p>
        </w:tc>
        <w:tc>
          <w:tcPr>
            <w:tcW w:w="1313" w:type="dxa"/>
            <w:vMerge w:val="restart"/>
            <w:vAlign w:val="center"/>
          </w:tcPr>
          <w:p w14:paraId="63FDA685"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1276" w:type="dxa"/>
            <w:vAlign w:val="center"/>
          </w:tcPr>
          <w:p w14:paraId="14EA326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51</w:t>
            </w:r>
            <w:r w:rsidRPr="006235F7">
              <w:rPr>
                <w:rFonts w:asciiTheme="majorHAnsi" w:hAnsiTheme="majorHAnsi" w:cs="Times New Roman"/>
                <w:sz w:val="22"/>
                <w:vertAlign w:val="superscript"/>
              </w:rPr>
              <w:t>1</w:t>
            </w:r>
          </w:p>
        </w:tc>
        <w:tc>
          <w:tcPr>
            <w:tcW w:w="1276" w:type="dxa"/>
            <w:vAlign w:val="center"/>
          </w:tcPr>
          <w:p w14:paraId="779C7D72"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202485BF" w14:textId="77777777" w:rsidTr="006C5055">
        <w:tc>
          <w:tcPr>
            <w:tcW w:w="2880" w:type="dxa"/>
            <w:vMerge/>
            <w:vAlign w:val="center"/>
          </w:tcPr>
          <w:p w14:paraId="1E6906FA" w14:textId="77777777" w:rsidR="00863F51" w:rsidRPr="006235F7" w:rsidRDefault="00863F51" w:rsidP="006C5055">
            <w:pPr>
              <w:autoSpaceDE w:val="0"/>
              <w:autoSpaceDN w:val="0"/>
              <w:adjustRightInd w:val="0"/>
              <w:spacing w:before="20" w:after="20"/>
              <w:rPr>
                <w:rFonts w:asciiTheme="majorHAnsi" w:hAnsiTheme="majorHAnsi" w:cs="Times New Roman"/>
                <w:sz w:val="22"/>
              </w:rPr>
            </w:pPr>
          </w:p>
        </w:tc>
        <w:tc>
          <w:tcPr>
            <w:tcW w:w="1080" w:type="dxa"/>
            <w:vMerge/>
            <w:vAlign w:val="center"/>
          </w:tcPr>
          <w:p w14:paraId="3E3D6735"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p>
        </w:tc>
        <w:tc>
          <w:tcPr>
            <w:tcW w:w="1214" w:type="dxa"/>
            <w:vMerge/>
            <w:vAlign w:val="center"/>
          </w:tcPr>
          <w:p w14:paraId="54AD338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p>
        </w:tc>
        <w:tc>
          <w:tcPr>
            <w:tcW w:w="1313" w:type="dxa"/>
            <w:vMerge/>
            <w:vAlign w:val="center"/>
          </w:tcPr>
          <w:p w14:paraId="139F4CC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p>
        </w:tc>
        <w:tc>
          <w:tcPr>
            <w:tcW w:w="1276" w:type="dxa"/>
            <w:vAlign w:val="center"/>
          </w:tcPr>
          <w:p w14:paraId="6151AD6F"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51</w:t>
            </w:r>
            <w:r w:rsidRPr="006235F7">
              <w:rPr>
                <w:rFonts w:asciiTheme="majorHAnsi" w:hAnsiTheme="majorHAnsi" w:cs="Times New Roman"/>
                <w:sz w:val="22"/>
                <w:vertAlign w:val="superscript"/>
              </w:rPr>
              <w:t>2</w:t>
            </w:r>
          </w:p>
        </w:tc>
        <w:tc>
          <w:tcPr>
            <w:tcW w:w="1276" w:type="dxa"/>
            <w:vAlign w:val="center"/>
          </w:tcPr>
          <w:p w14:paraId="1577632E"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1B68A009" w14:textId="77777777" w:rsidTr="006C5055">
        <w:tc>
          <w:tcPr>
            <w:tcW w:w="2880" w:type="dxa"/>
            <w:vAlign w:val="center"/>
          </w:tcPr>
          <w:p w14:paraId="342BC668" w14:textId="77777777" w:rsidR="00863F51" w:rsidRPr="006235F7" w:rsidRDefault="00863F51" w:rsidP="006C5055">
            <w:pPr>
              <w:autoSpaceDE w:val="0"/>
              <w:autoSpaceDN w:val="0"/>
              <w:adjustRightInd w:val="0"/>
              <w:spacing w:before="20" w:after="20"/>
              <w:rPr>
                <w:rFonts w:asciiTheme="majorHAnsi" w:hAnsiTheme="majorHAnsi" w:cs="Times New Roman"/>
                <w:sz w:val="22"/>
              </w:rPr>
            </w:pPr>
            <w:bookmarkStart w:id="14" w:name="_Hlk161730303"/>
            <w:r w:rsidRPr="006235F7">
              <w:rPr>
                <w:rFonts w:asciiTheme="majorHAnsi" w:hAnsiTheme="majorHAnsi" w:cs="Times New Roman"/>
                <w:sz w:val="22"/>
              </w:rPr>
              <w:t>LDH levels at end of study (median, U/L)</w:t>
            </w:r>
          </w:p>
        </w:tc>
        <w:tc>
          <w:tcPr>
            <w:tcW w:w="1080" w:type="dxa"/>
            <w:vAlign w:val="center"/>
          </w:tcPr>
          <w:p w14:paraId="0E674B57"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2,167</w:t>
            </w:r>
          </w:p>
        </w:tc>
        <w:tc>
          <w:tcPr>
            <w:tcW w:w="1214" w:type="dxa"/>
            <w:vAlign w:val="center"/>
          </w:tcPr>
          <w:p w14:paraId="2BC20DFE"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239</w:t>
            </w:r>
          </w:p>
        </w:tc>
        <w:tc>
          <w:tcPr>
            <w:tcW w:w="1313" w:type="dxa"/>
            <w:vAlign w:val="center"/>
          </w:tcPr>
          <w:p w14:paraId="4E9F8464"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1276" w:type="dxa"/>
            <w:vAlign w:val="center"/>
          </w:tcPr>
          <w:p w14:paraId="58A6D63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269</w:t>
            </w:r>
          </w:p>
        </w:tc>
        <w:tc>
          <w:tcPr>
            <w:tcW w:w="1276" w:type="dxa"/>
            <w:vAlign w:val="center"/>
          </w:tcPr>
          <w:p w14:paraId="1375707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6FED2C36" w14:textId="77777777" w:rsidTr="006C5055">
        <w:tc>
          <w:tcPr>
            <w:tcW w:w="2880" w:type="dxa"/>
            <w:vAlign w:val="center"/>
          </w:tcPr>
          <w:p w14:paraId="17D03717"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 xml:space="preserve">LDH </w:t>
            </w:r>
            <w:r w:rsidR="00E711D5">
              <w:rPr>
                <w:rFonts w:asciiTheme="majorHAnsi" w:hAnsiTheme="majorHAnsi" w:cs="Times New Roman"/>
                <w:sz w:val="22"/>
              </w:rPr>
              <w:t>Area Under the Curve (</w:t>
            </w:r>
            <w:r w:rsidRPr="006235F7">
              <w:rPr>
                <w:rFonts w:asciiTheme="majorHAnsi" w:hAnsiTheme="majorHAnsi" w:cs="Times New Roman"/>
                <w:sz w:val="22"/>
              </w:rPr>
              <w:t>AUC</w:t>
            </w:r>
            <w:r w:rsidR="00E711D5">
              <w:rPr>
                <w:rFonts w:asciiTheme="majorHAnsi" w:hAnsiTheme="majorHAnsi" w:cs="Times New Roman"/>
                <w:sz w:val="22"/>
              </w:rPr>
              <w:t>)</w:t>
            </w:r>
            <w:r w:rsidRPr="006235F7">
              <w:rPr>
                <w:rFonts w:asciiTheme="majorHAnsi" w:hAnsiTheme="majorHAnsi" w:cs="Times New Roman"/>
                <w:sz w:val="22"/>
              </w:rPr>
              <w:t xml:space="preserve"> at end of study (median, U/L x Day)</w:t>
            </w:r>
          </w:p>
        </w:tc>
        <w:tc>
          <w:tcPr>
            <w:tcW w:w="1080" w:type="dxa"/>
            <w:vAlign w:val="center"/>
          </w:tcPr>
          <w:p w14:paraId="29DE1B37"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411,822</w:t>
            </w:r>
          </w:p>
        </w:tc>
        <w:tc>
          <w:tcPr>
            <w:tcW w:w="1214" w:type="dxa"/>
            <w:vAlign w:val="center"/>
          </w:tcPr>
          <w:p w14:paraId="48C6C6C0"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58,587</w:t>
            </w:r>
          </w:p>
        </w:tc>
        <w:tc>
          <w:tcPr>
            <w:tcW w:w="1313" w:type="dxa"/>
            <w:vAlign w:val="center"/>
          </w:tcPr>
          <w:p w14:paraId="0CC38F51"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1276" w:type="dxa"/>
            <w:vAlign w:val="center"/>
          </w:tcPr>
          <w:p w14:paraId="455DC88E"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-632,264</w:t>
            </w:r>
          </w:p>
        </w:tc>
        <w:tc>
          <w:tcPr>
            <w:tcW w:w="1276" w:type="dxa"/>
            <w:vAlign w:val="center"/>
          </w:tcPr>
          <w:p w14:paraId="39E3B6E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57F10F18" w14:textId="77777777" w:rsidTr="006C5055">
        <w:tc>
          <w:tcPr>
            <w:tcW w:w="2880" w:type="dxa"/>
            <w:vAlign w:val="center"/>
          </w:tcPr>
          <w:p w14:paraId="78C60175"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Free Haemoglobin at end of study (median, mg/dL)</w:t>
            </w:r>
          </w:p>
        </w:tc>
        <w:tc>
          <w:tcPr>
            <w:tcW w:w="1080" w:type="dxa"/>
            <w:vAlign w:val="center"/>
          </w:tcPr>
          <w:p w14:paraId="5F32F0CB"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62</w:t>
            </w:r>
          </w:p>
        </w:tc>
        <w:tc>
          <w:tcPr>
            <w:tcW w:w="1214" w:type="dxa"/>
            <w:vAlign w:val="center"/>
          </w:tcPr>
          <w:p w14:paraId="404C8F5C"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w:t>
            </w:r>
          </w:p>
        </w:tc>
        <w:tc>
          <w:tcPr>
            <w:tcW w:w="1313" w:type="dxa"/>
            <w:vAlign w:val="center"/>
          </w:tcPr>
          <w:p w14:paraId="5424A0AD"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c>
          <w:tcPr>
            <w:tcW w:w="1276" w:type="dxa"/>
            <w:vAlign w:val="center"/>
          </w:tcPr>
          <w:p w14:paraId="1C34E80A"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5</w:t>
            </w:r>
          </w:p>
        </w:tc>
        <w:tc>
          <w:tcPr>
            <w:tcW w:w="1276" w:type="dxa"/>
            <w:vAlign w:val="center"/>
          </w:tcPr>
          <w:p w14:paraId="34B67D48"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r w:rsidR="00863F51" w:rsidRPr="006235F7" w14:paraId="07AC817A" w14:textId="77777777" w:rsidTr="006C5055">
        <w:tc>
          <w:tcPr>
            <w:tcW w:w="2880" w:type="dxa"/>
            <w:vAlign w:val="center"/>
          </w:tcPr>
          <w:p w14:paraId="55DCE0B0"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FACIT-Fatigue (effect size) after 6 months treatment</w:t>
            </w:r>
          </w:p>
        </w:tc>
        <w:tc>
          <w:tcPr>
            <w:tcW w:w="2294" w:type="dxa"/>
            <w:gridSpan w:val="2"/>
            <w:vAlign w:val="center"/>
          </w:tcPr>
          <w:p w14:paraId="15A49908" w14:textId="77777777" w:rsidR="00863F51" w:rsidRPr="006235F7" w:rsidDel="00756CC9"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1.13</w:t>
            </w:r>
          </w:p>
        </w:tc>
        <w:tc>
          <w:tcPr>
            <w:tcW w:w="1313" w:type="dxa"/>
            <w:vAlign w:val="center"/>
          </w:tcPr>
          <w:p w14:paraId="668F7A42"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&lt;0.001</w:t>
            </w:r>
          </w:p>
        </w:tc>
        <w:tc>
          <w:tcPr>
            <w:tcW w:w="1276" w:type="dxa"/>
            <w:vAlign w:val="center"/>
          </w:tcPr>
          <w:p w14:paraId="29521237" w14:textId="77777777" w:rsidR="00863F51" w:rsidRPr="006235F7" w:rsidDel="00756CC9"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1.01</w:t>
            </w:r>
            <w:r w:rsidRPr="006235F7">
              <w:rPr>
                <w:rFonts w:asciiTheme="majorHAnsi" w:hAnsiTheme="majorHAnsi" w:cs="Times New Roman"/>
                <w:sz w:val="22"/>
                <w:vertAlign w:val="superscript"/>
              </w:rPr>
              <w:t>1</w:t>
            </w:r>
          </w:p>
        </w:tc>
        <w:tc>
          <w:tcPr>
            <w:tcW w:w="1276" w:type="dxa"/>
            <w:vAlign w:val="center"/>
          </w:tcPr>
          <w:p w14:paraId="4C919275"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bookmarkEnd w:id="14"/>
      <w:tr w:rsidR="00863F51" w:rsidRPr="006235F7" w14:paraId="4248FFFB" w14:textId="77777777" w:rsidTr="006C5055">
        <w:tc>
          <w:tcPr>
            <w:tcW w:w="2880" w:type="dxa"/>
            <w:vAlign w:val="center"/>
          </w:tcPr>
          <w:p w14:paraId="7FEFD92B" w14:textId="77777777" w:rsidR="00863F51" w:rsidRPr="006235F7" w:rsidRDefault="00863F51" w:rsidP="006C5055">
            <w:pPr>
              <w:autoSpaceDE w:val="0"/>
              <w:autoSpaceDN w:val="0"/>
              <w:adjustRightInd w:val="0"/>
              <w:spacing w:before="20" w:after="20"/>
              <w:rPr>
                <w:rFonts w:asciiTheme="majorHAnsi" w:hAnsiTheme="majorHAnsi" w:cs="Times New Roman"/>
                <w:sz w:val="22"/>
              </w:rPr>
            </w:pPr>
            <w:r w:rsidRPr="006235F7">
              <w:rPr>
                <w:rFonts w:asciiTheme="majorHAnsi" w:hAnsiTheme="majorHAnsi" w:cs="Times New Roman"/>
                <w:sz w:val="22"/>
              </w:rPr>
              <w:t>FACIT-Fatigue (effect size) after 12 months treatment</w:t>
            </w:r>
          </w:p>
        </w:tc>
        <w:tc>
          <w:tcPr>
            <w:tcW w:w="3607" w:type="dxa"/>
            <w:gridSpan w:val="3"/>
            <w:vAlign w:val="center"/>
          </w:tcPr>
          <w:p w14:paraId="2F6B3B2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N/A</w:t>
            </w:r>
          </w:p>
        </w:tc>
        <w:tc>
          <w:tcPr>
            <w:tcW w:w="1276" w:type="dxa"/>
            <w:vAlign w:val="center"/>
          </w:tcPr>
          <w:p w14:paraId="3FC87293"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1.14</w:t>
            </w:r>
            <w:r w:rsidRPr="006235F7">
              <w:rPr>
                <w:rFonts w:asciiTheme="majorHAnsi" w:hAnsiTheme="majorHAnsi" w:cs="Times New Roman"/>
                <w:sz w:val="22"/>
                <w:vertAlign w:val="superscript"/>
              </w:rPr>
              <w:t>2</w:t>
            </w:r>
          </w:p>
        </w:tc>
        <w:tc>
          <w:tcPr>
            <w:tcW w:w="1276" w:type="dxa"/>
            <w:vAlign w:val="center"/>
          </w:tcPr>
          <w:p w14:paraId="07E04879" w14:textId="77777777" w:rsidR="00863F51" w:rsidRPr="006235F7" w:rsidRDefault="00863F51" w:rsidP="006C5055">
            <w:pPr>
              <w:autoSpaceDE w:val="0"/>
              <w:autoSpaceDN w:val="0"/>
              <w:adjustRightInd w:val="0"/>
              <w:spacing w:before="20" w:after="20"/>
              <w:jc w:val="center"/>
              <w:rPr>
                <w:rFonts w:asciiTheme="majorHAnsi" w:hAnsiTheme="majorHAnsi" w:cs="Times New Roman"/>
                <w:sz w:val="22"/>
              </w:rPr>
            </w:pPr>
            <w:r w:rsidRPr="006235F7">
              <w:rPr>
                <w:rFonts w:asciiTheme="majorHAnsi" w:hAnsiTheme="majorHAnsi" w:cs="Times New Roman"/>
                <w:sz w:val="22"/>
              </w:rPr>
              <w:t>&lt; 0.001</w:t>
            </w:r>
          </w:p>
        </w:tc>
      </w:tr>
    </w:tbl>
    <w:p w14:paraId="0591189A" w14:textId="77777777" w:rsidR="00247559" w:rsidRPr="00AE2D6F" w:rsidRDefault="00863F51" w:rsidP="00247559">
      <w:pPr>
        <w:tabs>
          <w:tab w:val="left" w:pos="4395"/>
        </w:tabs>
        <w:ind w:left="144" w:hanging="144"/>
        <w:rPr>
          <w:rFonts w:asciiTheme="majorHAnsi" w:hAnsiTheme="majorHAnsi" w:cs="Times New Roman"/>
          <w:i/>
          <w:sz w:val="20"/>
        </w:rPr>
      </w:pPr>
      <w:r w:rsidRPr="00AE2D6F">
        <w:rPr>
          <w:rFonts w:asciiTheme="majorHAnsi" w:hAnsiTheme="majorHAnsi" w:cs="Times New Roman"/>
          <w:i/>
          <w:sz w:val="20"/>
          <w:vertAlign w:val="superscript"/>
        </w:rPr>
        <w:t>1</w:t>
      </w:r>
      <w:r w:rsidRPr="00AE2D6F">
        <w:rPr>
          <w:rFonts w:asciiTheme="majorHAnsi" w:hAnsiTheme="majorHAnsi" w:cs="Times New Roman"/>
          <w:i/>
          <w:sz w:val="20"/>
        </w:rPr>
        <w:tab/>
        <w:t>Assessed afte</w:t>
      </w:r>
      <w:r w:rsidR="00247559" w:rsidRPr="00AE2D6F">
        <w:rPr>
          <w:rFonts w:asciiTheme="majorHAnsi" w:hAnsiTheme="majorHAnsi" w:cs="Times New Roman"/>
          <w:i/>
          <w:sz w:val="20"/>
        </w:rPr>
        <w:t>r 26-week treatment in C04-002.</w:t>
      </w:r>
    </w:p>
    <w:p w14:paraId="2A698C4F" w14:textId="77777777" w:rsidR="00863F51" w:rsidRPr="00AE2D6F" w:rsidRDefault="00863F51" w:rsidP="00247559">
      <w:pPr>
        <w:tabs>
          <w:tab w:val="left" w:pos="4395"/>
        </w:tabs>
        <w:ind w:left="144" w:hanging="144"/>
        <w:rPr>
          <w:rFonts w:asciiTheme="majorHAnsi" w:hAnsiTheme="majorHAnsi" w:cs="Times New Roman"/>
          <w:i/>
          <w:sz w:val="20"/>
        </w:rPr>
      </w:pPr>
      <w:r w:rsidRPr="00AE2D6F">
        <w:rPr>
          <w:rFonts w:asciiTheme="majorHAnsi" w:hAnsiTheme="majorHAnsi" w:cs="Times New Roman"/>
          <w:i/>
          <w:sz w:val="20"/>
          <w:vertAlign w:val="superscript"/>
        </w:rPr>
        <w:t>2</w:t>
      </w:r>
      <w:r w:rsidRPr="00AE2D6F">
        <w:rPr>
          <w:rFonts w:asciiTheme="majorHAnsi" w:hAnsiTheme="majorHAnsi" w:cs="Times New Roman"/>
          <w:i/>
          <w:sz w:val="20"/>
        </w:rPr>
        <w:tab/>
        <w:t>Assessed at C04-</w:t>
      </w:r>
      <w:r w:rsidR="00247559" w:rsidRPr="00AE2D6F">
        <w:rPr>
          <w:rFonts w:asciiTheme="majorHAnsi" w:hAnsiTheme="majorHAnsi" w:cs="Times New Roman"/>
          <w:i/>
          <w:sz w:val="20"/>
        </w:rPr>
        <w:t>002 study completion (52 weeks)</w:t>
      </w:r>
      <w:r w:rsidR="00B567A2" w:rsidRPr="00AE2D6F">
        <w:rPr>
          <w:rFonts w:asciiTheme="majorHAnsi" w:hAnsiTheme="majorHAnsi" w:cs="Times New Roman"/>
          <w:i/>
          <w:sz w:val="20"/>
        </w:rPr>
        <w:t>.</w:t>
      </w:r>
    </w:p>
    <w:p w14:paraId="2E388DAA" w14:textId="470AF9D1" w:rsidR="00863F51" w:rsidRPr="0039396F" w:rsidRDefault="00863F51" w:rsidP="003C13FF">
      <w:pPr>
        <w:autoSpaceDE w:val="0"/>
        <w:autoSpaceDN w:val="0"/>
        <w:adjustRightInd w:val="0"/>
        <w:spacing w:before="240"/>
        <w:rPr>
          <w:rFonts w:asciiTheme="majorHAnsi" w:hAnsiTheme="majorHAnsi" w:cs="Times New Roman"/>
          <w:szCs w:val="24"/>
          <w:u w:val="single"/>
        </w:rPr>
      </w:pPr>
      <w:r w:rsidRPr="0050524F">
        <w:rPr>
          <w:rFonts w:asciiTheme="majorHAnsi" w:hAnsiTheme="majorHAnsi" w:cs="Times New Roman"/>
          <w:i/>
          <w:szCs w:val="24"/>
          <w:u w:val="single"/>
        </w:rPr>
        <w:t>E05-001</w:t>
      </w:r>
      <w:r w:rsidRPr="0039396F">
        <w:rPr>
          <w:rFonts w:asciiTheme="majorHAnsi" w:hAnsiTheme="majorHAnsi" w:cs="Times New Roman"/>
          <w:szCs w:val="24"/>
          <w:u w:val="single"/>
        </w:rPr>
        <w:t xml:space="preserve"> Study</w:t>
      </w:r>
    </w:p>
    <w:p w14:paraId="4A9F79DD" w14:textId="293EBD9A" w:rsidR="00863F51" w:rsidRPr="0039396F" w:rsidRDefault="00863F51" w:rsidP="00633E0A">
      <w:pPr>
        <w:rPr>
          <w:rFonts w:asciiTheme="majorHAnsi" w:hAnsiTheme="majorHAnsi" w:cs="Times New Roman"/>
          <w:bCs/>
          <w:szCs w:val="24"/>
        </w:rPr>
      </w:pPr>
      <w:r w:rsidRPr="0039396F">
        <w:rPr>
          <w:rFonts w:asciiTheme="majorHAnsi" w:hAnsiTheme="majorHAnsi" w:cs="Times New Roman"/>
          <w:szCs w:val="24"/>
        </w:rPr>
        <w:t xml:space="preserve">From the 195 patients that originated in </w:t>
      </w:r>
      <w:r w:rsidRPr="0050524F">
        <w:rPr>
          <w:rFonts w:asciiTheme="majorHAnsi" w:hAnsiTheme="majorHAnsi" w:cs="Times New Roman"/>
          <w:i/>
          <w:szCs w:val="24"/>
        </w:rPr>
        <w:t>C04-001</w:t>
      </w:r>
      <w:r w:rsidRPr="0039396F">
        <w:rPr>
          <w:rFonts w:asciiTheme="majorHAnsi" w:hAnsiTheme="majorHAnsi" w:cs="Times New Roman"/>
          <w:szCs w:val="24"/>
        </w:rPr>
        <w:t xml:space="preserve">, </w:t>
      </w:r>
      <w:r w:rsidRPr="0050524F">
        <w:rPr>
          <w:rFonts w:asciiTheme="majorHAnsi" w:hAnsiTheme="majorHAnsi" w:cs="Times New Roman"/>
          <w:i/>
          <w:szCs w:val="24"/>
        </w:rPr>
        <w:t>C04-002</w:t>
      </w:r>
      <w:r w:rsidRPr="0039396F">
        <w:rPr>
          <w:rFonts w:asciiTheme="majorHAnsi" w:hAnsiTheme="majorHAnsi" w:cs="Times New Roman"/>
          <w:szCs w:val="24"/>
        </w:rPr>
        <w:t xml:space="preserve">, or </w:t>
      </w:r>
      <w:r w:rsidRPr="0050524F">
        <w:rPr>
          <w:rFonts w:asciiTheme="majorHAnsi" w:hAnsiTheme="majorHAnsi" w:cs="Times New Roman"/>
          <w:i/>
          <w:szCs w:val="24"/>
        </w:rPr>
        <w:t>C02-001</w:t>
      </w:r>
      <w:r w:rsidRPr="0039396F">
        <w:rPr>
          <w:rFonts w:asciiTheme="majorHAnsi" w:hAnsiTheme="majorHAnsi" w:cs="Times New Roman"/>
          <w:szCs w:val="24"/>
        </w:rPr>
        <w:t>, 187 S</w:t>
      </w:r>
      <w:r w:rsidR="00437829" w:rsidRPr="0039396F">
        <w:rPr>
          <w:rFonts w:asciiTheme="majorHAnsi" w:hAnsiTheme="majorHAnsi" w:cs="Times New Roman"/>
          <w:szCs w:val="24"/>
        </w:rPr>
        <w:t>oliris</w:t>
      </w:r>
      <w:r w:rsidRPr="0039396F">
        <w:rPr>
          <w:rFonts w:asciiTheme="majorHAnsi" w:hAnsiTheme="majorHAnsi" w:cs="Times New Roman"/>
          <w:szCs w:val="24"/>
        </w:rPr>
        <w:t>-treated patients</w:t>
      </w:r>
      <w:r w:rsidR="00A97F07">
        <w:rPr>
          <w:rFonts w:asciiTheme="majorHAnsi" w:hAnsiTheme="majorHAnsi" w:cs="Times New Roman"/>
          <w:szCs w:val="24"/>
        </w:rPr>
        <w:t xml:space="preserve"> with PNH</w:t>
      </w:r>
      <w:r w:rsidRPr="0039396F">
        <w:rPr>
          <w:rFonts w:asciiTheme="majorHAnsi" w:hAnsiTheme="majorHAnsi" w:cs="Times New Roman"/>
          <w:szCs w:val="24"/>
        </w:rPr>
        <w:t xml:space="preserve"> were enrolled in a long-term extension study (</w:t>
      </w:r>
      <w:r w:rsidRPr="0050524F">
        <w:rPr>
          <w:rFonts w:asciiTheme="majorHAnsi" w:hAnsiTheme="majorHAnsi" w:cs="Times New Roman"/>
          <w:i/>
          <w:szCs w:val="24"/>
        </w:rPr>
        <w:t>E05-001</w:t>
      </w:r>
      <w:r w:rsidRPr="0039396F">
        <w:rPr>
          <w:rFonts w:asciiTheme="majorHAnsi" w:hAnsiTheme="majorHAnsi" w:cs="Times New Roman"/>
          <w:szCs w:val="24"/>
        </w:rPr>
        <w:t xml:space="preserve">). All patients sustained a reduction in intravascular haemolysis over a total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exposure time ranging from 10 to 54 months. Across all enrolled patients</w:t>
      </w:r>
      <w:r w:rsidR="00A97F07">
        <w:rPr>
          <w:rFonts w:asciiTheme="majorHAnsi" w:hAnsiTheme="majorHAnsi" w:cs="Times New Roman"/>
          <w:szCs w:val="24"/>
        </w:rPr>
        <w:t xml:space="preserve"> with PNH</w:t>
      </w:r>
      <w:r w:rsidRPr="0039396F">
        <w:rPr>
          <w:rFonts w:asciiTheme="majorHAnsi" w:hAnsiTheme="majorHAnsi" w:cs="Times New Roman"/>
          <w:szCs w:val="24"/>
        </w:rPr>
        <w:t xml:space="preserve">, the thrombosis rate was significantly reduced with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treatment as compared to the thrombosis rate prior to commencement of </w:t>
      </w:r>
      <w:proofErr w:type="spellStart"/>
      <w:r w:rsidR="00B249B7" w:rsidRPr="0039396F">
        <w:rPr>
          <w:rFonts w:asciiTheme="majorHAnsi" w:hAnsiTheme="majorHAnsi" w:cs="Times New Roman"/>
          <w:szCs w:val="24"/>
        </w:rPr>
        <w:t>Soliris</w:t>
      </w:r>
      <w:proofErr w:type="spellEnd"/>
      <w:r w:rsidRPr="0039396F">
        <w:rPr>
          <w:rFonts w:asciiTheme="majorHAnsi" w:hAnsiTheme="majorHAnsi" w:cs="Times New Roman"/>
          <w:szCs w:val="24"/>
        </w:rPr>
        <w:t xml:space="preserve"> treatment (see</w:t>
      </w:r>
      <w:r w:rsidR="00247559">
        <w:rPr>
          <w:rFonts w:asciiTheme="majorHAnsi" w:hAnsiTheme="majorHAnsi" w:cs="Times New Roman"/>
          <w:szCs w:val="24"/>
        </w:rPr>
        <w:t xml:space="preserve"> </w:t>
      </w:r>
      <w:r w:rsidR="00474895">
        <w:rPr>
          <w:rFonts w:asciiTheme="majorHAnsi" w:hAnsiTheme="majorHAnsi" w:cs="Times New Roman"/>
          <w:szCs w:val="24"/>
        </w:rPr>
        <w:fldChar w:fldCharType="begin"/>
      </w:r>
      <w:r w:rsidR="00474895">
        <w:rPr>
          <w:rFonts w:asciiTheme="majorHAnsi" w:hAnsiTheme="majorHAnsi" w:cs="Times New Roman"/>
          <w:szCs w:val="24"/>
        </w:rPr>
        <w:instrText xml:space="preserve"> REF _Ref18591976 \h </w:instrText>
      </w:r>
      <w:r w:rsidR="00474895">
        <w:rPr>
          <w:rFonts w:asciiTheme="majorHAnsi" w:hAnsiTheme="majorHAnsi" w:cs="Times New Roman"/>
          <w:szCs w:val="24"/>
        </w:rPr>
      </w:r>
      <w:r w:rsidR="00474895">
        <w:rPr>
          <w:rFonts w:asciiTheme="majorHAnsi" w:hAnsiTheme="majorHAnsi" w:cs="Times New Roman"/>
          <w:szCs w:val="24"/>
        </w:rPr>
        <w:fldChar w:fldCharType="separate"/>
      </w:r>
      <w:r w:rsidR="00AE6672">
        <w:t xml:space="preserve">Table </w:t>
      </w:r>
      <w:r w:rsidR="00AE6672">
        <w:rPr>
          <w:noProof/>
        </w:rPr>
        <w:t>10</w:t>
      </w:r>
      <w:r w:rsidR="00474895">
        <w:rPr>
          <w:rFonts w:asciiTheme="majorHAnsi" w:hAnsiTheme="majorHAnsi" w:cs="Times New Roman"/>
          <w:szCs w:val="24"/>
        </w:rPr>
        <w:fldChar w:fldCharType="end"/>
      </w:r>
      <w:r w:rsidRPr="0039396F">
        <w:rPr>
          <w:rFonts w:asciiTheme="majorHAnsi" w:hAnsiTheme="majorHAnsi" w:cs="Times New Roman"/>
          <w:szCs w:val="24"/>
        </w:rPr>
        <w:t xml:space="preserve">). However, the majority of patients received concomitant anticoagulants; the effects of anticoagulant withdrawal during </w:t>
      </w:r>
      <w:r w:rsidR="00B249B7" w:rsidRPr="0039396F">
        <w:rPr>
          <w:rFonts w:asciiTheme="majorHAnsi" w:hAnsiTheme="majorHAnsi" w:cs="Times New Roman"/>
          <w:szCs w:val="24"/>
        </w:rPr>
        <w:t>Soliris</w:t>
      </w:r>
      <w:r w:rsidR="00FB7B98">
        <w:rPr>
          <w:rFonts w:asciiTheme="majorHAnsi" w:hAnsiTheme="majorHAnsi" w:cs="Times New Roman"/>
          <w:szCs w:val="24"/>
        </w:rPr>
        <w:t xml:space="preserve"> therapy were not studied.</w:t>
      </w:r>
    </w:p>
    <w:p w14:paraId="6312FB95" w14:textId="6F253E6E" w:rsidR="00863F51" w:rsidRPr="00BE4695" w:rsidRDefault="00474895" w:rsidP="00474895">
      <w:pPr>
        <w:pStyle w:val="Caption"/>
        <w:spacing w:after="120"/>
        <w:rPr>
          <w:rFonts w:asciiTheme="majorHAnsi" w:hAnsiTheme="majorHAnsi"/>
          <w:b w:val="0"/>
          <w:lang w:val="en-AU"/>
        </w:rPr>
      </w:pPr>
      <w:bookmarkStart w:id="15" w:name="_Ref18591976"/>
      <w:r>
        <w:t xml:space="preserve">Table </w:t>
      </w:r>
      <w:r w:rsidR="00345186">
        <w:fldChar w:fldCharType="begin"/>
      </w:r>
      <w:r w:rsidR="00345186">
        <w:instrText xml:space="preserve"> SEQ Table \* ARABIC </w:instrText>
      </w:r>
      <w:r w:rsidR="00345186">
        <w:fldChar w:fldCharType="separate"/>
      </w:r>
      <w:r w:rsidR="00345186">
        <w:rPr>
          <w:noProof/>
        </w:rPr>
        <w:t>10</w:t>
      </w:r>
      <w:r w:rsidR="00345186">
        <w:fldChar w:fldCharType="end"/>
      </w:r>
      <w:bookmarkEnd w:id="15"/>
      <w:r>
        <w:t xml:space="preserve">: </w:t>
      </w:r>
      <w:r w:rsidR="00863F51" w:rsidRPr="00BE4695">
        <w:rPr>
          <w:rFonts w:asciiTheme="majorHAnsi" w:hAnsiTheme="majorHAnsi"/>
          <w:lang w:val="en-AU"/>
        </w:rPr>
        <w:t>Thromboembolic Event Efficacy Outcomes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790"/>
      </w:tblGrid>
      <w:tr w:rsidR="00863F51" w:rsidRPr="006235F7" w14:paraId="7CB5545B" w14:textId="77777777" w:rsidTr="003C187B">
        <w:trPr>
          <w:tblHeader/>
        </w:trPr>
        <w:tc>
          <w:tcPr>
            <w:tcW w:w="6030" w:type="dxa"/>
            <w:tcBorders>
              <w:top w:val="single" w:sz="6" w:space="0" w:color="auto"/>
              <w:left w:val="single" w:sz="6" w:space="0" w:color="auto"/>
              <w:bottom w:val="single" w:sz="6" w:space="0" w:color="auto"/>
            </w:tcBorders>
          </w:tcPr>
          <w:p w14:paraId="6A4A7D56" w14:textId="77777777" w:rsidR="00863F51" w:rsidRPr="006235F7" w:rsidRDefault="00863F51" w:rsidP="006C5055">
            <w:pPr>
              <w:spacing w:before="20" w:after="20"/>
              <w:jc w:val="both"/>
              <w:rPr>
                <w:rFonts w:asciiTheme="majorHAnsi" w:hAnsiTheme="majorHAnsi" w:cs="Times New Roman"/>
                <w:sz w:val="22"/>
              </w:rPr>
            </w:pPr>
          </w:p>
        </w:tc>
        <w:tc>
          <w:tcPr>
            <w:tcW w:w="2790" w:type="dxa"/>
            <w:tcBorders>
              <w:top w:val="single" w:sz="6" w:space="0" w:color="auto"/>
              <w:bottom w:val="single" w:sz="6" w:space="0" w:color="auto"/>
              <w:right w:val="single" w:sz="6" w:space="0" w:color="auto"/>
            </w:tcBorders>
            <w:vAlign w:val="center"/>
          </w:tcPr>
          <w:p w14:paraId="46B72FE6" w14:textId="77777777" w:rsidR="00863F51" w:rsidRPr="006235F7" w:rsidRDefault="00863F51" w:rsidP="006C5055">
            <w:pPr>
              <w:spacing w:before="20" w:after="20"/>
              <w:jc w:val="center"/>
              <w:rPr>
                <w:rFonts w:asciiTheme="majorHAnsi" w:hAnsiTheme="majorHAnsi" w:cs="Times New Roman"/>
                <w:b/>
                <w:sz w:val="22"/>
              </w:rPr>
            </w:pPr>
            <w:r w:rsidRPr="006235F7">
              <w:rPr>
                <w:rFonts w:asciiTheme="majorHAnsi" w:hAnsiTheme="majorHAnsi" w:cs="Times New Roman"/>
                <w:b/>
                <w:sz w:val="22"/>
              </w:rPr>
              <w:t>E05-001</w:t>
            </w:r>
            <w:r w:rsidRPr="006235F7">
              <w:rPr>
                <w:rFonts w:asciiTheme="majorHAnsi" w:hAnsiTheme="majorHAnsi" w:cs="Times New Roman"/>
                <w:b/>
                <w:sz w:val="22"/>
              </w:rPr>
              <w:br/>
              <w:t>(All studies combined)</w:t>
            </w:r>
          </w:p>
        </w:tc>
      </w:tr>
      <w:tr w:rsidR="00863F51" w:rsidRPr="006235F7" w14:paraId="359B0E2F" w14:textId="77777777" w:rsidTr="003C187B">
        <w:trPr>
          <w:trHeight w:hRule="exact" w:val="288"/>
        </w:trPr>
        <w:tc>
          <w:tcPr>
            <w:tcW w:w="6030" w:type="dxa"/>
            <w:tcBorders>
              <w:top w:val="single" w:sz="6" w:space="0" w:color="auto"/>
              <w:left w:val="single" w:sz="6" w:space="0" w:color="auto"/>
            </w:tcBorders>
            <w:vAlign w:val="center"/>
          </w:tcPr>
          <w:p w14:paraId="5372240A" w14:textId="77777777" w:rsidR="00863F51" w:rsidRPr="006235F7" w:rsidRDefault="00863F51" w:rsidP="006C5055">
            <w:pPr>
              <w:spacing w:before="20" w:after="20"/>
              <w:rPr>
                <w:rFonts w:asciiTheme="majorHAnsi" w:hAnsiTheme="majorHAnsi" w:cs="Times New Roman"/>
                <w:sz w:val="22"/>
              </w:rPr>
            </w:pPr>
            <w:r w:rsidRPr="006235F7">
              <w:rPr>
                <w:rFonts w:asciiTheme="majorHAnsi" w:hAnsiTheme="majorHAnsi" w:cs="Times New Roman"/>
                <w:sz w:val="22"/>
              </w:rPr>
              <w:t>Pre-Treatment</w:t>
            </w:r>
          </w:p>
        </w:tc>
        <w:tc>
          <w:tcPr>
            <w:tcW w:w="2790" w:type="dxa"/>
            <w:tcBorders>
              <w:top w:val="single" w:sz="6" w:space="0" w:color="auto"/>
              <w:right w:val="single" w:sz="6" w:space="0" w:color="auto"/>
            </w:tcBorders>
            <w:vAlign w:val="center"/>
          </w:tcPr>
          <w:p w14:paraId="5CDD6C92" w14:textId="77777777" w:rsidR="00863F51" w:rsidRPr="006235F7" w:rsidRDefault="00863F51" w:rsidP="006C5055">
            <w:pPr>
              <w:spacing w:before="20" w:after="20"/>
              <w:jc w:val="both"/>
              <w:rPr>
                <w:rFonts w:asciiTheme="majorHAnsi" w:hAnsiTheme="majorHAnsi" w:cs="Times New Roman"/>
                <w:sz w:val="22"/>
              </w:rPr>
            </w:pPr>
          </w:p>
        </w:tc>
      </w:tr>
      <w:tr w:rsidR="00863F51" w:rsidRPr="006235F7" w14:paraId="7C3C450D" w14:textId="77777777" w:rsidTr="003C187B">
        <w:trPr>
          <w:trHeight w:hRule="exact" w:val="288"/>
        </w:trPr>
        <w:tc>
          <w:tcPr>
            <w:tcW w:w="6030" w:type="dxa"/>
            <w:tcBorders>
              <w:left w:val="single" w:sz="6" w:space="0" w:color="auto"/>
            </w:tcBorders>
            <w:vAlign w:val="center"/>
          </w:tcPr>
          <w:p w14:paraId="187BDF31"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Patients (n)</w:t>
            </w:r>
          </w:p>
        </w:tc>
        <w:tc>
          <w:tcPr>
            <w:tcW w:w="2790" w:type="dxa"/>
            <w:tcBorders>
              <w:right w:val="single" w:sz="6" w:space="0" w:color="auto"/>
            </w:tcBorders>
            <w:vAlign w:val="center"/>
          </w:tcPr>
          <w:p w14:paraId="632E2487"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195</w:t>
            </w:r>
          </w:p>
        </w:tc>
      </w:tr>
      <w:tr w:rsidR="00863F51" w:rsidRPr="006235F7" w14:paraId="65AC23FE" w14:textId="77777777" w:rsidTr="003C187B">
        <w:trPr>
          <w:trHeight w:hRule="exact" w:val="288"/>
        </w:trPr>
        <w:tc>
          <w:tcPr>
            <w:tcW w:w="6030" w:type="dxa"/>
            <w:tcBorders>
              <w:left w:val="single" w:sz="6" w:space="0" w:color="auto"/>
              <w:bottom w:val="single" w:sz="4" w:space="0" w:color="auto"/>
            </w:tcBorders>
            <w:vAlign w:val="center"/>
          </w:tcPr>
          <w:p w14:paraId="2F320726"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Thromboembolic Events (n)</w:t>
            </w:r>
          </w:p>
        </w:tc>
        <w:tc>
          <w:tcPr>
            <w:tcW w:w="2790" w:type="dxa"/>
            <w:tcBorders>
              <w:bottom w:val="single" w:sz="4" w:space="0" w:color="auto"/>
              <w:right w:val="single" w:sz="6" w:space="0" w:color="auto"/>
            </w:tcBorders>
            <w:vAlign w:val="center"/>
          </w:tcPr>
          <w:p w14:paraId="2D49075C"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124</w:t>
            </w:r>
          </w:p>
        </w:tc>
      </w:tr>
      <w:tr w:rsidR="00863F51" w:rsidRPr="006235F7" w14:paraId="58108F21" w14:textId="77777777" w:rsidTr="003C187B">
        <w:trPr>
          <w:trHeight w:hRule="exact" w:val="288"/>
        </w:trPr>
        <w:tc>
          <w:tcPr>
            <w:tcW w:w="6030" w:type="dxa"/>
            <w:tcBorders>
              <w:left w:val="single" w:sz="6" w:space="0" w:color="auto"/>
            </w:tcBorders>
            <w:vAlign w:val="center"/>
          </w:tcPr>
          <w:p w14:paraId="17EDC3BB"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Patient Years (n)</w:t>
            </w:r>
          </w:p>
        </w:tc>
        <w:tc>
          <w:tcPr>
            <w:tcW w:w="2790" w:type="dxa"/>
            <w:tcBorders>
              <w:right w:val="single" w:sz="6" w:space="0" w:color="auto"/>
            </w:tcBorders>
            <w:vAlign w:val="center"/>
          </w:tcPr>
          <w:p w14:paraId="177AAB76"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1683.4</w:t>
            </w:r>
          </w:p>
        </w:tc>
      </w:tr>
      <w:tr w:rsidR="00863F51" w:rsidRPr="006235F7" w14:paraId="0DEE27A2" w14:textId="77777777" w:rsidTr="003C187B">
        <w:trPr>
          <w:trHeight w:hRule="exact" w:val="280"/>
        </w:trPr>
        <w:tc>
          <w:tcPr>
            <w:tcW w:w="6030" w:type="dxa"/>
            <w:tcBorders>
              <w:left w:val="single" w:sz="6" w:space="0" w:color="auto"/>
              <w:bottom w:val="single" w:sz="4" w:space="0" w:color="auto"/>
            </w:tcBorders>
            <w:vAlign w:val="center"/>
          </w:tcPr>
          <w:p w14:paraId="0E4FC6D9"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Thromboembolic Event Rate (n per 100 patient years)</w:t>
            </w:r>
          </w:p>
        </w:tc>
        <w:tc>
          <w:tcPr>
            <w:tcW w:w="2790" w:type="dxa"/>
            <w:tcBorders>
              <w:bottom w:val="single" w:sz="4" w:space="0" w:color="auto"/>
              <w:right w:val="single" w:sz="6" w:space="0" w:color="auto"/>
            </w:tcBorders>
            <w:vAlign w:val="center"/>
          </w:tcPr>
          <w:p w14:paraId="258C2EDA"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7.37</w:t>
            </w:r>
          </w:p>
        </w:tc>
      </w:tr>
      <w:tr w:rsidR="00863F51" w:rsidRPr="006235F7" w14:paraId="78294642" w14:textId="77777777" w:rsidTr="003C1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6030" w:type="dxa"/>
            <w:tcBorders>
              <w:top w:val="single" w:sz="4" w:space="0" w:color="auto"/>
              <w:left w:val="single" w:sz="6" w:space="0" w:color="auto"/>
              <w:bottom w:val="single" w:sz="4" w:space="0" w:color="auto"/>
              <w:right w:val="single" w:sz="4" w:space="0" w:color="auto"/>
            </w:tcBorders>
            <w:vAlign w:val="center"/>
          </w:tcPr>
          <w:p w14:paraId="04731B71" w14:textId="77777777" w:rsidR="00863F51" w:rsidRPr="006235F7" w:rsidRDefault="00863F51" w:rsidP="00437829">
            <w:pPr>
              <w:spacing w:before="20" w:after="20"/>
              <w:rPr>
                <w:rFonts w:asciiTheme="majorHAnsi" w:hAnsiTheme="majorHAnsi" w:cs="Times New Roman"/>
                <w:sz w:val="22"/>
              </w:rPr>
            </w:pPr>
            <w:r w:rsidRPr="006235F7">
              <w:rPr>
                <w:rFonts w:asciiTheme="majorHAnsi" w:hAnsiTheme="majorHAnsi" w:cs="Times New Roman"/>
                <w:sz w:val="22"/>
              </w:rPr>
              <w:t>S</w:t>
            </w:r>
            <w:r w:rsidR="00437829" w:rsidRPr="006235F7">
              <w:rPr>
                <w:rFonts w:asciiTheme="majorHAnsi" w:hAnsiTheme="majorHAnsi" w:cs="Times New Roman"/>
                <w:sz w:val="22"/>
              </w:rPr>
              <w:t>oliris</w:t>
            </w:r>
            <w:r w:rsidRPr="006235F7">
              <w:rPr>
                <w:rFonts w:asciiTheme="majorHAnsi" w:hAnsiTheme="majorHAnsi" w:cs="Times New Roman"/>
                <w:sz w:val="22"/>
              </w:rPr>
              <w:t xml:space="preserve"> Treatment</w:t>
            </w:r>
          </w:p>
        </w:tc>
        <w:tc>
          <w:tcPr>
            <w:tcW w:w="2790" w:type="dxa"/>
            <w:tcBorders>
              <w:top w:val="single" w:sz="4" w:space="0" w:color="auto"/>
              <w:left w:val="single" w:sz="4" w:space="0" w:color="auto"/>
              <w:bottom w:val="single" w:sz="4" w:space="0" w:color="auto"/>
              <w:right w:val="single" w:sz="6" w:space="0" w:color="auto"/>
            </w:tcBorders>
            <w:vAlign w:val="center"/>
          </w:tcPr>
          <w:p w14:paraId="4EF06A42" w14:textId="77777777" w:rsidR="00863F51" w:rsidRPr="006235F7" w:rsidRDefault="00863F51" w:rsidP="006C5055">
            <w:pPr>
              <w:spacing w:before="20" w:after="20"/>
              <w:jc w:val="center"/>
              <w:rPr>
                <w:rFonts w:asciiTheme="majorHAnsi" w:hAnsiTheme="majorHAnsi" w:cs="Times New Roman"/>
                <w:sz w:val="22"/>
              </w:rPr>
            </w:pPr>
          </w:p>
        </w:tc>
      </w:tr>
      <w:tr w:rsidR="00863F51" w:rsidRPr="006235F7" w14:paraId="69BCB41E" w14:textId="77777777" w:rsidTr="003C1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6030" w:type="dxa"/>
            <w:tcBorders>
              <w:top w:val="single" w:sz="4" w:space="0" w:color="auto"/>
              <w:left w:val="single" w:sz="6" w:space="0" w:color="auto"/>
              <w:bottom w:val="single" w:sz="4" w:space="0" w:color="auto"/>
              <w:right w:val="single" w:sz="4" w:space="0" w:color="auto"/>
            </w:tcBorders>
            <w:vAlign w:val="center"/>
          </w:tcPr>
          <w:p w14:paraId="62793B79"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Patients (n)</w:t>
            </w:r>
          </w:p>
        </w:tc>
        <w:tc>
          <w:tcPr>
            <w:tcW w:w="2790" w:type="dxa"/>
            <w:tcBorders>
              <w:top w:val="single" w:sz="4" w:space="0" w:color="auto"/>
              <w:left w:val="single" w:sz="4" w:space="0" w:color="auto"/>
              <w:bottom w:val="single" w:sz="4" w:space="0" w:color="auto"/>
              <w:right w:val="single" w:sz="6" w:space="0" w:color="auto"/>
            </w:tcBorders>
            <w:vAlign w:val="center"/>
          </w:tcPr>
          <w:p w14:paraId="5FEB8791"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195</w:t>
            </w:r>
          </w:p>
        </w:tc>
      </w:tr>
      <w:tr w:rsidR="00863F51" w:rsidRPr="006235F7" w14:paraId="7841A0F0" w14:textId="77777777" w:rsidTr="003C1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6030" w:type="dxa"/>
            <w:tcBorders>
              <w:top w:val="single" w:sz="4" w:space="0" w:color="auto"/>
              <w:left w:val="single" w:sz="6" w:space="0" w:color="auto"/>
              <w:bottom w:val="single" w:sz="4" w:space="0" w:color="auto"/>
              <w:right w:val="single" w:sz="4" w:space="0" w:color="auto"/>
            </w:tcBorders>
            <w:vAlign w:val="center"/>
          </w:tcPr>
          <w:p w14:paraId="0756D910"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Thromboembolic Events (n)</w:t>
            </w:r>
          </w:p>
        </w:tc>
        <w:tc>
          <w:tcPr>
            <w:tcW w:w="2790" w:type="dxa"/>
            <w:tcBorders>
              <w:top w:val="single" w:sz="4" w:space="0" w:color="auto"/>
              <w:left w:val="single" w:sz="4" w:space="0" w:color="auto"/>
              <w:bottom w:val="single" w:sz="4" w:space="0" w:color="auto"/>
              <w:right w:val="single" w:sz="6" w:space="0" w:color="auto"/>
            </w:tcBorders>
            <w:vAlign w:val="center"/>
          </w:tcPr>
          <w:p w14:paraId="29D1FF73"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3</w:t>
            </w:r>
          </w:p>
        </w:tc>
      </w:tr>
      <w:tr w:rsidR="00863F51" w:rsidRPr="006235F7" w14:paraId="07BE065B" w14:textId="77777777" w:rsidTr="003C1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6030" w:type="dxa"/>
            <w:tcBorders>
              <w:top w:val="single" w:sz="4" w:space="0" w:color="auto"/>
              <w:left w:val="single" w:sz="6" w:space="0" w:color="auto"/>
              <w:bottom w:val="single" w:sz="4" w:space="0" w:color="auto"/>
              <w:right w:val="single" w:sz="4" w:space="0" w:color="auto"/>
            </w:tcBorders>
            <w:vAlign w:val="center"/>
          </w:tcPr>
          <w:p w14:paraId="08C7FFF1"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lastRenderedPageBreak/>
              <w:t>Patient Years (n)</w:t>
            </w:r>
          </w:p>
        </w:tc>
        <w:tc>
          <w:tcPr>
            <w:tcW w:w="2790" w:type="dxa"/>
            <w:tcBorders>
              <w:top w:val="single" w:sz="4" w:space="0" w:color="auto"/>
              <w:left w:val="single" w:sz="4" w:space="0" w:color="auto"/>
              <w:bottom w:val="single" w:sz="4" w:space="0" w:color="auto"/>
              <w:right w:val="single" w:sz="6" w:space="0" w:color="auto"/>
            </w:tcBorders>
            <w:vAlign w:val="center"/>
          </w:tcPr>
          <w:p w14:paraId="7BB271A0"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281.0</w:t>
            </w:r>
          </w:p>
        </w:tc>
      </w:tr>
      <w:tr w:rsidR="00863F51" w:rsidRPr="006235F7" w14:paraId="1E85C163" w14:textId="77777777" w:rsidTr="003C1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6030" w:type="dxa"/>
            <w:tcBorders>
              <w:top w:val="single" w:sz="4" w:space="0" w:color="auto"/>
              <w:left w:val="single" w:sz="6" w:space="0" w:color="auto"/>
              <w:bottom w:val="single" w:sz="6" w:space="0" w:color="auto"/>
              <w:right w:val="single" w:sz="4" w:space="0" w:color="auto"/>
            </w:tcBorders>
            <w:vAlign w:val="center"/>
          </w:tcPr>
          <w:p w14:paraId="20069505" w14:textId="77777777" w:rsidR="00863F51" w:rsidRPr="006235F7" w:rsidRDefault="00863F51" w:rsidP="006C5055">
            <w:pPr>
              <w:spacing w:before="20" w:after="20"/>
              <w:ind w:left="300"/>
              <w:rPr>
                <w:rFonts w:asciiTheme="majorHAnsi" w:hAnsiTheme="majorHAnsi" w:cs="Times New Roman"/>
                <w:sz w:val="22"/>
              </w:rPr>
            </w:pPr>
            <w:r w:rsidRPr="006235F7">
              <w:rPr>
                <w:rFonts w:asciiTheme="majorHAnsi" w:hAnsiTheme="majorHAnsi" w:cs="Times New Roman"/>
                <w:sz w:val="22"/>
              </w:rPr>
              <w:t>Thromboembolic Event Rate (n per 100 patient years)</w:t>
            </w:r>
          </w:p>
        </w:tc>
        <w:tc>
          <w:tcPr>
            <w:tcW w:w="2790" w:type="dxa"/>
            <w:tcBorders>
              <w:top w:val="single" w:sz="4" w:space="0" w:color="auto"/>
              <w:left w:val="single" w:sz="4" w:space="0" w:color="auto"/>
              <w:bottom w:val="single" w:sz="6" w:space="0" w:color="auto"/>
              <w:right w:val="single" w:sz="6" w:space="0" w:color="auto"/>
            </w:tcBorders>
            <w:vAlign w:val="center"/>
          </w:tcPr>
          <w:p w14:paraId="378FB0FE" w14:textId="77777777" w:rsidR="00863F51" w:rsidRPr="006235F7" w:rsidRDefault="00863F51" w:rsidP="006C5055">
            <w:pPr>
              <w:spacing w:before="20" w:after="20"/>
              <w:jc w:val="center"/>
              <w:rPr>
                <w:rFonts w:asciiTheme="majorHAnsi" w:hAnsiTheme="majorHAnsi" w:cs="Times New Roman"/>
                <w:sz w:val="22"/>
              </w:rPr>
            </w:pPr>
            <w:r w:rsidRPr="006235F7">
              <w:rPr>
                <w:rFonts w:asciiTheme="majorHAnsi" w:hAnsiTheme="majorHAnsi" w:cs="Times New Roman"/>
                <w:sz w:val="22"/>
              </w:rPr>
              <w:t>1.07 (P&lt;0.001)</w:t>
            </w:r>
          </w:p>
        </w:tc>
      </w:tr>
    </w:tbl>
    <w:p w14:paraId="0C58C6E3" w14:textId="77777777" w:rsidR="00863F51" w:rsidRPr="0039396F" w:rsidRDefault="00863F51" w:rsidP="003C13FF">
      <w:pPr>
        <w:autoSpaceDE w:val="0"/>
        <w:autoSpaceDN w:val="0"/>
        <w:adjustRightInd w:val="0"/>
        <w:spacing w:before="240"/>
        <w:rPr>
          <w:rFonts w:asciiTheme="majorHAnsi" w:hAnsiTheme="majorHAnsi" w:cs="Times New Roman"/>
          <w:szCs w:val="24"/>
          <w:u w:val="single"/>
        </w:rPr>
      </w:pPr>
      <w:r w:rsidRPr="0050524F">
        <w:rPr>
          <w:rFonts w:asciiTheme="majorHAnsi" w:hAnsiTheme="majorHAnsi" w:cs="Times New Roman"/>
          <w:i/>
          <w:szCs w:val="24"/>
          <w:u w:val="single"/>
        </w:rPr>
        <w:t>M07-001</w:t>
      </w:r>
      <w:r w:rsidRPr="0039396F">
        <w:rPr>
          <w:rFonts w:asciiTheme="majorHAnsi" w:hAnsiTheme="majorHAnsi" w:cs="Times New Roman"/>
          <w:szCs w:val="24"/>
          <w:u w:val="single"/>
        </w:rPr>
        <w:t xml:space="preserve"> (PNH Registry)</w:t>
      </w:r>
    </w:p>
    <w:p w14:paraId="44D2B6B9" w14:textId="43F79266" w:rsidR="00863F51" w:rsidRPr="0039396F" w:rsidRDefault="00863F51" w:rsidP="00AE2D6F">
      <w:pPr>
        <w:pStyle w:val="C-BodyText"/>
        <w:spacing w:before="0" w:line="240" w:lineRule="auto"/>
        <w:rPr>
          <w:rFonts w:asciiTheme="majorHAnsi" w:hAnsiTheme="majorHAnsi"/>
          <w:szCs w:val="24"/>
        </w:rPr>
      </w:pPr>
      <w:r w:rsidRPr="0039396F">
        <w:rPr>
          <w:rFonts w:asciiTheme="majorHAnsi" w:hAnsiTheme="majorHAnsi"/>
          <w:szCs w:val="24"/>
        </w:rPr>
        <w:t>The PNH Registry (</w:t>
      </w:r>
      <w:r w:rsidRPr="0050524F">
        <w:rPr>
          <w:rFonts w:asciiTheme="majorHAnsi" w:hAnsiTheme="majorHAnsi"/>
          <w:i/>
          <w:szCs w:val="24"/>
        </w:rPr>
        <w:t>M07-001</w:t>
      </w:r>
      <w:r w:rsidRPr="0039396F">
        <w:rPr>
          <w:rFonts w:asciiTheme="majorHAnsi" w:hAnsiTheme="majorHAnsi"/>
          <w:szCs w:val="24"/>
        </w:rPr>
        <w:t xml:space="preserve">) was used to evaluate the efficacy of </w:t>
      </w:r>
      <w:r w:rsidR="00B249B7" w:rsidRPr="0039396F">
        <w:rPr>
          <w:rFonts w:asciiTheme="majorHAnsi" w:hAnsiTheme="majorHAnsi"/>
          <w:szCs w:val="24"/>
          <w:lang w:val="en-AU"/>
        </w:rPr>
        <w:t>Soliris</w:t>
      </w:r>
      <w:r w:rsidRPr="0039396F">
        <w:rPr>
          <w:rFonts w:asciiTheme="majorHAnsi" w:hAnsiTheme="majorHAnsi"/>
          <w:szCs w:val="24"/>
        </w:rPr>
        <w:t xml:space="preserve"> in patients</w:t>
      </w:r>
      <w:r w:rsidR="00A97F07">
        <w:rPr>
          <w:rFonts w:asciiTheme="majorHAnsi" w:hAnsiTheme="majorHAnsi"/>
          <w:szCs w:val="24"/>
        </w:rPr>
        <w:t xml:space="preserve"> with PNH</w:t>
      </w:r>
      <w:r w:rsidRPr="0039396F">
        <w:rPr>
          <w:rFonts w:asciiTheme="majorHAnsi" w:hAnsiTheme="majorHAnsi"/>
          <w:szCs w:val="24"/>
        </w:rPr>
        <w:t xml:space="preserve"> with no history of RBC transfusion and a high disease activity, as defined by elevated </w:t>
      </w:r>
      <w:proofErr w:type="spellStart"/>
      <w:r w:rsidRPr="0039396F">
        <w:rPr>
          <w:rFonts w:asciiTheme="majorHAnsi" w:hAnsiTheme="majorHAnsi"/>
          <w:szCs w:val="24"/>
        </w:rPr>
        <w:t>haemolysis</w:t>
      </w:r>
      <w:proofErr w:type="spellEnd"/>
      <w:r w:rsidRPr="0039396F">
        <w:rPr>
          <w:rFonts w:asciiTheme="majorHAnsi" w:hAnsiTheme="majorHAnsi"/>
          <w:szCs w:val="24"/>
        </w:rPr>
        <w:t xml:space="preserve"> (LDH ≥1.5x ULN) and the presence of related clinical symptom(s): fatigue, </w:t>
      </w:r>
      <w:proofErr w:type="spellStart"/>
      <w:r w:rsidRPr="0039396F">
        <w:rPr>
          <w:rFonts w:asciiTheme="majorHAnsi" w:hAnsiTheme="majorHAnsi"/>
          <w:szCs w:val="24"/>
        </w:rPr>
        <w:t>haemoglobinuria</w:t>
      </w:r>
      <w:proofErr w:type="spellEnd"/>
      <w:r w:rsidRPr="0039396F">
        <w:rPr>
          <w:rFonts w:asciiTheme="majorHAnsi" w:hAnsiTheme="majorHAnsi"/>
          <w:szCs w:val="24"/>
        </w:rPr>
        <w:t>, abdominal pain, shortness of breath (</w:t>
      </w:r>
      <w:proofErr w:type="spellStart"/>
      <w:r w:rsidRPr="0039396F">
        <w:rPr>
          <w:rFonts w:asciiTheme="majorHAnsi" w:hAnsiTheme="majorHAnsi"/>
          <w:szCs w:val="24"/>
        </w:rPr>
        <w:t>dyspnoea</w:t>
      </w:r>
      <w:proofErr w:type="spellEnd"/>
      <w:r w:rsidRPr="0039396F">
        <w:rPr>
          <w:rFonts w:asciiTheme="majorHAnsi" w:hAnsiTheme="majorHAnsi"/>
          <w:szCs w:val="24"/>
        </w:rPr>
        <w:t xml:space="preserve">), </w:t>
      </w:r>
      <w:proofErr w:type="spellStart"/>
      <w:r w:rsidRPr="0039396F">
        <w:rPr>
          <w:rFonts w:asciiTheme="majorHAnsi" w:hAnsiTheme="majorHAnsi"/>
          <w:szCs w:val="24"/>
        </w:rPr>
        <w:t>anaemia</w:t>
      </w:r>
      <w:proofErr w:type="spellEnd"/>
      <w:r w:rsidRPr="0039396F">
        <w:rPr>
          <w:rFonts w:asciiTheme="majorHAnsi" w:hAnsiTheme="majorHAnsi"/>
          <w:szCs w:val="24"/>
        </w:rPr>
        <w:t xml:space="preserve"> (</w:t>
      </w:r>
      <w:proofErr w:type="spellStart"/>
      <w:r w:rsidRPr="0039396F">
        <w:rPr>
          <w:rFonts w:asciiTheme="majorHAnsi" w:hAnsiTheme="majorHAnsi"/>
          <w:szCs w:val="24"/>
        </w:rPr>
        <w:t>haemoglobin</w:t>
      </w:r>
      <w:proofErr w:type="spellEnd"/>
      <w:r w:rsidRPr="0039396F">
        <w:rPr>
          <w:rFonts w:asciiTheme="majorHAnsi" w:hAnsiTheme="majorHAnsi"/>
          <w:szCs w:val="24"/>
        </w:rPr>
        <w:t xml:space="preserve"> &lt;100 g/L), major adverse vascular event (including thrombosis), dysp</w:t>
      </w:r>
      <w:r w:rsidR="00FB7B98">
        <w:rPr>
          <w:rFonts w:asciiTheme="majorHAnsi" w:hAnsiTheme="majorHAnsi"/>
          <w:szCs w:val="24"/>
        </w:rPr>
        <w:t>hagia, or erectile dysfunction.</w:t>
      </w:r>
    </w:p>
    <w:p w14:paraId="65276B9A" w14:textId="0BB82D59" w:rsidR="00863F51" w:rsidRPr="0039396F" w:rsidRDefault="00863F51" w:rsidP="00633E0A">
      <w:pPr>
        <w:tabs>
          <w:tab w:val="left" w:pos="567"/>
        </w:tabs>
        <w:rPr>
          <w:rFonts w:asciiTheme="majorHAnsi" w:hAnsiTheme="majorHAnsi" w:cs="Times New Roman"/>
          <w:szCs w:val="24"/>
          <w:lang w:val="en-US"/>
        </w:rPr>
      </w:pPr>
      <w:r w:rsidRPr="0039396F">
        <w:rPr>
          <w:rFonts w:asciiTheme="majorHAnsi" w:hAnsiTheme="majorHAnsi" w:cs="Times New Roman"/>
          <w:szCs w:val="24"/>
          <w:lang w:val="en-US"/>
        </w:rPr>
        <w:t xml:space="preserve">Patients treated with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were observed to have a reduction in </w:t>
      </w:r>
      <w:proofErr w:type="spellStart"/>
      <w:r w:rsidRPr="0039396F">
        <w:rPr>
          <w:rFonts w:asciiTheme="majorHAnsi" w:hAnsiTheme="majorHAnsi" w:cs="Times New Roman"/>
          <w:szCs w:val="24"/>
          <w:lang w:val="en-US"/>
        </w:rPr>
        <w:t>haemolysis</w:t>
      </w:r>
      <w:proofErr w:type="spellEnd"/>
      <w:r w:rsidRPr="0039396F">
        <w:rPr>
          <w:rFonts w:asciiTheme="majorHAnsi" w:hAnsiTheme="majorHAnsi" w:cs="Times New Roman"/>
          <w:szCs w:val="24"/>
          <w:lang w:val="en-US"/>
        </w:rPr>
        <w:t xml:space="preserve"> and associated symptoms. At 6 months, patients with no history of RBC transfusion treated with </w:t>
      </w:r>
      <w:proofErr w:type="spellStart"/>
      <w:r w:rsidR="00B249B7" w:rsidRPr="0039396F">
        <w:rPr>
          <w:rFonts w:asciiTheme="majorHAnsi" w:hAnsiTheme="majorHAnsi" w:cs="Times New Roman"/>
          <w:szCs w:val="24"/>
        </w:rPr>
        <w:t>Soliris</w:t>
      </w:r>
      <w:proofErr w:type="spellEnd"/>
      <w:r w:rsidRPr="0039396F">
        <w:rPr>
          <w:rFonts w:asciiTheme="majorHAnsi" w:hAnsiTheme="majorHAnsi" w:cs="Times New Roman"/>
          <w:szCs w:val="24"/>
          <w:lang w:val="en-US"/>
        </w:rPr>
        <w:t xml:space="preserve"> had significantly (p&lt;0.001) reduced LDH levels (median LDH of 305 U/L; </w:t>
      </w:r>
      <w:r w:rsidR="00474895">
        <w:rPr>
          <w:rFonts w:asciiTheme="majorHAnsi" w:hAnsiTheme="majorHAnsi" w:cs="Times New Roman"/>
          <w:szCs w:val="24"/>
          <w:lang w:val="en-US"/>
        </w:rPr>
        <w:fldChar w:fldCharType="begin"/>
      </w:r>
      <w:r w:rsidR="00474895">
        <w:rPr>
          <w:rFonts w:asciiTheme="majorHAnsi" w:hAnsiTheme="majorHAnsi" w:cs="Times New Roman"/>
          <w:szCs w:val="24"/>
          <w:lang w:val="en-US"/>
        </w:rPr>
        <w:instrText xml:space="preserve"> REF _Ref18592048 \h </w:instrText>
      </w:r>
      <w:r w:rsidR="00474895">
        <w:rPr>
          <w:rFonts w:asciiTheme="majorHAnsi" w:hAnsiTheme="majorHAnsi" w:cs="Times New Roman"/>
          <w:szCs w:val="24"/>
          <w:lang w:val="en-US"/>
        </w:rPr>
      </w:r>
      <w:r w:rsidR="00474895">
        <w:rPr>
          <w:rFonts w:asciiTheme="majorHAnsi" w:hAnsiTheme="majorHAnsi" w:cs="Times New Roman"/>
          <w:szCs w:val="24"/>
          <w:lang w:val="en-US"/>
        </w:rPr>
        <w:fldChar w:fldCharType="separate"/>
      </w:r>
      <w:r w:rsidR="00AE6672">
        <w:t xml:space="preserve">Table </w:t>
      </w:r>
      <w:r w:rsidR="00AE6672">
        <w:rPr>
          <w:noProof/>
        </w:rPr>
        <w:t>11</w:t>
      </w:r>
      <w:r w:rsidR="00474895">
        <w:rPr>
          <w:rFonts w:asciiTheme="majorHAnsi" w:hAnsiTheme="majorHAnsi" w:cs="Times New Roman"/>
          <w:szCs w:val="24"/>
          <w:lang w:val="en-US"/>
        </w:rPr>
        <w:fldChar w:fldCharType="end"/>
      </w:r>
      <w:r w:rsidRPr="0039396F">
        <w:rPr>
          <w:rFonts w:asciiTheme="majorHAnsi" w:hAnsiTheme="majorHAnsi" w:cs="Times New Roman"/>
          <w:szCs w:val="24"/>
          <w:lang w:val="en-US"/>
        </w:rPr>
        <w:t>).</w:t>
      </w:r>
      <w:r w:rsidR="00B67951">
        <w:rPr>
          <w:rFonts w:asciiTheme="majorHAnsi" w:hAnsiTheme="majorHAnsi" w:cs="Times New Roman"/>
          <w:szCs w:val="24"/>
          <w:lang w:val="en-US"/>
        </w:rPr>
        <w:t xml:space="preserve"> </w:t>
      </w:r>
      <w:r w:rsidRPr="0039396F">
        <w:rPr>
          <w:rFonts w:asciiTheme="majorHAnsi" w:hAnsiTheme="majorHAnsi" w:cs="Times New Roman"/>
          <w:szCs w:val="24"/>
          <w:lang w:val="en-US"/>
        </w:rPr>
        <w:t xml:space="preserve">Furthermore, 74% of the patients treated with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experienced clinically meaningful improvements in FACIT-Fatigue score (i.e., increase by 4 points or more) and 84% in EORTC fatigue score (i.e., decrease by 10 points or more).</w:t>
      </w:r>
    </w:p>
    <w:p w14:paraId="3457EEBA" w14:textId="7AA624DE" w:rsidR="00863F51" w:rsidRPr="00BE4695" w:rsidRDefault="00474895" w:rsidP="00AE2D6F">
      <w:pPr>
        <w:pStyle w:val="Caption"/>
        <w:spacing w:after="120"/>
        <w:rPr>
          <w:rFonts w:asciiTheme="majorHAnsi" w:hAnsiTheme="majorHAnsi"/>
        </w:rPr>
      </w:pPr>
      <w:bookmarkStart w:id="16" w:name="_Ref18592048"/>
      <w:r>
        <w:t xml:space="preserve">Table </w:t>
      </w:r>
      <w:r w:rsidR="00345186">
        <w:fldChar w:fldCharType="begin"/>
      </w:r>
      <w:r w:rsidR="00345186">
        <w:instrText xml:space="preserve"> SEQ Table \* ARABIC </w:instrText>
      </w:r>
      <w:r w:rsidR="00345186">
        <w:fldChar w:fldCharType="separate"/>
      </w:r>
      <w:r w:rsidR="00345186">
        <w:rPr>
          <w:noProof/>
        </w:rPr>
        <w:t>11</w:t>
      </w:r>
      <w:r w:rsidR="00345186">
        <w:fldChar w:fldCharType="end"/>
      </w:r>
      <w:bookmarkEnd w:id="16"/>
      <w:r>
        <w:t xml:space="preserve">: </w:t>
      </w:r>
      <w:r w:rsidR="00863F51" w:rsidRPr="00BE4695">
        <w:rPr>
          <w:rFonts w:asciiTheme="majorHAnsi" w:hAnsiTheme="majorHAnsi"/>
        </w:rPr>
        <w:t xml:space="preserve">Efficacy Outcomes (LDH level and FACIT-Fatigue) in Patients with PNH with No History of Transfusion in </w:t>
      </w:r>
      <w:r w:rsidR="00863F51" w:rsidRPr="00BE4695">
        <w:rPr>
          <w:rFonts w:asciiTheme="majorHAnsi" w:hAnsiTheme="majorHAnsi"/>
          <w:i/>
        </w:rPr>
        <w:t>M07-001</w:t>
      </w:r>
    </w:p>
    <w:tbl>
      <w:tblPr>
        <w:tblW w:w="4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2026"/>
      </w:tblGrid>
      <w:tr w:rsidR="00863F51" w:rsidRPr="006235F7" w14:paraId="3FA477F3" w14:textId="77777777" w:rsidTr="001F14D3">
        <w:trPr>
          <w:trHeight w:hRule="exact" w:val="668"/>
          <w:tblHeader/>
          <w:jc w:val="center"/>
        </w:trPr>
        <w:tc>
          <w:tcPr>
            <w:tcW w:w="3625" w:type="pct"/>
            <w:vAlign w:val="center"/>
          </w:tcPr>
          <w:p w14:paraId="2C6E321C" w14:textId="77777777" w:rsidR="00863F51" w:rsidRPr="006235F7" w:rsidRDefault="00863F51" w:rsidP="00633E0A">
            <w:pPr>
              <w:keepNext/>
              <w:keepLines/>
              <w:autoSpaceDE w:val="0"/>
              <w:autoSpaceDN w:val="0"/>
              <w:adjustRightInd w:val="0"/>
              <w:rPr>
                <w:rFonts w:asciiTheme="majorHAnsi" w:hAnsiTheme="majorHAnsi" w:cs="Times New Roman"/>
                <w:b/>
                <w:sz w:val="22"/>
              </w:rPr>
            </w:pPr>
            <w:r w:rsidRPr="006235F7">
              <w:rPr>
                <w:rFonts w:asciiTheme="majorHAnsi" w:hAnsiTheme="majorHAnsi" w:cs="Times New Roman"/>
                <w:b/>
                <w:sz w:val="22"/>
              </w:rPr>
              <w:t>Parameter</w:t>
            </w:r>
          </w:p>
        </w:tc>
        <w:tc>
          <w:tcPr>
            <w:tcW w:w="1375" w:type="pct"/>
            <w:vAlign w:val="center"/>
          </w:tcPr>
          <w:p w14:paraId="1A851C2A" w14:textId="77777777" w:rsidR="00863F51" w:rsidRPr="006235F7" w:rsidRDefault="00863F51" w:rsidP="00633E0A">
            <w:pPr>
              <w:keepNext/>
              <w:keepLines/>
              <w:jc w:val="center"/>
              <w:rPr>
                <w:rFonts w:asciiTheme="majorHAnsi" w:hAnsiTheme="majorHAnsi" w:cs="Times New Roman"/>
                <w:b/>
                <w:sz w:val="22"/>
                <w:lang w:val="es-ES" w:eastAsia="es-ES"/>
              </w:rPr>
            </w:pPr>
            <w:r w:rsidRPr="006235F7">
              <w:rPr>
                <w:rFonts w:asciiTheme="majorHAnsi" w:hAnsiTheme="majorHAnsi" w:cs="Times New Roman"/>
                <w:b/>
                <w:sz w:val="22"/>
                <w:lang w:val="es-ES" w:eastAsia="es-ES"/>
              </w:rPr>
              <w:t>Soliris</w:t>
            </w:r>
          </w:p>
          <w:p w14:paraId="7F962F60" w14:textId="77777777" w:rsidR="00863F51" w:rsidRPr="006235F7" w:rsidRDefault="00863F51" w:rsidP="00633E0A">
            <w:pPr>
              <w:keepNext/>
              <w:keepLines/>
              <w:autoSpaceDE w:val="0"/>
              <w:autoSpaceDN w:val="0"/>
              <w:adjustRightInd w:val="0"/>
              <w:jc w:val="center"/>
              <w:rPr>
                <w:rFonts w:asciiTheme="majorHAnsi" w:hAnsiTheme="majorHAnsi" w:cs="Times New Roman"/>
                <w:b/>
                <w:sz w:val="22"/>
              </w:rPr>
            </w:pPr>
            <w:r w:rsidRPr="006235F7">
              <w:rPr>
                <w:rFonts w:asciiTheme="majorHAnsi" w:hAnsiTheme="majorHAnsi" w:cs="Times New Roman"/>
                <w:b/>
                <w:sz w:val="22"/>
              </w:rPr>
              <w:t>No transfusion</w:t>
            </w:r>
          </w:p>
        </w:tc>
      </w:tr>
      <w:tr w:rsidR="00863F51" w:rsidRPr="006235F7" w14:paraId="134FC954" w14:textId="77777777" w:rsidTr="001F14D3">
        <w:trPr>
          <w:jc w:val="center"/>
        </w:trPr>
        <w:tc>
          <w:tcPr>
            <w:tcW w:w="3625" w:type="pct"/>
            <w:vAlign w:val="bottom"/>
          </w:tcPr>
          <w:p w14:paraId="239A8BB5" w14:textId="77777777" w:rsidR="00863F51" w:rsidRPr="006235F7" w:rsidRDefault="00863F51" w:rsidP="00DE65F2">
            <w:pPr>
              <w:keepNext/>
              <w:keepLines/>
              <w:autoSpaceDE w:val="0"/>
              <w:autoSpaceDN w:val="0"/>
              <w:adjustRightInd w:val="0"/>
              <w:rPr>
                <w:rFonts w:asciiTheme="majorHAnsi" w:hAnsiTheme="majorHAnsi" w:cs="Times New Roman"/>
                <w:sz w:val="22"/>
              </w:rPr>
            </w:pPr>
            <w:r w:rsidRPr="006235F7">
              <w:rPr>
                <w:rFonts w:asciiTheme="majorHAnsi" w:hAnsiTheme="majorHAnsi" w:cs="Times New Roman"/>
                <w:sz w:val="22"/>
              </w:rPr>
              <w:t>LDH level at baseline (U/L)</w:t>
            </w:r>
          </w:p>
        </w:tc>
        <w:tc>
          <w:tcPr>
            <w:tcW w:w="1375" w:type="pct"/>
            <w:vAlign w:val="center"/>
          </w:tcPr>
          <w:p w14:paraId="7AEE5DD7"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n=43</w:t>
            </w:r>
          </w:p>
          <w:p w14:paraId="2592FF10"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1447</w:t>
            </w:r>
          </w:p>
        </w:tc>
      </w:tr>
      <w:tr w:rsidR="00863F51" w:rsidRPr="006235F7" w14:paraId="34878120" w14:textId="77777777" w:rsidTr="001F14D3">
        <w:trPr>
          <w:jc w:val="center"/>
        </w:trPr>
        <w:tc>
          <w:tcPr>
            <w:tcW w:w="3625" w:type="pct"/>
          </w:tcPr>
          <w:p w14:paraId="76EB5E0D" w14:textId="77777777" w:rsidR="00863F51" w:rsidRPr="006235F7" w:rsidRDefault="00863F51" w:rsidP="00D96D06">
            <w:pPr>
              <w:keepNext/>
              <w:keepLines/>
              <w:autoSpaceDE w:val="0"/>
              <w:autoSpaceDN w:val="0"/>
              <w:adjustRightInd w:val="0"/>
              <w:rPr>
                <w:rFonts w:asciiTheme="majorHAnsi" w:hAnsiTheme="majorHAnsi" w:cs="Times New Roman"/>
                <w:sz w:val="22"/>
              </w:rPr>
            </w:pPr>
          </w:p>
          <w:p w14:paraId="3E83FDF4" w14:textId="77777777" w:rsidR="00863F51" w:rsidRPr="006235F7" w:rsidRDefault="00863F51">
            <w:pPr>
              <w:keepNext/>
              <w:keepLines/>
              <w:autoSpaceDE w:val="0"/>
              <w:autoSpaceDN w:val="0"/>
              <w:adjustRightInd w:val="0"/>
              <w:rPr>
                <w:rFonts w:asciiTheme="majorHAnsi" w:hAnsiTheme="majorHAnsi" w:cs="Times New Roman"/>
                <w:sz w:val="22"/>
              </w:rPr>
            </w:pPr>
            <w:r w:rsidRPr="006235F7">
              <w:rPr>
                <w:rFonts w:asciiTheme="majorHAnsi" w:hAnsiTheme="majorHAnsi" w:cs="Times New Roman"/>
                <w:sz w:val="22"/>
              </w:rPr>
              <w:t>LDH level at 6 months (U/L)</w:t>
            </w:r>
          </w:p>
        </w:tc>
        <w:tc>
          <w:tcPr>
            <w:tcW w:w="1375" w:type="pct"/>
            <w:vAlign w:val="center"/>
          </w:tcPr>
          <w:p w14:paraId="68B23C66"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n=36</w:t>
            </w:r>
          </w:p>
          <w:p w14:paraId="18C40F31"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305</w:t>
            </w:r>
          </w:p>
        </w:tc>
      </w:tr>
      <w:tr w:rsidR="00863F51" w:rsidRPr="006235F7" w14:paraId="19F7EF2F" w14:textId="77777777" w:rsidTr="001F14D3">
        <w:trPr>
          <w:jc w:val="center"/>
        </w:trPr>
        <w:tc>
          <w:tcPr>
            <w:tcW w:w="3625" w:type="pct"/>
          </w:tcPr>
          <w:p w14:paraId="4D71768D" w14:textId="77777777" w:rsidR="00863F51" w:rsidRPr="006235F7" w:rsidRDefault="00863F51" w:rsidP="00D96D06">
            <w:pPr>
              <w:keepNext/>
              <w:keepLines/>
              <w:autoSpaceDE w:val="0"/>
              <w:autoSpaceDN w:val="0"/>
              <w:adjustRightInd w:val="0"/>
              <w:rPr>
                <w:rFonts w:asciiTheme="majorHAnsi" w:hAnsiTheme="majorHAnsi" w:cs="Times New Roman"/>
                <w:sz w:val="22"/>
              </w:rPr>
            </w:pPr>
          </w:p>
          <w:p w14:paraId="14DDD578" w14:textId="77777777" w:rsidR="00863F51" w:rsidRPr="006235F7" w:rsidRDefault="00863F51">
            <w:pPr>
              <w:keepNext/>
              <w:keepLines/>
              <w:autoSpaceDE w:val="0"/>
              <w:autoSpaceDN w:val="0"/>
              <w:adjustRightInd w:val="0"/>
              <w:rPr>
                <w:rFonts w:asciiTheme="majorHAnsi" w:hAnsiTheme="majorHAnsi" w:cs="Times New Roman"/>
                <w:sz w:val="22"/>
              </w:rPr>
            </w:pPr>
            <w:r w:rsidRPr="006235F7">
              <w:rPr>
                <w:rFonts w:asciiTheme="majorHAnsi" w:hAnsiTheme="majorHAnsi" w:cs="Times New Roman"/>
                <w:sz w:val="22"/>
              </w:rPr>
              <w:t xml:space="preserve">FACIT-Fatigue score at baseline </w:t>
            </w:r>
          </w:p>
        </w:tc>
        <w:tc>
          <w:tcPr>
            <w:tcW w:w="1375" w:type="pct"/>
            <w:vAlign w:val="center"/>
          </w:tcPr>
          <w:p w14:paraId="1D5312B2"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n=25</w:t>
            </w:r>
          </w:p>
          <w:p w14:paraId="1700EFB0"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32</w:t>
            </w:r>
          </w:p>
        </w:tc>
      </w:tr>
      <w:tr w:rsidR="00863F51" w:rsidRPr="006235F7" w14:paraId="11DAB132" w14:textId="77777777" w:rsidTr="001F14D3">
        <w:trPr>
          <w:jc w:val="center"/>
        </w:trPr>
        <w:tc>
          <w:tcPr>
            <w:tcW w:w="3625" w:type="pct"/>
          </w:tcPr>
          <w:p w14:paraId="579F930C" w14:textId="77777777" w:rsidR="00863F51" w:rsidRPr="006235F7" w:rsidRDefault="00863F51" w:rsidP="00D96D06">
            <w:pPr>
              <w:keepNext/>
              <w:keepLines/>
              <w:autoSpaceDE w:val="0"/>
              <w:autoSpaceDN w:val="0"/>
              <w:adjustRightInd w:val="0"/>
              <w:rPr>
                <w:rFonts w:asciiTheme="majorHAnsi" w:hAnsiTheme="majorHAnsi" w:cs="Times New Roman"/>
                <w:sz w:val="22"/>
              </w:rPr>
            </w:pPr>
          </w:p>
          <w:p w14:paraId="1FD91D4F" w14:textId="77777777" w:rsidR="00863F51" w:rsidRPr="006235F7" w:rsidRDefault="00863F51">
            <w:pPr>
              <w:keepNext/>
              <w:keepLines/>
              <w:autoSpaceDE w:val="0"/>
              <w:autoSpaceDN w:val="0"/>
              <w:adjustRightInd w:val="0"/>
              <w:rPr>
                <w:rFonts w:asciiTheme="majorHAnsi" w:hAnsiTheme="majorHAnsi" w:cs="Times New Roman"/>
                <w:sz w:val="22"/>
              </w:rPr>
            </w:pPr>
            <w:r w:rsidRPr="006235F7">
              <w:rPr>
                <w:rFonts w:asciiTheme="majorHAnsi" w:hAnsiTheme="majorHAnsi" w:cs="Times New Roman"/>
                <w:sz w:val="22"/>
              </w:rPr>
              <w:t xml:space="preserve">FACIT-Fatigue score at last available assessment </w:t>
            </w:r>
          </w:p>
        </w:tc>
        <w:tc>
          <w:tcPr>
            <w:tcW w:w="1375" w:type="pct"/>
            <w:vAlign w:val="center"/>
          </w:tcPr>
          <w:p w14:paraId="67463364"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n=31</w:t>
            </w:r>
          </w:p>
          <w:p w14:paraId="0B2E7F6A" w14:textId="77777777" w:rsidR="00863F51" w:rsidRPr="006235F7" w:rsidRDefault="00863F51" w:rsidP="00633E0A">
            <w:pPr>
              <w:keepNext/>
              <w:keepLines/>
              <w:autoSpaceDE w:val="0"/>
              <w:autoSpaceDN w:val="0"/>
              <w:adjustRightInd w:val="0"/>
              <w:jc w:val="center"/>
              <w:rPr>
                <w:rFonts w:asciiTheme="majorHAnsi" w:hAnsiTheme="majorHAnsi" w:cs="Times New Roman"/>
                <w:sz w:val="22"/>
              </w:rPr>
            </w:pPr>
            <w:r w:rsidRPr="006235F7">
              <w:rPr>
                <w:rFonts w:asciiTheme="majorHAnsi" w:hAnsiTheme="majorHAnsi" w:cs="Times New Roman"/>
                <w:sz w:val="22"/>
              </w:rPr>
              <w:t>44</w:t>
            </w:r>
          </w:p>
        </w:tc>
      </w:tr>
    </w:tbl>
    <w:p w14:paraId="0DCC7AAC" w14:textId="77777777" w:rsidR="00863F51" w:rsidRPr="00AE2D6F" w:rsidRDefault="00863F51" w:rsidP="00633E0A">
      <w:pPr>
        <w:pStyle w:val="C-Footer"/>
        <w:keepNext/>
        <w:keepLines/>
        <w:ind w:left="720" w:firstLine="720"/>
        <w:rPr>
          <w:rFonts w:asciiTheme="majorHAnsi" w:hAnsiTheme="majorHAnsi"/>
          <w:i/>
          <w:lang w:val="en-GB"/>
        </w:rPr>
      </w:pPr>
      <w:r w:rsidRPr="00AE2D6F">
        <w:rPr>
          <w:rFonts w:asciiTheme="majorHAnsi" w:hAnsiTheme="majorHAnsi"/>
          <w:i/>
          <w:lang w:val="en-GB"/>
        </w:rPr>
        <w:t>FACIT-Fatigue is measured on a scale of 0-52, with higher values indicating less fatigue</w:t>
      </w:r>
    </w:p>
    <w:p w14:paraId="788AD21A" w14:textId="77777777" w:rsidR="00863F51" w:rsidRPr="0039396F" w:rsidRDefault="00863F51" w:rsidP="00F00B64">
      <w:pPr>
        <w:keepNext/>
        <w:tabs>
          <w:tab w:val="left" w:pos="567"/>
        </w:tabs>
        <w:spacing w:before="240" w:after="120"/>
        <w:rPr>
          <w:rFonts w:asciiTheme="majorHAnsi" w:hAnsiTheme="majorHAnsi" w:cs="Times New Roman"/>
          <w:b/>
          <w:szCs w:val="24"/>
        </w:rPr>
      </w:pPr>
      <w:r w:rsidRPr="0039396F">
        <w:rPr>
          <w:rFonts w:asciiTheme="majorHAnsi" w:hAnsiTheme="majorHAnsi" w:cs="Times New Roman"/>
          <w:b/>
          <w:szCs w:val="24"/>
        </w:rPr>
        <w:t>Atypical Haemolytic Uraemic Syndrome (aHUS)</w:t>
      </w:r>
    </w:p>
    <w:p w14:paraId="00AB2370" w14:textId="77777777" w:rsidR="0018746F" w:rsidRDefault="00863F51" w:rsidP="00633E0A">
      <w:pPr>
        <w:tabs>
          <w:tab w:val="left" w:pos="567"/>
        </w:tabs>
        <w:rPr>
          <w:rFonts w:asciiTheme="majorHAnsi" w:hAnsiTheme="majorHAnsi" w:cs="Times New Roman"/>
          <w:szCs w:val="24"/>
        </w:rPr>
      </w:pPr>
      <w:r w:rsidRPr="0039396F">
        <w:rPr>
          <w:rFonts w:asciiTheme="majorHAnsi" w:hAnsiTheme="majorHAnsi" w:cs="Times New Roman"/>
          <w:szCs w:val="24"/>
        </w:rPr>
        <w:t>Data from 100 patients in four prospective controlled studies [3 in adult patients (</w:t>
      </w:r>
      <w:r w:rsidRPr="0039396F">
        <w:rPr>
          <w:rFonts w:asciiTheme="majorHAnsi" w:hAnsiTheme="majorHAnsi" w:cs="Times New Roman"/>
          <w:i/>
          <w:szCs w:val="24"/>
        </w:rPr>
        <w:t>C08-002A/B,</w:t>
      </w:r>
      <w:r w:rsidR="0018746F">
        <w:rPr>
          <w:rFonts w:asciiTheme="majorHAnsi" w:hAnsiTheme="majorHAnsi" w:cs="Times New Roman"/>
          <w:i/>
          <w:szCs w:val="24"/>
        </w:rPr>
        <w:t xml:space="preserve"> </w:t>
      </w:r>
      <w:r w:rsidRPr="0039396F">
        <w:rPr>
          <w:rFonts w:asciiTheme="majorHAnsi" w:hAnsiTheme="majorHAnsi" w:cs="Times New Roman"/>
          <w:i/>
          <w:szCs w:val="24"/>
        </w:rPr>
        <w:t>C08-003A/B and C10-004</w:t>
      </w:r>
      <w:r w:rsidRPr="0039396F">
        <w:rPr>
          <w:rFonts w:asciiTheme="majorHAnsi" w:hAnsiTheme="majorHAnsi" w:cs="Times New Roman"/>
          <w:szCs w:val="24"/>
        </w:rPr>
        <w:t>) and 1 in paediatric patients (</w:t>
      </w:r>
      <w:r w:rsidRPr="0039396F">
        <w:rPr>
          <w:rFonts w:asciiTheme="majorHAnsi" w:hAnsiTheme="majorHAnsi" w:cs="Times New Roman"/>
          <w:i/>
          <w:szCs w:val="24"/>
        </w:rPr>
        <w:t>C10-003</w:t>
      </w:r>
      <w:r w:rsidRPr="0039396F">
        <w:rPr>
          <w:rFonts w:asciiTheme="majorHAnsi" w:hAnsiTheme="majorHAnsi" w:cs="Times New Roman"/>
          <w:szCs w:val="24"/>
        </w:rPr>
        <w:t>)] and one retrospective study with 30 patients (</w:t>
      </w:r>
      <w:r w:rsidRPr="0039396F">
        <w:rPr>
          <w:rFonts w:asciiTheme="majorHAnsi" w:hAnsiTheme="majorHAnsi" w:cs="Times New Roman"/>
          <w:i/>
          <w:szCs w:val="24"/>
        </w:rPr>
        <w:t>C09-001r</w:t>
      </w:r>
      <w:r w:rsidRPr="0039396F">
        <w:rPr>
          <w:rFonts w:asciiTheme="majorHAnsi" w:hAnsiTheme="majorHAnsi" w:cs="Times New Roman"/>
          <w:szCs w:val="24"/>
        </w:rPr>
        <w:t xml:space="preserve">) were used to evaluate the efficacy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in the treatment of aHUS.  </w:t>
      </w:r>
    </w:p>
    <w:p w14:paraId="526F1808" w14:textId="77777777" w:rsidR="00863F51" w:rsidRPr="00FA12E0" w:rsidRDefault="00863F51" w:rsidP="00A24B2C">
      <w:pPr>
        <w:tabs>
          <w:tab w:val="left" w:pos="567"/>
        </w:tabs>
        <w:spacing w:before="200"/>
        <w:rPr>
          <w:rFonts w:asciiTheme="majorHAnsi" w:hAnsiTheme="majorHAnsi" w:cs="Times New Roman"/>
          <w:i/>
          <w:szCs w:val="24"/>
          <w:u w:val="single"/>
        </w:rPr>
      </w:pPr>
      <w:r w:rsidRPr="00FA12E0">
        <w:rPr>
          <w:rFonts w:asciiTheme="majorHAnsi" w:hAnsiTheme="majorHAnsi" w:cs="Times New Roman"/>
          <w:i/>
          <w:szCs w:val="24"/>
          <w:u w:val="single"/>
        </w:rPr>
        <w:t>C08-002A/B and C08-003A/B</w:t>
      </w:r>
    </w:p>
    <w:p w14:paraId="0AF9D442" w14:textId="77777777" w:rsidR="00863F51" w:rsidRPr="0039396F" w:rsidRDefault="00863F51" w:rsidP="00633E0A">
      <w:pPr>
        <w:tabs>
          <w:tab w:val="left" w:pos="567"/>
        </w:tabs>
        <w:rPr>
          <w:rFonts w:asciiTheme="majorHAnsi" w:hAnsiTheme="majorHAnsi" w:cs="Times New Roman"/>
          <w:szCs w:val="24"/>
        </w:rPr>
      </w:pPr>
      <w:r w:rsidRPr="0039396F">
        <w:rPr>
          <w:rFonts w:asciiTheme="majorHAnsi" w:hAnsiTheme="majorHAnsi" w:cs="Times New Roman"/>
          <w:i/>
          <w:szCs w:val="24"/>
        </w:rPr>
        <w:t>Study C08-002A/B</w:t>
      </w:r>
      <w:r w:rsidRPr="0039396F">
        <w:rPr>
          <w:rFonts w:asciiTheme="majorHAnsi" w:hAnsiTheme="majorHAnsi" w:cs="Times New Roman"/>
          <w:szCs w:val="24"/>
        </w:rPr>
        <w:t xml:space="preserve"> was a prospective, single arm, open-label study which accrued patients in the early phase of aHUS with evidence of clinical thrombotic microangiopathy manifestations with platelet count ≤ 150 x 10</w:t>
      </w:r>
      <w:r w:rsidRPr="0039396F">
        <w:rPr>
          <w:rFonts w:asciiTheme="majorHAnsi" w:hAnsiTheme="majorHAnsi" w:cs="Times New Roman"/>
          <w:szCs w:val="24"/>
          <w:vertAlign w:val="superscript"/>
        </w:rPr>
        <w:t>9</w:t>
      </w:r>
      <w:r w:rsidRPr="0039396F">
        <w:rPr>
          <w:rFonts w:asciiTheme="majorHAnsi" w:hAnsiTheme="majorHAnsi" w:cs="Times New Roman"/>
          <w:szCs w:val="24"/>
        </w:rPr>
        <w:t xml:space="preserve">/L despite Plasma Exchange/Plasma Infusion (PE/PI) and LDH and serum creatinine above upper limits of normal. </w:t>
      </w:r>
      <w:r w:rsidRPr="0039396F">
        <w:rPr>
          <w:rFonts w:asciiTheme="majorHAnsi" w:hAnsiTheme="majorHAnsi" w:cs="Times New Roman"/>
          <w:i/>
          <w:szCs w:val="24"/>
        </w:rPr>
        <w:t>Study C08-003A/B</w:t>
      </w:r>
      <w:r w:rsidRPr="0039396F">
        <w:rPr>
          <w:rFonts w:asciiTheme="majorHAnsi" w:hAnsiTheme="majorHAnsi" w:cs="Times New Roman"/>
          <w:szCs w:val="24"/>
        </w:rPr>
        <w:t xml:space="preserve"> was a prospective, single arm, open-label study which accrued patients with longer term aHUS without apparent evidence of clinical thrombotic microangiopathy manifestations and receiving chronic PE/PI (≥1 PE/PI </w:t>
      </w:r>
      <w:r w:rsidRPr="0039396F">
        <w:rPr>
          <w:rFonts w:asciiTheme="majorHAnsi" w:hAnsiTheme="majorHAnsi" w:cs="Times New Roman"/>
          <w:szCs w:val="24"/>
        </w:rPr>
        <w:lastRenderedPageBreak/>
        <w:t xml:space="preserve">treatment every two weeks and no more than 3 PE/PI treatments/week for at least 8 weeks before the first dose). Patients in both prospective studies were treated with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for 26 weeks and most patients enrolled into a long-term, open-label extension study.  All patients enrolled in both prospective studies had an ADAMTS-13 level above 5%.</w:t>
      </w:r>
    </w:p>
    <w:p w14:paraId="0AA1A936" w14:textId="7C0B6759" w:rsidR="00863F51" w:rsidRPr="0039396F" w:rsidRDefault="00863F51" w:rsidP="00A24B2C">
      <w:pPr>
        <w:tabs>
          <w:tab w:val="left" w:pos="567"/>
        </w:tabs>
        <w:spacing w:before="120"/>
        <w:rPr>
          <w:rFonts w:asciiTheme="majorHAnsi" w:hAnsiTheme="majorHAnsi" w:cs="Times New Roman"/>
          <w:szCs w:val="24"/>
        </w:rPr>
      </w:pPr>
      <w:r w:rsidRPr="0039396F">
        <w:rPr>
          <w:rFonts w:asciiTheme="majorHAnsi" w:hAnsiTheme="majorHAnsi" w:cs="Times New Roman"/>
          <w:szCs w:val="24"/>
        </w:rPr>
        <w:t xml:space="preserve">Patients received meningococcal vaccination prior to receipt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or received prophylactic treatment with appropriate antibiotics until 2 weeks after vaccination. In all studies, the dose of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in adult and adolescent patients</w:t>
      </w:r>
      <w:r w:rsidR="00A97F07">
        <w:rPr>
          <w:rFonts w:asciiTheme="majorHAnsi" w:hAnsiTheme="majorHAnsi" w:cs="Times New Roman"/>
          <w:szCs w:val="24"/>
        </w:rPr>
        <w:t xml:space="preserve"> with aHUS</w:t>
      </w:r>
      <w:r w:rsidRPr="0039396F">
        <w:rPr>
          <w:rFonts w:asciiTheme="majorHAnsi" w:hAnsiTheme="majorHAnsi" w:cs="Times New Roman"/>
          <w:szCs w:val="24"/>
        </w:rPr>
        <w:t xml:space="preserve"> was 900 mg every 7 ± 2 days for 4 weeks, followed by 1200 mg 7 </w:t>
      </w:r>
      <w:r w:rsidRPr="0039396F">
        <w:rPr>
          <w:rFonts w:asciiTheme="majorHAnsi" w:hAnsiTheme="majorHAnsi" w:cs="Times New Roman"/>
          <w:szCs w:val="24"/>
        </w:rPr>
        <w:sym w:font="Symbol" w:char="F0B1"/>
      </w:r>
      <w:r w:rsidRPr="0039396F">
        <w:rPr>
          <w:rFonts w:asciiTheme="majorHAnsi" w:hAnsiTheme="majorHAnsi" w:cs="Times New Roman"/>
          <w:szCs w:val="24"/>
        </w:rPr>
        <w:t xml:space="preserve"> 2 days later, then 1200 mg every 14 ± 2 days for the study duration. </w:t>
      </w:r>
      <w:r w:rsidR="00B249B7" w:rsidRPr="0039396F">
        <w:rPr>
          <w:rFonts w:asciiTheme="majorHAnsi" w:hAnsiTheme="majorHAnsi" w:cs="Times New Roman"/>
          <w:szCs w:val="24"/>
        </w:rPr>
        <w:t>Soliris</w:t>
      </w:r>
      <w:r w:rsidRPr="0039396F">
        <w:rPr>
          <w:rFonts w:asciiTheme="majorHAnsi" w:hAnsiTheme="majorHAnsi" w:cs="Times New Roman"/>
          <w:szCs w:val="24"/>
        </w:rPr>
        <w:t xml:space="preserve"> was administered as an intravenous infusion over 35 minutes. The dosing regimen in paediatric patients and adolescents weighing less than 40 kg was defined based on a pharmacokinetic simulation that identified the recommended dose and schedule based on body weight. </w:t>
      </w:r>
    </w:p>
    <w:p w14:paraId="4FD4ED03" w14:textId="5C88C548" w:rsidR="00863F51" w:rsidRPr="0039396F" w:rsidRDefault="00863F51" w:rsidP="00A24B2C">
      <w:pPr>
        <w:spacing w:before="120"/>
        <w:rPr>
          <w:rFonts w:asciiTheme="majorHAnsi" w:hAnsiTheme="majorHAnsi" w:cs="Times New Roman"/>
          <w:szCs w:val="24"/>
          <w:lang w:val="en-US"/>
        </w:rPr>
      </w:pPr>
      <w:r w:rsidRPr="0039396F">
        <w:rPr>
          <w:rFonts w:asciiTheme="majorHAnsi" w:hAnsiTheme="majorHAnsi" w:cs="Times New Roman"/>
          <w:szCs w:val="24"/>
          <w:lang w:val="en-US"/>
        </w:rPr>
        <w:t xml:space="preserve">Primary endpoints included platelet count change from baseline in </w:t>
      </w:r>
      <w:r w:rsidRPr="00DE65F2">
        <w:rPr>
          <w:rFonts w:asciiTheme="majorHAnsi" w:hAnsiTheme="majorHAnsi" w:cs="Times New Roman"/>
          <w:szCs w:val="24"/>
          <w:lang w:val="en-US"/>
        </w:rPr>
        <w:t>Study</w:t>
      </w:r>
      <w:r w:rsidRPr="0039396F">
        <w:rPr>
          <w:rFonts w:asciiTheme="majorHAnsi" w:hAnsiTheme="majorHAnsi" w:cs="Times New Roman"/>
          <w:i/>
          <w:szCs w:val="24"/>
          <w:lang w:val="en-US"/>
        </w:rPr>
        <w:t xml:space="preserve"> C08-002A/B</w:t>
      </w:r>
      <w:r w:rsidRPr="0039396F">
        <w:rPr>
          <w:rFonts w:asciiTheme="majorHAnsi" w:hAnsiTheme="majorHAnsi" w:cs="Times New Roman"/>
          <w:szCs w:val="24"/>
          <w:lang w:val="en-US"/>
        </w:rPr>
        <w:t xml:space="preserve"> and thrombotic microangiopathy (TMA) event-free status in </w:t>
      </w:r>
      <w:r w:rsidRPr="00DE65F2">
        <w:rPr>
          <w:rFonts w:asciiTheme="majorHAnsi" w:hAnsiTheme="majorHAnsi" w:cs="Times New Roman"/>
          <w:szCs w:val="24"/>
          <w:lang w:val="en-US"/>
        </w:rPr>
        <w:t>Study</w:t>
      </w:r>
      <w:r w:rsidRPr="0039396F">
        <w:rPr>
          <w:rFonts w:asciiTheme="majorHAnsi" w:hAnsiTheme="majorHAnsi" w:cs="Times New Roman"/>
          <w:i/>
          <w:szCs w:val="24"/>
          <w:lang w:val="en-US"/>
        </w:rPr>
        <w:t xml:space="preserve"> C08-003A/B</w:t>
      </w:r>
      <w:r w:rsidRPr="0039396F">
        <w:rPr>
          <w:rFonts w:asciiTheme="majorHAnsi" w:hAnsiTheme="majorHAnsi" w:cs="Times New Roman"/>
          <w:szCs w:val="24"/>
          <w:lang w:val="en-US"/>
        </w:rPr>
        <w:t xml:space="preserve">.  Additional endpoints included TMA intervention rate, </w:t>
      </w:r>
      <w:proofErr w:type="spellStart"/>
      <w:r w:rsidRPr="0039396F">
        <w:rPr>
          <w:rFonts w:asciiTheme="majorHAnsi" w:hAnsiTheme="majorHAnsi" w:cs="Times New Roman"/>
          <w:szCs w:val="24"/>
          <w:lang w:val="en-US"/>
        </w:rPr>
        <w:t>haematologic</w:t>
      </w:r>
      <w:proofErr w:type="spellEnd"/>
      <w:r w:rsidRPr="0039396F">
        <w:rPr>
          <w:rFonts w:asciiTheme="majorHAnsi" w:hAnsiTheme="majorHAnsi" w:cs="Times New Roman"/>
          <w:szCs w:val="24"/>
          <w:lang w:val="en-US"/>
        </w:rPr>
        <w:t xml:space="preserve"> </w:t>
      </w:r>
      <w:proofErr w:type="spellStart"/>
      <w:r w:rsidR="00967B24">
        <w:rPr>
          <w:rFonts w:asciiTheme="majorHAnsi" w:hAnsiTheme="majorHAnsi" w:cs="Times New Roman"/>
          <w:szCs w:val="24"/>
          <w:lang w:val="en-US"/>
        </w:rPr>
        <w:t>normalisation</w:t>
      </w:r>
      <w:proofErr w:type="spellEnd"/>
      <w:r w:rsidRPr="0039396F">
        <w:rPr>
          <w:rFonts w:asciiTheme="majorHAnsi" w:hAnsiTheme="majorHAnsi" w:cs="Times New Roman"/>
          <w:szCs w:val="24"/>
          <w:lang w:val="en-US"/>
        </w:rPr>
        <w:t>, complete TMA response, changes in LDH, renal function and quality of life.  TMA-event free status was defined as the absence for at least 12 weeks of the following: decrease in platelet count of &gt;25% from baseline,</w:t>
      </w:r>
      <w:r w:rsidRPr="0039396F" w:rsidDel="001B3E71">
        <w:rPr>
          <w:rFonts w:asciiTheme="majorHAnsi" w:hAnsiTheme="majorHAnsi" w:cs="Times New Roman"/>
          <w:szCs w:val="24"/>
          <w:lang w:val="en-US"/>
        </w:rPr>
        <w:t xml:space="preserve"> </w:t>
      </w:r>
      <w:r w:rsidRPr="0039396F">
        <w:rPr>
          <w:rFonts w:asciiTheme="majorHAnsi" w:hAnsiTheme="majorHAnsi" w:cs="Times New Roman"/>
          <w:szCs w:val="24"/>
          <w:lang w:val="en-US"/>
        </w:rPr>
        <w:t xml:space="preserve">PE/PI, and new dialysis.  TMA interventions were defined as PE/PI or new dialysis.  </w:t>
      </w:r>
      <w:proofErr w:type="spellStart"/>
      <w:r w:rsidRPr="0039396F">
        <w:rPr>
          <w:rFonts w:asciiTheme="majorHAnsi" w:hAnsiTheme="majorHAnsi" w:cs="Times New Roman"/>
          <w:szCs w:val="24"/>
          <w:lang w:val="en-US"/>
        </w:rPr>
        <w:t>Haematologic</w:t>
      </w:r>
      <w:proofErr w:type="spellEnd"/>
      <w:r w:rsidRPr="0039396F">
        <w:rPr>
          <w:rFonts w:asciiTheme="majorHAnsi" w:hAnsiTheme="majorHAnsi" w:cs="Times New Roman"/>
          <w:szCs w:val="24"/>
          <w:lang w:val="en-US"/>
        </w:rPr>
        <w:t xml:space="preserve"> </w:t>
      </w:r>
      <w:proofErr w:type="spellStart"/>
      <w:r w:rsidR="00967B24">
        <w:rPr>
          <w:rFonts w:asciiTheme="majorHAnsi" w:hAnsiTheme="majorHAnsi" w:cs="Times New Roman"/>
          <w:szCs w:val="24"/>
          <w:lang w:val="en-US"/>
        </w:rPr>
        <w:t>normalisation</w:t>
      </w:r>
      <w:r w:rsidRPr="0039396F">
        <w:rPr>
          <w:rFonts w:asciiTheme="majorHAnsi" w:hAnsiTheme="majorHAnsi" w:cs="Times New Roman"/>
          <w:szCs w:val="24"/>
          <w:lang w:val="en-US"/>
        </w:rPr>
        <w:t>was</w:t>
      </w:r>
      <w:proofErr w:type="spellEnd"/>
      <w:r w:rsidRPr="0039396F">
        <w:rPr>
          <w:rFonts w:asciiTheme="majorHAnsi" w:hAnsiTheme="majorHAnsi" w:cs="Times New Roman"/>
          <w:szCs w:val="24"/>
          <w:lang w:val="en-US"/>
        </w:rPr>
        <w:t xml:space="preserve"> defined as </w:t>
      </w:r>
      <w:proofErr w:type="spellStart"/>
      <w:r w:rsidR="00967B24">
        <w:rPr>
          <w:rFonts w:asciiTheme="majorHAnsi" w:hAnsiTheme="majorHAnsi" w:cs="Times New Roman"/>
          <w:szCs w:val="24"/>
          <w:lang w:val="en-US"/>
        </w:rPr>
        <w:t>normalisation</w:t>
      </w:r>
      <w:proofErr w:type="spellEnd"/>
      <w:r w:rsidRPr="0039396F">
        <w:rPr>
          <w:rFonts w:asciiTheme="majorHAnsi" w:hAnsiTheme="majorHAnsi" w:cs="Times New Roman"/>
          <w:szCs w:val="24"/>
          <w:lang w:val="en-US"/>
        </w:rPr>
        <w:t xml:space="preserve"> of platelet counts and LDH levels sustained for ≥2 consecutive measurements for ≥4 weeks.  Complete TMA response was defined as </w:t>
      </w:r>
      <w:proofErr w:type="spellStart"/>
      <w:r w:rsidRPr="0039396F">
        <w:rPr>
          <w:rFonts w:asciiTheme="majorHAnsi" w:hAnsiTheme="majorHAnsi" w:cs="Times New Roman"/>
          <w:szCs w:val="24"/>
          <w:lang w:val="en-US"/>
        </w:rPr>
        <w:t>haematologic</w:t>
      </w:r>
      <w:proofErr w:type="spellEnd"/>
      <w:r w:rsidRPr="0039396F">
        <w:rPr>
          <w:rFonts w:asciiTheme="majorHAnsi" w:hAnsiTheme="majorHAnsi" w:cs="Times New Roman"/>
          <w:szCs w:val="24"/>
          <w:lang w:val="en-US"/>
        </w:rPr>
        <w:t xml:space="preserve"> </w:t>
      </w:r>
      <w:proofErr w:type="spellStart"/>
      <w:r w:rsidR="00A97F07">
        <w:rPr>
          <w:rFonts w:asciiTheme="majorHAnsi" w:hAnsiTheme="majorHAnsi" w:cs="Times New Roman"/>
          <w:szCs w:val="24"/>
          <w:lang w:val="en-US"/>
        </w:rPr>
        <w:t>normalisation</w:t>
      </w:r>
      <w:proofErr w:type="spellEnd"/>
      <w:r w:rsidR="00A97F07">
        <w:rPr>
          <w:rFonts w:asciiTheme="majorHAnsi" w:hAnsiTheme="majorHAnsi" w:cs="Times New Roman"/>
          <w:szCs w:val="24"/>
          <w:lang w:val="en-US"/>
        </w:rPr>
        <w:t xml:space="preserve"> </w:t>
      </w:r>
      <w:r w:rsidRPr="0039396F">
        <w:rPr>
          <w:rFonts w:asciiTheme="majorHAnsi" w:hAnsiTheme="majorHAnsi" w:cs="Times New Roman"/>
          <w:szCs w:val="24"/>
          <w:lang w:val="en-US"/>
        </w:rPr>
        <w:t>and a ≥25% reduction in serum creatinine sustained in ≥2 consecutive measurements for ≥4 weeks.  Baseline characteristics are show</w:t>
      </w:r>
      <w:r w:rsidR="00CF160B">
        <w:rPr>
          <w:rFonts w:asciiTheme="majorHAnsi" w:hAnsiTheme="majorHAnsi" w:cs="Times New Roman"/>
          <w:szCs w:val="24"/>
          <w:lang w:val="en-US"/>
        </w:rPr>
        <w:t>n</w:t>
      </w:r>
      <w:r w:rsidRPr="0039396F">
        <w:rPr>
          <w:rFonts w:asciiTheme="majorHAnsi" w:hAnsiTheme="majorHAnsi" w:cs="Times New Roman"/>
          <w:szCs w:val="24"/>
          <w:lang w:val="en-US"/>
        </w:rPr>
        <w:t xml:space="preserve"> in </w:t>
      </w:r>
      <w:r w:rsidR="00474895">
        <w:rPr>
          <w:rFonts w:asciiTheme="majorHAnsi" w:hAnsiTheme="majorHAnsi" w:cs="Times New Roman"/>
          <w:szCs w:val="24"/>
          <w:lang w:val="en-US"/>
        </w:rPr>
        <w:fldChar w:fldCharType="begin"/>
      </w:r>
      <w:r w:rsidR="00474895">
        <w:rPr>
          <w:rFonts w:asciiTheme="majorHAnsi" w:hAnsiTheme="majorHAnsi" w:cs="Times New Roman"/>
          <w:szCs w:val="24"/>
          <w:lang w:val="en-US"/>
        </w:rPr>
        <w:instrText xml:space="preserve"> REF _Ref18592079 \h </w:instrText>
      </w:r>
      <w:r w:rsidR="00474895">
        <w:rPr>
          <w:rFonts w:asciiTheme="majorHAnsi" w:hAnsiTheme="majorHAnsi" w:cs="Times New Roman"/>
          <w:szCs w:val="24"/>
          <w:lang w:val="en-US"/>
        </w:rPr>
      </w:r>
      <w:r w:rsidR="00474895">
        <w:rPr>
          <w:rFonts w:asciiTheme="majorHAnsi" w:hAnsiTheme="majorHAnsi" w:cs="Times New Roman"/>
          <w:szCs w:val="24"/>
          <w:lang w:val="en-US"/>
        </w:rPr>
        <w:fldChar w:fldCharType="separate"/>
      </w:r>
      <w:r w:rsidR="00AE6672">
        <w:t xml:space="preserve">Table </w:t>
      </w:r>
      <w:r w:rsidR="00AE6672">
        <w:rPr>
          <w:noProof/>
        </w:rPr>
        <w:t>12</w:t>
      </w:r>
      <w:r w:rsidR="00474895">
        <w:rPr>
          <w:rFonts w:asciiTheme="majorHAnsi" w:hAnsiTheme="majorHAnsi" w:cs="Times New Roman"/>
          <w:szCs w:val="24"/>
          <w:lang w:val="en-US"/>
        </w:rPr>
        <w:fldChar w:fldCharType="end"/>
      </w:r>
      <w:r w:rsidR="003C187B">
        <w:rPr>
          <w:rFonts w:asciiTheme="majorHAnsi" w:hAnsiTheme="majorHAnsi" w:cs="Times New Roman"/>
          <w:szCs w:val="24"/>
          <w:lang w:val="en-US"/>
        </w:rPr>
        <w:t>.</w:t>
      </w:r>
    </w:p>
    <w:p w14:paraId="3695779D" w14:textId="4E2ECF33" w:rsidR="00863F51" w:rsidRPr="00BE4695" w:rsidRDefault="00474895" w:rsidP="00AE2D6F">
      <w:pPr>
        <w:pStyle w:val="Caption"/>
        <w:spacing w:after="120"/>
        <w:rPr>
          <w:rFonts w:asciiTheme="majorHAnsi" w:hAnsiTheme="majorHAnsi"/>
          <w:lang w:val="en-AU"/>
        </w:rPr>
      </w:pPr>
      <w:bookmarkStart w:id="17" w:name="_Ref18592079"/>
      <w:r>
        <w:t xml:space="preserve">Table </w:t>
      </w:r>
      <w:r w:rsidR="00345186">
        <w:fldChar w:fldCharType="begin"/>
      </w:r>
      <w:r w:rsidR="00345186">
        <w:instrText xml:space="preserve"> SEQ Table \* ARABIC </w:instrText>
      </w:r>
      <w:r w:rsidR="00345186">
        <w:fldChar w:fldCharType="separate"/>
      </w:r>
      <w:r w:rsidR="00345186">
        <w:rPr>
          <w:noProof/>
        </w:rPr>
        <w:t>12</w:t>
      </w:r>
      <w:r w:rsidR="00345186">
        <w:fldChar w:fldCharType="end"/>
      </w:r>
      <w:bookmarkEnd w:id="17"/>
      <w:r>
        <w:t xml:space="preserve">: </w:t>
      </w:r>
      <w:r w:rsidR="00863F51" w:rsidRPr="00BE4695">
        <w:rPr>
          <w:rFonts w:asciiTheme="majorHAnsi" w:hAnsiTheme="majorHAnsi"/>
          <w:lang w:val="en-AU"/>
        </w:rPr>
        <w:t xml:space="preserve">Patient Demographics and Characteristics in </w:t>
      </w:r>
      <w:r w:rsidR="00863F51" w:rsidRPr="00BE4695">
        <w:rPr>
          <w:rFonts w:asciiTheme="majorHAnsi" w:hAnsiTheme="majorHAnsi"/>
          <w:i/>
          <w:lang w:val="en-AU"/>
        </w:rPr>
        <w:t>C08-002A/B</w:t>
      </w:r>
      <w:r w:rsidR="00863F51" w:rsidRPr="00BE4695">
        <w:rPr>
          <w:rFonts w:asciiTheme="majorHAnsi" w:hAnsiTheme="majorHAnsi"/>
          <w:lang w:val="en-AU"/>
        </w:rPr>
        <w:t xml:space="preserve"> and </w:t>
      </w:r>
      <w:r w:rsidR="00863F51" w:rsidRPr="00BE4695">
        <w:rPr>
          <w:rFonts w:asciiTheme="majorHAnsi" w:hAnsiTheme="majorHAnsi"/>
          <w:i/>
          <w:lang w:val="en-AU"/>
        </w:rPr>
        <w:t>C08-003A/B</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1890"/>
        <w:gridCol w:w="1710"/>
      </w:tblGrid>
      <w:tr w:rsidR="00863F51" w:rsidRPr="006235F7" w14:paraId="6D55D315" w14:textId="77777777" w:rsidTr="001F14D3">
        <w:trPr>
          <w:cantSplit/>
          <w:tblHeader/>
        </w:trPr>
        <w:tc>
          <w:tcPr>
            <w:tcW w:w="5130" w:type="dxa"/>
            <w:vMerge w:val="restart"/>
            <w:shd w:val="clear" w:color="auto" w:fill="auto"/>
            <w:vAlign w:val="center"/>
          </w:tcPr>
          <w:p w14:paraId="1F1A8E9D" w14:textId="77777777" w:rsidR="00863F51" w:rsidRPr="006235F7" w:rsidRDefault="00863F51" w:rsidP="001F14D3">
            <w:pPr>
              <w:keepNext/>
              <w:jc w:val="center"/>
              <w:rPr>
                <w:rFonts w:asciiTheme="majorHAnsi" w:hAnsiTheme="majorHAnsi" w:cs="Times New Roman"/>
                <w:b/>
                <w:sz w:val="22"/>
                <w:lang w:val="en-US"/>
              </w:rPr>
            </w:pPr>
            <w:r w:rsidRPr="006235F7">
              <w:rPr>
                <w:rFonts w:asciiTheme="majorHAnsi" w:hAnsiTheme="majorHAnsi" w:cs="Times New Roman"/>
                <w:b/>
                <w:sz w:val="22"/>
                <w:lang w:val="en-US"/>
              </w:rPr>
              <w:t>Parameter</w:t>
            </w:r>
          </w:p>
        </w:tc>
        <w:tc>
          <w:tcPr>
            <w:tcW w:w="1890" w:type="dxa"/>
            <w:tcBorders>
              <w:bottom w:val="single" w:sz="6" w:space="0" w:color="auto"/>
            </w:tcBorders>
            <w:shd w:val="clear" w:color="auto" w:fill="auto"/>
          </w:tcPr>
          <w:p w14:paraId="58DDE8F0"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C08-002A/B</w:t>
            </w:r>
          </w:p>
        </w:tc>
        <w:tc>
          <w:tcPr>
            <w:tcW w:w="1710" w:type="dxa"/>
            <w:tcBorders>
              <w:bottom w:val="single" w:sz="6" w:space="0" w:color="auto"/>
            </w:tcBorders>
            <w:shd w:val="clear" w:color="auto" w:fill="auto"/>
          </w:tcPr>
          <w:p w14:paraId="543E191A"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C08-003A/B</w:t>
            </w:r>
          </w:p>
        </w:tc>
      </w:tr>
      <w:tr w:rsidR="00863F51" w:rsidRPr="006235F7" w14:paraId="63EF5B52" w14:textId="77777777" w:rsidTr="003C187B">
        <w:trPr>
          <w:cantSplit/>
          <w:tblHeader/>
        </w:trPr>
        <w:tc>
          <w:tcPr>
            <w:tcW w:w="5130" w:type="dxa"/>
            <w:vMerge/>
            <w:shd w:val="clear" w:color="auto" w:fill="auto"/>
          </w:tcPr>
          <w:p w14:paraId="108FC844" w14:textId="77777777" w:rsidR="00863F51" w:rsidRPr="006235F7" w:rsidRDefault="00863F51" w:rsidP="00633E0A">
            <w:pPr>
              <w:keepNext/>
              <w:jc w:val="center"/>
              <w:rPr>
                <w:rFonts w:asciiTheme="majorHAnsi" w:hAnsiTheme="majorHAnsi" w:cs="Times New Roman"/>
                <w:b/>
                <w:sz w:val="22"/>
                <w:lang w:val="en-US"/>
              </w:rPr>
            </w:pPr>
          </w:p>
        </w:tc>
        <w:tc>
          <w:tcPr>
            <w:tcW w:w="1890" w:type="dxa"/>
            <w:shd w:val="clear" w:color="auto" w:fill="auto"/>
          </w:tcPr>
          <w:p w14:paraId="77028116" w14:textId="77777777" w:rsidR="00863F51" w:rsidRPr="006235F7" w:rsidRDefault="009E7188" w:rsidP="00633E0A">
            <w:pPr>
              <w:keepNext/>
              <w:jc w:val="center"/>
              <w:rPr>
                <w:rFonts w:asciiTheme="majorHAnsi" w:hAnsiTheme="majorHAnsi" w:cs="Times New Roman"/>
                <w:sz w:val="22"/>
                <w:lang w:val="en-US"/>
              </w:rPr>
            </w:pPr>
            <w:r>
              <w:rPr>
                <w:rFonts w:asciiTheme="majorHAnsi" w:hAnsiTheme="majorHAnsi" w:cs="Times New Roman"/>
                <w:b/>
                <w:sz w:val="22"/>
                <w:lang w:val="en-US"/>
              </w:rPr>
              <w:t>Soliris</w:t>
            </w:r>
            <w:r w:rsidR="00863F51" w:rsidRPr="006235F7">
              <w:rPr>
                <w:rFonts w:asciiTheme="majorHAnsi" w:hAnsiTheme="majorHAnsi" w:cs="Times New Roman"/>
                <w:b/>
                <w:sz w:val="22"/>
                <w:lang w:val="en-US"/>
              </w:rPr>
              <w:br/>
            </w:r>
            <w:r w:rsidR="00863F51" w:rsidRPr="006235F7">
              <w:rPr>
                <w:rFonts w:asciiTheme="majorHAnsi" w:hAnsiTheme="majorHAnsi" w:cs="Times New Roman"/>
                <w:sz w:val="22"/>
                <w:lang w:val="en-US"/>
              </w:rPr>
              <w:t>N = 17</w:t>
            </w:r>
          </w:p>
        </w:tc>
        <w:tc>
          <w:tcPr>
            <w:tcW w:w="1710" w:type="dxa"/>
            <w:shd w:val="clear" w:color="auto" w:fill="auto"/>
          </w:tcPr>
          <w:p w14:paraId="361F2586" w14:textId="77777777" w:rsidR="00863F51" w:rsidRPr="006235F7" w:rsidRDefault="009E7188" w:rsidP="00633E0A">
            <w:pPr>
              <w:keepNext/>
              <w:jc w:val="center"/>
              <w:rPr>
                <w:rFonts w:asciiTheme="majorHAnsi" w:hAnsiTheme="majorHAnsi" w:cs="Times New Roman"/>
                <w:sz w:val="22"/>
                <w:lang w:val="en-US"/>
              </w:rPr>
            </w:pPr>
            <w:r>
              <w:rPr>
                <w:rFonts w:asciiTheme="majorHAnsi" w:hAnsiTheme="majorHAnsi" w:cs="Times New Roman"/>
                <w:b/>
                <w:sz w:val="22"/>
                <w:lang w:val="en-US"/>
              </w:rPr>
              <w:t>Soliris</w:t>
            </w:r>
            <w:r w:rsidR="00863F51" w:rsidRPr="006235F7">
              <w:rPr>
                <w:rFonts w:asciiTheme="majorHAnsi" w:hAnsiTheme="majorHAnsi" w:cs="Times New Roman"/>
                <w:b/>
                <w:sz w:val="22"/>
                <w:lang w:val="en-US"/>
              </w:rPr>
              <w:br/>
            </w:r>
            <w:r w:rsidR="00863F51" w:rsidRPr="006235F7">
              <w:rPr>
                <w:rFonts w:asciiTheme="majorHAnsi" w:hAnsiTheme="majorHAnsi" w:cs="Times New Roman"/>
                <w:sz w:val="22"/>
                <w:lang w:val="en-US"/>
              </w:rPr>
              <w:t>N = 20</w:t>
            </w:r>
          </w:p>
        </w:tc>
      </w:tr>
      <w:tr w:rsidR="00863F51" w:rsidRPr="006235F7" w14:paraId="3E23907D" w14:textId="77777777" w:rsidTr="003C187B">
        <w:trPr>
          <w:cantSplit/>
        </w:trPr>
        <w:tc>
          <w:tcPr>
            <w:tcW w:w="5130" w:type="dxa"/>
            <w:shd w:val="clear" w:color="auto" w:fill="auto"/>
          </w:tcPr>
          <w:p w14:paraId="708F4A3A" w14:textId="77777777" w:rsidR="00863F51" w:rsidRPr="00AE2D6F" w:rsidRDefault="00863F51" w:rsidP="00633E0A">
            <w:pPr>
              <w:rPr>
                <w:rFonts w:asciiTheme="majorHAnsi" w:hAnsiTheme="majorHAnsi" w:cs="Times New Roman"/>
                <w:lang w:val="en-US"/>
              </w:rPr>
            </w:pPr>
            <w:r w:rsidRPr="00AE2D6F">
              <w:rPr>
                <w:rFonts w:asciiTheme="majorHAnsi" w:hAnsiTheme="majorHAnsi" w:cs="Times New Roman"/>
                <w:lang w:val="en-US"/>
              </w:rPr>
              <w:t>Time from first diagnosis until screening in months, median (min, max)</w:t>
            </w:r>
          </w:p>
        </w:tc>
        <w:tc>
          <w:tcPr>
            <w:tcW w:w="1890" w:type="dxa"/>
            <w:shd w:val="clear" w:color="auto" w:fill="auto"/>
          </w:tcPr>
          <w:p w14:paraId="441F936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10 </w:t>
            </w:r>
            <w:r w:rsidRPr="006235F7">
              <w:rPr>
                <w:rFonts w:asciiTheme="majorHAnsi" w:hAnsiTheme="majorHAnsi" w:cs="Times New Roman"/>
                <w:sz w:val="22"/>
                <w:lang w:val="en-US"/>
              </w:rPr>
              <w:br/>
              <w:t>(0.26, 236)</w:t>
            </w:r>
          </w:p>
        </w:tc>
        <w:tc>
          <w:tcPr>
            <w:tcW w:w="1710" w:type="dxa"/>
            <w:shd w:val="clear" w:color="auto" w:fill="auto"/>
          </w:tcPr>
          <w:p w14:paraId="0A6775E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48 </w:t>
            </w:r>
            <w:r w:rsidRPr="006235F7">
              <w:rPr>
                <w:rFonts w:asciiTheme="majorHAnsi" w:hAnsiTheme="majorHAnsi" w:cs="Times New Roman"/>
                <w:sz w:val="22"/>
                <w:lang w:val="en-US"/>
              </w:rPr>
              <w:br/>
              <w:t>(0.66, 286)</w:t>
            </w:r>
          </w:p>
        </w:tc>
      </w:tr>
      <w:tr w:rsidR="00863F51" w:rsidRPr="006235F7" w14:paraId="0484CD0B" w14:textId="77777777" w:rsidTr="003C187B">
        <w:trPr>
          <w:cantSplit/>
        </w:trPr>
        <w:tc>
          <w:tcPr>
            <w:tcW w:w="5130" w:type="dxa"/>
            <w:shd w:val="clear" w:color="auto" w:fill="auto"/>
          </w:tcPr>
          <w:p w14:paraId="756AD643" w14:textId="77777777" w:rsidR="00863F51" w:rsidRPr="00AE2D6F" w:rsidRDefault="00863F51" w:rsidP="00633E0A">
            <w:pPr>
              <w:rPr>
                <w:rFonts w:asciiTheme="majorHAnsi" w:hAnsiTheme="majorHAnsi" w:cs="Times New Roman"/>
                <w:lang w:val="en-US"/>
              </w:rPr>
            </w:pPr>
            <w:r w:rsidRPr="00AE2D6F">
              <w:rPr>
                <w:rFonts w:asciiTheme="majorHAnsi" w:hAnsiTheme="majorHAnsi" w:cs="Times New Roman"/>
                <w:lang w:val="en-US"/>
              </w:rPr>
              <w:t>Time from current clinical TMA manifestation until screening in months, median (min, max)</w:t>
            </w:r>
          </w:p>
        </w:tc>
        <w:tc>
          <w:tcPr>
            <w:tcW w:w="1890" w:type="dxa"/>
            <w:shd w:val="clear" w:color="auto" w:fill="auto"/>
          </w:tcPr>
          <w:p w14:paraId="1EAAB3C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&lt;1 </w:t>
            </w:r>
            <w:r w:rsidRPr="006235F7">
              <w:rPr>
                <w:rFonts w:asciiTheme="majorHAnsi" w:hAnsiTheme="majorHAnsi" w:cs="Times New Roman"/>
                <w:sz w:val="22"/>
                <w:lang w:val="en-US"/>
              </w:rPr>
              <w:br/>
              <w:t>(&lt;1, 4)</w:t>
            </w:r>
          </w:p>
        </w:tc>
        <w:tc>
          <w:tcPr>
            <w:tcW w:w="1710" w:type="dxa"/>
            <w:shd w:val="clear" w:color="auto" w:fill="auto"/>
          </w:tcPr>
          <w:p w14:paraId="15C01225"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9 </w:t>
            </w:r>
            <w:r w:rsidRPr="006235F7">
              <w:rPr>
                <w:rFonts w:asciiTheme="majorHAnsi" w:hAnsiTheme="majorHAnsi" w:cs="Times New Roman"/>
                <w:sz w:val="22"/>
                <w:lang w:val="en-US"/>
              </w:rPr>
              <w:br/>
              <w:t>(1, 45)</w:t>
            </w:r>
          </w:p>
        </w:tc>
      </w:tr>
      <w:tr w:rsidR="00863F51" w:rsidRPr="006235F7" w14:paraId="450128D9" w14:textId="77777777" w:rsidTr="003C187B">
        <w:trPr>
          <w:cantSplit/>
        </w:trPr>
        <w:tc>
          <w:tcPr>
            <w:tcW w:w="5130" w:type="dxa"/>
            <w:shd w:val="clear" w:color="auto" w:fill="auto"/>
          </w:tcPr>
          <w:p w14:paraId="75BAC9ED" w14:textId="77777777" w:rsidR="00863F51" w:rsidRPr="00AE2D6F" w:rsidRDefault="00863F51" w:rsidP="00633E0A">
            <w:pPr>
              <w:rPr>
                <w:rFonts w:asciiTheme="majorHAnsi" w:hAnsiTheme="majorHAnsi" w:cs="Times New Roman"/>
                <w:lang w:val="en-US"/>
              </w:rPr>
            </w:pPr>
            <w:r w:rsidRPr="00AE2D6F">
              <w:rPr>
                <w:rFonts w:asciiTheme="majorHAnsi" w:hAnsiTheme="majorHAnsi" w:cs="Times New Roman"/>
                <w:lang w:val="en-US"/>
              </w:rPr>
              <w:t>Number of PE/PI sessions for current clinical TMA manifestation, median (min, max)</w:t>
            </w:r>
          </w:p>
        </w:tc>
        <w:tc>
          <w:tcPr>
            <w:tcW w:w="1890" w:type="dxa"/>
            <w:shd w:val="clear" w:color="auto" w:fill="auto"/>
          </w:tcPr>
          <w:p w14:paraId="19E18C60"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17 </w:t>
            </w:r>
            <w:r w:rsidRPr="006235F7">
              <w:rPr>
                <w:rFonts w:asciiTheme="majorHAnsi" w:hAnsiTheme="majorHAnsi" w:cs="Times New Roman"/>
                <w:sz w:val="22"/>
                <w:lang w:val="en-US"/>
              </w:rPr>
              <w:br/>
              <w:t>(2, 37)</w:t>
            </w:r>
          </w:p>
        </w:tc>
        <w:tc>
          <w:tcPr>
            <w:tcW w:w="1710" w:type="dxa"/>
            <w:shd w:val="clear" w:color="auto" w:fill="auto"/>
          </w:tcPr>
          <w:p w14:paraId="7CD2FB57"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62 </w:t>
            </w:r>
            <w:r w:rsidRPr="006235F7">
              <w:rPr>
                <w:rFonts w:asciiTheme="majorHAnsi" w:hAnsiTheme="majorHAnsi" w:cs="Times New Roman"/>
                <w:sz w:val="22"/>
                <w:lang w:val="en-US"/>
              </w:rPr>
              <w:br/>
              <w:t>(20, 230)</w:t>
            </w:r>
          </w:p>
        </w:tc>
      </w:tr>
      <w:tr w:rsidR="00863F51" w:rsidRPr="006235F7" w14:paraId="60546780" w14:textId="77777777" w:rsidTr="003C187B">
        <w:trPr>
          <w:cantSplit/>
        </w:trPr>
        <w:tc>
          <w:tcPr>
            <w:tcW w:w="5130" w:type="dxa"/>
            <w:shd w:val="clear" w:color="auto" w:fill="auto"/>
          </w:tcPr>
          <w:p w14:paraId="5888EA91" w14:textId="77777777" w:rsidR="00863F51" w:rsidRPr="00AE2D6F" w:rsidRDefault="00863F51" w:rsidP="00DE65F2">
            <w:pPr>
              <w:rPr>
                <w:rFonts w:asciiTheme="majorHAnsi" w:hAnsiTheme="majorHAnsi" w:cs="Times New Roman"/>
                <w:lang w:val="en-US"/>
              </w:rPr>
            </w:pPr>
            <w:r w:rsidRPr="00AE2D6F">
              <w:rPr>
                <w:rFonts w:asciiTheme="majorHAnsi" w:eastAsia="MS Mincho" w:hAnsiTheme="majorHAnsi" w:cs="Times New Roman"/>
                <w:lang w:val="en-US"/>
              </w:rPr>
              <w:t>Number of PE/PI sessions in 7 days prior to first dose of eculizumab</w:t>
            </w:r>
            <w:r w:rsidR="000910CA" w:rsidRPr="00AE2D6F">
              <w:rPr>
                <w:rFonts w:asciiTheme="majorHAnsi" w:eastAsia="MS Mincho" w:hAnsiTheme="majorHAnsi" w:cs="Times New Roman"/>
                <w:lang w:val="en-US"/>
              </w:rPr>
              <w:t xml:space="preserve"> </w:t>
            </w:r>
            <w:r w:rsidRPr="00AE2D6F">
              <w:rPr>
                <w:rFonts w:asciiTheme="majorHAnsi" w:eastAsia="MS Mincho" w:hAnsiTheme="majorHAnsi" w:cs="Times New Roman"/>
                <w:lang w:val="en-US"/>
              </w:rPr>
              <w:t>median (min, max)</w:t>
            </w:r>
          </w:p>
        </w:tc>
        <w:tc>
          <w:tcPr>
            <w:tcW w:w="1890" w:type="dxa"/>
            <w:shd w:val="clear" w:color="auto" w:fill="auto"/>
          </w:tcPr>
          <w:p w14:paraId="179B9F6F"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6 </w:t>
            </w:r>
            <w:r w:rsidRPr="006235F7">
              <w:rPr>
                <w:rFonts w:asciiTheme="majorHAnsi" w:hAnsiTheme="majorHAnsi" w:cs="Times New Roman"/>
                <w:sz w:val="22"/>
                <w:lang w:val="en-US"/>
              </w:rPr>
              <w:br/>
              <w:t>(0, 7)</w:t>
            </w:r>
          </w:p>
        </w:tc>
        <w:tc>
          <w:tcPr>
            <w:tcW w:w="1710" w:type="dxa"/>
            <w:shd w:val="clear" w:color="auto" w:fill="auto"/>
          </w:tcPr>
          <w:p w14:paraId="4840283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2 </w:t>
            </w:r>
            <w:r w:rsidRPr="006235F7">
              <w:rPr>
                <w:rFonts w:asciiTheme="majorHAnsi" w:hAnsiTheme="majorHAnsi" w:cs="Times New Roman"/>
                <w:sz w:val="22"/>
                <w:lang w:val="en-US"/>
              </w:rPr>
              <w:br/>
              <w:t>(1, 3)</w:t>
            </w:r>
          </w:p>
        </w:tc>
      </w:tr>
      <w:tr w:rsidR="00863F51" w:rsidRPr="006235F7" w14:paraId="7D894D83" w14:textId="77777777" w:rsidTr="003C187B">
        <w:trPr>
          <w:cantSplit/>
        </w:trPr>
        <w:tc>
          <w:tcPr>
            <w:tcW w:w="5130" w:type="dxa"/>
            <w:shd w:val="clear" w:color="auto" w:fill="auto"/>
          </w:tcPr>
          <w:p w14:paraId="2113944F" w14:textId="77777777" w:rsidR="00863F51" w:rsidRPr="00AE2D6F" w:rsidRDefault="00863F51" w:rsidP="00633E0A">
            <w:pPr>
              <w:keepNext/>
              <w:rPr>
                <w:rFonts w:asciiTheme="majorHAnsi" w:eastAsia="MS Mincho" w:hAnsiTheme="majorHAnsi" w:cs="Times New Roman"/>
                <w:lang w:val="en-US"/>
              </w:rPr>
            </w:pPr>
            <w:r w:rsidRPr="00AE2D6F">
              <w:rPr>
                <w:rFonts w:asciiTheme="majorHAnsi" w:eastAsia="MS Mincho" w:hAnsiTheme="majorHAnsi" w:cs="Times New Roman"/>
                <w:lang w:val="en-US"/>
              </w:rPr>
              <w:t>Baseline platelet count (×10</w:t>
            </w:r>
            <w:r w:rsidRPr="00AE2D6F">
              <w:rPr>
                <w:rFonts w:asciiTheme="majorHAnsi" w:eastAsia="MS Mincho" w:hAnsiTheme="majorHAnsi" w:cs="Times New Roman"/>
                <w:vertAlign w:val="superscript"/>
                <w:lang w:val="en-US"/>
              </w:rPr>
              <w:t>9</w:t>
            </w:r>
            <w:r w:rsidRPr="00AE2D6F">
              <w:rPr>
                <w:rFonts w:asciiTheme="majorHAnsi" w:eastAsia="MS Mincho" w:hAnsiTheme="majorHAnsi" w:cs="Times New Roman"/>
                <w:lang w:val="en-US"/>
              </w:rPr>
              <w:t>/L), mean (SD)</w:t>
            </w:r>
          </w:p>
        </w:tc>
        <w:tc>
          <w:tcPr>
            <w:tcW w:w="1890" w:type="dxa"/>
            <w:shd w:val="clear" w:color="auto" w:fill="auto"/>
          </w:tcPr>
          <w:p w14:paraId="072D6961" w14:textId="77777777" w:rsidR="00863F51" w:rsidRPr="006235F7" w:rsidRDefault="00863F51" w:rsidP="00633E0A">
            <w:pPr>
              <w:jc w:val="center"/>
              <w:rPr>
                <w:rFonts w:asciiTheme="majorHAnsi" w:hAnsiTheme="majorHAnsi" w:cs="Times New Roman"/>
                <w:sz w:val="22"/>
                <w:lang w:val="en-US"/>
              </w:rPr>
            </w:pPr>
            <w:r w:rsidRPr="006235F7">
              <w:rPr>
                <w:rFonts w:asciiTheme="majorHAnsi" w:eastAsia="MS Mincho" w:hAnsiTheme="majorHAnsi" w:cs="Times New Roman"/>
                <w:sz w:val="22"/>
                <w:lang w:val="en-US"/>
              </w:rPr>
              <w:t>109 (32)</w:t>
            </w:r>
          </w:p>
        </w:tc>
        <w:tc>
          <w:tcPr>
            <w:tcW w:w="1710" w:type="dxa"/>
            <w:shd w:val="clear" w:color="auto" w:fill="auto"/>
          </w:tcPr>
          <w:p w14:paraId="74305712" w14:textId="77777777" w:rsidR="00863F51" w:rsidRPr="006235F7" w:rsidRDefault="00863F51" w:rsidP="00633E0A">
            <w:pPr>
              <w:jc w:val="center"/>
              <w:rPr>
                <w:rFonts w:asciiTheme="majorHAnsi" w:hAnsiTheme="majorHAnsi" w:cs="Times New Roman"/>
                <w:sz w:val="22"/>
                <w:lang w:val="en-US"/>
              </w:rPr>
            </w:pPr>
            <w:r w:rsidRPr="006235F7">
              <w:rPr>
                <w:rFonts w:asciiTheme="majorHAnsi" w:eastAsia="MS Mincho" w:hAnsiTheme="majorHAnsi" w:cs="Times New Roman"/>
                <w:sz w:val="22"/>
                <w:lang w:val="en-US"/>
              </w:rPr>
              <w:t>228 (78)</w:t>
            </w:r>
          </w:p>
        </w:tc>
      </w:tr>
      <w:tr w:rsidR="00863F51" w:rsidRPr="006235F7" w14:paraId="1CD81C9A" w14:textId="77777777" w:rsidTr="003C187B">
        <w:trPr>
          <w:cantSplit/>
        </w:trPr>
        <w:tc>
          <w:tcPr>
            <w:tcW w:w="5130" w:type="dxa"/>
            <w:shd w:val="clear" w:color="auto" w:fill="auto"/>
          </w:tcPr>
          <w:p w14:paraId="176FA416" w14:textId="77777777" w:rsidR="00863F51" w:rsidRPr="00AE2D6F" w:rsidRDefault="00863F51" w:rsidP="00633E0A">
            <w:pPr>
              <w:tabs>
                <w:tab w:val="left" w:pos="3165"/>
              </w:tabs>
              <w:rPr>
                <w:rFonts w:asciiTheme="majorHAnsi" w:hAnsiTheme="majorHAnsi" w:cs="Times New Roman"/>
                <w:lang w:val="en-US"/>
              </w:rPr>
            </w:pPr>
            <w:r w:rsidRPr="00AE2D6F">
              <w:rPr>
                <w:rFonts w:asciiTheme="majorHAnsi" w:eastAsia="MS Mincho" w:hAnsiTheme="majorHAnsi" w:cs="Times New Roman"/>
                <w:lang w:val="en-US"/>
              </w:rPr>
              <w:t>Baseline LDH (U/L), mean (SD)</w:t>
            </w:r>
          </w:p>
        </w:tc>
        <w:tc>
          <w:tcPr>
            <w:tcW w:w="1890" w:type="dxa"/>
            <w:shd w:val="clear" w:color="auto" w:fill="auto"/>
          </w:tcPr>
          <w:p w14:paraId="30F69F75" w14:textId="77777777" w:rsidR="00863F51" w:rsidRPr="006235F7" w:rsidRDefault="00863F51" w:rsidP="00633E0A">
            <w:pPr>
              <w:jc w:val="center"/>
              <w:rPr>
                <w:rFonts w:asciiTheme="majorHAnsi" w:hAnsiTheme="majorHAnsi" w:cs="Times New Roman"/>
                <w:sz w:val="22"/>
                <w:lang w:val="en-US"/>
              </w:rPr>
            </w:pPr>
            <w:r w:rsidRPr="006235F7">
              <w:rPr>
                <w:rFonts w:asciiTheme="majorHAnsi" w:eastAsia="MS Mincho" w:hAnsiTheme="majorHAnsi" w:cs="Times New Roman"/>
                <w:sz w:val="22"/>
                <w:lang w:val="en-US"/>
              </w:rPr>
              <w:t>323 (138)</w:t>
            </w:r>
          </w:p>
        </w:tc>
        <w:tc>
          <w:tcPr>
            <w:tcW w:w="1710" w:type="dxa"/>
            <w:shd w:val="clear" w:color="auto" w:fill="auto"/>
          </w:tcPr>
          <w:p w14:paraId="00501F94" w14:textId="77777777" w:rsidR="00863F51" w:rsidRPr="006235F7" w:rsidRDefault="00863F51" w:rsidP="00633E0A">
            <w:pPr>
              <w:jc w:val="center"/>
              <w:rPr>
                <w:rFonts w:asciiTheme="majorHAnsi" w:hAnsiTheme="majorHAnsi" w:cs="Times New Roman"/>
                <w:sz w:val="22"/>
                <w:lang w:val="en-US"/>
              </w:rPr>
            </w:pPr>
            <w:r w:rsidRPr="006235F7">
              <w:rPr>
                <w:rFonts w:asciiTheme="majorHAnsi" w:eastAsia="MS Mincho" w:hAnsiTheme="majorHAnsi" w:cs="Times New Roman"/>
                <w:sz w:val="22"/>
                <w:lang w:val="en-US"/>
              </w:rPr>
              <w:t>223 (70)</w:t>
            </w:r>
          </w:p>
        </w:tc>
      </w:tr>
      <w:tr w:rsidR="00863F51" w:rsidRPr="006235F7" w14:paraId="2AD872B0" w14:textId="77777777" w:rsidTr="003C187B">
        <w:trPr>
          <w:cantSplit/>
        </w:trPr>
        <w:tc>
          <w:tcPr>
            <w:tcW w:w="5130" w:type="dxa"/>
            <w:shd w:val="clear" w:color="auto" w:fill="auto"/>
          </w:tcPr>
          <w:p w14:paraId="29CDFD64" w14:textId="77777777" w:rsidR="00863F51" w:rsidRPr="00AE2D6F" w:rsidRDefault="00863F51" w:rsidP="00633E0A">
            <w:pPr>
              <w:tabs>
                <w:tab w:val="left" w:pos="3165"/>
              </w:tabs>
              <w:rPr>
                <w:rFonts w:asciiTheme="majorHAnsi" w:eastAsia="MS Mincho" w:hAnsiTheme="majorHAnsi" w:cs="Times New Roman"/>
                <w:lang w:val="en-US"/>
              </w:rPr>
            </w:pPr>
            <w:r w:rsidRPr="00AE2D6F">
              <w:rPr>
                <w:rFonts w:asciiTheme="majorHAnsi" w:eastAsia="MS Mincho" w:hAnsiTheme="majorHAnsi" w:cs="Times New Roman"/>
                <w:lang w:val="en-US"/>
              </w:rPr>
              <w:t>Patients without identified mutation, n (%)</w:t>
            </w:r>
          </w:p>
        </w:tc>
        <w:tc>
          <w:tcPr>
            <w:tcW w:w="1890" w:type="dxa"/>
            <w:shd w:val="clear" w:color="auto" w:fill="auto"/>
          </w:tcPr>
          <w:p w14:paraId="5E7EA517" w14:textId="77777777" w:rsidR="00863F51" w:rsidRPr="006235F7" w:rsidRDefault="00863F51" w:rsidP="00633E0A">
            <w:pPr>
              <w:jc w:val="center"/>
              <w:rPr>
                <w:rFonts w:asciiTheme="majorHAnsi" w:eastAsia="MS Mincho" w:hAnsiTheme="majorHAnsi" w:cs="Times New Roman"/>
                <w:sz w:val="22"/>
                <w:lang w:val="en-US"/>
              </w:rPr>
            </w:pPr>
            <w:r w:rsidRPr="006235F7">
              <w:rPr>
                <w:rFonts w:asciiTheme="majorHAnsi" w:eastAsia="MS Mincho" w:hAnsiTheme="majorHAnsi" w:cs="Times New Roman"/>
                <w:sz w:val="22"/>
                <w:lang w:val="en-US"/>
              </w:rPr>
              <w:t>4 (24)</w:t>
            </w:r>
          </w:p>
        </w:tc>
        <w:tc>
          <w:tcPr>
            <w:tcW w:w="1710" w:type="dxa"/>
            <w:shd w:val="clear" w:color="auto" w:fill="auto"/>
          </w:tcPr>
          <w:p w14:paraId="3B90534D" w14:textId="77777777" w:rsidR="00863F51" w:rsidRPr="006235F7" w:rsidRDefault="00863F51" w:rsidP="00633E0A">
            <w:pPr>
              <w:jc w:val="center"/>
              <w:rPr>
                <w:rFonts w:asciiTheme="majorHAnsi" w:eastAsia="MS Mincho" w:hAnsiTheme="majorHAnsi" w:cs="Times New Roman"/>
                <w:sz w:val="22"/>
                <w:lang w:val="en-US"/>
              </w:rPr>
            </w:pPr>
            <w:r w:rsidRPr="006235F7">
              <w:rPr>
                <w:rFonts w:asciiTheme="majorHAnsi" w:eastAsia="MS Mincho" w:hAnsiTheme="majorHAnsi" w:cs="Times New Roman"/>
                <w:sz w:val="22"/>
                <w:lang w:val="en-US"/>
              </w:rPr>
              <w:t>6 (30)</w:t>
            </w:r>
          </w:p>
        </w:tc>
      </w:tr>
    </w:tbl>
    <w:p w14:paraId="4CB488E0" w14:textId="77777777" w:rsidR="00863F51" w:rsidRPr="0039396F" w:rsidRDefault="00863F51" w:rsidP="003C13FF">
      <w:pPr>
        <w:autoSpaceDE w:val="0"/>
        <w:autoSpaceDN w:val="0"/>
        <w:adjustRightInd w:val="0"/>
        <w:spacing w:before="240"/>
        <w:rPr>
          <w:rFonts w:asciiTheme="majorHAnsi" w:hAnsiTheme="majorHAnsi" w:cs="Times New Roman"/>
          <w:szCs w:val="24"/>
          <w:lang w:val="en-US"/>
        </w:rPr>
      </w:pPr>
      <w:r w:rsidRPr="0039396F">
        <w:rPr>
          <w:rFonts w:asciiTheme="majorHAnsi" w:hAnsiTheme="majorHAnsi" w:cs="Times New Roman"/>
          <w:szCs w:val="24"/>
          <w:lang w:val="en-US"/>
        </w:rPr>
        <w:t xml:space="preserve">Patients in </w:t>
      </w:r>
      <w:r w:rsidRPr="0039396F">
        <w:rPr>
          <w:rFonts w:asciiTheme="majorHAnsi" w:hAnsiTheme="majorHAnsi" w:cs="Times New Roman"/>
          <w:i/>
          <w:szCs w:val="24"/>
          <w:lang w:val="en-US"/>
        </w:rPr>
        <w:t>Study C08-002A/B</w:t>
      </w:r>
      <w:r w:rsidRPr="0039396F">
        <w:rPr>
          <w:rFonts w:asciiTheme="majorHAnsi" w:hAnsiTheme="majorHAnsi" w:cs="Times New Roman"/>
          <w:szCs w:val="24"/>
          <w:lang w:val="en-US"/>
        </w:rPr>
        <w:t xml:space="preserve"> received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for a minimum of 26 weeks. After completion of the initial 26-week treatment period, most patients continued to receive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by enrolling into an extension study. The median duration of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therapy in </w:t>
      </w:r>
      <w:r w:rsidRPr="0039396F">
        <w:rPr>
          <w:rFonts w:asciiTheme="majorHAnsi" w:hAnsiTheme="majorHAnsi" w:cs="Times New Roman"/>
          <w:i/>
          <w:szCs w:val="24"/>
          <w:lang w:val="en-US"/>
        </w:rPr>
        <w:t>Study C08-002A/B</w:t>
      </w:r>
      <w:r w:rsidRPr="0039396F">
        <w:rPr>
          <w:rFonts w:asciiTheme="majorHAnsi" w:hAnsiTheme="majorHAnsi" w:cs="Times New Roman"/>
          <w:szCs w:val="24"/>
          <w:lang w:val="en-US"/>
        </w:rPr>
        <w:t xml:space="preserve"> was approximately 100 weeks (range: 2 to 186 weeks). </w:t>
      </w:r>
    </w:p>
    <w:p w14:paraId="44F3E965" w14:textId="77777777" w:rsidR="00863F51" w:rsidRPr="0039396F" w:rsidRDefault="00863F51" w:rsidP="00AE2D6F">
      <w:pPr>
        <w:autoSpaceDE w:val="0"/>
        <w:autoSpaceDN w:val="0"/>
        <w:adjustRightInd w:val="0"/>
        <w:spacing w:after="120"/>
        <w:rPr>
          <w:rFonts w:asciiTheme="majorHAnsi" w:hAnsiTheme="majorHAnsi" w:cs="Times New Roman"/>
          <w:szCs w:val="24"/>
          <w:lang w:val="en-US"/>
        </w:rPr>
      </w:pPr>
      <w:r w:rsidRPr="0039396F">
        <w:rPr>
          <w:rFonts w:asciiTheme="majorHAnsi" w:hAnsiTheme="majorHAnsi" w:cs="Times New Roman"/>
          <w:szCs w:val="24"/>
          <w:lang w:val="en-US"/>
        </w:rPr>
        <w:lastRenderedPageBreak/>
        <w:t xml:space="preserve">A reduction in terminal complement activity and an increase in platelet count relative to baseline were observed after commencement of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Reduction in terminal complement activity was observed in all patients after commencement of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w:t>
      </w:r>
    </w:p>
    <w:p w14:paraId="26A86DB2" w14:textId="6EAD30F0" w:rsidR="00863F51" w:rsidRPr="0039396F" w:rsidRDefault="00474895" w:rsidP="00AE2D6F">
      <w:pPr>
        <w:autoSpaceDE w:val="0"/>
        <w:autoSpaceDN w:val="0"/>
        <w:adjustRightInd w:val="0"/>
        <w:spacing w:after="120"/>
        <w:rPr>
          <w:rFonts w:asciiTheme="majorHAnsi" w:hAnsiTheme="majorHAnsi" w:cs="Times New Roman"/>
          <w:szCs w:val="24"/>
          <w:lang w:val="en-US"/>
        </w:rPr>
      </w:pPr>
      <w:r>
        <w:rPr>
          <w:rFonts w:asciiTheme="majorHAnsi" w:hAnsiTheme="majorHAnsi" w:cs="Times New Roman"/>
          <w:szCs w:val="24"/>
          <w:lang w:val="en-US"/>
        </w:rPr>
        <w:fldChar w:fldCharType="begin"/>
      </w:r>
      <w:r>
        <w:rPr>
          <w:rFonts w:asciiTheme="majorHAnsi" w:hAnsiTheme="majorHAnsi" w:cs="Times New Roman"/>
          <w:szCs w:val="24"/>
          <w:lang w:val="en-US"/>
        </w:rPr>
        <w:instrText xml:space="preserve"> REF _Ref18592111 \h </w:instrText>
      </w:r>
      <w:r>
        <w:rPr>
          <w:rFonts w:asciiTheme="majorHAnsi" w:hAnsiTheme="majorHAnsi" w:cs="Times New Roman"/>
          <w:szCs w:val="24"/>
          <w:lang w:val="en-US"/>
        </w:rPr>
      </w:r>
      <w:r>
        <w:rPr>
          <w:rFonts w:asciiTheme="majorHAnsi" w:hAnsiTheme="majorHAnsi" w:cs="Times New Roman"/>
          <w:szCs w:val="24"/>
          <w:lang w:val="en-US"/>
        </w:rPr>
        <w:fldChar w:fldCharType="separate"/>
      </w:r>
      <w:r w:rsidR="00AE6672">
        <w:t xml:space="preserve">Table </w:t>
      </w:r>
      <w:r w:rsidR="00AE6672">
        <w:rPr>
          <w:noProof/>
        </w:rPr>
        <w:t>13</w:t>
      </w:r>
      <w:r>
        <w:rPr>
          <w:rFonts w:asciiTheme="majorHAnsi" w:hAnsiTheme="majorHAnsi" w:cs="Times New Roman"/>
          <w:szCs w:val="24"/>
          <w:lang w:val="en-US"/>
        </w:rPr>
        <w:fldChar w:fldCharType="end"/>
      </w:r>
      <w:r w:rsidR="008D01CD">
        <w:rPr>
          <w:rFonts w:asciiTheme="majorHAnsi" w:hAnsiTheme="majorHAnsi" w:cs="Times New Roman"/>
          <w:szCs w:val="24"/>
          <w:lang w:val="en-US"/>
        </w:rPr>
        <w:t xml:space="preserve"> </w:t>
      </w:r>
      <w:r w:rsidR="00863F51" w:rsidRPr="0039396F">
        <w:rPr>
          <w:rFonts w:asciiTheme="majorHAnsi" w:hAnsiTheme="majorHAnsi" w:cs="Times New Roman"/>
          <w:szCs w:val="24"/>
          <w:lang w:val="en-US"/>
        </w:rPr>
        <w:t xml:space="preserve">below </w:t>
      </w:r>
      <w:proofErr w:type="spellStart"/>
      <w:r w:rsidR="00D62F2B" w:rsidRPr="0039396F">
        <w:rPr>
          <w:rFonts w:asciiTheme="majorHAnsi" w:hAnsiTheme="majorHAnsi" w:cs="Times New Roman"/>
          <w:szCs w:val="24"/>
          <w:lang w:val="en-US"/>
        </w:rPr>
        <w:t>summari</w:t>
      </w:r>
      <w:r w:rsidR="00D62F2B">
        <w:rPr>
          <w:rFonts w:asciiTheme="majorHAnsi" w:hAnsiTheme="majorHAnsi" w:cs="Times New Roman"/>
          <w:szCs w:val="24"/>
          <w:lang w:val="en-US"/>
        </w:rPr>
        <w:t>s</w:t>
      </w:r>
      <w:r w:rsidR="00D62F2B" w:rsidRPr="0039396F">
        <w:rPr>
          <w:rFonts w:asciiTheme="majorHAnsi" w:hAnsiTheme="majorHAnsi" w:cs="Times New Roman"/>
          <w:szCs w:val="24"/>
          <w:lang w:val="en-US"/>
        </w:rPr>
        <w:t>es</w:t>
      </w:r>
      <w:proofErr w:type="spellEnd"/>
      <w:r w:rsidR="00D62F2B" w:rsidRPr="0039396F">
        <w:rPr>
          <w:rFonts w:asciiTheme="majorHAnsi" w:hAnsiTheme="majorHAnsi" w:cs="Times New Roman"/>
          <w:szCs w:val="24"/>
          <w:lang w:val="en-US"/>
        </w:rPr>
        <w:t xml:space="preserve"> </w:t>
      </w:r>
      <w:r w:rsidR="00863F51" w:rsidRPr="0039396F">
        <w:rPr>
          <w:rFonts w:asciiTheme="majorHAnsi" w:hAnsiTheme="majorHAnsi" w:cs="Times New Roman"/>
          <w:szCs w:val="24"/>
          <w:lang w:val="en-US"/>
        </w:rPr>
        <w:t xml:space="preserve">the efficacy results for </w:t>
      </w:r>
      <w:r w:rsidR="00863F51" w:rsidRPr="0039396F">
        <w:rPr>
          <w:rFonts w:asciiTheme="majorHAnsi" w:hAnsiTheme="majorHAnsi" w:cs="Times New Roman"/>
          <w:i/>
          <w:szCs w:val="24"/>
          <w:lang w:val="en-US"/>
        </w:rPr>
        <w:t>Study C08-002A/B</w:t>
      </w:r>
      <w:r w:rsidR="00863F51" w:rsidRPr="0039396F">
        <w:rPr>
          <w:rFonts w:asciiTheme="majorHAnsi" w:hAnsiTheme="majorHAnsi" w:cs="Times New Roman"/>
          <w:szCs w:val="24"/>
          <w:lang w:val="en-US"/>
        </w:rPr>
        <w:t xml:space="preserve">. All rates of efficacy endpoints improved or were maintained through 2 years of treatment. Complete TMA response was maintained by all responders. When treatment was continued for more than 26 weeks, 2 additional patients achieved and maintained Complete TMA response due to </w:t>
      </w:r>
      <w:proofErr w:type="spellStart"/>
      <w:r w:rsidR="00D62F2B" w:rsidRPr="0039396F">
        <w:rPr>
          <w:rFonts w:asciiTheme="majorHAnsi" w:hAnsiTheme="majorHAnsi" w:cs="Times New Roman"/>
          <w:szCs w:val="24"/>
          <w:lang w:val="en-US"/>
        </w:rPr>
        <w:t>normali</w:t>
      </w:r>
      <w:r w:rsidR="00D62F2B">
        <w:rPr>
          <w:rFonts w:asciiTheme="majorHAnsi" w:hAnsiTheme="majorHAnsi" w:cs="Times New Roman"/>
          <w:szCs w:val="24"/>
          <w:lang w:val="en-US"/>
        </w:rPr>
        <w:t>s</w:t>
      </w:r>
      <w:r w:rsidR="00D62F2B" w:rsidRPr="0039396F">
        <w:rPr>
          <w:rFonts w:asciiTheme="majorHAnsi" w:hAnsiTheme="majorHAnsi" w:cs="Times New Roman"/>
          <w:szCs w:val="24"/>
          <w:lang w:val="en-US"/>
        </w:rPr>
        <w:t>ation</w:t>
      </w:r>
      <w:proofErr w:type="spellEnd"/>
      <w:r w:rsidR="00D62F2B" w:rsidRPr="0039396F">
        <w:rPr>
          <w:rFonts w:asciiTheme="majorHAnsi" w:hAnsiTheme="majorHAnsi" w:cs="Times New Roman"/>
          <w:szCs w:val="24"/>
          <w:lang w:val="en-US"/>
        </w:rPr>
        <w:t xml:space="preserve"> </w:t>
      </w:r>
      <w:r w:rsidR="00863F51" w:rsidRPr="0039396F">
        <w:rPr>
          <w:rFonts w:asciiTheme="majorHAnsi" w:hAnsiTheme="majorHAnsi" w:cs="Times New Roman"/>
          <w:szCs w:val="24"/>
          <w:lang w:val="en-US"/>
        </w:rPr>
        <w:t xml:space="preserve">of LDH (1 patient) and a decrease in serum creatinine (2 patients). Renal function, as measured by eGFR, was improved during </w:t>
      </w:r>
      <w:r w:rsidR="00437829" w:rsidRPr="0039396F">
        <w:rPr>
          <w:rFonts w:asciiTheme="majorHAnsi" w:hAnsiTheme="majorHAnsi" w:cs="Times New Roman"/>
          <w:szCs w:val="24"/>
        </w:rPr>
        <w:t>Soliris</w:t>
      </w:r>
      <w:r w:rsidR="00863F51" w:rsidRPr="0039396F">
        <w:rPr>
          <w:rFonts w:asciiTheme="majorHAnsi" w:hAnsiTheme="majorHAnsi" w:cs="Times New Roman"/>
          <w:szCs w:val="24"/>
          <w:lang w:val="en-US"/>
        </w:rPr>
        <w:t xml:space="preserve"> treatment.  Four out of the 5 patients who required dialysis at study entry were able to discontinue dialysis for the duration of </w:t>
      </w:r>
      <w:r w:rsidR="00437829" w:rsidRPr="0039396F">
        <w:rPr>
          <w:rFonts w:asciiTheme="majorHAnsi" w:hAnsiTheme="majorHAnsi" w:cs="Times New Roman"/>
          <w:szCs w:val="24"/>
        </w:rPr>
        <w:t>Soliris</w:t>
      </w:r>
      <w:r w:rsidR="00863F51" w:rsidRPr="0039396F">
        <w:rPr>
          <w:rFonts w:asciiTheme="majorHAnsi" w:hAnsiTheme="majorHAnsi" w:cs="Times New Roman"/>
          <w:szCs w:val="24"/>
          <w:lang w:val="en-US"/>
        </w:rPr>
        <w:t xml:space="preserve"> treatment, and one patient developed a new dialysis requirement.  Patients reported improved health-</w:t>
      </w:r>
      <w:r w:rsidR="00393537" w:rsidRPr="0039396F">
        <w:rPr>
          <w:rFonts w:asciiTheme="majorHAnsi" w:hAnsiTheme="majorHAnsi" w:cs="Times New Roman"/>
          <w:szCs w:val="24"/>
          <w:lang w:val="en-US"/>
        </w:rPr>
        <w:t>related quality of life (QOL).</w:t>
      </w:r>
    </w:p>
    <w:p w14:paraId="59B7E4D2" w14:textId="77777777" w:rsidR="00863F51" w:rsidRPr="0039396F" w:rsidRDefault="00863F51" w:rsidP="00AE2D6F">
      <w:pPr>
        <w:autoSpaceDE w:val="0"/>
        <w:autoSpaceDN w:val="0"/>
        <w:adjustRightInd w:val="0"/>
        <w:spacing w:after="120"/>
        <w:rPr>
          <w:rFonts w:asciiTheme="majorHAnsi" w:hAnsiTheme="majorHAnsi" w:cs="Times New Roman"/>
          <w:szCs w:val="24"/>
          <w:lang w:val="en-US"/>
        </w:rPr>
      </w:pPr>
      <w:r w:rsidRPr="0039396F">
        <w:rPr>
          <w:rFonts w:asciiTheme="majorHAnsi" w:hAnsiTheme="majorHAnsi" w:cs="Times New Roman"/>
          <w:szCs w:val="24"/>
          <w:lang w:val="en-US"/>
        </w:rPr>
        <w:t xml:space="preserve">Patients in </w:t>
      </w:r>
      <w:r w:rsidRPr="0039396F">
        <w:rPr>
          <w:rFonts w:asciiTheme="majorHAnsi" w:hAnsiTheme="majorHAnsi" w:cs="Times New Roman"/>
          <w:i/>
          <w:szCs w:val="24"/>
          <w:lang w:val="en-US"/>
        </w:rPr>
        <w:t>Study C08-003A/B</w:t>
      </w:r>
      <w:r w:rsidRPr="0039396F">
        <w:rPr>
          <w:rFonts w:asciiTheme="majorHAnsi" w:hAnsiTheme="majorHAnsi" w:cs="Times New Roman"/>
          <w:szCs w:val="24"/>
          <w:lang w:val="en-US"/>
        </w:rPr>
        <w:t xml:space="preserve"> received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for a minimum of 26 weeks. After completion of the initial 26-week treatment period, most patients continued to receive </w:t>
      </w:r>
      <w:r w:rsidR="00437829" w:rsidRPr="0039396F">
        <w:rPr>
          <w:rFonts w:asciiTheme="majorHAnsi" w:hAnsiTheme="majorHAnsi" w:cs="Times New Roman"/>
          <w:szCs w:val="24"/>
        </w:rPr>
        <w:t>Soliris</w:t>
      </w:r>
      <w:r w:rsidRPr="0039396F">
        <w:rPr>
          <w:rFonts w:asciiTheme="majorHAnsi" w:hAnsiTheme="majorHAnsi" w:cs="Times New Roman"/>
          <w:szCs w:val="24"/>
          <w:lang w:val="en-US"/>
        </w:rPr>
        <w:t xml:space="preserve"> by enrolling into an extension study. The median duration of </w:t>
      </w:r>
      <w:r w:rsidR="00437829" w:rsidRPr="0039396F">
        <w:rPr>
          <w:rFonts w:asciiTheme="majorHAnsi" w:hAnsiTheme="majorHAnsi" w:cs="Times New Roman"/>
          <w:szCs w:val="24"/>
        </w:rPr>
        <w:t>Soliris</w:t>
      </w:r>
      <w:r w:rsidRPr="0039396F">
        <w:rPr>
          <w:rFonts w:asciiTheme="majorHAnsi" w:hAnsiTheme="majorHAnsi" w:cs="Times New Roman"/>
          <w:szCs w:val="24"/>
          <w:lang w:val="en-US"/>
        </w:rPr>
        <w:t xml:space="preserve"> therapy in </w:t>
      </w:r>
      <w:r w:rsidRPr="0039396F">
        <w:rPr>
          <w:rFonts w:asciiTheme="majorHAnsi" w:hAnsiTheme="majorHAnsi" w:cs="Times New Roman"/>
          <w:i/>
          <w:szCs w:val="24"/>
          <w:lang w:val="en-US"/>
        </w:rPr>
        <w:t>Study C08-003A/B</w:t>
      </w:r>
      <w:r w:rsidRPr="0039396F">
        <w:rPr>
          <w:rFonts w:asciiTheme="majorHAnsi" w:hAnsiTheme="majorHAnsi" w:cs="Times New Roman"/>
          <w:szCs w:val="24"/>
          <w:lang w:val="en-US"/>
        </w:rPr>
        <w:t xml:space="preserve"> was approximately 156 weeks (range: 26 to 182 weeks). </w:t>
      </w:r>
      <w:r w:rsidRPr="0039396F" w:rsidDel="00ED3D54">
        <w:rPr>
          <w:rFonts w:asciiTheme="majorHAnsi" w:hAnsiTheme="majorHAnsi" w:cs="Times New Roman"/>
          <w:szCs w:val="24"/>
          <w:lang w:val="en-US"/>
        </w:rPr>
        <w:t xml:space="preserve">Reduction in terminal complement activity was observed in all patients after commencement of </w:t>
      </w:r>
      <w:r w:rsidR="00437829" w:rsidRPr="0039396F">
        <w:rPr>
          <w:rFonts w:asciiTheme="majorHAnsi" w:hAnsiTheme="majorHAnsi" w:cs="Times New Roman"/>
          <w:szCs w:val="24"/>
        </w:rPr>
        <w:t>Soliris</w:t>
      </w:r>
      <w:r w:rsidR="00633E0A" w:rsidRPr="0039396F">
        <w:rPr>
          <w:rFonts w:asciiTheme="majorHAnsi" w:hAnsiTheme="majorHAnsi" w:cs="Times New Roman"/>
          <w:szCs w:val="24"/>
          <w:lang w:val="en-US"/>
        </w:rPr>
        <w:t>.</w:t>
      </w:r>
    </w:p>
    <w:p w14:paraId="62D08656" w14:textId="5F34367F" w:rsidR="00863F51" w:rsidRPr="0039396F" w:rsidRDefault="00474895" w:rsidP="00AE2D6F">
      <w:pPr>
        <w:autoSpaceDE w:val="0"/>
        <w:autoSpaceDN w:val="0"/>
        <w:adjustRightInd w:val="0"/>
        <w:spacing w:after="120"/>
        <w:rPr>
          <w:rFonts w:asciiTheme="majorHAnsi" w:hAnsiTheme="majorHAnsi" w:cs="Times New Roman"/>
          <w:szCs w:val="24"/>
          <w:lang w:val="en-US"/>
        </w:rPr>
      </w:pPr>
      <w:r>
        <w:rPr>
          <w:rFonts w:asciiTheme="majorHAnsi" w:hAnsiTheme="majorHAnsi" w:cs="Times New Roman"/>
          <w:szCs w:val="24"/>
          <w:lang w:val="en-US"/>
        </w:rPr>
        <w:fldChar w:fldCharType="begin"/>
      </w:r>
      <w:r>
        <w:rPr>
          <w:rFonts w:asciiTheme="majorHAnsi" w:hAnsiTheme="majorHAnsi" w:cs="Times New Roman"/>
          <w:szCs w:val="24"/>
          <w:lang w:val="en-US"/>
        </w:rPr>
        <w:instrText xml:space="preserve"> REF _Ref18592111 \h </w:instrText>
      </w:r>
      <w:r>
        <w:rPr>
          <w:rFonts w:asciiTheme="majorHAnsi" w:hAnsiTheme="majorHAnsi" w:cs="Times New Roman"/>
          <w:szCs w:val="24"/>
          <w:lang w:val="en-US"/>
        </w:rPr>
      </w:r>
      <w:r>
        <w:rPr>
          <w:rFonts w:asciiTheme="majorHAnsi" w:hAnsiTheme="majorHAnsi" w:cs="Times New Roman"/>
          <w:szCs w:val="24"/>
          <w:lang w:val="en-US"/>
        </w:rPr>
        <w:fldChar w:fldCharType="separate"/>
      </w:r>
      <w:r w:rsidR="00AE6672">
        <w:t xml:space="preserve">Table </w:t>
      </w:r>
      <w:r w:rsidR="00AE6672">
        <w:rPr>
          <w:noProof/>
        </w:rPr>
        <w:t>13</w:t>
      </w:r>
      <w:r>
        <w:rPr>
          <w:rFonts w:asciiTheme="majorHAnsi" w:hAnsiTheme="majorHAnsi" w:cs="Times New Roman"/>
          <w:szCs w:val="24"/>
          <w:lang w:val="en-US"/>
        </w:rPr>
        <w:fldChar w:fldCharType="end"/>
      </w:r>
      <w:r w:rsidR="008D01CD">
        <w:rPr>
          <w:rFonts w:asciiTheme="majorHAnsi" w:hAnsiTheme="majorHAnsi" w:cs="Times New Roman"/>
          <w:szCs w:val="24"/>
          <w:lang w:val="en-US"/>
        </w:rPr>
        <w:t xml:space="preserve"> </w:t>
      </w:r>
      <w:r w:rsidR="00863F51" w:rsidRPr="0039396F">
        <w:rPr>
          <w:rFonts w:asciiTheme="majorHAnsi" w:hAnsiTheme="majorHAnsi" w:cs="Times New Roman"/>
          <w:szCs w:val="24"/>
          <w:lang w:val="en-US"/>
        </w:rPr>
        <w:t xml:space="preserve">below </w:t>
      </w:r>
      <w:proofErr w:type="spellStart"/>
      <w:r w:rsidR="00D62F2B" w:rsidRPr="0039396F">
        <w:rPr>
          <w:rFonts w:asciiTheme="majorHAnsi" w:hAnsiTheme="majorHAnsi" w:cs="Times New Roman"/>
          <w:szCs w:val="24"/>
          <w:lang w:val="en-US"/>
        </w:rPr>
        <w:t>summari</w:t>
      </w:r>
      <w:r w:rsidR="00D62F2B">
        <w:rPr>
          <w:rFonts w:asciiTheme="majorHAnsi" w:hAnsiTheme="majorHAnsi" w:cs="Times New Roman"/>
          <w:szCs w:val="24"/>
          <w:lang w:val="en-US"/>
        </w:rPr>
        <w:t>s</w:t>
      </w:r>
      <w:r w:rsidR="00D62F2B" w:rsidRPr="0039396F">
        <w:rPr>
          <w:rFonts w:asciiTheme="majorHAnsi" w:hAnsiTheme="majorHAnsi" w:cs="Times New Roman"/>
          <w:szCs w:val="24"/>
          <w:lang w:val="en-US"/>
        </w:rPr>
        <w:t>es</w:t>
      </w:r>
      <w:proofErr w:type="spellEnd"/>
      <w:r w:rsidR="00D62F2B" w:rsidRPr="0039396F">
        <w:rPr>
          <w:rFonts w:asciiTheme="majorHAnsi" w:hAnsiTheme="majorHAnsi" w:cs="Times New Roman"/>
          <w:szCs w:val="24"/>
          <w:lang w:val="en-US"/>
        </w:rPr>
        <w:t xml:space="preserve"> </w:t>
      </w:r>
      <w:r w:rsidR="00863F51" w:rsidRPr="0039396F">
        <w:rPr>
          <w:rFonts w:asciiTheme="majorHAnsi" w:hAnsiTheme="majorHAnsi" w:cs="Times New Roman"/>
          <w:szCs w:val="24"/>
          <w:lang w:val="en-US"/>
        </w:rPr>
        <w:t xml:space="preserve">the efficacy results for </w:t>
      </w:r>
      <w:r w:rsidR="00863F51" w:rsidRPr="0039396F">
        <w:rPr>
          <w:rFonts w:asciiTheme="majorHAnsi" w:hAnsiTheme="majorHAnsi" w:cs="Times New Roman"/>
          <w:i/>
          <w:szCs w:val="24"/>
          <w:lang w:val="en-US"/>
        </w:rPr>
        <w:t>Study C08-003A/B</w:t>
      </w:r>
      <w:r w:rsidR="00863F51" w:rsidRPr="0039396F">
        <w:rPr>
          <w:rFonts w:asciiTheme="majorHAnsi" w:hAnsiTheme="majorHAnsi" w:cs="Times New Roman"/>
          <w:szCs w:val="24"/>
          <w:lang w:val="en-US"/>
        </w:rPr>
        <w:t xml:space="preserve">. All rates of efficacy endpoints improved or were maintained through 2 years of treatment. Complete TMA response was maintained by all responders. When treatment was continued for more than 26 weeks, 6 additional patients achieved and maintained Complete TMA response due to a decrease in serum creatinine. </w:t>
      </w:r>
      <w:r w:rsidR="00863F51" w:rsidRPr="0039396F" w:rsidDel="00ED3D54">
        <w:rPr>
          <w:rFonts w:asciiTheme="majorHAnsi" w:hAnsiTheme="majorHAnsi" w:cs="Times New Roman"/>
          <w:szCs w:val="24"/>
          <w:lang w:val="en-US"/>
        </w:rPr>
        <w:t xml:space="preserve">No patients required new dialysis with </w:t>
      </w:r>
      <w:r w:rsidR="00B249B7" w:rsidRPr="0039396F">
        <w:rPr>
          <w:rFonts w:asciiTheme="majorHAnsi" w:hAnsiTheme="majorHAnsi" w:cs="Times New Roman"/>
          <w:szCs w:val="24"/>
        </w:rPr>
        <w:t>Soliris</w:t>
      </w:r>
      <w:r w:rsidR="00863F51" w:rsidRPr="0039396F" w:rsidDel="00ED3D54">
        <w:rPr>
          <w:rFonts w:asciiTheme="majorHAnsi" w:hAnsiTheme="majorHAnsi" w:cs="Times New Roman"/>
          <w:szCs w:val="24"/>
          <w:lang w:val="en-US"/>
        </w:rPr>
        <w:t>. Renal function, as measured by median eGFR, inc</w:t>
      </w:r>
      <w:r w:rsidR="00633E0A" w:rsidRPr="0039396F">
        <w:rPr>
          <w:rFonts w:asciiTheme="majorHAnsi" w:hAnsiTheme="majorHAnsi" w:cs="Times New Roman"/>
          <w:szCs w:val="24"/>
          <w:lang w:val="en-US"/>
        </w:rPr>
        <w:t xml:space="preserve">reased during </w:t>
      </w:r>
      <w:r w:rsidR="00B249B7" w:rsidRPr="0039396F">
        <w:rPr>
          <w:rFonts w:asciiTheme="majorHAnsi" w:hAnsiTheme="majorHAnsi" w:cs="Times New Roman"/>
          <w:szCs w:val="24"/>
        </w:rPr>
        <w:t>Soliris</w:t>
      </w:r>
      <w:r w:rsidR="00633E0A" w:rsidRPr="0039396F">
        <w:rPr>
          <w:rFonts w:asciiTheme="majorHAnsi" w:hAnsiTheme="majorHAnsi" w:cs="Times New Roman"/>
          <w:szCs w:val="24"/>
          <w:lang w:val="en-US"/>
        </w:rPr>
        <w:t xml:space="preserve"> therapy.</w:t>
      </w:r>
    </w:p>
    <w:p w14:paraId="4824960B" w14:textId="77777777" w:rsidR="00863F51" w:rsidRPr="0039396F" w:rsidRDefault="00863F51" w:rsidP="00633E0A">
      <w:pPr>
        <w:autoSpaceDE w:val="0"/>
        <w:autoSpaceDN w:val="0"/>
        <w:adjustRightInd w:val="0"/>
        <w:rPr>
          <w:rFonts w:asciiTheme="majorHAnsi" w:hAnsiTheme="majorHAnsi" w:cs="Times New Roman"/>
          <w:szCs w:val="24"/>
          <w:lang w:val="en-US"/>
        </w:rPr>
      </w:pPr>
      <w:r w:rsidRPr="0039396F">
        <w:rPr>
          <w:rFonts w:asciiTheme="majorHAnsi" w:hAnsiTheme="majorHAnsi" w:cs="Times New Roman"/>
          <w:szCs w:val="24"/>
          <w:lang w:val="en-US"/>
        </w:rPr>
        <w:t xml:space="preserve">In both </w:t>
      </w:r>
      <w:r w:rsidRPr="0039396F">
        <w:rPr>
          <w:rFonts w:asciiTheme="majorHAnsi" w:hAnsiTheme="majorHAnsi" w:cs="Times New Roman"/>
          <w:i/>
          <w:szCs w:val="24"/>
          <w:lang w:val="en-US"/>
        </w:rPr>
        <w:t>Study C08-002A/B</w:t>
      </w:r>
      <w:r w:rsidRPr="0039396F">
        <w:rPr>
          <w:rFonts w:asciiTheme="majorHAnsi" w:hAnsiTheme="majorHAnsi" w:cs="Times New Roman"/>
          <w:szCs w:val="24"/>
          <w:lang w:val="en-US"/>
        </w:rPr>
        <w:t xml:space="preserve"> and </w:t>
      </w:r>
      <w:r w:rsidRPr="0039396F">
        <w:rPr>
          <w:rFonts w:asciiTheme="majorHAnsi" w:hAnsiTheme="majorHAnsi" w:cs="Times New Roman"/>
          <w:i/>
          <w:lang w:val="en-US"/>
        </w:rPr>
        <w:t>Study C08-003A/B</w:t>
      </w:r>
      <w:r w:rsidRPr="0039396F">
        <w:rPr>
          <w:rFonts w:asciiTheme="majorHAnsi" w:hAnsiTheme="majorHAnsi" w:cs="Times New Roman"/>
          <w:szCs w:val="24"/>
          <w:lang w:val="en-US"/>
        </w:rPr>
        <w:t xml:space="preserve">, responses to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were similar in patients with and without identified mutations in genes encoding complement regulatory factor proteins.  </w:t>
      </w:r>
    </w:p>
    <w:p w14:paraId="3E9CF525" w14:textId="6743B136" w:rsidR="00863F51" w:rsidRPr="00AE2D6F" w:rsidRDefault="00474895" w:rsidP="00AE2D6F">
      <w:pPr>
        <w:pStyle w:val="Caption"/>
        <w:spacing w:after="120"/>
        <w:rPr>
          <w:rFonts w:asciiTheme="majorHAnsi" w:hAnsiTheme="majorHAnsi"/>
          <w:i/>
          <w:lang w:val="en-AU"/>
        </w:rPr>
      </w:pPr>
      <w:bookmarkStart w:id="18" w:name="_Ref18592111"/>
      <w:r>
        <w:t xml:space="preserve">Table </w:t>
      </w:r>
      <w:r w:rsidR="00345186">
        <w:fldChar w:fldCharType="begin"/>
      </w:r>
      <w:r w:rsidR="00345186">
        <w:instrText xml:space="preserve"> SEQ Table \* ARABIC </w:instrText>
      </w:r>
      <w:r w:rsidR="00345186">
        <w:fldChar w:fldCharType="separate"/>
      </w:r>
      <w:r w:rsidR="00345186">
        <w:rPr>
          <w:noProof/>
        </w:rPr>
        <w:t>13</w:t>
      </w:r>
      <w:r w:rsidR="00345186">
        <w:fldChar w:fldCharType="end"/>
      </w:r>
      <w:bookmarkEnd w:id="18"/>
      <w:r>
        <w:t xml:space="preserve">: </w:t>
      </w:r>
      <w:r w:rsidR="00863F51" w:rsidRPr="00BE4695">
        <w:rPr>
          <w:rFonts w:asciiTheme="majorHAnsi" w:hAnsiTheme="majorHAnsi"/>
          <w:lang w:val="en-AU"/>
        </w:rPr>
        <w:t xml:space="preserve">Efficacy Outcomes in Prospective aHUS Studies </w:t>
      </w:r>
      <w:r w:rsidR="00863F51" w:rsidRPr="00AE2D6F">
        <w:rPr>
          <w:rFonts w:asciiTheme="majorHAnsi" w:hAnsiTheme="majorHAnsi"/>
          <w:i/>
          <w:lang w:val="en-AU"/>
        </w:rPr>
        <w:t>C08-002A/B</w:t>
      </w:r>
      <w:r w:rsidR="00863F51" w:rsidRPr="00BE4695">
        <w:rPr>
          <w:rFonts w:asciiTheme="majorHAnsi" w:hAnsiTheme="majorHAnsi"/>
          <w:lang w:val="en-AU"/>
        </w:rPr>
        <w:t xml:space="preserve"> and </w:t>
      </w:r>
      <w:r w:rsidR="00863F51" w:rsidRPr="00AE2D6F">
        <w:rPr>
          <w:rFonts w:asciiTheme="majorHAnsi" w:hAnsiTheme="majorHAnsi"/>
          <w:i/>
          <w:lang w:val="en-AU"/>
        </w:rPr>
        <w:t>C08-003A/B</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1701"/>
        <w:gridCol w:w="1701"/>
        <w:gridCol w:w="1560"/>
        <w:gridCol w:w="1559"/>
      </w:tblGrid>
      <w:tr w:rsidR="00863F51" w:rsidRPr="006235F7" w14:paraId="2E39CB0D" w14:textId="77777777" w:rsidTr="00AE2D6F">
        <w:trPr>
          <w:cantSplit/>
          <w:tblHeader/>
        </w:trPr>
        <w:tc>
          <w:tcPr>
            <w:tcW w:w="3394" w:type="dxa"/>
            <w:vMerge w:val="restart"/>
          </w:tcPr>
          <w:p w14:paraId="7F40DC94" w14:textId="77777777" w:rsidR="00863F51" w:rsidRPr="006235F7" w:rsidDel="00F77C4F" w:rsidRDefault="00863F51" w:rsidP="00633E0A">
            <w:pPr>
              <w:rPr>
                <w:rFonts w:asciiTheme="majorHAnsi" w:hAnsiTheme="majorHAnsi" w:cs="Times New Roman"/>
                <w:sz w:val="22"/>
                <w:lang w:val="en-US"/>
              </w:rPr>
            </w:pPr>
          </w:p>
        </w:tc>
        <w:tc>
          <w:tcPr>
            <w:tcW w:w="3402" w:type="dxa"/>
            <w:gridSpan w:val="2"/>
            <w:shd w:val="clear" w:color="auto" w:fill="auto"/>
          </w:tcPr>
          <w:p w14:paraId="765B0942"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 xml:space="preserve">C08-002A/B </w:t>
            </w:r>
            <w:r w:rsidRPr="006235F7">
              <w:rPr>
                <w:rFonts w:asciiTheme="majorHAnsi" w:hAnsiTheme="majorHAnsi" w:cs="Times New Roman"/>
                <w:b/>
                <w:sz w:val="22"/>
                <w:lang w:val="en-US"/>
              </w:rPr>
              <w:br/>
            </w:r>
            <w:r w:rsidRPr="006235F7">
              <w:rPr>
                <w:rFonts w:asciiTheme="majorHAnsi" w:hAnsiTheme="majorHAnsi" w:cs="Times New Roman"/>
                <w:sz w:val="22"/>
                <w:lang w:val="en-US"/>
              </w:rPr>
              <w:t>N = 17</w:t>
            </w:r>
          </w:p>
        </w:tc>
        <w:tc>
          <w:tcPr>
            <w:tcW w:w="3119" w:type="dxa"/>
            <w:gridSpan w:val="2"/>
          </w:tcPr>
          <w:p w14:paraId="1D7F0D9C"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C08-003A/B</w:t>
            </w:r>
            <w:r w:rsidRPr="006235F7">
              <w:rPr>
                <w:rFonts w:asciiTheme="majorHAnsi" w:hAnsiTheme="majorHAnsi" w:cs="Times New Roman"/>
                <w:b/>
                <w:sz w:val="22"/>
                <w:lang w:val="en-US"/>
              </w:rPr>
              <w:br/>
            </w:r>
            <w:r w:rsidRPr="006235F7">
              <w:rPr>
                <w:rFonts w:asciiTheme="majorHAnsi" w:hAnsiTheme="majorHAnsi" w:cs="Times New Roman"/>
                <w:sz w:val="22"/>
                <w:lang w:val="en-US"/>
              </w:rPr>
              <w:t>N = 20</w:t>
            </w:r>
          </w:p>
        </w:tc>
      </w:tr>
      <w:tr w:rsidR="00863F51" w:rsidRPr="006235F7" w14:paraId="0FEC3CD6" w14:textId="77777777" w:rsidTr="00AE2D6F">
        <w:trPr>
          <w:cantSplit/>
          <w:tblHeader/>
        </w:trPr>
        <w:tc>
          <w:tcPr>
            <w:tcW w:w="3394" w:type="dxa"/>
            <w:vMerge/>
          </w:tcPr>
          <w:p w14:paraId="7A2F8018" w14:textId="77777777" w:rsidR="00863F51" w:rsidRPr="006235F7" w:rsidRDefault="00863F51" w:rsidP="00633E0A">
            <w:pPr>
              <w:keepNext/>
              <w:jc w:val="both"/>
              <w:rPr>
                <w:rFonts w:asciiTheme="majorHAnsi" w:hAnsiTheme="majorHAnsi" w:cs="Times New Roman"/>
                <w:b/>
                <w:sz w:val="22"/>
                <w:lang w:val="en-US"/>
              </w:rPr>
            </w:pPr>
          </w:p>
        </w:tc>
        <w:tc>
          <w:tcPr>
            <w:tcW w:w="1701" w:type="dxa"/>
            <w:shd w:val="clear" w:color="auto" w:fill="auto"/>
          </w:tcPr>
          <w:p w14:paraId="0B5218C6"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At 26 weeks</w:t>
            </w:r>
          </w:p>
        </w:tc>
        <w:tc>
          <w:tcPr>
            <w:tcW w:w="1701" w:type="dxa"/>
          </w:tcPr>
          <w:p w14:paraId="678D27BD"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At 2 years</w:t>
            </w:r>
            <w:r w:rsidRPr="006235F7">
              <w:rPr>
                <w:rFonts w:asciiTheme="majorHAnsi" w:hAnsiTheme="majorHAnsi" w:cs="Times New Roman"/>
                <w:b/>
                <w:sz w:val="22"/>
                <w:vertAlign w:val="superscript"/>
                <w:lang w:val="en-US"/>
              </w:rPr>
              <w:t>1</w:t>
            </w:r>
          </w:p>
        </w:tc>
        <w:tc>
          <w:tcPr>
            <w:tcW w:w="1560" w:type="dxa"/>
          </w:tcPr>
          <w:p w14:paraId="2D3A6643"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At 26 weeks</w:t>
            </w:r>
          </w:p>
        </w:tc>
        <w:tc>
          <w:tcPr>
            <w:tcW w:w="1559" w:type="dxa"/>
          </w:tcPr>
          <w:p w14:paraId="3471E1B2" w14:textId="77777777" w:rsidR="00863F51" w:rsidRPr="006235F7" w:rsidRDefault="00863F51" w:rsidP="00633E0A">
            <w:pPr>
              <w:keepNext/>
              <w:jc w:val="center"/>
              <w:rPr>
                <w:rFonts w:asciiTheme="majorHAnsi" w:hAnsiTheme="majorHAnsi" w:cs="Times New Roman"/>
                <w:b/>
                <w:sz w:val="22"/>
                <w:lang w:val="en-US"/>
              </w:rPr>
            </w:pPr>
            <w:r w:rsidRPr="006235F7">
              <w:rPr>
                <w:rFonts w:asciiTheme="majorHAnsi" w:hAnsiTheme="majorHAnsi" w:cs="Times New Roman"/>
                <w:b/>
                <w:sz w:val="22"/>
                <w:lang w:val="en-US"/>
              </w:rPr>
              <w:t>At 2 years</w:t>
            </w:r>
            <w:r w:rsidRPr="006235F7">
              <w:rPr>
                <w:rFonts w:asciiTheme="majorHAnsi" w:hAnsiTheme="majorHAnsi" w:cs="Times New Roman"/>
                <w:b/>
                <w:sz w:val="22"/>
                <w:vertAlign w:val="superscript"/>
                <w:lang w:val="en-US"/>
              </w:rPr>
              <w:t>1</w:t>
            </w:r>
          </w:p>
        </w:tc>
      </w:tr>
      <w:tr w:rsidR="00863F51" w:rsidRPr="006235F7" w14:paraId="535C7C33" w14:textId="77777777" w:rsidTr="00AE2D6F">
        <w:trPr>
          <w:cantSplit/>
        </w:trPr>
        <w:tc>
          <w:tcPr>
            <w:tcW w:w="3394" w:type="dxa"/>
          </w:tcPr>
          <w:p w14:paraId="74E6A90B"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t>Change in platelet count from baseline through week 26 (×10</w:t>
            </w:r>
            <w:r w:rsidRPr="006235F7">
              <w:rPr>
                <w:rFonts w:asciiTheme="majorHAnsi" w:hAnsiTheme="majorHAnsi" w:cs="Times New Roman"/>
                <w:sz w:val="22"/>
                <w:vertAlign w:val="superscript"/>
                <w:lang w:val="en-US"/>
              </w:rPr>
              <w:t>9</w:t>
            </w:r>
            <w:r w:rsidRPr="006235F7">
              <w:rPr>
                <w:rFonts w:asciiTheme="majorHAnsi" w:hAnsiTheme="majorHAnsi" w:cs="Times New Roman"/>
                <w:sz w:val="22"/>
                <w:lang w:val="en-US"/>
              </w:rPr>
              <w:t>/L): Point Estimate (95% CI)</w:t>
            </w:r>
          </w:p>
        </w:tc>
        <w:tc>
          <w:tcPr>
            <w:tcW w:w="1701" w:type="dxa"/>
            <w:shd w:val="clear" w:color="auto" w:fill="auto"/>
            <w:vAlign w:val="center"/>
          </w:tcPr>
          <w:p w14:paraId="4FEFF9E4" w14:textId="77777777" w:rsidR="00863F51" w:rsidRPr="008C0234" w:rsidRDefault="00863F51" w:rsidP="00633E0A">
            <w:pPr>
              <w:jc w:val="center"/>
              <w:rPr>
                <w:rFonts w:asciiTheme="majorHAnsi" w:hAnsiTheme="majorHAnsi" w:cs="Times New Roman"/>
                <w:sz w:val="18"/>
                <w:szCs w:val="18"/>
                <w:lang w:val="en-US"/>
              </w:rPr>
            </w:pPr>
          </w:p>
          <w:p w14:paraId="4452731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73 (40-105)</w:t>
            </w:r>
            <w:r w:rsidRPr="006235F7">
              <w:rPr>
                <w:rFonts w:asciiTheme="majorHAnsi" w:hAnsiTheme="majorHAnsi" w:cs="Times New Roman"/>
                <w:sz w:val="22"/>
                <w:lang w:val="en-US"/>
              </w:rPr>
              <w:br/>
            </w:r>
            <w:r w:rsidRPr="006235F7">
              <w:rPr>
                <w:rFonts w:asciiTheme="majorHAnsi" w:hAnsiTheme="majorHAnsi" w:cs="Times New Roman"/>
                <w:i/>
                <w:sz w:val="22"/>
                <w:lang w:val="en-US"/>
              </w:rPr>
              <w:t>P</w:t>
            </w:r>
            <w:r w:rsidRPr="006235F7">
              <w:rPr>
                <w:rFonts w:asciiTheme="majorHAnsi" w:hAnsiTheme="majorHAnsi" w:cs="Times New Roman"/>
                <w:sz w:val="22"/>
                <w:lang w:val="en-US"/>
              </w:rPr>
              <w:t>=0.0001</w:t>
            </w:r>
          </w:p>
        </w:tc>
        <w:tc>
          <w:tcPr>
            <w:tcW w:w="1701" w:type="dxa"/>
            <w:vAlign w:val="center"/>
          </w:tcPr>
          <w:p w14:paraId="2A15722D" w14:textId="77777777" w:rsidR="00863F51" w:rsidRPr="008C0234" w:rsidRDefault="00863F51" w:rsidP="00633E0A">
            <w:pPr>
              <w:jc w:val="center"/>
              <w:rPr>
                <w:rFonts w:asciiTheme="majorHAnsi" w:hAnsiTheme="majorHAnsi" w:cs="Times New Roman"/>
                <w:sz w:val="18"/>
                <w:szCs w:val="18"/>
                <w:lang w:val="en-US"/>
              </w:rPr>
            </w:pPr>
          </w:p>
          <w:p w14:paraId="13C9ECC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w:t>
            </w:r>
          </w:p>
        </w:tc>
        <w:tc>
          <w:tcPr>
            <w:tcW w:w="1560" w:type="dxa"/>
            <w:vAlign w:val="center"/>
          </w:tcPr>
          <w:p w14:paraId="448CA219" w14:textId="77777777" w:rsidR="00863F51" w:rsidRPr="008C0234" w:rsidRDefault="00863F51" w:rsidP="00633E0A">
            <w:pPr>
              <w:jc w:val="center"/>
              <w:rPr>
                <w:rFonts w:asciiTheme="majorHAnsi" w:hAnsiTheme="majorHAnsi" w:cs="Times New Roman"/>
                <w:sz w:val="18"/>
                <w:szCs w:val="18"/>
                <w:lang w:val="en-US"/>
              </w:rPr>
            </w:pPr>
          </w:p>
          <w:p w14:paraId="623367D4"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 (-18, 27)</w:t>
            </w:r>
            <w:r w:rsidRPr="006235F7">
              <w:rPr>
                <w:rFonts w:asciiTheme="majorHAnsi" w:hAnsiTheme="majorHAnsi" w:cs="Times New Roman"/>
                <w:sz w:val="22"/>
                <w:lang w:val="en-US"/>
              </w:rPr>
              <w:br/>
            </w:r>
            <w:r w:rsidRPr="006235F7">
              <w:rPr>
                <w:rFonts w:asciiTheme="majorHAnsi" w:hAnsiTheme="majorHAnsi" w:cs="Times New Roman"/>
                <w:i/>
                <w:sz w:val="22"/>
                <w:lang w:val="en-US"/>
              </w:rPr>
              <w:t>P</w:t>
            </w:r>
            <w:r w:rsidRPr="006235F7">
              <w:rPr>
                <w:rFonts w:asciiTheme="majorHAnsi" w:hAnsiTheme="majorHAnsi" w:cs="Times New Roman"/>
                <w:sz w:val="22"/>
                <w:lang w:val="en-US"/>
              </w:rPr>
              <w:t>=0.67</w:t>
            </w:r>
          </w:p>
        </w:tc>
        <w:tc>
          <w:tcPr>
            <w:tcW w:w="1559" w:type="dxa"/>
            <w:vAlign w:val="center"/>
          </w:tcPr>
          <w:p w14:paraId="69232C8B" w14:textId="77777777" w:rsidR="00863F51" w:rsidRPr="008C0234" w:rsidRDefault="00863F51" w:rsidP="00633E0A">
            <w:pPr>
              <w:jc w:val="center"/>
              <w:rPr>
                <w:rFonts w:asciiTheme="majorHAnsi" w:hAnsiTheme="majorHAnsi" w:cs="Times New Roman"/>
                <w:sz w:val="18"/>
                <w:szCs w:val="18"/>
                <w:lang w:val="en-US"/>
              </w:rPr>
            </w:pPr>
          </w:p>
          <w:p w14:paraId="0570CC5B"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w:t>
            </w:r>
          </w:p>
        </w:tc>
      </w:tr>
      <w:tr w:rsidR="00863F51" w:rsidRPr="006235F7" w14:paraId="4FF43DAB" w14:textId="77777777" w:rsidTr="00AE2D6F">
        <w:trPr>
          <w:cantSplit/>
        </w:trPr>
        <w:tc>
          <w:tcPr>
            <w:tcW w:w="3394" w:type="dxa"/>
            <w:tcBorders>
              <w:bottom w:val="single" w:sz="6" w:space="0" w:color="auto"/>
            </w:tcBorders>
          </w:tcPr>
          <w:p w14:paraId="1E1592C3" w14:textId="77777777" w:rsidR="00863F51" w:rsidRPr="006235F7" w:rsidRDefault="00967B24" w:rsidP="00633E0A">
            <w:pPr>
              <w:rPr>
                <w:rFonts w:asciiTheme="majorHAnsi" w:hAnsiTheme="majorHAnsi" w:cs="Times New Roman"/>
                <w:sz w:val="22"/>
                <w:lang w:val="en-US"/>
              </w:rPr>
            </w:pPr>
            <w:r>
              <w:rPr>
                <w:rFonts w:asciiTheme="majorHAnsi" w:hAnsiTheme="majorHAnsi" w:cs="Times New Roman"/>
                <w:noProof/>
                <w:sz w:val="22"/>
              </w:rPr>
              <w:t>Normalisation</w:t>
            </w:r>
            <w:r w:rsidR="00863F51" w:rsidRPr="006235F7">
              <w:rPr>
                <w:rFonts w:asciiTheme="majorHAnsi" w:hAnsiTheme="majorHAnsi" w:cs="Times New Roman"/>
                <w:sz w:val="22"/>
                <w:lang w:val="en-US"/>
              </w:rPr>
              <w:t xml:space="preserve"> of platelet count </w:t>
            </w:r>
          </w:p>
          <w:p w14:paraId="3CABFB56" w14:textId="77777777" w:rsidR="00863F51" w:rsidRPr="006235F7" w:rsidRDefault="00863F51" w:rsidP="00633E0A">
            <w:pPr>
              <w:ind w:left="270"/>
              <w:rPr>
                <w:rFonts w:asciiTheme="majorHAnsi" w:hAnsiTheme="majorHAnsi" w:cs="Times New Roman"/>
                <w:sz w:val="22"/>
                <w:lang w:val="en-US"/>
              </w:rPr>
            </w:pPr>
            <w:r w:rsidRPr="006235F7">
              <w:rPr>
                <w:rFonts w:asciiTheme="majorHAnsi" w:hAnsiTheme="majorHAnsi" w:cs="Times New Roman"/>
                <w:sz w:val="22"/>
                <w:lang w:val="en-US"/>
              </w:rPr>
              <w:t>All patients, n (%) (95% CI)</w:t>
            </w:r>
          </w:p>
          <w:p w14:paraId="2CD5EA6F" w14:textId="77777777" w:rsidR="00863F51" w:rsidRPr="006235F7" w:rsidRDefault="00863F51" w:rsidP="00633E0A">
            <w:pPr>
              <w:ind w:left="270"/>
              <w:rPr>
                <w:rFonts w:asciiTheme="majorHAnsi" w:hAnsiTheme="majorHAnsi" w:cs="Times New Roman"/>
                <w:sz w:val="22"/>
                <w:lang w:val="en-US"/>
              </w:rPr>
            </w:pPr>
            <w:r w:rsidRPr="006235F7">
              <w:rPr>
                <w:rFonts w:asciiTheme="majorHAnsi" w:hAnsiTheme="majorHAnsi" w:cs="Times New Roman"/>
                <w:sz w:val="22"/>
                <w:lang w:val="en-US"/>
              </w:rPr>
              <w:t>Patients with abnormal baseline, n/n (%)</w:t>
            </w:r>
          </w:p>
        </w:tc>
        <w:tc>
          <w:tcPr>
            <w:tcW w:w="1701" w:type="dxa"/>
            <w:tcBorders>
              <w:bottom w:val="single" w:sz="6" w:space="0" w:color="auto"/>
            </w:tcBorders>
            <w:shd w:val="clear" w:color="auto" w:fill="auto"/>
          </w:tcPr>
          <w:p w14:paraId="258F7626" w14:textId="77777777" w:rsidR="00863F51" w:rsidRPr="008C0234" w:rsidRDefault="00863F51" w:rsidP="00633E0A">
            <w:pPr>
              <w:jc w:val="center"/>
              <w:rPr>
                <w:rFonts w:asciiTheme="majorHAnsi" w:hAnsiTheme="majorHAnsi" w:cs="Times New Roman"/>
                <w:sz w:val="18"/>
                <w:szCs w:val="18"/>
                <w:lang w:val="en-US"/>
              </w:rPr>
            </w:pPr>
          </w:p>
          <w:p w14:paraId="0BB450C5"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14 (82) (57, 96)</w:t>
            </w:r>
          </w:p>
          <w:p w14:paraId="1F8B5B8D" w14:textId="77777777" w:rsidR="00863F51" w:rsidRPr="008C0234" w:rsidRDefault="00863F51" w:rsidP="00633E0A">
            <w:pPr>
              <w:jc w:val="center"/>
              <w:rPr>
                <w:rFonts w:asciiTheme="majorHAnsi" w:hAnsiTheme="majorHAnsi" w:cs="Times New Roman"/>
                <w:sz w:val="18"/>
                <w:szCs w:val="18"/>
                <w:lang w:val="en-US"/>
              </w:rPr>
            </w:pPr>
          </w:p>
          <w:p w14:paraId="4043FCB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13/15, (87)</w:t>
            </w:r>
          </w:p>
        </w:tc>
        <w:tc>
          <w:tcPr>
            <w:tcW w:w="1701" w:type="dxa"/>
            <w:tcBorders>
              <w:bottom w:val="single" w:sz="6" w:space="0" w:color="auto"/>
            </w:tcBorders>
          </w:tcPr>
          <w:p w14:paraId="0B433082" w14:textId="77777777" w:rsidR="00863F51" w:rsidRPr="008C0234" w:rsidRDefault="00863F51" w:rsidP="00633E0A">
            <w:pPr>
              <w:jc w:val="center"/>
              <w:rPr>
                <w:rFonts w:asciiTheme="majorHAnsi" w:hAnsiTheme="majorHAnsi" w:cs="Times New Roman"/>
                <w:sz w:val="18"/>
                <w:szCs w:val="18"/>
                <w:lang w:val="en-US"/>
              </w:rPr>
            </w:pPr>
          </w:p>
          <w:p w14:paraId="2BA8A2E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15 (88) (64, 99)</w:t>
            </w:r>
          </w:p>
          <w:p w14:paraId="7F7E29D1" w14:textId="77777777" w:rsidR="00863F51" w:rsidRPr="008C0234" w:rsidRDefault="00863F51" w:rsidP="00633E0A">
            <w:pPr>
              <w:jc w:val="center"/>
              <w:rPr>
                <w:rFonts w:asciiTheme="majorHAnsi" w:hAnsiTheme="majorHAnsi" w:cs="Times New Roman"/>
                <w:sz w:val="18"/>
                <w:szCs w:val="18"/>
                <w:lang w:val="en-US"/>
              </w:rPr>
            </w:pPr>
          </w:p>
          <w:p w14:paraId="26173615"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13/15, (87)</w:t>
            </w:r>
          </w:p>
        </w:tc>
        <w:tc>
          <w:tcPr>
            <w:tcW w:w="1560" w:type="dxa"/>
            <w:tcBorders>
              <w:bottom w:val="single" w:sz="6" w:space="0" w:color="auto"/>
            </w:tcBorders>
          </w:tcPr>
          <w:p w14:paraId="6382808B" w14:textId="77777777" w:rsidR="00863F51" w:rsidRPr="008C0234" w:rsidRDefault="00863F51" w:rsidP="00633E0A">
            <w:pPr>
              <w:jc w:val="center"/>
              <w:rPr>
                <w:rFonts w:asciiTheme="majorHAnsi" w:hAnsiTheme="majorHAnsi" w:cs="Times New Roman"/>
                <w:sz w:val="18"/>
                <w:szCs w:val="18"/>
                <w:lang w:val="en-US"/>
              </w:rPr>
            </w:pPr>
          </w:p>
          <w:p w14:paraId="208A4830"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18 (90) (68, 99)</w:t>
            </w:r>
          </w:p>
          <w:p w14:paraId="74001E4B" w14:textId="77777777" w:rsidR="00863F51" w:rsidRPr="008C0234" w:rsidRDefault="00863F51" w:rsidP="00633E0A">
            <w:pPr>
              <w:jc w:val="center"/>
              <w:rPr>
                <w:rFonts w:asciiTheme="majorHAnsi" w:hAnsiTheme="majorHAnsi" w:cs="Times New Roman"/>
                <w:sz w:val="18"/>
                <w:szCs w:val="18"/>
                <w:lang w:val="en-US"/>
              </w:rPr>
            </w:pPr>
          </w:p>
          <w:p w14:paraId="439720AD"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1/3 (33)</w:t>
            </w:r>
          </w:p>
        </w:tc>
        <w:tc>
          <w:tcPr>
            <w:tcW w:w="1559" w:type="dxa"/>
            <w:tcBorders>
              <w:bottom w:val="single" w:sz="6" w:space="0" w:color="auto"/>
            </w:tcBorders>
          </w:tcPr>
          <w:p w14:paraId="17CD6963" w14:textId="77777777" w:rsidR="00863F51" w:rsidRPr="008C0234" w:rsidRDefault="00863F51" w:rsidP="00633E0A">
            <w:pPr>
              <w:jc w:val="center"/>
              <w:rPr>
                <w:rFonts w:asciiTheme="majorHAnsi" w:hAnsiTheme="majorHAnsi" w:cs="Times New Roman"/>
                <w:sz w:val="18"/>
                <w:szCs w:val="18"/>
                <w:lang w:val="en-US"/>
              </w:rPr>
            </w:pPr>
          </w:p>
          <w:p w14:paraId="3E50BAF4" w14:textId="77777777" w:rsidR="00863F51" w:rsidRPr="008C0234" w:rsidRDefault="00863F51" w:rsidP="00633E0A">
            <w:pPr>
              <w:jc w:val="center"/>
              <w:rPr>
                <w:rFonts w:asciiTheme="majorHAnsi" w:hAnsiTheme="majorHAnsi" w:cs="Times New Roman"/>
                <w:sz w:val="18"/>
                <w:szCs w:val="18"/>
                <w:lang w:val="en-US"/>
              </w:rPr>
            </w:pPr>
            <w:r w:rsidRPr="006235F7">
              <w:rPr>
                <w:rFonts w:asciiTheme="majorHAnsi" w:hAnsiTheme="majorHAnsi" w:cs="Times New Roman"/>
                <w:sz w:val="22"/>
                <w:lang w:val="en-US"/>
              </w:rPr>
              <w:t>18 (90) (68, 99)</w:t>
            </w:r>
          </w:p>
          <w:p w14:paraId="3A210120" w14:textId="77777777" w:rsidR="00863F51" w:rsidRPr="008C0234" w:rsidRDefault="00863F51" w:rsidP="00633E0A">
            <w:pPr>
              <w:jc w:val="center"/>
              <w:rPr>
                <w:rFonts w:asciiTheme="majorHAnsi" w:hAnsiTheme="majorHAnsi" w:cs="Times New Roman"/>
                <w:sz w:val="18"/>
                <w:szCs w:val="18"/>
                <w:lang w:val="en-US"/>
              </w:rPr>
            </w:pPr>
          </w:p>
          <w:p w14:paraId="1F350457"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1/3 (33)</w:t>
            </w:r>
          </w:p>
        </w:tc>
      </w:tr>
      <w:tr w:rsidR="00863F51" w:rsidRPr="006235F7" w14:paraId="60FB5F0E" w14:textId="77777777" w:rsidTr="00AE2D6F">
        <w:trPr>
          <w:cantSplit/>
        </w:trPr>
        <w:tc>
          <w:tcPr>
            <w:tcW w:w="3394" w:type="dxa"/>
          </w:tcPr>
          <w:p w14:paraId="67EEAE92"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t xml:space="preserve">TMA event-free status: n (%) </w:t>
            </w:r>
          </w:p>
          <w:p w14:paraId="4AAC14FE"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t>(95% CI)</w:t>
            </w:r>
          </w:p>
        </w:tc>
        <w:tc>
          <w:tcPr>
            <w:tcW w:w="1701" w:type="dxa"/>
            <w:shd w:val="clear" w:color="auto" w:fill="auto"/>
          </w:tcPr>
          <w:p w14:paraId="46AE3B1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15 (88) </w:t>
            </w:r>
          </w:p>
          <w:p w14:paraId="251D29D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(64, 99)</w:t>
            </w:r>
          </w:p>
        </w:tc>
        <w:tc>
          <w:tcPr>
            <w:tcW w:w="1701" w:type="dxa"/>
          </w:tcPr>
          <w:p w14:paraId="6ADAB9B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15 (88) </w:t>
            </w:r>
          </w:p>
          <w:p w14:paraId="6413FD3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(64, 99)</w:t>
            </w:r>
          </w:p>
        </w:tc>
        <w:tc>
          <w:tcPr>
            <w:tcW w:w="1560" w:type="dxa"/>
          </w:tcPr>
          <w:p w14:paraId="6DE72A48"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16 (80) </w:t>
            </w:r>
          </w:p>
          <w:p w14:paraId="584E0889"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(56, 94)</w:t>
            </w:r>
          </w:p>
        </w:tc>
        <w:tc>
          <w:tcPr>
            <w:tcW w:w="1559" w:type="dxa"/>
          </w:tcPr>
          <w:p w14:paraId="44AA5DB0"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19 (95) </w:t>
            </w:r>
          </w:p>
          <w:p w14:paraId="56D914AF"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(75, 99)</w:t>
            </w:r>
          </w:p>
        </w:tc>
      </w:tr>
      <w:tr w:rsidR="00863F51" w:rsidRPr="006235F7" w14:paraId="592E27B8" w14:textId="77777777" w:rsidTr="00AE2D6F">
        <w:trPr>
          <w:cantSplit/>
          <w:trHeight w:val="1636"/>
        </w:trPr>
        <w:tc>
          <w:tcPr>
            <w:tcW w:w="3394" w:type="dxa"/>
          </w:tcPr>
          <w:p w14:paraId="267A81FE"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lastRenderedPageBreak/>
              <w:t>TMA intervention rate</w:t>
            </w:r>
          </w:p>
          <w:p w14:paraId="44D9A1F3" w14:textId="77777777" w:rsidR="00863F51" w:rsidRPr="006235F7" w:rsidRDefault="00863F51" w:rsidP="00633E0A">
            <w:pPr>
              <w:ind w:left="292" w:hanging="292"/>
              <w:rPr>
                <w:rFonts w:asciiTheme="majorHAnsi" w:eastAsia="MS Mincho" w:hAnsiTheme="majorHAnsi" w:cs="Times New Roman"/>
                <w:sz w:val="22"/>
                <w:lang w:val="en-US"/>
              </w:rPr>
            </w:pPr>
            <w:r w:rsidRPr="006235F7">
              <w:rPr>
                <w:rFonts w:asciiTheme="majorHAnsi" w:eastAsia="MS Mincho" w:hAnsiTheme="majorHAnsi" w:cs="Times New Roman"/>
                <w:sz w:val="22"/>
                <w:lang w:val="en-US"/>
              </w:rPr>
              <w:t xml:space="preserve">     Daily pre-eculizumab rate, median (min, max)</w:t>
            </w:r>
          </w:p>
          <w:p w14:paraId="6C26B55A" w14:textId="1F2C77B3" w:rsidR="00863F51" w:rsidRPr="006235F7" w:rsidRDefault="00863F51" w:rsidP="00633E0A">
            <w:pPr>
              <w:ind w:left="292" w:hanging="292"/>
              <w:rPr>
                <w:rFonts w:asciiTheme="majorHAnsi" w:eastAsia="MS Mincho" w:hAnsiTheme="majorHAnsi" w:cs="Times New Roman"/>
                <w:sz w:val="22"/>
                <w:lang w:val="en-US"/>
              </w:rPr>
            </w:pPr>
            <w:r w:rsidRPr="006235F7">
              <w:rPr>
                <w:rFonts w:asciiTheme="majorHAnsi" w:eastAsia="MS Mincho" w:hAnsiTheme="majorHAnsi" w:cs="Times New Roman"/>
                <w:sz w:val="22"/>
                <w:lang w:val="en-US"/>
              </w:rPr>
              <w:t xml:space="preserve">     Daily during-eculizumab</w:t>
            </w:r>
            <w:r w:rsidR="000910CA">
              <w:rPr>
                <w:rFonts w:asciiTheme="majorHAnsi" w:eastAsia="MS Mincho" w:hAnsiTheme="majorHAnsi" w:cs="Times New Roman"/>
                <w:sz w:val="22"/>
                <w:lang w:val="en-US"/>
              </w:rPr>
              <w:t xml:space="preserve"> </w:t>
            </w:r>
            <w:r w:rsidRPr="006235F7">
              <w:rPr>
                <w:rFonts w:asciiTheme="majorHAnsi" w:eastAsia="MS Mincho" w:hAnsiTheme="majorHAnsi" w:cs="Times New Roman"/>
                <w:sz w:val="22"/>
                <w:lang w:val="en-US"/>
              </w:rPr>
              <w:t>rate, median (min, max)</w:t>
            </w:r>
          </w:p>
          <w:p w14:paraId="240821E0" w14:textId="77777777" w:rsidR="00863F51" w:rsidRPr="006235F7" w:rsidRDefault="00863F51" w:rsidP="00633E0A">
            <w:pPr>
              <w:ind w:left="292"/>
              <w:jc w:val="both"/>
              <w:rPr>
                <w:rFonts w:asciiTheme="majorHAnsi" w:hAnsiTheme="majorHAnsi" w:cs="Times New Roman"/>
                <w:sz w:val="22"/>
                <w:lang w:val="en-US"/>
              </w:rPr>
            </w:pPr>
            <w:r w:rsidRPr="006235F7">
              <w:rPr>
                <w:rFonts w:asciiTheme="majorHAnsi" w:eastAsia="MS Mincho" w:hAnsiTheme="majorHAnsi" w:cs="Times New Roman"/>
                <w:i/>
                <w:sz w:val="22"/>
                <w:lang w:val="en-US"/>
              </w:rPr>
              <w:t>P</w:t>
            </w:r>
            <w:r w:rsidRPr="006235F7">
              <w:rPr>
                <w:rFonts w:asciiTheme="majorHAnsi" w:eastAsia="MS Mincho" w:hAnsiTheme="majorHAnsi" w:cs="Times New Roman"/>
                <w:sz w:val="22"/>
                <w:lang w:val="en-US"/>
              </w:rPr>
              <w:t>-value</w:t>
            </w:r>
          </w:p>
        </w:tc>
        <w:tc>
          <w:tcPr>
            <w:tcW w:w="1701" w:type="dxa"/>
            <w:shd w:val="clear" w:color="auto" w:fill="auto"/>
          </w:tcPr>
          <w:p w14:paraId="670862AB" w14:textId="77777777" w:rsidR="00863F51" w:rsidRPr="008C0234" w:rsidRDefault="00863F51" w:rsidP="00633E0A">
            <w:pPr>
              <w:jc w:val="center"/>
              <w:rPr>
                <w:rFonts w:asciiTheme="majorHAnsi" w:hAnsiTheme="majorHAnsi" w:cs="Times New Roman"/>
                <w:sz w:val="18"/>
                <w:lang w:val="en-US"/>
              </w:rPr>
            </w:pPr>
          </w:p>
          <w:p w14:paraId="47BE2139"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0.88 (0.04, 1.59)</w:t>
            </w:r>
          </w:p>
          <w:p w14:paraId="640D5F25" w14:textId="77777777" w:rsidR="00863F51" w:rsidRPr="00926FE7" w:rsidRDefault="00863F51" w:rsidP="00633E0A">
            <w:pPr>
              <w:jc w:val="center"/>
              <w:rPr>
                <w:rFonts w:asciiTheme="majorHAnsi" w:hAnsiTheme="majorHAnsi" w:cs="Times New Roman"/>
                <w:sz w:val="18"/>
                <w:lang w:val="en-US"/>
              </w:rPr>
            </w:pPr>
          </w:p>
          <w:p w14:paraId="70080DAB"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 (0, 0.31)</w:t>
            </w:r>
          </w:p>
          <w:p w14:paraId="0001434C" w14:textId="77777777" w:rsidR="00863F51" w:rsidRPr="008C0234" w:rsidRDefault="00863F51" w:rsidP="00633E0A">
            <w:pPr>
              <w:jc w:val="center"/>
              <w:rPr>
                <w:rFonts w:asciiTheme="majorHAnsi" w:hAnsiTheme="majorHAnsi" w:cs="Times New Roman"/>
                <w:i/>
                <w:sz w:val="18"/>
                <w:lang w:val="en-US"/>
              </w:rPr>
            </w:pPr>
          </w:p>
          <w:p w14:paraId="4B7F7CE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i/>
                <w:sz w:val="22"/>
                <w:lang w:val="en-US"/>
              </w:rPr>
              <w:t>P</w:t>
            </w:r>
            <w:r w:rsidRPr="006235F7">
              <w:rPr>
                <w:rFonts w:asciiTheme="majorHAnsi" w:hAnsiTheme="majorHAnsi" w:cs="Times New Roman"/>
                <w:sz w:val="22"/>
                <w:lang w:val="en-US"/>
              </w:rPr>
              <w:t>&lt;0.0001</w:t>
            </w:r>
          </w:p>
        </w:tc>
        <w:tc>
          <w:tcPr>
            <w:tcW w:w="1701" w:type="dxa"/>
          </w:tcPr>
          <w:p w14:paraId="74E83A0E" w14:textId="77777777" w:rsidR="00863F51" w:rsidRPr="008C0234" w:rsidRDefault="00863F51" w:rsidP="00633E0A">
            <w:pPr>
              <w:jc w:val="center"/>
              <w:rPr>
                <w:rFonts w:asciiTheme="majorHAnsi" w:hAnsiTheme="majorHAnsi" w:cs="Times New Roman"/>
                <w:sz w:val="18"/>
                <w:lang w:val="en-US"/>
              </w:rPr>
            </w:pPr>
          </w:p>
          <w:p w14:paraId="0C082E5D"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0.88 (0.04, 1.59)</w:t>
            </w:r>
          </w:p>
          <w:p w14:paraId="30E76241" w14:textId="77777777" w:rsidR="00863F51" w:rsidRPr="008C0234" w:rsidRDefault="00863F51" w:rsidP="00633E0A">
            <w:pPr>
              <w:jc w:val="center"/>
              <w:rPr>
                <w:rFonts w:asciiTheme="majorHAnsi" w:hAnsiTheme="majorHAnsi" w:cs="Times New Roman"/>
                <w:sz w:val="18"/>
                <w:lang w:val="en-US"/>
              </w:rPr>
            </w:pPr>
          </w:p>
          <w:p w14:paraId="37B1217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 (0, 0.31)</w:t>
            </w:r>
          </w:p>
          <w:p w14:paraId="215EBC5C" w14:textId="77777777" w:rsidR="00863F51" w:rsidRPr="008C0234" w:rsidRDefault="00863F51" w:rsidP="00633E0A">
            <w:pPr>
              <w:jc w:val="center"/>
              <w:rPr>
                <w:rFonts w:asciiTheme="majorHAnsi" w:hAnsiTheme="majorHAnsi" w:cs="Times New Roman"/>
                <w:i/>
                <w:sz w:val="18"/>
                <w:lang w:val="en-US"/>
              </w:rPr>
            </w:pPr>
          </w:p>
          <w:p w14:paraId="4A6CEA3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i/>
                <w:sz w:val="22"/>
                <w:lang w:val="en-US"/>
              </w:rPr>
              <w:t>P</w:t>
            </w:r>
            <w:r w:rsidRPr="006235F7">
              <w:rPr>
                <w:rFonts w:asciiTheme="majorHAnsi" w:hAnsiTheme="majorHAnsi" w:cs="Times New Roman"/>
                <w:sz w:val="22"/>
                <w:lang w:val="en-US"/>
              </w:rPr>
              <w:t>&lt;0.0001</w:t>
            </w:r>
          </w:p>
        </w:tc>
        <w:tc>
          <w:tcPr>
            <w:tcW w:w="1560" w:type="dxa"/>
          </w:tcPr>
          <w:p w14:paraId="4F6317AD" w14:textId="77777777" w:rsidR="00863F51" w:rsidRPr="008C0234" w:rsidRDefault="00863F51" w:rsidP="00633E0A">
            <w:pPr>
              <w:jc w:val="center"/>
              <w:rPr>
                <w:rFonts w:asciiTheme="majorHAnsi" w:hAnsiTheme="majorHAnsi" w:cs="Times New Roman"/>
                <w:sz w:val="18"/>
                <w:lang w:val="en-US"/>
              </w:rPr>
            </w:pPr>
          </w:p>
          <w:p w14:paraId="279028CF"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0.23 (0.05, 1.09)</w:t>
            </w:r>
          </w:p>
          <w:p w14:paraId="607A4252" w14:textId="77777777" w:rsidR="00863F51" w:rsidRPr="008C0234" w:rsidRDefault="00863F51" w:rsidP="00633E0A">
            <w:pPr>
              <w:jc w:val="center"/>
              <w:rPr>
                <w:rFonts w:asciiTheme="majorHAnsi" w:hAnsiTheme="majorHAnsi" w:cs="Times New Roman"/>
                <w:sz w:val="18"/>
                <w:lang w:val="en-US"/>
              </w:rPr>
            </w:pPr>
          </w:p>
          <w:p w14:paraId="4D4F3BAD" w14:textId="77777777" w:rsidR="00863F51" w:rsidRPr="008C0234" w:rsidRDefault="00863F51" w:rsidP="00633E0A">
            <w:pPr>
              <w:jc w:val="center"/>
              <w:rPr>
                <w:rFonts w:asciiTheme="majorHAnsi" w:hAnsiTheme="majorHAnsi" w:cs="Times New Roman"/>
                <w:i/>
                <w:sz w:val="18"/>
                <w:lang w:val="en-US"/>
              </w:rPr>
            </w:pPr>
            <w:r w:rsidRPr="006235F7">
              <w:rPr>
                <w:rFonts w:asciiTheme="majorHAnsi" w:hAnsiTheme="majorHAnsi" w:cs="Times New Roman"/>
                <w:sz w:val="22"/>
                <w:lang w:val="en-US"/>
              </w:rPr>
              <w:t>0</w:t>
            </w:r>
            <w:r w:rsidRPr="006235F7">
              <w:rPr>
                <w:rFonts w:asciiTheme="majorHAnsi" w:hAnsiTheme="majorHAnsi" w:cs="Times New Roman"/>
                <w:sz w:val="22"/>
                <w:lang w:val="en-US"/>
              </w:rPr>
              <w:br/>
            </w:r>
          </w:p>
          <w:p w14:paraId="73B1274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i/>
                <w:sz w:val="22"/>
                <w:lang w:val="en-US"/>
              </w:rPr>
              <w:t>P</w:t>
            </w:r>
            <w:r w:rsidRPr="006235F7">
              <w:rPr>
                <w:rFonts w:asciiTheme="majorHAnsi" w:hAnsiTheme="majorHAnsi" w:cs="Times New Roman"/>
                <w:sz w:val="22"/>
                <w:lang w:val="en-US"/>
              </w:rPr>
              <w:t xml:space="preserve"> &lt;0.0001</w:t>
            </w:r>
          </w:p>
        </w:tc>
        <w:tc>
          <w:tcPr>
            <w:tcW w:w="1559" w:type="dxa"/>
          </w:tcPr>
          <w:p w14:paraId="6E3D8B70" w14:textId="77777777" w:rsidR="00863F51" w:rsidRPr="008C0234" w:rsidRDefault="00863F51" w:rsidP="00633E0A">
            <w:pPr>
              <w:jc w:val="center"/>
              <w:rPr>
                <w:rFonts w:asciiTheme="majorHAnsi" w:hAnsiTheme="majorHAnsi" w:cs="Times New Roman"/>
                <w:sz w:val="18"/>
                <w:lang w:val="en-US"/>
              </w:rPr>
            </w:pPr>
          </w:p>
          <w:p w14:paraId="4A1B3934"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0.23 (0.05, 1.09)</w:t>
            </w:r>
          </w:p>
          <w:p w14:paraId="116E60ED" w14:textId="77777777" w:rsidR="00863F51" w:rsidRPr="008C0234" w:rsidRDefault="00863F51" w:rsidP="00633E0A">
            <w:pPr>
              <w:jc w:val="center"/>
              <w:rPr>
                <w:rFonts w:asciiTheme="majorHAnsi" w:hAnsiTheme="majorHAnsi" w:cs="Times New Roman"/>
                <w:sz w:val="18"/>
                <w:lang w:val="en-US"/>
              </w:rPr>
            </w:pPr>
          </w:p>
          <w:p w14:paraId="52892030"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w:t>
            </w:r>
          </w:p>
          <w:p w14:paraId="71A4C533" w14:textId="77777777" w:rsidR="00863F51" w:rsidRPr="006235F7" w:rsidRDefault="00863F51" w:rsidP="00633E0A">
            <w:pPr>
              <w:jc w:val="center"/>
              <w:rPr>
                <w:rFonts w:asciiTheme="majorHAnsi" w:hAnsiTheme="majorHAnsi" w:cs="Times New Roman"/>
                <w:sz w:val="22"/>
                <w:lang w:val="en-US"/>
              </w:rPr>
            </w:pPr>
            <w:r w:rsidRPr="008C0234">
              <w:rPr>
                <w:rFonts w:asciiTheme="majorHAnsi" w:hAnsiTheme="majorHAnsi" w:cs="Times New Roman"/>
                <w:sz w:val="18"/>
                <w:lang w:val="en-US"/>
              </w:rPr>
              <w:br/>
            </w:r>
            <w:r w:rsidRPr="006235F7">
              <w:rPr>
                <w:rFonts w:asciiTheme="majorHAnsi" w:hAnsiTheme="majorHAnsi" w:cs="Times New Roman"/>
                <w:i/>
                <w:sz w:val="22"/>
                <w:lang w:val="en-US"/>
              </w:rPr>
              <w:t>P</w:t>
            </w:r>
            <w:r w:rsidRPr="006235F7">
              <w:rPr>
                <w:rFonts w:asciiTheme="majorHAnsi" w:hAnsiTheme="majorHAnsi" w:cs="Times New Roman"/>
                <w:sz w:val="22"/>
                <w:lang w:val="en-US"/>
              </w:rPr>
              <w:t xml:space="preserve"> &lt;0.0001</w:t>
            </w:r>
          </w:p>
        </w:tc>
      </w:tr>
      <w:tr w:rsidR="00863F51" w:rsidRPr="006235F7" w14:paraId="33FCDBAF" w14:textId="77777777" w:rsidTr="00AE2D6F">
        <w:trPr>
          <w:cantSplit/>
        </w:trPr>
        <w:tc>
          <w:tcPr>
            <w:tcW w:w="3394" w:type="dxa"/>
          </w:tcPr>
          <w:p w14:paraId="5AB690CA"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t>C</w:t>
            </w:r>
            <w:r w:rsidR="00E711D5">
              <w:rPr>
                <w:rFonts w:asciiTheme="majorHAnsi" w:hAnsiTheme="majorHAnsi" w:cs="Times New Roman"/>
                <w:sz w:val="22"/>
                <w:lang w:val="en-US"/>
              </w:rPr>
              <w:t xml:space="preserve">hronic </w:t>
            </w:r>
            <w:r w:rsidRPr="006235F7">
              <w:rPr>
                <w:rFonts w:asciiTheme="majorHAnsi" w:hAnsiTheme="majorHAnsi" w:cs="Times New Roman"/>
                <w:sz w:val="22"/>
                <w:lang w:val="en-US"/>
              </w:rPr>
              <w:t>K</w:t>
            </w:r>
            <w:r w:rsidR="00E711D5">
              <w:rPr>
                <w:rFonts w:asciiTheme="majorHAnsi" w:hAnsiTheme="majorHAnsi" w:cs="Times New Roman"/>
                <w:sz w:val="22"/>
                <w:lang w:val="en-US"/>
              </w:rPr>
              <w:t xml:space="preserve">idney </w:t>
            </w:r>
            <w:r w:rsidRPr="006235F7">
              <w:rPr>
                <w:rFonts w:asciiTheme="majorHAnsi" w:hAnsiTheme="majorHAnsi" w:cs="Times New Roman"/>
                <w:sz w:val="22"/>
                <w:lang w:val="en-US"/>
              </w:rPr>
              <w:t>D</w:t>
            </w:r>
            <w:r w:rsidR="00E711D5">
              <w:rPr>
                <w:rFonts w:asciiTheme="majorHAnsi" w:hAnsiTheme="majorHAnsi" w:cs="Times New Roman"/>
                <w:sz w:val="22"/>
                <w:lang w:val="en-US"/>
              </w:rPr>
              <w:t>isease (CKD)</w:t>
            </w:r>
            <w:r w:rsidRPr="006235F7">
              <w:rPr>
                <w:rFonts w:asciiTheme="majorHAnsi" w:hAnsiTheme="majorHAnsi" w:cs="Times New Roman"/>
                <w:sz w:val="22"/>
                <w:lang w:val="en-US"/>
              </w:rPr>
              <w:t xml:space="preserve"> improvement by ≥1 stage: n (%) (95% CI)</w:t>
            </w:r>
          </w:p>
        </w:tc>
        <w:tc>
          <w:tcPr>
            <w:tcW w:w="1701" w:type="dxa"/>
            <w:shd w:val="clear" w:color="auto" w:fill="auto"/>
          </w:tcPr>
          <w:p w14:paraId="28DD7225"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10 (59) </w:t>
            </w:r>
          </w:p>
          <w:p w14:paraId="5270CA5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(33, 82)</w:t>
            </w:r>
          </w:p>
        </w:tc>
        <w:tc>
          <w:tcPr>
            <w:tcW w:w="1701" w:type="dxa"/>
          </w:tcPr>
          <w:p w14:paraId="4C0F175D"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12 (71) </w:t>
            </w:r>
          </w:p>
          <w:p w14:paraId="7A00279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(44, 90)</w:t>
            </w:r>
          </w:p>
        </w:tc>
        <w:tc>
          <w:tcPr>
            <w:tcW w:w="1560" w:type="dxa"/>
          </w:tcPr>
          <w:p w14:paraId="72FCDA9F"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7 (35) </w:t>
            </w:r>
          </w:p>
          <w:p w14:paraId="695BFA4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(15, 59)</w:t>
            </w:r>
          </w:p>
        </w:tc>
        <w:tc>
          <w:tcPr>
            <w:tcW w:w="1559" w:type="dxa"/>
          </w:tcPr>
          <w:p w14:paraId="089D3AA8"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12 (60) </w:t>
            </w:r>
          </w:p>
          <w:p w14:paraId="12DFEFBD"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(36, 81)</w:t>
            </w:r>
          </w:p>
        </w:tc>
      </w:tr>
      <w:tr w:rsidR="00863F51" w:rsidRPr="006235F7" w14:paraId="2074A862" w14:textId="77777777" w:rsidTr="00AE2D6F">
        <w:trPr>
          <w:cantSplit/>
        </w:trPr>
        <w:tc>
          <w:tcPr>
            <w:tcW w:w="3394" w:type="dxa"/>
          </w:tcPr>
          <w:p w14:paraId="0684A0FE" w14:textId="77777777" w:rsidR="00863F51" w:rsidRPr="006235F7" w:rsidRDefault="00863F51" w:rsidP="00633E0A">
            <w:pPr>
              <w:rPr>
                <w:rFonts w:asciiTheme="majorHAnsi" w:hAnsiTheme="majorHAnsi" w:cs="Times New Roman"/>
                <w:sz w:val="22"/>
                <w:lang w:val="en-US"/>
              </w:rPr>
            </w:pPr>
            <w:r w:rsidRPr="006235F7">
              <w:rPr>
                <w:rFonts w:asciiTheme="majorHAnsi" w:hAnsiTheme="majorHAnsi" w:cs="Times New Roman"/>
                <w:sz w:val="22"/>
                <w:lang w:val="en-US"/>
              </w:rPr>
              <w:t>eGFR change mL/min/1.73 m</w:t>
            </w:r>
            <w:r w:rsidRPr="006235F7">
              <w:rPr>
                <w:rFonts w:asciiTheme="majorHAnsi" w:hAnsiTheme="majorHAnsi" w:cs="Times New Roman"/>
                <w:sz w:val="22"/>
                <w:vertAlign w:val="superscript"/>
                <w:lang w:val="en-US"/>
              </w:rPr>
              <w:t>2</w:t>
            </w:r>
            <w:r w:rsidRPr="006235F7">
              <w:rPr>
                <w:rFonts w:asciiTheme="majorHAnsi" w:hAnsiTheme="majorHAnsi" w:cs="Times New Roman"/>
                <w:sz w:val="22"/>
                <w:lang w:val="en-US"/>
              </w:rPr>
              <w:t xml:space="preserve">: median (range) </w:t>
            </w:r>
          </w:p>
        </w:tc>
        <w:tc>
          <w:tcPr>
            <w:tcW w:w="1701" w:type="dxa"/>
            <w:shd w:val="clear" w:color="auto" w:fill="auto"/>
          </w:tcPr>
          <w:p w14:paraId="2920F0A3" w14:textId="77777777" w:rsidR="00863F51" w:rsidRPr="008C0234" w:rsidRDefault="00863F51" w:rsidP="00633E0A">
            <w:pPr>
              <w:jc w:val="center"/>
              <w:rPr>
                <w:rFonts w:asciiTheme="majorHAnsi" w:hAnsiTheme="majorHAnsi" w:cs="Times New Roman"/>
                <w:sz w:val="18"/>
                <w:szCs w:val="18"/>
                <w:lang w:val="en-US"/>
              </w:rPr>
            </w:pPr>
          </w:p>
          <w:p w14:paraId="6FBC782D" w14:textId="77777777" w:rsidR="00863F51" w:rsidRPr="006235F7" w:rsidDel="00D16A8F"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20 (-1,98)</w:t>
            </w:r>
          </w:p>
        </w:tc>
        <w:tc>
          <w:tcPr>
            <w:tcW w:w="1701" w:type="dxa"/>
          </w:tcPr>
          <w:p w14:paraId="2C5B43D2" w14:textId="77777777" w:rsidR="00863F51" w:rsidRPr="008C0234" w:rsidRDefault="00863F51" w:rsidP="00633E0A">
            <w:pPr>
              <w:jc w:val="center"/>
              <w:rPr>
                <w:rFonts w:asciiTheme="majorHAnsi" w:hAnsiTheme="majorHAnsi" w:cs="Times New Roman"/>
                <w:sz w:val="18"/>
                <w:szCs w:val="18"/>
                <w:lang w:val="en-US"/>
              </w:rPr>
            </w:pPr>
          </w:p>
          <w:p w14:paraId="4445914D"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28 (3, 82)</w:t>
            </w:r>
          </w:p>
        </w:tc>
        <w:tc>
          <w:tcPr>
            <w:tcW w:w="1560" w:type="dxa"/>
          </w:tcPr>
          <w:p w14:paraId="3BE411C9" w14:textId="77777777" w:rsidR="00863F51" w:rsidRPr="008C0234" w:rsidRDefault="00863F51" w:rsidP="00633E0A">
            <w:pPr>
              <w:jc w:val="center"/>
              <w:rPr>
                <w:rFonts w:asciiTheme="majorHAnsi" w:hAnsiTheme="majorHAnsi" w:cs="Times New Roman"/>
                <w:sz w:val="18"/>
                <w:szCs w:val="18"/>
                <w:lang w:val="en-US"/>
              </w:rPr>
            </w:pPr>
          </w:p>
          <w:p w14:paraId="378B2B8E" w14:textId="77777777" w:rsidR="00863F51" w:rsidRPr="006235F7" w:rsidDel="00D16A8F"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 (-1, 20)</w:t>
            </w:r>
          </w:p>
        </w:tc>
        <w:tc>
          <w:tcPr>
            <w:tcW w:w="1559" w:type="dxa"/>
          </w:tcPr>
          <w:p w14:paraId="7112B0C3" w14:textId="77777777" w:rsidR="00863F51" w:rsidRPr="008C0234" w:rsidRDefault="00863F51" w:rsidP="00633E0A">
            <w:pPr>
              <w:jc w:val="center"/>
              <w:rPr>
                <w:rFonts w:asciiTheme="majorHAnsi" w:hAnsiTheme="majorHAnsi" w:cs="Times New Roman"/>
                <w:sz w:val="18"/>
                <w:szCs w:val="18"/>
                <w:lang w:val="en-US"/>
              </w:rPr>
            </w:pPr>
          </w:p>
          <w:p w14:paraId="7514224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11 (-42, 30)</w:t>
            </w:r>
          </w:p>
        </w:tc>
      </w:tr>
      <w:tr w:rsidR="00863F51" w:rsidRPr="006235F7" w14:paraId="030CC6DD" w14:textId="77777777" w:rsidTr="00AE2D6F">
        <w:trPr>
          <w:cantSplit/>
        </w:trPr>
        <w:tc>
          <w:tcPr>
            <w:tcW w:w="3394" w:type="dxa"/>
          </w:tcPr>
          <w:p w14:paraId="366C8B4C" w14:textId="77777777" w:rsidR="00863F51" w:rsidRPr="006235F7" w:rsidRDefault="00863F51" w:rsidP="00633E0A">
            <w:pPr>
              <w:rPr>
                <w:rFonts w:asciiTheme="majorHAnsi" w:hAnsiTheme="majorHAnsi" w:cs="Times New Roman"/>
                <w:sz w:val="22"/>
                <w:vertAlign w:val="superscript"/>
                <w:lang w:val="pt-BR"/>
              </w:rPr>
            </w:pPr>
            <w:r w:rsidRPr="006235F7">
              <w:rPr>
                <w:rFonts w:asciiTheme="majorHAnsi" w:hAnsiTheme="majorHAnsi" w:cs="Times New Roman"/>
                <w:sz w:val="22"/>
                <w:lang w:val="pt-BR"/>
              </w:rPr>
              <w:t>eGFR improvement ≥ 15 mL / min / 1.73 m</w:t>
            </w:r>
            <w:r w:rsidRPr="006235F7">
              <w:rPr>
                <w:rFonts w:asciiTheme="majorHAnsi" w:hAnsiTheme="majorHAnsi" w:cs="Times New Roman"/>
                <w:sz w:val="22"/>
                <w:vertAlign w:val="superscript"/>
                <w:lang w:val="pt-BR"/>
              </w:rPr>
              <w:t>2</w:t>
            </w:r>
            <w:r w:rsidRPr="006235F7">
              <w:rPr>
                <w:rFonts w:asciiTheme="majorHAnsi" w:hAnsiTheme="majorHAnsi" w:cs="Times New Roman"/>
                <w:sz w:val="22"/>
                <w:lang w:val="pt-BR"/>
              </w:rPr>
              <w:t xml:space="preserve"> : n (%)</w:t>
            </w:r>
            <w:r w:rsidRPr="006235F7">
              <w:rPr>
                <w:rFonts w:asciiTheme="majorHAnsi" w:hAnsiTheme="majorHAnsi" w:cs="Times New Roman"/>
                <w:sz w:val="22"/>
                <w:vertAlign w:val="superscript"/>
                <w:lang w:val="pt-BR"/>
              </w:rPr>
              <w:t xml:space="preserve">  </w:t>
            </w:r>
          </w:p>
          <w:p w14:paraId="7D28B853" w14:textId="77777777" w:rsidR="00863F51" w:rsidRPr="006235F7" w:rsidDel="00D16A8F" w:rsidRDefault="00863F51" w:rsidP="00633E0A">
            <w:pPr>
              <w:rPr>
                <w:rFonts w:asciiTheme="majorHAnsi" w:hAnsiTheme="majorHAnsi" w:cs="Times New Roman"/>
                <w:sz w:val="22"/>
                <w:lang w:val="pt-BR"/>
              </w:rPr>
            </w:pPr>
            <w:r w:rsidRPr="006235F7">
              <w:rPr>
                <w:rFonts w:asciiTheme="majorHAnsi" w:hAnsiTheme="majorHAnsi" w:cs="Times New Roman"/>
                <w:sz w:val="22"/>
                <w:lang w:val="fr-FR"/>
              </w:rPr>
              <w:t>(95% CI)</w:t>
            </w:r>
          </w:p>
        </w:tc>
        <w:tc>
          <w:tcPr>
            <w:tcW w:w="1701" w:type="dxa"/>
            <w:shd w:val="clear" w:color="auto" w:fill="auto"/>
          </w:tcPr>
          <w:p w14:paraId="1E344091" w14:textId="77777777" w:rsidR="00863F51" w:rsidRPr="00615803" w:rsidRDefault="00863F51" w:rsidP="00633E0A">
            <w:pPr>
              <w:jc w:val="center"/>
              <w:rPr>
                <w:rFonts w:asciiTheme="majorHAnsi" w:hAnsiTheme="majorHAnsi" w:cs="Times New Roman"/>
                <w:sz w:val="18"/>
                <w:szCs w:val="18"/>
                <w:lang w:val="fr-BE"/>
              </w:rPr>
            </w:pPr>
          </w:p>
          <w:p w14:paraId="559DAA4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8 (47)</w:t>
            </w:r>
          </w:p>
          <w:p w14:paraId="1C99669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(23, 72)</w:t>
            </w:r>
          </w:p>
        </w:tc>
        <w:tc>
          <w:tcPr>
            <w:tcW w:w="1701" w:type="dxa"/>
          </w:tcPr>
          <w:p w14:paraId="4400922E" w14:textId="77777777" w:rsidR="00863F51" w:rsidRPr="008C0234" w:rsidRDefault="00863F51" w:rsidP="00633E0A">
            <w:pPr>
              <w:jc w:val="center"/>
              <w:rPr>
                <w:rFonts w:asciiTheme="majorHAnsi" w:hAnsiTheme="majorHAnsi" w:cs="Times New Roman"/>
                <w:sz w:val="18"/>
                <w:szCs w:val="18"/>
                <w:lang w:val="en-US"/>
              </w:rPr>
            </w:pPr>
          </w:p>
          <w:p w14:paraId="64F4CFD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10 (59) </w:t>
            </w:r>
          </w:p>
          <w:p w14:paraId="1ED56E5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(33, 82)</w:t>
            </w:r>
          </w:p>
        </w:tc>
        <w:tc>
          <w:tcPr>
            <w:tcW w:w="1560" w:type="dxa"/>
          </w:tcPr>
          <w:p w14:paraId="7CF73BF9" w14:textId="77777777" w:rsidR="00863F51" w:rsidRPr="008C0234" w:rsidRDefault="00863F51" w:rsidP="00633E0A">
            <w:pPr>
              <w:jc w:val="center"/>
              <w:rPr>
                <w:rFonts w:asciiTheme="majorHAnsi" w:hAnsiTheme="majorHAnsi" w:cs="Times New Roman"/>
                <w:sz w:val="18"/>
                <w:szCs w:val="18"/>
                <w:lang w:val="en-US"/>
              </w:rPr>
            </w:pPr>
          </w:p>
          <w:p w14:paraId="33C4B20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 (5) </w:t>
            </w:r>
          </w:p>
          <w:p w14:paraId="1BEE5FA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(0, 25)</w:t>
            </w:r>
          </w:p>
        </w:tc>
        <w:tc>
          <w:tcPr>
            <w:tcW w:w="1559" w:type="dxa"/>
          </w:tcPr>
          <w:p w14:paraId="22D96556" w14:textId="77777777" w:rsidR="00863F51" w:rsidRPr="008C0234" w:rsidRDefault="00863F51" w:rsidP="00633E0A">
            <w:pPr>
              <w:jc w:val="center"/>
              <w:rPr>
                <w:rFonts w:asciiTheme="majorHAnsi" w:hAnsiTheme="majorHAnsi" w:cs="Times New Roman"/>
                <w:sz w:val="18"/>
                <w:szCs w:val="18"/>
                <w:lang w:val="en-US"/>
              </w:rPr>
            </w:pPr>
          </w:p>
          <w:p w14:paraId="091166E4"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8 (40) </w:t>
            </w:r>
          </w:p>
          <w:p w14:paraId="7BA4F9B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(19, 64)</w:t>
            </w:r>
          </w:p>
        </w:tc>
      </w:tr>
      <w:tr w:rsidR="00863F51" w:rsidRPr="006235F7" w14:paraId="745C375D" w14:textId="77777777" w:rsidTr="00AE2D6F">
        <w:trPr>
          <w:cantSplit/>
        </w:trPr>
        <w:tc>
          <w:tcPr>
            <w:tcW w:w="3394" w:type="dxa"/>
          </w:tcPr>
          <w:p w14:paraId="1C35B69F" w14:textId="77777777" w:rsidR="00863F51" w:rsidRPr="006235F7" w:rsidDel="00D16A8F" w:rsidRDefault="00863F51" w:rsidP="00633E0A">
            <w:pPr>
              <w:rPr>
                <w:rFonts w:asciiTheme="majorHAnsi" w:hAnsiTheme="majorHAnsi" w:cs="Times New Roman"/>
                <w:sz w:val="22"/>
                <w:lang w:val="de-DE"/>
              </w:rPr>
            </w:pPr>
            <w:r w:rsidRPr="006235F7">
              <w:rPr>
                <w:rFonts w:asciiTheme="majorHAnsi" w:hAnsiTheme="majorHAnsi" w:cs="Times New Roman"/>
                <w:sz w:val="22"/>
                <w:lang w:val="de-DE"/>
              </w:rPr>
              <w:t xml:space="preserve">Change in Hgb &gt; 20g/L: n (%) </w:t>
            </w:r>
            <w:r w:rsidRPr="006235F7">
              <w:rPr>
                <w:rFonts w:asciiTheme="majorHAnsi" w:hAnsiTheme="majorHAnsi" w:cs="Times New Roman"/>
                <w:sz w:val="22"/>
                <w:lang w:val="en-US"/>
              </w:rPr>
              <w:t>(95% CI)</w:t>
            </w:r>
          </w:p>
        </w:tc>
        <w:tc>
          <w:tcPr>
            <w:tcW w:w="1701" w:type="dxa"/>
            <w:shd w:val="clear" w:color="auto" w:fill="auto"/>
          </w:tcPr>
          <w:p w14:paraId="53ABBD4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11 (65) </w:t>
            </w:r>
          </w:p>
          <w:p w14:paraId="7E89B451" w14:textId="77777777" w:rsidR="00863F51" w:rsidRPr="006235F7" w:rsidRDefault="00863F51" w:rsidP="00633E0A">
            <w:pPr>
              <w:jc w:val="center"/>
              <w:rPr>
                <w:rFonts w:asciiTheme="majorHAnsi" w:hAnsiTheme="majorHAnsi" w:cs="Times New Roman"/>
                <w:sz w:val="22"/>
                <w:vertAlign w:val="superscript"/>
                <w:lang w:val="en-US"/>
              </w:rPr>
            </w:pPr>
            <w:r w:rsidRPr="006235F7">
              <w:rPr>
                <w:rFonts w:asciiTheme="majorHAnsi" w:hAnsiTheme="majorHAnsi" w:cs="Times New Roman"/>
                <w:sz w:val="22"/>
                <w:lang w:val="en-US"/>
              </w:rPr>
              <w:t>(38, 86)</w:t>
            </w:r>
            <w:r w:rsidRPr="006235F7">
              <w:rPr>
                <w:rFonts w:asciiTheme="majorHAnsi" w:hAnsiTheme="majorHAnsi" w:cs="Times New Roman"/>
                <w:sz w:val="22"/>
                <w:vertAlign w:val="superscript"/>
                <w:lang w:val="en-US"/>
              </w:rPr>
              <w:t>2</w:t>
            </w:r>
          </w:p>
        </w:tc>
        <w:tc>
          <w:tcPr>
            <w:tcW w:w="1701" w:type="dxa"/>
          </w:tcPr>
          <w:p w14:paraId="03D791F9"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13 (76) </w:t>
            </w:r>
          </w:p>
          <w:p w14:paraId="0007AB64"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(50, 93)</w:t>
            </w:r>
          </w:p>
        </w:tc>
        <w:tc>
          <w:tcPr>
            <w:tcW w:w="1560" w:type="dxa"/>
          </w:tcPr>
          <w:p w14:paraId="4146DC1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9 (45) </w:t>
            </w:r>
          </w:p>
          <w:p w14:paraId="56754F9E" w14:textId="77777777" w:rsidR="00863F51" w:rsidRPr="006235F7" w:rsidRDefault="00863F51" w:rsidP="00633E0A">
            <w:pPr>
              <w:jc w:val="center"/>
              <w:rPr>
                <w:rFonts w:asciiTheme="majorHAnsi" w:hAnsiTheme="majorHAnsi" w:cs="Times New Roman"/>
                <w:sz w:val="22"/>
                <w:vertAlign w:val="superscript"/>
                <w:lang w:val="en-US"/>
              </w:rPr>
            </w:pPr>
            <w:r w:rsidRPr="006235F7">
              <w:rPr>
                <w:rFonts w:asciiTheme="majorHAnsi" w:hAnsiTheme="majorHAnsi" w:cs="Times New Roman"/>
                <w:sz w:val="22"/>
                <w:lang w:val="en-US"/>
              </w:rPr>
              <w:t>(23, 68)</w:t>
            </w:r>
            <w:r w:rsidRPr="006235F7">
              <w:rPr>
                <w:rFonts w:asciiTheme="majorHAnsi" w:hAnsiTheme="majorHAnsi" w:cs="Times New Roman"/>
                <w:sz w:val="22"/>
                <w:vertAlign w:val="superscript"/>
                <w:lang w:val="en-US"/>
              </w:rPr>
              <w:t>3</w:t>
            </w:r>
          </w:p>
        </w:tc>
        <w:tc>
          <w:tcPr>
            <w:tcW w:w="1559" w:type="dxa"/>
          </w:tcPr>
          <w:p w14:paraId="6D7C46E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13 (65) </w:t>
            </w:r>
          </w:p>
          <w:p w14:paraId="53B8D1FA"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(41, 85)</w:t>
            </w:r>
          </w:p>
        </w:tc>
      </w:tr>
      <w:tr w:rsidR="00863F51" w:rsidRPr="006235F7" w14:paraId="6784E76F" w14:textId="77777777" w:rsidTr="00AE2D6F">
        <w:trPr>
          <w:cantSplit/>
        </w:trPr>
        <w:tc>
          <w:tcPr>
            <w:tcW w:w="3394" w:type="dxa"/>
          </w:tcPr>
          <w:p w14:paraId="10C4D8EF" w14:textId="77777777" w:rsidR="00863F51" w:rsidRPr="006235F7" w:rsidRDefault="00863F51" w:rsidP="003A40CD">
            <w:pPr>
              <w:rPr>
                <w:rFonts w:asciiTheme="majorHAnsi" w:hAnsiTheme="majorHAnsi" w:cs="Times New Roman"/>
                <w:sz w:val="22"/>
                <w:lang w:val="en-US"/>
              </w:rPr>
            </w:pPr>
            <w:proofErr w:type="spellStart"/>
            <w:r w:rsidRPr="006235F7">
              <w:rPr>
                <w:rFonts w:asciiTheme="majorHAnsi" w:hAnsiTheme="majorHAnsi" w:cs="Times New Roman"/>
                <w:sz w:val="22"/>
                <w:lang w:val="en-US"/>
              </w:rPr>
              <w:t>Haematologic</w:t>
            </w:r>
            <w:proofErr w:type="spellEnd"/>
            <w:r w:rsidRPr="006235F7">
              <w:rPr>
                <w:rFonts w:asciiTheme="majorHAnsi" w:hAnsiTheme="majorHAnsi" w:cs="Times New Roman"/>
                <w:sz w:val="22"/>
                <w:lang w:val="en-US"/>
              </w:rPr>
              <w:t xml:space="preserve"> </w:t>
            </w:r>
            <w:proofErr w:type="spellStart"/>
            <w:r w:rsidR="00967B24">
              <w:rPr>
                <w:rFonts w:asciiTheme="majorHAnsi" w:hAnsiTheme="majorHAnsi" w:cs="Times New Roman"/>
                <w:sz w:val="22"/>
                <w:lang w:val="en-US"/>
              </w:rPr>
              <w:t>normalisation</w:t>
            </w:r>
            <w:proofErr w:type="spellEnd"/>
            <w:r w:rsidRPr="006235F7">
              <w:rPr>
                <w:rFonts w:asciiTheme="majorHAnsi" w:hAnsiTheme="majorHAnsi" w:cs="Times New Roman"/>
                <w:sz w:val="22"/>
                <w:lang w:val="en-US"/>
              </w:rPr>
              <w:t>: n (%) (95% CI)</w:t>
            </w:r>
          </w:p>
        </w:tc>
        <w:tc>
          <w:tcPr>
            <w:tcW w:w="1701" w:type="dxa"/>
            <w:shd w:val="clear" w:color="auto" w:fill="auto"/>
          </w:tcPr>
          <w:p w14:paraId="6AC2FCE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13 (76) </w:t>
            </w:r>
          </w:p>
          <w:p w14:paraId="556CE69C"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(50, 93)</w:t>
            </w:r>
          </w:p>
        </w:tc>
        <w:tc>
          <w:tcPr>
            <w:tcW w:w="1701" w:type="dxa"/>
          </w:tcPr>
          <w:p w14:paraId="4DD7CD75"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15 (88) </w:t>
            </w:r>
          </w:p>
          <w:p w14:paraId="6AF1D2B9"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(64, 99)</w:t>
            </w:r>
          </w:p>
        </w:tc>
        <w:tc>
          <w:tcPr>
            <w:tcW w:w="1560" w:type="dxa"/>
          </w:tcPr>
          <w:p w14:paraId="5A2DFF8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18 (90) </w:t>
            </w:r>
          </w:p>
          <w:p w14:paraId="31B02B9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(68, 99)</w:t>
            </w:r>
          </w:p>
        </w:tc>
        <w:tc>
          <w:tcPr>
            <w:tcW w:w="1559" w:type="dxa"/>
          </w:tcPr>
          <w:p w14:paraId="4E861CDF"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18 (90) </w:t>
            </w:r>
          </w:p>
          <w:p w14:paraId="0A0E7400"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(68, 99)</w:t>
            </w:r>
          </w:p>
        </w:tc>
      </w:tr>
      <w:tr w:rsidR="00863F51" w:rsidRPr="006235F7" w14:paraId="44F0E208" w14:textId="77777777" w:rsidTr="00AE2D6F">
        <w:trPr>
          <w:cantSplit/>
        </w:trPr>
        <w:tc>
          <w:tcPr>
            <w:tcW w:w="3394" w:type="dxa"/>
          </w:tcPr>
          <w:p w14:paraId="70AF7971" w14:textId="77777777" w:rsidR="00863F51" w:rsidRPr="006235F7" w:rsidRDefault="00863F51" w:rsidP="00633E0A">
            <w:pPr>
              <w:rPr>
                <w:rFonts w:asciiTheme="majorHAnsi" w:hAnsiTheme="majorHAnsi" w:cs="Times New Roman"/>
                <w:sz w:val="22"/>
                <w:lang w:val="fr-CH"/>
              </w:rPr>
            </w:pPr>
            <w:r w:rsidRPr="006235F7">
              <w:rPr>
                <w:rFonts w:asciiTheme="majorHAnsi" w:hAnsiTheme="majorHAnsi" w:cs="Times New Roman"/>
                <w:sz w:val="22"/>
                <w:lang w:val="pt-BR"/>
              </w:rPr>
              <w:t xml:space="preserve">Complete TMA response: n (%) </w:t>
            </w:r>
            <w:r w:rsidRPr="006235F7">
              <w:rPr>
                <w:rFonts w:asciiTheme="majorHAnsi" w:hAnsiTheme="majorHAnsi" w:cs="Times New Roman"/>
                <w:sz w:val="22"/>
                <w:lang w:val="fr-CH"/>
              </w:rPr>
              <w:t>(95% CI)</w:t>
            </w:r>
          </w:p>
        </w:tc>
        <w:tc>
          <w:tcPr>
            <w:tcW w:w="1701" w:type="dxa"/>
            <w:shd w:val="clear" w:color="auto" w:fill="auto"/>
          </w:tcPr>
          <w:p w14:paraId="16D2E86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11 (65) </w:t>
            </w:r>
          </w:p>
          <w:p w14:paraId="34297C5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(38, 86)</w:t>
            </w:r>
          </w:p>
        </w:tc>
        <w:tc>
          <w:tcPr>
            <w:tcW w:w="1701" w:type="dxa"/>
          </w:tcPr>
          <w:p w14:paraId="369340A3"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13 (76) </w:t>
            </w:r>
          </w:p>
          <w:p w14:paraId="4A2387CE"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(50, 93)</w:t>
            </w:r>
          </w:p>
        </w:tc>
        <w:tc>
          <w:tcPr>
            <w:tcW w:w="1560" w:type="dxa"/>
          </w:tcPr>
          <w:p w14:paraId="501DB477"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5 (25) </w:t>
            </w:r>
          </w:p>
          <w:p w14:paraId="1EA10FC6"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(9, 49)</w:t>
            </w:r>
          </w:p>
        </w:tc>
        <w:tc>
          <w:tcPr>
            <w:tcW w:w="1559" w:type="dxa"/>
          </w:tcPr>
          <w:p w14:paraId="23E6F0E7"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 xml:space="preserve">11 (55) </w:t>
            </w:r>
          </w:p>
          <w:p w14:paraId="6DB49CD1" w14:textId="77777777" w:rsidR="00863F51" w:rsidRPr="006235F7" w:rsidRDefault="00863F51" w:rsidP="00633E0A">
            <w:pPr>
              <w:jc w:val="center"/>
              <w:rPr>
                <w:rFonts w:asciiTheme="majorHAnsi" w:hAnsiTheme="majorHAnsi" w:cs="Times New Roman"/>
                <w:sz w:val="22"/>
                <w:lang w:val="en-US"/>
              </w:rPr>
            </w:pPr>
            <w:r w:rsidRPr="006235F7">
              <w:rPr>
                <w:rFonts w:asciiTheme="majorHAnsi" w:hAnsiTheme="majorHAnsi" w:cs="Times New Roman"/>
                <w:sz w:val="22"/>
                <w:lang w:val="en-US"/>
              </w:rPr>
              <w:t>(32, 77)</w:t>
            </w:r>
          </w:p>
        </w:tc>
      </w:tr>
    </w:tbl>
    <w:p w14:paraId="681C1A28" w14:textId="77777777" w:rsidR="00863F51" w:rsidRPr="00AE2D6F" w:rsidRDefault="00863F51" w:rsidP="00863F51">
      <w:pPr>
        <w:ind w:left="144" w:hanging="144"/>
        <w:jc w:val="both"/>
        <w:rPr>
          <w:rFonts w:asciiTheme="majorHAnsi" w:hAnsiTheme="majorHAnsi" w:cs="Times New Roman"/>
          <w:i/>
          <w:sz w:val="20"/>
          <w:szCs w:val="20"/>
          <w:lang w:val="en-US"/>
        </w:rPr>
      </w:pPr>
      <w:r w:rsidRPr="00AE2D6F">
        <w:rPr>
          <w:rFonts w:asciiTheme="majorHAnsi" w:hAnsiTheme="majorHAnsi" w:cs="Times New Roman"/>
          <w:i/>
          <w:sz w:val="20"/>
          <w:szCs w:val="20"/>
          <w:vertAlign w:val="superscript"/>
          <w:lang w:val="en-US"/>
        </w:rPr>
        <w:t>1</w:t>
      </w:r>
      <w:r w:rsidRPr="00AE2D6F">
        <w:rPr>
          <w:rFonts w:asciiTheme="majorHAnsi" w:hAnsiTheme="majorHAnsi" w:cs="Times New Roman"/>
          <w:i/>
          <w:sz w:val="20"/>
          <w:szCs w:val="20"/>
          <w:lang w:val="en-US"/>
        </w:rPr>
        <w:tab/>
        <w:t>At data cut-off (20 April 2012)</w:t>
      </w:r>
    </w:p>
    <w:p w14:paraId="192454CA" w14:textId="07F8C002" w:rsidR="00863F51" w:rsidRPr="00AE2D6F" w:rsidRDefault="00863F51" w:rsidP="00863F51">
      <w:pPr>
        <w:ind w:left="144" w:hanging="144"/>
        <w:jc w:val="both"/>
        <w:rPr>
          <w:rFonts w:asciiTheme="majorHAnsi" w:hAnsiTheme="majorHAnsi" w:cs="Times New Roman"/>
          <w:i/>
          <w:sz w:val="20"/>
          <w:szCs w:val="20"/>
          <w:lang w:val="en-US"/>
        </w:rPr>
      </w:pPr>
      <w:r w:rsidRPr="00AE2D6F">
        <w:rPr>
          <w:rFonts w:asciiTheme="majorHAnsi" w:hAnsiTheme="majorHAnsi" w:cs="Times New Roman"/>
          <w:i/>
          <w:sz w:val="20"/>
          <w:szCs w:val="20"/>
          <w:vertAlign w:val="superscript"/>
          <w:lang w:val="en-US"/>
        </w:rPr>
        <w:t>2</w:t>
      </w:r>
      <w:r w:rsidRPr="00AE2D6F">
        <w:rPr>
          <w:rFonts w:asciiTheme="majorHAnsi" w:hAnsiTheme="majorHAnsi" w:cs="Times New Roman"/>
          <w:i/>
          <w:sz w:val="20"/>
          <w:szCs w:val="20"/>
          <w:vertAlign w:val="superscript"/>
          <w:lang w:val="en-US"/>
        </w:rPr>
        <w:tab/>
      </w:r>
      <w:r w:rsidRPr="00AE2D6F">
        <w:rPr>
          <w:rFonts w:asciiTheme="majorHAnsi" w:hAnsiTheme="majorHAnsi" w:cs="Times New Roman"/>
          <w:i/>
          <w:sz w:val="20"/>
          <w:szCs w:val="20"/>
          <w:lang w:val="en-US"/>
        </w:rPr>
        <w:t xml:space="preserve">Study C08-002: 3 patients received ESA which was discontinued after </w:t>
      </w:r>
      <w:r w:rsidR="001F14D3">
        <w:rPr>
          <w:rFonts w:asciiTheme="majorHAnsi" w:hAnsiTheme="majorHAnsi" w:cs="Times New Roman"/>
          <w:i/>
          <w:sz w:val="20"/>
          <w:szCs w:val="20"/>
          <w:lang w:val="en-US"/>
        </w:rPr>
        <w:t>Soliris</w:t>
      </w:r>
      <w:r w:rsidRPr="00AE2D6F">
        <w:rPr>
          <w:rFonts w:asciiTheme="majorHAnsi" w:hAnsiTheme="majorHAnsi" w:cs="Times New Roman"/>
          <w:i/>
          <w:sz w:val="20"/>
          <w:szCs w:val="20"/>
          <w:lang w:val="en-US"/>
        </w:rPr>
        <w:t xml:space="preserve"> initiation.</w:t>
      </w:r>
    </w:p>
    <w:p w14:paraId="21D57E36" w14:textId="6CEAC61F" w:rsidR="00863F51" w:rsidRPr="00AE2D6F" w:rsidRDefault="00863F51" w:rsidP="00863F51">
      <w:pPr>
        <w:ind w:left="144" w:hanging="144"/>
        <w:jc w:val="both"/>
        <w:rPr>
          <w:rFonts w:asciiTheme="majorHAnsi" w:hAnsiTheme="majorHAnsi" w:cs="Times New Roman"/>
          <w:i/>
          <w:sz w:val="20"/>
          <w:szCs w:val="20"/>
          <w:lang w:val="en-US"/>
        </w:rPr>
      </w:pPr>
      <w:r w:rsidRPr="00AE2D6F">
        <w:rPr>
          <w:rFonts w:asciiTheme="majorHAnsi" w:hAnsiTheme="majorHAnsi" w:cs="Times New Roman"/>
          <w:i/>
          <w:sz w:val="20"/>
          <w:szCs w:val="20"/>
          <w:vertAlign w:val="superscript"/>
          <w:lang w:val="en-US"/>
        </w:rPr>
        <w:t>3</w:t>
      </w:r>
      <w:r w:rsidRPr="00AE2D6F">
        <w:rPr>
          <w:rFonts w:asciiTheme="majorHAnsi" w:hAnsiTheme="majorHAnsi" w:cs="Times New Roman"/>
          <w:i/>
          <w:sz w:val="20"/>
          <w:szCs w:val="20"/>
          <w:vertAlign w:val="superscript"/>
          <w:lang w:val="en-US"/>
        </w:rPr>
        <w:tab/>
      </w:r>
      <w:r w:rsidRPr="00AE2D6F">
        <w:rPr>
          <w:rFonts w:asciiTheme="majorHAnsi" w:hAnsiTheme="majorHAnsi" w:cs="Times New Roman"/>
          <w:i/>
          <w:sz w:val="20"/>
          <w:szCs w:val="20"/>
          <w:lang w:val="en-US"/>
        </w:rPr>
        <w:t xml:space="preserve">Study C08-003: 8 patients received ESA which was discontinued in 3 of them during </w:t>
      </w:r>
      <w:r w:rsidR="001F14D3">
        <w:rPr>
          <w:rFonts w:asciiTheme="majorHAnsi" w:hAnsiTheme="majorHAnsi" w:cs="Times New Roman"/>
          <w:i/>
          <w:sz w:val="20"/>
          <w:szCs w:val="20"/>
          <w:lang w:val="en-US"/>
        </w:rPr>
        <w:t>Soliris</w:t>
      </w:r>
      <w:r w:rsidRPr="00AE2D6F">
        <w:rPr>
          <w:rFonts w:asciiTheme="majorHAnsi" w:hAnsiTheme="majorHAnsi" w:cs="Times New Roman"/>
          <w:i/>
          <w:sz w:val="20"/>
          <w:szCs w:val="20"/>
          <w:lang w:val="en-US"/>
        </w:rPr>
        <w:t xml:space="preserve"> therapy. </w:t>
      </w:r>
    </w:p>
    <w:p w14:paraId="16579345" w14:textId="77777777" w:rsidR="00863F51" w:rsidRPr="00DE65F2" w:rsidRDefault="00863F51" w:rsidP="001B4216">
      <w:pPr>
        <w:tabs>
          <w:tab w:val="left" w:pos="567"/>
        </w:tabs>
        <w:spacing w:before="240"/>
        <w:rPr>
          <w:rFonts w:asciiTheme="majorHAnsi" w:hAnsiTheme="majorHAnsi" w:cs="Times New Roman"/>
          <w:i/>
          <w:szCs w:val="24"/>
          <w:u w:val="single"/>
        </w:rPr>
      </w:pPr>
      <w:r w:rsidRPr="00DE65F2">
        <w:rPr>
          <w:rFonts w:asciiTheme="majorHAnsi" w:hAnsiTheme="majorHAnsi" w:cs="Times New Roman"/>
          <w:i/>
          <w:szCs w:val="24"/>
          <w:u w:val="single"/>
        </w:rPr>
        <w:t>C10-004</w:t>
      </w:r>
    </w:p>
    <w:p w14:paraId="38B973A4" w14:textId="05BF725A" w:rsidR="00863F51" w:rsidRPr="0039396F" w:rsidRDefault="00863F51" w:rsidP="00863F51">
      <w:pPr>
        <w:autoSpaceDE w:val="0"/>
        <w:autoSpaceDN w:val="0"/>
        <w:adjustRightInd w:val="0"/>
        <w:rPr>
          <w:rFonts w:asciiTheme="majorHAnsi" w:hAnsiTheme="majorHAnsi" w:cs="Times New Roman"/>
          <w:szCs w:val="24"/>
          <w:lang w:val="en-US"/>
        </w:rPr>
      </w:pPr>
      <w:r w:rsidRPr="0039396F">
        <w:rPr>
          <w:rFonts w:asciiTheme="majorHAnsi" w:hAnsiTheme="majorHAnsi" w:cs="Times New Roman"/>
          <w:i/>
          <w:szCs w:val="24"/>
        </w:rPr>
        <w:t>Study C10-004</w:t>
      </w:r>
      <w:r w:rsidRPr="0039396F">
        <w:rPr>
          <w:rFonts w:asciiTheme="majorHAnsi" w:hAnsiTheme="majorHAnsi" w:cs="Times New Roman"/>
          <w:szCs w:val="24"/>
        </w:rPr>
        <w:t xml:space="preserve"> enrolled 41 patients </w:t>
      </w:r>
      <w:r w:rsidRPr="0039396F">
        <w:rPr>
          <w:rFonts w:asciiTheme="majorHAnsi" w:hAnsiTheme="majorHAnsi" w:cs="Times New Roman"/>
          <w:szCs w:val="24"/>
          <w:lang w:val="en-US"/>
        </w:rPr>
        <w:t xml:space="preserve">who displayed signs of thrombotic microangiopathy (TMA). In order to qualify for enrolment, patients were required to have a platelet count &lt; lower limit of normal range, evidence of </w:t>
      </w:r>
      <w:proofErr w:type="spellStart"/>
      <w:r w:rsidRPr="0039396F">
        <w:rPr>
          <w:rFonts w:asciiTheme="majorHAnsi" w:hAnsiTheme="majorHAnsi" w:cs="Times New Roman"/>
          <w:szCs w:val="24"/>
          <w:lang w:val="en-US"/>
        </w:rPr>
        <w:t>haemolysis</w:t>
      </w:r>
      <w:proofErr w:type="spellEnd"/>
      <w:r w:rsidRPr="0039396F">
        <w:rPr>
          <w:rFonts w:asciiTheme="majorHAnsi" w:hAnsiTheme="majorHAnsi" w:cs="Times New Roman"/>
          <w:szCs w:val="24"/>
          <w:lang w:val="en-US"/>
        </w:rPr>
        <w:t xml:space="preserve"> such as an elevation in serum LDH, and serum creatinine above the upper limits of normal, without the need for chronic dialysis. The median patient age was 35 (range: 18 to 80 years). All patients enrolled in </w:t>
      </w:r>
      <w:r w:rsidRPr="0039396F">
        <w:rPr>
          <w:rFonts w:asciiTheme="majorHAnsi" w:hAnsiTheme="majorHAnsi" w:cs="Times New Roman"/>
          <w:i/>
          <w:szCs w:val="24"/>
          <w:lang w:val="en-US"/>
        </w:rPr>
        <w:t>Study C10-004</w:t>
      </w:r>
      <w:r w:rsidRPr="0039396F">
        <w:rPr>
          <w:rFonts w:asciiTheme="majorHAnsi" w:hAnsiTheme="majorHAnsi" w:cs="Times New Roman"/>
          <w:szCs w:val="24"/>
          <w:lang w:val="en-US"/>
        </w:rPr>
        <w:t xml:space="preserve"> had an ADAMTS-13 level above 5%. Fifty-one percent of patients had an identified complement regulatory factor mutation or auto-antibody. A total of 35 patients received PE/PI prior to </w:t>
      </w:r>
      <w:r w:rsidR="00B249B7" w:rsidRPr="0039396F">
        <w:rPr>
          <w:rFonts w:asciiTheme="majorHAnsi" w:hAnsiTheme="majorHAnsi" w:cs="Times New Roman"/>
          <w:szCs w:val="24"/>
        </w:rPr>
        <w:t>Soliris</w:t>
      </w:r>
      <w:r w:rsidRPr="0039396F">
        <w:rPr>
          <w:rFonts w:asciiTheme="majorHAnsi" w:hAnsiTheme="majorHAnsi" w:cs="Times New Roman"/>
          <w:szCs w:val="24"/>
          <w:lang w:val="en-US"/>
        </w:rPr>
        <w:t xml:space="preserve">. </w:t>
      </w:r>
      <w:r w:rsidR="003C187B">
        <w:rPr>
          <w:rFonts w:asciiTheme="majorHAnsi" w:hAnsiTheme="majorHAnsi" w:cs="Times New Roman"/>
          <w:szCs w:val="24"/>
          <w:lang w:val="en-US"/>
        </w:rPr>
        <w:t xml:space="preserve"> </w:t>
      </w:r>
      <w:r w:rsidR="00474895">
        <w:rPr>
          <w:rFonts w:asciiTheme="majorHAnsi" w:hAnsiTheme="majorHAnsi" w:cs="Times New Roman"/>
          <w:szCs w:val="24"/>
          <w:lang w:val="en-US"/>
        </w:rPr>
        <w:fldChar w:fldCharType="begin"/>
      </w:r>
      <w:r w:rsidR="00474895">
        <w:rPr>
          <w:rFonts w:asciiTheme="majorHAnsi" w:hAnsiTheme="majorHAnsi" w:cs="Times New Roman"/>
          <w:szCs w:val="24"/>
          <w:lang w:val="en-US"/>
        </w:rPr>
        <w:instrText xml:space="preserve"> REF _Ref18592197 \h </w:instrText>
      </w:r>
      <w:r w:rsidR="00474895">
        <w:rPr>
          <w:rFonts w:asciiTheme="majorHAnsi" w:hAnsiTheme="majorHAnsi" w:cs="Times New Roman"/>
          <w:szCs w:val="24"/>
          <w:lang w:val="en-US"/>
        </w:rPr>
      </w:r>
      <w:r w:rsidR="00474895">
        <w:rPr>
          <w:rFonts w:asciiTheme="majorHAnsi" w:hAnsiTheme="majorHAnsi" w:cs="Times New Roman"/>
          <w:szCs w:val="24"/>
          <w:lang w:val="en-US"/>
        </w:rPr>
        <w:fldChar w:fldCharType="separate"/>
      </w:r>
      <w:r w:rsidR="00AE6672">
        <w:t xml:space="preserve">Table </w:t>
      </w:r>
      <w:r w:rsidR="00AE6672">
        <w:rPr>
          <w:noProof/>
        </w:rPr>
        <w:t>14</w:t>
      </w:r>
      <w:r w:rsidR="00474895">
        <w:rPr>
          <w:rFonts w:asciiTheme="majorHAnsi" w:hAnsiTheme="majorHAnsi" w:cs="Times New Roman"/>
          <w:szCs w:val="24"/>
          <w:lang w:val="en-US"/>
        </w:rPr>
        <w:fldChar w:fldCharType="end"/>
      </w:r>
      <w:r w:rsidRPr="0039396F">
        <w:rPr>
          <w:rFonts w:asciiTheme="majorHAnsi" w:hAnsiTheme="majorHAnsi" w:cs="Times New Roman"/>
          <w:szCs w:val="24"/>
          <w:lang w:val="en-US"/>
        </w:rPr>
        <w:t xml:space="preserve"> </w:t>
      </w:r>
      <w:proofErr w:type="spellStart"/>
      <w:r w:rsidR="005945C3" w:rsidRPr="0039396F">
        <w:rPr>
          <w:rFonts w:asciiTheme="majorHAnsi" w:hAnsiTheme="majorHAnsi" w:cs="Times New Roman"/>
          <w:szCs w:val="24"/>
          <w:lang w:val="en-US"/>
        </w:rPr>
        <w:t>summari</w:t>
      </w:r>
      <w:r w:rsidR="005945C3">
        <w:rPr>
          <w:rFonts w:asciiTheme="majorHAnsi" w:hAnsiTheme="majorHAnsi" w:cs="Times New Roman"/>
          <w:szCs w:val="24"/>
          <w:lang w:val="en-US"/>
        </w:rPr>
        <w:t>s</w:t>
      </w:r>
      <w:r w:rsidR="005945C3" w:rsidRPr="0039396F">
        <w:rPr>
          <w:rFonts w:asciiTheme="majorHAnsi" w:hAnsiTheme="majorHAnsi" w:cs="Times New Roman"/>
          <w:szCs w:val="24"/>
          <w:lang w:val="en-US"/>
        </w:rPr>
        <w:t>es</w:t>
      </w:r>
      <w:proofErr w:type="spellEnd"/>
      <w:r w:rsidR="005945C3" w:rsidRPr="0039396F">
        <w:rPr>
          <w:rFonts w:asciiTheme="majorHAnsi" w:hAnsiTheme="majorHAnsi" w:cs="Times New Roman"/>
          <w:szCs w:val="24"/>
          <w:lang w:val="en-US"/>
        </w:rPr>
        <w:t xml:space="preserve"> </w:t>
      </w:r>
      <w:r w:rsidRPr="0039396F">
        <w:rPr>
          <w:rFonts w:asciiTheme="majorHAnsi" w:hAnsiTheme="majorHAnsi" w:cs="Times New Roman"/>
          <w:szCs w:val="24"/>
          <w:lang w:val="en-US"/>
        </w:rPr>
        <w:t xml:space="preserve">the key baseline clinical and disease-related characteristics of patients enrolled in </w:t>
      </w:r>
      <w:r w:rsidRPr="0039396F">
        <w:rPr>
          <w:rFonts w:asciiTheme="majorHAnsi" w:hAnsiTheme="majorHAnsi" w:cs="Times New Roman"/>
          <w:i/>
          <w:szCs w:val="24"/>
          <w:lang w:val="en-US"/>
        </w:rPr>
        <w:t>Study C10-004</w:t>
      </w:r>
      <w:r w:rsidRPr="0039396F">
        <w:rPr>
          <w:rFonts w:asciiTheme="majorHAnsi" w:hAnsiTheme="majorHAnsi" w:cs="Times New Roman"/>
          <w:szCs w:val="24"/>
          <w:lang w:val="en-US"/>
        </w:rPr>
        <w:t>.</w:t>
      </w:r>
    </w:p>
    <w:p w14:paraId="3D962F8C" w14:textId="4A090AF5" w:rsidR="00863F51" w:rsidRPr="00BE4695" w:rsidRDefault="00474895" w:rsidP="00AE2D6F">
      <w:pPr>
        <w:pStyle w:val="Caption"/>
        <w:spacing w:after="120"/>
        <w:jc w:val="left"/>
        <w:rPr>
          <w:rFonts w:asciiTheme="majorHAnsi" w:hAnsiTheme="majorHAnsi"/>
          <w:b w:val="0"/>
          <w:lang w:val="en-AU"/>
        </w:rPr>
      </w:pPr>
      <w:bookmarkStart w:id="19" w:name="_Ref18592197"/>
      <w:r>
        <w:t xml:space="preserve">Table </w:t>
      </w:r>
      <w:r w:rsidR="00345186">
        <w:fldChar w:fldCharType="begin"/>
      </w:r>
      <w:r w:rsidR="00345186">
        <w:instrText xml:space="preserve"> SEQ Table \* ARABIC </w:instrText>
      </w:r>
      <w:r w:rsidR="00345186">
        <w:fldChar w:fldCharType="separate"/>
      </w:r>
      <w:r w:rsidR="00345186">
        <w:rPr>
          <w:noProof/>
        </w:rPr>
        <w:t>14</w:t>
      </w:r>
      <w:r w:rsidR="00345186">
        <w:fldChar w:fldCharType="end"/>
      </w:r>
      <w:bookmarkEnd w:id="19"/>
      <w:r>
        <w:t xml:space="preserve">: </w:t>
      </w:r>
      <w:r w:rsidR="00863F51" w:rsidRPr="00BE4695">
        <w:rPr>
          <w:rFonts w:asciiTheme="majorHAnsi" w:hAnsiTheme="majorHAnsi"/>
          <w:lang w:val="en-AU"/>
        </w:rPr>
        <w:t>Baseline Characteristics of Pa</w:t>
      </w:r>
      <w:r w:rsidR="003C187B" w:rsidRPr="00BE4695">
        <w:rPr>
          <w:rFonts w:asciiTheme="majorHAnsi" w:hAnsiTheme="majorHAnsi"/>
          <w:lang w:val="en-AU"/>
        </w:rPr>
        <w:t xml:space="preserve">tients Enrolled in Study </w:t>
      </w:r>
      <w:r w:rsidR="003C187B" w:rsidRPr="00AE2D6F">
        <w:rPr>
          <w:rFonts w:asciiTheme="majorHAnsi" w:hAnsiTheme="majorHAnsi"/>
          <w:i/>
          <w:lang w:val="en-AU"/>
        </w:rPr>
        <w:t>C10-004</w:t>
      </w:r>
    </w:p>
    <w:tbl>
      <w:tblPr>
        <w:tblW w:w="47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7"/>
        <w:gridCol w:w="1855"/>
      </w:tblGrid>
      <w:tr w:rsidR="00863F51" w:rsidRPr="0039396F" w14:paraId="73157811" w14:textId="77777777" w:rsidTr="00F00B64">
        <w:trPr>
          <w:cantSplit/>
          <w:trHeight w:val="493"/>
          <w:tblHeader/>
          <w:jc w:val="center"/>
        </w:trPr>
        <w:tc>
          <w:tcPr>
            <w:tcW w:w="6914" w:type="dxa"/>
            <w:shd w:val="clear" w:color="auto" w:fill="auto"/>
            <w:vAlign w:val="center"/>
          </w:tcPr>
          <w:p w14:paraId="45AAE6F3" w14:textId="77777777" w:rsidR="00863F51" w:rsidRPr="0039396F" w:rsidRDefault="00863F51" w:rsidP="006C5055">
            <w:pPr>
              <w:pStyle w:val="C-TableHeader"/>
              <w:tabs>
                <w:tab w:val="left" w:pos="567"/>
              </w:tabs>
              <w:spacing w:before="40" w:after="40" w:line="260" w:lineRule="exact"/>
              <w:rPr>
                <w:rFonts w:asciiTheme="majorHAnsi" w:hAnsiTheme="majorHAnsi"/>
                <w:szCs w:val="22"/>
                <w:lang w:val="en-GB"/>
              </w:rPr>
            </w:pPr>
            <w:r w:rsidRPr="0039396F">
              <w:rPr>
                <w:rFonts w:asciiTheme="majorHAnsi" w:hAnsiTheme="majorHAnsi"/>
                <w:szCs w:val="22"/>
                <w:lang w:val="en-GB"/>
              </w:rPr>
              <w:t>Parameter</w:t>
            </w:r>
          </w:p>
        </w:tc>
        <w:tc>
          <w:tcPr>
            <w:tcW w:w="1899" w:type="dxa"/>
            <w:shd w:val="clear" w:color="auto" w:fill="auto"/>
            <w:vAlign w:val="center"/>
          </w:tcPr>
          <w:p w14:paraId="486AD0FE" w14:textId="77777777" w:rsidR="00863F51" w:rsidRPr="0039396F" w:rsidRDefault="00863F51" w:rsidP="006C5055">
            <w:pPr>
              <w:pStyle w:val="C-TableHeader"/>
              <w:spacing w:before="40" w:after="40"/>
              <w:jc w:val="center"/>
              <w:rPr>
                <w:rFonts w:asciiTheme="majorHAnsi" w:hAnsiTheme="majorHAnsi"/>
                <w:szCs w:val="22"/>
                <w:lang w:val="en-GB"/>
              </w:rPr>
            </w:pPr>
            <w:r w:rsidRPr="0039396F">
              <w:rPr>
                <w:rFonts w:asciiTheme="majorHAnsi" w:hAnsiTheme="majorHAnsi"/>
                <w:szCs w:val="22"/>
                <w:lang w:val="en-GB"/>
              </w:rPr>
              <w:t xml:space="preserve">Study C10-004  </w:t>
            </w:r>
          </w:p>
          <w:p w14:paraId="44E07C83" w14:textId="77777777" w:rsidR="00863F51" w:rsidRPr="0039396F" w:rsidRDefault="00863F51" w:rsidP="006C5055">
            <w:pPr>
              <w:pStyle w:val="C-TableHeader"/>
              <w:tabs>
                <w:tab w:val="left" w:pos="567"/>
              </w:tabs>
              <w:spacing w:before="40" w:after="40" w:line="260" w:lineRule="exact"/>
              <w:jc w:val="center"/>
              <w:rPr>
                <w:rFonts w:asciiTheme="majorHAnsi" w:hAnsiTheme="majorHAnsi"/>
                <w:szCs w:val="22"/>
                <w:lang w:val="en-GB"/>
              </w:rPr>
            </w:pPr>
            <w:r w:rsidRPr="0039396F">
              <w:rPr>
                <w:rFonts w:asciiTheme="majorHAnsi" w:hAnsiTheme="majorHAnsi"/>
                <w:szCs w:val="22"/>
                <w:lang w:val="en-GB"/>
              </w:rPr>
              <w:t>n=41</w:t>
            </w:r>
          </w:p>
        </w:tc>
      </w:tr>
      <w:tr w:rsidR="00863F51" w:rsidRPr="0039396F" w14:paraId="0AF7770E" w14:textId="77777777" w:rsidTr="00F00B64">
        <w:trPr>
          <w:cantSplit/>
          <w:jc w:val="center"/>
        </w:trPr>
        <w:tc>
          <w:tcPr>
            <w:tcW w:w="6914" w:type="dxa"/>
            <w:tcBorders>
              <w:bottom w:val="single" w:sz="4" w:space="0" w:color="auto"/>
            </w:tcBorders>
            <w:shd w:val="clear" w:color="auto" w:fill="auto"/>
          </w:tcPr>
          <w:p w14:paraId="19AC1326" w14:textId="77777777" w:rsidR="00863F51" w:rsidRPr="0039396F" w:rsidRDefault="00863F51" w:rsidP="006C5055">
            <w:pPr>
              <w:pStyle w:val="C-BodyText"/>
              <w:spacing w:before="40" w:after="40"/>
              <w:rPr>
                <w:rFonts w:asciiTheme="majorHAnsi" w:hAnsiTheme="majorHAnsi"/>
                <w:sz w:val="22"/>
                <w:szCs w:val="22"/>
                <w:lang w:val="en-GB"/>
              </w:rPr>
            </w:pPr>
            <w:r w:rsidRPr="0039396F">
              <w:rPr>
                <w:rFonts w:asciiTheme="majorHAnsi" w:hAnsiTheme="majorHAnsi"/>
                <w:sz w:val="22"/>
                <w:szCs w:val="22"/>
                <w:lang w:val="en-GB"/>
              </w:rPr>
              <w:t>Time from aHUS diagnosis to first study dose (months), median (min, max)</w:t>
            </w:r>
          </w:p>
        </w:tc>
        <w:tc>
          <w:tcPr>
            <w:tcW w:w="1899" w:type="dxa"/>
            <w:tcBorders>
              <w:bottom w:val="single" w:sz="4" w:space="0" w:color="auto"/>
            </w:tcBorders>
            <w:shd w:val="clear" w:color="auto" w:fill="auto"/>
            <w:vAlign w:val="center"/>
          </w:tcPr>
          <w:p w14:paraId="79674CBA" w14:textId="77777777" w:rsidR="00863F51" w:rsidRPr="0039396F" w:rsidRDefault="00863F51" w:rsidP="006C5055">
            <w:pPr>
              <w:pStyle w:val="C-BodyText"/>
              <w:spacing w:before="40" w:after="40"/>
              <w:jc w:val="center"/>
              <w:rPr>
                <w:rFonts w:asciiTheme="majorHAnsi" w:hAnsiTheme="majorHAnsi"/>
                <w:sz w:val="22"/>
                <w:szCs w:val="22"/>
                <w:lang w:val="en-GB"/>
              </w:rPr>
            </w:pPr>
            <w:r w:rsidRPr="0039396F">
              <w:rPr>
                <w:rFonts w:asciiTheme="majorHAnsi" w:hAnsiTheme="majorHAnsi"/>
                <w:sz w:val="22"/>
                <w:szCs w:val="22"/>
                <w:lang w:val="en-GB"/>
              </w:rPr>
              <w:t>0.79 (0.03, 311)</w:t>
            </w:r>
          </w:p>
        </w:tc>
      </w:tr>
      <w:tr w:rsidR="00863F51" w:rsidRPr="0039396F" w14:paraId="621F99B1" w14:textId="77777777" w:rsidTr="00F00B64">
        <w:trPr>
          <w:cantSplit/>
          <w:jc w:val="center"/>
        </w:trPr>
        <w:tc>
          <w:tcPr>
            <w:tcW w:w="6914" w:type="dxa"/>
            <w:tcBorders>
              <w:top w:val="single" w:sz="4" w:space="0" w:color="auto"/>
              <w:left w:val="single" w:sz="4" w:space="0" w:color="auto"/>
              <w:bottom w:val="single" w:sz="4" w:space="0" w:color="auto"/>
              <w:right w:val="single" w:sz="4" w:space="0" w:color="auto"/>
            </w:tcBorders>
            <w:shd w:val="clear" w:color="auto" w:fill="auto"/>
          </w:tcPr>
          <w:p w14:paraId="529F14C0" w14:textId="77777777" w:rsidR="00863F51" w:rsidRPr="0039396F" w:rsidRDefault="00863F51" w:rsidP="006C5055">
            <w:pPr>
              <w:pStyle w:val="C-BodyText"/>
              <w:spacing w:before="40" w:after="40"/>
              <w:rPr>
                <w:rFonts w:asciiTheme="majorHAnsi" w:hAnsiTheme="majorHAnsi"/>
                <w:sz w:val="22"/>
                <w:szCs w:val="22"/>
                <w:lang w:val="en-GB"/>
              </w:rPr>
            </w:pPr>
            <w:r w:rsidRPr="0039396F">
              <w:rPr>
                <w:rFonts w:asciiTheme="majorHAnsi" w:hAnsiTheme="majorHAnsi"/>
                <w:sz w:val="22"/>
                <w:szCs w:val="22"/>
                <w:lang w:val="en-GB"/>
              </w:rPr>
              <w:t>Time from current clinical TMA manifestation until first study dose (months), median (min, max)</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3BEBDA39" w14:textId="77777777" w:rsidR="00863F51" w:rsidRPr="0039396F" w:rsidRDefault="00863F51" w:rsidP="006C5055">
            <w:pPr>
              <w:pStyle w:val="C-BodyText"/>
              <w:spacing w:before="40" w:after="40"/>
              <w:jc w:val="center"/>
              <w:rPr>
                <w:rFonts w:asciiTheme="majorHAnsi" w:hAnsiTheme="majorHAnsi"/>
                <w:sz w:val="22"/>
                <w:szCs w:val="22"/>
                <w:lang w:val="en-GB"/>
              </w:rPr>
            </w:pPr>
            <w:r w:rsidRPr="0039396F">
              <w:rPr>
                <w:rFonts w:asciiTheme="majorHAnsi" w:hAnsiTheme="majorHAnsi"/>
                <w:sz w:val="22"/>
                <w:szCs w:val="22"/>
                <w:lang w:val="en-GB"/>
              </w:rPr>
              <w:t>0.52 (0.03, 19)</w:t>
            </w:r>
          </w:p>
        </w:tc>
      </w:tr>
      <w:tr w:rsidR="00863F51" w:rsidRPr="0039396F" w14:paraId="1E51B4EE" w14:textId="77777777" w:rsidTr="00F00B64">
        <w:trPr>
          <w:cantSplit/>
          <w:jc w:val="center"/>
        </w:trPr>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14:paraId="71580519" w14:textId="77777777" w:rsidR="00863F51" w:rsidRPr="0039396F" w:rsidRDefault="00863F51" w:rsidP="006C5055">
            <w:pPr>
              <w:pStyle w:val="C-TableText"/>
              <w:keepNext/>
              <w:spacing w:before="40" w:after="40"/>
              <w:rPr>
                <w:rFonts w:asciiTheme="majorHAnsi" w:hAnsiTheme="majorHAnsi"/>
                <w:szCs w:val="22"/>
                <w:lang w:val="en-GB" w:eastAsia="en-US"/>
              </w:rPr>
            </w:pPr>
            <w:r w:rsidRPr="0039396F">
              <w:rPr>
                <w:rFonts w:asciiTheme="majorHAnsi" w:hAnsiTheme="majorHAnsi"/>
                <w:szCs w:val="22"/>
                <w:lang w:val="en-GB" w:eastAsia="en-US"/>
              </w:rPr>
              <w:lastRenderedPageBreak/>
              <w:t>Baseline platelet count (× 10</w:t>
            </w:r>
            <w:r w:rsidRPr="0039396F">
              <w:rPr>
                <w:rFonts w:asciiTheme="majorHAnsi" w:hAnsiTheme="majorHAnsi"/>
                <w:szCs w:val="22"/>
                <w:vertAlign w:val="superscript"/>
                <w:lang w:val="en-GB" w:eastAsia="en-US"/>
              </w:rPr>
              <w:t>9</w:t>
            </w:r>
            <w:r w:rsidRPr="0039396F">
              <w:rPr>
                <w:rFonts w:asciiTheme="majorHAnsi" w:hAnsiTheme="majorHAnsi"/>
                <w:szCs w:val="22"/>
                <w:lang w:val="en-GB" w:eastAsia="en-US"/>
              </w:rPr>
              <w:t>/L), median (min, max)</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58C87C34" w14:textId="77777777" w:rsidR="00863F51" w:rsidRPr="0039396F" w:rsidRDefault="00863F51" w:rsidP="006C5055">
            <w:pPr>
              <w:pStyle w:val="C-BodyText"/>
              <w:tabs>
                <w:tab w:val="left" w:pos="1284"/>
                <w:tab w:val="center" w:pos="1336"/>
              </w:tabs>
              <w:spacing w:before="40" w:after="40"/>
              <w:jc w:val="center"/>
              <w:rPr>
                <w:rFonts w:asciiTheme="majorHAnsi" w:hAnsiTheme="majorHAnsi"/>
                <w:sz w:val="22"/>
                <w:szCs w:val="22"/>
                <w:lang w:val="en-GB"/>
              </w:rPr>
            </w:pPr>
            <w:r w:rsidRPr="0039396F">
              <w:rPr>
                <w:rFonts w:asciiTheme="majorHAnsi" w:hAnsiTheme="majorHAnsi"/>
                <w:sz w:val="22"/>
                <w:szCs w:val="22"/>
                <w:lang w:val="en-GB"/>
              </w:rPr>
              <w:t>125 (16, 332)</w:t>
            </w:r>
          </w:p>
        </w:tc>
      </w:tr>
      <w:tr w:rsidR="00863F51" w:rsidRPr="0039396F" w14:paraId="66AA529B" w14:textId="77777777" w:rsidTr="00F00B64">
        <w:trPr>
          <w:cantSplit/>
          <w:jc w:val="center"/>
        </w:trPr>
        <w:tc>
          <w:tcPr>
            <w:tcW w:w="6914" w:type="dxa"/>
            <w:tcBorders>
              <w:top w:val="single" w:sz="4" w:space="0" w:color="auto"/>
              <w:left w:val="single" w:sz="4" w:space="0" w:color="auto"/>
              <w:bottom w:val="single" w:sz="4" w:space="0" w:color="auto"/>
              <w:right w:val="single" w:sz="4" w:space="0" w:color="auto"/>
            </w:tcBorders>
            <w:shd w:val="clear" w:color="auto" w:fill="auto"/>
          </w:tcPr>
          <w:p w14:paraId="3F96C05D" w14:textId="77777777" w:rsidR="00863F51" w:rsidRPr="0039396F" w:rsidRDefault="00863F51" w:rsidP="006C5055">
            <w:pPr>
              <w:pStyle w:val="C-BodyText"/>
              <w:tabs>
                <w:tab w:val="left" w:pos="3165"/>
              </w:tabs>
              <w:spacing w:before="40" w:after="40"/>
              <w:rPr>
                <w:rFonts w:asciiTheme="majorHAnsi" w:hAnsiTheme="majorHAnsi"/>
                <w:sz w:val="22"/>
                <w:szCs w:val="22"/>
                <w:lang w:val="en-GB"/>
              </w:rPr>
            </w:pPr>
            <w:r w:rsidRPr="0039396F">
              <w:rPr>
                <w:rFonts w:asciiTheme="majorHAnsi" w:hAnsiTheme="majorHAnsi"/>
                <w:sz w:val="22"/>
                <w:szCs w:val="22"/>
                <w:lang w:val="en-GB"/>
              </w:rPr>
              <w:t>Baseline LDH (U/L), median (min, max)</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155E8894" w14:textId="77777777" w:rsidR="00863F51" w:rsidRPr="0039396F" w:rsidRDefault="00863F51" w:rsidP="006C5055">
            <w:pPr>
              <w:pStyle w:val="C-BodyText"/>
              <w:spacing w:before="40" w:after="40"/>
              <w:jc w:val="center"/>
              <w:rPr>
                <w:rFonts w:asciiTheme="majorHAnsi" w:hAnsiTheme="majorHAnsi"/>
                <w:sz w:val="22"/>
                <w:szCs w:val="22"/>
                <w:lang w:val="en-GB"/>
              </w:rPr>
            </w:pPr>
            <w:r w:rsidRPr="0039396F">
              <w:rPr>
                <w:rFonts w:asciiTheme="majorHAnsi" w:hAnsiTheme="majorHAnsi"/>
                <w:sz w:val="22"/>
                <w:szCs w:val="22"/>
                <w:lang w:val="en-GB"/>
              </w:rPr>
              <w:t>375 (131, 3318)</w:t>
            </w:r>
          </w:p>
        </w:tc>
      </w:tr>
      <w:tr w:rsidR="00863F51" w:rsidRPr="0039396F" w14:paraId="43164328" w14:textId="77777777" w:rsidTr="00F00B64">
        <w:trPr>
          <w:cantSplit/>
          <w:jc w:val="center"/>
        </w:trPr>
        <w:tc>
          <w:tcPr>
            <w:tcW w:w="6914" w:type="dxa"/>
            <w:tcBorders>
              <w:top w:val="single" w:sz="4" w:space="0" w:color="auto"/>
              <w:left w:val="single" w:sz="4" w:space="0" w:color="auto"/>
              <w:bottom w:val="single" w:sz="4" w:space="0" w:color="auto"/>
              <w:right w:val="single" w:sz="4" w:space="0" w:color="auto"/>
            </w:tcBorders>
            <w:shd w:val="clear" w:color="auto" w:fill="auto"/>
          </w:tcPr>
          <w:p w14:paraId="2F2FF108" w14:textId="77777777" w:rsidR="00863F51" w:rsidRPr="0039396F" w:rsidRDefault="00863F51" w:rsidP="006C5055">
            <w:pPr>
              <w:pStyle w:val="C-BodyText"/>
              <w:tabs>
                <w:tab w:val="left" w:pos="3165"/>
              </w:tabs>
              <w:spacing w:before="40" w:after="40"/>
              <w:rPr>
                <w:rFonts w:asciiTheme="majorHAnsi" w:hAnsiTheme="majorHAnsi"/>
                <w:sz w:val="22"/>
                <w:szCs w:val="22"/>
                <w:lang w:val="en-GB"/>
              </w:rPr>
            </w:pPr>
            <w:r w:rsidRPr="0039396F">
              <w:rPr>
                <w:rFonts w:asciiTheme="majorHAnsi" w:hAnsiTheme="majorHAnsi"/>
                <w:sz w:val="22"/>
                <w:szCs w:val="22"/>
                <w:lang w:val="en-GB"/>
              </w:rPr>
              <w:t>Baseline eGFR (mL/min/1.73m</w:t>
            </w:r>
            <w:r w:rsidRPr="0039396F">
              <w:rPr>
                <w:rFonts w:asciiTheme="majorHAnsi" w:hAnsiTheme="majorHAnsi"/>
                <w:sz w:val="22"/>
                <w:szCs w:val="22"/>
                <w:vertAlign w:val="superscript"/>
                <w:lang w:val="en-GB"/>
              </w:rPr>
              <w:t>2</w:t>
            </w:r>
            <w:r w:rsidRPr="0039396F">
              <w:rPr>
                <w:rFonts w:asciiTheme="majorHAnsi" w:hAnsiTheme="majorHAnsi"/>
                <w:sz w:val="22"/>
                <w:szCs w:val="22"/>
                <w:lang w:val="en-GB"/>
              </w:rPr>
              <w:t>), median (mix, max)</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5D3E88E3" w14:textId="77777777" w:rsidR="00863F51" w:rsidRPr="0039396F" w:rsidRDefault="00863F51" w:rsidP="006C5055">
            <w:pPr>
              <w:pStyle w:val="C-BodyText"/>
              <w:spacing w:before="40" w:after="40"/>
              <w:jc w:val="center"/>
              <w:rPr>
                <w:rFonts w:asciiTheme="majorHAnsi" w:hAnsiTheme="majorHAnsi"/>
                <w:sz w:val="22"/>
                <w:szCs w:val="22"/>
                <w:lang w:val="en-GB"/>
              </w:rPr>
            </w:pPr>
            <w:r w:rsidRPr="0039396F">
              <w:rPr>
                <w:rFonts w:asciiTheme="majorHAnsi" w:hAnsiTheme="majorHAnsi"/>
                <w:sz w:val="22"/>
                <w:szCs w:val="22"/>
                <w:lang w:val="en-GB"/>
              </w:rPr>
              <w:t>10 (6, 53)</w:t>
            </w:r>
          </w:p>
        </w:tc>
      </w:tr>
    </w:tbl>
    <w:p w14:paraId="481B3570" w14:textId="77777777" w:rsidR="00863F51" w:rsidRPr="0039396F" w:rsidRDefault="00863F51" w:rsidP="001B4216">
      <w:pPr>
        <w:pStyle w:val="C-BodyText"/>
        <w:spacing w:before="240" w:after="0" w:line="240" w:lineRule="auto"/>
        <w:rPr>
          <w:rFonts w:asciiTheme="majorHAnsi" w:hAnsiTheme="majorHAnsi"/>
          <w:szCs w:val="24"/>
          <w:lang w:val="en-GB"/>
        </w:rPr>
      </w:pPr>
      <w:r w:rsidRPr="0039396F">
        <w:rPr>
          <w:rFonts w:asciiTheme="majorHAnsi" w:hAnsiTheme="majorHAnsi"/>
          <w:szCs w:val="24"/>
          <w:lang w:val="en-GB"/>
        </w:rPr>
        <w:t xml:space="preserve">Patients in </w:t>
      </w:r>
      <w:r w:rsidRPr="0039396F">
        <w:rPr>
          <w:rFonts w:asciiTheme="majorHAnsi" w:hAnsiTheme="majorHAnsi"/>
          <w:i/>
          <w:szCs w:val="24"/>
          <w:lang w:val="en-GB"/>
        </w:rPr>
        <w:t>Study C10-004</w:t>
      </w:r>
      <w:r w:rsidRPr="0039396F">
        <w:rPr>
          <w:rFonts w:asciiTheme="majorHAnsi" w:hAnsiTheme="majorHAnsi"/>
          <w:szCs w:val="24"/>
          <w:lang w:val="en-GB"/>
        </w:rPr>
        <w:t xml:space="preserve"> received </w:t>
      </w:r>
      <w:r w:rsidR="00B249B7" w:rsidRPr="0039396F">
        <w:rPr>
          <w:rFonts w:asciiTheme="majorHAnsi" w:hAnsiTheme="majorHAnsi"/>
          <w:szCs w:val="24"/>
          <w:lang w:val="en-AU"/>
        </w:rPr>
        <w:t>Soliris</w:t>
      </w:r>
      <w:r w:rsidRPr="0039396F">
        <w:rPr>
          <w:rFonts w:asciiTheme="majorHAnsi" w:hAnsiTheme="majorHAnsi"/>
          <w:szCs w:val="24"/>
          <w:lang w:val="en-GB"/>
        </w:rPr>
        <w:t xml:space="preserve"> for a minimum of 26 weeks. After completion of the initial 26-week treatment period, most patients elected </w:t>
      </w:r>
      <w:r w:rsidR="003C187B">
        <w:rPr>
          <w:rFonts w:asciiTheme="majorHAnsi" w:hAnsiTheme="majorHAnsi"/>
          <w:szCs w:val="24"/>
          <w:lang w:val="en-GB"/>
        </w:rPr>
        <w:t>to continue on chronic dosing.</w:t>
      </w:r>
    </w:p>
    <w:p w14:paraId="1C4E629C" w14:textId="4C737BA2" w:rsidR="00863F51" w:rsidRPr="0039396F" w:rsidRDefault="00863F51" w:rsidP="00A24B2C">
      <w:pPr>
        <w:pStyle w:val="C-BodyText"/>
        <w:spacing w:after="0" w:line="240" w:lineRule="auto"/>
        <w:rPr>
          <w:rFonts w:asciiTheme="majorHAnsi" w:hAnsiTheme="majorHAnsi"/>
          <w:szCs w:val="24"/>
          <w:lang w:val="en-GB"/>
        </w:rPr>
      </w:pPr>
      <w:r w:rsidRPr="0039396F">
        <w:rPr>
          <w:rFonts w:asciiTheme="majorHAnsi" w:hAnsiTheme="majorHAnsi"/>
          <w:szCs w:val="24"/>
          <w:lang w:val="en-GB"/>
        </w:rPr>
        <w:t xml:space="preserve">Reduction in terminal complement activity and an increase in platelet count relative to baseline were observed after commencement of </w:t>
      </w:r>
      <w:r w:rsidR="00B249B7" w:rsidRPr="0039396F">
        <w:rPr>
          <w:rFonts w:asciiTheme="majorHAnsi" w:hAnsiTheme="majorHAnsi"/>
          <w:szCs w:val="24"/>
          <w:lang w:val="en-AU"/>
        </w:rPr>
        <w:t>Soliris</w:t>
      </w:r>
      <w:r w:rsidRPr="0039396F">
        <w:rPr>
          <w:rFonts w:asciiTheme="majorHAnsi" w:hAnsiTheme="majorHAnsi"/>
          <w:szCs w:val="24"/>
          <w:lang w:val="en-GB"/>
        </w:rPr>
        <w:t xml:space="preserve">. </w:t>
      </w:r>
      <w:r w:rsidR="00B249B7" w:rsidRPr="0039396F">
        <w:rPr>
          <w:rFonts w:asciiTheme="majorHAnsi" w:hAnsiTheme="majorHAnsi"/>
          <w:szCs w:val="24"/>
          <w:lang w:val="en-AU"/>
        </w:rPr>
        <w:t>Soliris</w:t>
      </w:r>
      <w:r w:rsidRPr="0039396F">
        <w:rPr>
          <w:rFonts w:asciiTheme="majorHAnsi" w:hAnsiTheme="majorHAnsi"/>
          <w:szCs w:val="24"/>
          <w:lang w:val="en-GB"/>
        </w:rPr>
        <w:t xml:space="preserve"> reduced signs of complement-mediated TMA activity, as shown by an increase in mean platelet counts from baseline to 26 weeks. In </w:t>
      </w:r>
      <w:r w:rsidRPr="0039396F">
        <w:rPr>
          <w:rFonts w:asciiTheme="majorHAnsi" w:hAnsiTheme="majorHAnsi"/>
          <w:i/>
          <w:szCs w:val="24"/>
          <w:lang w:val="en-GB"/>
        </w:rPr>
        <w:t xml:space="preserve">Study </w:t>
      </w:r>
      <w:r w:rsidRPr="0039396F">
        <w:rPr>
          <w:rFonts w:asciiTheme="majorHAnsi" w:hAnsiTheme="majorHAnsi"/>
          <w:i/>
          <w:szCs w:val="24"/>
        </w:rPr>
        <w:t>C10-004</w:t>
      </w:r>
      <w:r w:rsidRPr="0039396F">
        <w:rPr>
          <w:rFonts w:asciiTheme="majorHAnsi" w:hAnsiTheme="majorHAnsi"/>
          <w:szCs w:val="24"/>
          <w:lang w:val="en-GB"/>
        </w:rPr>
        <w:t>, mean platelet count (± SD) increased from 119 ± 66 x10</w:t>
      </w:r>
      <w:r w:rsidRPr="0039396F">
        <w:rPr>
          <w:rFonts w:asciiTheme="majorHAnsi" w:hAnsiTheme="majorHAnsi"/>
          <w:szCs w:val="24"/>
          <w:vertAlign w:val="superscript"/>
          <w:lang w:val="en-GB"/>
        </w:rPr>
        <w:t>9</w:t>
      </w:r>
      <w:r w:rsidRPr="0039396F">
        <w:rPr>
          <w:rFonts w:asciiTheme="majorHAnsi" w:hAnsiTheme="majorHAnsi"/>
          <w:szCs w:val="24"/>
          <w:lang w:val="en-GB"/>
        </w:rPr>
        <w:t>/L at baseline, to 200 ± 84 x10</w:t>
      </w:r>
      <w:r w:rsidRPr="0039396F">
        <w:rPr>
          <w:rFonts w:asciiTheme="majorHAnsi" w:hAnsiTheme="majorHAnsi"/>
          <w:szCs w:val="24"/>
          <w:vertAlign w:val="superscript"/>
          <w:lang w:val="en-GB"/>
        </w:rPr>
        <w:t>9</w:t>
      </w:r>
      <w:r w:rsidRPr="0039396F">
        <w:rPr>
          <w:rFonts w:asciiTheme="majorHAnsi" w:hAnsiTheme="majorHAnsi"/>
          <w:szCs w:val="24"/>
          <w:lang w:val="en-GB"/>
        </w:rPr>
        <w:t>/L by one week; this effect was maintained through 26 weeks (mean platelet count (± SD) at week 26: 252 ± 70 x10</w:t>
      </w:r>
      <w:r w:rsidRPr="0039396F">
        <w:rPr>
          <w:rFonts w:asciiTheme="majorHAnsi" w:hAnsiTheme="majorHAnsi"/>
          <w:szCs w:val="24"/>
          <w:vertAlign w:val="superscript"/>
          <w:lang w:val="en-GB"/>
        </w:rPr>
        <w:t>9</w:t>
      </w:r>
      <w:r w:rsidRPr="0039396F">
        <w:rPr>
          <w:rFonts w:asciiTheme="majorHAnsi" w:hAnsiTheme="majorHAnsi"/>
          <w:szCs w:val="24"/>
          <w:lang w:val="en-GB"/>
        </w:rPr>
        <w:t xml:space="preserve">/L). Renal function, as measured by eGFR, was improved during </w:t>
      </w:r>
      <w:r w:rsidR="00B249B7" w:rsidRPr="0039396F">
        <w:rPr>
          <w:rFonts w:asciiTheme="majorHAnsi" w:hAnsiTheme="majorHAnsi"/>
          <w:szCs w:val="24"/>
          <w:lang w:val="en-AU"/>
        </w:rPr>
        <w:t>Soliris</w:t>
      </w:r>
      <w:r w:rsidRPr="0039396F">
        <w:rPr>
          <w:rFonts w:asciiTheme="majorHAnsi" w:hAnsiTheme="majorHAnsi"/>
          <w:szCs w:val="24"/>
          <w:lang w:val="en-GB"/>
        </w:rPr>
        <w:t xml:space="preserve"> therapy. Twenty of the 24 patients who required dialysis at baseline were able to discontinue dialysis during </w:t>
      </w:r>
      <w:r w:rsidR="00B249B7" w:rsidRPr="0039396F">
        <w:rPr>
          <w:rFonts w:asciiTheme="majorHAnsi" w:hAnsiTheme="majorHAnsi"/>
          <w:szCs w:val="24"/>
          <w:lang w:val="en-AU"/>
        </w:rPr>
        <w:t>Soliris</w:t>
      </w:r>
      <w:r w:rsidRPr="0039396F">
        <w:rPr>
          <w:rFonts w:asciiTheme="majorHAnsi" w:hAnsiTheme="majorHAnsi"/>
          <w:szCs w:val="24"/>
          <w:lang w:val="en-GB"/>
        </w:rPr>
        <w:t xml:space="preserve"> treatment.</w:t>
      </w:r>
      <w:r w:rsidR="003C187B">
        <w:rPr>
          <w:rFonts w:asciiTheme="majorHAnsi" w:hAnsiTheme="majorHAnsi"/>
          <w:szCs w:val="24"/>
          <w:lang w:val="en-GB"/>
        </w:rPr>
        <w:t xml:space="preserve"> </w:t>
      </w:r>
      <w:r w:rsidR="00474895">
        <w:rPr>
          <w:rFonts w:asciiTheme="majorHAnsi" w:hAnsiTheme="majorHAnsi"/>
          <w:szCs w:val="24"/>
          <w:lang w:val="en-GB"/>
        </w:rPr>
        <w:fldChar w:fldCharType="begin"/>
      </w:r>
      <w:r w:rsidR="00474895">
        <w:rPr>
          <w:rFonts w:asciiTheme="majorHAnsi" w:hAnsiTheme="majorHAnsi"/>
          <w:szCs w:val="24"/>
          <w:lang w:val="en-GB"/>
        </w:rPr>
        <w:instrText xml:space="preserve"> REF _Ref18592229 \h </w:instrText>
      </w:r>
      <w:r w:rsidR="00474895">
        <w:rPr>
          <w:rFonts w:asciiTheme="majorHAnsi" w:hAnsiTheme="majorHAnsi"/>
          <w:szCs w:val="24"/>
          <w:lang w:val="en-GB"/>
        </w:rPr>
      </w:r>
      <w:r w:rsidR="00474895">
        <w:rPr>
          <w:rFonts w:asciiTheme="majorHAnsi" w:hAnsiTheme="majorHAnsi"/>
          <w:szCs w:val="24"/>
          <w:lang w:val="en-GB"/>
        </w:rPr>
        <w:fldChar w:fldCharType="separate"/>
      </w:r>
      <w:r w:rsidR="00AE6672">
        <w:t xml:space="preserve">Table </w:t>
      </w:r>
      <w:r w:rsidR="00AE6672">
        <w:rPr>
          <w:noProof/>
        </w:rPr>
        <w:t>15</w:t>
      </w:r>
      <w:r w:rsidR="00474895">
        <w:rPr>
          <w:rFonts w:asciiTheme="majorHAnsi" w:hAnsiTheme="majorHAnsi"/>
          <w:szCs w:val="24"/>
          <w:lang w:val="en-GB"/>
        </w:rPr>
        <w:fldChar w:fldCharType="end"/>
      </w:r>
      <w:r w:rsidR="005945C3" w:rsidRPr="0039396F">
        <w:rPr>
          <w:rFonts w:asciiTheme="majorHAnsi" w:hAnsiTheme="majorHAnsi"/>
          <w:szCs w:val="24"/>
          <w:lang w:val="en-GB"/>
        </w:rPr>
        <w:t>summari</w:t>
      </w:r>
      <w:r w:rsidR="005945C3">
        <w:rPr>
          <w:rFonts w:asciiTheme="majorHAnsi" w:hAnsiTheme="majorHAnsi"/>
          <w:szCs w:val="24"/>
          <w:lang w:val="en-GB"/>
        </w:rPr>
        <w:t>s</w:t>
      </w:r>
      <w:r w:rsidR="005945C3" w:rsidRPr="0039396F">
        <w:rPr>
          <w:rFonts w:asciiTheme="majorHAnsi" w:hAnsiTheme="majorHAnsi"/>
          <w:szCs w:val="24"/>
          <w:lang w:val="en-GB"/>
        </w:rPr>
        <w:t xml:space="preserve">es </w:t>
      </w:r>
      <w:r w:rsidRPr="0039396F">
        <w:rPr>
          <w:rFonts w:asciiTheme="majorHAnsi" w:hAnsiTheme="majorHAnsi"/>
          <w:szCs w:val="24"/>
          <w:lang w:val="en-GB"/>
        </w:rPr>
        <w:t xml:space="preserve">the efficacy results for </w:t>
      </w:r>
      <w:r w:rsidRPr="0039396F">
        <w:rPr>
          <w:rFonts w:asciiTheme="majorHAnsi" w:hAnsiTheme="majorHAnsi"/>
          <w:i/>
          <w:szCs w:val="24"/>
          <w:lang w:val="en-GB"/>
        </w:rPr>
        <w:t>Study C10-004</w:t>
      </w:r>
      <w:r w:rsidR="003C187B">
        <w:rPr>
          <w:rFonts w:asciiTheme="majorHAnsi" w:hAnsiTheme="majorHAnsi"/>
          <w:szCs w:val="24"/>
          <w:lang w:val="en-GB"/>
        </w:rPr>
        <w:t>.</w:t>
      </w:r>
    </w:p>
    <w:p w14:paraId="0629C0E2" w14:textId="0E50D549" w:rsidR="00863F51" w:rsidRPr="00BE4695" w:rsidRDefault="00474895" w:rsidP="00AE2D6F">
      <w:pPr>
        <w:pStyle w:val="Caption"/>
        <w:spacing w:after="120"/>
        <w:jc w:val="left"/>
        <w:rPr>
          <w:rFonts w:asciiTheme="majorHAnsi" w:hAnsiTheme="majorHAnsi"/>
        </w:rPr>
      </w:pPr>
      <w:bookmarkStart w:id="20" w:name="_Ref18592229"/>
      <w:r>
        <w:t xml:space="preserve">Table </w:t>
      </w:r>
      <w:r w:rsidR="00345186">
        <w:fldChar w:fldCharType="begin"/>
      </w:r>
      <w:r w:rsidR="00345186">
        <w:instrText xml:space="preserve"> SEQ Table \* ARABIC </w:instrText>
      </w:r>
      <w:r w:rsidR="00345186">
        <w:fldChar w:fldCharType="separate"/>
      </w:r>
      <w:r w:rsidR="00345186">
        <w:rPr>
          <w:noProof/>
        </w:rPr>
        <w:t>15</w:t>
      </w:r>
      <w:r w:rsidR="00345186">
        <w:fldChar w:fldCharType="end"/>
      </w:r>
      <w:bookmarkEnd w:id="20"/>
      <w:r>
        <w:t xml:space="preserve">: </w:t>
      </w:r>
      <w:r w:rsidR="00863F51" w:rsidRPr="00BE4695">
        <w:rPr>
          <w:rFonts w:asciiTheme="majorHAnsi" w:hAnsiTheme="majorHAnsi"/>
        </w:rPr>
        <w:t xml:space="preserve">Efficacy Outcomes for Prospective Study </w:t>
      </w:r>
      <w:r w:rsidR="00863F51" w:rsidRPr="00BE4695">
        <w:rPr>
          <w:rFonts w:asciiTheme="majorHAnsi" w:hAnsiTheme="majorHAnsi"/>
          <w:i/>
        </w:rPr>
        <w:t xml:space="preserve">C10-004 </w:t>
      </w:r>
    </w:p>
    <w:tbl>
      <w:tblPr>
        <w:tblW w:w="44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2"/>
        <w:gridCol w:w="1764"/>
      </w:tblGrid>
      <w:tr w:rsidR="00863F51" w:rsidRPr="006235F7" w14:paraId="65876CCB" w14:textId="77777777" w:rsidTr="006C5055">
        <w:trPr>
          <w:cantSplit/>
          <w:trHeight w:val="484"/>
          <w:tblHeader/>
          <w:jc w:val="center"/>
        </w:trPr>
        <w:tc>
          <w:tcPr>
            <w:tcW w:w="6382" w:type="dxa"/>
            <w:shd w:val="clear" w:color="auto" w:fill="auto"/>
            <w:vAlign w:val="center"/>
          </w:tcPr>
          <w:p w14:paraId="0AD95926" w14:textId="77777777" w:rsidR="00863F51" w:rsidRPr="006235F7" w:rsidRDefault="00863F51" w:rsidP="006C5055">
            <w:pPr>
              <w:pStyle w:val="C-TableHeader"/>
              <w:keepNext w:val="0"/>
              <w:spacing w:before="0" w:after="0" w:line="276" w:lineRule="auto"/>
              <w:rPr>
                <w:rFonts w:asciiTheme="majorHAnsi" w:hAnsiTheme="majorHAnsi"/>
                <w:b w:val="0"/>
                <w:szCs w:val="22"/>
              </w:rPr>
            </w:pPr>
            <w:r w:rsidRPr="006235F7">
              <w:rPr>
                <w:rFonts w:asciiTheme="majorHAnsi" w:hAnsiTheme="majorHAnsi"/>
                <w:szCs w:val="22"/>
              </w:rPr>
              <w:t>Efficacy Parameter</w:t>
            </w:r>
          </w:p>
        </w:tc>
        <w:tc>
          <w:tcPr>
            <w:tcW w:w="1800" w:type="dxa"/>
            <w:tcBorders>
              <w:bottom w:val="single" w:sz="4" w:space="0" w:color="auto"/>
            </w:tcBorders>
            <w:shd w:val="clear" w:color="auto" w:fill="auto"/>
            <w:vAlign w:val="center"/>
          </w:tcPr>
          <w:p w14:paraId="4F3DBF60" w14:textId="77777777" w:rsidR="00863F51" w:rsidRPr="006235F7" w:rsidRDefault="00863F51" w:rsidP="006C5055">
            <w:pPr>
              <w:pStyle w:val="C-TableHeader"/>
              <w:keepNext w:val="0"/>
              <w:spacing w:before="0" w:after="0"/>
              <w:jc w:val="center"/>
              <w:rPr>
                <w:rFonts w:asciiTheme="majorHAnsi" w:hAnsiTheme="majorHAnsi"/>
                <w:szCs w:val="22"/>
              </w:rPr>
            </w:pPr>
            <w:r w:rsidRPr="006235F7">
              <w:rPr>
                <w:rFonts w:asciiTheme="majorHAnsi" w:hAnsiTheme="majorHAnsi"/>
                <w:szCs w:val="22"/>
              </w:rPr>
              <w:t>Study C10-004</w:t>
            </w:r>
          </w:p>
          <w:p w14:paraId="0EE3A50A" w14:textId="77777777" w:rsidR="00863F51" w:rsidRPr="006235F7" w:rsidRDefault="00863F51" w:rsidP="006C5055">
            <w:pPr>
              <w:pStyle w:val="C-TableText"/>
              <w:jc w:val="center"/>
              <w:rPr>
                <w:rFonts w:asciiTheme="majorHAnsi" w:hAnsiTheme="majorHAnsi"/>
                <w:b/>
                <w:szCs w:val="22"/>
                <w:lang w:val="en-US" w:eastAsia="en-US"/>
              </w:rPr>
            </w:pPr>
            <w:r w:rsidRPr="006235F7">
              <w:rPr>
                <w:rFonts w:asciiTheme="majorHAnsi" w:hAnsiTheme="majorHAnsi"/>
                <w:b/>
                <w:szCs w:val="22"/>
                <w:lang w:val="en-US" w:eastAsia="en-US"/>
              </w:rPr>
              <w:t>(N = 41)</w:t>
            </w:r>
          </w:p>
          <w:p w14:paraId="4E3F17F8" w14:textId="77777777" w:rsidR="00863F51" w:rsidRPr="006235F7" w:rsidRDefault="00863F51" w:rsidP="006C5055">
            <w:pPr>
              <w:pStyle w:val="C-TableText"/>
              <w:jc w:val="center"/>
              <w:rPr>
                <w:rFonts w:asciiTheme="majorHAnsi" w:hAnsiTheme="majorHAnsi"/>
                <w:szCs w:val="22"/>
                <w:lang w:val="en-US" w:eastAsia="en-US"/>
              </w:rPr>
            </w:pPr>
            <w:r w:rsidRPr="006235F7">
              <w:rPr>
                <w:rFonts w:asciiTheme="majorHAnsi" w:hAnsiTheme="majorHAnsi"/>
                <w:szCs w:val="22"/>
                <w:lang w:val="en-US" w:eastAsia="en-US"/>
              </w:rPr>
              <w:t>At 26 weeks</w:t>
            </w:r>
          </w:p>
        </w:tc>
      </w:tr>
      <w:tr w:rsidR="00863F51" w:rsidRPr="006235F7" w14:paraId="691FC3C7" w14:textId="77777777" w:rsidTr="006C5055">
        <w:trPr>
          <w:cantSplit/>
          <w:trHeight w:val="453"/>
          <w:jc w:val="center"/>
        </w:trPr>
        <w:tc>
          <w:tcPr>
            <w:tcW w:w="6382" w:type="dxa"/>
            <w:tcBorders>
              <w:top w:val="single" w:sz="4" w:space="0" w:color="auto"/>
              <w:left w:val="single" w:sz="4" w:space="0" w:color="auto"/>
              <w:bottom w:val="single" w:sz="4" w:space="0" w:color="auto"/>
              <w:right w:val="single" w:sz="4" w:space="0" w:color="auto"/>
            </w:tcBorders>
            <w:shd w:val="clear" w:color="auto" w:fill="auto"/>
          </w:tcPr>
          <w:p w14:paraId="17659093" w14:textId="77777777" w:rsidR="00863F51" w:rsidRPr="006235F7" w:rsidRDefault="00863F51" w:rsidP="006C5055">
            <w:pPr>
              <w:pStyle w:val="C-BodyText"/>
              <w:spacing w:before="0" w:after="0"/>
              <w:rPr>
                <w:rFonts w:asciiTheme="majorHAnsi" w:hAnsiTheme="majorHAnsi"/>
                <w:sz w:val="22"/>
                <w:szCs w:val="22"/>
              </w:rPr>
            </w:pPr>
            <w:r w:rsidRPr="006235F7">
              <w:rPr>
                <w:rFonts w:asciiTheme="majorHAnsi" w:hAnsiTheme="majorHAnsi"/>
                <w:sz w:val="22"/>
                <w:szCs w:val="22"/>
              </w:rPr>
              <w:t>Change in platelet count through week 26 (10</w:t>
            </w:r>
            <w:r w:rsidRPr="006235F7">
              <w:rPr>
                <w:rFonts w:asciiTheme="majorHAnsi" w:hAnsiTheme="majorHAnsi"/>
                <w:sz w:val="22"/>
                <w:szCs w:val="22"/>
                <w:vertAlign w:val="superscript"/>
              </w:rPr>
              <w:t>9</w:t>
            </w:r>
            <w:r w:rsidRPr="006235F7">
              <w:rPr>
                <w:rFonts w:asciiTheme="majorHAnsi" w:hAnsiTheme="majorHAnsi"/>
                <w:sz w:val="22"/>
                <w:szCs w:val="22"/>
              </w:rPr>
              <w:t>/L)</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680F4D" w14:textId="77777777" w:rsidR="00863F51" w:rsidRPr="006235F7" w:rsidRDefault="00863F51" w:rsidP="006C5055">
            <w:pPr>
              <w:pStyle w:val="C-BodyText"/>
              <w:spacing w:before="0" w:after="0"/>
              <w:jc w:val="center"/>
              <w:rPr>
                <w:rFonts w:asciiTheme="majorHAnsi" w:hAnsiTheme="majorHAnsi"/>
                <w:sz w:val="22"/>
                <w:szCs w:val="22"/>
                <w:highlight w:val="cyan"/>
              </w:rPr>
            </w:pPr>
            <w:r w:rsidRPr="006235F7">
              <w:rPr>
                <w:rFonts w:asciiTheme="majorHAnsi" w:hAnsiTheme="majorHAnsi"/>
                <w:sz w:val="22"/>
                <w:szCs w:val="22"/>
              </w:rPr>
              <w:t>111 (-122, 362)</w:t>
            </w:r>
          </w:p>
        </w:tc>
      </w:tr>
      <w:tr w:rsidR="00863F51" w:rsidRPr="006235F7" w14:paraId="10F2A9A2" w14:textId="77777777" w:rsidTr="006C5055">
        <w:trPr>
          <w:cantSplit/>
          <w:trHeight w:val="678"/>
          <w:jc w:val="center"/>
        </w:trPr>
        <w:tc>
          <w:tcPr>
            <w:tcW w:w="6382" w:type="dxa"/>
            <w:tcBorders>
              <w:top w:val="single" w:sz="4" w:space="0" w:color="auto"/>
              <w:left w:val="single" w:sz="4" w:space="0" w:color="auto"/>
              <w:bottom w:val="single" w:sz="4" w:space="0" w:color="auto"/>
              <w:right w:val="single" w:sz="4" w:space="0" w:color="auto"/>
            </w:tcBorders>
            <w:shd w:val="clear" w:color="auto" w:fill="auto"/>
          </w:tcPr>
          <w:p w14:paraId="02A69C16" w14:textId="77777777" w:rsidR="00863F51" w:rsidRPr="006235F7" w:rsidRDefault="00863F51" w:rsidP="006C5055">
            <w:pPr>
              <w:pStyle w:val="C-BodyText"/>
              <w:spacing w:before="0" w:after="0"/>
              <w:rPr>
                <w:rFonts w:asciiTheme="majorHAnsi" w:hAnsiTheme="majorHAnsi"/>
                <w:sz w:val="22"/>
                <w:szCs w:val="22"/>
              </w:rPr>
            </w:pPr>
            <w:proofErr w:type="spellStart"/>
            <w:r w:rsidRPr="006235F7">
              <w:rPr>
                <w:rFonts w:asciiTheme="majorHAnsi" w:hAnsiTheme="majorHAnsi"/>
                <w:sz w:val="22"/>
                <w:szCs w:val="22"/>
              </w:rPr>
              <w:t>Haematologic</w:t>
            </w:r>
            <w:proofErr w:type="spellEnd"/>
            <w:r w:rsidRPr="006235F7">
              <w:rPr>
                <w:rFonts w:asciiTheme="majorHAnsi" w:hAnsiTheme="majorHAnsi"/>
                <w:sz w:val="22"/>
                <w:szCs w:val="22"/>
              </w:rPr>
              <w:t xml:space="preserve"> </w:t>
            </w:r>
            <w:proofErr w:type="spellStart"/>
            <w:r w:rsidR="00967B24">
              <w:rPr>
                <w:rFonts w:asciiTheme="majorHAnsi" w:hAnsiTheme="majorHAnsi"/>
                <w:sz w:val="22"/>
                <w:szCs w:val="22"/>
              </w:rPr>
              <w:t>Normalisation</w:t>
            </w:r>
            <w:proofErr w:type="spellEnd"/>
            <w:r w:rsidRPr="006235F7">
              <w:rPr>
                <w:rFonts w:asciiTheme="majorHAnsi" w:hAnsiTheme="majorHAnsi"/>
                <w:sz w:val="22"/>
                <w:szCs w:val="22"/>
              </w:rPr>
              <w:t>, n (%)</w:t>
            </w:r>
          </w:p>
          <w:p w14:paraId="4CBEB5F5" w14:textId="77777777" w:rsidR="00863F51" w:rsidRPr="006235F7" w:rsidRDefault="00863F51" w:rsidP="00EC4A81">
            <w:pPr>
              <w:pStyle w:val="C-BodyText"/>
              <w:spacing w:before="0" w:after="0"/>
              <w:rPr>
                <w:rFonts w:asciiTheme="majorHAnsi" w:hAnsiTheme="majorHAnsi"/>
                <w:sz w:val="22"/>
                <w:szCs w:val="22"/>
              </w:rPr>
            </w:pPr>
            <w:r w:rsidRPr="006235F7">
              <w:rPr>
                <w:rFonts w:asciiTheme="majorHAnsi" w:hAnsiTheme="majorHAnsi"/>
                <w:sz w:val="22"/>
                <w:szCs w:val="22"/>
              </w:rPr>
              <w:t xml:space="preserve">Median duration of </w:t>
            </w:r>
            <w:proofErr w:type="spellStart"/>
            <w:r w:rsidRPr="006235F7">
              <w:rPr>
                <w:rFonts w:asciiTheme="majorHAnsi" w:hAnsiTheme="majorHAnsi"/>
                <w:sz w:val="22"/>
                <w:szCs w:val="22"/>
              </w:rPr>
              <w:t>haematologic</w:t>
            </w:r>
            <w:proofErr w:type="spellEnd"/>
            <w:r w:rsidRPr="006235F7">
              <w:rPr>
                <w:rFonts w:asciiTheme="majorHAnsi" w:hAnsiTheme="majorHAnsi"/>
                <w:sz w:val="22"/>
                <w:szCs w:val="22"/>
              </w:rPr>
              <w:t xml:space="preserve"> </w:t>
            </w:r>
            <w:proofErr w:type="spellStart"/>
            <w:r w:rsidR="00967B24">
              <w:rPr>
                <w:rFonts w:asciiTheme="majorHAnsi" w:hAnsiTheme="majorHAnsi"/>
                <w:sz w:val="22"/>
                <w:szCs w:val="22"/>
              </w:rPr>
              <w:t>normalisation</w:t>
            </w:r>
            <w:proofErr w:type="spellEnd"/>
            <w:r w:rsidRPr="006235F7">
              <w:rPr>
                <w:rFonts w:asciiTheme="majorHAnsi" w:hAnsiTheme="majorHAnsi"/>
                <w:sz w:val="22"/>
                <w:szCs w:val="22"/>
              </w:rPr>
              <w:t>, months (range)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575A29"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36 (88)</w:t>
            </w:r>
          </w:p>
          <w:p w14:paraId="712AC5C9"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15 (2, 27)</w:t>
            </w:r>
          </w:p>
        </w:tc>
      </w:tr>
      <w:tr w:rsidR="00863F51" w:rsidRPr="006235F7" w14:paraId="2AADAD53" w14:textId="77777777" w:rsidTr="006C5055">
        <w:trPr>
          <w:cantSplit/>
          <w:trHeight w:val="786"/>
          <w:jc w:val="center"/>
        </w:trPr>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486257D6"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rPr>
              <w:t>Complete TMA response, n (%)</w:t>
            </w:r>
          </w:p>
          <w:p w14:paraId="7FD0781E" w14:textId="77777777" w:rsidR="00863F51" w:rsidRPr="006235F7" w:rsidRDefault="00863F51" w:rsidP="006C5055">
            <w:pPr>
              <w:pStyle w:val="C-BodyText"/>
              <w:spacing w:before="0" w:after="0"/>
              <w:rPr>
                <w:rFonts w:asciiTheme="majorHAnsi" w:hAnsiTheme="majorHAnsi"/>
                <w:sz w:val="22"/>
                <w:szCs w:val="22"/>
              </w:rPr>
            </w:pPr>
            <w:r w:rsidRPr="006235F7">
              <w:rPr>
                <w:rFonts w:asciiTheme="majorHAnsi" w:hAnsiTheme="majorHAnsi"/>
                <w:sz w:val="22"/>
                <w:szCs w:val="22"/>
              </w:rPr>
              <w:t>Median duration of Complete TMA response, months (range)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9D0CC2"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23 (56)</w:t>
            </w:r>
          </w:p>
          <w:p w14:paraId="52FF640A"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16 (1, 26)</w:t>
            </w:r>
          </w:p>
        </w:tc>
      </w:tr>
      <w:tr w:rsidR="00863F51" w:rsidRPr="006235F7" w14:paraId="7C01A406" w14:textId="77777777" w:rsidTr="006C5055">
        <w:trPr>
          <w:cantSplit/>
          <w:trHeight w:val="588"/>
          <w:jc w:val="center"/>
        </w:trPr>
        <w:tc>
          <w:tcPr>
            <w:tcW w:w="6382" w:type="dxa"/>
            <w:tcBorders>
              <w:top w:val="single" w:sz="4" w:space="0" w:color="auto"/>
              <w:left w:val="single" w:sz="4" w:space="0" w:color="auto"/>
              <w:bottom w:val="single" w:sz="4" w:space="0" w:color="auto"/>
              <w:right w:val="single" w:sz="4" w:space="0" w:color="auto"/>
            </w:tcBorders>
            <w:shd w:val="clear" w:color="auto" w:fill="auto"/>
          </w:tcPr>
          <w:p w14:paraId="63DF0CE3"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rPr>
              <w:t xml:space="preserve">TMA </w:t>
            </w:r>
            <w:r w:rsidRPr="006235F7">
              <w:rPr>
                <w:rFonts w:asciiTheme="majorHAnsi" w:eastAsia="MS Mincho" w:hAnsiTheme="majorHAnsi"/>
                <w:szCs w:val="22"/>
                <w:lang w:val="en-US"/>
              </w:rPr>
              <w:t>Event</w:t>
            </w:r>
            <w:r w:rsidRPr="006235F7">
              <w:rPr>
                <w:rFonts w:asciiTheme="majorHAnsi" w:eastAsia="MS Mincho" w:hAnsiTheme="majorHAnsi"/>
                <w:szCs w:val="22"/>
              </w:rPr>
              <w:t>-free Status, n (%)</w:t>
            </w:r>
          </w:p>
          <w:p w14:paraId="7EFE4218"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rPr>
              <w:t>95% CI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3A868E"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37 (90)</w:t>
            </w:r>
          </w:p>
          <w:p w14:paraId="0F48EEE6"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77; 97</w:t>
            </w:r>
          </w:p>
        </w:tc>
      </w:tr>
      <w:tr w:rsidR="00863F51" w:rsidRPr="006235F7" w14:paraId="249C0635" w14:textId="77777777" w:rsidTr="006C5055">
        <w:trPr>
          <w:cantSplit/>
          <w:jc w:val="center"/>
        </w:trPr>
        <w:tc>
          <w:tcPr>
            <w:tcW w:w="6382" w:type="dxa"/>
            <w:tcBorders>
              <w:top w:val="single" w:sz="4" w:space="0" w:color="auto"/>
              <w:left w:val="single" w:sz="4" w:space="0" w:color="auto"/>
              <w:bottom w:val="single" w:sz="4" w:space="0" w:color="auto"/>
              <w:right w:val="single" w:sz="4" w:space="0" w:color="auto"/>
            </w:tcBorders>
            <w:shd w:val="clear" w:color="auto" w:fill="auto"/>
          </w:tcPr>
          <w:p w14:paraId="65FE7C67"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lang w:val="en-US"/>
              </w:rPr>
              <w:t>Daily</w:t>
            </w:r>
            <w:r w:rsidRPr="006235F7">
              <w:rPr>
                <w:rFonts w:asciiTheme="majorHAnsi" w:eastAsia="MS Mincho" w:hAnsiTheme="majorHAnsi"/>
                <w:szCs w:val="22"/>
              </w:rPr>
              <w:t xml:space="preserve"> TMA </w:t>
            </w:r>
            <w:r w:rsidRPr="006235F7">
              <w:rPr>
                <w:rFonts w:asciiTheme="majorHAnsi" w:eastAsia="MS Mincho" w:hAnsiTheme="majorHAnsi"/>
                <w:szCs w:val="22"/>
                <w:lang w:val="en-US"/>
              </w:rPr>
              <w:t>Intervention</w:t>
            </w:r>
            <w:r w:rsidRPr="006235F7">
              <w:rPr>
                <w:rFonts w:asciiTheme="majorHAnsi" w:eastAsia="MS Mincho" w:hAnsiTheme="majorHAnsi"/>
                <w:szCs w:val="22"/>
              </w:rPr>
              <w:t xml:space="preserve"> </w:t>
            </w:r>
            <w:r w:rsidRPr="006235F7">
              <w:rPr>
                <w:rFonts w:asciiTheme="majorHAnsi" w:eastAsia="MS Mincho" w:hAnsiTheme="majorHAnsi"/>
                <w:szCs w:val="22"/>
                <w:lang w:val="en-US"/>
              </w:rPr>
              <w:t>Rate</w:t>
            </w:r>
            <w:r w:rsidRPr="006235F7">
              <w:rPr>
                <w:rFonts w:asciiTheme="majorHAnsi" w:eastAsia="MS Mincho" w:hAnsiTheme="majorHAnsi"/>
                <w:szCs w:val="22"/>
              </w:rPr>
              <w:t>, median (</w:t>
            </w:r>
            <w:proofErr w:type="spellStart"/>
            <w:r w:rsidRPr="006235F7">
              <w:rPr>
                <w:rFonts w:asciiTheme="majorHAnsi" w:eastAsia="MS Mincho" w:hAnsiTheme="majorHAnsi"/>
                <w:szCs w:val="22"/>
              </w:rPr>
              <w:t>range</w:t>
            </w:r>
            <w:proofErr w:type="spellEnd"/>
            <w:r w:rsidRPr="006235F7">
              <w:rPr>
                <w:rFonts w:asciiTheme="majorHAnsi" w:eastAsia="MS Mincho" w:hAnsiTheme="majorHAnsi"/>
                <w:szCs w:val="22"/>
              </w:rPr>
              <w:t xml:space="preserve">) </w:t>
            </w:r>
          </w:p>
          <w:p w14:paraId="6EF76FEE"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rPr>
              <w:t xml:space="preserve">     </w:t>
            </w:r>
            <w:r w:rsidRPr="006235F7">
              <w:rPr>
                <w:rFonts w:asciiTheme="majorHAnsi" w:eastAsia="MS Mincho" w:hAnsiTheme="majorHAnsi"/>
                <w:szCs w:val="22"/>
                <w:lang w:val="en-US"/>
              </w:rPr>
              <w:t>Before</w:t>
            </w:r>
            <w:r w:rsidRPr="006235F7">
              <w:rPr>
                <w:rFonts w:asciiTheme="majorHAnsi" w:eastAsia="MS Mincho" w:hAnsiTheme="majorHAnsi"/>
                <w:szCs w:val="22"/>
              </w:rPr>
              <w:t xml:space="preserve"> </w:t>
            </w:r>
            <w:r w:rsidR="00B249B7" w:rsidRPr="006235F7">
              <w:rPr>
                <w:rFonts w:asciiTheme="majorHAnsi" w:hAnsiTheme="majorHAnsi"/>
                <w:szCs w:val="22"/>
                <w:lang w:val="en-AU"/>
              </w:rPr>
              <w:t>Soliris</w:t>
            </w:r>
            <w:r w:rsidRPr="006235F7">
              <w:rPr>
                <w:rFonts w:asciiTheme="majorHAnsi" w:eastAsia="MS Mincho" w:hAnsiTheme="majorHAnsi"/>
                <w:szCs w:val="22"/>
              </w:rPr>
              <w:t xml:space="preserve"> </w:t>
            </w:r>
            <w:r w:rsidRPr="006235F7">
              <w:rPr>
                <w:rFonts w:asciiTheme="majorHAnsi" w:eastAsia="MS Mincho" w:hAnsiTheme="majorHAnsi"/>
                <w:szCs w:val="22"/>
                <w:lang w:val="en-US"/>
              </w:rPr>
              <w:t>treatment</w:t>
            </w:r>
          </w:p>
          <w:p w14:paraId="258DE89C" w14:textId="77777777" w:rsidR="00863F51" w:rsidRPr="006235F7" w:rsidRDefault="00863F51" w:rsidP="006C5055">
            <w:pPr>
              <w:pStyle w:val="C-TableText"/>
              <w:spacing w:before="0" w:after="0" w:line="276" w:lineRule="auto"/>
              <w:rPr>
                <w:rFonts w:asciiTheme="majorHAnsi" w:eastAsia="MS Mincho" w:hAnsiTheme="majorHAnsi"/>
                <w:szCs w:val="22"/>
              </w:rPr>
            </w:pPr>
            <w:r w:rsidRPr="006235F7">
              <w:rPr>
                <w:rFonts w:asciiTheme="majorHAnsi" w:eastAsia="MS Mincho" w:hAnsiTheme="majorHAnsi"/>
                <w:szCs w:val="22"/>
              </w:rPr>
              <w:t xml:space="preserve">     </w:t>
            </w:r>
            <w:r w:rsidRPr="006235F7">
              <w:rPr>
                <w:rFonts w:asciiTheme="majorHAnsi" w:eastAsia="MS Mincho" w:hAnsiTheme="majorHAnsi"/>
                <w:szCs w:val="22"/>
                <w:lang w:val="en-US"/>
              </w:rPr>
              <w:t>On</w:t>
            </w:r>
            <w:r w:rsidRPr="006235F7">
              <w:rPr>
                <w:rFonts w:asciiTheme="majorHAnsi" w:eastAsia="MS Mincho" w:hAnsiTheme="majorHAnsi"/>
                <w:szCs w:val="22"/>
              </w:rPr>
              <w:t xml:space="preserve"> </w:t>
            </w:r>
            <w:r w:rsidR="00B249B7" w:rsidRPr="006235F7">
              <w:rPr>
                <w:rFonts w:asciiTheme="majorHAnsi" w:hAnsiTheme="majorHAnsi"/>
                <w:szCs w:val="22"/>
                <w:lang w:val="en-AU"/>
              </w:rPr>
              <w:t>Soliris</w:t>
            </w:r>
            <w:r w:rsidRPr="006235F7">
              <w:rPr>
                <w:rFonts w:asciiTheme="majorHAnsi" w:eastAsia="MS Mincho" w:hAnsiTheme="majorHAnsi"/>
                <w:szCs w:val="22"/>
              </w:rPr>
              <w:t xml:space="preserve"> </w:t>
            </w:r>
            <w:r w:rsidRPr="006235F7">
              <w:rPr>
                <w:rFonts w:asciiTheme="majorHAnsi" w:eastAsia="MS Mincho" w:hAnsiTheme="majorHAnsi"/>
                <w:szCs w:val="22"/>
                <w:lang w:val="en-US"/>
              </w:rPr>
              <w:t>treatment</w:t>
            </w:r>
            <w:r w:rsidRPr="006235F7">
              <w:rPr>
                <w:rFonts w:asciiTheme="majorHAnsi" w:eastAsia="MS Mincho" w:hAnsiTheme="majorHAnsi"/>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2178EB" w14:textId="77777777" w:rsidR="00863F51" w:rsidRPr="006235F7" w:rsidRDefault="00863F51" w:rsidP="006C5055">
            <w:pPr>
              <w:pStyle w:val="C-BodyText"/>
              <w:spacing w:before="0" w:after="0"/>
              <w:jc w:val="center"/>
              <w:rPr>
                <w:rFonts w:asciiTheme="majorHAnsi" w:hAnsiTheme="majorHAnsi"/>
                <w:sz w:val="22"/>
                <w:szCs w:val="22"/>
              </w:rPr>
            </w:pPr>
          </w:p>
          <w:p w14:paraId="2F28BDD1"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0.63 (0, 1.38)</w:t>
            </w:r>
          </w:p>
          <w:p w14:paraId="4906CAB9" w14:textId="77777777" w:rsidR="00863F51" w:rsidRPr="006235F7" w:rsidRDefault="00863F51" w:rsidP="006C5055">
            <w:pPr>
              <w:pStyle w:val="C-BodyText"/>
              <w:spacing w:before="0" w:after="0"/>
              <w:jc w:val="center"/>
              <w:rPr>
                <w:rFonts w:asciiTheme="majorHAnsi" w:hAnsiTheme="majorHAnsi"/>
                <w:sz w:val="22"/>
                <w:szCs w:val="22"/>
              </w:rPr>
            </w:pPr>
            <w:r w:rsidRPr="006235F7">
              <w:rPr>
                <w:rFonts w:asciiTheme="majorHAnsi" w:hAnsiTheme="majorHAnsi"/>
                <w:sz w:val="22"/>
                <w:szCs w:val="22"/>
              </w:rPr>
              <w:t>0 (0, 0.59)</w:t>
            </w:r>
          </w:p>
        </w:tc>
      </w:tr>
    </w:tbl>
    <w:p w14:paraId="10A6E16B" w14:textId="77777777" w:rsidR="00863F51" w:rsidRPr="0039396F" w:rsidRDefault="00863F51" w:rsidP="001B4216">
      <w:pPr>
        <w:pStyle w:val="Default"/>
        <w:spacing w:before="240"/>
        <w:rPr>
          <w:rFonts w:asciiTheme="majorHAnsi" w:hAnsiTheme="majorHAnsi" w:cs="Times New Roman"/>
          <w:b/>
          <w:color w:val="auto"/>
        </w:rPr>
      </w:pPr>
      <w:r w:rsidRPr="0039396F">
        <w:rPr>
          <w:rFonts w:asciiTheme="majorHAnsi" w:hAnsiTheme="majorHAnsi" w:cs="Times New Roman"/>
        </w:rPr>
        <w:t xml:space="preserve">Longer term treatment with </w:t>
      </w:r>
      <w:r w:rsidR="00B249B7" w:rsidRPr="0039396F">
        <w:rPr>
          <w:rFonts w:asciiTheme="majorHAnsi" w:hAnsiTheme="majorHAnsi" w:cs="Times New Roman"/>
          <w:color w:val="auto"/>
          <w:lang w:val="en-AU"/>
        </w:rPr>
        <w:t>Soliris</w:t>
      </w:r>
      <w:r w:rsidRPr="0039396F">
        <w:rPr>
          <w:rFonts w:asciiTheme="majorHAnsi" w:hAnsiTheme="majorHAnsi" w:cs="Times New Roman"/>
        </w:rPr>
        <w:t xml:space="preserve"> (median 52 weeks. ranging from 15 to 126 weeks) was associated with an increased rate of clinically meaningful improvements. When </w:t>
      </w:r>
      <w:r w:rsidR="00B249B7" w:rsidRPr="0039396F">
        <w:rPr>
          <w:rFonts w:asciiTheme="majorHAnsi" w:hAnsiTheme="majorHAnsi" w:cs="Times New Roman"/>
          <w:color w:val="auto"/>
          <w:lang w:val="en-AU"/>
        </w:rPr>
        <w:t>Soliris</w:t>
      </w:r>
      <w:r w:rsidRPr="0039396F">
        <w:rPr>
          <w:rFonts w:asciiTheme="majorHAnsi" w:hAnsiTheme="majorHAnsi" w:cs="Times New Roman"/>
        </w:rPr>
        <w:t xml:space="preserve"> treatment was continued for more than 26 weeks, 3 additional patients (63% of patients in total) achieved Complete TMA response and 4 additional patients (98% of patients in total) achieved </w:t>
      </w:r>
      <w:proofErr w:type="spellStart"/>
      <w:r w:rsidRPr="0039396F">
        <w:rPr>
          <w:rFonts w:asciiTheme="majorHAnsi" w:hAnsiTheme="majorHAnsi" w:cs="Times New Roman"/>
        </w:rPr>
        <w:t>haematologic</w:t>
      </w:r>
      <w:proofErr w:type="spellEnd"/>
      <w:r w:rsidRPr="0039396F">
        <w:rPr>
          <w:rFonts w:asciiTheme="majorHAnsi" w:hAnsiTheme="majorHAnsi" w:cs="Times New Roman"/>
        </w:rPr>
        <w:t xml:space="preserve"> </w:t>
      </w:r>
      <w:proofErr w:type="spellStart"/>
      <w:r w:rsidR="004317FB" w:rsidRPr="0039396F">
        <w:rPr>
          <w:rFonts w:asciiTheme="majorHAnsi" w:hAnsiTheme="majorHAnsi" w:cs="Times New Roman"/>
        </w:rPr>
        <w:t>normali</w:t>
      </w:r>
      <w:r w:rsidR="004317FB">
        <w:rPr>
          <w:rFonts w:asciiTheme="majorHAnsi" w:hAnsiTheme="majorHAnsi" w:cs="Times New Roman"/>
        </w:rPr>
        <w:t>s</w:t>
      </w:r>
      <w:r w:rsidR="004317FB" w:rsidRPr="0039396F">
        <w:rPr>
          <w:rFonts w:asciiTheme="majorHAnsi" w:hAnsiTheme="majorHAnsi" w:cs="Times New Roman"/>
        </w:rPr>
        <w:t>ation</w:t>
      </w:r>
      <w:proofErr w:type="spellEnd"/>
      <w:r w:rsidRPr="0039396F">
        <w:rPr>
          <w:rFonts w:asciiTheme="majorHAnsi" w:hAnsiTheme="majorHAnsi" w:cs="Times New Roman"/>
        </w:rPr>
        <w:t>. At the last evaluation, 25 of 41 patients (61%) achieved eGFR improvement of ≥ 15 mL/min/1.73 m</w:t>
      </w:r>
      <w:r w:rsidRPr="0039396F">
        <w:rPr>
          <w:rFonts w:asciiTheme="majorHAnsi" w:hAnsiTheme="majorHAnsi" w:cs="Times New Roman"/>
          <w:vertAlign w:val="superscript"/>
        </w:rPr>
        <w:t>2</w:t>
      </w:r>
      <w:r w:rsidRPr="0039396F">
        <w:rPr>
          <w:rFonts w:asciiTheme="majorHAnsi" w:hAnsiTheme="majorHAnsi" w:cs="Times New Roman"/>
        </w:rPr>
        <w:t xml:space="preserve"> from baseline.</w:t>
      </w:r>
    </w:p>
    <w:p w14:paraId="6D228841" w14:textId="7730038C" w:rsidR="002F6E56" w:rsidRPr="002F6E56" w:rsidRDefault="002F6E56" w:rsidP="0098396D">
      <w:pPr>
        <w:pageBreakBefore/>
        <w:autoSpaceDE w:val="0"/>
        <w:autoSpaceDN w:val="0"/>
        <w:adjustRightInd w:val="0"/>
        <w:spacing w:before="360" w:after="120"/>
        <w:rPr>
          <w:rFonts w:asciiTheme="majorHAnsi" w:hAnsiTheme="majorHAnsi" w:cs="Times New Roman"/>
          <w:b/>
          <w:szCs w:val="24"/>
        </w:rPr>
      </w:pPr>
      <w:r w:rsidRPr="002F6E56">
        <w:rPr>
          <w:rFonts w:asciiTheme="majorHAnsi" w:hAnsiTheme="majorHAnsi" w:cs="Times New Roman"/>
          <w:b/>
          <w:szCs w:val="24"/>
        </w:rPr>
        <w:lastRenderedPageBreak/>
        <w:t xml:space="preserve">Neuromyelitis </w:t>
      </w:r>
      <w:r w:rsidR="005547CC">
        <w:rPr>
          <w:rFonts w:asciiTheme="majorHAnsi" w:hAnsiTheme="majorHAnsi" w:cs="Times New Roman"/>
          <w:b/>
          <w:szCs w:val="24"/>
        </w:rPr>
        <w:t>O</w:t>
      </w:r>
      <w:r w:rsidRPr="002F6E56">
        <w:rPr>
          <w:rFonts w:asciiTheme="majorHAnsi" w:hAnsiTheme="majorHAnsi" w:cs="Times New Roman"/>
          <w:b/>
          <w:szCs w:val="24"/>
        </w:rPr>
        <w:t xml:space="preserve">ptica </w:t>
      </w:r>
      <w:r w:rsidR="005547CC">
        <w:rPr>
          <w:rFonts w:asciiTheme="majorHAnsi" w:hAnsiTheme="majorHAnsi" w:cs="Times New Roman"/>
          <w:b/>
          <w:szCs w:val="24"/>
        </w:rPr>
        <w:t>S</w:t>
      </w:r>
      <w:r w:rsidRPr="002F6E56">
        <w:rPr>
          <w:rFonts w:asciiTheme="majorHAnsi" w:hAnsiTheme="majorHAnsi" w:cs="Times New Roman"/>
          <w:b/>
          <w:szCs w:val="24"/>
        </w:rPr>
        <w:t xml:space="preserve">pectrum </w:t>
      </w:r>
      <w:r w:rsidR="005547CC">
        <w:rPr>
          <w:rFonts w:asciiTheme="majorHAnsi" w:hAnsiTheme="majorHAnsi" w:cs="Times New Roman"/>
          <w:b/>
          <w:szCs w:val="24"/>
        </w:rPr>
        <w:t>D</w:t>
      </w:r>
      <w:r w:rsidRPr="002F6E56">
        <w:rPr>
          <w:rFonts w:asciiTheme="majorHAnsi" w:hAnsiTheme="majorHAnsi" w:cs="Times New Roman"/>
          <w:b/>
          <w:szCs w:val="24"/>
        </w:rPr>
        <w:t xml:space="preserve">isorder </w:t>
      </w:r>
      <w:r w:rsidR="00345186">
        <w:rPr>
          <w:rFonts w:asciiTheme="majorHAnsi" w:hAnsiTheme="majorHAnsi" w:cs="Times New Roman"/>
          <w:b/>
          <w:szCs w:val="24"/>
        </w:rPr>
        <w:t>(NMOSD)</w:t>
      </w:r>
    </w:p>
    <w:p w14:paraId="0539CC7C" w14:textId="77777777" w:rsidR="00A97F07" w:rsidRPr="003C7452" w:rsidRDefault="00A97F07" w:rsidP="007C59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heme="majorHAnsi" w:hAnsiTheme="majorHAnsi" w:cs="Arial"/>
          <w:b/>
          <w:i/>
          <w:szCs w:val="24"/>
          <w:u w:val="single"/>
        </w:rPr>
      </w:pPr>
      <w:r w:rsidRPr="003C7452">
        <w:rPr>
          <w:rFonts w:asciiTheme="majorHAnsi" w:hAnsiTheme="majorHAnsi" w:cs="Arial"/>
          <w:b/>
          <w:i/>
          <w:szCs w:val="24"/>
          <w:u w:val="single"/>
        </w:rPr>
        <w:t>Trial Design and Study Demographics</w:t>
      </w:r>
    </w:p>
    <w:p w14:paraId="1516EFC0" w14:textId="331898C5" w:rsidR="00A97F07" w:rsidRDefault="00A97F07" w:rsidP="00A97F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Cs w:val="24"/>
        </w:rPr>
      </w:pPr>
      <w:r w:rsidRPr="003C7452">
        <w:rPr>
          <w:rFonts w:asciiTheme="majorHAnsi" w:hAnsiTheme="majorHAnsi" w:cs="Arial"/>
          <w:szCs w:val="24"/>
        </w:rPr>
        <w:t>S</w:t>
      </w:r>
      <w:r w:rsidR="000665B5">
        <w:rPr>
          <w:rFonts w:asciiTheme="majorHAnsi" w:hAnsiTheme="majorHAnsi" w:cs="Arial"/>
          <w:szCs w:val="24"/>
        </w:rPr>
        <w:t>oliris</w:t>
      </w:r>
      <w:r w:rsidRPr="003C7452">
        <w:rPr>
          <w:rFonts w:asciiTheme="majorHAnsi" w:hAnsiTheme="majorHAnsi" w:cs="Arial"/>
          <w:szCs w:val="24"/>
        </w:rPr>
        <w:t xml:space="preserve"> was studied in a clinical trial in patients with NMOSD who were anti-aquaporin-4 (AQP4) antibody-positive.</w:t>
      </w:r>
    </w:p>
    <w:p w14:paraId="23381F1A" w14:textId="0805021B" w:rsidR="003C7452" w:rsidRPr="003C7452" w:rsidRDefault="003C7452" w:rsidP="003C7452">
      <w:pPr>
        <w:pStyle w:val="Caption"/>
        <w:spacing w:before="240" w:after="120"/>
        <w:rPr>
          <w:szCs w:val="24"/>
        </w:rPr>
      </w:pPr>
      <w:r w:rsidRPr="003C7452">
        <w:rPr>
          <w:szCs w:val="24"/>
        </w:rPr>
        <w:t xml:space="preserve">Table </w:t>
      </w:r>
      <w:r w:rsidR="00345186">
        <w:rPr>
          <w:szCs w:val="24"/>
        </w:rPr>
        <w:fldChar w:fldCharType="begin"/>
      </w:r>
      <w:r w:rsidR="00345186">
        <w:rPr>
          <w:szCs w:val="24"/>
        </w:rPr>
        <w:instrText xml:space="preserve"> SEQ Table \* ARABIC </w:instrText>
      </w:r>
      <w:r w:rsidR="00345186">
        <w:rPr>
          <w:szCs w:val="24"/>
        </w:rPr>
        <w:fldChar w:fldCharType="separate"/>
      </w:r>
      <w:r w:rsidR="00345186">
        <w:rPr>
          <w:noProof/>
          <w:szCs w:val="24"/>
        </w:rPr>
        <w:t>16</w:t>
      </w:r>
      <w:r w:rsidR="00345186">
        <w:rPr>
          <w:szCs w:val="24"/>
        </w:rPr>
        <w:fldChar w:fldCharType="end"/>
      </w:r>
      <w:r w:rsidRPr="003C7452">
        <w:rPr>
          <w:szCs w:val="24"/>
        </w:rPr>
        <w:t xml:space="preserve">: </w:t>
      </w:r>
      <w:r w:rsidRPr="003C7452">
        <w:rPr>
          <w:rFonts w:cs="Arial"/>
          <w:szCs w:val="24"/>
        </w:rPr>
        <w:t>Summary of Patient Demographics for Clinical Trial</w:t>
      </w:r>
      <w:r w:rsidR="009F685D">
        <w:rPr>
          <w:rFonts w:cs="Arial"/>
          <w:szCs w:val="24"/>
        </w:rPr>
        <w:t>s</w:t>
      </w:r>
      <w:r w:rsidRPr="003C7452">
        <w:rPr>
          <w:rFonts w:cs="Arial"/>
          <w:szCs w:val="24"/>
        </w:rPr>
        <w:t xml:space="preserve"> in NMOSD</w:t>
      </w:r>
    </w:p>
    <w:tbl>
      <w:tblPr>
        <w:tblStyle w:val="TableGrid"/>
        <w:tblW w:w="10038" w:type="dxa"/>
        <w:tblInd w:w="-289" w:type="dxa"/>
        <w:tblLook w:val="04A0" w:firstRow="1" w:lastRow="0" w:firstColumn="1" w:lastColumn="0" w:noHBand="0" w:noVBand="1"/>
      </w:tblPr>
      <w:tblGrid>
        <w:gridCol w:w="812"/>
        <w:gridCol w:w="1546"/>
        <w:gridCol w:w="1839"/>
        <w:gridCol w:w="1080"/>
        <w:gridCol w:w="950"/>
        <w:gridCol w:w="961"/>
        <w:gridCol w:w="1460"/>
        <w:gridCol w:w="1390"/>
      </w:tblGrid>
      <w:tr w:rsidR="00121C38" w:rsidRPr="003C7452" w14:paraId="0C112A25" w14:textId="04D35B7A" w:rsidTr="00121C38">
        <w:tc>
          <w:tcPr>
            <w:tcW w:w="812" w:type="dxa"/>
            <w:vAlign w:val="center"/>
          </w:tcPr>
          <w:p w14:paraId="780A613F" w14:textId="766DD516"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Study</w:t>
            </w:r>
          </w:p>
        </w:tc>
        <w:tc>
          <w:tcPr>
            <w:tcW w:w="1546" w:type="dxa"/>
            <w:vAlign w:val="center"/>
          </w:tcPr>
          <w:p w14:paraId="4141B2CF" w14:textId="6E94AFF7"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Trial Design</w:t>
            </w:r>
          </w:p>
        </w:tc>
        <w:tc>
          <w:tcPr>
            <w:tcW w:w="1839" w:type="dxa"/>
            <w:vAlign w:val="center"/>
          </w:tcPr>
          <w:p w14:paraId="10759208" w14:textId="592F840D"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Dosage and Route of Administration</w:t>
            </w:r>
          </w:p>
        </w:tc>
        <w:tc>
          <w:tcPr>
            <w:tcW w:w="1080" w:type="dxa"/>
            <w:vAlign w:val="center"/>
          </w:tcPr>
          <w:p w14:paraId="097006CA" w14:textId="0EE9C12A"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Number of Study Subjects</w:t>
            </w:r>
          </w:p>
        </w:tc>
        <w:tc>
          <w:tcPr>
            <w:tcW w:w="950" w:type="dxa"/>
            <w:vAlign w:val="center"/>
          </w:tcPr>
          <w:p w14:paraId="29C12A9B" w14:textId="38A424F3"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Mean Age (years)</w:t>
            </w:r>
          </w:p>
        </w:tc>
        <w:tc>
          <w:tcPr>
            <w:tcW w:w="961" w:type="dxa"/>
            <w:vAlign w:val="center"/>
          </w:tcPr>
          <w:p w14:paraId="728C5120" w14:textId="0C2A5D11" w:rsidR="00B156BF" w:rsidRPr="007F4E2A" w:rsidRDefault="00B156BF" w:rsidP="003C7452">
            <w:pPr>
              <w:jc w:val="center"/>
              <w:rPr>
                <w:rFonts w:asciiTheme="majorHAnsi" w:hAnsiTheme="majorHAnsi"/>
                <w:sz w:val="22"/>
                <w:lang w:val="en-GB"/>
              </w:rPr>
            </w:pPr>
            <w:r w:rsidRPr="007F4E2A">
              <w:rPr>
                <w:rFonts w:asciiTheme="majorHAnsi" w:hAnsiTheme="majorHAnsi" w:cs="Arial"/>
                <w:b/>
                <w:sz w:val="22"/>
              </w:rPr>
              <w:t>Sex</w:t>
            </w:r>
          </w:p>
        </w:tc>
        <w:tc>
          <w:tcPr>
            <w:tcW w:w="1460" w:type="dxa"/>
          </w:tcPr>
          <w:p w14:paraId="3B690088" w14:textId="60651C57" w:rsidR="00B156BF" w:rsidRPr="007F4E2A" w:rsidRDefault="00B156BF" w:rsidP="003C7452">
            <w:pPr>
              <w:jc w:val="center"/>
              <w:rPr>
                <w:rFonts w:asciiTheme="majorHAnsi" w:hAnsiTheme="majorHAnsi" w:cs="Arial"/>
                <w:b/>
                <w:bCs/>
                <w:sz w:val="22"/>
              </w:rPr>
            </w:pPr>
            <w:r w:rsidRPr="007F4E2A">
              <w:rPr>
                <w:rFonts w:asciiTheme="majorHAnsi" w:hAnsiTheme="majorHAnsi" w:cs="Arial"/>
                <w:b/>
                <w:bCs/>
                <w:sz w:val="22"/>
              </w:rPr>
              <w:t xml:space="preserve">Historical </w:t>
            </w:r>
            <w:proofErr w:type="spellStart"/>
            <w:r w:rsidRPr="007F4E2A">
              <w:rPr>
                <w:rFonts w:asciiTheme="majorHAnsi" w:hAnsiTheme="majorHAnsi" w:cs="Arial"/>
                <w:b/>
                <w:bCs/>
                <w:sz w:val="22"/>
              </w:rPr>
              <w:t>Annualised</w:t>
            </w:r>
            <w:proofErr w:type="spellEnd"/>
            <w:r w:rsidRPr="007F4E2A">
              <w:rPr>
                <w:rFonts w:asciiTheme="majorHAnsi" w:hAnsiTheme="majorHAnsi" w:cs="Arial"/>
                <w:b/>
                <w:bCs/>
                <w:sz w:val="22"/>
              </w:rPr>
              <w:t xml:space="preserve"> Relapse Rate (ARR)</w:t>
            </w:r>
          </w:p>
        </w:tc>
        <w:tc>
          <w:tcPr>
            <w:tcW w:w="1390" w:type="dxa"/>
          </w:tcPr>
          <w:p w14:paraId="46463780" w14:textId="5AE5077D" w:rsidR="00B156BF" w:rsidRPr="007F4E2A" w:rsidRDefault="00B156BF" w:rsidP="003C7452">
            <w:pPr>
              <w:jc w:val="center"/>
              <w:rPr>
                <w:rFonts w:asciiTheme="majorHAnsi" w:hAnsiTheme="majorHAnsi" w:cs="Arial"/>
                <w:b/>
                <w:bCs/>
                <w:sz w:val="22"/>
              </w:rPr>
            </w:pPr>
            <w:r w:rsidRPr="007F4E2A">
              <w:rPr>
                <w:rFonts w:asciiTheme="majorHAnsi" w:hAnsiTheme="majorHAnsi"/>
                <w:b/>
                <w:bCs/>
                <w:sz w:val="22"/>
              </w:rPr>
              <w:t>Expanded Disability Status Sc</w:t>
            </w:r>
            <w:r w:rsidR="00000511">
              <w:rPr>
                <w:rFonts w:asciiTheme="majorHAnsi" w:hAnsiTheme="majorHAnsi"/>
                <w:b/>
                <w:bCs/>
                <w:sz w:val="22"/>
              </w:rPr>
              <w:t>al</w:t>
            </w:r>
            <w:r w:rsidRPr="007F4E2A">
              <w:rPr>
                <w:rFonts w:asciiTheme="majorHAnsi" w:hAnsiTheme="majorHAnsi"/>
                <w:b/>
                <w:bCs/>
                <w:sz w:val="22"/>
              </w:rPr>
              <w:t>e (EDSS)</w:t>
            </w:r>
          </w:p>
        </w:tc>
      </w:tr>
      <w:tr w:rsidR="00121C38" w:rsidRPr="003C7452" w14:paraId="08F79E07" w14:textId="0ECBF807" w:rsidTr="00121C38">
        <w:tc>
          <w:tcPr>
            <w:tcW w:w="812" w:type="dxa"/>
          </w:tcPr>
          <w:p w14:paraId="098A881D" w14:textId="11967088" w:rsidR="00B156BF" w:rsidRPr="003C7452" w:rsidRDefault="00B156BF" w:rsidP="003C7452">
            <w:pPr>
              <w:rPr>
                <w:rFonts w:asciiTheme="majorHAnsi" w:hAnsiTheme="majorHAnsi"/>
                <w:lang w:val="en-GB"/>
              </w:rPr>
            </w:pPr>
            <w:r w:rsidRPr="003C7452">
              <w:rPr>
                <w:rFonts w:asciiTheme="majorHAnsi" w:hAnsiTheme="majorHAnsi" w:cs="Arial"/>
                <w:szCs w:val="22"/>
              </w:rPr>
              <w:t>ECU-NMO-301</w:t>
            </w:r>
          </w:p>
        </w:tc>
        <w:tc>
          <w:tcPr>
            <w:tcW w:w="1546" w:type="dxa"/>
          </w:tcPr>
          <w:p w14:paraId="22947CA1" w14:textId="7718B308" w:rsidR="00B156BF" w:rsidRPr="003C7452" w:rsidRDefault="00B156BF" w:rsidP="003C7452">
            <w:pPr>
              <w:rPr>
                <w:rFonts w:asciiTheme="majorHAnsi" w:hAnsiTheme="majorHAnsi"/>
                <w:lang w:val="en-GB"/>
              </w:rPr>
            </w:pPr>
            <w:proofErr w:type="spellStart"/>
            <w:r>
              <w:rPr>
                <w:rFonts w:asciiTheme="majorHAnsi" w:hAnsiTheme="majorHAnsi" w:cs="Arial"/>
                <w:szCs w:val="22"/>
              </w:rPr>
              <w:t>Randomis</w:t>
            </w:r>
            <w:r w:rsidRPr="003C7452">
              <w:rPr>
                <w:rFonts w:asciiTheme="majorHAnsi" w:hAnsiTheme="majorHAnsi" w:cs="Arial"/>
                <w:szCs w:val="22"/>
              </w:rPr>
              <w:t>ed</w:t>
            </w:r>
            <w:proofErr w:type="spellEnd"/>
            <w:r w:rsidRPr="003C7452">
              <w:rPr>
                <w:rFonts w:asciiTheme="majorHAnsi" w:hAnsiTheme="majorHAnsi" w:cs="Arial"/>
                <w:szCs w:val="22"/>
              </w:rPr>
              <w:t xml:space="preserve">, double-blind, placebo-controlled, </w:t>
            </w:r>
            <w:proofErr w:type="spellStart"/>
            <w:r w:rsidRPr="003C7452">
              <w:rPr>
                <w:rFonts w:asciiTheme="majorHAnsi" w:hAnsiTheme="majorHAnsi" w:cs="Arial"/>
                <w:szCs w:val="22"/>
              </w:rPr>
              <w:t>multicentre</w:t>
            </w:r>
            <w:proofErr w:type="spellEnd"/>
            <w:r w:rsidRPr="003C7452">
              <w:rPr>
                <w:rFonts w:asciiTheme="majorHAnsi" w:hAnsiTheme="majorHAnsi" w:cs="Arial"/>
                <w:szCs w:val="22"/>
              </w:rPr>
              <w:t>, Phase III</w:t>
            </w:r>
          </w:p>
        </w:tc>
        <w:tc>
          <w:tcPr>
            <w:tcW w:w="1839" w:type="dxa"/>
          </w:tcPr>
          <w:p w14:paraId="507A1271"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Cs w:val="22"/>
              </w:rPr>
            </w:pPr>
            <w:r w:rsidRPr="003C7452">
              <w:rPr>
                <w:rFonts w:asciiTheme="majorHAnsi" w:hAnsiTheme="majorHAnsi" w:cs="Arial"/>
                <w:szCs w:val="22"/>
              </w:rPr>
              <w:t>Dosage:</w:t>
            </w:r>
          </w:p>
          <w:p w14:paraId="762269AA"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Cs w:val="22"/>
              </w:rPr>
            </w:pPr>
            <w:r w:rsidRPr="003C7452">
              <w:rPr>
                <w:rFonts w:asciiTheme="majorHAnsi" w:hAnsiTheme="majorHAnsi" w:cs="Arial"/>
                <w:szCs w:val="22"/>
              </w:rPr>
              <w:t xml:space="preserve">900 mg every 7 ± 2 days for 4 weeks, followed by 1200 mg every 14 ± 2 days </w:t>
            </w:r>
          </w:p>
          <w:p w14:paraId="213C9F30"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Cs w:val="22"/>
              </w:rPr>
            </w:pPr>
          </w:p>
          <w:p w14:paraId="2DB3B4CD"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Cs w:val="22"/>
              </w:rPr>
            </w:pPr>
            <w:r w:rsidRPr="003C7452">
              <w:rPr>
                <w:rFonts w:asciiTheme="majorHAnsi" w:hAnsiTheme="majorHAnsi" w:cs="Arial"/>
                <w:szCs w:val="22"/>
              </w:rPr>
              <w:t>Route of Administration:</w:t>
            </w:r>
          </w:p>
          <w:p w14:paraId="357DF9E4" w14:textId="622BF76F" w:rsidR="00B156BF" w:rsidRPr="003C7452" w:rsidRDefault="00B156BF" w:rsidP="003C7452">
            <w:pPr>
              <w:rPr>
                <w:rFonts w:asciiTheme="majorHAnsi" w:hAnsiTheme="majorHAnsi"/>
                <w:lang w:val="en-GB"/>
              </w:rPr>
            </w:pPr>
            <w:r w:rsidRPr="003C7452">
              <w:rPr>
                <w:rFonts w:asciiTheme="majorHAnsi" w:hAnsiTheme="majorHAnsi" w:cs="Arial"/>
                <w:szCs w:val="22"/>
              </w:rPr>
              <w:t>IV over 35 minutes</w:t>
            </w:r>
          </w:p>
        </w:tc>
        <w:tc>
          <w:tcPr>
            <w:tcW w:w="1080" w:type="dxa"/>
          </w:tcPr>
          <w:p w14:paraId="4BC04ACB"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r w:rsidRPr="003C7452">
              <w:rPr>
                <w:rFonts w:asciiTheme="majorHAnsi" w:hAnsiTheme="majorHAnsi" w:cs="Arial"/>
                <w:szCs w:val="22"/>
              </w:rPr>
              <w:t>143</w:t>
            </w:r>
          </w:p>
          <w:p w14:paraId="2B02360C"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p>
          <w:p w14:paraId="0EE03E35" w14:textId="49C9DF2D"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r w:rsidRPr="003C7452">
              <w:rPr>
                <w:rFonts w:asciiTheme="majorHAnsi" w:hAnsiTheme="majorHAnsi" w:cs="Arial"/>
                <w:szCs w:val="22"/>
                <w:u w:val="single"/>
              </w:rPr>
              <w:t>S</w:t>
            </w:r>
            <w:r>
              <w:rPr>
                <w:rFonts w:asciiTheme="majorHAnsi" w:hAnsiTheme="majorHAnsi" w:cs="Arial"/>
                <w:szCs w:val="22"/>
                <w:u w:val="single"/>
              </w:rPr>
              <w:t>oliris</w:t>
            </w:r>
            <w:r w:rsidRPr="003C7452">
              <w:rPr>
                <w:rFonts w:asciiTheme="majorHAnsi" w:hAnsiTheme="majorHAnsi" w:cs="Arial"/>
                <w:szCs w:val="22"/>
                <w:u w:val="single"/>
              </w:rPr>
              <w:t>:</w:t>
            </w:r>
            <w:r w:rsidRPr="003C7452">
              <w:rPr>
                <w:rFonts w:asciiTheme="majorHAnsi" w:hAnsiTheme="majorHAnsi" w:cs="Arial"/>
                <w:szCs w:val="22"/>
              </w:rPr>
              <w:t xml:space="preserve"> 96</w:t>
            </w:r>
          </w:p>
          <w:p w14:paraId="4BBF348B"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p>
          <w:p w14:paraId="3CE86BA8" w14:textId="014FA8AB" w:rsidR="00B156BF" w:rsidRPr="003C7452" w:rsidRDefault="00B156BF" w:rsidP="003C7452">
            <w:pPr>
              <w:jc w:val="center"/>
              <w:rPr>
                <w:rFonts w:asciiTheme="majorHAnsi" w:hAnsiTheme="majorHAnsi"/>
                <w:lang w:val="en-GB"/>
              </w:rPr>
            </w:pPr>
            <w:r w:rsidRPr="003C7452">
              <w:rPr>
                <w:rFonts w:asciiTheme="majorHAnsi" w:hAnsiTheme="majorHAnsi" w:cs="Arial"/>
                <w:szCs w:val="22"/>
                <w:u w:val="single"/>
              </w:rPr>
              <w:t>Placebo:</w:t>
            </w:r>
            <w:r w:rsidRPr="003C7452">
              <w:rPr>
                <w:rFonts w:asciiTheme="majorHAnsi" w:hAnsiTheme="majorHAnsi" w:cs="Arial"/>
                <w:szCs w:val="22"/>
              </w:rPr>
              <w:t xml:space="preserve"> 47</w:t>
            </w:r>
          </w:p>
        </w:tc>
        <w:tc>
          <w:tcPr>
            <w:tcW w:w="950" w:type="dxa"/>
          </w:tcPr>
          <w:p w14:paraId="6806585F"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r w:rsidRPr="003C7452">
              <w:rPr>
                <w:rFonts w:asciiTheme="majorHAnsi" w:hAnsiTheme="majorHAnsi" w:cs="Arial"/>
                <w:szCs w:val="22"/>
              </w:rPr>
              <w:t>44</w:t>
            </w:r>
          </w:p>
          <w:p w14:paraId="567933D1" w14:textId="77777777" w:rsidR="00B156BF" w:rsidRPr="003C7452" w:rsidRDefault="00B156BF"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szCs w:val="22"/>
              </w:rPr>
            </w:pPr>
          </w:p>
          <w:p w14:paraId="3B76DEFA" w14:textId="02C5AF2C" w:rsidR="00B156BF" w:rsidRPr="003C7452" w:rsidRDefault="00B156BF" w:rsidP="003C7452">
            <w:pPr>
              <w:jc w:val="center"/>
              <w:rPr>
                <w:rFonts w:asciiTheme="majorHAnsi" w:hAnsiTheme="majorHAnsi"/>
                <w:lang w:val="en-GB"/>
              </w:rPr>
            </w:pPr>
            <w:r w:rsidRPr="003C7452">
              <w:rPr>
                <w:rFonts w:asciiTheme="majorHAnsi" w:hAnsiTheme="majorHAnsi" w:cs="Arial"/>
                <w:szCs w:val="22"/>
              </w:rPr>
              <w:t xml:space="preserve">Range: </w:t>
            </w:r>
            <w:r w:rsidRPr="003C7452">
              <w:rPr>
                <w:rFonts w:asciiTheme="majorHAnsi" w:hAnsiTheme="majorHAnsi" w:cs="Arial"/>
                <w:szCs w:val="22"/>
              </w:rPr>
              <w:br/>
              <w:t>19-75</w:t>
            </w:r>
          </w:p>
        </w:tc>
        <w:tc>
          <w:tcPr>
            <w:tcW w:w="961" w:type="dxa"/>
          </w:tcPr>
          <w:p w14:paraId="5A54F995" w14:textId="74DDE114" w:rsidR="00B156BF" w:rsidRPr="003C7452" w:rsidRDefault="00B156BF" w:rsidP="003C7452">
            <w:pPr>
              <w:jc w:val="center"/>
              <w:rPr>
                <w:rFonts w:asciiTheme="majorHAnsi" w:hAnsiTheme="majorHAnsi"/>
                <w:lang w:val="en-GB"/>
              </w:rPr>
            </w:pPr>
            <w:r w:rsidRPr="003C7452">
              <w:rPr>
                <w:rFonts w:asciiTheme="majorHAnsi" w:hAnsiTheme="majorHAnsi" w:cs="Arial"/>
                <w:szCs w:val="22"/>
              </w:rPr>
              <w:t>Female 90.9%</w:t>
            </w:r>
          </w:p>
        </w:tc>
        <w:tc>
          <w:tcPr>
            <w:tcW w:w="1460" w:type="dxa"/>
          </w:tcPr>
          <w:p w14:paraId="22910AB1" w14:textId="77777777" w:rsidR="00B156BF" w:rsidRDefault="006D2AB7" w:rsidP="003C7452">
            <w:pPr>
              <w:jc w:val="center"/>
              <w:rPr>
                <w:rFonts w:asciiTheme="majorHAnsi" w:hAnsiTheme="majorHAnsi" w:cs="Arial"/>
                <w:szCs w:val="22"/>
                <w:u w:val="single"/>
              </w:rPr>
            </w:pPr>
            <w:r w:rsidRPr="003C7452">
              <w:rPr>
                <w:rFonts w:asciiTheme="majorHAnsi" w:hAnsiTheme="majorHAnsi" w:cs="Arial"/>
                <w:szCs w:val="22"/>
                <w:u w:val="single"/>
              </w:rPr>
              <w:t>S</w:t>
            </w:r>
            <w:r>
              <w:rPr>
                <w:rFonts w:asciiTheme="majorHAnsi" w:hAnsiTheme="majorHAnsi" w:cs="Arial"/>
                <w:szCs w:val="22"/>
                <w:u w:val="single"/>
              </w:rPr>
              <w:t>oliris</w:t>
            </w:r>
            <w:r w:rsidRPr="003C7452">
              <w:rPr>
                <w:rFonts w:asciiTheme="majorHAnsi" w:hAnsiTheme="majorHAnsi" w:cs="Arial"/>
                <w:szCs w:val="22"/>
                <w:u w:val="single"/>
              </w:rPr>
              <w:t>:</w:t>
            </w:r>
          </w:p>
          <w:p w14:paraId="1CD3CC19" w14:textId="45B1CC73" w:rsidR="006D2AB7" w:rsidRDefault="006D2AB7" w:rsidP="003C7452">
            <w:pPr>
              <w:jc w:val="center"/>
              <w:rPr>
                <w:rFonts w:asciiTheme="majorHAnsi" w:hAnsiTheme="majorHAnsi" w:cs="Arial"/>
                <w:u w:val="single"/>
              </w:rPr>
            </w:pPr>
            <w:r>
              <w:rPr>
                <w:rFonts w:asciiTheme="majorHAnsi" w:hAnsiTheme="majorHAnsi" w:cs="Arial"/>
                <w:u w:val="single"/>
              </w:rPr>
              <w:t xml:space="preserve">Mean (SD): </w:t>
            </w:r>
          </w:p>
          <w:p w14:paraId="1BAD545A" w14:textId="445B06F2" w:rsidR="006D2AB7" w:rsidRDefault="006D2AB7" w:rsidP="006D2AB7">
            <w:pPr>
              <w:jc w:val="center"/>
              <w:rPr>
                <w:sz w:val="20"/>
              </w:rPr>
            </w:pPr>
            <w:r w:rsidRPr="006D2AB7">
              <w:rPr>
                <w:rFonts w:asciiTheme="majorHAnsi" w:hAnsiTheme="majorHAnsi" w:cs="Arial"/>
                <w:szCs w:val="22"/>
                <w:u w:val="single"/>
              </w:rPr>
              <w:t xml:space="preserve">1.94 (0.896) </w:t>
            </w:r>
          </w:p>
          <w:p w14:paraId="7B1FFC12" w14:textId="56FC0189" w:rsidR="006D2AB7" w:rsidRDefault="006D2AB7" w:rsidP="003C7452">
            <w:pPr>
              <w:jc w:val="center"/>
              <w:rPr>
                <w:rFonts w:asciiTheme="majorHAnsi" w:hAnsiTheme="majorHAnsi" w:cs="Arial"/>
                <w:u w:val="single"/>
              </w:rPr>
            </w:pPr>
          </w:p>
          <w:p w14:paraId="06063245" w14:textId="77777777" w:rsidR="006D2AB7" w:rsidRDefault="006D2AB7" w:rsidP="003C7452">
            <w:pPr>
              <w:jc w:val="center"/>
              <w:rPr>
                <w:rFonts w:asciiTheme="majorHAnsi" w:hAnsiTheme="majorHAnsi" w:cs="Arial"/>
                <w:szCs w:val="22"/>
                <w:u w:val="single"/>
              </w:rPr>
            </w:pPr>
            <w:r w:rsidRPr="003C7452">
              <w:rPr>
                <w:rFonts w:asciiTheme="majorHAnsi" w:hAnsiTheme="majorHAnsi" w:cs="Arial"/>
                <w:szCs w:val="22"/>
                <w:u w:val="single"/>
              </w:rPr>
              <w:t>Placebo:</w:t>
            </w:r>
          </w:p>
          <w:p w14:paraId="36C336CA" w14:textId="77777777" w:rsidR="006D2AB7" w:rsidRPr="006D2AB7" w:rsidRDefault="006D2AB7" w:rsidP="006D2AB7">
            <w:pPr>
              <w:jc w:val="center"/>
              <w:rPr>
                <w:rFonts w:asciiTheme="majorHAnsi" w:hAnsiTheme="majorHAnsi" w:cs="Arial"/>
                <w:szCs w:val="22"/>
                <w:u w:val="single"/>
              </w:rPr>
            </w:pPr>
            <w:r w:rsidRPr="006D2AB7">
              <w:rPr>
                <w:rFonts w:asciiTheme="majorHAnsi" w:hAnsiTheme="majorHAnsi" w:cs="Arial"/>
                <w:szCs w:val="22"/>
                <w:u w:val="single"/>
              </w:rPr>
              <w:t xml:space="preserve">Mean (SD): </w:t>
            </w:r>
          </w:p>
          <w:p w14:paraId="41F6E5CE" w14:textId="7A19C649" w:rsidR="006D2AB7" w:rsidRPr="003C7452" w:rsidRDefault="006D2AB7" w:rsidP="006D2AB7">
            <w:pPr>
              <w:jc w:val="center"/>
              <w:rPr>
                <w:rFonts w:asciiTheme="majorHAnsi" w:hAnsiTheme="majorHAnsi" w:cs="Arial"/>
              </w:rPr>
            </w:pPr>
            <w:r w:rsidRPr="006D2AB7">
              <w:rPr>
                <w:rFonts w:asciiTheme="majorHAnsi" w:hAnsiTheme="majorHAnsi" w:cs="Arial"/>
                <w:szCs w:val="22"/>
                <w:u w:val="single"/>
              </w:rPr>
              <w:t>2.07 (1.037)</w:t>
            </w:r>
          </w:p>
        </w:tc>
        <w:tc>
          <w:tcPr>
            <w:tcW w:w="1390" w:type="dxa"/>
          </w:tcPr>
          <w:p w14:paraId="01E9AA6D" w14:textId="77777777" w:rsidR="00B156BF" w:rsidRPr="006D2AB7" w:rsidRDefault="006D2AB7" w:rsidP="003C7452">
            <w:pPr>
              <w:jc w:val="center"/>
              <w:rPr>
                <w:rFonts w:asciiTheme="majorHAnsi" w:hAnsiTheme="majorHAnsi" w:cs="Arial"/>
                <w:u w:val="single"/>
              </w:rPr>
            </w:pPr>
            <w:r w:rsidRPr="006D2AB7">
              <w:rPr>
                <w:rFonts w:asciiTheme="majorHAnsi" w:hAnsiTheme="majorHAnsi" w:cs="Arial"/>
                <w:u w:val="single"/>
              </w:rPr>
              <w:t>Soliris:</w:t>
            </w:r>
          </w:p>
          <w:p w14:paraId="1F6E4C9C" w14:textId="6D512543" w:rsidR="006D2AB7" w:rsidRDefault="006D2AB7" w:rsidP="003C7452">
            <w:pPr>
              <w:jc w:val="center"/>
              <w:rPr>
                <w:rFonts w:asciiTheme="majorHAnsi" w:hAnsiTheme="majorHAnsi" w:cs="Arial"/>
                <w:u w:val="single"/>
              </w:rPr>
            </w:pPr>
            <w:r>
              <w:rPr>
                <w:rFonts w:asciiTheme="majorHAnsi" w:hAnsiTheme="majorHAnsi" w:cs="Arial"/>
                <w:u w:val="single"/>
              </w:rPr>
              <w:t>Mean (SD):</w:t>
            </w:r>
          </w:p>
          <w:p w14:paraId="09B58507" w14:textId="77777777" w:rsidR="006D2AB7" w:rsidRPr="006D2AB7" w:rsidRDefault="006D2AB7" w:rsidP="006D2AB7">
            <w:pPr>
              <w:pStyle w:val="Default"/>
              <w:jc w:val="center"/>
              <w:rPr>
                <w:rFonts w:asciiTheme="majorHAnsi" w:eastAsia="Batang" w:hAnsiTheme="majorHAnsi" w:cs="Arial"/>
                <w:color w:val="auto"/>
                <w:szCs w:val="20"/>
                <w:u w:val="single"/>
              </w:rPr>
            </w:pPr>
            <w:r w:rsidRPr="006D2AB7">
              <w:rPr>
                <w:rFonts w:asciiTheme="majorHAnsi" w:eastAsia="Batang" w:hAnsiTheme="majorHAnsi" w:cs="Arial"/>
                <w:color w:val="auto"/>
                <w:szCs w:val="20"/>
                <w:u w:val="single"/>
              </w:rPr>
              <w:t xml:space="preserve">4.15 (1.646) </w:t>
            </w:r>
          </w:p>
          <w:p w14:paraId="1F96B864" w14:textId="1F5D24E6" w:rsidR="006D2AB7" w:rsidRDefault="006D2AB7" w:rsidP="006D2AB7">
            <w:pPr>
              <w:rPr>
                <w:rFonts w:asciiTheme="majorHAnsi" w:hAnsiTheme="majorHAnsi" w:cs="Arial"/>
                <w:u w:val="single"/>
              </w:rPr>
            </w:pPr>
          </w:p>
          <w:p w14:paraId="535D40E7" w14:textId="77777777" w:rsidR="00000511" w:rsidRPr="006D2AB7" w:rsidRDefault="00000511" w:rsidP="006D2AB7">
            <w:pPr>
              <w:rPr>
                <w:rFonts w:asciiTheme="majorHAnsi" w:hAnsiTheme="majorHAnsi" w:cs="Arial"/>
                <w:u w:val="single"/>
              </w:rPr>
            </w:pPr>
          </w:p>
          <w:p w14:paraId="0FBA7009" w14:textId="77777777" w:rsidR="006D2AB7" w:rsidRPr="006D2AB7" w:rsidRDefault="006D2AB7" w:rsidP="003C7452">
            <w:pPr>
              <w:jc w:val="center"/>
              <w:rPr>
                <w:rFonts w:asciiTheme="majorHAnsi" w:hAnsiTheme="majorHAnsi" w:cs="Arial"/>
                <w:u w:val="single"/>
              </w:rPr>
            </w:pPr>
            <w:r w:rsidRPr="006D2AB7">
              <w:rPr>
                <w:rFonts w:asciiTheme="majorHAnsi" w:hAnsiTheme="majorHAnsi" w:cs="Arial"/>
                <w:u w:val="single"/>
              </w:rPr>
              <w:t>Placebo:</w:t>
            </w:r>
          </w:p>
          <w:p w14:paraId="0C797935" w14:textId="77777777" w:rsidR="006D2AB7" w:rsidRDefault="006D2AB7" w:rsidP="003C7452">
            <w:pPr>
              <w:jc w:val="center"/>
              <w:rPr>
                <w:rFonts w:asciiTheme="majorHAnsi" w:hAnsiTheme="majorHAnsi" w:cs="Arial"/>
                <w:u w:val="single"/>
              </w:rPr>
            </w:pPr>
            <w:r>
              <w:rPr>
                <w:rFonts w:asciiTheme="majorHAnsi" w:hAnsiTheme="majorHAnsi" w:cs="Arial"/>
                <w:u w:val="single"/>
              </w:rPr>
              <w:t>Mean (SD):</w:t>
            </w:r>
          </w:p>
          <w:p w14:paraId="37DAF1B1" w14:textId="7597278D" w:rsidR="006D2AB7" w:rsidRPr="006D2AB7" w:rsidRDefault="006D2AB7" w:rsidP="007F4E2A">
            <w:pPr>
              <w:pStyle w:val="Default"/>
              <w:jc w:val="center"/>
              <w:rPr>
                <w:rFonts w:asciiTheme="majorHAnsi" w:hAnsiTheme="majorHAnsi" w:cs="Arial"/>
                <w:u w:val="single"/>
              </w:rPr>
            </w:pPr>
            <w:r w:rsidRPr="006D2AB7">
              <w:rPr>
                <w:rFonts w:asciiTheme="majorHAnsi" w:eastAsia="Batang" w:hAnsiTheme="majorHAnsi" w:cs="Arial"/>
                <w:color w:val="auto"/>
                <w:szCs w:val="20"/>
                <w:u w:val="single"/>
              </w:rPr>
              <w:t>4.26 (1.510)</w:t>
            </w:r>
          </w:p>
        </w:tc>
      </w:tr>
    </w:tbl>
    <w:p w14:paraId="325B0E12" w14:textId="544CB20C" w:rsidR="003C7452" w:rsidRPr="003C7452" w:rsidRDefault="003C7452"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rPr>
      </w:pPr>
      <w:r w:rsidRPr="003C7452">
        <w:rPr>
          <w:rFonts w:asciiTheme="majorHAnsi" w:hAnsiTheme="majorHAnsi" w:cs="Arial"/>
        </w:rPr>
        <w:t>The efficacy of S</w:t>
      </w:r>
      <w:r w:rsidR="000665B5">
        <w:rPr>
          <w:rFonts w:asciiTheme="majorHAnsi" w:hAnsiTheme="majorHAnsi" w:cs="Arial"/>
        </w:rPr>
        <w:t>oliris</w:t>
      </w:r>
      <w:r w:rsidRPr="003C7452">
        <w:rPr>
          <w:rFonts w:asciiTheme="majorHAnsi" w:hAnsiTheme="majorHAnsi" w:cs="Arial"/>
        </w:rPr>
        <w:t xml:space="preserve"> for the treatment of NMOSD was established in</w:t>
      </w:r>
      <w:r w:rsidR="001435CE">
        <w:rPr>
          <w:rFonts w:asciiTheme="majorHAnsi" w:hAnsiTheme="majorHAnsi" w:cs="Arial"/>
        </w:rPr>
        <w:t xml:space="preserve"> </w:t>
      </w:r>
      <w:r w:rsidR="001435CE" w:rsidRPr="004F77CF">
        <w:rPr>
          <w:rFonts w:asciiTheme="majorHAnsi" w:hAnsiTheme="majorHAnsi" w:cs="Arial"/>
          <w:i/>
          <w:iCs/>
        </w:rPr>
        <w:t>Study</w:t>
      </w:r>
      <w:r w:rsidRPr="004F77CF">
        <w:rPr>
          <w:rFonts w:asciiTheme="majorHAnsi" w:hAnsiTheme="majorHAnsi" w:cs="Arial"/>
          <w:i/>
          <w:iCs/>
        </w:rPr>
        <w:t xml:space="preserve"> </w:t>
      </w:r>
      <w:r w:rsidRPr="000665B5">
        <w:rPr>
          <w:rFonts w:asciiTheme="majorHAnsi" w:hAnsiTheme="majorHAnsi" w:cs="Arial"/>
          <w:i/>
        </w:rPr>
        <w:t>ECU-NMO-301</w:t>
      </w:r>
      <w:r w:rsidRPr="003C7452">
        <w:rPr>
          <w:rFonts w:asciiTheme="majorHAnsi" w:hAnsiTheme="majorHAnsi" w:cs="Arial"/>
        </w:rPr>
        <w:t>, a rando</w:t>
      </w:r>
      <w:r w:rsidR="000665B5">
        <w:rPr>
          <w:rFonts w:asciiTheme="majorHAnsi" w:hAnsiTheme="majorHAnsi" w:cs="Arial"/>
        </w:rPr>
        <w:t>mis</w:t>
      </w:r>
      <w:r w:rsidRPr="003C7452">
        <w:rPr>
          <w:rFonts w:asciiTheme="majorHAnsi" w:hAnsiTheme="majorHAnsi" w:cs="Arial"/>
        </w:rPr>
        <w:t>ed, double-blind, placebo-controlled event driven trial that enrolled 143 patients with NMOSD who were anti-AQP4 antibody positive and met the following criteria at screening:</w:t>
      </w:r>
    </w:p>
    <w:p w14:paraId="7368B464" w14:textId="77777777" w:rsidR="003C7452" w:rsidRPr="003C7452" w:rsidRDefault="003C7452" w:rsidP="0021669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60" w:before="144"/>
        <w:ind w:left="284" w:hanging="284"/>
        <w:rPr>
          <w:rFonts w:asciiTheme="majorHAnsi" w:hAnsiTheme="majorHAnsi" w:cs="Arial"/>
        </w:rPr>
      </w:pPr>
      <w:r w:rsidRPr="003C7452">
        <w:rPr>
          <w:rFonts w:asciiTheme="majorHAnsi" w:hAnsiTheme="majorHAnsi" w:cs="Arial"/>
        </w:rPr>
        <w:t>1.</w:t>
      </w:r>
      <w:r w:rsidRPr="003C7452">
        <w:rPr>
          <w:rFonts w:asciiTheme="majorHAnsi" w:hAnsiTheme="majorHAnsi" w:cs="Arial"/>
        </w:rPr>
        <w:tab/>
        <w:t>History of at least 2 relapses in last 12 months or 3 relapses in the last 24 months, with at least 1 relapse in the 12 months prior to screening;</w:t>
      </w:r>
    </w:p>
    <w:p w14:paraId="12DD4F9A" w14:textId="77777777" w:rsidR="003C7452" w:rsidRPr="003C7452" w:rsidRDefault="003C7452" w:rsidP="0021669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60" w:before="144"/>
        <w:ind w:left="284" w:hanging="284"/>
        <w:rPr>
          <w:rFonts w:asciiTheme="majorHAnsi" w:hAnsiTheme="majorHAnsi" w:cs="Arial"/>
        </w:rPr>
      </w:pPr>
      <w:r w:rsidRPr="003C7452">
        <w:rPr>
          <w:rFonts w:asciiTheme="majorHAnsi" w:hAnsiTheme="majorHAnsi" w:cs="Arial"/>
        </w:rPr>
        <w:t xml:space="preserve">2. </w:t>
      </w:r>
      <w:r w:rsidRPr="003C7452">
        <w:rPr>
          <w:rFonts w:asciiTheme="majorHAnsi" w:hAnsiTheme="majorHAnsi" w:cs="Arial"/>
        </w:rPr>
        <w:tab/>
        <w:t>Expanded Disability Status Scale (EDSS) score ≤ 7 (consistent with the presence of at least limited ambulation with aid);</w:t>
      </w:r>
    </w:p>
    <w:p w14:paraId="4F437061" w14:textId="77777777" w:rsidR="003C7452" w:rsidRPr="003C7452" w:rsidRDefault="003C7452" w:rsidP="0021669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60" w:before="144"/>
        <w:ind w:left="284" w:hanging="284"/>
        <w:rPr>
          <w:rFonts w:asciiTheme="majorHAnsi" w:hAnsiTheme="majorHAnsi" w:cs="Arial"/>
        </w:rPr>
      </w:pPr>
      <w:r w:rsidRPr="003C7452">
        <w:rPr>
          <w:rFonts w:asciiTheme="majorHAnsi" w:hAnsiTheme="majorHAnsi" w:cs="Arial"/>
        </w:rPr>
        <w:t>3. If on immunosuppressive therapy (IST), on a stable dose regimen;</w:t>
      </w:r>
    </w:p>
    <w:p w14:paraId="693B243C" w14:textId="77777777" w:rsidR="003C7452" w:rsidRPr="003C7452" w:rsidRDefault="003C7452" w:rsidP="002166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60" w:before="144"/>
        <w:ind w:left="284" w:hanging="284"/>
        <w:rPr>
          <w:rFonts w:asciiTheme="majorHAnsi" w:hAnsiTheme="majorHAnsi" w:cs="Arial"/>
        </w:rPr>
      </w:pPr>
      <w:r w:rsidRPr="003C7452">
        <w:rPr>
          <w:rFonts w:asciiTheme="majorHAnsi" w:hAnsiTheme="majorHAnsi" w:cs="Arial"/>
        </w:rPr>
        <w:t>4. The use of concurrent corticosteroids was limited to 20 mg per day or less;</w:t>
      </w:r>
    </w:p>
    <w:p w14:paraId="1CE9FA53" w14:textId="77777777" w:rsidR="003C7452" w:rsidRPr="003C7452" w:rsidRDefault="003C7452" w:rsidP="002166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60" w:before="144"/>
        <w:ind w:left="284" w:hanging="284"/>
        <w:rPr>
          <w:rFonts w:asciiTheme="majorHAnsi" w:hAnsiTheme="majorHAnsi" w:cs="Arial"/>
        </w:rPr>
      </w:pPr>
      <w:r w:rsidRPr="003C7452">
        <w:rPr>
          <w:rFonts w:asciiTheme="majorHAnsi" w:hAnsiTheme="majorHAnsi" w:cs="Arial"/>
        </w:rPr>
        <w:t xml:space="preserve">5. Patients were excluded if they had been treated with rituximab or mitoxantrone within 3 months or with </w:t>
      </w:r>
      <w:proofErr w:type="spellStart"/>
      <w:r w:rsidRPr="003C7452">
        <w:rPr>
          <w:rFonts w:asciiTheme="majorHAnsi" w:hAnsiTheme="majorHAnsi" w:cs="Arial"/>
        </w:rPr>
        <w:t>IVIg</w:t>
      </w:r>
      <w:proofErr w:type="spellEnd"/>
      <w:r w:rsidRPr="003C7452">
        <w:rPr>
          <w:rFonts w:asciiTheme="majorHAnsi" w:hAnsiTheme="majorHAnsi" w:cs="Arial"/>
        </w:rPr>
        <w:t xml:space="preserve"> within 3 weeks prior to screening. </w:t>
      </w:r>
    </w:p>
    <w:p w14:paraId="27FBF96D" w14:textId="0F0444E1" w:rsidR="003C7452" w:rsidRDefault="003C7452"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rPr>
      </w:pPr>
      <w:r w:rsidRPr="003C7452">
        <w:rPr>
          <w:rFonts w:asciiTheme="majorHAnsi" w:hAnsiTheme="majorHAnsi" w:cs="Arial"/>
        </w:rPr>
        <w:t>Patients received meningococcal vaccination 2 weeks prior to initiating treatment with S</w:t>
      </w:r>
      <w:r w:rsidR="000665B5">
        <w:rPr>
          <w:rFonts w:asciiTheme="majorHAnsi" w:hAnsiTheme="majorHAnsi" w:cs="Arial"/>
        </w:rPr>
        <w:t>oliris</w:t>
      </w:r>
      <w:r w:rsidRPr="003C7452">
        <w:rPr>
          <w:rFonts w:asciiTheme="majorHAnsi" w:hAnsiTheme="majorHAnsi" w:cs="Arial"/>
        </w:rPr>
        <w:t xml:space="preserve"> or received prophylactic treatment with appropriate antibiotics until 2 weeks after vaccination. All patients who were vaccinated and met all eligibility requirements were randomi</w:t>
      </w:r>
      <w:r w:rsidR="00376900">
        <w:rPr>
          <w:rFonts w:asciiTheme="majorHAnsi" w:hAnsiTheme="majorHAnsi" w:cs="Arial"/>
        </w:rPr>
        <w:t>s</w:t>
      </w:r>
      <w:r w:rsidRPr="003C7452">
        <w:rPr>
          <w:rFonts w:asciiTheme="majorHAnsi" w:hAnsiTheme="majorHAnsi" w:cs="Arial"/>
        </w:rPr>
        <w:t>ed in a 2:1 ratio to the S</w:t>
      </w:r>
      <w:r w:rsidR="00376900">
        <w:rPr>
          <w:rFonts w:asciiTheme="majorHAnsi" w:hAnsiTheme="majorHAnsi" w:cs="Arial"/>
        </w:rPr>
        <w:t>oliris</w:t>
      </w:r>
      <w:r w:rsidRPr="003C7452">
        <w:rPr>
          <w:rFonts w:asciiTheme="majorHAnsi" w:hAnsiTheme="majorHAnsi" w:cs="Arial"/>
        </w:rPr>
        <w:t xml:space="preserve"> group or the placebo group. A to</w:t>
      </w:r>
      <w:r w:rsidR="00376900">
        <w:rPr>
          <w:rFonts w:asciiTheme="majorHAnsi" w:hAnsiTheme="majorHAnsi" w:cs="Arial"/>
        </w:rPr>
        <w:t>tal of 96 patients were randomis</w:t>
      </w:r>
      <w:r w:rsidRPr="003C7452">
        <w:rPr>
          <w:rFonts w:asciiTheme="majorHAnsi" w:hAnsiTheme="majorHAnsi" w:cs="Arial"/>
        </w:rPr>
        <w:t>ed to receive S</w:t>
      </w:r>
      <w:r w:rsidR="00376900">
        <w:rPr>
          <w:rFonts w:asciiTheme="majorHAnsi" w:hAnsiTheme="majorHAnsi" w:cs="Arial"/>
        </w:rPr>
        <w:t>oliris treatment and 47 were randomised to receive placebo. Randomis</w:t>
      </w:r>
      <w:r w:rsidRPr="003C7452">
        <w:rPr>
          <w:rFonts w:asciiTheme="majorHAnsi" w:hAnsiTheme="majorHAnsi" w:cs="Arial"/>
        </w:rPr>
        <w:t>ation was stratified using two vari</w:t>
      </w:r>
      <w:r w:rsidR="00376900">
        <w:rPr>
          <w:rFonts w:asciiTheme="majorHAnsi" w:hAnsiTheme="majorHAnsi" w:cs="Arial"/>
        </w:rPr>
        <w:t>ables: 1) EDSS score at randomis</w:t>
      </w:r>
      <w:r w:rsidRPr="003C7452">
        <w:rPr>
          <w:rFonts w:asciiTheme="majorHAnsi" w:hAnsiTheme="majorHAnsi" w:cs="Arial"/>
        </w:rPr>
        <w:t>ation (Day 1) (≤ 2.0 versus ≥ 2.5 to ≤ 7); and 2) patients’ prior supportive (i.e., for relapse prevention</w:t>
      </w:r>
      <w:r w:rsidR="00376900">
        <w:rPr>
          <w:rFonts w:asciiTheme="majorHAnsi" w:hAnsiTheme="majorHAnsi" w:cs="Arial"/>
        </w:rPr>
        <w:t>) IST and IST status at randomis</w:t>
      </w:r>
      <w:r w:rsidRPr="003C7452">
        <w:rPr>
          <w:rFonts w:asciiTheme="majorHAnsi" w:hAnsiTheme="majorHAnsi" w:cs="Arial"/>
        </w:rPr>
        <w:t xml:space="preserve">ation (Day 1) (treatment naïve </w:t>
      </w:r>
      <w:r w:rsidRPr="003C7452">
        <w:rPr>
          <w:rFonts w:asciiTheme="majorHAnsi" w:hAnsiTheme="majorHAnsi" w:cs="Arial"/>
        </w:rPr>
        <w:lastRenderedPageBreak/>
        <w:t>patients versus patients continuing on the same IST(s) since last relapse versus patients with changes in IST(s) since last relapse). Patients could continue to receive a stable dose of the ISTs they were taking at the time of screening (with the exception of protocol-specified disallowed medications), but no new ISTs and no change in IST dosage were permitted during the study except for a known toxicity or adverse event associated with the given IST.</w:t>
      </w:r>
    </w:p>
    <w:p w14:paraId="0DE535B0" w14:textId="2AB5903F" w:rsidR="004E508F" w:rsidRPr="003C7452" w:rsidRDefault="004E508F" w:rsidP="004E508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3C7452">
        <w:rPr>
          <w:rFonts w:asciiTheme="majorHAnsi" w:hAnsiTheme="majorHAnsi" w:cs="Arial"/>
          <w:b/>
          <w:szCs w:val="24"/>
        </w:rPr>
        <w:fldChar w:fldCharType="begin"/>
      </w:r>
      <w:r w:rsidRPr="003C7452">
        <w:rPr>
          <w:rFonts w:asciiTheme="majorHAnsi" w:hAnsiTheme="majorHAnsi" w:cs="Arial"/>
          <w:szCs w:val="24"/>
        </w:rPr>
        <w:instrText xml:space="preserve"> REF _Ref21955898 \h </w:instrText>
      </w:r>
      <w:r w:rsidRPr="003C7452">
        <w:rPr>
          <w:rFonts w:asciiTheme="majorHAnsi" w:hAnsiTheme="majorHAnsi" w:cs="Arial"/>
          <w:b/>
          <w:szCs w:val="24"/>
        </w:rPr>
        <w:instrText xml:space="preserve"> \* MERGEFORMAT </w:instrText>
      </w:r>
      <w:r w:rsidRPr="003C7452">
        <w:rPr>
          <w:rFonts w:asciiTheme="majorHAnsi" w:hAnsiTheme="majorHAnsi" w:cs="Arial"/>
          <w:b/>
          <w:szCs w:val="24"/>
        </w:rPr>
      </w:r>
      <w:r w:rsidRPr="003C7452">
        <w:rPr>
          <w:rFonts w:asciiTheme="majorHAnsi" w:hAnsiTheme="majorHAnsi" w:cs="Arial"/>
          <w:b/>
          <w:szCs w:val="24"/>
        </w:rPr>
        <w:fldChar w:fldCharType="separate"/>
      </w:r>
      <w:r w:rsidRPr="002333CE">
        <w:rPr>
          <w:rFonts w:asciiTheme="majorHAnsi" w:hAnsiTheme="majorHAnsi"/>
          <w:szCs w:val="24"/>
        </w:rPr>
        <w:t xml:space="preserve">Table </w:t>
      </w:r>
      <w:r w:rsidRPr="002333CE">
        <w:rPr>
          <w:rFonts w:asciiTheme="majorHAnsi" w:hAnsiTheme="majorHAnsi"/>
          <w:noProof/>
          <w:szCs w:val="24"/>
        </w:rPr>
        <w:t>17</w:t>
      </w:r>
      <w:r w:rsidRPr="003C7452">
        <w:rPr>
          <w:rFonts w:asciiTheme="majorHAnsi" w:hAnsiTheme="majorHAnsi" w:cs="Arial"/>
          <w:b/>
          <w:szCs w:val="24"/>
        </w:rPr>
        <w:fldChar w:fldCharType="end"/>
      </w:r>
      <w:r w:rsidRPr="003C7452">
        <w:rPr>
          <w:rFonts w:asciiTheme="majorHAnsi" w:hAnsiTheme="majorHAnsi" w:cs="Arial"/>
          <w:b/>
          <w:szCs w:val="24"/>
        </w:rPr>
        <w:t xml:space="preserve"> </w:t>
      </w:r>
      <w:r w:rsidRPr="003C7452">
        <w:rPr>
          <w:rFonts w:asciiTheme="majorHAnsi" w:hAnsiTheme="majorHAnsi" w:cs="Arial"/>
          <w:szCs w:val="24"/>
        </w:rPr>
        <w:t xml:space="preserve">presents the </w:t>
      </w:r>
      <w:r>
        <w:rPr>
          <w:rFonts w:asciiTheme="majorHAnsi" w:hAnsiTheme="majorHAnsi" w:cs="Arial"/>
          <w:szCs w:val="24"/>
        </w:rPr>
        <w:t>summary</w:t>
      </w:r>
      <w:r w:rsidRPr="003C7452">
        <w:rPr>
          <w:rFonts w:asciiTheme="majorHAnsi" w:hAnsiTheme="majorHAnsi" w:cs="Arial"/>
          <w:szCs w:val="24"/>
        </w:rPr>
        <w:t xml:space="preserve"> of </w:t>
      </w:r>
      <w:r>
        <w:rPr>
          <w:rFonts w:asciiTheme="majorHAnsi" w:hAnsiTheme="majorHAnsi" w:cs="Arial"/>
          <w:szCs w:val="24"/>
        </w:rPr>
        <w:t xml:space="preserve">IST use from baseline for </w:t>
      </w:r>
      <w:r w:rsidRPr="003C7452">
        <w:rPr>
          <w:rFonts w:asciiTheme="majorHAnsi" w:hAnsiTheme="majorHAnsi" w:cs="Arial"/>
          <w:szCs w:val="24"/>
        </w:rPr>
        <w:t>p</w:t>
      </w:r>
      <w:r>
        <w:rPr>
          <w:rFonts w:asciiTheme="majorHAnsi" w:hAnsiTheme="majorHAnsi" w:cs="Arial"/>
          <w:szCs w:val="24"/>
        </w:rPr>
        <w:t xml:space="preserve">atients with NMOSD enrolled in </w:t>
      </w:r>
      <w:r w:rsidRPr="00755337">
        <w:rPr>
          <w:rFonts w:asciiTheme="majorHAnsi" w:hAnsiTheme="majorHAnsi" w:cs="Arial"/>
          <w:i/>
          <w:iCs/>
          <w:szCs w:val="24"/>
        </w:rPr>
        <w:t xml:space="preserve">Study </w:t>
      </w:r>
      <w:r w:rsidRPr="00376900">
        <w:rPr>
          <w:rFonts w:asciiTheme="majorHAnsi" w:hAnsiTheme="majorHAnsi" w:cs="Arial"/>
          <w:i/>
          <w:szCs w:val="24"/>
        </w:rPr>
        <w:t>ECU-NMO-301</w:t>
      </w:r>
      <w:r w:rsidRPr="003C7452">
        <w:rPr>
          <w:rFonts w:asciiTheme="majorHAnsi" w:hAnsiTheme="majorHAnsi" w:cs="Arial"/>
          <w:szCs w:val="24"/>
        </w:rPr>
        <w:t>.</w:t>
      </w:r>
    </w:p>
    <w:p w14:paraId="7BC77C76" w14:textId="40CAFA80" w:rsidR="00345186" w:rsidRDefault="00345186" w:rsidP="00345186">
      <w:pPr>
        <w:pStyle w:val="Caption"/>
        <w:jc w:val="left"/>
      </w:pPr>
      <w:r>
        <w:t xml:space="preserve">Table </w:t>
      </w:r>
      <w:r>
        <w:fldChar w:fldCharType="begin"/>
      </w:r>
      <w:r>
        <w:instrText xml:space="preserve"> SEQ Table \* ARABIC </w:instrText>
      </w:r>
      <w:r>
        <w:fldChar w:fldCharType="separate"/>
      </w:r>
      <w:r>
        <w:rPr>
          <w:noProof/>
        </w:rPr>
        <w:t>17</w:t>
      </w:r>
      <w:r>
        <w:fldChar w:fldCharType="end"/>
      </w:r>
      <w:r>
        <w:t xml:space="preserve"> Summary of Immunosuppressive Therapy (IST) use at baseline in </w:t>
      </w:r>
      <w:r w:rsidRPr="00345186">
        <w:rPr>
          <w:i/>
          <w:iCs/>
        </w:rPr>
        <w:t>Study ECU-NMO-301</w:t>
      </w:r>
    </w:p>
    <w:tbl>
      <w:tblPr>
        <w:tblStyle w:val="TableGrid"/>
        <w:tblW w:w="0" w:type="auto"/>
        <w:tblLook w:val="04A0" w:firstRow="1" w:lastRow="0" w:firstColumn="1" w:lastColumn="0" w:noHBand="0" w:noVBand="1"/>
      </w:tblPr>
      <w:tblGrid>
        <w:gridCol w:w="3619"/>
        <w:gridCol w:w="2002"/>
        <w:gridCol w:w="1827"/>
        <w:gridCol w:w="1568"/>
      </w:tblGrid>
      <w:tr w:rsidR="006418E1" w14:paraId="022850C7" w14:textId="529FAFF6" w:rsidTr="006418E1">
        <w:tc>
          <w:tcPr>
            <w:tcW w:w="3619" w:type="dxa"/>
          </w:tcPr>
          <w:p w14:paraId="74886F6F" w14:textId="69853077" w:rsidR="006418E1" w:rsidRPr="009B0CA2" w:rsidRDefault="006418E1"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b/>
                <w:bCs/>
              </w:rPr>
            </w:pPr>
            <w:r w:rsidRPr="009B0CA2">
              <w:rPr>
                <w:rFonts w:asciiTheme="majorHAnsi" w:hAnsiTheme="majorHAnsi" w:cs="Arial"/>
                <w:b/>
                <w:bCs/>
              </w:rPr>
              <w:t>Immunosuppressive Therapy(IST)</w:t>
            </w:r>
            <w:r w:rsidR="00376C28">
              <w:rPr>
                <w:rFonts w:asciiTheme="majorHAnsi" w:hAnsiTheme="majorHAnsi" w:cs="Arial"/>
                <w:b/>
                <w:bCs/>
              </w:rPr>
              <w:t xml:space="preserve"> sub group</w:t>
            </w:r>
            <w:r w:rsidR="007E4EED">
              <w:rPr>
                <w:rFonts w:asciiTheme="majorHAnsi" w:hAnsiTheme="majorHAnsi" w:cs="Arial"/>
                <w:b/>
                <w:bCs/>
              </w:rPr>
              <w:t>s</w:t>
            </w:r>
          </w:p>
        </w:tc>
        <w:tc>
          <w:tcPr>
            <w:tcW w:w="2002" w:type="dxa"/>
          </w:tcPr>
          <w:p w14:paraId="6ED79601" w14:textId="6F52688B" w:rsidR="00DE192D" w:rsidRPr="009B0CA2"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Placebo</w:t>
            </w:r>
          </w:p>
          <w:p w14:paraId="5FA28AB7" w14:textId="77777777" w:rsidR="00DE192D" w:rsidRPr="009B0CA2"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N=47</w:t>
            </w:r>
          </w:p>
          <w:p w14:paraId="3127F6E0" w14:textId="1E970993" w:rsidR="006418E1" w:rsidRPr="009B0CA2" w:rsidRDefault="00DE192D" w:rsidP="003451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 (%)</w:t>
            </w:r>
          </w:p>
        </w:tc>
        <w:tc>
          <w:tcPr>
            <w:tcW w:w="1827" w:type="dxa"/>
          </w:tcPr>
          <w:p w14:paraId="3101A344" w14:textId="515A0844" w:rsidR="00DE192D" w:rsidRPr="009B0CA2"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Soliris</w:t>
            </w:r>
          </w:p>
          <w:p w14:paraId="26E143A4" w14:textId="77777777" w:rsidR="00DE192D" w:rsidRPr="009B0CA2"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N=96</w:t>
            </w:r>
          </w:p>
          <w:p w14:paraId="6536CB76" w14:textId="6FED65AF" w:rsidR="006418E1" w:rsidRPr="009B0CA2" w:rsidRDefault="00DE192D" w:rsidP="003451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 (%)</w:t>
            </w:r>
          </w:p>
        </w:tc>
        <w:tc>
          <w:tcPr>
            <w:tcW w:w="1568" w:type="dxa"/>
          </w:tcPr>
          <w:p w14:paraId="520896A5" w14:textId="23DAC5B3" w:rsidR="006418E1" w:rsidRPr="009B0CA2" w:rsidRDefault="006418E1" w:rsidP="003451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Total</w:t>
            </w:r>
          </w:p>
          <w:p w14:paraId="1ADF2478" w14:textId="50FF1538" w:rsidR="00466FA3" w:rsidRPr="009B0CA2" w:rsidRDefault="00466FA3" w:rsidP="003451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N=143</w:t>
            </w:r>
          </w:p>
          <w:p w14:paraId="532E548C" w14:textId="2F26BB7B" w:rsidR="006418E1" w:rsidRPr="009B0CA2" w:rsidRDefault="00466FA3" w:rsidP="0034518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b/>
                <w:bCs/>
              </w:rPr>
            </w:pPr>
            <w:r w:rsidRPr="009B0CA2">
              <w:rPr>
                <w:rFonts w:asciiTheme="majorHAnsi" w:hAnsiTheme="majorHAnsi" w:cs="Arial"/>
                <w:b/>
                <w:bCs/>
              </w:rPr>
              <w:t>n</w:t>
            </w:r>
            <w:r w:rsidR="006418E1" w:rsidRPr="009B0CA2">
              <w:rPr>
                <w:rFonts w:asciiTheme="majorHAnsi" w:hAnsiTheme="majorHAnsi" w:cs="Arial"/>
                <w:b/>
                <w:bCs/>
              </w:rPr>
              <w:t xml:space="preserve"> (%)</w:t>
            </w:r>
          </w:p>
        </w:tc>
      </w:tr>
      <w:tr w:rsidR="00DE192D" w:rsidRPr="00DE192D" w14:paraId="244E1453" w14:textId="77777777" w:rsidTr="006418E1">
        <w:tc>
          <w:tcPr>
            <w:tcW w:w="3619" w:type="dxa"/>
          </w:tcPr>
          <w:p w14:paraId="0F2A4BD2" w14:textId="2BE7D0A2"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2F4089">
              <w:rPr>
                <w:rFonts w:asciiTheme="majorHAnsi" w:hAnsiTheme="majorHAnsi" w:cs="Courier"/>
                <w:color w:val="000000"/>
                <w:szCs w:val="24"/>
              </w:rPr>
              <w:t>Steroids Alone</w:t>
            </w:r>
          </w:p>
        </w:tc>
        <w:tc>
          <w:tcPr>
            <w:tcW w:w="2002" w:type="dxa"/>
          </w:tcPr>
          <w:p w14:paraId="64AB7D92" w14:textId="44AADF6E"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11 ( 23.4)</w:t>
            </w:r>
          </w:p>
        </w:tc>
        <w:tc>
          <w:tcPr>
            <w:tcW w:w="1827" w:type="dxa"/>
          </w:tcPr>
          <w:p w14:paraId="21FD326B" w14:textId="6A4A51E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16 ( 16.7)</w:t>
            </w:r>
          </w:p>
        </w:tc>
        <w:tc>
          <w:tcPr>
            <w:tcW w:w="1568" w:type="dxa"/>
          </w:tcPr>
          <w:p w14:paraId="0983E753" w14:textId="40350E0B"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27 ( 18.9)</w:t>
            </w:r>
          </w:p>
        </w:tc>
      </w:tr>
      <w:tr w:rsidR="00DE192D" w:rsidRPr="00DE192D" w14:paraId="78A4BF45" w14:textId="0CE0529F" w:rsidTr="006418E1">
        <w:tc>
          <w:tcPr>
            <w:tcW w:w="3619" w:type="dxa"/>
          </w:tcPr>
          <w:p w14:paraId="1A1BDFC3" w14:textId="55C134A0"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2F4089">
              <w:rPr>
                <w:rFonts w:asciiTheme="majorHAnsi" w:hAnsiTheme="majorHAnsi" w:cs="Courier"/>
                <w:color w:val="000000"/>
                <w:szCs w:val="24"/>
              </w:rPr>
              <w:t>A</w:t>
            </w:r>
            <w:r w:rsidR="003B268A">
              <w:rPr>
                <w:rFonts w:asciiTheme="majorHAnsi" w:hAnsiTheme="majorHAnsi" w:cs="Courier"/>
                <w:color w:val="000000"/>
                <w:szCs w:val="24"/>
              </w:rPr>
              <w:t>zathi</w:t>
            </w:r>
            <w:r w:rsidR="000B6C22">
              <w:rPr>
                <w:rFonts w:asciiTheme="majorHAnsi" w:hAnsiTheme="majorHAnsi" w:cs="Courier"/>
                <w:color w:val="000000"/>
                <w:szCs w:val="24"/>
              </w:rPr>
              <w:t>oprine</w:t>
            </w:r>
            <w:r w:rsidR="003B268A">
              <w:rPr>
                <w:rFonts w:asciiTheme="majorHAnsi" w:hAnsiTheme="majorHAnsi" w:cs="Courier"/>
                <w:color w:val="000000"/>
                <w:szCs w:val="24"/>
              </w:rPr>
              <w:t xml:space="preserve"> (A</w:t>
            </w:r>
            <w:r w:rsidRPr="002F4089">
              <w:rPr>
                <w:rFonts w:asciiTheme="majorHAnsi" w:hAnsiTheme="majorHAnsi" w:cs="Courier"/>
                <w:color w:val="000000"/>
                <w:szCs w:val="24"/>
              </w:rPr>
              <w:t>ZA</w:t>
            </w:r>
            <w:r w:rsidR="003B268A">
              <w:rPr>
                <w:rFonts w:asciiTheme="majorHAnsi" w:hAnsiTheme="majorHAnsi" w:cs="Courier"/>
                <w:color w:val="000000"/>
                <w:szCs w:val="24"/>
              </w:rPr>
              <w:t>)</w:t>
            </w:r>
            <w:r w:rsidRPr="002F4089">
              <w:rPr>
                <w:rFonts w:asciiTheme="majorHAnsi" w:hAnsiTheme="majorHAnsi" w:cs="Courier"/>
                <w:color w:val="000000"/>
                <w:szCs w:val="24"/>
              </w:rPr>
              <w:t xml:space="preserve"> </w:t>
            </w:r>
            <w:proofErr w:type="spellStart"/>
            <w:r w:rsidRPr="002F4089">
              <w:rPr>
                <w:rFonts w:asciiTheme="majorHAnsi" w:hAnsiTheme="majorHAnsi" w:cs="Courier"/>
                <w:color w:val="000000"/>
                <w:szCs w:val="24"/>
              </w:rPr>
              <w:t>SubGroup</w:t>
            </w:r>
            <w:proofErr w:type="spellEnd"/>
          </w:p>
        </w:tc>
        <w:tc>
          <w:tcPr>
            <w:tcW w:w="2002" w:type="dxa"/>
          </w:tcPr>
          <w:p w14:paraId="3A63F9BB" w14:textId="156FA30F"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13 ( 27.7)</w:t>
            </w:r>
          </w:p>
        </w:tc>
        <w:tc>
          <w:tcPr>
            <w:tcW w:w="1827" w:type="dxa"/>
          </w:tcPr>
          <w:p w14:paraId="28705620" w14:textId="76CF3E14"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37 ( 38.5)</w:t>
            </w:r>
          </w:p>
        </w:tc>
        <w:tc>
          <w:tcPr>
            <w:tcW w:w="1568" w:type="dxa"/>
          </w:tcPr>
          <w:p w14:paraId="14CE4FE4" w14:textId="078D8EFD"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50 ( 35.0)</w:t>
            </w:r>
          </w:p>
        </w:tc>
      </w:tr>
      <w:tr w:rsidR="00DE192D" w:rsidRPr="00DE192D" w14:paraId="35A6F684" w14:textId="49DBA529" w:rsidTr="006418E1">
        <w:tc>
          <w:tcPr>
            <w:tcW w:w="3619" w:type="dxa"/>
          </w:tcPr>
          <w:p w14:paraId="634ABC5D" w14:textId="15D556B3"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AZA alone</w:t>
            </w:r>
          </w:p>
        </w:tc>
        <w:tc>
          <w:tcPr>
            <w:tcW w:w="2002" w:type="dxa"/>
          </w:tcPr>
          <w:p w14:paraId="45293731" w14:textId="5CB32DFD"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6 ( 12.8)</w:t>
            </w:r>
          </w:p>
        </w:tc>
        <w:tc>
          <w:tcPr>
            <w:tcW w:w="1827" w:type="dxa"/>
          </w:tcPr>
          <w:p w14:paraId="593732DC" w14:textId="60F837F2"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8 (  8.3)</w:t>
            </w:r>
          </w:p>
        </w:tc>
        <w:tc>
          <w:tcPr>
            <w:tcW w:w="1568" w:type="dxa"/>
          </w:tcPr>
          <w:p w14:paraId="0A5BECBD" w14:textId="2D87347A"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14 (  9.8)</w:t>
            </w:r>
          </w:p>
        </w:tc>
      </w:tr>
      <w:tr w:rsidR="00DE192D" w:rsidRPr="00DE192D" w14:paraId="37758878" w14:textId="77777777" w:rsidTr="006418E1">
        <w:tc>
          <w:tcPr>
            <w:tcW w:w="3619" w:type="dxa"/>
          </w:tcPr>
          <w:p w14:paraId="4CAB1EE9" w14:textId="78066D8F"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AZA + Steroids</w:t>
            </w:r>
          </w:p>
        </w:tc>
        <w:tc>
          <w:tcPr>
            <w:tcW w:w="2002" w:type="dxa"/>
          </w:tcPr>
          <w:p w14:paraId="5BCDBF50" w14:textId="36F505EF"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7 ( 14.9)</w:t>
            </w:r>
          </w:p>
        </w:tc>
        <w:tc>
          <w:tcPr>
            <w:tcW w:w="1827" w:type="dxa"/>
          </w:tcPr>
          <w:p w14:paraId="7F3144C3" w14:textId="70F184F4"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29 ( 30.2)</w:t>
            </w:r>
          </w:p>
        </w:tc>
        <w:tc>
          <w:tcPr>
            <w:tcW w:w="1568" w:type="dxa"/>
          </w:tcPr>
          <w:p w14:paraId="2027F1D7" w14:textId="7C866A64"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36 ( 25.2)</w:t>
            </w:r>
          </w:p>
        </w:tc>
      </w:tr>
      <w:tr w:rsidR="00DE192D" w:rsidRPr="00DE192D" w14:paraId="1FB961F1" w14:textId="77777777" w:rsidTr="006418E1">
        <w:tc>
          <w:tcPr>
            <w:tcW w:w="3619" w:type="dxa"/>
          </w:tcPr>
          <w:p w14:paraId="61BC8D56" w14:textId="7E6D3807"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proofErr w:type="spellStart"/>
            <w:r w:rsidRPr="002F4089">
              <w:rPr>
                <w:rFonts w:asciiTheme="majorHAnsi" w:hAnsiTheme="majorHAnsi" w:cs="Courier"/>
                <w:color w:val="000000"/>
                <w:szCs w:val="24"/>
              </w:rPr>
              <w:t>M</w:t>
            </w:r>
            <w:r w:rsidR="003B268A">
              <w:rPr>
                <w:rFonts w:asciiTheme="majorHAnsi" w:hAnsiTheme="majorHAnsi" w:cs="Courier"/>
                <w:color w:val="000000"/>
                <w:szCs w:val="24"/>
              </w:rPr>
              <w:t>ycophenolate</w:t>
            </w:r>
            <w:proofErr w:type="spellEnd"/>
            <w:r w:rsidR="003B268A">
              <w:rPr>
                <w:rFonts w:asciiTheme="majorHAnsi" w:hAnsiTheme="majorHAnsi" w:cs="Courier"/>
                <w:color w:val="000000"/>
                <w:szCs w:val="24"/>
              </w:rPr>
              <w:t xml:space="preserve"> </w:t>
            </w:r>
            <w:proofErr w:type="spellStart"/>
            <w:r w:rsidR="003B268A">
              <w:rPr>
                <w:rFonts w:asciiTheme="majorHAnsi" w:hAnsiTheme="majorHAnsi" w:cs="Courier"/>
                <w:color w:val="000000"/>
                <w:szCs w:val="24"/>
              </w:rPr>
              <w:t>mofetil</w:t>
            </w:r>
            <w:proofErr w:type="spellEnd"/>
            <w:r w:rsidR="003B268A">
              <w:rPr>
                <w:rFonts w:asciiTheme="majorHAnsi" w:hAnsiTheme="majorHAnsi" w:cs="Courier"/>
                <w:color w:val="000000"/>
                <w:szCs w:val="24"/>
              </w:rPr>
              <w:t xml:space="preserve"> (M</w:t>
            </w:r>
            <w:r w:rsidRPr="002F4089">
              <w:rPr>
                <w:rFonts w:asciiTheme="majorHAnsi" w:hAnsiTheme="majorHAnsi" w:cs="Courier"/>
                <w:color w:val="000000"/>
                <w:szCs w:val="24"/>
              </w:rPr>
              <w:t>MF</w:t>
            </w:r>
            <w:r w:rsidR="003B268A">
              <w:rPr>
                <w:rFonts w:asciiTheme="majorHAnsi" w:hAnsiTheme="majorHAnsi" w:cs="Courier"/>
                <w:color w:val="000000"/>
                <w:szCs w:val="24"/>
              </w:rPr>
              <w:t>)</w:t>
            </w:r>
            <w:r w:rsidRPr="002F4089">
              <w:rPr>
                <w:rFonts w:asciiTheme="majorHAnsi" w:hAnsiTheme="majorHAnsi" w:cs="Courier"/>
                <w:color w:val="000000"/>
                <w:szCs w:val="24"/>
              </w:rPr>
              <w:t xml:space="preserve"> </w:t>
            </w:r>
            <w:proofErr w:type="spellStart"/>
            <w:r w:rsidRPr="002F4089">
              <w:rPr>
                <w:rFonts w:asciiTheme="majorHAnsi" w:hAnsiTheme="majorHAnsi" w:cs="Courier"/>
                <w:color w:val="000000"/>
                <w:szCs w:val="24"/>
              </w:rPr>
              <w:t>SubGroup</w:t>
            </w:r>
            <w:proofErr w:type="spellEnd"/>
          </w:p>
        </w:tc>
        <w:tc>
          <w:tcPr>
            <w:tcW w:w="2002" w:type="dxa"/>
          </w:tcPr>
          <w:p w14:paraId="198707C4" w14:textId="3311C93F"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8 ( 17.0)</w:t>
            </w:r>
          </w:p>
        </w:tc>
        <w:tc>
          <w:tcPr>
            <w:tcW w:w="1827" w:type="dxa"/>
          </w:tcPr>
          <w:p w14:paraId="6C41B6C7" w14:textId="4C624649"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17 ( 17.7)</w:t>
            </w:r>
          </w:p>
        </w:tc>
        <w:tc>
          <w:tcPr>
            <w:tcW w:w="1568" w:type="dxa"/>
          </w:tcPr>
          <w:p w14:paraId="300DE28F" w14:textId="712F3489"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25 ( 17.5)</w:t>
            </w:r>
          </w:p>
        </w:tc>
      </w:tr>
      <w:tr w:rsidR="00DE192D" w:rsidRPr="00DE192D" w14:paraId="0A989D57" w14:textId="77777777" w:rsidTr="006418E1">
        <w:tc>
          <w:tcPr>
            <w:tcW w:w="3619" w:type="dxa"/>
          </w:tcPr>
          <w:p w14:paraId="31E45AD4" w14:textId="2B7D8219"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MMF alone</w:t>
            </w:r>
          </w:p>
        </w:tc>
        <w:tc>
          <w:tcPr>
            <w:tcW w:w="2002" w:type="dxa"/>
          </w:tcPr>
          <w:p w14:paraId="207D3549" w14:textId="3AFF59B1"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5 ( 10.6)</w:t>
            </w:r>
          </w:p>
        </w:tc>
        <w:tc>
          <w:tcPr>
            <w:tcW w:w="1827" w:type="dxa"/>
          </w:tcPr>
          <w:p w14:paraId="7E71E2D2" w14:textId="7120A0C2"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10 ( 10.4)</w:t>
            </w:r>
          </w:p>
        </w:tc>
        <w:tc>
          <w:tcPr>
            <w:tcW w:w="1568" w:type="dxa"/>
          </w:tcPr>
          <w:p w14:paraId="7217800E" w14:textId="0BC41AEE"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15 ( 10.5)</w:t>
            </w:r>
          </w:p>
        </w:tc>
      </w:tr>
      <w:tr w:rsidR="00DE192D" w:rsidRPr="00DE192D" w14:paraId="5B07BD9D" w14:textId="77777777" w:rsidTr="006418E1">
        <w:tc>
          <w:tcPr>
            <w:tcW w:w="3619" w:type="dxa"/>
          </w:tcPr>
          <w:p w14:paraId="3A3195FB" w14:textId="1B1373E4"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MMF + Steroids</w:t>
            </w:r>
          </w:p>
        </w:tc>
        <w:tc>
          <w:tcPr>
            <w:tcW w:w="2002" w:type="dxa"/>
          </w:tcPr>
          <w:p w14:paraId="1B538FDC" w14:textId="7D49D807"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3 (  6.4)</w:t>
            </w:r>
          </w:p>
        </w:tc>
        <w:tc>
          <w:tcPr>
            <w:tcW w:w="1827" w:type="dxa"/>
          </w:tcPr>
          <w:p w14:paraId="6FC29DF2" w14:textId="14F16DE5"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7 (  7.3)</w:t>
            </w:r>
          </w:p>
        </w:tc>
        <w:tc>
          <w:tcPr>
            <w:tcW w:w="1568" w:type="dxa"/>
          </w:tcPr>
          <w:p w14:paraId="18324181" w14:textId="0D11ACA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10 (  7.0)</w:t>
            </w:r>
          </w:p>
        </w:tc>
      </w:tr>
      <w:tr w:rsidR="00DE192D" w:rsidRPr="00DE192D" w14:paraId="51D35789" w14:textId="77777777" w:rsidTr="006418E1">
        <w:tc>
          <w:tcPr>
            <w:tcW w:w="3619" w:type="dxa"/>
          </w:tcPr>
          <w:p w14:paraId="66AEBFA7" w14:textId="39991F79"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2F4089">
              <w:rPr>
                <w:rFonts w:asciiTheme="majorHAnsi" w:hAnsiTheme="majorHAnsi" w:cs="Courier"/>
                <w:color w:val="000000"/>
                <w:szCs w:val="24"/>
              </w:rPr>
              <w:t>Other IST(s)</w:t>
            </w:r>
            <w:r w:rsidR="002B4BA9" w:rsidRPr="002B4BA9">
              <w:rPr>
                <w:rFonts w:asciiTheme="majorHAnsi" w:hAnsiTheme="majorHAnsi" w:cs="Courier"/>
                <w:color w:val="000000"/>
                <w:szCs w:val="24"/>
                <w:vertAlign w:val="superscript"/>
              </w:rPr>
              <w:t>a</w:t>
            </w:r>
          </w:p>
        </w:tc>
        <w:tc>
          <w:tcPr>
            <w:tcW w:w="2002" w:type="dxa"/>
          </w:tcPr>
          <w:p w14:paraId="58FB5916" w14:textId="093CEEC9"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 (  4.3)</w:t>
            </w:r>
          </w:p>
        </w:tc>
        <w:tc>
          <w:tcPr>
            <w:tcW w:w="1827" w:type="dxa"/>
          </w:tcPr>
          <w:p w14:paraId="3D957EA7" w14:textId="01A14CFF"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5 (  5.2)</w:t>
            </w:r>
          </w:p>
        </w:tc>
        <w:tc>
          <w:tcPr>
            <w:tcW w:w="1568" w:type="dxa"/>
          </w:tcPr>
          <w:p w14:paraId="2B28A875" w14:textId="24137A0D"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7 (  4.9)</w:t>
            </w:r>
          </w:p>
        </w:tc>
      </w:tr>
      <w:tr w:rsidR="00DE192D" w:rsidRPr="00DE192D" w14:paraId="18575155" w14:textId="77777777" w:rsidTr="006418E1">
        <w:tc>
          <w:tcPr>
            <w:tcW w:w="3619" w:type="dxa"/>
          </w:tcPr>
          <w:p w14:paraId="3A458189" w14:textId="0D401A34"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 xml:space="preserve">   Other IST(s) alone</w:t>
            </w:r>
          </w:p>
        </w:tc>
        <w:tc>
          <w:tcPr>
            <w:tcW w:w="2002" w:type="dxa"/>
          </w:tcPr>
          <w:p w14:paraId="178725BC" w14:textId="1A3E0D0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0 (  0.0)</w:t>
            </w:r>
          </w:p>
        </w:tc>
        <w:tc>
          <w:tcPr>
            <w:tcW w:w="1827" w:type="dxa"/>
          </w:tcPr>
          <w:p w14:paraId="36BF6348" w14:textId="5986B5BF"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 (  1.0)</w:t>
            </w:r>
          </w:p>
        </w:tc>
        <w:tc>
          <w:tcPr>
            <w:tcW w:w="1568" w:type="dxa"/>
          </w:tcPr>
          <w:p w14:paraId="67508DA8" w14:textId="1FF74DAC"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 (  0.7)</w:t>
            </w:r>
          </w:p>
        </w:tc>
      </w:tr>
      <w:tr w:rsidR="00DE192D" w:rsidRPr="00DE192D" w14:paraId="08318231" w14:textId="77777777" w:rsidTr="006418E1">
        <w:tc>
          <w:tcPr>
            <w:tcW w:w="3619" w:type="dxa"/>
          </w:tcPr>
          <w:p w14:paraId="5A6A983C" w14:textId="6B8AA0F7" w:rsidR="00DE192D" w:rsidRPr="00DE192D" w:rsidRDefault="00DE192D" w:rsidP="002F40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right"/>
              <w:rPr>
                <w:rFonts w:asciiTheme="majorHAnsi" w:hAnsiTheme="majorHAnsi" w:cs="Arial"/>
                <w:szCs w:val="24"/>
              </w:rPr>
            </w:pPr>
            <w:r w:rsidRPr="002F4089">
              <w:rPr>
                <w:rFonts w:asciiTheme="majorHAnsi" w:hAnsiTheme="majorHAnsi" w:cs="Courier"/>
                <w:color w:val="000000"/>
                <w:szCs w:val="24"/>
              </w:rPr>
              <w:t xml:space="preserve">   Other IST(s) + Steroids</w:t>
            </w:r>
          </w:p>
        </w:tc>
        <w:tc>
          <w:tcPr>
            <w:tcW w:w="2002" w:type="dxa"/>
          </w:tcPr>
          <w:p w14:paraId="465F0FC9" w14:textId="6D6B833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 (  4.3)</w:t>
            </w:r>
          </w:p>
        </w:tc>
        <w:tc>
          <w:tcPr>
            <w:tcW w:w="1827" w:type="dxa"/>
          </w:tcPr>
          <w:p w14:paraId="47ED71A1" w14:textId="5095DCFA"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4 (  4.2)</w:t>
            </w:r>
          </w:p>
        </w:tc>
        <w:tc>
          <w:tcPr>
            <w:tcW w:w="1568" w:type="dxa"/>
          </w:tcPr>
          <w:p w14:paraId="7B2CFEA2" w14:textId="204B3060"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6 (  4.2)</w:t>
            </w:r>
          </w:p>
        </w:tc>
      </w:tr>
      <w:tr w:rsidR="00DE192D" w:rsidRPr="00DE192D" w14:paraId="488C02BB" w14:textId="693C487F" w:rsidTr="006418E1">
        <w:tc>
          <w:tcPr>
            <w:tcW w:w="3619" w:type="dxa"/>
          </w:tcPr>
          <w:p w14:paraId="4C49B795" w14:textId="4E6C8FE0" w:rsidR="00DE192D" w:rsidRPr="002F4089"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Courier"/>
                <w:color w:val="000000"/>
                <w:szCs w:val="24"/>
              </w:rPr>
            </w:pPr>
            <w:r w:rsidRPr="002F4089">
              <w:rPr>
                <w:rFonts w:asciiTheme="majorHAnsi" w:hAnsiTheme="majorHAnsi" w:cs="Courier"/>
                <w:color w:val="000000"/>
                <w:szCs w:val="24"/>
              </w:rPr>
              <w:t>No IST Usage</w:t>
            </w:r>
          </w:p>
        </w:tc>
        <w:tc>
          <w:tcPr>
            <w:tcW w:w="2002" w:type="dxa"/>
          </w:tcPr>
          <w:p w14:paraId="43149B08" w14:textId="4ABCBD7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13 ( 27.7)</w:t>
            </w:r>
          </w:p>
        </w:tc>
        <w:tc>
          <w:tcPr>
            <w:tcW w:w="1827" w:type="dxa"/>
          </w:tcPr>
          <w:p w14:paraId="088C5BD3" w14:textId="1115A098"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21 ( 21.9)</w:t>
            </w:r>
          </w:p>
        </w:tc>
        <w:tc>
          <w:tcPr>
            <w:tcW w:w="1568" w:type="dxa"/>
          </w:tcPr>
          <w:p w14:paraId="0BAB5FEF" w14:textId="7EF0716C" w:rsidR="00DE192D" w:rsidRPr="00DE192D" w:rsidRDefault="00DE192D" w:rsidP="00DE19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Theme="majorHAnsi" w:hAnsiTheme="majorHAnsi" w:cs="Arial"/>
                <w:szCs w:val="24"/>
              </w:rPr>
            </w:pPr>
            <w:r w:rsidRPr="002F4089">
              <w:rPr>
                <w:rFonts w:asciiTheme="majorHAnsi" w:hAnsiTheme="majorHAnsi" w:cs="Courier"/>
                <w:color w:val="000000"/>
                <w:szCs w:val="24"/>
              </w:rPr>
              <w:t xml:space="preserve"> 34 ( 23.8)</w:t>
            </w:r>
          </w:p>
        </w:tc>
      </w:tr>
    </w:tbl>
    <w:p w14:paraId="76187CD8" w14:textId="0EC492E5" w:rsidR="002B4BA9" w:rsidRPr="00754232" w:rsidRDefault="002B4BA9" w:rsidP="002B4B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sz w:val="22"/>
          <w:szCs w:val="20"/>
        </w:rPr>
      </w:pPr>
      <w:proofErr w:type="spellStart"/>
      <w:r w:rsidRPr="00754232">
        <w:rPr>
          <w:rFonts w:asciiTheme="majorHAnsi" w:hAnsiTheme="majorHAnsi" w:cs="Arial"/>
          <w:i/>
          <w:iCs/>
          <w:sz w:val="22"/>
          <w:szCs w:val="20"/>
          <w:vertAlign w:val="superscript"/>
        </w:rPr>
        <w:t>a</w:t>
      </w:r>
      <w:r w:rsidRPr="00754232">
        <w:rPr>
          <w:rFonts w:asciiTheme="majorHAnsi" w:hAnsiTheme="majorHAnsi" w:cs="Arial"/>
          <w:i/>
          <w:iCs/>
          <w:sz w:val="22"/>
          <w:szCs w:val="20"/>
        </w:rPr>
        <w:t>Other</w:t>
      </w:r>
      <w:proofErr w:type="spellEnd"/>
      <w:r w:rsidRPr="00754232">
        <w:rPr>
          <w:rFonts w:asciiTheme="majorHAnsi" w:hAnsiTheme="majorHAnsi" w:cs="Arial"/>
          <w:i/>
          <w:iCs/>
          <w:sz w:val="22"/>
          <w:szCs w:val="20"/>
        </w:rPr>
        <w:t xml:space="preserve"> ISTs include: </w:t>
      </w:r>
      <w:r w:rsidR="00754232" w:rsidRPr="00754232">
        <w:rPr>
          <w:rFonts w:asciiTheme="majorHAnsi" w:hAnsiTheme="majorHAnsi" w:cs="Arial"/>
          <w:i/>
          <w:iCs/>
          <w:sz w:val="22"/>
          <w:szCs w:val="20"/>
        </w:rPr>
        <w:t xml:space="preserve">cyclosporine, cyclophosphamide, methotrexate, </w:t>
      </w:r>
      <w:proofErr w:type="spellStart"/>
      <w:r w:rsidR="00754232" w:rsidRPr="00754232">
        <w:rPr>
          <w:rFonts w:asciiTheme="majorHAnsi" w:hAnsiTheme="majorHAnsi" w:cs="Arial"/>
          <w:i/>
          <w:iCs/>
          <w:sz w:val="22"/>
          <w:szCs w:val="20"/>
        </w:rPr>
        <w:t>mizoribine</w:t>
      </w:r>
      <w:proofErr w:type="spellEnd"/>
      <w:r w:rsidR="00754232" w:rsidRPr="00754232">
        <w:rPr>
          <w:rFonts w:asciiTheme="majorHAnsi" w:hAnsiTheme="majorHAnsi" w:cs="Arial"/>
          <w:i/>
          <w:iCs/>
          <w:sz w:val="22"/>
          <w:szCs w:val="20"/>
        </w:rPr>
        <w:t>, and tacrolimus</w:t>
      </w:r>
      <w:r w:rsidR="00754232" w:rsidRPr="00754232">
        <w:rPr>
          <w:rFonts w:asciiTheme="majorHAnsi" w:hAnsiTheme="majorHAnsi" w:cs="Arial"/>
          <w:sz w:val="22"/>
          <w:szCs w:val="20"/>
        </w:rPr>
        <w:t>.</w:t>
      </w:r>
    </w:p>
    <w:p w14:paraId="7A212818" w14:textId="75A28014" w:rsidR="003C7452" w:rsidRDefault="003C7452" w:rsidP="00082D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Theme="majorHAnsi" w:hAnsiTheme="majorHAnsi" w:cs="Arial"/>
        </w:rPr>
      </w:pPr>
      <w:r w:rsidRPr="003C7452">
        <w:rPr>
          <w:rFonts w:asciiTheme="majorHAnsi" w:hAnsiTheme="majorHAnsi" w:cs="Arial"/>
        </w:rPr>
        <w:t>Baseline characteristics were similar between treatment groups, including mean age at first dose (43.9 in the S</w:t>
      </w:r>
      <w:r w:rsidR="00376900">
        <w:rPr>
          <w:rFonts w:asciiTheme="majorHAnsi" w:hAnsiTheme="majorHAnsi" w:cs="Arial"/>
        </w:rPr>
        <w:t>oliris</w:t>
      </w:r>
      <w:r w:rsidRPr="003C7452">
        <w:rPr>
          <w:rFonts w:asciiTheme="majorHAnsi" w:hAnsiTheme="majorHAnsi" w:cs="Arial"/>
        </w:rPr>
        <w:t xml:space="preserve"> group, and 45.0 in the placebo group), and gender [91.7% female (S</w:t>
      </w:r>
      <w:r w:rsidR="00376900">
        <w:rPr>
          <w:rFonts w:asciiTheme="majorHAnsi" w:hAnsiTheme="majorHAnsi" w:cs="Arial"/>
        </w:rPr>
        <w:t>oliris</w:t>
      </w:r>
      <w:r w:rsidRPr="003C7452">
        <w:rPr>
          <w:rFonts w:asciiTheme="majorHAnsi" w:hAnsiTheme="majorHAnsi" w:cs="Arial"/>
        </w:rPr>
        <w:t>) versus 89.4% female (placebo)].</w:t>
      </w:r>
    </w:p>
    <w:p w14:paraId="53E6DE1E" w14:textId="0381EC93" w:rsidR="003C7452" w:rsidRPr="003C7452" w:rsidRDefault="003C7452" w:rsidP="003C74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3C7452">
        <w:rPr>
          <w:rFonts w:asciiTheme="majorHAnsi" w:hAnsiTheme="majorHAnsi" w:cs="Arial"/>
          <w:b/>
          <w:szCs w:val="24"/>
        </w:rPr>
        <w:fldChar w:fldCharType="begin"/>
      </w:r>
      <w:r w:rsidRPr="003C7452">
        <w:rPr>
          <w:rFonts w:asciiTheme="majorHAnsi" w:hAnsiTheme="majorHAnsi" w:cs="Arial"/>
          <w:szCs w:val="24"/>
        </w:rPr>
        <w:instrText xml:space="preserve"> REF _Ref21955898 \h </w:instrText>
      </w:r>
      <w:r w:rsidRPr="003C7452">
        <w:rPr>
          <w:rFonts w:asciiTheme="majorHAnsi" w:hAnsiTheme="majorHAnsi" w:cs="Arial"/>
          <w:b/>
          <w:szCs w:val="24"/>
        </w:rPr>
        <w:instrText xml:space="preserve"> \* MERGEFORMAT </w:instrText>
      </w:r>
      <w:r w:rsidRPr="003C7452">
        <w:rPr>
          <w:rFonts w:asciiTheme="majorHAnsi" w:hAnsiTheme="majorHAnsi" w:cs="Arial"/>
          <w:b/>
          <w:szCs w:val="24"/>
        </w:rPr>
      </w:r>
      <w:r w:rsidRPr="003C7452">
        <w:rPr>
          <w:rFonts w:asciiTheme="majorHAnsi" w:hAnsiTheme="majorHAnsi" w:cs="Arial"/>
          <w:b/>
          <w:szCs w:val="24"/>
        </w:rPr>
        <w:fldChar w:fldCharType="separate"/>
      </w:r>
      <w:r w:rsidR="004E508F" w:rsidRPr="004E508F">
        <w:rPr>
          <w:rFonts w:asciiTheme="majorHAnsi" w:hAnsiTheme="majorHAnsi"/>
          <w:szCs w:val="24"/>
        </w:rPr>
        <w:t xml:space="preserve">Table </w:t>
      </w:r>
      <w:r w:rsidR="004E508F" w:rsidRPr="004E508F">
        <w:rPr>
          <w:rFonts w:asciiTheme="majorHAnsi" w:hAnsiTheme="majorHAnsi"/>
          <w:noProof/>
          <w:szCs w:val="24"/>
        </w:rPr>
        <w:t>18</w:t>
      </w:r>
      <w:r w:rsidRPr="003C7452">
        <w:rPr>
          <w:rFonts w:asciiTheme="majorHAnsi" w:hAnsiTheme="majorHAnsi" w:cs="Arial"/>
          <w:b/>
          <w:szCs w:val="24"/>
        </w:rPr>
        <w:fldChar w:fldCharType="end"/>
      </w:r>
      <w:r w:rsidRPr="003C7452">
        <w:rPr>
          <w:rFonts w:asciiTheme="majorHAnsi" w:hAnsiTheme="majorHAnsi" w:cs="Arial"/>
          <w:b/>
          <w:szCs w:val="24"/>
        </w:rPr>
        <w:t xml:space="preserve"> </w:t>
      </w:r>
      <w:r w:rsidRPr="003C7452">
        <w:rPr>
          <w:rFonts w:asciiTheme="majorHAnsi" w:hAnsiTheme="majorHAnsi" w:cs="Arial"/>
          <w:szCs w:val="24"/>
        </w:rPr>
        <w:t>presents the baseline characteristics of p</w:t>
      </w:r>
      <w:r w:rsidR="00376900">
        <w:rPr>
          <w:rFonts w:asciiTheme="majorHAnsi" w:hAnsiTheme="majorHAnsi" w:cs="Arial"/>
          <w:szCs w:val="24"/>
        </w:rPr>
        <w:t>atients with NMOSD enrolled in</w:t>
      </w:r>
      <w:r w:rsidR="001435CE">
        <w:rPr>
          <w:rFonts w:asciiTheme="majorHAnsi" w:hAnsiTheme="majorHAnsi" w:cs="Arial"/>
          <w:szCs w:val="24"/>
        </w:rPr>
        <w:t xml:space="preserve"> Study</w:t>
      </w:r>
      <w:r w:rsidR="00376900">
        <w:rPr>
          <w:rFonts w:asciiTheme="majorHAnsi" w:hAnsiTheme="majorHAnsi" w:cs="Arial"/>
          <w:szCs w:val="24"/>
        </w:rPr>
        <w:t xml:space="preserve"> </w:t>
      </w:r>
      <w:r w:rsidRPr="00376900">
        <w:rPr>
          <w:rFonts w:asciiTheme="majorHAnsi" w:hAnsiTheme="majorHAnsi" w:cs="Arial"/>
          <w:i/>
          <w:szCs w:val="24"/>
        </w:rPr>
        <w:t>ECU-NMO-301</w:t>
      </w:r>
      <w:r w:rsidRPr="003C7452">
        <w:rPr>
          <w:rFonts w:asciiTheme="majorHAnsi" w:hAnsiTheme="majorHAnsi" w:cs="Arial"/>
          <w:szCs w:val="24"/>
        </w:rPr>
        <w:t>.</w:t>
      </w:r>
    </w:p>
    <w:p w14:paraId="0FF2E262" w14:textId="2A5D717C" w:rsidR="003C7452" w:rsidRDefault="003C7452" w:rsidP="0098396D">
      <w:pPr>
        <w:pStyle w:val="Caption"/>
        <w:pageBreakBefore/>
        <w:spacing w:after="120"/>
        <w:rPr>
          <w:rFonts w:ascii="Arial" w:hAnsi="Arial" w:cs="Arial"/>
          <w:sz w:val="22"/>
          <w:lang w:val="en-US"/>
        </w:rPr>
      </w:pPr>
      <w:bookmarkStart w:id="21" w:name="_Ref21955898"/>
      <w:bookmarkStart w:id="22" w:name="_Ref21955887"/>
      <w:r>
        <w:lastRenderedPageBreak/>
        <w:t xml:space="preserve">Table </w:t>
      </w:r>
      <w:r w:rsidR="00345186">
        <w:fldChar w:fldCharType="begin"/>
      </w:r>
      <w:r w:rsidR="00345186">
        <w:instrText xml:space="preserve"> SEQ Table \* ARABIC </w:instrText>
      </w:r>
      <w:r w:rsidR="00345186">
        <w:fldChar w:fldCharType="separate"/>
      </w:r>
      <w:r w:rsidR="00345186">
        <w:rPr>
          <w:noProof/>
        </w:rPr>
        <w:t>18</w:t>
      </w:r>
      <w:r w:rsidR="00345186">
        <w:fldChar w:fldCharType="end"/>
      </w:r>
      <w:bookmarkEnd w:id="21"/>
      <w:r>
        <w:t>:</w:t>
      </w:r>
      <w:r w:rsidRPr="003C7452">
        <w:rPr>
          <w:rFonts w:ascii="Arial" w:hAnsi="Arial" w:cs="Arial"/>
          <w:sz w:val="22"/>
          <w:lang w:val="en-US"/>
        </w:rPr>
        <w:t xml:space="preserve"> </w:t>
      </w:r>
      <w:r w:rsidRPr="00CD4D60">
        <w:rPr>
          <w:rFonts w:asciiTheme="majorHAnsi" w:hAnsiTheme="majorHAnsi" w:cs="Arial"/>
          <w:lang w:val="en-US"/>
        </w:rPr>
        <w:t>Patient Disease History and Baseline Characteristics in</w:t>
      </w:r>
      <w:r w:rsidR="001435CE">
        <w:rPr>
          <w:rFonts w:asciiTheme="majorHAnsi" w:hAnsiTheme="majorHAnsi" w:cs="Arial"/>
          <w:lang w:val="en-US"/>
        </w:rPr>
        <w:t xml:space="preserve"> Study</w:t>
      </w:r>
      <w:r w:rsidRPr="00CD4D60">
        <w:rPr>
          <w:rFonts w:asciiTheme="majorHAnsi" w:hAnsiTheme="majorHAnsi" w:cs="Arial"/>
          <w:lang w:val="en-US"/>
        </w:rPr>
        <w:t xml:space="preserve"> </w:t>
      </w:r>
      <w:r w:rsidRPr="00376900">
        <w:rPr>
          <w:rFonts w:asciiTheme="majorHAnsi" w:hAnsiTheme="majorHAnsi" w:cs="Arial"/>
          <w:i/>
          <w:lang w:val="en-US"/>
        </w:rPr>
        <w:t>ECU-NMO-301</w:t>
      </w:r>
      <w:bookmarkEnd w:id="22"/>
    </w:p>
    <w:tbl>
      <w:tblPr>
        <w:tblStyle w:val="TableGrid"/>
        <w:tblW w:w="0" w:type="auto"/>
        <w:tblLook w:val="04A0" w:firstRow="1" w:lastRow="0" w:firstColumn="1" w:lastColumn="0" w:noHBand="0" w:noVBand="1"/>
      </w:tblPr>
      <w:tblGrid>
        <w:gridCol w:w="3114"/>
        <w:gridCol w:w="1276"/>
        <w:gridCol w:w="1559"/>
        <w:gridCol w:w="1559"/>
        <w:gridCol w:w="1508"/>
      </w:tblGrid>
      <w:tr w:rsidR="00085BD8" w:rsidRPr="00085BD8" w14:paraId="1EB8B16B" w14:textId="77777777" w:rsidTr="0047540A">
        <w:tc>
          <w:tcPr>
            <w:tcW w:w="3114" w:type="dxa"/>
            <w:vAlign w:val="center"/>
          </w:tcPr>
          <w:p w14:paraId="58CDD519" w14:textId="56AF80D2" w:rsidR="00085BD8" w:rsidRPr="00085BD8" w:rsidRDefault="00085BD8" w:rsidP="00085BD8">
            <w:pPr>
              <w:jc w:val="center"/>
              <w:rPr>
                <w:rFonts w:asciiTheme="majorHAnsi" w:hAnsiTheme="majorHAnsi"/>
                <w:szCs w:val="24"/>
              </w:rPr>
            </w:pPr>
            <w:r w:rsidRPr="00085BD8">
              <w:rPr>
                <w:rFonts w:asciiTheme="majorHAnsi" w:hAnsiTheme="majorHAnsi" w:cs="Arial"/>
                <w:b/>
                <w:bCs/>
                <w:szCs w:val="24"/>
              </w:rPr>
              <w:t>Variable</w:t>
            </w:r>
          </w:p>
        </w:tc>
        <w:tc>
          <w:tcPr>
            <w:tcW w:w="1276" w:type="dxa"/>
            <w:vAlign w:val="center"/>
          </w:tcPr>
          <w:p w14:paraId="6B7503E2" w14:textId="5AEF176E" w:rsidR="00085BD8" w:rsidRPr="00085BD8" w:rsidRDefault="00085BD8" w:rsidP="00085BD8">
            <w:pPr>
              <w:jc w:val="center"/>
              <w:rPr>
                <w:rFonts w:asciiTheme="majorHAnsi" w:hAnsiTheme="majorHAnsi"/>
                <w:szCs w:val="24"/>
              </w:rPr>
            </w:pPr>
            <w:r w:rsidRPr="00085BD8">
              <w:rPr>
                <w:rFonts w:asciiTheme="majorHAnsi" w:hAnsiTheme="majorHAnsi" w:cs="Arial"/>
                <w:b/>
                <w:bCs/>
                <w:szCs w:val="24"/>
              </w:rPr>
              <w:t>Statistic</w:t>
            </w:r>
          </w:p>
        </w:tc>
        <w:tc>
          <w:tcPr>
            <w:tcW w:w="1559" w:type="dxa"/>
            <w:vAlign w:val="center"/>
          </w:tcPr>
          <w:p w14:paraId="2162AD48" w14:textId="77777777" w:rsidR="00085BD8" w:rsidRPr="00085BD8" w:rsidRDefault="00085BD8" w:rsidP="00085B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szCs w:val="24"/>
              </w:rPr>
            </w:pPr>
            <w:r w:rsidRPr="00085BD8">
              <w:rPr>
                <w:rFonts w:asciiTheme="majorHAnsi" w:hAnsiTheme="majorHAnsi" w:cs="Arial"/>
                <w:b/>
                <w:bCs/>
                <w:szCs w:val="24"/>
              </w:rPr>
              <w:t>Placebo</w:t>
            </w:r>
          </w:p>
          <w:p w14:paraId="0322F336" w14:textId="619E6039" w:rsidR="00085BD8" w:rsidRPr="00085BD8" w:rsidRDefault="00085BD8" w:rsidP="00085BD8">
            <w:pPr>
              <w:jc w:val="center"/>
              <w:rPr>
                <w:rFonts w:asciiTheme="majorHAnsi" w:hAnsiTheme="majorHAnsi"/>
                <w:szCs w:val="24"/>
              </w:rPr>
            </w:pPr>
            <w:r w:rsidRPr="00085BD8">
              <w:rPr>
                <w:rFonts w:asciiTheme="majorHAnsi" w:hAnsiTheme="majorHAnsi" w:cs="Arial"/>
                <w:b/>
                <w:bCs/>
                <w:szCs w:val="24"/>
              </w:rPr>
              <w:t>(N = 47)</w:t>
            </w:r>
          </w:p>
        </w:tc>
        <w:tc>
          <w:tcPr>
            <w:tcW w:w="1559" w:type="dxa"/>
            <w:vAlign w:val="center"/>
          </w:tcPr>
          <w:p w14:paraId="13DE45F9" w14:textId="2A48F5AD" w:rsidR="00085BD8" w:rsidRPr="00085BD8" w:rsidRDefault="00085BD8" w:rsidP="00085B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szCs w:val="24"/>
              </w:rPr>
            </w:pPr>
            <w:r w:rsidRPr="00085BD8">
              <w:rPr>
                <w:rFonts w:asciiTheme="majorHAnsi" w:hAnsiTheme="majorHAnsi" w:cs="Arial"/>
                <w:b/>
                <w:bCs/>
                <w:szCs w:val="24"/>
              </w:rPr>
              <w:t>S</w:t>
            </w:r>
            <w:r w:rsidR="0047540A">
              <w:rPr>
                <w:rFonts w:asciiTheme="majorHAnsi" w:hAnsiTheme="majorHAnsi" w:cs="Arial"/>
                <w:b/>
                <w:bCs/>
                <w:szCs w:val="24"/>
              </w:rPr>
              <w:t>oliris</w:t>
            </w:r>
          </w:p>
          <w:p w14:paraId="6ED906B4" w14:textId="512F1E13" w:rsidR="00085BD8" w:rsidRPr="00085BD8" w:rsidRDefault="00085BD8" w:rsidP="00085BD8">
            <w:pPr>
              <w:jc w:val="center"/>
              <w:rPr>
                <w:rFonts w:asciiTheme="majorHAnsi" w:hAnsiTheme="majorHAnsi"/>
                <w:szCs w:val="24"/>
              </w:rPr>
            </w:pPr>
            <w:r w:rsidRPr="00085BD8">
              <w:rPr>
                <w:rFonts w:asciiTheme="majorHAnsi" w:hAnsiTheme="majorHAnsi" w:cs="Arial"/>
                <w:b/>
                <w:bCs/>
                <w:szCs w:val="24"/>
              </w:rPr>
              <w:t>(N = 96)</w:t>
            </w:r>
          </w:p>
        </w:tc>
        <w:tc>
          <w:tcPr>
            <w:tcW w:w="1508" w:type="dxa"/>
            <w:vAlign w:val="center"/>
          </w:tcPr>
          <w:p w14:paraId="17A196B9" w14:textId="77777777" w:rsidR="00085BD8" w:rsidRPr="00085BD8" w:rsidRDefault="00085BD8" w:rsidP="00085B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szCs w:val="24"/>
              </w:rPr>
            </w:pPr>
            <w:r w:rsidRPr="00085BD8">
              <w:rPr>
                <w:rFonts w:asciiTheme="majorHAnsi" w:hAnsiTheme="majorHAnsi" w:cs="Arial"/>
                <w:b/>
                <w:bCs/>
                <w:szCs w:val="24"/>
              </w:rPr>
              <w:t>Total</w:t>
            </w:r>
          </w:p>
          <w:p w14:paraId="16E3080E" w14:textId="2D1FE630" w:rsidR="00085BD8" w:rsidRPr="00085BD8" w:rsidRDefault="00085BD8" w:rsidP="00085BD8">
            <w:pPr>
              <w:jc w:val="center"/>
              <w:rPr>
                <w:rFonts w:asciiTheme="majorHAnsi" w:hAnsiTheme="majorHAnsi"/>
                <w:szCs w:val="24"/>
              </w:rPr>
            </w:pPr>
            <w:r w:rsidRPr="00085BD8">
              <w:rPr>
                <w:rFonts w:asciiTheme="majorHAnsi" w:hAnsiTheme="majorHAnsi" w:cs="Arial"/>
                <w:b/>
                <w:bCs/>
                <w:szCs w:val="24"/>
              </w:rPr>
              <w:t>(N = 143)</w:t>
            </w:r>
          </w:p>
        </w:tc>
      </w:tr>
      <w:tr w:rsidR="003C7452" w:rsidRPr="00085BD8" w14:paraId="1BFA23D3" w14:textId="77777777" w:rsidTr="00FF37B0">
        <w:tc>
          <w:tcPr>
            <w:tcW w:w="9016" w:type="dxa"/>
            <w:gridSpan w:val="5"/>
          </w:tcPr>
          <w:p w14:paraId="5C0DE43F" w14:textId="5EFACAA8" w:rsidR="003C7452" w:rsidRPr="00085BD8" w:rsidRDefault="00085BD8" w:rsidP="003C7452">
            <w:pPr>
              <w:rPr>
                <w:rFonts w:asciiTheme="majorHAnsi" w:hAnsiTheme="majorHAnsi"/>
                <w:szCs w:val="24"/>
              </w:rPr>
            </w:pPr>
            <w:r w:rsidRPr="00085BD8">
              <w:rPr>
                <w:rFonts w:asciiTheme="majorHAnsi" w:hAnsiTheme="majorHAnsi" w:cs="Arial"/>
                <w:b/>
                <w:bCs/>
                <w:i/>
                <w:iCs/>
                <w:szCs w:val="24"/>
              </w:rPr>
              <w:t>NMOSD History</w:t>
            </w:r>
          </w:p>
        </w:tc>
      </w:tr>
      <w:tr w:rsidR="00085BD8" w:rsidRPr="00085BD8" w14:paraId="005C32EB" w14:textId="77777777" w:rsidTr="0047540A">
        <w:tc>
          <w:tcPr>
            <w:tcW w:w="3114" w:type="dxa"/>
            <w:vMerge w:val="restart"/>
          </w:tcPr>
          <w:p w14:paraId="663D0E72" w14:textId="37A16458" w:rsidR="00085BD8" w:rsidRPr="00085BD8" w:rsidRDefault="00085BD8" w:rsidP="00085BD8">
            <w:pPr>
              <w:rPr>
                <w:rFonts w:asciiTheme="majorHAnsi" w:hAnsiTheme="majorHAnsi"/>
                <w:szCs w:val="24"/>
              </w:rPr>
            </w:pPr>
            <w:r w:rsidRPr="00085BD8">
              <w:rPr>
                <w:rFonts w:asciiTheme="majorHAnsi" w:hAnsiTheme="majorHAnsi" w:cs="Arial"/>
                <w:szCs w:val="24"/>
              </w:rPr>
              <w:t>Age at NMOSD Initial Clinical Presentation (years)</w:t>
            </w:r>
          </w:p>
        </w:tc>
        <w:tc>
          <w:tcPr>
            <w:tcW w:w="1276" w:type="dxa"/>
            <w:vAlign w:val="center"/>
          </w:tcPr>
          <w:p w14:paraId="4F601F7A" w14:textId="54DC1F40" w:rsidR="00085BD8" w:rsidRPr="00085BD8" w:rsidRDefault="00085BD8" w:rsidP="00085BD8">
            <w:pPr>
              <w:jc w:val="center"/>
              <w:rPr>
                <w:rFonts w:asciiTheme="majorHAnsi" w:hAnsiTheme="majorHAnsi"/>
                <w:szCs w:val="24"/>
              </w:rPr>
            </w:pPr>
            <w:r w:rsidRPr="00085BD8">
              <w:rPr>
                <w:rFonts w:asciiTheme="majorHAnsi" w:hAnsiTheme="majorHAnsi" w:cs="Arial"/>
                <w:szCs w:val="24"/>
              </w:rPr>
              <w:t>Median</w:t>
            </w:r>
          </w:p>
        </w:tc>
        <w:tc>
          <w:tcPr>
            <w:tcW w:w="1559" w:type="dxa"/>
            <w:vAlign w:val="center"/>
          </w:tcPr>
          <w:p w14:paraId="35A47306" w14:textId="042A67B7" w:rsidR="00085BD8" w:rsidRPr="00085BD8" w:rsidRDefault="00085BD8" w:rsidP="00085BD8">
            <w:pPr>
              <w:jc w:val="center"/>
              <w:rPr>
                <w:rFonts w:asciiTheme="majorHAnsi" w:hAnsiTheme="majorHAnsi"/>
                <w:szCs w:val="24"/>
              </w:rPr>
            </w:pPr>
            <w:r w:rsidRPr="00085BD8">
              <w:rPr>
                <w:rFonts w:asciiTheme="majorHAnsi" w:hAnsiTheme="majorHAnsi" w:cs="Arial"/>
                <w:szCs w:val="24"/>
              </w:rPr>
              <w:t>38.0</w:t>
            </w:r>
          </w:p>
        </w:tc>
        <w:tc>
          <w:tcPr>
            <w:tcW w:w="1559" w:type="dxa"/>
            <w:vAlign w:val="center"/>
          </w:tcPr>
          <w:p w14:paraId="00DD6FA5" w14:textId="69D98855" w:rsidR="00085BD8" w:rsidRPr="00085BD8" w:rsidRDefault="00085BD8" w:rsidP="00085BD8">
            <w:pPr>
              <w:jc w:val="center"/>
              <w:rPr>
                <w:rFonts w:asciiTheme="majorHAnsi" w:hAnsiTheme="majorHAnsi"/>
                <w:szCs w:val="24"/>
              </w:rPr>
            </w:pPr>
            <w:r w:rsidRPr="00085BD8">
              <w:rPr>
                <w:rFonts w:asciiTheme="majorHAnsi" w:hAnsiTheme="majorHAnsi" w:cs="Arial"/>
                <w:szCs w:val="24"/>
              </w:rPr>
              <w:t>35.5</w:t>
            </w:r>
          </w:p>
        </w:tc>
        <w:tc>
          <w:tcPr>
            <w:tcW w:w="1508" w:type="dxa"/>
            <w:vAlign w:val="center"/>
          </w:tcPr>
          <w:p w14:paraId="4A10C4D6" w14:textId="59500F33" w:rsidR="00085BD8" w:rsidRPr="00085BD8" w:rsidRDefault="00085BD8" w:rsidP="00085BD8">
            <w:pPr>
              <w:jc w:val="center"/>
              <w:rPr>
                <w:rFonts w:asciiTheme="majorHAnsi" w:hAnsiTheme="majorHAnsi"/>
                <w:szCs w:val="24"/>
              </w:rPr>
            </w:pPr>
            <w:r w:rsidRPr="00085BD8">
              <w:rPr>
                <w:rFonts w:asciiTheme="majorHAnsi" w:hAnsiTheme="majorHAnsi" w:cs="Arial"/>
                <w:szCs w:val="24"/>
              </w:rPr>
              <w:t>36.0</w:t>
            </w:r>
          </w:p>
        </w:tc>
      </w:tr>
      <w:tr w:rsidR="00085BD8" w:rsidRPr="00085BD8" w14:paraId="7C27F942" w14:textId="77777777" w:rsidTr="0047540A">
        <w:tc>
          <w:tcPr>
            <w:tcW w:w="3114" w:type="dxa"/>
            <w:vMerge/>
          </w:tcPr>
          <w:p w14:paraId="6C1A12E5" w14:textId="77777777" w:rsidR="00085BD8" w:rsidRPr="00085BD8" w:rsidRDefault="00085BD8" w:rsidP="00085BD8">
            <w:pPr>
              <w:rPr>
                <w:rFonts w:asciiTheme="majorHAnsi" w:hAnsiTheme="majorHAnsi"/>
                <w:szCs w:val="24"/>
              </w:rPr>
            </w:pPr>
          </w:p>
        </w:tc>
        <w:tc>
          <w:tcPr>
            <w:tcW w:w="1276" w:type="dxa"/>
            <w:vAlign w:val="center"/>
          </w:tcPr>
          <w:p w14:paraId="3F53DDDE" w14:textId="1BA7AB53" w:rsidR="00085BD8" w:rsidRPr="00085BD8" w:rsidRDefault="00085BD8" w:rsidP="00085BD8">
            <w:pPr>
              <w:jc w:val="center"/>
              <w:rPr>
                <w:rFonts w:asciiTheme="majorHAnsi" w:hAnsiTheme="majorHAnsi"/>
                <w:szCs w:val="24"/>
              </w:rPr>
            </w:pPr>
            <w:r w:rsidRPr="00085BD8">
              <w:rPr>
                <w:rFonts w:asciiTheme="majorHAnsi" w:hAnsiTheme="majorHAnsi" w:cs="Arial"/>
                <w:szCs w:val="24"/>
              </w:rPr>
              <w:t>Min, Max</w:t>
            </w:r>
          </w:p>
        </w:tc>
        <w:tc>
          <w:tcPr>
            <w:tcW w:w="1559" w:type="dxa"/>
            <w:vAlign w:val="center"/>
          </w:tcPr>
          <w:p w14:paraId="0F736D7C" w14:textId="6F640E10" w:rsidR="00085BD8" w:rsidRPr="00085BD8" w:rsidRDefault="00085BD8" w:rsidP="00085BD8">
            <w:pPr>
              <w:jc w:val="center"/>
              <w:rPr>
                <w:rFonts w:asciiTheme="majorHAnsi" w:hAnsiTheme="majorHAnsi"/>
                <w:szCs w:val="24"/>
              </w:rPr>
            </w:pPr>
            <w:r w:rsidRPr="00085BD8">
              <w:rPr>
                <w:rFonts w:asciiTheme="majorHAnsi" w:hAnsiTheme="majorHAnsi" w:cs="Arial"/>
                <w:szCs w:val="24"/>
              </w:rPr>
              <w:t>12, 73</w:t>
            </w:r>
          </w:p>
        </w:tc>
        <w:tc>
          <w:tcPr>
            <w:tcW w:w="1559" w:type="dxa"/>
            <w:vAlign w:val="center"/>
          </w:tcPr>
          <w:p w14:paraId="5A3BEDBC" w14:textId="6C7C6349" w:rsidR="00085BD8" w:rsidRPr="00085BD8" w:rsidRDefault="00085BD8" w:rsidP="00085BD8">
            <w:pPr>
              <w:jc w:val="center"/>
              <w:rPr>
                <w:rFonts w:asciiTheme="majorHAnsi" w:hAnsiTheme="majorHAnsi"/>
                <w:szCs w:val="24"/>
              </w:rPr>
            </w:pPr>
            <w:r w:rsidRPr="00085BD8">
              <w:rPr>
                <w:rFonts w:asciiTheme="majorHAnsi" w:hAnsiTheme="majorHAnsi" w:cs="Arial"/>
                <w:szCs w:val="24"/>
              </w:rPr>
              <w:t>5, 66</w:t>
            </w:r>
          </w:p>
        </w:tc>
        <w:tc>
          <w:tcPr>
            <w:tcW w:w="1508" w:type="dxa"/>
            <w:vAlign w:val="center"/>
          </w:tcPr>
          <w:p w14:paraId="481C2E45" w14:textId="7AF9E1E0" w:rsidR="00085BD8" w:rsidRPr="00085BD8" w:rsidRDefault="00085BD8" w:rsidP="00085BD8">
            <w:pPr>
              <w:jc w:val="center"/>
              <w:rPr>
                <w:rFonts w:asciiTheme="majorHAnsi" w:hAnsiTheme="majorHAnsi"/>
                <w:szCs w:val="24"/>
              </w:rPr>
            </w:pPr>
            <w:r w:rsidRPr="00085BD8">
              <w:rPr>
                <w:rFonts w:asciiTheme="majorHAnsi" w:hAnsiTheme="majorHAnsi" w:cs="Arial"/>
                <w:szCs w:val="24"/>
              </w:rPr>
              <w:t>5, 73</w:t>
            </w:r>
          </w:p>
        </w:tc>
      </w:tr>
      <w:tr w:rsidR="00085BD8" w:rsidRPr="00CD4D60" w14:paraId="69469DD9" w14:textId="77777777" w:rsidTr="0047540A">
        <w:tc>
          <w:tcPr>
            <w:tcW w:w="3114" w:type="dxa"/>
            <w:vMerge w:val="restart"/>
          </w:tcPr>
          <w:p w14:paraId="639D564E" w14:textId="45934289" w:rsidR="00085BD8" w:rsidRPr="00085BD8" w:rsidRDefault="00085BD8" w:rsidP="00085BD8">
            <w:pPr>
              <w:rPr>
                <w:rFonts w:asciiTheme="majorHAnsi" w:hAnsiTheme="majorHAnsi"/>
                <w:szCs w:val="24"/>
              </w:rPr>
            </w:pPr>
            <w:r w:rsidRPr="00085BD8">
              <w:rPr>
                <w:rFonts w:asciiTheme="majorHAnsi" w:hAnsiTheme="majorHAnsi" w:cs="Arial"/>
                <w:szCs w:val="24"/>
              </w:rPr>
              <w:t xml:space="preserve">Time from NMOSD initial clinical presentation to first dose of study drug (years) </w:t>
            </w:r>
          </w:p>
        </w:tc>
        <w:tc>
          <w:tcPr>
            <w:tcW w:w="1276" w:type="dxa"/>
            <w:vAlign w:val="center"/>
          </w:tcPr>
          <w:p w14:paraId="2604CDF2" w14:textId="0A645729" w:rsidR="00085BD8" w:rsidRPr="00085BD8" w:rsidRDefault="00085BD8" w:rsidP="00085BD8">
            <w:pPr>
              <w:jc w:val="center"/>
              <w:rPr>
                <w:rFonts w:asciiTheme="majorHAnsi" w:hAnsiTheme="majorHAnsi"/>
                <w:szCs w:val="24"/>
              </w:rPr>
            </w:pPr>
            <w:r w:rsidRPr="00085BD8">
              <w:rPr>
                <w:rFonts w:asciiTheme="majorHAnsi" w:hAnsiTheme="majorHAnsi" w:cs="Arial"/>
                <w:szCs w:val="24"/>
              </w:rPr>
              <w:t>Median</w:t>
            </w:r>
          </w:p>
        </w:tc>
        <w:tc>
          <w:tcPr>
            <w:tcW w:w="1559" w:type="dxa"/>
            <w:vAlign w:val="center"/>
          </w:tcPr>
          <w:p w14:paraId="215D8E10" w14:textId="5F5B400A" w:rsidR="00085BD8" w:rsidRPr="00085BD8" w:rsidRDefault="00085BD8" w:rsidP="00085BD8">
            <w:pPr>
              <w:jc w:val="center"/>
              <w:rPr>
                <w:rFonts w:asciiTheme="majorHAnsi" w:hAnsiTheme="majorHAnsi"/>
                <w:szCs w:val="24"/>
              </w:rPr>
            </w:pPr>
            <w:r w:rsidRPr="00085BD8">
              <w:rPr>
                <w:rFonts w:asciiTheme="majorHAnsi" w:hAnsiTheme="majorHAnsi" w:cs="Arial"/>
                <w:szCs w:val="24"/>
              </w:rPr>
              <w:t>3.760</w:t>
            </w:r>
          </w:p>
        </w:tc>
        <w:tc>
          <w:tcPr>
            <w:tcW w:w="1559" w:type="dxa"/>
            <w:vAlign w:val="center"/>
          </w:tcPr>
          <w:p w14:paraId="1D1FCACA" w14:textId="4AB4AE9A" w:rsidR="00085BD8" w:rsidRPr="00085BD8" w:rsidRDefault="00085BD8" w:rsidP="00085BD8">
            <w:pPr>
              <w:jc w:val="center"/>
              <w:rPr>
                <w:rFonts w:asciiTheme="majorHAnsi" w:hAnsiTheme="majorHAnsi"/>
                <w:szCs w:val="24"/>
              </w:rPr>
            </w:pPr>
            <w:r w:rsidRPr="00CD4D60">
              <w:rPr>
                <w:rFonts w:asciiTheme="majorHAnsi" w:hAnsiTheme="majorHAnsi" w:cs="Arial"/>
                <w:szCs w:val="24"/>
              </w:rPr>
              <w:t>5.030</w:t>
            </w:r>
          </w:p>
        </w:tc>
        <w:tc>
          <w:tcPr>
            <w:tcW w:w="1508" w:type="dxa"/>
            <w:vAlign w:val="center"/>
          </w:tcPr>
          <w:p w14:paraId="67B36C17" w14:textId="109B242A" w:rsidR="00085BD8" w:rsidRPr="00CD4D60" w:rsidRDefault="00085BD8" w:rsidP="00085BD8">
            <w:pPr>
              <w:jc w:val="center"/>
              <w:rPr>
                <w:rFonts w:asciiTheme="majorHAnsi" w:hAnsiTheme="majorHAnsi"/>
                <w:szCs w:val="24"/>
              </w:rPr>
            </w:pPr>
            <w:r w:rsidRPr="00CD4D60">
              <w:rPr>
                <w:rFonts w:asciiTheme="majorHAnsi" w:hAnsiTheme="majorHAnsi" w:cs="Arial"/>
                <w:szCs w:val="24"/>
              </w:rPr>
              <w:t>4.800</w:t>
            </w:r>
          </w:p>
        </w:tc>
      </w:tr>
      <w:tr w:rsidR="00085BD8" w:rsidRPr="00085BD8" w14:paraId="4EC5E1C4" w14:textId="77777777" w:rsidTr="0047540A">
        <w:tc>
          <w:tcPr>
            <w:tcW w:w="3114" w:type="dxa"/>
            <w:vMerge/>
          </w:tcPr>
          <w:p w14:paraId="55227276" w14:textId="77777777" w:rsidR="00085BD8" w:rsidRPr="00CD4D60" w:rsidRDefault="00085BD8" w:rsidP="00085BD8">
            <w:pPr>
              <w:rPr>
                <w:rFonts w:asciiTheme="majorHAnsi" w:hAnsiTheme="majorHAnsi"/>
                <w:szCs w:val="24"/>
              </w:rPr>
            </w:pPr>
          </w:p>
        </w:tc>
        <w:tc>
          <w:tcPr>
            <w:tcW w:w="1276" w:type="dxa"/>
            <w:vAlign w:val="center"/>
          </w:tcPr>
          <w:p w14:paraId="258DF089" w14:textId="467088BA" w:rsidR="00085BD8" w:rsidRPr="00085BD8" w:rsidRDefault="00085BD8" w:rsidP="00085BD8">
            <w:pPr>
              <w:jc w:val="center"/>
              <w:rPr>
                <w:rFonts w:asciiTheme="majorHAnsi" w:hAnsiTheme="majorHAnsi"/>
                <w:szCs w:val="24"/>
              </w:rPr>
            </w:pPr>
            <w:r w:rsidRPr="00CD4D60">
              <w:rPr>
                <w:rFonts w:asciiTheme="majorHAnsi" w:hAnsiTheme="majorHAnsi" w:cs="Arial"/>
                <w:szCs w:val="24"/>
              </w:rPr>
              <w:t>Min, Max</w:t>
            </w:r>
          </w:p>
        </w:tc>
        <w:tc>
          <w:tcPr>
            <w:tcW w:w="1559" w:type="dxa"/>
            <w:vAlign w:val="center"/>
          </w:tcPr>
          <w:p w14:paraId="51517F2D" w14:textId="2AC7070C" w:rsidR="00085BD8" w:rsidRPr="00085BD8" w:rsidRDefault="00085BD8" w:rsidP="00085BD8">
            <w:pPr>
              <w:jc w:val="center"/>
              <w:rPr>
                <w:rFonts w:asciiTheme="majorHAnsi" w:hAnsiTheme="majorHAnsi"/>
                <w:szCs w:val="24"/>
              </w:rPr>
            </w:pPr>
            <w:r w:rsidRPr="00085BD8">
              <w:rPr>
                <w:rFonts w:asciiTheme="majorHAnsi" w:hAnsiTheme="majorHAnsi" w:cs="Arial"/>
                <w:szCs w:val="24"/>
              </w:rPr>
              <w:t>0.51, 29.10</w:t>
            </w:r>
          </w:p>
        </w:tc>
        <w:tc>
          <w:tcPr>
            <w:tcW w:w="1559" w:type="dxa"/>
            <w:vAlign w:val="center"/>
          </w:tcPr>
          <w:p w14:paraId="3E88BF29" w14:textId="30661C25" w:rsidR="00085BD8" w:rsidRPr="00085BD8" w:rsidRDefault="00085BD8" w:rsidP="00085BD8">
            <w:pPr>
              <w:jc w:val="center"/>
              <w:rPr>
                <w:rFonts w:asciiTheme="majorHAnsi" w:hAnsiTheme="majorHAnsi"/>
                <w:szCs w:val="24"/>
              </w:rPr>
            </w:pPr>
            <w:r w:rsidRPr="00085BD8">
              <w:rPr>
                <w:rFonts w:asciiTheme="majorHAnsi" w:hAnsiTheme="majorHAnsi" w:cs="Arial"/>
                <w:szCs w:val="24"/>
              </w:rPr>
              <w:t>0.41, 44.85</w:t>
            </w:r>
          </w:p>
        </w:tc>
        <w:tc>
          <w:tcPr>
            <w:tcW w:w="1508" w:type="dxa"/>
            <w:vAlign w:val="center"/>
          </w:tcPr>
          <w:p w14:paraId="1F1A4B42" w14:textId="5852878A" w:rsidR="00085BD8" w:rsidRPr="00085BD8" w:rsidRDefault="00085BD8" w:rsidP="00085BD8">
            <w:pPr>
              <w:jc w:val="center"/>
              <w:rPr>
                <w:rFonts w:asciiTheme="majorHAnsi" w:hAnsiTheme="majorHAnsi"/>
                <w:szCs w:val="24"/>
              </w:rPr>
            </w:pPr>
            <w:r w:rsidRPr="00085BD8">
              <w:rPr>
                <w:rFonts w:asciiTheme="majorHAnsi" w:hAnsiTheme="majorHAnsi" w:cs="Arial"/>
                <w:szCs w:val="24"/>
              </w:rPr>
              <w:t>0.41, 44.85</w:t>
            </w:r>
          </w:p>
        </w:tc>
      </w:tr>
      <w:tr w:rsidR="00085BD8" w:rsidRPr="00085BD8" w14:paraId="0EE490E6" w14:textId="77777777" w:rsidTr="0047540A">
        <w:tc>
          <w:tcPr>
            <w:tcW w:w="3114" w:type="dxa"/>
            <w:vMerge w:val="restart"/>
          </w:tcPr>
          <w:p w14:paraId="1872FE49" w14:textId="7CA85156" w:rsidR="00085BD8" w:rsidRPr="00CD4D60" w:rsidRDefault="00085BD8" w:rsidP="00085BD8">
            <w:pPr>
              <w:rPr>
                <w:rFonts w:asciiTheme="majorHAnsi" w:hAnsiTheme="majorHAnsi"/>
                <w:szCs w:val="24"/>
              </w:rPr>
            </w:pPr>
            <w:r w:rsidRPr="00CD4D60">
              <w:rPr>
                <w:rFonts w:asciiTheme="majorHAnsi" w:hAnsiTheme="majorHAnsi" w:cs="Arial"/>
                <w:szCs w:val="24"/>
              </w:rPr>
              <w:t xml:space="preserve">Historical </w:t>
            </w:r>
            <w:proofErr w:type="spellStart"/>
            <w:r w:rsidRPr="00CD4D60">
              <w:rPr>
                <w:rFonts w:asciiTheme="majorHAnsi" w:hAnsiTheme="majorHAnsi" w:cs="Arial"/>
                <w:szCs w:val="24"/>
              </w:rPr>
              <w:t>A</w:t>
            </w:r>
            <w:r w:rsidR="00B73DFA">
              <w:rPr>
                <w:rFonts w:asciiTheme="majorHAnsi" w:hAnsiTheme="majorHAnsi" w:cs="Arial"/>
                <w:szCs w:val="24"/>
              </w:rPr>
              <w:t>nnualised</w:t>
            </w:r>
            <w:proofErr w:type="spellEnd"/>
            <w:r w:rsidR="00B73DFA">
              <w:rPr>
                <w:rFonts w:asciiTheme="majorHAnsi" w:hAnsiTheme="majorHAnsi" w:cs="Arial"/>
                <w:szCs w:val="24"/>
              </w:rPr>
              <w:t xml:space="preserve"> </w:t>
            </w:r>
            <w:r w:rsidRPr="00CD4D60">
              <w:rPr>
                <w:rFonts w:asciiTheme="majorHAnsi" w:hAnsiTheme="majorHAnsi" w:cs="Arial"/>
                <w:szCs w:val="24"/>
              </w:rPr>
              <w:t>R</w:t>
            </w:r>
            <w:r w:rsidR="00B73DFA">
              <w:rPr>
                <w:rFonts w:asciiTheme="majorHAnsi" w:hAnsiTheme="majorHAnsi" w:cs="Arial"/>
                <w:szCs w:val="24"/>
              </w:rPr>
              <w:t xml:space="preserve">elapse </w:t>
            </w:r>
            <w:r w:rsidRPr="00CD4D60">
              <w:rPr>
                <w:rFonts w:asciiTheme="majorHAnsi" w:hAnsiTheme="majorHAnsi" w:cs="Arial"/>
                <w:szCs w:val="24"/>
              </w:rPr>
              <w:t>R</w:t>
            </w:r>
            <w:r w:rsidR="00B73DFA">
              <w:rPr>
                <w:rFonts w:asciiTheme="majorHAnsi" w:hAnsiTheme="majorHAnsi" w:cs="Arial"/>
                <w:szCs w:val="24"/>
              </w:rPr>
              <w:t>ate (ARR)</w:t>
            </w:r>
            <w:r w:rsidRPr="00CD4D60">
              <w:rPr>
                <w:rFonts w:asciiTheme="majorHAnsi" w:hAnsiTheme="majorHAnsi" w:cs="Arial"/>
                <w:szCs w:val="24"/>
              </w:rPr>
              <w:t xml:space="preserve"> within 24 months prior to Screening </w:t>
            </w:r>
          </w:p>
        </w:tc>
        <w:tc>
          <w:tcPr>
            <w:tcW w:w="1276" w:type="dxa"/>
            <w:vAlign w:val="center"/>
          </w:tcPr>
          <w:p w14:paraId="0E920772" w14:textId="663A1053" w:rsidR="00085BD8" w:rsidRPr="00CD4D60" w:rsidRDefault="00085BD8" w:rsidP="00085BD8">
            <w:pPr>
              <w:jc w:val="center"/>
              <w:rPr>
                <w:rFonts w:asciiTheme="majorHAnsi" w:hAnsiTheme="majorHAnsi"/>
                <w:szCs w:val="24"/>
              </w:rPr>
            </w:pPr>
            <w:r w:rsidRPr="00CD4D60">
              <w:rPr>
                <w:rFonts w:asciiTheme="majorHAnsi" w:hAnsiTheme="majorHAnsi" w:cs="Arial"/>
                <w:szCs w:val="24"/>
              </w:rPr>
              <w:t>Median</w:t>
            </w:r>
          </w:p>
        </w:tc>
        <w:tc>
          <w:tcPr>
            <w:tcW w:w="1559" w:type="dxa"/>
            <w:vAlign w:val="center"/>
          </w:tcPr>
          <w:p w14:paraId="13345A7D" w14:textId="712699A3" w:rsidR="00085BD8" w:rsidRPr="00085BD8" w:rsidRDefault="00085BD8" w:rsidP="00085BD8">
            <w:pPr>
              <w:jc w:val="center"/>
              <w:rPr>
                <w:rFonts w:asciiTheme="majorHAnsi" w:hAnsiTheme="majorHAnsi"/>
                <w:szCs w:val="24"/>
              </w:rPr>
            </w:pPr>
            <w:r w:rsidRPr="00085BD8">
              <w:rPr>
                <w:rFonts w:asciiTheme="majorHAnsi" w:hAnsiTheme="majorHAnsi" w:cs="Arial"/>
                <w:szCs w:val="24"/>
              </w:rPr>
              <w:t>1.92</w:t>
            </w:r>
          </w:p>
        </w:tc>
        <w:tc>
          <w:tcPr>
            <w:tcW w:w="1559" w:type="dxa"/>
            <w:vAlign w:val="center"/>
          </w:tcPr>
          <w:p w14:paraId="5A80181E" w14:textId="70E1009E" w:rsidR="00085BD8" w:rsidRPr="00CD4D60" w:rsidRDefault="00085BD8" w:rsidP="00085BD8">
            <w:pPr>
              <w:jc w:val="center"/>
              <w:rPr>
                <w:rFonts w:asciiTheme="majorHAnsi" w:hAnsiTheme="majorHAnsi"/>
                <w:szCs w:val="24"/>
              </w:rPr>
            </w:pPr>
            <w:r w:rsidRPr="00CD4D60">
              <w:rPr>
                <w:rFonts w:asciiTheme="majorHAnsi" w:hAnsiTheme="majorHAnsi" w:cs="Arial"/>
                <w:szCs w:val="24"/>
              </w:rPr>
              <w:t>1.85</w:t>
            </w:r>
          </w:p>
        </w:tc>
        <w:tc>
          <w:tcPr>
            <w:tcW w:w="1508" w:type="dxa"/>
            <w:vAlign w:val="center"/>
          </w:tcPr>
          <w:p w14:paraId="7F2A2544" w14:textId="02E197BA" w:rsidR="00085BD8" w:rsidRPr="00085BD8" w:rsidRDefault="00085BD8" w:rsidP="00085BD8">
            <w:pPr>
              <w:jc w:val="center"/>
              <w:rPr>
                <w:rFonts w:asciiTheme="majorHAnsi" w:hAnsiTheme="majorHAnsi"/>
                <w:szCs w:val="24"/>
              </w:rPr>
            </w:pPr>
            <w:r w:rsidRPr="00CD4D60">
              <w:rPr>
                <w:rFonts w:asciiTheme="majorHAnsi" w:hAnsiTheme="majorHAnsi" w:cs="Arial"/>
                <w:szCs w:val="24"/>
              </w:rPr>
              <w:t>1.92</w:t>
            </w:r>
          </w:p>
        </w:tc>
      </w:tr>
      <w:tr w:rsidR="00085BD8" w:rsidRPr="00CD4D60" w14:paraId="446D953F" w14:textId="77777777" w:rsidTr="0047540A">
        <w:tc>
          <w:tcPr>
            <w:tcW w:w="3114" w:type="dxa"/>
            <w:vMerge/>
          </w:tcPr>
          <w:p w14:paraId="7197904F" w14:textId="77777777" w:rsidR="00085BD8" w:rsidRPr="00085BD8" w:rsidRDefault="00085BD8" w:rsidP="00085BD8">
            <w:pPr>
              <w:rPr>
                <w:rFonts w:asciiTheme="majorHAnsi" w:hAnsiTheme="majorHAnsi"/>
                <w:szCs w:val="24"/>
              </w:rPr>
            </w:pPr>
          </w:p>
        </w:tc>
        <w:tc>
          <w:tcPr>
            <w:tcW w:w="1276" w:type="dxa"/>
            <w:vAlign w:val="center"/>
          </w:tcPr>
          <w:p w14:paraId="5E880ED9" w14:textId="5C91284D" w:rsidR="00085BD8" w:rsidRPr="00085BD8" w:rsidRDefault="00085BD8" w:rsidP="00085BD8">
            <w:pPr>
              <w:jc w:val="center"/>
              <w:rPr>
                <w:rFonts w:asciiTheme="majorHAnsi" w:hAnsiTheme="majorHAnsi"/>
                <w:szCs w:val="24"/>
              </w:rPr>
            </w:pPr>
            <w:r w:rsidRPr="00CD4D60">
              <w:rPr>
                <w:rFonts w:asciiTheme="majorHAnsi" w:hAnsiTheme="majorHAnsi" w:cs="Arial"/>
                <w:szCs w:val="24"/>
              </w:rPr>
              <w:t>Min, Max</w:t>
            </w:r>
          </w:p>
        </w:tc>
        <w:tc>
          <w:tcPr>
            <w:tcW w:w="1559" w:type="dxa"/>
            <w:vAlign w:val="center"/>
          </w:tcPr>
          <w:p w14:paraId="24AE8741" w14:textId="23866475" w:rsidR="00085BD8" w:rsidRPr="00085BD8" w:rsidRDefault="00085BD8" w:rsidP="00085BD8">
            <w:pPr>
              <w:jc w:val="center"/>
              <w:rPr>
                <w:rFonts w:asciiTheme="majorHAnsi" w:hAnsiTheme="majorHAnsi"/>
                <w:szCs w:val="24"/>
              </w:rPr>
            </w:pPr>
            <w:r w:rsidRPr="00CD4D60">
              <w:rPr>
                <w:rFonts w:asciiTheme="majorHAnsi" w:hAnsiTheme="majorHAnsi" w:cs="Arial"/>
                <w:szCs w:val="24"/>
              </w:rPr>
              <w:t>1.0, 6.4</w:t>
            </w:r>
          </w:p>
        </w:tc>
        <w:tc>
          <w:tcPr>
            <w:tcW w:w="1559" w:type="dxa"/>
            <w:vAlign w:val="center"/>
          </w:tcPr>
          <w:p w14:paraId="56879C15" w14:textId="75C8A496" w:rsidR="00085BD8" w:rsidRPr="00085BD8" w:rsidRDefault="00085BD8" w:rsidP="00085BD8">
            <w:pPr>
              <w:jc w:val="center"/>
              <w:rPr>
                <w:rFonts w:asciiTheme="majorHAnsi" w:hAnsiTheme="majorHAnsi"/>
                <w:szCs w:val="24"/>
              </w:rPr>
            </w:pPr>
            <w:r w:rsidRPr="00CD4D60">
              <w:rPr>
                <w:rFonts w:asciiTheme="majorHAnsi" w:hAnsiTheme="majorHAnsi" w:cs="Arial"/>
                <w:szCs w:val="24"/>
              </w:rPr>
              <w:t>1.0, 5.7</w:t>
            </w:r>
          </w:p>
        </w:tc>
        <w:tc>
          <w:tcPr>
            <w:tcW w:w="1508" w:type="dxa"/>
            <w:vAlign w:val="center"/>
          </w:tcPr>
          <w:p w14:paraId="2B7BB8CF" w14:textId="2D5EF54C" w:rsidR="00085BD8" w:rsidRPr="00CD4D60" w:rsidRDefault="00085BD8" w:rsidP="00085BD8">
            <w:pPr>
              <w:jc w:val="center"/>
              <w:rPr>
                <w:rFonts w:asciiTheme="majorHAnsi" w:hAnsiTheme="majorHAnsi"/>
                <w:szCs w:val="24"/>
              </w:rPr>
            </w:pPr>
            <w:r w:rsidRPr="00CD4D60">
              <w:rPr>
                <w:rFonts w:asciiTheme="majorHAnsi" w:hAnsiTheme="majorHAnsi" w:cs="Arial"/>
                <w:szCs w:val="24"/>
              </w:rPr>
              <w:t>1.0, 6.4</w:t>
            </w:r>
          </w:p>
        </w:tc>
      </w:tr>
      <w:tr w:rsidR="00085BD8" w:rsidRPr="00085BD8" w14:paraId="5F59D21C" w14:textId="77777777" w:rsidTr="00085BD8">
        <w:tc>
          <w:tcPr>
            <w:tcW w:w="9016" w:type="dxa"/>
            <w:gridSpan w:val="5"/>
            <w:vAlign w:val="center"/>
          </w:tcPr>
          <w:p w14:paraId="42B97211" w14:textId="2D2FDC44" w:rsidR="00085BD8" w:rsidRPr="00085BD8" w:rsidRDefault="00085BD8" w:rsidP="00085BD8">
            <w:pPr>
              <w:rPr>
                <w:rFonts w:asciiTheme="majorHAnsi" w:hAnsiTheme="majorHAnsi"/>
                <w:szCs w:val="24"/>
              </w:rPr>
            </w:pPr>
            <w:r w:rsidRPr="00CD4D60">
              <w:rPr>
                <w:rFonts w:asciiTheme="majorHAnsi" w:hAnsiTheme="majorHAnsi" w:cs="Arial"/>
                <w:b/>
                <w:bCs/>
                <w:i/>
                <w:iCs/>
                <w:szCs w:val="24"/>
              </w:rPr>
              <w:t>Baseline Characteristics</w:t>
            </w:r>
          </w:p>
        </w:tc>
      </w:tr>
      <w:tr w:rsidR="00085BD8" w:rsidRPr="00085BD8" w14:paraId="2CF49CF6" w14:textId="77777777" w:rsidTr="0047540A">
        <w:tc>
          <w:tcPr>
            <w:tcW w:w="3114" w:type="dxa"/>
            <w:vMerge w:val="restart"/>
          </w:tcPr>
          <w:p w14:paraId="13DE7782" w14:textId="51129886" w:rsidR="00085BD8" w:rsidRPr="0047540A" w:rsidRDefault="0047540A" w:rsidP="00085BD8">
            <w:pPr>
              <w:rPr>
                <w:rFonts w:asciiTheme="majorHAnsi" w:hAnsiTheme="majorHAnsi" w:cs="Arial"/>
                <w:szCs w:val="24"/>
              </w:rPr>
            </w:pPr>
            <w:r w:rsidRPr="0047540A">
              <w:rPr>
                <w:rFonts w:asciiTheme="majorHAnsi" w:hAnsiTheme="majorHAnsi"/>
                <w:szCs w:val="24"/>
              </w:rPr>
              <w:t>Baseline E</w:t>
            </w:r>
            <w:r>
              <w:rPr>
                <w:rFonts w:asciiTheme="majorHAnsi" w:hAnsiTheme="majorHAnsi"/>
                <w:szCs w:val="24"/>
              </w:rPr>
              <w:t xml:space="preserve">xpanded </w:t>
            </w:r>
            <w:r w:rsidRPr="0047540A">
              <w:rPr>
                <w:rFonts w:asciiTheme="majorHAnsi" w:hAnsiTheme="majorHAnsi"/>
                <w:szCs w:val="24"/>
              </w:rPr>
              <w:t>D</w:t>
            </w:r>
            <w:r>
              <w:rPr>
                <w:rFonts w:asciiTheme="majorHAnsi" w:hAnsiTheme="majorHAnsi"/>
                <w:szCs w:val="24"/>
              </w:rPr>
              <w:t xml:space="preserve">isability </w:t>
            </w:r>
            <w:r w:rsidRPr="0047540A">
              <w:rPr>
                <w:rFonts w:asciiTheme="majorHAnsi" w:hAnsiTheme="majorHAnsi"/>
                <w:szCs w:val="24"/>
              </w:rPr>
              <w:t>S</w:t>
            </w:r>
            <w:r>
              <w:rPr>
                <w:rFonts w:asciiTheme="majorHAnsi" w:hAnsiTheme="majorHAnsi"/>
                <w:szCs w:val="24"/>
              </w:rPr>
              <w:t xml:space="preserve">tatus </w:t>
            </w:r>
            <w:r w:rsidRPr="0047540A">
              <w:rPr>
                <w:rFonts w:asciiTheme="majorHAnsi" w:hAnsiTheme="majorHAnsi"/>
                <w:szCs w:val="24"/>
              </w:rPr>
              <w:t>Sc</w:t>
            </w:r>
            <w:r w:rsidR="00000511">
              <w:rPr>
                <w:rFonts w:asciiTheme="majorHAnsi" w:hAnsiTheme="majorHAnsi"/>
                <w:szCs w:val="24"/>
              </w:rPr>
              <w:t>al</w:t>
            </w:r>
            <w:r w:rsidRPr="0047540A">
              <w:rPr>
                <w:rFonts w:asciiTheme="majorHAnsi" w:hAnsiTheme="majorHAnsi"/>
                <w:szCs w:val="24"/>
              </w:rPr>
              <w:t>e</w:t>
            </w:r>
            <w:r>
              <w:rPr>
                <w:rFonts w:asciiTheme="majorHAnsi" w:hAnsiTheme="majorHAnsi"/>
                <w:szCs w:val="24"/>
              </w:rPr>
              <w:t xml:space="preserve"> (EDSS)</w:t>
            </w:r>
            <w:r w:rsidR="00000511">
              <w:rPr>
                <w:rFonts w:asciiTheme="majorHAnsi" w:hAnsiTheme="majorHAnsi"/>
                <w:szCs w:val="24"/>
              </w:rPr>
              <w:t xml:space="preserve"> Score</w:t>
            </w:r>
          </w:p>
        </w:tc>
        <w:tc>
          <w:tcPr>
            <w:tcW w:w="1276" w:type="dxa"/>
            <w:vAlign w:val="center"/>
          </w:tcPr>
          <w:p w14:paraId="589B68F4" w14:textId="4F743564" w:rsidR="00085BD8" w:rsidRPr="00085BD8" w:rsidRDefault="00085BD8" w:rsidP="00085BD8">
            <w:pPr>
              <w:jc w:val="center"/>
              <w:rPr>
                <w:rFonts w:asciiTheme="majorHAnsi" w:hAnsiTheme="majorHAnsi"/>
                <w:szCs w:val="24"/>
              </w:rPr>
            </w:pPr>
            <w:r w:rsidRPr="00085BD8">
              <w:rPr>
                <w:rFonts w:asciiTheme="majorHAnsi" w:hAnsiTheme="majorHAnsi" w:cs="Arial"/>
                <w:szCs w:val="24"/>
              </w:rPr>
              <w:t>Median</w:t>
            </w:r>
          </w:p>
        </w:tc>
        <w:tc>
          <w:tcPr>
            <w:tcW w:w="1559" w:type="dxa"/>
            <w:vAlign w:val="center"/>
          </w:tcPr>
          <w:p w14:paraId="5D16315B" w14:textId="18EB2A46" w:rsidR="00085BD8" w:rsidRPr="00085BD8" w:rsidRDefault="00085BD8" w:rsidP="00085BD8">
            <w:pPr>
              <w:jc w:val="center"/>
              <w:rPr>
                <w:rFonts w:asciiTheme="majorHAnsi" w:hAnsiTheme="majorHAnsi"/>
                <w:szCs w:val="24"/>
              </w:rPr>
            </w:pPr>
            <w:r w:rsidRPr="00085BD8">
              <w:rPr>
                <w:rFonts w:asciiTheme="majorHAnsi" w:hAnsiTheme="majorHAnsi" w:cs="Arial"/>
                <w:szCs w:val="24"/>
              </w:rPr>
              <w:t>4.00</w:t>
            </w:r>
          </w:p>
        </w:tc>
        <w:tc>
          <w:tcPr>
            <w:tcW w:w="1559" w:type="dxa"/>
            <w:vAlign w:val="center"/>
          </w:tcPr>
          <w:p w14:paraId="37704C4C" w14:textId="10C16CB1" w:rsidR="00085BD8" w:rsidRPr="00085BD8" w:rsidRDefault="00085BD8" w:rsidP="00085BD8">
            <w:pPr>
              <w:jc w:val="center"/>
              <w:rPr>
                <w:rFonts w:asciiTheme="majorHAnsi" w:hAnsiTheme="majorHAnsi"/>
                <w:szCs w:val="24"/>
              </w:rPr>
            </w:pPr>
            <w:r w:rsidRPr="00085BD8">
              <w:rPr>
                <w:rFonts w:asciiTheme="majorHAnsi" w:hAnsiTheme="majorHAnsi" w:cs="Arial"/>
                <w:szCs w:val="24"/>
              </w:rPr>
              <w:t>4.00</w:t>
            </w:r>
          </w:p>
        </w:tc>
        <w:tc>
          <w:tcPr>
            <w:tcW w:w="1508" w:type="dxa"/>
            <w:vAlign w:val="center"/>
          </w:tcPr>
          <w:p w14:paraId="6A2BCA16" w14:textId="67736AAF" w:rsidR="00085BD8" w:rsidRPr="00085BD8" w:rsidRDefault="00085BD8" w:rsidP="00085BD8">
            <w:pPr>
              <w:jc w:val="center"/>
              <w:rPr>
                <w:rFonts w:asciiTheme="majorHAnsi" w:hAnsiTheme="majorHAnsi"/>
                <w:szCs w:val="24"/>
              </w:rPr>
            </w:pPr>
            <w:r w:rsidRPr="00085BD8">
              <w:rPr>
                <w:rFonts w:asciiTheme="majorHAnsi" w:hAnsiTheme="majorHAnsi" w:cs="Arial"/>
                <w:szCs w:val="24"/>
              </w:rPr>
              <w:t>4.00</w:t>
            </w:r>
          </w:p>
        </w:tc>
      </w:tr>
      <w:tr w:rsidR="00085BD8" w:rsidRPr="00CD4D60" w14:paraId="2096079B" w14:textId="77777777" w:rsidTr="0047540A">
        <w:tc>
          <w:tcPr>
            <w:tcW w:w="3114" w:type="dxa"/>
            <w:vMerge/>
          </w:tcPr>
          <w:p w14:paraId="3F366395" w14:textId="77777777" w:rsidR="00085BD8" w:rsidRPr="00CD4D60" w:rsidRDefault="00085BD8" w:rsidP="00085BD8">
            <w:pPr>
              <w:rPr>
                <w:rFonts w:asciiTheme="majorHAnsi" w:hAnsiTheme="majorHAnsi"/>
                <w:szCs w:val="24"/>
              </w:rPr>
            </w:pPr>
          </w:p>
        </w:tc>
        <w:tc>
          <w:tcPr>
            <w:tcW w:w="1276" w:type="dxa"/>
            <w:vAlign w:val="center"/>
          </w:tcPr>
          <w:p w14:paraId="24971948" w14:textId="3831264E" w:rsidR="00085BD8" w:rsidRPr="00085BD8" w:rsidRDefault="00085BD8" w:rsidP="00085BD8">
            <w:pPr>
              <w:jc w:val="center"/>
              <w:rPr>
                <w:rFonts w:asciiTheme="majorHAnsi" w:hAnsiTheme="majorHAnsi"/>
                <w:szCs w:val="24"/>
              </w:rPr>
            </w:pPr>
            <w:r w:rsidRPr="00085BD8">
              <w:rPr>
                <w:rFonts w:asciiTheme="majorHAnsi" w:hAnsiTheme="majorHAnsi" w:cs="Arial"/>
                <w:szCs w:val="24"/>
              </w:rPr>
              <w:t>Min, Max</w:t>
            </w:r>
          </w:p>
        </w:tc>
        <w:tc>
          <w:tcPr>
            <w:tcW w:w="1559" w:type="dxa"/>
            <w:vAlign w:val="center"/>
          </w:tcPr>
          <w:p w14:paraId="53B1A3F1" w14:textId="51D0B81B" w:rsidR="00085BD8" w:rsidRPr="00085BD8" w:rsidRDefault="00085BD8" w:rsidP="00085BD8">
            <w:pPr>
              <w:jc w:val="center"/>
              <w:rPr>
                <w:rFonts w:asciiTheme="majorHAnsi" w:hAnsiTheme="majorHAnsi"/>
                <w:szCs w:val="24"/>
              </w:rPr>
            </w:pPr>
            <w:r w:rsidRPr="00085BD8">
              <w:rPr>
                <w:rFonts w:asciiTheme="majorHAnsi" w:hAnsiTheme="majorHAnsi" w:cs="Arial"/>
                <w:szCs w:val="24"/>
              </w:rPr>
              <w:t>1.0, 6.5</w:t>
            </w:r>
          </w:p>
        </w:tc>
        <w:tc>
          <w:tcPr>
            <w:tcW w:w="1559" w:type="dxa"/>
            <w:vAlign w:val="center"/>
          </w:tcPr>
          <w:p w14:paraId="60EB24A6" w14:textId="4F33B94D" w:rsidR="00085BD8" w:rsidRPr="00CD4D60" w:rsidRDefault="00085BD8" w:rsidP="00085BD8">
            <w:pPr>
              <w:jc w:val="center"/>
              <w:rPr>
                <w:rFonts w:asciiTheme="majorHAnsi" w:hAnsiTheme="majorHAnsi"/>
                <w:szCs w:val="24"/>
              </w:rPr>
            </w:pPr>
            <w:r w:rsidRPr="00CD4D60">
              <w:rPr>
                <w:rFonts w:asciiTheme="majorHAnsi" w:hAnsiTheme="majorHAnsi" w:cs="Arial"/>
                <w:szCs w:val="24"/>
              </w:rPr>
              <w:t>1.0, 7.0</w:t>
            </w:r>
          </w:p>
        </w:tc>
        <w:tc>
          <w:tcPr>
            <w:tcW w:w="1508" w:type="dxa"/>
            <w:vAlign w:val="center"/>
          </w:tcPr>
          <w:p w14:paraId="37E9D4D0" w14:textId="0E58A27B" w:rsidR="00085BD8" w:rsidRPr="00CD4D60" w:rsidRDefault="00085BD8" w:rsidP="00085BD8">
            <w:pPr>
              <w:jc w:val="center"/>
              <w:rPr>
                <w:rFonts w:asciiTheme="majorHAnsi" w:hAnsiTheme="majorHAnsi"/>
                <w:szCs w:val="24"/>
              </w:rPr>
            </w:pPr>
            <w:r w:rsidRPr="00CD4D60">
              <w:rPr>
                <w:rFonts w:asciiTheme="majorHAnsi" w:hAnsiTheme="majorHAnsi" w:cs="Arial"/>
                <w:szCs w:val="24"/>
              </w:rPr>
              <w:t>1.0, 7.0</w:t>
            </w:r>
          </w:p>
        </w:tc>
      </w:tr>
    </w:tbl>
    <w:p w14:paraId="1770ED0F" w14:textId="0861BA67" w:rsidR="00CD4D60" w:rsidRPr="00B73DFA" w:rsidRDefault="00B73DFA" w:rsidP="00B73DFA">
      <w:pPr>
        <w:spacing w:before="240"/>
        <w:rPr>
          <w:rFonts w:asciiTheme="majorHAnsi" w:hAnsiTheme="majorHAnsi"/>
          <w:sz w:val="28"/>
          <w:lang w:val="en-US"/>
        </w:rPr>
      </w:pPr>
      <w:r w:rsidRPr="00B73DFA">
        <w:rPr>
          <w:rFonts w:asciiTheme="majorHAnsi" w:hAnsiTheme="majorHAnsi" w:cs="Arial"/>
          <w:lang w:val="en-US"/>
        </w:rPr>
        <w:t>The primary endpoint for</w:t>
      </w:r>
      <w:r w:rsidR="004873EA">
        <w:rPr>
          <w:rFonts w:asciiTheme="majorHAnsi" w:hAnsiTheme="majorHAnsi" w:cs="Arial"/>
          <w:lang w:val="en-US"/>
        </w:rPr>
        <w:t xml:space="preserve"> Study</w:t>
      </w:r>
      <w:r w:rsidRPr="00B73DFA">
        <w:rPr>
          <w:rFonts w:asciiTheme="majorHAnsi" w:hAnsiTheme="majorHAnsi" w:cs="Arial"/>
          <w:lang w:val="en-US"/>
        </w:rPr>
        <w:t xml:space="preserve"> </w:t>
      </w:r>
      <w:r w:rsidRPr="00376900">
        <w:rPr>
          <w:rFonts w:asciiTheme="majorHAnsi" w:hAnsiTheme="majorHAnsi" w:cs="Arial"/>
          <w:i/>
          <w:lang w:val="en-US"/>
        </w:rPr>
        <w:t>ECU-NMO-301</w:t>
      </w:r>
      <w:r w:rsidRPr="00B73DFA">
        <w:rPr>
          <w:rFonts w:asciiTheme="majorHAnsi" w:hAnsiTheme="majorHAnsi" w:cs="Arial"/>
          <w:lang w:val="en-US"/>
        </w:rPr>
        <w:t xml:space="preserve"> was the time-to-first on-trial relapse as adjudicated by an independent committee who were blinded to treatment. On-trial relapse was defined as a new onset of neurologic symptoms or worsening of existing neurologic symptoms with an objective change (i.e., clinical sign) on neurologic examination that persisted for more than 24 hours as confirmed by the treating physician who was blinded to treatment. An adjudicated on-trial relapse was defined as an on-trial relapse that was positively adjudicated by the Relapse Adjudication Committee. A key secondary endpoint was the </w:t>
      </w:r>
      <w:r w:rsidR="00906B4D">
        <w:rPr>
          <w:rFonts w:asciiTheme="majorHAnsi" w:hAnsiTheme="majorHAnsi" w:cs="Arial"/>
          <w:lang w:val="en-US"/>
        </w:rPr>
        <w:t>a</w:t>
      </w:r>
      <w:r w:rsidRPr="00B73DFA">
        <w:rPr>
          <w:rFonts w:asciiTheme="majorHAnsi" w:hAnsiTheme="majorHAnsi" w:cs="Arial"/>
          <w:lang w:val="en-US"/>
        </w:rPr>
        <w:t xml:space="preserve">djudicated on-trial </w:t>
      </w:r>
      <w:proofErr w:type="spellStart"/>
      <w:r w:rsidRPr="00B73DFA">
        <w:rPr>
          <w:rFonts w:asciiTheme="majorHAnsi" w:hAnsiTheme="majorHAnsi" w:cs="Arial"/>
          <w:lang w:val="en-US"/>
        </w:rPr>
        <w:t>Annuali</w:t>
      </w:r>
      <w:r w:rsidR="00376900">
        <w:rPr>
          <w:rFonts w:asciiTheme="majorHAnsi" w:hAnsiTheme="majorHAnsi" w:cs="Arial"/>
          <w:lang w:val="en-US"/>
        </w:rPr>
        <w:t>s</w:t>
      </w:r>
      <w:r w:rsidRPr="00B73DFA">
        <w:rPr>
          <w:rFonts w:asciiTheme="majorHAnsi" w:hAnsiTheme="majorHAnsi" w:cs="Arial"/>
          <w:lang w:val="en-US"/>
        </w:rPr>
        <w:t>ed</w:t>
      </w:r>
      <w:proofErr w:type="spellEnd"/>
      <w:r w:rsidRPr="00B73DFA">
        <w:rPr>
          <w:rFonts w:asciiTheme="majorHAnsi" w:hAnsiTheme="majorHAnsi" w:cs="Arial"/>
          <w:lang w:val="en-US"/>
        </w:rPr>
        <w:t xml:space="preserve"> Relapse Rate (ARR), which was computed for each patient as the number of relapses divided by the time in years.</w:t>
      </w:r>
    </w:p>
    <w:p w14:paraId="62FB60D7" w14:textId="77777777" w:rsidR="00B73DFA" w:rsidRPr="00B73DFA" w:rsidRDefault="00B73DFA" w:rsidP="006852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cs="Arial"/>
          <w:b/>
          <w:i/>
          <w:u w:val="single"/>
          <w:lang w:val="en-US"/>
        </w:rPr>
      </w:pPr>
      <w:r w:rsidRPr="00B73DFA">
        <w:rPr>
          <w:rFonts w:cs="Arial"/>
          <w:b/>
          <w:i/>
          <w:u w:val="single"/>
          <w:lang w:val="en-US"/>
        </w:rPr>
        <w:t xml:space="preserve">Study Results </w:t>
      </w:r>
    </w:p>
    <w:p w14:paraId="1C14B765" w14:textId="56964FE3" w:rsidR="00E037F9" w:rsidRDefault="00B73DFA" w:rsidP="00B73D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lang w:val="en-US"/>
        </w:rPr>
      </w:pPr>
      <w:r w:rsidRPr="00B73DFA">
        <w:rPr>
          <w:rFonts w:cs="Arial"/>
          <w:lang w:val="en-US"/>
        </w:rPr>
        <w:t xml:space="preserve">The time-to-first adjudicated on-trial relapse was significantly longer for patients treated with </w:t>
      </w:r>
      <w:proofErr w:type="spellStart"/>
      <w:r w:rsidRPr="00B73DFA">
        <w:rPr>
          <w:rFonts w:cs="Arial"/>
          <w:lang w:val="en-US"/>
        </w:rPr>
        <w:t>S</w:t>
      </w:r>
      <w:r w:rsidR="00376900">
        <w:rPr>
          <w:rFonts w:cs="Arial"/>
          <w:lang w:val="en-US"/>
        </w:rPr>
        <w:t>oliris</w:t>
      </w:r>
      <w:proofErr w:type="spellEnd"/>
      <w:r w:rsidRPr="00B73DFA">
        <w:rPr>
          <w:rFonts w:cs="Arial"/>
          <w:lang w:val="en-US"/>
        </w:rPr>
        <w:t xml:space="preserve"> compared with placebo (p&lt;0.0001) (</w:t>
      </w:r>
      <w:r>
        <w:rPr>
          <w:rFonts w:cs="Arial"/>
          <w:b/>
          <w:lang w:val="en-US"/>
        </w:rPr>
        <w:fldChar w:fldCharType="begin"/>
      </w:r>
      <w:r>
        <w:rPr>
          <w:rFonts w:cs="Arial"/>
          <w:lang w:val="en-US"/>
        </w:rPr>
        <w:instrText xml:space="preserve"> REF _Ref21957079 \h </w:instrText>
      </w:r>
      <w:r>
        <w:rPr>
          <w:rFonts w:cs="Arial"/>
          <w:b/>
          <w:lang w:val="en-US"/>
        </w:rPr>
      </w:r>
      <w:r>
        <w:rPr>
          <w:rFonts w:cs="Arial"/>
          <w:b/>
          <w:lang w:val="en-US"/>
        </w:rPr>
        <w:fldChar w:fldCharType="separate"/>
      </w:r>
      <w:r w:rsidR="00AE6672">
        <w:t xml:space="preserve">Figure </w:t>
      </w:r>
      <w:r w:rsidR="00AE6672">
        <w:rPr>
          <w:noProof/>
        </w:rPr>
        <w:t>1</w:t>
      </w:r>
      <w:r>
        <w:rPr>
          <w:rFonts w:cs="Arial"/>
          <w:b/>
          <w:lang w:val="en-US"/>
        </w:rPr>
        <w:fldChar w:fldCharType="end"/>
      </w:r>
      <w:r w:rsidRPr="00B73DFA">
        <w:rPr>
          <w:rFonts w:cs="Arial"/>
          <w:lang w:val="en-US"/>
        </w:rPr>
        <w:t>). The hazard ratio (95% confidence interval [CI]) for S</w:t>
      </w:r>
      <w:r w:rsidR="00376900">
        <w:rPr>
          <w:rFonts w:cs="Arial"/>
          <w:lang w:val="en-US"/>
        </w:rPr>
        <w:t>oliris</w:t>
      </w:r>
      <w:r w:rsidRPr="00B73DFA">
        <w:rPr>
          <w:rFonts w:cs="Arial"/>
          <w:lang w:val="en-US"/>
        </w:rPr>
        <w:t xml:space="preserve"> compared with placebo was 0.058 (0.017, 0.197), representing a 94.2% reduction in the risk of relapse.</w:t>
      </w:r>
    </w:p>
    <w:p w14:paraId="6430EE42" w14:textId="201DD859" w:rsidR="00B73DFA" w:rsidRPr="00B73DFA" w:rsidRDefault="00B73DFA" w:rsidP="001E7413">
      <w:pPr>
        <w:pStyle w:val="Caption"/>
        <w:spacing w:after="120"/>
        <w:jc w:val="left"/>
        <w:rPr>
          <w:rFonts w:cs="Arial"/>
          <w:b w:val="0"/>
          <w:lang w:val="en-US"/>
        </w:rPr>
      </w:pPr>
      <w:bookmarkStart w:id="23" w:name="_Ref21957079"/>
      <w:r>
        <w:lastRenderedPageBreak/>
        <w:t xml:space="preserve">Figure </w:t>
      </w:r>
      <w:r>
        <w:fldChar w:fldCharType="begin"/>
      </w:r>
      <w:r>
        <w:instrText xml:space="preserve"> SEQ Figure \* ARABIC </w:instrText>
      </w:r>
      <w:r>
        <w:fldChar w:fldCharType="separate"/>
      </w:r>
      <w:r w:rsidR="00AE6672">
        <w:rPr>
          <w:noProof/>
        </w:rPr>
        <w:t>1</w:t>
      </w:r>
      <w:r>
        <w:fldChar w:fldCharType="end"/>
      </w:r>
      <w:bookmarkEnd w:id="23"/>
      <w:r>
        <w:t xml:space="preserve">: </w:t>
      </w:r>
      <w:r w:rsidRPr="00B73DFA">
        <w:rPr>
          <w:rFonts w:cs="Arial"/>
          <w:lang w:val="en-US"/>
        </w:rPr>
        <w:t>Kaplan Meier Survival Estimates for Time to First Adjudicated On</w:t>
      </w:r>
      <w:r w:rsidR="00376900">
        <w:rPr>
          <w:rFonts w:cs="Arial"/>
          <w:lang w:val="en-US"/>
        </w:rPr>
        <w:t>-</w:t>
      </w:r>
      <w:r w:rsidRPr="00B73DFA">
        <w:rPr>
          <w:rFonts w:cs="Arial"/>
          <w:lang w:val="en-US"/>
        </w:rPr>
        <w:t>trial Relapse</w:t>
      </w:r>
      <w:r w:rsidR="009577BC">
        <w:rPr>
          <w:rFonts w:cs="Arial"/>
          <w:lang w:val="en-US"/>
        </w:rPr>
        <w:t xml:space="preserve"> in Study </w:t>
      </w:r>
      <w:r w:rsidR="009577BC" w:rsidRPr="005547CC">
        <w:rPr>
          <w:rFonts w:cs="Arial"/>
          <w:i/>
          <w:iCs/>
          <w:lang w:val="en-US"/>
        </w:rPr>
        <w:t>ECU-NMO-301</w:t>
      </w:r>
      <w:r w:rsidRPr="005547CC">
        <w:rPr>
          <w:rFonts w:cs="Arial"/>
          <w:i/>
          <w:iCs/>
          <w:lang w:val="en-US"/>
        </w:rPr>
        <w:t xml:space="preserve"> </w:t>
      </w:r>
      <w:r w:rsidRPr="00B73DFA">
        <w:rPr>
          <w:rFonts w:cs="Arial"/>
          <w:lang w:val="en-US"/>
        </w:rPr>
        <w:t>– Full Analysis Set</w:t>
      </w:r>
    </w:p>
    <w:p w14:paraId="41A1C89C" w14:textId="5E51C3E6" w:rsidR="009577BC" w:rsidRDefault="009577BC" w:rsidP="001F14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heme="majorHAnsi" w:hAnsiTheme="majorHAnsi" w:cs="Arial"/>
          <w:szCs w:val="24"/>
          <w:u w:val="single"/>
        </w:rPr>
      </w:pPr>
      <w:bookmarkStart w:id="24" w:name="_GoBack"/>
      <w:r>
        <w:rPr>
          <w:noProof/>
          <w:lang w:eastAsia="en-AU"/>
        </w:rPr>
        <w:drawing>
          <wp:inline distT="0" distB="0" distL="0" distR="0" wp14:anchorId="01D54638" wp14:editId="5D952FB9">
            <wp:extent cx="5295569" cy="2318059"/>
            <wp:effectExtent l="0" t="0" r="63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0468" cy="2342090"/>
                    </a:xfrm>
                    <a:prstGeom prst="rect">
                      <a:avLst/>
                    </a:prstGeom>
                  </pic:spPr>
                </pic:pic>
              </a:graphicData>
            </a:graphic>
          </wp:inline>
        </w:drawing>
      </w:r>
      <w:bookmarkEnd w:id="24"/>
    </w:p>
    <w:p w14:paraId="51A001CD" w14:textId="77777777" w:rsidR="00E037F9" w:rsidRPr="00E037F9" w:rsidRDefault="00B73DFA"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Note: Patients who did not experience an adjudicated on</w:t>
      </w:r>
      <w:r w:rsidR="00376900" w:rsidRPr="00E037F9">
        <w:rPr>
          <w:rFonts w:asciiTheme="majorHAnsi" w:hAnsiTheme="majorHAnsi" w:cs="Arial"/>
          <w:i/>
          <w:iCs/>
          <w:sz w:val="22"/>
          <w:szCs w:val="22"/>
          <w:u w:val="single"/>
        </w:rPr>
        <w:t>-</w:t>
      </w:r>
      <w:r w:rsidRPr="00E037F9">
        <w:rPr>
          <w:rFonts w:asciiTheme="majorHAnsi" w:hAnsiTheme="majorHAnsi" w:cs="Arial"/>
          <w:i/>
          <w:iCs/>
          <w:sz w:val="22"/>
          <w:szCs w:val="22"/>
          <w:u w:val="single"/>
        </w:rPr>
        <w:t>trial relapse were censored at the end of the Study Period.</w:t>
      </w:r>
      <w:r w:rsidR="00E037F9" w:rsidRPr="00E037F9">
        <w:rPr>
          <w:rFonts w:asciiTheme="majorHAnsi" w:hAnsiTheme="majorHAnsi" w:cs="Arial"/>
          <w:i/>
          <w:iCs/>
          <w:sz w:val="22"/>
          <w:szCs w:val="22"/>
          <w:u w:val="single"/>
        </w:rPr>
        <w:t xml:space="preserve"> Stratified analyses are based on 4 randomization strata: (1) low EDSS at randomization (≤ 2.0), (2) high EDSS (≥ 2.5 to ≤ 7) and treatment naïve at randomization, (3) high EDSS (≥ 2.5 to ≤ 7) and continuing on the same IST(s) since last relapse at randomization, (4) high EDSS (≥ 2.5 to ≤ 7) and changes in IST(s) since last relapse at randomization. </w:t>
      </w:r>
    </w:p>
    <w:p w14:paraId="027207AB" w14:textId="77777777" w:rsidR="00E037F9" w:rsidRPr="00E037F9" w:rsidRDefault="00E037F9"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 xml:space="preserve">1 Based on the Kaplan-Meier product limit method. </w:t>
      </w:r>
    </w:p>
    <w:p w14:paraId="6B9CD7B3" w14:textId="77777777" w:rsidR="00E037F9" w:rsidRPr="00E037F9" w:rsidRDefault="00E037F9"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 xml:space="preserve">2 Based on the complementary log-log transformation. </w:t>
      </w:r>
    </w:p>
    <w:p w14:paraId="7B0BF127" w14:textId="77777777" w:rsidR="00E037F9" w:rsidRPr="00E037F9" w:rsidRDefault="00E037F9"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 xml:space="preserve">3 Based on a stratified log-rank test. </w:t>
      </w:r>
    </w:p>
    <w:p w14:paraId="142F5125" w14:textId="77777777" w:rsidR="00E037F9" w:rsidRPr="00E037F9" w:rsidRDefault="00E037F9"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 xml:space="preserve">4 Based on a stratified Cox proportional hazards model. </w:t>
      </w:r>
    </w:p>
    <w:p w14:paraId="061E0BA5" w14:textId="7648A22C" w:rsidR="00B73DFA" w:rsidRPr="00E037F9" w:rsidRDefault="00E037F9" w:rsidP="00E037F9">
      <w:pPr>
        <w:pStyle w:val="Default"/>
        <w:rPr>
          <w:rFonts w:asciiTheme="majorHAnsi" w:hAnsiTheme="majorHAnsi" w:cs="Arial"/>
          <w:i/>
          <w:iCs/>
          <w:sz w:val="22"/>
          <w:szCs w:val="22"/>
          <w:u w:val="single"/>
        </w:rPr>
      </w:pPr>
      <w:r w:rsidRPr="00E037F9">
        <w:rPr>
          <w:rFonts w:asciiTheme="majorHAnsi" w:hAnsiTheme="majorHAnsi" w:cs="Arial"/>
          <w:i/>
          <w:iCs/>
          <w:sz w:val="22"/>
          <w:szCs w:val="22"/>
          <w:u w:val="single"/>
        </w:rPr>
        <w:t>5 Wald confidence interval.</w:t>
      </w:r>
    </w:p>
    <w:p w14:paraId="7D45F78D" w14:textId="588CDF1F" w:rsidR="00B73DFA" w:rsidRPr="00B73DFA" w:rsidRDefault="00B73DFA" w:rsidP="00B73D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cs="Arial"/>
          <w:szCs w:val="24"/>
        </w:rPr>
      </w:pPr>
      <w:r w:rsidRPr="00B73DFA">
        <w:rPr>
          <w:rFonts w:asciiTheme="majorHAnsi" w:hAnsiTheme="majorHAnsi" w:cs="Arial"/>
          <w:szCs w:val="24"/>
        </w:rPr>
        <w:t>The treatment effect on the time-to first-adjudicated on-trial relapse was observed in patients across all IST subgroups, including the subgroup with no ISTs at Baseline</w:t>
      </w:r>
      <w:r w:rsidR="00685298">
        <w:rPr>
          <w:rFonts w:asciiTheme="majorHAnsi" w:hAnsiTheme="majorHAnsi" w:cs="Arial"/>
          <w:szCs w:val="24"/>
        </w:rPr>
        <w:t>.</w:t>
      </w:r>
      <w:r w:rsidRPr="00B73DFA">
        <w:rPr>
          <w:rFonts w:asciiTheme="majorHAnsi" w:hAnsiTheme="majorHAnsi"/>
          <w:szCs w:val="24"/>
        </w:rPr>
        <w:t xml:space="preserve"> </w:t>
      </w:r>
      <w:r w:rsidRPr="00B73DFA">
        <w:rPr>
          <w:rFonts w:asciiTheme="majorHAnsi" w:hAnsiTheme="majorHAnsi" w:cs="Arial"/>
          <w:szCs w:val="24"/>
        </w:rPr>
        <w:t>During the treatment phase of the trial, 76% of patients received concomitant IST, including chronic corticosteroids; 24% of patients did not receive concomitant IST or chronic corticosteroids during the treatment phase of the trial.</w:t>
      </w:r>
    </w:p>
    <w:p w14:paraId="59F64E2E" w14:textId="73E275D4" w:rsidR="00B73DFA" w:rsidRDefault="00B73DFA" w:rsidP="00B73DFA">
      <w:pPr>
        <w:spacing w:before="240" w:after="120"/>
        <w:rPr>
          <w:rFonts w:asciiTheme="majorHAnsi" w:hAnsiTheme="majorHAnsi" w:cs="Arial"/>
          <w:szCs w:val="24"/>
        </w:rPr>
      </w:pPr>
      <w:r w:rsidRPr="00B73DFA">
        <w:rPr>
          <w:rFonts w:asciiTheme="majorHAnsi" w:hAnsiTheme="majorHAnsi" w:cs="Arial"/>
          <w:szCs w:val="24"/>
        </w:rPr>
        <w:t>The adjudicated on-trial annualized relapse rate (ARR) ratio (95% CI) for S</w:t>
      </w:r>
      <w:r w:rsidR="00376900">
        <w:rPr>
          <w:rFonts w:asciiTheme="majorHAnsi" w:hAnsiTheme="majorHAnsi" w:cs="Arial"/>
          <w:szCs w:val="24"/>
        </w:rPr>
        <w:t>oliris</w:t>
      </w:r>
      <w:r w:rsidRPr="00B73DFA">
        <w:rPr>
          <w:rFonts w:asciiTheme="majorHAnsi" w:hAnsiTheme="majorHAnsi" w:cs="Arial"/>
          <w:szCs w:val="24"/>
        </w:rPr>
        <w:t xml:space="preserve"> compared with placebo was 0.045 (0.013, 0.151; p&lt;0.0001), representing a 95.5% relative reduction in adjudicated ARR for patients treated with S</w:t>
      </w:r>
      <w:r w:rsidR="00376900">
        <w:rPr>
          <w:rFonts w:asciiTheme="majorHAnsi" w:hAnsiTheme="majorHAnsi" w:cs="Arial"/>
          <w:szCs w:val="24"/>
        </w:rPr>
        <w:t>oliris</w:t>
      </w:r>
      <w:r w:rsidRPr="00B73DFA">
        <w:rPr>
          <w:rFonts w:asciiTheme="majorHAnsi" w:hAnsiTheme="majorHAnsi" w:cs="Arial"/>
          <w:szCs w:val="24"/>
        </w:rPr>
        <w:t xml:space="preserve"> compared with placebo (</w:t>
      </w:r>
      <w:r>
        <w:rPr>
          <w:rFonts w:asciiTheme="majorHAnsi" w:hAnsiTheme="majorHAnsi" w:cs="Arial"/>
          <w:b/>
          <w:szCs w:val="24"/>
        </w:rPr>
        <w:fldChar w:fldCharType="begin"/>
      </w:r>
      <w:r>
        <w:rPr>
          <w:rFonts w:asciiTheme="majorHAnsi" w:hAnsiTheme="majorHAnsi" w:cs="Arial"/>
          <w:szCs w:val="24"/>
        </w:rPr>
        <w:instrText xml:space="preserve"> REF _Ref21957116 \h </w:instrText>
      </w:r>
      <w:r>
        <w:rPr>
          <w:rFonts w:asciiTheme="majorHAnsi" w:hAnsiTheme="majorHAnsi" w:cs="Arial"/>
          <w:b/>
          <w:szCs w:val="24"/>
        </w:rPr>
      </w:r>
      <w:r>
        <w:rPr>
          <w:rFonts w:asciiTheme="majorHAnsi" w:hAnsiTheme="majorHAnsi" w:cs="Arial"/>
          <w:b/>
          <w:szCs w:val="24"/>
        </w:rPr>
        <w:fldChar w:fldCharType="separate"/>
      </w:r>
      <w:r w:rsidR="004E508F" w:rsidRPr="00B73DFA">
        <w:rPr>
          <w:rFonts w:asciiTheme="majorHAnsi" w:hAnsiTheme="majorHAnsi"/>
          <w:szCs w:val="24"/>
        </w:rPr>
        <w:t xml:space="preserve">Table </w:t>
      </w:r>
      <w:r w:rsidR="004E508F">
        <w:rPr>
          <w:rFonts w:asciiTheme="majorHAnsi" w:hAnsiTheme="majorHAnsi"/>
          <w:noProof/>
          <w:szCs w:val="24"/>
        </w:rPr>
        <w:t>19</w:t>
      </w:r>
      <w:r>
        <w:rPr>
          <w:rFonts w:asciiTheme="majorHAnsi" w:hAnsiTheme="majorHAnsi" w:cs="Arial"/>
          <w:b/>
          <w:szCs w:val="24"/>
        </w:rPr>
        <w:fldChar w:fldCharType="end"/>
      </w:r>
      <w:r w:rsidRPr="00B73DFA">
        <w:rPr>
          <w:rFonts w:asciiTheme="majorHAnsi" w:hAnsiTheme="majorHAnsi" w:cs="Arial"/>
          <w:szCs w:val="24"/>
        </w:rPr>
        <w:t>).</w:t>
      </w:r>
    </w:p>
    <w:p w14:paraId="08B4DB9C" w14:textId="51CF2C38" w:rsidR="00B73DFA" w:rsidRDefault="00B73DFA" w:rsidP="00B73DFA">
      <w:pPr>
        <w:pStyle w:val="Caption"/>
        <w:spacing w:before="240" w:after="120"/>
        <w:rPr>
          <w:rFonts w:asciiTheme="majorHAnsi" w:hAnsiTheme="majorHAnsi" w:cs="Arial"/>
          <w:szCs w:val="24"/>
          <w:lang w:val="en-US"/>
        </w:rPr>
      </w:pPr>
      <w:bookmarkStart w:id="25" w:name="_Ref21957116"/>
      <w:r w:rsidRPr="00B73DFA">
        <w:rPr>
          <w:rFonts w:asciiTheme="majorHAnsi" w:hAnsiTheme="majorHAnsi"/>
          <w:szCs w:val="24"/>
        </w:rPr>
        <w:t xml:space="preserve">Table </w:t>
      </w:r>
      <w:r w:rsidR="00345186">
        <w:rPr>
          <w:rFonts w:asciiTheme="majorHAnsi" w:hAnsiTheme="majorHAnsi"/>
          <w:szCs w:val="24"/>
        </w:rPr>
        <w:fldChar w:fldCharType="begin"/>
      </w:r>
      <w:r w:rsidR="00345186">
        <w:rPr>
          <w:rFonts w:asciiTheme="majorHAnsi" w:hAnsiTheme="majorHAnsi"/>
          <w:szCs w:val="24"/>
        </w:rPr>
        <w:instrText xml:space="preserve"> SEQ Table \* ARABIC </w:instrText>
      </w:r>
      <w:r w:rsidR="00345186">
        <w:rPr>
          <w:rFonts w:asciiTheme="majorHAnsi" w:hAnsiTheme="majorHAnsi"/>
          <w:szCs w:val="24"/>
        </w:rPr>
        <w:fldChar w:fldCharType="separate"/>
      </w:r>
      <w:r w:rsidR="00345186">
        <w:rPr>
          <w:rFonts w:asciiTheme="majorHAnsi" w:hAnsiTheme="majorHAnsi"/>
          <w:noProof/>
          <w:szCs w:val="24"/>
        </w:rPr>
        <w:t>19</w:t>
      </w:r>
      <w:r w:rsidR="00345186">
        <w:rPr>
          <w:rFonts w:asciiTheme="majorHAnsi" w:hAnsiTheme="majorHAnsi"/>
          <w:szCs w:val="24"/>
        </w:rPr>
        <w:fldChar w:fldCharType="end"/>
      </w:r>
      <w:bookmarkEnd w:id="25"/>
      <w:r w:rsidRPr="00B73DFA">
        <w:rPr>
          <w:rFonts w:asciiTheme="majorHAnsi" w:hAnsiTheme="majorHAnsi"/>
          <w:szCs w:val="24"/>
        </w:rPr>
        <w:t xml:space="preserve">: </w:t>
      </w:r>
      <w:r w:rsidRPr="00B73DFA">
        <w:rPr>
          <w:rFonts w:asciiTheme="majorHAnsi" w:hAnsiTheme="majorHAnsi" w:cs="Arial"/>
          <w:szCs w:val="24"/>
          <w:lang w:val="en-US"/>
        </w:rPr>
        <w:t xml:space="preserve">Adjudicated On-trial </w:t>
      </w:r>
      <w:proofErr w:type="spellStart"/>
      <w:r w:rsidRPr="00B73DFA">
        <w:rPr>
          <w:rFonts w:asciiTheme="majorHAnsi" w:hAnsiTheme="majorHAnsi" w:cs="Arial"/>
          <w:szCs w:val="24"/>
          <w:lang w:val="en-US"/>
        </w:rPr>
        <w:t>Annuali</w:t>
      </w:r>
      <w:r w:rsidR="007C59B8">
        <w:rPr>
          <w:rFonts w:asciiTheme="majorHAnsi" w:hAnsiTheme="majorHAnsi" w:cs="Arial"/>
          <w:szCs w:val="24"/>
          <w:lang w:val="en-US"/>
        </w:rPr>
        <w:t>s</w:t>
      </w:r>
      <w:r w:rsidRPr="00B73DFA">
        <w:rPr>
          <w:rFonts w:asciiTheme="majorHAnsi" w:hAnsiTheme="majorHAnsi" w:cs="Arial"/>
          <w:szCs w:val="24"/>
          <w:lang w:val="en-US"/>
        </w:rPr>
        <w:t>ed</w:t>
      </w:r>
      <w:proofErr w:type="spellEnd"/>
      <w:r w:rsidRPr="00B73DFA">
        <w:rPr>
          <w:rFonts w:asciiTheme="majorHAnsi" w:hAnsiTheme="majorHAnsi" w:cs="Arial"/>
          <w:szCs w:val="24"/>
          <w:lang w:val="en-US"/>
        </w:rPr>
        <w:t xml:space="preserve"> Relapse Rate</w:t>
      </w:r>
      <w:r w:rsidR="007C59B8">
        <w:rPr>
          <w:rFonts w:asciiTheme="majorHAnsi" w:hAnsiTheme="majorHAnsi" w:cs="Arial"/>
          <w:szCs w:val="24"/>
          <w:lang w:val="en-US"/>
        </w:rPr>
        <w:t xml:space="preserve"> (ARR)</w:t>
      </w:r>
      <w:r w:rsidRPr="00B73DFA">
        <w:rPr>
          <w:rFonts w:asciiTheme="majorHAnsi" w:hAnsiTheme="majorHAnsi" w:cs="Arial"/>
          <w:szCs w:val="24"/>
          <w:lang w:val="en-US"/>
        </w:rPr>
        <w:t xml:space="preserve"> – Full Analysis Set</w:t>
      </w:r>
    </w:p>
    <w:tbl>
      <w:tblPr>
        <w:tblStyle w:val="TableGrid"/>
        <w:tblW w:w="0" w:type="auto"/>
        <w:tblLayout w:type="fixed"/>
        <w:tblLook w:val="04A0" w:firstRow="1" w:lastRow="0" w:firstColumn="1" w:lastColumn="0" w:noHBand="0" w:noVBand="1"/>
      </w:tblPr>
      <w:tblGrid>
        <w:gridCol w:w="2689"/>
        <w:gridCol w:w="2693"/>
        <w:gridCol w:w="1843"/>
        <w:gridCol w:w="1791"/>
      </w:tblGrid>
      <w:tr w:rsidR="00B73DFA" w:rsidRPr="0098396D" w14:paraId="74676918" w14:textId="77777777" w:rsidTr="0098396D">
        <w:tc>
          <w:tcPr>
            <w:tcW w:w="2689" w:type="dxa"/>
            <w:vAlign w:val="center"/>
          </w:tcPr>
          <w:p w14:paraId="2F9774FC" w14:textId="51B5B96F" w:rsidR="00B73DFA" w:rsidRPr="0098396D" w:rsidRDefault="00B73DFA" w:rsidP="00B73DFA">
            <w:pPr>
              <w:jc w:val="center"/>
              <w:rPr>
                <w:rFonts w:asciiTheme="majorHAnsi" w:hAnsiTheme="majorHAnsi"/>
                <w:sz w:val="20"/>
              </w:rPr>
            </w:pPr>
            <w:r w:rsidRPr="0098396D">
              <w:rPr>
                <w:rFonts w:asciiTheme="majorHAnsi" w:hAnsiTheme="majorHAnsi" w:cs="Arial"/>
                <w:b/>
                <w:sz w:val="20"/>
              </w:rPr>
              <w:t>Variable</w:t>
            </w:r>
          </w:p>
        </w:tc>
        <w:tc>
          <w:tcPr>
            <w:tcW w:w="2693" w:type="dxa"/>
            <w:vAlign w:val="center"/>
          </w:tcPr>
          <w:p w14:paraId="606FBAF1" w14:textId="4397ADA4" w:rsidR="00B73DFA" w:rsidRPr="0098396D" w:rsidRDefault="00B73DFA" w:rsidP="00B73DFA">
            <w:pPr>
              <w:jc w:val="center"/>
              <w:rPr>
                <w:rFonts w:asciiTheme="majorHAnsi" w:hAnsiTheme="majorHAnsi"/>
                <w:sz w:val="20"/>
              </w:rPr>
            </w:pPr>
            <w:r w:rsidRPr="0098396D">
              <w:rPr>
                <w:rFonts w:asciiTheme="majorHAnsi" w:hAnsiTheme="majorHAnsi" w:cs="Arial"/>
                <w:b/>
                <w:sz w:val="20"/>
              </w:rPr>
              <w:t>Statistic</w:t>
            </w:r>
          </w:p>
        </w:tc>
        <w:tc>
          <w:tcPr>
            <w:tcW w:w="1843" w:type="dxa"/>
            <w:vAlign w:val="center"/>
          </w:tcPr>
          <w:p w14:paraId="39638FC2" w14:textId="2B22C118" w:rsidR="00B73DFA" w:rsidRPr="0098396D" w:rsidRDefault="001E7413" w:rsidP="0098396D">
            <w:pPr>
              <w:jc w:val="center"/>
              <w:rPr>
                <w:rFonts w:asciiTheme="majorHAnsi" w:hAnsiTheme="majorHAnsi"/>
                <w:sz w:val="20"/>
              </w:rPr>
            </w:pPr>
            <w:r w:rsidRPr="0098396D">
              <w:rPr>
                <w:rFonts w:asciiTheme="majorHAnsi" w:hAnsiTheme="majorHAnsi" w:cs="Arial"/>
                <w:b/>
                <w:sz w:val="20"/>
              </w:rPr>
              <w:t>Placebo</w:t>
            </w:r>
            <w:r w:rsidR="0098396D">
              <w:rPr>
                <w:rFonts w:asciiTheme="majorHAnsi" w:hAnsiTheme="majorHAnsi" w:cs="Arial"/>
                <w:b/>
                <w:sz w:val="20"/>
              </w:rPr>
              <w:t xml:space="preserve"> </w:t>
            </w:r>
            <w:r w:rsidR="00B73DFA" w:rsidRPr="0098396D">
              <w:rPr>
                <w:rFonts w:asciiTheme="majorHAnsi" w:hAnsiTheme="majorHAnsi" w:cs="Arial"/>
                <w:b/>
                <w:sz w:val="20"/>
              </w:rPr>
              <w:t>(N = 47)</w:t>
            </w:r>
          </w:p>
        </w:tc>
        <w:tc>
          <w:tcPr>
            <w:tcW w:w="1791" w:type="dxa"/>
            <w:vAlign w:val="center"/>
          </w:tcPr>
          <w:p w14:paraId="3B8EE802" w14:textId="1BAA6EC2" w:rsidR="00B73DFA" w:rsidRPr="0098396D" w:rsidRDefault="00B73DFA" w:rsidP="0098396D">
            <w:pPr>
              <w:jc w:val="center"/>
              <w:rPr>
                <w:rFonts w:asciiTheme="majorHAnsi" w:hAnsiTheme="majorHAnsi"/>
                <w:sz w:val="20"/>
              </w:rPr>
            </w:pPr>
            <w:proofErr w:type="spellStart"/>
            <w:r w:rsidRPr="0098396D">
              <w:rPr>
                <w:rFonts w:asciiTheme="majorHAnsi" w:hAnsiTheme="majorHAnsi" w:cs="Arial"/>
                <w:b/>
                <w:sz w:val="20"/>
              </w:rPr>
              <w:t>S</w:t>
            </w:r>
            <w:r w:rsidR="001E7413" w:rsidRPr="0098396D">
              <w:rPr>
                <w:rFonts w:asciiTheme="majorHAnsi" w:hAnsiTheme="majorHAnsi" w:cs="Arial"/>
                <w:b/>
                <w:sz w:val="20"/>
              </w:rPr>
              <w:t>oliris</w:t>
            </w:r>
            <w:proofErr w:type="spellEnd"/>
            <w:r w:rsidR="0098396D">
              <w:rPr>
                <w:rFonts w:asciiTheme="majorHAnsi" w:hAnsiTheme="majorHAnsi" w:cs="Arial"/>
                <w:b/>
                <w:sz w:val="20"/>
              </w:rPr>
              <w:t xml:space="preserve"> </w:t>
            </w:r>
            <w:r w:rsidRPr="0098396D">
              <w:rPr>
                <w:rFonts w:asciiTheme="majorHAnsi" w:hAnsiTheme="majorHAnsi" w:cs="Arial"/>
                <w:b/>
                <w:sz w:val="20"/>
              </w:rPr>
              <w:t>(N = 96)</w:t>
            </w:r>
          </w:p>
        </w:tc>
      </w:tr>
      <w:tr w:rsidR="00B73DFA" w:rsidRPr="0098396D" w14:paraId="6C010946" w14:textId="77777777" w:rsidTr="0098396D">
        <w:tc>
          <w:tcPr>
            <w:tcW w:w="2689" w:type="dxa"/>
            <w:vAlign w:val="center"/>
          </w:tcPr>
          <w:p w14:paraId="3E37ABCA" w14:textId="1D0FB075" w:rsidR="00B73DFA" w:rsidRPr="0098396D" w:rsidRDefault="00B73DFA" w:rsidP="00B73DFA">
            <w:pPr>
              <w:rPr>
                <w:rFonts w:asciiTheme="majorHAnsi" w:hAnsiTheme="majorHAnsi"/>
                <w:sz w:val="20"/>
              </w:rPr>
            </w:pPr>
            <w:r w:rsidRPr="0098396D">
              <w:rPr>
                <w:rFonts w:asciiTheme="majorHAnsi" w:hAnsiTheme="majorHAnsi" w:cs="Arial"/>
                <w:sz w:val="20"/>
              </w:rPr>
              <w:t>Total number of relapses</w:t>
            </w:r>
          </w:p>
        </w:tc>
        <w:tc>
          <w:tcPr>
            <w:tcW w:w="2693" w:type="dxa"/>
            <w:vAlign w:val="center"/>
          </w:tcPr>
          <w:p w14:paraId="78C637C6" w14:textId="2B8D71CA" w:rsidR="00B73DFA" w:rsidRPr="0098396D" w:rsidRDefault="00B73DFA" w:rsidP="00B73DFA">
            <w:pPr>
              <w:jc w:val="center"/>
              <w:rPr>
                <w:rFonts w:asciiTheme="majorHAnsi" w:hAnsiTheme="majorHAnsi"/>
                <w:sz w:val="20"/>
              </w:rPr>
            </w:pPr>
            <w:r w:rsidRPr="0098396D">
              <w:rPr>
                <w:rFonts w:asciiTheme="majorHAnsi" w:hAnsiTheme="majorHAnsi" w:cs="Arial"/>
                <w:sz w:val="20"/>
              </w:rPr>
              <w:t>Sum</w:t>
            </w:r>
          </w:p>
        </w:tc>
        <w:tc>
          <w:tcPr>
            <w:tcW w:w="1843" w:type="dxa"/>
            <w:vAlign w:val="center"/>
          </w:tcPr>
          <w:p w14:paraId="6756AD80" w14:textId="6C5316F1" w:rsidR="00B73DFA" w:rsidRPr="0098396D" w:rsidRDefault="00B73DFA" w:rsidP="00B73DFA">
            <w:pPr>
              <w:jc w:val="center"/>
              <w:rPr>
                <w:rFonts w:asciiTheme="majorHAnsi" w:hAnsiTheme="majorHAnsi"/>
                <w:sz w:val="20"/>
              </w:rPr>
            </w:pPr>
            <w:r w:rsidRPr="0098396D">
              <w:rPr>
                <w:rFonts w:asciiTheme="majorHAnsi" w:hAnsiTheme="majorHAnsi" w:cs="Arial"/>
                <w:sz w:val="20"/>
              </w:rPr>
              <w:t>21</w:t>
            </w:r>
          </w:p>
        </w:tc>
        <w:tc>
          <w:tcPr>
            <w:tcW w:w="1791" w:type="dxa"/>
            <w:vAlign w:val="center"/>
          </w:tcPr>
          <w:p w14:paraId="034AEA09" w14:textId="4AA3FD1B" w:rsidR="00B73DFA" w:rsidRPr="0098396D" w:rsidRDefault="00B73DFA" w:rsidP="00B73DFA">
            <w:pPr>
              <w:jc w:val="center"/>
              <w:rPr>
                <w:rFonts w:asciiTheme="majorHAnsi" w:hAnsiTheme="majorHAnsi"/>
                <w:sz w:val="20"/>
              </w:rPr>
            </w:pPr>
            <w:r w:rsidRPr="0098396D">
              <w:rPr>
                <w:rFonts w:asciiTheme="majorHAnsi" w:hAnsiTheme="majorHAnsi" w:cs="Arial"/>
                <w:sz w:val="20"/>
              </w:rPr>
              <w:t>3</w:t>
            </w:r>
          </w:p>
        </w:tc>
      </w:tr>
      <w:tr w:rsidR="00B73DFA" w:rsidRPr="0098396D" w14:paraId="639E63F2" w14:textId="77777777" w:rsidTr="0098396D">
        <w:tc>
          <w:tcPr>
            <w:tcW w:w="2689" w:type="dxa"/>
            <w:vAlign w:val="center"/>
          </w:tcPr>
          <w:p w14:paraId="7ECDB080" w14:textId="7DF142FB" w:rsidR="00B73DFA" w:rsidRPr="0098396D" w:rsidRDefault="00B73DFA" w:rsidP="00B73DFA">
            <w:pPr>
              <w:rPr>
                <w:rFonts w:asciiTheme="majorHAnsi" w:hAnsiTheme="majorHAnsi"/>
                <w:sz w:val="20"/>
              </w:rPr>
            </w:pPr>
            <w:r w:rsidRPr="0098396D">
              <w:rPr>
                <w:rFonts w:asciiTheme="majorHAnsi" w:hAnsiTheme="majorHAnsi" w:cs="Arial"/>
                <w:sz w:val="20"/>
              </w:rPr>
              <w:t>Total number of patient-years in study period</w:t>
            </w:r>
          </w:p>
        </w:tc>
        <w:tc>
          <w:tcPr>
            <w:tcW w:w="2693" w:type="dxa"/>
            <w:vAlign w:val="center"/>
          </w:tcPr>
          <w:p w14:paraId="33F908D3" w14:textId="1031E1D5" w:rsidR="00B73DFA" w:rsidRPr="0098396D" w:rsidRDefault="00B73DFA" w:rsidP="00B73DFA">
            <w:pPr>
              <w:jc w:val="center"/>
              <w:rPr>
                <w:rFonts w:asciiTheme="majorHAnsi" w:hAnsiTheme="majorHAnsi"/>
                <w:sz w:val="20"/>
              </w:rPr>
            </w:pPr>
            <w:r w:rsidRPr="0098396D">
              <w:rPr>
                <w:rFonts w:asciiTheme="majorHAnsi" w:hAnsiTheme="majorHAnsi" w:cs="Arial"/>
                <w:sz w:val="20"/>
              </w:rPr>
              <w:t>n</w:t>
            </w:r>
          </w:p>
        </w:tc>
        <w:tc>
          <w:tcPr>
            <w:tcW w:w="1843" w:type="dxa"/>
            <w:vAlign w:val="center"/>
          </w:tcPr>
          <w:p w14:paraId="73D456E6" w14:textId="64B166DE" w:rsidR="00B73DFA" w:rsidRPr="0098396D" w:rsidRDefault="00B73DFA" w:rsidP="00B73DFA">
            <w:pPr>
              <w:jc w:val="center"/>
              <w:rPr>
                <w:rFonts w:asciiTheme="majorHAnsi" w:hAnsiTheme="majorHAnsi"/>
                <w:sz w:val="20"/>
              </w:rPr>
            </w:pPr>
            <w:r w:rsidRPr="0098396D">
              <w:rPr>
                <w:rFonts w:asciiTheme="majorHAnsi" w:hAnsiTheme="majorHAnsi" w:cs="Arial"/>
                <w:sz w:val="20"/>
              </w:rPr>
              <w:t>52.41</w:t>
            </w:r>
          </w:p>
        </w:tc>
        <w:tc>
          <w:tcPr>
            <w:tcW w:w="1791" w:type="dxa"/>
            <w:vAlign w:val="center"/>
          </w:tcPr>
          <w:p w14:paraId="3416A400" w14:textId="04C43F39" w:rsidR="00B73DFA" w:rsidRPr="0098396D" w:rsidRDefault="00B73DFA" w:rsidP="00B73DFA">
            <w:pPr>
              <w:jc w:val="center"/>
              <w:rPr>
                <w:rFonts w:asciiTheme="majorHAnsi" w:hAnsiTheme="majorHAnsi"/>
                <w:sz w:val="20"/>
              </w:rPr>
            </w:pPr>
            <w:r w:rsidRPr="0098396D">
              <w:rPr>
                <w:rFonts w:asciiTheme="majorHAnsi" w:hAnsiTheme="majorHAnsi" w:cs="Arial"/>
                <w:sz w:val="20"/>
              </w:rPr>
              <w:t>171.32</w:t>
            </w:r>
          </w:p>
        </w:tc>
      </w:tr>
      <w:tr w:rsidR="00B73DFA" w:rsidRPr="0098396D" w14:paraId="5A190979" w14:textId="77777777" w:rsidTr="0098396D">
        <w:tc>
          <w:tcPr>
            <w:tcW w:w="2689" w:type="dxa"/>
            <w:vMerge w:val="restart"/>
            <w:vAlign w:val="center"/>
          </w:tcPr>
          <w:p w14:paraId="4E6D33D9" w14:textId="2BA38627" w:rsidR="00B73DFA" w:rsidRPr="0098396D" w:rsidRDefault="00B73DFA" w:rsidP="00B73DFA">
            <w:pPr>
              <w:rPr>
                <w:rFonts w:asciiTheme="majorHAnsi" w:hAnsiTheme="majorHAnsi"/>
                <w:sz w:val="20"/>
              </w:rPr>
            </w:pPr>
            <w:r w:rsidRPr="0098396D">
              <w:rPr>
                <w:rFonts w:asciiTheme="majorHAnsi" w:hAnsiTheme="majorHAnsi" w:cs="Arial"/>
                <w:sz w:val="20"/>
              </w:rPr>
              <w:t xml:space="preserve">Adjusted adjudicated </w:t>
            </w:r>
            <w:proofErr w:type="spellStart"/>
            <w:r w:rsidRPr="0098396D">
              <w:rPr>
                <w:rFonts w:asciiTheme="majorHAnsi" w:hAnsiTheme="majorHAnsi" w:cs="Arial"/>
                <w:sz w:val="20"/>
              </w:rPr>
              <w:t>ARR</w:t>
            </w:r>
            <w:r w:rsidRPr="0098396D">
              <w:rPr>
                <w:rFonts w:asciiTheme="majorHAnsi" w:hAnsiTheme="majorHAnsi" w:cs="Arial"/>
                <w:sz w:val="20"/>
                <w:vertAlign w:val="superscript"/>
              </w:rPr>
              <w:t>a</w:t>
            </w:r>
            <w:proofErr w:type="spellEnd"/>
          </w:p>
        </w:tc>
        <w:tc>
          <w:tcPr>
            <w:tcW w:w="2693" w:type="dxa"/>
            <w:vAlign w:val="center"/>
          </w:tcPr>
          <w:p w14:paraId="4E6AEC1D" w14:textId="77BA28BF" w:rsidR="00B73DFA" w:rsidRPr="0098396D" w:rsidRDefault="00B73DFA" w:rsidP="00B73DFA">
            <w:pPr>
              <w:jc w:val="center"/>
              <w:rPr>
                <w:rFonts w:asciiTheme="majorHAnsi" w:hAnsiTheme="majorHAnsi"/>
                <w:sz w:val="20"/>
              </w:rPr>
            </w:pPr>
            <w:r w:rsidRPr="0098396D">
              <w:rPr>
                <w:rFonts w:asciiTheme="majorHAnsi" w:hAnsiTheme="majorHAnsi" w:cs="Arial"/>
                <w:sz w:val="20"/>
              </w:rPr>
              <w:t>Rate</w:t>
            </w:r>
          </w:p>
        </w:tc>
        <w:tc>
          <w:tcPr>
            <w:tcW w:w="1843" w:type="dxa"/>
            <w:vAlign w:val="center"/>
          </w:tcPr>
          <w:p w14:paraId="76F0FE08" w14:textId="3BBA2CAF" w:rsidR="00B73DFA" w:rsidRPr="0098396D" w:rsidRDefault="00B73DFA" w:rsidP="00B73DFA">
            <w:pPr>
              <w:jc w:val="center"/>
              <w:rPr>
                <w:rFonts w:asciiTheme="majorHAnsi" w:hAnsiTheme="majorHAnsi"/>
                <w:sz w:val="20"/>
              </w:rPr>
            </w:pPr>
            <w:r w:rsidRPr="0098396D">
              <w:rPr>
                <w:rFonts w:asciiTheme="majorHAnsi" w:hAnsiTheme="majorHAnsi" w:cs="Arial"/>
                <w:sz w:val="20"/>
              </w:rPr>
              <w:t>0.350</w:t>
            </w:r>
          </w:p>
        </w:tc>
        <w:tc>
          <w:tcPr>
            <w:tcW w:w="1791" w:type="dxa"/>
            <w:vAlign w:val="center"/>
          </w:tcPr>
          <w:p w14:paraId="164E6F85" w14:textId="705114CE" w:rsidR="00B73DFA" w:rsidRPr="0098396D" w:rsidRDefault="00B73DFA" w:rsidP="00B73DFA">
            <w:pPr>
              <w:jc w:val="center"/>
              <w:rPr>
                <w:rFonts w:asciiTheme="majorHAnsi" w:hAnsiTheme="majorHAnsi"/>
                <w:sz w:val="20"/>
              </w:rPr>
            </w:pPr>
            <w:r w:rsidRPr="0098396D">
              <w:rPr>
                <w:rFonts w:asciiTheme="majorHAnsi" w:hAnsiTheme="majorHAnsi" w:cs="Arial"/>
                <w:sz w:val="20"/>
              </w:rPr>
              <w:t>0.016</w:t>
            </w:r>
          </w:p>
        </w:tc>
      </w:tr>
      <w:tr w:rsidR="00B73DFA" w:rsidRPr="0098396D" w14:paraId="1575CB32" w14:textId="77777777" w:rsidTr="0098396D">
        <w:tc>
          <w:tcPr>
            <w:tcW w:w="2689" w:type="dxa"/>
            <w:vMerge/>
            <w:vAlign w:val="center"/>
          </w:tcPr>
          <w:p w14:paraId="0D8D3DBA" w14:textId="77777777" w:rsidR="00B73DFA" w:rsidRPr="0098396D" w:rsidRDefault="00B73DFA" w:rsidP="00B73DFA">
            <w:pPr>
              <w:rPr>
                <w:rFonts w:asciiTheme="majorHAnsi" w:hAnsiTheme="majorHAnsi"/>
                <w:sz w:val="20"/>
              </w:rPr>
            </w:pPr>
          </w:p>
        </w:tc>
        <w:tc>
          <w:tcPr>
            <w:tcW w:w="2693" w:type="dxa"/>
            <w:vAlign w:val="center"/>
          </w:tcPr>
          <w:p w14:paraId="7E85C915" w14:textId="71981DDE" w:rsidR="00B73DFA" w:rsidRPr="0098396D" w:rsidRDefault="00B73DFA" w:rsidP="00B73DFA">
            <w:pPr>
              <w:jc w:val="center"/>
              <w:rPr>
                <w:rFonts w:asciiTheme="majorHAnsi" w:hAnsiTheme="majorHAnsi"/>
                <w:sz w:val="20"/>
              </w:rPr>
            </w:pPr>
            <w:r w:rsidRPr="0098396D">
              <w:rPr>
                <w:rFonts w:asciiTheme="majorHAnsi" w:hAnsiTheme="majorHAnsi" w:cs="Arial"/>
                <w:sz w:val="20"/>
              </w:rPr>
              <w:t>95% CI</w:t>
            </w:r>
          </w:p>
        </w:tc>
        <w:tc>
          <w:tcPr>
            <w:tcW w:w="1843" w:type="dxa"/>
            <w:vAlign w:val="center"/>
          </w:tcPr>
          <w:p w14:paraId="6D801387" w14:textId="73BEB160" w:rsidR="00B73DFA" w:rsidRPr="0098396D" w:rsidRDefault="00B73DFA" w:rsidP="00B73DFA">
            <w:pPr>
              <w:jc w:val="center"/>
              <w:rPr>
                <w:rFonts w:asciiTheme="majorHAnsi" w:hAnsiTheme="majorHAnsi"/>
                <w:sz w:val="20"/>
              </w:rPr>
            </w:pPr>
            <w:r w:rsidRPr="0098396D">
              <w:rPr>
                <w:rFonts w:asciiTheme="majorHAnsi" w:hAnsiTheme="majorHAnsi" w:cs="Arial"/>
                <w:sz w:val="20"/>
              </w:rPr>
              <w:t>0.199, 0.616</w:t>
            </w:r>
          </w:p>
        </w:tc>
        <w:tc>
          <w:tcPr>
            <w:tcW w:w="1791" w:type="dxa"/>
            <w:vAlign w:val="center"/>
          </w:tcPr>
          <w:p w14:paraId="657A0745" w14:textId="75A7A715" w:rsidR="00B73DFA" w:rsidRPr="0098396D" w:rsidRDefault="00B73DFA" w:rsidP="00B73DFA">
            <w:pPr>
              <w:jc w:val="center"/>
              <w:rPr>
                <w:rFonts w:asciiTheme="majorHAnsi" w:hAnsiTheme="majorHAnsi"/>
                <w:sz w:val="20"/>
              </w:rPr>
            </w:pPr>
            <w:r w:rsidRPr="0098396D">
              <w:rPr>
                <w:rFonts w:asciiTheme="majorHAnsi" w:hAnsiTheme="majorHAnsi" w:cs="Arial"/>
                <w:sz w:val="20"/>
              </w:rPr>
              <w:t>0.005, 0.050</w:t>
            </w:r>
          </w:p>
        </w:tc>
      </w:tr>
      <w:tr w:rsidR="00B73DFA" w:rsidRPr="0098396D" w14:paraId="02869BB4" w14:textId="77777777" w:rsidTr="0098396D">
        <w:tc>
          <w:tcPr>
            <w:tcW w:w="2689" w:type="dxa"/>
            <w:vMerge w:val="restart"/>
            <w:vAlign w:val="center"/>
          </w:tcPr>
          <w:p w14:paraId="6300EA92" w14:textId="3B5E6075" w:rsidR="00B73DFA" w:rsidRPr="0098396D" w:rsidRDefault="00B73DFA" w:rsidP="00B73DFA">
            <w:pPr>
              <w:rPr>
                <w:rFonts w:asciiTheme="majorHAnsi" w:hAnsiTheme="majorHAnsi"/>
                <w:sz w:val="20"/>
              </w:rPr>
            </w:pPr>
            <w:r w:rsidRPr="0098396D">
              <w:rPr>
                <w:rFonts w:asciiTheme="majorHAnsi" w:hAnsiTheme="majorHAnsi" w:cs="Arial"/>
                <w:sz w:val="20"/>
              </w:rPr>
              <w:t xml:space="preserve">Treatment </w:t>
            </w:r>
            <w:proofErr w:type="spellStart"/>
            <w:r w:rsidRPr="0098396D">
              <w:rPr>
                <w:rFonts w:asciiTheme="majorHAnsi" w:hAnsiTheme="majorHAnsi" w:cs="Arial"/>
                <w:sz w:val="20"/>
              </w:rPr>
              <w:t>effect</w:t>
            </w:r>
            <w:r w:rsidRPr="0098396D">
              <w:rPr>
                <w:rFonts w:asciiTheme="majorHAnsi" w:hAnsiTheme="majorHAnsi" w:cs="Arial"/>
                <w:sz w:val="20"/>
                <w:vertAlign w:val="superscript"/>
              </w:rPr>
              <w:t>a</w:t>
            </w:r>
            <w:proofErr w:type="spellEnd"/>
          </w:p>
        </w:tc>
        <w:tc>
          <w:tcPr>
            <w:tcW w:w="2693" w:type="dxa"/>
            <w:vAlign w:val="center"/>
          </w:tcPr>
          <w:p w14:paraId="3533BFBA" w14:textId="3BC1D088" w:rsidR="00B73DFA" w:rsidRPr="0098396D" w:rsidRDefault="00B73DFA" w:rsidP="00B73DFA">
            <w:pPr>
              <w:jc w:val="center"/>
              <w:rPr>
                <w:rFonts w:asciiTheme="majorHAnsi" w:hAnsiTheme="majorHAnsi"/>
                <w:sz w:val="20"/>
              </w:rPr>
            </w:pPr>
            <w:r w:rsidRPr="0098396D">
              <w:rPr>
                <w:rFonts w:asciiTheme="majorHAnsi" w:hAnsiTheme="majorHAnsi" w:cs="Arial"/>
                <w:sz w:val="20"/>
              </w:rPr>
              <w:t>Rate ratio (eculizumab/placebo)</w:t>
            </w:r>
          </w:p>
        </w:tc>
        <w:tc>
          <w:tcPr>
            <w:tcW w:w="1843" w:type="dxa"/>
            <w:vAlign w:val="center"/>
          </w:tcPr>
          <w:p w14:paraId="1D4F1080" w14:textId="1569CDA5" w:rsidR="00B73DFA" w:rsidRPr="0098396D" w:rsidRDefault="00B73DFA" w:rsidP="00B73DFA">
            <w:pPr>
              <w:jc w:val="center"/>
              <w:rPr>
                <w:rFonts w:asciiTheme="majorHAnsi" w:hAnsiTheme="majorHAnsi"/>
                <w:sz w:val="20"/>
              </w:rPr>
            </w:pPr>
            <w:r w:rsidRPr="0098396D">
              <w:rPr>
                <w:rFonts w:asciiTheme="majorHAnsi" w:hAnsiTheme="majorHAnsi" w:cs="Arial"/>
                <w:sz w:val="20"/>
              </w:rPr>
              <w:t>…</w:t>
            </w:r>
          </w:p>
        </w:tc>
        <w:tc>
          <w:tcPr>
            <w:tcW w:w="1791" w:type="dxa"/>
            <w:vAlign w:val="center"/>
          </w:tcPr>
          <w:p w14:paraId="7D38AE60" w14:textId="1702FD6C" w:rsidR="00B73DFA" w:rsidRPr="0098396D" w:rsidRDefault="00B73DFA" w:rsidP="00B73DFA">
            <w:pPr>
              <w:jc w:val="center"/>
              <w:rPr>
                <w:rFonts w:asciiTheme="majorHAnsi" w:hAnsiTheme="majorHAnsi"/>
                <w:sz w:val="20"/>
              </w:rPr>
            </w:pPr>
            <w:r w:rsidRPr="0098396D">
              <w:rPr>
                <w:rFonts w:asciiTheme="majorHAnsi" w:hAnsiTheme="majorHAnsi" w:cs="Arial"/>
                <w:sz w:val="20"/>
              </w:rPr>
              <w:t>0.045</w:t>
            </w:r>
          </w:p>
        </w:tc>
      </w:tr>
      <w:tr w:rsidR="00B73DFA" w:rsidRPr="0098396D" w14:paraId="550B709C" w14:textId="77777777" w:rsidTr="0098396D">
        <w:tc>
          <w:tcPr>
            <w:tcW w:w="2689" w:type="dxa"/>
            <w:vMerge/>
          </w:tcPr>
          <w:p w14:paraId="01100191" w14:textId="77777777" w:rsidR="00B73DFA" w:rsidRPr="0098396D" w:rsidRDefault="00B73DFA" w:rsidP="00B73DFA">
            <w:pPr>
              <w:rPr>
                <w:rFonts w:asciiTheme="majorHAnsi" w:hAnsiTheme="majorHAnsi"/>
                <w:sz w:val="20"/>
              </w:rPr>
            </w:pPr>
          </w:p>
        </w:tc>
        <w:tc>
          <w:tcPr>
            <w:tcW w:w="2693" w:type="dxa"/>
            <w:vAlign w:val="center"/>
          </w:tcPr>
          <w:p w14:paraId="5E18BB7E" w14:textId="68C0E0D6" w:rsidR="00B73DFA" w:rsidRPr="0098396D" w:rsidRDefault="00B73DFA" w:rsidP="00B73DFA">
            <w:pPr>
              <w:jc w:val="center"/>
              <w:rPr>
                <w:rFonts w:asciiTheme="majorHAnsi" w:hAnsiTheme="majorHAnsi"/>
                <w:sz w:val="20"/>
              </w:rPr>
            </w:pPr>
            <w:r w:rsidRPr="0098396D">
              <w:rPr>
                <w:rFonts w:asciiTheme="majorHAnsi" w:hAnsiTheme="majorHAnsi" w:cs="Arial"/>
                <w:sz w:val="20"/>
              </w:rPr>
              <w:t>95% CI</w:t>
            </w:r>
          </w:p>
        </w:tc>
        <w:tc>
          <w:tcPr>
            <w:tcW w:w="1843" w:type="dxa"/>
            <w:vAlign w:val="center"/>
          </w:tcPr>
          <w:p w14:paraId="75DDBADD" w14:textId="4A7E7252" w:rsidR="00B73DFA" w:rsidRPr="0098396D" w:rsidRDefault="00B73DFA" w:rsidP="00B73DFA">
            <w:pPr>
              <w:jc w:val="center"/>
              <w:rPr>
                <w:rFonts w:asciiTheme="majorHAnsi" w:hAnsiTheme="majorHAnsi"/>
                <w:sz w:val="20"/>
              </w:rPr>
            </w:pPr>
            <w:r w:rsidRPr="0098396D">
              <w:rPr>
                <w:rFonts w:asciiTheme="majorHAnsi" w:hAnsiTheme="majorHAnsi" w:cs="Arial"/>
                <w:sz w:val="20"/>
              </w:rPr>
              <w:t>…</w:t>
            </w:r>
          </w:p>
        </w:tc>
        <w:tc>
          <w:tcPr>
            <w:tcW w:w="1791" w:type="dxa"/>
            <w:vAlign w:val="center"/>
          </w:tcPr>
          <w:p w14:paraId="5656A52C" w14:textId="6FF481F0" w:rsidR="00B73DFA" w:rsidRPr="0098396D" w:rsidRDefault="00B73DFA" w:rsidP="00B73DFA">
            <w:pPr>
              <w:jc w:val="center"/>
              <w:rPr>
                <w:rFonts w:asciiTheme="majorHAnsi" w:hAnsiTheme="majorHAnsi"/>
                <w:sz w:val="20"/>
              </w:rPr>
            </w:pPr>
            <w:r w:rsidRPr="0098396D">
              <w:rPr>
                <w:rFonts w:asciiTheme="majorHAnsi" w:hAnsiTheme="majorHAnsi" w:cs="Arial"/>
                <w:sz w:val="20"/>
              </w:rPr>
              <w:t>0.013, 0.151</w:t>
            </w:r>
          </w:p>
        </w:tc>
      </w:tr>
      <w:tr w:rsidR="00B73DFA" w:rsidRPr="0098396D" w14:paraId="3D637D21" w14:textId="77777777" w:rsidTr="0098396D">
        <w:tc>
          <w:tcPr>
            <w:tcW w:w="2689" w:type="dxa"/>
            <w:vMerge/>
          </w:tcPr>
          <w:p w14:paraId="32EBF288" w14:textId="77777777" w:rsidR="00B73DFA" w:rsidRPr="0098396D" w:rsidRDefault="00B73DFA" w:rsidP="00B73DFA">
            <w:pPr>
              <w:rPr>
                <w:rFonts w:asciiTheme="majorHAnsi" w:hAnsiTheme="majorHAnsi"/>
                <w:sz w:val="20"/>
              </w:rPr>
            </w:pPr>
          </w:p>
        </w:tc>
        <w:tc>
          <w:tcPr>
            <w:tcW w:w="2693" w:type="dxa"/>
            <w:vAlign w:val="center"/>
          </w:tcPr>
          <w:p w14:paraId="20C4076D" w14:textId="1229BF57" w:rsidR="00B73DFA" w:rsidRPr="0098396D" w:rsidRDefault="00B73DFA" w:rsidP="00B73DFA">
            <w:pPr>
              <w:jc w:val="center"/>
              <w:rPr>
                <w:rFonts w:asciiTheme="majorHAnsi" w:hAnsiTheme="majorHAnsi"/>
                <w:sz w:val="20"/>
              </w:rPr>
            </w:pPr>
            <w:r w:rsidRPr="0098396D">
              <w:rPr>
                <w:rFonts w:asciiTheme="majorHAnsi" w:hAnsiTheme="majorHAnsi" w:cs="Arial"/>
                <w:sz w:val="20"/>
              </w:rPr>
              <w:t>p-value</w:t>
            </w:r>
          </w:p>
        </w:tc>
        <w:tc>
          <w:tcPr>
            <w:tcW w:w="1843" w:type="dxa"/>
            <w:vAlign w:val="center"/>
          </w:tcPr>
          <w:p w14:paraId="1B5DA708" w14:textId="669E167D" w:rsidR="00B73DFA" w:rsidRPr="0098396D" w:rsidRDefault="00B73DFA" w:rsidP="00B73DFA">
            <w:pPr>
              <w:jc w:val="center"/>
              <w:rPr>
                <w:rFonts w:asciiTheme="majorHAnsi" w:hAnsiTheme="majorHAnsi"/>
                <w:sz w:val="20"/>
              </w:rPr>
            </w:pPr>
            <w:r w:rsidRPr="0098396D">
              <w:rPr>
                <w:rFonts w:asciiTheme="majorHAnsi" w:hAnsiTheme="majorHAnsi" w:cs="Arial"/>
                <w:sz w:val="20"/>
              </w:rPr>
              <w:t>…</w:t>
            </w:r>
          </w:p>
        </w:tc>
        <w:tc>
          <w:tcPr>
            <w:tcW w:w="1791" w:type="dxa"/>
            <w:vAlign w:val="center"/>
          </w:tcPr>
          <w:p w14:paraId="72DDADDA" w14:textId="59D1A7DA" w:rsidR="00B73DFA" w:rsidRPr="0098396D" w:rsidRDefault="00B73DFA" w:rsidP="00B73DFA">
            <w:pPr>
              <w:jc w:val="center"/>
              <w:rPr>
                <w:rFonts w:asciiTheme="majorHAnsi" w:hAnsiTheme="majorHAnsi"/>
                <w:sz w:val="20"/>
              </w:rPr>
            </w:pPr>
            <w:r w:rsidRPr="0098396D">
              <w:rPr>
                <w:rFonts w:asciiTheme="majorHAnsi" w:hAnsiTheme="majorHAnsi" w:cs="Arial"/>
                <w:sz w:val="20"/>
              </w:rPr>
              <w:t>&lt;0.0001</w:t>
            </w:r>
          </w:p>
        </w:tc>
      </w:tr>
    </w:tbl>
    <w:p w14:paraId="6AB9798A" w14:textId="77777777" w:rsidR="00685298" w:rsidRPr="00685298" w:rsidRDefault="00685298" w:rsidP="00685298">
      <w:pPr>
        <w:tabs>
          <w:tab w:val="left" w:pos="144"/>
        </w:tabs>
        <w:ind w:left="144" w:hanging="144"/>
        <w:rPr>
          <w:rFonts w:asciiTheme="majorHAnsi" w:hAnsiTheme="majorHAnsi" w:cs="Arial"/>
          <w:sz w:val="22"/>
          <w:lang w:val="en-US"/>
        </w:rPr>
      </w:pPr>
      <w:r w:rsidRPr="00685298">
        <w:rPr>
          <w:rFonts w:asciiTheme="majorHAnsi" w:hAnsiTheme="majorHAnsi" w:cs="Arial"/>
          <w:sz w:val="22"/>
          <w:vertAlign w:val="superscript"/>
          <w:lang w:val="en-US"/>
        </w:rPr>
        <w:t>a</w:t>
      </w:r>
      <w:r w:rsidRPr="00685298">
        <w:rPr>
          <w:rFonts w:asciiTheme="majorHAnsi" w:hAnsiTheme="majorHAnsi" w:cs="Arial"/>
          <w:sz w:val="22"/>
          <w:lang w:val="en-US"/>
        </w:rPr>
        <w:t xml:space="preserve"> Based on a Poisson regression adjusted for randomization strata and historical ARR in 24 months prior to Screening.</w:t>
      </w:r>
    </w:p>
    <w:p w14:paraId="5D69400F" w14:textId="18A176B0" w:rsidR="00685298" w:rsidRPr="00685298" w:rsidRDefault="00685298" w:rsidP="00685298">
      <w:pPr>
        <w:spacing w:before="120"/>
        <w:rPr>
          <w:rFonts w:asciiTheme="majorHAnsi" w:hAnsiTheme="majorHAnsi"/>
          <w:sz w:val="28"/>
          <w:lang w:val="en-US"/>
        </w:rPr>
      </w:pPr>
      <w:r>
        <w:rPr>
          <w:rFonts w:asciiTheme="majorHAnsi" w:hAnsiTheme="majorHAnsi" w:cs="Arial"/>
          <w:lang w:val="en-US"/>
        </w:rPr>
        <w:lastRenderedPageBreak/>
        <w:t xml:space="preserve">The </w:t>
      </w:r>
      <w:proofErr w:type="spellStart"/>
      <w:r>
        <w:rPr>
          <w:rFonts w:asciiTheme="majorHAnsi" w:hAnsiTheme="majorHAnsi" w:cs="Arial"/>
          <w:lang w:val="en-US"/>
        </w:rPr>
        <w:t>annualis</w:t>
      </w:r>
      <w:r w:rsidRPr="00685298">
        <w:rPr>
          <w:rFonts w:asciiTheme="majorHAnsi" w:hAnsiTheme="majorHAnsi" w:cs="Arial"/>
          <w:lang w:val="en-US"/>
        </w:rPr>
        <w:t>ed</w:t>
      </w:r>
      <w:proofErr w:type="spellEnd"/>
      <w:r w:rsidRPr="00685298">
        <w:rPr>
          <w:rFonts w:asciiTheme="majorHAnsi" w:hAnsiTheme="majorHAnsi" w:cs="Arial"/>
          <w:lang w:val="en-US"/>
        </w:rPr>
        <w:t xml:space="preserve"> rate of on-tri</w:t>
      </w:r>
      <w:r>
        <w:rPr>
          <w:rFonts w:asciiTheme="majorHAnsi" w:hAnsiTheme="majorHAnsi" w:cs="Arial"/>
          <w:lang w:val="en-US"/>
        </w:rPr>
        <w:t xml:space="preserve">al relapse associated </w:t>
      </w:r>
      <w:proofErr w:type="spellStart"/>
      <w:r>
        <w:rPr>
          <w:rFonts w:asciiTheme="majorHAnsi" w:hAnsiTheme="majorHAnsi" w:cs="Arial"/>
          <w:lang w:val="en-US"/>
        </w:rPr>
        <w:t>hospitalis</w:t>
      </w:r>
      <w:r w:rsidRPr="00685298">
        <w:rPr>
          <w:rFonts w:asciiTheme="majorHAnsi" w:hAnsiTheme="majorHAnsi" w:cs="Arial"/>
          <w:lang w:val="en-US"/>
        </w:rPr>
        <w:t>ation</w:t>
      </w:r>
      <w:proofErr w:type="spellEnd"/>
      <w:r w:rsidRPr="00685298">
        <w:rPr>
          <w:rFonts w:asciiTheme="majorHAnsi" w:hAnsiTheme="majorHAnsi" w:cs="Arial"/>
          <w:lang w:val="en-US"/>
        </w:rPr>
        <w:t xml:space="preserve"> was 0.04 for S</w:t>
      </w:r>
      <w:r>
        <w:rPr>
          <w:rFonts w:asciiTheme="majorHAnsi" w:hAnsiTheme="majorHAnsi" w:cs="Arial"/>
          <w:lang w:val="en-US"/>
        </w:rPr>
        <w:t>oliris</w:t>
      </w:r>
      <w:r w:rsidRPr="00685298">
        <w:rPr>
          <w:rFonts w:asciiTheme="majorHAnsi" w:hAnsiTheme="majorHAnsi" w:cs="Arial"/>
          <w:lang w:val="en-US"/>
        </w:rPr>
        <w:t xml:space="preserve"> versu</w:t>
      </w:r>
      <w:r>
        <w:rPr>
          <w:rFonts w:asciiTheme="majorHAnsi" w:hAnsiTheme="majorHAnsi" w:cs="Arial"/>
          <w:lang w:val="en-US"/>
        </w:rPr>
        <w:t xml:space="preserve">s 0.31 for placebo. The </w:t>
      </w:r>
      <w:proofErr w:type="spellStart"/>
      <w:r>
        <w:rPr>
          <w:rFonts w:asciiTheme="majorHAnsi" w:hAnsiTheme="majorHAnsi" w:cs="Arial"/>
          <w:lang w:val="en-US"/>
        </w:rPr>
        <w:t>annualis</w:t>
      </w:r>
      <w:r w:rsidRPr="00685298">
        <w:rPr>
          <w:rFonts w:asciiTheme="majorHAnsi" w:hAnsiTheme="majorHAnsi" w:cs="Arial"/>
          <w:lang w:val="en-US"/>
        </w:rPr>
        <w:t>ed</w:t>
      </w:r>
      <w:proofErr w:type="spellEnd"/>
      <w:r w:rsidRPr="00685298">
        <w:rPr>
          <w:rFonts w:asciiTheme="majorHAnsi" w:hAnsiTheme="majorHAnsi" w:cs="Arial"/>
          <w:lang w:val="en-US"/>
        </w:rPr>
        <w:t xml:space="preserve"> rate of on-trial relapse associated acute relapse treatment was 0.07 for S</w:t>
      </w:r>
      <w:r w:rsidR="00376900">
        <w:rPr>
          <w:rFonts w:asciiTheme="majorHAnsi" w:hAnsiTheme="majorHAnsi" w:cs="Arial"/>
          <w:lang w:val="en-US"/>
        </w:rPr>
        <w:t>oliris</w:t>
      </w:r>
      <w:r w:rsidRPr="00685298">
        <w:rPr>
          <w:rFonts w:asciiTheme="majorHAnsi" w:hAnsiTheme="majorHAnsi" w:cs="Arial"/>
          <w:lang w:val="en-US"/>
        </w:rPr>
        <w:t xml:space="preserve"> versus 0.42 for placebo (IV methylprednisolone) and 0.02 for S</w:t>
      </w:r>
      <w:r>
        <w:rPr>
          <w:rFonts w:asciiTheme="majorHAnsi" w:hAnsiTheme="majorHAnsi" w:cs="Arial"/>
          <w:lang w:val="en-US"/>
        </w:rPr>
        <w:t>oliris</w:t>
      </w:r>
      <w:r w:rsidRPr="00685298">
        <w:rPr>
          <w:rFonts w:asciiTheme="majorHAnsi" w:hAnsiTheme="majorHAnsi" w:cs="Arial"/>
          <w:lang w:val="en-US"/>
        </w:rPr>
        <w:t xml:space="preserve"> versus 0.19 for placebo (plasma exchange).</w:t>
      </w:r>
    </w:p>
    <w:p w14:paraId="096ACEB7" w14:textId="2C208C4C" w:rsidR="00863F51" w:rsidRPr="00AE2D6F" w:rsidRDefault="00863F51" w:rsidP="00F00B64">
      <w:pPr>
        <w:pStyle w:val="Default"/>
        <w:keepNext/>
        <w:spacing w:before="240" w:after="120"/>
        <w:rPr>
          <w:rFonts w:asciiTheme="majorHAnsi" w:hAnsiTheme="majorHAnsi" w:cs="Times New Roman"/>
          <w:b/>
          <w:color w:val="auto"/>
        </w:rPr>
      </w:pPr>
      <w:proofErr w:type="spellStart"/>
      <w:r w:rsidRPr="00AE2D6F">
        <w:rPr>
          <w:rFonts w:asciiTheme="majorHAnsi" w:hAnsiTheme="majorHAnsi" w:cs="Times New Roman"/>
          <w:b/>
          <w:color w:val="auto"/>
        </w:rPr>
        <w:t>Paediatric</w:t>
      </w:r>
      <w:proofErr w:type="spellEnd"/>
      <w:r w:rsidRPr="00AE2D6F">
        <w:rPr>
          <w:rFonts w:asciiTheme="majorHAnsi" w:hAnsiTheme="majorHAnsi" w:cs="Times New Roman"/>
          <w:b/>
          <w:color w:val="auto"/>
        </w:rPr>
        <w:t xml:space="preserve"> Population</w:t>
      </w:r>
    </w:p>
    <w:p w14:paraId="6188EB3D" w14:textId="77777777" w:rsidR="00863F51" w:rsidRPr="00AE2D6F" w:rsidRDefault="00863F51" w:rsidP="00F00B64">
      <w:pPr>
        <w:tabs>
          <w:tab w:val="left" w:pos="567"/>
        </w:tabs>
        <w:spacing w:before="120" w:after="120"/>
        <w:rPr>
          <w:rFonts w:asciiTheme="majorHAnsi" w:hAnsiTheme="majorHAnsi" w:cs="Times New Roman"/>
          <w:szCs w:val="24"/>
          <w:u w:val="single"/>
        </w:rPr>
      </w:pPr>
      <w:r w:rsidRPr="00AE2D6F">
        <w:rPr>
          <w:rFonts w:asciiTheme="majorHAnsi" w:hAnsiTheme="majorHAnsi" w:cs="Times New Roman"/>
          <w:szCs w:val="24"/>
          <w:u w:val="single"/>
        </w:rPr>
        <w:t xml:space="preserve">PNH </w:t>
      </w:r>
    </w:p>
    <w:p w14:paraId="5CB57C2B" w14:textId="77777777" w:rsidR="00863F51" w:rsidRPr="00AE2D6F" w:rsidRDefault="00863F51" w:rsidP="00863F51">
      <w:pPr>
        <w:tabs>
          <w:tab w:val="left" w:pos="567"/>
        </w:tabs>
        <w:rPr>
          <w:rFonts w:asciiTheme="majorHAnsi" w:hAnsiTheme="majorHAnsi" w:cs="Times New Roman"/>
          <w:i/>
          <w:szCs w:val="24"/>
        </w:rPr>
      </w:pPr>
      <w:r w:rsidRPr="00AE2D6F">
        <w:rPr>
          <w:rFonts w:asciiTheme="majorHAnsi" w:hAnsiTheme="majorHAnsi" w:cs="Times New Roman"/>
          <w:i/>
          <w:szCs w:val="24"/>
        </w:rPr>
        <w:t>M07-005</w:t>
      </w:r>
    </w:p>
    <w:p w14:paraId="396964DF" w14:textId="77777777" w:rsidR="00863F51" w:rsidRPr="00AE2D6F" w:rsidRDefault="00863F51" w:rsidP="000D7936">
      <w:pPr>
        <w:pStyle w:val="C-BodyText"/>
        <w:spacing w:before="0" w:line="240" w:lineRule="auto"/>
        <w:rPr>
          <w:rFonts w:asciiTheme="majorHAnsi" w:hAnsiTheme="majorHAnsi"/>
          <w:szCs w:val="24"/>
          <w:lang w:val="en-GB"/>
        </w:rPr>
      </w:pPr>
      <w:r w:rsidRPr="00AE2D6F">
        <w:rPr>
          <w:rFonts w:asciiTheme="majorHAnsi" w:hAnsiTheme="majorHAnsi"/>
          <w:szCs w:val="24"/>
          <w:lang w:val="en-GB"/>
        </w:rPr>
        <w:t>A total of 7 PNH</w:t>
      </w:r>
      <w:r w:rsidR="002F6E56" w:rsidRPr="00AE2D6F">
        <w:rPr>
          <w:rFonts w:asciiTheme="majorHAnsi" w:hAnsiTheme="majorHAnsi"/>
          <w:szCs w:val="24"/>
          <w:lang w:val="en-GB"/>
        </w:rPr>
        <w:t xml:space="preserve"> </w:t>
      </w:r>
      <w:r w:rsidRPr="00AE2D6F">
        <w:rPr>
          <w:rFonts w:asciiTheme="majorHAnsi" w:hAnsiTheme="majorHAnsi"/>
          <w:szCs w:val="24"/>
          <w:lang w:val="en-GB"/>
        </w:rPr>
        <w:t>paediatric patients,</w:t>
      </w:r>
      <w:r w:rsidRPr="00AE2D6F">
        <w:rPr>
          <w:rFonts w:asciiTheme="majorHAnsi" w:hAnsiTheme="majorHAnsi"/>
          <w:szCs w:val="24"/>
        </w:rPr>
        <w:t xml:space="preserve"> with a median weight of 57.2 kg (range of 48.6 to 69.8 kg)</w:t>
      </w:r>
      <w:r w:rsidRPr="00AE2D6F">
        <w:rPr>
          <w:rFonts w:asciiTheme="majorHAnsi" w:hAnsiTheme="majorHAnsi"/>
          <w:szCs w:val="24"/>
          <w:lang w:val="en-GB"/>
        </w:rPr>
        <w:t xml:space="preserve"> and aged from 11 to 17 years (median age: 15.6 years) received </w:t>
      </w:r>
      <w:r w:rsidR="00B249B7" w:rsidRPr="00AE2D6F">
        <w:rPr>
          <w:rFonts w:asciiTheme="majorHAnsi" w:hAnsiTheme="majorHAnsi"/>
          <w:szCs w:val="24"/>
          <w:lang w:val="en-AU"/>
        </w:rPr>
        <w:t>Soliris</w:t>
      </w:r>
      <w:r w:rsidRPr="00AE2D6F">
        <w:rPr>
          <w:rFonts w:asciiTheme="majorHAnsi" w:hAnsiTheme="majorHAnsi"/>
          <w:szCs w:val="24"/>
          <w:lang w:val="en-GB"/>
        </w:rPr>
        <w:t xml:space="preserve"> in</w:t>
      </w:r>
      <w:r w:rsidR="002F6E56" w:rsidRPr="00AE2D6F">
        <w:rPr>
          <w:rFonts w:asciiTheme="majorHAnsi" w:hAnsiTheme="majorHAnsi"/>
          <w:szCs w:val="24"/>
          <w:lang w:val="en-GB"/>
        </w:rPr>
        <w:t xml:space="preserve"> </w:t>
      </w:r>
      <w:r w:rsidRPr="00AE2D6F">
        <w:rPr>
          <w:rFonts w:asciiTheme="majorHAnsi" w:hAnsiTheme="majorHAnsi"/>
          <w:i/>
          <w:szCs w:val="24"/>
          <w:lang w:val="en-GB"/>
        </w:rPr>
        <w:t>Study M07-005</w:t>
      </w:r>
      <w:r w:rsidRPr="00AE2D6F">
        <w:rPr>
          <w:rFonts w:asciiTheme="majorHAnsi" w:hAnsiTheme="majorHAnsi"/>
          <w:szCs w:val="24"/>
          <w:lang w:val="en-GB"/>
        </w:rPr>
        <w:t>.</w:t>
      </w:r>
    </w:p>
    <w:p w14:paraId="596260F3" w14:textId="2376FFD2" w:rsidR="00863F51" w:rsidRDefault="00863F51" w:rsidP="000D7936">
      <w:pPr>
        <w:pStyle w:val="C-BodyText"/>
        <w:spacing w:before="0"/>
        <w:rPr>
          <w:rFonts w:asciiTheme="majorHAnsi" w:hAnsiTheme="majorHAnsi"/>
          <w:szCs w:val="24"/>
          <w:lang w:val="en-GB"/>
        </w:rPr>
      </w:pPr>
      <w:r w:rsidRPr="00AE2D6F">
        <w:rPr>
          <w:rFonts w:asciiTheme="majorHAnsi" w:hAnsiTheme="majorHAnsi"/>
          <w:szCs w:val="24"/>
        </w:rPr>
        <w:t xml:space="preserve">Treatment with </w:t>
      </w:r>
      <w:r w:rsidR="00B249B7" w:rsidRPr="00AE2D6F">
        <w:rPr>
          <w:rFonts w:asciiTheme="majorHAnsi" w:hAnsiTheme="majorHAnsi"/>
          <w:szCs w:val="24"/>
          <w:lang w:val="en-AU"/>
        </w:rPr>
        <w:t>Soliris</w:t>
      </w:r>
      <w:r w:rsidRPr="00AE2D6F">
        <w:rPr>
          <w:rFonts w:asciiTheme="majorHAnsi" w:hAnsiTheme="majorHAnsi"/>
          <w:szCs w:val="24"/>
        </w:rPr>
        <w:t xml:space="preserve"> at the </w:t>
      </w:r>
      <w:proofErr w:type="spellStart"/>
      <w:r w:rsidRPr="00AE2D6F">
        <w:rPr>
          <w:rFonts w:asciiTheme="majorHAnsi" w:hAnsiTheme="majorHAnsi"/>
          <w:szCs w:val="24"/>
        </w:rPr>
        <w:t>paediatric</w:t>
      </w:r>
      <w:proofErr w:type="spellEnd"/>
      <w:r w:rsidRPr="00AE2D6F">
        <w:rPr>
          <w:rFonts w:asciiTheme="majorHAnsi" w:hAnsiTheme="majorHAnsi"/>
          <w:szCs w:val="24"/>
        </w:rPr>
        <w:t xml:space="preserve"> population dosing regimen was associated with a reduction of intravascular </w:t>
      </w:r>
      <w:proofErr w:type="spellStart"/>
      <w:r w:rsidRPr="00AE2D6F">
        <w:rPr>
          <w:rFonts w:asciiTheme="majorHAnsi" w:hAnsiTheme="majorHAnsi"/>
          <w:szCs w:val="24"/>
        </w:rPr>
        <w:t>haemolysis</w:t>
      </w:r>
      <w:proofErr w:type="spellEnd"/>
      <w:r w:rsidRPr="00AE2D6F">
        <w:rPr>
          <w:rFonts w:asciiTheme="majorHAnsi" w:hAnsiTheme="majorHAnsi"/>
          <w:szCs w:val="24"/>
        </w:rPr>
        <w:t xml:space="preserve"> as measured by serum LDH level. It also resulted in a marked decrease or elimination of blood transfusions, and </w:t>
      </w:r>
      <w:r w:rsidRPr="00AE2D6F">
        <w:rPr>
          <w:rFonts w:asciiTheme="majorHAnsi" w:hAnsiTheme="majorHAnsi"/>
          <w:szCs w:val="24"/>
          <w:lang w:val="en-GB"/>
        </w:rPr>
        <w:t>a trend towards</w:t>
      </w:r>
      <w:r w:rsidRPr="00AE2D6F">
        <w:rPr>
          <w:rFonts w:asciiTheme="majorHAnsi" w:hAnsiTheme="majorHAnsi"/>
          <w:i/>
          <w:szCs w:val="24"/>
          <w:lang w:val="en-GB"/>
        </w:rPr>
        <w:t xml:space="preserve"> </w:t>
      </w:r>
      <w:r w:rsidRPr="00AE2D6F">
        <w:rPr>
          <w:rFonts w:asciiTheme="majorHAnsi" w:hAnsiTheme="majorHAnsi"/>
          <w:szCs w:val="24"/>
        </w:rPr>
        <w:t xml:space="preserve">an overall improvement in general function. The efficacy of </w:t>
      </w:r>
      <w:proofErr w:type="spellStart"/>
      <w:r w:rsidR="00B249B7" w:rsidRPr="00AE2D6F">
        <w:rPr>
          <w:rFonts w:asciiTheme="majorHAnsi" w:hAnsiTheme="majorHAnsi"/>
          <w:szCs w:val="24"/>
          <w:lang w:val="en-AU"/>
        </w:rPr>
        <w:t>Soliris</w:t>
      </w:r>
      <w:proofErr w:type="spellEnd"/>
      <w:r w:rsidRPr="00AE2D6F">
        <w:rPr>
          <w:rFonts w:asciiTheme="majorHAnsi" w:hAnsiTheme="majorHAnsi"/>
          <w:szCs w:val="24"/>
        </w:rPr>
        <w:t xml:space="preserve"> treatment in</w:t>
      </w:r>
      <w:r w:rsidRPr="00AE2D6F">
        <w:rPr>
          <w:rFonts w:asciiTheme="majorHAnsi" w:hAnsiTheme="majorHAnsi"/>
          <w:szCs w:val="24"/>
          <w:lang w:val="en-GB"/>
        </w:rPr>
        <w:t xml:space="preserve"> paediatric patients</w:t>
      </w:r>
      <w:r w:rsidR="00A8461F">
        <w:rPr>
          <w:rFonts w:asciiTheme="majorHAnsi" w:hAnsiTheme="majorHAnsi"/>
          <w:szCs w:val="24"/>
          <w:lang w:val="en-GB"/>
        </w:rPr>
        <w:t xml:space="preserve"> with PNH</w:t>
      </w:r>
      <w:r w:rsidRPr="00AE2D6F">
        <w:rPr>
          <w:rFonts w:asciiTheme="majorHAnsi" w:hAnsiTheme="majorHAnsi"/>
          <w:szCs w:val="24"/>
          <w:lang w:val="en-GB"/>
        </w:rPr>
        <w:t xml:space="preserve"> appears to be consistent with that observed in adult patients</w:t>
      </w:r>
      <w:r w:rsidR="00A8461F">
        <w:rPr>
          <w:rFonts w:asciiTheme="majorHAnsi" w:hAnsiTheme="majorHAnsi"/>
          <w:szCs w:val="24"/>
          <w:lang w:val="en-GB"/>
        </w:rPr>
        <w:t xml:space="preserve"> with PNH</w:t>
      </w:r>
      <w:r w:rsidRPr="00AE2D6F">
        <w:rPr>
          <w:rFonts w:asciiTheme="majorHAnsi" w:hAnsiTheme="majorHAnsi"/>
          <w:szCs w:val="24"/>
          <w:lang w:val="en-GB"/>
        </w:rPr>
        <w:t xml:space="preserve"> enrolled in PNH pivotal Studies (</w:t>
      </w:r>
      <w:r w:rsidRPr="00AE2D6F">
        <w:rPr>
          <w:rFonts w:asciiTheme="majorHAnsi" w:hAnsiTheme="majorHAnsi"/>
          <w:i/>
          <w:szCs w:val="24"/>
        </w:rPr>
        <w:t>C04-001 and C04-002</w:t>
      </w:r>
      <w:r w:rsidRPr="00AE2D6F">
        <w:rPr>
          <w:rFonts w:asciiTheme="majorHAnsi" w:hAnsiTheme="majorHAnsi"/>
          <w:szCs w:val="24"/>
        </w:rPr>
        <w:t xml:space="preserve">) </w:t>
      </w:r>
      <w:r w:rsidRPr="00AE2D6F">
        <w:rPr>
          <w:rFonts w:asciiTheme="majorHAnsi" w:hAnsiTheme="majorHAnsi"/>
          <w:szCs w:val="24"/>
          <w:lang w:val="en-GB"/>
        </w:rPr>
        <w:t xml:space="preserve">(refer to </w:t>
      </w:r>
      <w:r w:rsidR="00474895" w:rsidRPr="00AE2D6F">
        <w:rPr>
          <w:rFonts w:asciiTheme="majorHAnsi" w:hAnsiTheme="majorHAnsi"/>
          <w:szCs w:val="24"/>
          <w:lang w:val="en-GB"/>
        </w:rPr>
        <w:fldChar w:fldCharType="begin"/>
      </w:r>
      <w:r w:rsidR="00474895" w:rsidRPr="00AE2D6F">
        <w:rPr>
          <w:rFonts w:asciiTheme="majorHAnsi" w:hAnsiTheme="majorHAnsi"/>
          <w:szCs w:val="24"/>
          <w:lang w:val="en-GB"/>
        </w:rPr>
        <w:instrText xml:space="preserve"> REF _Ref18591914 \h </w:instrText>
      </w:r>
      <w:r w:rsidR="00474895" w:rsidRPr="00AE2D6F">
        <w:rPr>
          <w:rFonts w:asciiTheme="majorHAnsi" w:hAnsiTheme="majorHAnsi"/>
          <w:szCs w:val="24"/>
          <w:lang w:val="en-GB"/>
        </w:rPr>
      </w:r>
      <w:r w:rsidR="00474895" w:rsidRPr="00AE2D6F">
        <w:rPr>
          <w:rFonts w:asciiTheme="majorHAnsi" w:hAnsiTheme="majorHAnsi"/>
          <w:szCs w:val="24"/>
          <w:lang w:val="en-GB"/>
        </w:rPr>
        <w:fldChar w:fldCharType="separate"/>
      </w:r>
      <w:r w:rsidR="00AE6672">
        <w:t xml:space="preserve">Table </w:t>
      </w:r>
      <w:r w:rsidR="00AE6672">
        <w:rPr>
          <w:noProof/>
        </w:rPr>
        <w:t>9</w:t>
      </w:r>
      <w:r w:rsidR="00474895" w:rsidRPr="00AE2D6F">
        <w:rPr>
          <w:rFonts w:asciiTheme="majorHAnsi" w:hAnsiTheme="majorHAnsi"/>
          <w:szCs w:val="24"/>
          <w:lang w:val="en-GB"/>
        </w:rPr>
        <w:fldChar w:fldCharType="end"/>
      </w:r>
      <w:r w:rsidR="003C187B" w:rsidRPr="00AE2D6F">
        <w:rPr>
          <w:rFonts w:asciiTheme="majorHAnsi" w:hAnsiTheme="majorHAnsi"/>
          <w:szCs w:val="24"/>
          <w:lang w:val="en-GB"/>
        </w:rPr>
        <w:t xml:space="preserve"> </w:t>
      </w:r>
      <w:r w:rsidRPr="00AE2D6F">
        <w:rPr>
          <w:rFonts w:asciiTheme="majorHAnsi" w:hAnsiTheme="majorHAnsi"/>
          <w:szCs w:val="24"/>
          <w:lang w:val="en-GB"/>
        </w:rPr>
        <w:t>above and</w:t>
      </w:r>
      <w:r w:rsidR="003C187B" w:rsidRPr="00AE2D6F">
        <w:rPr>
          <w:rFonts w:asciiTheme="majorHAnsi" w:hAnsiTheme="majorHAnsi"/>
          <w:szCs w:val="24"/>
          <w:lang w:val="en-GB"/>
        </w:rPr>
        <w:t xml:space="preserve"> </w:t>
      </w:r>
      <w:r w:rsidR="00474895" w:rsidRPr="00AE2D6F">
        <w:rPr>
          <w:rFonts w:asciiTheme="majorHAnsi" w:hAnsiTheme="majorHAnsi"/>
          <w:szCs w:val="24"/>
          <w:lang w:val="en-GB"/>
        </w:rPr>
        <w:fldChar w:fldCharType="begin"/>
      </w:r>
      <w:r w:rsidR="00474895" w:rsidRPr="00AE2D6F">
        <w:rPr>
          <w:rFonts w:asciiTheme="majorHAnsi" w:hAnsiTheme="majorHAnsi"/>
          <w:szCs w:val="24"/>
          <w:lang w:val="en-GB"/>
        </w:rPr>
        <w:instrText xml:space="preserve"> REF _Ref18592287 \h </w:instrText>
      </w:r>
      <w:r w:rsidR="00474895" w:rsidRPr="00AE2D6F">
        <w:rPr>
          <w:rFonts w:asciiTheme="majorHAnsi" w:hAnsiTheme="majorHAnsi"/>
          <w:szCs w:val="24"/>
          <w:lang w:val="en-GB"/>
        </w:rPr>
      </w:r>
      <w:r w:rsidR="00474895" w:rsidRPr="00AE2D6F">
        <w:rPr>
          <w:rFonts w:asciiTheme="majorHAnsi" w:hAnsiTheme="majorHAnsi"/>
          <w:szCs w:val="24"/>
          <w:lang w:val="en-GB"/>
        </w:rPr>
        <w:fldChar w:fldCharType="separate"/>
      </w:r>
      <w:r w:rsidR="004E508F" w:rsidRPr="00AE2D6F">
        <w:t xml:space="preserve">Table </w:t>
      </w:r>
      <w:r w:rsidR="004E508F">
        <w:rPr>
          <w:noProof/>
        </w:rPr>
        <w:t>20</w:t>
      </w:r>
      <w:r w:rsidR="00474895" w:rsidRPr="00AE2D6F">
        <w:rPr>
          <w:rFonts w:asciiTheme="majorHAnsi" w:hAnsiTheme="majorHAnsi"/>
          <w:szCs w:val="24"/>
          <w:lang w:val="en-GB"/>
        </w:rPr>
        <w:fldChar w:fldCharType="end"/>
      </w:r>
      <w:r w:rsidR="00FA12E0">
        <w:rPr>
          <w:rFonts w:asciiTheme="majorHAnsi" w:hAnsiTheme="majorHAnsi"/>
          <w:szCs w:val="24"/>
          <w:lang w:val="en-GB"/>
        </w:rPr>
        <w:t xml:space="preserve"> </w:t>
      </w:r>
      <w:r w:rsidRPr="00AE2D6F">
        <w:rPr>
          <w:rFonts w:asciiTheme="majorHAnsi" w:hAnsiTheme="majorHAnsi"/>
          <w:szCs w:val="24"/>
          <w:lang w:val="en-GB"/>
        </w:rPr>
        <w:t>below).</w:t>
      </w:r>
      <w:bookmarkStart w:id="26" w:name="_Ref415050667"/>
    </w:p>
    <w:p w14:paraId="3DBBC716" w14:textId="2740F0A2" w:rsidR="00863F51" w:rsidRPr="00AE2D6F" w:rsidRDefault="00474895" w:rsidP="000D7936">
      <w:pPr>
        <w:pStyle w:val="Caption"/>
        <w:spacing w:after="120"/>
        <w:jc w:val="left"/>
        <w:rPr>
          <w:rFonts w:asciiTheme="majorHAnsi" w:hAnsiTheme="majorHAnsi"/>
          <w:b w:val="0"/>
        </w:rPr>
      </w:pPr>
      <w:bookmarkStart w:id="27" w:name="_Ref18592287"/>
      <w:bookmarkEnd w:id="26"/>
      <w:r w:rsidRPr="00AE2D6F">
        <w:t xml:space="preserve">Table </w:t>
      </w:r>
      <w:r w:rsidR="00345186">
        <w:fldChar w:fldCharType="begin"/>
      </w:r>
      <w:r w:rsidR="00345186">
        <w:instrText xml:space="preserve"> SEQ Table \* ARABIC </w:instrText>
      </w:r>
      <w:r w:rsidR="00345186">
        <w:fldChar w:fldCharType="separate"/>
      </w:r>
      <w:r w:rsidR="00345186">
        <w:rPr>
          <w:noProof/>
        </w:rPr>
        <w:t>20</w:t>
      </w:r>
      <w:r w:rsidR="00345186">
        <w:fldChar w:fldCharType="end"/>
      </w:r>
      <w:bookmarkEnd w:id="27"/>
      <w:r w:rsidRPr="00AE2D6F">
        <w:t xml:space="preserve">: </w:t>
      </w:r>
      <w:r w:rsidR="00863F51" w:rsidRPr="00AE2D6F">
        <w:rPr>
          <w:rFonts w:asciiTheme="majorHAnsi" w:hAnsiTheme="majorHAnsi"/>
        </w:rPr>
        <w:t xml:space="preserve">Efficacy Outcomes in Paediatric PNH Study </w:t>
      </w:r>
      <w:r w:rsidR="00863F51" w:rsidRPr="00AE2D6F">
        <w:rPr>
          <w:rFonts w:asciiTheme="majorHAnsi" w:hAnsiTheme="majorHAnsi"/>
          <w:i/>
        </w:rPr>
        <w:t>M07-005</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02"/>
        <w:gridCol w:w="2520"/>
        <w:gridCol w:w="1530"/>
      </w:tblGrid>
      <w:tr w:rsidR="000664A0" w:rsidRPr="00AE2D6F" w14:paraId="75BE1263" w14:textId="77777777" w:rsidTr="000664A0">
        <w:trPr>
          <w:tblHeader/>
        </w:trPr>
        <w:tc>
          <w:tcPr>
            <w:tcW w:w="3066" w:type="dxa"/>
          </w:tcPr>
          <w:p w14:paraId="67D15D7F" w14:textId="77777777" w:rsidR="00863F51" w:rsidRPr="00AE2D6F" w:rsidRDefault="00863F51" w:rsidP="006C5055">
            <w:pPr>
              <w:autoSpaceDE w:val="0"/>
              <w:autoSpaceDN w:val="0"/>
              <w:adjustRightInd w:val="0"/>
              <w:jc w:val="both"/>
              <w:rPr>
                <w:rFonts w:asciiTheme="majorHAnsi" w:hAnsiTheme="majorHAnsi" w:cs="Times New Roman"/>
                <w:sz w:val="22"/>
              </w:rPr>
            </w:pPr>
          </w:p>
        </w:tc>
        <w:tc>
          <w:tcPr>
            <w:tcW w:w="1902" w:type="dxa"/>
            <w:vAlign w:val="center"/>
          </w:tcPr>
          <w:p w14:paraId="65FCCE6A" w14:textId="77777777" w:rsidR="00863F51" w:rsidRPr="00AE2D6F" w:rsidRDefault="00863F51" w:rsidP="006C5055">
            <w:pPr>
              <w:autoSpaceDE w:val="0"/>
              <w:autoSpaceDN w:val="0"/>
              <w:adjustRightInd w:val="0"/>
              <w:jc w:val="center"/>
              <w:rPr>
                <w:rFonts w:asciiTheme="majorHAnsi" w:hAnsiTheme="majorHAnsi" w:cs="Times New Roman"/>
                <w:b/>
                <w:sz w:val="22"/>
              </w:rPr>
            </w:pPr>
          </w:p>
        </w:tc>
        <w:tc>
          <w:tcPr>
            <w:tcW w:w="2520" w:type="dxa"/>
            <w:vAlign w:val="center"/>
          </w:tcPr>
          <w:p w14:paraId="2E87AD53"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b/>
                <w:sz w:val="22"/>
              </w:rPr>
              <w:t>P – Value</w:t>
            </w:r>
          </w:p>
        </w:tc>
        <w:tc>
          <w:tcPr>
            <w:tcW w:w="1530" w:type="dxa"/>
            <w:vAlign w:val="center"/>
          </w:tcPr>
          <w:p w14:paraId="26110373" w14:textId="77777777" w:rsidR="00863F51" w:rsidRPr="00AE2D6F" w:rsidRDefault="00863F51" w:rsidP="006C5055">
            <w:pPr>
              <w:autoSpaceDE w:val="0"/>
              <w:autoSpaceDN w:val="0"/>
              <w:adjustRightInd w:val="0"/>
              <w:jc w:val="center"/>
              <w:rPr>
                <w:rFonts w:asciiTheme="majorHAnsi" w:hAnsiTheme="majorHAnsi" w:cs="Times New Roman"/>
                <w:b/>
                <w:sz w:val="22"/>
              </w:rPr>
            </w:pPr>
          </w:p>
        </w:tc>
      </w:tr>
      <w:tr w:rsidR="000664A0" w:rsidRPr="00AE2D6F" w14:paraId="7CC3D205" w14:textId="77777777" w:rsidTr="000664A0">
        <w:trPr>
          <w:tblHeader/>
        </w:trPr>
        <w:tc>
          <w:tcPr>
            <w:tcW w:w="3066" w:type="dxa"/>
          </w:tcPr>
          <w:p w14:paraId="17D46856" w14:textId="77777777" w:rsidR="00863F51" w:rsidRPr="00AE2D6F" w:rsidRDefault="00863F51" w:rsidP="006C5055">
            <w:pPr>
              <w:autoSpaceDE w:val="0"/>
              <w:autoSpaceDN w:val="0"/>
              <w:adjustRightInd w:val="0"/>
              <w:jc w:val="both"/>
              <w:rPr>
                <w:rFonts w:asciiTheme="majorHAnsi" w:hAnsiTheme="majorHAnsi" w:cs="Times New Roman"/>
                <w:sz w:val="22"/>
              </w:rPr>
            </w:pPr>
          </w:p>
        </w:tc>
        <w:tc>
          <w:tcPr>
            <w:tcW w:w="1902" w:type="dxa"/>
          </w:tcPr>
          <w:p w14:paraId="4AB37532" w14:textId="77777777" w:rsidR="00863F51" w:rsidRPr="00AE2D6F" w:rsidRDefault="00863F51" w:rsidP="006C5055">
            <w:pPr>
              <w:autoSpaceDE w:val="0"/>
              <w:autoSpaceDN w:val="0"/>
              <w:adjustRightInd w:val="0"/>
              <w:jc w:val="center"/>
              <w:rPr>
                <w:rFonts w:asciiTheme="majorHAnsi" w:hAnsiTheme="majorHAnsi" w:cs="Times New Roman"/>
                <w:b/>
                <w:sz w:val="22"/>
              </w:rPr>
            </w:pPr>
            <w:r w:rsidRPr="00AE2D6F">
              <w:rPr>
                <w:rFonts w:asciiTheme="majorHAnsi" w:hAnsiTheme="majorHAnsi" w:cs="Times New Roman"/>
                <w:b/>
                <w:sz w:val="22"/>
              </w:rPr>
              <w:t>Mean (SD)</w:t>
            </w:r>
          </w:p>
        </w:tc>
        <w:tc>
          <w:tcPr>
            <w:tcW w:w="2520" w:type="dxa"/>
            <w:vAlign w:val="center"/>
          </w:tcPr>
          <w:p w14:paraId="61A3E3B7" w14:textId="77777777" w:rsidR="00863F51" w:rsidRPr="00AE2D6F" w:rsidRDefault="00863F51" w:rsidP="006C5055">
            <w:pPr>
              <w:autoSpaceDE w:val="0"/>
              <w:autoSpaceDN w:val="0"/>
              <w:adjustRightInd w:val="0"/>
              <w:jc w:val="center"/>
              <w:rPr>
                <w:rFonts w:asciiTheme="majorHAnsi" w:hAnsiTheme="majorHAnsi" w:cs="Times New Roman"/>
                <w:b/>
                <w:sz w:val="22"/>
              </w:rPr>
            </w:pPr>
            <w:r w:rsidRPr="00AE2D6F">
              <w:rPr>
                <w:rFonts w:asciiTheme="majorHAnsi" w:hAnsiTheme="majorHAnsi" w:cs="Times New Roman"/>
                <w:b/>
                <w:sz w:val="22"/>
              </w:rPr>
              <w:t>Wilcoxon Signed Rank</w:t>
            </w:r>
          </w:p>
        </w:tc>
        <w:tc>
          <w:tcPr>
            <w:tcW w:w="1530" w:type="dxa"/>
            <w:vAlign w:val="center"/>
          </w:tcPr>
          <w:p w14:paraId="6763DA8A" w14:textId="77777777" w:rsidR="00863F51" w:rsidRPr="00AE2D6F" w:rsidRDefault="00863F51" w:rsidP="006C5055">
            <w:pPr>
              <w:autoSpaceDE w:val="0"/>
              <w:autoSpaceDN w:val="0"/>
              <w:adjustRightInd w:val="0"/>
              <w:jc w:val="center"/>
              <w:rPr>
                <w:rFonts w:asciiTheme="majorHAnsi" w:hAnsiTheme="majorHAnsi" w:cs="Times New Roman"/>
                <w:b/>
                <w:sz w:val="22"/>
              </w:rPr>
            </w:pPr>
            <w:r w:rsidRPr="00AE2D6F">
              <w:rPr>
                <w:rFonts w:asciiTheme="majorHAnsi" w:hAnsiTheme="majorHAnsi" w:cs="Times New Roman"/>
                <w:b/>
                <w:sz w:val="22"/>
              </w:rPr>
              <w:t>Paired t-test</w:t>
            </w:r>
          </w:p>
        </w:tc>
      </w:tr>
      <w:tr w:rsidR="000664A0" w:rsidRPr="00AE2D6F" w14:paraId="752C9B95" w14:textId="77777777" w:rsidTr="000664A0">
        <w:tc>
          <w:tcPr>
            <w:tcW w:w="3066" w:type="dxa"/>
            <w:vAlign w:val="center"/>
          </w:tcPr>
          <w:p w14:paraId="7F5D0D9D"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Change from baseline at 12 weeks of LDH Value (U/L)</w:t>
            </w:r>
          </w:p>
        </w:tc>
        <w:tc>
          <w:tcPr>
            <w:tcW w:w="1902" w:type="dxa"/>
          </w:tcPr>
          <w:p w14:paraId="2FE02D5B"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-771 (914)</w:t>
            </w:r>
          </w:p>
        </w:tc>
        <w:tc>
          <w:tcPr>
            <w:tcW w:w="2520" w:type="dxa"/>
          </w:tcPr>
          <w:p w14:paraId="4638D67F"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0.0156</w:t>
            </w:r>
          </w:p>
        </w:tc>
        <w:tc>
          <w:tcPr>
            <w:tcW w:w="1530" w:type="dxa"/>
          </w:tcPr>
          <w:p w14:paraId="0D89A932"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0.0336</w:t>
            </w:r>
          </w:p>
        </w:tc>
      </w:tr>
      <w:tr w:rsidR="000664A0" w:rsidRPr="00AE2D6F" w14:paraId="48191AA8" w14:textId="77777777" w:rsidTr="000664A0">
        <w:tc>
          <w:tcPr>
            <w:tcW w:w="3066" w:type="dxa"/>
            <w:vAlign w:val="center"/>
          </w:tcPr>
          <w:p w14:paraId="4B599AB7" w14:textId="77777777" w:rsidR="00863F51" w:rsidRPr="00AE2D6F" w:rsidRDefault="00863F51" w:rsidP="006C5055">
            <w:pPr>
              <w:autoSpaceDE w:val="0"/>
              <w:autoSpaceDN w:val="0"/>
              <w:adjustRightInd w:val="0"/>
              <w:rPr>
                <w:rFonts w:asciiTheme="majorHAnsi" w:hAnsiTheme="majorHAnsi" w:cs="Times New Roman"/>
                <w:sz w:val="22"/>
                <w:lang w:val="nl-BE"/>
              </w:rPr>
            </w:pPr>
            <w:r w:rsidRPr="00AE2D6F">
              <w:rPr>
                <w:rFonts w:asciiTheme="majorHAnsi" w:hAnsiTheme="majorHAnsi" w:cs="Times New Roman"/>
                <w:sz w:val="22"/>
                <w:lang w:val="nl-BE"/>
              </w:rPr>
              <w:t>LDH AUC</w:t>
            </w:r>
            <w:r w:rsidRPr="00AE2D6F">
              <w:rPr>
                <w:rFonts w:asciiTheme="majorHAnsi" w:hAnsiTheme="majorHAnsi" w:cs="Times New Roman"/>
                <w:sz w:val="22"/>
                <w:lang w:val="nl-BE"/>
              </w:rPr>
              <w:br/>
              <w:t>(U/L x Day)</w:t>
            </w:r>
          </w:p>
        </w:tc>
        <w:tc>
          <w:tcPr>
            <w:tcW w:w="1902" w:type="dxa"/>
            <w:vAlign w:val="center"/>
          </w:tcPr>
          <w:p w14:paraId="4791346C"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-60,634 (72,916)</w:t>
            </w:r>
          </w:p>
        </w:tc>
        <w:tc>
          <w:tcPr>
            <w:tcW w:w="2520" w:type="dxa"/>
          </w:tcPr>
          <w:p w14:paraId="2894FA30" w14:textId="77777777" w:rsidR="00863F51" w:rsidRPr="00AE2D6F" w:rsidRDefault="00863F51" w:rsidP="006C5055">
            <w:pPr>
              <w:jc w:val="center"/>
              <w:rPr>
                <w:rFonts w:asciiTheme="majorHAnsi" w:hAnsiTheme="majorHAnsi" w:cs="Times New Roman"/>
                <w:sz w:val="22"/>
              </w:rPr>
            </w:pPr>
            <w:r w:rsidRPr="00AE2D6F">
              <w:rPr>
                <w:rFonts w:asciiTheme="majorHAnsi" w:hAnsiTheme="majorHAnsi" w:cs="Times New Roman"/>
                <w:sz w:val="22"/>
              </w:rPr>
              <w:t>0.0156</w:t>
            </w:r>
          </w:p>
        </w:tc>
        <w:tc>
          <w:tcPr>
            <w:tcW w:w="1530" w:type="dxa"/>
          </w:tcPr>
          <w:p w14:paraId="764ECCF0"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0.0350</w:t>
            </w:r>
          </w:p>
        </w:tc>
      </w:tr>
      <w:tr w:rsidR="000664A0" w:rsidRPr="00AE2D6F" w14:paraId="0787B283" w14:textId="77777777" w:rsidTr="000664A0">
        <w:tc>
          <w:tcPr>
            <w:tcW w:w="3066" w:type="dxa"/>
            <w:vAlign w:val="center"/>
          </w:tcPr>
          <w:p w14:paraId="06208876"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Change from baseline at 12 weeks in Plasma Free Haemoglobin (mg/dL)</w:t>
            </w:r>
          </w:p>
        </w:tc>
        <w:tc>
          <w:tcPr>
            <w:tcW w:w="1902" w:type="dxa"/>
            <w:vAlign w:val="center"/>
          </w:tcPr>
          <w:p w14:paraId="291FB9C9"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-10.3 (21.13)</w:t>
            </w:r>
          </w:p>
        </w:tc>
        <w:tc>
          <w:tcPr>
            <w:tcW w:w="2520" w:type="dxa"/>
            <w:vAlign w:val="center"/>
          </w:tcPr>
          <w:p w14:paraId="41272039" w14:textId="77777777" w:rsidR="00863F51" w:rsidRPr="00AE2D6F" w:rsidRDefault="00863F51" w:rsidP="006C5055">
            <w:pPr>
              <w:jc w:val="center"/>
              <w:rPr>
                <w:rFonts w:asciiTheme="majorHAnsi" w:hAnsiTheme="majorHAnsi" w:cs="Times New Roman"/>
                <w:sz w:val="22"/>
              </w:rPr>
            </w:pPr>
            <w:r w:rsidRPr="00AE2D6F">
              <w:rPr>
                <w:rFonts w:asciiTheme="majorHAnsi" w:hAnsiTheme="majorHAnsi" w:cs="Times New Roman"/>
                <w:sz w:val="22"/>
              </w:rPr>
              <w:t>0.2188</w:t>
            </w:r>
          </w:p>
        </w:tc>
        <w:tc>
          <w:tcPr>
            <w:tcW w:w="1530" w:type="dxa"/>
            <w:vAlign w:val="center"/>
          </w:tcPr>
          <w:p w14:paraId="150BFA22"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0.1232</w:t>
            </w:r>
          </w:p>
        </w:tc>
      </w:tr>
      <w:tr w:rsidR="000664A0" w:rsidRPr="00AE2D6F" w14:paraId="046F4E58" w14:textId="77777777" w:rsidTr="000664A0">
        <w:tc>
          <w:tcPr>
            <w:tcW w:w="3066" w:type="dxa"/>
            <w:vAlign w:val="center"/>
          </w:tcPr>
          <w:p w14:paraId="7BD7FBFD"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Change from baseline Type III RBC clone size (Percent of aberrant cells)</w:t>
            </w:r>
          </w:p>
        </w:tc>
        <w:tc>
          <w:tcPr>
            <w:tcW w:w="1902" w:type="dxa"/>
            <w:vAlign w:val="center"/>
          </w:tcPr>
          <w:p w14:paraId="27EB2627"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1.80 (358.1)</w:t>
            </w:r>
          </w:p>
        </w:tc>
        <w:tc>
          <w:tcPr>
            <w:tcW w:w="2520" w:type="dxa"/>
            <w:vAlign w:val="center"/>
          </w:tcPr>
          <w:p w14:paraId="032368C9" w14:textId="77777777" w:rsidR="00863F51" w:rsidRPr="00AE2D6F" w:rsidRDefault="00863F51" w:rsidP="006C5055">
            <w:pPr>
              <w:autoSpaceDE w:val="0"/>
              <w:autoSpaceDN w:val="0"/>
              <w:adjustRightInd w:val="0"/>
              <w:jc w:val="center"/>
              <w:rPr>
                <w:rFonts w:asciiTheme="majorHAnsi" w:hAnsiTheme="majorHAnsi" w:cs="Times New Roman"/>
                <w:sz w:val="22"/>
              </w:rPr>
            </w:pPr>
          </w:p>
        </w:tc>
        <w:tc>
          <w:tcPr>
            <w:tcW w:w="1530" w:type="dxa"/>
            <w:vAlign w:val="center"/>
          </w:tcPr>
          <w:p w14:paraId="0077867E" w14:textId="77777777" w:rsidR="00863F51" w:rsidRPr="00AE2D6F" w:rsidRDefault="00863F51" w:rsidP="006C5055">
            <w:pPr>
              <w:autoSpaceDE w:val="0"/>
              <w:autoSpaceDN w:val="0"/>
              <w:adjustRightInd w:val="0"/>
              <w:jc w:val="center"/>
              <w:rPr>
                <w:rFonts w:asciiTheme="majorHAnsi" w:hAnsiTheme="majorHAnsi" w:cs="Times New Roman"/>
                <w:sz w:val="22"/>
              </w:rPr>
            </w:pPr>
          </w:p>
        </w:tc>
      </w:tr>
      <w:tr w:rsidR="000664A0" w:rsidRPr="00AE2D6F" w14:paraId="0A5B6698" w14:textId="77777777" w:rsidTr="000664A0">
        <w:tc>
          <w:tcPr>
            <w:tcW w:w="3066" w:type="dxa"/>
            <w:vAlign w:val="center"/>
          </w:tcPr>
          <w:p w14:paraId="3D1D43C7"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Change from baseline at 12 weeks of PedsQL</w:t>
            </w:r>
            <w:r w:rsidRPr="00AE2D6F">
              <w:rPr>
                <w:rFonts w:asciiTheme="majorHAnsi" w:hAnsiTheme="majorHAnsi" w:cs="Times New Roman"/>
                <w:sz w:val="22"/>
                <w:vertAlign w:val="superscript"/>
              </w:rPr>
              <w:t>TM</w:t>
            </w:r>
            <w:r w:rsidRPr="00AE2D6F">
              <w:rPr>
                <w:rFonts w:asciiTheme="majorHAnsi" w:hAnsiTheme="majorHAnsi" w:cs="Times New Roman"/>
                <w:sz w:val="22"/>
              </w:rPr>
              <w:t>4.0 Generic Core scale (children)</w:t>
            </w:r>
          </w:p>
        </w:tc>
        <w:tc>
          <w:tcPr>
            <w:tcW w:w="1902" w:type="dxa"/>
            <w:vAlign w:val="center"/>
          </w:tcPr>
          <w:p w14:paraId="26BE10C1"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10.5 (6.66)</w:t>
            </w:r>
          </w:p>
        </w:tc>
        <w:tc>
          <w:tcPr>
            <w:tcW w:w="2520" w:type="dxa"/>
            <w:vAlign w:val="center"/>
          </w:tcPr>
          <w:p w14:paraId="64957189"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0.1250</w:t>
            </w:r>
          </w:p>
        </w:tc>
        <w:tc>
          <w:tcPr>
            <w:tcW w:w="1530" w:type="dxa"/>
            <w:vAlign w:val="center"/>
          </w:tcPr>
          <w:p w14:paraId="5431822A"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0.0256</w:t>
            </w:r>
          </w:p>
        </w:tc>
      </w:tr>
      <w:tr w:rsidR="000664A0" w:rsidRPr="00AE2D6F" w14:paraId="4002C78E" w14:textId="77777777" w:rsidTr="000664A0">
        <w:tc>
          <w:tcPr>
            <w:tcW w:w="3066" w:type="dxa"/>
            <w:vAlign w:val="center"/>
          </w:tcPr>
          <w:p w14:paraId="6F7B86D2"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Change from baseline at 12 weeks of PedsQL</w:t>
            </w:r>
            <w:r w:rsidRPr="00AE2D6F">
              <w:rPr>
                <w:rFonts w:asciiTheme="majorHAnsi" w:hAnsiTheme="majorHAnsi" w:cs="Times New Roman"/>
                <w:sz w:val="22"/>
                <w:vertAlign w:val="superscript"/>
              </w:rPr>
              <w:t>TM</w:t>
            </w:r>
            <w:r w:rsidRPr="00AE2D6F">
              <w:rPr>
                <w:rFonts w:asciiTheme="majorHAnsi" w:hAnsiTheme="majorHAnsi" w:cs="Times New Roman"/>
                <w:sz w:val="22"/>
              </w:rPr>
              <w:t>4.0 Generic Core scale (parents)</w:t>
            </w:r>
          </w:p>
        </w:tc>
        <w:tc>
          <w:tcPr>
            <w:tcW w:w="1902" w:type="dxa"/>
            <w:vAlign w:val="center"/>
          </w:tcPr>
          <w:p w14:paraId="70F00991"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11.3 (8.5)</w:t>
            </w:r>
          </w:p>
        </w:tc>
        <w:tc>
          <w:tcPr>
            <w:tcW w:w="2520" w:type="dxa"/>
            <w:vAlign w:val="center"/>
          </w:tcPr>
          <w:p w14:paraId="43ABF371"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0.2500</w:t>
            </w:r>
          </w:p>
        </w:tc>
        <w:tc>
          <w:tcPr>
            <w:tcW w:w="1530" w:type="dxa"/>
            <w:vAlign w:val="center"/>
          </w:tcPr>
          <w:p w14:paraId="36A701F4"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0.0737</w:t>
            </w:r>
          </w:p>
        </w:tc>
      </w:tr>
      <w:tr w:rsidR="000664A0" w:rsidRPr="00AE2D6F" w14:paraId="436D38C8" w14:textId="77777777" w:rsidTr="000664A0">
        <w:tc>
          <w:tcPr>
            <w:tcW w:w="3066" w:type="dxa"/>
            <w:vAlign w:val="center"/>
          </w:tcPr>
          <w:p w14:paraId="45AE6B3A"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 xml:space="preserve">Change from baseline at 12 weeks of </w:t>
            </w:r>
            <w:proofErr w:type="spellStart"/>
            <w:r w:rsidRPr="00AE2D6F">
              <w:rPr>
                <w:rFonts w:asciiTheme="majorHAnsi" w:hAnsiTheme="majorHAnsi" w:cs="Times New Roman"/>
                <w:sz w:val="22"/>
              </w:rPr>
              <w:t>PedsQL</w:t>
            </w:r>
            <w:r w:rsidRPr="00AE2D6F">
              <w:rPr>
                <w:rFonts w:asciiTheme="majorHAnsi" w:hAnsiTheme="majorHAnsi" w:cs="Times New Roman"/>
                <w:sz w:val="22"/>
                <w:vertAlign w:val="superscript"/>
              </w:rPr>
              <w:t>TM</w:t>
            </w:r>
            <w:proofErr w:type="spellEnd"/>
            <w:r w:rsidRPr="00AE2D6F">
              <w:rPr>
                <w:rFonts w:asciiTheme="majorHAnsi" w:hAnsiTheme="majorHAnsi" w:cs="Times New Roman"/>
                <w:sz w:val="22"/>
              </w:rPr>
              <w:t xml:space="preserve"> Multidimensional Fatigue (children)</w:t>
            </w:r>
          </w:p>
        </w:tc>
        <w:tc>
          <w:tcPr>
            <w:tcW w:w="1902" w:type="dxa"/>
            <w:vAlign w:val="center"/>
          </w:tcPr>
          <w:p w14:paraId="4F546557"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0.8 (21.39)</w:t>
            </w:r>
          </w:p>
        </w:tc>
        <w:tc>
          <w:tcPr>
            <w:tcW w:w="2520" w:type="dxa"/>
            <w:vAlign w:val="center"/>
          </w:tcPr>
          <w:p w14:paraId="73C08934"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0.6250</w:t>
            </w:r>
          </w:p>
        </w:tc>
        <w:tc>
          <w:tcPr>
            <w:tcW w:w="1530" w:type="dxa"/>
            <w:vAlign w:val="center"/>
          </w:tcPr>
          <w:p w14:paraId="3C5C7E7C"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0.4687</w:t>
            </w:r>
          </w:p>
        </w:tc>
      </w:tr>
      <w:tr w:rsidR="000664A0" w:rsidRPr="00AE2D6F" w14:paraId="465C364B" w14:textId="77777777" w:rsidTr="000664A0">
        <w:tc>
          <w:tcPr>
            <w:tcW w:w="3066" w:type="dxa"/>
            <w:vAlign w:val="center"/>
          </w:tcPr>
          <w:p w14:paraId="50283369" w14:textId="77777777" w:rsidR="00863F51" w:rsidRPr="00AE2D6F" w:rsidRDefault="00863F51" w:rsidP="006C5055">
            <w:pPr>
              <w:autoSpaceDE w:val="0"/>
              <w:autoSpaceDN w:val="0"/>
              <w:adjustRightInd w:val="0"/>
              <w:rPr>
                <w:rFonts w:asciiTheme="majorHAnsi" w:hAnsiTheme="majorHAnsi" w:cs="Times New Roman"/>
                <w:sz w:val="22"/>
              </w:rPr>
            </w:pPr>
            <w:r w:rsidRPr="00AE2D6F">
              <w:rPr>
                <w:rFonts w:asciiTheme="majorHAnsi" w:hAnsiTheme="majorHAnsi" w:cs="Times New Roman"/>
                <w:sz w:val="22"/>
              </w:rPr>
              <w:t xml:space="preserve">Change from baseline at 12 weeks of </w:t>
            </w:r>
            <w:proofErr w:type="spellStart"/>
            <w:r w:rsidRPr="00AE2D6F">
              <w:rPr>
                <w:rFonts w:asciiTheme="majorHAnsi" w:hAnsiTheme="majorHAnsi" w:cs="Times New Roman"/>
                <w:sz w:val="22"/>
              </w:rPr>
              <w:t>PedsQL</w:t>
            </w:r>
            <w:r w:rsidRPr="00AE2D6F">
              <w:rPr>
                <w:rFonts w:asciiTheme="majorHAnsi" w:hAnsiTheme="majorHAnsi" w:cs="Times New Roman"/>
                <w:sz w:val="22"/>
                <w:vertAlign w:val="superscript"/>
              </w:rPr>
              <w:t>TM</w:t>
            </w:r>
            <w:proofErr w:type="spellEnd"/>
            <w:r w:rsidRPr="00AE2D6F">
              <w:rPr>
                <w:rFonts w:asciiTheme="majorHAnsi" w:hAnsiTheme="majorHAnsi" w:cs="Times New Roman"/>
                <w:sz w:val="22"/>
              </w:rPr>
              <w:t xml:space="preserve"> Multidimensional Fatigue (parents)</w:t>
            </w:r>
          </w:p>
        </w:tc>
        <w:tc>
          <w:tcPr>
            <w:tcW w:w="1902" w:type="dxa"/>
            <w:vAlign w:val="center"/>
          </w:tcPr>
          <w:p w14:paraId="31492C6C"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5.5 (0.71)</w:t>
            </w:r>
          </w:p>
        </w:tc>
        <w:tc>
          <w:tcPr>
            <w:tcW w:w="2520" w:type="dxa"/>
            <w:vAlign w:val="center"/>
          </w:tcPr>
          <w:p w14:paraId="5F39E693"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0.5000</w:t>
            </w:r>
          </w:p>
        </w:tc>
        <w:tc>
          <w:tcPr>
            <w:tcW w:w="1530" w:type="dxa"/>
            <w:vAlign w:val="center"/>
          </w:tcPr>
          <w:p w14:paraId="4B4F9036" w14:textId="77777777" w:rsidR="00863F51" w:rsidRPr="00AE2D6F" w:rsidRDefault="00863F51" w:rsidP="006C5055">
            <w:pPr>
              <w:autoSpaceDE w:val="0"/>
              <w:autoSpaceDN w:val="0"/>
              <w:adjustRightInd w:val="0"/>
              <w:jc w:val="center"/>
              <w:rPr>
                <w:rFonts w:asciiTheme="majorHAnsi" w:hAnsiTheme="majorHAnsi" w:cs="Times New Roman"/>
                <w:sz w:val="22"/>
              </w:rPr>
            </w:pPr>
            <w:r w:rsidRPr="00AE2D6F">
              <w:rPr>
                <w:rFonts w:asciiTheme="majorHAnsi" w:hAnsiTheme="majorHAnsi" w:cs="Times New Roman"/>
                <w:sz w:val="22"/>
              </w:rPr>
              <w:t>0.0289</w:t>
            </w:r>
          </w:p>
        </w:tc>
      </w:tr>
    </w:tbl>
    <w:p w14:paraId="5A9BAA72" w14:textId="77777777" w:rsidR="00863F51" w:rsidRPr="00AE2D6F" w:rsidRDefault="00863F51" w:rsidP="001B4216">
      <w:pPr>
        <w:keepNext/>
        <w:spacing w:before="200" w:after="120"/>
        <w:rPr>
          <w:rFonts w:asciiTheme="majorHAnsi" w:hAnsiTheme="majorHAnsi" w:cs="Times New Roman"/>
          <w:szCs w:val="24"/>
          <w:u w:val="single"/>
        </w:rPr>
      </w:pPr>
      <w:r w:rsidRPr="00AE2D6F">
        <w:rPr>
          <w:rFonts w:asciiTheme="majorHAnsi" w:hAnsiTheme="majorHAnsi" w:cs="Times New Roman"/>
          <w:szCs w:val="24"/>
          <w:u w:val="single"/>
        </w:rPr>
        <w:lastRenderedPageBreak/>
        <w:t>Atypical Haemolytic Uraemic Syndrome</w:t>
      </w:r>
    </w:p>
    <w:p w14:paraId="20E6B108" w14:textId="77777777" w:rsidR="00863F51" w:rsidRPr="00AE2D6F" w:rsidRDefault="00863F51" w:rsidP="00863F51">
      <w:pPr>
        <w:keepNext/>
        <w:tabs>
          <w:tab w:val="left" w:pos="567"/>
        </w:tabs>
        <w:rPr>
          <w:rFonts w:asciiTheme="majorHAnsi" w:hAnsiTheme="majorHAnsi" w:cs="Times New Roman"/>
          <w:i/>
          <w:szCs w:val="24"/>
        </w:rPr>
      </w:pPr>
      <w:r w:rsidRPr="00AE2D6F">
        <w:rPr>
          <w:rFonts w:asciiTheme="majorHAnsi" w:hAnsiTheme="majorHAnsi" w:cs="Times New Roman"/>
          <w:i/>
          <w:szCs w:val="24"/>
        </w:rPr>
        <w:t>C09-001r</w:t>
      </w:r>
    </w:p>
    <w:p w14:paraId="4D223CAC" w14:textId="6EF8E1D5" w:rsidR="00863F51" w:rsidRPr="00AE2D6F" w:rsidRDefault="00863F51" w:rsidP="00863F51">
      <w:pPr>
        <w:rPr>
          <w:rFonts w:asciiTheme="majorHAnsi" w:hAnsiTheme="majorHAnsi" w:cs="Times New Roman"/>
          <w:szCs w:val="24"/>
          <w:lang w:val="en-US"/>
        </w:rPr>
      </w:pPr>
      <w:r w:rsidRPr="00AE2D6F">
        <w:rPr>
          <w:rFonts w:asciiTheme="majorHAnsi" w:hAnsiTheme="majorHAnsi" w:cs="Times New Roman"/>
          <w:szCs w:val="24"/>
          <w:lang w:val="en-US"/>
        </w:rPr>
        <w:t xml:space="preserve">A total of 15 </w:t>
      </w:r>
      <w:proofErr w:type="spellStart"/>
      <w:r w:rsidRPr="00AE2D6F">
        <w:rPr>
          <w:rFonts w:asciiTheme="majorHAnsi" w:hAnsiTheme="majorHAnsi" w:cs="Times New Roman"/>
          <w:szCs w:val="24"/>
          <w:lang w:val="en-US"/>
        </w:rPr>
        <w:t>paediatric</w:t>
      </w:r>
      <w:proofErr w:type="spellEnd"/>
      <w:r w:rsidRPr="00AE2D6F">
        <w:rPr>
          <w:rFonts w:asciiTheme="majorHAnsi" w:hAnsiTheme="majorHAnsi" w:cs="Times New Roman"/>
          <w:szCs w:val="24"/>
          <w:lang w:val="en-US"/>
        </w:rPr>
        <w:t xml:space="preserve"> patients (aged 2 months to 12 years) received </w:t>
      </w:r>
      <w:r w:rsidR="00B249B7" w:rsidRPr="00AE2D6F">
        <w:rPr>
          <w:rFonts w:asciiTheme="majorHAnsi" w:hAnsiTheme="majorHAnsi" w:cs="Times New Roman"/>
          <w:szCs w:val="24"/>
        </w:rPr>
        <w:t>Soliris</w:t>
      </w:r>
      <w:r w:rsidRPr="00AE2D6F">
        <w:rPr>
          <w:rFonts w:asciiTheme="majorHAnsi" w:hAnsiTheme="majorHAnsi" w:cs="Times New Roman"/>
          <w:szCs w:val="24"/>
          <w:lang w:val="en-US"/>
        </w:rPr>
        <w:t xml:space="preserve"> in aHUS </w:t>
      </w:r>
      <w:r w:rsidRPr="00AE2D6F">
        <w:rPr>
          <w:rFonts w:asciiTheme="majorHAnsi" w:hAnsiTheme="majorHAnsi" w:cs="Times New Roman"/>
          <w:i/>
          <w:szCs w:val="24"/>
          <w:lang w:val="en-US"/>
        </w:rPr>
        <w:t>Study C09-001r</w:t>
      </w:r>
      <w:r w:rsidRPr="00AE2D6F">
        <w:rPr>
          <w:rFonts w:asciiTheme="majorHAnsi" w:hAnsiTheme="majorHAnsi" w:cs="Times New Roman"/>
          <w:szCs w:val="24"/>
          <w:lang w:val="en-US"/>
        </w:rPr>
        <w:t xml:space="preserve">. Forty seven percent of patients had an identified complement regulatory factor mutation or auto-antibody. The median time from aHUS diagnosis to first dose of </w:t>
      </w:r>
      <w:r w:rsidR="00B249B7" w:rsidRPr="00AE2D6F">
        <w:rPr>
          <w:rFonts w:asciiTheme="majorHAnsi" w:hAnsiTheme="majorHAnsi" w:cs="Times New Roman"/>
          <w:szCs w:val="24"/>
        </w:rPr>
        <w:t>Soliris</w:t>
      </w:r>
      <w:r w:rsidRPr="00AE2D6F">
        <w:rPr>
          <w:rFonts w:asciiTheme="majorHAnsi" w:hAnsiTheme="majorHAnsi" w:cs="Times New Roman"/>
          <w:szCs w:val="24"/>
          <w:lang w:val="en-US"/>
        </w:rPr>
        <w:t xml:space="preserve"> was 14 months (range &lt;</w:t>
      </w:r>
      <w:r w:rsidR="00A05497">
        <w:rPr>
          <w:rFonts w:asciiTheme="majorHAnsi" w:hAnsiTheme="majorHAnsi" w:cs="Times New Roman"/>
          <w:szCs w:val="24"/>
          <w:lang w:val="en-US"/>
        </w:rPr>
        <w:t xml:space="preserve"> </w:t>
      </w:r>
      <w:r w:rsidRPr="00AE2D6F">
        <w:rPr>
          <w:rFonts w:asciiTheme="majorHAnsi" w:hAnsiTheme="majorHAnsi" w:cs="Times New Roman"/>
          <w:szCs w:val="24"/>
          <w:lang w:val="en-US"/>
        </w:rPr>
        <w:t xml:space="preserve">1 to 110 months). The median time from current thrombotic microangiopathy manifestation to first dose of </w:t>
      </w:r>
      <w:r w:rsidR="00B249B7" w:rsidRPr="00AE2D6F">
        <w:rPr>
          <w:rFonts w:asciiTheme="majorHAnsi" w:hAnsiTheme="majorHAnsi" w:cs="Times New Roman"/>
          <w:szCs w:val="24"/>
        </w:rPr>
        <w:t>Soliris</w:t>
      </w:r>
      <w:r w:rsidR="001C3135" w:rsidRPr="00AE2D6F">
        <w:rPr>
          <w:rFonts w:asciiTheme="majorHAnsi" w:hAnsiTheme="majorHAnsi" w:cs="Times New Roman"/>
          <w:szCs w:val="24"/>
          <w:lang w:val="en-US"/>
        </w:rPr>
        <w:t xml:space="preserve"> was 1 month (range &lt;</w:t>
      </w:r>
      <w:r w:rsidRPr="00AE2D6F">
        <w:rPr>
          <w:rFonts w:asciiTheme="majorHAnsi" w:hAnsiTheme="majorHAnsi" w:cs="Times New Roman"/>
          <w:szCs w:val="24"/>
          <w:lang w:val="en-US"/>
        </w:rPr>
        <w:t xml:space="preserve">1 to 16 months). The median duration of </w:t>
      </w:r>
      <w:r w:rsidR="00B249B7" w:rsidRPr="00AE2D6F">
        <w:rPr>
          <w:rFonts w:asciiTheme="majorHAnsi" w:hAnsiTheme="majorHAnsi" w:cs="Times New Roman"/>
          <w:szCs w:val="24"/>
        </w:rPr>
        <w:t>Soliris</w:t>
      </w:r>
      <w:r w:rsidRPr="00AE2D6F">
        <w:rPr>
          <w:rFonts w:asciiTheme="majorHAnsi" w:hAnsiTheme="majorHAnsi" w:cs="Times New Roman"/>
          <w:szCs w:val="24"/>
          <w:lang w:val="en-US"/>
        </w:rPr>
        <w:t xml:space="preserve"> therapy was 16 weeks (range 4 to 70 weeks) for c</w:t>
      </w:r>
      <w:r w:rsidR="001C3135" w:rsidRPr="00AE2D6F">
        <w:rPr>
          <w:rFonts w:asciiTheme="majorHAnsi" w:hAnsiTheme="majorHAnsi" w:cs="Times New Roman"/>
          <w:szCs w:val="24"/>
          <w:lang w:val="en-US"/>
        </w:rPr>
        <w:t>hildren under 2 years of age (n</w:t>
      </w:r>
      <w:r w:rsidRPr="00AE2D6F">
        <w:rPr>
          <w:rFonts w:asciiTheme="majorHAnsi" w:hAnsiTheme="majorHAnsi" w:cs="Times New Roman"/>
          <w:szCs w:val="24"/>
          <w:lang w:val="en-US"/>
        </w:rPr>
        <w:t xml:space="preserve">=5) and 31 weeks (range 19 to 63 weeks) for children </w:t>
      </w:r>
      <w:r w:rsidR="001C3135" w:rsidRPr="00AE2D6F">
        <w:rPr>
          <w:rFonts w:asciiTheme="majorHAnsi" w:hAnsiTheme="majorHAnsi" w:cs="Times New Roman"/>
          <w:szCs w:val="24"/>
          <w:lang w:val="en-US"/>
        </w:rPr>
        <w:t>2 years to &lt; 12 years of age (n</w:t>
      </w:r>
      <w:r w:rsidRPr="00AE2D6F">
        <w:rPr>
          <w:rFonts w:asciiTheme="majorHAnsi" w:hAnsiTheme="majorHAnsi" w:cs="Times New Roman"/>
          <w:szCs w:val="24"/>
          <w:lang w:val="en-US"/>
        </w:rPr>
        <w:t>=</w:t>
      </w:r>
      <w:r w:rsidR="00A90BEE" w:rsidRPr="00AE2D6F">
        <w:rPr>
          <w:rFonts w:asciiTheme="majorHAnsi" w:hAnsiTheme="majorHAnsi" w:cs="Times New Roman"/>
          <w:szCs w:val="24"/>
          <w:lang w:val="en-US"/>
        </w:rPr>
        <w:t>10).</w:t>
      </w:r>
    </w:p>
    <w:p w14:paraId="4FD78943" w14:textId="5EB6619A" w:rsidR="00863F51" w:rsidRPr="00AE2D6F" w:rsidRDefault="00863F51" w:rsidP="000D7936">
      <w:pPr>
        <w:spacing w:before="120"/>
        <w:rPr>
          <w:rFonts w:asciiTheme="majorHAnsi" w:hAnsiTheme="majorHAnsi" w:cs="Times New Roman"/>
          <w:szCs w:val="24"/>
          <w:lang w:val="en-US"/>
        </w:rPr>
      </w:pPr>
      <w:r w:rsidRPr="00AE2D6F">
        <w:rPr>
          <w:rFonts w:asciiTheme="majorHAnsi" w:hAnsiTheme="majorHAnsi" w:cs="Times New Roman"/>
          <w:szCs w:val="24"/>
          <w:lang w:val="en-US"/>
        </w:rPr>
        <w:t xml:space="preserve">Overall, the efficacy results of these </w:t>
      </w:r>
      <w:proofErr w:type="spellStart"/>
      <w:r w:rsidRPr="00AE2D6F">
        <w:rPr>
          <w:rFonts w:asciiTheme="majorHAnsi" w:hAnsiTheme="majorHAnsi" w:cs="Times New Roman"/>
          <w:szCs w:val="24"/>
          <w:lang w:val="en-US"/>
        </w:rPr>
        <w:t>paediatric</w:t>
      </w:r>
      <w:proofErr w:type="spellEnd"/>
      <w:r w:rsidRPr="00AE2D6F">
        <w:rPr>
          <w:rFonts w:asciiTheme="majorHAnsi" w:hAnsiTheme="majorHAnsi" w:cs="Times New Roman"/>
          <w:szCs w:val="24"/>
          <w:lang w:val="en-US"/>
        </w:rPr>
        <w:t xml:space="preserve"> patients appeared consistent with what was observed in patients enrolled in </w:t>
      </w:r>
      <w:proofErr w:type="spellStart"/>
      <w:r w:rsidRPr="00AE2D6F">
        <w:rPr>
          <w:rFonts w:asciiTheme="majorHAnsi" w:hAnsiTheme="majorHAnsi" w:cs="Times New Roman"/>
          <w:szCs w:val="24"/>
          <w:lang w:val="en-US"/>
        </w:rPr>
        <w:t>aHUS</w:t>
      </w:r>
      <w:proofErr w:type="spellEnd"/>
      <w:r w:rsidRPr="00AE2D6F">
        <w:rPr>
          <w:rFonts w:asciiTheme="majorHAnsi" w:hAnsiTheme="majorHAnsi" w:cs="Times New Roman"/>
          <w:szCs w:val="24"/>
          <w:lang w:val="en-US"/>
        </w:rPr>
        <w:t xml:space="preserve"> pivotal Studies </w:t>
      </w:r>
      <w:r w:rsidRPr="00AE2D6F">
        <w:rPr>
          <w:rFonts w:asciiTheme="majorHAnsi" w:hAnsiTheme="majorHAnsi" w:cs="Times New Roman"/>
          <w:i/>
          <w:szCs w:val="24"/>
          <w:lang w:val="en-US"/>
        </w:rPr>
        <w:t>C08-002 and C08-003</w:t>
      </w:r>
      <w:r w:rsidR="003C187B" w:rsidRPr="00AE2D6F">
        <w:rPr>
          <w:rFonts w:asciiTheme="majorHAnsi" w:hAnsiTheme="majorHAnsi" w:cs="Times New Roman"/>
          <w:szCs w:val="24"/>
          <w:lang w:val="en-US"/>
        </w:rPr>
        <w:t xml:space="preserve"> (</w:t>
      </w:r>
      <w:r w:rsidR="00474895" w:rsidRPr="00AE2D6F">
        <w:rPr>
          <w:rFonts w:asciiTheme="majorHAnsi" w:hAnsiTheme="majorHAnsi" w:cs="Times New Roman"/>
          <w:szCs w:val="24"/>
          <w:lang w:val="en-US"/>
        </w:rPr>
        <w:fldChar w:fldCharType="begin"/>
      </w:r>
      <w:r w:rsidR="00474895" w:rsidRPr="00AE2D6F">
        <w:rPr>
          <w:rFonts w:asciiTheme="majorHAnsi" w:hAnsiTheme="majorHAnsi" w:cs="Times New Roman"/>
          <w:szCs w:val="24"/>
          <w:lang w:val="en-US"/>
        </w:rPr>
        <w:instrText xml:space="preserve"> REF _Ref18592346 \h </w:instrText>
      </w:r>
      <w:r w:rsidR="00474895" w:rsidRPr="00AE2D6F">
        <w:rPr>
          <w:rFonts w:asciiTheme="majorHAnsi" w:hAnsiTheme="majorHAnsi" w:cs="Times New Roman"/>
          <w:szCs w:val="24"/>
          <w:lang w:val="en-US"/>
        </w:rPr>
      </w:r>
      <w:r w:rsidR="00474895" w:rsidRPr="00AE2D6F">
        <w:rPr>
          <w:rFonts w:asciiTheme="majorHAnsi" w:hAnsiTheme="majorHAnsi" w:cs="Times New Roman"/>
          <w:szCs w:val="24"/>
          <w:lang w:val="en-US"/>
        </w:rPr>
        <w:fldChar w:fldCharType="separate"/>
      </w:r>
      <w:r w:rsidR="004E508F" w:rsidRPr="00AE2D6F">
        <w:t xml:space="preserve">Table </w:t>
      </w:r>
      <w:r w:rsidR="004E508F">
        <w:rPr>
          <w:noProof/>
        </w:rPr>
        <w:t>21</w:t>
      </w:r>
      <w:r w:rsidR="00474895" w:rsidRPr="00AE2D6F">
        <w:rPr>
          <w:rFonts w:asciiTheme="majorHAnsi" w:hAnsiTheme="majorHAnsi" w:cs="Times New Roman"/>
          <w:szCs w:val="24"/>
          <w:lang w:val="en-US"/>
        </w:rPr>
        <w:fldChar w:fldCharType="end"/>
      </w:r>
      <w:r w:rsidRPr="00AE2D6F">
        <w:rPr>
          <w:rFonts w:asciiTheme="majorHAnsi" w:hAnsiTheme="majorHAnsi" w:cs="Times New Roman"/>
          <w:szCs w:val="24"/>
          <w:lang w:val="en-US"/>
        </w:rPr>
        <w:t xml:space="preserve">).  No </w:t>
      </w:r>
      <w:proofErr w:type="spellStart"/>
      <w:r w:rsidRPr="00AE2D6F">
        <w:rPr>
          <w:rFonts w:asciiTheme="majorHAnsi" w:hAnsiTheme="majorHAnsi" w:cs="Times New Roman"/>
          <w:szCs w:val="24"/>
          <w:lang w:val="en-US"/>
        </w:rPr>
        <w:t>paediatric</w:t>
      </w:r>
      <w:proofErr w:type="spellEnd"/>
      <w:r w:rsidRPr="00AE2D6F">
        <w:rPr>
          <w:rFonts w:asciiTheme="majorHAnsi" w:hAnsiTheme="majorHAnsi" w:cs="Times New Roman"/>
          <w:szCs w:val="24"/>
          <w:lang w:val="en-US"/>
        </w:rPr>
        <w:t xml:space="preserve"> patient required new dialysis during treatment with </w:t>
      </w:r>
      <w:r w:rsidR="00B249B7" w:rsidRPr="00AE2D6F">
        <w:rPr>
          <w:rFonts w:asciiTheme="majorHAnsi" w:hAnsiTheme="majorHAnsi" w:cs="Times New Roman"/>
          <w:szCs w:val="24"/>
        </w:rPr>
        <w:t>Soliris</w:t>
      </w:r>
      <w:r w:rsidRPr="00AE2D6F">
        <w:rPr>
          <w:rFonts w:asciiTheme="majorHAnsi" w:hAnsiTheme="majorHAnsi" w:cs="Times New Roman"/>
          <w:szCs w:val="24"/>
          <w:lang w:val="en-US"/>
        </w:rPr>
        <w:t>.</w:t>
      </w:r>
    </w:p>
    <w:p w14:paraId="1AB9A5A9" w14:textId="36C2420B" w:rsidR="00863F51" w:rsidRPr="00AE2D6F" w:rsidRDefault="00474895" w:rsidP="00FA12E0">
      <w:pPr>
        <w:pStyle w:val="Caption"/>
        <w:spacing w:after="120"/>
        <w:rPr>
          <w:rFonts w:asciiTheme="majorHAnsi" w:hAnsiTheme="majorHAnsi"/>
          <w:lang w:val="en-AU"/>
        </w:rPr>
      </w:pPr>
      <w:bookmarkStart w:id="28" w:name="_Ref18592346"/>
      <w:r w:rsidRPr="00AE2D6F">
        <w:t xml:space="preserve">Table </w:t>
      </w:r>
      <w:r w:rsidR="00345186">
        <w:fldChar w:fldCharType="begin"/>
      </w:r>
      <w:r w:rsidR="00345186">
        <w:instrText xml:space="preserve"> SEQ Table \* ARABIC </w:instrText>
      </w:r>
      <w:r w:rsidR="00345186">
        <w:fldChar w:fldCharType="separate"/>
      </w:r>
      <w:r w:rsidR="00345186">
        <w:rPr>
          <w:noProof/>
        </w:rPr>
        <w:t>21</w:t>
      </w:r>
      <w:r w:rsidR="00345186">
        <w:fldChar w:fldCharType="end"/>
      </w:r>
      <w:bookmarkEnd w:id="28"/>
      <w:r w:rsidRPr="00AE2D6F">
        <w:t xml:space="preserve">: </w:t>
      </w:r>
      <w:r w:rsidR="00863F51" w:rsidRPr="00AE2D6F">
        <w:rPr>
          <w:rFonts w:asciiTheme="majorHAnsi" w:hAnsiTheme="majorHAnsi"/>
          <w:lang w:val="en-AU"/>
        </w:rPr>
        <w:t xml:space="preserve">Efficacy Results in Paediatric aHUS Study </w:t>
      </w:r>
      <w:r w:rsidR="00863F51" w:rsidRPr="00AE2D6F">
        <w:rPr>
          <w:rFonts w:asciiTheme="majorHAnsi" w:hAnsiTheme="majorHAnsi"/>
          <w:i/>
          <w:lang w:val="en-AU"/>
        </w:rPr>
        <w:t>C09-001r</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292"/>
        <w:gridCol w:w="1697"/>
        <w:gridCol w:w="1376"/>
        <w:gridCol w:w="1884"/>
      </w:tblGrid>
      <w:tr w:rsidR="00863F51" w:rsidRPr="00AE2D6F" w14:paraId="1580A68E" w14:textId="77777777" w:rsidTr="00FA12E0">
        <w:trPr>
          <w:trHeight w:val="574"/>
          <w:tblHeader/>
        </w:trPr>
        <w:tc>
          <w:tcPr>
            <w:tcW w:w="2535" w:type="dxa"/>
            <w:shd w:val="clear" w:color="auto" w:fill="auto"/>
            <w:vAlign w:val="center"/>
          </w:tcPr>
          <w:p w14:paraId="5F150176" w14:textId="77777777" w:rsidR="00863F51" w:rsidRPr="00AE2D6F" w:rsidRDefault="00863F51" w:rsidP="006C5055">
            <w:pPr>
              <w:keepNext/>
              <w:spacing w:before="40" w:after="40"/>
              <w:rPr>
                <w:rFonts w:asciiTheme="majorHAnsi" w:hAnsiTheme="majorHAnsi" w:cs="Times New Roman"/>
                <w:b/>
                <w:sz w:val="22"/>
                <w:lang w:val="en-US"/>
              </w:rPr>
            </w:pPr>
            <w:r w:rsidRPr="00AE2D6F">
              <w:rPr>
                <w:rFonts w:asciiTheme="majorHAnsi" w:hAnsiTheme="majorHAnsi" w:cs="Times New Roman"/>
                <w:b/>
                <w:sz w:val="22"/>
                <w:lang w:val="en-US"/>
              </w:rPr>
              <w:t>Efficacy Parameter</w:t>
            </w:r>
          </w:p>
        </w:tc>
        <w:tc>
          <w:tcPr>
            <w:tcW w:w="1292" w:type="dxa"/>
            <w:vAlign w:val="center"/>
          </w:tcPr>
          <w:p w14:paraId="43E5E721" w14:textId="4AB5808F" w:rsidR="00863F51" w:rsidRPr="00AE2D6F" w:rsidRDefault="00863F51" w:rsidP="006C5055">
            <w:pPr>
              <w:keepNext/>
              <w:spacing w:before="40" w:after="40"/>
              <w:jc w:val="center"/>
              <w:rPr>
                <w:rFonts w:asciiTheme="majorHAnsi" w:hAnsiTheme="majorHAnsi" w:cs="Times New Roman"/>
                <w:bCs/>
                <w:sz w:val="22"/>
                <w:lang w:val="en-US"/>
              </w:rPr>
            </w:pPr>
            <w:r w:rsidRPr="00AE2D6F">
              <w:rPr>
                <w:rFonts w:asciiTheme="majorHAnsi" w:hAnsiTheme="majorHAnsi" w:cs="Times New Roman"/>
                <w:bCs/>
                <w:sz w:val="22"/>
                <w:lang w:val="en-US"/>
              </w:rPr>
              <w:t>&lt;</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 xml:space="preserve">2 </w:t>
            </w:r>
            <w:proofErr w:type="spellStart"/>
            <w:r w:rsidRPr="00AE2D6F">
              <w:rPr>
                <w:rFonts w:asciiTheme="majorHAnsi" w:hAnsiTheme="majorHAnsi" w:cs="Times New Roman"/>
                <w:bCs/>
                <w:sz w:val="22"/>
                <w:lang w:val="en-US"/>
              </w:rPr>
              <w:t>yrs</w:t>
            </w:r>
            <w:proofErr w:type="spellEnd"/>
            <w:r w:rsidRPr="00AE2D6F">
              <w:rPr>
                <w:rFonts w:asciiTheme="majorHAnsi" w:hAnsiTheme="majorHAnsi" w:cs="Times New Roman"/>
                <w:bCs/>
                <w:sz w:val="22"/>
                <w:lang w:val="en-US"/>
              </w:rPr>
              <w:t xml:space="preserve"> </w:t>
            </w:r>
            <w:r w:rsidRPr="00AE2D6F">
              <w:rPr>
                <w:rFonts w:asciiTheme="majorHAnsi" w:hAnsiTheme="majorHAnsi" w:cs="Times New Roman"/>
                <w:bCs/>
                <w:sz w:val="22"/>
                <w:lang w:val="en-US"/>
              </w:rPr>
              <w:br/>
              <w:t>(n</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5)</w:t>
            </w:r>
          </w:p>
        </w:tc>
        <w:tc>
          <w:tcPr>
            <w:tcW w:w="1697" w:type="dxa"/>
            <w:vAlign w:val="center"/>
          </w:tcPr>
          <w:p w14:paraId="65E0BFF7" w14:textId="3E8CE3A9" w:rsidR="00863F51" w:rsidRPr="00AE2D6F" w:rsidRDefault="00863F51" w:rsidP="006C5055">
            <w:pPr>
              <w:keepNext/>
              <w:spacing w:before="40" w:after="40"/>
              <w:jc w:val="center"/>
              <w:rPr>
                <w:rFonts w:asciiTheme="majorHAnsi" w:hAnsiTheme="majorHAnsi" w:cs="Times New Roman"/>
                <w:bCs/>
                <w:sz w:val="22"/>
                <w:lang w:val="en-US"/>
              </w:rPr>
            </w:pPr>
            <w:r w:rsidRPr="00AE2D6F">
              <w:rPr>
                <w:rFonts w:asciiTheme="majorHAnsi" w:hAnsiTheme="majorHAnsi" w:cs="Times New Roman"/>
                <w:bCs/>
                <w:sz w:val="22"/>
                <w:lang w:val="en-US"/>
              </w:rPr>
              <w:t xml:space="preserve">2 to &lt;12 </w:t>
            </w:r>
            <w:proofErr w:type="spellStart"/>
            <w:r w:rsidRPr="00AE2D6F">
              <w:rPr>
                <w:rFonts w:asciiTheme="majorHAnsi" w:hAnsiTheme="majorHAnsi" w:cs="Times New Roman"/>
                <w:bCs/>
                <w:sz w:val="22"/>
                <w:lang w:val="en-US"/>
              </w:rPr>
              <w:t>yrs</w:t>
            </w:r>
            <w:proofErr w:type="spellEnd"/>
            <w:r w:rsidRPr="00AE2D6F">
              <w:rPr>
                <w:rFonts w:asciiTheme="majorHAnsi" w:hAnsiTheme="majorHAnsi" w:cs="Times New Roman"/>
                <w:bCs/>
                <w:sz w:val="22"/>
                <w:lang w:val="en-US"/>
              </w:rPr>
              <w:br/>
              <w:t>(n</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10)</w:t>
            </w:r>
          </w:p>
        </w:tc>
        <w:tc>
          <w:tcPr>
            <w:tcW w:w="1376" w:type="dxa"/>
            <w:vAlign w:val="center"/>
          </w:tcPr>
          <w:p w14:paraId="7A3164E8" w14:textId="06E698D5" w:rsidR="00863F51" w:rsidRPr="00AE2D6F" w:rsidRDefault="00FA12E0" w:rsidP="006C5055">
            <w:pPr>
              <w:keepNext/>
              <w:spacing w:before="40" w:after="40"/>
              <w:jc w:val="center"/>
              <w:rPr>
                <w:rFonts w:asciiTheme="majorHAnsi" w:hAnsiTheme="majorHAnsi" w:cs="Times New Roman"/>
                <w:bCs/>
                <w:sz w:val="22"/>
                <w:lang w:val="en-US"/>
              </w:rPr>
            </w:pPr>
            <w:r>
              <w:rPr>
                <w:rFonts w:asciiTheme="majorHAnsi" w:hAnsiTheme="majorHAnsi" w:cs="Times New Roman"/>
                <w:bCs/>
                <w:sz w:val="22"/>
                <w:lang w:val="en-US"/>
              </w:rPr>
              <w:t xml:space="preserve">12 to &lt; </w:t>
            </w:r>
            <w:r w:rsidR="00863F51" w:rsidRPr="00AE2D6F">
              <w:rPr>
                <w:rFonts w:asciiTheme="majorHAnsi" w:hAnsiTheme="majorHAnsi" w:cs="Times New Roman"/>
                <w:bCs/>
                <w:sz w:val="22"/>
                <w:lang w:val="en-US"/>
              </w:rPr>
              <w:t xml:space="preserve">18 </w:t>
            </w:r>
            <w:proofErr w:type="spellStart"/>
            <w:r w:rsidR="00863F51" w:rsidRPr="00AE2D6F">
              <w:rPr>
                <w:rFonts w:asciiTheme="majorHAnsi" w:hAnsiTheme="majorHAnsi" w:cs="Times New Roman"/>
                <w:bCs/>
                <w:sz w:val="22"/>
                <w:lang w:val="en-US"/>
              </w:rPr>
              <w:t>yrs</w:t>
            </w:r>
            <w:proofErr w:type="spellEnd"/>
            <w:r w:rsidR="00863F51" w:rsidRPr="00AE2D6F">
              <w:rPr>
                <w:rFonts w:asciiTheme="majorHAnsi" w:hAnsiTheme="majorHAnsi" w:cs="Times New Roman"/>
                <w:bCs/>
                <w:sz w:val="22"/>
                <w:lang w:val="en-US"/>
              </w:rPr>
              <w:br/>
              <w:t>(n = 4)</w:t>
            </w:r>
          </w:p>
        </w:tc>
        <w:tc>
          <w:tcPr>
            <w:tcW w:w="1884" w:type="dxa"/>
            <w:vAlign w:val="center"/>
          </w:tcPr>
          <w:p w14:paraId="53F913FD" w14:textId="0655725F" w:rsidR="00863F51" w:rsidRPr="00AE2D6F" w:rsidRDefault="00863F51" w:rsidP="006C5055">
            <w:pPr>
              <w:keepNext/>
              <w:spacing w:before="40" w:after="40"/>
              <w:jc w:val="center"/>
              <w:rPr>
                <w:rFonts w:asciiTheme="majorHAnsi" w:hAnsiTheme="majorHAnsi" w:cs="Times New Roman"/>
                <w:bCs/>
                <w:sz w:val="22"/>
                <w:lang w:val="en-US"/>
              </w:rPr>
            </w:pPr>
            <w:r w:rsidRPr="00AE2D6F">
              <w:rPr>
                <w:rFonts w:asciiTheme="majorHAnsi" w:hAnsiTheme="majorHAnsi" w:cs="Times New Roman"/>
                <w:bCs/>
                <w:sz w:val="22"/>
                <w:lang w:val="en-US"/>
              </w:rPr>
              <w:t>Total</w:t>
            </w:r>
            <w:r w:rsidRPr="00AE2D6F">
              <w:rPr>
                <w:rFonts w:asciiTheme="majorHAnsi" w:hAnsiTheme="majorHAnsi" w:cs="Times New Roman"/>
                <w:bCs/>
                <w:sz w:val="22"/>
                <w:lang w:val="en-US"/>
              </w:rPr>
              <w:br/>
              <w:t>(n</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w:t>
            </w:r>
            <w:r w:rsidR="00FA12E0">
              <w:rPr>
                <w:rFonts w:asciiTheme="majorHAnsi" w:hAnsiTheme="majorHAnsi" w:cs="Times New Roman"/>
                <w:bCs/>
                <w:sz w:val="22"/>
                <w:lang w:val="en-US"/>
              </w:rPr>
              <w:t xml:space="preserve"> </w:t>
            </w:r>
            <w:r w:rsidRPr="00AE2D6F">
              <w:rPr>
                <w:rFonts w:asciiTheme="majorHAnsi" w:hAnsiTheme="majorHAnsi" w:cs="Times New Roman"/>
                <w:bCs/>
                <w:sz w:val="22"/>
                <w:lang w:val="en-US"/>
              </w:rPr>
              <w:t>19)</w:t>
            </w:r>
          </w:p>
        </w:tc>
      </w:tr>
      <w:tr w:rsidR="00863F51" w:rsidRPr="00AE2D6F" w14:paraId="1955AC59" w14:textId="77777777" w:rsidTr="00FA12E0">
        <w:trPr>
          <w:trHeight w:val="432"/>
        </w:trPr>
        <w:tc>
          <w:tcPr>
            <w:tcW w:w="2535" w:type="dxa"/>
            <w:shd w:val="clear" w:color="auto" w:fill="auto"/>
          </w:tcPr>
          <w:p w14:paraId="038260AB" w14:textId="77777777" w:rsidR="00863F51" w:rsidRPr="00AE2D6F" w:rsidRDefault="00863F51" w:rsidP="002F2C11">
            <w:pPr>
              <w:keepNext/>
              <w:spacing w:before="40" w:after="40"/>
              <w:rPr>
                <w:rFonts w:asciiTheme="majorHAnsi" w:hAnsiTheme="majorHAnsi" w:cs="Times New Roman"/>
                <w:sz w:val="22"/>
                <w:lang w:val="en-US"/>
              </w:rPr>
            </w:pPr>
            <w:r w:rsidRPr="00AE2D6F">
              <w:rPr>
                <w:rFonts w:asciiTheme="majorHAnsi" w:hAnsiTheme="majorHAnsi" w:cs="Times New Roman"/>
                <w:sz w:val="22"/>
                <w:lang w:val="en-US"/>
              </w:rPr>
              <w:t xml:space="preserve">Platelet count </w:t>
            </w:r>
            <w:proofErr w:type="spellStart"/>
            <w:r w:rsidR="00967B24" w:rsidRPr="00AE2D6F">
              <w:rPr>
                <w:rFonts w:asciiTheme="majorHAnsi" w:hAnsiTheme="majorHAnsi" w:cs="Times New Roman"/>
                <w:sz w:val="22"/>
                <w:lang w:val="en-US"/>
              </w:rPr>
              <w:t>normalisation</w:t>
            </w:r>
            <w:proofErr w:type="spellEnd"/>
            <w:r w:rsidRPr="00AE2D6F">
              <w:rPr>
                <w:rFonts w:asciiTheme="majorHAnsi" w:hAnsiTheme="majorHAnsi" w:cs="Times New Roman"/>
                <w:sz w:val="22"/>
                <w:lang w:val="en-US"/>
              </w:rPr>
              <w:t>, n (%)</w:t>
            </w:r>
            <w:r w:rsidRPr="00AE2D6F">
              <w:rPr>
                <w:rFonts w:asciiTheme="majorHAnsi" w:hAnsiTheme="majorHAnsi" w:cs="Times New Roman"/>
                <w:sz w:val="22"/>
                <w:vertAlign w:val="superscript"/>
                <w:lang w:val="en-US"/>
              </w:rPr>
              <w:t>1</w:t>
            </w:r>
          </w:p>
        </w:tc>
        <w:tc>
          <w:tcPr>
            <w:tcW w:w="1292" w:type="dxa"/>
            <w:vAlign w:val="center"/>
          </w:tcPr>
          <w:p w14:paraId="3BC333BF"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4 (80)</w:t>
            </w:r>
          </w:p>
        </w:tc>
        <w:tc>
          <w:tcPr>
            <w:tcW w:w="1697" w:type="dxa"/>
            <w:vAlign w:val="center"/>
          </w:tcPr>
          <w:p w14:paraId="4AA505FF"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10 (100)</w:t>
            </w:r>
          </w:p>
        </w:tc>
        <w:tc>
          <w:tcPr>
            <w:tcW w:w="1376" w:type="dxa"/>
            <w:vAlign w:val="center"/>
          </w:tcPr>
          <w:p w14:paraId="37E3D8C9"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3 (75)</w:t>
            </w:r>
          </w:p>
        </w:tc>
        <w:tc>
          <w:tcPr>
            <w:tcW w:w="1884" w:type="dxa"/>
            <w:vAlign w:val="center"/>
          </w:tcPr>
          <w:p w14:paraId="3B0065FF"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17 (89)</w:t>
            </w:r>
          </w:p>
        </w:tc>
      </w:tr>
      <w:tr w:rsidR="00863F51" w:rsidRPr="00AE2D6F" w14:paraId="79EC6199" w14:textId="77777777" w:rsidTr="00FA12E0">
        <w:trPr>
          <w:trHeight w:val="432"/>
        </w:trPr>
        <w:tc>
          <w:tcPr>
            <w:tcW w:w="2535" w:type="dxa"/>
            <w:shd w:val="clear" w:color="auto" w:fill="auto"/>
          </w:tcPr>
          <w:p w14:paraId="06C19B77" w14:textId="77777777" w:rsidR="00863F51" w:rsidRPr="00AE2D6F" w:rsidRDefault="00863F51" w:rsidP="002F2C11">
            <w:pPr>
              <w:keepNext/>
              <w:spacing w:before="40" w:after="40"/>
              <w:rPr>
                <w:rFonts w:asciiTheme="majorHAnsi" w:eastAsia="MS Mincho" w:hAnsiTheme="majorHAnsi" w:cs="Times New Roman"/>
                <w:sz w:val="22"/>
                <w:lang w:val="en-US"/>
              </w:rPr>
            </w:pPr>
            <w:r w:rsidRPr="00AE2D6F">
              <w:rPr>
                <w:rFonts w:asciiTheme="majorHAnsi" w:eastAsia="MS Mincho" w:hAnsiTheme="majorHAnsi" w:cs="Times New Roman"/>
                <w:sz w:val="22"/>
                <w:lang w:val="en-US"/>
              </w:rPr>
              <w:t xml:space="preserve">Hematologic </w:t>
            </w:r>
            <w:proofErr w:type="spellStart"/>
            <w:r w:rsidR="00967B24" w:rsidRPr="00AE2D6F">
              <w:rPr>
                <w:rFonts w:asciiTheme="majorHAnsi" w:eastAsia="MS Mincho" w:hAnsiTheme="majorHAnsi" w:cs="Times New Roman"/>
                <w:sz w:val="22"/>
                <w:lang w:val="en-US"/>
              </w:rPr>
              <w:t>Normalisation</w:t>
            </w:r>
            <w:proofErr w:type="spellEnd"/>
            <w:r w:rsidRPr="00AE2D6F">
              <w:rPr>
                <w:rFonts w:asciiTheme="majorHAnsi" w:eastAsia="MS Mincho" w:hAnsiTheme="majorHAnsi" w:cs="Times New Roman"/>
                <w:sz w:val="22"/>
                <w:lang w:val="en-US"/>
              </w:rPr>
              <w:t>, n (%)</w:t>
            </w:r>
          </w:p>
        </w:tc>
        <w:tc>
          <w:tcPr>
            <w:tcW w:w="1292" w:type="dxa"/>
            <w:vAlign w:val="center"/>
          </w:tcPr>
          <w:p w14:paraId="4C75E27F"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2 (40)</w:t>
            </w:r>
          </w:p>
        </w:tc>
        <w:tc>
          <w:tcPr>
            <w:tcW w:w="1697" w:type="dxa"/>
            <w:vAlign w:val="center"/>
          </w:tcPr>
          <w:p w14:paraId="617EF9CD"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5 (50)</w:t>
            </w:r>
          </w:p>
        </w:tc>
        <w:tc>
          <w:tcPr>
            <w:tcW w:w="1376" w:type="dxa"/>
            <w:vAlign w:val="center"/>
          </w:tcPr>
          <w:p w14:paraId="5F421B3E"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1 (25)</w:t>
            </w:r>
          </w:p>
        </w:tc>
        <w:tc>
          <w:tcPr>
            <w:tcW w:w="1884" w:type="dxa"/>
            <w:vAlign w:val="center"/>
          </w:tcPr>
          <w:p w14:paraId="061BF756"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8 (42)</w:t>
            </w:r>
          </w:p>
        </w:tc>
      </w:tr>
      <w:tr w:rsidR="00863F51" w:rsidRPr="00AE2D6F" w14:paraId="16E80CF1" w14:textId="77777777" w:rsidTr="00FA12E0">
        <w:trPr>
          <w:trHeight w:val="432"/>
        </w:trPr>
        <w:tc>
          <w:tcPr>
            <w:tcW w:w="2535" w:type="dxa"/>
            <w:shd w:val="clear" w:color="auto" w:fill="auto"/>
          </w:tcPr>
          <w:p w14:paraId="7C693618" w14:textId="77777777" w:rsidR="00863F51" w:rsidRPr="00AE2D6F" w:rsidRDefault="00863F51" w:rsidP="006C5055">
            <w:pPr>
              <w:keepNext/>
              <w:spacing w:before="40" w:after="40"/>
              <w:rPr>
                <w:rFonts w:asciiTheme="majorHAnsi" w:hAnsiTheme="majorHAnsi" w:cs="Times New Roman"/>
                <w:sz w:val="22"/>
                <w:lang w:val="en-US"/>
              </w:rPr>
            </w:pPr>
            <w:r w:rsidRPr="00AE2D6F">
              <w:rPr>
                <w:rFonts w:asciiTheme="majorHAnsi" w:eastAsia="MS Mincho" w:hAnsiTheme="majorHAnsi" w:cs="Times New Roman"/>
                <w:sz w:val="22"/>
                <w:lang w:val="en-US"/>
              </w:rPr>
              <w:t>Complete TMA response</w:t>
            </w:r>
            <w:r w:rsidRPr="00AE2D6F">
              <w:rPr>
                <w:rFonts w:asciiTheme="majorHAnsi" w:hAnsiTheme="majorHAnsi" w:cs="Times New Roman"/>
                <w:sz w:val="22"/>
                <w:lang w:val="en-US"/>
              </w:rPr>
              <w:t xml:space="preserve">, n (%) </w:t>
            </w:r>
          </w:p>
        </w:tc>
        <w:tc>
          <w:tcPr>
            <w:tcW w:w="1292" w:type="dxa"/>
            <w:vAlign w:val="center"/>
          </w:tcPr>
          <w:p w14:paraId="6B4D3F50"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2 (40)</w:t>
            </w:r>
          </w:p>
        </w:tc>
        <w:tc>
          <w:tcPr>
            <w:tcW w:w="1697" w:type="dxa"/>
            <w:vAlign w:val="center"/>
          </w:tcPr>
          <w:p w14:paraId="0D82BF00"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5 (50)</w:t>
            </w:r>
          </w:p>
        </w:tc>
        <w:tc>
          <w:tcPr>
            <w:tcW w:w="1376" w:type="dxa"/>
            <w:vAlign w:val="center"/>
          </w:tcPr>
          <w:p w14:paraId="6BE61BDE"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1 (25)</w:t>
            </w:r>
          </w:p>
        </w:tc>
        <w:tc>
          <w:tcPr>
            <w:tcW w:w="1884" w:type="dxa"/>
            <w:vAlign w:val="center"/>
          </w:tcPr>
          <w:p w14:paraId="75C80EAE"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8 (42)</w:t>
            </w:r>
          </w:p>
        </w:tc>
      </w:tr>
      <w:tr w:rsidR="00863F51" w:rsidRPr="00AE2D6F" w14:paraId="25CF7935" w14:textId="77777777" w:rsidTr="00FA12E0">
        <w:trPr>
          <w:trHeight w:val="1259"/>
        </w:trPr>
        <w:tc>
          <w:tcPr>
            <w:tcW w:w="2535" w:type="dxa"/>
            <w:shd w:val="clear" w:color="auto" w:fill="auto"/>
          </w:tcPr>
          <w:p w14:paraId="5F454A66" w14:textId="77777777" w:rsidR="00863F51" w:rsidRPr="00AE2D6F" w:rsidRDefault="00863F51" w:rsidP="006C5055">
            <w:pPr>
              <w:keepNext/>
              <w:spacing w:before="40"/>
              <w:rPr>
                <w:rFonts w:asciiTheme="majorHAnsi" w:eastAsia="MS Mincho" w:hAnsiTheme="majorHAnsi" w:cs="Times New Roman"/>
                <w:sz w:val="22"/>
                <w:lang w:val="en-US"/>
              </w:rPr>
            </w:pPr>
            <w:r w:rsidRPr="00AE2D6F">
              <w:rPr>
                <w:rFonts w:asciiTheme="majorHAnsi" w:hAnsiTheme="majorHAnsi" w:cs="Times New Roman"/>
                <w:sz w:val="22"/>
                <w:lang w:val="en-US"/>
              </w:rPr>
              <w:t>Daily TMA intervention rate, median (range)</w:t>
            </w:r>
          </w:p>
          <w:p w14:paraId="00440486" w14:textId="77777777" w:rsidR="00863F51" w:rsidRPr="00AE2D6F" w:rsidRDefault="00863F51" w:rsidP="006C5055">
            <w:pPr>
              <w:keepNext/>
              <w:spacing w:before="40"/>
              <w:ind w:left="170"/>
              <w:rPr>
                <w:rFonts w:asciiTheme="majorHAnsi" w:eastAsia="MS Mincho" w:hAnsiTheme="majorHAnsi" w:cs="Times New Roman"/>
                <w:sz w:val="22"/>
                <w:lang w:val="en-US"/>
              </w:rPr>
            </w:pPr>
            <w:r w:rsidRPr="00AE2D6F">
              <w:rPr>
                <w:rFonts w:asciiTheme="majorHAnsi" w:eastAsia="MS Mincho" w:hAnsiTheme="majorHAnsi" w:cs="Times New Roman"/>
                <w:sz w:val="22"/>
                <w:lang w:val="en-US"/>
              </w:rPr>
              <w:t>Before eculizumab</w:t>
            </w:r>
          </w:p>
          <w:p w14:paraId="4C6E3782" w14:textId="77777777" w:rsidR="00863F51" w:rsidRPr="00AE2D6F" w:rsidRDefault="00863F51" w:rsidP="006C5055">
            <w:pPr>
              <w:keepNext/>
              <w:spacing w:before="40" w:after="40"/>
              <w:ind w:left="170"/>
              <w:rPr>
                <w:rFonts w:asciiTheme="majorHAnsi" w:eastAsia="MS Mincho" w:hAnsiTheme="majorHAnsi" w:cs="Times New Roman"/>
                <w:sz w:val="22"/>
                <w:lang w:val="en-US"/>
              </w:rPr>
            </w:pPr>
            <w:r w:rsidRPr="00AE2D6F">
              <w:rPr>
                <w:rFonts w:asciiTheme="majorHAnsi" w:eastAsia="MS Mincho" w:hAnsiTheme="majorHAnsi" w:cs="Times New Roman"/>
                <w:sz w:val="22"/>
                <w:lang w:val="en-US"/>
              </w:rPr>
              <w:t>On eculizumab treatment</w:t>
            </w:r>
          </w:p>
        </w:tc>
        <w:tc>
          <w:tcPr>
            <w:tcW w:w="1292" w:type="dxa"/>
          </w:tcPr>
          <w:p w14:paraId="3B546439"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br/>
            </w:r>
          </w:p>
          <w:p w14:paraId="2F95B972"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t>1 (0, 2)</w:t>
            </w:r>
          </w:p>
          <w:p w14:paraId="1DF822FB"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&lt;1 (0, &lt;1)</w:t>
            </w:r>
          </w:p>
        </w:tc>
        <w:tc>
          <w:tcPr>
            <w:tcW w:w="1697" w:type="dxa"/>
          </w:tcPr>
          <w:p w14:paraId="5362C57C"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br/>
            </w:r>
          </w:p>
          <w:p w14:paraId="0F3EF8C5"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t>&lt;1 (0.07, 1.46)</w:t>
            </w:r>
          </w:p>
          <w:p w14:paraId="7DDA656B"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0 (0, &lt;1)</w:t>
            </w:r>
          </w:p>
        </w:tc>
        <w:tc>
          <w:tcPr>
            <w:tcW w:w="1376" w:type="dxa"/>
          </w:tcPr>
          <w:p w14:paraId="3E71C17E"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br/>
            </w:r>
          </w:p>
          <w:p w14:paraId="2D18CFEC"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t>&lt;1 (0, 1)</w:t>
            </w:r>
          </w:p>
          <w:p w14:paraId="2BED5FB6"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0 (0, &lt;1)</w:t>
            </w:r>
          </w:p>
        </w:tc>
        <w:tc>
          <w:tcPr>
            <w:tcW w:w="1884" w:type="dxa"/>
          </w:tcPr>
          <w:p w14:paraId="4C7D8DD3"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br/>
            </w:r>
          </w:p>
          <w:p w14:paraId="07B6C726" w14:textId="77777777" w:rsidR="00863F51" w:rsidRPr="00AE2D6F" w:rsidRDefault="00863F51" w:rsidP="006C5055">
            <w:pPr>
              <w:keepNext/>
              <w:spacing w:before="40"/>
              <w:jc w:val="center"/>
              <w:rPr>
                <w:rFonts w:asciiTheme="majorHAnsi" w:hAnsiTheme="majorHAnsi" w:cs="Times New Roman"/>
                <w:sz w:val="22"/>
                <w:lang w:val="en-US"/>
              </w:rPr>
            </w:pPr>
            <w:r w:rsidRPr="00AE2D6F">
              <w:rPr>
                <w:rFonts w:asciiTheme="majorHAnsi" w:hAnsiTheme="majorHAnsi" w:cs="Times New Roman"/>
                <w:sz w:val="22"/>
                <w:lang w:val="en-US"/>
              </w:rPr>
              <w:t>0.31 (0.00, 2.38)</w:t>
            </w:r>
          </w:p>
          <w:p w14:paraId="0A02BB13"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0.00 (0.00, 0.08)</w:t>
            </w:r>
          </w:p>
        </w:tc>
      </w:tr>
      <w:tr w:rsidR="00863F51" w:rsidRPr="00AE2D6F" w14:paraId="65602050" w14:textId="77777777" w:rsidTr="00FA12E0">
        <w:trPr>
          <w:trHeight w:val="530"/>
        </w:trPr>
        <w:tc>
          <w:tcPr>
            <w:tcW w:w="2535" w:type="dxa"/>
            <w:shd w:val="clear" w:color="auto" w:fill="auto"/>
          </w:tcPr>
          <w:p w14:paraId="2369ADAA" w14:textId="77777777" w:rsidR="00863F51" w:rsidRPr="00AE2D6F" w:rsidRDefault="00863F51" w:rsidP="006C5055">
            <w:pPr>
              <w:keepNext/>
              <w:spacing w:before="40" w:after="40"/>
              <w:rPr>
                <w:rFonts w:asciiTheme="majorHAnsi" w:hAnsiTheme="majorHAnsi" w:cs="Times New Roman"/>
                <w:sz w:val="22"/>
                <w:lang w:val="en-US"/>
              </w:rPr>
            </w:pPr>
            <w:r w:rsidRPr="00AE2D6F">
              <w:rPr>
                <w:rFonts w:asciiTheme="majorHAnsi" w:hAnsiTheme="majorHAnsi" w:cs="Times New Roman"/>
                <w:sz w:val="22"/>
                <w:lang w:val="en-US"/>
              </w:rPr>
              <w:t>Patients with eGFR improvement ≥ 15 mL/min/1.73 m</w:t>
            </w:r>
            <w:r w:rsidRPr="00AE2D6F">
              <w:rPr>
                <w:rFonts w:asciiTheme="majorHAnsi" w:hAnsiTheme="majorHAnsi" w:cs="Times New Roman"/>
                <w:sz w:val="22"/>
                <w:vertAlign w:val="superscript"/>
                <w:lang w:val="en-US"/>
              </w:rPr>
              <w:t>2</w:t>
            </w:r>
            <w:r w:rsidRPr="00AE2D6F">
              <w:rPr>
                <w:rFonts w:asciiTheme="majorHAnsi" w:hAnsiTheme="majorHAnsi" w:cs="Times New Roman"/>
                <w:sz w:val="22"/>
                <w:lang w:val="en-US"/>
              </w:rPr>
              <w:t>, n (%)</w:t>
            </w:r>
            <w:r w:rsidRPr="00AE2D6F">
              <w:rPr>
                <w:rFonts w:asciiTheme="majorHAnsi" w:hAnsiTheme="majorHAnsi" w:cs="Times New Roman"/>
                <w:sz w:val="22"/>
                <w:vertAlign w:val="superscript"/>
                <w:lang w:val="en-US"/>
              </w:rPr>
              <w:t>2</w:t>
            </w:r>
          </w:p>
        </w:tc>
        <w:tc>
          <w:tcPr>
            <w:tcW w:w="1292" w:type="dxa"/>
            <w:vAlign w:val="center"/>
          </w:tcPr>
          <w:p w14:paraId="28380A35"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2 (40)</w:t>
            </w:r>
          </w:p>
        </w:tc>
        <w:tc>
          <w:tcPr>
            <w:tcW w:w="1697" w:type="dxa"/>
            <w:vAlign w:val="center"/>
          </w:tcPr>
          <w:p w14:paraId="08EC569E"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6 (60)</w:t>
            </w:r>
          </w:p>
        </w:tc>
        <w:tc>
          <w:tcPr>
            <w:tcW w:w="1376" w:type="dxa"/>
            <w:vAlign w:val="center"/>
          </w:tcPr>
          <w:p w14:paraId="6DC3AA30"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1 (25)</w:t>
            </w:r>
          </w:p>
        </w:tc>
        <w:tc>
          <w:tcPr>
            <w:tcW w:w="1884" w:type="dxa"/>
            <w:vAlign w:val="center"/>
          </w:tcPr>
          <w:p w14:paraId="0664D586" w14:textId="77777777" w:rsidR="00863F51" w:rsidRPr="00AE2D6F" w:rsidRDefault="00863F51" w:rsidP="006C5055">
            <w:pPr>
              <w:keepNext/>
              <w:spacing w:before="40" w:after="40"/>
              <w:jc w:val="center"/>
              <w:rPr>
                <w:rFonts w:asciiTheme="majorHAnsi" w:hAnsiTheme="majorHAnsi" w:cs="Times New Roman"/>
                <w:sz w:val="22"/>
                <w:lang w:val="en-US"/>
              </w:rPr>
            </w:pPr>
            <w:r w:rsidRPr="00AE2D6F">
              <w:rPr>
                <w:rFonts w:asciiTheme="majorHAnsi" w:hAnsiTheme="majorHAnsi" w:cs="Times New Roman"/>
                <w:sz w:val="22"/>
                <w:lang w:val="en-US"/>
              </w:rPr>
              <w:t>9 (47)</w:t>
            </w:r>
          </w:p>
        </w:tc>
      </w:tr>
    </w:tbl>
    <w:p w14:paraId="33C48477" w14:textId="07E61052" w:rsidR="00863F51" w:rsidRPr="00AE2D6F" w:rsidRDefault="00863F51" w:rsidP="00863F51">
      <w:pPr>
        <w:ind w:left="144" w:hanging="144"/>
        <w:rPr>
          <w:rFonts w:asciiTheme="majorHAnsi" w:hAnsiTheme="majorHAnsi" w:cs="Times New Roman"/>
          <w:sz w:val="18"/>
          <w:lang w:val="en-US"/>
        </w:rPr>
      </w:pPr>
      <w:r w:rsidRPr="00AE2D6F">
        <w:rPr>
          <w:rFonts w:asciiTheme="majorHAnsi" w:hAnsiTheme="majorHAnsi" w:cs="Times New Roman"/>
          <w:vertAlign w:val="superscript"/>
          <w:lang w:val="en-US"/>
        </w:rPr>
        <w:t>1</w:t>
      </w:r>
      <w:r w:rsidRPr="00AE2D6F">
        <w:rPr>
          <w:rFonts w:asciiTheme="majorHAnsi" w:hAnsiTheme="majorHAnsi" w:cs="Times New Roman"/>
          <w:sz w:val="18"/>
          <w:lang w:val="en-US"/>
        </w:rPr>
        <w:t xml:space="preserve">Platelet count </w:t>
      </w:r>
      <w:proofErr w:type="spellStart"/>
      <w:r w:rsidR="004317FB" w:rsidRPr="00AE2D6F">
        <w:rPr>
          <w:rFonts w:asciiTheme="majorHAnsi" w:hAnsiTheme="majorHAnsi" w:cs="Times New Roman"/>
          <w:sz w:val="18"/>
          <w:lang w:val="en-US"/>
        </w:rPr>
        <w:t>normalisation</w:t>
      </w:r>
      <w:proofErr w:type="spellEnd"/>
      <w:r w:rsidR="004317FB" w:rsidRPr="00AE2D6F">
        <w:rPr>
          <w:rFonts w:asciiTheme="majorHAnsi" w:hAnsiTheme="majorHAnsi" w:cs="Times New Roman"/>
          <w:sz w:val="18"/>
          <w:lang w:val="en-US"/>
        </w:rPr>
        <w:t xml:space="preserve"> </w:t>
      </w:r>
      <w:r w:rsidRPr="00AE2D6F">
        <w:rPr>
          <w:rFonts w:asciiTheme="majorHAnsi" w:hAnsiTheme="majorHAnsi" w:cs="Times New Roman"/>
          <w:sz w:val="18"/>
          <w:lang w:val="en-US"/>
        </w:rPr>
        <w:t>was defined as a platelet count of at least 150 X 10</w:t>
      </w:r>
      <w:r w:rsidRPr="00AE2D6F">
        <w:rPr>
          <w:rFonts w:asciiTheme="majorHAnsi" w:hAnsiTheme="majorHAnsi" w:cs="Times New Roman"/>
          <w:sz w:val="18"/>
          <w:vertAlign w:val="superscript"/>
          <w:lang w:val="en-US"/>
        </w:rPr>
        <w:t>9</w:t>
      </w:r>
      <w:r w:rsidRPr="00AE2D6F">
        <w:rPr>
          <w:rFonts w:asciiTheme="majorHAnsi" w:hAnsiTheme="majorHAnsi" w:cs="Times New Roman"/>
          <w:sz w:val="18"/>
          <w:lang w:val="en-US"/>
        </w:rPr>
        <w:t>/L on at least two consecutive measurements spanning a period of at least 4 weeks.</w:t>
      </w:r>
    </w:p>
    <w:p w14:paraId="151A962F" w14:textId="27594DCC" w:rsidR="00863F51" w:rsidRPr="00AE2D6F" w:rsidRDefault="00863F51" w:rsidP="00863F51">
      <w:pPr>
        <w:ind w:left="142" w:hanging="142"/>
        <w:rPr>
          <w:rFonts w:asciiTheme="majorHAnsi" w:hAnsiTheme="majorHAnsi" w:cs="Times New Roman"/>
          <w:sz w:val="18"/>
          <w:lang w:val="en-US"/>
        </w:rPr>
      </w:pPr>
      <w:r w:rsidRPr="00AE2D6F">
        <w:rPr>
          <w:rFonts w:asciiTheme="majorHAnsi" w:hAnsiTheme="majorHAnsi" w:cs="Times New Roman"/>
          <w:sz w:val="18"/>
          <w:vertAlign w:val="superscript"/>
          <w:lang w:val="en-US"/>
        </w:rPr>
        <w:t>2</w:t>
      </w:r>
      <w:r w:rsidRPr="00AE2D6F">
        <w:rPr>
          <w:rFonts w:asciiTheme="majorHAnsi" w:hAnsiTheme="majorHAnsi" w:cs="Times New Roman"/>
          <w:sz w:val="18"/>
          <w:lang w:val="en-US"/>
        </w:rPr>
        <w:t>Of the 9 patients who experienced an eGFR improvement of at least 15 mL/min/1.73 m</w:t>
      </w:r>
      <w:r w:rsidRPr="00AE2D6F">
        <w:rPr>
          <w:rFonts w:asciiTheme="majorHAnsi" w:hAnsiTheme="majorHAnsi" w:cs="Times New Roman"/>
          <w:sz w:val="18"/>
          <w:vertAlign w:val="superscript"/>
          <w:lang w:val="en-US"/>
        </w:rPr>
        <w:t>2</w:t>
      </w:r>
      <w:r w:rsidRPr="00AE2D6F">
        <w:rPr>
          <w:rFonts w:asciiTheme="majorHAnsi" w:hAnsiTheme="majorHAnsi" w:cs="Times New Roman"/>
          <w:sz w:val="18"/>
          <w:lang w:val="en-US"/>
        </w:rPr>
        <w:t>, one received dialysis throughout the study period and another received eculizumab as prophylaxis following renal allograft transplantation.</w:t>
      </w:r>
    </w:p>
    <w:p w14:paraId="38005175" w14:textId="77777777" w:rsidR="00863F51" w:rsidRPr="00AE2D6F" w:rsidRDefault="00863F51" w:rsidP="00F00B64">
      <w:pPr>
        <w:tabs>
          <w:tab w:val="left" w:pos="567"/>
        </w:tabs>
        <w:spacing w:before="120" w:after="120"/>
        <w:rPr>
          <w:rFonts w:asciiTheme="majorHAnsi" w:hAnsiTheme="majorHAnsi" w:cs="Times New Roman"/>
          <w:i/>
          <w:szCs w:val="24"/>
        </w:rPr>
      </w:pPr>
      <w:r w:rsidRPr="00AE2D6F">
        <w:rPr>
          <w:rFonts w:asciiTheme="majorHAnsi" w:hAnsiTheme="majorHAnsi" w:cs="Times New Roman"/>
          <w:i/>
          <w:szCs w:val="24"/>
        </w:rPr>
        <w:t>C10-003</w:t>
      </w:r>
    </w:p>
    <w:p w14:paraId="7F41BACF" w14:textId="6A1D5E22" w:rsidR="00FB17EC" w:rsidRPr="00AE2D6F" w:rsidRDefault="00863F51" w:rsidP="00863F51">
      <w:pPr>
        <w:autoSpaceDE w:val="0"/>
        <w:autoSpaceDN w:val="0"/>
        <w:adjustRightInd w:val="0"/>
        <w:rPr>
          <w:rFonts w:asciiTheme="majorHAnsi" w:hAnsiTheme="majorHAnsi" w:cs="Times New Roman"/>
          <w:szCs w:val="24"/>
        </w:rPr>
      </w:pPr>
      <w:r w:rsidRPr="00AE2D6F">
        <w:rPr>
          <w:rFonts w:asciiTheme="majorHAnsi" w:hAnsiTheme="majorHAnsi" w:cs="Times New Roman"/>
          <w:szCs w:val="24"/>
        </w:rPr>
        <w:t>A total of 22</w:t>
      </w:r>
      <w:r w:rsidR="00474895" w:rsidRPr="00AE2D6F">
        <w:rPr>
          <w:rFonts w:asciiTheme="majorHAnsi" w:hAnsiTheme="majorHAnsi" w:cs="Times New Roman"/>
          <w:szCs w:val="24"/>
        </w:rPr>
        <w:t xml:space="preserve"> </w:t>
      </w:r>
      <w:r w:rsidRPr="00AE2D6F">
        <w:rPr>
          <w:rFonts w:asciiTheme="majorHAnsi" w:hAnsiTheme="majorHAnsi" w:cs="Times New Roman"/>
          <w:szCs w:val="24"/>
        </w:rPr>
        <w:t>paediatric and adolescent patients (aged 5</w:t>
      </w:r>
      <w:r w:rsidR="00474895" w:rsidRPr="00AE2D6F">
        <w:rPr>
          <w:rFonts w:asciiTheme="majorHAnsi" w:hAnsiTheme="majorHAnsi" w:cs="Times New Roman"/>
          <w:szCs w:val="24"/>
        </w:rPr>
        <w:t xml:space="preserve"> </w:t>
      </w:r>
      <w:r w:rsidRPr="00AE2D6F">
        <w:rPr>
          <w:rFonts w:asciiTheme="majorHAnsi" w:hAnsiTheme="majorHAnsi" w:cs="Times New Roman"/>
          <w:szCs w:val="24"/>
        </w:rPr>
        <w:t>months to 17</w:t>
      </w:r>
      <w:r w:rsidR="00474895" w:rsidRPr="00AE2D6F">
        <w:rPr>
          <w:rFonts w:asciiTheme="majorHAnsi" w:hAnsiTheme="majorHAnsi" w:cs="Times New Roman"/>
          <w:szCs w:val="24"/>
        </w:rPr>
        <w:t xml:space="preserve"> </w:t>
      </w:r>
      <w:r w:rsidRPr="00AE2D6F">
        <w:rPr>
          <w:rFonts w:asciiTheme="majorHAnsi" w:hAnsiTheme="majorHAnsi" w:cs="Times New Roman"/>
          <w:szCs w:val="24"/>
        </w:rPr>
        <w:t xml:space="preserve">years) received </w:t>
      </w:r>
      <w:r w:rsidR="00B249B7" w:rsidRPr="00AE2D6F">
        <w:rPr>
          <w:rFonts w:asciiTheme="majorHAnsi" w:hAnsiTheme="majorHAnsi" w:cs="Times New Roman"/>
          <w:szCs w:val="24"/>
        </w:rPr>
        <w:t>Soliris</w:t>
      </w:r>
      <w:r w:rsidRPr="00AE2D6F">
        <w:rPr>
          <w:rFonts w:asciiTheme="majorHAnsi" w:hAnsiTheme="majorHAnsi" w:cs="Times New Roman"/>
          <w:szCs w:val="24"/>
        </w:rPr>
        <w:t xml:space="preserve"> in </w:t>
      </w:r>
      <w:r w:rsidRPr="00AE2D6F">
        <w:rPr>
          <w:rFonts w:asciiTheme="majorHAnsi" w:hAnsiTheme="majorHAnsi" w:cs="Times New Roman"/>
          <w:i/>
          <w:szCs w:val="24"/>
        </w:rPr>
        <w:t>Study C10-003</w:t>
      </w:r>
      <w:r w:rsidRPr="00AE2D6F">
        <w:rPr>
          <w:rFonts w:asciiTheme="majorHAnsi" w:hAnsiTheme="majorHAnsi" w:cs="Times New Roman"/>
          <w:szCs w:val="24"/>
        </w:rPr>
        <w:t xml:space="preserve">. Patients who enrolled in the study were required to have a platelet count &lt; lower limit of normal range, evidence of haemolysis such as an elevation in serum LDH above the upper limits of normal and serum creatinine level ≥97 percentile for age without the need for chronic dialysis. Patients enrolled in </w:t>
      </w:r>
      <w:r w:rsidRPr="00AE2D6F">
        <w:rPr>
          <w:rFonts w:asciiTheme="majorHAnsi" w:hAnsiTheme="majorHAnsi" w:cs="Times New Roman"/>
          <w:i/>
          <w:szCs w:val="24"/>
        </w:rPr>
        <w:t>Study C10-003</w:t>
      </w:r>
      <w:r w:rsidRPr="00AE2D6F">
        <w:rPr>
          <w:rFonts w:asciiTheme="majorHAnsi" w:hAnsiTheme="majorHAnsi" w:cs="Times New Roman"/>
          <w:szCs w:val="24"/>
        </w:rPr>
        <w:t xml:space="preserve"> had an ADAMTS-13 level above 5%. Fifty percent of patients had an identified complement regulatory factor mutation or auto-antibody. A total of 10 patients received </w:t>
      </w:r>
      <w:r w:rsidRPr="00AE2D6F">
        <w:rPr>
          <w:rFonts w:asciiTheme="majorHAnsi" w:hAnsiTheme="majorHAnsi" w:cs="Times New Roman"/>
          <w:szCs w:val="24"/>
        </w:rPr>
        <w:lastRenderedPageBreak/>
        <w:t xml:space="preserve">PE/PI prior to </w:t>
      </w:r>
      <w:r w:rsidR="00B249B7" w:rsidRPr="00AE2D6F">
        <w:rPr>
          <w:rFonts w:asciiTheme="majorHAnsi" w:hAnsiTheme="majorHAnsi" w:cs="Times New Roman"/>
          <w:szCs w:val="24"/>
        </w:rPr>
        <w:t>Soliris</w:t>
      </w:r>
      <w:r w:rsidRPr="00AE2D6F">
        <w:rPr>
          <w:rFonts w:asciiTheme="majorHAnsi" w:hAnsiTheme="majorHAnsi" w:cs="Times New Roman"/>
          <w:szCs w:val="24"/>
        </w:rPr>
        <w:t xml:space="preserve">. </w:t>
      </w:r>
      <w:r w:rsidR="00474895" w:rsidRPr="00AE2D6F">
        <w:rPr>
          <w:rFonts w:asciiTheme="majorHAnsi" w:hAnsiTheme="majorHAnsi" w:cs="Times New Roman"/>
          <w:szCs w:val="24"/>
        </w:rPr>
        <w:fldChar w:fldCharType="begin"/>
      </w:r>
      <w:r w:rsidR="00474895" w:rsidRPr="00AE2D6F">
        <w:rPr>
          <w:rFonts w:asciiTheme="majorHAnsi" w:hAnsiTheme="majorHAnsi" w:cs="Times New Roman"/>
          <w:szCs w:val="24"/>
        </w:rPr>
        <w:instrText xml:space="preserve"> REF _Ref18592374 \h </w:instrText>
      </w:r>
      <w:r w:rsidR="00474895" w:rsidRPr="00AE2D6F">
        <w:rPr>
          <w:rFonts w:asciiTheme="majorHAnsi" w:hAnsiTheme="majorHAnsi" w:cs="Times New Roman"/>
          <w:szCs w:val="24"/>
        </w:rPr>
      </w:r>
      <w:r w:rsidR="00474895" w:rsidRPr="00AE2D6F">
        <w:rPr>
          <w:rFonts w:asciiTheme="majorHAnsi" w:hAnsiTheme="majorHAnsi" w:cs="Times New Roman"/>
          <w:szCs w:val="24"/>
        </w:rPr>
        <w:fldChar w:fldCharType="separate"/>
      </w:r>
      <w:r w:rsidR="004E508F" w:rsidRPr="00AE2D6F">
        <w:t xml:space="preserve">Table </w:t>
      </w:r>
      <w:r w:rsidR="004E508F">
        <w:rPr>
          <w:noProof/>
        </w:rPr>
        <w:t>22</w:t>
      </w:r>
      <w:r w:rsidR="00474895" w:rsidRPr="00AE2D6F">
        <w:rPr>
          <w:rFonts w:asciiTheme="majorHAnsi" w:hAnsiTheme="majorHAnsi" w:cs="Times New Roman"/>
          <w:szCs w:val="24"/>
        </w:rPr>
        <w:fldChar w:fldCharType="end"/>
      </w:r>
      <w:r w:rsidRPr="00AE2D6F">
        <w:rPr>
          <w:rFonts w:asciiTheme="majorHAnsi" w:hAnsiTheme="majorHAnsi" w:cs="Times New Roman"/>
          <w:szCs w:val="24"/>
        </w:rPr>
        <w:t xml:space="preserve">below </w:t>
      </w:r>
      <w:r w:rsidR="00C8302C" w:rsidRPr="00AE2D6F">
        <w:rPr>
          <w:rFonts w:asciiTheme="majorHAnsi" w:hAnsiTheme="majorHAnsi" w:cs="Times New Roman"/>
          <w:szCs w:val="24"/>
        </w:rPr>
        <w:t xml:space="preserve">summarises </w:t>
      </w:r>
      <w:r w:rsidRPr="00AE2D6F">
        <w:rPr>
          <w:rFonts w:asciiTheme="majorHAnsi" w:hAnsiTheme="majorHAnsi" w:cs="Times New Roman"/>
          <w:szCs w:val="24"/>
        </w:rPr>
        <w:t xml:space="preserve">the key baseline clinical and disease-related characteristics of patients enrolled in </w:t>
      </w:r>
      <w:r w:rsidRPr="00AE2D6F">
        <w:rPr>
          <w:rFonts w:asciiTheme="majorHAnsi" w:hAnsiTheme="majorHAnsi" w:cs="Times New Roman"/>
          <w:i/>
          <w:szCs w:val="24"/>
        </w:rPr>
        <w:t>Study C10-003</w:t>
      </w:r>
      <w:r w:rsidRPr="00AE2D6F">
        <w:rPr>
          <w:rFonts w:asciiTheme="majorHAnsi" w:hAnsiTheme="majorHAnsi" w:cs="Times New Roman"/>
          <w:szCs w:val="24"/>
        </w:rPr>
        <w:t>.</w:t>
      </w:r>
    </w:p>
    <w:p w14:paraId="17A89814" w14:textId="0C51CCCD" w:rsidR="00863F51" w:rsidRPr="00AE2D6F" w:rsidRDefault="00474895" w:rsidP="00FA12E0">
      <w:pPr>
        <w:pStyle w:val="Caption"/>
        <w:spacing w:after="120"/>
        <w:jc w:val="left"/>
        <w:rPr>
          <w:rFonts w:asciiTheme="majorHAnsi" w:hAnsiTheme="majorHAnsi"/>
        </w:rPr>
      </w:pPr>
      <w:bookmarkStart w:id="29" w:name="_Ref18592374"/>
      <w:r w:rsidRPr="00AE2D6F">
        <w:t xml:space="preserve">Table </w:t>
      </w:r>
      <w:r w:rsidR="00345186">
        <w:fldChar w:fldCharType="begin"/>
      </w:r>
      <w:r w:rsidR="00345186">
        <w:instrText xml:space="preserve"> SEQ Table \* ARABIC </w:instrText>
      </w:r>
      <w:r w:rsidR="00345186">
        <w:fldChar w:fldCharType="separate"/>
      </w:r>
      <w:r w:rsidR="00345186">
        <w:rPr>
          <w:noProof/>
        </w:rPr>
        <w:t>22</w:t>
      </w:r>
      <w:r w:rsidR="00345186">
        <w:fldChar w:fldCharType="end"/>
      </w:r>
      <w:bookmarkEnd w:id="29"/>
      <w:r w:rsidRPr="00AE2D6F">
        <w:t xml:space="preserve">: </w:t>
      </w:r>
      <w:r w:rsidR="00863F51" w:rsidRPr="00AE2D6F">
        <w:rPr>
          <w:rFonts w:asciiTheme="majorHAnsi" w:hAnsiTheme="majorHAnsi"/>
        </w:rPr>
        <w:t>Baseline Characteristics of Paediatric Patients Enrolled in Study C10-003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2190"/>
        <w:gridCol w:w="1510"/>
      </w:tblGrid>
      <w:tr w:rsidR="00863F51" w:rsidRPr="00AE2D6F" w14:paraId="49E9ED1C" w14:textId="77777777" w:rsidTr="006C5055">
        <w:trPr>
          <w:cantSplit/>
          <w:trHeight w:val="628"/>
          <w:tblHeader/>
          <w:jc w:val="center"/>
        </w:trPr>
        <w:tc>
          <w:tcPr>
            <w:tcW w:w="5431" w:type="dxa"/>
            <w:shd w:val="clear" w:color="auto" w:fill="auto"/>
            <w:vAlign w:val="center"/>
          </w:tcPr>
          <w:p w14:paraId="39DEFAED" w14:textId="77777777" w:rsidR="00863F51" w:rsidRPr="00AE2D6F" w:rsidRDefault="00863F51" w:rsidP="006C5055">
            <w:pPr>
              <w:pStyle w:val="C-TableHeader"/>
              <w:keepNext w:val="0"/>
              <w:tabs>
                <w:tab w:val="left" w:pos="567"/>
              </w:tabs>
              <w:spacing w:before="40" w:after="40" w:line="260" w:lineRule="exact"/>
              <w:rPr>
                <w:rFonts w:asciiTheme="majorHAnsi" w:hAnsiTheme="majorHAnsi"/>
                <w:szCs w:val="22"/>
                <w:lang w:val="en-GB"/>
              </w:rPr>
            </w:pPr>
            <w:r w:rsidRPr="00AE2D6F">
              <w:rPr>
                <w:rFonts w:asciiTheme="majorHAnsi" w:hAnsiTheme="majorHAnsi"/>
                <w:szCs w:val="22"/>
                <w:lang w:val="en-GB"/>
              </w:rPr>
              <w:t>Parameter</w:t>
            </w:r>
          </w:p>
        </w:tc>
        <w:tc>
          <w:tcPr>
            <w:tcW w:w="2237" w:type="dxa"/>
            <w:vAlign w:val="center"/>
          </w:tcPr>
          <w:p w14:paraId="3A4D30C3" w14:textId="77777777" w:rsidR="00863F51" w:rsidRPr="00AE2D6F" w:rsidRDefault="00863F51" w:rsidP="006C5055">
            <w:pPr>
              <w:pStyle w:val="C-TableHeader"/>
              <w:keepNext w:val="0"/>
              <w:spacing w:before="0" w:after="0"/>
              <w:jc w:val="center"/>
              <w:rPr>
                <w:rFonts w:asciiTheme="majorHAnsi" w:hAnsiTheme="majorHAnsi"/>
                <w:szCs w:val="22"/>
                <w:lang w:val="en-GB"/>
              </w:rPr>
            </w:pPr>
            <w:r w:rsidRPr="00AE2D6F">
              <w:rPr>
                <w:rFonts w:asciiTheme="majorHAnsi" w:hAnsiTheme="majorHAnsi"/>
                <w:szCs w:val="22"/>
                <w:lang w:val="en-GB"/>
              </w:rPr>
              <w:t>1 month to &lt;12 years (n=18)</w:t>
            </w:r>
          </w:p>
        </w:tc>
        <w:tc>
          <w:tcPr>
            <w:tcW w:w="1540" w:type="dxa"/>
            <w:shd w:val="clear" w:color="auto" w:fill="auto"/>
            <w:vAlign w:val="center"/>
          </w:tcPr>
          <w:p w14:paraId="3E547A70" w14:textId="77777777" w:rsidR="00863F51" w:rsidRPr="00AE2D6F" w:rsidRDefault="00863F51" w:rsidP="006C5055">
            <w:pPr>
              <w:pStyle w:val="C-TableHeader"/>
              <w:keepNext w:val="0"/>
              <w:spacing w:before="0" w:after="0"/>
              <w:jc w:val="center"/>
              <w:rPr>
                <w:rFonts w:asciiTheme="majorHAnsi" w:hAnsiTheme="majorHAnsi"/>
                <w:b w:val="0"/>
                <w:szCs w:val="22"/>
                <w:lang w:val="en-GB"/>
              </w:rPr>
            </w:pPr>
            <w:r w:rsidRPr="00AE2D6F">
              <w:rPr>
                <w:rFonts w:asciiTheme="majorHAnsi" w:hAnsiTheme="majorHAnsi"/>
                <w:szCs w:val="22"/>
                <w:lang w:val="en-GB"/>
              </w:rPr>
              <w:t xml:space="preserve">All patients </w:t>
            </w:r>
            <w:r w:rsidRPr="00AE2D6F">
              <w:rPr>
                <w:rFonts w:asciiTheme="majorHAnsi" w:hAnsiTheme="majorHAnsi"/>
                <w:szCs w:val="22"/>
              </w:rPr>
              <w:t>(n=22)</w:t>
            </w:r>
          </w:p>
        </w:tc>
      </w:tr>
      <w:tr w:rsidR="00863F51" w:rsidRPr="00AE2D6F" w14:paraId="7F764A22" w14:textId="77777777" w:rsidTr="00F00B64">
        <w:trPr>
          <w:cantSplit/>
          <w:trHeight w:val="606"/>
          <w:jc w:val="center"/>
        </w:trPr>
        <w:tc>
          <w:tcPr>
            <w:tcW w:w="5431" w:type="dxa"/>
            <w:shd w:val="clear" w:color="auto" w:fill="auto"/>
            <w:vAlign w:val="center"/>
          </w:tcPr>
          <w:p w14:paraId="2E3A1D85" w14:textId="77777777" w:rsidR="00863F51" w:rsidRPr="00AE2D6F" w:rsidRDefault="00863F51" w:rsidP="006C5055">
            <w:pPr>
              <w:pStyle w:val="C-TableHeader"/>
              <w:keepNext w:val="0"/>
              <w:spacing w:before="40" w:after="40"/>
              <w:rPr>
                <w:rFonts w:asciiTheme="majorHAnsi" w:hAnsiTheme="majorHAnsi"/>
                <w:b w:val="0"/>
                <w:szCs w:val="22"/>
                <w:lang w:val="en-GB"/>
              </w:rPr>
            </w:pPr>
            <w:r w:rsidRPr="00AE2D6F">
              <w:rPr>
                <w:rFonts w:asciiTheme="majorHAnsi" w:hAnsiTheme="majorHAnsi"/>
                <w:b w:val="0"/>
                <w:szCs w:val="22"/>
                <w:lang w:val="en-GB"/>
              </w:rPr>
              <w:t>Time from aHUS diagnosis until first study dose (months); median (min, max)</w:t>
            </w:r>
          </w:p>
        </w:tc>
        <w:tc>
          <w:tcPr>
            <w:tcW w:w="2237" w:type="dxa"/>
            <w:vAlign w:val="center"/>
          </w:tcPr>
          <w:p w14:paraId="068B42B3"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0.51 </w:t>
            </w:r>
          </w:p>
          <w:p w14:paraId="278A762A"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(0.03,</w:t>
            </w:r>
            <w:r w:rsidR="000D0714" w:rsidRPr="00AE2D6F">
              <w:rPr>
                <w:rFonts w:asciiTheme="majorHAnsi" w:hAnsiTheme="majorHAnsi"/>
                <w:sz w:val="22"/>
                <w:szCs w:val="22"/>
                <w:lang w:val="en-GB"/>
              </w:rPr>
              <w:t xml:space="preserve"> </w:t>
            </w:r>
            <w:r w:rsidRPr="00AE2D6F">
              <w:rPr>
                <w:rFonts w:asciiTheme="majorHAnsi" w:hAnsiTheme="majorHAnsi"/>
                <w:sz w:val="22"/>
                <w:szCs w:val="22"/>
                <w:lang w:val="en-GB"/>
              </w:rPr>
              <w:t>58)</w:t>
            </w:r>
          </w:p>
        </w:tc>
        <w:tc>
          <w:tcPr>
            <w:tcW w:w="1540" w:type="dxa"/>
            <w:shd w:val="clear" w:color="auto" w:fill="auto"/>
            <w:vAlign w:val="center"/>
          </w:tcPr>
          <w:p w14:paraId="05E3F863" w14:textId="77777777" w:rsidR="000D0714"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0.56 </w:t>
            </w:r>
          </w:p>
          <w:p w14:paraId="15BC9A40"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(0.03,</w:t>
            </w:r>
            <w:r w:rsidR="000D0714" w:rsidRPr="00AE2D6F">
              <w:rPr>
                <w:rFonts w:asciiTheme="majorHAnsi" w:hAnsiTheme="majorHAnsi"/>
                <w:sz w:val="22"/>
                <w:szCs w:val="22"/>
                <w:lang w:val="en-GB"/>
              </w:rPr>
              <w:t xml:space="preserve"> </w:t>
            </w:r>
            <w:r w:rsidRPr="00AE2D6F">
              <w:rPr>
                <w:rFonts w:asciiTheme="majorHAnsi" w:hAnsiTheme="majorHAnsi"/>
                <w:sz w:val="22"/>
                <w:szCs w:val="22"/>
                <w:lang w:val="en-GB"/>
              </w:rPr>
              <w:t>191)</w:t>
            </w:r>
          </w:p>
        </w:tc>
      </w:tr>
      <w:tr w:rsidR="00863F51" w:rsidRPr="00AE2D6F" w14:paraId="0DC799A2" w14:textId="77777777" w:rsidTr="00F00B64">
        <w:trPr>
          <w:cantSplit/>
          <w:trHeight w:val="615"/>
          <w:jc w:val="center"/>
        </w:trPr>
        <w:tc>
          <w:tcPr>
            <w:tcW w:w="5431" w:type="dxa"/>
            <w:shd w:val="clear" w:color="auto" w:fill="auto"/>
            <w:vAlign w:val="center"/>
          </w:tcPr>
          <w:p w14:paraId="78070617" w14:textId="77777777" w:rsidR="00863F51" w:rsidRPr="00AE2D6F" w:rsidRDefault="00863F51" w:rsidP="006C5055">
            <w:pPr>
              <w:pStyle w:val="C-TableHeader"/>
              <w:keepNext w:val="0"/>
              <w:spacing w:before="40" w:after="40"/>
              <w:rPr>
                <w:rFonts w:asciiTheme="majorHAnsi" w:hAnsiTheme="majorHAnsi"/>
                <w:b w:val="0"/>
                <w:szCs w:val="22"/>
                <w:lang w:val="en-GB"/>
              </w:rPr>
            </w:pPr>
            <w:r w:rsidRPr="00AE2D6F">
              <w:rPr>
                <w:rFonts w:asciiTheme="majorHAnsi" w:hAnsiTheme="majorHAnsi"/>
                <w:b w:val="0"/>
                <w:szCs w:val="22"/>
                <w:lang w:val="en-GB"/>
              </w:rPr>
              <w:t>Time from current clinical TMA manifestation until first study dose (months); median (min, max)</w:t>
            </w:r>
          </w:p>
        </w:tc>
        <w:tc>
          <w:tcPr>
            <w:tcW w:w="2237" w:type="dxa"/>
            <w:vAlign w:val="center"/>
          </w:tcPr>
          <w:p w14:paraId="4081976B"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0.23 </w:t>
            </w:r>
          </w:p>
          <w:p w14:paraId="469AAF79"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(0.03, 4)</w:t>
            </w:r>
          </w:p>
        </w:tc>
        <w:tc>
          <w:tcPr>
            <w:tcW w:w="1540" w:type="dxa"/>
            <w:shd w:val="clear" w:color="auto" w:fill="auto"/>
            <w:vAlign w:val="center"/>
          </w:tcPr>
          <w:p w14:paraId="374A995D"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0.20 </w:t>
            </w:r>
          </w:p>
          <w:p w14:paraId="43EA478C"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(0.03, 4)</w:t>
            </w:r>
          </w:p>
        </w:tc>
      </w:tr>
      <w:tr w:rsidR="00863F51" w:rsidRPr="00AE2D6F" w14:paraId="60814437" w14:textId="77777777" w:rsidTr="00F00B64">
        <w:trPr>
          <w:cantSplit/>
          <w:trHeight w:val="534"/>
          <w:jc w:val="center"/>
        </w:trPr>
        <w:tc>
          <w:tcPr>
            <w:tcW w:w="5431" w:type="dxa"/>
            <w:shd w:val="clear" w:color="auto" w:fill="auto"/>
            <w:vAlign w:val="center"/>
          </w:tcPr>
          <w:p w14:paraId="3D5D922D" w14:textId="77777777" w:rsidR="00863F51" w:rsidRPr="00AE2D6F" w:rsidRDefault="00863F51" w:rsidP="006C5055">
            <w:pPr>
              <w:pStyle w:val="C-TableHeader"/>
              <w:keepNext w:val="0"/>
              <w:spacing w:before="40" w:after="40"/>
              <w:rPr>
                <w:rFonts w:asciiTheme="majorHAnsi" w:hAnsiTheme="majorHAnsi"/>
                <w:b w:val="0"/>
                <w:szCs w:val="22"/>
                <w:lang w:val="en-GB"/>
              </w:rPr>
            </w:pPr>
            <w:r w:rsidRPr="00AE2D6F">
              <w:rPr>
                <w:rFonts w:asciiTheme="majorHAnsi" w:hAnsiTheme="majorHAnsi"/>
                <w:b w:val="0"/>
                <w:szCs w:val="22"/>
                <w:lang w:val="en-GB"/>
              </w:rPr>
              <w:t>Baseline platelet count (x 10</w:t>
            </w:r>
            <w:r w:rsidRPr="00AE2D6F">
              <w:rPr>
                <w:rFonts w:asciiTheme="majorHAnsi" w:hAnsiTheme="majorHAnsi"/>
                <w:b w:val="0"/>
                <w:szCs w:val="22"/>
                <w:vertAlign w:val="superscript"/>
                <w:lang w:val="en-GB"/>
              </w:rPr>
              <w:t>9</w:t>
            </w:r>
            <w:r w:rsidRPr="00AE2D6F">
              <w:rPr>
                <w:rFonts w:asciiTheme="majorHAnsi" w:hAnsiTheme="majorHAnsi"/>
                <w:b w:val="0"/>
                <w:szCs w:val="22"/>
                <w:lang w:val="en-GB"/>
              </w:rPr>
              <w:t>/L); median (min, max)</w:t>
            </w:r>
          </w:p>
        </w:tc>
        <w:tc>
          <w:tcPr>
            <w:tcW w:w="2237" w:type="dxa"/>
            <w:vAlign w:val="center"/>
          </w:tcPr>
          <w:p w14:paraId="49BD9646"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110 </w:t>
            </w:r>
          </w:p>
          <w:p w14:paraId="093AD1AD"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(19, 146)</w:t>
            </w:r>
          </w:p>
        </w:tc>
        <w:tc>
          <w:tcPr>
            <w:tcW w:w="1540" w:type="dxa"/>
            <w:shd w:val="clear" w:color="auto" w:fill="auto"/>
            <w:vAlign w:val="center"/>
          </w:tcPr>
          <w:p w14:paraId="308A8FF2"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91 </w:t>
            </w:r>
          </w:p>
          <w:p w14:paraId="4EC1164C"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(19, 146)</w:t>
            </w:r>
          </w:p>
        </w:tc>
      </w:tr>
      <w:tr w:rsidR="00863F51" w:rsidRPr="00AE2D6F" w14:paraId="5FFA188C" w14:textId="77777777" w:rsidTr="00F00B64">
        <w:trPr>
          <w:cantSplit/>
          <w:trHeight w:val="408"/>
          <w:jc w:val="center"/>
        </w:trPr>
        <w:tc>
          <w:tcPr>
            <w:tcW w:w="5431" w:type="dxa"/>
            <w:shd w:val="clear" w:color="auto" w:fill="auto"/>
            <w:vAlign w:val="center"/>
          </w:tcPr>
          <w:p w14:paraId="5A22CD51" w14:textId="77777777" w:rsidR="00863F51" w:rsidRPr="00AE2D6F" w:rsidRDefault="00863F51" w:rsidP="006C5055">
            <w:pPr>
              <w:pStyle w:val="C-TableHeader"/>
              <w:keepNext w:val="0"/>
              <w:spacing w:before="40" w:after="40"/>
              <w:rPr>
                <w:rFonts w:asciiTheme="majorHAnsi" w:hAnsiTheme="majorHAnsi"/>
                <w:b w:val="0"/>
                <w:szCs w:val="22"/>
                <w:lang w:val="en-GB"/>
              </w:rPr>
            </w:pPr>
            <w:r w:rsidRPr="00AE2D6F">
              <w:rPr>
                <w:rFonts w:asciiTheme="majorHAnsi" w:hAnsiTheme="majorHAnsi"/>
                <w:b w:val="0"/>
                <w:szCs w:val="22"/>
                <w:lang w:val="en-GB"/>
              </w:rPr>
              <w:t>Baseline LDH (U/L); median (min, max)</w:t>
            </w:r>
          </w:p>
        </w:tc>
        <w:tc>
          <w:tcPr>
            <w:tcW w:w="2237" w:type="dxa"/>
            <w:vAlign w:val="center"/>
          </w:tcPr>
          <w:p w14:paraId="042B8661"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1510</w:t>
            </w:r>
          </w:p>
          <w:p w14:paraId="14CEE493"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(282, 7164)</w:t>
            </w:r>
          </w:p>
        </w:tc>
        <w:tc>
          <w:tcPr>
            <w:tcW w:w="1540" w:type="dxa"/>
            <w:shd w:val="clear" w:color="auto" w:fill="auto"/>
            <w:vAlign w:val="center"/>
          </w:tcPr>
          <w:p w14:paraId="60238AC1"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1244 </w:t>
            </w:r>
          </w:p>
          <w:p w14:paraId="4E8F0686"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(282, 7164)</w:t>
            </w:r>
          </w:p>
        </w:tc>
      </w:tr>
      <w:tr w:rsidR="00863F51" w:rsidRPr="00AE2D6F" w14:paraId="1439190D" w14:textId="77777777" w:rsidTr="006C5055">
        <w:trPr>
          <w:cantSplit/>
          <w:trHeight w:val="525"/>
          <w:jc w:val="center"/>
        </w:trPr>
        <w:tc>
          <w:tcPr>
            <w:tcW w:w="5431" w:type="dxa"/>
            <w:shd w:val="clear" w:color="auto" w:fill="auto"/>
            <w:vAlign w:val="center"/>
          </w:tcPr>
          <w:p w14:paraId="188C92D8" w14:textId="324DC211" w:rsidR="00863F51" w:rsidRPr="00AE2D6F" w:rsidRDefault="00863F51" w:rsidP="006C5055">
            <w:pPr>
              <w:pStyle w:val="C-TableHeader"/>
              <w:keepNext w:val="0"/>
              <w:spacing w:before="40" w:after="40"/>
              <w:rPr>
                <w:rFonts w:asciiTheme="majorHAnsi" w:hAnsiTheme="majorHAnsi"/>
                <w:b w:val="0"/>
                <w:szCs w:val="22"/>
                <w:lang w:val="en-GB"/>
              </w:rPr>
            </w:pPr>
            <w:r w:rsidRPr="00AE2D6F">
              <w:rPr>
                <w:rFonts w:asciiTheme="majorHAnsi" w:hAnsiTheme="majorHAnsi"/>
                <w:b w:val="0"/>
              </w:rPr>
              <w:t>Baseline eGFR (mL/min/1.73 m</w:t>
            </w:r>
            <w:r w:rsidRPr="00AE2D6F">
              <w:rPr>
                <w:rFonts w:asciiTheme="majorHAnsi" w:hAnsiTheme="majorHAnsi"/>
                <w:b w:val="0"/>
                <w:vertAlign w:val="superscript"/>
              </w:rPr>
              <w:t>2</w:t>
            </w:r>
            <w:r w:rsidRPr="00AE2D6F">
              <w:rPr>
                <w:rFonts w:asciiTheme="majorHAnsi" w:hAnsiTheme="majorHAnsi"/>
                <w:b w:val="0"/>
              </w:rPr>
              <w:t>), median (min, max)</w:t>
            </w:r>
          </w:p>
        </w:tc>
        <w:tc>
          <w:tcPr>
            <w:tcW w:w="2237" w:type="dxa"/>
            <w:vAlign w:val="center"/>
          </w:tcPr>
          <w:p w14:paraId="63EA3618"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22 </w:t>
            </w:r>
          </w:p>
          <w:p w14:paraId="2B2A1774"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(10, 105)</w:t>
            </w:r>
          </w:p>
        </w:tc>
        <w:tc>
          <w:tcPr>
            <w:tcW w:w="1540" w:type="dxa"/>
            <w:shd w:val="clear" w:color="auto" w:fill="auto"/>
            <w:vAlign w:val="center"/>
          </w:tcPr>
          <w:p w14:paraId="08D283BA"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 xml:space="preserve">22 </w:t>
            </w:r>
          </w:p>
          <w:p w14:paraId="0F142E18" w14:textId="77777777" w:rsidR="00863F51" w:rsidRPr="00AE2D6F" w:rsidRDefault="00863F51" w:rsidP="006C5055">
            <w:pPr>
              <w:pStyle w:val="C-BodyText"/>
              <w:spacing w:before="0" w:after="0"/>
              <w:jc w:val="center"/>
              <w:rPr>
                <w:rFonts w:asciiTheme="majorHAnsi" w:hAnsiTheme="majorHAnsi"/>
                <w:sz w:val="22"/>
                <w:szCs w:val="22"/>
                <w:lang w:val="en-GB"/>
              </w:rPr>
            </w:pPr>
            <w:r w:rsidRPr="00AE2D6F">
              <w:rPr>
                <w:rFonts w:asciiTheme="majorHAnsi" w:hAnsiTheme="majorHAnsi"/>
                <w:sz w:val="22"/>
                <w:szCs w:val="22"/>
                <w:lang w:val="en-GB"/>
              </w:rPr>
              <w:t>(10, 105)</w:t>
            </w:r>
          </w:p>
        </w:tc>
      </w:tr>
    </w:tbl>
    <w:p w14:paraId="6D82C264" w14:textId="77777777" w:rsidR="00633E0A" w:rsidRPr="00AE2D6F" w:rsidRDefault="00863F51" w:rsidP="00863F51">
      <w:pPr>
        <w:pStyle w:val="C-BodyText"/>
        <w:rPr>
          <w:rFonts w:asciiTheme="majorHAnsi" w:hAnsiTheme="majorHAnsi"/>
          <w:szCs w:val="24"/>
          <w:lang w:val="en-GB"/>
        </w:rPr>
      </w:pPr>
      <w:r w:rsidRPr="00AE2D6F">
        <w:rPr>
          <w:rFonts w:asciiTheme="majorHAnsi" w:hAnsiTheme="majorHAnsi"/>
          <w:szCs w:val="24"/>
          <w:lang w:val="en-GB"/>
        </w:rPr>
        <w:t xml:space="preserve">Patients in </w:t>
      </w:r>
      <w:r w:rsidRPr="00AE2D6F">
        <w:rPr>
          <w:rFonts w:asciiTheme="majorHAnsi" w:hAnsiTheme="majorHAnsi"/>
          <w:i/>
          <w:szCs w:val="24"/>
          <w:lang w:val="en-GB"/>
        </w:rPr>
        <w:t>Study C10-003</w:t>
      </w:r>
      <w:r w:rsidRPr="00AE2D6F">
        <w:rPr>
          <w:rFonts w:asciiTheme="majorHAnsi" w:hAnsiTheme="majorHAnsi"/>
          <w:szCs w:val="24"/>
          <w:lang w:val="en-GB"/>
        </w:rPr>
        <w:t xml:space="preserve"> received </w:t>
      </w:r>
      <w:r w:rsidR="00B249B7" w:rsidRPr="00AE2D6F">
        <w:rPr>
          <w:rFonts w:asciiTheme="majorHAnsi" w:hAnsiTheme="majorHAnsi"/>
          <w:szCs w:val="24"/>
          <w:lang w:val="en-AU"/>
        </w:rPr>
        <w:t>Soliris</w:t>
      </w:r>
      <w:r w:rsidRPr="00AE2D6F">
        <w:rPr>
          <w:rFonts w:asciiTheme="majorHAnsi" w:hAnsiTheme="majorHAnsi"/>
          <w:szCs w:val="24"/>
          <w:lang w:val="en-GB"/>
        </w:rPr>
        <w:t xml:space="preserve"> for a minimum of 26 weeks. After completion of the initial 26-week treatment period, most patients elected to continue on chronic dosing. Reduction in terminal complement activity was observed in all patients after commencement of </w:t>
      </w:r>
      <w:r w:rsidR="00B249B7" w:rsidRPr="00AE2D6F">
        <w:rPr>
          <w:rFonts w:asciiTheme="majorHAnsi" w:hAnsiTheme="majorHAnsi"/>
          <w:szCs w:val="24"/>
          <w:lang w:val="en-AU"/>
        </w:rPr>
        <w:t>Soliris</w:t>
      </w:r>
      <w:r w:rsidRPr="00AE2D6F">
        <w:rPr>
          <w:rFonts w:asciiTheme="majorHAnsi" w:hAnsiTheme="majorHAnsi"/>
          <w:szCs w:val="24"/>
          <w:lang w:val="en-GB"/>
        </w:rPr>
        <w:t xml:space="preserve">. </w:t>
      </w:r>
      <w:r w:rsidR="00B249B7" w:rsidRPr="00AE2D6F">
        <w:rPr>
          <w:rFonts w:asciiTheme="majorHAnsi" w:hAnsiTheme="majorHAnsi"/>
          <w:szCs w:val="24"/>
          <w:lang w:val="en-AU"/>
        </w:rPr>
        <w:t>Soliris</w:t>
      </w:r>
      <w:r w:rsidRPr="00AE2D6F">
        <w:rPr>
          <w:rFonts w:asciiTheme="majorHAnsi" w:hAnsiTheme="majorHAnsi"/>
          <w:szCs w:val="24"/>
          <w:lang w:val="en-GB"/>
        </w:rPr>
        <w:t xml:space="preserve"> reduced signs of complement-mediated TMA activity, as shown by an increase in mean platelet cou</w:t>
      </w:r>
      <w:r w:rsidR="00633E0A" w:rsidRPr="00AE2D6F">
        <w:rPr>
          <w:rFonts w:asciiTheme="majorHAnsi" w:hAnsiTheme="majorHAnsi"/>
          <w:szCs w:val="24"/>
          <w:lang w:val="en-GB"/>
        </w:rPr>
        <w:t>nts from baseline to 26 weeks.</w:t>
      </w:r>
    </w:p>
    <w:p w14:paraId="4C6858C9" w14:textId="77777777" w:rsidR="00633E0A" w:rsidRPr="00AE2D6F" w:rsidRDefault="00863F51" w:rsidP="00863F51">
      <w:pPr>
        <w:pStyle w:val="C-BodyText"/>
        <w:rPr>
          <w:rFonts w:asciiTheme="majorHAnsi" w:hAnsiTheme="majorHAnsi"/>
          <w:szCs w:val="24"/>
          <w:lang w:val="en-GB"/>
        </w:rPr>
      </w:pPr>
      <w:r w:rsidRPr="00AE2D6F">
        <w:rPr>
          <w:rFonts w:asciiTheme="majorHAnsi" w:hAnsiTheme="majorHAnsi"/>
          <w:szCs w:val="24"/>
          <w:lang w:val="en-GB"/>
        </w:rPr>
        <w:t>The mean platelet</w:t>
      </w:r>
      <w:r w:rsidR="00A90BEE" w:rsidRPr="00AE2D6F">
        <w:rPr>
          <w:rFonts w:asciiTheme="majorHAnsi" w:hAnsiTheme="majorHAnsi"/>
          <w:szCs w:val="24"/>
          <w:lang w:val="en-GB"/>
        </w:rPr>
        <w:t xml:space="preserve"> count (± SD) increased from 88 </w:t>
      </w:r>
      <w:r w:rsidRPr="00AE2D6F">
        <w:rPr>
          <w:rFonts w:asciiTheme="majorHAnsi" w:hAnsiTheme="majorHAnsi"/>
          <w:szCs w:val="24"/>
          <w:lang w:val="en-GB"/>
        </w:rPr>
        <w:t>± 42 x10</w:t>
      </w:r>
      <w:r w:rsidRPr="00AE2D6F">
        <w:rPr>
          <w:rFonts w:asciiTheme="majorHAnsi" w:hAnsiTheme="majorHAnsi"/>
          <w:szCs w:val="24"/>
          <w:vertAlign w:val="superscript"/>
          <w:lang w:val="en-GB"/>
        </w:rPr>
        <w:t>9</w:t>
      </w:r>
      <w:r w:rsidRPr="00AE2D6F">
        <w:rPr>
          <w:rFonts w:asciiTheme="majorHAnsi" w:hAnsiTheme="majorHAnsi"/>
          <w:szCs w:val="24"/>
          <w:lang w:val="en-GB"/>
        </w:rPr>
        <w:t>/L at baseline, to 281 ± 123 x10</w:t>
      </w:r>
      <w:r w:rsidRPr="00AE2D6F">
        <w:rPr>
          <w:rFonts w:asciiTheme="majorHAnsi" w:hAnsiTheme="majorHAnsi"/>
          <w:szCs w:val="24"/>
          <w:vertAlign w:val="superscript"/>
          <w:lang w:val="en-GB"/>
        </w:rPr>
        <w:t>9</w:t>
      </w:r>
      <w:r w:rsidRPr="00AE2D6F">
        <w:rPr>
          <w:rFonts w:asciiTheme="majorHAnsi" w:hAnsiTheme="majorHAnsi"/>
          <w:szCs w:val="24"/>
          <w:lang w:val="en-GB"/>
        </w:rPr>
        <w:t>/L by one week; this effect was maintained through 26 weeks (mean platelet count (± SD) at week 26: 293 ± 106 x10</w:t>
      </w:r>
      <w:r w:rsidRPr="00AE2D6F">
        <w:rPr>
          <w:rFonts w:asciiTheme="majorHAnsi" w:hAnsiTheme="majorHAnsi"/>
          <w:szCs w:val="24"/>
          <w:vertAlign w:val="superscript"/>
          <w:lang w:val="en-GB"/>
        </w:rPr>
        <w:t>9</w:t>
      </w:r>
      <w:r w:rsidRPr="00AE2D6F">
        <w:rPr>
          <w:rFonts w:asciiTheme="majorHAnsi" w:hAnsiTheme="majorHAnsi"/>
          <w:szCs w:val="24"/>
          <w:lang w:val="en-GB"/>
        </w:rPr>
        <w:t xml:space="preserve">/L). Renal function, as measured by median eGFR, was improved during </w:t>
      </w:r>
      <w:r w:rsidR="00B249B7" w:rsidRPr="00AE2D6F">
        <w:rPr>
          <w:rFonts w:asciiTheme="majorHAnsi" w:hAnsiTheme="majorHAnsi"/>
          <w:szCs w:val="24"/>
          <w:lang w:val="en-AU"/>
        </w:rPr>
        <w:t>Soliris</w:t>
      </w:r>
      <w:r w:rsidRPr="00AE2D6F">
        <w:rPr>
          <w:rFonts w:asciiTheme="majorHAnsi" w:hAnsiTheme="majorHAnsi"/>
          <w:szCs w:val="24"/>
          <w:lang w:val="en-GB"/>
        </w:rPr>
        <w:t xml:space="preserve"> therapy. Nine of the 11 patients who required dialysis at baseline no longer required dialysis after Study Day 15 of </w:t>
      </w:r>
      <w:r w:rsidR="00B249B7" w:rsidRPr="00AE2D6F">
        <w:rPr>
          <w:rFonts w:asciiTheme="majorHAnsi" w:hAnsiTheme="majorHAnsi"/>
          <w:szCs w:val="24"/>
          <w:lang w:val="en-AU"/>
        </w:rPr>
        <w:t>Soliris</w:t>
      </w:r>
      <w:r w:rsidR="00633E0A" w:rsidRPr="00AE2D6F">
        <w:rPr>
          <w:rFonts w:asciiTheme="majorHAnsi" w:hAnsiTheme="majorHAnsi"/>
          <w:szCs w:val="24"/>
          <w:lang w:val="en-GB"/>
        </w:rPr>
        <w:t xml:space="preserve"> treatment.</w:t>
      </w:r>
    </w:p>
    <w:p w14:paraId="5A22E492" w14:textId="0E77F7EA" w:rsidR="00863F51" w:rsidRPr="00AE2D6F" w:rsidRDefault="00863F51" w:rsidP="00863F51">
      <w:pPr>
        <w:pStyle w:val="C-BodyText"/>
        <w:rPr>
          <w:rFonts w:asciiTheme="majorHAnsi" w:hAnsiTheme="majorHAnsi"/>
          <w:szCs w:val="24"/>
          <w:lang w:val="en-GB"/>
        </w:rPr>
      </w:pPr>
      <w:r w:rsidRPr="00AE2D6F">
        <w:rPr>
          <w:rFonts w:asciiTheme="majorHAnsi" w:hAnsiTheme="majorHAnsi"/>
          <w:szCs w:val="24"/>
          <w:lang w:val="en-GB"/>
        </w:rPr>
        <w:t xml:space="preserve">Responses were similar across all ages from 5 months to 17 years of age. In </w:t>
      </w:r>
      <w:r w:rsidRPr="00AE2D6F">
        <w:rPr>
          <w:rFonts w:asciiTheme="majorHAnsi" w:hAnsiTheme="majorHAnsi"/>
          <w:i/>
          <w:szCs w:val="24"/>
          <w:lang w:val="en-GB"/>
        </w:rPr>
        <w:t>Study C10-003</w:t>
      </w:r>
      <w:r w:rsidRPr="00AE2D6F">
        <w:rPr>
          <w:rFonts w:asciiTheme="majorHAnsi" w:hAnsiTheme="majorHAnsi"/>
          <w:szCs w:val="24"/>
          <w:lang w:val="en-GB"/>
        </w:rPr>
        <w:t xml:space="preserve">, responses to </w:t>
      </w:r>
      <w:r w:rsidR="00B249B7" w:rsidRPr="00AE2D6F">
        <w:rPr>
          <w:rFonts w:asciiTheme="majorHAnsi" w:hAnsiTheme="majorHAnsi"/>
          <w:szCs w:val="24"/>
          <w:lang w:val="en-AU"/>
        </w:rPr>
        <w:t>Soliris</w:t>
      </w:r>
      <w:r w:rsidRPr="00AE2D6F">
        <w:rPr>
          <w:rFonts w:asciiTheme="majorHAnsi" w:hAnsiTheme="majorHAnsi"/>
          <w:szCs w:val="24"/>
          <w:lang w:val="en-GB"/>
        </w:rPr>
        <w:t xml:space="preserve"> were similar in patients with and without identified mutations in genes encoding complement regulatory factor proteins or auto-antibodies to factor H.  </w:t>
      </w:r>
      <w:r w:rsidR="00474895" w:rsidRPr="00AE2D6F">
        <w:rPr>
          <w:rFonts w:asciiTheme="majorHAnsi" w:hAnsiTheme="majorHAnsi"/>
          <w:szCs w:val="24"/>
          <w:lang w:val="en-GB"/>
        </w:rPr>
        <w:fldChar w:fldCharType="begin"/>
      </w:r>
      <w:r w:rsidR="00474895" w:rsidRPr="00AE2D6F">
        <w:rPr>
          <w:rFonts w:asciiTheme="majorHAnsi" w:hAnsiTheme="majorHAnsi"/>
          <w:szCs w:val="24"/>
          <w:lang w:val="en-GB"/>
        </w:rPr>
        <w:instrText xml:space="preserve"> REF _Ref18592453 \h </w:instrText>
      </w:r>
      <w:r w:rsidR="00474895" w:rsidRPr="00AE2D6F">
        <w:rPr>
          <w:rFonts w:asciiTheme="majorHAnsi" w:hAnsiTheme="majorHAnsi"/>
          <w:szCs w:val="24"/>
          <w:lang w:val="en-GB"/>
        </w:rPr>
      </w:r>
      <w:r w:rsidR="00474895" w:rsidRPr="00AE2D6F">
        <w:rPr>
          <w:rFonts w:asciiTheme="majorHAnsi" w:hAnsiTheme="majorHAnsi"/>
          <w:szCs w:val="24"/>
          <w:lang w:val="en-GB"/>
        </w:rPr>
        <w:fldChar w:fldCharType="separate"/>
      </w:r>
      <w:r w:rsidR="004E508F" w:rsidRPr="00AE2D6F">
        <w:t xml:space="preserve">Table </w:t>
      </w:r>
      <w:r w:rsidR="004E508F">
        <w:rPr>
          <w:noProof/>
        </w:rPr>
        <w:t>23</w:t>
      </w:r>
      <w:r w:rsidR="00474895" w:rsidRPr="00AE2D6F">
        <w:rPr>
          <w:rFonts w:asciiTheme="majorHAnsi" w:hAnsiTheme="majorHAnsi"/>
          <w:szCs w:val="24"/>
          <w:lang w:val="en-GB"/>
        </w:rPr>
        <w:fldChar w:fldCharType="end"/>
      </w:r>
      <w:r w:rsidR="00C8302C" w:rsidRPr="00AE2D6F">
        <w:rPr>
          <w:rFonts w:asciiTheme="majorHAnsi" w:hAnsiTheme="majorHAnsi"/>
          <w:szCs w:val="24"/>
          <w:lang w:val="en-GB"/>
        </w:rPr>
        <w:t xml:space="preserve">summarises </w:t>
      </w:r>
      <w:r w:rsidRPr="00AE2D6F">
        <w:rPr>
          <w:rFonts w:asciiTheme="majorHAnsi" w:hAnsiTheme="majorHAnsi"/>
          <w:szCs w:val="24"/>
          <w:lang w:val="en-GB"/>
        </w:rPr>
        <w:t xml:space="preserve">the efficacy results for </w:t>
      </w:r>
      <w:r w:rsidRPr="00AE2D6F">
        <w:rPr>
          <w:rFonts w:asciiTheme="majorHAnsi" w:hAnsiTheme="majorHAnsi"/>
          <w:i/>
          <w:szCs w:val="24"/>
          <w:lang w:val="en-GB"/>
        </w:rPr>
        <w:t>Study C10-003</w:t>
      </w:r>
      <w:r w:rsidRPr="00AE2D6F">
        <w:rPr>
          <w:rFonts w:asciiTheme="majorHAnsi" w:hAnsiTheme="majorHAnsi"/>
          <w:szCs w:val="24"/>
          <w:lang w:val="en-GB"/>
        </w:rPr>
        <w:t>.</w:t>
      </w:r>
    </w:p>
    <w:p w14:paraId="07A78ECF" w14:textId="4AF4A6D4" w:rsidR="00863F51" w:rsidRPr="00AE2D6F" w:rsidRDefault="00474895" w:rsidP="00AC451B">
      <w:pPr>
        <w:pStyle w:val="Caption"/>
        <w:spacing w:after="120"/>
        <w:jc w:val="left"/>
        <w:rPr>
          <w:rFonts w:asciiTheme="majorHAnsi" w:hAnsiTheme="majorHAnsi"/>
          <w:b w:val="0"/>
          <w:sz w:val="28"/>
        </w:rPr>
      </w:pPr>
      <w:bookmarkStart w:id="30" w:name="_Ref18592453"/>
      <w:r w:rsidRPr="00AE2D6F">
        <w:t xml:space="preserve">Table </w:t>
      </w:r>
      <w:r w:rsidR="00345186">
        <w:fldChar w:fldCharType="begin"/>
      </w:r>
      <w:r w:rsidR="00345186">
        <w:instrText xml:space="preserve"> SEQ Table \* ARABIC </w:instrText>
      </w:r>
      <w:r w:rsidR="00345186">
        <w:fldChar w:fldCharType="separate"/>
      </w:r>
      <w:r w:rsidR="00345186">
        <w:rPr>
          <w:noProof/>
        </w:rPr>
        <w:t>23</w:t>
      </w:r>
      <w:r w:rsidR="00345186">
        <w:fldChar w:fldCharType="end"/>
      </w:r>
      <w:bookmarkEnd w:id="30"/>
      <w:r w:rsidRPr="00AE2D6F">
        <w:t xml:space="preserve">: </w:t>
      </w:r>
      <w:r w:rsidR="00863F51" w:rsidRPr="00AE2D6F">
        <w:rPr>
          <w:rFonts w:asciiTheme="majorHAnsi" w:hAnsiTheme="majorHAnsi"/>
        </w:rPr>
        <w:t>Efficacy Outcomes in Prospective aHUS Paediatric Study C10-003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2"/>
        <w:gridCol w:w="2202"/>
        <w:gridCol w:w="1522"/>
      </w:tblGrid>
      <w:tr w:rsidR="00863F51" w:rsidRPr="00AE2D6F" w14:paraId="71D59221" w14:textId="77777777" w:rsidTr="006C5055">
        <w:trPr>
          <w:trHeight w:val="574"/>
          <w:tblHeader/>
        </w:trPr>
        <w:tc>
          <w:tcPr>
            <w:tcW w:w="5418" w:type="dxa"/>
            <w:shd w:val="clear" w:color="auto" w:fill="auto"/>
            <w:vAlign w:val="center"/>
          </w:tcPr>
          <w:p w14:paraId="421E3F8A" w14:textId="77777777" w:rsidR="00863F51" w:rsidRPr="00AE2D6F" w:rsidRDefault="00863F51" w:rsidP="006C5055">
            <w:pPr>
              <w:pStyle w:val="C-BodyText"/>
              <w:tabs>
                <w:tab w:val="left" w:pos="567"/>
              </w:tabs>
              <w:spacing w:before="40" w:after="40"/>
              <w:rPr>
                <w:rFonts w:asciiTheme="majorHAnsi" w:hAnsiTheme="majorHAnsi"/>
                <w:b/>
                <w:sz w:val="22"/>
                <w:szCs w:val="22"/>
                <w:lang w:val="en-GB"/>
              </w:rPr>
            </w:pPr>
            <w:r w:rsidRPr="00AE2D6F">
              <w:rPr>
                <w:rFonts w:asciiTheme="majorHAnsi" w:hAnsiTheme="majorHAnsi"/>
                <w:b/>
                <w:sz w:val="22"/>
                <w:szCs w:val="22"/>
                <w:lang w:val="en-GB"/>
              </w:rPr>
              <w:t>Efficacy Parameter</w:t>
            </w:r>
          </w:p>
        </w:tc>
        <w:tc>
          <w:tcPr>
            <w:tcW w:w="2250" w:type="dxa"/>
            <w:vAlign w:val="center"/>
          </w:tcPr>
          <w:p w14:paraId="1D786EA5" w14:textId="77777777" w:rsidR="00863F51" w:rsidRPr="00AE2D6F" w:rsidRDefault="00863F51" w:rsidP="006C5055">
            <w:pPr>
              <w:pStyle w:val="C-TableHeader"/>
              <w:keepNext w:val="0"/>
              <w:spacing w:before="0" w:after="0"/>
              <w:jc w:val="center"/>
              <w:rPr>
                <w:rFonts w:asciiTheme="majorHAnsi" w:hAnsiTheme="majorHAnsi"/>
                <w:szCs w:val="22"/>
                <w:lang w:val="en-GB"/>
              </w:rPr>
            </w:pPr>
            <w:r w:rsidRPr="00AE2D6F">
              <w:rPr>
                <w:rFonts w:asciiTheme="majorHAnsi" w:hAnsiTheme="majorHAnsi"/>
                <w:szCs w:val="22"/>
                <w:lang w:val="en-GB"/>
              </w:rPr>
              <w:t>1 month to &lt;12 years</w:t>
            </w:r>
          </w:p>
          <w:p w14:paraId="30397DCB" w14:textId="77777777" w:rsidR="00863F51" w:rsidRPr="00AE2D6F" w:rsidRDefault="00863F51" w:rsidP="006C5055">
            <w:pPr>
              <w:pStyle w:val="C-TableHeader"/>
              <w:keepNext w:val="0"/>
              <w:spacing w:before="40" w:after="40"/>
              <w:jc w:val="center"/>
              <w:rPr>
                <w:rFonts w:asciiTheme="majorHAnsi" w:hAnsiTheme="majorHAnsi"/>
                <w:szCs w:val="22"/>
                <w:lang w:val="en-GB"/>
              </w:rPr>
            </w:pPr>
            <w:r w:rsidRPr="00AE2D6F">
              <w:rPr>
                <w:rFonts w:asciiTheme="majorHAnsi" w:hAnsiTheme="majorHAnsi"/>
                <w:szCs w:val="22"/>
                <w:lang w:val="en-GB"/>
              </w:rPr>
              <w:t>(n=18)</w:t>
            </w:r>
          </w:p>
          <w:p w14:paraId="289BA406" w14:textId="77777777" w:rsidR="00863F51" w:rsidRPr="00AE2D6F" w:rsidRDefault="00863F51" w:rsidP="006C5055">
            <w:pPr>
              <w:pStyle w:val="C-TableText"/>
              <w:jc w:val="center"/>
              <w:rPr>
                <w:rFonts w:asciiTheme="majorHAnsi" w:hAnsiTheme="majorHAnsi"/>
                <w:b/>
                <w:szCs w:val="22"/>
                <w:lang w:val="en-GB" w:eastAsia="en-US"/>
              </w:rPr>
            </w:pPr>
            <w:r w:rsidRPr="00AE2D6F">
              <w:rPr>
                <w:rFonts w:asciiTheme="majorHAnsi" w:hAnsiTheme="majorHAnsi"/>
                <w:b/>
                <w:szCs w:val="22"/>
                <w:lang w:val="en-GB" w:eastAsia="en-US"/>
              </w:rPr>
              <w:t>At 26 weeks</w:t>
            </w:r>
          </w:p>
        </w:tc>
        <w:tc>
          <w:tcPr>
            <w:tcW w:w="1540" w:type="dxa"/>
            <w:vAlign w:val="center"/>
          </w:tcPr>
          <w:p w14:paraId="75F03465" w14:textId="77777777" w:rsidR="00863F51" w:rsidRPr="00AE2D6F" w:rsidRDefault="00863F51" w:rsidP="006C5055">
            <w:pPr>
              <w:pStyle w:val="C-TableHeader"/>
              <w:keepNext w:val="0"/>
              <w:spacing w:before="0" w:after="0"/>
              <w:jc w:val="center"/>
              <w:rPr>
                <w:rFonts w:asciiTheme="majorHAnsi" w:hAnsiTheme="majorHAnsi"/>
                <w:szCs w:val="22"/>
              </w:rPr>
            </w:pPr>
            <w:r w:rsidRPr="00AE2D6F">
              <w:rPr>
                <w:rFonts w:asciiTheme="majorHAnsi" w:hAnsiTheme="majorHAnsi"/>
                <w:szCs w:val="22"/>
                <w:lang w:val="en-GB"/>
              </w:rPr>
              <w:t>All patients</w:t>
            </w:r>
          </w:p>
          <w:p w14:paraId="1B170C11" w14:textId="77777777" w:rsidR="00863F51" w:rsidRPr="00AE2D6F" w:rsidRDefault="00863F51" w:rsidP="006C5055">
            <w:pPr>
              <w:spacing w:before="40" w:after="40"/>
              <w:jc w:val="center"/>
              <w:rPr>
                <w:rFonts w:asciiTheme="majorHAnsi" w:hAnsiTheme="majorHAnsi" w:cs="Times New Roman"/>
                <w:b/>
                <w:sz w:val="22"/>
              </w:rPr>
            </w:pPr>
            <w:r w:rsidRPr="00AE2D6F">
              <w:rPr>
                <w:rFonts w:asciiTheme="majorHAnsi" w:hAnsiTheme="majorHAnsi" w:cs="Times New Roman"/>
                <w:b/>
                <w:sz w:val="22"/>
              </w:rPr>
              <w:t>(n=22)</w:t>
            </w:r>
          </w:p>
          <w:p w14:paraId="5E36A7F0" w14:textId="77777777" w:rsidR="00863F51" w:rsidRPr="00AE2D6F" w:rsidRDefault="00863F51" w:rsidP="006C5055">
            <w:pPr>
              <w:spacing w:before="40" w:after="40"/>
              <w:jc w:val="center"/>
              <w:rPr>
                <w:rFonts w:asciiTheme="majorHAnsi" w:hAnsiTheme="majorHAnsi" w:cs="Times New Roman"/>
                <w:sz w:val="22"/>
              </w:rPr>
            </w:pPr>
            <w:r w:rsidRPr="00AE2D6F">
              <w:rPr>
                <w:rFonts w:asciiTheme="majorHAnsi" w:hAnsiTheme="majorHAnsi" w:cs="Times New Roman"/>
                <w:b/>
                <w:sz w:val="22"/>
              </w:rPr>
              <w:t>At 26 weeks</w:t>
            </w:r>
          </w:p>
        </w:tc>
      </w:tr>
      <w:tr w:rsidR="00863F51" w:rsidRPr="00AE2D6F" w14:paraId="7BB00A33" w14:textId="77777777" w:rsidTr="006C5055">
        <w:trPr>
          <w:cantSplit/>
          <w:trHeight w:val="539"/>
        </w:trPr>
        <w:tc>
          <w:tcPr>
            <w:tcW w:w="5418" w:type="dxa"/>
            <w:shd w:val="clear" w:color="auto" w:fill="auto"/>
          </w:tcPr>
          <w:p w14:paraId="2953E411"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 xml:space="preserve">Complete haematologic </w:t>
            </w:r>
            <w:r w:rsidR="00C8302C" w:rsidRPr="00AE2D6F">
              <w:rPr>
                <w:rFonts w:asciiTheme="majorHAnsi" w:hAnsiTheme="majorHAnsi"/>
                <w:szCs w:val="22"/>
                <w:lang w:val="en-GB" w:eastAsia="en-US"/>
              </w:rPr>
              <w:t>normalisation</w:t>
            </w:r>
            <w:r w:rsidRPr="00AE2D6F">
              <w:rPr>
                <w:rFonts w:asciiTheme="majorHAnsi" w:hAnsiTheme="majorHAnsi"/>
                <w:szCs w:val="22"/>
                <w:lang w:val="en-GB" w:eastAsia="en-US"/>
              </w:rPr>
              <w:t xml:space="preserve">, n (%) </w:t>
            </w:r>
          </w:p>
          <w:p w14:paraId="12611F32" w14:textId="77777777" w:rsidR="00863F51" w:rsidRPr="00AE2D6F" w:rsidRDefault="00863F51" w:rsidP="00C8302C">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 xml:space="preserve">Median duration of Complete haematologic </w:t>
            </w:r>
            <w:r w:rsidR="00C8302C" w:rsidRPr="00AE2D6F">
              <w:rPr>
                <w:rFonts w:asciiTheme="majorHAnsi" w:hAnsiTheme="majorHAnsi"/>
                <w:szCs w:val="22"/>
                <w:lang w:val="en-GB" w:eastAsia="en-US"/>
              </w:rPr>
              <w:t>normalisation</w:t>
            </w:r>
            <w:r w:rsidRPr="00AE2D6F">
              <w:rPr>
                <w:rFonts w:asciiTheme="majorHAnsi" w:hAnsiTheme="majorHAnsi"/>
                <w:szCs w:val="22"/>
                <w:lang w:val="en-GB" w:eastAsia="en-US"/>
              </w:rPr>
              <w:t>, months (range)</w:t>
            </w:r>
            <w:r w:rsidRPr="00AE2D6F">
              <w:rPr>
                <w:rFonts w:asciiTheme="majorHAnsi" w:hAnsiTheme="majorHAnsi"/>
                <w:szCs w:val="22"/>
                <w:vertAlign w:val="superscript"/>
                <w:lang w:val="en-GB" w:eastAsia="en-US"/>
              </w:rPr>
              <w:t xml:space="preserve"> </w:t>
            </w:r>
          </w:p>
        </w:tc>
        <w:tc>
          <w:tcPr>
            <w:tcW w:w="2250" w:type="dxa"/>
            <w:vAlign w:val="center"/>
          </w:tcPr>
          <w:p w14:paraId="32F66B6D"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14 (78)</w:t>
            </w:r>
          </w:p>
          <w:p w14:paraId="3283F928"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13 (7, 26)</w:t>
            </w:r>
          </w:p>
        </w:tc>
        <w:tc>
          <w:tcPr>
            <w:tcW w:w="1540" w:type="dxa"/>
            <w:vAlign w:val="center"/>
          </w:tcPr>
          <w:p w14:paraId="0BFA5517"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18 (82)</w:t>
            </w:r>
          </w:p>
          <w:p w14:paraId="1D9F19DE"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 xml:space="preserve"> 14.5 (7, 26)</w:t>
            </w:r>
          </w:p>
        </w:tc>
      </w:tr>
      <w:tr w:rsidR="00863F51" w:rsidRPr="00AE2D6F" w14:paraId="5C710BEF" w14:textId="77777777" w:rsidTr="006C5055">
        <w:trPr>
          <w:cantSplit/>
          <w:trHeight w:val="539"/>
        </w:trPr>
        <w:tc>
          <w:tcPr>
            <w:tcW w:w="5418" w:type="dxa"/>
            <w:shd w:val="clear" w:color="auto" w:fill="auto"/>
          </w:tcPr>
          <w:p w14:paraId="2B843B58"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Complete TMA response, n (%)</w:t>
            </w:r>
          </w:p>
          <w:p w14:paraId="0AE55957"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Median duration of Complete TMA response, months (range)</w:t>
            </w:r>
            <w:r w:rsidRPr="00AE2D6F">
              <w:rPr>
                <w:rFonts w:asciiTheme="majorHAnsi" w:hAnsiTheme="majorHAnsi"/>
                <w:szCs w:val="22"/>
                <w:vertAlign w:val="superscript"/>
                <w:lang w:val="en-GB" w:eastAsia="en-US"/>
              </w:rPr>
              <w:t xml:space="preserve"> </w:t>
            </w:r>
          </w:p>
        </w:tc>
        <w:tc>
          <w:tcPr>
            <w:tcW w:w="2250" w:type="dxa"/>
            <w:vAlign w:val="center"/>
          </w:tcPr>
          <w:p w14:paraId="1BA12531"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11 (61)</w:t>
            </w:r>
          </w:p>
          <w:p w14:paraId="101C8053"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11 (8, 26)</w:t>
            </w:r>
          </w:p>
        </w:tc>
        <w:tc>
          <w:tcPr>
            <w:tcW w:w="1540" w:type="dxa"/>
            <w:vAlign w:val="center"/>
          </w:tcPr>
          <w:p w14:paraId="3073BA7C"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14 (64)</w:t>
            </w:r>
          </w:p>
          <w:p w14:paraId="62C5E1B7"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13 (5.5, 26)</w:t>
            </w:r>
          </w:p>
        </w:tc>
      </w:tr>
      <w:tr w:rsidR="00863F51" w:rsidRPr="00AE2D6F" w14:paraId="43D92962" w14:textId="77777777" w:rsidTr="006C5055">
        <w:trPr>
          <w:cantSplit/>
          <w:trHeight w:val="665"/>
        </w:trPr>
        <w:tc>
          <w:tcPr>
            <w:tcW w:w="5418" w:type="dxa"/>
            <w:shd w:val="clear" w:color="auto" w:fill="auto"/>
          </w:tcPr>
          <w:p w14:paraId="77E3C396"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lastRenderedPageBreak/>
              <w:t>TMA Event-Free Status, n (%)</w:t>
            </w:r>
          </w:p>
          <w:p w14:paraId="77D343AE"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 xml:space="preserve">      95% CI </w:t>
            </w:r>
          </w:p>
        </w:tc>
        <w:tc>
          <w:tcPr>
            <w:tcW w:w="2250" w:type="dxa"/>
            <w:vAlign w:val="center"/>
          </w:tcPr>
          <w:p w14:paraId="7ED86384"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17 (94)</w:t>
            </w:r>
          </w:p>
          <w:p w14:paraId="4E6EC227"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NA</w:t>
            </w:r>
          </w:p>
        </w:tc>
        <w:tc>
          <w:tcPr>
            <w:tcW w:w="1540" w:type="dxa"/>
            <w:vAlign w:val="center"/>
          </w:tcPr>
          <w:p w14:paraId="0A1B2E1C"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21 (96)</w:t>
            </w:r>
          </w:p>
          <w:p w14:paraId="4FC496C7"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77; 99</w:t>
            </w:r>
          </w:p>
        </w:tc>
      </w:tr>
      <w:tr w:rsidR="00863F51" w:rsidRPr="00AE2D6F" w14:paraId="573875AF" w14:textId="77777777" w:rsidTr="006C5055">
        <w:trPr>
          <w:cantSplit/>
          <w:trHeight w:val="764"/>
        </w:trPr>
        <w:tc>
          <w:tcPr>
            <w:tcW w:w="5418" w:type="dxa"/>
            <w:shd w:val="clear" w:color="auto" w:fill="auto"/>
          </w:tcPr>
          <w:p w14:paraId="7D156D50"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Daily TMA Intervention rate, median (range)</w:t>
            </w:r>
          </w:p>
          <w:p w14:paraId="3A0F98AA"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 xml:space="preserve">     Before </w:t>
            </w:r>
            <w:r w:rsidR="00B249B7" w:rsidRPr="00AE2D6F">
              <w:rPr>
                <w:rFonts w:asciiTheme="majorHAnsi" w:hAnsiTheme="majorHAnsi"/>
                <w:szCs w:val="22"/>
                <w:lang w:val="en-AU"/>
              </w:rPr>
              <w:t>Soliris</w:t>
            </w:r>
            <w:r w:rsidRPr="00AE2D6F">
              <w:rPr>
                <w:rFonts w:asciiTheme="majorHAnsi" w:hAnsiTheme="majorHAnsi"/>
                <w:szCs w:val="22"/>
                <w:lang w:val="en-GB" w:eastAsia="en-US"/>
              </w:rPr>
              <w:t xml:space="preserve"> treatment, median   </w:t>
            </w:r>
          </w:p>
          <w:p w14:paraId="03607C51"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 xml:space="preserve">     On </w:t>
            </w:r>
            <w:r w:rsidR="00B249B7" w:rsidRPr="00AE2D6F">
              <w:rPr>
                <w:rFonts w:asciiTheme="majorHAnsi" w:hAnsiTheme="majorHAnsi"/>
                <w:szCs w:val="22"/>
                <w:lang w:val="en-AU"/>
              </w:rPr>
              <w:t>Soliris</w:t>
            </w:r>
            <w:r w:rsidRPr="00AE2D6F">
              <w:rPr>
                <w:rFonts w:asciiTheme="majorHAnsi" w:hAnsiTheme="majorHAnsi"/>
                <w:szCs w:val="22"/>
                <w:lang w:val="en-GB" w:eastAsia="en-US"/>
              </w:rPr>
              <w:t xml:space="preserve"> treatment, median</w:t>
            </w:r>
          </w:p>
        </w:tc>
        <w:tc>
          <w:tcPr>
            <w:tcW w:w="2250" w:type="dxa"/>
            <w:vAlign w:val="center"/>
          </w:tcPr>
          <w:p w14:paraId="278DD8A3" w14:textId="77777777" w:rsidR="00863F51" w:rsidRPr="00AE2D6F" w:rsidRDefault="00863F51" w:rsidP="006C5055">
            <w:pPr>
              <w:pStyle w:val="C-TableText"/>
              <w:spacing w:before="40" w:after="40"/>
              <w:jc w:val="center"/>
              <w:rPr>
                <w:rFonts w:asciiTheme="majorHAnsi" w:hAnsiTheme="majorHAnsi"/>
                <w:szCs w:val="22"/>
                <w:lang w:val="en-GB" w:eastAsia="en-US"/>
              </w:rPr>
            </w:pPr>
          </w:p>
          <w:p w14:paraId="07BCBB50"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NA</w:t>
            </w:r>
          </w:p>
          <w:p w14:paraId="6E6A9439"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NA</w:t>
            </w:r>
          </w:p>
        </w:tc>
        <w:tc>
          <w:tcPr>
            <w:tcW w:w="1540" w:type="dxa"/>
            <w:vAlign w:val="center"/>
          </w:tcPr>
          <w:p w14:paraId="09C53656" w14:textId="77777777" w:rsidR="00863F51" w:rsidRPr="00AE2D6F" w:rsidRDefault="00863F51" w:rsidP="006C5055">
            <w:pPr>
              <w:pStyle w:val="C-TableText"/>
              <w:spacing w:before="40" w:after="40"/>
              <w:jc w:val="center"/>
              <w:rPr>
                <w:rFonts w:asciiTheme="majorHAnsi" w:hAnsiTheme="majorHAnsi"/>
                <w:szCs w:val="22"/>
                <w:lang w:val="en-GB" w:eastAsia="en-US"/>
              </w:rPr>
            </w:pPr>
          </w:p>
          <w:p w14:paraId="6DC23CCF"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0.4 (0, 1.6)</w:t>
            </w:r>
          </w:p>
          <w:p w14:paraId="4FA3BA8C"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0 (0, 0)</w:t>
            </w:r>
          </w:p>
        </w:tc>
      </w:tr>
      <w:tr w:rsidR="00863F51" w:rsidRPr="00AE2D6F" w14:paraId="2C3A6DA3" w14:textId="77777777" w:rsidTr="006C5055">
        <w:trPr>
          <w:cantSplit/>
          <w:trHeight w:val="368"/>
        </w:trPr>
        <w:tc>
          <w:tcPr>
            <w:tcW w:w="5418" w:type="dxa"/>
            <w:shd w:val="clear" w:color="auto" w:fill="auto"/>
          </w:tcPr>
          <w:p w14:paraId="2C0798D6"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eGFR improvement ≥15 mL/min/ 1.73•m</w:t>
            </w:r>
            <w:r w:rsidRPr="00AE2D6F">
              <w:rPr>
                <w:rFonts w:asciiTheme="majorHAnsi" w:hAnsiTheme="majorHAnsi"/>
                <w:szCs w:val="22"/>
                <w:vertAlign w:val="superscript"/>
                <w:lang w:val="en-GB" w:eastAsia="en-US"/>
              </w:rPr>
              <w:t>2</w:t>
            </w:r>
            <w:r w:rsidRPr="00AE2D6F">
              <w:rPr>
                <w:rFonts w:asciiTheme="majorHAnsi" w:hAnsiTheme="majorHAnsi"/>
                <w:szCs w:val="22"/>
                <w:lang w:val="en-GB" w:eastAsia="en-US"/>
              </w:rPr>
              <w:t>, n (%)</w:t>
            </w:r>
          </w:p>
        </w:tc>
        <w:tc>
          <w:tcPr>
            <w:tcW w:w="2250" w:type="dxa"/>
            <w:vAlign w:val="center"/>
          </w:tcPr>
          <w:p w14:paraId="3A7F108D"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16 (89)</w:t>
            </w:r>
          </w:p>
        </w:tc>
        <w:tc>
          <w:tcPr>
            <w:tcW w:w="1540" w:type="dxa"/>
            <w:vAlign w:val="center"/>
          </w:tcPr>
          <w:p w14:paraId="37AABDA6"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19 (86)</w:t>
            </w:r>
          </w:p>
        </w:tc>
      </w:tr>
      <w:tr w:rsidR="00863F51" w:rsidRPr="00AE2D6F" w14:paraId="48F8EA90" w14:textId="77777777" w:rsidTr="006C5055">
        <w:trPr>
          <w:cantSplit/>
          <w:trHeight w:val="444"/>
        </w:trPr>
        <w:tc>
          <w:tcPr>
            <w:tcW w:w="5418" w:type="dxa"/>
            <w:shd w:val="clear" w:color="auto" w:fill="auto"/>
          </w:tcPr>
          <w:p w14:paraId="588CC202" w14:textId="269A19A4"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Change in eGFR (≥15 mL/min/1.73•m</w:t>
            </w:r>
            <w:r w:rsidRPr="00AE2D6F">
              <w:rPr>
                <w:rFonts w:asciiTheme="majorHAnsi" w:hAnsiTheme="majorHAnsi"/>
                <w:szCs w:val="22"/>
                <w:vertAlign w:val="superscript"/>
                <w:lang w:val="en-GB" w:eastAsia="en-US"/>
              </w:rPr>
              <w:t>2</w:t>
            </w:r>
            <w:r w:rsidRPr="00AE2D6F">
              <w:rPr>
                <w:rFonts w:asciiTheme="majorHAnsi" w:hAnsiTheme="majorHAnsi"/>
                <w:szCs w:val="22"/>
                <w:lang w:val="en-GB" w:eastAsia="en-US"/>
              </w:rPr>
              <w:t>) at 26 weeks, median (range)</w:t>
            </w:r>
          </w:p>
        </w:tc>
        <w:tc>
          <w:tcPr>
            <w:tcW w:w="2250" w:type="dxa"/>
            <w:vAlign w:val="center"/>
          </w:tcPr>
          <w:p w14:paraId="2AFB9E9E"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64 (0, 146)</w:t>
            </w:r>
          </w:p>
        </w:tc>
        <w:tc>
          <w:tcPr>
            <w:tcW w:w="1540" w:type="dxa"/>
            <w:vAlign w:val="center"/>
          </w:tcPr>
          <w:p w14:paraId="1200EFB7"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58 (0, 146)</w:t>
            </w:r>
          </w:p>
        </w:tc>
      </w:tr>
      <w:tr w:rsidR="00863F51" w:rsidRPr="00AE2D6F" w14:paraId="48150264" w14:textId="77777777" w:rsidTr="006C5055">
        <w:trPr>
          <w:cantSplit/>
          <w:trHeight w:val="381"/>
        </w:trPr>
        <w:tc>
          <w:tcPr>
            <w:tcW w:w="5418" w:type="dxa"/>
            <w:shd w:val="clear" w:color="auto" w:fill="auto"/>
          </w:tcPr>
          <w:p w14:paraId="104B812A"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CKD improvement by ≥1 stage, n (%)</w:t>
            </w:r>
          </w:p>
        </w:tc>
        <w:tc>
          <w:tcPr>
            <w:tcW w:w="2250" w:type="dxa"/>
            <w:vAlign w:val="center"/>
          </w:tcPr>
          <w:p w14:paraId="3BA6DC7C"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14/16 (88)</w:t>
            </w:r>
          </w:p>
        </w:tc>
        <w:tc>
          <w:tcPr>
            <w:tcW w:w="1540" w:type="dxa"/>
            <w:vAlign w:val="center"/>
          </w:tcPr>
          <w:p w14:paraId="0B654BAE"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17/20 (85)</w:t>
            </w:r>
          </w:p>
        </w:tc>
      </w:tr>
      <w:tr w:rsidR="00863F51" w:rsidRPr="00AE2D6F" w14:paraId="555563C1" w14:textId="77777777" w:rsidTr="006C5055">
        <w:trPr>
          <w:cantSplit/>
          <w:trHeight w:val="921"/>
        </w:trPr>
        <w:tc>
          <w:tcPr>
            <w:tcW w:w="5418" w:type="dxa"/>
            <w:shd w:val="clear" w:color="auto" w:fill="auto"/>
          </w:tcPr>
          <w:p w14:paraId="6909884C" w14:textId="77777777" w:rsidR="00863F51" w:rsidRPr="00AE2D6F" w:rsidRDefault="00863F51" w:rsidP="006C5055">
            <w:pPr>
              <w:pStyle w:val="C-TableText"/>
              <w:spacing w:before="40" w:after="40"/>
              <w:rPr>
                <w:rFonts w:asciiTheme="majorHAnsi" w:hAnsiTheme="majorHAnsi"/>
                <w:szCs w:val="22"/>
                <w:lang w:val="en-GB" w:eastAsia="en-US"/>
              </w:rPr>
            </w:pPr>
            <w:r w:rsidRPr="00AE2D6F">
              <w:rPr>
                <w:rFonts w:asciiTheme="majorHAnsi" w:hAnsiTheme="majorHAnsi"/>
                <w:szCs w:val="22"/>
                <w:lang w:val="en-GB" w:eastAsia="en-US"/>
              </w:rPr>
              <w:t>PE/PI Event-Free Status, n (%)</w:t>
            </w:r>
          </w:p>
          <w:p w14:paraId="2DBEC0E0"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New Dialysis Event-Free Status, n (%)</w:t>
            </w:r>
          </w:p>
          <w:p w14:paraId="09FA0F1F" w14:textId="77777777" w:rsidR="00863F51" w:rsidRPr="00AE2D6F" w:rsidRDefault="00863F51" w:rsidP="006C5055">
            <w:pPr>
              <w:pStyle w:val="C-TableText"/>
              <w:tabs>
                <w:tab w:val="left" w:pos="567"/>
              </w:tabs>
              <w:spacing w:before="40" w:after="40" w:line="260" w:lineRule="exact"/>
              <w:rPr>
                <w:rFonts w:asciiTheme="majorHAnsi" w:hAnsiTheme="majorHAnsi"/>
                <w:szCs w:val="22"/>
                <w:lang w:val="en-GB" w:eastAsia="en-US"/>
              </w:rPr>
            </w:pPr>
            <w:r w:rsidRPr="00AE2D6F">
              <w:rPr>
                <w:rFonts w:asciiTheme="majorHAnsi" w:hAnsiTheme="majorHAnsi"/>
                <w:szCs w:val="22"/>
                <w:lang w:val="en-GB" w:eastAsia="en-US"/>
              </w:rPr>
              <w:t xml:space="preserve">      95% CI</w:t>
            </w:r>
          </w:p>
        </w:tc>
        <w:tc>
          <w:tcPr>
            <w:tcW w:w="2250" w:type="dxa"/>
            <w:vAlign w:val="center"/>
          </w:tcPr>
          <w:p w14:paraId="5922BF26"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16 (89)</w:t>
            </w:r>
          </w:p>
          <w:p w14:paraId="250BF910"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18 (100)</w:t>
            </w:r>
          </w:p>
          <w:p w14:paraId="575E8FA3"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NA</w:t>
            </w:r>
          </w:p>
        </w:tc>
        <w:tc>
          <w:tcPr>
            <w:tcW w:w="1540" w:type="dxa"/>
            <w:vAlign w:val="center"/>
          </w:tcPr>
          <w:p w14:paraId="61B93C3A" w14:textId="77777777" w:rsidR="00863F51" w:rsidRPr="00AE2D6F" w:rsidRDefault="00863F51" w:rsidP="006C5055">
            <w:pPr>
              <w:pStyle w:val="C-TableText"/>
              <w:spacing w:before="40" w:after="40"/>
              <w:jc w:val="center"/>
              <w:rPr>
                <w:rFonts w:asciiTheme="majorHAnsi" w:hAnsiTheme="majorHAnsi"/>
                <w:szCs w:val="22"/>
                <w:lang w:val="en-GB" w:eastAsia="en-US"/>
              </w:rPr>
            </w:pPr>
            <w:r w:rsidRPr="00AE2D6F">
              <w:rPr>
                <w:rFonts w:asciiTheme="majorHAnsi" w:hAnsiTheme="majorHAnsi"/>
                <w:szCs w:val="22"/>
                <w:lang w:val="en-GB" w:eastAsia="en-US"/>
              </w:rPr>
              <w:t>20 (91)</w:t>
            </w:r>
          </w:p>
          <w:p w14:paraId="1A485903"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22 (100)</w:t>
            </w:r>
          </w:p>
          <w:p w14:paraId="648B76B1" w14:textId="77777777" w:rsidR="00863F51" w:rsidRPr="00AE2D6F" w:rsidRDefault="00863F51" w:rsidP="006C5055">
            <w:pPr>
              <w:pStyle w:val="C-TableText"/>
              <w:tabs>
                <w:tab w:val="left" w:pos="567"/>
              </w:tabs>
              <w:spacing w:before="40" w:after="40" w:line="260" w:lineRule="exact"/>
              <w:jc w:val="center"/>
              <w:rPr>
                <w:rFonts w:asciiTheme="majorHAnsi" w:hAnsiTheme="majorHAnsi"/>
                <w:szCs w:val="22"/>
                <w:lang w:val="en-GB" w:eastAsia="en-US"/>
              </w:rPr>
            </w:pPr>
            <w:r w:rsidRPr="00AE2D6F">
              <w:rPr>
                <w:rFonts w:asciiTheme="majorHAnsi" w:hAnsiTheme="majorHAnsi"/>
                <w:szCs w:val="22"/>
                <w:lang w:val="en-GB" w:eastAsia="en-US"/>
              </w:rPr>
              <w:t>85;100</w:t>
            </w:r>
          </w:p>
        </w:tc>
      </w:tr>
    </w:tbl>
    <w:p w14:paraId="47E0BBD4" w14:textId="77777777" w:rsidR="00863F51" w:rsidRPr="00AE2D6F" w:rsidRDefault="00863F51" w:rsidP="001B4216">
      <w:pPr>
        <w:spacing w:before="240"/>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 xml:space="preserve">Longer term treatment with </w:t>
      </w:r>
      <w:r w:rsidR="00B249B7"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 xml:space="preserve"> (median 55 weeks; ranging from 1 day to 107 weeks) was associated with an increased rate of clinically meaningful improvements. When </w:t>
      </w:r>
      <w:r w:rsidR="00B249B7"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 xml:space="preserve"> treatment was continued for more than 26 weeks, 1 additional patient (68% of patients in total) achieved Complete TMA Response and 2 additional patients (91% of patients in total) achieved haematologic normali</w:t>
      </w:r>
      <w:r w:rsidR="00A90BEE" w:rsidRPr="00AE2D6F">
        <w:rPr>
          <w:rFonts w:asciiTheme="majorHAnsi" w:eastAsia="Times New Roman" w:hAnsiTheme="majorHAnsi" w:cs="Times New Roman"/>
          <w:szCs w:val="24"/>
          <w:lang w:val="en-GB"/>
        </w:rPr>
        <w:t>s</w:t>
      </w:r>
      <w:r w:rsidRPr="00AE2D6F">
        <w:rPr>
          <w:rFonts w:asciiTheme="majorHAnsi" w:eastAsia="Times New Roman" w:hAnsiTheme="majorHAnsi" w:cs="Times New Roman"/>
          <w:szCs w:val="24"/>
          <w:lang w:val="en-GB"/>
        </w:rPr>
        <w:t xml:space="preserve">ation. At the last evaluation, 19 of 22 patients (86%) achieved eGFR improvement of ≥ 15 mL/min/1.73 m2 from baseline. No patient required new dialysis with </w:t>
      </w:r>
      <w:r w:rsidR="00437829"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w:t>
      </w:r>
    </w:p>
    <w:p w14:paraId="78B4D817" w14:textId="77777777" w:rsidR="001A3992" w:rsidRPr="00AE2D6F" w:rsidRDefault="001A3992" w:rsidP="006908ED">
      <w:pPr>
        <w:pStyle w:val="Heading2"/>
        <w:spacing w:before="240"/>
      </w:pPr>
      <w:r w:rsidRPr="00AE2D6F">
        <w:t>Pharmacokinetic properties</w:t>
      </w:r>
    </w:p>
    <w:p w14:paraId="4CD2D953" w14:textId="716425E9" w:rsidR="00863F51" w:rsidRPr="00AE2D6F" w:rsidRDefault="00863F51" w:rsidP="00863F51">
      <w:pPr>
        <w:autoSpaceDE w:val="0"/>
        <w:autoSpaceDN w:val="0"/>
        <w:adjustRightInd w:val="0"/>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In patients</w:t>
      </w:r>
      <w:r w:rsidR="00A8461F">
        <w:rPr>
          <w:rFonts w:asciiTheme="majorHAnsi" w:eastAsia="Times New Roman" w:hAnsiTheme="majorHAnsi" w:cs="Times New Roman"/>
          <w:szCs w:val="24"/>
          <w:lang w:val="en-GB"/>
        </w:rPr>
        <w:t xml:space="preserve"> with PNH</w:t>
      </w:r>
      <w:r w:rsidR="00E06E8A" w:rsidRPr="00AE2D6F">
        <w:rPr>
          <w:rFonts w:asciiTheme="majorHAnsi" w:eastAsia="Times New Roman" w:hAnsiTheme="majorHAnsi" w:cs="Times New Roman"/>
          <w:szCs w:val="24"/>
          <w:lang w:val="en-GB"/>
        </w:rPr>
        <w:t>,</w:t>
      </w:r>
      <w:r w:rsidRPr="00AE2D6F">
        <w:rPr>
          <w:rFonts w:asciiTheme="majorHAnsi" w:eastAsia="Times New Roman" w:hAnsiTheme="majorHAnsi" w:cs="Times New Roman"/>
          <w:szCs w:val="24"/>
          <w:lang w:val="en-GB"/>
        </w:rPr>
        <w:t xml:space="preserve"> pharmacodynamic activity correlates directly with </w:t>
      </w:r>
      <w:proofErr w:type="spellStart"/>
      <w:r w:rsidRPr="00AE2D6F">
        <w:rPr>
          <w:rFonts w:asciiTheme="majorHAnsi" w:eastAsia="Times New Roman" w:hAnsiTheme="majorHAnsi" w:cs="Times New Roman"/>
          <w:szCs w:val="24"/>
          <w:lang w:val="en-GB"/>
        </w:rPr>
        <w:t>eculizumab</w:t>
      </w:r>
      <w:proofErr w:type="spellEnd"/>
      <w:r w:rsidRPr="00AE2D6F">
        <w:rPr>
          <w:rFonts w:asciiTheme="majorHAnsi" w:eastAsia="Times New Roman" w:hAnsiTheme="majorHAnsi" w:cs="Times New Roman"/>
          <w:szCs w:val="24"/>
          <w:lang w:val="en-GB"/>
        </w:rPr>
        <w:t xml:space="preserve"> </w:t>
      </w:r>
      <w:r w:rsidRPr="00AE2D6F">
        <w:rPr>
          <w:rFonts w:asciiTheme="majorHAnsi" w:eastAsia="Times New Roman" w:hAnsiTheme="majorHAnsi" w:cs="Times New Roman"/>
          <w:i/>
          <w:szCs w:val="24"/>
          <w:lang w:val="en-GB"/>
        </w:rPr>
        <w:t>rmc</w:t>
      </w:r>
      <w:r w:rsidRPr="00AE2D6F">
        <w:rPr>
          <w:rFonts w:asciiTheme="majorHAnsi" w:eastAsia="Times New Roman" w:hAnsiTheme="majorHAnsi" w:cs="Times New Roman"/>
          <w:szCs w:val="24"/>
          <w:lang w:val="en-GB"/>
        </w:rPr>
        <w:t xml:space="preserve"> serum concentrations, and maintenance of trough levels above </w:t>
      </w:r>
      <w:r w:rsidRPr="00AE2D6F">
        <w:rPr>
          <w:rFonts w:asciiTheme="majorHAnsi" w:eastAsia="Times New Roman" w:hAnsiTheme="majorHAnsi" w:cs="Times New Roman"/>
          <w:szCs w:val="24"/>
          <w:lang w:val="en-GB"/>
        </w:rPr>
        <w:sym w:font="Symbol" w:char="F0B3"/>
      </w:r>
      <w:r w:rsidRPr="00AE2D6F">
        <w:rPr>
          <w:rFonts w:asciiTheme="majorHAnsi" w:eastAsia="Times New Roman" w:hAnsiTheme="majorHAnsi" w:cs="Times New Roman"/>
          <w:szCs w:val="24"/>
          <w:lang w:val="en-GB"/>
        </w:rPr>
        <w:t>35μg/mL results in essentially complete blockade of haemolytic activity in the majority of patients</w:t>
      </w:r>
      <w:r w:rsidR="00A8461F">
        <w:rPr>
          <w:rFonts w:asciiTheme="majorHAnsi" w:eastAsia="Times New Roman" w:hAnsiTheme="majorHAnsi" w:cs="Times New Roman"/>
          <w:szCs w:val="24"/>
          <w:lang w:val="en-GB"/>
        </w:rPr>
        <w:t xml:space="preserve"> with PNH</w:t>
      </w:r>
      <w:r w:rsidRPr="00AE2D6F">
        <w:rPr>
          <w:rFonts w:asciiTheme="majorHAnsi" w:eastAsia="Times New Roman" w:hAnsiTheme="majorHAnsi" w:cs="Times New Roman"/>
          <w:szCs w:val="24"/>
          <w:lang w:val="en-GB"/>
        </w:rPr>
        <w:t>.</w:t>
      </w:r>
    </w:p>
    <w:p w14:paraId="4FE81F71" w14:textId="77777777" w:rsidR="001A3992" w:rsidRPr="00AE2D6F" w:rsidRDefault="001A3992" w:rsidP="00BF24C5">
      <w:pPr>
        <w:pStyle w:val="Heading3"/>
      </w:pPr>
      <w:r w:rsidRPr="00AE2D6F">
        <w:t>Metabolism</w:t>
      </w:r>
    </w:p>
    <w:p w14:paraId="170B072C" w14:textId="77777777" w:rsidR="00633E0A" w:rsidRPr="00AE2D6F" w:rsidRDefault="008C0234" w:rsidP="00633E0A">
      <w:pPr>
        <w:rPr>
          <w:rFonts w:asciiTheme="majorHAnsi" w:eastAsia="Times New Roman" w:hAnsiTheme="majorHAnsi" w:cs="Times New Roman"/>
          <w:szCs w:val="24"/>
          <w:lang w:val="en-GB"/>
        </w:rPr>
      </w:pPr>
      <w:r w:rsidRPr="00AE2D6F">
        <w:rPr>
          <w:szCs w:val="24"/>
          <w:u w:val="single"/>
        </w:rPr>
        <w:t>Biotransformation:</w:t>
      </w:r>
      <w:r w:rsidRPr="00AE2D6F">
        <w:rPr>
          <w:b/>
          <w:szCs w:val="24"/>
        </w:rPr>
        <w:t xml:space="preserve"> </w:t>
      </w:r>
      <w:r w:rsidRPr="00AE2D6F">
        <w:rPr>
          <w:szCs w:val="24"/>
        </w:rPr>
        <w:t xml:space="preserve">Human </w:t>
      </w:r>
      <w:r w:rsidR="00633E0A" w:rsidRPr="00AE2D6F">
        <w:rPr>
          <w:rFonts w:asciiTheme="majorHAnsi" w:eastAsia="Times New Roman" w:hAnsiTheme="majorHAnsi" w:cs="Times New Roman"/>
          <w:szCs w:val="24"/>
          <w:lang w:val="en-GB"/>
        </w:rPr>
        <w:t xml:space="preserve">antibodies undergo </w:t>
      </w:r>
      <w:proofErr w:type="spellStart"/>
      <w:r w:rsidR="00633E0A" w:rsidRPr="00AE2D6F">
        <w:rPr>
          <w:rFonts w:asciiTheme="majorHAnsi" w:eastAsia="Times New Roman" w:hAnsiTheme="majorHAnsi" w:cs="Times New Roman"/>
          <w:szCs w:val="24"/>
          <w:lang w:val="en-GB"/>
        </w:rPr>
        <w:t>endocytotic</w:t>
      </w:r>
      <w:proofErr w:type="spellEnd"/>
      <w:r w:rsidR="00633E0A" w:rsidRPr="00AE2D6F">
        <w:rPr>
          <w:rFonts w:asciiTheme="majorHAnsi" w:eastAsia="Times New Roman" w:hAnsiTheme="majorHAnsi" w:cs="Times New Roman"/>
          <w:szCs w:val="24"/>
          <w:lang w:val="en-GB"/>
        </w:rPr>
        <w:t xml:space="preserve"> digestion in the cells of the reticuloendothelial system. </w:t>
      </w:r>
      <w:proofErr w:type="spellStart"/>
      <w:r w:rsidR="00633E0A" w:rsidRPr="00AE2D6F">
        <w:rPr>
          <w:rFonts w:asciiTheme="majorHAnsi" w:eastAsia="Times New Roman" w:hAnsiTheme="majorHAnsi" w:cs="Times New Roman"/>
          <w:szCs w:val="24"/>
          <w:lang w:val="en-GB"/>
        </w:rPr>
        <w:t>Eculizumab</w:t>
      </w:r>
      <w:proofErr w:type="spellEnd"/>
      <w:r w:rsidR="00633E0A" w:rsidRPr="00AE2D6F">
        <w:rPr>
          <w:rFonts w:asciiTheme="majorHAnsi" w:eastAsia="Times New Roman" w:hAnsiTheme="majorHAnsi" w:cs="Times New Roman"/>
          <w:szCs w:val="24"/>
          <w:lang w:val="en-GB"/>
        </w:rPr>
        <w:t xml:space="preserve"> </w:t>
      </w:r>
      <w:r w:rsidR="00633E0A" w:rsidRPr="00AE2D6F">
        <w:rPr>
          <w:rFonts w:asciiTheme="majorHAnsi" w:eastAsia="Times New Roman" w:hAnsiTheme="majorHAnsi" w:cs="Times New Roman"/>
          <w:i/>
          <w:szCs w:val="24"/>
          <w:lang w:val="en-GB"/>
        </w:rPr>
        <w:t>rmc</w:t>
      </w:r>
      <w:r w:rsidR="00A90BEE" w:rsidRPr="00AE2D6F">
        <w:rPr>
          <w:rFonts w:asciiTheme="majorHAnsi" w:eastAsia="Times New Roman" w:hAnsiTheme="majorHAnsi" w:cs="Times New Roman"/>
          <w:szCs w:val="24"/>
          <w:lang w:val="en-GB"/>
        </w:rPr>
        <w:t xml:space="preserve"> contains only naturally-</w:t>
      </w:r>
      <w:r w:rsidR="00633E0A" w:rsidRPr="00AE2D6F">
        <w:rPr>
          <w:rFonts w:asciiTheme="majorHAnsi" w:eastAsia="Times New Roman" w:hAnsiTheme="majorHAnsi" w:cs="Times New Roman"/>
          <w:szCs w:val="24"/>
          <w:lang w:val="en-GB"/>
        </w:rPr>
        <w:t>occurring amino acids and has no known active metabolites. Human antibodies are predominately cataboli</w:t>
      </w:r>
      <w:r w:rsidR="00C90FBB" w:rsidRPr="00AE2D6F">
        <w:rPr>
          <w:rFonts w:asciiTheme="majorHAnsi" w:eastAsia="Times New Roman" w:hAnsiTheme="majorHAnsi" w:cs="Times New Roman"/>
          <w:szCs w:val="24"/>
          <w:lang w:val="en-GB"/>
        </w:rPr>
        <w:t>s</w:t>
      </w:r>
      <w:r w:rsidR="00633E0A" w:rsidRPr="00AE2D6F">
        <w:rPr>
          <w:rFonts w:asciiTheme="majorHAnsi" w:eastAsia="Times New Roman" w:hAnsiTheme="majorHAnsi" w:cs="Times New Roman"/>
          <w:szCs w:val="24"/>
          <w:lang w:val="en-GB"/>
        </w:rPr>
        <w:t>ed by lysosomal enzymes to small peptides and amino acids.</w:t>
      </w:r>
    </w:p>
    <w:p w14:paraId="1D1EE3A6" w14:textId="77777777" w:rsidR="001A3992" w:rsidRPr="00AE2D6F" w:rsidRDefault="001A3992" w:rsidP="00BF24C5">
      <w:pPr>
        <w:pStyle w:val="Heading3"/>
      </w:pPr>
      <w:r w:rsidRPr="00AE2D6F">
        <w:t>Excretion</w:t>
      </w:r>
    </w:p>
    <w:p w14:paraId="451027C7" w14:textId="77777777" w:rsidR="00633E0A" w:rsidRPr="00AE2D6F" w:rsidRDefault="008C0234" w:rsidP="00633E0A">
      <w:pPr>
        <w:rPr>
          <w:rFonts w:asciiTheme="majorHAnsi" w:eastAsia="Times New Roman" w:hAnsiTheme="majorHAnsi" w:cs="Times New Roman"/>
          <w:szCs w:val="24"/>
          <w:lang w:val="en-GB"/>
        </w:rPr>
      </w:pPr>
      <w:r w:rsidRPr="00AE2D6F">
        <w:rPr>
          <w:szCs w:val="24"/>
          <w:u w:val="single"/>
        </w:rPr>
        <w:t>Elimination</w:t>
      </w:r>
      <w:r w:rsidRPr="00AE2D6F">
        <w:rPr>
          <w:szCs w:val="24"/>
        </w:rPr>
        <w:t xml:space="preserve">: </w:t>
      </w:r>
      <w:r w:rsidR="00633E0A" w:rsidRPr="00AE2D6F">
        <w:rPr>
          <w:rFonts w:asciiTheme="majorHAnsi" w:eastAsia="Times New Roman" w:hAnsiTheme="majorHAnsi" w:cs="Times New Roman"/>
          <w:szCs w:val="24"/>
          <w:lang w:val="en-GB"/>
        </w:rPr>
        <w:t>In patients with normal kidneys, antibodies are not excreted and are excluded from filtration by their size.</w:t>
      </w:r>
    </w:p>
    <w:p w14:paraId="17D2DA48" w14:textId="2A0F3DCD" w:rsidR="00633E0A" w:rsidRPr="00AE2D6F" w:rsidRDefault="00633E0A" w:rsidP="008866E8">
      <w:pPr>
        <w:spacing w:before="120"/>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 xml:space="preserve">The pharmacokinetics (PK) of </w:t>
      </w:r>
      <w:r w:rsidR="00B249B7"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 xml:space="preserve"> were studied in patients</w:t>
      </w:r>
      <w:r w:rsidR="00A8461F">
        <w:rPr>
          <w:rFonts w:asciiTheme="majorHAnsi" w:eastAsia="Times New Roman" w:hAnsiTheme="majorHAnsi" w:cs="Times New Roman"/>
          <w:szCs w:val="24"/>
          <w:lang w:val="en-GB"/>
        </w:rPr>
        <w:t xml:space="preserve"> with PNH</w:t>
      </w:r>
      <w:r w:rsidRPr="00AE2D6F">
        <w:rPr>
          <w:rFonts w:asciiTheme="majorHAnsi" w:eastAsia="Times New Roman" w:hAnsiTheme="majorHAnsi" w:cs="Times New Roman"/>
          <w:szCs w:val="24"/>
          <w:lang w:val="en-GB"/>
        </w:rPr>
        <w:t xml:space="preserve"> using total serum concentrations (</w:t>
      </w:r>
      <w:r w:rsidRPr="00AE2D6F">
        <w:rPr>
          <w:lang w:val="en-GB"/>
        </w:rPr>
        <w:t xml:space="preserve">free and bound drug). In 40 patients with PNH, a 1-compartmental model was used to estimate PK parameters after multiple doses. Mean clearance was 0.31 </w:t>
      </w:r>
      <w:r w:rsidRPr="00AE2D6F">
        <w:rPr>
          <w:lang w:val="en-GB"/>
        </w:rPr>
        <w:sym w:font="Symbol" w:char="F0B1"/>
      </w:r>
      <w:r w:rsidRPr="00AE2D6F">
        <w:rPr>
          <w:lang w:val="en-GB"/>
        </w:rPr>
        <w:t xml:space="preserve"> 0.12 mL/hr/kg, mean volume of distribution was 110.3 </w:t>
      </w:r>
      <w:r w:rsidRPr="00AE2D6F">
        <w:rPr>
          <w:lang w:val="en-GB"/>
        </w:rPr>
        <w:sym w:font="Symbol" w:char="F0B1"/>
      </w:r>
      <w:r w:rsidRPr="00AE2D6F">
        <w:rPr>
          <w:lang w:val="en-GB"/>
        </w:rPr>
        <w:t xml:space="preserve"> 17.9 </w:t>
      </w:r>
      <w:r w:rsidRPr="00AE2D6F">
        <w:rPr>
          <w:lang w:val="en-GB"/>
        </w:rPr>
        <w:lastRenderedPageBreak/>
        <w:t xml:space="preserve">mL/kg, and mean elimination half-life was 11.3 </w:t>
      </w:r>
      <w:r w:rsidRPr="00AE2D6F">
        <w:rPr>
          <w:lang w:val="en-GB"/>
        </w:rPr>
        <w:sym w:font="Symbol" w:char="F0B1"/>
      </w:r>
      <w:r w:rsidRPr="00AE2D6F">
        <w:rPr>
          <w:lang w:val="en-GB"/>
        </w:rPr>
        <w:t xml:space="preserve"> 3.4 days. Based on these data, the onset of steady state is predicted to be approximately</w:t>
      </w:r>
      <w:r w:rsidRPr="00AE2D6F">
        <w:rPr>
          <w:rFonts w:asciiTheme="majorHAnsi" w:eastAsia="Times New Roman" w:hAnsiTheme="majorHAnsi" w:cs="Times New Roman"/>
          <w:szCs w:val="24"/>
          <w:lang w:val="en-GB"/>
        </w:rPr>
        <w:t xml:space="preserve"> 49–56 days.</w:t>
      </w:r>
    </w:p>
    <w:p w14:paraId="0F0CBF98" w14:textId="25C2B984" w:rsidR="00633E0A" w:rsidRPr="00AE2D6F" w:rsidRDefault="00633E0A" w:rsidP="008866E8">
      <w:pPr>
        <w:tabs>
          <w:tab w:val="left" w:pos="567"/>
        </w:tabs>
        <w:spacing w:before="120"/>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A second population PK analysis using a standard 1-compartmental model was conducted on the multiple dose PK data from 37 patients</w:t>
      </w:r>
      <w:r w:rsidR="00A8461F">
        <w:rPr>
          <w:rFonts w:asciiTheme="majorHAnsi" w:eastAsia="Times New Roman" w:hAnsiTheme="majorHAnsi" w:cs="Times New Roman"/>
          <w:szCs w:val="24"/>
          <w:lang w:val="en-GB"/>
        </w:rPr>
        <w:t xml:space="preserve"> with aHUS</w:t>
      </w:r>
      <w:r w:rsidRPr="00AE2D6F">
        <w:rPr>
          <w:rFonts w:asciiTheme="majorHAnsi" w:eastAsia="Times New Roman" w:hAnsiTheme="majorHAnsi" w:cs="Times New Roman"/>
          <w:szCs w:val="24"/>
          <w:lang w:val="en-GB"/>
        </w:rPr>
        <w:t xml:space="preserve"> receiving the </w:t>
      </w:r>
      <w:r w:rsidRPr="00AE2D6F">
        <w:rPr>
          <w:lang w:val="en-GB"/>
        </w:rPr>
        <w:t xml:space="preserve">recommended </w:t>
      </w:r>
      <w:r w:rsidR="00B249B7" w:rsidRPr="00AE2D6F">
        <w:rPr>
          <w:lang w:val="en-GB"/>
        </w:rPr>
        <w:t>Soliris</w:t>
      </w:r>
      <w:r w:rsidRPr="00AE2D6F">
        <w:rPr>
          <w:lang w:val="en-GB"/>
        </w:rPr>
        <w:t xml:space="preserve"> regimen in studies </w:t>
      </w:r>
      <w:r w:rsidRPr="00AE2D6F">
        <w:rPr>
          <w:i/>
          <w:lang w:val="en-GB"/>
        </w:rPr>
        <w:t>C08-002A/B</w:t>
      </w:r>
      <w:r w:rsidRPr="00AE2D6F">
        <w:rPr>
          <w:lang w:val="en-GB"/>
        </w:rPr>
        <w:t xml:space="preserve"> and </w:t>
      </w:r>
      <w:r w:rsidRPr="00AE2D6F">
        <w:rPr>
          <w:i/>
          <w:lang w:val="en-GB"/>
        </w:rPr>
        <w:t>C08-003A/B</w:t>
      </w:r>
      <w:r w:rsidRPr="00AE2D6F">
        <w:rPr>
          <w:lang w:val="en-GB"/>
        </w:rPr>
        <w:t xml:space="preserve">. In this model, the clearance of </w:t>
      </w:r>
      <w:r w:rsidR="00B249B7" w:rsidRPr="00AE2D6F">
        <w:rPr>
          <w:lang w:val="en-GB"/>
        </w:rPr>
        <w:t>Soliris</w:t>
      </w:r>
      <w:r w:rsidRPr="00AE2D6F">
        <w:rPr>
          <w:lang w:val="en-GB"/>
        </w:rPr>
        <w:t xml:space="preserve"> for a typical aHUS patient weighing 70 kg was 0.0139 L/hr and the volume of distribution was 5.6 L. The elimination half-life was 297 h (approximately 12.4</w:t>
      </w:r>
      <w:r w:rsidRPr="00AE2D6F">
        <w:rPr>
          <w:rFonts w:asciiTheme="majorHAnsi" w:eastAsia="Times New Roman" w:hAnsiTheme="majorHAnsi" w:cs="Times New Roman"/>
          <w:szCs w:val="24"/>
          <w:lang w:val="en-GB"/>
        </w:rPr>
        <w:t xml:space="preserve"> days). </w:t>
      </w:r>
    </w:p>
    <w:p w14:paraId="771EEFF9" w14:textId="3A53C0D7" w:rsidR="00633E0A" w:rsidRPr="00AE2D6F" w:rsidRDefault="00633E0A" w:rsidP="008866E8">
      <w:pPr>
        <w:tabs>
          <w:tab w:val="left" w:pos="567"/>
        </w:tabs>
        <w:spacing w:before="120"/>
        <w:rPr>
          <w:rFonts w:asciiTheme="majorHAnsi" w:hAnsiTheme="majorHAnsi" w:cs="Times New Roman"/>
        </w:rPr>
      </w:pPr>
      <w:r w:rsidRPr="00AE2D6F">
        <w:rPr>
          <w:rFonts w:asciiTheme="majorHAnsi" w:hAnsiTheme="majorHAnsi" w:cs="Times New Roman"/>
        </w:rPr>
        <w:t xml:space="preserve">The clearance and half-life of </w:t>
      </w:r>
      <w:proofErr w:type="spellStart"/>
      <w:r w:rsidRPr="00AE2D6F">
        <w:rPr>
          <w:rFonts w:asciiTheme="majorHAnsi" w:hAnsiTheme="majorHAnsi" w:cs="Times New Roman"/>
        </w:rPr>
        <w:t>eculizumab</w:t>
      </w:r>
      <w:proofErr w:type="spellEnd"/>
      <w:r w:rsidRPr="00AE2D6F">
        <w:rPr>
          <w:rFonts w:asciiTheme="majorHAnsi" w:hAnsiTheme="majorHAnsi" w:cs="Times New Roman"/>
        </w:rPr>
        <w:t xml:space="preserve"> </w:t>
      </w:r>
      <w:r w:rsidRPr="00AE2D6F">
        <w:rPr>
          <w:rFonts w:asciiTheme="majorHAnsi" w:hAnsiTheme="majorHAnsi" w:cs="Times New Roman"/>
          <w:i/>
        </w:rPr>
        <w:t>rmc</w:t>
      </w:r>
      <w:r w:rsidRPr="00AE2D6F">
        <w:rPr>
          <w:rFonts w:asciiTheme="majorHAnsi" w:hAnsiTheme="majorHAnsi" w:cs="Times New Roman"/>
        </w:rPr>
        <w:t xml:space="preserve"> were also evaluated during plasma exchange interventions. Plasma exchange resulted in an approximately 50% decline in </w:t>
      </w:r>
      <w:proofErr w:type="spellStart"/>
      <w:r w:rsidRPr="00AE2D6F">
        <w:rPr>
          <w:rFonts w:asciiTheme="majorHAnsi" w:hAnsiTheme="majorHAnsi" w:cs="Times New Roman"/>
        </w:rPr>
        <w:t>eculizumab</w:t>
      </w:r>
      <w:proofErr w:type="spellEnd"/>
      <w:r w:rsidRPr="00AE2D6F">
        <w:rPr>
          <w:rFonts w:asciiTheme="majorHAnsi" w:hAnsiTheme="majorHAnsi" w:cs="Times New Roman"/>
        </w:rPr>
        <w:t xml:space="preserve"> </w:t>
      </w:r>
      <w:r w:rsidRPr="00AE2D6F">
        <w:rPr>
          <w:rFonts w:asciiTheme="majorHAnsi" w:hAnsiTheme="majorHAnsi" w:cs="Times New Roman"/>
          <w:i/>
        </w:rPr>
        <w:t>rmc</w:t>
      </w:r>
      <w:r w:rsidRPr="00AE2D6F">
        <w:rPr>
          <w:rFonts w:asciiTheme="majorHAnsi" w:hAnsiTheme="majorHAnsi" w:cs="Times New Roman"/>
        </w:rPr>
        <w:t xml:space="preserve"> concentrations following a 1 hour intervention and the elimination half-life of </w:t>
      </w:r>
      <w:proofErr w:type="spellStart"/>
      <w:r w:rsidRPr="00AE2D6F">
        <w:rPr>
          <w:rFonts w:asciiTheme="majorHAnsi" w:hAnsiTheme="majorHAnsi" w:cs="Times New Roman"/>
        </w:rPr>
        <w:t>eculizumab</w:t>
      </w:r>
      <w:proofErr w:type="spellEnd"/>
      <w:r w:rsidRPr="00AE2D6F">
        <w:rPr>
          <w:rFonts w:asciiTheme="majorHAnsi" w:hAnsiTheme="majorHAnsi" w:cs="Times New Roman"/>
        </w:rPr>
        <w:t xml:space="preserve"> </w:t>
      </w:r>
      <w:r w:rsidRPr="00AE2D6F">
        <w:rPr>
          <w:rFonts w:asciiTheme="majorHAnsi" w:hAnsiTheme="majorHAnsi" w:cs="Times New Roman"/>
          <w:i/>
        </w:rPr>
        <w:t>rmc</w:t>
      </w:r>
      <w:r w:rsidRPr="00AE2D6F">
        <w:rPr>
          <w:rFonts w:asciiTheme="majorHAnsi" w:hAnsiTheme="majorHAnsi" w:cs="Times New Roman"/>
        </w:rPr>
        <w:t xml:space="preserve"> was reduced to 1.3 hours. Supplemental dosing is recommended when </w:t>
      </w:r>
      <w:r w:rsidR="00437829" w:rsidRPr="00AE2D6F">
        <w:rPr>
          <w:rFonts w:asciiTheme="majorHAnsi" w:hAnsiTheme="majorHAnsi" w:cs="Times New Roman"/>
          <w:szCs w:val="24"/>
        </w:rPr>
        <w:t>Soliris</w:t>
      </w:r>
      <w:r w:rsidRPr="00AE2D6F">
        <w:rPr>
          <w:rFonts w:asciiTheme="majorHAnsi" w:hAnsiTheme="majorHAnsi" w:cs="Times New Roman"/>
        </w:rPr>
        <w:t xml:space="preserve"> is administered to patients</w:t>
      </w:r>
      <w:r w:rsidR="00A8461F">
        <w:rPr>
          <w:rFonts w:asciiTheme="majorHAnsi" w:hAnsiTheme="majorHAnsi" w:cs="Times New Roman"/>
        </w:rPr>
        <w:t xml:space="preserve"> with aHUS</w:t>
      </w:r>
      <w:r w:rsidRPr="00AE2D6F">
        <w:rPr>
          <w:rFonts w:asciiTheme="majorHAnsi" w:hAnsiTheme="majorHAnsi" w:cs="Times New Roman"/>
        </w:rPr>
        <w:t xml:space="preserve"> receiving plasma infusion or exchange.</w:t>
      </w:r>
    </w:p>
    <w:p w14:paraId="78E927C7" w14:textId="77777777" w:rsidR="00633E0A" w:rsidRPr="00AE2D6F" w:rsidRDefault="00633E0A" w:rsidP="006908ED">
      <w:pPr>
        <w:keepNext/>
        <w:tabs>
          <w:tab w:val="left" w:pos="567"/>
        </w:tabs>
        <w:autoSpaceDE w:val="0"/>
        <w:autoSpaceDN w:val="0"/>
        <w:adjustRightInd w:val="0"/>
        <w:spacing w:before="240" w:after="120"/>
        <w:rPr>
          <w:rFonts w:asciiTheme="majorHAnsi" w:hAnsiTheme="majorHAnsi" w:cs="Times New Roman"/>
          <w:bCs/>
          <w:szCs w:val="24"/>
          <w:u w:val="single"/>
        </w:rPr>
      </w:pPr>
      <w:r w:rsidRPr="00AE2D6F">
        <w:rPr>
          <w:rFonts w:asciiTheme="majorHAnsi" w:hAnsiTheme="majorHAnsi" w:cs="Times New Roman"/>
          <w:bCs/>
          <w:szCs w:val="24"/>
          <w:u w:val="single"/>
        </w:rPr>
        <w:t>Special Populations:</w:t>
      </w:r>
    </w:p>
    <w:p w14:paraId="23A7F51B" w14:textId="77777777" w:rsidR="00633E0A" w:rsidRPr="00AE2D6F" w:rsidRDefault="00633E0A" w:rsidP="000D7936">
      <w:pPr>
        <w:tabs>
          <w:tab w:val="left" w:pos="567"/>
        </w:tabs>
        <w:autoSpaceDE w:val="0"/>
        <w:autoSpaceDN w:val="0"/>
        <w:adjustRightInd w:val="0"/>
        <w:spacing w:before="120" w:after="120"/>
        <w:rPr>
          <w:rFonts w:asciiTheme="majorHAnsi" w:hAnsiTheme="majorHAnsi" w:cs="Times New Roman"/>
          <w:bCs/>
          <w:i/>
          <w:szCs w:val="24"/>
        </w:rPr>
      </w:pPr>
      <w:r w:rsidRPr="00AE2D6F">
        <w:rPr>
          <w:rFonts w:asciiTheme="majorHAnsi" w:hAnsiTheme="majorHAnsi" w:cs="Times New Roman"/>
          <w:bCs/>
          <w:i/>
          <w:szCs w:val="24"/>
        </w:rPr>
        <w:t>PNH</w:t>
      </w:r>
    </w:p>
    <w:p w14:paraId="7D72D15D" w14:textId="77777777" w:rsidR="00633E0A" w:rsidRPr="00AE2D6F" w:rsidRDefault="00633E0A" w:rsidP="00633E0A">
      <w:pPr>
        <w:tabs>
          <w:tab w:val="left" w:pos="567"/>
        </w:tabs>
        <w:autoSpaceDE w:val="0"/>
        <w:autoSpaceDN w:val="0"/>
        <w:adjustRightInd w:val="0"/>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 xml:space="preserve">Formal studies have not been conducted to evaluate the pharmacokinetics of </w:t>
      </w:r>
      <w:r w:rsidR="00B249B7"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 xml:space="preserve"> administration in special PNH patient populations based on gender, race, age (geriatric), or renal or hepatic impairment.  </w:t>
      </w:r>
    </w:p>
    <w:p w14:paraId="2710BA6A" w14:textId="77777777" w:rsidR="00633E0A" w:rsidRPr="00AE2D6F" w:rsidRDefault="00633E0A" w:rsidP="000D7936">
      <w:pPr>
        <w:tabs>
          <w:tab w:val="left" w:pos="567"/>
        </w:tabs>
        <w:autoSpaceDE w:val="0"/>
        <w:autoSpaceDN w:val="0"/>
        <w:adjustRightInd w:val="0"/>
        <w:spacing w:before="120"/>
        <w:rPr>
          <w:rFonts w:asciiTheme="majorHAnsi" w:hAnsiTheme="majorHAnsi" w:cs="Times New Roman"/>
          <w:szCs w:val="24"/>
        </w:rPr>
      </w:pPr>
      <w:r w:rsidRPr="00AE2D6F">
        <w:rPr>
          <w:rFonts w:asciiTheme="majorHAnsi" w:hAnsiTheme="majorHAnsi" w:cs="Times New Roman"/>
          <w:i/>
          <w:szCs w:val="24"/>
        </w:rPr>
        <w:t>Paediatric patients</w:t>
      </w:r>
      <w:r w:rsidRPr="00AE2D6F">
        <w:rPr>
          <w:rFonts w:asciiTheme="majorHAnsi" w:eastAsia="Times New Roman" w:hAnsiTheme="majorHAnsi" w:cs="Times New Roman"/>
          <w:szCs w:val="24"/>
          <w:lang w:val="en-GB"/>
        </w:rPr>
        <w:t xml:space="preserve">: the pharmacokinetics of </w:t>
      </w:r>
      <w:proofErr w:type="spellStart"/>
      <w:r w:rsidRPr="00AE2D6F">
        <w:rPr>
          <w:rFonts w:asciiTheme="majorHAnsi" w:eastAsia="Times New Roman" w:hAnsiTheme="majorHAnsi" w:cs="Times New Roman"/>
          <w:szCs w:val="24"/>
          <w:lang w:val="en-GB"/>
        </w:rPr>
        <w:t>eculizumab</w:t>
      </w:r>
      <w:proofErr w:type="spellEnd"/>
      <w:r w:rsidRPr="00AE2D6F">
        <w:rPr>
          <w:rFonts w:asciiTheme="majorHAnsi" w:eastAsia="Times New Roman" w:hAnsiTheme="majorHAnsi" w:cs="Times New Roman"/>
          <w:szCs w:val="24"/>
          <w:lang w:val="en-GB"/>
        </w:rPr>
        <w:t xml:space="preserve"> </w:t>
      </w:r>
      <w:r w:rsidRPr="00AE2D6F">
        <w:rPr>
          <w:rFonts w:asciiTheme="majorHAnsi" w:eastAsia="Times New Roman" w:hAnsiTheme="majorHAnsi" w:cs="Times New Roman"/>
          <w:i/>
          <w:szCs w:val="24"/>
          <w:lang w:val="en-GB"/>
        </w:rPr>
        <w:t>rmc</w:t>
      </w:r>
      <w:r w:rsidRPr="00AE2D6F">
        <w:rPr>
          <w:rFonts w:asciiTheme="majorHAnsi" w:eastAsia="Times New Roman" w:hAnsiTheme="majorHAnsi" w:cs="Times New Roman"/>
          <w:szCs w:val="24"/>
          <w:lang w:val="en-GB"/>
        </w:rPr>
        <w:t xml:space="preserve"> </w:t>
      </w:r>
      <w:r w:rsidR="00B758C2" w:rsidRPr="00AE2D6F">
        <w:rPr>
          <w:rFonts w:asciiTheme="majorHAnsi" w:eastAsia="Times New Roman" w:hAnsiTheme="majorHAnsi" w:cs="Times New Roman"/>
          <w:szCs w:val="24"/>
          <w:lang w:val="en-GB"/>
        </w:rPr>
        <w:t xml:space="preserve">were </w:t>
      </w:r>
      <w:r w:rsidRPr="00AE2D6F">
        <w:rPr>
          <w:rFonts w:asciiTheme="majorHAnsi" w:eastAsia="Times New Roman" w:hAnsiTheme="majorHAnsi" w:cs="Times New Roman"/>
          <w:szCs w:val="24"/>
          <w:lang w:val="en-GB"/>
        </w:rPr>
        <w:t xml:space="preserve">evaluated in Study </w:t>
      </w:r>
      <w:r w:rsidRPr="00AE2D6F">
        <w:rPr>
          <w:rFonts w:asciiTheme="majorHAnsi" w:eastAsia="Times New Roman" w:hAnsiTheme="majorHAnsi" w:cs="Times New Roman"/>
          <w:i/>
          <w:szCs w:val="24"/>
          <w:lang w:val="en-GB"/>
        </w:rPr>
        <w:t>M07-005</w:t>
      </w:r>
      <w:r w:rsidRPr="00AE2D6F">
        <w:rPr>
          <w:rFonts w:asciiTheme="majorHAnsi" w:eastAsia="Times New Roman" w:hAnsiTheme="majorHAnsi" w:cs="Times New Roman"/>
          <w:szCs w:val="24"/>
          <w:lang w:val="en-GB"/>
        </w:rPr>
        <w:t xml:space="preserve"> including 7 PNH paediatric patients (aged from 11 to &lt; 18 years). Weight was a significant covariate resulting in lower </w:t>
      </w:r>
      <w:proofErr w:type="spellStart"/>
      <w:r w:rsidRPr="00AE2D6F">
        <w:rPr>
          <w:rFonts w:asciiTheme="majorHAnsi" w:eastAsia="Times New Roman" w:hAnsiTheme="majorHAnsi" w:cs="Times New Roman"/>
          <w:szCs w:val="24"/>
          <w:lang w:val="en-GB"/>
        </w:rPr>
        <w:t>eculizumab</w:t>
      </w:r>
      <w:proofErr w:type="spellEnd"/>
      <w:r w:rsidRPr="00AE2D6F">
        <w:rPr>
          <w:rFonts w:asciiTheme="majorHAnsi" w:eastAsia="Times New Roman" w:hAnsiTheme="majorHAnsi" w:cs="Times New Roman"/>
          <w:szCs w:val="24"/>
          <w:lang w:val="en-GB"/>
        </w:rPr>
        <w:t xml:space="preserve"> </w:t>
      </w:r>
      <w:r w:rsidRPr="00AE2D6F">
        <w:rPr>
          <w:rFonts w:asciiTheme="majorHAnsi" w:eastAsia="Times New Roman" w:hAnsiTheme="majorHAnsi" w:cs="Times New Roman"/>
          <w:i/>
          <w:szCs w:val="24"/>
          <w:lang w:val="en-GB"/>
        </w:rPr>
        <w:t xml:space="preserve">rmc </w:t>
      </w:r>
      <w:r w:rsidRPr="00AE2D6F">
        <w:rPr>
          <w:rFonts w:asciiTheme="majorHAnsi" w:eastAsia="Times New Roman" w:hAnsiTheme="majorHAnsi" w:cs="Times New Roman"/>
          <w:szCs w:val="24"/>
          <w:lang w:val="en-GB"/>
        </w:rPr>
        <w:t>clearance. Dosing for paediatric patients &lt;40 kg is based on paediatric patients with aHUS</w:t>
      </w:r>
      <w:r w:rsidRPr="00AE2D6F">
        <w:rPr>
          <w:rFonts w:asciiTheme="majorHAnsi" w:hAnsiTheme="majorHAnsi" w:cs="Times New Roman"/>
        </w:rPr>
        <w:t>.</w:t>
      </w:r>
    </w:p>
    <w:p w14:paraId="47CC32FF" w14:textId="77777777" w:rsidR="00633E0A" w:rsidRPr="00AE2D6F" w:rsidRDefault="00633E0A" w:rsidP="000D7936">
      <w:pPr>
        <w:tabs>
          <w:tab w:val="left" w:pos="567"/>
        </w:tabs>
        <w:autoSpaceDE w:val="0"/>
        <w:autoSpaceDN w:val="0"/>
        <w:adjustRightInd w:val="0"/>
        <w:spacing w:before="120" w:after="120"/>
        <w:rPr>
          <w:rFonts w:asciiTheme="majorHAnsi" w:hAnsiTheme="majorHAnsi" w:cs="Times New Roman"/>
          <w:i/>
          <w:szCs w:val="24"/>
        </w:rPr>
      </w:pPr>
      <w:r w:rsidRPr="00AE2D6F">
        <w:rPr>
          <w:rFonts w:asciiTheme="majorHAnsi" w:hAnsiTheme="majorHAnsi" w:cs="Times New Roman"/>
          <w:i/>
          <w:szCs w:val="24"/>
        </w:rPr>
        <w:t>aHUS</w:t>
      </w:r>
    </w:p>
    <w:p w14:paraId="7FCD4D34" w14:textId="0919DF4D" w:rsidR="00633E0A" w:rsidRPr="00AE2D6F" w:rsidRDefault="00633E0A" w:rsidP="00633E0A">
      <w:pPr>
        <w:rPr>
          <w:rFonts w:asciiTheme="majorHAnsi" w:eastAsia="Times New Roman" w:hAnsiTheme="majorHAnsi" w:cs="Times New Roman"/>
          <w:szCs w:val="24"/>
          <w:lang w:val="en-GB"/>
        </w:rPr>
      </w:pPr>
      <w:r w:rsidRPr="00AE2D6F">
        <w:rPr>
          <w:rFonts w:asciiTheme="majorHAnsi" w:eastAsia="Times New Roman" w:hAnsiTheme="majorHAnsi" w:cs="Times New Roman"/>
          <w:szCs w:val="24"/>
          <w:lang w:val="en-GB"/>
        </w:rPr>
        <w:t xml:space="preserve">The pharmacokinetics of </w:t>
      </w:r>
      <w:r w:rsidR="00B249B7" w:rsidRPr="00AE2D6F">
        <w:rPr>
          <w:rFonts w:asciiTheme="majorHAnsi" w:eastAsia="Times New Roman" w:hAnsiTheme="majorHAnsi" w:cs="Times New Roman"/>
          <w:szCs w:val="24"/>
          <w:lang w:val="en-GB"/>
        </w:rPr>
        <w:t>Soliris</w:t>
      </w:r>
      <w:r w:rsidRPr="00AE2D6F">
        <w:rPr>
          <w:rFonts w:asciiTheme="majorHAnsi" w:eastAsia="Times New Roman" w:hAnsiTheme="majorHAnsi" w:cs="Times New Roman"/>
          <w:szCs w:val="24"/>
          <w:lang w:val="en-GB"/>
        </w:rPr>
        <w:t xml:space="preserve"> have been studied in patients</w:t>
      </w:r>
      <w:r w:rsidR="00A8461F">
        <w:rPr>
          <w:rFonts w:asciiTheme="majorHAnsi" w:eastAsia="Times New Roman" w:hAnsiTheme="majorHAnsi" w:cs="Times New Roman"/>
          <w:szCs w:val="24"/>
          <w:lang w:val="en-GB"/>
        </w:rPr>
        <w:t xml:space="preserve"> with aHUS</w:t>
      </w:r>
      <w:r w:rsidRPr="00AE2D6F">
        <w:rPr>
          <w:rFonts w:asciiTheme="majorHAnsi" w:eastAsia="Times New Roman" w:hAnsiTheme="majorHAnsi" w:cs="Times New Roman"/>
          <w:szCs w:val="24"/>
          <w:lang w:val="en-GB"/>
        </w:rPr>
        <w:t xml:space="preserve"> with a range of renal impairment and age. There have been no observed differences in PK parameters noted in these subpopulations of patients</w:t>
      </w:r>
      <w:r w:rsidR="00A8461F">
        <w:rPr>
          <w:rFonts w:asciiTheme="majorHAnsi" w:eastAsia="Times New Roman" w:hAnsiTheme="majorHAnsi" w:cs="Times New Roman"/>
          <w:szCs w:val="24"/>
          <w:lang w:val="en-GB"/>
        </w:rPr>
        <w:t xml:space="preserve"> with aHUS</w:t>
      </w:r>
      <w:r w:rsidRPr="00AE2D6F">
        <w:rPr>
          <w:rFonts w:asciiTheme="majorHAnsi" w:eastAsia="Times New Roman" w:hAnsiTheme="majorHAnsi" w:cs="Times New Roman"/>
          <w:szCs w:val="24"/>
          <w:lang w:val="en-GB"/>
        </w:rPr>
        <w:t>.</w:t>
      </w:r>
      <w:r w:rsidRPr="00AE2D6F" w:rsidDel="001E1137">
        <w:rPr>
          <w:rFonts w:asciiTheme="majorHAnsi" w:eastAsia="Times New Roman" w:hAnsiTheme="majorHAnsi" w:cs="Times New Roman"/>
          <w:szCs w:val="24"/>
          <w:lang w:val="en-GB"/>
        </w:rPr>
        <w:t xml:space="preserve"> </w:t>
      </w:r>
    </w:p>
    <w:p w14:paraId="65ECF154" w14:textId="2AFBD850" w:rsidR="00633E0A" w:rsidRPr="00AE2D6F" w:rsidRDefault="00633E0A" w:rsidP="000D7936">
      <w:pPr>
        <w:pStyle w:val="CommentText"/>
        <w:spacing w:before="120"/>
        <w:rPr>
          <w:rFonts w:asciiTheme="majorHAnsi" w:eastAsia="Times New Roman" w:hAnsiTheme="majorHAnsi" w:cs="Times New Roman"/>
          <w:sz w:val="24"/>
          <w:szCs w:val="24"/>
          <w:lang w:val="en-GB"/>
        </w:rPr>
      </w:pPr>
      <w:r w:rsidRPr="000D7936">
        <w:rPr>
          <w:rFonts w:asciiTheme="majorHAnsi" w:hAnsiTheme="majorHAnsi" w:cs="Times New Roman"/>
          <w:i/>
          <w:sz w:val="24"/>
          <w:szCs w:val="24"/>
        </w:rPr>
        <w:t>Paediatric patients</w:t>
      </w:r>
      <w:r w:rsidRPr="00AE2D6F">
        <w:rPr>
          <w:rFonts w:asciiTheme="majorHAnsi" w:eastAsia="Times New Roman" w:hAnsiTheme="majorHAnsi" w:cs="Times New Roman"/>
          <w:sz w:val="24"/>
          <w:szCs w:val="24"/>
          <w:lang w:val="en-GB"/>
        </w:rPr>
        <w:t>: the second population PK model was applied to the multiple dose PK data from 22 paediatric patients</w:t>
      </w:r>
      <w:r w:rsidR="00A8461F">
        <w:rPr>
          <w:rFonts w:asciiTheme="majorHAnsi" w:eastAsia="Times New Roman" w:hAnsiTheme="majorHAnsi" w:cs="Times New Roman"/>
          <w:sz w:val="24"/>
          <w:szCs w:val="24"/>
          <w:lang w:val="en-GB"/>
        </w:rPr>
        <w:t xml:space="preserve"> with aHUS</w:t>
      </w:r>
      <w:r w:rsidRPr="00AE2D6F">
        <w:rPr>
          <w:rFonts w:asciiTheme="majorHAnsi" w:eastAsia="Times New Roman" w:hAnsiTheme="majorHAnsi" w:cs="Times New Roman"/>
          <w:sz w:val="24"/>
          <w:szCs w:val="24"/>
          <w:lang w:val="en-GB"/>
        </w:rPr>
        <w:t xml:space="preserve"> receiving the recommended </w:t>
      </w:r>
      <w:r w:rsidR="00B249B7" w:rsidRPr="00AE2D6F">
        <w:rPr>
          <w:rFonts w:asciiTheme="majorHAnsi" w:eastAsia="Times New Roman" w:hAnsiTheme="majorHAnsi" w:cs="Times New Roman"/>
          <w:sz w:val="24"/>
          <w:szCs w:val="24"/>
          <w:lang w:val="en-GB"/>
        </w:rPr>
        <w:t>Soliris</w:t>
      </w:r>
      <w:r w:rsidRPr="00AE2D6F">
        <w:rPr>
          <w:rFonts w:asciiTheme="majorHAnsi" w:eastAsia="Times New Roman" w:hAnsiTheme="majorHAnsi" w:cs="Times New Roman"/>
          <w:sz w:val="24"/>
          <w:szCs w:val="24"/>
          <w:lang w:val="en-GB"/>
        </w:rPr>
        <w:t xml:space="preserve"> regimen in Study </w:t>
      </w:r>
      <w:r w:rsidRPr="00AE2D6F">
        <w:rPr>
          <w:rFonts w:asciiTheme="majorHAnsi" w:eastAsia="Times New Roman" w:hAnsiTheme="majorHAnsi" w:cs="Times New Roman"/>
          <w:i/>
          <w:sz w:val="24"/>
          <w:szCs w:val="24"/>
          <w:lang w:val="en-GB"/>
        </w:rPr>
        <w:t>C10-003</w:t>
      </w:r>
      <w:r w:rsidRPr="00AE2D6F">
        <w:rPr>
          <w:rFonts w:asciiTheme="majorHAnsi" w:eastAsia="Times New Roman" w:hAnsiTheme="majorHAnsi" w:cs="Times New Roman"/>
          <w:sz w:val="24"/>
          <w:szCs w:val="24"/>
          <w:lang w:val="en-GB"/>
        </w:rPr>
        <w:t xml:space="preserve">. Clearance values of </w:t>
      </w:r>
      <w:r w:rsidR="00B249B7" w:rsidRPr="00AE2D6F">
        <w:rPr>
          <w:rFonts w:asciiTheme="majorHAnsi" w:eastAsia="Times New Roman" w:hAnsiTheme="majorHAnsi" w:cs="Times New Roman"/>
          <w:sz w:val="24"/>
          <w:szCs w:val="24"/>
          <w:lang w:val="en-GB"/>
        </w:rPr>
        <w:t>Soliris</w:t>
      </w:r>
      <w:r w:rsidRPr="00AE2D6F">
        <w:rPr>
          <w:rFonts w:asciiTheme="majorHAnsi" w:eastAsia="Times New Roman" w:hAnsiTheme="majorHAnsi" w:cs="Times New Roman"/>
          <w:sz w:val="24"/>
          <w:szCs w:val="24"/>
          <w:lang w:val="en-GB"/>
        </w:rPr>
        <w:t xml:space="preserve"> in paediatric patients</w:t>
      </w:r>
      <w:r w:rsidR="00A8461F">
        <w:rPr>
          <w:rFonts w:asciiTheme="majorHAnsi" w:eastAsia="Times New Roman" w:hAnsiTheme="majorHAnsi" w:cs="Times New Roman"/>
          <w:sz w:val="24"/>
          <w:szCs w:val="24"/>
          <w:lang w:val="en-GB"/>
        </w:rPr>
        <w:t xml:space="preserve"> with aHUS</w:t>
      </w:r>
      <w:r w:rsidRPr="00AE2D6F">
        <w:rPr>
          <w:rFonts w:asciiTheme="majorHAnsi" w:eastAsia="Times New Roman" w:hAnsiTheme="majorHAnsi" w:cs="Times New Roman"/>
          <w:sz w:val="24"/>
          <w:szCs w:val="24"/>
          <w:lang w:val="en-GB"/>
        </w:rPr>
        <w:t xml:space="preserve"> were 0.0104 L/h, 0.0053 L/h and 0.0022 L/h with body weight of 70, 30, and 10 kg, respectively; and the corresponding volume of distribution values were 5.23, 2.76, and 1.21 L, respectively. The corresponding elimination half-life remained almost unchanged within a range of 349 to 378h (approximately 14.5 to 15.8 days).</w:t>
      </w:r>
    </w:p>
    <w:p w14:paraId="4DF302AD" w14:textId="77777777" w:rsidR="001A3992" w:rsidRPr="00AE2D6F" w:rsidRDefault="001A3992" w:rsidP="001B4216">
      <w:pPr>
        <w:pStyle w:val="Heading2"/>
        <w:spacing w:before="200"/>
        <w:rPr>
          <w:rFonts w:cs="Times New Roman"/>
          <w:lang w:val="en-US"/>
        </w:rPr>
      </w:pPr>
      <w:r w:rsidRPr="00AE2D6F">
        <w:rPr>
          <w:rFonts w:cs="Times New Roman"/>
          <w:lang w:val="en-US"/>
        </w:rPr>
        <w:t>Preclinical safety data</w:t>
      </w:r>
    </w:p>
    <w:p w14:paraId="7EBA8B8C" w14:textId="77777777" w:rsidR="001A3992" w:rsidRPr="00AE2D6F" w:rsidRDefault="001A3992" w:rsidP="000D7936">
      <w:pPr>
        <w:pStyle w:val="Heading3"/>
        <w:spacing w:before="200"/>
      </w:pPr>
      <w:r w:rsidRPr="00AE2D6F">
        <w:t>Genotoxicity</w:t>
      </w:r>
    </w:p>
    <w:p w14:paraId="55887EDB" w14:textId="77777777" w:rsidR="00C628AE" w:rsidRPr="00AE2D6F" w:rsidRDefault="00C628AE" w:rsidP="00C628AE">
      <w:pPr>
        <w:rPr>
          <w:rFonts w:asciiTheme="majorHAnsi" w:hAnsiTheme="majorHAnsi" w:cs="Times New Roman"/>
        </w:rPr>
      </w:pPr>
      <w:r w:rsidRPr="00AE2D6F">
        <w:rPr>
          <w:rFonts w:asciiTheme="majorHAnsi" w:hAnsiTheme="majorHAnsi" w:cs="Times New Roman"/>
        </w:rPr>
        <w:t xml:space="preserve">No studies have been conducted to assess the genotoxic potential of </w:t>
      </w:r>
      <w:proofErr w:type="spellStart"/>
      <w:r w:rsidRPr="00AE2D6F">
        <w:rPr>
          <w:rFonts w:asciiTheme="majorHAnsi" w:hAnsiTheme="majorHAnsi" w:cs="Times New Roman"/>
        </w:rPr>
        <w:t>eculizumab</w:t>
      </w:r>
      <w:proofErr w:type="spellEnd"/>
      <w:r w:rsidR="0008703F" w:rsidRPr="00AE2D6F">
        <w:rPr>
          <w:rFonts w:asciiTheme="majorHAnsi" w:hAnsiTheme="majorHAnsi" w:cs="Times New Roman"/>
        </w:rPr>
        <w:t xml:space="preserve"> </w:t>
      </w:r>
      <w:r w:rsidR="0008703F" w:rsidRPr="00AE2D6F">
        <w:rPr>
          <w:rFonts w:asciiTheme="majorHAnsi" w:hAnsiTheme="majorHAnsi" w:cs="Times New Roman"/>
          <w:i/>
        </w:rPr>
        <w:t>rmc</w:t>
      </w:r>
      <w:r w:rsidRPr="00AE2D6F">
        <w:rPr>
          <w:rFonts w:asciiTheme="majorHAnsi" w:hAnsiTheme="majorHAnsi" w:cs="Times New Roman"/>
        </w:rPr>
        <w:t>.</w:t>
      </w:r>
    </w:p>
    <w:p w14:paraId="70778148" w14:textId="77777777" w:rsidR="001A3992" w:rsidRPr="00AE2D6F" w:rsidRDefault="001A3992" w:rsidP="000D7936">
      <w:pPr>
        <w:pStyle w:val="Heading3"/>
        <w:spacing w:before="200"/>
      </w:pPr>
      <w:r w:rsidRPr="00AE2D6F">
        <w:t>Carcinogenicity</w:t>
      </w:r>
    </w:p>
    <w:p w14:paraId="33A78C4F" w14:textId="77777777" w:rsidR="00C628AE" w:rsidRPr="00AE2D6F" w:rsidRDefault="00C628AE" w:rsidP="00C628AE">
      <w:pPr>
        <w:rPr>
          <w:rFonts w:asciiTheme="majorHAnsi" w:hAnsiTheme="majorHAnsi" w:cs="Times New Roman"/>
          <w:szCs w:val="24"/>
        </w:rPr>
      </w:pPr>
      <w:r w:rsidRPr="00AE2D6F">
        <w:rPr>
          <w:rFonts w:asciiTheme="majorHAnsi" w:hAnsiTheme="majorHAnsi" w:cs="Times New Roman"/>
        </w:rPr>
        <w:t xml:space="preserve">No studies have been conducted to assess the </w:t>
      </w:r>
      <w:r w:rsidR="00157488" w:rsidRPr="00AE2D6F">
        <w:rPr>
          <w:rFonts w:asciiTheme="majorHAnsi" w:hAnsiTheme="majorHAnsi" w:cs="Times New Roman"/>
        </w:rPr>
        <w:t>carcino</w:t>
      </w:r>
      <w:r w:rsidRPr="00AE2D6F">
        <w:rPr>
          <w:rFonts w:asciiTheme="majorHAnsi" w:hAnsiTheme="majorHAnsi" w:cs="Times New Roman"/>
        </w:rPr>
        <w:t xml:space="preserve">genic potential of </w:t>
      </w:r>
      <w:proofErr w:type="spellStart"/>
      <w:r w:rsidRPr="00AE2D6F">
        <w:rPr>
          <w:rFonts w:asciiTheme="majorHAnsi" w:hAnsiTheme="majorHAnsi" w:cs="Times New Roman"/>
        </w:rPr>
        <w:t>eculizumab</w:t>
      </w:r>
      <w:proofErr w:type="spellEnd"/>
      <w:r w:rsidR="0008703F" w:rsidRPr="00AE2D6F">
        <w:rPr>
          <w:rFonts w:asciiTheme="majorHAnsi" w:hAnsiTheme="majorHAnsi" w:cs="Times New Roman"/>
          <w:i/>
        </w:rPr>
        <w:t xml:space="preserve"> rmc</w:t>
      </w:r>
      <w:r w:rsidRPr="00AE2D6F">
        <w:rPr>
          <w:rFonts w:asciiTheme="majorHAnsi" w:hAnsiTheme="majorHAnsi" w:cs="Times New Roman"/>
          <w:szCs w:val="24"/>
        </w:rPr>
        <w:t>.</w:t>
      </w:r>
    </w:p>
    <w:p w14:paraId="3DBE94EE" w14:textId="77777777" w:rsidR="001A3992" w:rsidRPr="00AE2D6F" w:rsidRDefault="001A3992" w:rsidP="006908ED">
      <w:pPr>
        <w:pStyle w:val="Heading1"/>
        <w:spacing w:before="240"/>
        <w:rPr>
          <w:rFonts w:cs="Times New Roman"/>
          <w:lang w:val="en-US"/>
        </w:rPr>
      </w:pPr>
      <w:r w:rsidRPr="00AE2D6F">
        <w:rPr>
          <w:rFonts w:cs="Times New Roman"/>
          <w:lang w:val="en-US"/>
        </w:rPr>
        <w:lastRenderedPageBreak/>
        <w:t>Pharmaceutical particulars</w:t>
      </w:r>
    </w:p>
    <w:p w14:paraId="53644D52" w14:textId="77777777" w:rsidR="001A3992" w:rsidRPr="00AE2D6F" w:rsidRDefault="001B4216" w:rsidP="000D7936">
      <w:pPr>
        <w:pStyle w:val="Heading2"/>
        <w:spacing w:before="200" w:after="60"/>
        <w:ind w:left="578" w:hanging="578"/>
      </w:pPr>
      <w:r w:rsidRPr="00AE2D6F">
        <w:t>List of excipients</w:t>
      </w:r>
    </w:p>
    <w:p w14:paraId="49F71AFB" w14:textId="77777777" w:rsidR="00984CEE" w:rsidRPr="00AE2D6F" w:rsidRDefault="00666909" w:rsidP="00437829">
      <w:pPr>
        <w:rPr>
          <w:rFonts w:asciiTheme="majorHAnsi" w:hAnsiTheme="majorHAnsi" w:cs="Times New Roman"/>
          <w:sz w:val="22"/>
        </w:rPr>
      </w:pPr>
      <w:r w:rsidRPr="00AE2D6F">
        <w:rPr>
          <w:rFonts w:asciiTheme="majorHAnsi" w:hAnsiTheme="majorHAnsi" w:cs="Times New Roman"/>
          <w:sz w:val="22"/>
        </w:rPr>
        <w:t xml:space="preserve">Monobasic </w:t>
      </w:r>
      <w:r w:rsidR="00437829" w:rsidRPr="00AE2D6F">
        <w:rPr>
          <w:rFonts w:asciiTheme="majorHAnsi" w:hAnsiTheme="majorHAnsi" w:cs="Times New Roman"/>
          <w:sz w:val="22"/>
        </w:rPr>
        <w:t xml:space="preserve">sodium phosphate monohydrate, </w:t>
      </w:r>
      <w:r w:rsidR="00E1202A" w:rsidRPr="00AE2D6F">
        <w:rPr>
          <w:rFonts w:asciiTheme="majorHAnsi" w:hAnsiTheme="majorHAnsi" w:cs="Times New Roman"/>
          <w:sz w:val="22"/>
        </w:rPr>
        <w:t>1</w:t>
      </w:r>
      <w:r w:rsidR="00437829" w:rsidRPr="00AE2D6F">
        <w:rPr>
          <w:rFonts w:asciiTheme="majorHAnsi" w:hAnsiTheme="majorHAnsi" w:cs="Times New Roman"/>
          <w:sz w:val="22"/>
        </w:rPr>
        <w:t>3.</w:t>
      </w:r>
      <w:r w:rsidR="00E1202A" w:rsidRPr="00AE2D6F">
        <w:rPr>
          <w:rFonts w:asciiTheme="majorHAnsi" w:hAnsiTheme="majorHAnsi" w:cs="Times New Roman"/>
          <w:sz w:val="22"/>
        </w:rPr>
        <w:t>8</w:t>
      </w:r>
      <w:r w:rsidR="00437829" w:rsidRPr="00AE2D6F">
        <w:rPr>
          <w:rFonts w:asciiTheme="majorHAnsi" w:hAnsiTheme="majorHAnsi" w:cs="Times New Roman"/>
          <w:sz w:val="22"/>
        </w:rPr>
        <w:t xml:space="preserve"> mg </w:t>
      </w:r>
    </w:p>
    <w:p w14:paraId="27D2E102" w14:textId="77777777" w:rsidR="00984CEE" w:rsidRPr="00AE2D6F" w:rsidRDefault="00666909" w:rsidP="00437829">
      <w:pPr>
        <w:rPr>
          <w:rFonts w:asciiTheme="majorHAnsi" w:hAnsiTheme="majorHAnsi" w:cs="Times New Roman"/>
          <w:sz w:val="22"/>
        </w:rPr>
      </w:pPr>
      <w:r w:rsidRPr="00AE2D6F">
        <w:rPr>
          <w:rFonts w:asciiTheme="majorHAnsi" w:hAnsiTheme="majorHAnsi" w:cs="Times New Roman"/>
          <w:sz w:val="22"/>
        </w:rPr>
        <w:t xml:space="preserve">Dibasic </w:t>
      </w:r>
      <w:r w:rsidR="00437829" w:rsidRPr="00AE2D6F">
        <w:rPr>
          <w:rFonts w:asciiTheme="majorHAnsi" w:hAnsiTheme="majorHAnsi" w:cs="Times New Roman"/>
          <w:sz w:val="22"/>
        </w:rPr>
        <w:t xml:space="preserve">sodium phosphate heptahydrate, </w:t>
      </w:r>
      <w:r w:rsidR="00E1202A" w:rsidRPr="00AE2D6F">
        <w:rPr>
          <w:rFonts w:asciiTheme="majorHAnsi" w:hAnsiTheme="majorHAnsi" w:cs="Times New Roman"/>
          <w:sz w:val="22"/>
        </w:rPr>
        <w:t>5</w:t>
      </w:r>
      <w:r w:rsidR="00437829" w:rsidRPr="00AE2D6F">
        <w:rPr>
          <w:rFonts w:asciiTheme="majorHAnsi" w:hAnsiTheme="majorHAnsi" w:cs="Times New Roman"/>
          <w:sz w:val="22"/>
        </w:rPr>
        <w:t>3.</w:t>
      </w:r>
      <w:r w:rsidR="00E1202A" w:rsidRPr="00AE2D6F">
        <w:rPr>
          <w:rFonts w:asciiTheme="majorHAnsi" w:hAnsiTheme="majorHAnsi" w:cs="Times New Roman"/>
          <w:sz w:val="22"/>
        </w:rPr>
        <w:t>4</w:t>
      </w:r>
      <w:r w:rsidR="00437829" w:rsidRPr="00AE2D6F">
        <w:rPr>
          <w:rFonts w:asciiTheme="majorHAnsi" w:hAnsiTheme="majorHAnsi" w:cs="Times New Roman"/>
          <w:sz w:val="22"/>
        </w:rPr>
        <w:t xml:space="preserve"> mg </w:t>
      </w:r>
    </w:p>
    <w:p w14:paraId="600ECAB0" w14:textId="77777777" w:rsidR="00984CEE" w:rsidRPr="00AE2D6F" w:rsidRDefault="00666909" w:rsidP="00437829">
      <w:pPr>
        <w:rPr>
          <w:rFonts w:asciiTheme="majorHAnsi" w:hAnsiTheme="majorHAnsi" w:cs="Times New Roman"/>
          <w:sz w:val="22"/>
        </w:rPr>
      </w:pPr>
      <w:r w:rsidRPr="00AE2D6F">
        <w:rPr>
          <w:rFonts w:asciiTheme="majorHAnsi" w:hAnsiTheme="majorHAnsi" w:cs="Times New Roman"/>
          <w:sz w:val="22"/>
        </w:rPr>
        <w:t xml:space="preserve">Sodium </w:t>
      </w:r>
      <w:r w:rsidR="00437829" w:rsidRPr="00AE2D6F">
        <w:rPr>
          <w:rFonts w:asciiTheme="majorHAnsi" w:hAnsiTheme="majorHAnsi" w:cs="Times New Roman"/>
          <w:sz w:val="22"/>
        </w:rPr>
        <w:t xml:space="preserve">chloride, </w:t>
      </w:r>
      <w:r w:rsidR="00E1202A" w:rsidRPr="00AE2D6F">
        <w:rPr>
          <w:rFonts w:asciiTheme="majorHAnsi" w:hAnsiTheme="majorHAnsi" w:cs="Times New Roman"/>
          <w:sz w:val="22"/>
        </w:rPr>
        <w:t>2</w:t>
      </w:r>
      <w:r w:rsidR="00437829" w:rsidRPr="00AE2D6F">
        <w:rPr>
          <w:rFonts w:asciiTheme="majorHAnsi" w:hAnsiTheme="majorHAnsi" w:cs="Times New Roman"/>
          <w:sz w:val="22"/>
        </w:rPr>
        <w:t>6</w:t>
      </w:r>
      <w:r w:rsidR="00E1202A" w:rsidRPr="00AE2D6F">
        <w:rPr>
          <w:rFonts w:asciiTheme="majorHAnsi" w:hAnsiTheme="majorHAnsi" w:cs="Times New Roman"/>
          <w:sz w:val="22"/>
        </w:rPr>
        <w:t>3</w:t>
      </w:r>
      <w:r w:rsidR="00437829" w:rsidRPr="00AE2D6F">
        <w:rPr>
          <w:rFonts w:asciiTheme="majorHAnsi" w:hAnsiTheme="majorHAnsi" w:cs="Times New Roman"/>
          <w:sz w:val="22"/>
        </w:rPr>
        <w:t>.</w:t>
      </w:r>
      <w:r w:rsidR="00E1202A" w:rsidRPr="00AE2D6F">
        <w:rPr>
          <w:rFonts w:asciiTheme="majorHAnsi" w:hAnsiTheme="majorHAnsi" w:cs="Times New Roman"/>
          <w:sz w:val="22"/>
        </w:rPr>
        <w:t>1</w:t>
      </w:r>
      <w:r w:rsidR="00437829" w:rsidRPr="00AE2D6F">
        <w:rPr>
          <w:rFonts w:asciiTheme="majorHAnsi" w:hAnsiTheme="majorHAnsi" w:cs="Times New Roman"/>
          <w:sz w:val="22"/>
        </w:rPr>
        <w:t xml:space="preserve"> mg </w:t>
      </w:r>
    </w:p>
    <w:p w14:paraId="3282AE49" w14:textId="77777777" w:rsidR="00984CEE" w:rsidRPr="00AE2D6F" w:rsidRDefault="00666909" w:rsidP="00437829">
      <w:pPr>
        <w:rPr>
          <w:rFonts w:asciiTheme="majorHAnsi" w:hAnsiTheme="majorHAnsi" w:cs="Times New Roman"/>
          <w:sz w:val="22"/>
        </w:rPr>
      </w:pPr>
      <w:r w:rsidRPr="00AE2D6F">
        <w:rPr>
          <w:rFonts w:asciiTheme="majorHAnsi" w:hAnsiTheme="majorHAnsi" w:cs="Times New Roman"/>
          <w:sz w:val="22"/>
        </w:rPr>
        <w:t xml:space="preserve">Polysorbate </w:t>
      </w:r>
      <w:r w:rsidR="00437829" w:rsidRPr="00AE2D6F">
        <w:rPr>
          <w:rFonts w:asciiTheme="majorHAnsi" w:hAnsiTheme="majorHAnsi" w:cs="Times New Roman"/>
          <w:sz w:val="22"/>
        </w:rPr>
        <w:t>80 (vegetable origin)</w:t>
      </w:r>
      <w:r w:rsidR="00490A84" w:rsidRPr="00AE2D6F">
        <w:rPr>
          <w:rFonts w:asciiTheme="majorHAnsi" w:hAnsiTheme="majorHAnsi" w:cs="Times New Roman"/>
          <w:sz w:val="22"/>
        </w:rPr>
        <w:t>,</w:t>
      </w:r>
      <w:r w:rsidR="00437829" w:rsidRPr="00AE2D6F">
        <w:rPr>
          <w:rFonts w:asciiTheme="majorHAnsi" w:hAnsiTheme="majorHAnsi" w:cs="Times New Roman"/>
          <w:sz w:val="22"/>
        </w:rPr>
        <w:t xml:space="preserve"> </w:t>
      </w:r>
      <w:r w:rsidR="00E1202A" w:rsidRPr="00AE2D6F">
        <w:rPr>
          <w:rFonts w:asciiTheme="majorHAnsi" w:hAnsiTheme="majorHAnsi" w:cs="Times New Roman"/>
          <w:sz w:val="22"/>
        </w:rPr>
        <w:t>6.6 mg</w:t>
      </w:r>
    </w:p>
    <w:p w14:paraId="5A64F305" w14:textId="77777777" w:rsidR="00437829" w:rsidRPr="00AE2D6F" w:rsidRDefault="00437829" w:rsidP="00437829">
      <w:pPr>
        <w:rPr>
          <w:rFonts w:asciiTheme="majorHAnsi" w:hAnsiTheme="majorHAnsi" w:cs="Times New Roman"/>
          <w:sz w:val="22"/>
        </w:rPr>
      </w:pPr>
      <w:r w:rsidRPr="00AE2D6F">
        <w:rPr>
          <w:rFonts w:asciiTheme="majorHAnsi" w:hAnsiTheme="majorHAnsi" w:cs="Times New Roman"/>
          <w:sz w:val="22"/>
        </w:rPr>
        <w:t>Water for Injection</w:t>
      </w:r>
      <w:r w:rsidR="00AE60D4" w:rsidRPr="00AE2D6F">
        <w:rPr>
          <w:rFonts w:asciiTheme="majorHAnsi" w:hAnsiTheme="majorHAnsi" w:cs="Times New Roman"/>
          <w:sz w:val="22"/>
        </w:rPr>
        <w:t>s</w:t>
      </w:r>
    </w:p>
    <w:p w14:paraId="6DCBF21C" w14:textId="77777777" w:rsidR="001A3992" w:rsidRPr="00AE2D6F" w:rsidRDefault="001B4216" w:rsidP="000D7936">
      <w:pPr>
        <w:pStyle w:val="Heading2"/>
        <w:spacing w:before="200" w:after="60"/>
        <w:ind w:left="578" w:hanging="578"/>
      </w:pPr>
      <w:r w:rsidRPr="00AE2D6F">
        <w:t>Incompatibilities</w:t>
      </w:r>
    </w:p>
    <w:p w14:paraId="44142092" w14:textId="77777777" w:rsidR="004450C3" w:rsidRPr="00AE2D6F" w:rsidRDefault="004450C3" w:rsidP="004450C3">
      <w:pPr>
        <w:autoSpaceDE w:val="0"/>
        <w:autoSpaceDN w:val="0"/>
        <w:adjustRightInd w:val="0"/>
        <w:rPr>
          <w:rFonts w:asciiTheme="majorHAnsi" w:hAnsiTheme="majorHAnsi" w:cs="Times New Roman"/>
          <w:i/>
          <w:szCs w:val="24"/>
        </w:rPr>
      </w:pPr>
      <w:r w:rsidRPr="00AE2D6F">
        <w:rPr>
          <w:rFonts w:asciiTheme="majorHAnsi" w:hAnsiTheme="majorHAnsi" w:cs="Times New Roman"/>
          <w:i/>
          <w:szCs w:val="24"/>
        </w:rPr>
        <w:t>Incompatibilities were either not assessed or not identified as part of the registration of this medicine</w:t>
      </w:r>
      <w:r w:rsidR="000A321F" w:rsidRPr="00AE2D6F">
        <w:rPr>
          <w:rFonts w:asciiTheme="majorHAnsi" w:hAnsiTheme="majorHAnsi" w:cs="Times New Roman"/>
          <w:i/>
          <w:szCs w:val="24"/>
        </w:rPr>
        <w:t>.</w:t>
      </w:r>
    </w:p>
    <w:p w14:paraId="53325961" w14:textId="77777777" w:rsidR="001A3992" w:rsidRPr="00AE2D6F" w:rsidRDefault="001B4216" w:rsidP="000D7936">
      <w:pPr>
        <w:pStyle w:val="Heading2"/>
        <w:spacing w:before="200" w:after="60"/>
        <w:ind w:left="578" w:hanging="578"/>
      </w:pPr>
      <w:r w:rsidRPr="00AE2D6F">
        <w:t>Shelf life</w:t>
      </w:r>
    </w:p>
    <w:p w14:paraId="4D9BBDFF" w14:textId="77777777" w:rsidR="00BE4DCD" w:rsidRPr="00AE2D6F" w:rsidRDefault="00BE4DCD" w:rsidP="00BE4DCD">
      <w:pPr>
        <w:shd w:val="clear" w:color="auto" w:fill="FFFFFF"/>
        <w:rPr>
          <w:rFonts w:asciiTheme="majorHAnsi" w:hAnsiTheme="majorHAnsi" w:cs="Times New Roman"/>
          <w:i/>
          <w:szCs w:val="24"/>
        </w:rPr>
      </w:pPr>
      <w:r w:rsidRPr="00AE2D6F">
        <w:rPr>
          <w:rFonts w:asciiTheme="majorHAnsi" w:hAnsiTheme="majorHAnsi" w:cs="Times New Roman"/>
          <w:i/>
          <w:szCs w:val="24"/>
        </w:rPr>
        <w:t xml:space="preserve">In Australia, information on the shelf life can be found on the public summary of the </w:t>
      </w:r>
    </w:p>
    <w:p w14:paraId="6AD4BEB8" w14:textId="77777777" w:rsidR="00BE4DCD" w:rsidRPr="00AE2D6F" w:rsidRDefault="00BE4DCD" w:rsidP="00BE4DCD">
      <w:pPr>
        <w:shd w:val="clear" w:color="auto" w:fill="FFFFFF"/>
        <w:rPr>
          <w:rFonts w:asciiTheme="majorHAnsi" w:hAnsiTheme="majorHAnsi" w:cs="Times New Roman"/>
          <w:i/>
          <w:szCs w:val="24"/>
        </w:rPr>
      </w:pPr>
      <w:r w:rsidRPr="00AE2D6F">
        <w:rPr>
          <w:rFonts w:asciiTheme="majorHAnsi" w:hAnsiTheme="majorHAnsi" w:cs="Times New Roman"/>
          <w:i/>
          <w:szCs w:val="24"/>
        </w:rPr>
        <w:t xml:space="preserve">Australian Register of Therapeutic Goods (ARTG). The expiry date can be found on the </w:t>
      </w:r>
    </w:p>
    <w:p w14:paraId="7EA585F0" w14:textId="77777777" w:rsidR="00BE4DCD" w:rsidRPr="00AE2D6F" w:rsidRDefault="00BE4DCD" w:rsidP="000D7936">
      <w:pPr>
        <w:shd w:val="clear" w:color="auto" w:fill="FFFFFF"/>
        <w:spacing w:after="60"/>
        <w:rPr>
          <w:rFonts w:asciiTheme="majorHAnsi" w:hAnsiTheme="majorHAnsi" w:cs="Times New Roman"/>
          <w:i/>
          <w:szCs w:val="24"/>
        </w:rPr>
      </w:pPr>
      <w:r w:rsidRPr="00AE2D6F">
        <w:rPr>
          <w:rFonts w:asciiTheme="majorHAnsi" w:hAnsiTheme="majorHAnsi" w:cs="Times New Roman"/>
          <w:i/>
          <w:szCs w:val="24"/>
        </w:rPr>
        <w:t xml:space="preserve">packaging. </w:t>
      </w:r>
    </w:p>
    <w:p w14:paraId="25D6F17D" w14:textId="049B6614" w:rsidR="00A05497" w:rsidRDefault="00BE4DCD" w:rsidP="00A24B2C">
      <w:pPr>
        <w:shd w:val="clear" w:color="auto" w:fill="FFFFFF"/>
        <w:spacing w:before="60"/>
        <w:rPr>
          <w:szCs w:val="24"/>
        </w:rPr>
      </w:pPr>
      <w:r w:rsidRPr="00AE2D6F">
        <w:rPr>
          <w:szCs w:val="24"/>
        </w:rPr>
        <w:t>Do not use beyond the expiration date stamped on the carton.</w:t>
      </w:r>
    </w:p>
    <w:p w14:paraId="1ADD9501" w14:textId="77777777" w:rsidR="001A3992" w:rsidRPr="00AE2D6F" w:rsidRDefault="001A3992" w:rsidP="000D7936">
      <w:pPr>
        <w:pStyle w:val="Heading2"/>
        <w:spacing w:before="200"/>
        <w:ind w:left="578" w:hanging="578"/>
      </w:pPr>
      <w:r w:rsidRPr="00AE2D6F">
        <w:t xml:space="preserve">Special precautions for storage </w:t>
      </w:r>
    </w:p>
    <w:p w14:paraId="41A9F84B" w14:textId="6C01965F" w:rsidR="00C628AE" w:rsidRPr="00AE2D6F" w:rsidRDefault="00B249B7" w:rsidP="00C628AE">
      <w:pPr>
        <w:autoSpaceDE w:val="0"/>
        <w:autoSpaceDN w:val="0"/>
        <w:adjustRightInd w:val="0"/>
        <w:rPr>
          <w:rFonts w:asciiTheme="majorHAnsi" w:hAnsiTheme="majorHAnsi" w:cs="Times New Roman"/>
          <w:szCs w:val="24"/>
        </w:rPr>
      </w:pPr>
      <w:r w:rsidRPr="00AE2D6F">
        <w:rPr>
          <w:rFonts w:asciiTheme="majorHAnsi" w:hAnsiTheme="majorHAnsi" w:cs="Times New Roman"/>
          <w:szCs w:val="24"/>
        </w:rPr>
        <w:t>Soliris</w:t>
      </w:r>
      <w:r w:rsidR="00C628AE" w:rsidRPr="00AE2D6F">
        <w:rPr>
          <w:rFonts w:asciiTheme="majorHAnsi" w:hAnsiTheme="majorHAnsi" w:cs="Times New Roman"/>
          <w:szCs w:val="24"/>
        </w:rPr>
        <w:t xml:space="preserve"> vials must be stored in the original carton until time of use under refrigerated conditions at 2</w:t>
      </w:r>
      <w:r w:rsidR="005C5715" w:rsidRPr="00AE2D6F">
        <w:rPr>
          <w:rFonts w:asciiTheme="majorHAnsi" w:hAnsiTheme="majorHAnsi" w:cs="Times New Roman"/>
          <w:szCs w:val="24"/>
        </w:rPr>
        <w:t>°</w:t>
      </w:r>
      <w:r w:rsidR="00C628AE" w:rsidRPr="00AE2D6F">
        <w:rPr>
          <w:rFonts w:asciiTheme="majorHAnsi" w:hAnsiTheme="majorHAnsi" w:cs="Times New Roman"/>
          <w:szCs w:val="24"/>
        </w:rPr>
        <w:t xml:space="preserve"> to 8</w:t>
      </w:r>
      <w:r w:rsidR="005C5715" w:rsidRPr="00AE2D6F">
        <w:rPr>
          <w:rFonts w:asciiTheme="majorHAnsi" w:hAnsiTheme="majorHAnsi" w:cs="Times New Roman"/>
          <w:szCs w:val="24"/>
        </w:rPr>
        <w:t>°</w:t>
      </w:r>
      <w:r w:rsidR="00C628AE" w:rsidRPr="00AE2D6F">
        <w:rPr>
          <w:rFonts w:asciiTheme="majorHAnsi" w:hAnsiTheme="majorHAnsi" w:cs="Times New Roman"/>
          <w:szCs w:val="24"/>
        </w:rPr>
        <w:t xml:space="preserve">C and protected from light.  </w:t>
      </w:r>
      <w:r w:rsidR="00A36F3A">
        <w:rPr>
          <w:rFonts w:asciiTheme="majorHAnsi" w:hAnsiTheme="majorHAnsi" w:cs="Times New Roman"/>
          <w:szCs w:val="24"/>
        </w:rPr>
        <w:t>Soliris vials</w:t>
      </w:r>
      <w:r w:rsidR="00C628AE" w:rsidRPr="00AE2D6F">
        <w:rPr>
          <w:rFonts w:asciiTheme="majorHAnsi" w:hAnsiTheme="majorHAnsi" w:cs="Times New Roman"/>
          <w:szCs w:val="24"/>
        </w:rPr>
        <w:t xml:space="preserve"> in the original package</w:t>
      </w:r>
      <w:r w:rsidR="00A36F3A">
        <w:rPr>
          <w:rFonts w:asciiTheme="majorHAnsi" w:hAnsiTheme="majorHAnsi" w:cs="Times New Roman"/>
          <w:szCs w:val="24"/>
        </w:rPr>
        <w:t xml:space="preserve"> may be removed from refrigerated storage (up to 25</w:t>
      </w:r>
      <w:r w:rsidR="00A36F3A" w:rsidRPr="00AE2D6F">
        <w:rPr>
          <w:rFonts w:asciiTheme="majorHAnsi" w:hAnsiTheme="majorHAnsi" w:cs="Times New Roman"/>
          <w:szCs w:val="24"/>
        </w:rPr>
        <w:t>°C</w:t>
      </w:r>
      <w:r w:rsidR="00A36F3A">
        <w:rPr>
          <w:rFonts w:asciiTheme="majorHAnsi" w:hAnsiTheme="majorHAnsi" w:cs="Times New Roman"/>
          <w:szCs w:val="24"/>
        </w:rPr>
        <w:t>) for only one single period up to 3 days. At the end of this period unopened product can be put back in the refrigerator</w:t>
      </w:r>
      <w:r w:rsidR="00C628AE" w:rsidRPr="00AE2D6F">
        <w:rPr>
          <w:rFonts w:asciiTheme="majorHAnsi" w:hAnsiTheme="majorHAnsi" w:cs="Times New Roman"/>
          <w:szCs w:val="24"/>
        </w:rPr>
        <w:t>.</w:t>
      </w:r>
    </w:p>
    <w:p w14:paraId="168A2A67" w14:textId="77777777" w:rsidR="00C628AE" w:rsidRPr="00AE2D6F" w:rsidRDefault="00C628AE" w:rsidP="00A05497">
      <w:pPr>
        <w:autoSpaceDE w:val="0"/>
        <w:autoSpaceDN w:val="0"/>
        <w:adjustRightInd w:val="0"/>
        <w:spacing w:before="120" w:after="120"/>
        <w:rPr>
          <w:rFonts w:asciiTheme="majorHAnsi" w:hAnsiTheme="majorHAnsi" w:cs="Times New Roman"/>
          <w:i/>
          <w:szCs w:val="24"/>
        </w:rPr>
      </w:pPr>
      <w:r w:rsidRPr="00AE2D6F">
        <w:rPr>
          <w:rFonts w:asciiTheme="majorHAnsi" w:hAnsiTheme="majorHAnsi" w:cs="Times New Roman"/>
          <w:i/>
          <w:szCs w:val="24"/>
        </w:rPr>
        <w:t>DO NOT FREEZE.  DO NOT SHAKE.</w:t>
      </w:r>
    </w:p>
    <w:p w14:paraId="2D09FEAE" w14:textId="77777777" w:rsidR="000049D7" w:rsidRPr="00AE2D6F" w:rsidRDefault="00C628AE" w:rsidP="00F45343">
      <w:pPr>
        <w:rPr>
          <w:rFonts w:asciiTheme="majorHAnsi" w:hAnsiTheme="majorHAnsi" w:cs="Times New Roman"/>
          <w:szCs w:val="24"/>
        </w:rPr>
      </w:pPr>
      <w:bookmarkStart w:id="31" w:name="_17_PATIENT_COUNSELING"/>
      <w:bookmarkEnd w:id="31"/>
      <w:r w:rsidRPr="00AE2D6F">
        <w:rPr>
          <w:rFonts w:asciiTheme="majorHAnsi" w:hAnsiTheme="majorHAnsi" w:cs="Times New Roman"/>
          <w:szCs w:val="24"/>
        </w:rPr>
        <w:t xml:space="preserve">After dilution, the product should be used immediately.  </w:t>
      </w:r>
      <w:r w:rsidRPr="00AE2D6F">
        <w:rPr>
          <w:rFonts w:asciiTheme="majorHAnsi" w:hAnsiTheme="majorHAnsi" w:cs="Times New Roman"/>
          <w:szCs w:val="24"/>
          <w:lang w:eastAsia="fr-FR"/>
        </w:rPr>
        <w:t xml:space="preserve">Diluted solutions of </w:t>
      </w:r>
      <w:r w:rsidR="00B249B7" w:rsidRPr="00AE2D6F">
        <w:rPr>
          <w:rFonts w:asciiTheme="majorHAnsi" w:hAnsiTheme="majorHAnsi" w:cs="Times New Roman"/>
          <w:szCs w:val="24"/>
        </w:rPr>
        <w:t>Soliris</w:t>
      </w:r>
      <w:r w:rsidRPr="00AE2D6F">
        <w:rPr>
          <w:rFonts w:asciiTheme="majorHAnsi" w:hAnsiTheme="majorHAnsi" w:cs="Times New Roman"/>
          <w:szCs w:val="24"/>
          <w:lang w:eastAsia="fr-FR"/>
        </w:rPr>
        <w:t xml:space="preserve"> are stable for 24 hours.  If a diluted solution has been prepared more than 4 hours prior to administration, it should be stored at 2° to 8</w:t>
      </w:r>
      <w:r w:rsidRPr="00AE2D6F">
        <w:rPr>
          <w:rFonts w:asciiTheme="majorHAnsi" w:hAnsiTheme="majorHAnsi" w:cs="Times New Roman"/>
          <w:szCs w:val="24"/>
          <w:lang w:eastAsia="fr-FR"/>
        </w:rPr>
        <w:sym w:font="Symbol" w:char="F0B0"/>
      </w:r>
      <w:r w:rsidR="00F45343" w:rsidRPr="00AE2D6F">
        <w:rPr>
          <w:rFonts w:asciiTheme="majorHAnsi" w:hAnsiTheme="majorHAnsi" w:cs="Times New Roman"/>
          <w:szCs w:val="24"/>
          <w:lang w:eastAsia="fr-FR"/>
        </w:rPr>
        <w:t>C for not more than 24 hours.</w:t>
      </w:r>
    </w:p>
    <w:p w14:paraId="737C2F3A" w14:textId="77777777" w:rsidR="001A3992" w:rsidRPr="00AE2D6F" w:rsidRDefault="001A3992" w:rsidP="00BE4DCD">
      <w:pPr>
        <w:pStyle w:val="Heading2"/>
        <w:spacing w:before="200"/>
      </w:pPr>
      <w:r w:rsidRPr="00AE2D6F">
        <w:t xml:space="preserve">Nature and contents of container </w:t>
      </w:r>
    </w:p>
    <w:p w14:paraId="7E2CB1FD" w14:textId="77777777" w:rsidR="001C3135" w:rsidRPr="00AE2D6F" w:rsidRDefault="001C3135" w:rsidP="001C3135">
      <w:pPr>
        <w:rPr>
          <w:rFonts w:asciiTheme="majorHAnsi" w:hAnsiTheme="majorHAnsi" w:cs="Times New Roman"/>
          <w:szCs w:val="24"/>
          <w:lang w:eastAsia="fr-FR"/>
        </w:rPr>
      </w:pPr>
      <w:r w:rsidRPr="00AE2D6F">
        <w:rPr>
          <w:rFonts w:asciiTheme="majorHAnsi" w:hAnsiTheme="majorHAnsi" w:cs="Times New Roman"/>
          <w:szCs w:val="24"/>
          <w:lang w:eastAsia="fr-FR"/>
        </w:rPr>
        <w:t xml:space="preserve">Single unit 300 mg carton:  Contains one 30 mL vial of </w:t>
      </w:r>
      <w:r w:rsidR="00DB2061" w:rsidRPr="00AE2D6F">
        <w:rPr>
          <w:rFonts w:asciiTheme="majorHAnsi" w:hAnsiTheme="majorHAnsi" w:cs="Times New Roman"/>
          <w:szCs w:val="24"/>
          <w:lang w:eastAsia="fr-FR"/>
        </w:rPr>
        <w:t xml:space="preserve">Soliris </w:t>
      </w:r>
      <w:r w:rsidRPr="00AE2D6F">
        <w:rPr>
          <w:rFonts w:asciiTheme="majorHAnsi" w:hAnsiTheme="majorHAnsi" w:cs="Times New Roman"/>
          <w:szCs w:val="24"/>
          <w:lang w:eastAsia="fr-FR"/>
        </w:rPr>
        <w:t>(10 mg/mL).</w:t>
      </w:r>
    </w:p>
    <w:p w14:paraId="13B522BC" w14:textId="77777777" w:rsidR="001A3992" w:rsidRPr="00AE2D6F" w:rsidRDefault="001A3992" w:rsidP="00BE4DCD">
      <w:pPr>
        <w:pStyle w:val="Heading2"/>
        <w:spacing w:before="200"/>
      </w:pPr>
      <w:r w:rsidRPr="00AE2D6F">
        <w:t xml:space="preserve">Special precautions for disposal </w:t>
      </w:r>
    </w:p>
    <w:p w14:paraId="27024876" w14:textId="77777777" w:rsidR="00062499" w:rsidRPr="00AE2D6F" w:rsidRDefault="00731806" w:rsidP="00731806">
      <w:pPr>
        <w:rPr>
          <w:rFonts w:asciiTheme="majorHAnsi" w:hAnsiTheme="majorHAnsi" w:cs="Times New Roman"/>
          <w:szCs w:val="24"/>
        </w:rPr>
      </w:pPr>
      <w:r w:rsidRPr="00AE2D6F">
        <w:rPr>
          <w:rFonts w:asciiTheme="majorHAnsi" w:hAnsiTheme="majorHAnsi" w:cs="Times New Roman"/>
          <w:szCs w:val="24"/>
        </w:rPr>
        <w:t>Product is for single use in one patient only. Discard any unused portion left in a vial, as the pro</w:t>
      </w:r>
      <w:r w:rsidR="00062499" w:rsidRPr="00AE2D6F">
        <w:rPr>
          <w:rFonts w:asciiTheme="majorHAnsi" w:hAnsiTheme="majorHAnsi" w:cs="Times New Roman"/>
          <w:szCs w:val="24"/>
        </w:rPr>
        <w:t>duct contains no preservatives.</w:t>
      </w:r>
    </w:p>
    <w:p w14:paraId="1DA29942" w14:textId="77777777" w:rsidR="00C628AE" w:rsidRPr="00AE2D6F" w:rsidRDefault="00C628AE" w:rsidP="00FB17EC">
      <w:pPr>
        <w:spacing w:before="120"/>
        <w:rPr>
          <w:rFonts w:asciiTheme="majorHAnsi" w:hAnsiTheme="majorHAnsi" w:cs="Times New Roman"/>
          <w:szCs w:val="24"/>
        </w:rPr>
      </w:pPr>
      <w:r w:rsidRPr="00A05497">
        <w:rPr>
          <w:rFonts w:asciiTheme="majorHAnsi" w:hAnsiTheme="majorHAnsi" w:cs="Times New Roman"/>
          <w:szCs w:val="24"/>
          <w:lang w:val="en-US"/>
        </w:rPr>
        <w:t>Unused or expired medicine should be returned to a pharmacy for disposal.</w:t>
      </w:r>
    </w:p>
    <w:p w14:paraId="01DE29E9" w14:textId="77777777" w:rsidR="001A3992" w:rsidRPr="00AE2D6F" w:rsidRDefault="001A3992" w:rsidP="00BE4DCD">
      <w:pPr>
        <w:pStyle w:val="Heading2"/>
        <w:spacing w:before="200"/>
      </w:pPr>
      <w:r w:rsidRPr="00AE2D6F">
        <w:t>Physicochemical properties</w:t>
      </w:r>
    </w:p>
    <w:p w14:paraId="42FA7436" w14:textId="77777777" w:rsidR="003853DB" w:rsidRPr="00AE2D6F" w:rsidRDefault="003853DB" w:rsidP="00062499">
      <w:pPr>
        <w:pStyle w:val="Heading3"/>
        <w:spacing w:before="200" w:after="120"/>
        <w:rPr>
          <w:rFonts w:eastAsiaTheme="minorHAnsi" w:cs="Times New Roman"/>
          <w:b w:val="0"/>
          <w:bCs w:val="0"/>
          <w:szCs w:val="24"/>
        </w:rPr>
      </w:pPr>
      <w:r w:rsidRPr="00AE2D6F">
        <w:rPr>
          <w:rFonts w:eastAsiaTheme="minorHAnsi" w:cs="Times New Roman"/>
          <w:b w:val="0"/>
          <w:bCs w:val="0"/>
          <w:szCs w:val="24"/>
        </w:rPr>
        <w:t>Formulated at pH 7.0</w:t>
      </w:r>
    </w:p>
    <w:p w14:paraId="1D4907AD" w14:textId="77777777" w:rsidR="00062499" w:rsidRPr="00AE2D6F" w:rsidRDefault="001A3992" w:rsidP="00BF24C5">
      <w:pPr>
        <w:pStyle w:val="Heading3"/>
        <w:rPr>
          <w:lang w:val="en-US"/>
        </w:rPr>
      </w:pPr>
      <w:r w:rsidRPr="00AE2D6F">
        <w:rPr>
          <w:lang w:val="en-US"/>
        </w:rPr>
        <w:t>CAS number</w:t>
      </w:r>
    </w:p>
    <w:p w14:paraId="15B829FA" w14:textId="77777777" w:rsidR="001A3992" w:rsidRPr="00AE2D6F" w:rsidRDefault="00062499" w:rsidP="00B249B7">
      <w:pPr>
        <w:pStyle w:val="Heading3"/>
        <w:spacing w:before="0" w:after="120"/>
        <w:rPr>
          <w:rFonts w:cs="Times New Roman"/>
          <w:lang w:val="en-US"/>
        </w:rPr>
      </w:pPr>
      <w:r w:rsidRPr="00AE2D6F">
        <w:rPr>
          <w:rFonts w:cs="Times New Roman"/>
          <w:b w:val="0"/>
          <w:lang w:val="en-US"/>
        </w:rPr>
        <w:t xml:space="preserve">CAS registry number: </w:t>
      </w:r>
      <w:r w:rsidR="007D10A2" w:rsidRPr="00AE2D6F">
        <w:rPr>
          <w:rFonts w:cs="Times New Roman"/>
          <w:b w:val="0"/>
          <w:lang w:val="en-US"/>
        </w:rPr>
        <w:t>219685-50-4</w:t>
      </w:r>
      <w:r w:rsidR="007D10A2" w:rsidRPr="00AE2D6F">
        <w:rPr>
          <w:rFonts w:cs="Times New Roman"/>
          <w:lang w:val="en-US"/>
        </w:rPr>
        <w:t xml:space="preserve"> </w:t>
      </w:r>
    </w:p>
    <w:p w14:paraId="552F2327" w14:textId="77777777" w:rsidR="001A3992" w:rsidRPr="00AE2D6F" w:rsidRDefault="001A3992" w:rsidP="006908ED">
      <w:pPr>
        <w:pStyle w:val="Heading1"/>
        <w:spacing w:before="240"/>
      </w:pPr>
      <w:r w:rsidRPr="00AE2D6F">
        <w:t>Medicine schedule (Poisons Standard)</w:t>
      </w:r>
    </w:p>
    <w:p w14:paraId="0C646603" w14:textId="77777777" w:rsidR="004559A2" w:rsidRPr="00AE2D6F" w:rsidRDefault="004559A2" w:rsidP="004559A2">
      <w:pPr>
        <w:rPr>
          <w:rFonts w:asciiTheme="majorHAnsi" w:hAnsiTheme="majorHAnsi" w:cs="Times New Roman"/>
          <w:lang w:val="en-US"/>
        </w:rPr>
      </w:pPr>
      <w:r w:rsidRPr="00AE2D6F">
        <w:rPr>
          <w:rFonts w:asciiTheme="majorHAnsi" w:hAnsiTheme="majorHAnsi" w:cs="Times New Roman"/>
          <w:lang w:val="en-US"/>
        </w:rPr>
        <w:t>S</w:t>
      </w:r>
      <w:r w:rsidR="00731806" w:rsidRPr="00AE2D6F">
        <w:rPr>
          <w:rFonts w:asciiTheme="majorHAnsi" w:hAnsiTheme="majorHAnsi" w:cs="Times New Roman"/>
          <w:lang w:val="en-US"/>
        </w:rPr>
        <w:t xml:space="preserve">chedule </w:t>
      </w:r>
      <w:r w:rsidRPr="00AE2D6F">
        <w:rPr>
          <w:rFonts w:asciiTheme="majorHAnsi" w:hAnsiTheme="majorHAnsi" w:cs="Times New Roman"/>
          <w:lang w:val="en-US"/>
        </w:rPr>
        <w:t>4</w:t>
      </w:r>
      <w:r w:rsidR="00BE4DCD" w:rsidRPr="00AE2D6F">
        <w:rPr>
          <w:rFonts w:asciiTheme="majorHAnsi" w:hAnsiTheme="majorHAnsi" w:cs="Times New Roman"/>
          <w:lang w:val="en-US"/>
        </w:rPr>
        <w:t xml:space="preserve"> -</w:t>
      </w:r>
      <w:r w:rsidRPr="00AE2D6F">
        <w:rPr>
          <w:rFonts w:asciiTheme="majorHAnsi" w:hAnsiTheme="majorHAnsi" w:cs="Times New Roman"/>
          <w:lang w:val="en-US"/>
        </w:rPr>
        <w:t xml:space="preserve"> Prescription</w:t>
      </w:r>
      <w:r w:rsidR="00731806" w:rsidRPr="00AE2D6F">
        <w:rPr>
          <w:rFonts w:asciiTheme="majorHAnsi" w:hAnsiTheme="majorHAnsi" w:cs="Times New Roman"/>
          <w:lang w:val="en-US"/>
        </w:rPr>
        <w:t xml:space="preserve"> Only</w:t>
      </w:r>
      <w:r w:rsidRPr="00AE2D6F">
        <w:rPr>
          <w:rFonts w:asciiTheme="majorHAnsi" w:hAnsiTheme="majorHAnsi" w:cs="Times New Roman"/>
          <w:lang w:val="en-US"/>
        </w:rPr>
        <w:t xml:space="preserve"> Medicine</w:t>
      </w:r>
    </w:p>
    <w:p w14:paraId="02AA4893" w14:textId="77777777" w:rsidR="001A3992" w:rsidRPr="00AE2D6F" w:rsidRDefault="001A3992" w:rsidP="006908ED">
      <w:pPr>
        <w:pStyle w:val="Heading1"/>
        <w:spacing w:before="240"/>
      </w:pPr>
      <w:r w:rsidRPr="00AE2D6F">
        <w:lastRenderedPageBreak/>
        <w:t>Sponsor</w:t>
      </w:r>
    </w:p>
    <w:p w14:paraId="59AEEDD1" w14:textId="77777777" w:rsidR="004559A2" w:rsidRPr="00AE2D6F" w:rsidRDefault="004559A2" w:rsidP="004559A2">
      <w:pPr>
        <w:pStyle w:val="CM16"/>
        <w:spacing w:after="0"/>
        <w:rPr>
          <w:rFonts w:asciiTheme="majorHAnsi" w:eastAsiaTheme="minorHAnsi" w:hAnsiTheme="majorHAnsi"/>
          <w:szCs w:val="22"/>
        </w:rPr>
      </w:pPr>
      <w:r w:rsidRPr="00AE2D6F">
        <w:rPr>
          <w:rFonts w:asciiTheme="majorHAnsi" w:eastAsiaTheme="minorHAnsi" w:hAnsiTheme="majorHAnsi"/>
          <w:szCs w:val="22"/>
        </w:rPr>
        <w:t>Alexion Pharmaceuticals Australasia Pty Ltd</w:t>
      </w:r>
    </w:p>
    <w:p w14:paraId="26E65088" w14:textId="77777777" w:rsidR="004559A2" w:rsidRPr="00AE2D6F" w:rsidRDefault="004559A2" w:rsidP="004559A2">
      <w:pPr>
        <w:pStyle w:val="Default"/>
        <w:rPr>
          <w:rFonts w:asciiTheme="majorHAnsi" w:eastAsiaTheme="minorHAnsi" w:hAnsiTheme="majorHAnsi" w:cs="Times New Roman"/>
          <w:color w:val="auto"/>
          <w:szCs w:val="22"/>
        </w:rPr>
      </w:pPr>
      <w:r w:rsidRPr="00AE2D6F">
        <w:rPr>
          <w:rFonts w:asciiTheme="majorHAnsi" w:eastAsiaTheme="minorHAnsi" w:hAnsiTheme="majorHAnsi" w:cs="Times New Roman"/>
          <w:color w:val="auto"/>
          <w:szCs w:val="22"/>
        </w:rPr>
        <w:t>Suite 401, Level 4, Building A</w:t>
      </w:r>
    </w:p>
    <w:p w14:paraId="6CAC4792" w14:textId="77777777" w:rsidR="004559A2" w:rsidRPr="00AE2D6F" w:rsidRDefault="004559A2" w:rsidP="004559A2">
      <w:pPr>
        <w:pStyle w:val="Default"/>
        <w:rPr>
          <w:rFonts w:asciiTheme="majorHAnsi" w:eastAsiaTheme="minorHAnsi" w:hAnsiTheme="majorHAnsi" w:cs="Times New Roman"/>
          <w:color w:val="auto"/>
          <w:szCs w:val="22"/>
        </w:rPr>
      </w:pPr>
      <w:r w:rsidRPr="00AE2D6F">
        <w:rPr>
          <w:rFonts w:asciiTheme="majorHAnsi" w:eastAsiaTheme="minorHAnsi" w:hAnsiTheme="majorHAnsi" w:cs="Times New Roman"/>
          <w:color w:val="auto"/>
          <w:szCs w:val="22"/>
        </w:rPr>
        <w:t>20 Rodborough Road</w:t>
      </w:r>
    </w:p>
    <w:p w14:paraId="2842A7E6" w14:textId="77777777" w:rsidR="004559A2" w:rsidRPr="00AE2D6F" w:rsidRDefault="004559A2" w:rsidP="004559A2">
      <w:pPr>
        <w:pStyle w:val="Default"/>
        <w:rPr>
          <w:rFonts w:asciiTheme="majorHAnsi" w:eastAsiaTheme="minorHAnsi" w:hAnsiTheme="majorHAnsi" w:cs="Times New Roman"/>
          <w:color w:val="auto"/>
          <w:szCs w:val="22"/>
        </w:rPr>
      </w:pPr>
      <w:proofErr w:type="spellStart"/>
      <w:r w:rsidRPr="00AE2D6F">
        <w:rPr>
          <w:rFonts w:asciiTheme="majorHAnsi" w:eastAsiaTheme="minorHAnsi" w:hAnsiTheme="majorHAnsi" w:cs="Times New Roman"/>
          <w:color w:val="auto"/>
          <w:szCs w:val="22"/>
        </w:rPr>
        <w:t>Frenchs</w:t>
      </w:r>
      <w:proofErr w:type="spellEnd"/>
      <w:r w:rsidRPr="00AE2D6F">
        <w:rPr>
          <w:rFonts w:asciiTheme="majorHAnsi" w:eastAsiaTheme="minorHAnsi" w:hAnsiTheme="majorHAnsi" w:cs="Times New Roman"/>
          <w:color w:val="auto"/>
          <w:szCs w:val="22"/>
        </w:rPr>
        <w:t xml:space="preserve"> Forest NSW 2086</w:t>
      </w:r>
    </w:p>
    <w:p w14:paraId="202FDFC6" w14:textId="77777777" w:rsidR="004559A2" w:rsidRPr="00AE2D6F" w:rsidRDefault="004559A2" w:rsidP="00FB17EC">
      <w:pPr>
        <w:pStyle w:val="Default"/>
        <w:spacing w:before="120"/>
        <w:rPr>
          <w:rFonts w:asciiTheme="majorHAnsi" w:eastAsiaTheme="minorHAnsi" w:hAnsiTheme="majorHAnsi" w:cs="Times New Roman"/>
          <w:color w:val="auto"/>
          <w:szCs w:val="22"/>
        </w:rPr>
      </w:pPr>
      <w:r w:rsidRPr="00AE2D6F">
        <w:rPr>
          <w:rFonts w:asciiTheme="majorHAnsi" w:eastAsiaTheme="minorHAnsi" w:hAnsiTheme="majorHAnsi" w:cs="Times New Roman"/>
          <w:color w:val="auto"/>
          <w:szCs w:val="22"/>
        </w:rPr>
        <w:t>Medical enquiries: 1800 788 189</w:t>
      </w:r>
    </w:p>
    <w:p w14:paraId="67A871C3" w14:textId="77777777" w:rsidR="001A3992" w:rsidRPr="00AE2D6F" w:rsidRDefault="001A3992" w:rsidP="000E2F3A">
      <w:pPr>
        <w:pStyle w:val="Heading1"/>
        <w:spacing w:before="240"/>
      </w:pPr>
      <w:r w:rsidRPr="00AE2D6F">
        <w:t xml:space="preserve">Date of first </w:t>
      </w:r>
      <w:r w:rsidR="004559A2" w:rsidRPr="00AE2D6F">
        <w:t>approval</w:t>
      </w:r>
    </w:p>
    <w:p w14:paraId="442146F1" w14:textId="77777777" w:rsidR="004559A2" w:rsidRPr="00AE2D6F" w:rsidRDefault="004559A2" w:rsidP="004559A2">
      <w:pPr>
        <w:rPr>
          <w:rFonts w:asciiTheme="majorHAnsi" w:hAnsiTheme="majorHAnsi" w:cs="Times New Roman"/>
          <w:lang w:val="en-US"/>
        </w:rPr>
      </w:pPr>
      <w:r w:rsidRPr="00AE2D6F">
        <w:rPr>
          <w:rFonts w:asciiTheme="majorHAnsi" w:hAnsiTheme="majorHAnsi" w:cs="Times New Roman"/>
          <w:lang w:val="en-US"/>
        </w:rPr>
        <w:t>20 March 2009</w:t>
      </w:r>
    </w:p>
    <w:p w14:paraId="4BAB641E" w14:textId="77777777" w:rsidR="001A3992" w:rsidRPr="00AE2D6F" w:rsidRDefault="004559A2" w:rsidP="000E2F3A">
      <w:pPr>
        <w:pStyle w:val="Heading1"/>
        <w:spacing w:before="240"/>
      </w:pPr>
      <w:r w:rsidRPr="00AE2D6F">
        <w:t>Date of revision</w:t>
      </w:r>
    </w:p>
    <w:p w14:paraId="092CA134" w14:textId="3F4DE66A" w:rsidR="004559A2" w:rsidRPr="00AE2D6F" w:rsidRDefault="001C6CDE" w:rsidP="004559A2">
      <w:pPr>
        <w:rPr>
          <w:rFonts w:asciiTheme="majorHAnsi" w:hAnsiTheme="majorHAnsi" w:cs="Times New Roman"/>
          <w:lang w:val="en-US"/>
        </w:rPr>
      </w:pPr>
      <w:r>
        <w:rPr>
          <w:rFonts w:asciiTheme="majorHAnsi" w:hAnsiTheme="majorHAnsi" w:cs="Times New Roman"/>
          <w:lang w:val="en-US"/>
        </w:rPr>
        <w:t>01</w:t>
      </w:r>
      <w:r w:rsidR="00746838" w:rsidRPr="00AE2D6F">
        <w:rPr>
          <w:rFonts w:asciiTheme="majorHAnsi" w:hAnsiTheme="majorHAnsi" w:cs="Times New Roman"/>
          <w:lang w:val="en-US"/>
        </w:rPr>
        <w:t xml:space="preserve"> </w:t>
      </w:r>
      <w:r w:rsidR="00E5182E">
        <w:rPr>
          <w:rFonts w:asciiTheme="majorHAnsi" w:hAnsiTheme="majorHAnsi" w:cs="Times New Roman"/>
          <w:lang w:val="en-US"/>
        </w:rPr>
        <w:t>JU</w:t>
      </w:r>
      <w:r>
        <w:rPr>
          <w:rFonts w:asciiTheme="majorHAnsi" w:hAnsiTheme="majorHAnsi" w:cs="Times New Roman"/>
          <w:lang w:val="en-US"/>
        </w:rPr>
        <w:t>L</w:t>
      </w:r>
      <w:r w:rsidR="00746838" w:rsidRPr="00AE2D6F">
        <w:rPr>
          <w:rFonts w:asciiTheme="majorHAnsi" w:hAnsiTheme="majorHAnsi" w:cs="Times New Roman"/>
          <w:lang w:val="en-US"/>
        </w:rPr>
        <w:t xml:space="preserve"> </w:t>
      </w:r>
      <w:r w:rsidR="00E5182E">
        <w:rPr>
          <w:rFonts w:asciiTheme="majorHAnsi" w:hAnsiTheme="majorHAnsi" w:cs="Times New Roman"/>
          <w:lang w:val="en-US"/>
        </w:rPr>
        <w:t>2020</w:t>
      </w:r>
    </w:p>
    <w:p w14:paraId="1030F440" w14:textId="3B0DA273" w:rsidR="001A3992" w:rsidRDefault="001A3992" w:rsidP="007B6B76">
      <w:pPr>
        <w:pStyle w:val="Heading3"/>
        <w:spacing w:before="120"/>
        <w:rPr>
          <w:lang w:val="en-US"/>
        </w:rPr>
      </w:pPr>
      <w:r w:rsidRPr="00AE2D6F">
        <w:rPr>
          <w:lang w:val="en-US"/>
        </w:rPr>
        <w:t xml:space="preserve">Summary </w:t>
      </w:r>
      <w:r w:rsidR="004D4E8F" w:rsidRPr="00AE2D6F">
        <w:rPr>
          <w:lang w:val="en-US"/>
        </w:rPr>
        <w:t xml:space="preserve">Table </w:t>
      </w:r>
      <w:r w:rsidRPr="00AE2D6F">
        <w:rPr>
          <w:lang w:val="en-US"/>
        </w:rPr>
        <w:t xml:space="preserve">of </w:t>
      </w:r>
      <w:r w:rsidR="004D4E8F" w:rsidRPr="00AE2D6F">
        <w:rPr>
          <w:lang w:val="en-US"/>
        </w:rPr>
        <w:t>Changes</w:t>
      </w:r>
    </w:p>
    <w:p w14:paraId="151DD9BE" w14:textId="77777777" w:rsidR="00E5182E" w:rsidRPr="00E5182E" w:rsidRDefault="00E5182E" w:rsidP="00E5182E">
      <w:pPr>
        <w:rPr>
          <w:lang w:val="en-US"/>
        </w:rPr>
      </w:pPr>
    </w:p>
    <w:tbl>
      <w:tblPr>
        <w:tblStyle w:val="Light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375"/>
        <w:gridCol w:w="7631"/>
      </w:tblGrid>
      <w:tr w:rsidR="00E13EDD" w:rsidRPr="00AE2D6F" w14:paraId="48ABD12C" w14:textId="77777777" w:rsidTr="00E5182E">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37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117031B" w14:textId="77777777" w:rsidR="00151F26" w:rsidRPr="00AE2D6F" w:rsidRDefault="00151F26" w:rsidP="006C5055">
            <w:pPr>
              <w:rPr>
                <w:rFonts w:asciiTheme="majorHAnsi" w:hAnsiTheme="majorHAnsi" w:cs="Times New Roman"/>
                <w:sz w:val="20"/>
                <w:lang w:val="en-US"/>
              </w:rPr>
            </w:pPr>
            <w:r w:rsidRPr="00AE2D6F">
              <w:rPr>
                <w:rFonts w:asciiTheme="majorHAnsi" w:hAnsiTheme="majorHAnsi" w:cs="Times New Roman"/>
                <w:sz w:val="20"/>
                <w:lang w:val="en-US"/>
              </w:rPr>
              <w:t>Section Changed</w:t>
            </w:r>
          </w:p>
        </w:tc>
        <w:tc>
          <w:tcPr>
            <w:tcW w:w="763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ADF0411" w14:textId="77777777" w:rsidR="00151F26" w:rsidRPr="00AE2D6F" w:rsidRDefault="00151F26" w:rsidP="001E2098">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lang w:val="en-US"/>
              </w:rPr>
            </w:pPr>
            <w:r w:rsidRPr="00AE2D6F">
              <w:rPr>
                <w:rFonts w:asciiTheme="majorHAnsi" w:hAnsiTheme="majorHAnsi" w:cs="Times New Roman"/>
                <w:sz w:val="20"/>
                <w:lang w:val="en-US"/>
              </w:rPr>
              <w:t>Summary of New Information</w:t>
            </w:r>
          </w:p>
        </w:tc>
      </w:tr>
      <w:tr w:rsidR="00151F26" w:rsidRPr="00BE4695" w14:paraId="5FFAA5C1" w14:textId="77777777" w:rsidTr="00A05497">
        <w:trPr>
          <w:trHeight w:val="75"/>
        </w:trPr>
        <w:tc>
          <w:tcPr>
            <w:cnfStyle w:val="001000000000" w:firstRow="0" w:lastRow="0" w:firstColumn="1" w:lastColumn="0" w:oddVBand="0" w:evenVBand="0" w:oddHBand="0" w:evenHBand="0" w:firstRowFirstColumn="0" w:firstRowLastColumn="0" w:lastRowFirstColumn="0" w:lastRowLastColumn="0"/>
            <w:tcW w:w="1375" w:type="dxa"/>
            <w:shd w:val="clear" w:color="auto" w:fill="FFFFFF" w:themeFill="background1"/>
            <w:vAlign w:val="center"/>
          </w:tcPr>
          <w:p w14:paraId="02846C64" w14:textId="2A8D3AD7" w:rsidR="00151F26" w:rsidRPr="00615803" w:rsidRDefault="00746838" w:rsidP="006C5055">
            <w:pPr>
              <w:rPr>
                <w:rFonts w:asciiTheme="majorHAnsi" w:eastAsiaTheme="minorHAnsi" w:hAnsiTheme="majorHAnsi" w:cs="Times New Roman"/>
                <w:bCs w:val="0"/>
                <w:sz w:val="22"/>
                <w:lang w:val="en-US"/>
              </w:rPr>
            </w:pPr>
            <w:r>
              <w:rPr>
                <w:rFonts w:asciiTheme="majorHAnsi" w:hAnsiTheme="majorHAnsi" w:cs="Times New Roman"/>
                <w:sz w:val="22"/>
                <w:lang w:val="en-US"/>
              </w:rPr>
              <w:t>All</w:t>
            </w:r>
          </w:p>
        </w:tc>
        <w:tc>
          <w:tcPr>
            <w:tcW w:w="7631" w:type="dxa"/>
            <w:shd w:val="clear" w:color="auto" w:fill="FFFFFF" w:themeFill="background1"/>
            <w:vAlign w:val="center"/>
          </w:tcPr>
          <w:p w14:paraId="2D3EDEEB" w14:textId="071704C7" w:rsidR="00151F26" w:rsidRPr="001A7BA0" w:rsidRDefault="00151F26" w:rsidP="00FA0D24">
            <w:pPr>
              <w:pStyle w:val="CommentText"/>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lang w:val="en-US"/>
              </w:rPr>
            </w:pPr>
            <w:r>
              <w:t xml:space="preserve">Updated </w:t>
            </w:r>
            <w:r w:rsidR="00746838">
              <w:t>to include NMOSD</w:t>
            </w:r>
          </w:p>
        </w:tc>
      </w:tr>
      <w:tr w:rsidR="00A36F3A" w:rsidRPr="00BE4695" w14:paraId="3BF40B53" w14:textId="77777777" w:rsidTr="00A05497">
        <w:trPr>
          <w:trHeight w:val="75"/>
        </w:trPr>
        <w:tc>
          <w:tcPr>
            <w:cnfStyle w:val="001000000000" w:firstRow="0" w:lastRow="0" w:firstColumn="1" w:lastColumn="0" w:oddVBand="0" w:evenVBand="0" w:oddHBand="0" w:evenHBand="0" w:firstRowFirstColumn="0" w:firstRowLastColumn="0" w:lastRowFirstColumn="0" w:lastRowLastColumn="0"/>
            <w:tcW w:w="1375" w:type="dxa"/>
            <w:shd w:val="clear" w:color="auto" w:fill="FFFFFF" w:themeFill="background1"/>
            <w:vAlign w:val="center"/>
          </w:tcPr>
          <w:p w14:paraId="0BF76E0C" w14:textId="3A531E98" w:rsidR="00A36F3A" w:rsidRPr="00A36F3A" w:rsidDel="00746838" w:rsidRDefault="00A36F3A" w:rsidP="006C5055">
            <w:pPr>
              <w:rPr>
                <w:rFonts w:asciiTheme="majorHAnsi" w:hAnsiTheme="majorHAnsi" w:cs="Times New Roman"/>
                <w:b w:val="0"/>
                <w:bCs w:val="0"/>
                <w:sz w:val="22"/>
                <w:lang w:val="en-US"/>
              </w:rPr>
            </w:pPr>
            <w:r>
              <w:rPr>
                <w:rFonts w:asciiTheme="majorHAnsi" w:hAnsiTheme="majorHAnsi" w:cs="Times New Roman"/>
                <w:sz w:val="22"/>
                <w:lang w:val="en-US"/>
              </w:rPr>
              <w:t>6.4</w:t>
            </w:r>
          </w:p>
        </w:tc>
        <w:tc>
          <w:tcPr>
            <w:tcW w:w="7631" w:type="dxa"/>
            <w:shd w:val="clear" w:color="auto" w:fill="FFFFFF" w:themeFill="background1"/>
            <w:vAlign w:val="center"/>
          </w:tcPr>
          <w:p w14:paraId="2E45845F" w14:textId="443A3886" w:rsidR="00A36F3A" w:rsidRDefault="00A36F3A" w:rsidP="00FA0D24">
            <w:pPr>
              <w:pStyle w:val="CommentText"/>
              <w:cnfStyle w:val="000000000000" w:firstRow="0" w:lastRow="0" w:firstColumn="0" w:lastColumn="0" w:oddVBand="0" w:evenVBand="0" w:oddHBand="0" w:evenHBand="0" w:firstRowFirstColumn="0" w:firstRowLastColumn="0" w:lastRowFirstColumn="0" w:lastRowLastColumn="0"/>
            </w:pPr>
            <w:r>
              <w:t>Updated Special Precautions for Storage section</w:t>
            </w:r>
          </w:p>
        </w:tc>
      </w:tr>
    </w:tbl>
    <w:p w14:paraId="6B4AE581" w14:textId="77777777" w:rsidR="004559A2" w:rsidRPr="00BE4695" w:rsidRDefault="004559A2" w:rsidP="004559A2">
      <w:pPr>
        <w:pStyle w:val="Default"/>
        <w:rPr>
          <w:rFonts w:asciiTheme="majorHAnsi" w:hAnsiTheme="majorHAnsi" w:cs="Times New Roman"/>
          <w:color w:val="auto"/>
          <w:sz w:val="22"/>
          <w:lang w:val="en-AU"/>
        </w:rPr>
      </w:pPr>
      <w:r w:rsidRPr="00BE4695">
        <w:rPr>
          <w:rFonts w:asciiTheme="majorHAnsi" w:hAnsiTheme="majorHAnsi" w:cs="Times New Roman"/>
          <w:sz w:val="22"/>
          <w:vertAlign w:val="superscript"/>
        </w:rPr>
        <w:t>®</w:t>
      </w:r>
      <w:r w:rsidRPr="00BE4695">
        <w:rPr>
          <w:rFonts w:asciiTheme="majorHAnsi" w:hAnsiTheme="majorHAnsi" w:cs="Times New Roman"/>
          <w:sz w:val="20"/>
        </w:rPr>
        <w:t xml:space="preserve"> Registered trademark of Alexion Pharmaceuticals Inc., USA</w:t>
      </w:r>
    </w:p>
    <w:sectPr w:rsidR="004559A2" w:rsidRPr="00BE4695" w:rsidSect="000D7936">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7540" w14:textId="77777777" w:rsidR="002C4F08" w:rsidRDefault="002C4F08" w:rsidP="001A3992">
      <w:r>
        <w:separator/>
      </w:r>
    </w:p>
  </w:endnote>
  <w:endnote w:type="continuationSeparator" w:id="0">
    <w:p w14:paraId="023EF0D2" w14:textId="77777777" w:rsidR="002C4F08" w:rsidRDefault="002C4F08"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 A 20 F 6 BE 8o 00">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SinMyeongJo-Medium">
    <w:altName w:val="HY신명조"/>
    <w:charset w:val="81"/>
    <w:family w:val="roman"/>
    <w:pitch w:val="variable"/>
    <w:sig w:usb0="900002A7" w:usb1="29D77CF9"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Serif">
    <w:altName w:val="Calibri"/>
    <w:panose1 w:val="00000000000000000000"/>
    <w:charset w:val="00"/>
    <w:family w:val="auto"/>
    <w:notTrueType/>
    <w:pitch w:val="default"/>
    <w:sig w:usb0="00000003" w:usb1="00000000" w:usb2="00000000" w:usb3="00000000" w:csb0="00000001" w:csb1="00000000"/>
  </w:font>
  <w:font w:name="LiberationSerif-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106D" w14:textId="77777777" w:rsidR="00CE790E" w:rsidRDefault="00CE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3EF52608" w14:textId="459945DB" w:rsidR="00E679E2" w:rsidRDefault="00E679E2" w:rsidP="004559A2">
        <w:pPr>
          <w:pStyle w:val="Footer"/>
          <w:pBdr>
            <w:top w:val="single" w:sz="4" w:space="3" w:color="auto"/>
          </w:pBdr>
          <w:tabs>
            <w:tab w:val="clear" w:pos="4513"/>
            <w:tab w:val="center" w:pos="4536"/>
            <w:tab w:val="right" w:pos="8931"/>
          </w:tabs>
          <w:rPr>
            <w:rStyle w:val="PageNumber"/>
          </w:rPr>
        </w:pPr>
        <w:r>
          <w:rPr>
            <w:rStyle w:val="PageNumber"/>
            <w:sz w:val="20"/>
            <w:szCs w:val="20"/>
          </w:rPr>
          <w:t>Version: 200</w:t>
        </w:r>
        <w:r w:rsidR="008823A8">
          <w:rPr>
            <w:rStyle w:val="PageNumber"/>
            <w:sz w:val="20"/>
            <w:szCs w:val="20"/>
          </w:rPr>
          <w:t>623</w:t>
        </w:r>
        <w:r>
          <w:rPr>
            <w:rStyle w:val="PageNumber"/>
            <w:sz w:val="20"/>
            <w:szCs w:val="20"/>
          </w:rPr>
          <w:t>_</w:t>
        </w:r>
        <w:r w:rsidRPr="00610CAB">
          <w:rPr>
            <w:rStyle w:val="PageNumber"/>
            <w:sz w:val="20"/>
            <w:szCs w:val="20"/>
          </w:rPr>
          <w:t>SOLIRIS</w:t>
        </w:r>
        <w:r>
          <w:rPr>
            <w:rStyle w:val="PageNumber"/>
            <w:sz w:val="20"/>
            <w:szCs w:val="20"/>
          </w:rPr>
          <w:t xml:space="preserve"> </w:t>
        </w:r>
        <w:r w:rsidRPr="00610CAB">
          <w:rPr>
            <w:rStyle w:val="PageNumber"/>
            <w:sz w:val="20"/>
            <w:szCs w:val="20"/>
          </w:rPr>
          <w:t>PI</w:t>
        </w:r>
        <w:r>
          <w:rPr>
            <w:rStyle w:val="PageNumber"/>
            <w:sz w:val="16"/>
            <w:szCs w:val="16"/>
          </w:rPr>
          <w:tab/>
        </w:r>
        <w:r>
          <w:rPr>
            <w:rStyle w:val="PageNumber"/>
            <w:sz w:val="16"/>
            <w:szCs w:val="16"/>
          </w:rPr>
          <w:tab/>
        </w:r>
        <w:r>
          <w:rPr>
            <w:rStyle w:val="PageNumber"/>
          </w:rPr>
          <w:fldChar w:fldCharType="begin"/>
        </w:r>
        <w:r>
          <w:rPr>
            <w:rStyle w:val="PageNumber"/>
          </w:rPr>
          <w:instrText xml:space="preserve"> PAGE </w:instrText>
        </w:r>
        <w:r>
          <w:rPr>
            <w:rStyle w:val="PageNumber"/>
          </w:rPr>
          <w:fldChar w:fldCharType="separate"/>
        </w:r>
        <w:r w:rsidR="0098396D">
          <w:rPr>
            <w:rStyle w:val="PageNumber"/>
            <w:noProof/>
          </w:rPr>
          <w:t>41</w:t>
        </w:r>
        <w:r>
          <w:rPr>
            <w:rStyle w:val="PageNumber"/>
          </w:rPr>
          <w:fldChar w:fldCharType="end"/>
        </w:r>
      </w:p>
      <w:p w14:paraId="5DC0D007" w14:textId="2D4BEAA0" w:rsidR="00E679E2" w:rsidRPr="00AA6AAD" w:rsidRDefault="00E679E2" w:rsidP="004559A2">
        <w:pPr>
          <w:pStyle w:val="Footer"/>
          <w:pBdr>
            <w:top w:val="single" w:sz="4" w:space="3" w:color="auto"/>
          </w:pBdr>
          <w:tabs>
            <w:tab w:val="clear" w:pos="4513"/>
            <w:tab w:val="center" w:pos="4536"/>
            <w:tab w:val="right" w:pos="8931"/>
          </w:tabs>
          <w:rPr>
            <w:rStyle w:val="PageNumber"/>
            <w:sz w:val="20"/>
            <w:szCs w:val="20"/>
          </w:rPr>
        </w:pPr>
        <w:r w:rsidRPr="00AA6AAD">
          <w:rPr>
            <w:rStyle w:val="PageNumber"/>
            <w:sz w:val="20"/>
            <w:szCs w:val="20"/>
          </w:rPr>
          <w:t>C</w:t>
        </w:r>
        <w:r>
          <w:rPr>
            <w:rStyle w:val="PageNumber"/>
            <w:sz w:val="20"/>
            <w:szCs w:val="20"/>
          </w:rPr>
          <w:t>C</w:t>
        </w:r>
        <w:r w:rsidRPr="00AA6AAD">
          <w:rPr>
            <w:rStyle w:val="PageNumber"/>
            <w:sz w:val="20"/>
            <w:szCs w:val="20"/>
          </w:rPr>
          <w:t>DS</w:t>
        </w:r>
        <w:r>
          <w:rPr>
            <w:rStyle w:val="PageNumber"/>
            <w:sz w:val="20"/>
            <w:szCs w:val="20"/>
          </w:rPr>
          <w:t>v9</w:t>
        </w:r>
        <w:r w:rsidRPr="00AA6AAD">
          <w:rPr>
            <w:rStyle w:val="PageNumber"/>
            <w:sz w:val="20"/>
            <w:szCs w:val="20"/>
          </w:rPr>
          <w:t>.</w:t>
        </w:r>
        <w:r>
          <w:rPr>
            <w:rStyle w:val="PageNumber"/>
            <w:sz w:val="20"/>
            <w:szCs w:val="20"/>
          </w:rPr>
          <w:t>0 and 10.0</w:t>
        </w:r>
      </w:p>
      <w:p w14:paraId="48F9958D" w14:textId="77777777" w:rsidR="00E679E2" w:rsidRPr="00B8074A" w:rsidRDefault="0098396D" w:rsidP="006C5055">
        <w:pPr>
          <w:pStyle w:val="Footer"/>
          <w:jc w:val="right"/>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B1C8C" w14:textId="77777777" w:rsidR="00CE790E" w:rsidRDefault="00CE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C72AB" w14:textId="77777777" w:rsidR="002C4F08" w:rsidRDefault="002C4F08" w:rsidP="001A3992">
      <w:r>
        <w:separator/>
      </w:r>
    </w:p>
  </w:footnote>
  <w:footnote w:type="continuationSeparator" w:id="0">
    <w:p w14:paraId="66CE56B8" w14:textId="77777777" w:rsidR="002C4F08" w:rsidRDefault="002C4F08"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A75C" w14:textId="77777777" w:rsidR="00CE790E" w:rsidRDefault="00CE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E790E" w:rsidRPr="000B2145" w14:paraId="5D16C9E5" w14:textId="77777777" w:rsidTr="00455E7B">
      <w:trPr>
        <w:trHeight w:val="590"/>
      </w:trPr>
      <w:tc>
        <w:tcPr>
          <w:tcW w:w="8720" w:type="dxa"/>
          <w:shd w:val="clear" w:color="auto" w:fill="E4F2E0"/>
        </w:tcPr>
        <w:p w14:paraId="141AA41E" w14:textId="77777777" w:rsidR="00CE790E" w:rsidRPr="000B2145" w:rsidRDefault="00CE790E" w:rsidP="00CE790E">
          <w:pPr>
            <w:pStyle w:val="Footer"/>
            <w:rPr>
              <w:b/>
              <w:sz w:val="18"/>
              <w:szCs w:val="18"/>
            </w:rPr>
          </w:pPr>
          <w:r w:rsidRPr="00EA0C3C">
            <w:rPr>
              <w:b/>
              <w:sz w:val="18"/>
              <w:szCs w:val="18"/>
            </w:rPr>
            <w:t>Attachment 1:</w:t>
          </w:r>
          <w:r>
            <w:rPr>
              <w:b/>
              <w:sz w:val="18"/>
              <w:szCs w:val="18"/>
            </w:rPr>
            <w:t xml:space="preserve"> </w:t>
          </w:r>
          <w:r w:rsidRPr="00C44CDD">
            <w:rPr>
              <w:b/>
              <w:sz w:val="18"/>
              <w:szCs w:val="18"/>
            </w:rPr>
            <w:t xml:space="preserve">AusPAR – </w:t>
          </w:r>
          <w:proofErr w:type="spellStart"/>
          <w:r w:rsidRPr="00C44CDD">
            <w:rPr>
              <w:b/>
              <w:sz w:val="18"/>
              <w:szCs w:val="18"/>
            </w:rPr>
            <w:t>Soliris</w:t>
          </w:r>
          <w:proofErr w:type="spellEnd"/>
          <w:r w:rsidRPr="00C44CDD">
            <w:rPr>
              <w:b/>
              <w:sz w:val="18"/>
              <w:szCs w:val="18"/>
            </w:rPr>
            <w:t xml:space="preserve"> – </w:t>
          </w:r>
          <w:proofErr w:type="spellStart"/>
          <w:r w:rsidRPr="00C44CDD">
            <w:rPr>
              <w:b/>
              <w:sz w:val="18"/>
              <w:szCs w:val="18"/>
            </w:rPr>
            <w:t>Eculizumab</w:t>
          </w:r>
          <w:proofErr w:type="spellEnd"/>
          <w:r w:rsidRPr="00C44CDD">
            <w:rPr>
              <w:b/>
              <w:sz w:val="18"/>
              <w:szCs w:val="18"/>
            </w:rPr>
            <w:t xml:space="preserve"> - Alexion Pharmaceuticals Australasia Pty Ltd - PM-2019-04825-1-1</w:t>
          </w:r>
          <w:r>
            <w:rPr>
              <w:b/>
              <w:sz w:val="18"/>
              <w:szCs w:val="18"/>
            </w:rPr>
            <w:t xml:space="preserve"> </w:t>
          </w:r>
          <w:r w:rsidRPr="00C44CDD">
            <w:rPr>
              <w:b/>
              <w:sz w:val="18"/>
              <w:szCs w:val="18"/>
            </w:rPr>
            <w:t>FINAL 24 November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889FA17" w14:textId="77777777" w:rsidR="00CE790E" w:rsidRDefault="00CE7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F6B9" w14:textId="77777777" w:rsidR="00CE790E" w:rsidRDefault="00CE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60CB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51BB7"/>
    <w:multiLevelType w:val="hybridMultilevel"/>
    <w:tmpl w:val="D871C52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81800"/>
    <w:multiLevelType w:val="multilevel"/>
    <w:tmpl w:val="E0DA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468CC"/>
    <w:multiLevelType w:val="hybridMultilevel"/>
    <w:tmpl w:val="4F8C2782"/>
    <w:lvl w:ilvl="0" w:tplc="1602B628">
      <w:start w:val="1"/>
      <w:numFmt w:val="bullet"/>
      <w:lvlText w:val=""/>
      <w:lvlJc w:val="left"/>
      <w:pPr>
        <w:tabs>
          <w:tab w:val="num" w:pos="360"/>
        </w:tabs>
        <w:ind w:left="360" w:hanging="360"/>
      </w:pPr>
      <w:rPr>
        <w:rFonts w:ascii="Symbol" w:hAnsi="Symbol" w:hint="default"/>
        <w:sz w:val="22"/>
        <w:szCs w:val="22"/>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337BD9"/>
    <w:multiLevelType w:val="hybridMultilevel"/>
    <w:tmpl w:val="238C2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D1866"/>
    <w:multiLevelType w:val="hybridMultilevel"/>
    <w:tmpl w:val="77845D3C"/>
    <w:lvl w:ilvl="0" w:tplc="04090001">
      <w:start w:val="1"/>
      <w:numFmt w:val="bullet"/>
      <w:pStyle w:val="Bullet1"/>
      <w:lvlText w:val=""/>
      <w:lvlJc w:val="left"/>
      <w:pPr>
        <w:tabs>
          <w:tab w:val="num" w:pos="288"/>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2B3F8A"/>
    <w:multiLevelType w:val="hybridMultilevel"/>
    <w:tmpl w:val="7F72DD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2BF7600A"/>
    <w:multiLevelType w:val="hybridMultilevel"/>
    <w:tmpl w:val="4D288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A2572B"/>
    <w:multiLevelType w:val="hybridMultilevel"/>
    <w:tmpl w:val="9A785CE8"/>
    <w:lvl w:ilvl="0" w:tplc="484E49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A1D20"/>
    <w:multiLevelType w:val="hybridMultilevel"/>
    <w:tmpl w:val="3BF20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760714F"/>
    <w:multiLevelType w:val="hybridMultilevel"/>
    <w:tmpl w:val="B622EE56"/>
    <w:lvl w:ilvl="0" w:tplc="1ACA40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B7513"/>
    <w:multiLevelType w:val="hybridMultilevel"/>
    <w:tmpl w:val="3F2CF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2654A92"/>
    <w:multiLevelType w:val="hybridMultilevel"/>
    <w:tmpl w:val="1A56B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3"/>
  </w:num>
  <w:num w:numId="5">
    <w:abstractNumId w:val="6"/>
  </w:num>
  <w:num w:numId="6">
    <w:abstractNumId w:val="4"/>
  </w:num>
  <w:num w:numId="7">
    <w:abstractNumId w:val="8"/>
  </w:num>
  <w:num w:numId="8">
    <w:abstractNumId w:val="13"/>
  </w:num>
  <w:num w:numId="9">
    <w:abstractNumId w:val="1"/>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7"/>
  </w:num>
  <w:num w:numId="26">
    <w:abstractNumId w:val="9"/>
  </w:num>
  <w:num w:numId="27">
    <w:abstractNumId w:val="2"/>
  </w:num>
  <w:num w:numId="28">
    <w:abstractNumId w:val="11"/>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0511"/>
    <w:rsid w:val="00003383"/>
    <w:rsid w:val="0000431D"/>
    <w:rsid w:val="000049D7"/>
    <w:rsid w:val="00004C05"/>
    <w:rsid w:val="00007002"/>
    <w:rsid w:val="0000752E"/>
    <w:rsid w:val="00007B76"/>
    <w:rsid w:val="00011215"/>
    <w:rsid w:val="00013814"/>
    <w:rsid w:val="000211E3"/>
    <w:rsid w:val="00021733"/>
    <w:rsid w:val="00022581"/>
    <w:rsid w:val="00025205"/>
    <w:rsid w:val="000270BD"/>
    <w:rsid w:val="0002719A"/>
    <w:rsid w:val="000277CB"/>
    <w:rsid w:val="00027D22"/>
    <w:rsid w:val="0003341F"/>
    <w:rsid w:val="0003575C"/>
    <w:rsid w:val="000359B8"/>
    <w:rsid w:val="0004091C"/>
    <w:rsid w:val="00040B16"/>
    <w:rsid w:val="00040DDB"/>
    <w:rsid w:val="0004215A"/>
    <w:rsid w:val="00043741"/>
    <w:rsid w:val="000541F8"/>
    <w:rsid w:val="00060765"/>
    <w:rsid w:val="00062499"/>
    <w:rsid w:val="00063000"/>
    <w:rsid w:val="00065CDB"/>
    <w:rsid w:val="000664A0"/>
    <w:rsid w:val="000665B5"/>
    <w:rsid w:val="00071153"/>
    <w:rsid w:val="00074669"/>
    <w:rsid w:val="000758B1"/>
    <w:rsid w:val="00080745"/>
    <w:rsid w:val="00080766"/>
    <w:rsid w:val="00082CBA"/>
    <w:rsid w:val="00082D2B"/>
    <w:rsid w:val="0008518F"/>
    <w:rsid w:val="00085BD8"/>
    <w:rsid w:val="0008703F"/>
    <w:rsid w:val="00090FC4"/>
    <w:rsid w:val="000910CA"/>
    <w:rsid w:val="000919AA"/>
    <w:rsid w:val="00093CFE"/>
    <w:rsid w:val="000A321F"/>
    <w:rsid w:val="000A4F2A"/>
    <w:rsid w:val="000A65A5"/>
    <w:rsid w:val="000A7F0C"/>
    <w:rsid w:val="000B4C5D"/>
    <w:rsid w:val="000B6C22"/>
    <w:rsid w:val="000C075F"/>
    <w:rsid w:val="000C3DEC"/>
    <w:rsid w:val="000D0714"/>
    <w:rsid w:val="000D7936"/>
    <w:rsid w:val="000E109A"/>
    <w:rsid w:val="000E13BF"/>
    <w:rsid w:val="000E2F3A"/>
    <w:rsid w:val="000F42A6"/>
    <w:rsid w:val="000F52ED"/>
    <w:rsid w:val="000F74E0"/>
    <w:rsid w:val="00103BE6"/>
    <w:rsid w:val="00104D01"/>
    <w:rsid w:val="00105E23"/>
    <w:rsid w:val="00107EBD"/>
    <w:rsid w:val="00112BDB"/>
    <w:rsid w:val="00113CC0"/>
    <w:rsid w:val="001212A7"/>
    <w:rsid w:val="00121C38"/>
    <w:rsid w:val="001263D8"/>
    <w:rsid w:val="00127628"/>
    <w:rsid w:val="001315EB"/>
    <w:rsid w:val="00132047"/>
    <w:rsid w:val="00132AD1"/>
    <w:rsid w:val="0013506A"/>
    <w:rsid w:val="0013686B"/>
    <w:rsid w:val="0014012F"/>
    <w:rsid w:val="0014299A"/>
    <w:rsid w:val="001435CE"/>
    <w:rsid w:val="001459B4"/>
    <w:rsid w:val="00145ECF"/>
    <w:rsid w:val="001502FC"/>
    <w:rsid w:val="00151F26"/>
    <w:rsid w:val="001534A3"/>
    <w:rsid w:val="00156810"/>
    <w:rsid w:val="00157488"/>
    <w:rsid w:val="00164336"/>
    <w:rsid w:val="001657A6"/>
    <w:rsid w:val="00166C26"/>
    <w:rsid w:val="0016728C"/>
    <w:rsid w:val="00183BF5"/>
    <w:rsid w:val="00183FDC"/>
    <w:rsid w:val="0018473C"/>
    <w:rsid w:val="0018746F"/>
    <w:rsid w:val="00187B06"/>
    <w:rsid w:val="00191606"/>
    <w:rsid w:val="001950EE"/>
    <w:rsid w:val="001A13EC"/>
    <w:rsid w:val="001A2460"/>
    <w:rsid w:val="001A3992"/>
    <w:rsid w:val="001A5881"/>
    <w:rsid w:val="001A7BA0"/>
    <w:rsid w:val="001B349A"/>
    <w:rsid w:val="001B4216"/>
    <w:rsid w:val="001C3135"/>
    <w:rsid w:val="001C3B5A"/>
    <w:rsid w:val="001C6151"/>
    <w:rsid w:val="001C6CDE"/>
    <w:rsid w:val="001C7C46"/>
    <w:rsid w:val="001E2098"/>
    <w:rsid w:val="001E2176"/>
    <w:rsid w:val="001E2DA1"/>
    <w:rsid w:val="001E7179"/>
    <w:rsid w:val="001E7413"/>
    <w:rsid w:val="001F14D3"/>
    <w:rsid w:val="001F503D"/>
    <w:rsid w:val="001F7533"/>
    <w:rsid w:val="002011E5"/>
    <w:rsid w:val="00202BD7"/>
    <w:rsid w:val="002043C9"/>
    <w:rsid w:val="00214F3E"/>
    <w:rsid w:val="0021669A"/>
    <w:rsid w:val="002169AF"/>
    <w:rsid w:val="00220A19"/>
    <w:rsid w:val="0022148B"/>
    <w:rsid w:val="0022780D"/>
    <w:rsid w:val="0023164D"/>
    <w:rsid w:val="00232E86"/>
    <w:rsid w:val="002333CE"/>
    <w:rsid w:val="002345D0"/>
    <w:rsid w:val="002351A0"/>
    <w:rsid w:val="002437F3"/>
    <w:rsid w:val="002448E3"/>
    <w:rsid w:val="00247559"/>
    <w:rsid w:val="00247F49"/>
    <w:rsid w:val="002657A7"/>
    <w:rsid w:val="00275002"/>
    <w:rsid w:val="00275235"/>
    <w:rsid w:val="00285DEC"/>
    <w:rsid w:val="00293E21"/>
    <w:rsid w:val="00296FC8"/>
    <w:rsid w:val="002A0C27"/>
    <w:rsid w:val="002A10A9"/>
    <w:rsid w:val="002A2514"/>
    <w:rsid w:val="002A5CC1"/>
    <w:rsid w:val="002B0CA8"/>
    <w:rsid w:val="002B2553"/>
    <w:rsid w:val="002B4BA9"/>
    <w:rsid w:val="002B53A4"/>
    <w:rsid w:val="002B67D7"/>
    <w:rsid w:val="002B6DB1"/>
    <w:rsid w:val="002C2A03"/>
    <w:rsid w:val="002C4F08"/>
    <w:rsid w:val="002C7EA1"/>
    <w:rsid w:val="002D02BA"/>
    <w:rsid w:val="002D04D6"/>
    <w:rsid w:val="002D190E"/>
    <w:rsid w:val="002D1D40"/>
    <w:rsid w:val="002D3823"/>
    <w:rsid w:val="002D53BA"/>
    <w:rsid w:val="002E19DB"/>
    <w:rsid w:val="002E1C4E"/>
    <w:rsid w:val="002E2276"/>
    <w:rsid w:val="002E277D"/>
    <w:rsid w:val="002E29C3"/>
    <w:rsid w:val="002F03A0"/>
    <w:rsid w:val="002F2C11"/>
    <w:rsid w:val="002F3482"/>
    <w:rsid w:val="002F4089"/>
    <w:rsid w:val="002F4D75"/>
    <w:rsid w:val="002F6E56"/>
    <w:rsid w:val="002F7610"/>
    <w:rsid w:val="002F7B82"/>
    <w:rsid w:val="0030731B"/>
    <w:rsid w:val="003117FF"/>
    <w:rsid w:val="00311D4E"/>
    <w:rsid w:val="00313433"/>
    <w:rsid w:val="0032217C"/>
    <w:rsid w:val="00322C8C"/>
    <w:rsid w:val="00325B0D"/>
    <w:rsid w:val="003307C8"/>
    <w:rsid w:val="00333C24"/>
    <w:rsid w:val="00334FC5"/>
    <w:rsid w:val="00336C15"/>
    <w:rsid w:val="0034094E"/>
    <w:rsid w:val="00343E5C"/>
    <w:rsid w:val="00345186"/>
    <w:rsid w:val="00346859"/>
    <w:rsid w:val="00347922"/>
    <w:rsid w:val="00356495"/>
    <w:rsid w:val="00356C35"/>
    <w:rsid w:val="003605FD"/>
    <w:rsid w:val="003630B4"/>
    <w:rsid w:val="003726C4"/>
    <w:rsid w:val="003731B9"/>
    <w:rsid w:val="00376900"/>
    <w:rsid w:val="00376C28"/>
    <w:rsid w:val="0038001F"/>
    <w:rsid w:val="00382C11"/>
    <w:rsid w:val="003853DB"/>
    <w:rsid w:val="00385768"/>
    <w:rsid w:val="003916FC"/>
    <w:rsid w:val="00392817"/>
    <w:rsid w:val="00393537"/>
    <w:rsid w:val="00393702"/>
    <w:rsid w:val="0039396F"/>
    <w:rsid w:val="003A40CD"/>
    <w:rsid w:val="003A4224"/>
    <w:rsid w:val="003A53FF"/>
    <w:rsid w:val="003A57BB"/>
    <w:rsid w:val="003B12DB"/>
    <w:rsid w:val="003B268A"/>
    <w:rsid w:val="003C13FF"/>
    <w:rsid w:val="003C187B"/>
    <w:rsid w:val="003C2E29"/>
    <w:rsid w:val="003C35F2"/>
    <w:rsid w:val="003C50BE"/>
    <w:rsid w:val="003C7452"/>
    <w:rsid w:val="003D0130"/>
    <w:rsid w:val="003D72B6"/>
    <w:rsid w:val="003D77AC"/>
    <w:rsid w:val="003E451C"/>
    <w:rsid w:val="003E4DE1"/>
    <w:rsid w:val="003E6D5C"/>
    <w:rsid w:val="003F1F47"/>
    <w:rsid w:val="003F4236"/>
    <w:rsid w:val="00402C04"/>
    <w:rsid w:val="004032BD"/>
    <w:rsid w:val="0040378D"/>
    <w:rsid w:val="00407C4C"/>
    <w:rsid w:val="0041467E"/>
    <w:rsid w:val="004169BF"/>
    <w:rsid w:val="00416B42"/>
    <w:rsid w:val="00420EDF"/>
    <w:rsid w:val="0042499E"/>
    <w:rsid w:val="004261C3"/>
    <w:rsid w:val="00430A4D"/>
    <w:rsid w:val="004317FB"/>
    <w:rsid w:val="00431ACD"/>
    <w:rsid w:val="004351E4"/>
    <w:rsid w:val="00437829"/>
    <w:rsid w:val="00440584"/>
    <w:rsid w:val="004410DA"/>
    <w:rsid w:val="00443A5D"/>
    <w:rsid w:val="004450C3"/>
    <w:rsid w:val="00446FF7"/>
    <w:rsid w:val="00451920"/>
    <w:rsid w:val="004559A2"/>
    <w:rsid w:val="00456708"/>
    <w:rsid w:val="0046286C"/>
    <w:rsid w:val="00466FA3"/>
    <w:rsid w:val="00474895"/>
    <w:rsid w:val="0047540A"/>
    <w:rsid w:val="00475A29"/>
    <w:rsid w:val="00476087"/>
    <w:rsid w:val="0048250C"/>
    <w:rsid w:val="004850A6"/>
    <w:rsid w:val="00486578"/>
    <w:rsid w:val="004873EA"/>
    <w:rsid w:val="00490A84"/>
    <w:rsid w:val="00490BB5"/>
    <w:rsid w:val="00493C17"/>
    <w:rsid w:val="00493EC0"/>
    <w:rsid w:val="00493F4F"/>
    <w:rsid w:val="004A1545"/>
    <w:rsid w:val="004A1E1F"/>
    <w:rsid w:val="004A55AF"/>
    <w:rsid w:val="004A5BCD"/>
    <w:rsid w:val="004A5C20"/>
    <w:rsid w:val="004B1DC6"/>
    <w:rsid w:val="004B52A3"/>
    <w:rsid w:val="004B55F7"/>
    <w:rsid w:val="004C111C"/>
    <w:rsid w:val="004C2618"/>
    <w:rsid w:val="004C509A"/>
    <w:rsid w:val="004D1029"/>
    <w:rsid w:val="004D27E2"/>
    <w:rsid w:val="004D4E8F"/>
    <w:rsid w:val="004D500F"/>
    <w:rsid w:val="004D6375"/>
    <w:rsid w:val="004D7109"/>
    <w:rsid w:val="004E4AFE"/>
    <w:rsid w:val="004E508F"/>
    <w:rsid w:val="004F62E2"/>
    <w:rsid w:val="004F6599"/>
    <w:rsid w:val="004F65FF"/>
    <w:rsid w:val="004F77CF"/>
    <w:rsid w:val="00503C75"/>
    <w:rsid w:val="0050524F"/>
    <w:rsid w:val="0050644E"/>
    <w:rsid w:val="00506E3D"/>
    <w:rsid w:val="00506FFB"/>
    <w:rsid w:val="00511914"/>
    <w:rsid w:val="00512BA0"/>
    <w:rsid w:val="00514DAF"/>
    <w:rsid w:val="00522AD5"/>
    <w:rsid w:val="00522E0F"/>
    <w:rsid w:val="00525DA3"/>
    <w:rsid w:val="00535687"/>
    <w:rsid w:val="00536444"/>
    <w:rsid w:val="00540A96"/>
    <w:rsid w:val="00542DC1"/>
    <w:rsid w:val="005547CC"/>
    <w:rsid w:val="00554988"/>
    <w:rsid w:val="0055681C"/>
    <w:rsid w:val="005601D5"/>
    <w:rsid w:val="00561726"/>
    <w:rsid w:val="00563424"/>
    <w:rsid w:val="0056622F"/>
    <w:rsid w:val="00570277"/>
    <w:rsid w:val="00576F08"/>
    <w:rsid w:val="005815C0"/>
    <w:rsid w:val="00581B35"/>
    <w:rsid w:val="00593DA2"/>
    <w:rsid w:val="005945C3"/>
    <w:rsid w:val="00595D8A"/>
    <w:rsid w:val="00597F90"/>
    <w:rsid w:val="005A3CC0"/>
    <w:rsid w:val="005A675B"/>
    <w:rsid w:val="005B38CD"/>
    <w:rsid w:val="005C14EE"/>
    <w:rsid w:val="005C15C3"/>
    <w:rsid w:val="005C5715"/>
    <w:rsid w:val="005C5D5C"/>
    <w:rsid w:val="005C6885"/>
    <w:rsid w:val="005C72E3"/>
    <w:rsid w:val="005C78A7"/>
    <w:rsid w:val="005D1841"/>
    <w:rsid w:val="005D34D0"/>
    <w:rsid w:val="005D4C27"/>
    <w:rsid w:val="005D5BF4"/>
    <w:rsid w:val="005D5F52"/>
    <w:rsid w:val="005E5B69"/>
    <w:rsid w:val="005F1868"/>
    <w:rsid w:val="005F1BCF"/>
    <w:rsid w:val="005F4475"/>
    <w:rsid w:val="00604B92"/>
    <w:rsid w:val="00612313"/>
    <w:rsid w:val="0061317A"/>
    <w:rsid w:val="00615803"/>
    <w:rsid w:val="00620AC5"/>
    <w:rsid w:val="00620FF6"/>
    <w:rsid w:val="00621F23"/>
    <w:rsid w:val="006235F7"/>
    <w:rsid w:val="00623DA6"/>
    <w:rsid w:val="00630763"/>
    <w:rsid w:val="00631258"/>
    <w:rsid w:val="00633E0A"/>
    <w:rsid w:val="00634A05"/>
    <w:rsid w:val="00635055"/>
    <w:rsid w:val="00637258"/>
    <w:rsid w:val="006418E1"/>
    <w:rsid w:val="00642609"/>
    <w:rsid w:val="0064548B"/>
    <w:rsid w:val="00653CB9"/>
    <w:rsid w:val="00664A08"/>
    <w:rsid w:val="006651E4"/>
    <w:rsid w:val="00666909"/>
    <w:rsid w:val="00671350"/>
    <w:rsid w:val="00671457"/>
    <w:rsid w:val="00674F35"/>
    <w:rsid w:val="006807BE"/>
    <w:rsid w:val="00682ADB"/>
    <w:rsid w:val="00684C1D"/>
    <w:rsid w:val="00685298"/>
    <w:rsid w:val="006905BC"/>
    <w:rsid w:val="006908ED"/>
    <w:rsid w:val="006939CF"/>
    <w:rsid w:val="00694155"/>
    <w:rsid w:val="00696973"/>
    <w:rsid w:val="006A32D0"/>
    <w:rsid w:val="006A4B8A"/>
    <w:rsid w:val="006A771A"/>
    <w:rsid w:val="006B176E"/>
    <w:rsid w:val="006B726A"/>
    <w:rsid w:val="006B73D7"/>
    <w:rsid w:val="006C4F01"/>
    <w:rsid w:val="006C4F8B"/>
    <w:rsid w:val="006C5055"/>
    <w:rsid w:val="006C56C3"/>
    <w:rsid w:val="006C6404"/>
    <w:rsid w:val="006C6C4E"/>
    <w:rsid w:val="006D02DB"/>
    <w:rsid w:val="006D0712"/>
    <w:rsid w:val="006D26AE"/>
    <w:rsid w:val="006D2AB7"/>
    <w:rsid w:val="006D3D1F"/>
    <w:rsid w:val="006D4408"/>
    <w:rsid w:val="006E5F77"/>
    <w:rsid w:val="006E73C2"/>
    <w:rsid w:val="006F0785"/>
    <w:rsid w:val="006F21F8"/>
    <w:rsid w:val="006F65EB"/>
    <w:rsid w:val="00702A3C"/>
    <w:rsid w:val="00705901"/>
    <w:rsid w:val="00706C71"/>
    <w:rsid w:val="00710ADE"/>
    <w:rsid w:val="007123A3"/>
    <w:rsid w:val="007129DB"/>
    <w:rsid w:val="00715080"/>
    <w:rsid w:val="00722044"/>
    <w:rsid w:val="00723086"/>
    <w:rsid w:val="00731765"/>
    <w:rsid w:val="00731806"/>
    <w:rsid w:val="007339B2"/>
    <w:rsid w:val="00741628"/>
    <w:rsid w:val="007427DE"/>
    <w:rsid w:val="00745426"/>
    <w:rsid w:val="0074663A"/>
    <w:rsid w:val="00746838"/>
    <w:rsid w:val="0074795B"/>
    <w:rsid w:val="00750163"/>
    <w:rsid w:val="00752F00"/>
    <w:rsid w:val="00752F16"/>
    <w:rsid w:val="00754232"/>
    <w:rsid w:val="00755337"/>
    <w:rsid w:val="0075593D"/>
    <w:rsid w:val="007566BB"/>
    <w:rsid w:val="00764F17"/>
    <w:rsid w:val="00770484"/>
    <w:rsid w:val="00770556"/>
    <w:rsid w:val="00772589"/>
    <w:rsid w:val="00773134"/>
    <w:rsid w:val="00773B23"/>
    <w:rsid w:val="00777084"/>
    <w:rsid w:val="007771F1"/>
    <w:rsid w:val="007800EF"/>
    <w:rsid w:val="00782FF0"/>
    <w:rsid w:val="0078326D"/>
    <w:rsid w:val="0079299E"/>
    <w:rsid w:val="0079670F"/>
    <w:rsid w:val="007A4089"/>
    <w:rsid w:val="007A65EF"/>
    <w:rsid w:val="007A702C"/>
    <w:rsid w:val="007A791B"/>
    <w:rsid w:val="007B11D9"/>
    <w:rsid w:val="007B24F4"/>
    <w:rsid w:val="007B34FF"/>
    <w:rsid w:val="007B5284"/>
    <w:rsid w:val="007B6B76"/>
    <w:rsid w:val="007C59B8"/>
    <w:rsid w:val="007C5E46"/>
    <w:rsid w:val="007D0822"/>
    <w:rsid w:val="007D10A2"/>
    <w:rsid w:val="007D3F00"/>
    <w:rsid w:val="007D61A6"/>
    <w:rsid w:val="007E174A"/>
    <w:rsid w:val="007E4EED"/>
    <w:rsid w:val="007E5CC6"/>
    <w:rsid w:val="007E62BF"/>
    <w:rsid w:val="007F109E"/>
    <w:rsid w:val="007F33B6"/>
    <w:rsid w:val="007F4E2A"/>
    <w:rsid w:val="007F530E"/>
    <w:rsid w:val="007F5866"/>
    <w:rsid w:val="007F5FD7"/>
    <w:rsid w:val="007F6B61"/>
    <w:rsid w:val="007F7406"/>
    <w:rsid w:val="00801DFE"/>
    <w:rsid w:val="00811F4B"/>
    <w:rsid w:val="00812726"/>
    <w:rsid w:val="0081467F"/>
    <w:rsid w:val="0082015F"/>
    <w:rsid w:val="00832712"/>
    <w:rsid w:val="0083417B"/>
    <w:rsid w:val="00834C8E"/>
    <w:rsid w:val="00835D93"/>
    <w:rsid w:val="00840A11"/>
    <w:rsid w:val="00841E49"/>
    <w:rsid w:val="00842A89"/>
    <w:rsid w:val="00844D05"/>
    <w:rsid w:val="00847AF7"/>
    <w:rsid w:val="00851C31"/>
    <w:rsid w:val="00853E60"/>
    <w:rsid w:val="008565EB"/>
    <w:rsid w:val="008601B4"/>
    <w:rsid w:val="008626F1"/>
    <w:rsid w:val="00863F51"/>
    <w:rsid w:val="00864407"/>
    <w:rsid w:val="008669E2"/>
    <w:rsid w:val="00866D0A"/>
    <w:rsid w:val="00870F62"/>
    <w:rsid w:val="0087199B"/>
    <w:rsid w:val="00875260"/>
    <w:rsid w:val="008823A8"/>
    <w:rsid w:val="008845FA"/>
    <w:rsid w:val="008866E8"/>
    <w:rsid w:val="00890A09"/>
    <w:rsid w:val="00890FD0"/>
    <w:rsid w:val="00891DE5"/>
    <w:rsid w:val="008A1EC7"/>
    <w:rsid w:val="008B1E9F"/>
    <w:rsid w:val="008B3C8B"/>
    <w:rsid w:val="008B4786"/>
    <w:rsid w:val="008B4EEC"/>
    <w:rsid w:val="008B566F"/>
    <w:rsid w:val="008C011C"/>
    <w:rsid w:val="008C0234"/>
    <w:rsid w:val="008C68A5"/>
    <w:rsid w:val="008C7515"/>
    <w:rsid w:val="008D01CD"/>
    <w:rsid w:val="008D1572"/>
    <w:rsid w:val="008E220D"/>
    <w:rsid w:val="008E2753"/>
    <w:rsid w:val="008E2D65"/>
    <w:rsid w:val="008F356F"/>
    <w:rsid w:val="00901621"/>
    <w:rsid w:val="00902E21"/>
    <w:rsid w:val="009056F4"/>
    <w:rsid w:val="00906B4D"/>
    <w:rsid w:val="00911956"/>
    <w:rsid w:val="0091787C"/>
    <w:rsid w:val="00917FA0"/>
    <w:rsid w:val="00925ABF"/>
    <w:rsid w:val="00926FE7"/>
    <w:rsid w:val="00933E37"/>
    <w:rsid w:val="00935D8A"/>
    <w:rsid w:val="00936D35"/>
    <w:rsid w:val="0094211F"/>
    <w:rsid w:val="0095239B"/>
    <w:rsid w:val="00953FA6"/>
    <w:rsid w:val="009577BC"/>
    <w:rsid w:val="00957FDA"/>
    <w:rsid w:val="00960953"/>
    <w:rsid w:val="00960CD5"/>
    <w:rsid w:val="00967B24"/>
    <w:rsid w:val="00975BBA"/>
    <w:rsid w:val="00975FAE"/>
    <w:rsid w:val="00977A02"/>
    <w:rsid w:val="00977A03"/>
    <w:rsid w:val="0098396D"/>
    <w:rsid w:val="00984CEE"/>
    <w:rsid w:val="0098616E"/>
    <w:rsid w:val="009874C5"/>
    <w:rsid w:val="00990D2D"/>
    <w:rsid w:val="0099212A"/>
    <w:rsid w:val="00993571"/>
    <w:rsid w:val="009962C4"/>
    <w:rsid w:val="009A0DC5"/>
    <w:rsid w:val="009A1513"/>
    <w:rsid w:val="009A4819"/>
    <w:rsid w:val="009A6F06"/>
    <w:rsid w:val="009A78A9"/>
    <w:rsid w:val="009B0CA2"/>
    <w:rsid w:val="009B4A39"/>
    <w:rsid w:val="009B6004"/>
    <w:rsid w:val="009B6BD1"/>
    <w:rsid w:val="009B72DC"/>
    <w:rsid w:val="009C58DF"/>
    <w:rsid w:val="009C59BD"/>
    <w:rsid w:val="009D1A59"/>
    <w:rsid w:val="009D1BCD"/>
    <w:rsid w:val="009D1E12"/>
    <w:rsid w:val="009D2BB6"/>
    <w:rsid w:val="009D6DEB"/>
    <w:rsid w:val="009D79F1"/>
    <w:rsid w:val="009E1481"/>
    <w:rsid w:val="009E2E70"/>
    <w:rsid w:val="009E4E8E"/>
    <w:rsid w:val="009E6E86"/>
    <w:rsid w:val="009E7188"/>
    <w:rsid w:val="009E72B8"/>
    <w:rsid w:val="009F08B0"/>
    <w:rsid w:val="009F3735"/>
    <w:rsid w:val="009F3AF8"/>
    <w:rsid w:val="009F57E8"/>
    <w:rsid w:val="009F685D"/>
    <w:rsid w:val="00A04888"/>
    <w:rsid w:val="00A04C45"/>
    <w:rsid w:val="00A05497"/>
    <w:rsid w:val="00A06E2B"/>
    <w:rsid w:val="00A101E4"/>
    <w:rsid w:val="00A11FA9"/>
    <w:rsid w:val="00A12E13"/>
    <w:rsid w:val="00A14EEC"/>
    <w:rsid w:val="00A157C0"/>
    <w:rsid w:val="00A2140D"/>
    <w:rsid w:val="00A24B2C"/>
    <w:rsid w:val="00A25493"/>
    <w:rsid w:val="00A25D9C"/>
    <w:rsid w:val="00A3638B"/>
    <w:rsid w:val="00A36F3A"/>
    <w:rsid w:val="00A42424"/>
    <w:rsid w:val="00A47F2F"/>
    <w:rsid w:val="00A50A55"/>
    <w:rsid w:val="00A50E93"/>
    <w:rsid w:val="00A5136B"/>
    <w:rsid w:val="00A522EB"/>
    <w:rsid w:val="00A57E97"/>
    <w:rsid w:val="00A62A43"/>
    <w:rsid w:val="00A65C1D"/>
    <w:rsid w:val="00A664D0"/>
    <w:rsid w:val="00A72163"/>
    <w:rsid w:val="00A818B7"/>
    <w:rsid w:val="00A81DDA"/>
    <w:rsid w:val="00A83329"/>
    <w:rsid w:val="00A836D1"/>
    <w:rsid w:val="00A8400C"/>
    <w:rsid w:val="00A8461F"/>
    <w:rsid w:val="00A84947"/>
    <w:rsid w:val="00A8497F"/>
    <w:rsid w:val="00A84DE4"/>
    <w:rsid w:val="00A85DF9"/>
    <w:rsid w:val="00A86A18"/>
    <w:rsid w:val="00A90290"/>
    <w:rsid w:val="00A90BEE"/>
    <w:rsid w:val="00A91329"/>
    <w:rsid w:val="00A91969"/>
    <w:rsid w:val="00A92A29"/>
    <w:rsid w:val="00A95424"/>
    <w:rsid w:val="00A95AC5"/>
    <w:rsid w:val="00A971A3"/>
    <w:rsid w:val="00A976F9"/>
    <w:rsid w:val="00A97F07"/>
    <w:rsid w:val="00AA05ED"/>
    <w:rsid w:val="00AA30A2"/>
    <w:rsid w:val="00AA4CD9"/>
    <w:rsid w:val="00AA6AAD"/>
    <w:rsid w:val="00AA6DC2"/>
    <w:rsid w:val="00AB06F5"/>
    <w:rsid w:val="00AB0D18"/>
    <w:rsid w:val="00AB1CB8"/>
    <w:rsid w:val="00AB249E"/>
    <w:rsid w:val="00AB7E8F"/>
    <w:rsid w:val="00AC2747"/>
    <w:rsid w:val="00AC451B"/>
    <w:rsid w:val="00AC4F0B"/>
    <w:rsid w:val="00AD13ED"/>
    <w:rsid w:val="00AD1565"/>
    <w:rsid w:val="00AD2116"/>
    <w:rsid w:val="00AD4DC5"/>
    <w:rsid w:val="00AD622F"/>
    <w:rsid w:val="00AE2D6F"/>
    <w:rsid w:val="00AE60D4"/>
    <w:rsid w:val="00AE6672"/>
    <w:rsid w:val="00AF305A"/>
    <w:rsid w:val="00AF4009"/>
    <w:rsid w:val="00B035F0"/>
    <w:rsid w:val="00B0649E"/>
    <w:rsid w:val="00B06ABC"/>
    <w:rsid w:val="00B1383E"/>
    <w:rsid w:val="00B156BF"/>
    <w:rsid w:val="00B15BD2"/>
    <w:rsid w:val="00B163A8"/>
    <w:rsid w:val="00B16B36"/>
    <w:rsid w:val="00B220E1"/>
    <w:rsid w:val="00B227BD"/>
    <w:rsid w:val="00B22F24"/>
    <w:rsid w:val="00B2319B"/>
    <w:rsid w:val="00B235BB"/>
    <w:rsid w:val="00B23A27"/>
    <w:rsid w:val="00B249B7"/>
    <w:rsid w:val="00B24B0F"/>
    <w:rsid w:val="00B31F63"/>
    <w:rsid w:val="00B327D9"/>
    <w:rsid w:val="00B32C55"/>
    <w:rsid w:val="00B36CBB"/>
    <w:rsid w:val="00B4432F"/>
    <w:rsid w:val="00B45158"/>
    <w:rsid w:val="00B50E9B"/>
    <w:rsid w:val="00B512A8"/>
    <w:rsid w:val="00B53F63"/>
    <w:rsid w:val="00B567A2"/>
    <w:rsid w:val="00B60206"/>
    <w:rsid w:val="00B60A11"/>
    <w:rsid w:val="00B61773"/>
    <w:rsid w:val="00B6396E"/>
    <w:rsid w:val="00B63B61"/>
    <w:rsid w:val="00B64BE1"/>
    <w:rsid w:val="00B65E77"/>
    <w:rsid w:val="00B662CD"/>
    <w:rsid w:val="00B664C6"/>
    <w:rsid w:val="00B67951"/>
    <w:rsid w:val="00B708B2"/>
    <w:rsid w:val="00B7333C"/>
    <w:rsid w:val="00B73DFA"/>
    <w:rsid w:val="00B74FD2"/>
    <w:rsid w:val="00B758C2"/>
    <w:rsid w:val="00B768AC"/>
    <w:rsid w:val="00B8042B"/>
    <w:rsid w:val="00B81307"/>
    <w:rsid w:val="00B8239C"/>
    <w:rsid w:val="00B8264F"/>
    <w:rsid w:val="00B82DE4"/>
    <w:rsid w:val="00B876D3"/>
    <w:rsid w:val="00BA3BED"/>
    <w:rsid w:val="00BA628B"/>
    <w:rsid w:val="00BB0B48"/>
    <w:rsid w:val="00BB31B1"/>
    <w:rsid w:val="00BB40AC"/>
    <w:rsid w:val="00BC3377"/>
    <w:rsid w:val="00BC3ACA"/>
    <w:rsid w:val="00BC7B01"/>
    <w:rsid w:val="00BD0E84"/>
    <w:rsid w:val="00BD1FB7"/>
    <w:rsid w:val="00BD719B"/>
    <w:rsid w:val="00BE2B9D"/>
    <w:rsid w:val="00BE3753"/>
    <w:rsid w:val="00BE4695"/>
    <w:rsid w:val="00BE46C5"/>
    <w:rsid w:val="00BE4DCD"/>
    <w:rsid w:val="00BE6E1C"/>
    <w:rsid w:val="00BF24C5"/>
    <w:rsid w:val="00BF43D8"/>
    <w:rsid w:val="00BF735A"/>
    <w:rsid w:val="00C0056C"/>
    <w:rsid w:val="00C0183D"/>
    <w:rsid w:val="00C03D18"/>
    <w:rsid w:val="00C048E2"/>
    <w:rsid w:val="00C04DE6"/>
    <w:rsid w:val="00C05EA3"/>
    <w:rsid w:val="00C069CE"/>
    <w:rsid w:val="00C134C6"/>
    <w:rsid w:val="00C147B1"/>
    <w:rsid w:val="00C2354D"/>
    <w:rsid w:val="00C31F14"/>
    <w:rsid w:val="00C33BA0"/>
    <w:rsid w:val="00C340EA"/>
    <w:rsid w:val="00C37276"/>
    <w:rsid w:val="00C376F0"/>
    <w:rsid w:val="00C37CF0"/>
    <w:rsid w:val="00C42011"/>
    <w:rsid w:val="00C458C1"/>
    <w:rsid w:val="00C476ED"/>
    <w:rsid w:val="00C50CD1"/>
    <w:rsid w:val="00C5173E"/>
    <w:rsid w:val="00C539DC"/>
    <w:rsid w:val="00C547D8"/>
    <w:rsid w:val="00C548DF"/>
    <w:rsid w:val="00C5664B"/>
    <w:rsid w:val="00C60810"/>
    <w:rsid w:val="00C6140E"/>
    <w:rsid w:val="00C628AE"/>
    <w:rsid w:val="00C6294F"/>
    <w:rsid w:val="00C65557"/>
    <w:rsid w:val="00C6624F"/>
    <w:rsid w:val="00C66FB1"/>
    <w:rsid w:val="00C71173"/>
    <w:rsid w:val="00C73103"/>
    <w:rsid w:val="00C7369A"/>
    <w:rsid w:val="00C738FD"/>
    <w:rsid w:val="00C76102"/>
    <w:rsid w:val="00C7649F"/>
    <w:rsid w:val="00C7722A"/>
    <w:rsid w:val="00C80034"/>
    <w:rsid w:val="00C82194"/>
    <w:rsid w:val="00C8302C"/>
    <w:rsid w:val="00C854AF"/>
    <w:rsid w:val="00C90E83"/>
    <w:rsid w:val="00C90EE4"/>
    <w:rsid w:val="00C90FBB"/>
    <w:rsid w:val="00C9319C"/>
    <w:rsid w:val="00C96A40"/>
    <w:rsid w:val="00C970B8"/>
    <w:rsid w:val="00C97528"/>
    <w:rsid w:val="00CA3E0F"/>
    <w:rsid w:val="00CA5C63"/>
    <w:rsid w:val="00CA6CCF"/>
    <w:rsid w:val="00CB03F9"/>
    <w:rsid w:val="00CB09A9"/>
    <w:rsid w:val="00CB114D"/>
    <w:rsid w:val="00CB5AA5"/>
    <w:rsid w:val="00CC0820"/>
    <w:rsid w:val="00CC1E52"/>
    <w:rsid w:val="00CD4D60"/>
    <w:rsid w:val="00CD52E2"/>
    <w:rsid w:val="00CD53EF"/>
    <w:rsid w:val="00CE1613"/>
    <w:rsid w:val="00CE2010"/>
    <w:rsid w:val="00CE67ED"/>
    <w:rsid w:val="00CE790E"/>
    <w:rsid w:val="00CF0FE4"/>
    <w:rsid w:val="00CF160B"/>
    <w:rsid w:val="00CF4EF5"/>
    <w:rsid w:val="00CF6661"/>
    <w:rsid w:val="00CF6FF0"/>
    <w:rsid w:val="00D01235"/>
    <w:rsid w:val="00D0193C"/>
    <w:rsid w:val="00D02CC7"/>
    <w:rsid w:val="00D02E27"/>
    <w:rsid w:val="00D031E5"/>
    <w:rsid w:val="00D03B8C"/>
    <w:rsid w:val="00D05F15"/>
    <w:rsid w:val="00D16A21"/>
    <w:rsid w:val="00D20EF6"/>
    <w:rsid w:val="00D234BA"/>
    <w:rsid w:val="00D234FB"/>
    <w:rsid w:val="00D25211"/>
    <w:rsid w:val="00D30086"/>
    <w:rsid w:val="00D30438"/>
    <w:rsid w:val="00D3679E"/>
    <w:rsid w:val="00D37CED"/>
    <w:rsid w:val="00D44BA0"/>
    <w:rsid w:val="00D50786"/>
    <w:rsid w:val="00D51664"/>
    <w:rsid w:val="00D52AB8"/>
    <w:rsid w:val="00D552C7"/>
    <w:rsid w:val="00D55DBB"/>
    <w:rsid w:val="00D5655B"/>
    <w:rsid w:val="00D57850"/>
    <w:rsid w:val="00D60C82"/>
    <w:rsid w:val="00D61D2E"/>
    <w:rsid w:val="00D62F2B"/>
    <w:rsid w:val="00D63C7C"/>
    <w:rsid w:val="00D83C44"/>
    <w:rsid w:val="00D92016"/>
    <w:rsid w:val="00D938C7"/>
    <w:rsid w:val="00D96D06"/>
    <w:rsid w:val="00D96E43"/>
    <w:rsid w:val="00DA048C"/>
    <w:rsid w:val="00DA1918"/>
    <w:rsid w:val="00DA2E7F"/>
    <w:rsid w:val="00DA33B8"/>
    <w:rsid w:val="00DA4F23"/>
    <w:rsid w:val="00DA580B"/>
    <w:rsid w:val="00DA72EA"/>
    <w:rsid w:val="00DB2061"/>
    <w:rsid w:val="00DB4CEE"/>
    <w:rsid w:val="00DB65AA"/>
    <w:rsid w:val="00DC11FB"/>
    <w:rsid w:val="00DC55FF"/>
    <w:rsid w:val="00DD2E9B"/>
    <w:rsid w:val="00DD4A7C"/>
    <w:rsid w:val="00DE192D"/>
    <w:rsid w:val="00DE1B2A"/>
    <w:rsid w:val="00DE65F2"/>
    <w:rsid w:val="00DF0384"/>
    <w:rsid w:val="00DF5E99"/>
    <w:rsid w:val="00E02B8C"/>
    <w:rsid w:val="00E037F9"/>
    <w:rsid w:val="00E05458"/>
    <w:rsid w:val="00E06713"/>
    <w:rsid w:val="00E06817"/>
    <w:rsid w:val="00E06E8A"/>
    <w:rsid w:val="00E1202A"/>
    <w:rsid w:val="00E13E94"/>
    <w:rsid w:val="00E13EDD"/>
    <w:rsid w:val="00E14C96"/>
    <w:rsid w:val="00E20361"/>
    <w:rsid w:val="00E226C3"/>
    <w:rsid w:val="00E23968"/>
    <w:rsid w:val="00E25C7A"/>
    <w:rsid w:val="00E260D6"/>
    <w:rsid w:val="00E27A98"/>
    <w:rsid w:val="00E32100"/>
    <w:rsid w:val="00E47127"/>
    <w:rsid w:val="00E479DC"/>
    <w:rsid w:val="00E50C19"/>
    <w:rsid w:val="00E5182E"/>
    <w:rsid w:val="00E61E0B"/>
    <w:rsid w:val="00E62B07"/>
    <w:rsid w:val="00E66B3A"/>
    <w:rsid w:val="00E67881"/>
    <w:rsid w:val="00E679E2"/>
    <w:rsid w:val="00E7029C"/>
    <w:rsid w:val="00E7074E"/>
    <w:rsid w:val="00E711D5"/>
    <w:rsid w:val="00E73DF0"/>
    <w:rsid w:val="00E74A56"/>
    <w:rsid w:val="00E74BC5"/>
    <w:rsid w:val="00E74FA9"/>
    <w:rsid w:val="00E80276"/>
    <w:rsid w:val="00E83301"/>
    <w:rsid w:val="00E836FD"/>
    <w:rsid w:val="00E83E65"/>
    <w:rsid w:val="00E87A18"/>
    <w:rsid w:val="00E87D6B"/>
    <w:rsid w:val="00E94F96"/>
    <w:rsid w:val="00E95C4B"/>
    <w:rsid w:val="00EA36FC"/>
    <w:rsid w:val="00EA7193"/>
    <w:rsid w:val="00EA7DE7"/>
    <w:rsid w:val="00EB0539"/>
    <w:rsid w:val="00EB69DB"/>
    <w:rsid w:val="00EC3682"/>
    <w:rsid w:val="00EC4A81"/>
    <w:rsid w:val="00ED0937"/>
    <w:rsid w:val="00ED1E53"/>
    <w:rsid w:val="00ED562C"/>
    <w:rsid w:val="00ED7C88"/>
    <w:rsid w:val="00EF07AD"/>
    <w:rsid w:val="00EF1788"/>
    <w:rsid w:val="00EF19B9"/>
    <w:rsid w:val="00EF4354"/>
    <w:rsid w:val="00EF46D6"/>
    <w:rsid w:val="00F00B64"/>
    <w:rsid w:val="00F01CA7"/>
    <w:rsid w:val="00F030F3"/>
    <w:rsid w:val="00F051DA"/>
    <w:rsid w:val="00F05FCA"/>
    <w:rsid w:val="00F1137B"/>
    <w:rsid w:val="00F1199E"/>
    <w:rsid w:val="00F13D01"/>
    <w:rsid w:val="00F1450A"/>
    <w:rsid w:val="00F1499D"/>
    <w:rsid w:val="00F14C9D"/>
    <w:rsid w:val="00F17391"/>
    <w:rsid w:val="00F17B68"/>
    <w:rsid w:val="00F2081D"/>
    <w:rsid w:val="00F2544A"/>
    <w:rsid w:val="00F31398"/>
    <w:rsid w:val="00F326CB"/>
    <w:rsid w:val="00F3393F"/>
    <w:rsid w:val="00F37BF6"/>
    <w:rsid w:val="00F40327"/>
    <w:rsid w:val="00F406F9"/>
    <w:rsid w:val="00F42339"/>
    <w:rsid w:val="00F4495A"/>
    <w:rsid w:val="00F45343"/>
    <w:rsid w:val="00F473DA"/>
    <w:rsid w:val="00F47414"/>
    <w:rsid w:val="00F51584"/>
    <w:rsid w:val="00F518C2"/>
    <w:rsid w:val="00F5350F"/>
    <w:rsid w:val="00F54227"/>
    <w:rsid w:val="00F5576B"/>
    <w:rsid w:val="00F5592E"/>
    <w:rsid w:val="00F55AA8"/>
    <w:rsid w:val="00F55EB3"/>
    <w:rsid w:val="00F55F97"/>
    <w:rsid w:val="00F56BBD"/>
    <w:rsid w:val="00F618B9"/>
    <w:rsid w:val="00F67097"/>
    <w:rsid w:val="00F717BF"/>
    <w:rsid w:val="00F760EF"/>
    <w:rsid w:val="00F77F55"/>
    <w:rsid w:val="00F81445"/>
    <w:rsid w:val="00F83B54"/>
    <w:rsid w:val="00F851B8"/>
    <w:rsid w:val="00F862B1"/>
    <w:rsid w:val="00F9015D"/>
    <w:rsid w:val="00F9195B"/>
    <w:rsid w:val="00F92D16"/>
    <w:rsid w:val="00F93377"/>
    <w:rsid w:val="00F9620C"/>
    <w:rsid w:val="00FA0D24"/>
    <w:rsid w:val="00FA12E0"/>
    <w:rsid w:val="00FA43AC"/>
    <w:rsid w:val="00FB17EC"/>
    <w:rsid w:val="00FB213C"/>
    <w:rsid w:val="00FB23E5"/>
    <w:rsid w:val="00FB24FE"/>
    <w:rsid w:val="00FB28B4"/>
    <w:rsid w:val="00FB368C"/>
    <w:rsid w:val="00FB566F"/>
    <w:rsid w:val="00FB5A51"/>
    <w:rsid w:val="00FB5C60"/>
    <w:rsid w:val="00FB6F8E"/>
    <w:rsid w:val="00FB7B98"/>
    <w:rsid w:val="00FC060D"/>
    <w:rsid w:val="00FC0B68"/>
    <w:rsid w:val="00FC3838"/>
    <w:rsid w:val="00FC5CBE"/>
    <w:rsid w:val="00FD1A2E"/>
    <w:rsid w:val="00FD5017"/>
    <w:rsid w:val="00FD50E3"/>
    <w:rsid w:val="00FD71FC"/>
    <w:rsid w:val="00FE3B5D"/>
    <w:rsid w:val="00FE5EF2"/>
    <w:rsid w:val="00FF37B0"/>
    <w:rsid w:val="00FF4A99"/>
    <w:rsid w:val="00FF7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853F4"/>
  <w15:docId w15:val="{9EBABAAF-FCA4-4CED-955D-18CC244C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EE"/>
    <w:pPr>
      <w:spacing w:after="0" w:line="240" w:lineRule="auto"/>
    </w:pPr>
    <w:rPr>
      <w:rFonts w:ascii="Cambria" w:hAnsi="Cambria"/>
      <w:sz w:val="24"/>
    </w:rPr>
  </w:style>
  <w:style w:type="paragraph" w:styleId="Heading1">
    <w:name w:val="heading 1"/>
    <w:basedOn w:val="Normal"/>
    <w:next w:val="Normal"/>
    <w:link w:val="Heading1Char"/>
    <w:uiPriority w:val="9"/>
    <w:qFormat/>
    <w:rsid w:val="001C3135"/>
    <w:pPr>
      <w:keepNext/>
      <w:keepLines/>
      <w:numPr>
        <w:numId w:val="1"/>
      </w:numPr>
      <w:spacing w:before="480" w:after="12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C3135"/>
    <w:pPr>
      <w:numPr>
        <w:ilvl w:val="1"/>
        <w:numId w:val="1"/>
      </w:numPr>
      <w:spacing w:before="360" w:after="120"/>
      <w:ind w:left="576"/>
      <w:outlineLvl w:val="1"/>
    </w:pPr>
    <w:rPr>
      <w:rFonts w:asciiTheme="majorHAnsi" w:hAnsiTheme="majorHAnsi"/>
      <w:b/>
      <w:smallCaps/>
    </w:rPr>
  </w:style>
  <w:style w:type="paragraph" w:styleId="Heading3">
    <w:name w:val="heading 3"/>
    <w:basedOn w:val="Normal"/>
    <w:next w:val="Normal"/>
    <w:link w:val="Heading3Char"/>
    <w:unhideWhenUsed/>
    <w:qFormat/>
    <w:rsid w:val="00A90BEE"/>
    <w:pPr>
      <w:keepNext/>
      <w:keepLines/>
      <w:spacing w:before="24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35"/>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C3135"/>
    <w:rPr>
      <w:rFonts w:asciiTheme="majorHAnsi" w:hAnsiTheme="majorHAnsi"/>
      <w:b/>
      <w:smallCaps/>
      <w:sz w:val="24"/>
    </w:rPr>
  </w:style>
  <w:style w:type="character" w:customStyle="1" w:styleId="Heading3Char">
    <w:name w:val="Heading 3 Char"/>
    <w:basedOn w:val="DefaultParagraphFont"/>
    <w:link w:val="Heading3"/>
    <w:rsid w:val="00A90BEE"/>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Comment Text Char2 Char,Comment Text Char1 Char Char,Comment Text Char Char Char Char,Comment Text Char Char1 Char,Comment Text Char Char"/>
    <w:basedOn w:val="Normal"/>
    <w:link w:val="CommentTextChar"/>
    <w:unhideWhenUsed/>
    <w:rsid w:val="001A3992"/>
    <w:rPr>
      <w:sz w:val="20"/>
      <w:szCs w:val="20"/>
    </w:rPr>
  </w:style>
  <w:style w:type="character" w:customStyle="1" w:styleId="CommentTextChar">
    <w:name w:val="Comment Text Char"/>
    <w:aliases w:val="Comment Text Char2 Char Char,Comment Text Char1 Char Char Char,Comment Text Char Char Char Char Char,Comment Text Char Char1 Char Char,Comment Text Char Char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style>
  <w:style w:type="character" w:styleId="Hyperlink">
    <w:name w:val="Hyperlink"/>
    <w:basedOn w:val="DefaultParagraphFont"/>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customStyle="1" w:styleId="Default">
    <w:name w:val="Default"/>
    <w:rsid w:val="004A1545"/>
    <w:pPr>
      <w:widowControl w:val="0"/>
      <w:autoSpaceDE w:val="0"/>
      <w:autoSpaceDN w:val="0"/>
      <w:adjustRightInd w:val="0"/>
      <w:spacing w:after="0" w:line="240" w:lineRule="auto"/>
    </w:pPr>
    <w:rPr>
      <w:rFonts w:ascii="TT A 20 F 6 BE 8o 00" w:eastAsia="Times New Roman" w:hAnsi="TT A 20 F 6 BE 8o 00" w:cs="TT A 20 F 6 BE 8o 00"/>
      <w:color w:val="000000"/>
      <w:sz w:val="24"/>
      <w:szCs w:val="24"/>
      <w:lang w:val="en-US"/>
    </w:rPr>
  </w:style>
  <w:style w:type="paragraph" w:customStyle="1" w:styleId="CM16">
    <w:name w:val="CM16"/>
    <w:basedOn w:val="Default"/>
    <w:next w:val="Default"/>
    <w:rsid w:val="004A1545"/>
    <w:pPr>
      <w:spacing w:after="118"/>
    </w:pPr>
    <w:rPr>
      <w:rFonts w:cs="Times New Roman"/>
      <w:color w:val="auto"/>
    </w:rPr>
  </w:style>
  <w:style w:type="paragraph" w:customStyle="1" w:styleId="AlexionBodyText">
    <w:name w:val="Alexion Body Text"/>
    <w:basedOn w:val="Normal"/>
    <w:link w:val="AlexionBodyTextChar"/>
    <w:rsid w:val="004A1545"/>
    <w:pPr>
      <w:spacing w:before="120" w:after="240"/>
      <w:ind w:firstLine="432"/>
    </w:pPr>
    <w:rPr>
      <w:rFonts w:ascii="Times New Roman" w:eastAsia="Times New Roman" w:hAnsi="Times New Roman" w:cs="Times New Roman"/>
      <w:sz w:val="16"/>
      <w:szCs w:val="20"/>
      <w:lang w:val="en-US"/>
    </w:rPr>
  </w:style>
  <w:style w:type="character" w:customStyle="1" w:styleId="AlexionBodyTextChar">
    <w:name w:val="Alexion Body Text Char"/>
    <w:link w:val="AlexionBodyText"/>
    <w:rsid w:val="004A1545"/>
    <w:rPr>
      <w:rFonts w:ascii="Times New Roman" w:eastAsia="Times New Roman" w:hAnsi="Times New Roman" w:cs="Times New Roman"/>
      <w:sz w:val="16"/>
      <w:szCs w:val="20"/>
      <w:lang w:val="en-US"/>
    </w:rPr>
  </w:style>
  <w:style w:type="paragraph" w:customStyle="1" w:styleId="CM1">
    <w:name w:val="CM1"/>
    <w:basedOn w:val="Default"/>
    <w:next w:val="Default"/>
    <w:rsid w:val="00863F51"/>
    <w:rPr>
      <w:rFonts w:cs="Times New Roman"/>
      <w:color w:val="auto"/>
    </w:rPr>
  </w:style>
  <w:style w:type="paragraph" w:customStyle="1" w:styleId="CM15">
    <w:name w:val="CM15"/>
    <w:basedOn w:val="Default"/>
    <w:next w:val="Default"/>
    <w:uiPriority w:val="99"/>
    <w:rsid w:val="00863F51"/>
    <w:pPr>
      <w:spacing w:after="530"/>
    </w:pPr>
    <w:rPr>
      <w:rFonts w:cs="Times New Roman"/>
      <w:color w:val="auto"/>
    </w:rPr>
  </w:style>
  <w:style w:type="paragraph" w:customStyle="1" w:styleId="CM2">
    <w:name w:val="CM2"/>
    <w:basedOn w:val="Default"/>
    <w:next w:val="Default"/>
    <w:rsid w:val="00863F51"/>
    <w:rPr>
      <w:rFonts w:cs="Times New Roman"/>
      <w:color w:val="auto"/>
    </w:rPr>
  </w:style>
  <w:style w:type="paragraph" w:customStyle="1" w:styleId="CM3">
    <w:name w:val="CM3"/>
    <w:basedOn w:val="Default"/>
    <w:next w:val="Default"/>
    <w:rsid w:val="00863F51"/>
    <w:pPr>
      <w:spacing w:line="280" w:lineRule="atLeast"/>
    </w:pPr>
    <w:rPr>
      <w:rFonts w:cs="Times New Roman"/>
      <w:color w:val="auto"/>
    </w:rPr>
  </w:style>
  <w:style w:type="paragraph" w:customStyle="1" w:styleId="CM17">
    <w:name w:val="CM17"/>
    <w:basedOn w:val="Default"/>
    <w:next w:val="Default"/>
    <w:rsid w:val="00863F51"/>
    <w:pPr>
      <w:spacing w:after="375"/>
    </w:pPr>
    <w:rPr>
      <w:rFonts w:cs="Times New Roman"/>
      <w:color w:val="auto"/>
    </w:rPr>
  </w:style>
  <w:style w:type="paragraph" w:customStyle="1" w:styleId="CM18">
    <w:name w:val="CM18"/>
    <w:basedOn w:val="Default"/>
    <w:next w:val="Default"/>
    <w:rsid w:val="00863F51"/>
    <w:pPr>
      <w:spacing w:after="273"/>
    </w:pPr>
    <w:rPr>
      <w:rFonts w:cs="Times New Roman"/>
      <w:color w:val="auto"/>
    </w:rPr>
  </w:style>
  <w:style w:type="paragraph" w:customStyle="1" w:styleId="CM4">
    <w:name w:val="CM4"/>
    <w:basedOn w:val="Default"/>
    <w:next w:val="Default"/>
    <w:rsid w:val="00863F51"/>
    <w:pPr>
      <w:spacing w:line="278" w:lineRule="atLeast"/>
    </w:pPr>
    <w:rPr>
      <w:rFonts w:cs="Times New Roman"/>
      <w:color w:val="auto"/>
    </w:rPr>
  </w:style>
  <w:style w:type="paragraph" w:customStyle="1" w:styleId="CM19">
    <w:name w:val="CM19"/>
    <w:basedOn w:val="Default"/>
    <w:next w:val="Default"/>
    <w:rsid w:val="00863F51"/>
    <w:pPr>
      <w:spacing w:after="778"/>
    </w:pPr>
    <w:rPr>
      <w:rFonts w:cs="Times New Roman"/>
      <w:color w:val="auto"/>
    </w:rPr>
  </w:style>
  <w:style w:type="paragraph" w:customStyle="1" w:styleId="CM5">
    <w:name w:val="CM5"/>
    <w:basedOn w:val="Default"/>
    <w:next w:val="Default"/>
    <w:rsid w:val="00863F51"/>
    <w:rPr>
      <w:rFonts w:cs="Times New Roman"/>
      <w:color w:val="auto"/>
    </w:rPr>
  </w:style>
  <w:style w:type="paragraph" w:customStyle="1" w:styleId="CM20">
    <w:name w:val="CM20"/>
    <w:basedOn w:val="Default"/>
    <w:next w:val="Default"/>
    <w:rsid w:val="00863F51"/>
    <w:pPr>
      <w:spacing w:after="102"/>
    </w:pPr>
    <w:rPr>
      <w:rFonts w:cs="Times New Roman"/>
      <w:color w:val="auto"/>
    </w:rPr>
  </w:style>
  <w:style w:type="paragraph" w:customStyle="1" w:styleId="CM21">
    <w:name w:val="CM21"/>
    <w:basedOn w:val="Default"/>
    <w:next w:val="Default"/>
    <w:rsid w:val="00863F51"/>
    <w:pPr>
      <w:spacing w:after="167"/>
    </w:pPr>
    <w:rPr>
      <w:rFonts w:cs="Times New Roman"/>
      <w:color w:val="auto"/>
    </w:rPr>
  </w:style>
  <w:style w:type="paragraph" w:customStyle="1" w:styleId="CM6">
    <w:name w:val="CM6"/>
    <w:basedOn w:val="Default"/>
    <w:next w:val="Default"/>
    <w:rsid w:val="00863F51"/>
    <w:pPr>
      <w:spacing w:line="278" w:lineRule="atLeast"/>
    </w:pPr>
    <w:rPr>
      <w:rFonts w:cs="Times New Roman"/>
      <w:color w:val="auto"/>
    </w:rPr>
  </w:style>
  <w:style w:type="paragraph" w:customStyle="1" w:styleId="CM7">
    <w:name w:val="CM7"/>
    <w:basedOn w:val="Default"/>
    <w:next w:val="Default"/>
    <w:rsid w:val="00863F51"/>
    <w:pPr>
      <w:spacing w:line="276" w:lineRule="atLeast"/>
    </w:pPr>
    <w:rPr>
      <w:rFonts w:cs="Times New Roman"/>
      <w:color w:val="auto"/>
    </w:rPr>
  </w:style>
  <w:style w:type="paragraph" w:customStyle="1" w:styleId="CM8">
    <w:name w:val="CM8"/>
    <w:basedOn w:val="Default"/>
    <w:next w:val="Default"/>
    <w:rsid w:val="00863F51"/>
    <w:pPr>
      <w:spacing w:line="276" w:lineRule="atLeast"/>
    </w:pPr>
    <w:rPr>
      <w:rFonts w:cs="Times New Roman"/>
      <w:color w:val="auto"/>
    </w:rPr>
  </w:style>
  <w:style w:type="paragraph" w:customStyle="1" w:styleId="CM9">
    <w:name w:val="CM9"/>
    <w:basedOn w:val="Default"/>
    <w:next w:val="Default"/>
    <w:rsid w:val="00863F51"/>
    <w:pPr>
      <w:spacing w:line="276" w:lineRule="atLeast"/>
    </w:pPr>
    <w:rPr>
      <w:rFonts w:cs="Times New Roman"/>
      <w:color w:val="auto"/>
    </w:rPr>
  </w:style>
  <w:style w:type="paragraph" w:customStyle="1" w:styleId="CM25">
    <w:name w:val="CM25"/>
    <w:basedOn w:val="Default"/>
    <w:next w:val="Default"/>
    <w:rsid w:val="00863F51"/>
    <w:pPr>
      <w:spacing w:after="468"/>
    </w:pPr>
    <w:rPr>
      <w:rFonts w:cs="Times New Roman"/>
      <w:color w:val="auto"/>
    </w:rPr>
  </w:style>
  <w:style w:type="paragraph" w:customStyle="1" w:styleId="CM26">
    <w:name w:val="CM26"/>
    <w:basedOn w:val="Default"/>
    <w:next w:val="Default"/>
    <w:rsid w:val="00863F51"/>
    <w:pPr>
      <w:spacing w:after="638"/>
    </w:pPr>
    <w:rPr>
      <w:rFonts w:cs="Times New Roman"/>
      <w:color w:val="auto"/>
    </w:rPr>
  </w:style>
  <w:style w:type="paragraph" w:customStyle="1" w:styleId="CM10">
    <w:name w:val="CM10"/>
    <w:basedOn w:val="Default"/>
    <w:next w:val="Default"/>
    <w:rsid w:val="00863F51"/>
    <w:pPr>
      <w:spacing w:line="238" w:lineRule="atLeast"/>
    </w:pPr>
    <w:rPr>
      <w:rFonts w:cs="Times New Roman"/>
      <w:color w:val="auto"/>
    </w:rPr>
  </w:style>
  <w:style w:type="paragraph" w:customStyle="1" w:styleId="CM13">
    <w:name w:val="CM13"/>
    <w:basedOn w:val="Default"/>
    <w:next w:val="Default"/>
    <w:rsid w:val="00863F51"/>
    <w:pPr>
      <w:spacing w:line="276" w:lineRule="atLeast"/>
    </w:pPr>
    <w:rPr>
      <w:rFonts w:cs="Times New Roman"/>
      <w:color w:val="auto"/>
    </w:rPr>
  </w:style>
  <w:style w:type="paragraph" w:customStyle="1" w:styleId="CM22">
    <w:name w:val="CM22"/>
    <w:basedOn w:val="Default"/>
    <w:next w:val="Default"/>
    <w:rsid w:val="00863F51"/>
    <w:pPr>
      <w:spacing w:after="410"/>
    </w:pPr>
    <w:rPr>
      <w:rFonts w:cs="Times New Roman"/>
      <w:color w:val="auto"/>
    </w:rPr>
  </w:style>
  <w:style w:type="paragraph" w:customStyle="1" w:styleId="CM14">
    <w:name w:val="CM14"/>
    <w:basedOn w:val="Default"/>
    <w:next w:val="Default"/>
    <w:rsid w:val="00863F51"/>
    <w:pPr>
      <w:spacing w:line="276" w:lineRule="atLeast"/>
    </w:pPr>
    <w:rPr>
      <w:rFonts w:cs="Times New Roman"/>
      <w:color w:val="auto"/>
    </w:rPr>
  </w:style>
  <w:style w:type="table" w:styleId="TableGrid">
    <w:name w:val="Table Grid"/>
    <w:basedOn w:val="TableNormal"/>
    <w:uiPriority w:val="59"/>
    <w:rsid w:val="00863F51"/>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next w:val="Normal"/>
    <w:rsid w:val="00863F51"/>
    <w:pPr>
      <w:spacing w:before="60" w:after="60" w:line="240" w:lineRule="auto"/>
      <w:jc w:val="center"/>
    </w:pPr>
    <w:rPr>
      <w:rFonts w:ascii="Times New Roman" w:eastAsia="Times New Roman" w:hAnsi="Times New Roman" w:cs="Times New Roman"/>
      <w:b/>
      <w:sz w:val="16"/>
      <w:szCs w:val="24"/>
      <w:lang w:val="en-US"/>
    </w:rPr>
  </w:style>
  <w:style w:type="paragraph" w:styleId="CommentSubject">
    <w:name w:val="annotation subject"/>
    <w:basedOn w:val="CommentText"/>
    <w:next w:val="CommentText"/>
    <w:link w:val="CommentSubjectChar"/>
    <w:semiHidden/>
    <w:rsid w:val="00863F51"/>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semiHidden/>
    <w:rsid w:val="00863F51"/>
    <w:rPr>
      <w:rFonts w:ascii="Times New Roman" w:eastAsia="Times New Roman" w:hAnsi="Times New Roman" w:cs="Times New Roman"/>
      <w:b/>
      <w:bCs/>
      <w:sz w:val="20"/>
      <w:szCs w:val="20"/>
      <w:lang w:val="en-GB"/>
    </w:rPr>
  </w:style>
  <w:style w:type="character" w:customStyle="1" w:styleId="FDAHeader3Char">
    <w:name w:val="FDA Header 3 Char"/>
    <w:rsid w:val="00863F51"/>
    <w:rPr>
      <w:rFonts w:ascii="Arial" w:hAnsi="Arial" w:cs="Arial"/>
      <w:b/>
      <w:bCs/>
      <w:noProof w:val="0"/>
      <w:sz w:val="24"/>
      <w:szCs w:val="24"/>
      <w:lang w:val="en-US" w:eastAsia="en-US" w:bidi="ar-SA"/>
    </w:rPr>
  </w:style>
  <w:style w:type="paragraph" w:customStyle="1" w:styleId="Bullet1">
    <w:name w:val="Bullet 1"/>
    <w:basedOn w:val="Normal"/>
    <w:rsid w:val="00863F51"/>
    <w:pPr>
      <w:numPr>
        <w:numId w:val="3"/>
      </w:numPr>
      <w:spacing w:before="120"/>
    </w:pPr>
    <w:rPr>
      <w:rFonts w:ascii="Times New Roman" w:eastAsia="Times New Roman" w:hAnsi="Times New Roman" w:cs="Times New Roman"/>
      <w:sz w:val="16"/>
      <w:szCs w:val="24"/>
      <w:lang w:val="en-US"/>
    </w:rPr>
  </w:style>
  <w:style w:type="paragraph" w:customStyle="1" w:styleId="Normal-text">
    <w:name w:val="Normal-text"/>
    <w:basedOn w:val="Normal"/>
    <w:rsid w:val="00863F51"/>
    <w:pPr>
      <w:tabs>
        <w:tab w:val="left" w:pos="0"/>
      </w:tabs>
      <w:suppressAutoHyphens/>
      <w:spacing w:before="60" w:after="120"/>
    </w:pPr>
    <w:rPr>
      <w:rFonts w:ascii="Arial" w:eastAsia="Times New Roman" w:hAnsi="Arial" w:cs="Times New Roman"/>
      <w:szCs w:val="20"/>
      <w:lang w:val="en-US"/>
    </w:rPr>
  </w:style>
  <w:style w:type="character" w:styleId="PageNumber">
    <w:name w:val="page number"/>
    <w:basedOn w:val="DefaultParagraphFont"/>
    <w:rsid w:val="00863F51"/>
  </w:style>
  <w:style w:type="paragraph" w:customStyle="1" w:styleId="C-BodyText">
    <w:name w:val="C-Body Text"/>
    <w:link w:val="C-BodyTextChar"/>
    <w:rsid w:val="00863F51"/>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863F51"/>
    <w:rPr>
      <w:rFonts w:ascii="Times New Roman" w:eastAsia="Times New Roman" w:hAnsi="Times New Roman" w:cs="Times New Roman"/>
      <w:sz w:val="24"/>
      <w:szCs w:val="20"/>
      <w:lang w:val="en-US"/>
    </w:rPr>
  </w:style>
  <w:style w:type="paragraph" w:styleId="Revision">
    <w:name w:val="Revision"/>
    <w:hidden/>
    <w:uiPriority w:val="99"/>
    <w:semiHidden/>
    <w:rsid w:val="00863F51"/>
    <w:pPr>
      <w:spacing w:after="0" w:line="240" w:lineRule="auto"/>
    </w:pPr>
    <w:rPr>
      <w:rFonts w:ascii="Times New Roman" w:eastAsia="Times New Roman" w:hAnsi="Times New Roman" w:cs="Times New Roman"/>
      <w:lang w:val="en-GB"/>
    </w:rPr>
  </w:style>
  <w:style w:type="paragraph" w:customStyle="1" w:styleId="C-TableText">
    <w:name w:val="C-Table Text"/>
    <w:link w:val="C-TableTextChar"/>
    <w:rsid w:val="00863F51"/>
    <w:pPr>
      <w:spacing w:before="60" w:after="60" w:line="240" w:lineRule="auto"/>
    </w:pPr>
    <w:rPr>
      <w:rFonts w:ascii="Times New Roman" w:eastAsia="Times New Roman" w:hAnsi="Times New Roman" w:cs="Times New Roman"/>
      <w:szCs w:val="20"/>
      <w:lang w:val="es-ES" w:eastAsia="es-ES"/>
    </w:rPr>
  </w:style>
  <w:style w:type="character" w:customStyle="1" w:styleId="C-TableTextChar">
    <w:name w:val="C-Table Text Char"/>
    <w:link w:val="C-TableText"/>
    <w:locked/>
    <w:rsid w:val="00863F51"/>
    <w:rPr>
      <w:rFonts w:ascii="Times New Roman" w:eastAsia="Times New Roman" w:hAnsi="Times New Roman" w:cs="Times New Roman"/>
      <w:szCs w:val="20"/>
      <w:lang w:val="es-ES" w:eastAsia="es-ES"/>
    </w:rPr>
  </w:style>
  <w:style w:type="paragraph" w:customStyle="1" w:styleId="C-TableHeader">
    <w:name w:val="C-Table Header"/>
    <w:next w:val="C-TableText"/>
    <w:rsid w:val="00863F51"/>
    <w:pPr>
      <w:keepNext/>
      <w:spacing w:before="60" w:after="60" w:line="240" w:lineRule="auto"/>
    </w:pPr>
    <w:rPr>
      <w:rFonts w:ascii="Times New Roman" w:eastAsia="Times New Roman" w:hAnsi="Times New Roman" w:cs="Times New Roman"/>
      <w:b/>
      <w:szCs w:val="20"/>
      <w:lang w:val="en-US"/>
    </w:rPr>
  </w:style>
  <w:style w:type="paragraph" w:styleId="Caption">
    <w:name w:val="caption"/>
    <w:aliases w:val="wcp_Caption,Légende_Legend,Alexion Caption,Bayer Caption,Caption Char,Table Caption,IB Caption,Medical Caption,Medical Caption + Arial Narrow,Bayer Caption1,IB Caption1,Medical Caption1,Medical Caption + Arial Narrow1,Bayer Caption2,IB Caption2"/>
    <w:basedOn w:val="Normal"/>
    <w:next w:val="Normal"/>
    <w:link w:val="CaptionChar1"/>
    <w:unhideWhenUsed/>
    <w:qFormat/>
    <w:rsid w:val="00FA12E0"/>
    <w:pPr>
      <w:keepNext/>
      <w:spacing w:before="360"/>
      <w:jc w:val="both"/>
    </w:pPr>
    <w:rPr>
      <w:rFonts w:eastAsia="Times New Roman" w:cs="Times New Roman"/>
      <w:b/>
      <w:bCs/>
      <w:lang w:val="en-GB"/>
    </w:rPr>
  </w:style>
  <w:style w:type="paragraph" w:customStyle="1" w:styleId="C-Footer">
    <w:name w:val="C-Footer"/>
    <w:rsid w:val="00863F51"/>
    <w:pPr>
      <w:spacing w:after="0" w:line="240" w:lineRule="auto"/>
    </w:pPr>
    <w:rPr>
      <w:rFonts w:ascii="Times New Roman" w:eastAsia="Times New Roman" w:hAnsi="Times New Roman" w:cs="Times New Roman"/>
      <w:sz w:val="20"/>
      <w:szCs w:val="20"/>
      <w:lang w:val="en-US"/>
    </w:rPr>
  </w:style>
  <w:style w:type="character" w:customStyle="1" w:styleId="CaptionChar1">
    <w:name w:val="Caption Char1"/>
    <w:aliases w:val="wcp_Caption Char,Légende_Legend Char,Alexion Caption Char,Bayer Caption Char,Caption Char Char,Table Caption Char,IB Caption Char,Medical Caption Char,Medical Caption + Arial Narrow Char,Bayer Caption1 Char,IB Caption1 Char"/>
    <w:basedOn w:val="DefaultParagraphFont"/>
    <w:link w:val="Caption"/>
    <w:rsid w:val="00FA12E0"/>
    <w:rPr>
      <w:rFonts w:ascii="Cambria" w:eastAsia="Times New Roman" w:hAnsi="Cambria" w:cs="Times New Roman"/>
      <w:b/>
      <w:bCs/>
      <w:sz w:val="24"/>
      <w:lang w:val="en-GB"/>
    </w:rPr>
  </w:style>
  <w:style w:type="paragraph" w:styleId="NormalWeb">
    <w:name w:val="Normal (Web)"/>
    <w:basedOn w:val="Normal"/>
    <w:uiPriority w:val="99"/>
    <w:unhideWhenUsed/>
    <w:rsid w:val="002D3823"/>
    <w:pPr>
      <w:spacing w:before="100" w:beforeAutospacing="1" w:after="100" w:afterAutospacing="1"/>
    </w:pPr>
    <w:rPr>
      <w:rFonts w:ascii="Times New Roman" w:eastAsia="Times New Roman" w:hAnsi="Times New Roman" w:cs="Times New Roman"/>
      <w:szCs w:val="24"/>
      <w:lang w:eastAsia="en-AU"/>
    </w:rPr>
  </w:style>
  <w:style w:type="paragraph" w:customStyle="1" w:styleId="a">
    <w:name w:val="간지목차"/>
    <w:basedOn w:val="Normal"/>
    <w:rsid w:val="0098616E"/>
    <w:pPr>
      <w:snapToGrid w:val="0"/>
      <w:spacing w:line="384" w:lineRule="auto"/>
      <w:ind w:left="616" w:right="452"/>
      <w:jc w:val="both"/>
    </w:pPr>
    <w:rPr>
      <w:rFonts w:ascii="HYSinMyeongJo-Medium" w:eastAsia="HYSinMyeongJo-Medium" w:hAnsi="HYSinMyeongJo-Medium" w:cs="Gulim"/>
      <w:color w:val="000000"/>
      <w:sz w:val="21"/>
      <w:szCs w:val="21"/>
      <w:lang w:val="en-US" w:eastAsia="ko-KR"/>
    </w:rPr>
  </w:style>
  <w:style w:type="paragraph" w:customStyle="1" w:styleId="paragraph">
    <w:name w:val="paragraph"/>
    <w:basedOn w:val="Normal"/>
    <w:rsid w:val="00F67097"/>
    <w:rPr>
      <w:rFonts w:ascii="Times New Roman" w:eastAsia="Times New Roman" w:hAnsi="Times New Roman" w:cs="Times New Roman"/>
      <w:szCs w:val="24"/>
      <w:lang w:val="en-US"/>
    </w:rPr>
  </w:style>
  <w:style w:type="character" w:customStyle="1" w:styleId="normaltextrun1">
    <w:name w:val="normaltextrun1"/>
    <w:basedOn w:val="DefaultParagraphFont"/>
    <w:rsid w:val="00F67097"/>
  </w:style>
  <w:style w:type="character" w:customStyle="1" w:styleId="eop">
    <w:name w:val="eop"/>
    <w:basedOn w:val="DefaultParagraphFont"/>
    <w:rsid w:val="00F67097"/>
  </w:style>
  <w:style w:type="character" w:customStyle="1" w:styleId="UnresolvedMention">
    <w:name w:val="Unresolved Mention"/>
    <w:basedOn w:val="DefaultParagraphFont"/>
    <w:uiPriority w:val="99"/>
    <w:semiHidden/>
    <w:unhideWhenUsed/>
    <w:rsid w:val="00B24B0F"/>
    <w:rPr>
      <w:color w:val="808080"/>
      <w:shd w:val="clear" w:color="auto" w:fill="E6E6E6"/>
    </w:rPr>
  </w:style>
  <w:style w:type="character" w:styleId="FollowedHyperlink">
    <w:name w:val="FollowedHyperlink"/>
    <w:basedOn w:val="DefaultParagraphFont"/>
    <w:uiPriority w:val="99"/>
    <w:semiHidden/>
    <w:unhideWhenUsed/>
    <w:rsid w:val="004C111C"/>
    <w:rPr>
      <w:color w:val="800080" w:themeColor="followedHyperlink"/>
      <w:u w:val="single"/>
    </w:rPr>
  </w:style>
  <w:style w:type="character" w:customStyle="1" w:styleId="normaltextrun">
    <w:name w:val="normaltextrun"/>
    <w:basedOn w:val="DefaultParagraphFont"/>
    <w:rsid w:val="00475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4127">
      <w:bodyDiv w:val="1"/>
      <w:marLeft w:val="0"/>
      <w:marRight w:val="0"/>
      <w:marTop w:val="0"/>
      <w:marBottom w:val="0"/>
      <w:divBdr>
        <w:top w:val="none" w:sz="0" w:space="0" w:color="auto"/>
        <w:left w:val="none" w:sz="0" w:space="0" w:color="auto"/>
        <w:bottom w:val="none" w:sz="0" w:space="0" w:color="auto"/>
        <w:right w:val="none" w:sz="0" w:space="0" w:color="auto"/>
      </w:divBdr>
    </w:div>
    <w:div w:id="281039946">
      <w:bodyDiv w:val="1"/>
      <w:marLeft w:val="0"/>
      <w:marRight w:val="0"/>
      <w:marTop w:val="0"/>
      <w:marBottom w:val="0"/>
      <w:divBdr>
        <w:top w:val="none" w:sz="0" w:space="0" w:color="auto"/>
        <w:left w:val="none" w:sz="0" w:space="0" w:color="auto"/>
        <w:bottom w:val="none" w:sz="0" w:space="0" w:color="auto"/>
        <w:right w:val="none" w:sz="0" w:space="0" w:color="auto"/>
      </w:divBdr>
    </w:div>
    <w:div w:id="346685684">
      <w:bodyDiv w:val="1"/>
      <w:marLeft w:val="0"/>
      <w:marRight w:val="0"/>
      <w:marTop w:val="0"/>
      <w:marBottom w:val="0"/>
      <w:divBdr>
        <w:top w:val="none" w:sz="0" w:space="0" w:color="auto"/>
        <w:left w:val="none" w:sz="0" w:space="0" w:color="auto"/>
        <w:bottom w:val="none" w:sz="0" w:space="0" w:color="auto"/>
        <w:right w:val="none" w:sz="0" w:space="0" w:color="auto"/>
      </w:divBdr>
      <w:divsChild>
        <w:div w:id="1806964733">
          <w:marLeft w:val="0"/>
          <w:marRight w:val="0"/>
          <w:marTop w:val="0"/>
          <w:marBottom w:val="0"/>
          <w:divBdr>
            <w:top w:val="none" w:sz="0" w:space="0" w:color="auto"/>
            <w:left w:val="none" w:sz="0" w:space="0" w:color="auto"/>
            <w:bottom w:val="none" w:sz="0" w:space="0" w:color="auto"/>
            <w:right w:val="none" w:sz="0" w:space="0" w:color="auto"/>
          </w:divBdr>
        </w:div>
        <w:div w:id="1640378091">
          <w:marLeft w:val="0"/>
          <w:marRight w:val="0"/>
          <w:marTop w:val="0"/>
          <w:marBottom w:val="0"/>
          <w:divBdr>
            <w:top w:val="none" w:sz="0" w:space="0" w:color="auto"/>
            <w:left w:val="none" w:sz="0" w:space="0" w:color="auto"/>
            <w:bottom w:val="none" w:sz="0" w:space="0" w:color="auto"/>
            <w:right w:val="none" w:sz="0" w:space="0" w:color="auto"/>
          </w:divBdr>
        </w:div>
      </w:divsChild>
    </w:div>
    <w:div w:id="402719412">
      <w:bodyDiv w:val="1"/>
      <w:marLeft w:val="0"/>
      <w:marRight w:val="0"/>
      <w:marTop w:val="0"/>
      <w:marBottom w:val="0"/>
      <w:divBdr>
        <w:top w:val="none" w:sz="0" w:space="0" w:color="auto"/>
        <w:left w:val="none" w:sz="0" w:space="0" w:color="auto"/>
        <w:bottom w:val="none" w:sz="0" w:space="0" w:color="auto"/>
        <w:right w:val="none" w:sz="0" w:space="0" w:color="auto"/>
      </w:divBdr>
      <w:divsChild>
        <w:div w:id="539972786">
          <w:marLeft w:val="0"/>
          <w:marRight w:val="0"/>
          <w:marTop w:val="0"/>
          <w:marBottom w:val="0"/>
          <w:divBdr>
            <w:top w:val="none" w:sz="0" w:space="0" w:color="auto"/>
            <w:left w:val="none" w:sz="0" w:space="0" w:color="auto"/>
            <w:bottom w:val="none" w:sz="0" w:space="0" w:color="auto"/>
            <w:right w:val="none" w:sz="0" w:space="0" w:color="auto"/>
          </w:divBdr>
        </w:div>
        <w:div w:id="1406492345">
          <w:marLeft w:val="0"/>
          <w:marRight w:val="0"/>
          <w:marTop w:val="0"/>
          <w:marBottom w:val="0"/>
          <w:divBdr>
            <w:top w:val="none" w:sz="0" w:space="0" w:color="auto"/>
            <w:left w:val="none" w:sz="0" w:space="0" w:color="auto"/>
            <w:bottom w:val="none" w:sz="0" w:space="0" w:color="auto"/>
            <w:right w:val="none" w:sz="0" w:space="0" w:color="auto"/>
          </w:divBdr>
        </w:div>
        <w:div w:id="162280286">
          <w:marLeft w:val="0"/>
          <w:marRight w:val="0"/>
          <w:marTop w:val="0"/>
          <w:marBottom w:val="0"/>
          <w:divBdr>
            <w:top w:val="none" w:sz="0" w:space="0" w:color="auto"/>
            <w:left w:val="none" w:sz="0" w:space="0" w:color="auto"/>
            <w:bottom w:val="none" w:sz="0" w:space="0" w:color="auto"/>
            <w:right w:val="none" w:sz="0" w:space="0" w:color="auto"/>
          </w:divBdr>
        </w:div>
        <w:div w:id="706683643">
          <w:marLeft w:val="0"/>
          <w:marRight w:val="0"/>
          <w:marTop w:val="0"/>
          <w:marBottom w:val="0"/>
          <w:divBdr>
            <w:top w:val="none" w:sz="0" w:space="0" w:color="auto"/>
            <w:left w:val="none" w:sz="0" w:space="0" w:color="auto"/>
            <w:bottom w:val="none" w:sz="0" w:space="0" w:color="auto"/>
            <w:right w:val="none" w:sz="0" w:space="0" w:color="auto"/>
          </w:divBdr>
        </w:div>
        <w:div w:id="148406192">
          <w:marLeft w:val="0"/>
          <w:marRight w:val="0"/>
          <w:marTop w:val="0"/>
          <w:marBottom w:val="0"/>
          <w:divBdr>
            <w:top w:val="none" w:sz="0" w:space="0" w:color="auto"/>
            <w:left w:val="none" w:sz="0" w:space="0" w:color="auto"/>
            <w:bottom w:val="none" w:sz="0" w:space="0" w:color="auto"/>
            <w:right w:val="none" w:sz="0" w:space="0" w:color="auto"/>
          </w:divBdr>
        </w:div>
        <w:div w:id="775488233">
          <w:marLeft w:val="0"/>
          <w:marRight w:val="0"/>
          <w:marTop w:val="0"/>
          <w:marBottom w:val="0"/>
          <w:divBdr>
            <w:top w:val="none" w:sz="0" w:space="0" w:color="auto"/>
            <w:left w:val="none" w:sz="0" w:space="0" w:color="auto"/>
            <w:bottom w:val="none" w:sz="0" w:space="0" w:color="auto"/>
            <w:right w:val="none" w:sz="0" w:space="0" w:color="auto"/>
          </w:divBdr>
        </w:div>
        <w:div w:id="579797156">
          <w:marLeft w:val="0"/>
          <w:marRight w:val="0"/>
          <w:marTop w:val="0"/>
          <w:marBottom w:val="0"/>
          <w:divBdr>
            <w:top w:val="none" w:sz="0" w:space="0" w:color="auto"/>
            <w:left w:val="none" w:sz="0" w:space="0" w:color="auto"/>
            <w:bottom w:val="none" w:sz="0" w:space="0" w:color="auto"/>
            <w:right w:val="none" w:sz="0" w:space="0" w:color="auto"/>
          </w:divBdr>
        </w:div>
        <w:div w:id="527064745">
          <w:marLeft w:val="0"/>
          <w:marRight w:val="0"/>
          <w:marTop w:val="0"/>
          <w:marBottom w:val="0"/>
          <w:divBdr>
            <w:top w:val="none" w:sz="0" w:space="0" w:color="auto"/>
            <w:left w:val="none" w:sz="0" w:space="0" w:color="auto"/>
            <w:bottom w:val="none" w:sz="0" w:space="0" w:color="auto"/>
            <w:right w:val="none" w:sz="0" w:space="0" w:color="auto"/>
          </w:divBdr>
        </w:div>
        <w:div w:id="671445383">
          <w:marLeft w:val="0"/>
          <w:marRight w:val="0"/>
          <w:marTop w:val="0"/>
          <w:marBottom w:val="0"/>
          <w:divBdr>
            <w:top w:val="none" w:sz="0" w:space="0" w:color="auto"/>
            <w:left w:val="none" w:sz="0" w:space="0" w:color="auto"/>
            <w:bottom w:val="none" w:sz="0" w:space="0" w:color="auto"/>
            <w:right w:val="none" w:sz="0" w:space="0" w:color="auto"/>
          </w:divBdr>
        </w:div>
        <w:div w:id="2018577185">
          <w:marLeft w:val="0"/>
          <w:marRight w:val="0"/>
          <w:marTop w:val="0"/>
          <w:marBottom w:val="0"/>
          <w:divBdr>
            <w:top w:val="none" w:sz="0" w:space="0" w:color="auto"/>
            <w:left w:val="none" w:sz="0" w:space="0" w:color="auto"/>
            <w:bottom w:val="none" w:sz="0" w:space="0" w:color="auto"/>
            <w:right w:val="none" w:sz="0" w:space="0" w:color="auto"/>
          </w:divBdr>
        </w:div>
        <w:div w:id="1970889208">
          <w:marLeft w:val="0"/>
          <w:marRight w:val="0"/>
          <w:marTop w:val="0"/>
          <w:marBottom w:val="0"/>
          <w:divBdr>
            <w:top w:val="none" w:sz="0" w:space="0" w:color="auto"/>
            <w:left w:val="none" w:sz="0" w:space="0" w:color="auto"/>
            <w:bottom w:val="none" w:sz="0" w:space="0" w:color="auto"/>
            <w:right w:val="none" w:sz="0" w:space="0" w:color="auto"/>
          </w:divBdr>
        </w:div>
      </w:divsChild>
    </w:div>
    <w:div w:id="484857494">
      <w:bodyDiv w:val="1"/>
      <w:marLeft w:val="0"/>
      <w:marRight w:val="0"/>
      <w:marTop w:val="0"/>
      <w:marBottom w:val="0"/>
      <w:divBdr>
        <w:top w:val="none" w:sz="0" w:space="0" w:color="auto"/>
        <w:left w:val="none" w:sz="0" w:space="0" w:color="auto"/>
        <w:bottom w:val="none" w:sz="0" w:space="0" w:color="auto"/>
        <w:right w:val="none" w:sz="0" w:space="0" w:color="auto"/>
      </w:divBdr>
    </w:div>
    <w:div w:id="539125996">
      <w:bodyDiv w:val="1"/>
      <w:marLeft w:val="0"/>
      <w:marRight w:val="0"/>
      <w:marTop w:val="0"/>
      <w:marBottom w:val="0"/>
      <w:divBdr>
        <w:top w:val="none" w:sz="0" w:space="0" w:color="auto"/>
        <w:left w:val="none" w:sz="0" w:space="0" w:color="auto"/>
        <w:bottom w:val="none" w:sz="0" w:space="0" w:color="auto"/>
        <w:right w:val="none" w:sz="0" w:space="0" w:color="auto"/>
      </w:divBdr>
    </w:div>
    <w:div w:id="853495871">
      <w:bodyDiv w:val="1"/>
      <w:marLeft w:val="0"/>
      <w:marRight w:val="0"/>
      <w:marTop w:val="0"/>
      <w:marBottom w:val="0"/>
      <w:divBdr>
        <w:top w:val="none" w:sz="0" w:space="0" w:color="auto"/>
        <w:left w:val="none" w:sz="0" w:space="0" w:color="auto"/>
        <w:bottom w:val="none" w:sz="0" w:space="0" w:color="auto"/>
        <w:right w:val="none" w:sz="0" w:space="0" w:color="auto"/>
      </w:divBdr>
      <w:divsChild>
        <w:div w:id="1622956294">
          <w:marLeft w:val="0"/>
          <w:marRight w:val="0"/>
          <w:marTop w:val="0"/>
          <w:marBottom w:val="0"/>
          <w:divBdr>
            <w:top w:val="none" w:sz="0" w:space="0" w:color="auto"/>
            <w:left w:val="none" w:sz="0" w:space="0" w:color="auto"/>
            <w:bottom w:val="none" w:sz="0" w:space="0" w:color="auto"/>
            <w:right w:val="none" w:sz="0" w:space="0" w:color="auto"/>
          </w:divBdr>
        </w:div>
        <w:div w:id="1589075309">
          <w:marLeft w:val="0"/>
          <w:marRight w:val="0"/>
          <w:marTop w:val="0"/>
          <w:marBottom w:val="0"/>
          <w:divBdr>
            <w:top w:val="none" w:sz="0" w:space="0" w:color="auto"/>
            <w:left w:val="none" w:sz="0" w:space="0" w:color="auto"/>
            <w:bottom w:val="none" w:sz="0" w:space="0" w:color="auto"/>
            <w:right w:val="none" w:sz="0" w:space="0" w:color="auto"/>
          </w:divBdr>
        </w:div>
        <w:div w:id="1431240804">
          <w:marLeft w:val="0"/>
          <w:marRight w:val="0"/>
          <w:marTop w:val="0"/>
          <w:marBottom w:val="0"/>
          <w:divBdr>
            <w:top w:val="none" w:sz="0" w:space="0" w:color="auto"/>
            <w:left w:val="none" w:sz="0" w:space="0" w:color="auto"/>
            <w:bottom w:val="none" w:sz="0" w:space="0" w:color="auto"/>
            <w:right w:val="none" w:sz="0" w:space="0" w:color="auto"/>
          </w:divBdr>
        </w:div>
        <w:div w:id="174464951">
          <w:marLeft w:val="0"/>
          <w:marRight w:val="0"/>
          <w:marTop w:val="0"/>
          <w:marBottom w:val="0"/>
          <w:divBdr>
            <w:top w:val="none" w:sz="0" w:space="0" w:color="auto"/>
            <w:left w:val="none" w:sz="0" w:space="0" w:color="auto"/>
            <w:bottom w:val="none" w:sz="0" w:space="0" w:color="auto"/>
            <w:right w:val="none" w:sz="0" w:space="0" w:color="auto"/>
          </w:divBdr>
        </w:div>
        <w:div w:id="972515445">
          <w:marLeft w:val="0"/>
          <w:marRight w:val="0"/>
          <w:marTop w:val="0"/>
          <w:marBottom w:val="0"/>
          <w:divBdr>
            <w:top w:val="none" w:sz="0" w:space="0" w:color="auto"/>
            <w:left w:val="none" w:sz="0" w:space="0" w:color="auto"/>
            <w:bottom w:val="none" w:sz="0" w:space="0" w:color="auto"/>
            <w:right w:val="none" w:sz="0" w:space="0" w:color="auto"/>
          </w:divBdr>
        </w:div>
        <w:div w:id="71701987">
          <w:marLeft w:val="0"/>
          <w:marRight w:val="0"/>
          <w:marTop w:val="0"/>
          <w:marBottom w:val="0"/>
          <w:divBdr>
            <w:top w:val="none" w:sz="0" w:space="0" w:color="auto"/>
            <w:left w:val="none" w:sz="0" w:space="0" w:color="auto"/>
            <w:bottom w:val="none" w:sz="0" w:space="0" w:color="auto"/>
            <w:right w:val="none" w:sz="0" w:space="0" w:color="auto"/>
          </w:divBdr>
        </w:div>
        <w:div w:id="980233089">
          <w:marLeft w:val="0"/>
          <w:marRight w:val="0"/>
          <w:marTop w:val="0"/>
          <w:marBottom w:val="0"/>
          <w:divBdr>
            <w:top w:val="none" w:sz="0" w:space="0" w:color="auto"/>
            <w:left w:val="none" w:sz="0" w:space="0" w:color="auto"/>
            <w:bottom w:val="none" w:sz="0" w:space="0" w:color="auto"/>
            <w:right w:val="none" w:sz="0" w:space="0" w:color="auto"/>
          </w:divBdr>
        </w:div>
        <w:div w:id="315495009">
          <w:marLeft w:val="0"/>
          <w:marRight w:val="0"/>
          <w:marTop w:val="0"/>
          <w:marBottom w:val="0"/>
          <w:divBdr>
            <w:top w:val="none" w:sz="0" w:space="0" w:color="auto"/>
            <w:left w:val="none" w:sz="0" w:space="0" w:color="auto"/>
            <w:bottom w:val="none" w:sz="0" w:space="0" w:color="auto"/>
            <w:right w:val="none" w:sz="0" w:space="0" w:color="auto"/>
          </w:divBdr>
        </w:div>
      </w:divsChild>
    </w:div>
    <w:div w:id="1066414131">
      <w:bodyDiv w:val="1"/>
      <w:marLeft w:val="0"/>
      <w:marRight w:val="0"/>
      <w:marTop w:val="0"/>
      <w:marBottom w:val="0"/>
      <w:divBdr>
        <w:top w:val="none" w:sz="0" w:space="0" w:color="auto"/>
        <w:left w:val="none" w:sz="0" w:space="0" w:color="auto"/>
        <w:bottom w:val="none" w:sz="0" w:space="0" w:color="auto"/>
        <w:right w:val="none" w:sz="0" w:space="0" w:color="auto"/>
      </w:divBdr>
      <w:divsChild>
        <w:div w:id="751925378">
          <w:marLeft w:val="0"/>
          <w:marRight w:val="0"/>
          <w:marTop w:val="0"/>
          <w:marBottom w:val="0"/>
          <w:divBdr>
            <w:top w:val="none" w:sz="0" w:space="0" w:color="auto"/>
            <w:left w:val="none" w:sz="0" w:space="0" w:color="auto"/>
            <w:bottom w:val="none" w:sz="0" w:space="0" w:color="auto"/>
            <w:right w:val="none" w:sz="0" w:space="0" w:color="auto"/>
          </w:divBdr>
          <w:divsChild>
            <w:div w:id="328290140">
              <w:marLeft w:val="0"/>
              <w:marRight w:val="0"/>
              <w:marTop w:val="0"/>
              <w:marBottom w:val="0"/>
              <w:divBdr>
                <w:top w:val="none" w:sz="0" w:space="0" w:color="auto"/>
                <w:left w:val="none" w:sz="0" w:space="0" w:color="auto"/>
                <w:bottom w:val="none" w:sz="0" w:space="0" w:color="auto"/>
                <w:right w:val="none" w:sz="0" w:space="0" w:color="auto"/>
              </w:divBdr>
              <w:divsChild>
                <w:div w:id="463281211">
                  <w:marLeft w:val="0"/>
                  <w:marRight w:val="0"/>
                  <w:marTop w:val="0"/>
                  <w:marBottom w:val="0"/>
                  <w:divBdr>
                    <w:top w:val="none" w:sz="0" w:space="0" w:color="auto"/>
                    <w:left w:val="none" w:sz="0" w:space="0" w:color="auto"/>
                    <w:bottom w:val="none" w:sz="0" w:space="0" w:color="auto"/>
                    <w:right w:val="none" w:sz="0" w:space="0" w:color="auto"/>
                  </w:divBdr>
                  <w:divsChild>
                    <w:div w:id="1220441704">
                      <w:marLeft w:val="0"/>
                      <w:marRight w:val="0"/>
                      <w:marTop w:val="0"/>
                      <w:marBottom w:val="0"/>
                      <w:divBdr>
                        <w:top w:val="none" w:sz="0" w:space="0" w:color="auto"/>
                        <w:left w:val="none" w:sz="0" w:space="0" w:color="auto"/>
                        <w:bottom w:val="none" w:sz="0" w:space="0" w:color="auto"/>
                        <w:right w:val="none" w:sz="0" w:space="0" w:color="auto"/>
                      </w:divBdr>
                      <w:divsChild>
                        <w:div w:id="1077022219">
                          <w:marLeft w:val="0"/>
                          <w:marRight w:val="0"/>
                          <w:marTop w:val="0"/>
                          <w:marBottom w:val="0"/>
                          <w:divBdr>
                            <w:top w:val="none" w:sz="0" w:space="0" w:color="auto"/>
                            <w:left w:val="none" w:sz="0" w:space="0" w:color="auto"/>
                            <w:bottom w:val="none" w:sz="0" w:space="0" w:color="auto"/>
                            <w:right w:val="none" w:sz="0" w:space="0" w:color="auto"/>
                          </w:divBdr>
                          <w:divsChild>
                            <w:div w:id="414134881">
                              <w:marLeft w:val="0"/>
                              <w:marRight w:val="0"/>
                              <w:marTop w:val="0"/>
                              <w:marBottom w:val="0"/>
                              <w:divBdr>
                                <w:top w:val="none" w:sz="0" w:space="0" w:color="auto"/>
                                <w:left w:val="none" w:sz="0" w:space="0" w:color="auto"/>
                                <w:bottom w:val="none" w:sz="0" w:space="0" w:color="auto"/>
                                <w:right w:val="none" w:sz="0" w:space="0" w:color="auto"/>
                              </w:divBdr>
                              <w:divsChild>
                                <w:div w:id="1341471432">
                                  <w:marLeft w:val="0"/>
                                  <w:marRight w:val="0"/>
                                  <w:marTop w:val="0"/>
                                  <w:marBottom w:val="0"/>
                                  <w:divBdr>
                                    <w:top w:val="none" w:sz="0" w:space="0" w:color="auto"/>
                                    <w:left w:val="none" w:sz="0" w:space="0" w:color="auto"/>
                                    <w:bottom w:val="none" w:sz="0" w:space="0" w:color="auto"/>
                                    <w:right w:val="none" w:sz="0" w:space="0" w:color="auto"/>
                                  </w:divBdr>
                                  <w:divsChild>
                                    <w:div w:id="1324629065">
                                      <w:marLeft w:val="0"/>
                                      <w:marRight w:val="0"/>
                                      <w:marTop w:val="0"/>
                                      <w:marBottom w:val="0"/>
                                      <w:divBdr>
                                        <w:top w:val="none" w:sz="0" w:space="0" w:color="auto"/>
                                        <w:left w:val="none" w:sz="0" w:space="0" w:color="auto"/>
                                        <w:bottom w:val="none" w:sz="0" w:space="0" w:color="auto"/>
                                        <w:right w:val="none" w:sz="0" w:space="0" w:color="auto"/>
                                      </w:divBdr>
                                      <w:divsChild>
                                        <w:div w:id="808598387">
                                          <w:marLeft w:val="0"/>
                                          <w:marRight w:val="0"/>
                                          <w:marTop w:val="0"/>
                                          <w:marBottom w:val="0"/>
                                          <w:divBdr>
                                            <w:top w:val="none" w:sz="0" w:space="0" w:color="auto"/>
                                            <w:left w:val="none" w:sz="0" w:space="0" w:color="auto"/>
                                            <w:bottom w:val="none" w:sz="0" w:space="0" w:color="auto"/>
                                            <w:right w:val="none" w:sz="0" w:space="0" w:color="auto"/>
                                          </w:divBdr>
                                          <w:divsChild>
                                            <w:div w:id="1280337378">
                                              <w:marLeft w:val="0"/>
                                              <w:marRight w:val="0"/>
                                              <w:marTop w:val="0"/>
                                              <w:marBottom w:val="0"/>
                                              <w:divBdr>
                                                <w:top w:val="none" w:sz="0" w:space="0" w:color="auto"/>
                                                <w:left w:val="none" w:sz="0" w:space="0" w:color="auto"/>
                                                <w:bottom w:val="none" w:sz="0" w:space="0" w:color="auto"/>
                                                <w:right w:val="none" w:sz="0" w:space="0" w:color="auto"/>
                                              </w:divBdr>
                                              <w:divsChild>
                                                <w:div w:id="1551454029">
                                                  <w:marLeft w:val="0"/>
                                                  <w:marRight w:val="0"/>
                                                  <w:marTop w:val="0"/>
                                                  <w:marBottom w:val="0"/>
                                                  <w:divBdr>
                                                    <w:top w:val="none" w:sz="0" w:space="0" w:color="auto"/>
                                                    <w:left w:val="none" w:sz="0" w:space="0" w:color="auto"/>
                                                    <w:bottom w:val="none" w:sz="0" w:space="0" w:color="auto"/>
                                                    <w:right w:val="none" w:sz="0" w:space="0" w:color="auto"/>
                                                  </w:divBdr>
                                                  <w:divsChild>
                                                    <w:div w:id="1157956207">
                                                      <w:marLeft w:val="0"/>
                                                      <w:marRight w:val="0"/>
                                                      <w:marTop w:val="0"/>
                                                      <w:marBottom w:val="0"/>
                                                      <w:divBdr>
                                                        <w:top w:val="single" w:sz="6" w:space="0" w:color="ABABAB"/>
                                                        <w:left w:val="single" w:sz="6" w:space="0" w:color="ABABAB"/>
                                                        <w:bottom w:val="none" w:sz="0" w:space="0" w:color="auto"/>
                                                        <w:right w:val="single" w:sz="6" w:space="0" w:color="ABABAB"/>
                                                      </w:divBdr>
                                                      <w:divsChild>
                                                        <w:div w:id="1465539869">
                                                          <w:marLeft w:val="0"/>
                                                          <w:marRight w:val="0"/>
                                                          <w:marTop w:val="0"/>
                                                          <w:marBottom w:val="0"/>
                                                          <w:divBdr>
                                                            <w:top w:val="none" w:sz="0" w:space="0" w:color="auto"/>
                                                            <w:left w:val="none" w:sz="0" w:space="0" w:color="auto"/>
                                                            <w:bottom w:val="none" w:sz="0" w:space="0" w:color="auto"/>
                                                            <w:right w:val="none" w:sz="0" w:space="0" w:color="auto"/>
                                                          </w:divBdr>
                                                          <w:divsChild>
                                                            <w:div w:id="1219198580">
                                                              <w:marLeft w:val="0"/>
                                                              <w:marRight w:val="0"/>
                                                              <w:marTop w:val="0"/>
                                                              <w:marBottom w:val="0"/>
                                                              <w:divBdr>
                                                                <w:top w:val="none" w:sz="0" w:space="0" w:color="auto"/>
                                                                <w:left w:val="none" w:sz="0" w:space="0" w:color="auto"/>
                                                                <w:bottom w:val="none" w:sz="0" w:space="0" w:color="auto"/>
                                                                <w:right w:val="none" w:sz="0" w:space="0" w:color="auto"/>
                                                              </w:divBdr>
                                                              <w:divsChild>
                                                                <w:div w:id="1763987086">
                                                                  <w:marLeft w:val="0"/>
                                                                  <w:marRight w:val="0"/>
                                                                  <w:marTop w:val="0"/>
                                                                  <w:marBottom w:val="0"/>
                                                                  <w:divBdr>
                                                                    <w:top w:val="none" w:sz="0" w:space="0" w:color="auto"/>
                                                                    <w:left w:val="none" w:sz="0" w:space="0" w:color="auto"/>
                                                                    <w:bottom w:val="none" w:sz="0" w:space="0" w:color="auto"/>
                                                                    <w:right w:val="none" w:sz="0" w:space="0" w:color="auto"/>
                                                                  </w:divBdr>
                                                                  <w:divsChild>
                                                                    <w:div w:id="1182209475">
                                                                      <w:marLeft w:val="0"/>
                                                                      <w:marRight w:val="0"/>
                                                                      <w:marTop w:val="0"/>
                                                                      <w:marBottom w:val="0"/>
                                                                      <w:divBdr>
                                                                        <w:top w:val="none" w:sz="0" w:space="0" w:color="auto"/>
                                                                        <w:left w:val="none" w:sz="0" w:space="0" w:color="auto"/>
                                                                        <w:bottom w:val="none" w:sz="0" w:space="0" w:color="auto"/>
                                                                        <w:right w:val="none" w:sz="0" w:space="0" w:color="auto"/>
                                                                      </w:divBdr>
                                                                      <w:divsChild>
                                                                        <w:div w:id="884372763">
                                                                          <w:marLeft w:val="-75"/>
                                                                          <w:marRight w:val="0"/>
                                                                          <w:marTop w:val="30"/>
                                                                          <w:marBottom w:val="30"/>
                                                                          <w:divBdr>
                                                                            <w:top w:val="none" w:sz="0" w:space="0" w:color="auto"/>
                                                                            <w:left w:val="none" w:sz="0" w:space="0" w:color="auto"/>
                                                                            <w:bottom w:val="none" w:sz="0" w:space="0" w:color="auto"/>
                                                                            <w:right w:val="none" w:sz="0" w:space="0" w:color="auto"/>
                                                                          </w:divBdr>
                                                                          <w:divsChild>
                                                                            <w:div w:id="1175874602">
                                                                              <w:marLeft w:val="0"/>
                                                                              <w:marRight w:val="0"/>
                                                                              <w:marTop w:val="0"/>
                                                                              <w:marBottom w:val="0"/>
                                                                              <w:divBdr>
                                                                                <w:top w:val="none" w:sz="0" w:space="0" w:color="auto"/>
                                                                                <w:left w:val="none" w:sz="0" w:space="0" w:color="auto"/>
                                                                                <w:bottom w:val="none" w:sz="0" w:space="0" w:color="auto"/>
                                                                                <w:right w:val="none" w:sz="0" w:space="0" w:color="auto"/>
                                                                              </w:divBdr>
                                                                              <w:divsChild>
                                                                                <w:div w:id="1165247564">
                                                                                  <w:marLeft w:val="0"/>
                                                                                  <w:marRight w:val="0"/>
                                                                                  <w:marTop w:val="0"/>
                                                                                  <w:marBottom w:val="0"/>
                                                                                  <w:divBdr>
                                                                                    <w:top w:val="none" w:sz="0" w:space="0" w:color="auto"/>
                                                                                    <w:left w:val="none" w:sz="0" w:space="0" w:color="auto"/>
                                                                                    <w:bottom w:val="none" w:sz="0" w:space="0" w:color="auto"/>
                                                                                    <w:right w:val="none" w:sz="0" w:space="0" w:color="auto"/>
                                                                                  </w:divBdr>
                                                                                  <w:divsChild>
                                                                                    <w:div w:id="1571378961">
                                                                                      <w:marLeft w:val="0"/>
                                                                                      <w:marRight w:val="0"/>
                                                                                      <w:marTop w:val="0"/>
                                                                                      <w:marBottom w:val="0"/>
                                                                                      <w:divBdr>
                                                                                        <w:top w:val="none" w:sz="0" w:space="0" w:color="auto"/>
                                                                                        <w:left w:val="none" w:sz="0" w:space="0" w:color="auto"/>
                                                                                        <w:bottom w:val="none" w:sz="0" w:space="0" w:color="auto"/>
                                                                                        <w:right w:val="none" w:sz="0" w:space="0" w:color="auto"/>
                                                                                      </w:divBdr>
                                                                                      <w:divsChild>
                                                                                        <w:div w:id="803548269">
                                                                                          <w:marLeft w:val="0"/>
                                                                                          <w:marRight w:val="0"/>
                                                                                          <w:marTop w:val="0"/>
                                                                                          <w:marBottom w:val="0"/>
                                                                                          <w:divBdr>
                                                                                            <w:top w:val="none" w:sz="0" w:space="0" w:color="auto"/>
                                                                                            <w:left w:val="none" w:sz="0" w:space="0" w:color="auto"/>
                                                                                            <w:bottom w:val="none" w:sz="0" w:space="0" w:color="auto"/>
                                                                                            <w:right w:val="none" w:sz="0" w:space="0" w:color="auto"/>
                                                                                          </w:divBdr>
                                                                                          <w:divsChild>
                                                                                            <w:div w:id="1600940514">
                                                                                              <w:marLeft w:val="0"/>
                                                                                              <w:marRight w:val="0"/>
                                                                                              <w:marTop w:val="0"/>
                                                                                              <w:marBottom w:val="0"/>
                                                                                              <w:divBdr>
                                                                                                <w:top w:val="none" w:sz="0" w:space="0" w:color="auto"/>
                                                                                                <w:left w:val="none" w:sz="0" w:space="0" w:color="auto"/>
                                                                                                <w:bottom w:val="none" w:sz="0" w:space="0" w:color="auto"/>
                                                                                                <w:right w:val="none" w:sz="0" w:space="0" w:color="auto"/>
                                                                                              </w:divBdr>
                                                                                              <w:divsChild>
                                                                                                <w:div w:id="1371220971">
                                                                                                  <w:marLeft w:val="0"/>
                                                                                                  <w:marRight w:val="0"/>
                                                                                                  <w:marTop w:val="30"/>
                                                                                                  <w:marBottom w:val="30"/>
                                                                                                  <w:divBdr>
                                                                                                    <w:top w:val="none" w:sz="0" w:space="0" w:color="auto"/>
                                                                                                    <w:left w:val="none" w:sz="0" w:space="0" w:color="auto"/>
                                                                                                    <w:bottom w:val="none" w:sz="0" w:space="0" w:color="auto"/>
                                                                                                    <w:right w:val="none" w:sz="0" w:space="0" w:color="auto"/>
                                                                                                  </w:divBdr>
                                                                                                  <w:divsChild>
                                                                                                    <w:div w:id="1045570358">
                                                                                                      <w:marLeft w:val="0"/>
                                                                                                      <w:marRight w:val="0"/>
                                                                                                      <w:marTop w:val="0"/>
                                                                                                      <w:marBottom w:val="0"/>
                                                                                                      <w:divBdr>
                                                                                                        <w:top w:val="none" w:sz="0" w:space="0" w:color="auto"/>
                                                                                                        <w:left w:val="none" w:sz="0" w:space="0" w:color="auto"/>
                                                                                                        <w:bottom w:val="none" w:sz="0" w:space="0" w:color="auto"/>
                                                                                                        <w:right w:val="none" w:sz="0" w:space="0" w:color="auto"/>
                                                                                                      </w:divBdr>
                                                                                                      <w:divsChild>
                                                                                                        <w:div w:id="890724584">
                                                                                                          <w:marLeft w:val="0"/>
                                                                                                          <w:marRight w:val="0"/>
                                                                                                          <w:marTop w:val="0"/>
                                                                                                          <w:marBottom w:val="0"/>
                                                                                                          <w:divBdr>
                                                                                                            <w:top w:val="none" w:sz="0" w:space="0" w:color="auto"/>
                                                                                                            <w:left w:val="none" w:sz="0" w:space="0" w:color="auto"/>
                                                                                                            <w:bottom w:val="none" w:sz="0" w:space="0" w:color="auto"/>
                                                                                                            <w:right w:val="none" w:sz="0" w:space="0" w:color="auto"/>
                                                                                                          </w:divBdr>
                                                                                                        </w:div>
                                                                                                      </w:divsChild>
                                                                                                    </w:div>
                                                                                                    <w:div w:id="1518763591">
                                                                                                      <w:marLeft w:val="0"/>
                                                                                                      <w:marRight w:val="0"/>
                                                                                                      <w:marTop w:val="0"/>
                                                                                                      <w:marBottom w:val="0"/>
                                                                                                      <w:divBdr>
                                                                                                        <w:top w:val="none" w:sz="0" w:space="0" w:color="auto"/>
                                                                                                        <w:left w:val="none" w:sz="0" w:space="0" w:color="auto"/>
                                                                                                        <w:bottom w:val="none" w:sz="0" w:space="0" w:color="auto"/>
                                                                                                        <w:right w:val="none" w:sz="0" w:space="0" w:color="auto"/>
                                                                                                      </w:divBdr>
                                                                                                      <w:divsChild>
                                                                                                        <w:div w:id="13606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457522">
      <w:bodyDiv w:val="1"/>
      <w:marLeft w:val="0"/>
      <w:marRight w:val="0"/>
      <w:marTop w:val="0"/>
      <w:marBottom w:val="0"/>
      <w:divBdr>
        <w:top w:val="none" w:sz="0" w:space="0" w:color="auto"/>
        <w:left w:val="none" w:sz="0" w:space="0" w:color="auto"/>
        <w:bottom w:val="none" w:sz="0" w:space="0" w:color="auto"/>
        <w:right w:val="none" w:sz="0" w:space="0" w:color="auto"/>
      </w:divBdr>
    </w:div>
    <w:div w:id="1795098228">
      <w:bodyDiv w:val="1"/>
      <w:marLeft w:val="0"/>
      <w:marRight w:val="0"/>
      <w:marTop w:val="0"/>
      <w:marBottom w:val="0"/>
      <w:divBdr>
        <w:top w:val="none" w:sz="0" w:space="0" w:color="auto"/>
        <w:left w:val="none" w:sz="0" w:space="0" w:color="auto"/>
        <w:bottom w:val="none" w:sz="0" w:space="0" w:color="auto"/>
        <w:right w:val="none" w:sz="0" w:space="0" w:color="auto"/>
      </w:divBdr>
      <w:divsChild>
        <w:div w:id="1508208617">
          <w:marLeft w:val="0"/>
          <w:marRight w:val="0"/>
          <w:marTop w:val="0"/>
          <w:marBottom w:val="0"/>
          <w:divBdr>
            <w:top w:val="none" w:sz="0" w:space="0" w:color="auto"/>
            <w:left w:val="none" w:sz="0" w:space="0" w:color="auto"/>
            <w:bottom w:val="none" w:sz="0" w:space="0" w:color="auto"/>
            <w:right w:val="none" w:sz="0" w:space="0" w:color="auto"/>
          </w:divBdr>
          <w:divsChild>
            <w:div w:id="430198228">
              <w:marLeft w:val="0"/>
              <w:marRight w:val="0"/>
              <w:marTop w:val="900"/>
              <w:marBottom w:val="0"/>
              <w:divBdr>
                <w:top w:val="none" w:sz="0" w:space="0" w:color="auto"/>
                <w:left w:val="none" w:sz="0" w:space="0" w:color="auto"/>
                <w:bottom w:val="none" w:sz="0" w:space="0" w:color="auto"/>
                <w:right w:val="none" w:sz="0" w:space="0" w:color="auto"/>
              </w:divBdr>
              <w:divsChild>
                <w:div w:id="2116288953">
                  <w:marLeft w:val="0"/>
                  <w:marRight w:val="0"/>
                  <w:marTop w:val="0"/>
                  <w:marBottom w:val="0"/>
                  <w:divBdr>
                    <w:top w:val="none" w:sz="0" w:space="0" w:color="auto"/>
                    <w:left w:val="none" w:sz="0" w:space="0" w:color="auto"/>
                    <w:bottom w:val="none" w:sz="0" w:space="0" w:color="auto"/>
                    <w:right w:val="none" w:sz="0" w:space="0" w:color="auto"/>
                  </w:divBdr>
                  <w:divsChild>
                    <w:div w:id="1994212083">
                      <w:marLeft w:val="0"/>
                      <w:marRight w:val="0"/>
                      <w:marTop w:val="0"/>
                      <w:marBottom w:val="0"/>
                      <w:divBdr>
                        <w:top w:val="none" w:sz="0" w:space="0" w:color="auto"/>
                        <w:left w:val="none" w:sz="0" w:space="0" w:color="auto"/>
                        <w:bottom w:val="none" w:sz="0" w:space="0" w:color="auto"/>
                        <w:right w:val="none" w:sz="0" w:space="0" w:color="auto"/>
                      </w:divBdr>
                      <w:divsChild>
                        <w:div w:id="673070828">
                          <w:marLeft w:val="0"/>
                          <w:marRight w:val="0"/>
                          <w:marTop w:val="0"/>
                          <w:marBottom w:val="0"/>
                          <w:divBdr>
                            <w:top w:val="none" w:sz="0" w:space="0" w:color="auto"/>
                            <w:left w:val="none" w:sz="0" w:space="0" w:color="auto"/>
                            <w:bottom w:val="none" w:sz="0" w:space="0" w:color="auto"/>
                            <w:right w:val="none" w:sz="0" w:space="0" w:color="auto"/>
                          </w:divBdr>
                          <w:divsChild>
                            <w:div w:id="709770715">
                              <w:marLeft w:val="0"/>
                              <w:marRight w:val="0"/>
                              <w:marTop w:val="0"/>
                              <w:marBottom w:val="0"/>
                              <w:divBdr>
                                <w:top w:val="none" w:sz="0" w:space="0" w:color="auto"/>
                                <w:left w:val="none" w:sz="0" w:space="0" w:color="auto"/>
                                <w:bottom w:val="none" w:sz="0" w:space="0" w:color="auto"/>
                                <w:right w:val="none" w:sz="0" w:space="0" w:color="auto"/>
                              </w:divBdr>
                              <w:divsChild>
                                <w:div w:id="401024077">
                                  <w:marLeft w:val="0"/>
                                  <w:marRight w:val="0"/>
                                  <w:marTop w:val="0"/>
                                  <w:marBottom w:val="0"/>
                                  <w:divBdr>
                                    <w:top w:val="none" w:sz="0" w:space="0" w:color="auto"/>
                                    <w:left w:val="none" w:sz="0" w:space="0" w:color="auto"/>
                                    <w:bottom w:val="none" w:sz="0" w:space="0" w:color="auto"/>
                                    <w:right w:val="none" w:sz="0" w:space="0" w:color="auto"/>
                                  </w:divBdr>
                                  <w:divsChild>
                                    <w:div w:id="796608087">
                                      <w:marLeft w:val="0"/>
                                      <w:marRight w:val="0"/>
                                      <w:marTop w:val="0"/>
                                      <w:marBottom w:val="0"/>
                                      <w:divBdr>
                                        <w:top w:val="none" w:sz="0" w:space="0" w:color="auto"/>
                                        <w:left w:val="none" w:sz="0" w:space="0" w:color="auto"/>
                                        <w:bottom w:val="none" w:sz="0" w:space="0" w:color="auto"/>
                                        <w:right w:val="none" w:sz="0" w:space="0" w:color="auto"/>
                                      </w:divBdr>
                                      <w:divsChild>
                                        <w:div w:id="157506090">
                                          <w:marLeft w:val="0"/>
                                          <w:marRight w:val="0"/>
                                          <w:marTop w:val="15"/>
                                          <w:marBottom w:val="0"/>
                                          <w:divBdr>
                                            <w:top w:val="none" w:sz="0" w:space="0" w:color="auto"/>
                                            <w:left w:val="none" w:sz="0" w:space="0" w:color="auto"/>
                                            <w:bottom w:val="none" w:sz="0" w:space="0" w:color="auto"/>
                                            <w:right w:val="none" w:sz="0" w:space="0" w:color="auto"/>
                                          </w:divBdr>
                                          <w:divsChild>
                                            <w:div w:id="961157452">
                                              <w:marLeft w:val="0"/>
                                              <w:marRight w:val="0"/>
                                              <w:marTop w:val="0"/>
                                              <w:marBottom w:val="0"/>
                                              <w:divBdr>
                                                <w:top w:val="none" w:sz="0" w:space="0" w:color="auto"/>
                                                <w:left w:val="none" w:sz="0" w:space="0" w:color="auto"/>
                                                <w:bottom w:val="none" w:sz="0" w:space="0" w:color="auto"/>
                                                <w:right w:val="none" w:sz="0" w:space="0" w:color="auto"/>
                                              </w:divBdr>
                                              <w:divsChild>
                                                <w:div w:id="1511291549">
                                                  <w:marLeft w:val="0"/>
                                                  <w:marRight w:val="0"/>
                                                  <w:marTop w:val="0"/>
                                                  <w:marBottom w:val="0"/>
                                                  <w:divBdr>
                                                    <w:top w:val="none" w:sz="0" w:space="0" w:color="auto"/>
                                                    <w:left w:val="none" w:sz="0" w:space="0" w:color="auto"/>
                                                    <w:bottom w:val="none" w:sz="0" w:space="0" w:color="auto"/>
                                                    <w:right w:val="none" w:sz="0" w:space="0" w:color="auto"/>
                                                  </w:divBdr>
                                                </w:div>
                                                <w:div w:id="2077776162">
                                                  <w:marLeft w:val="0"/>
                                                  <w:marRight w:val="0"/>
                                                  <w:marTop w:val="0"/>
                                                  <w:marBottom w:val="0"/>
                                                  <w:divBdr>
                                                    <w:top w:val="none" w:sz="0" w:space="0" w:color="auto"/>
                                                    <w:left w:val="none" w:sz="0" w:space="0" w:color="auto"/>
                                                    <w:bottom w:val="none" w:sz="0" w:space="0" w:color="auto"/>
                                                    <w:right w:val="none" w:sz="0" w:space="0" w:color="auto"/>
                                                  </w:divBdr>
                                                </w:div>
                                                <w:div w:id="21108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026776">
      <w:bodyDiv w:val="1"/>
      <w:marLeft w:val="0"/>
      <w:marRight w:val="0"/>
      <w:marTop w:val="0"/>
      <w:marBottom w:val="0"/>
      <w:divBdr>
        <w:top w:val="none" w:sz="0" w:space="0" w:color="auto"/>
        <w:left w:val="none" w:sz="0" w:space="0" w:color="auto"/>
        <w:bottom w:val="none" w:sz="0" w:space="0" w:color="auto"/>
        <w:right w:val="none" w:sz="0" w:space="0" w:color="auto"/>
      </w:divBdr>
      <w:divsChild>
        <w:div w:id="428352406">
          <w:marLeft w:val="0"/>
          <w:marRight w:val="0"/>
          <w:marTop w:val="0"/>
          <w:marBottom w:val="0"/>
          <w:divBdr>
            <w:top w:val="none" w:sz="0" w:space="0" w:color="auto"/>
            <w:left w:val="none" w:sz="0" w:space="0" w:color="auto"/>
            <w:bottom w:val="none" w:sz="0" w:space="0" w:color="auto"/>
            <w:right w:val="none" w:sz="0" w:space="0" w:color="auto"/>
          </w:divBdr>
        </w:div>
        <w:div w:id="1437556761">
          <w:marLeft w:val="0"/>
          <w:marRight w:val="0"/>
          <w:marTop w:val="0"/>
          <w:marBottom w:val="0"/>
          <w:divBdr>
            <w:top w:val="none" w:sz="0" w:space="0" w:color="auto"/>
            <w:left w:val="none" w:sz="0" w:space="0" w:color="auto"/>
            <w:bottom w:val="none" w:sz="0" w:space="0" w:color="auto"/>
            <w:right w:val="none" w:sz="0" w:space="0" w:color="auto"/>
          </w:divBdr>
        </w:div>
        <w:div w:id="1456564070">
          <w:marLeft w:val="0"/>
          <w:marRight w:val="0"/>
          <w:marTop w:val="0"/>
          <w:marBottom w:val="0"/>
          <w:divBdr>
            <w:top w:val="none" w:sz="0" w:space="0" w:color="auto"/>
            <w:left w:val="none" w:sz="0" w:space="0" w:color="auto"/>
            <w:bottom w:val="none" w:sz="0" w:space="0" w:color="auto"/>
            <w:right w:val="none" w:sz="0" w:space="0" w:color="auto"/>
          </w:divBdr>
        </w:div>
        <w:div w:id="1671912338">
          <w:marLeft w:val="0"/>
          <w:marRight w:val="0"/>
          <w:marTop w:val="0"/>
          <w:marBottom w:val="0"/>
          <w:divBdr>
            <w:top w:val="none" w:sz="0" w:space="0" w:color="auto"/>
            <w:left w:val="none" w:sz="0" w:space="0" w:color="auto"/>
            <w:bottom w:val="none" w:sz="0" w:space="0" w:color="auto"/>
            <w:right w:val="none" w:sz="0" w:space="0" w:color="auto"/>
          </w:divBdr>
        </w:div>
        <w:div w:id="343559676">
          <w:marLeft w:val="0"/>
          <w:marRight w:val="0"/>
          <w:marTop w:val="0"/>
          <w:marBottom w:val="0"/>
          <w:divBdr>
            <w:top w:val="none" w:sz="0" w:space="0" w:color="auto"/>
            <w:left w:val="none" w:sz="0" w:space="0" w:color="auto"/>
            <w:bottom w:val="none" w:sz="0" w:space="0" w:color="auto"/>
            <w:right w:val="none" w:sz="0" w:space="0" w:color="auto"/>
          </w:divBdr>
        </w:div>
        <w:div w:id="1748770858">
          <w:marLeft w:val="0"/>
          <w:marRight w:val="0"/>
          <w:marTop w:val="0"/>
          <w:marBottom w:val="0"/>
          <w:divBdr>
            <w:top w:val="none" w:sz="0" w:space="0" w:color="auto"/>
            <w:left w:val="none" w:sz="0" w:space="0" w:color="auto"/>
            <w:bottom w:val="none" w:sz="0" w:space="0" w:color="auto"/>
            <w:right w:val="none" w:sz="0" w:space="0" w:color="auto"/>
          </w:divBdr>
        </w:div>
      </w:divsChild>
    </w:div>
    <w:div w:id="2140688781">
      <w:bodyDiv w:val="1"/>
      <w:marLeft w:val="0"/>
      <w:marRight w:val="0"/>
      <w:marTop w:val="0"/>
      <w:marBottom w:val="0"/>
      <w:divBdr>
        <w:top w:val="none" w:sz="0" w:space="0" w:color="auto"/>
        <w:left w:val="none" w:sz="0" w:space="0" w:color="auto"/>
        <w:bottom w:val="none" w:sz="0" w:space="0" w:color="auto"/>
        <w:right w:val="none" w:sz="0" w:space="0" w:color="auto"/>
      </w:divBdr>
      <w:divsChild>
        <w:div w:id="308293068">
          <w:marLeft w:val="0"/>
          <w:marRight w:val="0"/>
          <w:marTop w:val="0"/>
          <w:marBottom w:val="0"/>
          <w:divBdr>
            <w:top w:val="none" w:sz="0" w:space="0" w:color="auto"/>
            <w:left w:val="none" w:sz="0" w:space="0" w:color="auto"/>
            <w:bottom w:val="none" w:sz="0" w:space="0" w:color="auto"/>
            <w:right w:val="none" w:sz="0" w:space="0" w:color="auto"/>
          </w:divBdr>
        </w:div>
        <w:div w:id="211158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546BDEA57F14494EF4D1AE496F80C" ma:contentTypeVersion="9" ma:contentTypeDescription="Create a new document." ma:contentTypeScope="" ma:versionID="5cf12943ddb92c36c6fab4ace3dc8f06">
  <xsd:schema xmlns:xsd="http://www.w3.org/2001/XMLSchema" xmlns:xs="http://www.w3.org/2001/XMLSchema" xmlns:p="http://schemas.microsoft.com/office/2006/metadata/properties" xmlns:ns2="a6ba14f1-035b-43da-a22f-0829db913f35" xmlns:ns3="f84d465c-9549-43dd-896d-9f5c13d4ca3e" targetNamespace="http://schemas.microsoft.com/office/2006/metadata/properties" ma:root="true" ma:fieldsID="65f72bf290bdc142f26a0528b949898d" ns2:_="" ns3:_="">
    <xsd:import namespace="a6ba14f1-035b-43da-a22f-0829db913f35"/>
    <xsd:import namespace="f84d465c-9549-43dd-896d-9f5c13d4ca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a14f1-035b-43da-a22f-0829db913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d465c-9549-43dd-896d-9f5c13d4ca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50B0-BFC5-46ED-896E-EED072884C16}">
  <ds:schemaRefs>
    <ds:schemaRef ds:uri="a6ba14f1-035b-43da-a22f-0829db913f3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4d465c-9549-43dd-896d-9f5c13d4ca3e"/>
    <ds:schemaRef ds:uri="http://www.w3.org/XML/1998/namespace"/>
    <ds:schemaRef ds:uri="http://purl.org/dc/dcmitype/"/>
  </ds:schemaRefs>
</ds:datastoreItem>
</file>

<file path=customXml/itemProps2.xml><?xml version="1.0" encoding="utf-8"?>
<ds:datastoreItem xmlns:ds="http://schemas.openxmlformats.org/officeDocument/2006/customXml" ds:itemID="{A46F95FE-B538-489A-B3F6-CDC382E557D4}">
  <ds:schemaRefs>
    <ds:schemaRef ds:uri="http://schemas.microsoft.com/sharepoint/v3/contenttype/forms"/>
  </ds:schemaRefs>
</ds:datastoreItem>
</file>

<file path=customXml/itemProps3.xml><?xml version="1.0" encoding="utf-8"?>
<ds:datastoreItem xmlns:ds="http://schemas.openxmlformats.org/officeDocument/2006/customXml" ds:itemID="{14501C10-BB44-4918-BB2C-A03BCC27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a14f1-035b-43da-a22f-0829db913f35"/>
    <ds:schemaRef ds:uri="f84d465c-9549-43dd-896d-9f5c13d4c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D5CA9-E149-4315-A2E4-6C07347B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41</Pages>
  <Words>14056</Words>
  <Characters>79418</Characters>
  <Application>Microsoft Office Word</Application>
  <DocSecurity>0</DocSecurity>
  <Lines>1890</Lines>
  <Paragraphs>1062</Paragraphs>
  <ScaleCrop>false</ScaleCrop>
  <HeadingPairs>
    <vt:vector size="2" baseType="variant">
      <vt:variant>
        <vt:lpstr>Title</vt:lpstr>
      </vt:variant>
      <vt:variant>
        <vt:i4>1</vt:i4>
      </vt:variant>
    </vt:vector>
  </HeadingPairs>
  <TitlesOfParts>
    <vt:vector size="1" baseType="lpstr">
      <vt:lpstr>Attachment: Product Information for Eculizumab</vt:lpstr>
    </vt:vector>
  </TitlesOfParts>
  <Company/>
  <LinksUpToDate>false</LinksUpToDate>
  <CharactersWithSpaces>92412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Eculizumab</dc:title>
  <dc:subject>prescription medicines</dc:subject>
  <dc:creator>Alexion Pharmaceuticals Australasia </dc:creator>
  <cp:lastPrinted>2019-10-22T05:02:00Z</cp:lastPrinted>
  <dcterms:created xsi:type="dcterms:W3CDTF">2020-12-01T23:13:00Z</dcterms:created>
  <dcterms:modified xsi:type="dcterms:W3CDTF">2020-12-01T23:54:00Z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0x010100E49546BDEA57F14494EF4D1AE496F80C</vt:lpwstr>
  </property>
</Properties>
</file>